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058976" w14:textId="083169B8" w:rsidR="00991E04" w:rsidRPr="004719D4" w:rsidRDefault="00CF3FE9" w:rsidP="00EC452A">
      <w:pPr>
        <w:ind w:left="708" w:hanging="708"/>
        <w:jc w:val="both"/>
        <w:rPr>
          <w:rFonts w:ascii="Arial" w:hAnsi="Arial" w:cs="Arial"/>
          <w:sz w:val="22"/>
          <w:szCs w:val="22"/>
        </w:rPr>
      </w:pPr>
      <w:r>
        <w:rPr>
          <w:rFonts w:ascii="Arial" w:hAnsi="Arial" w:cs="Arial"/>
          <w:sz w:val="22"/>
          <w:szCs w:val="22"/>
        </w:rPr>
        <w:t xml:space="preserve"> </w:t>
      </w:r>
    </w:p>
    <w:p w14:paraId="1E776CA7" w14:textId="49400E91" w:rsidR="00991E04" w:rsidRPr="007923C2" w:rsidRDefault="005C0811" w:rsidP="006F5829">
      <w:pPr>
        <w:jc w:val="both"/>
        <w:rPr>
          <w:rFonts w:ascii="Arial" w:hAnsi="Arial" w:cs="Arial"/>
          <w:sz w:val="22"/>
          <w:szCs w:val="22"/>
        </w:rPr>
      </w:pPr>
      <w:r>
        <w:rPr>
          <w:rFonts w:ascii="Arial" w:hAnsi="Arial" w:cs="Arial"/>
          <w:sz w:val="22"/>
          <w:szCs w:val="22"/>
        </w:rPr>
        <w:t xml:space="preserve">                        </w:t>
      </w:r>
      <w:r w:rsidR="00991E04" w:rsidRPr="007923C2">
        <w:rPr>
          <w:rFonts w:ascii="Arial" w:hAnsi="Arial" w:cs="Arial"/>
          <w:sz w:val="22"/>
          <w:szCs w:val="22"/>
        </w:rPr>
        <w:t>UNIVERSIDAD AUTÓNOMA  AGRARIA  ANTONIO NARRO</w:t>
      </w:r>
    </w:p>
    <w:p w14:paraId="66901503" w14:textId="77777777" w:rsidR="00991E04" w:rsidRDefault="00991E04" w:rsidP="006F5829">
      <w:pPr>
        <w:jc w:val="both"/>
        <w:rPr>
          <w:rFonts w:ascii="Arial" w:hAnsi="Arial" w:cs="Arial"/>
          <w:sz w:val="22"/>
          <w:szCs w:val="22"/>
        </w:rPr>
      </w:pPr>
    </w:p>
    <w:p w14:paraId="70BF38FF" w14:textId="77777777" w:rsidR="00617B10" w:rsidRPr="007923C2" w:rsidRDefault="00617B10" w:rsidP="006F5829">
      <w:pPr>
        <w:jc w:val="both"/>
        <w:rPr>
          <w:rFonts w:ascii="Arial" w:hAnsi="Arial" w:cs="Arial"/>
          <w:sz w:val="22"/>
          <w:szCs w:val="22"/>
        </w:rPr>
      </w:pPr>
    </w:p>
    <w:p w14:paraId="408305D5" w14:textId="77777777" w:rsidR="00991E04" w:rsidRPr="007923C2" w:rsidRDefault="00991E04" w:rsidP="006F5829">
      <w:pPr>
        <w:jc w:val="both"/>
        <w:rPr>
          <w:rFonts w:ascii="Arial" w:hAnsi="Arial" w:cs="Arial"/>
          <w:sz w:val="22"/>
          <w:szCs w:val="22"/>
        </w:rPr>
      </w:pPr>
    </w:p>
    <w:p w14:paraId="7D838BE0" w14:textId="77777777" w:rsidR="00991E04" w:rsidRPr="007923C2" w:rsidRDefault="00991E04" w:rsidP="006F5829">
      <w:pPr>
        <w:jc w:val="both"/>
        <w:rPr>
          <w:rFonts w:ascii="Arial" w:hAnsi="Arial" w:cs="Arial"/>
          <w:sz w:val="22"/>
          <w:szCs w:val="22"/>
        </w:rPr>
      </w:pPr>
    </w:p>
    <w:p w14:paraId="3A9A05DD" w14:textId="77777777" w:rsidR="00991E04" w:rsidRPr="007923C2" w:rsidRDefault="00991E04" w:rsidP="006F5829">
      <w:pPr>
        <w:jc w:val="both"/>
        <w:rPr>
          <w:rFonts w:ascii="Arial" w:hAnsi="Arial" w:cs="Arial"/>
          <w:sz w:val="22"/>
          <w:szCs w:val="22"/>
        </w:rPr>
      </w:pPr>
    </w:p>
    <w:p w14:paraId="41DFC1EE" w14:textId="77777777" w:rsidR="00991E04" w:rsidRPr="007923C2" w:rsidRDefault="00991E04" w:rsidP="006F5829">
      <w:pPr>
        <w:jc w:val="both"/>
        <w:rPr>
          <w:rFonts w:ascii="Arial" w:hAnsi="Arial" w:cs="Arial"/>
          <w:sz w:val="22"/>
          <w:szCs w:val="22"/>
        </w:rPr>
      </w:pPr>
    </w:p>
    <w:p w14:paraId="401FAEB6" w14:textId="397BABB7" w:rsidR="00991E04" w:rsidRPr="007923C2" w:rsidRDefault="005C0811" w:rsidP="006F5829">
      <w:pPr>
        <w:jc w:val="both"/>
        <w:rPr>
          <w:rFonts w:ascii="Arial" w:hAnsi="Arial" w:cs="Arial"/>
          <w:sz w:val="22"/>
          <w:szCs w:val="22"/>
        </w:rPr>
      </w:pPr>
      <w:r>
        <w:rPr>
          <w:rFonts w:ascii="Arial" w:hAnsi="Arial" w:cs="Arial"/>
          <w:sz w:val="22"/>
          <w:szCs w:val="22"/>
        </w:rPr>
        <w:t xml:space="preserve">                                            </w:t>
      </w:r>
      <w:r w:rsidR="00991E04" w:rsidRPr="007923C2">
        <w:rPr>
          <w:rFonts w:ascii="Arial" w:hAnsi="Arial" w:cs="Arial"/>
          <w:sz w:val="22"/>
          <w:szCs w:val="22"/>
        </w:rPr>
        <w:t>DEPARTAMENTO DE BOTÁNICA</w:t>
      </w:r>
    </w:p>
    <w:p w14:paraId="1A7E617F" w14:textId="77777777" w:rsidR="00991E04" w:rsidRPr="007923C2" w:rsidRDefault="00991E04" w:rsidP="006F5829">
      <w:pPr>
        <w:jc w:val="both"/>
        <w:rPr>
          <w:rFonts w:ascii="Arial" w:hAnsi="Arial" w:cs="Arial"/>
          <w:sz w:val="22"/>
          <w:szCs w:val="22"/>
        </w:rPr>
      </w:pPr>
    </w:p>
    <w:p w14:paraId="7D6F15C2" w14:textId="77777777" w:rsidR="00991E04" w:rsidRPr="007923C2" w:rsidRDefault="00991E04" w:rsidP="006F5829">
      <w:pPr>
        <w:jc w:val="both"/>
        <w:rPr>
          <w:rFonts w:ascii="Arial" w:hAnsi="Arial" w:cs="Arial"/>
          <w:sz w:val="22"/>
          <w:szCs w:val="22"/>
        </w:rPr>
      </w:pPr>
    </w:p>
    <w:p w14:paraId="29A29E67" w14:textId="77777777" w:rsidR="00991E04" w:rsidRPr="007923C2" w:rsidRDefault="00991E04" w:rsidP="006F5829">
      <w:pPr>
        <w:jc w:val="both"/>
        <w:rPr>
          <w:rFonts w:ascii="Arial" w:hAnsi="Arial" w:cs="Arial"/>
          <w:sz w:val="22"/>
          <w:szCs w:val="22"/>
        </w:rPr>
      </w:pPr>
    </w:p>
    <w:p w14:paraId="5EA390AF" w14:textId="77777777" w:rsidR="00991E04" w:rsidRPr="007923C2" w:rsidRDefault="00991E04" w:rsidP="006F5829">
      <w:pPr>
        <w:jc w:val="both"/>
        <w:rPr>
          <w:rFonts w:ascii="Arial" w:hAnsi="Arial" w:cs="Arial"/>
          <w:sz w:val="22"/>
          <w:szCs w:val="22"/>
        </w:rPr>
      </w:pPr>
    </w:p>
    <w:p w14:paraId="43F27D6A" w14:textId="77777777" w:rsidR="00991E04" w:rsidRPr="007923C2" w:rsidRDefault="00991E04" w:rsidP="006F5829">
      <w:pPr>
        <w:jc w:val="both"/>
        <w:rPr>
          <w:rFonts w:ascii="Arial" w:hAnsi="Arial" w:cs="Arial"/>
          <w:sz w:val="22"/>
          <w:szCs w:val="22"/>
        </w:rPr>
      </w:pPr>
    </w:p>
    <w:p w14:paraId="48C21E4E" w14:textId="5877598E" w:rsidR="00991E04" w:rsidRPr="007923C2" w:rsidRDefault="005C0811" w:rsidP="006F5829">
      <w:pPr>
        <w:jc w:val="both"/>
        <w:rPr>
          <w:rFonts w:ascii="Arial" w:hAnsi="Arial" w:cs="Arial"/>
          <w:sz w:val="22"/>
          <w:szCs w:val="22"/>
        </w:rPr>
      </w:pPr>
      <w:r>
        <w:rPr>
          <w:rFonts w:ascii="Arial" w:hAnsi="Arial" w:cs="Arial"/>
          <w:sz w:val="22"/>
          <w:szCs w:val="22"/>
        </w:rPr>
        <w:t xml:space="preserve">                               </w:t>
      </w:r>
      <w:r w:rsidR="00991E04" w:rsidRPr="007923C2">
        <w:rPr>
          <w:rFonts w:ascii="Arial" w:hAnsi="Arial" w:cs="Arial"/>
          <w:sz w:val="22"/>
          <w:szCs w:val="22"/>
        </w:rPr>
        <w:t>PLAN DE DESARROLLO DEL PROGRAMA DOCENTE DE</w:t>
      </w:r>
    </w:p>
    <w:p w14:paraId="5A116529" w14:textId="77777777" w:rsidR="00991E04" w:rsidRPr="007923C2" w:rsidRDefault="00991E04" w:rsidP="006F5829">
      <w:pPr>
        <w:jc w:val="both"/>
        <w:rPr>
          <w:rFonts w:ascii="Arial" w:hAnsi="Arial" w:cs="Arial"/>
          <w:sz w:val="22"/>
          <w:szCs w:val="22"/>
        </w:rPr>
      </w:pPr>
    </w:p>
    <w:p w14:paraId="6862B307" w14:textId="75B380C3" w:rsidR="00991E04" w:rsidRPr="007923C2" w:rsidRDefault="005C0811" w:rsidP="006F5829">
      <w:pPr>
        <w:jc w:val="both"/>
        <w:rPr>
          <w:rFonts w:ascii="Arial" w:hAnsi="Arial" w:cs="Arial"/>
          <w:sz w:val="22"/>
          <w:szCs w:val="22"/>
        </w:rPr>
      </w:pPr>
      <w:r>
        <w:rPr>
          <w:rFonts w:ascii="Arial" w:hAnsi="Arial" w:cs="Arial"/>
          <w:sz w:val="22"/>
          <w:szCs w:val="22"/>
        </w:rPr>
        <w:t xml:space="preserve">                                   </w:t>
      </w:r>
      <w:r w:rsidR="00991E04" w:rsidRPr="007923C2">
        <w:rPr>
          <w:rFonts w:ascii="Arial" w:hAnsi="Arial" w:cs="Arial"/>
          <w:sz w:val="22"/>
          <w:szCs w:val="22"/>
        </w:rPr>
        <w:t>LA CARRERA DE INGENIERO EN AGROBIOLOGÍA</w:t>
      </w:r>
    </w:p>
    <w:p w14:paraId="2D7B0B48" w14:textId="77777777" w:rsidR="00991E04" w:rsidRPr="007923C2" w:rsidRDefault="00991E04" w:rsidP="006F5829">
      <w:pPr>
        <w:jc w:val="both"/>
        <w:rPr>
          <w:rFonts w:ascii="Arial" w:hAnsi="Arial" w:cs="Arial"/>
          <w:sz w:val="22"/>
          <w:szCs w:val="22"/>
        </w:rPr>
      </w:pPr>
    </w:p>
    <w:p w14:paraId="646C86AC" w14:textId="025FB36D" w:rsidR="00991E04" w:rsidRPr="007923C2" w:rsidRDefault="005C0811" w:rsidP="006F5829">
      <w:pPr>
        <w:jc w:val="both"/>
        <w:rPr>
          <w:rFonts w:ascii="Arial" w:hAnsi="Arial" w:cs="Arial"/>
          <w:sz w:val="22"/>
          <w:szCs w:val="22"/>
        </w:rPr>
      </w:pPr>
      <w:r>
        <w:rPr>
          <w:rFonts w:ascii="Arial" w:hAnsi="Arial" w:cs="Arial"/>
          <w:sz w:val="22"/>
          <w:szCs w:val="22"/>
        </w:rPr>
        <w:t xml:space="preserve">                                                                          </w:t>
      </w:r>
      <w:r w:rsidR="00991E04" w:rsidRPr="007923C2">
        <w:rPr>
          <w:rFonts w:ascii="Arial" w:hAnsi="Arial" w:cs="Arial"/>
          <w:sz w:val="22"/>
          <w:szCs w:val="22"/>
        </w:rPr>
        <w:t>20</w:t>
      </w:r>
      <w:r w:rsidR="00223C09" w:rsidRPr="007923C2">
        <w:rPr>
          <w:rFonts w:ascii="Arial" w:hAnsi="Arial" w:cs="Arial"/>
          <w:sz w:val="22"/>
          <w:szCs w:val="22"/>
        </w:rPr>
        <w:t>1</w:t>
      </w:r>
      <w:r w:rsidR="00991E04" w:rsidRPr="007923C2">
        <w:rPr>
          <w:rFonts w:ascii="Arial" w:hAnsi="Arial" w:cs="Arial"/>
          <w:sz w:val="22"/>
          <w:szCs w:val="22"/>
        </w:rPr>
        <w:t xml:space="preserve">6 </w:t>
      </w:r>
      <w:r w:rsidR="00991E04" w:rsidRPr="007923C2">
        <w:rPr>
          <w:rFonts w:ascii="Arial" w:hAnsi="Arial" w:cs="Arial"/>
          <w:sz w:val="22"/>
          <w:szCs w:val="22"/>
        </w:rPr>
        <w:br w:type="page"/>
      </w:r>
    </w:p>
    <w:p w14:paraId="7A93766E" w14:textId="52F6F830" w:rsidR="00285781" w:rsidRDefault="00CF3FE9" w:rsidP="006F5829">
      <w:pPr>
        <w:jc w:val="both"/>
        <w:rPr>
          <w:rFonts w:ascii="Arial" w:hAnsi="Arial" w:cs="Arial"/>
          <w:b/>
          <w:sz w:val="28"/>
          <w:szCs w:val="22"/>
        </w:rPr>
      </w:pPr>
      <w:r>
        <w:rPr>
          <w:rFonts w:ascii="Arial" w:hAnsi="Arial" w:cs="Arial"/>
          <w:b/>
          <w:sz w:val="22"/>
          <w:szCs w:val="22"/>
        </w:rPr>
        <w:lastRenderedPageBreak/>
        <w:t xml:space="preserve">                                                             </w:t>
      </w:r>
      <w:r w:rsidRPr="00CF3FE9">
        <w:rPr>
          <w:rFonts w:ascii="Arial" w:hAnsi="Arial" w:cs="Arial"/>
          <w:b/>
          <w:sz w:val="28"/>
          <w:szCs w:val="22"/>
        </w:rPr>
        <w:t>DIRECTORIO</w:t>
      </w:r>
    </w:p>
    <w:p w14:paraId="08D76773" w14:textId="77777777" w:rsidR="00CF3FE9" w:rsidRDefault="00CF3FE9" w:rsidP="006F5829">
      <w:pPr>
        <w:jc w:val="both"/>
        <w:rPr>
          <w:rFonts w:ascii="Arial" w:hAnsi="Arial" w:cs="Arial"/>
          <w:b/>
          <w:sz w:val="28"/>
          <w:szCs w:val="22"/>
        </w:rPr>
      </w:pPr>
    </w:p>
    <w:p w14:paraId="5CCE73AA" w14:textId="1DF0382A" w:rsidR="00CF3FE9" w:rsidRPr="00051D58" w:rsidRDefault="00462D82" w:rsidP="00CF3FE9">
      <w:pPr>
        <w:jc w:val="center"/>
        <w:rPr>
          <w:rStyle w:val="apple-converted-space"/>
          <w:rFonts w:ascii="Arial" w:eastAsia="SimSun" w:hAnsi="Arial" w:cs="Arial"/>
          <w:color w:val="000000"/>
          <w:shd w:val="clear" w:color="auto" w:fill="FFFFFF"/>
        </w:rPr>
      </w:pPr>
      <w:r>
        <w:rPr>
          <w:rFonts w:ascii="Arial" w:hAnsi="Arial" w:cs="Arial"/>
          <w:color w:val="000000"/>
          <w:shd w:val="clear" w:color="auto" w:fill="FFFFFF"/>
        </w:rPr>
        <w:t xml:space="preserve">DR </w:t>
      </w:r>
      <w:r w:rsidR="00CF3FE9" w:rsidRPr="00051D58">
        <w:rPr>
          <w:rFonts w:ascii="Arial" w:hAnsi="Arial" w:cs="Arial"/>
          <w:color w:val="000000"/>
          <w:shd w:val="clear" w:color="auto" w:fill="FFFFFF"/>
        </w:rPr>
        <w:t>JESUS RODOLFO VALENZUELA GARCIA</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RECTOR</w:t>
      </w:r>
    </w:p>
    <w:p w14:paraId="679C3495" w14:textId="77777777" w:rsidR="00CF3FE9" w:rsidRDefault="00CF3FE9" w:rsidP="00CF3FE9">
      <w:pPr>
        <w:jc w:val="center"/>
        <w:rPr>
          <w:rFonts w:ascii="Arial" w:hAnsi="Arial" w:cs="Arial"/>
          <w:color w:val="000000"/>
          <w:shd w:val="clear" w:color="auto" w:fill="FFFFFF"/>
        </w:rPr>
      </w:pPr>
    </w:p>
    <w:p w14:paraId="77383964" w14:textId="23A77861" w:rsidR="00CF3FE9" w:rsidRPr="00051D58" w:rsidRDefault="00462D82" w:rsidP="00CF3FE9">
      <w:pPr>
        <w:jc w:val="center"/>
        <w:rPr>
          <w:rStyle w:val="estilo1"/>
          <w:rFonts w:ascii="Arial" w:eastAsia="SimSun" w:hAnsi="Arial" w:cs="Arial"/>
          <w:color w:val="000000"/>
          <w:shd w:val="clear" w:color="auto" w:fill="FFFFFF"/>
        </w:rPr>
      </w:pPr>
      <w:r>
        <w:rPr>
          <w:rFonts w:ascii="Arial" w:hAnsi="Arial" w:cs="Arial"/>
          <w:color w:val="000000"/>
          <w:shd w:val="clear" w:color="auto" w:fill="FFFFFF"/>
        </w:rPr>
        <w:t xml:space="preserve">MC </w:t>
      </w:r>
      <w:r w:rsidR="00CF3FE9" w:rsidRPr="00051D58">
        <w:rPr>
          <w:rFonts w:ascii="Arial" w:hAnsi="Arial" w:cs="Arial"/>
          <w:color w:val="000000"/>
          <w:shd w:val="clear" w:color="auto" w:fill="FFFFFF"/>
        </w:rPr>
        <w:t>VICTOR MANUEL SANCHEZ VALDEZ</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DIRECTOR GENERAL ACADEMICO</w:t>
      </w:r>
    </w:p>
    <w:p w14:paraId="6E9A2E97" w14:textId="77777777" w:rsidR="00CF3FE9" w:rsidRDefault="00CF3FE9" w:rsidP="00CF3FE9">
      <w:pPr>
        <w:jc w:val="center"/>
        <w:rPr>
          <w:rFonts w:ascii="Arial" w:hAnsi="Arial" w:cs="Arial"/>
          <w:color w:val="000000"/>
          <w:shd w:val="clear" w:color="auto" w:fill="FFFFFF"/>
        </w:rPr>
      </w:pPr>
    </w:p>
    <w:p w14:paraId="42FE9C1A" w14:textId="6AC1E1E6" w:rsidR="00CF3FE9" w:rsidRPr="00051D58" w:rsidRDefault="00462D82" w:rsidP="00CF3FE9">
      <w:pPr>
        <w:jc w:val="center"/>
        <w:rPr>
          <w:rStyle w:val="estilo1"/>
          <w:rFonts w:ascii="Arial" w:eastAsia="SimSun" w:hAnsi="Arial" w:cs="Arial"/>
          <w:color w:val="000000"/>
          <w:shd w:val="clear" w:color="auto" w:fill="FFFFFF"/>
        </w:rPr>
      </w:pPr>
      <w:r>
        <w:rPr>
          <w:rFonts w:ascii="Arial" w:hAnsi="Arial" w:cs="Arial"/>
          <w:color w:val="000000"/>
          <w:shd w:val="clear" w:color="auto" w:fill="FFFFFF"/>
        </w:rPr>
        <w:t xml:space="preserve">MC </w:t>
      </w:r>
      <w:r w:rsidR="00CF3FE9" w:rsidRPr="00051D58">
        <w:rPr>
          <w:rFonts w:ascii="Arial" w:hAnsi="Arial" w:cs="Arial"/>
          <w:color w:val="000000"/>
          <w:shd w:val="clear" w:color="auto" w:fill="FFFFFF"/>
        </w:rPr>
        <w:t>GUILLERMO GALVÁN GALLEGOS</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DIRECTOR DE DOCENCIA</w:t>
      </w:r>
    </w:p>
    <w:p w14:paraId="2BFA375D" w14:textId="77777777" w:rsidR="00CF3FE9" w:rsidRDefault="00CF3FE9" w:rsidP="00CF3FE9">
      <w:pPr>
        <w:jc w:val="center"/>
        <w:rPr>
          <w:rFonts w:ascii="Arial" w:hAnsi="Arial" w:cs="Arial"/>
          <w:color w:val="000000"/>
          <w:shd w:val="clear" w:color="auto" w:fill="FFFFFF"/>
        </w:rPr>
      </w:pPr>
    </w:p>
    <w:p w14:paraId="3CB76524" w14:textId="2B042B64" w:rsidR="00CF3FE9" w:rsidRPr="00051D58" w:rsidRDefault="00462D82" w:rsidP="00CF3FE9">
      <w:pPr>
        <w:jc w:val="center"/>
        <w:rPr>
          <w:rStyle w:val="estilo1"/>
          <w:rFonts w:ascii="Arial" w:eastAsia="SimSun" w:hAnsi="Arial" w:cs="Arial"/>
          <w:color w:val="000000"/>
          <w:shd w:val="clear" w:color="auto" w:fill="FFFFFF"/>
        </w:rPr>
      </w:pPr>
      <w:r>
        <w:rPr>
          <w:rFonts w:ascii="Arial" w:hAnsi="Arial" w:cs="Arial"/>
          <w:color w:val="000000"/>
          <w:shd w:val="clear" w:color="auto" w:fill="FFFFFF"/>
        </w:rPr>
        <w:t xml:space="preserve">DR </w:t>
      </w:r>
      <w:r w:rsidR="00CF3FE9" w:rsidRPr="00051D58">
        <w:rPr>
          <w:rFonts w:ascii="Arial" w:hAnsi="Arial" w:cs="Arial"/>
          <w:color w:val="000000"/>
          <w:shd w:val="clear" w:color="auto" w:fill="FFFFFF"/>
        </w:rPr>
        <w:t>GABRIEL GALLEGOS MORALES</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COORDINADOR DE AGRONOMIA</w:t>
      </w:r>
    </w:p>
    <w:p w14:paraId="392AC2D4" w14:textId="77777777" w:rsidR="00CF3FE9" w:rsidRDefault="00CF3FE9" w:rsidP="00CF3FE9">
      <w:pPr>
        <w:jc w:val="center"/>
        <w:rPr>
          <w:rFonts w:ascii="Arial" w:hAnsi="Arial" w:cs="Arial"/>
          <w:color w:val="000000"/>
          <w:shd w:val="clear" w:color="auto" w:fill="FFFFFF"/>
        </w:rPr>
      </w:pPr>
    </w:p>
    <w:p w14:paraId="62AFEBCB" w14:textId="5A017850" w:rsidR="00CF3FE9" w:rsidRPr="00051D58" w:rsidRDefault="00462D82" w:rsidP="00CF3FE9">
      <w:pPr>
        <w:jc w:val="center"/>
        <w:rPr>
          <w:rStyle w:val="estilo1"/>
          <w:rFonts w:ascii="Arial" w:eastAsia="SimSun" w:hAnsi="Arial" w:cs="Arial"/>
          <w:color w:val="000000"/>
          <w:shd w:val="clear" w:color="auto" w:fill="FFFFFF"/>
        </w:rPr>
      </w:pPr>
      <w:r>
        <w:rPr>
          <w:rFonts w:ascii="Arial" w:hAnsi="Arial" w:cs="Arial"/>
          <w:color w:val="000000"/>
          <w:shd w:val="clear" w:color="auto" w:fill="FFFFFF"/>
        </w:rPr>
        <w:t xml:space="preserve">DRA </w:t>
      </w:r>
      <w:r w:rsidR="00CF3FE9" w:rsidRPr="00051D58">
        <w:rPr>
          <w:rFonts w:ascii="Arial" w:hAnsi="Arial" w:cs="Arial"/>
          <w:color w:val="000000"/>
          <w:shd w:val="clear" w:color="auto" w:fill="FFFFFF"/>
        </w:rPr>
        <w:t>ROSA MARTHA ARREDONDO ESQUIVEL</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SUBDIRECTORA DE DESARROLLO EDUCATIVO</w:t>
      </w:r>
    </w:p>
    <w:p w14:paraId="388102E7" w14:textId="77777777" w:rsidR="00CF3FE9" w:rsidRDefault="00CF3FE9" w:rsidP="00CF3FE9">
      <w:pPr>
        <w:jc w:val="center"/>
        <w:rPr>
          <w:rFonts w:ascii="Arial" w:hAnsi="Arial" w:cs="Arial"/>
          <w:color w:val="000000"/>
          <w:shd w:val="clear" w:color="auto" w:fill="FFFFFF"/>
        </w:rPr>
      </w:pPr>
    </w:p>
    <w:p w14:paraId="11F5C329" w14:textId="7C8FA7C2" w:rsidR="00CF3FE9" w:rsidRPr="00051D58" w:rsidRDefault="00462D82" w:rsidP="00CF3FE9">
      <w:pPr>
        <w:jc w:val="center"/>
        <w:rPr>
          <w:rStyle w:val="estilo1"/>
          <w:rFonts w:ascii="Arial" w:eastAsia="SimSun" w:hAnsi="Arial" w:cs="Arial"/>
          <w:color w:val="000000"/>
          <w:shd w:val="clear" w:color="auto" w:fill="FFFFFF"/>
        </w:rPr>
      </w:pPr>
      <w:r>
        <w:rPr>
          <w:rFonts w:ascii="Arial" w:hAnsi="Arial" w:cs="Arial"/>
          <w:color w:val="000000"/>
        </w:rPr>
        <w:t>MC RAFAEL DE LA ROSA</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JEF</w:t>
      </w:r>
      <w:r>
        <w:rPr>
          <w:rStyle w:val="estilo1"/>
          <w:rFonts w:ascii="Arial" w:eastAsia="SimSun" w:hAnsi="Arial" w:cs="Arial"/>
          <w:color w:val="000000"/>
          <w:shd w:val="clear" w:color="auto" w:fill="FFFFFF"/>
        </w:rPr>
        <w:t>E</w:t>
      </w:r>
      <w:r w:rsidR="00CF3FE9" w:rsidRPr="00051D58">
        <w:rPr>
          <w:rStyle w:val="estilo1"/>
          <w:rFonts w:ascii="Arial" w:eastAsia="SimSun" w:hAnsi="Arial" w:cs="Arial"/>
          <w:color w:val="000000"/>
          <w:shd w:val="clear" w:color="auto" w:fill="FFFFFF"/>
        </w:rPr>
        <w:t xml:space="preserve"> DEL DEPARTAMENTO DE DESARROLLO CURRICULAR</w:t>
      </w:r>
    </w:p>
    <w:p w14:paraId="4859211F" w14:textId="77777777" w:rsidR="00CF3FE9" w:rsidRDefault="00CF3FE9" w:rsidP="00CF3FE9">
      <w:pPr>
        <w:jc w:val="center"/>
        <w:rPr>
          <w:rFonts w:ascii="Arial" w:hAnsi="Arial" w:cs="Arial"/>
          <w:color w:val="000000"/>
          <w:shd w:val="clear" w:color="auto" w:fill="FFFFFF"/>
        </w:rPr>
      </w:pPr>
    </w:p>
    <w:p w14:paraId="1C4CAB67" w14:textId="2E23BAFC" w:rsidR="00CF3FE9" w:rsidRPr="00051D58" w:rsidRDefault="00462D82" w:rsidP="00CF3FE9">
      <w:pPr>
        <w:jc w:val="center"/>
        <w:rPr>
          <w:rStyle w:val="estilo1"/>
          <w:rFonts w:ascii="Arial" w:eastAsia="SimSun" w:hAnsi="Arial" w:cs="Arial"/>
          <w:color w:val="000000"/>
          <w:shd w:val="clear" w:color="auto" w:fill="FFFFFF"/>
        </w:rPr>
      </w:pPr>
      <w:r>
        <w:rPr>
          <w:rFonts w:ascii="Arial" w:hAnsi="Arial" w:cs="Arial"/>
          <w:color w:val="000000"/>
          <w:shd w:val="clear" w:color="auto" w:fill="FFFFFF"/>
        </w:rPr>
        <w:t xml:space="preserve">DRA </w:t>
      </w:r>
      <w:r w:rsidR="00CF3FE9" w:rsidRPr="00051D58">
        <w:rPr>
          <w:rFonts w:ascii="Arial" w:hAnsi="Arial" w:cs="Arial"/>
          <w:color w:val="000000"/>
          <w:shd w:val="clear" w:color="auto" w:fill="FFFFFF"/>
        </w:rPr>
        <w:t>SILVIA YUDITH MARTINEZ AMADOR</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JEFA DEL DEPARTAMENTO DE BOTANICA</w:t>
      </w:r>
    </w:p>
    <w:p w14:paraId="1E588DDC" w14:textId="77777777" w:rsidR="00CF3FE9" w:rsidRDefault="00CF3FE9" w:rsidP="00CF3FE9">
      <w:pPr>
        <w:spacing w:after="0" w:line="240" w:lineRule="auto"/>
        <w:jc w:val="center"/>
        <w:rPr>
          <w:rFonts w:ascii="Arial" w:hAnsi="Arial" w:cs="Arial"/>
          <w:color w:val="000000"/>
          <w:shd w:val="clear" w:color="auto" w:fill="FFFFFF"/>
        </w:rPr>
      </w:pPr>
    </w:p>
    <w:p w14:paraId="4458480A" w14:textId="77777777" w:rsidR="00CF3FE9" w:rsidRPr="00051D58" w:rsidRDefault="00CF3FE9" w:rsidP="00CF3FE9">
      <w:pPr>
        <w:spacing w:after="0" w:line="240" w:lineRule="auto"/>
        <w:jc w:val="center"/>
        <w:rPr>
          <w:rFonts w:ascii="Arial" w:hAnsi="Arial" w:cs="Arial"/>
          <w:color w:val="000000"/>
          <w:shd w:val="clear" w:color="auto" w:fill="FFFFFF"/>
        </w:rPr>
      </w:pPr>
      <w:r w:rsidRPr="00051D58">
        <w:rPr>
          <w:rFonts w:ascii="Arial" w:hAnsi="Arial" w:cs="Arial"/>
          <w:color w:val="000000"/>
          <w:shd w:val="clear" w:color="auto" w:fill="FFFFFF"/>
        </w:rPr>
        <w:t>M.C. SOFÍA COMPARÁN SÁNCHEZ</w:t>
      </w:r>
    </w:p>
    <w:p w14:paraId="09D07543" w14:textId="77777777" w:rsidR="00CF3FE9" w:rsidRPr="00051D58" w:rsidRDefault="00CF3FE9" w:rsidP="00CF3FE9">
      <w:pPr>
        <w:spacing w:after="0" w:line="240" w:lineRule="auto"/>
        <w:jc w:val="center"/>
        <w:rPr>
          <w:rFonts w:ascii="Arial" w:hAnsi="Arial" w:cs="Arial"/>
          <w:color w:val="000000"/>
          <w:shd w:val="clear" w:color="auto" w:fill="FFFFFF"/>
        </w:rPr>
      </w:pPr>
      <w:r w:rsidRPr="00051D58">
        <w:rPr>
          <w:rFonts w:ascii="Arial" w:hAnsi="Arial" w:cs="Arial"/>
          <w:color w:val="000000"/>
          <w:shd w:val="clear" w:color="auto" w:fill="FFFFFF"/>
        </w:rPr>
        <w:t>JEFA DEL PROG. DOCENTE - INGENIERO EN AGROBIOLOGIA</w:t>
      </w:r>
    </w:p>
    <w:p w14:paraId="1D2F45B6" w14:textId="77777777" w:rsidR="00CF3FE9" w:rsidRPr="00051D58" w:rsidRDefault="00CF3FE9" w:rsidP="00CF3FE9">
      <w:pPr>
        <w:spacing w:after="0" w:line="240" w:lineRule="auto"/>
        <w:jc w:val="center"/>
        <w:rPr>
          <w:rFonts w:ascii="Arial" w:hAnsi="Arial" w:cs="Arial"/>
          <w:color w:val="000000"/>
          <w:shd w:val="clear" w:color="auto" w:fill="FFFFFF"/>
        </w:rPr>
      </w:pPr>
    </w:p>
    <w:p w14:paraId="39921DB3" w14:textId="77777777" w:rsidR="00CF3FE9" w:rsidRDefault="00CF3FE9" w:rsidP="00CF3FE9">
      <w:pPr>
        <w:spacing w:after="0" w:line="240" w:lineRule="auto"/>
        <w:jc w:val="center"/>
        <w:rPr>
          <w:rFonts w:ascii="Arial" w:hAnsi="Arial" w:cs="Arial"/>
          <w:color w:val="000000"/>
          <w:shd w:val="clear" w:color="auto" w:fill="FFFFFF"/>
        </w:rPr>
      </w:pPr>
    </w:p>
    <w:p w14:paraId="358A39EA" w14:textId="77777777" w:rsidR="00CF3FE9" w:rsidRPr="00051D58" w:rsidRDefault="00CF3FE9" w:rsidP="00CF3FE9">
      <w:pPr>
        <w:spacing w:after="0" w:line="240" w:lineRule="auto"/>
        <w:jc w:val="center"/>
        <w:rPr>
          <w:rFonts w:ascii="Arial" w:hAnsi="Arial" w:cs="Arial"/>
          <w:color w:val="000000"/>
          <w:shd w:val="clear" w:color="auto" w:fill="FFFFFF"/>
        </w:rPr>
      </w:pPr>
    </w:p>
    <w:p w14:paraId="12DC9057" w14:textId="77777777" w:rsidR="00CF3FE9" w:rsidRPr="00CF3FE9" w:rsidRDefault="00CF3FE9" w:rsidP="00CF3FE9">
      <w:pPr>
        <w:spacing w:after="0" w:line="240" w:lineRule="auto"/>
        <w:jc w:val="center"/>
        <w:rPr>
          <w:rFonts w:ascii="Arial" w:hAnsi="Arial" w:cs="Arial"/>
          <w:color w:val="000000"/>
          <w:sz w:val="22"/>
          <w:shd w:val="clear" w:color="auto" w:fill="FFFFFF"/>
        </w:rPr>
      </w:pPr>
      <w:r w:rsidRPr="00CF3FE9">
        <w:rPr>
          <w:rFonts w:ascii="Arial" w:hAnsi="Arial" w:cs="Arial"/>
          <w:color w:val="000000"/>
          <w:sz w:val="22"/>
          <w:shd w:val="clear" w:color="auto" w:fill="FFFFFF"/>
        </w:rPr>
        <w:t>COMITÉ DE CALIDAD</w:t>
      </w:r>
    </w:p>
    <w:p w14:paraId="329A1447" w14:textId="77777777" w:rsidR="00CF3FE9" w:rsidRPr="00051D58" w:rsidRDefault="00CF3FE9" w:rsidP="00CF3FE9">
      <w:pPr>
        <w:spacing w:after="0" w:line="240" w:lineRule="auto"/>
        <w:jc w:val="center"/>
        <w:rPr>
          <w:rFonts w:ascii="Arial" w:hAnsi="Arial" w:cs="Arial"/>
          <w:color w:val="000000"/>
          <w:shd w:val="clear" w:color="auto" w:fill="FFFFFF"/>
        </w:rPr>
      </w:pPr>
    </w:p>
    <w:p w14:paraId="5C08A3E2" w14:textId="77777777" w:rsidR="00CF3FE9" w:rsidRPr="00051D58" w:rsidRDefault="00CF3FE9" w:rsidP="00CF3FE9">
      <w:pPr>
        <w:jc w:val="center"/>
        <w:rPr>
          <w:rFonts w:ascii="Arial" w:hAnsi="Arial" w:cs="Arial"/>
          <w:bCs/>
        </w:rPr>
      </w:pPr>
      <w:r w:rsidRPr="00051D58">
        <w:rPr>
          <w:rFonts w:ascii="Arial" w:hAnsi="Arial" w:cs="Arial"/>
          <w:bCs/>
        </w:rPr>
        <w:t>Biol. Sergio Antonio Pérez Mata</w:t>
      </w:r>
    </w:p>
    <w:p w14:paraId="528408DD" w14:textId="77777777" w:rsidR="00CF3FE9" w:rsidRPr="00051D58" w:rsidRDefault="00CF3FE9" w:rsidP="00CF3FE9">
      <w:pPr>
        <w:jc w:val="center"/>
        <w:rPr>
          <w:rFonts w:ascii="Arial" w:hAnsi="Arial" w:cs="Arial"/>
          <w:bCs/>
        </w:rPr>
      </w:pPr>
      <w:r w:rsidRPr="00051D58">
        <w:rPr>
          <w:rFonts w:ascii="Arial" w:hAnsi="Arial" w:cs="Arial"/>
          <w:bCs/>
        </w:rPr>
        <w:t>M.C. Martha Vázquez Rodríguez</w:t>
      </w:r>
    </w:p>
    <w:p w14:paraId="2E54F87A" w14:textId="77777777" w:rsidR="00CF3FE9" w:rsidRPr="00051D58" w:rsidRDefault="00CF3FE9" w:rsidP="00CF3FE9">
      <w:pPr>
        <w:jc w:val="center"/>
        <w:rPr>
          <w:rFonts w:ascii="Arial" w:hAnsi="Arial" w:cs="Arial"/>
          <w:bCs/>
        </w:rPr>
      </w:pPr>
      <w:r w:rsidRPr="00051D58">
        <w:rPr>
          <w:rFonts w:ascii="Arial" w:hAnsi="Arial" w:cs="Arial"/>
          <w:bCs/>
        </w:rPr>
        <w:t>Biol. Miguel Agustín Carranza Pérez</w:t>
      </w:r>
    </w:p>
    <w:p w14:paraId="0CCD3345" w14:textId="77777777" w:rsidR="00CF3FE9" w:rsidRPr="00051D58" w:rsidRDefault="00CF3FE9" w:rsidP="00CF3FE9">
      <w:pPr>
        <w:jc w:val="center"/>
        <w:rPr>
          <w:rFonts w:ascii="Arial" w:hAnsi="Arial" w:cs="Arial"/>
          <w:bCs/>
        </w:rPr>
      </w:pPr>
      <w:r w:rsidRPr="00051D58">
        <w:rPr>
          <w:rFonts w:ascii="Arial" w:hAnsi="Arial" w:cs="Arial"/>
          <w:bCs/>
        </w:rPr>
        <w:t>M.C. Gustavo Villarreal Maury</w:t>
      </w:r>
    </w:p>
    <w:p w14:paraId="37349477" w14:textId="77777777" w:rsidR="00CF3FE9" w:rsidRDefault="00CF3FE9" w:rsidP="00CF3FE9">
      <w:pPr>
        <w:jc w:val="center"/>
        <w:rPr>
          <w:rFonts w:ascii="Arial" w:hAnsi="Arial" w:cs="Arial"/>
          <w:bCs/>
        </w:rPr>
      </w:pPr>
      <w:r w:rsidRPr="00051D58">
        <w:rPr>
          <w:rFonts w:ascii="Arial" w:hAnsi="Arial" w:cs="Arial"/>
          <w:bCs/>
        </w:rPr>
        <w:t>M.C. Laura María González Méndez</w:t>
      </w:r>
    </w:p>
    <w:p w14:paraId="77306E1F" w14:textId="77777777" w:rsidR="00CF3FE9" w:rsidRDefault="00CF3FE9" w:rsidP="00CF3FE9">
      <w:pPr>
        <w:jc w:val="center"/>
        <w:rPr>
          <w:rFonts w:ascii="Arial" w:hAnsi="Arial" w:cs="Arial"/>
          <w:bCs/>
        </w:rPr>
      </w:pPr>
    </w:p>
    <w:p w14:paraId="17FD93C0" w14:textId="77777777" w:rsidR="00CF3FE9" w:rsidRDefault="00CF3FE9" w:rsidP="00CF3FE9">
      <w:pPr>
        <w:jc w:val="center"/>
        <w:rPr>
          <w:rFonts w:ascii="Arial" w:hAnsi="Arial" w:cs="Arial"/>
          <w:bCs/>
        </w:rPr>
      </w:pPr>
    </w:p>
    <w:p w14:paraId="7619E338" w14:textId="2BC9129D" w:rsidR="00CF3FE9" w:rsidRPr="00462D82" w:rsidRDefault="00462D82" w:rsidP="00CF3FE9">
      <w:pPr>
        <w:jc w:val="center"/>
        <w:rPr>
          <w:rFonts w:ascii="Arial" w:hAnsi="Arial" w:cs="Arial"/>
          <w:b/>
          <w:bCs/>
          <w:sz w:val="28"/>
        </w:rPr>
      </w:pPr>
      <w:r w:rsidRPr="00462D82">
        <w:rPr>
          <w:rFonts w:ascii="Arial" w:hAnsi="Arial" w:cs="Arial"/>
          <w:b/>
          <w:bCs/>
          <w:sz w:val="28"/>
        </w:rPr>
        <w:lastRenderedPageBreak/>
        <w:t>INDICE</w:t>
      </w:r>
    </w:p>
    <w:p w14:paraId="3A31DA4C" w14:textId="6CDA9AAB" w:rsidR="007C5232" w:rsidRDefault="007C5232" w:rsidP="007C5232">
      <w:pPr>
        <w:pStyle w:val="Prrafodelista"/>
        <w:numPr>
          <w:ilvl w:val="0"/>
          <w:numId w:val="222"/>
        </w:numPr>
        <w:spacing w:after="200"/>
        <w:contextualSpacing/>
        <w:jc w:val="both"/>
        <w:rPr>
          <w:rFonts w:ascii="Arial" w:hAnsi="Arial" w:cs="Arial"/>
          <w:bCs/>
        </w:rPr>
      </w:pPr>
      <w:r>
        <w:rPr>
          <w:rFonts w:ascii="Arial" w:hAnsi="Arial" w:cs="Arial"/>
          <w:bCs/>
        </w:rPr>
        <w:t xml:space="preserve">Presentación </w:t>
      </w:r>
    </w:p>
    <w:p w14:paraId="25906EED" w14:textId="77777777" w:rsidR="007C5232" w:rsidRDefault="007C5232" w:rsidP="007C5232">
      <w:pPr>
        <w:pStyle w:val="Prrafodelista"/>
        <w:numPr>
          <w:ilvl w:val="0"/>
          <w:numId w:val="222"/>
        </w:numPr>
        <w:spacing w:after="200"/>
        <w:contextualSpacing/>
        <w:jc w:val="both"/>
        <w:rPr>
          <w:rFonts w:ascii="Arial" w:hAnsi="Arial" w:cs="Arial"/>
          <w:bCs/>
        </w:rPr>
      </w:pPr>
      <w:r>
        <w:rPr>
          <w:rFonts w:ascii="Arial" w:hAnsi="Arial" w:cs="Arial"/>
          <w:bCs/>
        </w:rPr>
        <w:t>Definición operativa</w:t>
      </w:r>
    </w:p>
    <w:p w14:paraId="30FC415B" w14:textId="77777777" w:rsidR="007C5232" w:rsidRDefault="007C5232" w:rsidP="007C5232">
      <w:pPr>
        <w:pStyle w:val="Prrafodelista"/>
        <w:numPr>
          <w:ilvl w:val="0"/>
          <w:numId w:val="222"/>
        </w:numPr>
        <w:spacing w:after="200"/>
        <w:contextualSpacing/>
        <w:jc w:val="both"/>
        <w:rPr>
          <w:rFonts w:ascii="Arial" w:hAnsi="Arial" w:cs="Arial"/>
          <w:bCs/>
        </w:rPr>
      </w:pPr>
      <w:r>
        <w:rPr>
          <w:rFonts w:ascii="Arial" w:hAnsi="Arial" w:cs="Arial"/>
          <w:bCs/>
        </w:rPr>
        <w:t>Antecedentes y Justificación</w:t>
      </w:r>
    </w:p>
    <w:p w14:paraId="58640FEE" w14:textId="77777777" w:rsidR="007C5232" w:rsidRDefault="007C5232" w:rsidP="007C5232">
      <w:pPr>
        <w:pStyle w:val="Prrafodelista"/>
        <w:numPr>
          <w:ilvl w:val="0"/>
          <w:numId w:val="222"/>
        </w:numPr>
        <w:spacing w:after="200"/>
        <w:contextualSpacing/>
        <w:jc w:val="both"/>
        <w:rPr>
          <w:rFonts w:ascii="Arial" w:hAnsi="Arial" w:cs="Arial"/>
          <w:bCs/>
        </w:rPr>
      </w:pPr>
      <w:r>
        <w:rPr>
          <w:rFonts w:ascii="Arial" w:hAnsi="Arial" w:cs="Arial"/>
          <w:bCs/>
        </w:rPr>
        <w:t>Fase de Formulación</w:t>
      </w:r>
    </w:p>
    <w:p w14:paraId="11C40F6E" w14:textId="77777777" w:rsidR="007C5232" w:rsidRDefault="007C5232" w:rsidP="007C5232">
      <w:pPr>
        <w:pStyle w:val="Prrafodelista"/>
        <w:numPr>
          <w:ilvl w:val="1"/>
          <w:numId w:val="222"/>
        </w:numPr>
        <w:spacing w:after="200"/>
        <w:contextualSpacing/>
        <w:jc w:val="both"/>
        <w:rPr>
          <w:rFonts w:ascii="Arial" w:hAnsi="Arial" w:cs="Arial"/>
          <w:bCs/>
        </w:rPr>
      </w:pPr>
      <w:r w:rsidRPr="00B01DDB">
        <w:rPr>
          <w:rFonts w:ascii="Arial" w:hAnsi="Arial" w:cs="Arial"/>
          <w:bCs/>
        </w:rPr>
        <w:t>Administración Estratégica (Misión,</w:t>
      </w:r>
      <w:r>
        <w:rPr>
          <w:rFonts w:ascii="Arial" w:hAnsi="Arial" w:cs="Arial"/>
          <w:bCs/>
        </w:rPr>
        <w:t xml:space="preserve"> </w:t>
      </w:r>
      <w:r w:rsidRPr="00B01DDB">
        <w:rPr>
          <w:rFonts w:ascii="Arial" w:hAnsi="Arial" w:cs="Arial"/>
          <w:bCs/>
        </w:rPr>
        <w:t>Visión</w:t>
      </w:r>
      <w:r>
        <w:rPr>
          <w:rFonts w:ascii="Arial" w:hAnsi="Arial" w:cs="Arial"/>
          <w:bCs/>
        </w:rPr>
        <w:t>)</w:t>
      </w:r>
    </w:p>
    <w:p w14:paraId="2990AD01"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Evaluación Económica</w:t>
      </w:r>
    </w:p>
    <w:p w14:paraId="2E49C220"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Variables económicas</w:t>
      </w:r>
    </w:p>
    <w:p w14:paraId="5EA91965" w14:textId="77777777" w:rsidR="007C5232" w:rsidRPr="00E83414" w:rsidRDefault="007C5232" w:rsidP="007C5232">
      <w:pPr>
        <w:pStyle w:val="Prrafodelista"/>
        <w:numPr>
          <w:ilvl w:val="3"/>
          <w:numId w:val="222"/>
        </w:numPr>
        <w:spacing w:after="200"/>
        <w:contextualSpacing/>
        <w:jc w:val="both"/>
        <w:rPr>
          <w:rFonts w:ascii="Arial" w:hAnsi="Arial" w:cs="Arial"/>
          <w:bCs/>
        </w:rPr>
      </w:pPr>
      <w:r w:rsidRPr="00E83414">
        <w:rPr>
          <w:rFonts w:ascii="Arial" w:hAnsi="Arial" w:cs="Arial"/>
          <w:bCs/>
        </w:rPr>
        <w:t>Cambio de una economía de productores a una de servicios</w:t>
      </w:r>
    </w:p>
    <w:p w14:paraId="18401461"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Tendencias del PIB Agropecuario</w:t>
      </w:r>
    </w:p>
    <w:p w14:paraId="6D5A9B29"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Patrones de consumo</w:t>
      </w:r>
    </w:p>
    <w:p w14:paraId="47FF7080"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Importaciones y Exportaciones no petroleras</w:t>
      </w:r>
    </w:p>
    <w:p w14:paraId="2D8BBB0A"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Tendencias del Empleo</w:t>
      </w:r>
    </w:p>
    <w:p w14:paraId="64932E9F"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Fluctuaciones de precios</w:t>
      </w:r>
    </w:p>
    <w:p w14:paraId="7D70683E"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Ingresos por grupos de consumidores</w:t>
      </w:r>
    </w:p>
    <w:p w14:paraId="5C5C1499"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Acuerdos de tratado de libre comercio</w:t>
      </w:r>
    </w:p>
    <w:p w14:paraId="538F1802"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Variables Sociales, culturales, demográficas y ambientales</w:t>
      </w:r>
    </w:p>
    <w:p w14:paraId="3398EA2E" w14:textId="77777777" w:rsidR="007C5232" w:rsidRPr="00016EDF" w:rsidRDefault="007C5232" w:rsidP="007C5232">
      <w:pPr>
        <w:pStyle w:val="Prrafodelista"/>
        <w:numPr>
          <w:ilvl w:val="3"/>
          <w:numId w:val="222"/>
        </w:numPr>
        <w:spacing w:after="200"/>
        <w:contextualSpacing/>
        <w:jc w:val="both"/>
        <w:rPr>
          <w:rFonts w:ascii="Arial" w:hAnsi="Arial" w:cs="Arial"/>
          <w:bCs/>
        </w:rPr>
      </w:pPr>
      <w:r w:rsidRPr="00016EDF">
        <w:rPr>
          <w:rFonts w:ascii="Arial" w:hAnsi="Arial" w:cs="Arial"/>
          <w:bCs/>
        </w:rPr>
        <w:t>Condiciones sociodemográficas en México.</w:t>
      </w:r>
    </w:p>
    <w:p w14:paraId="0C5CBE4E"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Egresados de educación media.</w:t>
      </w:r>
    </w:p>
    <w:p w14:paraId="5CFD76C6"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Demanda de la carrera índice de saturación de carreras.</w:t>
      </w:r>
    </w:p>
    <w:p w14:paraId="02C26BDD"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Programas sociales</w:t>
      </w:r>
    </w:p>
    <w:p w14:paraId="77B0C045"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Organizaciones de productores</w:t>
      </w:r>
    </w:p>
    <w:p w14:paraId="52CCFFBE"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Contaminación de agua, suelo y aire</w:t>
      </w:r>
    </w:p>
    <w:p w14:paraId="1D7C035A"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Variables políticas, gubernamentales y legales</w:t>
      </w:r>
    </w:p>
    <w:p w14:paraId="399959AE"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Regulaciones y desregulaciones gubernamentales (sector agropecuario)</w:t>
      </w:r>
    </w:p>
    <w:p w14:paraId="4B1234B6"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Política de comercio exterior.</w:t>
      </w:r>
    </w:p>
    <w:p w14:paraId="147D156B"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Reglamentación para importaciones y exportaciones</w:t>
      </w:r>
    </w:p>
    <w:p w14:paraId="1DAB618C"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Disposiciones de la SEP, CIEES, ANUIES.</w:t>
      </w:r>
    </w:p>
    <w:p w14:paraId="52C9E9C3"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Ley agraria, Uso de aguas nacionales, Ley forestal, legislación fitosanitaria.</w:t>
      </w:r>
    </w:p>
    <w:p w14:paraId="2719B6A2" w14:textId="77777777" w:rsidR="007C5232" w:rsidRDefault="007C5232" w:rsidP="007C5232">
      <w:pPr>
        <w:pStyle w:val="Prrafodelista"/>
        <w:numPr>
          <w:ilvl w:val="4"/>
          <w:numId w:val="222"/>
        </w:numPr>
        <w:spacing w:after="200"/>
        <w:contextualSpacing/>
        <w:jc w:val="both"/>
        <w:rPr>
          <w:rFonts w:ascii="Arial" w:hAnsi="Arial" w:cs="Arial"/>
          <w:bCs/>
        </w:rPr>
      </w:pPr>
      <w:r>
        <w:rPr>
          <w:rFonts w:ascii="Arial" w:hAnsi="Arial" w:cs="Arial"/>
          <w:bCs/>
        </w:rPr>
        <w:t>Ley Agraria</w:t>
      </w:r>
    </w:p>
    <w:p w14:paraId="208021B2" w14:textId="77777777" w:rsidR="007C5232" w:rsidRDefault="007C5232" w:rsidP="007C5232">
      <w:pPr>
        <w:pStyle w:val="Prrafodelista"/>
        <w:numPr>
          <w:ilvl w:val="4"/>
          <w:numId w:val="222"/>
        </w:numPr>
        <w:spacing w:after="200"/>
        <w:contextualSpacing/>
        <w:jc w:val="both"/>
        <w:rPr>
          <w:rFonts w:ascii="Arial" w:hAnsi="Arial" w:cs="Arial"/>
          <w:bCs/>
        </w:rPr>
      </w:pPr>
      <w:r>
        <w:rPr>
          <w:rFonts w:ascii="Arial" w:hAnsi="Arial" w:cs="Arial"/>
          <w:bCs/>
        </w:rPr>
        <w:t>Uso de Aguas Nacionales</w:t>
      </w:r>
    </w:p>
    <w:p w14:paraId="6E997005" w14:textId="77777777" w:rsidR="007C5232" w:rsidRDefault="007C5232" w:rsidP="007C5232">
      <w:pPr>
        <w:pStyle w:val="Prrafodelista"/>
        <w:numPr>
          <w:ilvl w:val="4"/>
          <w:numId w:val="222"/>
        </w:numPr>
        <w:spacing w:after="200"/>
        <w:contextualSpacing/>
        <w:jc w:val="both"/>
        <w:rPr>
          <w:rFonts w:ascii="Arial" w:hAnsi="Arial" w:cs="Arial"/>
          <w:bCs/>
        </w:rPr>
      </w:pPr>
      <w:r>
        <w:rPr>
          <w:rFonts w:ascii="Arial" w:hAnsi="Arial" w:cs="Arial"/>
          <w:bCs/>
        </w:rPr>
        <w:t>Ley Forestal</w:t>
      </w:r>
    </w:p>
    <w:p w14:paraId="0F6B5F2A" w14:textId="77777777" w:rsidR="007C5232" w:rsidRDefault="007C5232" w:rsidP="007C5232">
      <w:pPr>
        <w:pStyle w:val="Prrafodelista"/>
        <w:numPr>
          <w:ilvl w:val="4"/>
          <w:numId w:val="222"/>
        </w:numPr>
        <w:spacing w:after="200"/>
        <w:contextualSpacing/>
        <w:jc w:val="both"/>
        <w:rPr>
          <w:rFonts w:ascii="Arial" w:hAnsi="Arial" w:cs="Arial"/>
          <w:bCs/>
        </w:rPr>
      </w:pPr>
      <w:r>
        <w:rPr>
          <w:rFonts w:ascii="Arial" w:hAnsi="Arial" w:cs="Arial"/>
          <w:bCs/>
        </w:rPr>
        <w:t>Legislación Fitosanitaria</w:t>
      </w:r>
    </w:p>
    <w:p w14:paraId="252E7EBD"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Variables Tecnológicas</w:t>
      </w:r>
    </w:p>
    <w:p w14:paraId="03C0E025"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Sistemas de Producción (intensiva-extensiva)</w:t>
      </w:r>
    </w:p>
    <w:p w14:paraId="1963A9DC"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Grado de mecanización del campo</w:t>
      </w:r>
    </w:p>
    <w:p w14:paraId="1F781C2A"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Ingeniería genética</w:t>
      </w:r>
    </w:p>
    <w:p w14:paraId="5DDD366C"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Biotecnología</w:t>
      </w:r>
    </w:p>
    <w:p w14:paraId="0A7DABCC"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Software especializado</w:t>
      </w:r>
    </w:p>
    <w:p w14:paraId="12346D6E"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Variables de competencia</w:t>
      </w:r>
    </w:p>
    <w:p w14:paraId="0056D0E8"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Capacidad de responder al cambio</w:t>
      </w:r>
    </w:p>
    <w:p w14:paraId="1D9913BF"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Participación en el mercado (estudio de pertinencia con egresados y empleadores).</w:t>
      </w:r>
    </w:p>
    <w:p w14:paraId="14975A76"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Evaluación de factores externos</w:t>
      </w:r>
    </w:p>
    <w:p w14:paraId="0D761B17"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Evaluación interna</w:t>
      </w:r>
    </w:p>
    <w:p w14:paraId="06F9FA01"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Docencia</w:t>
      </w:r>
    </w:p>
    <w:p w14:paraId="3EF8B821"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lastRenderedPageBreak/>
        <w:t>Cantidad y calidad de la planta docente</w:t>
      </w:r>
    </w:p>
    <w:p w14:paraId="66BC9391"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Estructura contenido y flexibilidad del Plan de Estudios 2016</w:t>
      </w:r>
    </w:p>
    <w:p w14:paraId="6B7609C0"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Matrícula</w:t>
      </w:r>
    </w:p>
    <w:p w14:paraId="2A60F00E"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Investigación</w:t>
      </w:r>
    </w:p>
    <w:p w14:paraId="63E612BD"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w:t>
      </w:r>
    </w:p>
    <w:p w14:paraId="0C69CBB5"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Cantidad y calidad de proyectos de investigación</w:t>
      </w:r>
    </w:p>
    <w:p w14:paraId="51B89992"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Publicaciones, tesis, monografías</w:t>
      </w:r>
    </w:p>
    <w:p w14:paraId="31E8666F"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Infraestructura y equipo</w:t>
      </w:r>
    </w:p>
    <w:p w14:paraId="3BAE757C"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Desarrollo/Vinculación</w:t>
      </w:r>
    </w:p>
    <w:p w14:paraId="2EDDE2A0"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Programas de Educación Continua (servicios a la comunidad)</w:t>
      </w:r>
    </w:p>
    <w:p w14:paraId="114BE008"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Servicio a la comunidad</w:t>
      </w:r>
    </w:p>
    <w:p w14:paraId="26DE4675"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Identificar las fortalezas y debilidades que afectan al Plan de Estudios.</w:t>
      </w:r>
    </w:p>
    <w:p w14:paraId="3841CF25"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Matriz de los factores Internos (EFI)</w:t>
      </w:r>
    </w:p>
    <w:p w14:paraId="4FB493B6"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Matriz del perfil interno y externo (DOFA)</w:t>
      </w:r>
    </w:p>
    <w:p w14:paraId="5D937BB7"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Matriz del perfil competitivo.</w:t>
      </w:r>
    </w:p>
    <w:p w14:paraId="7DFE0A12"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Fase de ejecución, evaluación y control.</w:t>
      </w:r>
    </w:p>
    <w:p w14:paraId="15D558A4"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Fase de retroalimentación (mejora continua).</w:t>
      </w:r>
    </w:p>
    <w:p w14:paraId="34B6480C" w14:textId="77777777" w:rsidR="007C5232" w:rsidRDefault="007C5232" w:rsidP="007C5232">
      <w:pPr>
        <w:pStyle w:val="Prrafodelista"/>
        <w:numPr>
          <w:ilvl w:val="0"/>
          <w:numId w:val="222"/>
        </w:numPr>
        <w:spacing w:after="200"/>
        <w:contextualSpacing/>
        <w:jc w:val="both"/>
        <w:rPr>
          <w:rFonts w:ascii="Arial" w:hAnsi="Arial" w:cs="Arial"/>
          <w:bCs/>
        </w:rPr>
      </w:pPr>
      <w:r>
        <w:rPr>
          <w:rFonts w:ascii="Arial" w:hAnsi="Arial" w:cs="Arial"/>
          <w:bCs/>
        </w:rPr>
        <w:t>Procedimiento para el diseño del currículum</w:t>
      </w:r>
    </w:p>
    <w:p w14:paraId="4FF6BE3D"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Fundamentación del Plan de Estudios</w:t>
      </w:r>
    </w:p>
    <w:p w14:paraId="47ED07BF"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Perfil del egresado</w:t>
      </w:r>
    </w:p>
    <w:p w14:paraId="6B4EFF34"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Perfil del aspirante</w:t>
      </w:r>
    </w:p>
    <w:p w14:paraId="50A15F68"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Espacio profesional</w:t>
      </w:r>
    </w:p>
    <w:p w14:paraId="59D5F9D0"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Objetivo general de la carrera</w:t>
      </w:r>
    </w:p>
    <w:p w14:paraId="00DD8306"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Justificación de la carrera</w:t>
      </w:r>
    </w:p>
    <w:p w14:paraId="4CF82438"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Organización de Procesos y Contenidos</w:t>
      </w:r>
    </w:p>
    <w:p w14:paraId="6692442C"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Plan de estudios</w:t>
      </w:r>
    </w:p>
    <w:p w14:paraId="144E2A66"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Congruencia interna</w:t>
      </w:r>
    </w:p>
    <w:p w14:paraId="15BD3970"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Integración y C</w:t>
      </w:r>
      <w:r w:rsidRPr="007142E9">
        <w:rPr>
          <w:rFonts w:ascii="Arial" w:hAnsi="Arial" w:cs="Arial"/>
          <w:bCs/>
        </w:rPr>
        <w:t>ontinuidad</w:t>
      </w:r>
    </w:p>
    <w:p w14:paraId="175141E0" w14:textId="77777777" w:rsidR="007C5232" w:rsidRDefault="007C5232" w:rsidP="007C5232">
      <w:pPr>
        <w:pStyle w:val="Prrafodelista"/>
        <w:numPr>
          <w:ilvl w:val="2"/>
          <w:numId w:val="222"/>
        </w:numPr>
        <w:spacing w:after="200"/>
        <w:contextualSpacing/>
        <w:jc w:val="both"/>
        <w:rPr>
          <w:rFonts w:ascii="Arial" w:hAnsi="Arial" w:cs="Arial"/>
          <w:bCs/>
        </w:rPr>
      </w:pPr>
      <w:r w:rsidRPr="007142E9">
        <w:rPr>
          <w:rFonts w:ascii="Arial" w:hAnsi="Arial" w:cs="Arial"/>
          <w:bCs/>
        </w:rPr>
        <w:t>Coherencia externa</w:t>
      </w:r>
    </w:p>
    <w:p w14:paraId="2358ED18"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Relación entre el Modelo Educativo de la UAAAN y la propuesta curricular</w:t>
      </w:r>
    </w:p>
    <w:p w14:paraId="258C6678" w14:textId="77777777"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Relación con el modelo educativo</w:t>
      </w:r>
    </w:p>
    <w:p w14:paraId="1643DEA4"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Congruencia entre el perfil profesional, objetivo general de la carrera y asignaturas del Plan de Estudios.</w:t>
      </w:r>
    </w:p>
    <w:p w14:paraId="44C0F346"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Tipología de actividades curriculares.</w:t>
      </w:r>
    </w:p>
    <w:p w14:paraId="39419906"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Ejes de desarrollo transversal en los planes de estudio.</w:t>
      </w:r>
    </w:p>
    <w:p w14:paraId="249857CB" w14:textId="77777777"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Mapa curricular</w:t>
      </w:r>
    </w:p>
    <w:p w14:paraId="036CCDB5" w14:textId="77777777"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Balance de ciencias del Plan de Estudios actualizado para el 2016</w:t>
      </w:r>
    </w:p>
    <w:p w14:paraId="001C4CC2" w14:textId="77777777" w:rsidR="007C5232" w:rsidRPr="0094133C"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Vigencia</w:t>
      </w:r>
    </w:p>
    <w:p w14:paraId="4AA8608C" w14:textId="77777777" w:rsidR="00CF3FE9" w:rsidRPr="00CF3FE9" w:rsidRDefault="00CF3FE9" w:rsidP="006F5829">
      <w:pPr>
        <w:jc w:val="both"/>
        <w:rPr>
          <w:rFonts w:ascii="Arial" w:hAnsi="Arial" w:cs="Arial"/>
          <w:b/>
          <w:sz w:val="28"/>
          <w:szCs w:val="22"/>
        </w:rPr>
      </w:pPr>
    </w:p>
    <w:p w14:paraId="063342B7" w14:textId="77777777" w:rsidR="00285781" w:rsidRDefault="00285781" w:rsidP="006F5829">
      <w:pPr>
        <w:jc w:val="both"/>
        <w:rPr>
          <w:rFonts w:ascii="Arial" w:hAnsi="Arial" w:cs="Arial"/>
          <w:b/>
          <w:sz w:val="22"/>
          <w:szCs w:val="22"/>
        </w:rPr>
      </w:pPr>
    </w:p>
    <w:p w14:paraId="7793178E" w14:textId="77777777" w:rsidR="00285781" w:rsidRDefault="00285781" w:rsidP="006F5829">
      <w:pPr>
        <w:jc w:val="both"/>
        <w:rPr>
          <w:rFonts w:ascii="Arial" w:hAnsi="Arial" w:cs="Arial"/>
          <w:b/>
          <w:sz w:val="22"/>
          <w:szCs w:val="22"/>
        </w:rPr>
      </w:pPr>
    </w:p>
    <w:p w14:paraId="60FBA1D0" w14:textId="77777777" w:rsidR="00285781" w:rsidRDefault="00285781" w:rsidP="006F5829">
      <w:pPr>
        <w:jc w:val="both"/>
        <w:rPr>
          <w:rFonts w:ascii="Arial" w:hAnsi="Arial" w:cs="Arial"/>
          <w:b/>
          <w:sz w:val="22"/>
          <w:szCs w:val="22"/>
        </w:rPr>
      </w:pPr>
    </w:p>
    <w:p w14:paraId="307B92E3" w14:textId="77777777" w:rsidR="00285781" w:rsidRDefault="00285781" w:rsidP="006F5829">
      <w:pPr>
        <w:jc w:val="both"/>
        <w:rPr>
          <w:rFonts w:ascii="Arial" w:hAnsi="Arial" w:cs="Arial"/>
          <w:b/>
          <w:sz w:val="22"/>
          <w:szCs w:val="22"/>
        </w:rPr>
      </w:pPr>
    </w:p>
    <w:p w14:paraId="32775332" w14:textId="77777777" w:rsidR="00991E04" w:rsidRPr="007923C2" w:rsidRDefault="00991E04" w:rsidP="006F5829">
      <w:pPr>
        <w:jc w:val="both"/>
        <w:rPr>
          <w:rFonts w:ascii="Arial" w:hAnsi="Arial" w:cs="Arial"/>
          <w:b/>
          <w:sz w:val="22"/>
          <w:szCs w:val="22"/>
        </w:rPr>
      </w:pPr>
      <w:r w:rsidRPr="007923C2">
        <w:rPr>
          <w:rFonts w:ascii="Arial" w:hAnsi="Arial" w:cs="Arial"/>
          <w:b/>
          <w:sz w:val="22"/>
          <w:szCs w:val="22"/>
        </w:rPr>
        <w:lastRenderedPageBreak/>
        <w:t>PLAN DE DESARROLLO DEL PROGRAMA DE INGENIERO EN AGROBIOLOGÍA</w:t>
      </w:r>
    </w:p>
    <w:p w14:paraId="26BF6F6B" w14:textId="77777777" w:rsidR="00991E04" w:rsidRPr="007923C2" w:rsidRDefault="00991E04" w:rsidP="006F5829">
      <w:pPr>
        <w:jc w:val="both"/>
        <w:rPr>
          <w:rFonts w:ascii="Arial" w:hAnsi="Arial" w:cs="Arial"/>
          <w:b/>
          <w:sz w:val="22"/>
          <w:szCs w:val="22"/>
        </w:rPr>
      </w:pPr>
      <w:r w:rsidRPr="007923C2">
        <w:rPr>
          <w:rFonts w:ascii="Arial" w:hAnsi="Arial" w:cs="Arial"/>
          <w:b/>
          <w:sz w:val="22"/>
          <w:szCs w:val="22"/>
        </w:rPr>
        <w:t>1.-PRESENTACIÓN:</w:t>
      </w:r>
    </w:p>
    <w:p w14:paraId="192235F0"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La Agriobiología como prácticas productivas primarias del hombre son tan antiguas como la humanidad, pero como conocimiento científico occidental comienza a establecerse en los años setentas del siglo anterior; como parte de una revolución del conocimiento que plantea el cambio de paradigmas ante la problemática planetaria. A ella se unen otras etnociencias tales como la agroecología, etnobotánica, la etnozoología, etnobiología, etnoecología y otras más.</w:t>
      </w:r>
    </w:p>
    <w:p w14:paraId="507BF866"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En la segunda mitad del siglo XX el interés por la Agrobiología se deja ver en el mundo occidental y aparecen instituciones diversas, relativas a la Agrobiología, en diferentes puntos del planeta, por ejemplo aparecen Institutos, centros de investigación, escuelas y formación profesional. El centro Abert Katz para el estudio de la Agrobiología del Desierto del Instituto Jacob Blaunstein de la Universidad Ben – Gurión del Negev, es un ejemplo de ello; el Instituto de Agrobiología de Litz, Austria es otro ejemplo de ello. También el Instituto de productos Naturales y Agrobiología de las Canarias es otro ejemplo a nivel mundial, al igual que el Centro de Investigación y Desarrollo correspondiente al Consejo Superior de Investigaciones Científicas (CSIC) con sede en Cataluña. Dicho centro fue fundado en 1967 en Barcelona, enfocando la Investigación en Agrobiología y Ecotecnologías.</w:t>
      </w:r>
    </w:p>
    <w:p w14:paraId="3EF55472"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En México, la  Agrobiología como formación profesional se remonta a los años treintas, cuando la creación de la ley orgánica del 14 de febrero de 1933 da origen a la Universidad   Michoacana de San Miguel Hidalgo. </w:t>
      </w:r>
    </w:p>
    <w:p w14:paraId="64B568C3"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Para 1939, la Facultad de Agrobiología ya formaba Ing. en Agrobiología.</w:t>
      </w:r>
    </w:p>
    <w:p w14:paraId="1E80E865"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 En ese periodo, el gobierno del General Lázaro Cárdenas del Río decret</w:t>
      </w:r>
      <w:r w:rsidR="00223C09" w:rsidRPr="007923C2">
        <w:rPr>
          <w:rFonts w:ascii="Arial" w:hAnsi="Arial" w:cs="Arial"/>
          <w:sz w:val="22"/>
          <w:szCs w:val="22"/>
        </w:rPr>
        <w:t>ó</w:t>
      </w:r>
      <w:r w:rsidRPr="007923C2">
        <w:rPr>
          <w:rFonts w:ascii="Arial" w:hAnsi="Arial" w:cs="Arial"/>
          <w:sz w:val="22"/>
          <w:szCs w:val="22"/>
        </w:rPr>
        <w:t xml:space="preserve"> el carácter socialista de la educación. Hacia 1961 la reestructuración de los Planes de Estudio de la carrera, determinaron la necesidad de diversificar la oferta educativa. </w:t>
      </w:r>
    </w:p>
    <w:p w14:paraId="52601F37"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De esta manera la Facultad de Agrobiología de la Universidad Michoacana abrió las carreras de Ing. Agrónomo en Parasitología Agrícola, Ing. Agrónomo en Fitomejoramiento, Ing. Agrónomo en Irrigación, Ing. Agrónomo en Silvicultura, Ing. Agrónomo en Economía Agrícola e Ing. Agrónomo en Industrias Agropecuarias. A pesar del nombre de la Facultad, la formación profesional tenía un enfoque convencional y ha estado muy distante de los objetivos de los centros e Institutos de Investigación europeos y asiáticos, mencionados previamente.</w:t>
      </w:r>
    </w:p>
    <w:p w14:paraId="4C9A677B"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Durante las últimas dos décadas del siglo anterior, México vivió una de las crisis económicas más fuertes de su historia; el país se descapitalizó, la deuda externa alcanzó niveles enormes, la devaluación monetaria creció excesivamente, el desempleo, la producción, la educación y otras entraron en chock. Por otro lado, las distancias entre países pobres y ricos se iban agrandando y la globalización afianzándose. En ese entorno de contradicciones e inequidades de globalización y firma de tratados de libre comercio fue creada la carrera de Ing. en Agrobiología, como una propuesta alternativa ante la problemática local, nacional y global, tratando de aprovechar los nuevos espacios abiertos o disponibles en el mercado de trabajo profesional.</w:t>
      </w:r>
    </w:p>
    <w:p w14:paraId="5A80C61B"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 En relación a la UAAAN, independientemente de su antigüedad y su prestigio, la Agrobiología como formación profesional aparece en la última década del siglo XX. El proceso se inicia con la conversión de la Escuela Superior de Agricultura Universidad Autónoma Agraria “Antonio Narro” en 1975 por </w:t>
      </w:r>
      <w:r w:rsidRPr="007923C2">
        <w:rPr>
          <w:rFonts w:ascii="Arial" w:hAnsi="Arial" w:cs="Arial"/>
          <w:sz w:val="22"/>
          <w:szCs w:val="22"/>
        </w:rPr>
        <w:lastRenderedPageBreak/>
        <w:t>decreto del Congreso del Estado de Coahuila. A partir de allí, se iniciaron varios procesos de renovación y reestructuración de los planes de estudio de las carreras ofrecidas por la institución.</w:t>
      </w:r>
    </w:p>
    <w:p w14:paraId="193CCD48"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En los ochentas y los noventas se dan algunos de ellos. En 1994 se da un movimiento de renovación conocido como “la Narro al Cambio “, se consideró reestructurar los planes de estudios de la institución. El Departamento de Botánica participó con el proyecto de Ing. en Agroecología. Posteriormente en 1995, la institución presentó ante el consejo universitario el Plan de Reestructuración de carreras existentes y presentación de nuevas carreras.</w:t>
      </w:r>
    </w:p>
    <w:p w14:paraId="4C9C03F8"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Ligados a los procesos anteriores de la UAA” AN”, el Departamento de Botánica creado en 1975, decidió formar una comisión en 1989, (COMMAS</w:t>
      </w:r>
      <w:r w:rsidR="001A3FE0" w:rsidRPr="007923C2">
        <w:rPr>
          <w:rFonts w:ascii="Arial" w:hAnsi="Arial" w:cs="Arial"/>
          <w:sz w:val="22"/>
          <w:szCs w:val="22"/>
        </w:rPr>
        <w:t>,</w:t>
      </w:r>
      <w:r w:rsidRPr="007923C2">
        <w:rPr>
          <w:rFonts w:ascii="Arial" w:hAnsi="Arial" w:cs="Arial"/>
          <w:sz w:val="22"/>
          <w:szCs w:val="22"/>
        </w:rPr>
        <w:t xml:space="preserve"> FAPROBI), pensando en la factibilidad de las profesiones biológicas en la Institución. En 1992, el Depto. de Botánica hace llegar al consejo universitario y a la Dirección Académica  el Proyecto de Licenciado en Ciencias Biológicas. En 1994 se trabajó con el Proyecto de Ingeniero en Agroecología el cual se suspende y se comienza a trabajar en el Proyecto de Ingeniero en Agrobiología. El proyecto se presenta ante el H. Consejo Universitario en Febrero de 1997, siendo aprobado y autorizado para iniciar en Agosto del mismo año. La carrera inicia con la inscripción de 23 alumnos, en el presente tiene más de 120 alumnos.</w:t>
      </w:r>
    </w:p>
    <w:p w14:paraId="18511F82"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El documento que aquí se presenta ha sido el resultado del esfuerzo de los maestros del Departamento de Botánica y la Comisión Coordinadora respectiva. Se han considerado las opiniones de las evaluaciones externas, de los egresados y de todos aquellos ligados al desempeño de los  profesionistas de la carrera. Se han seguido todos los lineamientos del documento de reestructuración  de 1995 con los ajustes que ha experimentado posteriormente; además de la normatividad universitaria existente hasta el momento. También las recomendaciones de los evaluadores externos han sido parte primordial de éste proceso de mejoramiento de la carrera. El presente documento se presenta ante las autoridades respectivas de la institución para su autorización y operativización del nuevo Plan de Estudios a partir de Agosto del 2006 y para fortalecer el proceso de acreditación de la carrera de Ingeniero en Agrobiología.</w:t>
      </w:r>
    </w:p>
    <w:p w14:paraId="7B326C9B"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A partir de la acreditación de la carrera 2006 el Programa Docente IAB ha dado seguimiento al proceso de Mejora continua y a los resultados obtenidos en el desarrollo del Plan de Estudios durante un período de </w:t>
      </w:r>
      <w:r w:rsidR="000D1C07" w:rsidRPr="007923C2">
        <w:rPr>
          <w:rFonts w:ascii="Arial" w:hAnsi="Arial" w:cs="Arial"/>
          <w:sz w:val="22"/>
          <w:szCs w:val="22"/>
        </w:rPr>
        <w:t>10</w:t>
      </w:r>
      <w:r w:rsidRPr="007923C2">
        <w:rPr>
          <w:rFonts w:ascii="Arial" w:hAnsi="Arial" w:cs="Arial"/>
          <w:sz w:val="22"/>
          <w:szCs w:val="22"/>
        </w:rPr>
        <w:t xml:space="preserve"> años durante el cual han egresado </w:t>
      </w:r>
      <w:r w:rsidR="000D1C07" w:rsidRPr="007923C2">
        <w:rPr>
          <w:rFonts w:ascii="Arial" w:hAnsi="Arial" w:cs="Arial"/>
          <w:sz w:val="22"/>
          <w:szCs w:val="22"/>
        </w:rPr>
        <w:t>6</w:t>
      </w:r>
      <w:r w:rsidRPr="007923C2">
        <w:rPr>
          <w:rFonts w:ascii="Arial" w:hAnsi="Arial" w:cs="Arial"/>
          <w:sz w:val="22"/>
          <w:szCs w:val="22"/>
        </w:rPr>
        <w:t xml:space="preserve"> generaciones.</w:t>
      </w:r>
    </w:p>
    <w:p w14:paraId="587D60DB"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Se consideró que se debían hacer algunos cambios en el Plan de Estudios en base al estudio de pertinencia de la carrera, consulta a egresados y empleadores.</w:t>
      </w:r>
    </w:p>
    <w:p w14:paraId="5CF996C9" w14:textId="77777777" w:rsidR="00991E04" w:rsidRDefault="00991E04" w:rsidP="006F5829">
      <w:pPr>
        <w:jc w:val="both"/>
        <w:rPr>
          <w:rFonts w:ascii="Arial" w:hAnsi="Arial" w:cs="Arial"/>
          <w:sz w:val="22"/>
          <w:szCs w:val="22"/>
        </w:rPr>
      </w:pPr>
      <w:r w:rsidRPr="007923C2">
        <w:rPr>
          <w:rFonts w:ascii="Arial" w:hAnsi="Arial" w:cs="Arial"/>
          <w:sz w:val="22"/>
          <w:szCs w:val="22"/>
        </w:rPr>
        <w:t xml:space="preserve">Por lo que se presenta una actualización del Plan de Desarrollo incluyendo el estado actual que guardan los ejes centrales que fundamentan al Programa Docente IAB.  </w:t>
      </w:r>
    </w:p>
    <w:p w14:paraId="0A962D58" w14:textId="77777777" w:rsidR="00991E04" w:rsidRPr="007923C2" w:rsidRDefault="00991E04" w:rsidP="006F5829">
      <w:pPr>
        <w:jc w:val="both"/>
        <w:rPr>
          <w:rFonts w:ascii="Arial" w:hAnsi="Arial" w:cs="Arial"/>
          <w:b/>
          <w:sz w:val="22"/>
          <w:szCs w:val="22"/>
        </w:rPr>
      </w:pPr>
      <w:r w:rsidRPr="007923C2">
        <w:rPr>
          <w:rFonts w:ascii="Arial" w:hAnsi="Arial" w:cs="Arial"/>
          <w:b/>
          <w:sz w:val="22"/>
          <w:szCs w:val="22"/>
        </w:rPr>
        <w:t>2.- DEFINICIÓN OPERATIVA</w:t>
      </w:r>
    </w:p>
    <w:p w14:paraId="3E56437D"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El Plan de Desarrollo del Programa Docente de Ingeniero en Agrobiología es un instrumento necesario para marcar el rumbo de la carrera de una manera organizada que permite integrar el trabajo que desempeñan los profesores teniendo como objetivo el fortalecimiento del proceso enseñanza aprendizaje de los alumnos a través de la investigación, desarrollo y vinculación de proyectos que beneficien a la sociedad y genere conocimientos prácticos para los universitarios.</w:t>
      </w:r>
    </w:p>
    <w:p w14:paraId="0E67E6EF"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El plan de Desarrollo es un trabajo de planeación participativa en la que deben participar las academias tanto del Departamento de Botánica como las que apoyan a la carrera.</w:t>
      </w:r>
    </w:p>
    <w:p w14:paraId="43130E1B"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lastRenderedPageBreak/>
        <w:t>En el plan de desarrollo se presenta un análisis de la situación actual que presenta la carrera, y a través de una propuesta renovada se pretende establecer un proceso de Mejora Continua en la docencia, investigación y desarrollo para lograr una Educación con Calidad.</w:t>
      </w:r>
    </w:p>
    <w:p w14:paraId="4D10ECE3"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Las bases en las que se fundamenta la carrera de Agrobiología parten de un análisis del sistema económico, político y cultural de México, que ha tenido una acción importante en todos los cambios que ha experimentado el agro mexicano desde la utilización de las tierras para el cultivo, la migración de los campesinos, la aplicación de una serie de técnicas de cultivo, pérdida de una gran extensión de áreas naturales, alteración del equilibrio ecológico lo que hace necesario crear profesiones capaces de entender y resolver la problemática que se ha desencadenado.</w:t>
      </w:r>
    </w:p>
    <w:p w14:paraId="1D5C9A75"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Esta carrera pretende fortalecer la educación superior preparando profesionales con sentido de servicio a la comunidad al entender los problemas del medio relacionados con la agricultura, serán el apoyo a los órganos de consulta tanto públicos como privados interesados en la evaluación, recuperación y conservación del medio ambiente.</w:t>
      </w:r>
    </w:p>
    <w:p w14:paraId="049E33C1"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Al tener otro concepto de la agronomía y por la demanda en un futuro inmediato de productos de origen natural podrán recomendar técnicas para obtener dichos productos.</w:t>
      </w:r>
    </w:p>
    <w:p w14:paraId="44341DE6"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Participarán en la expansión de la frontera agrícola utilizando tecnologías de mejoramiento de tierras, aumento de la productividad agrícola al utilizar nuevas técnicas de cultivo, tomando en cuenta el entorno ambiental. </w:t>
      </w:r>
    </w:p>
    <w:p w14:paraId="1E6BCF88"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Los profesionales al tener más conciencia acerca del ambiente promoverán los programas de reforestación serán capaces de realizar evaluaciones de las condiciones ambientales  (impacto ambiental).</w:t>
      </w:r>
    </w:p>
    <w:p w14:paraId="2905591E"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Realizarán la agricultura en estrecha armonía con el ambiente reduciendo el uso de agroquímicos que lesionen el entorno ambiental y el subsuelo. </w:t>
      </w:r>
    </w:p>
    <w:p w14:paraId="4D389D07"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Existe una demanda de educación superior sin procedentes acompañada de una gran diversificación de la misma y una mayor forma de conciencia de la importancia fundamental que la educación reviste para el desarrollo sociocultural y económico de México para la construcción del futuro de cara al cual las nuevas generaciones deberán estar preparadas con nuevas competencias y nuevos conocimientos e ideales.</w:t>
      </w:r>
    </w:p>
    <w:p w14:paraId="0FECFA2D"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La educación superior se enfrenta a desafíos y dificultades relativos a su financiación, la igualdad de condiciones de acceso a los estudios y en el transcurso de los mismos, una mejor capacitación del personal, la formación basada en las competencias, la mejora y conservación de la calidad de la enseñanza, la investigación y los servicios, la pertinencia de los planes de estudios, las posibilidades de empleo. La educación debe hacer frente a la vez a los retos que suponen las nuevas oportunidades que abren las tecnologías, que mejoran la manera de producir, organizar, difundir y controlar el saber y de acceder al mismo. Deberá garantizarse un acceso equitativo a estas tecnologías en todos los niveles de educación.</w:t>
      </w:r>
    </w:p>
    <w:p w14:paraId="114641A7"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La educación superior ha dado sobradas pruebas de su viabilidad a lo largo de los años y de su capacidad para transformarse y propiciar el cambio de la sociedad. Dado el alcance y el ritmo de las transformaciones, la sociedad cada vez tiende más fundarse en el conocimiento, razón de que la educación superior y la investigación formen parte hoy en día parte fundamental del desarrollo cultural, </w:t>
      </w:r>
      <w:r w:rsidRPr="007923C2">
        <w:rPr>
          <w:rFonts w:ascii="Arial" w:hAnsi="Arial" w:cs="Arial"/>
          <w:sz w:val="22"/>
          <w:szCs w:val="22"/>
        </w:rPr>
        <w:lastRenderedPageBreak/>
        <w:t>socioeconómico y ecológicamente sostenible de la humanidad. Por consiguiente y dado que tiene que hacer frente a los imponentes desafíos, la propia educación ha de emprender la transformación y la renovación más radicales que jamás haya tenido por delante, de forma que la sociedad contemporánea que en la actualidad vive una crisis de valores pueda trascender las consideraciones meramente económicas y asumir dimensiones de moralidad y espiritualidad más fundamentales.</w:t>
      </w:r>
    </w:p>
    <w:p w14:paraId="4F516B13"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Convencidos de que la educación es uno de los pilares fundamentales de los derechos humanos, la democracia, el desarrollo sostenible y la paz, por lo que deberá ser accesible para todos a lo largo de toda la vida y de que se necesitan medidas para asegurar la coordinación y cooperación entre los diversos sectores y dentro de cada uno de ellos y en particular entre la universitaria.</w:t>
      </w:r>
    </w:p>
    <w:p w14:paraId="018595B7"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Los sistemas de educación deberán aumentar su capacidad  para transformarse y </w:t>
      </w:r>
      <w:bookmarkStart w:id="0" w:name="page5"/>
      <w:bookmarkEnd w:id="0"/>
      <w:r w:rsidRPr="007923C2">
        <w:rPr>
          <w:rFonts w:ascii="Arial" w:hAnsi="Arial" w:cs="Arial"/>
          <w:sz w:val="22"/>
          <w:szCs w:val="22"/>
        </w:rPr>
        <w:t>provocar el cambio, para atender las necesidades sociales y fomentar la solidaridad y la igualdad, preservar y ejercer el rigor y la originalidad científica con espíritu imparcial por ser un requisito previo decisivo para mantener un nivel indispensable de calidad</w:t>
      </w:r>
      <w:r w:rsidR="001A3FE0" w:rsidRPr="007923C2">
        <w:rPr>
          <w:rFonts w:ascii="Arial" w:hAnsi="Arial" w:cs="Arial"/>
          <w:sz w:val="22"/>
          <w:szCs w:val="22"/>
        </w:rPr>
        <w:t>.</w:t>
      </w:r>
    </w:p>
    <w:p w14:paraId="7CCD50D6" w14:textId="77777777" w:rsidR="00991E04" w:rsidRPr="007923C2" w:rsidRDefault="00991E04" w:rsidP="006F5829">
      <w:pPr>
        <w:jc w:val="both"/>
        <w:rPr>
          <w:rFonts w:ascii="Arial" w:hAnsi="Arial" w:cs="Arial"/>
          <w:sz w:val="22"/>
          <w:szCs w:val="22"/>
        </w:rPr>
      </w:pPr>
    </w:p>
    <w:p w14:paraId="6BA32D42" w14:textId="77777777" w:rsidR="00991E04" w:rsidRPr="007923C2" w:rsidRDefault="00991E04" w:rsidP="006F5829">
      <w:pPr>
        <w:jc w:val="both"/>
        <w:rPr>
          <w:rFonts w:ascii="Arial" w:hAnsi="Arial" w:cs="Arial"/>
          <w:b/>
          <w:sz w:val="22"/>
          <w:szCs w:val="22"/>
        </w:rPr>
      </w:pPr>
      <w:r w:rsidRPr="007923C2">
        <w:rPr>
          <w:rFonts w:ascii="Arial" w:hAnsi="Arial" w:cs="Arial"/>
          <w:b/>
          <w:sz w:val="22"/>
          <w:szCs w:val="22"/>
        </w:rPr>
        <w:t>3.-ANTECEDENTES Y JUSTIFICACIÓN</w:t>
      </w:r>
    </w:p>
    <w:p w14:paraId="6E0C2A98"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La sociedad mexicana, como contexto de la educación superior, está inmersa en un proceso de transición en todos los órdenes: económico, político, social y cultural, signado por la interdependencia mundial. El cambio afecta a todos pero el cambio no se da de manera homogénea en los distintos ámbitos de la sociedad.</w:t>
      </w:r>
    </w:p>
    <w:p w14:paraId="63CAFF87"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En lo cultural, están apareciendo fenómenos como son el avance acelerado de los conocimientos científicos, humanísticos y tecnológicos, la creciente escolaridad de la población en los noveles de la educación básica y los adelantos en la tecnología de la información y comunicación.</w:t>
      </w:r>
    </w:p>
    <w:p w14:paraId="7DB9D70C"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Las instituciones educativas actúan en un contexto social no siempre favorable 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14:paraId="5D7BF4F9"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Una sociedad mundial y nacional inmersa en un proceso de cambio acelerado en todas las esferas de la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los modos de vida de los individuos, de los grupos sociales y de los sexos, se extienden los ámbitos de acción de la sociedad civil y </w:t>
      </w:r>
      <w:r w:rsidR="0066274D">
        <w:rPr>
          <w:rFonts w:ascii="Arial" w:hAnsi="Arial" w:cs="Arial"/>
          <w:sz w:val="22"/>
          <w:szCs w:val="22"/>
        </w:rPr>
        <w:t>se</w:t>
      </w:r>
      <w:r w:rsidRPr="007923C2">
        <w:rPr>
          <w:rFonts w:ascii="Arial" w:hAnsi="Arial" w:cs="Arial"/>
          <w:sz w:val="22"/>
          <w:szCs w:val="22"/>
        </w:rPr>
        <w:t xml:space="preserv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w:t>
      </w:r>
      <w:r w:rsidRPr="007923C2">
        <w:rPr>
          <w:rFonts w:ascii="Arial" w:hAnsi="Arial" w:cs="Arial"/>
          <w:sz w:val="22"/>
          <w:szCs w:val="22"/>
        </w:rPr>
        <w:lastRenderedPageBreak/>
        <w:t>capacidades genéricas o desarrollar conocimientos específicos; entre responder a demandas del empleador o adelantarse y descubrir anticipadamente el mundo futuro del trabajo.</w:t>
      </w:r>
    </w:p>
    <w:p w14:paraId="7771D9FB"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Ante éstos requerimientos que proclama el país el personal docente de la carrera de Ingeniero en Agrobiología de la UAAAN está comprometido a responder a dichas demanda, es por eso que se hizo necesario hacer una revisión y análisis </w:t>
      </w:r>
      <w:bookmarkStart w:id="1" w:name="page7"/>
      <w:bookmarkEnd w:id="1"/>
      <w:r w:rsidRPr="007923C2">
        <w:rPr>
          <w:rFonts w:ascii="Arial" w:hAnsi="Arial" w:cs="Arial"/>
          <w:sz w:val="22"/>
          <w:szCs w:val="22"/>
        </w:rPr>
        <w:t>del Plan de Estudios actual para determinar su viabilidad, su demanda y específicamente el papel que están desempeñando sus egresados en el ámbito laboral.</w:t>
      </w:r>
    </w:p>
    <w:p w14:paraId="65C4771B" w14:textId="77777777" w:rsidR="00991E04" w:rsidRDefault="00991E04" w:rsidP="006F5829">
      <w:pPr>
        <w:jc w:val="both"/>
        <w:rPr>
          <w:rFonts w:ascii="Arial" w:hAnsi="Arial" w:cs="Arial"/>
          <w:sz w:val="22"/>
          <w:szCs w:val="22"/>
        </w:rPr>
      </w:pPr>
      <w:r w:rsidRPr="007923C2">
        <w:rPr>
          <w:rFonts w:ascii="Arial" w:hAnsi="Arial" w:cs="Arial"/>
          <w:sz w:val="22"/>
          <w:szCs w:val="22"/>
        </w:rPr>
        <w:t>En base a los resultados del análisis hecho pero sobre todo en un afán de estar inmersos en un programa de Mejora Continua que nos guíe hacia una educación con calidad se realizó la reestructuración del Plan de Estudios del Programa Docente de la carrera IAB.</w:t>
      </w:r>
    </w:p>
    <w:p w14:paraId="111BA137" w14:textId="77777777" w:rsidR="00421D6B" w:rsidRPr="007923C2" w:rsidRDefault="00421D6B" w:rsidP="006F5829">
      <w:pPr>
        <w:jc w:val="both"/>
        <w:rPr>
          <w:rFonts w:ascii="Arial" w:hAnsi="Arial" w:cs="Arial"/>
          <w:sz w:val="22"/>
          <w:szCs w:val="22"/>
        </w:rPr>
      </w:pPr>
    </w:p>
    <w:p w14:paraId="3D1A29A4" w14:textId="77777777" w:rsidR="00991E04" w:rsidRPr="007923C2" w:rsidRDefault="00991E04" w:rsidP="006F5829">
      <w:pPr>
        <w:jc w:val="both"/>
        <w:rPr>
          <w:rFonts w:ascii="Arial" w:hAnsi="Arial" w:cs="Arial"/>
          <w:b/>
          <w:sz w:val="22"/>
          <w:szCs w:val="22"/>
        </w:rPr>
      </w:pPr>
      <w:r w:rsidRPr="007923C2">
        <w:rPr>
          <w:rFonts w:ascii="Arial" w:hAnsi="Arial" w:cs="Arial"/>
          <w:b/>
          <w:sz w:val="22"/>
          <w:szCs w:val="22"/>
        </w:rPr>
        <w:t xml:space="preserve">4.-FASE DE FORMULACIÓN </w:t>
      </w:r>
    </w:p>
    <w:p w14:paraId="2FBC4275" w14:textId="77777777" w:rsidR="00991E04" w:rsidRPr="007923C2" w:rsidRDefault="00991E04" w:rsidP="006F5829">
      <w:pPr>
        <w:jc w:val="both"/>
        <w:rPr>
          <w:rFonts w:ascii="Arial" w:hAnsi="Arial" w:cs="Arial"/>
          <w:b/>
          <w:sz w:val="22"/>
          <w:szCs w:val="22"/>
        </w:rPr>
      </w:pPr>
      <w:r w:rsidRPr="007923C2">
        <w:rPr>
          <w:rFonts w:ascii="Arial" w:hAnsi="Arial" w:cs="Arial"/>
          <w:b/>
          <w:sz w:val="22"/>
          <w:szCs w:val="22"/>
        </w:rPr>
        <w:t>4.1-ADMINISTRACIÓN ESTRATÉGICA</w:t>
      </w:r>
    </w:p>
    <w:p w14:paraId="644E6016" w14:textId="77777777" w:rsidR="00991E04" w:rsidRPr="007923C2" w:rsidRDefault="00991E04" w:rsidP="006F5829">
      <w:pPr>
        <w:jc w:val="both"/>
        <w:rPr>
          <w:rFonts w:ascii="Arial" w:hAnsi="Arial" w:cs="Arial"/>
          <w:b/>
          <w:sz w:val="22"/>
          <w:szCs w:val="22"/>
        </w:rPr>
      </w:pPr>
      <w:r w:rsidRPr="007923C2">
        <w:rPr>
          <w:rFonts w:ascii="Arial" w:hAnsi="Arial" w:cs="Arial"/>
          <w:b/>
          <w:sz w:val="22"/>
          <w:szCs w:val="22"/>
        </w:rPr>
        <w:t>MISIÓN Y VISIÓN</w:t>
      </w:r>
    </w:p>
    <w:p w14:paraId="2DC9272D"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De acuerdo a las bases mencionadas la misión y la visión de la carrera de Ingeniero en Agrobiología son:</w:t>
      </w:r>
    </w:p>
    <w:p w14:paraId="18F0B481" w14:textId="77777777" w:rsidR="00991E04" w:rsidRPr="007923C2" w:rsidRDefault="00991E04" w:rsidP="006F5829">
      <w:pPr>
        <w:jc w:val="both"/>
        <w:rPr>
          <w:rFonts w:ascii="Arial" w:hAnsi="Arial" w:cs="Arial"/>
          <w:sz w:val="22"/>
          <w:szCs w:val="22"/>
        </w:rPr>
      </w:pPr>
      <w:r w:rsidRPr="007923C2">
        <w:rPr>
          <w:rFonts w:ascii="Arial" w:hAnsi="Arial" w:cs="Arial"/>
          <w:b/>
          <w:sz w:val="22"/>
          <w:szCs w:val="22"/>
        </w:rPr>
        <w:t>Misión</w:t>
      </w:r>
    </w:p>
    <w:p w14:paraId="65497375"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Formar profesionistas con juicio crítico y objetivo, con principio ético, espíritu emprendedor, colaborativo e innovador; capaces de contribuir al desarrollo del país mediante el uso sostenible de los recursos naturales para la producción silvoagropecuaria, a través de la aplicación del  conocimiento científico y tecnológico.     </w:t>
      </w:r>
    </w:p>
    <w:p w14:paraId="4DDF2AFE" w14:textId="77777777" w:rsidR="00991E04" w:rsidRPr="007923C2" w:rsidRDefault="00991E04" w:rsidP="006F5829">
      <w:pPr>
        <w:jc w:val="both"/>
        <w:rPr>
          <w:rFonts w:ascii="Arial" w:hAnsi="Arial" w:cs="Arial"/>
          <w:b/>
          <w:sz w:val="22"/>
          <w:szCs w:val="22"/>
        </w:rPr>
      </w:pPr>
      <w:r w:rsidRPr="007923C2">
        <w:rPr>
          <w:rFonts w:ascii="Arial" w:hAnsi="Arial" w:cs="Arial"/>
          <w:b/>
          <w:sz w:val="22"/>
          <w:szCs w:val="22"/>
        </w:rPr>
        <w:t xml:space="preserve">Visión </w:t>
      </w:r>
    </w:p>
    <w:p w14:paraId="058123CD"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Contribuir a una nueva cultura de conciencia y responsabilidad en el sector productivo, económico y social, mediante la generación y/o aplicación del conocimiento y tecnología para el desarrollo sostenible del país.</w:t>
      </w:r>
    </w:p>
    <w:p w14:paraId="46471490" w14:textId="77777777" w:rsidR="00991E04" w:rsidRPr="007923C2" w:rsidRDefault="00991E04" w:rsidP="006F5829">
      <w:pPr>
        <w:jc w:val="both"/>
        <w:rPr>
          <w:rFonts w:ascii="Arial" w:hAnsi="Arial" w:cs="Arial"/>
          <w:sz w:val="22"/>
          <w:szCs w:val="22"/>
        </w:rPr>
      </w:pPr>
      <w:bookmarkStart w:id="2" w:name="page9"/>
      <w:bookmarkEnd w:id="2"/>
      <w:r w:rsidRPr="007923C2">
        <w:rPr>
          <w:rFonts w:ascii="Arial" w:hAnsi="Arial" w:cs="Arial"/>
          <w:sz w:val="22"/>
          <w:szCs w:val="22"/>
        </w:rPr>
        <w:t>Para el 20</w:t>
      </w:r>
      <w:r w:rsidR="00B1289D" w:rsidRPr="007923C2">
        <w:rPr>
          <w:rFonts w:ascii="Arial" w:hAnsi="Arial" w:cs="Arial"/>
          <w:sz w:val="22"/>
          <w:szCs w:val="22"/>
        </w:rPr>
        <w:t>2</w:t>
      </w:r>
      <w:r w:rsidRPr="007923C2">
        <w:rPr>
          <w:rFonts w:ascii="Arial" w:hAnsi="Arial" w:cs="Arial"/>
          <w:sz w:val="22"/>
          <w:szCs w:val="22"/>
        </w:rPr>
        <w:t>0</w:t>
      </w:r>
    </w:p>
    <w:p w14:paraId="2FECAEC8"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Se espera que los egresados ha</w:t>
      </w:r>
      <w:r w:rsidR="008D2C09" w:rsidRPr="007923C2">
        <w:rPr>
          <w:rFonts w:ascii="Arial" w:hAnsi="Arial" w:cs="Arial"/>
          <w:sz w:val="22"/>
          <w:szCs w:val="22"/>
        </w:rPr>
        <w:t>y</w:t>
      </w:r>
      <w:r w:rsidRPr="007923C2">
        <w:rPr>
          <w:rFonts w:ascii="Arial" w:hAnsi="Arial" w:cs="Arial"/>
          <w:sz w:val="22"/>
          <w:szCs w:val="22"/>
        </w:rPr>
        <w:t>a</w:t>
      </w:r>
      <w:r w:rsidR="00E14F5D" w:rsidRPr="007923C2">
        <w:rPr>
          <w:rFonts w:ascii="Arial" w:hAnsi="Arial" w:cs="Arial"/>
          <w:sz w:val="22"/>
          <w:szCs w:val="22"/>
        </w:rPr>
        <w:t>n</w:t>
      </w:r>
      <w:r w:rsidRPr="007923C2">
        <w:rPr>
          <w:rFonts w:ascii="Arial" w:hAnsi="Arial" w:cs="Arial"/>
          <w:sz w:val="22"/>
          <w:szCs w:val="22"/>
        </w:rPr>
        <w:t xml:space="preserve"> adquirido y transmitido los conocimiento</w:t>
      </w:r>
      <w:r w:rsidR="008D2C09" w:rsidRPr="007923C2">
        <w:rPr>
          <w:rFonts w:ascii="Arial" w:hAnsi="Arial" w:cs="Arial"/>
          <w:sz w:val="22"/>
          <w:szCs w:val="22"/>
        </w:rPr>
        <w:t>s</w:t>
      </w:r>
      <w:r w:rsidRPr="007923C2">
        <w:rPr>
          <w:rFonts w:ascii="Arial" w:hAnsi="Arial" w:cs="Arial"/>
          <w:sz w:val="22"/>
          <w:szCs w:val="22"/>
        </w:rPr>
        <w:t xml:space="preserve"> bioecológicos y el desarrollo de ecotecnias que sean garantes de la sostenibilidad del país.</w:t>
      </w:r>
    </w:p>
    <w:p w14:paraId="25F9F9A9"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Para el 20</w:t>
      </w:r>
      <w:r w:rsidR="00B1289D" w:rsidRPr="007923C2">
        <w:rPr>
          <w:rFonts w:ascii="Arial" w:hAnsi="Arial" w:cs="Arial"/>
          <w:sz w:val="22"/>
          <w:szCs w:val="22"/>
        </w:rPr>
        <w:t>3</w:t>
      </w:r>
      <w:r w:rsidRPr="007923C2">
        <w:rPr>
          <w:rFonts w:ascii="Arial" w:hAnsi="Arial" w:cs="Arial"/>
          <w:sz w:val="22"/>
          <w:szCs w:val="22"/>
        </w:rPr>
        <w:t>0</w:t>
      </w:r>
    </w:p>
    <w:p w14:paraId="01EB9B6B"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Que los egresados contribuyan a la sostenibilidad en el área donde se desempeñen profesionalmente.</w:t>
      </w:r>
    </w:p>
    <w:p w14:paraId="4BE52181" w14:textId="77777777" w:rsidR="00285781" w:rsidRDefault="00285781" w:rsidP="006F5829">
      <w:pPr>
        <w:jc w:val="both"/>
        <w:rPr>
          <w:rFonts w:ascii="Arial" w:hAnsi="Arial" w:cs="Arial"/>
          <w:b/>
          <w:sz w:val="22"/>
          <w:szCs w:val="22"/>
        </w:rPr>
      </w:pPr>
    </w:p>
    <w:p w14:paraId="46B6153D" w14:textId="77777777" w:rsidR="00991E04" w:rsidRPr="007923C2" w:rsidRDefault="00991E04" w:rsidP="006F5829">
      <w:pPr>
        <w:jc w:val="both"/>
        <w:rPr>
          <w:rFonts w:ascii="Arial" w:hAnsi="Arial" w:cs="Arial"/>
          <w:b/>
          <w:sz w:val="22"/>
          <w:szCs w:val="22"/>
        </w:rPr>
      </w:pPr>
      <w:r w:rsidRPr="007923C2">
        <w:rPr>
          <w:rFonts w:ascii="Arial" w:hAnsi="Arial" w:cs="Arial"/>
          <w:b/>
          <w:sz w:val="22"/>
          <w:szCs w:val="22"/>
        </w:rPr>
        <w:t>4.2.-</w:t>
      </w:r>
      <w:r w:rsidR="001A3FE0" w:rsidRPr="007923C2">
        <w:rPr>
          <w:rFonts w:ascii="Arial" w:hAnsi="Arial" w:cs="Arial"/>
          <w:b/>
          <w:sz w:val="22"/>
          <w:szCs w:val="22"/>
        </w:rPr>
        <w:t>EVALUACIÓN EXTERNA</w:t>
      </w:r>
    </w:p>
    <w:p w14:paraId="525995EF"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La competencia entre el egresado de la carrera de Ingeniero en Agrobiología y el agrónomo tradicional es mínima.</w:t>
      </w:r>
    </w:p>
    <w:p w14:paraId="51D9DB53"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La filosofía de ambos es muy diferente, mientras que la carrera del agrónomo tradicional en sus planes de estudio se enfoca en la producción de alimentos con la perspectiva neopositivista, la práctica de la agricultura como negocio y el conocimiento parcelado, sin posibilidades de integración. </w:t>
      </w:r>
    </w:p>
    <w:p w14:paraId="2DBFCF67"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lastRenderedPageBreak/>
        <w:t>En esta nueva propuesta la inducción de holismo, la visión totalizadora o estructuralista, no deja de lado la importancia de los rendimientos y comercialización de los productos agrícolas, pero contempla otros aspectos como la protección del entorno, la salud de productores y consumidores a través de las formas de producir.</w:t>
      </w:r>
    </w:p>
    <w:p w14:paraId="32846A80"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Las bases para diseñar el perfil del egresado de la carrera de Ingeniero en Agrobiología resultaron de una evaluación externa hecha desde el planteamiento de la carrera y se estableció que había diferentes necesidades que podría cubrir el profesional y que son:</w:t>
      </w:r>
    </w:p>
    <w:p w14:paraId="1CF6804D" w14:textId="77777777" w:rsidR="00991E04" w:rsidRPr="007923C2" w:rsidRDefault="001A3FE0" w:rsidP="006F5829">
      <w:pPr>
        <w:jc w:val="both"/>
        <w:rPr>
          <w:rFonts w:ascii="Arial" w:hAnsi="Arial" w:cs="Arial"/>
          <w:b/>
          <w:sz w:val="22"/>
          <w:szCs w:val="22"/>
        </w:rPr>
      </w:pPr>
      <w:r w:rsidRPr="007923C2">
        <w:rPr>
          <w:rFonts w:ascii="Arial" w:hAnsi="Arial" w:cs="Arial"/>
          <w:b/>
          <w:sz w:val="22"/>
          <w:szCs w:val="22"/>
        </w:rPr>
        <w:t>1.-</w:t>
      </w:r>
      <w:r w:rsidR="00991E04" w:rsidRPr="007923C2">
        <w:rPr>
          <w:rFonts w:ascii="Arial" w:hAnsi="Arial" w:cs="Arial"/>
          <w:b/>
          <w:sz w:val="22"/>
          <w:szCs w:val="22"/>
        </w:rPr>
        <w:t>Del trabajo de la Diversidad Biológica</w:t>
      </w:r>
    </w:p>
    <w:p w14:paraId="37A4CE9C"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Control del recurso genético animal y vegetal</w:t>
      </w:r>
    </w:p>
    <w:p w14:paraId="4896F8D5"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Mejoramiento de los sistemas de producción agrícola</w:t>
      </w:r>
    </w:p>
    <w:p w14:paraId="62D4EC20"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Mantenimiento de la diversidad vegetal y animal</w:t>
      </w:r>
    </w:p>
    <w:p w14:paraId="1D738548"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Educación para productores campesinos y políticas hacia la conciencia ecológica</w:t>
      </w:r>
    </w:p>
    <w:p w14:paraId="73CCE615"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Ingeniería Ambiental</w:t>
      </w:r>
    </w:p>
    <w:p w14:paraId="16A3A60C"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Control del ambiente</w:t>
      </w:r>
    </w:p>
    <w:p w14:paraId="1F25DBED"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Prevención del impacto ambiental</w:t>
      </w:r>
    </w:p>
    <w:p w14:paraId="0A72C41B"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Desarrollo de programas educativos</w:t>
      </w:r>
    </w:p>
    <w:p w14:paraId="6FD9EB57"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 xml:space="preserve">Residuos sólidos </w:t>
      </w:r>
    </w:p>
    <w:p w14:paraId="162656E7"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 xml:space="preserve">Aguas residuales </w:t>
      </w:r>
    </w:p>
    <w:p w14:paraId="57E09DC7"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Biosfera</w:t>
      </w:r>
    </w:p>
    <w:p w14:paraId="5F11CE88"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Bioensayos</w:t>
      </w:r>
    </w:p>
    <w:p w14:paraId="492D1F2F" w14:textId="77777777" w:rsidR="00991E04" w:rsidRPr="007923C2" w:rsidRDefault="00B9549E" w:rsidP="006F5829">
      <w:pPr>
        <w:jc w:val="both"/>
        <w:rPr>
          <w:rFonts w:ascii="Arial" w:hAnsi="Arial" w:cs="Arial"/>
          <w:b/>
          <w:sz w:val="22"/>
          <w:szCs w:val="22"/>
        </w:rPr>
      </w:pPr>
      <w:r w:rsidRPr="007923C2">
        <w:rPr>
          <w:rFonts w:ascii="Arial" w:hAnsi="Arial" w:cs="Arial"/>
          <w:b/>
          <w:sz w:val="22"/>
          <w:szCs w:val="22"/>
        </w:rPr>
        <w:t>2.-</w:t>
      </w:r>
      <w:r w:rsidR="00991E04" w:rsidRPr="007923C2">
        <w:rPr>
          <w:rFonts w:ascii="Arial" w:hAnsi="Arial" w:cs="Arial"/>
          <w:b/>
          <w:sz w:val="22"/>
          <w:szCs w:val="22"/>
        </w:rPr>
        <w:t>Del trabajo del Sistema Tecnológico del País</w:t>
      </w:r>
    </w:p>
    <w:p w14:paraId="63121781"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La falta de tecnología para el manejo de residuos.</w:t>
      </w:r>
    </w:p>
    <w:p w14:paraId="481C8A00"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La contaminación del suelo por el uso de agroquímicos</w:t>
      </w:r>
      <w:r w:rsidR="00822367">
        <w:rPr>
          <w:rFonts w:ascii="Arial" w:hAnsi="Arial" w:cs="Arial"/>
          <w:sz w:val="22"/>
          <w:szCs w:val="22"/>
        </w:rPr>
        <w:t>.</w:t>
      </w:r>
    </w:p>
    <w:p w14:paraId="09E70F8C"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Control biológico prevención de plagas y enfermedades agrícolas</w:t>
      </w:r>
      <w:r w:rsidR="00822367">
        <w:rPr>
          <w:rFonts w:ascii="Arial" w:hAnsi="Arial" w:cs="Arial"/>
          <w:sz w:val="22"/>
          <w:szCs w:val="22"/>
        </w:rPr>
        <w:t>.</w:t>
      </w:r>
    </w:p>
    <w:p w14:paraId="004C36C5"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La falta de tecnología para el mejoramiento del suelo</w:t>
      </w:r>
      <w:r w:rsidR="00822367">
        <w:rPr>
          <w:rFonts w:ascii="Arial" w:hAnsi="Arial" w:cs="Arial"/>
          <w:sz w:val="22"/>
          <w:szCs w:val="22"/>
        </w:rPr>
        <w:t>.</w:t>
      </w:r>
    </w:p>
    <w:p w14:paraId="06DDCCEE" w14:textId="292F755C"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Crear programas tendientes a la protección y propagación de e</w:t>
      </w:r>
      <w:r w:rsidR="00822367">
        <w:rPr>
          <w:rFonts w:ascii="Arial" w:hAnsi="Arial" w:cs="Arial"/>
          <w:sz w:val="22"/>
          <w:szCs w:val="22"/>
        </w:rPr>
        <w:t>species</w:t>
      </w:r>
      <w:r w:rsidR="004D3E09">
        <w:rPr>
          <w:rFonts w:ascii="Arial" w:hAnsi="Arial" w:cs="Arial"/>
          <w:sz w:val="22"/>
          <w:szCs w:val="22"/>
        </w:rPr>
        <w:t xml:space="preserve"> </w:t>
      </w:r>
      <w:r w:rsidR="00822367">
        <w:rPr>
          <w:rFonts w:ascii="Arial" w:hAnsi="Arial" w:cs="Arial"/>
          <w:sz w:val="22"/>
          <w:szCs w:val="22"/>
        </w:rPr>
        <w:t>en peligro de extinción,</w:t>
      </w:r>
      <w:r w:rsidR="00421D6B">
        <w:rPr>
          <w:rFonts w:ascii="Arial" w:hAnsi="Arial" w:cs="Arial"/>
          <w:sz w:val="22"/>
          <w:szCs w:val="22"/>
        </w:rPr>
        <w:t xml:space="preserve"> </w:t>
      </w:r>
      <w:r w:rsidR="00991E04" w:rsidRPr="007923C2">
        <w:rPr>
          <w:rFonts w:ascii="Arial" w:hAnsi="Arial" w:cs="Arial"/>
          <w:sz w:val="22"/>
          <w:szCs w:val="22"/>
        </w:rPr>
        <w:t>raras o endémicas</w:t>
      </w:r>
      <w:r w:rsidR="00822367">
        <w:rPr>
          <w:rFonts w:ascii="Arial" w:hAnsi="Arial" w:cs="Arial"/>
          <w:sz w:val="22"/>
          <w:szCs w:val="22"/>
        </w:rPr>
        <w:t>.</w:t>
      </w:r>
    </w:p>
    <w:p w14:paraId="060B8422"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El inventario florístico y faunístico de zona áridas y semiáridas</w:t>
      </w:r>
      <w:r w:rsidR="00822367">
        <w:rPr>
          <w:rFonts w:ascii="Arial" w:hAnsi="Arial" w:cs="Arial"/>
          <w:sz w:val="22"/>
          <w:szCs w:val="22"/>
        </w:rPr>
        <w:t>.</w:t>
      </w:r>
    </w:p>
    <w:p w14:paraId="02D8BAA7"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El establecimiento de bancos de germoplasma de especies vegétalas cultivadas y silvestres susceptibles de manejo genético</w:t>
      </w:r>
      <w:r w:rsidR="00822367">
        <w:rPr>
          <w:rFonts w:ascii="Arial" w:hAnsi="Arial" w:cs="Arial"/>
          <w:sz w:val="22"/>
          <w:szCs w:val="22"/>
        </w:rPr>
        <w:t>.</w:t>
      </w:r>
    </w:p>
    <w:p w14:paraId="4F7D46A0" w14:textId="77777777" w:rsidR="00991E04" w:rsidRDefault="008D2C09" w:rsidP="006F5829">
      <w:pPr>
        <w:jc w:val="both"/>
        <w:rPr>
          <w:rFonts w:ascii="Arial" w:hAnsi="Arial" w:cs="Arial"/>
          <w:sz w:val="22"/>
          <w:szCs w:val="22"/>
        </w:rPr>
      </w:pPr>
      <w:r w:rsidRPr="007923C2">
        <w:rPr>
          <w:rFonts w:ascii="Arial" w:hAnsi="Arial" w:cs="Arial"/>
          <w:sz w:val="22"/>
          <w:szCs w:val="22"/>
        </w:rPr>
        <w:t>-</w:t>
      </w:r>
      <w:r w:rsidR="00E14F5D" w:rsidRPr="007923C2">
        <w:rPr>
          <w:rFonts w:ascii="Arial" w:hAnsi="Arial" w:cs="Arial"/>
          <w:sz w:val="22"/>
          <w:szCs w:val="22"/>
        </w:rPr>
        <w:t>Manejo de</w:t>
      </w:r>
      <w:r w:rsidR="00991E04" w:rsidRPr="007923C2">
        <w:rPr>
          <w:rFonts w:ascii="Arial" w:hAnsi="Arial" w:cs="Arial"/>
          <w:sz w:val="22"/>
          <w:szCs w:val="22"/>
        </w:rPr>
        <w:t xml:space="preserve"> especies silvestres capaces de ser sometidas </w:t>
      </w:r>
      <w:r w:rsidR="00E14F5D" w:rsidRPr="007923C2">
        <w:rPr>
          <w:rFonts w:ascii="Arial" w:hAnsi="Arial" w:cs="Arial"/>
          <w:sz w:val="22"/>
          <w:szCs w:val="22"/>
        </w:rPr>
        <w:t>para su protección</w:t>
      </w:r>
      <w:r w:rsidR="00991E04" w:rsidRPr="007923C2">
        <w:rPr>
          <w:rFonts w:ascii="Arial" w:hAnsi="Arial" w:cs="Arial"/>
          <w:sz w:val="22"/>
          <w:szCs w:val="22"/>
        </w:rPr>
        <w:t>.</w:t>
      </w:r>
    </w:p>
    <w:p w14:paraId="140B56A4" w14:textId="77777777" w:rsidR="00822367" w:rsidRPr="007923C2" w:rsidRDefault="00822367" w:rsidP="006F5829">
      <w:pPr>
        <w:jc w:val="both"/>
        <w:rPr>
          <w:rFonts w:ascii="Arial" w:hAnsi="Arial" w:cs="Arial"/>
          <w:sz w:val="22"/>
          <w:szCs w:val="22"/>
        </w:rPr>
      </w:pPr>
    </w:p>
    <w:p w14:paraId="1CB61A4C" w14:textId="77777777" w:rsidR="00421D6B" w:rsidRDefault="00421D6B" w:rsidP="006F5829">
      <w:pPr>
        <w:jc w:val="both"/>
        <w:rPr>
          <w:rFonts w:ascii="Arial" w:hAnsi="Arial" w:cs="Arial"/>
          <w:b/>
          <w:sz w:val="22"/>
          <w:szCs w:val="22"/>
        </w:rPr>
      </w:pPr>
    </w:p>
    <w:p w14:paraId="120789B4" w14:textId="77777777" w:rsidR="00991E04" w:rsidRPr="007923C2" w:rsidRDefault="00B9549E" w:rsidP="006F5829">
      <w:pPr>
        <w:jc w:val="both"/>
        <w:rPr>
          <w:rFonts w:ascii="Arial" w:hAnsi="Arial" w:cs="Arial"/>
          <w:b/>
          <w:sz w:val="22"/>
          <w:szCs w:val="22"/>
        </w:rPr>
      </w:pPr>
      <w:r w:rsidRPr="007923C2">
        <w:rPr>
          <w:rFonts w:ascii="Arial" w:hAnsi="Arial" w:cs="Arial"/>
          <w:b/>
          <w:sz w:val="22"/>
          <w:szCs w:val="22"/>
        </w:rPr>
        <w:lastRenderedPageBreak/>
        <w:t>3.-</w:t>
      </w:r>
      <w:r w:rsidR="00991E04" w:rsidRPr="007923C2">
        <w:rPr>
          <w:rFonts w:ascii="Arial" w:hAnsi="Arial" w:cs="Arial"/>
          <w:b/>
          <w:sz w:val="22"/>
          <w:szCs w:val="22"/>
        </w:rPr>
        <w:t>Del Trabajo Agrobiotecnológico</w:t>
      </w:r>
    </w:p>
    <w:p w14:paraId="463A73BD"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Asistencia técnica en la producción agrícola con bases biotecnológica</w:t>
      </w:r>
      <w:r w:rsidR="00822367">
        <w:rPr>
          <w:rFonts w:ascii="Arial" w:hAnsi="Arial" w:cs="Arial"/>
          <w:sz w:val="22"/>
          <w:szCs w:val="22"/>
        </w:rPr>
        <w:t>.</w:t>
      </w:r>
    </w:p>
    <w:p w14:paraId="4B770016"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De la Ley del Equilibrio Ecológico y Protección al Ambiente 1998</w:t>
      </w:r>
      <w:r w:rsidR="00822367">
        <w:rPr>
          <w:rFonts w:ascii="Arial" w:hAnsi="Arial" w:cs="Arial"/>
          <w:sz w:val="22"/>
          <w:szCs w:val="22"/>
        </w:rPr>
        <w:t>.</w:t>
      </w:r>
    </w:p>
    <w:p w14:paraId="2F4B3172"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Control de la contaminación del suelo, agua y producción orgánica sin la aplicación de plaguicidas, fertilizantes y sustancias tóxicas</w:t>
      </w:r>
      <w:r w:rsidR="00822367">
        <w:rPr>
          <w:rFonts w:ascii="Arial" w:hAnsi="Arial" w:cs="Arial"/>
          <w:sz w:val="22"/>
          <w:szCs w:val="22"/>
        </w:rPr>
        <w:t>.</w:t>
      </w:r>
    </w:p>
    <w:p w14:paraId="72B4BA01"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La protección de la flora y fauna silvestre</w:t>
      </w:r>
      <w:r w:rsidR="00822367">
        <w:rPr>
          <w:rFonts w:ascii="Arial" w:hAnsi="Arial" w:cs="Arial"/>
          <w:sz w:val="22"/>
          <w:szCs w:val="22"/>
        </w:rPr>
        <w:t>.</w:t>
      </w:r>
    </w:p>
    <w:p w14:paraId="1A509F2B"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Realizar estudios; evaluar el rie</w:t>
      </w:r>
      <w:r w:rsidR="00E14F5D" w:rsidRPr="007923C2">
        <w:rPr>
          <w:rFonts w:ascii="Arial" w:hAnsi="Arial" w:cs="Arial"/>
          <w:sz w:val="22"/>
          <w:szCs w:val="22"/>
        </w:rPr>
        <w:t>sg</w:t>
      </w:r>
      <w:r w:rsidR="00991E04" w:rsidRPr="007923C2">
        <w:rPr>
          <w:rFonts w:ascii="Arial" w:hAnsi="Arial" w:cs="Arial"/>
          <w:sz w:val="22"/>
          <w:szCs w:val="22"/>
        </w:rPr>
        <w:t>o y el impacto ambiental</w:t>
      </w:r>
      <w:r w:rsidR="00822367">
        <w:rPr>
          <w:rFonts w:ascii="Arial" w:hAnsi="Arial" w:cs="Arial"/>
          <w:sz w:val="22"/>
          <w:szCs w:val="22"/>
        </w:rPr>
        <w:t>.</w:t>
      </w:r>
    </w:p>
    <w:p w14:paraId="21F6F031" w14:textId="77777777" w:rsidR="00991E04" w:rsidRPr="007923C2" w:rsidRDefault="00B9549E" w:rsidP="006F5829">
      <w:pPr>
        <w:jc w:val="both"/>
        <w:rPr>
          <w:rFonts w:ascii="Arial" w:hAnsi="Arial" w:cs="Arial"/>
          <w:b/>
          <w:sz w:val="22"/>
          <w:szCs w:val="22"/>
        </w:rPr>
      </w:pPr>
      <w:r w:rsidRPr="007923C2">
        <w:rPr>
          <w:rFonts w:ascii="Arial" w:hAnsi="Arial" w:cs="Arial"/>
          <w:b/>
          <w:sz w:val="22"/>
          <w:szCs w:val="22"/>
        </w:rPr>
        <w:t>4.-</w:t>
      </w:r>
      <w:r w:rsidR="00991E04" w:rsidRPr="007923C2">
        <w:rPr>
          <w:rFonts w:ascii="Arial" w:hAnsi="Arial" w:cs="Arial"/>
          <w:b/>
          <w:sz w:val="22"/>
          <w:szCs w:val="22"/>
        </w:rPr>
        <w:t xml:space="preserve">Del Trabajo de Educación Agrícola Superior </w:t>
      </w:r>
    </w:p>
    <w:p w14:paraId="19694ACA" w14:textId="77777777"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Practicar una agricultura que relacione el uso de la energía y los recursos fósiles con el objeto de mejorar la estructura, sus costos de producción y tener la posibilidad de competir en los mercados internacionales.</w:t>
      </w:r>
    </w:p>
    <w:p w14:paraId="7766E9B1" w14:textId="77777777" w:rsidR="00B9549E"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Generar tecnología que sea compatibles con la situación de escasez de recursos, capital y de adversidad físico productiva</w:t>
      </w:r>
      <w:r w:rsidR="00822367">
        <w:rPr>
          <w:rFonts w:ascii="Arial" w:hAnsi="Arial" w:cs="Arial"/>
          <w:sz w:val="22"/>
          <w:szCs w:val="22"/>
        </w:rPr>
        <w:t>.</w:t>
      </w:r>
    </w:p>
    <w:p w14:paraId="422021FD" w14:textId="77777777" w:rsidR="00822367" w:rsidRPr="007923C2" w:rsidRDefault="00822367" w:rsidP="006F5829">
      <w:pPr>
        <w:jc w:val="both"/>
        <w:rPr>
          <w:rFonts w:ascii="Arial" w:hAnsi="Arial" w:cs="Arial"/>
          <w:sz w:val="22"/>
          <w:szCs w:val="22"/>
        </w:rPr>
      </w:pPr>
    </w:p>
    <w:p w14:paraId="65C4B5F5" w14:textId="77777777" w:rsidR="00991E04" w:rsidRPr="007923C2" w:rsidRDefault="00B9549E" w:rsidP="006F5829">
      <w:pPr>
        <w:jc w:val="both"/>
        <w:rPr>
          <w:rFonts w:ascii="Arial" w:hAnsi="Arial" w:cs="Arial"/>
          <w:b/>
          <w:sz w:val="22"/>
          <w:szCs w:val="22"/>
        </w:rPr>
      </w:pPr>
      <w:r w:rsidRPr="007923C2">
        <w:rPr>
          <w:rFonts w:ascii="Arial" w:hAnsi="Arial" w:cs="Arial"/>
          <w:b/>
          <w:sz w:val="22"/>
          <w:szCs w:val="22"/>
        </w:rPr>
        <w:t>FUERZAS</w:t>
      </w:r>
      <w:r w:rsidR="00702E40">
        <w:rPr>
          <w:rFonts w:ascii="Arial" w:hAnsi="Arial" w:cs="Arial"/>
          <w:b/>
          <w:sz w:val="22"/>
          <w:szCs w:val="22"/>
        </w:rPr>
        <w:t xml:space="preserve"> </w:t>
      </w:r>
      <w:r w:rsidRPr="007923C2">
        <w:rPr>
          <w:rFonts w:ascii="Arial" w:hAnsi="Arial" w:cs="Arial"/>
          <w:b/>
          <w:sz w:val="22"/>
          <w:szCs w:val="22"/>
        </w:rPr>
        <w:t>EXTERNAS</w:t>
      </w:r>
      <w:r w:rsidR="00702E40">
        <w:rPr>
          <w:rFonts w:ascii="Arial" w:hAnsi="Arial" w:cs="Arial"/>
          <w:b/>
          <w:sz w:val="22"/>
          <w:szCs w:val="22"/>
        </w:rPr>
        <w:t xml:space="preserve"> </w:t>
      </w:r>
      <w:r w:rsidRPr="007923C2">
        <w:rPr>
          <w:rFonts w:ascii="Arial" w:hAnsi="Arial" w:cs="Arial"/>
          <w:b/>
          <w:sz w:val="22"/>
          <w:szCs w:val="22"/>
        </w:rPr>
        <w:t>ANÁLISIS</w:t>
      </w:r>
      <w:r w:rsidR="00702E40">
        <w:rPr>
          <w:rFonts w:ascii="Arial" w:hAnsi="Arial" w:cs="Arial"/>
          <w:b/>
          <w:sz w:val="22"/>
          <w:szCs w:val="22"/>
        </w:rPr>
        <w:t xml:space="preserve"> </w:t>
      </w:r>
      <w:r w:rsidRPr="007923C2">
        <w:rPr>
          <w:rFonts w:ascii="Arial" w:hAnsi="Arial" w:cs="Arial"/>
          <w:b/>
          <w:sz w:val="22"/>
          <w:szCs w:val="22"/>
        </w:rPr>
        <w:t>DE LAS</w:t>
      </w:r>
      <w:r w:rsidR="00702E40">
        <w:rPr>
          <w:rFonts w:ascii="Arial" w:hAnsi="Arial" w:cs="Arial"/>
          <w:b/>
          <w:sz w:val="22"/>
          <w:szCs w:val="22"/>
        </w:rPr>
        <w:t xml:space="preserve"> </w:t>
      </w:r>
      <w:r w:rsidRPr="007923C2">
        <w:rPr>
          <w:rFonts w:ascii="Arial" w:hAnsi="Arial" w:cs="Arial"/>
          <w:b/>
          <w:sz w:val="22"/>
          <w:szCs w:val="22"/>
        </w:rPr>
        <w:t>VARIABLES</w:t>
      </w:r>
      <w:r w:rsidR="00702E40">
        <w:rPr>
          <w:rFonts w:ascii="Arial" w:hAnsi="Arial" w:cs="Arial"/>
          <w:b/>
          <w:sz w:val="22"/>
          <w:szCs w:val="22"/>
        </w:rPr>
        <w:t xml:space="preserve"> </w:t>
      </w:r>
      <w:r w:rsidRPr="007923C2">
        <w:rPr>
          <w:rFonts w:ascii="Arial" w:hAnsi="Arial" w:cs="Arial"/>
          <w:b/>
          <w:sz w:val="22"/>
          <w:szCs w:val="22"/>
        </w:rPr>
        <w:t>CLAVES</w:t>
      </w:r>
      <w:r w:rsidR="00702E40">
        <w:rPr>
          <w:rFonts w:ascii="Arial" w:hAnsi="Arial" w:cs="Arial"/>
          <w:b/>
          <w:sz w:val="22"/>
          <w:szCs w:val="22"/>
        </w:rPr>
        <w:t xml:space="preserve"> </w:t>
      </w:r>
      <w:r w:rsidRPr="007923C2">
        <w:rPr>
          <w:rFonts w:ascii="Arial" w:hAnsi="Arial" w:cs="Arial"/>
          <w:b/>
          <w:sz w:val="22"/>
          <w:szCs w:val="22"/>
        </w:rPr>
        <w:t>PARA</w:t>
      </w:r>
      <w:r w:rsidR="00702E40">
        <w:rPr>
          <w:rFonts w:ascii="Arial" w:hAnsi="Arial" w:cs="Arial"/>
          <w:b/>
          <w:sz w:val="22"/>
          <w:szCs w:val="22"/>
        </w:rPr>
        <w:t xml:space="preserve"> </w:t>
      </w:r>
      <w:r w:rsidRPr="007923C2">
        <w:rPr>
          <w:rFonts w:ascii="Arial" w:hAnsi="Arial" w:cs="Arial"/>
          <w:b/>
          <w:sz w:val="22"/>
          <w:szCs w:val="22"/>
        </w:rPr>
        <w:t>UN</w:t>
      </w:r>
      <w:r w:rsidR="00702E40">
        <w:rPr>
          <w:rFonts w:ascii="Arial" w:hAnsi="Arial" w:cs="Arial"/>
          <w:b/>
          <w:sz w:val="22"/>
          <w:szCs w:val="22"/>
        </w:rPr>
        <w:t xml:space="preserve"> </w:t>
      </w:r>
      <w:r w:rsidRPr="007923C2">
        <w:rPr>
          <w:rFonts w:ascii="Arial" w:hAnsi="Arial" w:cs="Arial"/>
          <w:b/>
          <w:sz w:val="22"/>
          <w:szCs w:val="22"/>
        </w:rPr>
        <w:t>AGROBIÓLOGO</w:t>
      </w:r>
    </w:p>
    <w:p w14:paraId="46856A0B" w14:textId="77777777" w:rsidR="00991E04" w:rsidRPr="007923C2" w:rsidRDefault="00991E04" w:rsidP="006F5829">
      <w:pPr>
        <w:jc w:val="both"/>
        <w:rPr>
          <w:rFonts w:ascii="Arial" w:hAnsi="Arial" w:cs="Arial"/>
          <w:b/>
          <w:sz w:val="22"/>
          <w:szCs w:val="22"/>
        </w:rPr>
      </w:pPr>
      <w:r w:rsidRPr="007923C2">
        <w:rPr>
          <w:rFonts w:ascii="Arial" w:hAnsi="Arial" w:cs="Arial"/>
          <w:b/>
          <w:sz w:val="22"/>
          <w:szCs w:val="22"/>
        </w:rPr>
        <w:t xml:space="preserve">4.2.1.- </w:t>
      </w:r>
      <w:r w:rsidR="00EB2907" w:rsidRPr="007923C2">
        <w:rPr>
          <w:rFonts w:ascii="Arial" w:hAnsi="Arial" w:cs="Arial"/>
          <w:b/>
          <w:sz w:val="22"/>
          <w:szCs w:val="22"/>
        </w:rPr>
        <w:t>VARIABLES</w:t>
      </w:r>
      <w:r w:rsidR="00702E40">
        <w:rPr>
          <w:rFonts w:ascii="Arial" w:hAnsi="Arial" w:cs="Arial"/>
          <w:b/>
          <w:sz w:val="22"/>
          <w:szCs w:val="22"/>
        </w:rPr>
        <w:t xml:space="preserve"> </w:t>
      </w:r>
      <w:r w:rsidR="00EB2907" w:rsidRPr="007923C2">
        <w:rPr>
          <w:rFonts w:ascii="Arial" w:hAnsi="Arial" w:cs="Arial"/>
          <w:b/>
          <w:sz w:val="22"/>
          <w:szCs w:val="22"/>
        </w:rPr>
        <w:t>ECONÓMICAS</w:t>
      </w:r>
    </w:p>
    <w:p w14:paraId="0742135F"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El alumno egresado de la carrera de Ing en Agrobiología puede perfectamente adaptarse al cambio de una economía de productos a una de servicios.</w:t>
      </w:r>
    </w:p>
    <w:p w14:paraId="0CEDE228"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La diversidad de la carrera permite que el profesionista pueda ejercer diferentes tipos de empleos.</w:t>
      </w:r>
    </w:p>
    <w:p w14:paraId="1D09C651" w14:textId="77777777" w:rsidR="00991E04" w:rsidRPr="007923C2" w:rsidRDefault="00991E04" w:rsidP="006F5829">
      <w:pPr>
        <w:jc w:val="both"/>
        <w:rPr>
          <w:rFonts w:ascii="Arial" w:hAnsi="Arial" w:cs="Arial"/>
          <w:b/>
          <w:sz w:val="22"/>
          <w:szCs w:val="22"/>
        </w:rPr>
      </w:pPr>
      <w:r w:rsidRPr="007923C2">
        <w:rPr>
          <w:rFonts w:ascii="Arial" w:hAnsi="Arial" w:cs="Arial"/>
          <w:b/>
          <w:sz w:val="22"/>
          <w:szCs w:val="22"/>
        </w:rPr>
        <w:t>4.2.1.1.-CAMBIO DE UNA ECONOMÍA DE PRODUCTOS A UNA DE SERVICIOS</w:t>
      </w:r>
    </w:p>
    <w:p w14:paraId="1B09C43B"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México en su contexto económico social</w:t>
      </w:r>
      <w:r w:rsidR="001A5FD0" w:rsidRPr="007923C2">
        <w:rPr>
          <w:rFonts w:ascii="Arial" w:hAnsi="Arial" w:cs="Arial"/>
          <w:sz w:val="22"/>
          <w:szCs w:val="22"/>
        </w:rPr>
        <w:t>.</w:t>
      </w:r>
    </w:p>
    <w:p w14:paraId="60B9C4C1"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La globalización es un término que surgió en el último lustro de los años 80 ante la inminente caída de la Unión Soviética y desmoronamiento del bloque socialista, como el término de la guerra fría.</w:t>
      </w:r>
    </w:p>
    <w:p w14:paraId="51BDF83A"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En el mundo dominan básicamente tres tipos de regímenes económicos: los llamados regímenes de costumbre o tradición, propios de muchas naciones en vías de desarrollo de países de África y Asia. Las economías de mercado o capitalismo, y las economías de planificación central o socialismo.</w:t>
      </w:r>
    </w:p>
    <w:p w14:paraId="7FE8BA49"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El mundo bipolar cambió de dimensión entre el bloque capitalista y el socialista ante la caída de la Unión Soviética, no obstante persisten con éxito naciones como China comunista y Cuba. Al término de la guerra fría de alguna manera se suma al decaimiento del fordismo ante la crisis de la economía de la muerte que lideran los Estados Unidos y la OTAN.</w:t>
      </w:r>
    </w:p>
    <w:p w14:paraId="1E3F6DF8"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Las grandes contradicciones surgen dentro de una geografía que expresa regiones con distintos grados de desarrollo: el primer mundo de naciones con alto nivel de ingreso, el segundo mundo socialista y las naciones en vías de desarrollo o tercer mundo.</w:t>
      </w:r>
    </w:p>
    <w:p w14:paraId="026A88DB"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Así también están los grandes problemas mundiales como son la población, el hambre, la pobreza, el deterioro del ecosistema. La fuerza cada día mayor de las empresas multinacionales, los Estados nacionales y las crisis de la regulación estatal, entre otros más.</w:t>
      </w:r>
    </w:p>
    <w:p w14:paraId="4C10F128"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lastRenderedPageBreak/>
        <w:t>Las inercias de la estructura internacional en materia de la estimación de las economías mundiales, la polarización del ingreso entre las naciones y la proliferación de la pobreza.</w:t>
      </w:r>
    </w:p>
    <w:p w14:paraId="41005CD5"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México se integra al esquema  económico regional de las Américas bajo la tónica del Consenso de Washington, desde los años 80. Las políticas internas siguen las pautas de las tesis neoliberal y es ahora una de las economías latinoamericanas que presentan los mayores avances en su integración continental, y extra continental, así como una de las economías con más apertura y tras nacionalización.</w:t>
      </w:r>
    </w:p>
    <w:p w14:paraId="45F624EE"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No obstante, es muy cuestionable el nuevo esquema económico asumido puesto que las contradicciones internas se están agudizando y la formación social mexicana presenta síntomas de conflicto. La urgencia se hace más imperante y al parecer aún los grandes avances logrados en la implantación de un modelo de desarrollo hacia fuera no da en la dimensión necesaria las soluciones esperadas.</w:t>
      </w:r>
    </w:p>
    <w:p w14:paraId="0EF3983A"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El grave rezago tecnológico del país se traduce en una fuerte dependencia tecnológica del extranjero, dominantemente de los Estados Unidos. La falta de competitividad de las exportaciones mexicanas, entre otros factores, hacen que los términos de intercambio sean desproporcionales lo que significa déficit perentorios en la cuenta corriente de la balanza de pagos, finalmente, la disminución de reservas llevan a la nación a un continuo deslizamiento de la paridad cambiaria ante el dólar y el aumento del endeudamiento externo.</w:t>
      </w:r>
    </w:p>
    <w:p w14:paraId="3223B3C6"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No obstante el carácter multilateralista y librecambista de las reformas institucionales en materia comercial, domina un unilateralista y bilateralismo en el manejo del endeudamiento de las instituciones acreedoras internacionales tales como son el FMI, el BM y los bancos centrales de las naciones industrializadas. Conlleva entonces a que los problemas del subdesarrollo se traduzcan de conflictos en torno al financiamiento del desarrollo, donde los problemas de las naciones en vías de desarrollo pasan de ser de tipo estructural a financiero. Lo que pretendía resolver los problemas de una nación, ahora es el principal problema y obstáculo para su desarrollo.</w:t>
      </w:r>
    </w:p>
    <w:p w14:paraId="1EB49071"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Ante este cuadro, la vialidad a que las asimetrías existentes entre el centro y la periferia se aminoren, queda distantes de una realidad en el mediano o largo plazo, la tendencia es que se amplié el abismo entre el desarrollo y el subdesarrollo.</w:t>
      </w:r>
    </w:p>
    <w:p w14:paraId="10160CE8"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Se cuestiona entonces la estrategia que el orden económico internacional establece para resolver las seis grandes interrogantes de las economías nacionales: ¿Qué producir? ¿Cuánto producir? </w:t>
      </w:r>
      <w:r w:rsidR="001A5FD0" w:rsidRPr="007923C2">
        <w:rPr>
          <w:rFonts w:ascii="Arial" w:hAnsi="Arial" w:cs="Arial"/>
          <w:sz w:val="22"/>
          <w:szCs w:val="22"/>
        </w:rPr>
        <w:t>y</w:t>
      </w:r>
      <w:r w:rsidRPr="007923C2">
        <w:rPr>
          <w:rFonts w:ascii="Arial" w:hAnsi="Arial" w:cs="Arial"/>
          <w:sz w:val="22"/>
          <w:szCs w:val="22"/>
        </w:rPr>
        <w:t xml:space="preserve"> ¿Para quién producir? ¿Hasta dónde es sustentable lo sostenido? ¿Hasta dónde es sostenible el sustento?</w:t>
      </w:r>
    </w:p>
    <w:p w14:paraId="38F9C931"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Se requiere un nuevo orden económico internacional que por un lado sea sostenido por sus propias fuerzas motoras y lógica inherente de reproducción, que resuelva las necesidades del hombre actual, pero que a su vez sea sustentable en el manejo eficiente de los recursos bajo la óptica de que no se puede aspirar a crecer ilimitadamente ante recursos limitados, y que prevea las necesidades del hombre futuro.  Las postulaciones son varias: por las económicas de planificación central neomarxismo. Por las economías de mercado noratlánticas el neoliberalismo. Y por algunas economías europeas la tesis de la tercera vía.</w:t>
      </w:r>
    </w:p>
    <w:p w14:paraId="61A83D62"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lastRenderedPageBreak/>
        <w:t>México se sumó al orden neoliberal, pero hay posiciones distintas puesto que las necesidades apremiantes del país, y a 20 años de políticas neoliberales, los conflictos se enconan en expresiones sociales y políticas de mayor violencia.</w:t>
      </w:r>
    </w:p>
    <w:p w14:paraId="0E47B79D"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Es por ello que el modelo aparenta una obsolescencia prematura y prevalece la inquietud de procurar un nuevo orden que observar las urgencias nacionales más que los intereses sectorizados trasnacionales.</w:t>
      </w:r>
    </w:p>
    <w:p w14:paraId="705BC1CC"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La búsqueda de mayor captación de divisas para la nación por distintas vías, en el caso del turismo internacional, en México sigue como estrategia la inclusión de fuertes montos de IED en desarrollos turísticos y otros servicios a este tipo de turismo. En este afán se crea un mecanismo por el cual vía honorarios, beneficios y deuda externa, las divisas captadas vuelven a salir del país.</w:t>
      </w:r>
    </w:p>
    <w:p w14:paraId="0B269F0E"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La transición económica del país implica la confrontación de intereses conservados con los innovadores, la conformación social mexicana presenta graves problemas que presionan por sus urgencias a una atención inmediata, para ello la inversión nacional no basta, pero por otra parte, los escasos recursos son distraídos por lo que se puede llamar la “elitización de la inversión pública” al canalizarse a intereses de grupo, comprados (vendidos) al capital, desatendiendo estas urgencias básicas. Esto es evidente tanto en la social democracia como en la democracia cristiana, pero en un régimen de gobierno ultraderechista, la situación se extrema.</w:t>
      </w:r>
    </w:p>
    <w:p w14:paraId="63B09DF2"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En el régimen actual hay un abierto abandono de las necesidades públicas de la población tanto por carencia de recursos como la elitización de la inversión pública, a lo que se llama “ingobernabilidad”.</w:t>
      </w:r>
    </w:p>
    <w:p w14:paraId="09A84028"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El estado mexicano desde la década de los 80 concesiona paulatinamente las instancias del gobierno a la iniciativa privada. El interés lucrativo de asimilar los servicios públicos por particulares, muchas veces es ajeno al interés social y público, esta desincorporación de las actividades del Estado expresan una precarización de los servicios que requiere la población en materia de educación, salud, asistencia social, seguridad, entre otros servicios.</w:t>
      </w:r>
    </w:p>
    <w:p w14:paraId="16B1FFF2"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Prosperan desarrollos de inversión pública en correspondencia a intereses de la empresa, pero a cambio se abandonan la intención de grandes núcleos de la población, se subestiman y subordinan a intereses de la acumulación capitalista. Se tienen entonces un Estado mexicano en subordinación de la empresa, nacional como extranjera.</w:t>
      </w:r>
    </w:p>
    <w:p w14:paraId="45B4B058" w14:textId="77777777" w:rsidR="00991E04" w:rsidRPr="007923C2" w:rsidRDefault="00991E04" w:rsidP="006F5829">
      <w:pPr>
        <w:jc w:val="both"/>
        <w:rPr>
          <w:rFonts w:ascii="Arial" w:hAnsi="Arial" w:cs="Arial"/>
          <w:sz w:val="22"/>
          <w:szCs w:val="22"/>
        </w:rPr>
      </w:pPr>
    </w:p>
    <w:p w14:paraId="3FDDFA1C" w14:textId="77777777" w:rsidR="00991E04" w:rsidRPr="007923C2" w:rsidRDefault="00991E04" w:rsidP="006F5829">
      <w:pPr>
        <w:jc w:val="both"/>
        <w:rPr>
          <w:rFonts w:ascii="Arial" w:hAnsi="Arial" w:cs="Arial"/>
          <w:b/>
          <w:sz w:val="22"/>
          <w:szCs w:val="22"/>
        </w:rPr>
      </w:pPr>
      <w:r w:rsidRPr="007923C2">
        <w:rPr>
          <w:rFonts w:ascii="Arial" w:hAnsi="Arial" w:cs="Arial"/>
          <w:b/>
          <w:sz w:val="22"/>
          <w:szCs w:val="22"/>
        </w:rPr>
        <w:t>4.2.1.2.-TENDENCIA DEL PIB AGROPECUARIO</w:t>
      </w:r>
    </w:p>
    <w:p w14:paraId="41D0CB5B"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commentReference w:id="3"/>
      </w:r>
      <w:r w:rsidRPr="007923C2">
        <w:rPr>
          <w:rFonts w:ascii="Arial" w:hAnsi="Arial" w:cs="Arial"/>
          <w:sz w:val="22"/>
          <w:szCs w:val="22"/>
        </w:rPr>
        <w:t>Los múltiples problemas en el campo mexicano están dando, desde hace algunos decenios, muchas señales de alerta. La naturaleza de esta problemática es tanto política como económica y social.</w:t>
      </w:r>
    </w:p>
    <w:p w14:paraId="02162AF8"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Su dimensión política y social se advierte en el hecho de que ahí viven 26 millones de mexicanos, de los cuales más de 80% es pobre, y 16 millones más viven en pobreza extrema; en 33% de los hogares, los jefes de familia son analfabetas y los jóvenes prefieren emigrar a las ciudades o caer en la delincuencia organizada.</w:t>
      </w:r>
    </w:p>
    <w:p w14:paraId="277B1575"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Económicamente, el panorama es desolador y expresa la perversidad del subdesarrollo: de las unidades de producción rural 72% es trabajada por campesinos, indígenas y pequeños productores con superficies menores a cinco hectáreas y producen para el autoconsumo; 22% lo es por pequeños </w:t>
      </w:r>
      <w:r w:rsidRPr="007923C2">
        <w:rPr>
          <w:rFonts w:ascii="Arial" w:hAnsi="Arial" w:cs="Arial"/>
          <w:sz w:val="22"/>
          <w:szCs w:val="22"/>
        </w:rPr>
        <w:lastRenderedPageBreak/>
        <w:t>productores con superficies de cuatro a 20 hectáreas, produciendo para el autoconsumo y algo para el mercado local; sólo 6% de los productores son empresarios que canalizan sus mercancías al mercado nacional e internacional.</w:t>
      </w:r>
    </w:p>
    <w:p w14:paraId="37F2E72C"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Macroeconómicamente la inversión es insignificante, menor a 1% del PIB y la producción total agropecuaria sólo representa 3% del PIB.</w:t>
      </w:r>
    </w:p>
    <w:p w14:paraId="7C9B6044"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En los países de la Organización para la Cooperación y el Desarrollo Económico, a la que México pertenece, el promedio del PIB agropecuario es de 32% del PIB total. Si se lograra en nuestro país hacer que el sector agropecuario, por lo menos representara 10% del PIB nacional, se habrá realizado un gran avance. De lo contrario únicamente se habrán sembrado palabras.</w:t>
      </w:r>
    </w:p>
    <w:p w14:paraId="6FC9165F"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Se puede caracterizar al sector agropecuario así: rezagado, incompetente, desequilibrado y lo peor es que se pone en peligro la seguridad y soberanía alimenticia del país. Enrique de la Madrid, coordinador para el Campo del equipo de transición, advertía de estos peligros en la entrevista reciente que le hizo El Economista, donde aseguró: “La FAO indica que los países no deberían de importar más de 25% de los alimentos que consumen. En México estamos importando 43% de los alimentos básicos que consumimos. O sea, hemos aumentado la dependencia alimentaria en productos tales como el maíz, al importar 30%; en arroz importamos más de 70%; en oleaginosas y en soya 95%; en carne de puerco 40 por ciento”.</w:t>
      </w:r>
    </w:p>
    <w:p w14:paraId="106C3C84"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En los problemas y respuestas hay de todo, visiones parciales, utopías, enredos conceptuales, una larga enumeración de buenas intenciones o la visión autocomplaciente de pragmatismo de los que dicen que saben, pero que no tienen contexto global.</w:t>
      </w:r>
    </w:p>
    <w:p w14:paraId="235A4D20"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El Presidente electo ha señalado dos compromisos que articularán todo el andamiaje burocrático y de políticas normativas: la seguridad alimenticia y eliminar la pobreza alimentaria.</w:t>
      </w:r>
    </w:p>
    <w:p w14:paraId="5A4D8ECD"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Asociado a estos objetivos, está la consideración de aumentar la producción de alimentos, que son fundamentales para la emergencia. </w:t>
      </w:r>
    </w:p>
    <w:p w14:paraId="6C6C47EE"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Paralelamente, realizar una reforma profunda de reconversión productiva de todo el sector agropecuario, sustituyendo cultivos, para obtener mayores ingresos, rendimientos y ventajas competitivas, así como un cambio en el uso del suelo, de actividades agrícolas a ganaderas y silvícolas.</w:t>
      </w:r>
    </w:p>
    <w:p w14:paraId="11106029"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También tendrán que realizarse acciones en materia de financiamiento para obtener mayores plazos y menores tasas de interés. Asimismo, medidas importantes en agua, tecnología, extensionismo renovado, para citar sólo unos ejemplos de los medios más importantes para lograr los fines buscados</w:t>
      </w:r>
    </w:p>
    <w:p w14:paraId="3C45D18C" w14:textId="77777777" w:rsidR="00991E04" w:rsidRDefault="00991E04" w:rsidP="006F5829">
      <w:pPr>
        <w:jc w:val="both"/>
        <w:rPr>
          <w:rFonts w:ascii="Arial" w:hAnsi="Arial" w:cs="Arial"/>
          <w:sz w:val="22"/>
          <w:szCs w:val="22"/>
        </w:rPr>
      </w:pPr>
      <w:r w:rsidRPr="007923C2">
        <w:rPr>
          <w:rFonts w:ascii="Arial" w:hAnsi="Arial" w:cs="Arial"/>
          <w:sz w:val="22"/>
          <w:szCs w:val="22"/>
        </w:rPr>
        <w:t xml:space="preserve">México: El PIB ascendió un </w:t>
      </w:r>
      <w:commentRangeStart w:id="4"/>
      <w:r w:rsidRPr="007923C2">
        <w:rPr>
          <w:rFonts w:ascii="Arial" w:hAnsi="Arial" w:cs="Arial"/>
          <w:sz w:val="22"/>
          <w:szCs w:val="22"/>
        </w:rPr>
        <w:t>2,1%</w:t>
      </w:r>
      <w:commentRangeEnd w:id="4"/>
      <w:r w:rsidRPr="007923C2">
        <w:rPr>
          <w:rFonts w:ascii="Arial" w:hAnsi="Arial" w:cs="Arial"/>
          <w:sz w:val="22"/>
          <w:szCs w:val="22"/>
        </w:rPr>
        <w:commentReference w:id="4"/>
      </w:r>
      <w:r w:rsidR="00702E40">
        <w:rPr>
          <w:rFonts w:ascii="Arial" w:hAnsi="Arial" w:cs="Arial"/>
          <w:sz w:val="22"/>
          <w:szCs w:val="22"/>
        </w:rPr>
        <w:t xml:space="preserve"> e</w:t>
      </w:r>
      <w:r w:rsidRPr="007923C2">
        <w:rPr>
          <w:rFonts w:ascii="Arial" w:hAnsi="Arial" w:cs="Arial"/>
          <w:sz w:val="22"/>
          <w:szCs w:val="22"/>
        </w:rPr>
        <w:t>l producto interior bruto de</w:t>
      </w:r>
      <w:r w:rsidR="0051650D" w:rsidRPr="007923C2">
        <w:rPr>
          <w:rFonts w:ascii="Arial" w:hAnsi="Arial" w:cs="Arial"/>
          <w:sz w:val="22"/>
          <w:szCs w:val="22"/>
        </w:rPr>
        <w:t xml:space="preserve"> México</w:t>
      </w:r>
      <w:r w:rsidRPr="007923C2">
        <w:rPr>
          <w:rFonts w:ascii="Arial" w:hAnsi="Arial" w:cs="Arial"/>
          <w:sz w:val="22"/>
          <w:szCs w:val="22"/>
        </w:rPr>
        <w:t xml:space="preserve"> 2014 ha crecido un 2,1% respecto a 2013. Se trata de una tasa 7 décimas mayor que la de 2013, que fue del 1,4%. </w:t>
      </w:r>
    </w:p>
    <w:p w14:paraId="5D84BABB"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En 2014 la cifra del PIB fue de 965.074 M.€1.282.725 M.$, con lo que México es la economía número 15 en el ranking de los 196 países de los que publicamos el PIB. El valor absoluto del PIB en México creció 16.992 M.€20.475 M.$ respecto a 2013.</w:t>
      </w:r>
    </w:p>
    <w:p w14:paraId="47FC6DBA"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El PIB Per cápita de México en 2014 fue de 8.061€10.715$, 53€54$ mayor que el de 2013, que fue de 8.008€10.661$. Para ver la evolución del PIB per cápita resulta interesante mirar unos años atrás y comparar estos datos con los del año 2004 cuando el PIB per cápita en México era de 5.8457.270$. </w:t>
      </w:r>
    </w:p>
    <w:p w14:paraId="3A0A5196"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lastRenderedPageBreak/>
        <w:t>Si ordenamos los países que publicamos en función de su PIB per cápita, México se encuentra en el puesto 69 de los 196 países de los que publicamos este dato.</w:t>
      </w:r>
    </w:p>
    <w:p w14:paraId="38E8B93D"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Evolución anual PIB México</w:t>
      </w:r>
    </w:p>
    <w:tbl>
      <w:tblPr>
        <w:tblW w:w="5000" w:type="pct"/>
        <w:tblCellMar>
          <w:top w:w="15" w:type="dxa"/>
          <w:left w:w="15" w:type="dxa"/>
          <w:bottom w:w="15" w:type="dxa"/>
          <w:right w:w="15" w:type="dxa"/>
        </w:tblCellMar>
        <w:tblLook w:val="04A0" w:firstRow="1" w:lastRow="0" w:firstColumn="1" w:lastColumn="0" w:noHBand="0" w:noVBand="1"/>
      </w:tblPr>
      <w:tblGrid>
        <w:gridCol w:w="1620"/>
        <w:gridCol w:w="2624"/>
        <w:gridCol w:w="2916"/>
        <w:gridCol w:w="2720"/>
      </w:tblGrid>
      <w:tr w:rsidR="006F5829" w:rsidRPr="007923C2" w14:paraId="6C7322CC" w14:textId="77777777" w:rsidTr="00991E04">
        <w:trPr>
          <w:tblHeader/>
        </w:trPr>
        <w:tc>
          <w:tcPr>
            <w:tcW w:w="0" w:type="auto"/>
            <w:tcMar>
              <w:top w:w="0" w:type="dxa"/>
              <w:left w:w="0" w:type="dxa"/>
              <w:bottom w:w="0" w:type="dxa"/>
              <w:right w:w="0" w:type="dxa"/>
            </w:tcMar>
            <w:vAlign w:val="center"/>
            <w:hideMark/>
          </w:tcPr>
          <w:p w14:paraId="53173984"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Fecha</w:t>
            </w:r>
          </w:p>
        </w:tc>
        <w:tc>
          <w:tcPr>
            <w:tcW w:w="0" w:type="auto"/>
            <w:tcMar>
              <w:top w:w="0" w:type="dxa"/>
              <w:left w:w="0" w:type="dxa"/>
              <w:bottom w:w="0" w:type="dxa"/>
              <w:right w:w="0" w:type="dxa"/>
            </w:tcMar>
            <w:vAlign w:val="center"/>
            <w:hideMark/>
          </w:tcPr>
          <w:p w14:paraId="3D066D6C"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PIB Mill. €</w:t>
            </w:r>
          </w:p>
        </w:tc>
        <w:tc>
          <w:tcPr>
            <w:tcW w:w="0" w:type="auto"/>
            <w:tcMar>
              <w:top w:w="0" w:type="dxa"/>
              <w:left w:w="0" w:type="dxa"/>
              <w:bottom w:w="0" w:type="dxa"/>
              <w:right w:w="0" w:type="dxa"/>
            </w:tcMar>
            <w:vAlign w:val="center"/>
            <w:hideMark/>
          </w:tcPr>
          <w:p w14:paraId="3AA0945D"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PIB Mill. $</w:t>
            </w:r>
          </w:p>
        </w:tc>
        <w:tc>
          <w:tcPr>
            <w:tcW w:w="0" w:type="auto"/>
            <w:tcMar>
              <w:top w:w="0" w:type="dxa"/>
              <w:left w:w="0" w:type="dxa"/>
              <w:bottom w:w="0" w:type="dxa"/>
              <w:right w:w="0" w:type="dxa"/>
            </w:tcMar>
            <w:vAlign w:val="center"/>
            <w:hideMark/>
          </w:tcPr>
          <w:p w14:paraId="3D687C3E"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Var. Anual</w:t>
            </w:r>
          </w:p>
        </w:tc>
      </w:tr>
      <w:tr w:rsidR="006F5829" w:rsidRPr="007923C2" w14:paraId="2AB9093E" w14:textId="77777777" w:rsidTr="00991E04">
        <w:tc>
          <w:tcPr>
            <w:tcW w:w="0" w:type="auto"/>
            <w:tcMar>
              <w:top w:w="0" w:type="dxa"/>
              <w:left w:w="0" w:type="dxa"/>
              <w:bottom w:w="0" w:type="dxa"/>
              <w:right w:w="0" w:type="dxa"/>
            </w:tcMar>
            <w:vAlign w:val="center"/>
            <w:hideMark/>
          </w:tcPr>
          <w:p w14:paraId="180AE8DE"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2014</w:t>
            </w:r>
          </w:p>
        </w:tc>
        <w:tc>
          <w:tcPr>
            <w:tcW w:w="0" w:type="auto"/>
            <w:tcMar>
              <w:top w:w="0" w:type="dxa"/>
              <w:left w:w="0" w:type="dxa"/>
              <w:bottom w:w="0" w:type="dxa"/>
              <w:right w:w="0" w:type="dxa"/>
            </w:tcMar>
            <w:vAlign w:val="center"/>
            <w:hideMark/>
          </w:tcPr>
          <w:p w14:paraId="759450C1"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965.074€</w:t>
            </w:r>
          </w:p>
        </w:tc>
        <w:tc>
          <w:tcPr>
            <w:tcW w:w="0" w:type="auto"/>
            <w:tcMar>
              <w:top w:w="0" w:type="dxa"/>
              <w:left w:w="0" w:type="dxa"/>
              <w:bottom w:w="0" w:type="dxa"/>
              <w:right w:w="0" w:type="dxa"/>
            </w:tcMar>
            <w:vAlign w:val="center"/>
            <w:hideMark/>
          </w:tcPr>
          <w:p w14:paraId="55EB0096"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1.282.725$</w:t>
            </w:r>
          </w:p>
        </w:tc>
        <w:tc>
          <w:tcPr>
            <w:tcW w:w="0" w:type="auto"/>
            <w:tcMar>
              <w:top w:w="0" w:type="dxa"/>
              <w:left w:w="0" w:type="dxa"/>
              <w:bottom w:w="0" w:type="dxa"/>
              <w:right w:w="0" w:type="dxa"/>
            </w:tcMar>
            <w:vAlign w:val="center"/>
            <w:hideMark/>
          </w:tcPr>
          <w:p w14:paraId="338259BA"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2,1%</w:t>
            </w:r>
          </w:p>
        </w:tc>
      </w:tr>
      <w:tr w:rsidR="006F5829" w:rsidRPr="007923C2" w14:paraId="42115FAB" w14:textId="77777777" w:rsidTr="00991E04">
        <w:tc>
          <w:tcPr>
            <w:tcW w:w="0" w:type="auto"/>
            <w:tcMar>
              <w:top w:w="0" w:type="dxa"/>
              <w:left w:w="0" w:type="dxa"/>
              <w:bottom w:w="0" w:type="dxa"/>
              <w:right w:w="0" w:type="dxa"/>
            </w:tcMar>
            <w:vAlign w:val="center"/>
            <w:hideMark/>
          </w:tcPr>
          <w:p w14:paraId="17A44CBE"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2013</w:t>
            </w:r>
          </w:p>
        </w:tc>
        <w:tc>
          <w:tcPr>
            <w:tcW w:w="0" w:type="auto"/>
            <w:tcMar>
              <w:top w:w="0" w:type="dxa"/>
              <w:left w:w="0" w:type="dxa"/>
              <w:bottom w:w="0" w:type="dxa"/>
              <w:right w:w="0" w:type="dxa"/>
            </w:tcMar>
            <w:vAlign w:val="center"/>
            <w:hideMark/>
          </w:tcPr>
          <w:p w14:paraId="1520D7DD"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948.082€</w:t>
            </w:r>
          </w:p>
        </w:tc>
        <w:tc>
          <w:tcPr>
            <w:tcW w:w="0" w:type="auto"/>
            <w:tcMar>
              <w:top w:w="0" w:type="dxa"/>
              <w:left w:w="0" w:type="dxa"/>
              <w:bottom w:w="0" w:type="dxa"/>
              <w:right w:w="0" w:type="dxa"/>
            </w:tcMar>
            <w:vAlign w:val="center"/>
            <w:hideMark/>
          </w:tcPr>
          <w:p w14:paraId="2805EDA9"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1.262.250$</w:t>
            </w:r>
          </w:p>
        </w:tc>
        <w:tc>
          <w:tcPr>
            <w:tcW w:w="0" w:type="auto"/>
            <w:tcMar>
              <w:top w:w="0" w:type="dxa"/>
              <w:left w:w="0" w:type="dxa"/>
              <w:bottom w:w="0" w:type="dxa"/>
              <w:right w:w="0" w:type="dxa"/>
            </w:tcMar>
            <w:vAlign w:val="center"/>
            <w:hideMark/>
          </w:tcPr>
          <w:p w14:paraId="067B44F7"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1,4%</w:t>
            </w:r>
          </w:p>
        </w:tc>
      </w:tr>
      <w:tr w:rsidR="006F5829" w:rsidRPr="007923C2" w14:paraId="17B8E17B" w14:textId="77777777" w:rsidTr="00991E04">
        <w:tc>
          <w:tcPr>
            <w:tcW w:w="0" w:type="auto"/>
            <w:tcMar>
              <w:top w:w="0" w:type="dxa"/>
              <w:left w:w="0" w:type="dxa"/>
              <w:bottom w:w="0" w:type="dxa"/>
              <w:right w:w="0" w:type="dxa"/>
            </w:tcMar>
            <w:vAlign w:val="center"/>
            <w:hideMark/>
          </w:tcPr>
          <w:p w14:paraId="2F8FF5D8"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2012</w:t>
            </w:r>
          </w:p>
        </w:tc>
        <w:tc>
          <w:tcPr>
            <w:tcW w:w="0" w:type="auto"/>
            <w:tcMar>
              <w:top w:w="0" w:type="dxa"/>
              <w:left w:w="0" w:type="dxa"/>
              <w:bottom w:w="0" w:type="dxa"/>
              <w:right w:w="0" w:type="dxa"/>
            </w:tcMar>
            <w:vAlign w:val="center"/>
            <w:hideMark/>
          </w:tcPr>
          <w:p w14:paraId="40D72753"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921.429€</w:t>
            </w:r>
          </w:p>
        </w:tc>
        <w:tc>
          <w:tcPr>
            <w:tcW w:w="0" w:type="auto"/>
            <w:tcMar>
              <w:top w:w="0" w:type="dxa"/>
              <w:left w:w="0" w:type="dxa"/>
              <w:bottom w:w="0" w:type="dxa"/>
              <w:right w:w="0" w:type="dxa"/>
            </w:tcMar>
            <w:vAlign w:val="center"/>
            <w:hideMark/>
          </w:tcPr>
          <w:p w14:paraId="190C7C69"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1.186.663$</w:t>
            </w:r>
          </w:p>
        </w:tc>
        <w:tc>
          <w:tcPr>
            <w:tcW w:w="0" w:type="auto"/>
            <w:tcMar>
              <w:top w:w="0" w:type="dxa"/>
              <w:left w:w="0" w:type="dxa"/>
              <w:bottom w:w="0" w:type="dxa"/>
              <w:right w:w="0" w:type="dxa"/>
            </w:tcMar>
            <w:vAlign w:val="center"/>
            <w:hideMark/>
          </w:tcPr>
          <w:p w14:paraId="0F0D9925"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4,0%</w:t>
            </w:r>
          </w:p>
        </w:tc>
      </w:tr>
      <w:tr w:rsidR="006F5829" w:rsidRPr="007923C2" w14:paraId="742007A0" w14:textId="77777777" w:rsidTr="00991E04">
        <w:tc>
          <w:tcPr>
            <w:tcW w:w="0" w:type="auto"/>
            <w:tcMar>
              <w:top w:w="0" w:type="dxa"/>
              <w:left w:w="0" w:type="dxa"/>
              <w:bottom w:w="0" w:type="dxa"/>
              <w:right w:w="0" w:type="dxa"/>
            </w:tcMar>
            <w:vAlign w:val="center"/>
            <w:hideMark/>
          </w:tcPr>
          <w:p w14:paraId="2AAEF8A3"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2011</w:t>
            </w:r>
          </w:p>
        </w:tc>
        <w:tc>
          <w:tcPr>
            <w:tcW w:w="0" w:type="auto"/>
            <w:tcMar>
              <w:top w:w="0" w:type="dxa"/>
              <w:left w:w="0" w:type="dxa"/>
              <w:bottom w:w="0" w:type="dxa"/>
              <w:right w:w="0" w:type="dxa"/>
            </w:tcMar>
            <w:vAlign w:val="center"/>
            <w:hideMark/>
          </w:tcPr>
          <w:p w14:paraId="15854D99"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840.415€</w:t>
            </w:r>
          </w:p>
        </w:tc>
        <w:tc>
          <w:tcPr>
            <w:tcW w:w="0" w:type="auto"/>
            <w:tcMar>
              <w:top w:w="0" w:type="dxa"/>
              <w:left w:w="0" w:type="dxa"/>
              <w:bottom w:w="0" w:type="dxa"/>
              <w:right w:w="0" w:type="dxa"/>
            </w:tcMar>
            <w:vAlign w:val="center"/>
            <w:hideMark/>
          </w:tcPr>
          <w:p w14:paraId="35FEABE4"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1.171.185$</w:t>
            </w:r>
          </w:p>
        </w:tc>
        <w:tc>
          <w:tcPr>
            <w:tcW w:w="0" w:type="auto"/>
            <w:tcMar>
              <w:top w:w="0" w:type="dxa"/>
              <w:left w:w="0" w:type="dxa"/>
              <w:bottom w:w="0" w:type="dxa"/>
              <w:right w:w="0" w:type="dxa"/>
            </w:tcMar>
            <w:vAlign w:val="center"/>
            <w:hideMark/>
          </w:tcPr>
          <w:p w14:paraId="06152458"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4,0%</w:t>
            </w:r>
          </w:p>
        </w:tc>
      </w:tr>
      <w:tr w:rsidR="006F5829" w:rsidRPr="007923C2" w14:paraId="1708E361" w14:textId="77777777" w:rsidTr="00991E04">
        <w:tc>
          <w:tcPr>
            <w:tcW w:w="0" w:type="auto"/>
            <w:tcMar>
              <w:top w:w="0" w:type="dxa"/>
              <w:left w:w="0" w:type="dxa"/>
              <w:bottom w:w="0" w:type="dxa"/>
              <w:right w:w="0" w:type="dxa"/>
            </w:tcMar>
            <w:vAlign w:val="center"/>
            <w:hideMark/>
          </w:tcPr>
          <w:p w14:paraId="0BD18628"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2010</w:t>
            </w:r>
          </w:p>
        </w:tc>
        <w:tc>
          <w:tcPr>
            <w:tcW w:w="0" w:type="auto"/>
            <w:tcMar>
              <w:top w:w="0" w:type="dxa"/>
              <w:left w:w="0" w:type="dxa"/>
              <w:bottom w:w="0" w:type="dxa"/>
              <w:right w:w="0" w:type="dxa"/>
            </w:tcMar>
            <w:vAlign w:val="center"/>
            <w:hideMark/>
          </w:tcPr>
          <w:p w14:paraId="001457EB"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791.265€</w:t>
            </w:r>
          </w:p>
        </w:tc>
        <w:tc>
          <w:tcPr>
            <w:tcW w:w="0" w:type="auto"/>
            <w:tcMar>
              <w:top w:w="0" w:type="dxa"/>
              <w:left w:w="0" w:type="dxa"/>
              <w:bottom w:w="0" w:type="dxa"/>
              <w:right w:w="0" w:type="dxa"/>
            </w:tcMar>
            <w:vAlign w:val="center"/>
            <w:hideMark/>
          </w:tcPr>
          <w:p w14:paraId="277D8C5E"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1.051.128$</w:t>
            </w:r>
          </w:p>
        </w:tc>
        <w:tc>
          <w:tcPr>
            <w:tcW w:w="0" w:type="auto"/>
            <w:tcMar>
              <w:top w:w="0" w:type="dxa"/>
              <w:left w:w="0" w:type="dxa"/>
              <w:bottom w:w="0" w:type="dxa"/>
              <w:right w:w="0" w:type="dxa"/>
            </w:tcMar>
            <w:vAlign w:val="center"/>
            <w:hideMark/>
          </w:tcPr>
          <w:p w14:paraId="167EBC42"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5,1%</w:t>
            </w:r>
          </w:p>
        </w:tc>
      </w:tr>
      <w:tr w:rsidR="006F5829" w:rsidRPr="007923C2" w14:paraId="7C11747C" w14:textId="77777777" w:rsidTr="00991E04">
        <w:tc>
          <w:tcPr>
            <w:tcW w:w="0" w:type="auto"/>
            <w:tcMar>
              <w:top w:w="0" w:type="dxa"/>
              <w:left w:w="0" w:type="dxa"/>
              <w:bottom w:w="0" w:type="dxa"/>
              <w:right w:w="0" w:type="dxa"/>
            </w:tcMar>
            <w:vAlign w:val="center"/>
            <w:hideMark/>
          </w:tcPr>
          <w:p w14:paraId="4B07CAF1"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2009</w:t>
            </w:r>
          </w:p>
        </w:tc>
        <w:tc>
          <w:tcPr>
            <w:tcW w:w="0" w:type="auto"/>
            <w:tcMar>
              <w:top w:w="0" w:type="dxa"/>
              <w:left w:w="0" w:type="dxa"/>
              <w:bottom w:w="0" w:type="dxa"/>
              <w:right w:w="0" w:type="dxa"/>
            </w:tcMar>
            <w:vAlign w:val="center"/>
            <w:hideMark/>
          </w:tcPr>
          <w:p w14:paraId="05015D11"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641.422€</w:t>
            </w:r>
          </w:p>
        </w:tc>
        <w:tc>
          <w:tcPr>
            <w:tcW w:w="0" w:type="auto"/>
            <w:tcMar>
              <w:top w:w="0" w:type="dxa"/>
              <w:left w:w="0" w:type="dxa"/>
              <w:bottom w:w="0" w:type="dxa"/>
              <w:right w:w="0" w:type="dxa"/>
            </w:tcMar>
            <w:vAlign w:val="center"/>
            <w:hideMark/>
          </w:tcPr>
          <w:p w14:paraId="205BFCAA"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894.950$</w:t>
            </w:r>
          </w:p>
        </w:tc>
        <w:tc>
          <w:tcPr>
            <w:tcW w:w="0" w:type="auto"/>
            <w:tcMar>
              <w:top w:w="0" w:type="dxa"/>
              <w:left w:w="0" w:type="dxa"/>
              <w:bottom w:w="0" w:type="dxa"/>
              <w:right w:w="0" w:type="dxa"/>
            </w:tcMar>
            <w:vAlign w:val="center"/>
            <w:hideMark/>
          </w:tcPr>
          <w:p w14:paraId="03F8D509"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-4,7%</w:t>
            </w:r>
          </w:p>
        </w:tc>
      </w:tr>
      <w:tr w:rsidR="006F5829" w:rsidRPr="007923C2" w14:paraId="10E2183A" w14:textId="77777777" w:rsidTr="00991E04">
        <w:tc>
          <w:tcPr>
            <w:tcW w:w="0" w:type="auto"/>
            <w:tcMar>
              <w:top w:w="0" w:type="dxa"/>
              <w:left w:w="0" w:type="dxa"/>
              <w:bottom w:w="0" w:type="dxa"/>
              <w:right w:w="0" w:type="dxa"/>
            </w:tcMar>
            <w:vAlign w:val="center"/>
            <w:hideMark/>
          </w:tcPr>
          <w:p w14:paraId="44AEBE6B"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2008</w:t>
            </w:r>
          </w:p>
        </w:tc>
        <w:tc>
          <w:tcPr>
            <w:tcW w:w="0" w:type="auto"/>
            <w:tcMar>
              <w:top w:w="0" w:type="dxa"/>
              <w:left w:w="0" w:type="dxa"/>
              <w:bottom w:w="0" w:type="dxa"/>
              <w:right w:w="0" w:type="dxa"/>
            </w:tcMar>
            <w:vAlign w:val="center"/>
            <w:hideMark/>
          </w:tcPr>
          <w:p w14:paraId="7ECBF4FF"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748.293€</w:t>
            </w:r>
          </w:p>
        </w:tc>
        <w:tc>
          <w:tcPr>
            <w:tcW w:w="0" w:type="auto"/>
            <w:tcMar>
              <w:top w:w="0" w:type="dxa"/>
              <w:left w:w="0" w:type="dxa"/>
              <w:bottom w:w="0" w:type="dxa"/>
              <w:right w:w="0" w:type="dxa"/>
            </w:tcMar>
            <w:vAlign w:val="center"/>
            <w:hideMark/>
          </w:tcPr>
          <w:p w14:paraId="7182CA94"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1.101.274$</w:t>
            </w:r>
          </w:p>
        </w:tc>
        <w:tc>
          <w:tcPr>
            <w:tcW w:w="0" w:type="auto"/>
            <w:tcMar>
              <w:top w:w="0" w:type="dxa"/>
              <w:left w:w="0" w:type="dxa"/>
              <w:bottom w:w="0" w:type="dxa"/>
              <w:right w:w="0" w:type="dxa"/>
            </w:tcMar>
            <w:vAlign w:val="center"/>
            <w:hideMark/>
          </w:tcPr>
          <w:p w14:paraId="41A277FE"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1,4%</w:t>
            </w:r>
          </w:p>
        </w:tc>
      </w:tr>
      <w:tr w:rsidR="006F5829" w:rsidRPr="007923C2" w14:paraId="03FAA8F3" w14:textId="77777777" w:rsidTr="00991E04">
        <w:tc>
          <w:tcPr>
            <w:tcW w:w="0" w:type="auto"/>
            <w:tcMar>
              <w:top w:w="0" w:type="dxa"/>
              <w:left w:w="0" w:type="dxa"/>
              <w:bottom w:w="0" w:type="dxa"/>
              <w:right w:w="0" w:type="dxa"/>
            </w:tcMar>
            <w:vAlign w:val="center"/>
            <w:hideMark/>
          </w:tcPr>
          <w:p w14:paraId="4CC83173"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2007</w:t>
            </w:r>
          </w:p>
        </w:tc>
        <w:tc>
          <w:tcPr>
            <w:tcW w:w="0" w:type="auto"/>
            <w:tcMar>
              <w:top w:w="0" w:type="dxa"/>
              <w:left w:w="0" w:type="dxa"/>
              <w:bottom w:w="0" w:type="dxa"/>
              <w:right w:w="0" w:type="dxa"/>
            </w:tcMar>
            <w:vAlign w:val="center"/>
            <w:hideMark/>
          </w:tcPr>
          <w:p w14:paraId="371DF473"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761.052€</w:t>
            </w:r>
          </w:p>
        </w:tc>
        <w:tc>
          <w:tcPr>
            <w:tcW w:w="0" w:type="auto"/>
            <w:tcMar>
              <w:top w:w="0" w:type="dxa"/>
              <w:left w:w="0" w:type="dxa"/>
              <w:bottom w:w="0" w:type="dxa"/>
              <w:right w:w="0" w:type="dxa"/>
            </w:tcMar>
            <w:vAlign w:val="center"/>
            <w:hideMark/>
          </w:tcPr>
          <w:p w14:paraId="1337BA4B"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1.043.472$</w:t>
            </w:r>
          </w:p>
        </w:tc>
        <w:tc>
          <w:tcPr>
            <w:tcW w:w="0" w:type="auto"/>
            <w:tcMar>
              <w:top w:w="0" w:type="dxa"/>
              <w:left w:w="0" w:type="dxa"/>
              <w:bottom w:w="0" w:type="dxa"/>
              <w:right w:w="0" w:type="dxa"/>
            </w:tcMar>
            <w:vAlign w:val="center"/>
            <w:hideMark/>
          </w:tcPr>
          <w:p w14:paraId="5BF292E8"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3,1%</w:t>
            </w:r>
          </w:p>
        </w:tc>
      </w:tr>
      <w:tr w:rsidR="006F5829" w:rsidRPr="007923C2" w14:paraId="60573DAC" w14:textId="77777777" w:rsidTr="00991E04">
        <w:tc>
          <w:tcPr>
            <w:tcW w:w="0" w:type="auto"/>
            <w:tcMar>
              <w:top w:w="0" w:type="dxa"/>
              <w:left w:w="0" w:type="dxa"/>
              <w:bottom w:w="0" w:type="dxa"/>
              <w:right w:w="0" w:type="dxa"/>
            </w:tcMar>
            <w:vAlign w:val="center"/>
            <w:hideMark/>
          </w:tcPr>
          <w:p w14:paraId="42301D83"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2006</w:t>
            </w:r>
          </w:p>
        </w:tc>
        <w:tc>
          <w:tcPr>
            <w:tcW w:w="0" w:type="auto"/>
            <w:tcMar>
              <w:top w:w="0" w:type="dxa"/>
              <w:left w:w="0" w:type="dxa"/>
              <w:bottom w:w="0" w:type="dxa"/>
              <w:right w:w="0" w:type="dxa"/>
            </w:tcMar>
            <w:vAlign w:val="center"/>
            <w:hideMark/>
          </w:tcPr>
          <w:p w14:paraId="4AE8FD03"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768.748€</w:t>
            </w:r>
          </w:p>
        </w:tc>
        <w:tc>
          <w:tcPr>
            <w:tcW w:w="0" w:type="auto"/>
            <w:tcMar>
              <w:top w:w="0" w:type="dxa"/>
              <w:left w:w="0" w:type="dxa"/>
              <w:bottom w:w="0" w:type="dxa"/>
              <w:right w:w="0" w:type="dxa"/>
            </w:tcMar>
            <w:vAlign w:val="center"/>
            <w:hideMark/>
          </w:tcPr>
          <w:p w14:paraId="673F2E6F"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966.867$</w:t>
            </w:r>
          </w:p>
        </w:tc>
        <w:tc>
          <w:tcPr>
            <w:tcW w:w="0" w:type="auto"/>
            <w:tcMar>
              <w:top w:w="0" w:type="dxa"/>
              <w:left w:w="0" w:type="dxa"/>
              <w:bottom w:w="0" w:type="dxa"/>
              <w:right w:w="0" w:type="dxa"/>
            </w:tcMar>
            <w:vAlign w:val="center"/>
            <w:hideMark/>
          </w:tcPr>
          <w:p w14:paraId="7DE54A10"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5,0%</w:t>
            </w:r>
          </w:p>
        </w:tc>
      </w:tr>
      <w:tr w:rsidR="006F5829" w:rsidRPr="007923C2" w14:paraId="1D4556FE" w14:textId="77777777" w:rsidTr="00991E04">
        <w:tc>
          <w:tcPr>
            <w:tcW w:w="0" w:type="auto"/>
            <w:tcMar>
              <w:top w:w="0" w:type="dxa"/>
              <w:left w:w="0" w:type="dxa"/>
              <w:bottom w:w="0" w:type="dxa"/>
              <w:right w:w="0" w:type="dxa"/>
            </w:tcMar>
            <w:vAlign w:val="center"/>
            <w:hideMark/>
          </w:tcPr>
          <w:p w14:paraId="0DE5E50D"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2005</w:t>
            </w:r>
          </w:p>
        </w:tc>
        <w:tc>
          <w:tcPr>
            <w:tcW w:w="0" w:type="auto"/>
            <w:tcMar>
              <w:top w:w="0" w:type="dxa"/>
              <w:left w:w="0" w:type="dxa"/>
              <w:bottom w:w="0" w:type="dxa"/>
              <w:right w:w="0" w:type="dxa"/>
            </w:tcMar>
            <w:vAlign w:val="center"/>
            <w:hideMark/>
          </w:tcPr>
          <w:p w14:paraId="4790D6F9"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694.205€</w:t>
            </w:r>
          </w:p>
        </w:tc>
        <w:tc>
          <w:tcPr>
            <w:tcW w:w="0" w:type="auto"/>
            <w:tcMar>
              <w:top w:w="0" w:type="dxa"/>
              <w:left w:w="0" w:type="dxa"/>
              <w:bottom w:w="0" w:type="dxa"/>
              <w:right w:w="0" w:type="dxa"/>
            </w:tcMar>
            <w:vAlign w:val="center"/>
            <w:hideMark/>
          </w:tcPr>
          <w:p w14:paraId="1A93F197"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866.346$</w:t>
            </w:r>
          </w:p>
        </w:tc>
        <w:tc>
          <w:tcPr>
            <w:tcW w:w="0" w:type="auto"/>
            <w:tcMar>
              <w:top w:w="0" w:type="dxa"/>
              <w:left w:w="0" w:type="dxa"/>
              <w:bottom w:w="0" w:type="dxa"/>
              <w:right w:w="0" w:type="dxa"/>
            </w:tcMar>
            <w:vAlign w:val="center"/>
            <w:hideMark/>
          </w:tcPr>
          <w:p w14:paraId="38A7ED3F"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3,0%</w:t>
            </w:r>
          </w:p>
        </w:tc>
      </w:tr>
      <w:tr w:rsidR="006F5829" w:rsidRPr="007923C2" w14:paraId="5A59721B" w14:textId="77777777" w:rsidTr="00991E04">
        <w:tc>
          <w:tcPr>
            <w:tcW w:w="0" w:type="auto"/>
            <w:tcMar>
              <w:top w:w="0" w:type="dxa"/>
              <w:left w:w="0" w:type="dxa"/>
              <w:bottom w:w="0" w:type="dxa"/>
              <w:right w:w="0" w:type="dxa"/>
            </w:tcMar>
            <w:vAlign w:val="center"/>
            <w:hideMark/>
          </w:tcPr>
          <w:p w14:paraId="0826FE3B"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2004</w:t>
            </w:r>
          </w:p>
        </w:tc>
        <w:tc>
          <w:tcPr>
            <w:tcW w:w="0" w:type="auto"/>
            <w:tcMar>
              <w:top w:w="0" w:type="dxa"/>
              <w:left w:w="0" w:type="dxa"/>
              <w:bottom w:w="0" w:type="dxa"/>
              <w:right w:w="0" w:type="dxa"/>
            </w:tcMar>
            <w:vAlign w:val="center"/>
            <w:hideMark/>
          </w:tcPr>
          <w:p w14:paraId="5AF3DA80"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619.322€</w:t>
            </w:r>
          </w:p>
        </w:tc>
        <w:tc>
          <w:tcPr>
            <w:tcW w:w="0" w:type="auto"/>
            <w:tcMar>
              <w:top w:w="0" w:type="dxa"/>
              <w:left w:w="0" w:type="dxa"/>
              <w:bottom w:w="0" w:type="dxa"/>
              <w:right w:w="0" w:type="dxa"/>
            </w:tcMar>
            <w:vAlign w:val="center"/>
            <w:hideMark/>
          </w:tcPr>
          <w:p w14:paraId="58123BC3"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770.270$</w:t>
            </w:r>
          </w:p>
        </w:tc>
        <w:tc>
          <w:tcPr>
            <w:tcW w:w="0" w:type="auto"/>
            <w:tcMar>
              <w:top w:w="0" w:type="dxa"/>
              <w:left w:w="0" w:type="dxa"/>
              <w:bottom w:w="0" w:type="dxa"/>
              <w:right w:w="0" w:type="dxa"/>
            </w:tcMar>
            <w:vAlign w:val="center"/>
            <w:hideMark/>
          </w:tcPr>
          <w:p w14:paraId="4E8B8AD2"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4,3%</w:t>
            </w:r>
          </w:p>
        </w:tc>
      </w:tr>
      <w:tr w:rsidR="006F5829" w:rsidRPr="007923C2" w14:paraId="601C84F3" w14:textId="77777777" w:rsidTr="00991E04">
        <w:tc>
          <w:tcPr>
            <w:tcW w:w="0" w:type="auto"/>
            <w:tcMar>
              <w:top w:w="0" w:type="dxa"/>
              <w:left w:w="0" w:type="dxa"/>
              <w:bottom w:w="0" w:type="dxa"/>
              <w:right w:w="0" w:type="dxa"/>
            </w:tcMar>
            <w:vAlign w:val="center"/>
            <w:hideMark/>
          </w:tcPr>
          <w:p w14:paraId="347B4B27"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2003</w:t>
            </w:r>
          </w:p>
        </w:tc>
        <w:tc>
          <w:tcPr>
            <w:tcW w:w="0" w:type="auto"/>
            <w:tcMar>
              <w:top w:w="0" w:type="dxa"/>
              <w:left w:w="0" w:type="dxa"/>
              <w:bottom w:w="0" w:type="dxa"/>
              <w:right w:w="0" w:type="dxa"/>
            </w:tcMar>
            <w:vAlign w:val="center"/>
            <w:hideMark/>
          </w:tcPr>
          <w:p w14:paraId="78FEECBC"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630.796€</w:t>
            </w:r>
          </w:p>
        </w:tc>
        <w:tc>
          <w:tcPr>
            <w:tcW w:w="0" w:type="auto"/>
            <w:tcMar>
              <w:top w:w="0" w:type="dxa"/>
              <w:left w:w="0" w:type="dxa"/>
              <w:bottom w:w="0" w:type="dxa"/>
              <w:right w:w="0" w:type="dxa"/>
            </w:tcMar>
            <w:vAlign w:val="center"/>
            <w:hideMark/>
          </w:tcPr>
          <w:p w14:paraId="66CCD2C5"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713.283$</w:t>
            </w:r>
          </w:p>
        </w:tc>
        <w:tc>
          <w:tcPr>
            <w:tcW w:w="0" w:type="auto"/>
            <w:tcMar>
              <w:top w:w="0" w:type="dxa"/>
              <w:left w:w="0" w:type="dxa"/>
              <w:bottom w:w="0" w:type="dxa"/>
              <w:right w:w="0" w:type="dxa"/>
            </w:tcMar>
            <w:vAlign w:val="center"/>
            <w:hideMark/>
          </w:tcPr>
          <w:p w14:paraId="5ABEADC0"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1,4%</w:t>
            </w:r>
          </w:p>
        </w:tc>
      </w:tr>
      <w:tr w:rsidR="006F5829" w:rsidRPr="007923C2" w14:paraId="37D19C5C" w14:textId="77777777" w:rsidTr="00991E04">
        <w:tc>
          <w:tcPr>
            <w:tcW w:w="0" w:type="auto"/>
            <w:tcMar>
              <w:top w:w="0" w:type="dxa"/>
              <w:left w:w="0" w:type="dxa"/>
              <w:bottom w:w="0" w:type="dxa"/>
              <w:right w:w="0" w:type="dxa"/>
            </w:tcMar>
            <w:vAlign w:val="center"/>
            <w:hideMark/>
          </w:tcPr>
          <w:p w14:paraId="41255530"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2002</w:t>
            </w:r>
          </w:p>
        </w:tc>
        <w:tc>
          <w:tcPr>
            <w:tcW w:w="0" w:type="auto"/>
            <w:tcMar>
              <w:top w:w="0" w:type="dxa"/>
              <w:left w:w="0" w:type="dxa"/>
              <w:bottom w:w="0" w:type="dxa"/>
              <w:right w:w="0" w:type="dxa"/>
            </w:tcMar>
            <w:vAlign w:val="center"/>
            <w:hideMark/>
          </w:tcPr>
          <w:p w14:paraId="5041F664"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766.927€</w:t>
            </w:r>
          </w:p>
        </w:tc>
        <w:tc>
          <w:tcPr>
            <w:tcW w:w="0" w:type="auto"/>
            <w:tcMar>
              <w:top w:w="0" w:type="dxa"/>
              <w:left w:w="0" w:type="dxa"/>
              <w:bottom w:w="0" w:type="dxa"/>
              <w:right w:w="0" w:type="dxa"/>
            </w:tcMar>
            <w:vAlign w:val="center"/>
            <w:hideMark/>
          </w:tcPr>
          <w:p w14:paraId="0D964002"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741.563$</w:t>
            </w:r>
          </w:p>
        </w:tc>
        <w:tc>
          <w:tcPr>
            <w:tcW w:w="0" w:type="auto"/>
            <w:tcMar>
              <w:top w:w="0" w:type="dxa"/>
              <w:left w:w="0" w:type="dxa"/>
              <w:bottom w:w="0" w:type="dxa"/>
              <w:right w:w="0" w:type="dxa"/>
            </w:tcMar>
            <w:vAlign w:val="center"/>
            <w:hideMark/>
          </w:tcPr>
          <w:p w14:paraId="582252DC"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0,1%</w:t>
            </w:r>
          </w:p>
        </w:tc>
      </w:tr>
      <w:tr w:rsidR="006F5829" w:rsidRPr="007923C2" w14:paraId="0BCEDDAD" w14:textId="77777777" w:rsidTr="00991E04">
        <w:tc>
          <w:tcPr>
            <w:tcW w:w="0" w:type="auto"/>
            <w:tcMar>
              <w:top w:w="0" w:type="dxa"/>
              <w:left w:w="0" w:type="dxa"/>
              <w:bottom w:w="0" w:type="dxa"/>
              <w:right w:w="0" w:type="dxa"/>
            </w:tcMar>
            <w:vAlign w:val="center"/>
            <w:hideMark/>
          </w:tcPr>
          <w:p w14:paraId="7F685879"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2001</w:t>
            </w:r>
          </w:p>
        </w:tc>
        <w:tc>
          <w:tcPr>
            <w:tcW w:w="0" w:type="auto"/>
            <w:tcMar>
              <w:top w:w="0" w:type="dxa"/>
              <w:left w:w="0" w:type="dxa"/>
              <w:bottom w:w="0" w:type="dxa"/>
              <w:right w:w="0" w:type="dxa"/>
            </w:tcMar>
            <w:vAlign w:val="center"/>
            <w:hideMark/>
          </w:tcPr>
          <w:p w14:paraId="61171F1A"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775.343€</w:t>
            </w:r>
          </w:p>
        </w:tc>
        <w:tc>
          <w:tcPr>
            <w:tcW w:w="0" w:type="auto"/>
            <w:tcMar>
              <w:top w:w="0" w:type="dxa"/>
              <w:left w:w="0" w:type="dxa"/>
              <w:bottom w:w="0" w:type="dxa"/>
              <w:right w:w="0" w:type="dxa"/>
            </w:tcMar>
            <w:vAlign w:val="center"/>
            <w:hideMark/>
          </w:tcPr>
          <w:p w14:paraId="4F11201B"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724.691$</w:t>
            </w:r>
          </w:p>
        </w:tc>
        <w:tc>
          <w:tcPr>
            <w:tcW w:w="0" w:type="auto"/>
            <w:tcMar>
              <w:top w:w="0" w:type="dxa"/>
              <w:left w:w="0" w:type="dxa"/>
              <w:bottom w:w="0" w:type="dxa"/>
              <w:right w:w="0" w:type="dxa"/>
            </w:tcMar>
            <w:vAlign w:val="center"/>
            <w:hideMark/>
          </w:tcPr>
          <w:p w14:paraId="5F0988B8" w14:textId="77777777" w:rsidR="00991E04" w:rsidRPr="00822367" w:rsidRDefault="00991E04" w:rsidP="00822367">
            <w:pPr>
              <w:jc w:val="center"/>
              <w:rPr>
                <w:rFonts w:ascii="Arial" w:hAnsi="Arial" w:cs="Arial"/>
                <w:sz w:val="20"/>
                <w:szCs w:val="20"/>
              </w:rPr>
            </w:pPr>
            <w:r w:rsidRPr="00822367">
              <w:rPr>
                <w:rFonts w:ascii="Arial" w:hAnsi="Arial" w:cs="Arial"/>
                <w:sz w:val="20"/>
                <w:szCs w:val="20"/>
              </w:rPr>
              <w:t>-0,6%</w:t>
            </w:r>
          </w:p>
        </w:tc>
      </w:tr>
    </w:tbl>
    <w:p w14:paraId="1A1AFFBB" w14:textId="77777777" w:rsidR="00881C3C" w:rsidRPr="007923C2" w:rsidRDefault="00881C3C" w:rsidP="006F5829">
      <w:pPr>
        <w:jc w:val="both"/>
        <w:rPr>
          <w:rFonts w:ascii="Arial" w:hAnsi="Arial" w:cs="Arial"/>
          <w:sz w:val="22"/>
          <w:szCs w:val="22"/>
        </w:rPr>
      </w:pPr>
      <w:r w:rsidRPr="007923C2">
        <w:rPr>
          <w:rFonts w:ascii="Arial" w:hAnsi="Arial" w:cs="Arial"/>
          <w:sz w:val="22"/>
          <w:szCs w:val="22"/>
        </w:rPr>
        <w:t>INDICADORES DEL SECTOR AGROPECUARIO NACIONAL</w:t>
      </w:r>
    </w:p>
    <w:p w14:paraId="18D16029"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El Producto Interno Bruto del país al año 2010 es de $ 8, 369, 583,065, de los cuales el sector primario representa 322,995,920, representando un 3.86% del PIB Total, de igual manera el sector secundario representa el 31.68% y el terciario 64.46%. </w:t>
      </w:r>
    </w:p>
    <w:p w14:paraId="3362B35A" w14:textId="77777777" w:rsidR="00991E04" w:rsidRPr="007923C2" w:rsidRDefault="00991E04" w:rsidP="006F5829">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629056" behindDoc="1" locked="0" layoutInCell="0" allowOverlap="1" wp14:anchorId="2B981886" wp14:editId="04F185DB">
            <wp:simplePos x="0" y="0"/>
            <wp:positionH relativeFrom="column">
              <wp:posOffset>351790</wp:posOffset>
            </wp:positionH>
            <wp:positionV relativeFrom="paragraph">
              <wp:posOffset>12463</wp:posOffset>
            </wp:positionV>
            <wp:extent cx="5169535" cy="263334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9535" cy="2633345"/>
                    </a:xfrm>
                    <a:prstGeom prst="rect">
                      <a:avLst/>
                    </a:prstGeom>
                    <a:noFill/>
                  </pic:spPr>
                </pic:pic>
              </a:graphicData>
            </a:graphic>
          </wp:anchor>
        </w:drawing>
      </w:r>
    </w:p>
    <w:p w14:paraId="6C874ED9" w14:textId="77777777" w:rsidR="00991E04" w:rsidRPr="007923C2" w:rsidRDefault="00991E04" w:rsidP="006F5829">
      <w:pPr>
        <w:jc w:val="both"/>
        <w:rPr>
          <w:rFonts w:ascii="Arial" w:hAnsi="Arial" w:cs="Arial"/>
          <w:sz w:val="22"/>
          <w:szCs w:val="22"/>
        </w:rPr>
      </w:pPr>
    </w:p>
    <w:p w14:paraId="1DE8BBCB" w14:textId="77777777" w:rsidR="00991E04" w:rsidRPr="007923C2" w:rsidRDefault="00991E04" w:rsidP="006F5829">
      <w:pPr>
        <w:jc w:val="both"/>
        <w:rPr>
          <w:rFonts w:ascii="Arial" w:hAnsi="Arial" w:cs="Arial"/>
          <w:sz w:val="22"/>
          <w:szCs w:val="22"/>
        </w:rPr>
      </w:pPr>
    </w:p>
    <w:p w14:paraId="04791006" w14:textId="77777777" w:rsidR="00991E04" w:rsidRPr="007923C2" w:rsidRDefault="00991E04" w:rsidP="006F5829">
      <w:pPr>
        <w:jc w:val="both"/>
        <w:rPr>
          <w:rFonts w:ascii="Arial" w:hAnsi="Arial" w:cs="Arial"/>
          <w:sz w:val="22"/>
          <w:szCs w:val="22"/>
        </w:rPr>
      </w:pPr>
    </w:p>
    <w:p w14:paraId="33686F47" w14:textId="77777777" w:rsidR="00991E04" w:rsidRPr="007923C2" w:rsidRDefault="00991E04" w:rsidP="006F5829">
      <w:pPr>
        <w:jc w:val="both"/>
        <w:rPr>
          <w:rFonts w:ascii="Arial" w:hAnsi="Arial" w:cs="Arial"/>
          <w:sz w:val="22"/>
          <w:szCs w:val="22"/>
        </w:rPr>
      </w:pPr>
    </w:p>
    <w:p w14:paraId="4881BA01" w14:textId="77777777" w:rsidR="00991E04" w:rsidRPr="007923C2" w:rsidRDefault="00991E04" w:rsidP="006F5829">
      <w:pPr>
        <w:jc w:val="both"/>
        <w:rPr>
          <w:rFonts w:ascii="Arial" w:hAnsi="Arial" w:cs="Arial"/>
          <w:sz w:val="22"/>
          <w:szCs w:val="22"/>
        </w:rPr>
      </w:pPr>
    </w:p>
    <w:p w14:paraId="33C98F95" w14:textId="77777777" w:rsidR="00991E04" w:rsidRPr="007923C2" w:rsidRDefault="00991E04" w:rsidP="006F5829">
      <w:pPr>
        <w:jc w:val="both"/>
        <w:rPr>
          <w:rFonts w:ascii="Arial" w:hAnsi="Arial" w:cs="Arial"/>
          <w:sz w:val="22"/>
          <w:szCs w:val="22"/>
        </w:rPr>
      </w:pPr>
    </w:p>
    <w:p w14:paraId="56960B16" w14:textId="77777777" w:rsidR="00991E04" w:rsidRDefault="00991E04" w:rsidP="006F5829">
      <w:pPr>
        <w:jc w:val="both"/>
        <w:rPr>
          <w:rFonts w:ascii="Arial" w:hAnsi="Arial" w:cs="Arial"/>
          <w:sz w:val="22"/>
          <w:szCs w:val="22"/>
        </w:rPr>
      </w:pPr>
    </w:p>
    <w:p w14:paraId="55344187" w14:textId="77777777" w:rsidR="0073079D" w:rsidRDefault="0073079D" w:rsidP="006F5829">
      <w:pPr>
        <w:jc w:val="both"/>
        <w:rPr>
          <w:rFonts w:ascii="Arial" w:hAnsi="Arial" w:cs="Arial"/>
          <w:sz w:val="22"/>
          <w:szCs w:val="22"/>
        </w:rPr>
      </w:pPr>
    </w:p>
    <w:p w14:paraId="50C2BF85" w14:textId="77777777" w:rsidR="0073079D" w:rsidRDefault="0073079D" w:rsidP="006F5829">
      <w:pPr>
        <w:jc w:val="both"/>
        <w:rPr>
          <w:rFonts w:ascii="Arial" w:hAnsi="Arial" w:cs="Arial"/>
          <w:sz w:val="22"/>
          <w:szCs w:val="22"/>
        </w:rPr>
      </w:pPr>
    </w:p>
    <w:p w14:paraId="5A3A253C" w14:textId="77777777" w:rsidR="0073079D" w:rsidRPr="007923C2" w:rsidRDefault="0073079D" w:rsidP="006F5829">
      <w:pPr>
        <w:jc w:val="both"/>
        <w:rPr>
          <w:rFonts w:ascii="Arial" w:hAnsi="Arial" w:cs="Arial"/>
          <w:sz w:val="22"/>
          <w:szCs w:val="22"/>
        </w:rPr>
      </w:pPr>
    </w:p>
    <w:p w14:paraId="03B3596D"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lastRenderedPageBreak/>
        <w:t>El INEGI informó que el Producto Interno Bruto (PIB) creció 1.34% durante el trimestre julio-septiembre de 2011 respecto al trimestre inmediato anterior. Por componentes, las Primarias fueron mayores en 11.76%, las Terciarias en 1.63% y las Actividades Secundarias aumentaron 0.54% frente al trimestre previo.</w:t>
      </w:r>
    </w:p>
    <w:p w14:paraId="127A49EC"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El PIB de las Actividades Primarias (que incluyen al sector agricultura, ganadería, aprovechamiento forestal, pesca y caza) se elevó 8.3% a tasa anual en términos reales durante el tercer trimestre de 2011 como consecuencia del alza reportada en la agricultura, principalmente.</w:t>
      </w:r>
    </w:p>
    <w:p w14:paraId="7872935C"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El Producto de las Actividades Terciarias fue superior en 4.8% en el trimestre en cuestión respecto a igual lapso de un año antes. Destacan los incrementos del comercio; información en medios masivos; servicios financieros y de seguros; transportes, correos y almacenamiento; servicios inmobiliarios y de alquiler de bienes muebles e intangibles y los servicios profesionales, científicos y técnicos, entre otros.</w:t>
      </w:r>
    </w:p>
    <w:p w14:paraId="5E8C2C34"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El PIB de las Actividades Secundarias se acrecentó 3.4% a tasa anual en el trimestre julio-septiembre del año en curso, resultado de las variaciones positivas en tres de sus cuatro sectores: la construcción subió 5.3%; la electricidad, agua y suministro de gas por ductos al consumidor final 5.2% y las industrias manufactureras 4.6%; mientras que la minería disminuyó (-) 3.6 por ciento.</w:t>
      </w:r>
    </w:p>
    <w:p w14:paraId="4288A36D" w14:textId="77777777" w:rsidR="00991E04" w:rsidRPr="007923C2" w:rsidRDefault="00991E04" w:rsidP="006F5829">
      <w:pPr>
        <w:jc w:val="both"/>
        <w:rPr>
          <w:rFonts w:ascii="Arial" w:hAnsi="Arial" w:cs="Arial"/>
          <w:sz w:val="22"/>
          <w:szCs w:val="22"/>
        </w:rPr>
      </w:pPr>
      <w:bookmarkStart w:id="5" w:name="page21"/>
      <w:bookmarkEnd w:id="5"/>
      <w:r w:rsidRPr="007923C2">
        <w:rPr>
          <w:rFonts w:ascii="Arial" w:hAnsi="Arial" w:cs="Arial"/>
          <w:sz w:val="22"/>
          <w:szCs w:val="22"/>
        </w:rPr>
        <w:t>PIB DEL SECTOR PRIMARIO</w:t>
      </w:r>
    </w:p>
    <w:p w14:paraId="0EF272F4"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El Producto Interno Bruto del Sector Primario (agricultura, ganadería, pesca y forestal) alcanzó en 2010, $317,539 millones de pesos</w:t>
      </w:r>
      <w:r w:rsidR="00881C3C" w:rsidRPr="007923C2">
        <w:rPr>
          <w:rFonts w:ascii="Arial" w:hAnsi="Arial" w:cs="Arial"/>
          <w:sz w:val="22"/>
          <w:szCs w:val="22"/>
        </w:rPr>
        <w:t xml:space="preserve"> 1</w:t>
      </w:r>
      <w:r w:rsidRPr="007923C2">
        <w:rPr>
          <w:rFonts w:ascii="Arial" w:hAnsi="Arial" w:cs="Arial"/>
          <w:sz w:val="22"/>
          <w:szCs w:val="22"/>
        </w:rPr>
        <w:t xml:space="preserve"> lo que representa una aportación del 3.6% del PIB total nacional. Por su parte el PIB del Sector Alimentos y Bebidas2 alcanzó para ese mismo año $440,429 millones de pesos, lo que representa el 5% del PIB total nacional.</w:t>
      </w:r>
    </w:p>
    <w:p w14:paraId="0630B2C4" w14:textId="77777777" w:rsidR="00991E04" w:rsidRPr="007923C2" w:rsidRDefault="00991E04" w:rsidP="006F5829">
      <w:pPr>
        <w:jc w:val="both"/>
        <w:rPr>
          <w:rFonts w:ascii="Arial" w:hAnsi="Arial" w:cs="Arial"/>
          <w:sz w:val="22"/>
          <w:szCs w:val="22"/>
        </w:rPr>
      </w:pPr>
      <w:r w:rsidRPr="007923C2">
        <w:rPr>
          <w:rFonts w:ascii="Arial" w:hAnsi="Arial" w:cs="Arial"/>
          <w:sz w:val="22"/>
          <w:szCs w:val="22"/>
        </w:rPr>
        <w:t>En promedio de 2005 a 2010, el sector agroindustrial a nivel nacional equivale al 8.2% del PIB nacional total y al 28.4% del PIB manufacturero.</w:t>
      </w:r>
    </w:p>
    <w:p w14:paraId="1546BE8E" w14:textId="77777777" w:rsidR="00991E04" w:rsidRDefault="00991E04" w:rsidP="006F5829">
      <w:pPr>
        <w:jc w:val="both"/>
        <w:rPr>
          <w:rFonts w:ascii="Arial" w:hAnsi="Arial" w:cs="Arial"/>
          <w:sz w:val="22"/>
          <w:szCs w:val="22"/>
        </w:rPr>
      </w:pPr>
      <w:r w:rsidRPr="007923C2">
        <w:rPr>
          <w:rFonts w:ascii="Arial" w:hAnsi="Arial" w:cs="Arial"/>
          <w:sz w:val="22"/>
          <w:szCs w:val="22"/>
        </w:rPr>
        <w:t>El PIB del sector agroindustrial, el cual está conformado por los grandes grupos del Sector Primario y el de Alimentos y Bebidas, alcanzó un valor total de $757,968 millones de pesos en 2010. Lo anterior deriva en una tasa de crecimiento promedio anual del sector agroindustrial en México del 1.9% en los últimos 10 años (2000-2010), tasa de crecimiento más elevada que la tasa promedio de crecimiento demográfico en el mismo período que fue del 1%.</w:t>
      </w:r>
    </w:p>
    <w:p w14:paraId="56090DA6" w14:textId="77777777" w:rsidR="00822367" w:rsidRPr="007923C2" w:rsidRDefault="00822367" w:rsidP="006F5829">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892224" behindDoc="1" locked="0" layoutInCell="0" allowOverlap="1" wp14:anchorId="40A8C660" wp14:editId="25CF23F9">
            <wp:simplePos x="0" y="0"/>
            <wp:positionH relativeFrom="margin">
              <wp:align>center</wp:align>
            </wp:positionH>
            <wp:positionV relativeFrom="paragraph">
              <wp:posOffset>60960</wp:posOffset>
            </wp:positionV>
            <wp:extent cx="4010025" cy="2197100"/>
            <wp:effectExtent l="0" t="0" r="9525"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10025" cy="2197100"/>
                    </a:xfrm>
                    <a:prstGeom prst="rect">
                      <a:avLst/>
                    </a:prstGeom>
                    <a:noFill/>
                  </pic:spPr>
                </pic:pic>
              </a:graphicData>
            </a:graphic>
          </wp:anchor>
        </w:drawing>
      </w:r>
    </w:p>
    <w:p w14:paraId="345D7EC2" w14:textId="77777777" w:rsidR="00351F51" w:rsidRDefault="00351F51" w:rsidP="006F5829">
      <w:pPr>
        <w:jc w:val="both"/>
        <w:rPr>
          <w:rFonts w:ascii="Arial" w:hAnsi="Arial" w:cs="Arial"/>
          <w:sz w:val="22"/>
          <w:szCs w:val="22"/>
        </w:rPr>
      </w:pPr>
    </w:p>
    <w:p w14:paraId="01D4B012" w14:textId="77777777" w:rsidR="00822367" w:rsidRDefault="00822367" w:rsidP="006F5829">
      <w:pPr>
        <w:jc w:val="both"/>
        <w:rPr>
          <w:rFonts w:ascii="Arial" w:hAnsi="Arial" w:cs="Arial"/>
          <w:sz w:val="22"/>
          <w:szCs w:val="22"/>
        </w:rPr>
      </w:pPr>
    </w:p>
    <w:p w14:paraId="577362FA" w14:textId="77777777" w:rsidR="00822367" w:rsidRPr="007923C2" w:rsidRDefault="00822367" w:rsidP="006F5829">
      <w:pPr>
        <w:jc w:val="both"/>
        <w:rPr>
          <w:rFonts w:ascii="Arial" w:hAnsi="Arial" w:cs="Arial"/>
          <w:sz w:val="22"/>
          <w:szCs w:val="22"/>
        </w:rPr>
      </w:pPr>
    </w:p>
    <w:p w14:paraId="00A8F2C2" w14:textId="77777777" w:rsidR="00351F51" w:rsidRPr="007923C2" w:rsidRDefault="00351F51" w:rsidP="006F5829">
      <w:pPr>
        <w:jc w:val="both"/>
        <w:rPr>
          <w:rFonts w:ascii="Arial" w:hAnsi="Arial" w:cs="Arial"/>
          <w:sz w:val="22"/>
          <w:szCs w:val="22"/>
        </w:rPr>
      </w:pPr>
    </w:p>
    <w:p w14:paraId="6C75B01A" w14:textId="77777777" w:rsidR="00351F51" w:rsidRDefault="00351F51" w:rsidP="006F5829">
      <w:pPr>
        <w:jc w:val="both"/>
        <w:rPr>
          <w:rFonts w:ascii="Arial" w:hAnsi="Arial" w:cs="Arial"/>
          <w:sz w:val="22"/>
          <w:szCs w:val="22"/>
        </w:rPr>
      </w:pPr>
    </w:p>
    <w:p w14:paraId="6C047905" w14:textId="77777777" w:rsidR="00421D6B" w:rsidRDefault="00421D6B" w:rsidP="006F5829">
      <w:pPr>
        <w:jc w:val="both"/>
        <w:rPr>
          <w:rFonts w:ascii="Arial" w:hAnsi="Arial" w:cs="Arial"/>
          <w:sz w:val="22"/>
          <w:szCs w:val="22"/>
        </w:rPr>
      </w:pPr>
    </w:p>
    <w:p w14:paraId="02A39DF2" w14:textId="77777777" w:rsidR="00421D6B" w:rsidRPr="007923C2" w:rsidRDefault="00421D6B" w:rsidP="006F5829">
      <w:pPr>
        <w:jc w:val="both"/>
        <w:rPr>
          <w:rFonts w:ascii="Arial" w:hAnsi="Arial" w:cs="Arial"/>
          <w:sz w:val="22"/>
          <w:szCs w:val="22"/>
        </w:rPr>
      </w:pPr>
    </w:p>
    <w:p w14:paraId="79F1B50D" w14:textId="77777777" w:rsidR="00472043" w:rsidRPr="007923C2" w:rsidRDefault="00472043" w:rsidP="00472043">
      <w:pPr>
        <w:jc w:val="both"/>
        <w:rPr>
          <w:rFonts w:ascii="Arial" w:hAnsi="Arial" w:cs="Arial"/>
          <w:sz w:val="22"/>
          <w:szCs w:val="22"/>
        </w:rPr>
      </w:pPr>
      <w:r w:rsidRPr="007923C2">
        <w:rPr>
          <w:rFonts w:ascii="Arial" w:hAnsi="Arial" w:cs="Arial"/>
          <w:sz w:val="22"/>
          <w:szCs w:val="22"/>
        </w:rPr>
        <w:lastRenderedPageBreak/>
        <w:t>Tomando en cuenta el PIB Primario por estado, de 2003 a 2009 en promedio, Jalisco tiene la mayor participación a nivel nacional con un 11.6%, seguido por Veracruz, Michoacán y Sinaloa.</w:t>
      </w:r>
    </w:p>
    <w:p w14:paraId="48BBB6C6" w14:textId="77777777" w:rsidR="00991E04" w:rsidRPr="007923C2" w:rsidRDefault="00991E04" w:rsidP="006F5829">
      <w:pPr>
        <w:jc w:val="both"/>
        <w:rPr>
          <w:rFonts w:ascii="Arial" w:hAnsi="Arial" w:cs="Arial"/>
          <w:sz w:val="22"/>
          <w:szCs w:val="22"/>
        </w:rPr>
      </w:pPr>
    </w:p>
    <w:p w14:paraId="645F97EE" w14:textId="77777777" w:rsidR="00472043" w:rsidRPr="007923C2" w:rsidRDefault="00472043" w:rsidP="006F5829">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631104" behindDoc="1" locked="0" layoutInCell="0" allowOverlap="1" wp14:anchorId="16A3CBCB" wp14:editId="24CDF766">
            <wp:simplePos x="0" y="0"/>
            <wp:positionH relativeFrom="margin">
              <wp:align>center</wp:align>
            </wp:positionH>
            <wp:positionV relativeFrom="paragraph">
              <wp:posOffset>6350</wp:posOffset>
            </wp:positionV>
            <wp:extent cx="4435475" cy="2847340"/>
            <wp:effectExtent l="0" t="0" r="3175"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35475" cy="2847340"/>
                    </a:xfrm>
                    <a:prstGeom prst="rect">
                      <a:avLst/>
                    </a:prstGeom>
                    <a:noFill/>
                  </pic:spPr>
                </pic:pic>
              </a:graphicData>
            </a:graphic>
          </wp:anchor>
        </w:drawing>
      </w:r>
    </w:p>
    <w:p w14:paraId="425462AC" w14:textId="77777777" w:rsidR="00472043" w:rsidRPr="007923C2" w:rsidRDefault="00472043" w:rsidP="006F5829">
      <w:pPr>
        <w:jc w:val="both"/>
        <w:rPr>
          <w:rFonts w:ascii="Arial" w:hAnsi="Arial" w:cs="Arial"/>
          <w:sz w:val="22"/>
          <w:szCs w:val="22"/>
        </w:rPr>
      </w:pPr>
    </w:p>
    <w:p w14:paraId="3A5A38D3" w14:textId="77777777" w:rsidR="00472043" w:rsidRPr="007923C2" w:rsidRDefault="00472043" w:rsidP="006F5829">
      <w:pPr>
        <w:jc w:val="both"/>
        <w:rPr>
          <w:rFonts w:ascii="Arial" w:hAnsi="Arial" w:cs="Arial"/>
          <w:sz w:val="22"/>
          <w:szCs w:val="22"/>
        </w:rPr>
      </w:pPr>
    </w:p>
    <w:p w14:paraId="3242D669" w14:textId="77777777" w:rsidR="00472043" w:rsidRPr="007923C2" w:rsidRDefault="00472043" w:rsidP="006F5829">
      <w:pPr>
        <w:jc w:val="both"/>
        <w:rPr>
          <w:rFonts w:ascii="Arial" w:hAnsi="Arial" w:cs="Arial"/>
          <w:sz w:val="22"/>
          <w:szCs w:val="22"/>
        </w:rPr>
      </w:pPr>
    </w:p>
    <w:p w14:paraId="4928593A" w14:textId="77777777" w:rsidR="00351F51" w:rsidRPr="007923C2" w:rsidRDefault="00351F51" w:rsidP="006F5829">
      <w:pPr>
        <w:jc w:val="both"/>
        <w:rPr>
          <w:rFonts w:ascii="Arial" w:hAnsi="Arial" w:cs="Arial"/>
          <w:sz w:val="22"/>
          <w:szCs w:val="22"/>
        </w:rPr>
      </w:pPr>
    </w:p>
    <w:p w14:paraId="2BF3F32B" w14:textId="77777777" w:rsidR="00351F51" w:rsidRPr="007923C2" w:rsidRDefault="00351F51" w:rsidP="006F5829">
      <w:pPr>
        <w:jc w:val="both"/>
        <w:rPr>
          <w:rFonts w:ascii="Arial" w:hAnsi="Arial" w:cs="Arial"/>
          <w:sz w:val="22"/>
          <w:szCs w:val="22"/>
        </w:rPr>
      </w:pPr>
    </w:p>
    <w:p w14:paraId="48C47E14" w14:textId="77777777" w:rsidR="00351F51" w:rsidRPr="007923C2" w:rsidRDefault="00351F51" w:rsidP="006F5829">
      <w:pPr>
        <w:jc w:val="both"/>
        <w:rPr>
          <w:rFonts w:ascii="Arial" w:hAnsi="Arial" w:cs="Arial"/>
          <w:sz w:val="22"/>
          <w:szCs w:val="22"/>
        </w:rPr>
      </w:pPr>
    </w:p>
    <w:p w14:paraId="3525ADB7" w14:textId="77777777" w:rsidR="00351F51" w:rsidRPr="007923C2" w:rsidRDefault="00351F51" w:rsidP="006F5829">
      <w:pPr>
        <w:jc w:val="both"/>
        <w:rPr>
          <w:rFonts w:ascii="Arial" w:hAnsi="Arial" w:cs="Arial"/>
          <w:sz w:val="22"/>
          <w:szCs w:val="22"/>
        </w:rPr>
      </w:pPr>
    </w:p>
    <w:p w14:paraId="01862744" w14:textId="77777777" w:rsidR="00351F51" w:rsidRPr="007923C2" w:rsidRDefault="00351F51" w:rsidP="006F5829">
      <w:pPr>
        <w:jc w:val="both"/>
        <w:rPr>
          <w:rFonts w:ascii="Arial" w:hAnsi="Arial" w:cs="Arial"/>
          <w:sz w:val="22"/>
          <w:szCs w:val="22"/>
        </w:rPr>
      </w:pPr>
    </w:p>
    <w:p w14:paraId="129D10C1" w14:textId="77777777" w:rsidR="00351F51" w:rsidRPr="007923C2" w:rsidRDefault="00351F51" w:rsidP="006F5829">
      <w:pPr>
        <w:jc w:val="both"/>
        <w:rPr>
          <w:rFonts w:ascii="Arial" w:hAnsi="Arial" w:cs="Arial"/>
          <w:sz w:val="22"/>
          <w:szCs w:val="22"/>
        </w:rPr>
      </w:pPr>
    </w:p>
    <w:p w14:paraId="2E9886AB" w14:textId="77777777" w:rsidR="00351F51" w:rsidRPr="007923C2" w:rsidRDefault="00351F51" w:rsidP="006F5829">
      <w:pPr>
        <w:jc w:val="both"/>
        <w:rPr>
          <w:rFonts w:ascii="Arial" w:hAnsi="Arial" w:cs="Arial"/>
          <w:sz w:val="22"/>
          <w:szCs w:val="22"/>
        </w:rPr>
      </w:pPr>
    </w:p>
    <w:p w14:paraId="2C732933" w14:textId="77777777" w:rsidR="00351F51" w:rsidRPr="007923C2" w:rsidRDefault="00351F51" w:rsidP="006F5829">
      <w:pPr>
        <w:jc w:val="both"/>
        <w:rPr>
          <w:rFonts w:ascii="Arial" w:hAnsi="Arial" w:cs="Arial"/>
          <w:sz w:val="22"/>
          <w:szCs w:val="22"/>
        </w:rPr>
      </w:pPr>
    </w:p>
    <w:p w14:paraId="590047E7" w14:textId="77777777" w:rsidR="00472043" w:rsidRPr="007923C2" w:rsidRDefault="00472043" w:rsidP="00472043">
      <w:pPr>
        <w:jc w:val="both"/>
        <w:rPr>
          <w:rFonts w:ascii="Arial" w:hAnsi="Arial" w:cs="Arial"/>
          <w:sz w:val="22"/>
          <w:szCs w:val="22"/>
        </w:rPr>
      </w:pPr>
      <w:r w:rsidRPr="007923C2">
        <w:rPr>
          <w:rFonts w:ascii="Arial" w:hAnsi="Arial" w:cs="Arial"/>
          <w:sz w:val="22"/>
          <w:szCs w:val="22"/>
        </w:rPr>
        <w:t>Fuente: Instituto Nacional de Estadística y Geografía (INEGI)</w:t>
      </w:r>
    </w:p>
    <w:p w14:paraId="7AD35E37" w14:textId="77777777" w:rsidR="00472043" w:rsidRPr="007923C2" w:rsidRDefault="00472043" w:rsidP="00472043">
      <w:pPr>
        <w:jc w:val="both"/>
        <w:rPr>
          <w:rFonts w:ascii="Arial" w:hAnsi="Arial" w:cs="Arial"/>
          <w:sz w:val="22"/>
          <w:szCs w:val="22"/>
        </w:rPr>
      </w:pPr>
      <w:r w:rsidRPr="007923C2">
        <w:rPr>
          <w:rFonts w:ascii="Arial" w:hAnsi="Arial" w:cs="Arial"/>
          <w:sz w:val="22"/>
          <w:szCs w:val="22"/>
        </w:rPr>
        <w:t>En el caso del PIB Agroindustrial, el Estado de México aporta la mayor parte con un 15.9%, seguido por Jalisco (11.6%), Distrito Federal (8.9%) y Nuevo León (6.3%).</w:t>
      </w:r>
    </w:p>
    <w:p w14:paraId="19D25EB7" w14:textId="77777777" w:rsidR="00472043" w:rsidRPr="007923C2" w:rsidRDefault="00472043" w:rsidP="00472043">
      <w:pPr>
        <w:jc w:val="both"/>
        <w:rPr>
          <w:rFonts w:ascii="Arial" w:hAnsi="Arial" w:cs="Arial"/>
          <w:sz w:val="22"/>
          <w:szCs w:val="22"/>
        </w:rPr>
      </w:pPr>
      <w:bookmarkStart w:id="6" w:name="page25"/>
      <w:bookmarkEnd w:id="6"/>
      <w:r w:rsidRPr="007923C2">
        <w:rPr>
          <w:rFonts w:ascii="Arial" w:hAnsi="Arial" w:cs="Arial"/>
          <w:sz w:val="22"/>
          <w:szCs w:val="22"/>
        </w:rPr>
        <w:t>Lo anterior muestra claramente cómo es que más de una tercera parte de la agroindustria se concentra en estas cuatro entidades, a pesar de no tener la misma participación en el sector primario.</w:t>
      </w:r>
    </w:p>
    <w:p w14:paraId="36885A56" w14:textId="77777777" w:rsidR="00472043" w:rsidRPr="007923C2" w:rsidRDefault="00472043" w:rsidP="00472043">
      <w:pPr>
        <w:jc w:val="both"/>
        <w:rPr>
          <w:rFonts w:ascii="Arial" w:hAnsi="Arial" w:cs="Arial"/>
          <w:sz w:val="22"/>
          <w:szCs w:val="22"/>
        </w:rPr>
      </w:pPr>
      <w:r w:rsidRPr="007923C2">
        <w:rPr>
          <w:rFonts w:ascii="Arial" w:hAnsi="Arial" w:cs="Arial"/>
          <w:sz w:val="22"/>
          <w:szCs w:val="22"/>
        </w:rPr>
        <w:t>Evolución del PIB Agroindustria de 2000 a 2010. Millones de pesos</w:t>
      </w:r>
    </w:p>
    <w:p w14:paraId="27FE7680" w14:textId="77777777" w:rsidR="00C2080B" w:rsidRPr="007923C2" w:rsidRDefault="00C2080B" w:rsidP="00472043">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727360" behindDoc="0" locked="0" layoutInCell="1" allowOverlap="1" wp14:anchorId="0C98D6EE" wp14:editId="5E7A17E4">
            <wp:simplePos x="0" y="0"/>
            <wp:positionH relativeFrom="margin">
              <wp:align>center</wp:align>
            </wp:positionH>
            <wp:positionV relativeFrom="paragraph">
              <wp:posOffset>158115</wp:posOffset>
            </wp:positionV>
            <wp:extent cx="4589713" cy="2411730"/>
            <wp:effectExtent l="0" t="0" r="1905" b="7620"/>
            <wp:wrapSquare wrapText="bothSides"/>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89713" cy="2411730"/>
                    </a:xfrm>
                    <a:prstGeom prst="rect">
                      <a:avLst/>
                    </a:prstGeom>
                    <a:noFill/>
                  </pic:spPr>
                </pic:pic>
              </a:graphicData>
            </a:graphic>
          </wp:anchor>
        </w:drawing>
      </w:r>
    </w:p>
    <w:p w14:paraId="6814DD7F" w14:textId="77777777" w:rsidR="0073079D" w:rsidRDefault="0073079D" w:rsidP="00C2080B">
      <w:pPr>
        <w:jc w:val="both"/>
        <w:rPr>
          <w:rFonts w:ascii="Arial" w:hAnsi="Arial" w:cs="Arial"/>
          <w:sz w:val="22"/>
          <w:szCs w:val="22"/>
        </w:rPr>
      </w:pPr>
    </w:p>
    <w:p w14:paraId="0382388B" w14:textId="77777777" w:rsidR="0073079D" w:rsidRDefault="0073079D" w:rsidP="00C2080B">
      <w:pPr>
        <w:jc w:val="both"/>
        <w:rPr>
          <w:rFonts w:ascii="Arial" w:hAnsi="Arial" w:cs="Arial"/>
          <w:sz w:val="22"/>
          <w:szCs w:val="22"/>
        </w:rPr>
      </w:pPr>
    </w:p>
    <w:p w14:paraId="35BFD316" w14:textId="77777777" w:rsidR="0073079D" w:rsidRDefault="0073079D" w:rsidP="00C2080B">
      <w:pPr>
        <w:jc w:val="both"/>
        <w:rPr>
          <w:rFonts w:ascii="Arial" w:hAnsi="Arial" w:cs="Arial"/>
          <w:sz w:val="22"/>
          <w:szCs w:val="22"/>
        </w:rPr>
      </w:pPr>
    </w:p>
    <w:p w14:paraId="1B11BB60" w14:textId="77777777" w:rsidR="0073079D" w:rsidRDefault="0073079D" w:rsidP="00C2080B">
      <w:pPr>
        <w:jc w:val="both"/>
        <w:rPr>
          <w:rFonts w:ascii="Arial" w:hAnsi="Arial" w:cs="Arial"/>
          <w:sz w:val="22"/>
          <w:szCs w:val="22"/>
        </w:rPr>
      </w:pPr>
    </w:p>
    <w:p w14:paraId="124E1730" w14:textId="77777777" w:rsidR="0073079D" w:rsidRDefault="0073079D" w:rsidP="00C2080B">
      <w:pPr>
        <w:jc w:val="both"/>
        <w:rPr>
          <w:rFonts w:ascii="Arial" w:hAnsi="Arial" w:cs="Arial"/>
          <w:sz w:val="22"/>
          <w:szCs w:val="22"/>
        </w:rPr>
      </w:pPr>
    </w:p>
    <w:p w14:paraId="58DC4096" w14:textId="77777777" w:rsidR="0073079D" w:rsidRDefault="0073079D" w:rsidP="00C2080B">
      <w:pPr>
        <w:jc w:val="both"/>
        <w:rPr>
          <w:rFonts w:ascii="Arial" w:hAnsi="Arial" w:cs="Arial"/>
          <w:sz w:val="22"/>
          <w:szCs w:val="22"/>
        </w:rPr>
      </w:pPr>
    </w:p>
    <w:p w14:paraId="14A6A485" w14:textId="77777777" w:rsidR="0073079D" w:rsidRDefault="0073079D" w:rsidP="00C2080B">
      <w:pPr>
        <w:jc w:val="both"/>
        <w:rPr>
          <w:rFonts w:ascii="Arial" w:hAnsi="Arial" w:cs="Arial"/>
          <w:sz w:val="22"/>
          <w:szCs w:val="22"/>
        </w:rPr>
      </w:pPr>
    </w:p>
    <w:p w14:paraId="5802369D" w14:textId="77777777" w:rsidR="0073079D" w:rsidRDefault="0073079D" w:rsidP="00C2080B">
      <w:pPr>
        <w:jc w:val="both"/>
        <w:rPr>
          <w:rFonts w:ascii="Arial" w:hAnsi="Arial" w:cs="Arial"/>
          <w:sz w:val="22"/>
          <w:szCs w:val="22"/>
        </w:rPr>
      </w:pPr>
    </w:p>
    <w:p w14:paraId="67F61CFE" w14:textId="77777777" w:rsidR="0073079D" w:rsidRDefault="0073079D" w:rsidP="00C2080B">
      <w:pPr>
        <w:jc w:val="both"/>
        <w:rPr>
          <w:rFonts w:ascii="Arial" w:hAnsi="Arial" w:cs="Arial"/>
          <w:sz w:val="22"/>
          <w:szCs w:val="22"/>
        </w:rPr>
      </w:pPr>
    </w:p>
    <w:p w14:paraId="67C3350E"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Fuente: Instituto Nacional de Estadística y Geografía (INEGI). Base 2003</w:t>
      </w:r>
    </w:p>
    <w:p w14:paraId="46D752CC" w14:textId="77777777" w:rsidR="00C2080B" w:rsidRPr="007923C2" w:rsidRDefault="00C2080B" w:rsidP="00C2080B">
      <w:pPr>
        <w:jc w:val="both"/>
        <w:rPr>
          <w:rFonts w:ascii="Arial" w:hAnsi="Arial" w:cs="Arial"/>
          <w:b/>
          <w:sz w:val="22"/>
          <w:szCs w:val="22"/>
        </w:rPr>
      </w:pPr>
      <w:r w:rsidRPr="007923C2">
        <w:rPr>
          <w:rFonts w:ascii="Arial" w:hAnsi="Arial" w:cs="Arial"/>
          <w:b/>
          <w:sz w:val="22"/>
          <w:szCs w:val="22"/>
        </w:rPr>
        <w:lastRenderedPageBreak/>
        <w:t>4.2.1.3.- PATRONES DE CONSUMO</w:t>
      </w:r>
    </w:p>
    <w:p w14:paraId="4D90277D"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Agricultura y Economía en México durante los siglos XX y XXI</w:t>
      </w:r>
    </w:p>
    <w:p w14:paraId="2E47B5E9"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La agricultura durante el siglo anterior y desde principios del mismo fue convertida en una actividad empresarial que debía arrojar la renta más grande que fuese posible.</w:t>
      </w:r>
    </w:p>
    <w:p w14:paraId="101A7AC6"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Esto dejo verse al término de la segunda guerra mundial; una guerra que se desarrolló entre bloques capitalistas por el control de los mercados del mundo.</w:t>
      </w:r>
    </w:p>
    <w:p w14:paraId="62E4AA36"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A partir de tal fecha el capital invertido por las empresas de dichos países en el desarrollo de armas para la guerra, quedo sin esa perspectiva, pero con un gran desarrollo tecnológico; el cual fue enfocado al desarrollo agrícola y la salud.</w:t>
      </w:r>
    </w:p>
    <w:p w14:paraId="7962C0DD"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 El DDT es uno de los primeros ejemplos de ello.</w:t>
      </w:r>
    </w:p>
    <w:p w14:paraId="5C8DEA06"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Durante el siglo XX se creó todo el marco, enfoque e infraestructura para el desarrollo de la agricultura industrial o convencional por lo que el tipo de producción apoyado por las políticas de las organizaciones mundiales y nacionales sería de ese tipo. En consecuencia, la maximización de la producción agropecuaria requería de la producción y uso de insumos químicos para el control de plagas y enfermedades de cultivos y animales domésticos y para la fertilización de los cultivos; del desarrollo de variedades y razas de alto rendimiento, lo cual fue posible con el avance del conocimiento de la genética durante el siglo XX; del desarrollo de maquinaria agrícola que eficientara el rendimiento del trabajo por unidad de superficie y que asegurara la producción a través del riego suficiente y oportuno y finalmente el incremento de la superficie agrícola. Esto determinaba el perfil de la actividad y del productor de corte empresarial.</w:t>
      </w:r>
    </w:p>
    <w:p w14:paraId="4B57DF3E"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En el caso particular de México, la Revolución de 1910 fue una revolución que pretendió reivindicar los derechos de los campesinos, peones, acasillados y de una población básicamente agraria. Al triunfo de este movimiento y hasta los cincuentas las políticas agrícolas del gobierno nacional consistieron en desmantelar en buena medida, la organización del periodo anterior y en crear la infraestructura básica para la producción agrícola; el gobierno del General Lázaro Cárdenas es un ejemplo de ello. Durante ese lapso, el PIB agropecuario alcanzó niveles del 70 % del total y aún más. Las oportunidades de empleo para profesionistas del área fueron abundantes y la creación de las escuelas de agronomía de mayor tradición se ubica en los principios del periodo post-revolucionario. Cabe señalar que en dicho periodo el grueso de la producción se dirigió al consumo interno y el país llegó a ser autosuficiente desde el punto de vista alimentario.</w:t>
      </w:r>
    </w:p>
    <w:p w14:paraId="051C190E"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A partir de los sesentas, el país cambio de modelo de desarrollo reduciendo el desarrollo agropecuario y fomentando el industrial. Los apoyos y subsidios gubernamentales se fueron en esa dirección. El aporte del PIB agropecuario al PIB total disminuyo notablemente. El modelo de desarrollo industrial proteccionista hace crisis dos décadas después. De una economía cerrada se pasa a una economía abierta a partir de los ochentas. En 1994 se firma el Tratado Libre Comercio (TLC) con Estados Unidos y Canadá.</w:t>
      </w:r>
    </w:p>
    <w:p w14:paraId="21F9E529"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Se desmantela en buena medida el estado anterior y se fomenta en gran medida la participación del libre mercado. Se plantea una nueva división internacional de trabajo y la función proveedora de México. La producción agropecuaria del país alcanza alrededor del 5 % del PIB nacional. Todo esto tiene efecto sobre el desarrollo y el rumbo de México; sobre las escuelas de agronomía del país, su </w:t>
      </w:r>
      <w:r w:rsidRPr="007923C2">
        <w:rPr>
          <w:rFonts w:ascii="Arial" w:hAnsi="Arial" w:cs="Arial"/>
          <w:sz w:val="22"/>
          <w:szCs w:val="22"/>
        </w:rPr>
        <w:lastRenderedPageBreak/>
        <w:t>población escolar (2% o menos) y las oportunidades de empleo en el área, la especialización en la exportación de productos hortícolas y frutales y el cambio en la venta de servicios más que de productos.</w:t>
      </w:r>
    </w:p>
    <w:p w14:paraId="0AD91CC8"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En general el desempleo no solo ha afectado a los egresados de carreras de agronomía sino a todos los universitarios de todas las carreras, aunque no de igual manera porque las profesiones o carreras que se llevan el grueso de la inscripción en educación superior son las ligadas a la administración de bienes o recursos (más del 40 %).</w:t>
      </w:r>
    </w:p>
    <w:p w14:paraId="4631D1B0"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Es difícil pensar que una propuesta de producción agropecuaria alternativa y una carrera con ese enfoque llegue a desplazar el modo convencional de producción, mientras no se desmantele toda la infraestructura, políticas y otros aspectos en que se sustenta, el sistema de producción agropecuaria vigente; a pesar de los señalamientos mundiales del daño planetario ocasionado por el sistema mencionado. Pero habrá que aprovechar el nicho generado. El Congreso de los Estado Unidos durante el año 2002 estableció el acuerdo de que a partir de la fecha, el 20 % de la producción agrícola fuese orgánica.</w:t>
      </w:r>
    </w:p>
    <w:p w14:paraId="00462D26"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En México difícilmente llegamos al 5 %.  </w:t>
      </w:r>
    </w:p>
    <w:p w14:paraId="1F3EC6F9" w14:textId="77777777" w:rsidR="00C2080B" w:rsidRPr="00822367" w:rsidRDefault="00C2080B" w:rsidP="00C2080B">
      <w:pPr>
        <w:jc w:val="both"/>
        <w:rPr>
          <w:rFonts w:ascii="Arial" w:hAnsi="Arial" w:cs="Arial"/>
          <w:b/>
          <w:sz w:val="22"/>
          <w:szCs w:val="22"/>
        </w:rPr>
      </w:pPr>
      <w:bookmarkStart w:id="7" w:name="bm05"/>
      <w:r w:rsidRPr="00822367">
        <w:rPr>
          <w:rFonts w:ascii="Arial" w:hAnsi="Arial" w:cs="Arial"/>
          <w:b/>
          <w:sz w:val="22"/>
          <w:szCs w:val="22"/>
        </w:rPr>
        <w:t>El sector agrícola y el crecimiento económico</w:t>
      </w:r>
      <w:bookmarkEnd w:id="7"/>
      <w:r w:rsidR="00822367" w:rsidRPr="00822367">
        <w:rPr>
          <w:rFonts w:ascii="Arial" w:hAnsi="Arial" w:cs="Arial"/>
          <w:b/>
          <w:sz w:val="22"/>
          <w:szCs w:val="22"/>
        </w:rPr>
        <w:t>.</w:t>
      </w:r>
    </w:p>
    <w:p w14:paraId="466412D4"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Como el aumento de la productividad de la agricultura libera fuerza laboral para otros sectores, durante varias décadas del siglo pasado esta relación entre agricultura y crecimiento económico global fue distorsionada en la forma de una doctrina que perseguía la industrialización aún a expensas del desarrollo agrícola, socavando por lo tanto las posibilidades de que la agricultura contribuyera al desarrollo global. Se consideraba que el papel del sector era el de ayudar al desarrollo industrial, que era el elemento esencial de la estrategia de crecimiento. De hecho, se pensó que la industria era tan importante para las perspectivas económicas a largo plazo que subsidiarla fue una práctica común, a expensas del contribuyente fiscal y de otros sectores.</w:t>
      </w:r>
    </w:p>
    <w:p w14:paraId="0833251D"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Esta fue la doctrina de la primera generación de estrategias de desarrollo económico. La costumbre de favorecer y subsidiar el desarrollo industrial fue especialmente marcada en América Latina y algunos países de Asia. Quizás el más conocido de los primeros exponentes latinoamericanos de esta tradición fue Celso Furtado. En palabras que hoy suenan raras, Furtado observó, refiriéndose a las prioridades sectoriales del desarrollo brasileño:</w:t>
      </w:r>
    </w:p>
    <w:p w14:paraId="2D2371B3"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La acción gubernamental, fuente de amplios subsidios para la inversión industrial a través de las políticas cambiarias y crediticias, ha permitido la expansión, aceleración y ampliación del proceso de industrialización. Sin la creación de industrias básicas (acero, petróleo) por el estado y sin los subsidios del sistema cambiario y las tasas de interés negativas de los préstamos oficiales, la industrialización no habría alcanzado la rapidez y amplitud que desarrolló durante ese cuarto de siglo.</w:t>
      </w:r>
    </w:p>
    <w:p w14:paraId="43CDA14A"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En este enfoque del desarrollo, el papel de la agricultura fue considerado como el de proveedora de “excedentes” (de mano de obra, divisas y ahorro interno) para impulsar el desarrollo industrial. No fue vista como una fuente de crecimiento del ingreso por sí misma. Sin embargo, la concesión de subsidios a la industria significaba imponer un gravamen, implícito o explícito, sobre la agricultura, que con toda probabilidad deprimiría sus perspectivas de crecimiento. En otro contexto, Furtado comentó que en </w:t>
      </w:r>
      <w:r w:rsidRPr="007923C2">
        <w:rPr>
          <w:rFonts w:ascii="Arial" w:hAnsi="Arial" w:cs="Arial"/>
          <w:sz w:val="22"/>
          <w:szCs w:val="22"/>
        </w:rPr>
        <w:lastRenderedPageBreak/>
        <w:t>México: desde 1940, la política agrícola sistemáticamente ha perseguido el objetivo de incrementar los excedentes agrícolas extraídos para favorecer el consumo urbano o la exportación.</w:t>
      </w:r>
    </w:p>
    <w:p w14:paraId="42B175BD"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Esta visión de un papel limitado de la agricultura en el desarrollo económico no se circunscribió a los economistas latinoamericanos. Ha sido la componente central del “modelo de la economía dual” de John Fei y Gustav Ranis.</w:t>
      </w:r>
    </w:p>
    <w:p w14:paraId="2CFEB60B"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Anne Krueger resumió el pensamiento inicial de la economía de desarrollo como conteniendo:varias tendencias prevalecientes y dominantes...: 1) deseo e impulso hacia la modernización; 2) interpretación de la industrialización como la ruta hacia la modernización; 3) creencia en la sustitución de importaciones como política necesaria para proteger a las industrias nacientes; 4) desconfianza en el sector privado y el mercado, y creencia en que el gobierno, como guardián paternalista y benévolo, debería asumir el liderazgo del desarrollo; y 5) relacionado con el inciso 4) desconfianza hacia la economía internacional y pesimismo sobre el crecimiento de las exportaciones de los países en desarrollo.</w:t>
      </w:r>
    </w:p>
    <w:p w14:paraId="429A8A6E"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Aún cuando no proponían subsidiar a la industria, Hollis Chenery y Moises Syrquin subrayaban que la agricultura debería transferir capital y fuerza laboral hacia las zonas urbanas, para promover el desarrollo general en la economía. En el pasado, incluso los economistas agrícolas han suscrito esa tesis: la agricultura debe proveer aumentos importantes de productos agrícolas, pero también debe hacer contribuciones netas significativas a las necesidades de capital de los otros sectores de la economía.</w:t>
      </w:r>
    </w:p>
    <w:p w14:paraId="3DBD6DE9"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El aporte del sector rural a la formación de capital podría ser lograda... a través de la imposicióny del descenso relativo de los precios agrícolas. Los impuestos sobre las exportaciones son más fáciles de administrar.</w:t>
      </w:r>
    </w:p>
    <w:p w14:paraId="272E5638"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Hoy en día los responsables de las políticas a menudo se esfuerzan en detener el descenso de los precios reales y la rentabilidad de la agricultura. Además, se reconoce que los impuestos específicos sobre los productos básicos reducen el crecimiento del sector, no sólo por disminuir la rentabilidad de la inversión y la producción, sino también por distorsionar la asignación de recursos entre productos.</w:t>
      </w:r>
    </w:p>
    <w:p w14:paraId="37AE5C44"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Bruce Johnston y John Mellor desarrollaron una visión más completa del proceso de desarrollo agrícola y abogaron por políticas en favor de los pequeños productores. Su estrategia de desarrollo agrícola fue la primera que subrayó la importancia del aumento de la productividad, incluso en las pequeñas explotaciones. Describieron un proceso de crecimiento a largo plazo en el que los tipos de innovación tecnológica variaban según las fases del proceso. Sin embargo, su punto de vista era que la agricultura debía ayudar al desarrollo de los demás sectores de la economía, principalmente proporcionándoles bienes y factores de producción. Tal papel incluye el suministro de mano de obra, divisas, ahorro y alimentos, además de proveer un mercado para los bienes industriales producidos internamente.</w:t>
      </w:r>
    </w:p>
    <w:p w14:paraId="37165FD7"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Por lo tanto, lejos de proponer ayudas a la agricultura, buena parte del pensamiento de los últimos cincuenta años acerca de su papel en el desarrollo abogaba por gravar al sector, directamente o a través de políticas de precios, para proveer recursos al desarrollo del resto de la economía y, en algunos casos, utilizar los recursos restantes para subvencionar a la industria. Entre otras preocupaciones actuales sobre ese enfoque, una interrogante básica es hasta qué punto los ingresos </w:t>
      </w:r>
      <w:r w:rsidRPr="007923C2">
        <w:rPr>
          <w:rFonts w:ascii="Arial" w:hAnsi="Arial" w:cs="Arial"/>
          <w:sz w:val="22"/>
          <w:szCs w:val="22"/>
        </w:rPr>
        <w:lastRenderedPageBreak/>
        <w:t>agrícolas pueden ser reducidos mediante los mecanismos de precios e impuestos, antes de que la pobreza rural alcance niveles inaceptables y la producción se estanque por falta de rentabilidad.</w:t>
      </w:r>
    </w:p>
    <w:p w14:paraId="70678B5A"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Para muchos observadores, el éxito de las economías de Asia oriental hasta hace poco tiempo reforzó la convicción de que la industrialización era el camino hacia la creación de riqueza nacional, y contradijo el anterior pesimismo sobre las posibilidades de expansión de las exportaciones de los países en desarrollo. Se ha discutido por años acerca del grado y éxito de la intervención gubernamental en el crecimiento industrial del Asia oriental; las conclusiones han sido divergentes. Un análisis exhaustivo realizado por el Banco Mundial concluyó que los subsidios al crédito algunas veces (pero no siempre) contribuyeron al proceso de industrialización de esos países y que los subsidios a las exportaciones fueron más exitosos:</w:t>
      </w:r>
    </w:p>
    <w:p w14:paraId="4F59EA24"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Esclarecer si estas intervenciones tuvieron efectos positivos o negativos sobre el rápido crecimiento, hecho posible por las buenas [políticas] de base, es una de las interrogantes más difíciles que hemos tratado de resolver...</w:t>
      </w:r>
    </w:p>
    <w:p w14:paraId="47783707"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La experiencia tanto de las economías del norte asiático de excelente desempeño... como de las del sudeste asiático de industrialización reciente sugiere que los países que se hallan en proceso de liberalizar su comercio podrían beneficiarse estableciendo incentivos específicos a las exportaciones de manufacturas. Modestos subsidios a las exportaciones podrían ser vinculados, por ejemplo, al sesgo existente en contra de las exportaciones y acotados a estrictos períodos de tiempo. </w:t>
      </w:r>
    </w:p>
    <w:p w14:paraId="69E3DA1D"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La concepción del papel de agricultura como netamente de apoyo al resto de la economía, como una reserva de mano de obra y capital a ser explotada, está siendo reemplazada por la visión de que el desarrollo agrícola debe ser perseguido por sí mismo, y que en ocasiones puede ser un sector líder de la economía, especialmente en períodos de ajuste económico. El Informe del Desarrollo Mundial, 1990 del Banco Mundial destaca el caso de diversos programas de ajuste en los cuales la agricultura respondió con mayor rapidez que otros sectores al nuevo sistema de políticas y creció más rápidamente durante cuatro a cinco años, guiando la economía fuera de la recesión. En la década de los noventa, la agricultura creció más rápidamente que la manufactura en Chile y Brasil. Durante esa década en Chile la agricultura ha sido la fuente principal de nuevos empleos científicos, técnicos, profesionales, gerenciales y administrativos.</w:t>
      </w:r>
    </w:p>
    <w:p w14:paraId="65336AD1"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Cuando se toman en consideración las industrias agro procesadoras, los sectores de insumos agrícolas y las actividades de mercadeo, la contribución total de la agricultura al PIB oscila normalmente entre 35 y 45 por ciento en los países en desarrollo de bajos a medianos ingresos, mucho más que el aporte la agricultura por sí sola, y casi siempre mucho mayor que el de las manufacturas. El grueso de la pobreza se halla frecuentemente en las zonas rurales y, por lo tanto, a los efectos de aliviar la pobreza y evitar el crecimiento de los barrios pobres urbanos, el desarrollo agrícola puede reclamar un lugar dentro de las prioridades nacionales.</w:t>
      </w:r>
    </w:p>
    <w:p w14:paraId="0095BD6E"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Luego el estudio utilizó un modelo econométrico para construir un escenario alternativo sobre cómo hubiera evolucionado la economía bajo políticas diferentes, en particular la reevaluación de la tasa de cambio y la liberalización del comercio exterior. Este escenario mostró aumentos considerables, de 30 a 40 por ciento, tanto en la producción agrícola como en la no agrícola, comparados con el curso real de la economía. Como los precios de los alimentos también aumentaban más que los salarios no agrícolas, una recomendación del estudio fue la de explorar una combinación de subsidios a los </w:t>
      </w:r>
      <w:r w:rsidRPr="007923C2">
        <w:rPr>
          <w:rFonts w:ascii="Arial" w:hAnsi="Arial" w:cs="Arial"/>
          <w:sz w:val="22"/>
          <w:szCs w:val="22"/>
        </w:rPr>
        <w:lastRenderedPageBreak/>
        <w:t>alimentos urbanos con aumentos en la tasa real de cambio. La política que se había seguido de gravar la agricultura a través de las políticas comercial y cambiaria tuvo resultados altamente negativos para todos los sectores de la economía.</w:t>
      </w:r>
    </w:p>
    <w:p w14:paraId="0B90CED9"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Existe en la actualidad un creciente acuerdo en que el crecimiento agrícola es la clave para la expansión de la economía global. En apoyo a esta idea, Mellor ha escrito:</w:t>
      </w:r>
    </w:p>
    <w:p w14:paraId="4D5C22EA"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Cuando la agricultura crece rápidamente, se alcanzan normalmente altas tasas de crecimiento económico. Esto se debe a que los recursos utilizados para el crecimiento agrícola son sólo marginalmente competitivos con otros sectores y, por eso, el crecimiento agrícola tiende a ser adicional al de los demás sectores lo mismo que un estímulo al desarrollo de los bienes no transables, normalmente con mano de obra desocupada... El modelo de Block y Timmer de la economía de Kenya muestra que los multiplicadores del crecimiento agrícola son tres veces más grandes que los del crecimiento no agrícola.</w:t>
      </w:r>
    </w:p>
    <w:p w14:paraId="62B4464E"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La explosión del comercio internacional y los ingresos globales significa que la agricultura puede crecer al 4-6 por ciento (50 por ciento más de lo que era concebible hace tres décadas), aún en los casos en que el ingreso interno es demasiado bajo como para ampliar el mercado de los productos de alto valor.</w:t>
      </w:r>
    </w:p>
    <w:p w14:paraId="38FA1805"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Otras razones para el fuerte efecto del crecimiento agrícola sobre el de toda la economía surgen de las estructuras del ingreso y del consumo en las zonas rurales: 1) dado que la población rural es en promedio más pobre que la urbana, su propensión a gastar los ingresos adicionales, en lugar de ahorrarlos, es más elevada, y 2) la composición de sus gastos da proporcionalmente mayor peso a los bienes nacionales que a los importados, a diferencia del comportamiento de los consumidores urbanos. Estos hechos son la base del alto efecto multiplicador sobre el ingreso global como consecuencia de aumentos de los ingresos agrícolas y rurales, detectado en muchos países.</w:t>
      </w:r>
    </w:p>
    <w:p w14:paraId="6D78510E"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Una parte del estímulo positivo del crecimiento agrícola consiste en la creación de mercados para productos y servicios rurales no agrícolas, diversificando la base económica del medio rural. A medida que las economías crecen, las actividades no agrícolas adquieren creciente importancia en las zonas rurales. Su desarrollo, sin embargo, depende en parte del crecimiento agrícola. Los dos se complementan, no se sustituyen, en el desarrollo rural.</w:t>
      </w:r>
    </w:p>
    <w:p w14:paraId="5FBA62CE"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ESTADO ACTUAL DE LA AGRICULTURA EN MÉXICO</w:t>
      </w:r>
    </w:p>
    <w:p w14:paraId="0C6D5201"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De acuerdo con la OCDE (2011), la agricultura es un sector relativamente pequeño en México, a la baja con respecto a la economía total y cerca del 4% del PIB. Sin embargo, esta cifra por sí sola minimiza la importancia económica y social del sector. La agricultura proporciona empleo  alrededor de 13% de la fuerza de trabajo, lo que representa unos 3.3 millones de agricultores y 4.6 millones de trabajadores asalariados y familiares no remunerados. De mayor relevancia aún para el desarrollo territorial es el hecho de que en el año 2005 aproximadamente 24% de la población total vivía en las zonas rurales. Así pues, la agricultura tiene importantes eslabonamientos ascendentes y descendentes con otros sectores. </w:t>
      </w:r>
    </w:p>
    <w:p w14:paraId="58EFA9AF"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La agricultura en México es cada vez más moderna y está más integrada con el resto de la economía, al comprar más insumos intermedios y vender sus productos como insumos intermedios en otros sectores. El empleo es importante en estas actividades no agrícolas: la selección, el envasado y la refrigeración de verduras y fruta frescas, así como el tratamiento de productos silvícolas. </w:t>
      </w:r>
    </w:p>
    <w:p w14:paraId="7D4D76B0"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lastRenderedPageBreak/>
        <w:t>Aunque menos significativos, también hay vínculos en la etapa inicial: la producción y distribución de insumos, maquinaria y equipo agrícolas. Usar una cifra estimada de un "PIB agrícola ampliado aumenta la participación ajustada de la agricultura del valor nacional total agregado de 4% a cerca de 8%, tal vez un cálculo demasiado bajo. Además, estos promedios nacionales ocultan el hecho de que el sector es mucho más importante en determinadas regiones y estados. Para algunos estados rurales muy poblados, la productividad de la agricultura es un factor determinante fundamental de su vitalidad económica (OCDE, 2011).</w:t>
      </w:r>
    </w:p>
    <w:p w14:paraId="1FCF2F28"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Tecnificación de la agricultura</w:t>
      </w:r>
    </w:p>
    <w:p w14:paraId="6A50D6B0"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Según el SIAP (2013), en México existe una superficie de siembra de 22 113 663 ha de la cual 16 214 783 ha se manejan bajo un esquema mecanizado, es decir, que implica la utilización de maquinaria y equipo en la siembra y cosecha de la superficie cultivada. El resto, 5 898 880 ha se manejan bajo un esquema no mecanizado.</w:t>
      </w:r>
    </w:p>
    <w:p w14:paraId="3A4910E1"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De la superficie total manejada bajo el esquema mecanizado y de acuerdo a la modalidad hídrica de manejo 5 536 766 ha se encuentran bajo riego, mientras que 10 678 017 ha son manejadas en un sistema de temporal (SIAP, 2013).</w:t>
      </w:r>
    </w:p>
    <w:p w14:paraId="201953A5"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Del total de la superficie sembrada en México, en 14 684 583 ha se emplea el uso de fertilizantes químicos, mientras que 7 429 080 ha no emplean fertilizantes químicos. Además, de la superficie con uso de químicos solamente 5 300 867 ha se manejan bajo un sistema de riego, por lo que las 9 383 716 ha restantes se manejan en un esquema de producción de temporal (SIAP, 2013).</w:t>
      </w:r>
    </w:p>
    <w:p w14:paraId="06AA947F"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Ahora bien, en cuanto al uso de semillas mejoradas (semillas que han tenido un proceso de mejora genética) en la producción agrícola de cultivos anuales, en México se emplean estas semillas en 10 538 280 ha, mientras que en 5 073 515 ha se emplean semillas criollas (semilla que se obtiene de una población local con una amplia base genética que no ha sufrido cambio por mejoramiento genético). De la superficie total en la que se usan semillas mejoradas solamente 3 815 681 ha son manejadas con un esquema de riego, mientras que el resto de la superficie (6 722 599 ha) se maneja bajo el esquema de temporal (SIAP, 2013).</w:t>
      </w:r>
    </w:p>
    <w:p w14:paraId="590F7E6A"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En cuanto al uso de acciones fitosanitarias, ya sea inspección, prueba, vigilancia o tratamiento, llevada a cabo para aplicar medidas fitosanitarias, de la superficie agrícola nacional solamente 7 914 177 ha se manejan bajo este esquema. Las 14 199 486 ha restantes se encuentran sin ninguna acción fitosanitaria. De la superficie que cuenta con acciones fitosanitarias 3 360 232 ha se manejan bajo siego, mientras que 4 553 944 ha se manejan bajo temporal (SIAP, 2013).</w:t>
      </w:r>
    </w:p>
    <w:p w14:paraId="42717DC7"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Finalmente, de la superficie agrícola total de México solamente 6 857 658 ha son manejadas con asistencia técnica, por su parte las 15 256 005 ha restantes se manejan sin asistencia técnica. Se puede distinguir además, que de la superficie que se maneja con asistencia técnica 3 136 198 ha se manejan bajo riego y las 3 721 460 ha restantes se manejan bajo temporal (SIAP, 2013).</w:t>
      </w:r>
    </w:p>
    <w:p w14:paraId="16F309E5"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De acuerdo con la OCDE (2011), en México no existe un servicio de extensión agrícola específico como tal sino más bien, los agricultores cuentan con asistencia técnica al acceder a los distintos programas de apoyo de la SAGARPA como una parte integral de los mismos. La asistencia técnica se lleva a cabo a través de contratistas del sector privado, es decir, prestadores de servicios profesionales (PSP), cuya función es poner en práctica los programas en el nivel de la explotación agrícola. Los </w:t>
      </w:r>
      <w:r w:rsidRPr="007923C2">
        <w:rPr>
          <w:rFonts w:ascii="Arial" w:hAnsi="Arial" w:cs="Arial"/>
          <w:sz w:val="22"/>
          <w:szCs w:val="22"/>
        </w:rPr>
        <w:lastRenderedPageBreak/>
        <w:t>servicios profesionales definidos para estos efectos incluyen la planeación estratégica, la formulación de proyectos, el acceso a los recursos públicos, la asesoría técnica, las estrategias comerciales y la capacitación, entre otros; su objetivo es apoyar a los agricultores para que aumenten su eficiencia y facilitar su incorporación a las cadenas de valor.</w:t>
      </w:r>
    </w:p>
    <w:p w14:paraId="04CF5E6D"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Agricultura protegida</w:t>
      </w:r>
    </w:p>
    <w:p w14:paraId="226632F9"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La agricultura protegida es aquella que se realiza bajo métodos de producción que ayudan a  ejercer determinado grado de  control  sobre los diversos factores  del medio ambiente (luz, temperatura, etc.), permitiendo con ello minimizar las restricciones que las malas condiciones climáticas ocasionan en los cultivos (Moreno-Reséndez et al., 2011; SAGARPA, 2012).</w:t>
      </w:r>
    </w:p>
    <w:p w14:paraId="45BE36D9"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En nuestro país, la producción bajo agricultura protegida es de gran importancia, tan solo en el año 2012 se estimaron 20 mil hectáreas bajo este sistema de las cuales aproximadamente 12 mil son de invernadero y las otras 8 mil corresponden a malla sombra y macro túnel principalmente (SAGARPA, 2012).</w:t>
      </w:r>
    </w:p>
    <w:p w14:paraId="2D4B0C1C" w14:textId="59EEFA65" w:rsidR="00C2080B" w:rsidRPr="007923C2" w:rsidRDefault="00C2080B" w:rsidP="00C2080B">
      <w:pPr>
        <w:jc w:val="both"/>
        <w:rPr>
          <w:rFonts w:ascii="Arial" w:hAnsi="Arial" w:cs="Arial"/>
          <w:sz w:val="22"/>
          <w:szCs w:val="22"/>
        </w:rPr>
      </w:pPr>
      <w:r w:rsidRPr="007923C2">
        <w:rPr>
          <w:rFonts w:ascii="Arial" w:hAnsi="Arial" w:cs="Arial"/>
          <w:sz w:val="22"/>
          <w:szCs w:val="22"/>
        </w:rPr>
        <w:t>El 50% de la superficie con agricultura protegida se concentra en cuatro estados: Sinaloa (22%), Baja California (14%), Baja California Sur (12%)  y Jalisco (10%).  Los principales cultivos que se producen bajo agricultura protegida son el jitomate (70%), pimiento (16%), pepino (10%). En los  últimos años se ha intensificado la diversificación de cultivos como la papaya, fresa, chile habanero, flores, plantas aromáticas (SAGARPA, 2012). Aunado a esto, México es el principal exportador de tomate enviando el producto a EU, Canadá y el Salvador, siendo Sinaloa el estado con mayor producción del mismo (MEXICO</w:t>
      </w:r>
      <w:r w:rsidR="00421D6B">
        <w:rPr>
          <w:rFonts w:ascii="Arial" w:hAnsi="Arial" w:cs="Arial"/>
          <w:sz w:val="22"/>
          <w:szCs w:val="22"/>
        </w:rPr>
        <w:t xml:space="preserve"> </w:t>
      </w:r>
      <w:r w:rsidRPr="007923C2">
        <w:rPr>
          <w:rFonts w:ascii="Arial" w:hAnsi="Arial" w:cs="Arial"/>
          <w:sz w:val="22"/>
          <w:szCs w:val="22"/>
        </w:rPr>
        <w:t>PRODUCE, 2012). Esto denota la importancia de la producción de hortalizas bajo el sistema de agricultura protegida en nuestro país, así como el valor económico que representan las exportaciones de estos productos.</w:t>
      </w:r>
    </w:p>
    <w:p w14:paraId="331C4984"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Si bien, la agricultura protegida en México no es una panacea, ésta representa un nuevo paradigma de riesgos, además de que potencialmente representa una alternativa para superar la baja escala de producción de los minifundios. Otro hecho importante que se debe considerar es que EU y Canadá han frenado su crecimiento en invernaderos (Moreno-Reséndez et al., 2011), lo que representa una oportunidad para la horticultura de nuestro país.</w:t>
      </w:r>
    </w:p>
    <w:p w14:paraId="5F3D2165"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Agricultura orgánica</w:t>
      </w:r>
    </w:p>
    <w:p w14:paraId="473714BB"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Según la IFOAM, la agricultura orgánica es un sistema de producción que mantiene y mejora la salud de los suelos, los ecosistemas y las personas. Se basa fundamentalmente en los procesos ecológicos, la biodiversidad y los ciclos adaptados a las condiciones locales, sin usar insumos que tengan efectos adversos (IFOAM, 2009). </w:t>
      </w:r>
    </w:p>
    <w:p w14:paraId="27231922"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En cuanto a este sistema de producción, en el año 2012, se estimó que en México existían 512,246 hectáreas dedicadas a la producción de productos orgánicos. La exportación de productos orgánicos en 2012 ascendió $ 600 millones de dólares, mientras que en el mercado nacional se estimó en 1,174 millones de pesos (92.4 millones de dólares). Alrededor del 83% de los productores orgánicos de México pertenecen a algún grupo indígena (IOM, 2014).</w:t>
      </w:r>
    </w:p>
    <w:p w14:paraId="088806F8"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Además de lo anterior, el segmento orgánico, a diferencia de otros sectores agropecuarios, ha crecido incluso en medio de la crisis actual, por ejemplo, en el café orgánico México se ubica como el principal exportador del mundo (IOM, 2014).</w:t>
      </w:r>
    </w:p>
    <w:p w14:paraId="658014DC"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lastRenderedPageBreak/>
        <w:t>Por si esto fuera poco, la superficie agrícola dedicada a cultivos orgánicos en México registró un incremento considerable, ya que pasó de 21,265 hectáreas en 1996 a 378,693 hectáreas en 2008 y 512,246 hectáreas en 2012. Aunado a esto, el número de productores dedicados a estos cultivos aumentó casi 10 veces, al pasar de 13,176 a 128,862 productores en 2008 y a 169,570 en 2012 (IOM, 2014).</w:t>
      </w:r>
    </w:p>
    <w:p w14:paraId="7DAD21AC"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PRODUCTOS Y CONDUCTAS</w:t>
      </w:r>
      <w:r w:rsidRPr="007923C2">
        <w:rPr>
          <w:rFonts w:ascii="Arial" w:hAnsi="Arial" w:cs="Arial"/>
          <w:sz w:val="22"/>
          <w:szCs w:val="22"/>
        </w:rPr>
        <w:br/>
        <w:t xml:space="preserve">No se puede dejar de lado a la hora de evaluar las </w:t>
      </w:r>
      <w:r w:rsidR="00AD59DA" w:rsidRPr="007923C2">
        <w:rPr>
          <w:rFonts w:ascii="Arial" w:hAnsi="Arial" w:cs="Arial"/>
          <w:sz w:val="22"/>
          <w:szCs w:val="22"/>
        </w:rPr>
        <w:t xml:space="preserve">conductas </w:t>
      </w:r>
      <w:r w:rsidRPr="007923C2">
        <w:rPr>
          <w:rFonts w:ascii="Arial" w:hAnsi="Arial" w:cs="Arial"/>
          <w:sz w:val="22"/>
          <w:szCs w:val="22"/>
        </w:rPr>
        <w:t>el consumidor, cómo las medidas económicas (política de salarios, de regulación bancaria, de control de la inflación, etcétera) influyen en sus decisiones. En Argentina, datos comparativos muestran una importante reducción en la cantidad de carne vacuna consumida por habitante por año entre el inicio de la década de 1980 y el inicio de la década siguiente. En contrapartida, la comparación entre 1990 y 2010 del consumo anual por habitante de carne de pollo revela gran aumento en la demanda de dicho producto. La evolución por habitante del consumo de vino muestra una migración en la composición de esta bebida, desde los vinos de mesa hasta los vinos varietales, caracterizados por una mayor calidad. En cuanto a las bebidas analcohólicas, el consumo de gaseosas también se ha incrementado durante los últimos 30 años, aunque estancándose en el último tiempo. Las aguas envasadas, se expandieron más allá del crecimiento de las gaseosas, fenómeno asociado a la explotación comercial del estilo de vida saludable. En referencia a los lácteos, es notable el aumento en la demanda de productos que aportan características nutritivas más allá de las propias de la leche. El consumo de yogur muestra esta clara tendencia, habiéndose triplicado su consumo por habitante entre comienzos de la década de 1990 y 2009.</w:t>
      </w:r>
    </w:p>
    <w:p w14:paraId="75F1B6F2" w14:textId="77777777" w:rsidR="003626A7" w:rsidRDefault="00C2080B" w:rsidP="00C2080B">
      <w:pPr>
        <w:jc w:val="both"/>
        <w:rPr>
          <w:rFonts w:ascii="Arial" w:hAnsi="Arial" w:cs="Arial"/>
          <w:sz w:val="22"/>
          <w:szCs w:val="22"/>
        </w:rPr>
      </w:pPr>
      <w:r w:rsidRPr="007923C2">
        <w:rPr>
          <w:rFonts w:ascii="Arial" w:hAnsi="Arial" w:cs="Arial"/>
          <w:sz w:val="22"/>
          <w:szCs w:val="22"/>
        </w:rPr>
        <w:br/>
        <w:t>Es innegable así que a partir de los impulsos mencionados y cualquiera que sea el segmento al que pertenece el consumidor, su reacción tiende a la búsqueda de artículos que provean un beneficio para su salud. La función saludable es representada por la presencia de un ingrediente agregado para el beneficio de los consumidores, pero además por la percepción que éste tiene de la composición, donde lo saludable se basa en la presencia de elementos naturales, la ausencia de ingredientes artificiales y/o el agregado de uno o más nutrientes de comprobada efectividad sobre la salud. Diversos tópicos hoy se abarcan por la oferta de productos fortificados y/o funcionales. Se destaca la salud del sistema inmune (a través de microorganismos probióticos), la salud cardiovascular (con el agregado de fitoesteroles), la salud mental, la belleza y el antienvejecimiento. Las vitaminas y minerales se presentan en asociación con sabores y presentaciones novedosas, liderando la innovación en productos dirigidos a niños. Se reconoce también la aplicación de calcio, antioxidantes y vitaminas para la tercera edad y el agregado de hierro, ácido fólico y/o fibras en alimentos  dirigidos a las mujeres.</w:t>
      </w:r>
    </w:p>
    <w:p w14:paraId="55045EAB" w14:textId="4008D859" w:rsidR="00C2080B" w:rsidRPr="007923C2" w:rsidRDefault="00C2080B" w:rsidP="00C2080B">
      <w:pPr>
        <w:jc w:val="both"/>
        <w:rPr>
          <w:rFonts w:ascii="Arial" w:hAnsi="Arial" w:cs="Arial"/>
          <w:sz w:val="22"/>
          <w:szCs w:val="22"/>
        </w:rPr>
      </w:pPr>
      <w:r w:rsidRPr="007923C2">
        <w:rPr>
          <w:rFonts w:ascii="Arial" w:hAnsi="Arial" w:cs="Arial"/>
          <w:sz w:val="22"/>
          <w:szCs w:val="22"/>
        </w:rPr>
        <w:t>En este contexto, diversas combinaciones de nutrientes* han sido desarrolladas para satisfacer la demanda de la industria y posibilitar su aplicación en las diferentes matrices alimenticias: el auge de los alimentos funcionales se ha establecido en forma absoluta y la industria alimenticia continúa en la búsqueda de nuevos ingredientes que agreguen valor a sus</w:t>
      </w:r>
      <w:r w:rsidR="00AD59DA" w:rsidRPr="007923C2">
        <w:rPr>
          <w:rFonts w:ascii="Arial" w:hAnsi="Arial" w:cs="Arial"/>
          <w:sz w:val="22"/>
          <w:szCs w:val="22"/>
        </w:rPr>
        <w:t xml:space="preserve"> pr</w:t>
      </w:r>
      <w:r w:rsidRPr="007923C2">
        <w:rPr>
          <w:rFonts w:ascii="Arial" w:hAnsi="Arial" w:cs="Arial"/>
          <w:sz w:val="22"/>
          <w:szCs w:val="22"/>
        </w:rPr>
        <w:t>oductos.</w:t>
      </w:r>
      <w:r w:rsidRPr="007923C2">
        <w:rPr>
          <w:rFonts w:ascii="Arial" w:hAnsi="Arial" w:cs="Arial"/>
          <w:sz w:val="22"/>
          <w:szCs w:val="22"/>
        </w:rPr>
        <w:br/>
      </w:r>
      <w:r w:rsidRPr="007923C2">
        <w:rPr>
          <w:rFonts w:ascii="Arial" w:hAnsi="Arial" w:cs="Arial"/>
          <w:sz w:val="22"/>
          <w:szCs w:val="22"/>
        </w:rPr>
        <w:br/>
        <w:t>MÉXICO.- Ante la crisis financiera internacional, el patrón de consumo de los mexicanos no se ha visto afectado, aseguró Manuel Ramos Francia, director de Investigación de Estudios Económicos del</w:t>
      </w:r>
      <w:r w:rsidR="00AD59DA" w:rsidRPr="007923C2">
        <w:rPr>
          <w:rFonts w:ascii="Arial" w:hAnsi="Arial" w:cs="Arial"/>
          <w:sz w:val="22"/>
          <w:szCs w:val="22"/>
        </w:rPr>
        <w:t xml:space="preserve"> Banco de México.</w:t>
      </w:r>
    </w:p>
    <w:p w14:paraId="23B0B099"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lastRenderedPageBreak/>
        <w:t>"No se ve el bienestar afectado, como en otros ciclos, dado que los hogares pueden mantener un patrón de consumo", remarcó el funcionario.</w:t>
      </w:r>
    </w:p>
    <w:p w14:paraId="4C739554"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Sin embargo, reconoció que las tasas de crecimiento de crédito al consumo disminuyeron de un nivel de 40% a 20%.</w:t>
      </w:r>
    </w:p>
    <w:p w14:paraId="093496C1"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ONU pide cambios en los patrones de consumo para preservar el planeta</w:t>
      </w:r>
    </w:p>
    <w:p w14:paraId="4188186B"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El Secretario General de la ONU, Ban Ki-moon, advirtió que la humanidad sigue consumiendo más recursos naturales de los que el planeta puede proporcionar de modo sostenible y que muchos de los ecosistemas están llegando a un punto de inflexión crítico.</w:t>
      </w:r>
    </w:p>
    <w:p w14:paraId="1D1DA474"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En un mensaje por Día Mundial del Medio Ambiente, que se celebra este 5 de junio, afirmó que es hora de cambiar y apostar por el desarrollo sostenible.</w:t>
      </w:r>
    </w:p>
    <w:p w14:paraId="153AB8FB"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Añadió que esto se puede lograr modificándo los hábitos y consumiendo bienes que requieran menos energía, agua y otros recursos, así como desperdiciando menos alimentos.</w:t>
      </w:r>
    </w:p>
    <w:p w14:paraId="08D72990"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El tema de la edición del 2015 del Día Mundial es "Siete Mil Millones de Sueños. Un solo planeta. Consume con moderación"</w:t>
      </w:r>
    </w:p>
    <w:p w14:paraId="41622B84"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Sobre esa premisa, el Titular de la ONU pidió a la gente ser más consciente del impacto ecológico de su comportamiento y pensar más en las consecuencias que tienen para el medio ambiente las elecciones que hacemos.</w:t>
      </w:r>
    </w:p>
    <w:p w14:paraId="6E2C3540" w14:textId="77777777" w:rsidR="00C2080B" w:rsidRPr="007923C2" w:rsidRDefault="00C2080B" w:rsidP="00C2080B">
      <w:pPr>
        <w:jc w:val="both"/>
        <w:rPr>
          <w:rFonts w:ascii="Arial" w:hAnsi="Arial" w:cs="Arial"/>
          <w:b/>
          <w:sz w:val="22"/>
          <w:szCs w:val="22"/>
        </w:rPr>
      </w:pPr>
      <w:r w:rsidRPr="007923C2">
        <w:rPr>
          <w:rFonts w:ascii="Arial" w:hAnsi="Arial" w:cs="Arial"/>
          <w:b/>
          <w:sz w:val="22"/>
          <w:szCs w:val="22"/>
        </w:rPr>
        <w:t>4.2.1.4.- IMPORTACIONES Y EXPORTACIONES NO PETROLERAS</w:t>
      </w:r>
    </w:p>
    <w:p w14:paraId="3103D156"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El 2015, año de  las exportaciones  (no petroleras)</w:t>
      </w:r>
    </w:p>
    <w:p w14:paraId="7A829818"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Hace exactamente 20 años este país se recuperaba de una de sus peores crisis financieras y económicas, gracias al sector exportador.</w:t>
      </w:r>
    </w:p>
    <w:p w14:paraId="7F11D856"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Se estrenaba el Tratado de Libre Comercio de América del Norte, que facilitaba el intercambio de mercancías, porque bien sabía el gobierno de Washington que de ello dependía que México le pagara o no el préstamo extraordinario que el presidente Clinton había realizado para apuntalar a su vecino del sur.</w:t>
      </w:r>
    </w:p>
    <w:p w14:paraId="6AA552C0"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Y así sucedió, el sector exportador despegó de una manera notable y junto con la exportación petrolera, la economía mexicana encontró un soporte para levantarse de los suelos del error de diciembre.</w:t>
      </w:r>
    </w:p>
    <w:p w14:paraId="63648529"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Este año nuevo también promete ser propicio para ese sector exportador, siempre y cuando dejemos fuera de los buenos augurios a las exportaciones petroleras.</w:t>
      </w:r>
    </w:p>
    <w:p w14:paraId="225567F0"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Lo que vive hoy Petróleos Mexicanos (Pemex) es una situación crítica donde el precio del crudo se encuentra muy bajo y sus niveles de producción se han derrumbado ante la falta de inversiones y los problemas financieros de la propia empresa.</w:t>
      </w:r>
    </w:p>
    <w:p w14:paraId="41812732"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La reforma energética no alcanza a tapar el tamaño del boquete financiero que ha dejado su pasivo laboral y lo oneroso de su relación obrero-patronal.</w:t>
      </w:r>
    </w:p>
    <w:p w14:paraId="12C98E2C"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lastRenderedPageBreak/>
        <w:t>Pero el resto de los exportadores, que hoy venden nueve de cada 10 dólares de lo que se comercia con el extranjero, tienen por delante la puerta de un paraíso comercial que deben encontrar la manera de cómo traspasar.</w:t>
      </w:r>
    </w:p>
    <w:p w14:paraId="595FDBC4"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Estados Unidos está en franco proceso de recuperación, su economía tiene un despegue sólido que pinta para tener un robusto y prolongado ciclo alcista. Hay algunas heridas de la crisis, como el nivel de recuperación de la fuerza laboral y falta que los más escépticos tomen sus billeteras y empiecen a gastar, pero la recuperación es sólida. Los precios de los energéticos tan bajos apuntalan la confianza y dejan un margen mayor disponible para el consumo de otros bienes.</w:t>
      </w:r>
    </w:p>
    <w:p w14:paraId="4D7EC75E"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Y los exportadores mexicanos dejan escapar una sonrisa cada día que la cotización del peso frente al dólar ronda los 15 por uno. Porque siempre el coraje de un turista es la alegría de un industrial exportador.</w:t>
      </w:r>
    </w:p>
    <w:p w14:paraId="13B340D6"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No es algo sano para la economía, ni siquiera para los exportadores, que el tipo de cambio se mantenga en los niveles actuales de 15 pesos por dólar, los riesgos inflacionarios existen.</w:t>
      </w:r>
    </w:p>
    <w:p w14:paraId="5ECB037E"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Sin embargo, un tipo de cambio 7% más bajo de los niveles actuales puede contener las presiones internas sin dejar de brindar ventajas exportadoras.</w:t>
      </w:r>
    </w:p>
    <w:p w14:paraId="2D51E9FE"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Entonces, las exportaciones no petroleras al mercado de Estados Unidos, que el año pasado crecieron 8.7%, pueden perfectamente bien este año llegar a los dos dígitos y aportar varios puntos al Producto Interno Bruto.</w:t>
      </w:r>
    </w:p>
    <w:p w14:paraId="3A8A7A5C"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Con la perspectiva de tener una economía estadounidense creciendo, precios de los energéticos bajos por un buen tiempo y con una moneda que aporta una competitividad adicional al mercado mexicano, seguro que también aumentará la Inversión Extranjera Directa, que buscará sacar provecho a esta positiva alineación de los astros comerciales.</w:t>
      </w:r>
    </w:p>
    <w:p w14:paraId="6D84E107"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Hoy no sirve aquel discurso de la necesidad de diversificar mercados para encontrar destinos diferentes a Estados Unidos para las exportaciones. Hoy lo que deja es vender al norte.</w:t>
      </w:r>
    </w:p>
    <w:p w14:paraId="1DB9BFEF" w14:textId="77777777" w:rsidR="00351F51" w:rsidRPr="007923C2" w:rsidRDefault="00351F51" w:rsidP="00C2080B">
      <w:pPr>
        <w:jc w:val="both"/>
        <w:rPr>
          <w:rFonts w:ascii="Arial" w:hAnsi="Arial" w:cs="Arial"/>
          <w:sz w:val="22"/>
          <w:szCs w:val="22"/>
        </w:rPr>
      </w:pPr>
    </w:p>
    <w:p w14:paraId="7A04E6FF"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PRODUCCION AGRICOLA Y PECUARIA</w:t>
      </w:r>
    </w:p>
    <w:p w14:paraId="291EC72A"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El valor de la producción agrícola nacional en 2010 fue de $331,786 millones de pesos, con una superficie sembrada de 21.6 millones de hectáreas. En cuanto a la producción pecuaria, el valor fue de $248,315 millones de pesos con un volumen de 8.4 millones de toneladas.</w:t>
      </w:r>
    </w:p>
    <w:p w14:paraId="1CCB59EC"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En cuanto a la distribución por grupos de productos, a continuación se muestran los principales por volumen:</w:t>
      </w:r>
    </w:p>
    <w:p w14:paraId="40456709"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Distribución de la Producción Agrícola y Pecuaria 2010.</w:t>
      </w:r>
    </w:p>
    <w:p w14:paraId="418E95DE"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Produccion agricola por estados</w:t>
      </w:r>
    </w:p>
    <w:p w14:paraId="16183813" w14:textId="77777777" w:rsidR="00C2080B" w:rsidRDefault="00C2080B" w:rsidP="00C2080B">
      <w:pPr>
        <w:jc w:val="both"/>
        <w:rPr>
          <w:rFonts w:ascii="Arial" w:hAnsi="Arial" w:cs="Arial"/>
          <w:sz w:val="22"/>
          <w:szCs w:val="22"/>
        </w:rPr>
      </w:pPr>
      <w:r w:rsidRPr="007923C2">
        <w:rPr>
          <w:rFonts w:ascii="Arial" w:hAnsi="Arial" w:cs="Arial"/>
          <w:sz w:val="22"/>
          <w:szCs w:val="22"/>
        </w:rPr>
        <w:t>Se presenta en la siguiente tabla la produccion agrícola en Mexico durante 2010, destacando a los principales estados productores. En valor de la produccion agricola destacan Michoacan, Sinaloa, Veracruz, Jalisco, Sonora, Chihuahua y Chiapas.</w:t>
      </w:r>
    </w:p>
    <w:p w14:paraId="034FCC0B" w14:textId="77777777" w:rsidR="00DD4003" w:rsidRDefault="00DD4003" w:rsidP="00C2080B">
      <w:pPr>
        <w:jc w:val="both"/>
        <w:rPr>
          <w:rFonts w:ascii="Arial" w:hAnsi="Arial" w:cs="Arial"/>
          <w:sz w:val="22"/>
          <w:szCs w:val="22"/>
        </w:rPr>
      </w:pPr>
    </w:p>
    <w:tbl>
      <w:tblPr>
        <w:tblStyle w:val="Tablaconcuadrcula"/>
        <w:tblW w:w="0" w:type="auto"/>
        <w:jc w:val="center"/>
        <w:tblLook w:val="0000" w:firstRow="0" w:lastRow="0" w:firstColumn="0" w:lastColumn="0" w:noHBand="0" w:noVBand="0"/>
      </w:tblPr>
      <w:tblGrid>
        <w:gridCol w:w="2674"/>
        <w:gridCol w:w="1745"/>
        <w:gridCol w:w="1843"/>
        <w:gridCol w:w="1892"/>
      </w:tblGrid>
      <w:tr w:rsidR="00C2080B" w:rsidRPr="007923C2" w14:paraId="06B17C2A" w14:textId="77777777" w:rsidTr="003626A7">
        <w:trPr>
          <w:trHeight w:val="264"/>
          <w:jc w:val="center"/>
        </w:trPr>
        <w:tc>
          <w:tcPr>
            <w:tcW w:w="0" w:type="auto"/>
            <w:gridSpan w:val="2"/>
            <w:tcBorders>
              <w:top w:val="single" w:sz="4" w:space="0" w:color="auto"/>
              <w:left w:val="single" w:sz="4" w:space="0" w:color="auto"/>
              <w:bottom w:val="nil"/>
              <w:right w:val="nil"/>
            </w:tcBorders>
          </w:tcPr>
          <w:p w14:paraId="1FC41CF8"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lastRenderedPageBreak/>
              <w:t>PRODUCCION AGRICOLA EN MEXICO</w:t>
            </w:r>
          </w:p>
        </w:tc>
        <w:tc>
          <w:tcPr>
            <w:tcW w:w="0" w:type="auto"/>
            <w:tcBorders>
              <w:top w:val="single" w:sz="4" w:space="0" w:color="auto"/>
              <w:left w:val="nil"/>
              <w:bottom w:val="nil"/>
              <w:right w:val="nil"/>
            </w:tcBorders>
          </w:tcPr>
          <w:p w14:paraId="41982538" w14:textId="77777777" w:rsidR="00C2080B" w:rsidRPr="007923C2" w:rsidRDefault="00C2080B" w:rsidP="0030772E">
            <w:pPr>
              <w:spacing w:line="276" w:lineRule="auto"/>
              <w:jc w:val="both"/>
              <w:rPr>
                <w:rFonts w:ascii="Arial" w:hAnsi="Arial" w:cs="Arial"/>
                <w:sz w:val="22"/>
                <w:szCs w:val="22"/>
              </w:rPr>
            </w:pPr>
          </w:p>
        </w:tc>
        <w:tc>
          <w:tcPr>
            <w:tcW w:w="0" w:type="auto"/>
            <w:tcBorders>
              <w:top w:val="single" w:sz="4" w:space="0" w:color="auto"/>
              <w:left w:val="nil"/>
              <w:bottom w:val="nil"/>
              <w:right w:val="single" w:sz="4" w:space="0" w:color="auto"/>
            </w:tcBorders>
          </w:tcPr>
          <w:p w14:paraId="04D8A7FE" w14:textId="77777777" w:rsidR="00C2080B" w:rsidRPr="007923C2" w:rsidRDefault="00C2080B" w:rsidP="0030772E">
            <w:pPr>
              <w:spacing w:line="276" w:lineRule="auto"/>
              <w:jc w:val="both"/>
              <w:rPr>
                <w:rFonts w:ascii="Arial" w:hAnsi="Arial" w:cs="Arial"/>
                <w:sz w:val="22"/>
                <w:szCs w:val="22"/>
              </w:rPr>
            </w:pPr>
          </w:p>
        </w:tc>
      </w:tr>
      <w:tr w:rsidR="00C2080B" w:rsidRPr="007923C2" w14:paraId="5535907F" w14:textId="77777777" w:rsidTr="003626A7">
        <w:trPr>
          <w:trHeight w:val="272"/>
          <w:jc w:val="center"/>
        </w:trPr>
        <w:tc>
          <w:tcPr>
            <w:tcW w:w="0" w:type="auto"/>
            <w:gridSpan w:val="2"/>
            <w:tcBorders>
              <w:top w:val="nil"/>
              <w:left w:val="single" w:sz="4" w:space="0" w:color="auto"/>
              <w:bottom w:val="nil"/>
              <w:right w:val="nil"/>
            </w:tcBorders>
          </w:tcPr>
          <w:p w14:paraId="61F51645"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Ciclo: Ciclicos y Perennes 2010</w:t>
            </w:r>
          </w:p>
        </w:tc>
        <w:tc>
          <w:tcPr>
            <w:tcW w:w="0" w:type="auto"/>
            <w:tcBorders>
              <w:top w:val="nil"/>
              <w:left w:val="nil"/>
              <w:bottom w:val="nil"/>
              <w:right w:val="nil"/>
            </w:tcBorders>
          </w:tcPr>
          <w:p w14:paraId="12644C0E" w14:textId="77777777" w:rsidR="00C2080B" w:rsidRPr="007923C2" w:rsidRDefault="00C2080B" w:rsidP="0030772E">
            <w:pPr>
              <w:spacing w:line="276" w:lineRule="auto"/>
              <w:jc w:val="both"/>
              <w:rPr>
                <w:rFonts w:ascii="Arial" w:hAnsi="Arial" w:cs="Arial"/>
                <w:sz w:val="22"/>
                <w:szCs w:val="22"/>
              </w:rPr>
            </w:pPr>
          </w:p>
        </w:tc>
        <w:tc>
          <w:tcPr>
            <w:tcW w:w="0" w:type="auto"/>
            <w:tcBorders>
              <w:top w:val="nil"/>
              <w:left w:val="nil"/>
              <w:bottom w:val="nil"/>
              <w:right w:val="single" w:sz="4" w:space="0" w:color="auto"/>
            </w:tcBorders>
          </w:tcPr>
          <w:p w14:paraId="2CC679A6" w14:textId="77777777" w:rsidR="00C2080B" w:rsidRPr="007923C2" w:rsidRDefault="00C2080B" w:rsidP="0030772E">
            <w:pPr>
              <w:spacing w:line="276" w:lineRule="auto"/>
              <w:jc w:val="both"/>
              <w:rPr>
                <w:rFonts w:ascii="Arial" w:hAnsi="Arial" w:cs="Arial"/>
                <w:sz w:val="22"/>
                <w:szCs w:val="22"/>
              </w:rPr>
            </w:pPr>
          </w:p>
        </w:tc>
      </w:tr>
      <w:tr w:rsidR="00C2080B" w:rsidRPr="007923C2" w14:paraId="22C82FFE" w14:textId="77777777" w:rsidTr="003626A7">
        <w:trPr>
          <w:trHeight w:val="279"/>
          <w:jc w:val="center"/>
        </w:trPr>
        <w:tc>
          <w:tcPr>
            <w:tcW w:w="0" w:type="auto"/>
            <w:gridSpan w:val="2"/>
            <w:tcBorders>
              <w:top w:val="nil"/>
              <w:left w:val="single" w:sz="4" w:space="0" w:color="auto"/>
              <w:bottom w:val="nil"/>
              <w:right w:val="nil"/>
            </w:tcBorders>
          </w:tcPr>
          <w:p w14:paraId="02F54503"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Modalidad: Riego + Temporal</w:t>
            </w:r>
          </w:p>
        </w:tc>
        <w:tc>
          <w:tcPr>
            <w:tcW w:w="0" w:type="auto"/>
            <w:tcBorders>
              <w:top w:val="nil"/>
              <w:left w:val="nil"/>
              <w:bottom w:val="nil"/>
              <w:right w:val="nil"/>
            </w:tcBorders>
          </w:tcPr>
          <w:p w14:paraId="166534A5" w14:textId="77777777" w:rsidR="00C2080B" w:rsidRPr="007923C2" w:rsidRDefault="00C2080B" w:rsidP="0030772E">
            <w:pPr>
              <w:spacing w:line="276" w:lineRule="auto"/>
              <w:jc w:val="both"/>
              <w:rPr>
                <w:rFonts w:ascii="Arial" w:hAnsi="Arial" w:cs="Arial"/>
                <w:sz w:val="22"/>
                <w:szCs w:val="22"/>
              </w:rPr>
            </w:pPr>
          </w:p>
        </w:tc>
        <w:tc>
          <w:tcPr>
            <w:tcW w:w="0" w:type="auto"/>
            <w:tcBorders>
              <w:top w:val="nil"/>
              <w:left w:val="nil"/>
              <w:bottom w:val="nil"/>
              <w:right w:val="single" w:sz="4" w:space="0" w:color="auto"/>
            </w:tcBorders>
          </w:tcPr>
          <w:p w14:paraId="43A16C65" w14:textId="77777777" w:rsidR="00C2080B" w:rsidRPr="007923C2" w:rsidRDefault="00C2080B" w:rsidP="0030772E">
            <w:pPr>
              <w:spacing w:line="276" w:lineRule="auto"/>
              <w:jc w:val="both"/>
              <w:rPr>
                <w:rFonts w:ascii="Arial" w:hAnsi="Arial" w:cs="Arial"/>
                <w:sz w:val="22"/>
                <w:szCs w:val="22"/>
              </w:rPr>
            </w:pPr>
          </w:p>
        </w:tc>
      </w:tr>
      <w:tr w:rsidR="00C2080B" w:rsidRPr="007923C2" w14:paraId="3F68C99E" w14:textId="77777777" w:rsidTr="003626A7">
        <w:trPr>
          <w:trHeight w:val="272"/>
          <w:jc w:val="center"/>
        </w:trPr>
        <w:tc>
          <w:tcPr>
            <w:tcW w:w="0" w:type="auto"/>
            <w:tcBorders>
              <w:top w:val="nil"/>
              <w:left w:val="single" w:sz="4" w:space="0" w:color="auto"/>
              <w:bottom w:val="single" w:sz="4" w:space="0" w:color="auto"/>
              <w:right w:val="nil"/>
            </w:tcBorders>
          </w:tcPr>
          <w:p w14:paraId="74E5D9D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Resumen</w:t>
            </w:r>
          </w:p>
        </w:tc>
        <w:tc>
          <w:tcPr>
            <w:tcW w:w="0" w:type="auto"/>
            <w:tcBorders>
              <w:top w:val="nil"/>
              <w:left w:val="nil"/>
              <w:bottom w:val="single" w:sz="4" w:space="0" w:color="auto"/>
              <w:right w:val="nil"/>
            </w:tcBorders>
          </w:tcPr>
          <w:p w14:paraId="30E2301F" w14:textId="77777777" w:rsidR="00C2080B" w:rsidRPr="007923C2" w:rsidRDefault="00C2080B" w:rsidP="0030772E">
            <w:pPr>
              <w:spacing w:line="276" w:lineRule="auto"/>
              <w:jc w:val="both"/>
              <w:rPr>
                <w:rFonts w:ascii="Arial" w:hAnsi="Arial" w:cs="Arial"/>
                <w:sz w:val="22"/>
                <w:szCs w:val="22"/>
              </w:rPr>
            </w:pPr>
          </w:p>
        </w:tc>
        <w:tc>
          <w:tcPr>
            <w:tcW w:w="0" w:type="auto"/>
            <w:tcBorders>
              <w:top w:val="nil"/>
              <w:left w:val="nil"/>
              <w:bottom w:val="single" w:sz="4" w:space="0" w:color="auto"/>
              <w:right w:val="nil"/>
            </w:tcBorders>
          </w:tcPr>
          <w:p w14:paraId="705CDF37" w14:textId="77777777" w:rsidR="00C2080B" w:rsidRPr="007923C2" w:rsidRDefault="00C2080B" w:rsidP="0030772E">
            <w:pPr>
              <w:spacing w:line="276" w:lineRule="auto"/>
              <w:jc w:val="both"/>
              <w:rPr>
                <w:rFonts w:ascii="Arial" w:hAnsi="Arial" w:cs="Arial"/>
                <w:sz w:val="22"/>
                <w:szCs w:val="22"/>
              </w:rPr>
            </w:pPr>
          </w:p>
        </w:tc>
        <w:tc>
          <w:tcPr>
            <w:tcW w:w="0" w:type="auto"/>
            <w:tcBorders>
              <w:top w:val="nil"/>
              <w:left w:val="nil"/>
              <w:bottom w:val="single" w:sz="4" w:space="0" w:color="auto"/>
              <w:right w:val="single" w:sz="4" w:space="0" w:color="auto"/>
            </w:tcBorders>
          </w:tcPr>
          <w:p w14:paraId="35EC2589" w14:textId="77777777" w:rsidR="00C2080B" w:rsidRPr="007923C2" w:rsidRDefault="00C2080B" w:rsidP="0030772E">
            <w:pPr>
              <w:spacing w:line="276" w:lineRule="auto"/>
              <w:jc w:val="both"/>
              <w:rPr>
                <w:rFonts w:ascii="Arial" w:hAnsi="Arial" w:cs="Arial"/>
                <w:sz w:val="22"/>
                <w:szCs w:val="22"/>
              </w:rPr>
            </w:pPr>
          </w:p>
        </w:tc>
      </w:tr>
      <w:tr w:rsidR="00C2080B" w:rsidRPr="007923C2" w14:paraId="5E2A3084" w14:textId="77777777" w:rsidTr="003626A7">
        <w:trPr>
          <w:trHeight w:val="279"/>
          <w:jc w:val="center"/>
        </w:trPr>
        <w:tc>
          <w:tcPr>
            <w:tcW w:w="0" w:type="auto"/>
            <w:tcBorders>
              <w:top w:val="single" w:sz="4" w:space="0" w:color="auto"/>
            </w:tcBorders>
          </w:tcPr>
          <w:p w14:paraId="320B8BDD" w14:textId="77777777" w:rsidR="00C2080B" w:rsidRPr="007923C2" w:rsidRDefault="00C2080B" w:rsidP="0030772E">
            <w:pPr>
              <w:spacing w:line="276" w:lineRule="auto"/>
              <w:jc w:val="both"/>
              <w:rPr>
                <w:rFonts w:ascii="Arial" w:hAnsi="Arial" w:cs="Arial"/>
                <w:sz w:val="22"/>
                <w:szCs w:val="22"/>
              </w:rPr>
            </w:pPr>
          </w:p>
        </w:tc>
        <w:tc>
          <w:tcPr>
            <w:tcW w:w="0" w:type="auto"/>
            <w:tcBorders>
              <w:top w:val="single" w:sz="4" w:space="0" w:color="auto"/>
            </w:tcBorders>
          </w:tcPr>
          <w:p w14:paraId="0001727C" w14:textId="77777777" w:rsidR="00C2080B" w:rsidRPr="007923C2" w:rsidRDefault="00C2080B" w:rsidP="0030772E">
            <w:pPr>
              <w:spacing w:line="276" w:lineRule="auto"/>
              <w:jc w:val="both"/>
              <w:rPr>
                <w:rFonts w:ascii="Arial" w:hAnsi="Arial" w:cs="Arial"/>
                <w:sz w:val="22"/>
                <w:szCs w:val="22"/>
              </w:rPr>
            </w:pPr>
          </w:p>
        </w:tc>
        <w:tc>
          <w:tcPr>
            <w:tcW w:w="0" w:type="auto"/>
            <w:tcBorders>
              <w:top w:val="single" w:sz="4" w:space="0" w:color="auto"/>
            </w:tcBorders>
          </w:tcPr>
          <w:p w14:paraId="5291A050" w14:textId="77777777" w:rsidR="00C2080B" w:rsidRPr="007923C2" w:rsidRDefault="00C2080B" w:rsidP="0030772E">
            <w:pPr>
              <w:spacing w:line="276" w:lineRule="auto"/>
              <w:jc w:val="both"/>
              <w:rPr>
                <w:rFonts w:ascii="Arial" w:hAnsi="Arial" w:cs="Arial"/>
                <w:sz w:val="22"/>
                <w:szCs w:val="22"/>
              </w:rPr>
            </w:pPr>
          </w:p>
        </w:tc>
        <w:tc>
          <w:tcPr>
            <w:tcW w:w="0" w:type="auto"/>
            <w:tcBorders>
              <w:top w:val="single" w:sz="4" w:space="0" w:color="auto"/>
            </w:tcBorders>
          </w:tcPr>
          <w:p w14:paraId="37C00FC8" w14:textId="77777777" w:rsidR="00C2080B" w:rsidRPr="007923C2" w:rsidRDefault="00C2080B" w:rsidP="0030772E">
            <w:pPr>
              <w:spacing w:line="276" w:lineRule="auto"/>
              <w:jc w:val="both"/>
              <w:rPr>
                <w:rFonts w:ascii="Arial" w:hAnsi="Arial" w:cs="Arial"/>
                <w:sz w:val="22"/>
                <w:szCs w:val="22"/>
              </w:rPr>
            </w:pPr>
          </w:p>
        </w:tc>
      </w:tr>
      <w:tr w:rsidR="00C2080B" w:rsidRPr="007923C2" w14:paraId="610061C6" w14:textId="77777777" w:rsidTr="0030772E">
        <w:trPr>
          <w:trHeight w:val="272"/>
          <w:jc w:val="center"/>
        </w:trPr>
        <w:tc>
          <w:tcPr>
            <w:tcW w:w="0" w:type="auto"/>
          </w:tcPr>
          <w:p w14:paraId="13940F06"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Ubicación</w:t>
            </w:r>
          </w:p>
        </w:tc>
        <w:tc>
          <w:tcPr>
            <w:tcW w:w="0" w:type="auto"/>
          </w:tcPr>
          <w:p w14:paraId="32110F34"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Sup. Sembrada</w:t>
            </w:r>
          </w:p>
        </w:tc>
        <w:tc>
          <w:tcPr>
            <w:tcW w:w="0" w:type="auto"/>
          </w:tcPr>
          <w:p w14:paraId="5381164E"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Sup. Cosechada</w:t>
            </w:r>
          </w:p>
        </w:tc>
        <w:tc>
          <w:tcPr>
            <w:tcW w:w="0" w:type="auto"/>
          </w:tcPr>
          <w:p w14:paraId="1A41951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Valor Producción</w:t>
            </w:r>
          </w:p>
        </w:tc>
      </w:tr>
      <w:tr w:rsidR="00C2080B" w:rsidRPr="007923C2" w14:paraId="482FFF35" w14:textId="77777777" w:rsidTr="0030772E">
        <w:trPr>
          <w:trHeight w:val="279"/>
          <w:jc w:val="center"/>
        </w:trPr>
        <w:tc>
          <w:tcPr>
            <w:tcW w:w="0" w:type="auto"/>
          </w:tcPr>
          <w:p w14:paraId="66B3D666" w14:textId="77777777" w:rsidR="00C2080B" w:rsidRPr="007923C2" w:rsidRDefault="00C2080B" w:rsidP="0030772E">
            <w:pPr>
              <w:spacing w:line="276" w:lineRule="auto"/>
              <w:jc w:val="both"/>
              <w:rPr>
                <w:rFonts w:ascii="Arial" w:hAnsi="Arial" w:cs="Arial"/>
                <w:sz w:val="22"/>
                <w:szCs w:val="22"/>
              </w:rPr>
            </w:pPr>
          </w:p>
        </w:tc>
        <w:tc>
          <w:tcPr>
            <w:tcW w:w="0" w:type="auto"/>
          </w:tcPr>
          <w:p w14:paraId="1C34EF5B"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(Ha)</w:t>
            </w:r>
          </w:p>
        </w:tc>
        <w:tc>
          <w:tcPr>
            <w:tcW w:w="0" w:type="auto"/>
          </w:tcPr>
          <w:p w14:paraId="35CF49E8"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(Ha)</w:t>
            </w:r>
          </w:p>
        </w:tc>
        <w:tc>
          <w:tcPr>
            <w:tcW w:w="0" w:type="auto"/>
          </w:tcPr>
          <w:p w14:paraId="6C530692"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(Miles de Pesos)</w:t>
            </w:r>
          </w:p>
        </w:tc>
      </w:tr>
      <w:tr w:rsidR="00C2080B" w:rsidRPr="007923C2" w14:paraId="185482F2" w14:textId="77777777" w:rsidTr="0030772E">
        <w:trPr>
          <w:trHeight w:val="272"/>
          <w:jc w:val="center"/>
        </w:trPr>
        <w:tc>
          <w:tcPr>
            <w:tcW w:w="0" w:type="auto"/>
          </w:tcPr>
          <w:p w14:paraId="745E6AF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MICHOACAN</w:t>
            </w:r>
          </w:p>
        </w:tc>
        <w:tc>
          <w:tcPr>
            <w:tcW w:w="0" w:type="auto"/>
          </w:tcPr>
          <w:p w14:paraId="6539A5D2"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1,086,150</w:t>
            </w:r>
          </w:p>
        </w:tc>
        <w:tc>
          <w:tcPr>
            <w:tcW w:w="0" w:type="auto"/>
          </w:tcPr>
          <w:p w14:paraId="6F9B564F"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1,030,083</w:t>
            </w:r>
          </w:p>
        </w:tc>
        <w:tc>
          <w:tcPr>
            <w:tcW w:w="0" w:type="auto"/>
          </w:tcPr>
          <w:p w14:paraId="354AF98E"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30,070,179</w:t>
            </w:r>
          </w:p>
        </w:tc>
      </w:tr>
      <w:tr w:rsidR="00C2080B" w:rsidRPr="007923C2" w14:paraId="53A3BA21" w14:textId="77777777" w:rsidTr="0030772E">
        <w:trPr>
          <w:trHeight w:val="279"/>
          <w:jc w:val="center"/>
        </w:trPr>
        <w:tc>
          <w:tcPr>
            <w:tcW w:w="0" w:type="auto"/>
          </w:tcPr>
          <w:p w14:paraId="7D3046E4"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SINALOA</w:t>
            </w:r>
          </w:p>
        </w:tc>
        <w:tc>
          <w:tcPr>
            <w:tcW w:w="0" w:type="auto"/>
          </w:tcPr>
          <w:p w14:paraId="401C95E2"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1,233,505</w:t>
            </w:r>
          </w:p>
        </w:tc>
        <w:tc>
          <w:tcPr>
            <w:tcW w:w="0" w:type="auto"/>
          </w:tcPr>
          <w:p w14:paraId="23AEDF16"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1,163,891</w:t>
            </w:r>
          </w:p>
        </w:tc>
        <w:tc>
          <w:tcPr>
            <w:tcW w:w="0" w:type="auto"/>
          </w:tcPr>
          <w:p w14:paraId="06B11C9F"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29,212,505</w:t>
            </w:r>
          </w:p>
        </w:tc>
      </w:tr>
      <w:tr w:rsidR="00C2080B" w:rsidRPr="007923C2" w14:paraId="58BFBBDE" w14:textId="77777777" w:rsidTr="0030772E">
        <w:trPr>
          <w:trHeight w:val="272"/>
          <w:jc w:val="center"/>
        </w:trPr>
        <w:tc>
          <w:tcPr>
            <w:tcW w:w="0" w:type="auto"/>
          </w:tcPr>
          <w:p w14:paraId="4B2870EF"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VERACRUZ</w:t>
            </w:r>
          </w:p>
        </w:tc>
        <w:tc>
          <w:tcPr>
            <w:tcW w:w="0" w:type="auto"/>
          </w:tcPr>
          <w:p w14:paraId="69815EB5"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1,452,456</w:t>
            </w:r>
          </w:p>
        </w:tc>
        <w:tc>
          <w:tcPr>
            <w:tcW w:w="0" w:type="auto"/>
          </w:tcPr>
          <w:p w14:paraId="231B3673"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1,346,412</w:t>
            </w:r>
          </w:p>
        </w:tc>
        <w:tc>
          <w:tcPr>
            <w:tcW w:w="0" w:type="auto"/>
          </w:tcPr>
          <w:p w14:paraId="66049472"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26,516,548</w:t>
            </w:r>
          </w:p>
        </w:tc>
      </w:tr>
      <w:tr w:rsidR="00C2080B" w:rsidRPr="007923C2" w14:paraId="2B96B26C" w14:textId="77777777" w:rsidTr="0030772E">
        <w:trPr>
          <w:trHeight w:val="279"/>
          <w:jc w:val="center"/>
        </w:trPr>
        <w:tc>
          <w:tcPr>
            <w:tcW w:w="0" w:type="auto"/>
          </w:tcPr>
          <w:p w14:paraId="4E972769"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JALISCO</w:t>
            </w:r>
          </w:p>
        </w:tc>
        <w:tc>
          <w:tcPr>
            <w:tcW w:w="0" w:type="auto"/>
          </w:tcPr>
          <w:p w14:paraId="17CFD95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1,585,459</w:t>
            </w:r>
          </w:p>
        </w:tc>
        <w:tc>
          <w:tcPr>
            <w:tcW w:w="0" w:type="auto"/>
          </w:tcPr>
          <w:p w14:paraId="1BD18B3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1,402,557</w:t>
            </w:r>
          </w:p>
        </w:tc>
        <w:tc>
          <w:tcPr>
            <w:tcW w:w="0" w:type="auto"/>
          </w:tcPr>
          <w:p w14:paraId="50D58D33"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25,433,510</w:t>
            </w:r>
          </w:p>
        </w:tc>
      </w:tr>
      <w:tr w:rsidR="00C2080B" w:rsidRPr="007923C2" w14:paraId="3C137F34" w14:textId="77777777" w:rsidTr="0030772E">
        <w:trPr>
          <w:trHeight w:val="271"/>
          <w:jc w:val="center"/>
        </w:trPr>
        <w:tc>
          <w:tcPr>
            <w:tcW w:w="0" w:type="auto"/>
          </w:tcPr>
          <w:p w14:paraId="4F47AB5B"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SONORA</w:t>
            </w:r>
          </w:p>
        </w:tc>
        <w:tc>
          <w:tcPr>
            <w:tcW w:w="0" w:type="auto"/>
          </w:tcPr>
          <w:p w14:paraId="0B859EE6"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597,913</w:t>
            </w:r>
          </w:p>
        </w:tc>
        <w:tc>
          <w:tcPr>
            <w:tcW w:w="0" w:type="auto"/>
          </w:tcPr>
          <w:p w14:paraId="202D930E"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594,339</w:t>
            </w:r>
          </w:p>
        </w:tc>
        <w:tc>
          <w:tcPr>
            <w:tcW w:w="0" w:type="auto"/>
          </w:tcPr>
          <w:p w14:paraId="0F6F4E1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21,239,135</w:t>
            </w:r>
          </w:p>
        </w:tc>
      </w:tr>
      <w:tr w:rsidR="00C2080B" w:rsidRPr="007923C2" w14:paraId="4415C7FC" w14:textId="77777777" w:rsidTr="0030772E">
        <w:trPr>
          <w:trHeight w:val="279"/>
          <w:jc w:val="center"/>
        </w:trPr>
        <w:tc>
          <w:tcPr>
            <w:tcW w:w="0" w:type="auto"/>
          </w:tcPr>
          <w:p w14:paraId="5303C63B"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CHIHUAHUA</w:t>
            </w:r>
          </w:p>
        </w:tc>
        <w:tc>
          <w:tcPr>
            <w:tcW w:w="0" w:type="auto"/>
          </w:tcPr>
          <w:p w14:paraId="52D8A53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1,109,899</w:t>
            </w:r>
          </w:p>
        </w:tc>
        <w:tc>
          <w:tcPr>
            <w:tcW w:w="0" w:type="auto"/>
          </w:tcPr>
          <w:p w14:paraId="5C4627E2"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1,082,428</w:t>
            </w:r>
          </w:p>
        </w:tc>
        <w:tc>
          <w:tcPr>
            <w:tcW w:w="0" w:type="auto"/>
          </w:tcPr>
          <w:p w14:paraId="0A74F633"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19,221,718</w:t>
            </w:r>
          </w:p>
        </w:tc>
      </w:tr>
      <w:tr w:rsidR="00C2080B" w:rsidRPr="007923C2" w14:paraId="2CAAE97A" w14:textId="77777777" w:rsidTr="0030772E">
        <w:trPr>
          <w:trHeight w:val="271"/>
          <w:jc w:val="center"/>
        </w:trPr>
        <w:tc>
          <w:tcPr>
            <w:tcW w:w="0" w:type="auto"/>
          </w:tcPr>
          <w:p w14:paraId="12A5F700"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CHIAPAS</w:t>
            </w:r>
          </w:p>
        </w:tc>
        <w:tc>
          <w:tcPr>
            <w:tcW w:w="0" w:type="auto"/>
          </w:tcPr>
          <w:p w14:paraId="0401766C"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1,414,517</w:t>
            </w:r>
          </w:p>
        </w:tc>
        <w:tc>
          <w:tcPr>
            <w:tcW w:w="0" w:type="auto"/>
          </w:tcPr>
          <w:p w14:paraId="4728C249"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1,372,512</w:t>
            </w:r>
          </w:p>
        </w:tc>
        <w:tc>
          <w:tcPr>
            <w:tcW w:w="0" w:type="auto"/>
          </w:tcPr>
          <w:p w14:paraId="01B23514"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17,083,066</w:t>
            </w:r>
          </w:p>
        </w:tc>
      </w:tr>
      <w:tr w:rsidR="00C2080B" w:rsidRPr="007923C2" w14:paraId="618D83F8" w14:textId="77777777" w:rsidTr="0030772E">
        <w:trPr>
          <w:trHeight w:val="279"/>
          <w:jc w:val="center"/>
        </w:trPr>
        <w:tc>
          <w:tcPr>
            <w:tcW w:w="0" w:type="auto"/>
          </w:tcPr>
          <w:p w14:paraId="33CBC36B"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GUANAJUATO</w:t>
            </w:r>
          </w:p>
        </w:tc>
        <w:tc>
          <w:tcPr>
            <w:tcW w:w="0" w:type="auto"/>
          </w:tcPr>
          <w:p w14:paraId="2B149F0A"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1,018,085</w:t>
            </w:r>
          </w:p>
        </w:tc>
        <w:tc>
          <w:tcPr>
            <w:tcW w:w="0" w:type="auto"/>
          </w:tcPr>
          <w:p w14:paraId="5125FAD4"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836,516</w:t>
            </w:r>
          </w:p>
        </w:tc>
        <w:tc>
          <w:tcPr>
            <w:tcW w:w="0" w:type="auto"/>
          </w:tcPr>
          <w:p w14:paraId="391479B2"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15,609,250</w:t>
            </w:r>
          </w:p>
        </w:tc>
      </w:tr>
      <w:tr w:rsidR="00C2080B" w:rsidRPr="007923C2" w14:paraId="3BDB8FDC" w14:textId="77777777" w:rsidTr="0030772E">
        <w:trPr>
          <w:trHeight w:val="272"/>
          <w:jc w:val="center"/>
        </w:trPr>
        <w:tc>
          <w:tcPr>
            <w:tcW w:w="0" w:type="auto"/>
          </w:tcPr>
          <w:p w14:paraId="0D0CA6ED"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MEXICO</w:t>
            </w:r>
          </w:p>
        </w:tc>
        <w:tc>
          <w:tcPr>
            <w:tcW w:w="0" w:type="auto"/>
          </w:tcPr>
          <w:p w14:paraId="396C7FCE"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890,170</w:t>
            </w:r>
          </w:p>
        </w:tc>
        <w:tc>
          <w:tcPr>
            <w:tcW w:w="0" w:type="auto"/>
          </w:tcPr>
          <w:p w14:paraId="126FD409"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842,637</w:t>
            </w:r>
          </w:p>
        </w:tc>
        <w:tc>
          <w:tcPr>
            <w:tcW w:w="0" w:type="auto"/>
          </w:tcPr>
          <w:p w14:paraId="67261AB5"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14,527,339</w:t>
            </w:r>
          </w:p>
        </w:tc>
      </w:tr>
      <w:tr w:rsidR="00C2080B" w:rsidRPr="007923C2" w14:paraId="736F1954" w14:textId="77777777" w:rsidTr="0030772E">
        <w:trPr>
          <w:trHeight w:val="279"/>
          <w:jc w:val="center"/>
        </w:trPr>
        <w:tc>
          <w:tcPr>
            <w:tcW w:w="0" w:type="auto"/>
          </w:tcPr>
          <w:p w14:paraId="712AB94B"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TAMAULIPAS</w:t>
            </w:r>
          </w:p>
        </w:tc>
        <w:tc>
          <w:tcPr>
            <w:tcW w:w="0" w:type="auto"/>
          </w:tcPr>
          <w:p w14:paraId="0F13724D"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1,445,149</w:t>
            </w:r>
          </w:p>
        </w:tc>
        <w:tc>
          <w:tcPr>
            <w:tcW w:w="0" w:type="auto"/>
          </w:tcPr>
          <w:p w14:paraId="7814B7C8"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1,358,702</w:t>
            </w:r>
          </w:p>
        </w:tc>
        <w:tc>
          <w:tcPr>
            <w:tcW w:w="0" w:type="auto"/>
          </w:tcPr>
          <w:p w14:paraId="4DDB5C4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14,019,316</w:t>
            </w:r>
          </w:p>
        </w:tc>
      </w:tr>
      <w:tr w:rsidR="00C2080B" w:rsidRPr="007923C2" w14:paraId="29C0487C" w14:textId="77777777" w:rsidTr="0030772E">
        <w:trPr>
          <w:trHeight w:val="272"/>
          <w:jc w:val="center"/>
        </w:trPr>
        <w:tc>
          <w:tcPr>
            <w:tcW w:w="0" w:type="auto"/>
          </w:tcPr>
          <w:p w14:paraId="082BA50E"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OAXACA</w:t>
            </w:r>
          </w:p>
        </w:tc>
        <w:tc>
          <w:tcPr>
            <w:tcW w:w="0" w:type="auto"/>
          </w:tcPr>
          <w:p w14:paraId="0D67AF2E"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1,365,137</w:t>
            </w:r>
          </w:p>
        </w:tc>
        <w:tc>
          <w:tcPr>
            <w:tcW w:w="0" w:type="auto"/>
          </w:tcPr>
          <w:p w14:paraId="5DB827D0"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1,259,154</w:t>
            </w:r>
          </w:p>
        </w:tc>
        <w:tc>
          <w:tcPr>
            <w:tcW w:w="0" w:type="auto"/>
          </w:tcPr>
          <w:p w14:paraId="7CDC47ED"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12,232,937</w:t>
            </w:r>
          </w:p>
        </w:tc>
      </w:tr>
      <w:tr w:rsidR="00C2080B" w:rsidRPr="007923C2" w14:paraId="759E22CD" w14:textId="77777777" w:rsidTr="0030772E">
        <w:trPr>
          <w:trHeight w:val="279"/>
          <w:jc w:val="center"/>
        </w:trPr>
        <w:tc>
          <w:tcPr>
            <w:tcW w:w="0" w:type="auto"/>
          </w:tcPr>
          <w:p w14:paraId="50A97A6A"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PUEBLA</w:t>
            </w:r>
          </w:p>
        </w:tc>
        <w:tc>
          <w:tcPr>
            <w:tcW w:w="0" w:type="auto"/>
          </w:tcPr>
          <w:p w14:paraId="10CA0549"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998,966</w:t>
            </w:r>
          </w:p>
        </w:tc>
        <w:tc>
          <w:tcPr>
            <w:tcW w:w="0" w:type="auto"/>
          </w:tcPr>
          <w:p w14:paraId="31396DA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926,459</w:t>
            </w:r>
          </w:p>
        </w:tc>
        <w:tc>
          <w:tcPr>
            <w:tcW w:w="0" w:type="auto"/>
          </w:tcPr>
          <w:p w14:paraId="033078FD"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11,483,115</w:t>
            </w:r>
          </w:p>
        </w:tc>
      </w:tr>
      <w:tr w:rsidR="00C2080B" w:rsidRPr="007923C2" w14:paraId="3111C350" w14:textId="77777777" w:rsidTr="0030772E">
        <w:trPr>
          <w:trHeight w:val="272"/>
          <w:jc w:val="center"/>
        </w:trPr>
        <w:tc>
          <w:tcPr>
            <w:tcW w:w="0" w:type="auto"/>
          </w:tcPr>
          <w:p w14:paraId="4EAA08B6"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BAJA CALIFORNIA</w:t>
            </w:r>
          </w:p>
        </w:tc>
        <w:tc>
          <w:tcPr>
            <w:tcW w:w="0" w:type="auto"/>
          </w:tcPr>
          <w:p w14:paraId="6C1D10CC"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233,351</w:t>
            </w:r>
          </w:p>
        </w:tc>
        <w:tc>
          <w:tcPr>
            <w:tcW w:w="0" w:type="auto"/>
          </w:tcPr>
          <w:p w14:paraId="321A446B"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222,527</w:t>
            </w:r>
          </w:p>
        </w:tc>
        <w:tc>
          <w:tcPr>
            <w:tcW w:w="0" w:type="auto"/>
          </w:tcPr>
          <w:p w14:paraId="34BF7C56"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10,483,406</w:t>
            </w:r>
          </w:p>
        </w:tc>
      </w:tr>
      <w:tr w:rsidR="00C2080B" w:rsidRPr="007923C2" w14:paraId="150269CE" w14:textId="77777777" w:rsidTr="0030772E">
        <w:trPr>
          <w:trHeight w:val="279"/>
          <w:jc w:val="center"/>
        </w:trPr>
        <w:tc>
          <w:tcPr>
            <w:tcW w:w="0" w:type="auto"/>
          </w:tcPr>
          <w:p w14:paraId="117EA643"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GUERRERO</w:t>
            </w:r>
          </w:p>
        </w:tc>
        <w:tc>
          <w:tcPr>
            <w:tcW w:w="0" w:type="auto"/>
          </w:tcPr>
          <w:p w14:paraId="42BD15C8"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880,357</w:t>
            </w:r>
          </w:p>
        </w:tc>
        <w:tc>
          <w:tcPr>
            <w:tcW w:w="0" w:type="auto"/>
          </w:tcPr>
          <w:p w14:paraId="6AF97165"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863,113</w:t>
            </w:r>
          </w:p>
        </w:tc>
        <w:tc>
          <w:tcPr>
            <w:tcW w:w="0" w:type="auto"/>
          </w:tcPr>
          <w:p w14:paraId="7E80246D"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9,603,188</w:t>
            </w:r>
          </w:p>
        </w:tc>
      </w:tr>
      <w:tr w:rsidR="00C2080B" w:rsidRPr="007923C2" w14:paraId="13414B29" w14:textId="77777777" w:rsidTr="0030772E">
        <w:trPr>
          <w:trHeight w:val="271"/>
          <w:jc w:val="center"/>
        </w:trPr>
        <w:tc>
          <w:tcPr>
            <w:tcW w:w="0" w:type="auto"/>
          </w:tcPr>
          <w:p w14:paraId="18A1AF39"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ZACATECAS</w:t>
            </w:r>
          </w:p>
        </w:tc>
        <w:tc>
          <w:tcPr>
            <w:tcW w:w="0" w:type="auto"/>
          </w:tcPr>
          <w:p w14:paraId="0DCBD7B4"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1,307,456</w:t>
            </w:r>
          </w:p>
        </w:tc>
        <w:tc>
          <w:tcPr>
            <w:tcW w:w="0" w:type="auto"/>
          </w:tcPr>
          <w:p w14:paraId="601EDE7E"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1,064,889</w:t>
            </w:r>
          </w:p>
        </w:tc>
        <w:tc>
          <w:tcPr>
            <w:tcW w:w="0" w:type="auto"/>
          </w:tcPr>
          <w:p w14:paraId="1B4A7A44"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9,478,671</w:t>
            </w:r>
          </w:p>
        </w:tc>
      </w:tr>
      <w:tr w:rsidR="00C2080B" w:rsidRPr="007923C2" w14:paraId="45A21365" w14:textId="77777777" w:rsidTr="0030772E">
        <w:trPr>
          <w:trHeight w:val="279"/>
          <w:jc w:val="center"/>
        </w:trPr>
        <w:tc>
          <w:tcPr>
            <w:tcW w:w="0" w:type="auto"/>
          </w:tcPr>
          <w:p w14:paraId="4AED302C"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SAN LUIS POTOSI</w:t>
            </w:r>
          </w:p>
        </w:tc>
        <w:tc>
          <w:tcPr>
            <w:tcW w:w="0" w:type="auto"/>
          </w:tcPr>
          <w:p w14:paraId="085DDE6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803,092</w:t>
            </w:r>
          </w:p>
        </w:tc>
        <w:tc>
          <w:tcPr>
            <w:tcW w:w="0" w:type="auto"/>
          </w:tcPr>
          <w:p w14:paraId="1428F34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615,065</w:t>
            </w:r>
          </w:p>
        </w:tc>
        <w:tc>
          <w:tcPr>
            <w:tcW w:w="0" w:type="auto"/>
          </w:tcPr>
          <w:p w14:paraId="02099B93"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8,209,318</w:t>
            </w:r>
          </w:p>
        </w:tc>
      </w:tr>
      <w:tr w:rsidR="00C2080B" w:rsidRPr="007923C2" w14:paraId="79141F8F" w14:textId="77777777" w:rsidTr="0030772E">
        <w:trPr>
          <w:trHeight w:val="272"/>
          <w:jc w:val="center"/>
        </w:trPr>
        <w:tc>
          <w:tcPr>
            <w:tcW w:w="0" w:type="auto"/>
          </w:tcPr>
          <w:p w14:paraId="75CEDDFC"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NAYARIT</w:t>
            </w:r>
          </w:p>
        </w:tc>
        <w:tc>
          <w:tcPr>
            <w:tcW w:w="0" w:type="auto"/>
          </w:tcPr>
          <w:p w14:paraId="1C270AA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393,375</w:t>
            </w:r>
          </w:p>
        </w:tc>
        <w:tc>
          <w:tcPr>
            <w:tcW w:w="0" w:type="auto"/>
          </w:tcPr>
          <w:p w14:paraId="20D0771F"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365,072</w:t>
            </w:r>
          </w:p>
        </w:tc>
        <w:tc>
          <w:tcPr>
            <w:tcW w:w="0" w:type="auto"/>
          </w:tcPr>
          <w:p w14:paraId="78769A8E"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6,590,679</w:t>
            </w:r>
          </w:p>
        </w:tc>
      </w:tr>
      <w:tr w:rsidR="00C2080B" w:rsidRPr="007923C2" w14:paraId="6EEF7B54" w14:textId="77777777" w:rsidTr="0030772E">
        <w:trPr>
          <w:trHeight w:val="279"/>
          <w:jc w:val="center"/>
        </w:trPr>
        <w:tc>
          <w:tcPr>
            <w:tcW w:w="0" w:type="auto"/>
          </w:tcPr>
          <w:p w14:paraId="140BB966"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HIDALGO</w:t>
            </w:r>
          </w:p>
        </w:tc>
        <w:tc>
          <w:tcPr>
            <w:tcW w:w="0" w:type="auto"/>
          </w:tcPr>
          <w:p w14:paraId="20D428B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581,957</w:t>
            </w:r>
          </w:p>
        </w:tc>
        <w:tc>
          <w:tcPr>
            <w:tcW w:w="0" w:type="auto"/>
          </w:tcPr>
          <w:p w14:paraId="0629CF58"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518,744</w:t>
            </w:r>
          </w:p>
        </w:tc>
        <w:tc>
          <w:tcPr>
            <w:tcW w:w="0" w:type="auto"/>
          </w:tcPr>
          <w:p w14:paraId="0D04098F"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5,949,441</w:t>
            </w:r>
          </w:p>
        </w:tc>
      </w:tr>
      <w:tr w:rsidR="00C2080B" w:rsidRPr="007923C2" w14:paraId="045178E9" w14:textId="77777777" w:rsidTr="0030772E">
        <w:trPr>
          <w:trHeight w:val="272"/>
          <w:jc w:val="center"/>
        </w:trPr>
        <w:tc>
          <w:tcPr>
            <w:tcW w:w="0" w:type="auto"/>
          </w:tcPr>
          <w:p w14:paraId="745B312F"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MORELOS</w:t>
            </w:r>
          </w:p>
        </w:tc>
        <w:tc>
          <w:tcPr>
            <w:tcW w:w="0" w:type="auto"/>
          </w:tcPr>
          <w:p w14:paraId="697AD906"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135,308</w:t>
            </w:r>
          </w:p>
        </w:tc>
        <w:tc>
          <w:tcPr>
            <w:tcW w:w="0" w:type="auto"/>
          </w:tcPr>
          <w:p w14:paraId="28E4AC40"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131,357</w:t>
            </w:r>
          </w:p>
        </w:tc>
        <w:tc>
          <w:tcPr>
            <w:tcW w:w="0" w:type="auto"/>
          </w:tcPr>
          <w:p w14:paraId="67B0CA65"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5,794,458</w:t>
            </w:r>
          </w:p>
        </w:tc>
      </w:tr>
      <w:tr w:rsidR="00C2080B" w:rsidRPr="007923C2" w14:paraId="732857FA" w14:textId="77777777" w:rsidTr="0030772E">
        <w:trPr>
          <w:trHeight w:val="279"/>
          <w:jc w:val="center"/>
        </w:trPr>
        <w:tc>
          <w:tcPr>
            <w:tcW w:w="0" w:type="auto"/>
          </w:tcPr>
          <w:p w14:paraId="44982B8E"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DURANGO</w:t>
            </w:r>
          </w:p>
        </w:tc>
        <w:tc>
          <w:tcPr>
            <w:tcW w:w="0" w:type="auto"/>
          </w:tcPr>
          <w:p w14:paraId="1CCBC72C"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732,293</w:t>
            </w:r>
          </w:p>
        </w:tc>
        <w:tc>
          <w:tcPr>
            <w:tcW w:w="0" w:type="auto"/>
          </w:tcPr>
          <w:p w14:paraId="50A49BA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658,994</w:t>
            </w:r>
          </w:p>
        </w:tc>
        <w:tc>
          <w:tcPr>
            <w:tcW w:w="0" w:type="auto"/>
          </w:tcPr>
          <w:p w14:paraId="55F3559D"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5,028,208</w:t>
            </w:r>
          </w:p>
        </w:tc>
      </w:tr>
      <w:tr w:rsidR="00C2080B" w:rsidRPr="007923C2" w14:paraId="0FAB44E0" w14:textId="77777777" w:rsidTr="0030772E">
        <w:trPr>
          <w:trHeight w:val="272"/>
          <w:jc w:val="center"/>
        </w:trPr>
        <w:tc>
          <w:tcPr>
            <w:tcW w:w="0" w:type="auto"/>
          </w:tcPr>
          <w:p w14:paraId="6DC3F9E5"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COAHUILA</w:t>
            </w:r>
          </w:p>
        </w:tc>
        <w:tc>
          <w:tcPr>
            <w:tcW w:w="0" w:type="auto"/>
          </w:tcPr>
          <w:p w14:paraId="1256AB93"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294,440</w:t>
            </w:r>
          </w:p>
        </w:tc>
        <w:tc>
          <w:tcPr>
            <w:tcW w:w="0" w:type="auto"/>
          </w:tcPr>
          <w:p w14:paraId="2200D0BD"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273,643</w:t>
            </w:r>
          </w:p>
        </w:tc>
        <w:tc>
          <w:tcPr>
            <w:tcW w:w="0" w:type="auto"/>
          </w:tcPr>
          <w:p w14:paraId="1454AE3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4,824,154</w:t>
            </w:r>
          </w:p>
        </w:tc>
      </w:tr>
      <w:tr w:rsidR="00C2080B" w:rsidRPr="007923C2" w14:paraId="1B46133F" w14:textId="77777777" w:rsidTr="0030772E">
        <w:trPr>
          <w:trHeight w:val="279"/>
          <w:jc w:val="center"/>
        </w:trPr>
        <w:tc>
          <w:tcPr>
            <w:tcW w:w="0" w:type="auto"/>
          </w:tcPr>
          <w:p w14:paraId="387E0C42"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TABASCO</w:t>
            </w:r>
          </w:p>
        </w:tc>
        <w:tc>
          <w:tcPr>
            <w:tcW w:w="0" w:type="auto"/>
          </w:tcPr>
          <w:p w14:paraId="56A9135F"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238,642</w:t>
            </w:r>
          </w:p>
        </w:tc>
        <w:tc>
          <w:tcPr>
            <w:tcW w:w="0" w:type="auto"/>
          </w:tcPr>
          <w:p w14:paraId="2F5903B9"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209,001</w:t>
            </w:r>
          </w:p>
        </w:tc>
        <w:tc>
          <w:tcPr>
            <w:tcW w:w="0" w:type="auto"/>
          </w:tcPr>
          <w:p w14:paraId="04F08C6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4,247,187</w:t>
            </w:r>
          </w:p>
        </w:tc>
      </w:tr>
      <w:tr w:rsidR="00C2080B" w:rsidRPr="007923C2" w14:paraId="35A02641" w14:textId="77777777" w:rsidTr="0030772E">
        <w:trPr>
          <w:trHeight w:val="271"/>
          <w:jc w:val="center"/>
        </w:trPr>
        <w:tc>
          <w:tcPr>
            <w:tcW w:w="0" w:type="auto"/>
          </w:tcPr>
          <w:p w14:paraId="6A5D1F9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COLIMA</w:t>
            </w:r>
          </w:p>
        </w:tc>
        <w:tc>
          <w:tcPr>
            <w:tcW w:w="0" w:type="auto"/>
          </w:tcPr>
          <w:p w14:paraId="1191DD8B"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153,308</w:t>
            </w:r>
          </w:p>
        </w:tc>
        <w:tc>
          <w:tcPr>
            <w:tcW w:w="0" w:type="auto"/>
          </w:tcPr>
          <w:p w14:paraId="23ECD060"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152,330</w:t>
            </w:r>
          </w:p>
        </w:tc>
        <w:tc>
          <w:tcPr>
            <w:tcW w:w="0" w:type="auto"/>
          </w:tcPr>
          <w:p w14:paraId="4F02B32A"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4,132,231</w:t>
            </w:r>
          </w:p>
        </w:tc>
      </w:tr>
      <w:tr w:rsidR="00C2080B" w:rsidRPr="007923C2" w14:paraId="65E28130" w14:textId="77777777" w:rsidTr="0030772E">
        <w:trPr>
          <w:trHeight w:val="279"/>
          <w:jc w:val="center"/>
        </w:trPr>
        <w:tc>
          <w:tcPr>
            <w:tcW w:w="0" w:type="auto"/>
          </w:tcPr>
          <w:p w14:paraId="5BE856D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NUEVO LEON</w:t>
            </w:r>
          </w:p>
        </w:tc>
        <w:tc>
          <w:tcPr>
            <w:tcW w:w="0" w:type="auto"/>
          </w:tcPr>
          <w:p w14:paraId="7B585E0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380,836</w:t>
            </w:r>
          </w:p>
        </w:tc>
        <w:tc>
          <w:tcPr>
            <w:tcW w:w="0" w:type="auto"/>
          </w:tcPr>
          <w:p w14:paraId="081C304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366,543</w:t>
            </w:r>
          </w:p>
        </w:tc>
        <w:tc>
          <w:tcPr>
            <w:tcW w:w="0" w:type="auto"/>
          </w:tcPr>
          <w:p w14:paraId="3C74BF7A"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3,826,590</w:t>
            </w:r>
          </w:p>
        </w:tc>
      </w:tr>
      <w:tr w:rsidR="00C2080B" w:rsidRPr="007923C2" w14:paraId="778D7DEB" w14:textId="77777777" w:rsidTr="0030772E">
        <w:trPr>
          <w:trHeight w:val="272"/>
          <w:jc w:val="center"/>
        </w:trPr>
        <w:tc>
          <w:tcPr>
            <w:tcW w:w="0" w:type="auto"/>
          </w:tcPr>
          <w:p w14:paraId="3D82EE6C"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YUCATAN</w:t>
            </w:r>
          </w:p>
        </w:tc>
        <w:tc>
          <w:tcPr>
            <w:tcW w:w="0" w:type="auto"/>
          </w:tcPr>
          <w:p w14:paraId="630172DC"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640,086</w:t>
            </w:r>
          </w:p>
        </w:tc>
        <w:tc>
          <w:tcPr>
            <w:tcW w:w="0" w:type="auto"/>
          </w:tcPr>
          <w:p w14:paraId="49A042A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621,128</w:t>
            </w:r>
          </w:p>
        </w:tc>
        <w:tc>
          <w:tcPr>
            <w:tcW w:w="0" w:type="auto"/>
          </w:tcPr>
          <w:p w14:paraId="2429ED9E"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2,599,169</w:t>
            </w:r>
          </w:p>
        </w:tc>
      </w:tr>
      <w:tr w:rsidR="00C2080B" w:rsidRPr="007923C2" w14:paraId="6CA86653" w14:textId="77777777" w:rsidTr="0030772E">
        <w:trPr>
          <w:trHeight w:val="279"/>
          <w:jc w:val="center"/>
        </w:trPr>
        <w:tc>
          <w:tcPr>
            <w:tcW w:w="0" w:type="auto"/>
          </w:tcPr>
          <w:p w14:paraId="0A24911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BAJA CALIFORNIA SUR</w:t>
            </w:r>
          </w:p>
        </w:tc>
        <w:tc>
          <w:tcPr>
            <w:tcW w:w="0" w:type="auto"/>
          </w:tcPr>
          <w:p w14:paraId="37DDF3D8"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36,442</w:t>
            </w:r>
          </w:p>
        </w:tc>
        <w:tc>
          <w:tcPr>
            <w:tcW w:w="0" w:type="auto"/>
          </w:tcPr>
          <w:p w14:paraId="58E087EC"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33,898</w:t>
            </w:r>
          </w:p>
        </w:tc>
        <w:tc>
          <w:tcPr>
            <w:tcW w:w="0" w:type="auto"/>
          </w:tcPr>
          <w:p w14:paraId="38CB5C80"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2,525,146</w:t>
            </w:r>
          </w:p>
        </w:tc>
      </w:tr>
      <w:tr w:rsidR="00C2080B" w:rsidRPr="007923C2" w14:paraId="7580BDFC" w14:textId="77777777" w:rsidTr="0030772E">
        <w:trPr>
          <w:trHeight w:val="272"/>
          <w:jc w:val="center"/>
        </w:trPr>
        <w:tc>
          <w:tcPr>
            <w:tcW w:w="0" w:type="auto"/>
          </w:tcPr>
          <w:p w14:paraId="136A777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TLAXCALA</w:t>
            </w:r>
          </w:p>
        </w:tc>
        <w:tc>
          <w:tcPr>
            <w:tcW w:w="0" w:type="auto"/>
          </w:tcPr>
          <w:p w14:paraId="7675C6B3"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239,922</w:t>
            </w:r>
          </w:p>
        </w:tc>
        <w:tc>
          <w:tcPr>
            <w:tcW w:w="0" w:type="auto"/>
          </w:tcPr>
          <w:p w14:paraId="1F54C34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238,103</w:t>
            </w:r>
          </w:p>
        </w:tc>
        <w:tc>
          <w:tcPr>
            <w:tcW w:w="0" w:type="auto"/>
          </w:tcPr>
          <w:p w14:paraId="11D362C4"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2,363,190</w:t>
            </w:r>
          </w:p>
        </w:tc>
      </w:tr>
      <w:tr w:rsidR="00C2080B" w:rsidRPr="007923C2" w14:paraId="082249AF" w14:textId="77777777" w:rsidTr="0030772E">
        <w:trPr>
          <w:trHeight w:val="279"/>
          <w:jc w:val="center"/>
        </w:trPr>
        <w:tc>
          <w:tcPr>
            <w:tcW w:w="0" w:type="auto"/>
          </w:tcPr>
          <w:p w14:paraId="67056302"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CAMPECHE</w:t>
            </w:r>
          </w:p>
        </w:tc>
        <w:tc>
          <w:tcPr>
            <w:tcW w:w="0" w:type="auto"/>
          </w:tcPr>
          <w:p w14:paraId="54B4244F"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236,895</w:t>
            </w:r>
          </w:p>
        </w:tc>
        <w:tc>
          <w:tcPr>
            <w:tcW w:w="0" w:type="auto"/>
          </w:tcPr>
          <w:p w14:paraId="1DE1C9B6"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220,167</w:t>
            </w:r>
          </w:p>
        </w:tc>
        <w:tc>
          <w:tcPr>
            <w:tcW w:w="0" w:type="auto"/>
          </w:tcPr>
          <w:p w14:paraId="7A040AE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2,322,437</w:t>
            </w:r>
          </w:p>
        </w:tc>
      </w:tr>
      <w:tr w:rsidR="00C2080B" w:rsidRPr="007923C2" w14:paraId="209A0D08" w14:textId="77777777" w:rsidTr="0030772E">
        <w:trPr>
          <w:trHeight w:val="272"/>
          <w:jc w:val="center"/>
        </w:trPr>
        <w:tc>
          <w:tcPr>
            <w:tcW w:w="0" w:type="auto"/>
          </w:tcPr>
          <w:p w14:paraId="26718070"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QUERETARO</w:t>
            </w:r>
          </w:p>
        </w:tc>
        <w:tc>
          <w:tcPr>
            <w:tcW w:w="0" w:type="auto"/>
          </w:tcPr>
          <w:p w14:paraId="6B591590"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178,902</w:t>
            </w:r>
          </w:p>
        </w:tc>
        <w:tc>
          <w:tcPr>
            <w:tcW w:w="0" w:type="auto"/>
          </w:tcPr>
          <w:p w14:paraId="539D1D16"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156,563</w:t>
            </w:r>
          </w:p>
        </w:tc>
        <w:tc>
          <w:tcPr>
            <w:tcW w:w="0" w:type="auto"/>
          </w:tcPr>
          <w:p w14:paraId="4D71C4DC"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2,315,137</w:t>
            </w:r>
          </w:p>
        </w:tc>
      </w:tr>
      <w:tr w:rsidR="00C2080B" w:rsidRPr="007923C2" w14:paraId="0477D876" w14:textId="77777777" w:rsidTr="0030772E">
        <w:trPr>
          <w:trHeight w:val="279"/>
          <w:jc w:val="center"/>
        </w:trPr>
        <w:tc>
          <w:tcPr>
            <w:tcW w:w="0" w:type="auto"/>
          </w:tcPr>
          <w:p w14:paraId="50F2AEF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AGUASCALIENTES</w:t>
            </w:r>
          </w:p>
        </w:tc>
        <w:tc>
          <w:tcPr>
            <w:tcW w:w="0" w:type="auto"/>
          </w:tcPr>
          <w:p w14:paraId="092F296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153,602</w:t>
            </w:r>
          </w:p>
        </w:tc>
        <w:tc>
          <w:tcPr>
            <w:tcW w:w="0" w:type="auto"/>
          </w:tcPr>
          <w:p w14:paraId="71531413"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110,854</w:t>
            </w:r>
          </w:p>
        </w:tc>
        <w:tc>
          <w:tcPr>
            <w:tcW w:w="0" w:type="auto"/>
          </w:tcPr>
          <w:p w14:paraId="1B3612B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1,836,722</w:t>
            </w:r>
          </w:p>
        </w:tc>
      </w:tr>
      <w:tr w:rsidR="00C2080B" w:rsidRPr="007923C2" w14:paraId="1A847A6A" w14:textId="77777777" w:rsidTr="0030772E">
        <w:trPr>
          <w:trHeight w:val="272"/>
          <w:jc w:val="center"/>
        </w:trPr>
        <w:tc>
          <w:tcPr>
            <w:tcW w:w="0" w:type="auto"/>
          </w:tcPr>
          <w:p w14:paraId="04B7D746"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QUINTANA ROO</w:t>
            </w:r>
          </w:p>
        </w:tc>
        <w:tc>
          <w:tcPr>
            <w:tcW w:w="0" w:type="auto"/>
          </w:tcPr>
          <w:p w14:paraId="1BCA58F2"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112,199</w:t>
            </w:r>
          </w:p>
        </w:tc>
        <w:tc>
          <w:tcPr>
            <w:tcW w:w="0" w:type="auto"/>
          </w:tcPr>
          <w:p w14:paraId="3CC2FE73"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107,615</w:t>
            </w:r>
          </w:p>
        </w:tc>
        <w:tc>
          <w:tcPr>
            <w:tcW w:w="0" w:type="auto"/>
          </w:tcPr>
          <w:p w14:paraId="1FA86702"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1,629,786</w:t>
            </w:r>
          </w:p>
        </w:tc>
      </w:tr>
      <w:tr w:rsidR="00C2080B" w:rsidRPr="007923C2" w14:paraId="231C7228" w14:textId="77777777" w:rsidTr="0030772E">
        <w:trPr>
          <w:trHeight w:val="279"/>
          <w:jc w:val="center"/>
        </w:trPr>
        <w:tc>
          <w:tcPr>
            <w:tcW w:w="0" w:type="auto"/>
          </w:tcPr>
          <w:p w14:paraId="6759014F"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DISTRITO FEDERAL</w:t>
            </w:r>
          </w:p>
        </w:tc>
        <w:tc>
          <w:tcPr>
            <w:tcW w:w="0" w:type="auto"/>
          </w:tcPr>
          <w:p w14:paraId="5C941481"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22,878</w:t>
            </w:r>
          </w:p>
        </w:tc>
        <w:tc>
          <w:tcPr>
            <w:tcW w:w="0" w:type="auto"/>
          </w:tcPr>
          <w:p w14:paraId="37E38CC7"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22,477</w:t>
            </w:r>
          </w:p>
        </w:tc>
        <w:tc>
          <w:tcPr>
            <w:tcW w:w="0" w:type="auto"/>
          </w:tcPr>
          <w:p w14:paraId="2F9C880F"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1,378,285</w:t>
            </w:r>
          </w:p>
        </w:tc>
      </w:tr>
      <w:tr w:rsidR="00C2080B" w:rsidRPr="007923C2" w14:paraId="574D3369" w14:textId="77777777" w:rsidTr="0030772E">
        <w:trPr>
          <w:trHeight w:val="267"/>
          <w:jc w:val="center"/>
        </w:trPr>
        <w:tc>
          <w:tcPr>
            <w:tcW w:w="0" w:type="auto"/>
          </w:tcPr>
          <w:p w14:paraId="15541FAE" w14:textId="77777777" w:rsidR="00C2080B" w:rsidRPr="007923C2" w:rsidRDefault="00C2080B" w:rsidP="0030772E">
            <w:pPr>
              <w:spacing w:line="276" w:lineRule="auto"/>
              <w:jc w:val="both"/>
              <w:rPr>
                <w:rFonts w:ascii="Arial" w:hAnsi="Arial" w:cs="Arial"/>
                <w:sz w:val="22"/>
                <w:szCs w:val="22"/>
              </w:rPr>
            </w:pPr>
          </w:p>
        </w:tc>
        <w:tc>
          <w:tcPr>
            <w:tcW w:w="0" w:type="auto"/>
          </w:tcPr>
          <w:p w14:paraId="5750240F"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21,952,745</w:t>
            </w:r>
          </w:p>
        </w:tc>
        <w:tc>
          <w:tcPr>
            <w:tcW w:w="0" w:type="auto"/>
          </w:tcPr>
          <w:p w14:paraId="38844916"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20,167,773</w:t>
            </w:r>
          </w:p>
        </w:tc>
        <w:tc>
          <w:tcPr>
            <w:tcW w:w="0" w:type="auto"/>
          </w:tcPr>
          <w:p w14:paraId="45F4B193" w14:textId="77777777"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331,786,019</w:t>
            </w:r>
          </w:p>
        </w:tc>
      </w:tr>
    </w:tbl>
    <w:p w14:paraId="47BA2946" w14:textId="77777777" w:rsidR="00C2080B" w:rsidRPr="007923C2" w:rsidRDefault="00C2080B" w:rsidP="00C2080B">
      <w:pPr>
        <w:jc w:val="both"/>
        <w:rPr>
          <w:rFonts w:ascii="Arial" w:hAnsi="Arial" w:cs="Arial"/>
          <w:sz w:val="22"/>
          <w:szCs w:val="22"/>
        </w:rPr>
      </w:pPr>
    </w:p>
    <w:p w14:paraId="4BCE2C02"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Fuente: SIAP, SAGARPA.</w:t>
      </w:r>
    </w:p>
    <w:p w14:paraId="3F7B30CD"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lastRenderedPageBreak/>
        <w:t>Productos agrícolas</w:t>
      </w:r>
    </w:p>
    <w:p w14:paraId="740C0DC6"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En el siguiente cuadro se presentan los principales cultivos en México ordenados por valor de su producción. Se presentan aquellos cultivos con un valor superior a 2,000 millones de pesos.</w:t>
      </w:r>
    </w:p>
    <w:p w14:paraId="0D7954F3" w14:textId="77777777" w:rsidR="00C2080B" w:rsidRPr="007923C2" w:rsidRDefault="00C2080B" w:rsidP="00C2080B">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729408" behindDoc="1" locked="0" layoutInCell="0" allowOverlap="1" wp14:anchorId="0CF35ED9" wp14:editId="6F8A5637">
            <wp:simplePos x="0" y="0"/>
            <wp:positionH relativeFrom="column">
              <wp:posOffset>6217920</wp:posOffset>
            </wp:positionH>
            <wp:positionV relativeFrom="paragraph">
              <wp:posOffset>253365</wp:posOffset>
            </wp:positionV>
            <wp:extent cx="0" cy="635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sz w:val="22"/>
          <w:szCs w:val="22"/>
        </w:rPr>
        <w:t>PRODUCCION AGRICOLA</w:t>
      </w:r>
    </w:p>
    <w:p w14:paraId="02BCB709" w14:textId="77777777" w:rsidR="00C2080B" w:rsidRPr="007923C2" w:rsidRDefault="00C2080B" w:rsidP="00C2080B">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730432" behindDoc="1" locked="0" layoutInCell="0" allowOverlap="1" wp14:anchorId="291A5C57" wp14:editId="73553FDB">
            <wp:simplePos x="0" y="0"/>
            <wp:positionH relativeFrom="column">
              <wp:posOffset>6217920</wp:posOffset>
            </wp:positionH>
            <wp:positionV relativeFrom="paragraph">
              <wp:posOffset>3810</wp:posOffset>
            </wp:positionV>
            <wp:extent cx="0" cy="6350"/>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sz w:val="22"/>
          <w:szCs w:val="22"/>
        </w:rPr>
        <w:t>Ciclo: Ciclicos y Perennes 2010</w:t>
      </w:r>
    </w:p>
    <w:p w14:paraId="1CC6960F" w14:textId="77777777" w:rsidR="00C2080B" w:rsidRPr="007923C2" w:rsidRDefault="00C2080B" w:rsidP="00C2080B">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731456" behindDoc="1" locked="0" layoutInCell="0" allowOverlap="1" wp14:anchorId="287FB4FD" wp14:editId="464F0E46">
            <wp:simplePos x="0" y="0"/>
            <wp:positionH relativeFrom="column">
              <wp:posOffset>6217920</wp:posOffset>
            </wp:positionH>
            <wp:positionV relativeFrom="paragraph">
              <wp:posOffset>3810</wp:posOffset>
            </wp:positionV>
            <wp:extent cx="0" cy="635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sz w:val="22"/>
          <w:szCs w:val="22"/>
        </w:rPr>
        <w:t>Modalidad: Riego + Temporal</w:t>
      </w:r>
    </w:p>
    <w:tbl>
      <w:tblPr>
        <w:tblStyle w:val="Tablaconcuadrcula"/>
        <w:tblW w:w="0" w:type="auto"/>
        <w:tblLook w:val="0000" w:firstRow="0" w:lastRow="0" w:firstColumn="0" w:lastColumn="0" w:noHBand="0" w:noVBand="0"/>
      </w:tblPr>
      <w:tblGrid>
        <w:gridCol w:w="1973"/>
        <w:gridCol w:w="1426"/>
        <w:gridCol w:w="1515"/>
        <w:gridCol w:w="1217"/>
        <w:gridCol w:w="1339"/>
        <w:gridCol w:w="861"/>
        <w:gridCol w:w="1539"/>
      </w:tblGrid>
      <w:tr w:rsidR="0030772E" w:rsidRPr="003626A7" w14:paraId="23082E5A" w14:textId="77777777" w:rsidTr="0030772E">
        <w:trPr>
          <w:trHeight w:val="228"/>
        </w:trPr>
        <w:tc>
          <w:tcPr>
            <w:tcW w:w="0" w:type="auto"/>
          </w:tcPr>
          <w:p w14:paraId="0977835D"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noProof/>
                <w:sz w:val="16"/>
                <w:szCs w:val="16"/>
              </w:rPr>
              <w:drawing>
                <wp:anchor distT="0" distB="0" distL="114300" distR="114300" simplePos="0" relativeHeight="251732480" behindDoc="1" locked="0" layoutInCell="0" allowOverlap="1" wp14:anchorId="61E36E64" wp14:editId="6D0EDFCC">
                  <wp:simplePos x="0" y="0"/>
                  <wp:positionH relativeFrom="column">
                    <wp:posOffset>6217920</wp:posOffset>
                  </wp:positionH>
                  <wp:positionV relativeFrom="paragraph">
                    <wp:posOffset>3810</wp:posOffset>
                  </wp:positionV>
                  <wp:extent cx="0" cy="635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3626A7">
              <w:rPr>
                <w:rFonts w:ascii="Arial" w:hAnsi="Arial" w:cs="Arial"/>
                <w:sz w:val="16"/>
                <w:szCs w:val="16"/>
              </w:rPr>
              <w:t>Cultivo</w:t>
            </w:r>
          </w:p>
        </w:tc>
        <w:tc>
          <w:tcPr>
            <w:tcW w:w="0" w:type="auto"/>
          </w:tcPr>
          <w:p w14:paraId="48F73CF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Sup. Sembrada</w:t>
            </w:r>
          </w:p>
        </w:tc>
        <w:tc>
          <w:tcPr>
            <w:tcW w:w="0" w:type="auto"/>
          </w:tcPr>
          <w:p w14:paraId="4FEA695B"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Sup. Cosechada</w:t>
            </w:r>
          </w:p>
        </w:tc>
        <w:tc>
          <w:tcPr>
            <w:tcW w:w="0" w:type="auto"/>
          </w:tcPr>
          <w:p w14:paraId="6ED8A68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Producción</w:t>
            </w:r>
          </w:p>
        </w:tc>
        <w:tc>
          <w:tcPr>
            <w:tcW w:w="0" w:type="auto"/>
          </w:tcPr>
          <w:p w14:paraId="0879FE36"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Rendimiento</w:t>
            </w:r>
          </w:p>
        </w:tc>
        <w:tc>
          <w:tcPr>
            <w:tcW w:w="0" w:type="auto"/>
          </w:tcPr>
          <w:p w14:paraId="4B1A1DA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PMR</w:t>
            </w:r>
          </w:p>
        </w:tc>
        <w:tc>
          <w:tcPr>
            <w:tcW w:w="0" w:type="auto"/>
          </w:tcPr>
          <w:p w14:paraId="43F181A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Valor Producción</w:t>
            </w:r>
          </w:p>
        </w:tc>
      </w:tr>
      <w:tr w:rsidR="0030772E" w:rsidRPr="003626A7" w14:paraId="70807EDC" w14:textId="77777777" w:rsidTr="0030772E">
        <w:trPr>
          <w:trHeight w:val="222"/>
        </w:trPr>
        <w:tc>
          <w:tcPr>
            <w:tcW w:w="0" w:type="auto"/>
          </w:tcPr>
          <w:p w14:paraId="0BE6F323" w14:textId="77777777" w:rsidR="00C2080B" w:rsidRPr="003626A7" w:rsidRDefault="00C2080B" w:rsidP="0030772E">
            <w:pPr>
              <w:spacing w:line="276" w:lineRule="auto"/>
              <w:jc w:val="both"/>
              <w:rPr>
                <w:rFonts w:ascii="Arial" w:hAnsi="Arial" w:cs="Arial"/>
                <w:sz w:val="16"/>
                <w:szCs w:val="16"/>
              </w:rPr>
            </w:pPr>
          </w:p>
        </w:tc>
        <w:tc>
          <w:tcPr>
            <w:tcW w:w="0" w:type="auto"/>
          </w:tcPr>
          <w:p w14:paraId="360A414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(Ha)</w:t>
            </w:r>
          </w:p>
        </w:tc>
        <w:tc>
          <w:tcPr>
            <w:tcW w:w="0" w:type="auto"/>
          </w:tcPr>
          <w:p w14:paraId="4277508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(Ha)</w:t>
            </w:r>
          </w:p>
        </w:tc>
        <w:tc>
          <w:tcPr>
            <w:tcW w:w="0" w:type="auto"/>
          </w:tcPr>
          <w:p w14:paraId="76584D8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(Ton)</w:t>
            </w:r>
          </w:p>
        </w:tc>
        <w:tc>
          <w:tcPr>
            <w:tcW w:w="0" w:type="auto"/>
          </w:tcPr>
          <w:p w14:paraId="34A3777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(Ton/Ha)</w:t>
            </w:r>
          </w:p>
        </w:tc>
        <w:tc>
          <w:tcPr>
            <w:tcW w:w="0" w:type="auto"/>
          </w:tcPr>
          <w:p w14:paraId="7E2A928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($/Ton)</w:t>
            </w:r>
          </w:p>
        </w:tc>
        <w:tc>
          <w:tcPr>
            <w:tcW w:w="0" w:type="auto"/>
          </w:tcPr>
          <w:p w14:paraId="42451D44"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(Miles de Pesos)</w:t>
            </w:r>
          </w:p>
        </w:tc>
      </w:tr>
      <w:tr w:rsidR="0030772E" w:rsidRPr="003626A7" w14:paraId="0AFE2590" w14:textId="77777777" w:rsidTr="0030772E">
        <w:trPr>
          <w:trHeight w:val="223"/>
        </w:trPr>
        <w:tc>
          <w:tcPr>
            <w:tcW w:w="0" w:type="auto"/>
          </w:tcPr>
          <w:p w14:paraId="0C8FB0DE"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MAIZ GRANO</w:t>
            </w:r>
          </w:p>
        </w:tc>
        <w:tc>
          <w:tcPr>
            <w:tcW w:w="0" w:type="auto"/>
          </w:tcPr>
          <w:p w14:paraId="7F80DA5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7,860,705</w:t>
            </w:r>
          </w:p>
        </w:tc>
        <w:tc>
          <w:tcPr>
            <w:tcW w:w="0" w:type="auto"/>
          </w:tcPr>
          <w:p w14:paraId="0D44FD1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7,148,046</w:t>
            </w:r>
          </w:p>
        </w:tc>
        <w:tc>
          <w:tcPr>
            <w:tcW w:w="0" w:type="auto"/>
          </w:tcPr>
          <w:p w14:paraId="2AAE524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23,301,879</w:t>
            </w:r>
          </w:p>
        </w:tc>
        <w:tc>
          <w:tcPr>
            <w:tcW w:w="0" w:type="auto"/>
          </w:tcPr>
          <w:p w14:paraId="7C96DEA7"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3.26</w:t>
            </w:r>
          </w:p>
        </w:tc>
        <w:tc>
          <w:tcPr>
            <w:tcW w:w="0" w:type="auto"/>
          </w:tcPr>
          <w:p w14:paraId="42E8B8B6"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2,816</w:t>
            </w:r>
          </w:p>
        </w:tc>
        <w:tc>
          <w:tcPr>
            <w:tcW w:w="0" w:type="auto"/>
          </w:tcPr>
          <w:p w14:paraId="7502E452"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65,629,388</w:t>
            </w:r>
          </w:p>
        </w:tc>
      </w:tr>
      <w:tr w:rsidR="0030772E" w:rsidRPr="003626A7" w14:paraId="4467FD4C" w14:textId="77777777" w:rsidTr="0030772E">
        <w:trPr>
          <w:trHeight w:val="220"/>
        </w:trPr>
        <w:tc>
          <w:tcPr>
            <w:tcW w:w="0" w:type="auto"/>
          </w:tcPr>
          <w:p w14:paraId="52F3BDE2"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CAÑA DE AZUCAR</w:t>
            </w:r>
          </w:p>
        </w:tc>
        <w:tc>
          <w:tcPr>
            <w:tcW w:w="0" w:type="auto"/>
          </w:tcPr>
          <w:p w14:paraId="6BC86642"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734,819</w:t>
            </w:r>
          </w:p>
        </w:tc>
        <w:tc>
          <w:tcPr>
            <w:tcW w:w="0" w:type="auto"/>
          </w:tcPr>
          <w:p w14:paraId="0207E60B"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703,943</w:t>
            </w:r>
          </w:p>
        </w:tc>
        <w:tc>
          <w:tcPr>
            <w:tcW w:w="0" w:type="auto"/>
          </w:tcPr>
          <w:p w14:paraId="0410F56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50,421,620</w:t>
            </w:r>
          </w:p>
        </w:tc>
        <w:tc>
          <w:tcPr>
            <w:tcW w:w="0" w:type="auto"/>
          </w:tcPr>
          <w:p w14:paraId="19A38694"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71.63</w:t>
            </w:r>
          </w:p>
        </w:tc>
        <w:tc>
          <w:tcPr>
            <w:tcW w:w="0" w:type="auto"/>
          </w:tcPr>
          <w:p w14:paraId="316EA68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620</w:t>
            </w:r>
          </w:p>
        </w:tc>
        <w:tc>
          <w:tcPr>
            <w:tcW w:w="0" w:type="auto"/>
          </w:tcPr>
          <w:p w14:paraId="7CF7AAFF"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31,250,469</w:t>
            </w:r>
          </w:p>
        </w:tc>
      </w:tr>
      <w:tr w:rsidR="0030772E" w:rsidRPr="003626A7" w14:paraId="13519813" w14:textId="77777777" w:rsidTr="0030772E">
        <w:trPr>
          <w:trHeight w:val="222"/>
        </w:trPr>
        <w:tc>
          <w:tcPr>
            <w:tcW w:w="0" w:type="auto"/>
          </w:tcPr>
          <w:p w14:paraId="646D2A31"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PASTOS</w:t>
            </w:r>
          </w:p>
        </w:tc>
        <w:tc>
          <w:tcPr>
            <w:tcW w:w="0" w:type="auto"/>
          </w:tcPr>
          <w:p w14:paraId="4AF894F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2,301,210</w:t>
            </w:r>
          </w:p>
        </w:tc>
        <w:tc>
          <w:tcPr>
            <w:tcW w:w="0" w:type="auto"/>
          </w:tcPr>
          <w:p w14:paraId="3D7852B3"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2,253,963</w:t>
            </w:r>
          </w:p>
        </w:tc>
        <w:tc>
          <w:tcPr>
            <w:tcW w:w="0" w:type="auto"/>
          </w:tcPr>
          <w:p w14:paraId="4C097DF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45,982,534</w:t>
            </w:r>
          </w:p>
        </w:tc>
        <w:tc>
          <w:tcPr>
            <w:tcW w:w="0" w:type="auto"/>
          </w:tcPr>
          <w:p w14:paraId="2333080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20.40</w:t>
            </w:r>
          </w:p>
        </w:tc>
        <w:tc>
          <w:tcPr>
            <w:tcW w:w="0" w:type="auto"/>
          </w:tcPr>
          <w:p w14:paraId="77C812C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363</w:t>
            </w:r>
          </w:p>
        </w:tc>
        <w:tc>
          <w:tcPr>
            <w:tcW w:w="0" w:type="auto"/>
          </w:tcPr>
          <w:p w14:paraId="5185C133"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16,700,176</w:t>
            </w:r>
          </w:p>
        </w:tc>
      </w:tr>
      <w:tr w:rsidR="0030772E" w:rsidRPr="003626A7" w14:paraId="289DC3BC" w14:textId="77777777" w:rsidTr="0030772E">
        <w:trPr>
          <w:trHeight w:val="222"/>
        </w:trPr>
        <w:tc>
          <w:tcPr>
            <w:tcW w:w="0" w:type="auto"/>
          </w:tcPr>
          <w:p w14:paraId="3C43BC83"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SORGO GRANO</w:t>
            </w:r>
          </w:p>
        </w:tc>
        <w:tc>
          <w:tcPr>
            <w:tcW w:w="0" w:type="auto"/>
          </w:tcPr>
          <w:p w14:paraId="0DA3BC7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1,888,732</w:t>
            </w:r>
          </w:p>
        </w:tc>
        <w:tc>
          <w:tcPr>
            <w:tcW w:w="0" w:type="auto"/>
          </w:tcPr>
          <w:p w14:paraId="5D82EB83"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1,768,382</w:t>
            </w:r>
          </w:p>
        </w:tc>
        <w:tc>
          <w:tcPr>
            <w:tcW w:w="0" w:type="auto"/>
          </w:tcPr>
          <w:p w14:paraId="0291F43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6,940,225</w:t>
            </w:r>
          </w:p>
        </w:tc>
        <w:tc>
          <w:tcPr>
            <w:tcW w:w="0" w:type="auto"/>
          </w:tcPr>
          <w:p w14:paraId="3452532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3.92</w:t>
            </w:r>
          </w:p>
        </w:tc>
        <w:tc>
          <w:tcPr>
            <w:tcW w:w="0" w:type="auto"/>
          </w:tcPr>
          <w:p w14:paraId="554C8DA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2,270</w:t>
            </w:r>
          </w:p>
        </w:tc>
        <w:tc>
          <w:tcPr>
            <w:tcW w:w="0" w:type="auto"/>
          </w:tcPr>
          <w:p w14:paraId="74E24C80"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15,752,804</w:t>
            </w:r>
          </w:p>
        </w:tc>
      </w:tr>
      <w:tr w:rsidR="0030772E" w:rsidRPr="003626A7" w14:paraId="0B896852" w14:textId="77777777" w:rsidTr="0030772E">
        <w:trPr>
          <w:trHeight w:val="222"/>
        </w:trPr>
        <w:tc>
          <w:tcPr>
            <w:tcW w:w="0" w:type="auto"/>
          </w:tcPr>
          <w:p w14:paraId="476AD93D"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TOMATE ROJO (JITOMATE)</w:t>
            </w:r>
          </w:p>
        </w:tc>
        <w:tc>
          <w:tcPr>
            <w:tcW w:w="0" w:type="auto"/>
          </w:tcPr>
          <w:p w14:paraId="691CE01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54,511</w:t>
            </w:r>
          </w:p>
        </w:tc>
        <w:tc>
          <w:tcPr>
            <w:tcW w:w="0" w:type="auto"/>
          </w:tcPr>
          <w:p w14:paraId="13CE820B"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52,089</w:t>
            </w:r>
          </w:p>
        </w:tc>
        <w:tc>
          <w:tcPr>
            <w:tcW w:w="0" w:type="auto"/>
          </w:tcPr>
          <w:p w14:paraId="745F9AB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2,277,791</w:t>
            </w:r>
          </w:p>
        </w:tc>
        <w:tc>
          <w:tcPr>
            <w:tcW w:w="0" w:type="auto"/>
          </w:tcPr>
          <w:p w14:paraId="12C02E16"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43.73</w:t>
            </w:r>
          </w:p>
        </w:tc>
        <w:tc>
          <w:tcPr>
            <w:tcW w:w="0" w:type="auto"/>
          </w:tcPr>
          <w:p w14:paraId="71B4CB58"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6,536</w:t>
            </w:r>
          </w:p>
        </w:tc>
        <w:tc>
          <w:tcPr>
            <w:tcW w:w="0" w:type="auto"/>
          </w:tcPr>
          <w:p w14:paraId="3FE9E88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14,887,128</w:t>
            </w:r>
          </w:p>
        </w:tc>
      </w:tr>
      <w:tr w:rsidR="0030772E" w:rsidRPr="003626A7" w14:paraId="531AC63A" w14:textId="77777777" w:rsidTr="0030772E">
        <w:trPr>
          <w:trHeight w:val="222"/>
        </w:trPr>
        <w:tc>
          <w:tcPr>
            <w:tcW w:w="0" w:type="auto"/>
          </w:tcPr>
          <w:p w14:paraId="3173C1E5"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AGUACATE</w:t>
            </w:r>
          </w:p>
        </w:tc>
        <w:tc>
          <w:tcPr>
            <w:tcW w:w="0" w:type="auto"/>
          </w:tcPr>
          <w:p w14:paraId="40E23932"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134,322</w:t>
            </w:r>
          </w:p>
        </w:tc>
        <w:tc>
          <w:tcPr>
            <w:tcW w:w="0" w:type="auto"/>
          </w:tcPr>
          <w:p w14:paraId="41B9062F"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123,404</w:t>
            </w:r>
          </w:p>
        </w:tc>
        <w:tc>
          <w:tcPr>
            <w:tcW w:w="0" w:type="auto"/>
          </w:tcPr>
          <w:p w14:paraId="722F1CC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1,107,135</w:t>
            </w:r>
          </w:p>
        </w:tc>
        <w:tc>
          <w:tcPr>
            <w:tcW w:w="0" w:type="auto"/>
          </w:tcPr>
          <w:p w14:paraId="1470DB9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8.97</w:t>
            </w:r>
          </w:p>
        </w:tc>
        <w:tc>
          <w:tcPr>
            <w:tcW w:w="0" w:type="auto"/>
          </w:tcPr>
          <w:p w14:paraId="48A5C25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12,795</w:t>
            </w:r>
          </w:p>
        </w:tc>
        <w:tc>
          <w:tcPr>
            <w:tcW w:w="0" w:type="auto"/>
          </w:tcPr>
          <w:p w14:paraId="1A1C84A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14,165,758</w:t>
            </w:r>
          </w:p>
        </w:tc>
      </w:tr>
      <w:tr w:rsidR="0030772E" w:rsidRPr="003626A7" w14:paraId="21BD3A2F" w14:textId="77777777" w:rsidTr="0030772E">
        <w:trPr>
          <w:trHeight w:val="223"/>
        </w:trPr>
        <w:tc>
          <w:tcPr>
            <w:tcW w:w="0" w:type="auto"/>
          </w:tcPr>
          <w:p w14:paraId="45336FB1"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CHILE VERDE</w:t>
            </w:r>
          </w:p>
        </w:tc>
        <w:tc>
          <w:tcPr>
            <w:tcW w:w="0" w:type="auto"/>
          </w:tcPr>
          <w:p w14:paraId="6150C43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148,759</w:t>
            </w:r>
          </w:p>
        </w:tc>
        <w:tc>
          <w:tcPr>
            <w:tcW w:w="0" w:type="auto"/>
          </w:tcPr>
          <w:p w14:paraId="7284A043"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143,975</w:t>
            </w:r>
          </w:p>
        </w:tc>
        <w:tc>
          <w:tcPr>
            <w:tcW w:w="0" w:type="auto"/>
          </w:tcPr>
          <w:p w14:paraId="6505173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2,335,560</w:t>
            </w:r>
          </w:p>
        </w:tc>
        <w:tc>
          <w:tcPr>
            <w:tcW w:w="0" w:type="auto"/>
          </w:tcPr>
          <w:p w14:paraId="0F58499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16.22</w:t>
            </w:r>
          </w:p>
        </w:tc>
        <w:tc>
          <w:tcPr>
            <w:tcW w:w="0" w:type="auto"/>
          </w:tcPr>
          <w:p w14:paraId="490CBB17"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5,662</w:t>
            </w:r>
          </w:p>
        </w:tc>
        <w:tc>
          <w:tcPr>
            <w:tcW w:w="0" w:type="auto"/>
          </w:tcPr>
          <w:p w14:paraId="08723DE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13,224,803</w:t>
            </w:r>
          </w:p>
        </w:tc>
      </w:tr>
      <w:tr w:rsidR="0030772E" w:rsidRPr="003626A7" w14:paraId="3E99AD48" w14:textId="77777777" w:rsidTr="0030772E">
        <w:trPr>
          <w:trHeight w:val="220"/>
        </w:trPr>
        <w:tc>
          <w:tcPr>
            <w:tcW w:w="0" w:type="auto"/>
          </w:tcPr>
          <w:p w14:paraId="736DD531"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PAPA</w:t>
            </w:r>
          </w:p>
        </w:tc>
        <w:tc>
          <w:tcPr>
            <w:tcW w:w="0" w:type="auto"/>
          </w:tcPr>
          <w:p w14:paraId="5798BAE0"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55,646</w:t>
            </w:r>
          </w:p>
        </w:tc>
        <w:tc>
          <w:tcPr>
            <w:tcW w:w="0" w:type="auto"/>
          </w:tcPr>
          <w:p w14:paraId="194609C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55,359</w:t>
            </w:r>
          </w:p>
        </w:tc>
        <w:tc>
          <w:tcPr>
            <w:tcW w:w="0" w:type="auto"/>
          </w:tcPr>
          <w:p w14:paraId="2EF2E2E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1,536,617</w:t>
            </w:r>
          </w:p>
        </w:tc>
        <w:tc>
          <w:tcPr>
            <w:tcW w:w="0" w:type="auto"/>
          </w:tcPr>
          <w:p w14:paraId="36F875B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27.76</w:t>
            </w:r>
          </w:p>
        </w:tc>
        <w:tc>
          <w:tcPr>
            <w:tcW w:w="0" w:type="auto"/>
          </w:tcPr>
          <w:p w14:paraId="74C7C7B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7,563</w:t>
            </w:r>
          </w:p>
        </w:tc>
        <w:tc>
          <w:tcPr>
            <w:tcW w:w="0" w:type="auto"/>
          </w:tcPr>
          <w:p w14:paraId="2F467F98"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11,622,048</w:t>
            </w:r>
          </w:p>
        </w:tc>
      </w:tr>
      <w:tr w:rsidR="0030772E" w:rsidRPr="003626A7" w14:paraId="1611D752" w14:textId="77777777" w:rsidTr="0030772E">
        <w:trPr>
          <w:trHeight w:val="222"/>
        </w:trPr>
        <w:tc>
          <w:tcPr>
            <w:tcW w:w="0" w:type="auto"/>
          </w:tcPr>
          <w:p w14:paraId="28996C70"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ALFALFA VERDE</w:t>
            </w:r>
          </w:p>
        </w:tc>
        <w:tc>
          <w:tcPr>
            <w:tcW w:w="0" w:type="auto"/>
          </w:tcPr>
          <w:p w14:paraId="20E1D0E4"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383,437</w:t>
            </w:r>
          </w:p>
        </w:tc>
        <w:tc>
          <w:tcPr>
            <w:tcW w:w="0" w:type="auto"/>
          </w:tcPr>
          <w:p w14:paraId="12178A4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377,756</w:t>
            </w:r>
          </w:p>
        </w:tc>
        <w:tc>
          <w:tcPr>
            <w:tcW w:w="0" w:type="auto"/>
          </w:tcPr>
          <w:p w14:paraId="2C1FA7C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29,110,563</w:t>
            </w:r>
          </w:p>
        </w:tc>
        <w:tc>
          <w:tcPr>
            <w:tcW w:w="0" w:type="auto"/>
          </w:tcPr>
          <w:p w14:paraId="5574075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77.06</w:t>
            </w:r>
          </w:p>
        </w:tc>
        <w:tc>
          <w:tcPr>
            <w:tcW w:w="0" w:type="auto"/>
          </w:tcPr>
          <w:p w14:paraId="5F4A2EC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379</w:t>
            </w:r>
          </w:p>
        </w:tc>
        <w:tc>
          <w:tcPr>
            <w:tcW w:w="0" w:type="auto"/>
          </w:tcPr>
          <w:p w14:paraId="3BF08B03"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11,018,751</w:t>
            </w:r>
          </w:p>
        </w:tc>
      </w:tr>
      <w:tr w:rsidR="0030772E" w:rsidRPr="003626A7" w14:paraId="05A5BEC0" w14:textId="77777777" w:rsidTr="0030772E">
        <w:trPr>
          <w:trHeight w:val="222"/>
        </w:trPr>
        <w:tc>
          <w:tcPr>
            <w:tcW w:w="0" w:type="auto"/>
          </w:tcPr>
          <w:p w14:paraId="457E277A"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FRIJOL</w:t>
            </w:r>
          </w:p>
        </w:tc>
        <w:tc>
          <w:tcPr>
            <w:tcW w:w="0" w:type="auto"/>
          </w:tcPr>
          <w:p w14:paraId="13BD4020"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1,887,177</w:t>
            </w:r>
          </w:p>
        </w:tc>
        <w:tc>
          <w:tcPr>
            <w:tcW w:w="0" w:type="auto"/>
          </w:tcPr>
          <w:p w14:paraId="5E51C61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1,630,225</w:t>
            </w:r>
          </w:p>
        </w:tc>
        <w:tc>
          <w:tcPr>
            <w:tcW w:w="0" w:type="auto"/>
          </w:tcPr>
          <w:p w14:paraId="02286E18"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1,156,257</w:t>
            </w:r>
          </w:p>
        </w:tc>
        <w:tc>
          <w:tcPr>
            <w:tcW w:w="0" w:type="auto"/>
          </w:tcPr>
          <w:p w14:paraId="6414421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0.71</w:t>
            </w:r>
          </w:p>
        </w:tc>
        <w:tc>
          <w:tcPr>
            <w:tcW w:w="0" w:type="auto"/>
          </w:tcPr>
          <w:p w14:paraId="783969F7"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8,787</w:t>
            </w:r>
          </w:p>
        </w:tc>
        <w:tc>
          <w:tcPr>
            <w:tcW w:w="0" w:type="auto"/>
          </w:tcPr>
          <w:p w14:paraId="4DA31D3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10,160,359</w:t>
            </w:r>
          </w:p>
        </w:tc>
      </w:tr>
      <w:tr w:rsidR="0030772E" w:rsidRPr="003626A7" w14:paraId="3E9558CA" w14:textId="77777777" w:rsidTr="0030772E">
        <w:trPr>
          <w:trHeight w:val="222"/>
        </w:trPr>
        <w:tc>
          <w:tcPr>
            <w:tcW w:w="0" w:type="auto"/>
          </w:tcPr>
          <w:p w14:paraId="42937C74"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TRIGO GRANO</w:t>
            </w:r>
          </w:p>
        </w:tc>
        <w:tc>
          <w:tcPr>
            <w:tcW w:w="0" w:type="auto"/>
          </w:tcPr>
          <w:p w14:paraId="2F1A4A87"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700,585</w:t>
            </w:r>
          </w:p>
        </w:tc>
        <w:tc>
          <w:tcPr>
            <w:tcW w:w="0" w:type="auto"/>
          </w:tcPr>
          <w:p w14:paraId="1EA9F576"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678,553</w:t>
            </w:r>
          </w:p>
        </w:tc>
        <w:tc>
          <w:tcPr>
            <w:tcW w:w="0" w:type="auto"/>
          </w:tcPr>
          <w:p w14:paraId="793A703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3,676,708</w:t>
            </w:r>
          </w:p>
        </w:tc>
        <w:tc>
          <w:tcPr>
            <w:tcW w:w="0" w:type="auto"/>
          </w:tcPr>
          <w:p w14:paraId="51F0626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5.42</w:t>
            </w:r>
          </w:p>
        </w:tc>
        <w:tc>
          <w:tcPr>
            <w:tcW w:w="0" w:type="auto"/>
          </w:tcPr>
          <w:p w14:paraId="0DFBAA5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2,695</w:t>
            </w:r>
          </w:p>
        </w:tc>
        <w:tc>
          <w:tcPr>
            <w:tcW w:w="0" w:type="auto"/>
          </w:tcPr>
          <w:p w14:paraId="0AC18EF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9,909,418</w:t>
            </w:r>
          </w:p>
        </w:tc>
      </w:tr>
      <w:tr w:rsidR="0030772E" w:rsidRPr="003626A7" w14:paraId="67EE07E3" w14:textId="77777777" w:rsidTr="0030772E">
        <w:trPr>
          <w:trHeight w:val="222"/>
        </w:trPr>
        <w:tc>
          <w:tcPr>
            <w:tcW w:w="0" w:type="auto"/>
          </w:tcPr>
          <w:p w14:paraId="027C21CA"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CAFE CEREZA</w:t>
            </w:r>
          </w:p>
        </w:tc>
        <w:tc>
          <w:tcPr>
            <w:tcW w:w="0" w:type="auto"/>
          </w:tcPr>
          <w:p w14:paraId="6F290524"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781,016</w:t>
            </w:r>
          </w:p>
        </w:tc>
        <w:tc>
          <w:tcPr>
            <w:tcW w:w="0" w:type="auto"/>
          </w:tcPr>
          <w:p w14:paraId="13B73037"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741,411</w:t>
            </w:r>
          </w:p>
        </w:tc>
        <w:tc>
          <w:tcPr>
            <w:tcW w:w="0" w:type="auto"/>
          </w:tcPr>
          <w:p w14:paraId="75C17B6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1,332,263</w:t>
            </w:r>
          </w:p>
        </w:tc>
        <w:tc>
          <w:tcPr>
            <w:tcW w:w="0" w:type="auto"/>
          </w:tcPr>
          <w:p w14:paraId="1AA72A6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1.80</w:t>
            </w:r>
          </w:p>
        </w:tc>
        <w:tc>
          <w:tcPr>
            <w:tcW w:w="0" w:type="auto"/>
          </w:tcPr>
          <w:p w14:paraId="1A1390E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4,299</w:t>
            </w:r>
          </w:p>
        </w:tc>
        <w:tc>
          <w:tcPr>
            <w:tcW w:w="0" w:type="auto"/>
          </w:tcPr>
          <w:p w14:paraId="7BAAF10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5,727,519</w:t>
            </w:r>
          </w:p>
        </w:tc>
      </w:tr>
      <w:tr w:rsidR="0030772E" w:rsidRPr="003626A7" w14:paraId="3AF9D6CE" w14:textId="77777777" w:rsidTr="0030772E">
        <w:trPr>
          <w:trHeight w:val="222"/>
        </w:trPr>
        <w:tc>
          <w:tcPr>
            <w:tcW w:w="0" w:type="auto"/>
          </w:tcPr>
          <w:p w14:paraId="31B18807"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LIMON</w:t>
            </w:r>
          </w:p>
        </w:tc>
        <w:tc>
          <w:tcPr>
            <w:tcW w:w="0" w:type="auto"/>
          </w:tcPr>
          <w:p w14:paraId="02BC31F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153,443</w:t>
            </w:r>
          </w:p>
        </w:tc>
        <w:tc>
          <w:tcPr>
            <w:tcW w:w="0" w:type="auto"/>
          </w:tcPr>
          <w:p w14:paraId="08D6684B"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143,869</w:t>
            </w:r>
          </w:p>
        </w:tc>
        <w:tc>
          <w:tcPr>
            <w:tcW w:w="0" w:type="auto"/>
          </w:tcPr>
          <w:p w14:paraId="246BAD43"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1,891,403</w:t>
            </w:r>
          </w:p>
        </w:tc>
        <w:tc>
          <w:tcPr>
            <w:tcW w:w="0" w:type="auto"/>
          </w:tcPr>
          <w:p w14:paraId="51E2ADA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13.15</w:t>
            </w:r>
          </w:p>
        </w:tc>
        <w:tc>
          <w:tcPr>
            <w:tcW w:w="0" w:type="auto"/>
          </w:tcPr>
          <w:p w14:paraId="002CFE2F"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2,875</w:t>
            </w:r>
          </w:p>
        </w:tc>
        <w:tc>
          <w:tcPr>
            <w:tcW w:w="0" w:type="auto"/>
          </w:tcPr>
          <w:p w14:paraId="591FFB5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5,437,093</w:t>
            </w:r>
          </w:p>
        </w:tc>
      </w:tr>
      <w:tr w:rsidR="0030772E" w:rsidRPr="003626A7" w14:paraId="23F96BF0" w14:textId="77777777" w:rsidTr="0030772E">
        <w:trPr>
          <w:trHeight w:val="222"/>
        </w:trPr>
        <w:tc>
          <w:tcPr>
            <w:tcW w:w="0" w:type="auto"/>
          </w:tcPr>
          <w:p w14:paraId="1DB2666B"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CEBOLLA</w:t>
            </w:r>
          </w:p>
        </w:tc>
        <w:tc>
          <w:tcPr>
            <w:tcW w:w="0" w:type="auto"/>
          </w:tcPr>
          <w:p w14:paraId="600FD89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45,126</w:t>
            </w:r>
          </w:p>
        </w:tc>
        <w:tc>
          <w:tcPr>
            <w:tcW w:w="0" w:type="auto"/>
          </w:tcPr>
          <w:p w14:paraId="5AF4B16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44,836</w:t>
            </w:r>
          </w:p>
        </w:tc>
        <w:tc>
          <w:tcPr>
            <w:tcW w:w="0" w:type="auto"/>
          </w:tcPr>
          <w:p w14:paraId="7847B8F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1,266,165</w:t>
            </w:r>
          </w:p>
        </w:tc>
        <w:tc>
          <w:tcPr>
            <w:tcW w:w="0" w:type="auto"/>
          </w:tcPr>
          <w:p w14:paraId="72903DD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28.24</w:t>
            </w:r>
          </w:p>
        </w:tc>
        <w:tc>
          <w:tcPr>
            <w:tcW w:w="0" w:type="auto"/>
          </w:tcPr>
          <w:p w14:paraId="22A2289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4,181</w:t>
            </w:r>
          </w:p>
        </w:tc>
        <w:tc>
          <w:tcPr>
            <w:tcW w:w="0" w:type="auto"/>
          </w:tcPr>
          <w:p w14:paraId="41FD0D70"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5,294,014</w:t>
            </w:r>
          </w:p>
        </w:tc>
      </w:tr>
      <w:tr w:rsidR="0030772E" w:rsidRPr="003626A7" w14:paraId="7F6BF99F" w14:textId="77777777" w:rsidTr="0030772E">
        <w:trPr>
          <w:trHeight w:val="221"/>
        </w:trPr>
        <w:tc>
          <w:tcPr>
            <w:tcW w:w="0" w:type="auto"/>
          </w:tcPr>
          <w:p w14:paraId="32AE9F65"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NARANJA</w:t>
            </w:r>
          </w:p>
        </w:tc>
        <w:tc>
          <w:tcPr>
            <w:tcW w:w="0" w:type="auto"/>
          </w:tcPr>
          <w:p w14:paraId="7025AAE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339,389</w:t>
            </w:r>
          </w:p>
        </w:tc>
        <w:tc>
          <w:tcPr>
            <w:tcW w:w="0" w:type="auto"/>
          </w:tcPr>
          <w:p w14:paraId="701B19A4"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334,573</w:t>
            </w:r>
          </w:p>
        </w:tc>
        <w:tc>
          <w:tcPr>
            <w:tcW w:w="0" w:type="auto"/>
          </w:tcPr>
          <w:p w14:paraId="5AB396C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4,051,632</w:t>
            </w:r>
          </w:p>
        </w:tc>
        <w:tc>
          <w:tcPr>
            <w:tcW w:w="0" w:type="auto"/>
          </w:tcPr>
          <w:p w14:paraId="36ACF17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12.11</w:t>
            </w:r>
          </w:p>
        </w:tc>
        <w:tc>
          <w:tcPr>
            <w:tcW w:w="0" w:type="auto"/>
          </w:tcPr>
          <w:p w14:paraId="23B7540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1,204</w:t>
            </w:r>
          </w:p>
        </w:tc>
        <w:tc>
          <w:tcPr>
            <w:tcW w:w="0" w:type="auto"/>
          </w:tcPr>
          <w:p w14:paraId="4B1F00B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4,876,988</w:t>
            </w:r>
          </w:p>
        </w:tc>
      </w:tr>
      <w:tr w:rsidR="0030772E" w:rsidRPr="003626A7" w14:paraId="7AD7FA7F" w14:textId="77777777" w:rsidTr="0030772E">
        <w:trPr>
          <w:trHeight w:val="222"/>
        </w:trPr>
        <w:tc>
          <w:tcPr>
            <w:tcW w:w="0" w:type="auto"/>
          </w:tcPr>
          <w:p w14:paraId="6C5433FB"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PLATANO</w:t>
            </w:r>
          </w:p>
        </w:tc>
        <w:tc>
          <w:tcPr>
            <w:tcW w:w="0" w:type="auto"/>
          </w:tcPr>
          <w:p w14:paraId="755B21B0"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78,130</w:t>
            </w:r>
          </w:p>
        </w:tc>
        <w:tc>
          <w:tcPr>
            <w:tcW w:w="0" w:type="auto"/>
          </w:tcPr>
          <w:p w14:paraId="4428405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76,927</w:t>
            </w:r>
          </w:p>
        </w:tc>
        <w:tc>
          <w:tcPr>
            <w:tcW w:w="0" w:type="auto"/>
          </w:tcPr>
          <w:p w14:paraId="573A317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2,103,362</w:t>
            </w:r>
          </w:p>
        </w:tc>
        <w:tc>
          <w:tcPr>
            <w:tcW w:w="0" w:type="auto"/>
          </w:tcPr>
          <w:p w14:paraId="6E894BF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27.34</w:t>
            </w:r>
          </w:p>
        </w:tc>
        <w:tc>
          <w:tcPr>
            <w:tcW w:w="0" w:type="auto"/>
          </w:tcPr>
          <w:p w14:paraId="2435495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2,276</w:t>
            </w:r>
          </w:p>
        </w:tc>
        <w:tc>
          <w:tcPr>
            <w:tcW w:w="0" w:type="auto"/>
          </w:tcPr>
          <w:p w14:paraId="2B4B17A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4,787,969</w:t>
            </w:r>
          </w:p>
        </w:tc>
      </w:tr>
      <w:tr w:rsidR="0030772E" w:rsidRPr="003626A7" w14:paraId="47DFCA5F" w14:textId="77777777" w:rsidTr="0030772E">
        <w:trPr>
          <w:trHeight w:val="222"/>
        </w:trPr>
        <w:tc>
          <w:tcPr>
            <w:tcW w:w="0" w:type="auto"/>
          </w:tcPr>
          <w:p w14:paraId="4AB1D23F"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MAIZ FORRAJERO</w:t>
            </w:r>
          </w:p>
        </w:tc>
        <w:tc>
          <w:tcPr>
            <w:tcW w:w="0" w:type="auto"/>
          </w:tcPr>
          <w:p w14:paraId="22DB9B52"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535,621</w:t>
            </w:r>
          </w:p>
        </w:tc>
        <w:tc>
          <w:tcPr>
            <w:tcW w:w="0" w:type="auto"/>
          </w:tcPr>
          <w:p w14:paraId="5DE269D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493,224</w:t>
            </w:r>
          </w:p>
        </w:tc>
        <w:tc>
          <w:tcPr>
            <w:tcW w:w="0" w:type="auto"/>
          </w:tcPr>
          <w:p w14:paraId="52040B4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11,778,484</w:t>
            </w:r>
          </w:p>
        </w:tc>
        <w:tc>
          <w:tcPr>
            <w:tcW w:w="0" w:type="auto"/>
          </w:tcPr>
          <w:p w14:paraId="0032051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23.88</w:t>
            </w:r>
          </w:p>
        </w:tc>
        <w:tc>
          <w:tcPr>
            <w:tcW w:w="0" w:type="auto"/>
          </w:tcPr>
          <w:p w14:paraId="19F99906"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388</w:t>
            </w:r>
          </w:p>
        </w:tc>
        <w:tc>
          <w:tcPr>
            <w:tcW w:w="0" w:type="auto"/>
          </w:tcPr>
          <w:p w14:paraId="17703CF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4,572,094</w:t>
            </w:r>
          </w:p>
        </w:tc>
      </w:tr>
      <w:tr w:rsidR="0030772E" w:rsidRPr="003626A7" w14:paraId="4A8EFE30" w14:textId="77777777" w:rsidTr="0030772E">
        <w:trPr>
          <w:trHeight w:val="222"/>
        </w:trPr>
        <w:tc>
          <w:tcPr>
            <w:tcW w:w="0" w:type="auto"/>
          </w:tcPr>
          <w:p w14:paraId="6F636719"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MANGO</w:t>
            </w:r>
          </w:p>
        </w:tc>
        <w:tc>
          <w:tcPr>
            <w:tcW w:w="0" w:type="auto"/>
          </w:tcPr>
          <w:p w14:paraId="53770C2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183,108</w:t>
            </w:r>
          </w:p>
        </w:tc>
        <w:tc>
          <w:tcPr>
            <w:tcW w:w="0" w:type="auto"/>
          </w:tcPr>
          <w:p w14:paraId="191A7842"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174,970</w:t>
            </w:r>
          </w:p>
        </w:tc>
        <w:tc>
          <w:tcPr>
            <w:tcW w:w="0" w:type="auto"/>
          </w:tcPr>
          <w:p w14:paraId="27843D04"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1,632,649</w:t>
            </w:r>
          </w:p>
        </w:tc>
        <w:tc>
          <w:tcPr>
            <w:tcW w:w="0" w:type="auto"/>
          </w:tcPr>
          <w:p w14:paraId="17258F68"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9.33</w:t>
            </w:r>
          </w:p>
        </w:tc>
        <w:tc>
          <w:tcPr>
            <w:tcW w:w="0" w:type="auto"/>
          </w:tcPr>
          <w:p w14:paraId="16FB512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2,663</w:t>
            </w:r>
          </w:p>
        </w:tc>
        <w:tc>
          <w:tcPr>
            <w:tcW w:w="0" w:type="auto"/>
          </w:tcPr>
          <w:p w14:paraId="42657D9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4,347,698</w:t>
            </w:r>
          </w:p>
        </w:tc>
      </w:tr>
      <w:tr w:rsidR="0030772E" w:rsidRPr="003626A7" w14:paraId="7207A89E" w14:textId="77777777" w:rsidTr="0030772E">
        <w:trPr>
          <w:trHeight w:val="222"/>
        </w:trPr>
        <w:tc>
          <w:tcPr>
            <w:tcW w:w="0" w:type="auto"/>
          </w:tcPr>
          <w:p w14:paraId="6ABA6175"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UVA</w:t>
            </w:r>
          </w:p>
        </w:tc>
        <w:tc>
          <w:tcPr>
            <w:tcW w:w="0" w:type="auto"/>
          </w:tcPr>
          <w:p w14:paraId="0B39C68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27,684</w:t>
            </w:r>
          </w:p>
        </w:tc>
        <w:tc>
          <w:tcPr>
            <w:tcW w:w="0" w:type="auto"/>
          </w:tcPr>
          <w:p w14:paraId="4282210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27,104</w:t>
            </w:r>
          </w:p>
        </w:tc>
        <w:tc>
          <w:tcPr>
            <w:tcW w:w="0" w:type="auto"/>
          </w:tcPr>
          <w:p w14:paraId="1538F5C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307,147</w:t>
            </w:r>
          </w:p>
        </w:tc>
        <w:tc>
          <w:tcPr>
            <w:tcW w:w="0" w:type="auto"/>
          </w:tcPr>
          <w:p w14:paraId="4539F25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11.33</w:t>
            </w:r>
          </w:p>
        </w:tc>
        <w:tc>
          <w:tcPr>
            <w:tcW w:w="0" w:type="auto"/>
          </w:tcPr>
          <w:p w14:paraId="5B13CB86"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13,741</w:t>
            </w:r>
          </w:p>
        </w:tc>
        <w:tc>
          <w:tcPr>
            <w:tcW w:w="0" w:type="auto"/>
          </w:tcPr>
          <w:p w14:paraId="2173C98B"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4,220,365</w:t>
            </w:r>
          </w:p>
        </w:tc>
      </w:tr>
      <w:tr w:rsidR="0030772E" w:rsidRPr="003626A7" w14:paraId="538B2F50" w14:textId="77777777" w:rsidTr="0030772E">
        <w:trPr>
          <w:trHeight w:val="222"/>
        </w:trPr>
        <w:tc>
          <w:tcPr>
            <w:tcW w:w="0" w:type="auto"/>
          </w:tcPr>
          <w:p w14:paraId="2ADCAE69"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NUEZ</w:t>
            </w:r>
          </w:p>
        </w:tc>
        <w:tc>
          <w:tcPr>
            <w:tcW w:w="0" w:type="auto"/>
          </w:tcPr>
          <w:p w14:paraId="6F1BB31B"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88,055</w:t>
            </w:r>
          </w:p>
        </w:tc>
        <w:tc>
          <w:tcPr>
            <w:tcW w:w="0" w:type="auto"/>
          </w:tcPr>
          <w:p w14:paraId="14B2FF28"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69,549</w:t>
            </w:r>
          </w:p>
        </w:tc>
        <w:tc>
          <w:tcPr>
            <w:tcW w:w="0" w:type="auto"/>
          </w:tcPr>
          <w:p w14:paraId="31F36E2F"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76,627</w:t>
            </w:r>
          </w:p>
        </w:tc>
        <w:tc>
          <w:tcPr>
            <w:tcW w:w="0" w:type="auto"/>
          </w:tcPr>
          <w:p w14:paraId="62D6D3F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1.10</w:t>
            </w:r>
          </w:p>
        </w:tc>
        <w:tc>
          <w:tcPr>
            <w:tcW w:w="0" w:type="auto"/>
          </w:tcPr>
          <w:p w14:paraId="668DC0B4"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53,722</w:t>
            </w:r>
          </w:p>
        </w:tc>
        <w:tc>
          <w:tcPr>
            <w:tcW w:w="0" w:type="auto"/>
          </w:tcPr>
          <w:p w14:paraId="6726B8C4"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4,116,578</w:t>
            </w:r>
          </w:p>
        </w:tc>
      </w:tr>
      <w:tr w:rsidR="0030772E" w:rsidRPr="003626A7" w14:paraId="5FDF1E51" w14:textId="77777777" w:rsidTr="0030772E">
        <w:trPr>
          <w:trHeight w:val="221"/>
        </w:trPr>
        <w:tc>
          <w:tcPr>
            <w:tcW w:w="0" w:type="auto"/>
          </w:tcPr>
          <w:p w14:paraId="1DA2F06C"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ALGODON HUESO</w:t>
            </w:r>
          </w:p>
        </w:tc>
        <w:tc>
          <w:tcPr>
            <w:tcW w:w="0" w:type="auto"/>
          </w:tcPr>
          <w:p w14:paraId="0EEE2957"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120,118</w:t>
            </w:r>
          </w:p>
        </w:tc>
        <w:tc>
          <w:tcPr>
            <w:tcW w:w="0" w:type="auto"/>
          </w:tcPr>
          <w:p w14:paraId="61B4BABB"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112,937</w:t>
            </w:r>
          </w:p>
        </w:tc>
        <w:tc>
          <w:tcPr>
            <w:tcW w:w="0" w:type="auto"/>
          </w:tcPr>
          <w:p w14:paraId="6D6C86C0"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440,489</w:t>
            </w:r>
          </w:p>
        </w:tc>
        <w:tc>
          <w:tcPr>
            <w:tcW w:w="0" w:type="auto"/>
          </w:tcPr>
          <w:p w14:paraId="777A6663"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3.90</w:t>
            </w:r>
          </w:p>
        </w:tc>
        <w:tc>
          <w:tcPr>
            <w:tcW w:w="0" w:type="auto"/>
          </w:tcPr>
          <w:p w14:paraId="2DB6E0DF"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9,305</w:t>
            </w:r>
          </w:p>
        </w:tc>
        <w:tc>
          <w:tcPr>
            <w:tcW w:w="0" w:type="auto"/>
          </w:tcPr>
          <w:p w14:paraId="5BDD9D0F"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4,098,734</w:t>
            </w:r>
          </w:p>
        </w:tc>
      </w:tr>
      <w:tr w:rsidR="0030772E" w:rsidRPr="003626A7" w14:paraId="54CC31AD" w14:textId="77777777" w:rsidTr="0030772E">
        <w:trPr>
          <w:trHeight w:val="222"/>
        </w:trPr>
        <w:tc>
          <w:tcPr>
            <w:tcW w:w="0" w:type="auto"/>
          </w:tcPr>
          <w:p w14:paraId="0D9AE96A"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AVENA FORRAJERA</w:t>
            </w:r>
          </w:p>
        </w:tc>
        <w:tc>
          <w:tcPr>
            <w:tcW w:w="0" w:type="auto"/>
          </w:tcPr>
          <w:p w14:paraId="0AF92EC6"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788,521</w:t>
            </w:r>
          </w:p>
        </w:tc>
        <w:tc>
          <w:tcPr>
            <w:tcW w:w="0" w:type="auto"/>
          </w:tcPr>
          <w:p w14:paraId="14841C4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723,156</w:t>
            </w:r>
          </w:p>
        </w:tc>
        <w:tc>
          <w:tcPr>
            <w:tcW w:w="0" w:type="auto"/>
          </w:tcPr>
          <w:p w14:paraId="2B3E7C8F"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10,014,937</w:t>
            </w:r>
          </w:p>
        </w:tc>
        <w:tc>
          <w:tcPr>
            <w:tcW w:w="0" w:type="auto"/>
          </w:tcPr>
          <w:p w14:paraId="173D317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13.85</w:t>
            </w:r>
          </w:p>
        </w:tc>
        <w:tc>
          <w:tcPr>
            <w:tcW w:w="0" w:type="auto"/>
          </w:tcPr>
          <w:p w14:paraId="219FB94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367</w:t>
            </w:r>
          </w:p>
        </w:tc>
        <w:tc>
          <w:tcPr>
            <w:tcW w:w="0" w:type="auto"/>
          </w:tcPr>
          <w:p w14:paraId="0794068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3,674,328</w:t>
            </w:r>
          </w:p>
        </w:tc>
      </w:tr>
      <w:tr w:rsidR="0030772E" w:rsidRPr="003626A7" w14:paraId="2D61523D" w14:textId="77777777" w:rsidTr="0030772E">
        <w:trPr>
          <w:trHeight w:val="222"/>
        </w:trPr>
        <w:tc>
          <w:tcPr>
            <w:tcW w:w="0" w:type="auto"/>
          </w:tcPr>
          <w:p w14:paraId="389AAD9D"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MANZANA</w:t>
            </w:r>
          </w:p>
        </w:tc>
        <w:tc>
          <w:tcPr>
            <w:tcW w:w="0" w:type="auto"/>
          </w:tcPr>
          <w:p w14:paraId="21032BD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61,220</w:t>
            </w:r>
          </w:p>
        </w:tc>
        <w:tc>
          <w:tcPr>
            <w:tcW w:w="0" w:type="auto"/>
          </w:tcPr>
          <w:p w14:paraId="11B6903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57,743</w:t>
            </w:r>
          </w:p>
        </w:tc>
        <w:tc>
          <w:tcPr>
            <w:tcW w:w="0" w:type="auto"/>
          </w:tcPr>
          <w:p w14:paraId="23C80432"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584,655</w:t>
            </w:r>
          </w:p>
        </w:tc>
        <w:tc>
          <w:tcPr>
            <w:tcW w:w="0" w:type="auto"/>
          </w:tcPr>
          <w:p w14:paraId="4B55C70F"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10.12</w:t>
            </w:r>
          </w:p>
        </w:tc>
        <w:tc>
          <w:tcPr>
            <w:tcW w:w="0" w:type="auto"/>
          </w:tcPr>
          <w:p w14:paraId="34C25C92"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5,564</w:t>
            </w:r>
          </w:p>
        </w:tc>
        <w:tc>
          <w:tcPr>
            <w:tcW w:w="0" w:type="auto"/>
          </w:tcPr>
          <w:p w14:paraId="1F6629E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3,253,066</w:t>
            </w:r>
          </w:p>
        </w:tc>
      </w:tr>
      <w:tr w:rsidR="0030772E" w:rsidRPr="003626A7" w14:paraId="31D7DB8F" w14:textId="77777777" w:rsidTr="0030772E">
        <w:trPr>
          <w:trHeight w:val="222"/>
        </w:trPr>
        <w:tc>
          <w:tcPr>
            <w:tcW w:w="0" w:type="auto"/>
          </w:tcPr>
          <w:p w14:paraId="099CBC2A"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SANDIA</w:t>
            </w:r>
          </w:p>
        </w:tc>
        <w:tc>
          <w:tcPr>
            <w:tcW w:w="0" w:type="auto"/>
          </w:tcPr>
          <w:p w14:paraId="5CEB4E1B"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47,338</w:t>
            </w:r>
          </w:p>
        </w:tc>
        <w:tc>
          <w:tcPr>
            <w:tcW w:w="0" w:type="auto"/>
          </w:tcPr>
          <w:p w14:paraId="4A203A26"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44,040</w:t>
            </w:r>
          </w:p>
        </w:tc>
        <w:tc>
          <w:tcPr>
            <w:tcW w:w="0" w:type="auto"/>
          </w:tcPr>
          <w:p w14:paraId="5163A390"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1,036,795</w:t>
            </w:r>
          </w:p>
        </w:tc>
        <w:tc>
          <w:tcPr>
            <w:tcW w:w="0" w:type="auto"/>
          </w:tcPr>
          <w:p w14:paraId="7686AA6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23.54</w:t>
            </w:r>
          </w:p>
        </w:tc>
        <w:tc>
          <w:tcPr>
            <w:tcW w:w="0" w:type="auto"/>
          </w:tcPr>
          <w:p w14:paraId="2743D1C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2,581</w:t>
            </w:r>
          </w:p>
        </w:tc>
        <w:tc>
          <w:tcPr>
            <w:tcW w:w="0" w:type="auto"/>
          </w:tcPr>
          <w:p w14:paraId="6FD3F7D7"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2,675,758</w:t>
            </w:r>
          </w:p>
        </w:tc>
      </w:tr>
      <w:tr w:rsidR="0030772E" w:rsidRPr="003626A7" w14:paraId="1556F45C" w14:textId="77777777" w:rsidTr="0030772E">
        <w:trPr>
          <w:trHeight w:val="222"/>
        </w:trPr>
        <w:tc>
          <w:tcPr>
            <w:tcW w:w="0" w:type="auto"/>
          </w:tcPr>
          <w:p w14:paraId="410EB884"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PAPAYA</w:t>
            </w:r>
          </w:p>
        </w:tc>
        <w:tc>
          <w:tcPr>
            <w:tcW w:w="0" w:type="auto"/>
          </w:tcPr>
          <w:p w14:paraId="6CC9894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16,228</w:t>
            </w:r>
          </w:p>
        </w:tc>
        <w:tc>
          <w:tcPr>
            <w:tcW w:w="0" w:type="auto"/>
          </w:tcPr>
          <w:p w14:paraId="0AA537A7"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14,181</w:t>
            </w:r>
          </w:p>
        </w:tc>
        <w:tc>
          <w:tcPr>
            <w:tcW w:w="0" w:type="auto"/>
          </w:tcPr>
          <w:p w14:paraId="7F54ABB3"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616,215</w:t>
            </w:r>
          </w:p>
        </w:tc>
        <w:tc>
          <w:tcPr>
            <w:tcW w:w="0" w:type="auto"/>
          </w:tcPr>
          <w:p w14:paraId="6E4BEE68"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43.46</w:t>
            </w:r>
          </w:p>
        </w:tc>
        <w:tc>
          <w:tcPr>
            <w:tcW w:w="0" w:type="auto"/>
          </w:tcPr>
          <w:p w14:paraId="7205F9B3"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4,248</w:t>
            </w:r>
          </w:p>
        </w:tc>
        <w:tc>
          <w:tcPr>
            <w:tcW w:w="0" w:type="auto"/>
          </w:tcPr>
          <w:p w14:paraId="6A4933D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2,617,933</w:t>
            </w:r>
          </w:p>
        </w:tc>
      </w:tr>
      <w:tr w:rsidR="0030772E" w:rsidRPr="003626A7" w14:paraId="7F6645F8" w14:textId="77777777" w:rsidTr="0030772E">
        <w:trPr>
          <w:trHeight w:val="222"/>
        </w:trPr>
        <w:tc>
          <w:tcPr>
            <w:tcW w:w="0" w:type="auto"/>
          </w:tcPr>
          <w:p w14:paraId="43E92FCF"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TOMATE VERDE</w:t>
            </w:r>
          </w:p>
        </w:tc>
        <w:tc>
          <w:tcPr>
            <w:tcW w:w="0" w:type="auto"/>
          </w:tcPr>
          <w:p w14:paraId="63DBEF7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48,475</w:t>
            </w:r>
          </w:p>
        </w:tc>
        <w:tc>
          <w:tcPr>
            <w:tcW w:w="0" w:type="auto"/>
          </w:tcPr>
          <w:p w14:paraId="077F7FB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46,197</w:t>
            </w:r>
          </w:p>
        </w:tc>
        <w:tc>
          <w:tcPr>
            <w:tcW w:w="0" w:type="auto"/>
          </w:tcPr>
          <w:p w14:paraId="4152E87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719,849</w:t>
            </w:r>
          </w:p>
        </w:tc>
        <w:tc>
          <w:tcPr>
            <w:tcW w:w="0" w:type="auto"/>
          </w:tcPr>
          <w:p w14:paraId="24AC1EE7"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15.58</w:t>
            </w:r>
          </w:p>
        </w:tc>
        <w:tc>
          <w:tcPr>
            <w:tcW w:w="0" w:type="auto"/>
          </w:tcPr>
          <w:p w14:paraId="7A2A5450"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3,518</w:t>
            </w:r>
          </w:p>
        </w:tc>
        <w:tc>
          <w:tcPr>
            <w:tcW w:w="0" w:type="auto"/>
          </w:tcPr>
          <w:p w14:paraId="44F17D72"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2,532,464</w:t>
            </w:r>
          </w:p>
        </w:tc>
      </w:tr>
      <w:tr w:rsidR="0030772E" w:rsidRPr="003626A7" w14:paraId="43AA55A0" w14:textId="77777777" w:rsidTr="0030772E">
        <w:trPr>
          <w:trHeight w:val="222"/>
        </w:trPr>
        <w:tc>
          <w:tcPr>
            <w:tcW w:w="0" w:type="auto"/>
          </w:tcPr>
          <w:p w14:paraId="119726D8"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ESPARRAGO</w:t>
            </w:r>
          </w:p>
        </w:tc>
        <w:tc>
          <w:tcPr>
            <w:tcW w:w="0" w:type="auto"/>
          </w:tcPr>
          <w:p w14:paraId="6EB9E7BC"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13,240</w:t>
            </w:r>
          </w:p>
        </w:tc>
        <w:tc>
          <w:tcPr>
            <w:tcW w:w="0" w:type="auto"/>
          </w:tcPr>
          <w:p w14:paraId="6CFC0B22"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12,858</w:t>
            </w:r>
          </w:p>
        </w:tc>
        <w:tc>
          <w:tcPr>
            <w:tcW w:w="0" w:type="auto"/>
          </w:tcPr>
          <w:p w14:paraId="1C4410A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74,660</w:t>
            </w:r>
          </w:p>
        </w:tc>
        <w:tc>
          <w:tcPr>
            <w:tcW w:w="0" w:type="auto"/>
          </w:tcPr>
          <w:p w14:paraId="7A40003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5.81</w:t>
            </w:r>
          </w:p>
        </w:tc>
        <w:tc>
          <w:tcPr>
            <w:tcW w:w="0" w:type="auto"/>
          </w:tcPr>
          <w:p w14:paraId="0455B34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32,306</w:t>
            </w:r>
          </w:p>
        </w:tc>
        <w:tc>
          <w:tcPr>
            <w:tcW w:w="0" w:type="auto"/>
          </w:tcPr>
          <w:p w14:paraId="66CC38C2"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2,411,943</w:t>
            </w:r>
          </w:p>
        </w:tc>
      </w:tr>
      <w:tr w:rsidR="0030772E" w:rsidRPr="003626A7" w14:paraId="30C06EAA" w14:textId="77777777" w:rsidTr="0030772E">
        <w:trPr>
          <w:trHeight w:val="222"/>
        </w:trPr>
        <w:tc>
          <w:tcPr>
            <w:tcW w:w="0" w:type="auto"/>
          </w:tcPr>
          <w:p w14:paraId="78A3AB38"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FRESA</w:t>
            </w:r>
          </w:p>
        </w:tc>
        <w:tc>
          <w:tcPr>
            <w:tcW w:w="0" w:type="auto"/>
          </w:tcPr>
          <w:p w14:paraId="39EC8A37"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6,555</w:t>
            </w:r>
          </w:p>
        </w:tc>
        <w:tc>
          <w:tcPr>
            <w:tcW w:w="0" w:type="auto"/>
          </w:tcPr>
          <w:p w14:paraId="427F3805"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6,282</w:t>
            </w:r>
          </w:p>
        </w:tc>
        <w:tc>
          <w:tcPr>
            <w:tcW w:w="0" w:type="auto"/>
          </w:tcPr>
          <w:p w14:paraId="2595021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226,657</w:t>
            </w:r>
          </w:p>
        </w:tc>
        <w:tc>
          <w:tcPr>
            <w:tcW w:w="0" w:type="auto"/>
          </w:tcPr>
          <w:p w14:paraId="607D0F6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36.08</w:t>
            </w:r>
          </w:p>
        </w:tc>
        <w:tc>
          <w:tcPr>
            <w:tcW w:w="0" w:type="auto"/>
          </w:tcPr>
          <w:p w14:paraId="38C3E7D6"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9,277</w:t>
            </w:r>
          </w:p>
        </w:tc>
        <w:tc>
          <w:tcPr>
            <w:tcW w:w="0" w:type="auto"/>
          </w:tcPr>
          <w:p w14:paraId="4EA1D04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2,102,678</w:t>
            </w:r>
          </w:p>
        </w:tc>
      </w:tr>
      <w:tr w:rsidR="0030772E" w:rsidRPr="003626A7" w14:paraId="29DAE563" w14:textId="77777777" w:rsidTr="0030772E">
        <w:trPr>
          <w:trHeight w:val="222"/>
        </w:trPr>
        <w:tc>
          <w:tcPr>
            <w:tcW w:w="0" w:type="auto"/>
          </w:tcPr>
          <w:p w14:paraId="61624A0B"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CEBADA GRANO</w:t>
            </w:r>
          </w:p>
        </w:tc>
        <w:tc>
          <w:tcPr>
            <w:tcW w:w="0" w:type="auto"/>
          </w:tcPr>
          <w:p w14:paraId="12BF837B"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308,998</w:t>
            </w:r>
          </w:p>
        </w:tc>
        <w:tc>
          <w:tcPr>
            <w:tcW w:w="0" w:type="auto"/>
          </w:tcPr>
          <w:p w14:paraId="5823C658"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267,668</w:t>
            </w:r>
          </w:p>
        </w:tc>
        <w:tc>
          <w:tcPr>
            <w:tcW w:w="0" w:type="auto"/>
          </w:tcPr>
          <w:p w14:paraId="6F7D14C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672,367</w:t>
            </w:r>
          </w:p>
        </w:tc>
        <w:tc>
          <w:tcPr>
            <w:tcW w:w="0" w:type="auto"/>
          </w:tcPr>
          <w:p w14:paraId="2C93FFD3"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2.51</w:t>
            </w:r>
          </w:p>
        </w:tc>
        <w:tc>
          <w:tcPr>
            <w:tcW w:w="0" w:type="auto"/>
          </w:tcPr>
          <w:p w14:paraId="44CA052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3,116</w:t>
            </w:r>
          </w:p>
        </w:tc>
        <w:tc>
          <w:tcPr>
            <w:tcW w:w="0" w:type="auto"/>
          </w:tcPr>
          <w:p w14:paraId="1534E8FD"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2,094,885</w:t>
            </w:r>
          </w:p>
        </w:tc>
      </w:tr>
      <w:tr w:rsidR="0030772E" w:rsidRPr="003626A7" w14:paraId="2EAB8FB0" w14:textId="77777777" w:rsidTr="0030772E">
        <w:trPr>
          <w:trHeight w:val="222"/>
        </w:trPr>
        <w:tc>
          <w:tcPr>
            <w:tcW w:w="0" w:type="auto"/>
          </w:tcPr>
          <w:p w14:paraId="4D9ED8A3"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SORGO FORRAJERO VERDE</w:t>
            </w:r>
          </w:p>
        </w:tc>
        <w:tc>
          <w:tcPr>
            <w:tcW w:w="0" w:type="auto"/>
          </w:tcPr>
          <w:p w14:paraId="61E9BE9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215,618</w:t>
            </w:r>
          </w:p>
        </w:tc>
        <w:tc>
          <w:tcPr>
            <w:tcW w:w="0" w:type="auto"/>
          </w:tcPr>
          <w:p w14:paraId="5F420E88"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210,571</w:t>
            </w:r>
          </w:p>
        </w:tc>
        <w:tc>
          <w:tcPr>
            <w:tcW w:w="0" w:type="auto"/>
          </w:tcPr>
          <w:p w14:paraId="04346987"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4,620,517</w:t>
            </w:r>
          </w:p>
        </w:tc>
        <w:tc>
          <w:tcPr>
            <w:tcW w:w="0" w:type="auto"/>
          </w:tcPr>
          <w:p w14:paraId="69C105A8"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21.94</w:t>
            </w:r>
          </w:p>
        </w:tc>
        <w:tc>
          <w:tcPr>
            <w:tcW w:w="0" w:type="auto"/>
          </w:tcPr>
          <w:p w14:paraId="2D02DEE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440</w:t>
            </w:r>
          </w:p>
        </w:tc>
        <w:tc>
          <w:tcPr>
            <w:tcW w:w="0" w:type="auto"/>
          </w:tcPr>
          <w:p w14:paraId="622E8B86"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2,030,966</w:t>
            </w:r>
          </w:p>
        </w:tc>
      </w:tr>
      <w:tr w:rsidR="0030772E" w:rsidRPr="003626A7" w14:paraId="5C8604A9" w14:textId="77777777" w:rsidTr="0030772E">
        <w:trPr>
          <w:trHeight w:val="222"/>
        </w:trPr>
        <w:tc>
          <w:tcPr>
            <w:tcW w:w="0" w:type="auto"/>
          </w:tcPr>
          <w:p w14:paraId="06B41E05" w14:textId="77777777"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PEPINO</w:t>
            </w:r>
          </w:p>
        </w:tc>
        <w:tc>
          <w:tcPr>
            <w:tcW w:w="0" w:type="auto"/>
          </w:tcPr>
          <w:p w14:paraId="46F0597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16,518</w:t>
            </w:r>
          </w:p>
        </w:tc>
        <w:tc>
          <w:tcPr>
            <w:tcW w:w="0" w:type="auto"/>
          </w:tcPr>
          <w:p w14:paraId="0DA423A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15,653</w:t>
            </w:r>
          </w:p>
        </w:tc>
        <w:tc>
          <w:tcPr>
            <w:tcW w:w="0" w:type="auto"/>
          </w:tcPr>
          <w:p w14:paraId="6CF8DB8A"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477,366</w:t>
            </w:r>
          </w:p>
        </w:tc>
        <w:tc>
          <w:tcPr>
            <w:tcW w:w="0" w:type="auto"/>
          </w:tcPr>
          <w:p w14:paraId="220B3279"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30.50</w:t>
            </w:r>
          </w:p>
        </w:tc>
        <w:tc>
          <w:tcPr>
            <w:tcW w:w="0" w:type="auto"/>
          </w:tcPr>
          <w:p w14:paraId="229C10D1"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4,211</w:t>
            </w:r>
          </w:p>
        </w:tc>
        <w:tc>
          <w:tcPr>
            <w:tcW w:w="0" w:type="auto"/>
          </w:tcPr>
          <w:p w14:paraId="583DF8FE" w14:textId="77777777"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2,010,132</w:t>
            </w:r>
          </w:p>
        </w:tc>
      </w:tr>
    </w:tbl>
    <w:p w14:paraId="3498AEED" w14:textId="2E60AF24" w:rsidR="00C2080B" w:rsidRPr="007923C2" w:rsidRDefault="00C2080B" w:rsidP="00C2080B">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733504" behindDoc="1" locked="0" layoutInCell="0" allowOverlap="1" wp14:anchorId="6EAC7D68" wp14:editId="6A53F8FD">
            <wp:simplePos x="0" y="0"/>
            <wp:positionH relativeFrom="column">
              <wp:posOffset>6217920</wp:posOffset>
            </wp:positionH>
            <wp:positionV relativeFrom="paragraph">
              <wp:posOffset>-5071745</wp:posOffset>
            </wp:positionV>
            <wp:extent cx="0" cy="635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34528" behindDoc="1" locked="0" layoutInCell="0" allowOverlap="1" wp14:anchorId="3283E5A4" wp14:editId="090D955B">
            <wp:simplePos x="0" y="0"/>
            <wp:positionH relativeFrom="column">
              <wp:posOffset>6217920</wp:posOffset>
            </wp:positionH>
            <wp:positionV relativeFrom="paragraph">
              <wp:posOffset>-4918710</wp:posOffset>
            </wp:positionV>
            <wp:extent cx="0" cy="635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35552" behindDoc="1" locked="0" layoutInCell="0" allowOverlap="1" wp14:anchorId="69277030" wp14:editId="2907E11E">
            <wp:simplePos x="0" y="0"/>
            <wp:positionH relativeFrom="column">
              <wp:posOffset>6217920</wp:posOffset>
            </wp:positionH>
            <wp:positionV relativeFrom="paragraph">
              <wp:posOffset>-4765040</wp:posOffset>
            </wp:positionV>
            <wp:extent cx="0" cy="635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36576" behindDoc="1" locked="0" layoutInCell="0" allowOverlap="1" wp14:anchorId="2E540328" wp14:editId="6809E567">
            <wp:simplePos x="0" y="0"/>
            <wp:positionH relativeFrom="column">
              <wp:posOffset>6217920</wp:posOffset>
            </wp:positionH>
            <wp:positionV relativeFrom="paragraph">
              <wp:posOffset>-4611370</wp:posOffset>
            </wp:positionV>
            <wp:extent cx="0" cy="6350"/>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37600" behindDoc="1" locked="0" layoutInCell="0" allowOverlap="1" wp14:anchorId="5EB29262" wp14:editId="03A69E02">
            <wp:simplePos x="0" y="0"/>
            <wp:positionH relativeFrom="column">
              <wp:posOffset>6217920</wp:posOffset>
            </wp:positionH>
            <wp:positionV relativeFrom="paragraph">
              <wp:posOffset>-4458335</wp:posOffset>
            </wp:positionV>
            <wp:extent cx="0" cy="635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38624" behindDoc="1" locked="0" layoutInCell="0" allowOverlap="1" wp14:anchorId="2A08757D" wp14:editId="2190102F">
            <wp:simplePos x="0" y="0"/>
            <wp:positionH relativeFrom="column">
              <wp:posOffset>6217920</wp:posOffset>
            </wp:positionH>
            <wp:positionV relativeFrom="paragraph">
              <wp:posOffset>-4304665</wp:posOffset>
            </wp:positionV>
            <wp:extent cx="0" cy="635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39648" behindDoc="1" locked="0" layoutInCell="0" allowOverlap="1" wp14:anchorId="2EC99166" wp14:editId="05DBC3FC">
            <wp:simplePos x="0" y="0"/>
            <wp:positionH relativeFrom="column">
              <wp:posOffset>6217920</wp:posOffset>
            </wp:positionH>
            <wp:positionV relativeFrom="paragraph">
              <wp:posOffset>-4150995</wp:posOffset>
            </wp:positionV>
            <wp:extent cx="0" cy="6350"/>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0672" behindDoc="1" locked="0" layoutInCell="0" allowOverlap="1" wp14:anchorId="5AFA4A6D" wp14:editId="4F06140F">
            <wp:simplePos x="0" y="0"/>
            <wp:positionH relativeFrom="column">
              <wp:posOffset>6217920</wp:posOffset>
            </wp:positionH>
            <wp:positionV relativeFrom="paragraph">
              <wp:posOffset>-3997325</wp:posOffset>
            </wp:positionV>
            <wp:extent cx="0" cy="635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1696" behindDoc="1" locked="0" layoutInCell="0" allowOverlap="1" wp14:anchorId="373C62D5" wp14:editId="22A867FD">
            <wp:simplePos x="0" y="0"/>
            <wp:positionH relativeFrom="column">
              <wp:posOffset>6217920</wp:posOffset>
            </wp:positionH>
            <wp:positionV relativeFrom="paragraph">
              <wp:posOffset>-3843655</wp:posOffset>
            </wp:positionV>
            <wp:extent cx="0" cy="635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2720" behindDoc="1" locked="0" layoutInCell="0" allowOverlap="1" wp14:anchorId="31AA09E3" wp14:editId="634A0D0C">
            <wp:simplePos x="0" y="0"/>
            <wp:positionH relativeFrom="column">
              <wp:posOffset>6217920</wp:posOffset>
            </wp:positionH>
            <wp:positionV relativeFrom="paragraph">
              <wp:posOffset>-3690620</wp:posOffset>
            </wp:positionV>
            <wp:extent cx="0" cy="635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3744" behindDoc="1" locked="0" layoutInCell="0" allowOverlap="1" wp14:anchorId="2AE37F6B" wp14:editId="749C0196">
            <wp:simplePos x="0" y="0"/>
            <wp:positionH relativeFrom="column">
              <wp:posOffset>6217920</wp:posOffset>
            </wp:positionH>
            <wp:positionV relativeFrom="paragraph">
              <wp:posOffset>-3536950</wp:posOffset>
            </wp:positionV>
            <wp:extent cx="0" cy="6350"/>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4768" behindDoc="1" locked="0" layoutInCell="0" allowOverlap="1" wp14:anchorId="1FF5CFE7" wp14:editId="3435A6DD">
            <wp:simplePos x="0" y="0"/>
            <wp:positionH relativeFrom="column">
              <wp:posOffset>6217920</wp:posOffset>
            </wp:positionH>
            <wp:positionV relativeFrom="paragraph">
              <wp:posOffset>-3383280</wp:posOffset>
            </wp:positionV>
            <wp:extent cx="0" cy="6350"/>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5792" behindDoc="1" locked="0" layoutInCell="0" allowOverlap="1" wp14:anchorId="094F2CE1" wp14:editId="3D7956E1">
            <wp:simplePos x="0" y="0"/>
            <wp:positionH relativeFrom="column">
              <wp:posOffset>6217920</wp:posOffset>
            </wp:positionH>
            <wp:positionV relativeFrom="paragraph">
              <wp:posOffset>-3230245</wp:posOffset>
            </wp:positionV>
            <wp:extent cx="0" cy="635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6816" behindDoc="1" locked="0" layoutInCell="0" allowOverlap="1" wp14:anchorId="7306D6D8" wp14:editId="686D05E4">
            <wp:simplePos x="0" y="0"/>
            <wp:positionH relativeFrom="column">
              <wp:posOffset>6217920</wp:posOffset>
            </wp:positionH>
            <wp:positionV relativeFrom="paragraph">
              <wp:posOffset>-3076575</wp:posOffset>
            </wp:positionV>
            <wp:extent cx="0" cy="6350"/>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7840" behindDoc="1" locked="0" layoutInCell="0" allowOverlap="1" wp14:anchorId="3987EB8C" wp14:editId="2E642D08">
            <wp:simplePos x="0" y="0"/>
            <wp:positionH relativeFrom="column">
              <wp:posOffset>6217920</wp:posOffset>
            </wp:positionH>
            <wp:positionV relativeFrom="paragraph">
              <wp:posOffset>-2922905</wp:posOffset>
            </wp:positionV>
            <wp:extent cx="0" cy="6350"/>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8864" behindDoc="1" locked="0" layoutInCell="0" allowOverlap="1" wp14:anchorId="54205735" wp14:editId="77BE7B25">
            <wp:simplePos x="0" y="0"/>
            <wp:positionH relativeFrom="column">
              <wp:posOffset>6217920</wp:posOffset>
            </wp:positionH>
            <wp:positionV relativeFrom="paragraph">
              <wp:posOffset>-2769235</wp:posOffset>
            </wp:positionV>
            <wp:extent cx="0" cy="6350"/>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9888" behindDoc="1" locked="0" layoutInCell="0" allowOverlap="1" wp14:anchorId="6187340C" wp14:editId="1AE4A912">
            <wp:simplePos x="0" y="0"/>
            <wp:positionH relativeFrom="column">
              <wp:posOffset>6217920</wp:posOffset>
            </wp:positionH>
            <wp:positionV relativeFrom="paragraph">
              <wp:posOffset>-2615565</wp:posOffset>
            </wp:positionV>
            <wp:extent cx="0" cy="6350"/>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0912" behindDoc="1" locked="0" layoutInCell="0" allowOverlap="1" wp14:anchorId="5136E2EB" wp14:editId="41AC20DF">
            <wp:simplePos x="0" y="0"/>
            <wp:positionH relativeFrom="column">
              <wp:posOffset>6217920</wp:posOffset>
            </wp:positionH>
            <wp:positionV relativeFrom="paragraph">
              <wp:posOffset>-2462530</wp:posOffset>
            </wp:positionV>
            <wp:extent cx="0" cy="6350"/>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1936" behindDoc="1" locked="0" layoutInCell="0" allowOverlap="1" wp14:anchorId="0375DA24" wp14:editId="5B3E435C">
            <wp:simplePos x="0" y="0"/>
            <wp:positionH relativeFrom="column">
              <wp:posOffset>6217920</wp:posOffset>
            </wp:positionH>
            <wp:positionV relativeFrom="paragraph">
              <wp:posOffset>-2308860</wp:posOffset>
            </wp:positionV>
            <wp:extent cx="0" cy="6350"/>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2960" behindDoc="1" locked="0" layoutInCell="0" allowOverlap="1" wp14:anchorId="7EAB07AB" wp14:editId="025236DE">
            <wp:simplePos x="0" y="0"/>
            <wp:positionH relativeFrom="column">
              <wp:posOffset>6217920</wp:posOffset>
            </wp:positionH>
            <wp:positionV relativeFrom="paragraph">
              <wp:posOffset>-2155190</wp:posOffset>
            </wp:positionV>
            <wp:extent cx="0" cy="6350"/>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3984" behindDoc="1" locked="0" layoutInCell="0" allowOverlap="1" wp14:anchorId="270F8CFC" wp14:editId="1AA06B14">
            <wp:simplePos x="0" y="0"/>
            <wp:positionH relativeFrom="column">
              <wp:posOffset>6217920</wp:posOffset>
            </wp:positionH>
            <wp:positionV relativeFrom="paragraph">
              <wp:posOffset>-2001520</wp:posOffset>
            </wp:positionV>
            <wp:extent cx="0" cy="635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5008" behindDoc="1" locked="0" layoutInCell="0" allowOverlap="1" wp14:anchorId="1738AC58" wp14:editId="743869C8">
            <wp:simplePos x="0" y="0"/>
            <wp:positionH relativeFrom="column">
              <wp:posOffset>6217920</wp:posOffset>
            </wp:positionH>
            <wp:positionV relativeFrom="paragraph">
              <wp:posOffset>-1848485</wp:posOffset>
            </wp:positionV>
            <wp:extent cx="0" cy="635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6032" behindDoc="1" locked="0" layoutInCell="0" allowOverlap="1" wp14:anchorId="333F183D" wp14:editId="1691BC4C">
            <wp:simplePos x="0" y="0"/>
            <wp:positionH relativeFrom="column">
              <wp:posOffset>6217920</wp:posOffset>
            </wp:positionH>
            <wp:positionV relativeFrom="paragraph">
              <wp:posOffset>-1694815</wp:posOffset>
            </wp:positionV>
            <wp:extent cx="0" cy="635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7056" behindDoc="1" locked="0" layoutInCell="0" allowOverlap="1" wp14:anchorId="6FF164CE" wp14:editId="1AB531B1">
            <wp:simplePos x="0" y="0"/>
            <wp:positionH relativeFrom="column">
              <wp:posOffset>6217920</wp:posOffset>
            </wp:positionH>
            <wp:positionV relativeFrom="paragraph">
              <wp:posOffset>-1541145</wp:posOffset>
            </wp:positionV>
            <wp:extent cx="0" cy="635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8080" behindDoc="1" locked="0" layoutInCell="0" allowOverlap="1" wp14:anchorId="34401AB5" wp14:editId="1A4D6F91">
            <wp:simplePos x="0" y="0"/>
            <wp:positionH relativeFrom="column">
              <wp:posOffset>6217920</wp:posOffset>
            </wp:positionH>
            <wp:positionV relativeFrom="paragraph">
              <wp:posOffset>-1387475</wp:posOffset>
            </wp:positionV>
            <wp:extent cx="0" cy="635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9104" behindDoc="1" locked="0" layoutInCell="0" allowOverlap="1" wp14:anchorId="27BDD10A" wp14:editId="38092B6C">
            <wp:simplePos x="0" y="0"/>
            <wp:positionH relativeFrom="column">
              <wp:posOffset>6217920</wp:posOffset>
            </wp:positionH>
            <wp:positionV relativeFrom="paragraph">
              <wp:posOffset>-1233805</wp:posOffset>
            </wp:positionV>
            <wp:extent cx="0" cy="635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0128" behindDoc="1" locked="0" layoutInCell="0" allowOverlap="1" wp14:anchorId="52D3B051" wp14:editId="1E1FE45A">
            <wp:simplePos x="0" y="0"/>
            <wp:positionH relativeFrom="column">
              <wp:posOffset>6217920</wp:posOffset>
            </wp:positionH>
            <wp:positionV relativeFrom="paragraph">
              <wp:posOffset>-1080770</wp:posOffset>
            </wp:positionV>
            <wp:extent cx="0" cy="635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1152" behindDoc="1" locked="0" layoutInCell="0" allowOverlap="1" wp14:anchorId="48880AC4" wp14:editId="2611D247">
            <wp:simplePos x="0" y="0"/>
            <wp:positionH relativeFrom="column">
              <wp:posOffset>6217920</wp:posOffset>
            </wp:positionH>
            <wp:positionV relativeFrom="paragraph">
              <wp:posOffset>-927100</wp:posOffset>
            </wp:positionV>
            <wp:extent cx="0" cy="635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2176" behindDoc="1" locked="0" layoutInCell="0" allowOverlap="1" wp14:anchorId="14BCB5CD" wp14:editId="2697424E">
            <wp:simplePos x="0" y="0"/>
            <wp:positionH relativeFrom="column">
              <wp:posOffset>6217920</wp:posOffset>
            </wp:positionH>
            <wp:positionV relativeFrom="paragraph">
              <wp:posOffset>-773430</wp:posOffset>
            </wp:positionV>
            <wp:extent cx="0" cy="635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3200" behindDoc="1" locked="0" layoutInCell="0" allowOverlap="1" wp14:anchorId="13D77318" wp14:editId="4B672181">
            <wp:simplePos x="0" y="0"/>
            <wp:positionH relativeFrom="column">
              <wp:posOffset>6217920</wp:posOffset>
            </wp:positionH>
            <wp:positionV relativeFrom="paragraph">
              <wp:posOffset>-619760</wp:posOffset>
            </wp:positionV>
            <wp:extent cx="0" cy="6350"/>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4224" behindDoc="1" locked="0" layoutInCell="0" allowOverlap="1" wp14:anchorId="4E7D3E22" wp14:editId="35C58A40">
            <wp:simplePos x="0" y="0"/>
            <wp:positionH relativeFrom="column">
              <wp:posOffset>6217920</wp:posOffset>
            </wp:positionH>
            <wp:positionV relativeFrom="paragraph">
              <wp:posOffset>-466090</wp:posOffset>
            </wp:positionV>
            <wp:extent cx="0" cy="635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5248" behindDoc="1" locked="0" layoutInCell="0" allowOverlap="1" wp14:anchorId="7655824D" wp14:editId="4974C7FF">
            <wp:simplePos x="0" y="0"/>
            <wp:positionH relativeFrom="column">
              <wp:posOffset>6217920</wp:posOffset>
            </wp:positionH>
            <wp:positionV relativeFrom="paragraph">
              <wp:posOffset>-313055</wp:posOffset>
            </wp:positionV>
            <wp:extent cx="0" cy="635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6272" behindDoc="1" locked="0" layoutInCell="0" allowOverlap="1" wp14:anchorId="20295D93" wp14:editId="6DF7A55E">
            <wp:simplePos x="0" y="0"/>
            <wp:positionH relativeFrom="column">
              <wp:posOffset>6217920</wp:posOffset>
            </wp:positionH>
            <wp:positionV relativeFrom="paragraph">
              <wp:posOffset>-159385</wp:posOffset>
            </wp:positionV>
            <wp:extent cx="0" cy="635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7296" behindDoc="1" locked="0" layoutInCell="0" allowOverlap="1" wp14:anchorId="5090069A" wp14:editId="405A1ABC">
            <wp:simplePos x="0" y="0"/>
            <wp:positionH relativeFrom="column">
              <wp:posOffset>6217920</wp:posOffset>
            </wp:positionH>
            <wp:positionV relativeFrom="paragraph">
              <wp:posOffset>-5715</wp:posOffset>
            </wp:positionV>
            <wp:extent cx="0" cy="635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sz w:val="22"/>
          <w:szCs w:val="22"/>
        </w:rPr>
        <w:t>Fuente: SIAP, SAGARPA</w:t>
      </w:r>
    </w:p>
    <w:p w14:paraId="607B950F"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lastRenderedPageBreak/>
        <w:t>COMERCIO EXTERIOR</w:t>
      </w:r>
    </w:p>
    <w:p w14:paraId="00124DEC"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De acuerdo a las cifras a diciembre del 2011, en México existe un déficit en la balanza comercial del sector agropecuario y del sector agroindustrial, toda vez que las importaciones que ascendieron a $34,798 millones de dólares, superan las exportaciones registradas por $24,741 millones de dólares.</w:t>
      </w:r>
    </w:p>
    <w:p w14:paraId="594418AC"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A pesar del déficit mencionado durante el período 2006-2010 se registró un mayor crecimiento en las exportaciones, teniendo éstas una tasa media de crecimiento anual de 4.8%, contra una tasa de 3.9% para las importaciones.</w:t>
      </w:r>
    </w:p>
    <w:p w14:paraId="24735255" w14:textId="77777777" w:rsidR="00A9501E" w:rsidRPr="007923C2" w:rsidRDefault="00A9501E" w:rsidP="00C2080B">
      <w:pPr>
        <w:jc w:val="both"/>
        <w:rPr>
          <w:rFonts w:ascii="Arial" w:hAnsi="Arial" w:cs="Arial"/>
          <w:sz w:val="22"/>
          <w:szCs w:val="22"/>
        </w:rPr>
      </w:pPr>
    </w:p>
    <w:tbl>
      <w:tblPr>
        <w:tblW w:w="0" w:type="auto"/>
        <w:tblInd w:w="10" w:type="dxa"/>
        <w:tblLayout w:type="fixed"/>
        <w:tblCellMar>
          <w:left w:w="0" w:type="dxa"/>
          <w:right w:w="0" w:type="dxa"/>
        </w:tblCellMar>
        <w:tblLook w:val="0000" w:firstRow="0" w:lastRow="0" w:firstColumn="0" w:lastColumn="0" w:noHBand="0" w:noVBand="0"/>
      </w:tblPr>
      <w:tblGrid>
        <w:gridCol w:w="100"/>
        <w:gridCol w:w="1380"/>
        <w:gridCol w:w="120"/>
        <w:gridCol w:w="1220"/>
        <w:gridCol w:w="1220"/>
        <w:gridCol w:w="1460"/>
        <w:gridCol w:w="1420"/>
        <w:gridCol w:w="1420"/>
        <w:gridCol w:w="1560"/>
        <w:gridCol w:w="30"/>
      </w:tblGrid>
      <w:tr w:rsidR="00C2080B" w:rsidRPr="007923C2" w14:paraId="7D1BEDD7" w14:textId="77777777" w:rsidTr="0030772E">
        <w:trPr>
          <w:trHeight w:val="352"/>
        </w:trPr>
        <w:tc>
          <w:tcPr>
            <w:tcW w:w="100" w:type="dxa"/>
            <w:tcBorders>
              <w:top w:val="single" w:sz="8" w:space="0" w:color="auto"/>
              <w:left w:val="single" w:sz="8" w:space="0" w:color="auto"/>
              <w:bottom w:val="nil"/>
              <w:right w:val="nil"/>
            </w:tcBorders>
            <w:shd w:val="clear" w:color="auto" w:fill="BFBFBF"/>
            <w:vAlign w:val="bottom"/>
          </w:tcPr>
          <w:p w14:paraId="772A51CE" w14:textId="77777777" w:rsidR="00C2080B" w:rsidRPr="007923C2" w:rsidRDefault="00C2080B" w:rsidP="0030772E">
            <w:pPr>
              <w:jc w:val="both"/>
              <w:rPr>
                <w:rFonts w:ascii="Arial" w:hAnsi="Arial" w:cs="Arial"/>
                <w:sz w:val="22"/>
                <w:szCs w:val="22"/>
              </w:rPr>
            </w:pPr>
          </w:p>
        </w:tc>
        <w:tc>
          <w:tcPr>
            <w:tcW w:w="1380" w:type="dxa"/>
            <w:tcBorders>
              <w:top w:val="single" w:sz="8" w:space="0" w:color="auto"/>
              <w:left w:val="nil"/>
              <w:bottom w:val="nil"/>
              <w:right w:val="nil"/>
            </w:tcBorders>
            <w:shd w:val="clear" w:color="auto" w:fill="BFBFBF"/>
            <w:vAlign w:val="bottom"/>
          </w:tcPr>
          <w:p w14:paraId="2D913E41"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Sector</w:t>
            </w:r>
          </w:p>
        </w:tc>
        <w:tc>
          <w:tcPr>
            <w:tcW w:w="120" w:type="dxa"/>
            <w:tcBorders>
              <w:top w:val="single" w:sz="8" w:space="0" w:color="auto"/>
              <w:left w:val="nil"/>
              <w:bottom w:val="nil"/>
              <w:right w:val="single" w:sz="8" w:space="0" w:color="auto"/>
            </w:tcBorders>
            <w:shd w:val="clear" w:color="auto" w:fill="BFBFBF"/>
            <w:vAlign w:val="bottom"/>
          </w:tcPr>
          <w:p w14:paraId="380E052D" w14:textId="77777777" w:rsidR="00C2080B" w:rsidRPr="007923C2" w:rsidRDefault="00C2080B" w:rsidP="0030772E">
            <w:pPr>
              <w:jc w:val="both"/>
              <w:rPr>
                <w:rFonts w:ascii="Arial" w:hAnsi="Arial" w:cs="Arial"/>
                <w:sz w:val="22"/>
                <w:szCs w:val="22"/>
              </w:rPr>
            </w:pPr>
          </w:p>
        </w:tc>
        <w:tc>
          <w:tcPr>
            <w:tcW w:w="1220" w:type="dxa"/>
            <w:tcBorders>
              <w:top w:val="single" w:sz="8" w:space="0" w:color="auto"/>
              <w:left w:val="nil"/>
              <w:bottom w:val="nil"/>
              <w:right w:val="single" w:sz="8" w:space="0" w:color="auto"/>
            </w:tcBorders>
            <w:shd w:val="clear" w:color="auto" w:fill="BFBFBF"/>
            <w:vAlign w:val="bottom"/>
          </w:tcPr>
          <w:p w14:paraId="0CE966B8"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2006</w:t>
            </w:r>
          </w:p>
        </w:tc>
        <w:tc>
          <w:tcPr>
            <w:tcW w:w="1220" w:type="dxa"/>
            <w:tcBorders>
              <w:top w:val="single" w:sz="8" w:space="0" w:color="auto"/>
              <w:left w:val="nil"/>
              <w:bottom w:val="nil"/>
              <w:right w:val="single" w:sz="8" w:space="0" w:color="auto"/>
            </w:tcBorders>
            <w:shd w:val="clear" w:color="auto" w:fill="BFBFBF"/>
            <w:vAlign w:val="bottom"/>
          </w:tcPr>
          <w:p w14:paraId="71164C60"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2007</w:t>
            </w:r>
          </w:p>
        </w:tc>
        <w:tc>
          <w:tcPr>
            <w:tcW w:w="1460" w:type="dxa"/>
            <w:tcBorders>
              <w:top w:val="single" w:sz="8" w:space="0" w:color="auto"/>
              <w:left w:val="nil"/>
              <w:bottom w:val="nil"/>
              <w:right w:val="single" w:sz="8" w:space="0" w:color="auto"/>
            </w:tcBorders>
            <w:shd w:val="clear" w:color="auto" w:fill="BFBFBF"/>
            <w:vAlign w:val="bottom"/>
          </w:tcPr>
          <w:p w14:paraId="7F7CED2A"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2008</w:t>
            </w:r>
          </w:p>
        </w:tc>
        <w:tc>
          <w:tcPr>
            <w:tcW w:w="1420" w:type="dxa"/>
            <w:tcBorders>
              <w:top w:val="single" w:sz="8" w:space="0" w:color="auto"/>
              <w:left w:val="nil"/>
              <w:bottom w:val="nil"/>
              <w:right w:val="single" w:sz="8" w:space="0" w:color="auto"/>
            </w:tcBorders>
            <w:shd w:val="clear" w:color="auto" w:fill="BFBFBF"/>
            <w:vAlign w:val="bottom"/>
          </w:tcPr>
          <w:p w14:paraId="76A372D8"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2009</w:t>
            </w:r>
          </w:p>
        </w:tc>
        <w:tc>
          <w:tcPr>
            <w:tcW w:w="1420" w:type="dxa"/>
            <w:tcBorders>
              <w:top w:val="single" w:sz="8" w:space="0" w:color="auto"/>
              <w:left w:val="nil"/>
              <w:bottom w:val="nil"/>
              <w:right w:val="single" w:sz="8" w:space="0" w:color="auto"/>
            </w:tcBorders>
            <w:shd w:val="clear" w:color="auto" w:fill="BFBFBF"/>
            <w:vAlign w:val="bottom"/>
          </w:tcPr>
          <w:p w14:paraId="7779BBC8"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2010</w:t>
            </w:r>
          </w:p>
        </w:tc>
        <w:tc>
          <w:tcPr>
            <w:tcW w:w="1560" w:type="dxa"/>
            <w:tcBorders>
              <w:top w:val="single" w:sz="8" w:space="0" w:color="auto"/>
              <w:left w:val="nil"/>
              <w:bottom w:val="nil"/>
              <w:right w:val="single" w:sz="8" w:space="0" w:color="auto"/>
            </w:tcBorders>
            <w:shd w:val="clear" w:color="auto" w:fill="BFBFBF"/>
            <w:vAlign w:val="bottom"/>
          </w:tcPr>
          <w:p w14:paraId="1425D67A"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2011</w:t>
            </w:r>
          </w:p>
        </w:tc>
        <w:tc>
          <w:tcPr>
            <w:tcW w:w="0" w:type="dxa"/>
            <w:tcBorders>
              <w:top w:val="nil"/>
              <w:left w:val="nil"/>
              <w:bottom w:val="nil"/>
              <w:right w:val="nil"/>
            </w:tcBorders>
            <w:vAlign w:val="bottom"/>
          </w:tcPr>
          <w:p w14:paraId="0AA1D2AD" w14:textId="77777777" w:rsidR="00C2080B" w:rsidRPr="007923C2" w:rsidRDefault="00C2080B" w:rsidP="0030772E">
            <w:pPr>
              <w:jc w:val="both"/>
              <w:rPr>
                <w:rFonts w:ascii="Arial" w:hAnsi="Arial" w:cs="Arial"/>
                <w:sz w:val="22"/>
                <w:szCs w:val="22"/>
              </w:rPr>
            </w:pPr>
          </w:p>
        </w:tc>
      </w:tr>
      <w:tr w:rsidR="00C2080B" w:rsidRPr="007923C2" w14:paraId="188224BD" w14:textId="77777777" w:rsidTr="0030772E">
        <w:trPr>
          <w:trHeight w:val="128"/>
        </w:trPr>
        <w:tc>
          <w:tcPr>
            <w:tcW w:w="100" w:type="dxa"/>
            <w:tcBorders>
              <w:top w:val="nil"/>
              <w:left w:val="single" w:sz="8" w:space="0" w:color="auto"/>
              <w:bottom w:val="nil"/>
              <w:right w:val="nil"/>
            </w:tcBorders>
            <w:shd w:val="clear" w:color="auto" w:fill="BFBFBF"/>
            <w:vAlign w:val="bottom"/>
          </w:tcPr>
          <w:p w14:paraId="33805DBF" w14:textId="77777777" w:rsidR="00C2080B" w:rsidRPr="007923C2" w:rsidRDefault="00C2080B" w:rsidP="0030772E">
            <w:pPr>
              <w:jc w:val="both"/>
              <w:rPr>
                <w:rFonts w:ascii="Arial" w:hAnsi="Arial" w:cs="Arial"/>
                <w:sz w:val="22"/>
                <w:szCs w:val="22"/>
              </w:rPr>
            </w:pPr>
          </w:p>
        </w:tc>
        <w:tc>
          <w:tcPr>
            <w:tcW w:w="1380" w:type="dxa"/>
            <w:vMerge w:val="restart"/>
            <w:tcBorders>
              <w:top w:val="nil"/>
              <w:left w:val="nil"/>
              <w:bottom w:val="nil"/>
              <w:right w:val="nil"/>
            </w:tcBorders>
            <w:shd w:val="clear" w:color="auto" w:fill="BFBFBF"/>
            <w:vAlign w:val="bottom"/>
          </w:tcPr>
          <w:p w14:paraId="5E993FFA"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Agroindustrial</w:t>
            </w:r>
          </w:p>
        </w:tc>
        <w:tc>
          <w:tcPr>
            <w:tcW w:w="120" w:type="dxa"/>
            <w:tcBorders>
              <w:top w:val="nil"/>
              <w:left w:val="nil"/>
              <w:bottom w:val="nil"/>
              <w:right w:val="single" w:sz="8" w:space="0" w:color="auto"/>
            </w:tcBorders>
            <w:shd w:val="clear" w:color="auto" w:fill="BFBFBF"/>
            <w:vAlign w:val="bottom"/>
          </w:tcPr>
          <w:p w14:paraId="3838409F" w14:textId="77777777"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shd w:val="clear" w:color="auto" w:fill="BFBFBF"/>
            <w:vAlign w:val="bottom"/>
          </w:tcPr>
          <w:p w14:paraId="6113F5B1" w14:textId="77777777"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shd w:val="clear" w:color="auto" w:fill="BFBFBF"/>
            <w:vAlign w:val="bottom"/>
          </w:tcPr>
          <w:p w14:paraId="55C570A6" w14:textId="77777777" w:rsidR="00C2080B" w:rsidRPr="007923C2" w:rsidRDefault="00C2080B" w:rsidP="0030772E">
            <w:pPr>
              <w:jc w:val="both"/>
              <w:rPr>
                <w:rFonts w:ascii="Arial" w:hAnsi="Arial" w:cs="Arial"/>
                <w:sz w:val="22"/>
                <w:szCs w:val="22"/>
              </w:rPr>
            </w:pPr>
          </w:p>
        </w:tc>
        <w:tc>
          <w:tcPr>
            <w:tcW w:w="1460" w:type="dxa"/>
            <w:tcBorders>
              <w:top w:val="nil"/>
              <w:left w:val="nil"/>
              <w:bottom w:val="nil"/>
              <w:right w:val="single" w:sz="8" w:space="0" w:color="auto"/>
            </w:tcBorders>
            <w:shd w:val="clear" w:color="auto" w:fill="BFBFBF"/>
            <w:vAlign w:val="bottom"/>
          </w:tcPr>
          <w:p w14:paraId="127F78FC" w14:textId="77777777" w:rsidR="00C2080B" w:rsidRPr="007923C2" w:rsidRDefault="00C2080B" w:rsidP="0030772E">
            <w:pPr>
              <w:jc w:val="both"/>
              <w:rPr>
                <w:rFonts w:ascii="Arial" w:hAnsi="Arial" w:cs="Arial"/>
                <w:sz w:val="22"/>
                <w:szCs w:val="22"/>
              </w:rPr>
            </w:pPr>
          </w:p>
        </w:tc>
        <w:tc>
          <w:tcPr>
            <w:tcW w:w="1420" w:type="dxa"/>
            <w:tcBorders>
              <w:top w:val="nil"/>
              <w:left w:val="nil"/>
              <w:bottom w:val="nil"/>
              <w:right w:val="single" w:sz="8" w:space="0" w:color="auto"/>
            </w:tcBorders>
            <w:shd w:val="clear" w:color="auto" w:fill="BFBFBF"/>
            <w:vAlign w:val="bottom"/>
          </w:tcPr>
          <w:p w14:paraId="3F510582" w14:textId="77777777" w:rsidR="00C2080B" w:rsidRPr="007923C2" w:rsidRDefault="00C2080B" w:rsidP="0030772E">
            <w:pPr>
              <w:jc w:val="both"/>
              <w:rPr>
                <w:rFonts w:ascii="Arial" w:hAnsi="Arial" w:cs="Arial"/>
                <w:sz w:val="22"/>
                <w:szCs w:val="22"/>
              </w:rPr>
            </w:pPr>
          </w:p>
        </w:tc>
        <w:tc>
          <w:tcPr>
            <w:tcW w:w="1420" w:type="dxa"/>
            <w:tcBorders>
              <w:top w:val="nil"/>
              <w:left w:val="nil"/>
              <w:bottom w:val="nil"/>
              <w:right w:val="single" w:sz="8" w:space="0" w:color="auto"/>
            </w:tcBorders>
            <w:shd w:val="clear" w:color="auto" w:fill="BFBFBF"/>
            <w:vAlign w:val="bottom"/>
          </w:tcPr>
          <w:p w14:paraId="224D1B47" w14:textId="77777777" w:rsidR="00C2080B" w:rsidRPr="007923C2" w:rsidRDefault="00C2080B" w:rsidP="0030772E">
            <w:pPr>
              <w:jc w:val="both"/>
              <w:rPr>
                <w:rFonts w:ascii="Arial" w:hAnsi="Arial" w:cs="Arial"/>
                <w:sz w:val="22"/>
                <w:szCs w:val="22"/>
              </w:rPr>
            </w:pPr>
          </w:p>
        </w:tc>
        <w:tc>
          <w:tcPr>
            <w:tcW w:w="1560" w:type="dxa"/>
            <w:tcBorders>
              <w:top w:val="nil"/>
              <w:left w:val="nil"/>
              <w:bottom w:val="nil"/>
              <w:right w:val="single" w:sz="8" w:space="0" w:color="auto"/>
            </w:tcBorders>
            <w:shd w:val="clear" w:color="auto" w:fill="BFBFBF"/>
            <w:vAlign w:val="bottom"/>
          </w:tcPr>
          <w:p w14:paraId="031C3E79" w14:textId="77777777" w:rsidR="00C2080B" w:rsidRPr="007923C2" w:rsidRDefault="00C2080B" w:rsidP="0030772E">
            <w:pPr>
              <w:jc w:val="both"/>
              <w:rPr>
                <w:rFonts w:ascii="Arial" w:hAnsi="Arial" w:cs="Arial"/>
                <w:sz w:val="22"/>
                <w:szCs w:val="22"/>
              </w:rPr>
            </w:pPr>
          </w:p>
        </w:tc>
        <w:tc>
          <w:tcPr>
            <w:tcW w:w="0" w:type="dxa"/>
            <w:tcBorders>
              <w:top w:val="nil"/>
              <w:left w:val="nil"/>
              <w:bottom w:val="nil"/>
              <w:right w:val="nil"/>
            </w:tcBorders>
            <w:vAlign w:val="bottom"/>
          </w:tcPr>
          <w:p w14:paraId="6D956CF7" w14:textId="77777777" w:rsidR="00C2080B" w:rsidRPr="007923C2" w:rsidRDefault="00C2080B" w:rsidP="0030772E">
            <w:pPr>
              <w:jc w:val="both"/>
              <w:rPr>
                <w:rFonts w:ascii="Arial" w:hAnsi="Arial" w:cs="Arial"/>
                <w:sz w:val="22"/>
                <w:szCs w:val="22"/>
              </w:rPr>
            </w:pPr>
          </w:p>
        </w:tc>
      </w:tr>
      <w:tr w:rsidR="00C2080B" w:rsidRPr="007923C2" w14:paraId="71829269" w14:textId="77777777" w:rsidTr="0030772E">
        <w:trPr>
          <w:trHeight w:val="102"/>
        </w:trPr>
        <w:tc>
          <w:tcPr>
            <w:tcW w:w="100" w:type="dxa"/>
            <w:tcBorders>
              <w:top w:val="nil"/>
              <w:left w:val="single" w:sz="8" w:space="0" w:color="auto"/>
              <w:bottom w:val="nil"/>
              <w:right w:val="nil"/>
            </w:tcBorders>
            <w:shd w:val="clear" w:color="auto" w:fill="BFBFBF"/>
            <w:vAlign w:val="bottom"/>
          </w:tcPr>
          <w:p w14:paraId="53C82B85" w14:textId="77777777" w:rsidR="00C2080B" w:rsidRPr="007923C2" w:rsidRDefault="00C2080B" w:rsidP="0030772E">
            <w:pPr>
              <w:jc w:val="both"/>
              <w:rPr>
                <w:rFonts w:ascii="Arial" w:hAnsi="Arial" w:cs="Arial"/>
                <w:sz w:val="22"/>
                <w:szCs w:val="22"/>
              </w:rPr>
            </w:pPr>
          </w:p>
        </w:tc>
        <w:tc>
          <w:tcPr>
            <w:tcW w:w="1380" w:type="dxa"/>
            <w:vMerge/>
            <w:tcBorders>
              <w:top w:val="nil"/>
              <w:left w:val="nil"/>
              <w:bottom w:val="nil"/>
              <w:right w:val="nil"/>
            </w:tcBorders>
            <w:shd w:val="clear" w:color="auto" w:fill="BFBFBF"/>
            <w:vAlign w:val="bottom"/>
          </w:tcPr>
          <w:p w14:paraId="413A6462" w14:textId="77777777" w:rsidR="00C2080B" w:rsidRPr="007923C2" w:rsidRDefault="00C2080B" w:rsidP="0030772E">
            <w:pPr>
              <w:jc w:val="both"/>
              <w:rPr>
                <w:rFonts w:ascii="Arial" w:hAnsi="Arial" w:cs="Arial"/>
                <w:sz w:val="22"/>
                <w:szCs w:val="22"/>
              </w:rPr>
            </w:pPr>
          </w:p>
        </w:tc>
        <w:tc>
          <w:tcPr>
            <w:tcW w:w="120" w:type="dxa"/>
            <w:tcBorders>
              <w:top w:val="nil"/>
              <w:left w:val="nil"/>
              <w:bottom w:val="nil"/>
              <w:right w:val="single" w:sz="8" w:space="0" w:color="auto"/>
            </w:tcBorders>
            <w:shd w:val="clear" w:color="auto" w:fill="BFBFBF"/>
            <w:vAlign w:val="bottom"/>
          </w:tcPr>
          <w:p w14:paraId="7829DFFC" w14:textId="77777777"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shd w:val="clear" w:color="auto" w:fill="BFBFBF"/>
            <w:vAlign w:val="bottom"/>
          </w:tcPr>
          <w:p w14:paraId="7982C553" w14:textId="77777777"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shd w:val="clear" w:color="auto" w:fill="BFBFBF"/>
            <w:vAlign w:val="bottom"/>
          </w:tcPr>
          <w:p w14:paraId="28D8E7E1" w14:textId="77777777" w:rsidR="00C2080B" w:rsidRPr="007923C2" w:rsidRDefault="00C2080B" w:rsidP="0030772E">
            <w:pPr>
              <w:jc w:val="both"/>
              <w:rPr>
                <w:rFonts w:ascii="Arial" w:hAnsi="Arial" w:cs="Arial"/>
                <w:sz w:val="22"/>
                <w:szCs w:val="22"/>
              </w:rPr>
            </w:pPr>
          </w:p>
        </w:tc>
        <w:tc>
          <w:tcPr>
            <w:tcW w:w="1460" w:type="dxa"/>
            <w:tcBorders>
              <w:top w:val="nil"/>
              <w:left w:val="nil"/>
              <w:bottom w:val="nil"/>
              <w:right w:val="single" w:sz="8" w:space="0" w:color="auto"/>
            </w:tcBorders>
            <w:shd w:val="clear" w:color="auto" w:fill="BFBFBF"/>
            <w:vAlign w:val="bottom"/>
          </w:tcPr>
          <w:p w14:paraId="24447DC7" w14:textId="77777777" w:rsidR="00C2080B" w:rsidRPr="007923C2" w:rsidRDefault="00C2080B" w:rsidP="0030772E">
            <w:pPr>
              <w:jc w:val="both"/>
              <w:rPr>
                <w:rFonts w:ascii="Arial" w:hAnsi="Arial" w:cs="Arial"/>
                <w:sz w:val="22"/>
                <w:szCs w:val="22"/>
              </w:rPr>
            </w:pPr>
          </w:p>
        </w:tc>
        <w:tc>
          <w:tcPr>
            <w:tcW w:w="1420" w:type="dxa"/>
            <w:tcBorders>
              <w:top w:val="nil"/>
              <w:left w:val="nil"/>
              <w:bottom w:val="nil"/>
              <w:right w:val="single" w:sz="8" w:space="0" w:color="auto"/>
            </w:tcBorders>
            <w:shd w:val="clear" w:color="auto" w:fill="BFBFBF"/>
            <w:vAlign w:val="bottom"/>
          </w:tcPr>
          <w:p w14:paraId="729A095E" w14:textId="77777777" w:rsidR="00C2080B" w:rsidRPr="007923C2" w:rsidRDefault="00C2080B" w:rsidP="0030772E">
            <w:pPr>
              <w:jc w:val="both"/>
              <w:rPr>
                <w:rFonts w:ascii="Arial" w:hAnsi="Arial" w:cs="Arial"/>
                <w:sz w:val="22"/>
                <w:szCs w:val="22"/>
              </w:rPr>
            </w:pPr>
          </w:p>
        </w:tc>
        <w:tc>
          <w:tcPr>
            <w:tcW w:w="1420" w:type="dxa"/>
            <w:tcBorders>
              <w:top w:val="nil"/>
              <w:left w:val="nil"/>
              <w:bottom w:val="nil"/>
              <w:right w:val="single" w:sz="8" w:space="0" w:color="auto"/>
            </w:tcBorders>
            <w:shd w:val="clear" w:color="auto" w:fill="BFBFBF"/>
            <w:vAlign w:val="bottom"/>
          </w:tcPr>
          <w:p w14:paraId="1A663F55" w14:textId="77777777" w:rsidR="00C2080B" w:rsidRPr="007923C2" w:rsidRDefault="00C2080B" w:rsidP="0030772E">
            <w:pPr>
              <w:jc w:val="both"/>
              <w:rPr>
                <w:rFonts w:ascii="Arial" w:hAnsi="Arial" w:cs="Arial"/>
                <w:sz w:val="22"/>
                <w:szCs w:val="22"/>
              </w:rPr>
            </w:pPr>
          </w:p>
        </w:tc>
        <w:tc>
          <w:tcPr>
            <w:tcW w:w="1560" w:type="dxa"/>
            <w:tcBorders>
              <w:top w:val="nil"/>
              <w:left w:val="nil"/>
              <w:bottom w:val="nil"/>
              <w:right w:val="single" w:sz="8" w:space="0" w:color="auto"/>
            </w:tcBorders>
            <w:shd w:val="clear" w:color="auto" w:fill="BFBFBF"/>
            <w:vAlign w:val="bottom"/>
          </w:tcPr>
          <w:p w14:paraId="5F984DCF" w14:textId="77777777" w:rsidR="00C2080B" w:rsidRPr="007923C2" w:rsidRDefault="00C2080B" w:rsidP="0030772E">
            <w:pPr>
              <w:jc w:val="both"/>
              <w:rPr>
                <w:rFonts w:ascii="Arial" w:hAnsi="Arial" w:cs="Arial"/>
                <w:sz w:val="22"/>
                <w:szCs w:val="22"/>
              </w:rPr>
            </w:pPr>
          </w:p>
        </w:tc>
        <w:tc>
          <w:tcPr>
            <w:tcW w:w="0" w:type="dxa"/>
            <w:tcBorders>
              <w:top w:val="nil"/>
              <w:left w:val="nil"/>
              <w:bottom w:val="nil"/>
              <w:right w:val="nil"/>
            </w:tcBorders>
            <w:vAlign w:val="bottom"/>
          </w:tcPr>
          <w:p w14:paraId="70EDE54C" w14:textId="77777777" w:rsidR="00C2080B" w:rsidRPr="007923C2" w:rsidRDefault="00C2080B" w:rsidP="0030772E">
            <w:pPr>
              <w:jc w:val="both"/>
              <w:rPr>
                <w:rFonts w:ascii="Arial" w:hAnsi="Arial" w:cs="Arial"/>
                <w:sz w:val="22"/>
                <w:szCs w:val="22"/>
              </w:rPr>
            </w:pPr>
          </w:p>
        </w:tc>
      </w:tr>
      <w:tr w:rsidR="00C2080B" w:rsidRPr="007923C2" w14:paraId="28D72DB2" w14:textId="77777777" w:rsidTr="0030772E">
        <w:trPr>
          <w:trHeight w:val="128"/>
        </w:trPr>
        <w:tc>
          <w:tcPr>
            <w:tcW w:w="100" w:type="dxa"/>
            <w:tcBorders>
              <w:top w:val="nil"/>
              <w:left w:val="single" w:sz="8" w:space="0" w:color="auto"/>
              <w:bottom w:val="single" w:sz="8" w:space="0" w:color="auto"/>
              <w:right w:val="nil"/>
            </w:tcBorders>
            <w:shd w:val="clear" w:color="auto" w:fill="BFBFBF"/>
            <w:vAlign w:val="bottom"/>
          </w:tcPr>
          <w:p w14:paraId="3937C573" w14:textId="77777777" w:rsidR="00C2080B" w:rsidRPr="007923C2" w:rsidRDefault="00C2080B" w:rsidP="0030772E">
            <w:pPr>
              <w:jc w:val="both"/>
              <w:rPr>
                <w:rFonts w:ascii="Arial" w:hAnsi="Arial" w:cs="Arial"/>
                <w:sz w:val="22"/>
                <w:szCs w:val="22"/>
              </w:rPr>
            </w:pPr>
          </w:p>
        </w:tc>
        <w:tc>
          <w:tcPr>
            <w:tcW w:w="1380" w:type="dxa"/>
            <w:tcBorders>
              <w:top w:val="nil"/>
              <w:left w:val="nil"/>
              <w:bottom w:val="single" w:sz="8" w:space="0" w:color="auto"/>
              <w:right w:val="nil"/>
            </w:tcBorders>
            <w:shd w:val="clear" w:color="auto" w:fill="BFBFBF"/>
            <w:vAlign w:val="bottom"/>
          </w:tcPr>
          <w:p w14:paraId="2B9E97A2" w14:textId="77777777" w:rsidR="00C2080B" w:rsidRPr="007923C2" w:rsidRDefault="00C2080B" w:rsidP="0030772E">
            <w:pPr>
              <w:jc w:val="both"/>
              <w:rPr>
                <w:rFonts w:ascii="Arial" w:hAnsi="Arial" w:cs="Arial"/>
                <w:sz w:val="22"/>
                <w:szCs w:val="22"/>
              </w:rPr>
            </w:pPr>
          </w:p>
        </w:tc>
        <w:tc>
          <w:tcPr>
            <w:tcW w:w="120" w:type="dxa"/>
            <w:tcBorders>
              <w:top w:val="nil"/>
              <w:left w:val="nil"/>
              <w:bottom w:val="single" w:sz="8" w:space="0" w:color="auto"/>
              <w:right w:val="single" w:sz="8" w:space="0" w:color="auto"/>
            </w:tcBorders>
            <w:shd w:val="clear" w:color="auto" w:fill="BFBFBF"/>
            <w:vAlign w:val="bottom"/>
          </w:tcPr>
          <w:p w14:paraId="7E2BE6EF" w14:textId="77777777"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shd w:val="clear" w:color="auto" w:fill="BFBFBF"/>
            <w:vAlign w:val="bottom"/>
          </w:tcPr>
          <w:p w14:paraId="75474ACB" w14:textId="77777777"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shd w:val="clear" w:color="auto" w:fill="BFBFBF"/>
            <w:vAlign w:val="bottom"/>
          </w:tcPr>
          <w:p w14:paraId="4B0D4435" w14:textId="77777777" w:rsidR="00C2080B" w:rsidRPr="007923C2" w:rsidRDefault="00C2080B" w:rsidP="0030772E">
            <w:pPr>
              <w:jc w:val="both"/>
              <w:rPr>
                <w:rFonts w:ascii="Arial" w:hAnsi="Arial" w:cs="Arial"/>
                <w:sz w:val="22"/>
                <w:szCs w:val="22"/>
              </w:rPr>
            </w:pPr>
          </w:p>
        </w:tc>
        <w:tc>
          <w:tcPr>
            <w:tcW w:w="1460" w:type="dxa"/>
            <w:tcBorders>
              <w:top w:val="nil"/>
              <w:left w:val="nil"/>
              <w:bottom w:val="single" w:sz="8" w:space="0" w:color="auto"/>
              <w:right w:val="single" w:sz="8" w:space="0" w:color="auto"/>
            </w:tcBorders>
            <w:shd w:val="clear" w:color="auto" w:fill="BFBFBF"/>
            <w:vAlign w:val="bottom"/>
          </w:tcPr>
          <w:p w14:paraId="56FE85D6" w14:textId="77777777"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shd w:val="clear" w:color="auto" w:fill="BFBFBF"/>
            <w:vAlign w:val="bottom"/>
          </w:tcPr>
          <w:p w14:paraId="7D6141BF" w14:textId="77777777"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shd w:val="clear" w:color="auto" w:fill="BFBFBF"/>
            <w:vAlign w:val="bottom"/>
          </w:tcPr>
          <w:p w14:paraId="172448E1" w14:textId="77777777" w:rsidR="00C2080B" w:rsidRPr="007923C2" w:rsidRDefault="00C2080B" w:rsidP="0030772E">
            <w:pPr>
              <w:jc w:val="both"/>
              <w:rPr>
                <w:rFonts w:ascii="Arial" w:hAnsi="Arial" w:cs="Arial"/>
                <w:sz w:val="22"/>
                <w:szCs w:val="22"/>
              </w:rPr>
            </w:pPr>
          </w:p>
        </w:tc>
        <w:tc>
          <w:tcPr>
            <w:tcW w:w="1560" w:type="dxa"/>
            <w:tcBorders>
              <w:top w:val="nil"/>
              <w:left w:val="nil"/>
              <w:bottom w:val="single" w:sz="8" w:space="0" w:color="auto"/>
              <w:right w:val="single" w:sz="8" w:space="0" w:color="auto"/>
            </w:tcBorders>
            <w:shd w:val="clear" w:color="auto" w:fill="BFBFBF"/>
            <w:vAlign w:val="bottom"/>
          </w:tcPr>
          <w:p w14:paraId="660CA964" w14:textId="77777777" w:rsidR="00C2080B" w:rsidRPr="007923C2" w:rsidRDefault="00C2080B" w:rsidP="0030772E">
            <w:pPr>
              <w:jc w:val="both"/>
              <w:rPr>
                <w:rFonts w:ascii="Arial" w:hAnsi="Arial" w:cs="Arial"/>
                <w:sz w:val="22"/>
                <w:szCs w:val="22"/>
              </w:rPr>
            </w:pPr>
          </w:p>
        </w:tc>
        <w:tc>
          <w:tcPr>
            <w:tcW w:w="0" w:type="dxa"/>
            <w:tcBorders>
              <w:top w:val="nil"/>
              <w:left w:val="nil"/>
              <w:bottom w:val="nil"/>
              <w:right w:val="nil"/>
            </w:tcBorders>
            <w:vAlign w:val="bottom"/>
          </w:tcPr>
          <w:p w14:paraId="0ECB5060" w14:textId="77777777" w:rsidR="00C2080B" w:rsidRPr="007923C2" w:rsidRDefault="00C2080B" w:rsidP="0030772E">
            <w:pPr>
              <w:jc w:val="both"/>
              <w:rPr>
                <w:rFonts w:ascii="Arial" w:hAnsi="Arial" w:cs="Arial"/>
                <w:sz w:val="22"/>
                <w:szCs w:val="22"/>
              </w:rPr>
            </w:pPr>
          </w:p>
        </w:tc>
      </w:tr>
      <w:tr w:rsidR="00C2080B" w:rsidRPr="007923C2" w14:paraId="73646638" w14:textId="77777777" w:rsidTr="0030772E">
        <w:trPr>
          <w:trHeight w:val="334"/>
        </w:trPr>
        <w:tc>
          <w:tcPr>
            <w:tcW w:w="1480" w:type="dxa"/>
            <w:gridSpan w:val="2"/>
            <w:tcBorders>
              <w:top w:val="nil"/>
              <w:left w:val="single" w:sz="8" w:space="0" w:color="auto"/>
              <w:bottom w:val="nil"/>
              <w:right w:val="nil"/>
            </w:tcBorders>
            <w:vAlign w:val="bottom"/>
          </w:tcPr>
          <w:p w14:paraId="6200CFB1"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Exportaciones</w:t>
            </w:r>
          </w:p>
        </w:tc>
        <w:tc>
          <w:tcPr>
            <w:tcW w:w="120" w:type="dxa"/>
            <w:tcBorders>
              <w:top w:val="nil"/>
              <w:left w:val="nil"/>
              <w:bottom w:val="nil"/>
              <w:right w:val="single" w:sz="8" w:space="0" w:color="auto"/>
            </w:tcBorders>
            <w:vAlign w:val="bottom"/>
          </w:tcPr>
          <w:p w14:paraId="542CA4D2" w14:textId="77777777"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vAlign w:val="bottom"/>
          </w:tcPr>
          <w:p w14:paraId="4FBBFF3A"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16,321</w:t>
            </w:r>
          </w:p>
        </w:tc>
        <w:tc>
          <w:tcPr>
            <w:tcW w:w="1220" w:type="dxa"/>
            <w:tcBorders>
              <w:top w:val="nil"/>
              <w:left w:val="nil"/>
              <w:bottom w:val="nil"/>
              <w:right w:val="single" w:sz="8" w:space="0" w:color="auto"/>
            </w:tcBorders>
            <w:vAlign w:val="bottom"/>
          </w:tcPr>
          <w:p w14:paraId="7A3B4655"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17,359</w:t>
            </w:r>
          </w:p>
        </w:tc>
        <w:tc>
          <w:tcPr>
            <w:tcW w:w="1460" w:type="dxa"/>
            <w:tcBorders>
              <w:top w:val="nil"/>
              <w:left w:val="nil"/>
              <w:bottom w:val="nil"/>
              <w:right w:val="single" w:sz="8" w:space="0" w:color="auto"/>
            </w:tcBorders>
            <w:vAlign w:val="bottom"/>
          </w:tcPr>
          <w:p w14:paraId="4F062B28"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18,889</w:t>
            </w:r>
          </w:p>
        </w:tc>
        <w:tc>
          <w:tcPr>
            <w:tcW w:w="1420" w:type="dxa"/>
            <w:tcBorders>
              <w:top w:val="nil"/>
              <w:left w:val="nil"/>
              <w:bottom w:val="nil"/>
              <w:right w:val="single" w:sz="8" w:space="0" w:color="auto"/>
            </w:tcBorders>
            <w:vAlign w:val="bottom"/>
          </w:tcPr>
          <w:p w14:paraId="3AB2762C"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18,217</w:t>
            </w:r>
          </w:p>
        </w:tc>
        <w:tc>
          <w:tcPr>
            <w:tcW w:w="1420" w:type="dxa"/>
            <w:tcBorders>
              <w:top w:val="nil"/>
              <w:left w:val="nil"/>
              <w:bottom w:val="nil"/>
              <w:right w:val="single" w:sz="8" w:space="0" w:color="auto"/>
            </w:tcBorders>
            <w:vAlign w:val="bottom"/>
          </w:tcPr>
          <w:p w14:paraId="6B6C4B40"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20,615</w:t>
            </w:r>
          </w:p>
        </w:tc>
        <w:tc>
          <w:tcPr>
            <w:tcW w:w="1560" w:type="dxa"/>
            <w:tcBorders>
              <w:top w:val="nil"/>
              <w:left w:val="nil"/>
              <w:bottom w:val="nil"/>
              <w:right w:val="single" w:sz="8" w:space="0" w:color="auto"/>
            </w:tcBorders>
            <w:vAlign w:val="bottom"/>
          </w:tcPr>
          <w:p w14:paraId="348FCB37"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24,741</w:t>
            </w:r>
          </w:p>
        </w:tc>
        <w:tc>
          <w:tcPr>
            <w:tcW w:w="0" w:type="dxa"/>
            <w:tcBorders>
              <w:top w:val="nil"/>
              <w:left w:val="nil"/>
              <w:bottom w:val="nil"/>
              <w:right w:val="nil"/>
            </w:tcBorders>
            <w:vAlign w:val="bottom"/>
          </w:tcPr>
          <w:p w14:paraId="0B73C54A" w14:textId="77777777" w:rsidR="00C2080B" w:rsidRPr="007923C2" w:rsidRDefault="00C2080B" w:rsidP="0030772E">
            <w:pPr>
              <w:jc w:val="both"/>
              <w:rPr>
                <w:rFonts w:ascii="Arial" w:hAnsi="Arial" w:cs="Arial"/>
                <w:sz w:val="22"/>
                <w:szCs w:val="22"/>
              </w:rPr>
            </w:pPr>
          </w:p>
        </w:tc>
      </w:tr>
      <w:tr w:rsidR="00C2080B" w:rsidRPr="007923C2" w14:paraId="3F6B6101" w14:textId="77777777" w:rsidTr="0030772E">
        <w:trPr>
          <w:trHeight w:val="126"/>
        </w:trPr>
        <w:tc>
          <w:tcPr>
            <w:tcW w:w="1480" w:type="dxa"/>
            <w:gridSpan w:val="2"/>
            <w:tcBorders>
              <w:top w:val="nil"/>
              <w:left w:val="single" w:sz="8" w:space="0" w:color="auto"/>
              <w:bottom w:val="single" w:sz="8" w:space="0" w:color="auto"/>
              <w:right w:val="nil"/>
            </w:tcBorders>
            <w:vAlign w:val="bottom"/>
          </w:tcPr>
          <w:p w14:paraId="6DB27757" w14:textId="77777777" w:rsidR="00C2080B" w:rsidRPr="007923C2" w:rsidRDefault="00C2080B" w:rsidP="0030772E">
            <w:pPr>
              <w:jc w:val="both"/>
              <w:rPr>
                <w:rFonts w:ascii="Arial" w:hAnsi="Arial" w:cs="Arial"/>
                <w:sz w:val="22"/>
                <w:szCs w:val="22"/>
              </w:rPr>
            </w:pPr>
          </w:p>
        </w:tc>
        <w:tc>
          <w:tcPr>
            <w:tcW w:w="120" w:type="dxa"/>
            <w:tcBorders>
              <w:top w:val="nil"/>
              <w:left w:val="nil"/>
              <w:bottom w:val="single" w:sz="8" w:space="0" w:color="auto"/>
              <w:right w:val="single" w:sz="8" w:space="0" w:color="auto"/>
            </w:tcBorders>
            <w:vAlign w:val="bottom"/>
          </w:tcPr>
          <w:p w14:paraId="72992E54" w14:textId="77777777"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vAlign w:val="bottom"/>
          </w:tcPr>
          <w:p w14:paraId="799331BE" w14:textId="77777777"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vAlign w:val="bottom"/>
          </w:tcPr>
          <w:p w14:paraId="1EE82F26" w14:textId="77777777" w:rsidR="00C2080B" w:rsidRPr="007923C2" w:rsidRDefault="00C2080B" w:rsidP="0030772E">
            <w:pPr>
              <w:jc w:val="both"/>
              <w:rPr>
                <w:rFonts w:ascii="Arial" w:hAnsi="Arial" w:cs="Arial"/>
                <w:sz w:val="22"/>
                <w:szCs w:val="22"/>
              </w:rPr>
            </w:pPr>
          </w:p>
        </w:tc>
        <w:tc>
          <w:tcPr>
            <w:tcW w:w="1460" w:type="dxa"/>
            <w:tcBorders>
              <w:top w:val="nil"/>
              <w:left w:val="nil"/>
              <w:bottom w:val="single" w:sz="8" w:space="0" w:color="auto"/>
              <w:right w:val="single" w:sz="8" w:space="0" w:color="auto"/>
            </w:tcBorders>
            <w:vAlign w:val="bottom"/>
          </w:tcPr>
          <w:p w14:paraId="4C6598A6" w14:textId="77777777"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vAlign w:val="bottom"/>
          </w:tcPr>
          <w:p w14:paraId="709DFBF5" w14:textId="77777777"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vAlign w:val="bottom"/>
          </w:tcPr>
          <w:p w14:paraId="77D7D62B" w14:textId="77777777" w:rsidR="00C2080B" w:rsidRPr="007923C2" w:rsidRDefault="00C2080B" w:rsidP="0030772E">
            <w:pPr>
              <w:jc w:val="both"/>
              <w:rPr>
                <w:rFonts w:ascii="Arial" w:hAnsi="Arial" w:cs="Arial"/>
                <w:sz w:val="22"/>
                <w:szCs w:val="22"/>
              </w:rPr>
            </w:pPr>
          </w:p>
        </w:tc>
        <w:tc>
          <w:tcPr>
            <w:tcW w:w="1560" w:type="dxa"/>
            <w:tcBorders>
              <w:top w:val="nil"/>
              <w:left w:val="nil"/>
              <w:bottom w:val="single" w:sz="8" w:space="0" w:color="auto"/>
              <w:right w:val="single" w:sz="8" w:space="0" w:color="auto"/>
            </w:tcBorders>
            <w:vAlign w:val="bottom"/>
          </w:tcPr>
          <w:p w14:paraId="2E402CAE" w14:textId="77777777" w:rsidR="00C2080B" w:rsidRPr="007923C2" w:rsidRDefault="00C2080B" w:rsidP="0030772E">
            <w:pPr>
              <w:jc w:val="both"/>
              <w:rPr>
                <w:rFonts w:ascii="Arial" w:hAnsi="Arial" w:cs="Arial"/>
                <w:sz w:val="22"/>
                <w:szCs w:val="22"/>
              </w:rPr>
            </w:pPr>
          </w:p>
        </w:tc>
        <w:tc>
          <w:tcPr>
            <w:tcW w:w="0" w:type="dxa"/>
            <w:tcBorders>
              <w:top w:val="nil"/>
              <w:left w:val="nil"/>
              <w:bottom w:val="nil"/>
              <w:right w:val="nil"/>
            </w:tcBorders>
            <w:vAlign w:val="bottom"/>
          </w:tcPr>
          <w:p w14:paraId="6EFEC8D4" w14:textId="77777777" w:rsidR="00C2080B" w:rsidRPr="007923C2" w:rsidRDefault="00C2080B" w:rsidP="0030772E">
            <w:pPr>
              <w:jc w:val="both"/>
              <w:rPr>
                <w:rFonts w:ascii="Arial" w:hAnsi="Arial" w:cs="Arial"/>
                <w:sz w:val="22"/>
                <w:szCs w:val="22"/>
              </w:rPr>
            </w:pPr>
          </w:p>
        </w:tc>
      </w:tr>
      <w:tr w:rsidR="00C2080B" w:rsidRPr="007923C2" w14:paraId="43ED92CE" w14:textId="77777777" w:rsidTr="0030772E">
        <w:trPr>
          <w:trHeight w:val="335"/>
        </w:trPr>
        <w:tc>
          <w:tcPr>
            <w:tcW w:w="1480" w:type="dxa"/>
            <w:gridSpan w:val="2"/>
            <w:tcBorders>
              <w:top w:val="nil"/>
              <w:left w:val="single" w:sz="8" w:space="0" w:color="auto"/>
              <w:bottom w:val="nil"/>
              <w:right w:val="nil"/>
            </w:tcBorders>
            <w:vAlign w:val="bottom"/>
          </w:tcPr>
          <w:p w14:paraId="15754419"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Importaciones</w:t>
            </w:r>
          </w:p>
        </w:tc>
        <w:tc>
          <w:tcPr>
            <w:tcW w:w="120" w:type="dxa"/>
            <w:tcBorders>
              <w:top w:val="nil"/>
              <w:left w:val="nil"/>
              <w:bottom w:val="nil"/>
              <w:right w:val="single" w:sz="8" w:space="0" w:color="auto"/>
            </w:tcBorders>
            <w:vAlign w:val="bottom"/>
          </w:tcPr>
          <w:p w14:paraId="4EC239AA" w14:textId="77777777"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vAlign w:val="bottom"/>
          </w:tcPr>
          <w:p w14:paraId="0C2B0CA5"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23,908</w:t>
            </w:r>
          </w:p>
        </w:tc>
        <w:tc>
          <w:tcPr>
            <w:tcW w:w="1220" w:type="dxa"/>
            <w:tcBorders>
              <w:top w:val="nil"/>
              <w:left w:val="nil"/>
              <w:bottom w:val="nil"/>
              <w:right w:val="single" w:sz="8" w:space="0" w:color="auto"/>
            </w:tcBorders>
            <w:vAlign w:val="bottom"/>
          </w:tcPr>
          <w:p w14:paraId="6A90E045"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27,693</w:t>
            </w:r>
          </w:p>
        </w:tc>
        <w:tc>
          <w:tcPr>
            <w:tcW w:w="1460" w:type="dxa"/>
            <w:tcBorders>
              <w:top w:val="nil"/>
              <w:left w:val="nil"/>
              <w:bottom w:val="nil"/>
              <w:right w:val="single" w:sz="8" w:space="0" w:color="auto"/>
            </w:tcBorders>
            <w:vAlign w:val="bottom"/>
          </w:tcPr>
          <w:p w14:paraId="52F89819"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31,735</w:t>
            </w:r>
          </w:p>
        </w:tc>
        <w:tc>
          <w:tcPr>
            <w:tcW w:w="1420" w:type="dxa"/>
            <w:tcBorders>
              <w:top w:val="nil"/>
              <w:left w:val="nil"/>
              <w:bottom w:val="nil"/>
              <w:right w:val="single" w:sz="8" w:space="0" w:color="auto"/>
            </w:tcBorders>
            <w:vAlign w:val="bottom"/>
          </w:tcPr>
          <w:p w14:paraId="25EFD98A"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25,089</w:t>
            </w:r>
          </w:p>
        </w:tc>
        <w:tc>
          <w:tcPr>
            <w:tcW w:w="1420" w:type="dxa"/>
            <w:tcBorders>
              <w:top w:val="nil"/>
              <w:left w:val="nil"/>
              <w:bottom w:val="nil"/>
              <w:right w:val="single" w:sz="8" w:space="0" w:color="auto"/>
            </w:tcBorders>
            <w:vAlign w:val="bottom"/>
          </w:tcPr>
          <w:p w14:paraId="7D795088"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28,997</w:t>
            </w:r>
          </w:p>
        </w:tc>
        <w:tc>
          <w:tcPr>
            <w:tcW w:w="1560" w:type="dxa"/>
            <w:tcBorders>
              <w:top w:val="nil"/>
              <w:left w:val="nil"/>
              <w:bottom w:val="nil"/>
              <w:right w:val="single" w:sz="8" w:space="0" w:color="auto"/>
            </w:tcBorders>
            <w:vAlign w:val="bottom"/>
          </w:tcPr>
          <w:p w14:paraId="32136399"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34,798</w:t>
            </w:r>
          </w:p>
        </w:tc>
        <w:tc>
          <w:tcPr>
            <w:tcW w:w="0" w:type="dxa"/>
            <w:tcBorders>
              <w:top w:val="nil"/>
              <w:left w:val="nil"/>
              <w:bottom w:val="nil"/>
              <w:right w:val="nil"/>
            </w:tcBorders>
            <w:vAlign w:val="bottom"/>
          </w:tcPr>
          <w:p w14:paraId="2CE0B787" w14:textId="77777777" w:rsidR="00C2080B" w:rsidRPr="007923C2" w:rsidRDefault="00C2080B" w:rsidP="0030772E">
            <w:pPr>
              <w:jc w:val="both"/>
              <w:rPr>
                <w:rFonts w:ascii="Arial" w:hAnsi="Arial" w:cs="Arial"/>
                <w:sz w:val="22"/>
                <w:szCs w:val="22"/>
              </w:rPr>
            </w:pPr>
          </w:p>
        </w:tc>
      </w:tr>
      <w:tr w:rsidR="00C2080B" w:rsidRPr="007923C2" w14:paraId="3354F3E2" w14:textId="77777777" w:rsidTr="0030772E">
        <w:trPr>
          <w:trHeight w:val="126"/>
        </w:trPr>
        <w:tc>
          <w:tcPr>
            <w:tcW w:w="1480" w:type="dxa"/>
            <w:gridSpan w:val="2"/>
            <w:tcBorders>
              <w:top w:val="nil"/>
              <w:left w:val="single" w:sz="8" w:space="0" w:color="auto"/>
              <w:bottom w:val="single" w:sz="8" w:space="0" w:color="auto"/>
              <w:right w:val="nil"/>
            </w:tcBorders>
            <w:vAlign w:val="bottom"/>
          </w:tcPr>
          <w:p w14:paraId="0C25BDBC" w14:textId="77777777" w:rsidR="00C2080B" w:rsidRPr="007923C2" w:rsidRDefault="00C2080B" w:rsidP="0030772E">
            <w:pPr>
              <w:jc w:val="both"/>
              <w:rPr>
                <w:rFonts w:ascii="Arial" w:hAnsi="Arial" w:cs="Arial"/>
                <w:sz w:val="22"/>
                <w:szCs w:val="22"/>
              </w:rPr>
            </w:pPr>
          </w:p>
        </w:tc>
        <w:tc>
          <w:tcPr>
            <w:tcW w:w="120" w:type="dxa"/>
            <w:tcBorders>
              <w:top w:val="nil"/>
              <w:left w:val="nil"/>
              <w:bottom w:val="single" w:sz="8" w:space="0" w:color="auto"/>
              <w:right w:val="single" w:sz="8" w:space="0" w:color="auto"/>
            </w:tcBorders>
            <w:vAlign w:val="bottom"/>
          </w:tcPr>
          <w:p w14:paraId="1EEC810F" w14:textId="77777777"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vAlign w:val="bottom"/>
          </w:tcPr>
          <w:p w14:paraId="721FD2EB" w14:textId="77777777"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vAlign w:val="bottom"/>
          </w:tcPr>
          <w:p w14:paraId="49EB8399" w14:textId="77777777" w:rsidR="00C2080B" w:rsidRPr="007923C2" w:rsidRDefault="00C2080B" w:rsidP="0030772E">
            <w:pPr>
              <w:jc w:val="both"/>
              <w:rPr>
                <w:rFonts w:ascii="Arial" w:hAnsi="Arial" w:cs="Arial"/>
                <w:sz w:val="22"/>
                <w:szCs w:val="22"/>
              </w:rPr>
            </w:pPr>
          </w:p>
        </w:tc>
        <w:tc>
          <w:tcPr>
            <w:tcW w:w="1460" w:type="dxa"/>
            <w:tcBorders>
              <w:top w:val="nil"/>
              <w:left w:val="nil"/>
              <w:bottom w:val="single" w:sz="8" w:space="0" w:color="auto"/>
              <w:right w:val="single" w:sz="8" w:space="0" w:color="auto"/>
            </w:tcBorders>
            <w:vAlign w:val="bottom"/>
          </w:tcPr>
          <w:p w14:paraId="6B2452BB" w14:textId="77777777"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vAlign w:val="bottom"/>
          </w:tcPr>
          <w:p w14:paraId="6B86BB14" w14:textId="77777777"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vAlign w:val="bottom"/>
          </w:tcPr>
          <w:p w14:paraId="2AC3E4E1" w14:textId="77777777" w:rsidR="00C2080B" w:rsidRPr="007923C2" w:rsidRDefault="00C2080B" w:rsidP="0030772E">
            <w:pPr>
              <w:jc w:val="both"/>
              <w:rPr>
                <w:rFonts w:ascii="Arial" w:hAnsi="Arial" w:cs="Arial"/>
                <w:sz w:val="22"/>
                <w:szCs w:val="22"/>
              </w:rPr>
            </w:pPr>
          </w:p>
        </w:tc>
        <w:tc>
          <w:tcPr>
            <w:tcW w:w="1560" w:type="dxa"/>
            <w:tcBorders>
              <w:top w:val="nil"/>
              <w:left w:val="nil"/>
              <w:bottom w:val="single" w:sz="8" w:space="0" w:color="auto"/>
              <w:right w:val="single" w:sz="8" w:space="0" w:color="auto"/>
            </w:tcBorders>
            <w:vAlign w:val="bottom"/>
          </w:tcPr>
          <w:p w14:paraId="383053E5" w14:textId="77777777" w:rsidR="00C2080B" w:rsidRPr="007923C2" w:rsidRDefault="00C2080B" w:rsidP="0030772E">
            <w:pPr>
              <w:jc w:val="both"/>
              <w:rPr>
                <w:rFonts w:ascii="Arial" w:hAnsi="Arial" w:cs="Arial"/>
                <w:sz w:val="22"/>
                <w:szCs w:val="22"/>
              </w:rPr>
            </w:pPr>
          </w:p>
        </w:tc>
        <w:tc>
          <w:tcPr>
            <w:tcW w:w="0" w:type="dxa"/>
            <w:tcBorders>
              <w:top w:val="nil"/>
              <w:left w:val="nil"/>
              <w:bottom w:val="nil"/>
              <w:right w:val="nil"/>
            </w:tcBorders>
            <w:vAlign w:val="bottom"/>
          </w:tcPr>
          <w:p w14:paraId="310F4EF6" w14:textId="77777777" w:rsidR="00C2080B" w:rsidRPr="007923C2" w:rsidRDefault="00C2080B" w:rsidP="0030772E">
            <w:pPr>
              <w:jc w:val="both"/>
              <w:rPr>
                <w:rFonts w:ascii="Arial" w:hAnsi="Arial" w:cs="Arial"/>
                <w:sz w:val="22"/>
                <w:szCs w:val="22"/>
              </w:rPr>
            </w:pPr>
          </w:p>
        </w:tc>
      </w:tr>
      <w:tr w:rsidR="00C2080B" w:rsidRPr="007923C2" w14:paraId="1EBB8080" w14:textId="77777777" w:rsidTr="0030772E">
        <w:trPr>
          <w:trHeight w:val="334"/>
        </w:trPr>
        <w:tc>
          <w:tcPr>
            <w:tcW w:w="1480" w:type="dxa"/>
            <w:gridSpan w:val="2"/>
            <w:tcBorders>
              <w:top w:val="nil"/>
              <w:left w:val="single" w:sz="8" w:space="0" w:color="auto"/>
              <w:bottom w:val="nil"/>
              <w:right w:val="nil"/>
            </w:tcBorders>
            <w:vAlign w:val="bottom"/>
          </w:tcPr>
          <w:p w14:paraId="5D1CE7A3"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Saldo</w:t>
            </w:r>
          </w:p>
        </w:tc>
        <w:tc>
          <w:tcPr>
            <w:tcW w:w="120" w:type="dxa"/>
            <w:tcBorders>
              <w:top w:val="nil"/>
              <w:left w:val="nil"/>
              <w:bottom w:val="nil"/>
              <w:right w:val="single" w:sz="8" w:space="0" w:color="auto"/>
            </w:tcBorders>
            <w:vAlign w:val="bottom"/>
          </w:tcPr>
          <w:p w14:paraId="38EF3D72" w14:textId="77777777"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vAlign w:val="bottom"/>
          </w:tcPr>
          <w:p w14:paraId="4D15011A"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-7,587</w:t>
            </w:r>
          </w:p>
        </w:tc>
        <w:tc>
          <w:tcPr>
            <w:tcW w:w="1220" w:type="dxa"/>
            <w:tcBorders>
              <w:top w:val="nil"/>
              <w:left w:val="nil"/>
              <w:bottom w:val="nil"/>
              <w:right w:val="single" w:sz="8" w:space="0" w:color="auto"/>
            </w:tcBorders>
            <w:vAlign w:val="bottom"/>
          </w:tcPr>
          <w:p w14:paraId="39D80F3F"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-10,333</w:t>
            </w:r>
          </w:p>
        </w:tc>
        <w:tc>
          <w:tcPr>
            <w:tcW w:w="1460" w:type="dxa"/>
            <w:tcBorders>
              <w:top w:val="nil"/>
              <w:left w:val="nil"/>
              <w:bottom w:val="nil"/>
              <w:right w:val="single" w:sz="8" w:space="0" w:color="auto"/>
            </w:tcBorders>
            <w:vAlign w:val="bottom"/>
          </w:tcPr>
          <w:p w14:paraId="30CDC4B2"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-12,846</w:t>
            </w:r>
          </w:p>
        </w:tc>
        <w:tc>
          <w:tcPr>
            <w:tcW w:w="1420" w:type="dxa"/>
            <w:tcBorders>
              <w:top w:val="nil"/>
              <w:left w:val="nil"/>
              <w:bottom w:val="nil"/>
              <w:right w:val="single" w:sz="8" w:space="0" w:color="auto"/>
            </w:tcBorders>
            <w:vAlign w:val="bottom"/>
          </w:tcPr>
          <w:p w14:paraId="60FFAE37"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-6,872</w:t>
            </w:r>
          </w:p>
        </w:tc>
        <w:tc>
          <w:tcPr>
            <w:tcW w:w="1420" w:type="dxa"/>
            <w:tcBorders>
              <w:top w:val="nil"/>
              <w:left w:val="nil"/>
              <w:bottom w:val="nil"/>
              <w:right w:val="single" w:sz="8" w:space="0" w:color="auto"/>
            </w:tcBorders>
            <w:vAlign w:val="bottom"/>
          </w:tcPr>
          <w:p w14:paraId="4BCB4DBF"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-8,381</w:t>
            </w:r>
          </w:p>
        </w:tc>
        <w:tc>
          <w:tcPr>
            <w:tcW w:w="1560" w:type="dxa"/>
            <w:tcBorders>
              <w:top w:val="nil"/>
              <w:left w:val="nil"/>
              <w:bottom w:val="nil"/>
              <w:right w:val="single" w:sz="8" w:space="0" w:color="auto"/>
            </w:tcBorders>
            <w:vAlign w:val="bottom"/>
          </w:tcPr>
          <w:p w14:paraId="51726317" w14:textId="77777777" w:rsidR="00C2080B" w:rsidRPr="007923C2" w:rsidRDefault="00C2080B" w:rsidP="0030772E">
            <w:pPr>
              <w:jc w:val="both"/>
              <w:rPr>
                <w:rFonts w:ascii="Arial" w:hAnsi="Arial" w:cs="Arial"/>
                <w:sz w:val="22"/>
                <w:szCs w:val="22"/>
              </w:rPr>
            </w:pPr>
            <w:r w:rsidRPr="007923C2">
              <w:rPr>
                <w:rFonts w:ascii="Arial" w:hAnsi="Arial" w:cs="Arial"/>
                <w:sz w:val="22"/>
                <w:szCs w:val="22"/>
              </w:rPr>
              <w:t>-10,057</w:t>
            </w:r>
          </w:p>
        </w:tc>
        <w:tc>
          <w:tcPr>
            <w:tcW w:w="0" w:type="dxa"/>
            <w:tcBorders>
              <w:top w:val="nil"/>
              <w:left w:val="nil"/>
              <w:bottom w:val="nil"/>
              <w:right w:val="nil"/>
            </w:tcBorders>
            <w:vAlign w:val="bottom"/>
          </w:tcPr>
          <w:p w14:paraId="2C5046DE" w14:textId="77777777" w:rsidR="00C2080B" w:rsidRPr="007923C2" w:rsidRDefault="00C2080B" w:rsidP="0030772E">
            <w:pPr>
              <w:jc w:val="both"/>
              <w:rPr>
                <w:rFonts w:ascii="Arial" w:hAnsi="Arial" w:cs="Arial"/>
                <w:sz w:val="22"/>
                <w:szCs w:val="22"/>
              </w:rPr>
            </w:pPr>
          </w:p>
        </w:tc>
      </w:tr>
      <w:tr w:rsidR="00C2080B" w:rsidRPr="007923C2" w14:paraId="15AAC5A8" w14:textId="77777777" w:rsidTr="0030772E">
        <w:trPr>
          <w:trHeight w:val="126"/>
        </w:trPr>
        <w:tc>
          <w:tcPr>
            <w:tcW w:w="100" w:type="dxa"/>
            <w:tcBorders>
              <w:top w:val="nil"/>
              <w:left w:val="single" w:sz="8" w:space="0" w:color="auto"/>
              <w:bottom w:val="single" w:sz="8" w:space="0" w:color="auto"/>
              <w:right w:val="nil"/>
            </w:tcBorders>
            <w:vAlign w:val="bottom"/>
          </w:tcPr>
          <w:p w14:paraId="1A3D7DC7" w14:textId="77777777" w:rsidR="00C2080B" w:rsidRPr="007923C2" w:rsidRDefault="00C2080B" w:rsidP="0030772E">
            <w:pPr>
              <w:jc w:val="both"/>
              <w:rPr>
                <w:rFonts w:ascii="Arial" w:hAnsi="Arial" w:cs="Arial"/>
                <w:sz w:val="22"/>
                <w:szCs w:val="22"/>
              </w:rPr>
            </w:pPr>
          </w:p>
        </w:tc>
        <w:tc>
          <w:tcPr>
            <w:tcW w:w="1380" w:type="dxa"/>
            <w:tcBorders>
              <w:top w:val="nil"/>
              <w:left w:val="nil"/>
              <w:bottom w:val="single" w:sz="8" w:space="0" w:color="auto"/>
              <w:right w:val="nil"/>
            </w:tcBorders>
            <w:vAlign w:val="bottom"/>
          </w:tcPr>
          <w:p w14:paraId="440EF583" w14:textId="77777777" w:rsidR="00C2080B" w:rsidRPr="007923C2" w:rsidRDefault="00C2080B" w:rsidP="0030772E">
            <w:pPr>
              <w:jc w:val="both"/>
              <w:rPr>
                <w:rFonts w:ascii="Arial" w:hAnsi="Arial" w:cs="Arial"/>
                <w:sz w:val="22"/>
                <w:szCs w:val="22"/>
              </w:rPr>
            </w:pPr>
          </w:p>
        </w:tc>
        <w:tc>
          <w:tcPr>
            <w:tcW w:w="120" w:type="dxa"/>
            <w:tcBorders>
              <w:top w:val="nil"/>
              <w:left w:val="nil"/>
              <w:bottom w:val="single" w:sz="8" w:space="0" w:color="auto"/>
              <w:right w:val="single" w:sz="8" w:space="0" w:color="auto"/>
            </w:tcBorders>
            <w:vAlign w:val="bottom"/>
          </w:tcPr>
          <w:p w14:paraId="0CED819A" w14:textId="77777777"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vAlign w:val="bottom"/>
          </w:tcPr>
          <w:p w14:paraId="0E91B0B6" w14:textId="77777777"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vAlign w:val="bottom"/>
          </w:tcPr>
          <w:p w14:paraId="0634FFB3" w14:textId="77777777" w:rsidR="00C2080B" w:rsidRPr="007923C2" w:rsidRDefault="00C2080B" w:rsidP="0030772E">
            <w:pPr>
              <w:jc w:val="both"/>
              <w:rPr>
                <w:rFonts w:ascii="Arial" w:hAnsi="Arial" w:cs="Arial"/>
                <w:sz w:val="22"/>
                <w:szCs w:val="22"/>
              </w:rPr>
            </w:pPr>
          </w:p>
        </w:tc>
        <w:tc>
          <w:tcPr>
            <w:tcW w:w="1460" w:type="dxa"/>
            <w:tcBorders>
              <w:top w:val="nil"/>
              <w:left w:val="nil"/>
              <w:bottom w:val="single" w:sz="8" w:space="0" w:color="auto"/>
              <w:right w:val="single" w:sz="8" w:space="0" w:color="auto"/>
            </w:tcBorders>
            <w:vAlign w:val="bottom"/>
          </w:tcPr>
          <w:p w14:paraId="3A4237BD" w14:textId="77777777"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vAlign w:val="bottom"/>
          </w:tcPr>
          <w:p w14:paraId="196132F7" w14:textId="77777777"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vAlign w:val="bottom"/>
          </w:tcPr>
          <w:p w14:paraId="40ECF763" w14:textId="77777777" w:rsidR="00C2080B" w:rsidRPr="007923C2" w:rsidRDefault="00C2080B" w:rsidP="0030772E">
            <w:pPr>
              <w:jc w:val="both"/>
              <w:rPr>
                <w:rFonts w:ascii="Arial" w:hAnsi="Arial" w:cs="Arial"/>
                <w:sz w:val="22"/>
                <w:szCs w:val="22"/>
              </w:rPr>
            </w:pPr>
          </w:p>
        </w:tc>
        <w:tc>
          <w:tcPr>
            <w:tcW w:w="1560" w:type="dxa"/>
            <w:tcBorders>
              <w:top w:val="nil"/>
              <w:left w:val="nil"/>
              <w:bottom w:val="single" w:sz="8" w:space="0" w:color="auto"/>
              <w:right w:val="single" w:sz="8" w:space="0" w:color="auto"/>
            </w:tcBorders>
            <w:vAlign w:val="bottom"/>
          </w:tcPr>
          <w:p w14:paraId="5DDB59A5" w14:textId="77777777" w:rsidR="00C2080B" w:rsidRPr="007923C2" w:rsidRDefault="00C2080B" w:rsidP="0030772E">
            <w:pPr>
              <w:jc w:val="both"/>
              <w:rPr>
                <w:rFonts w:ascii="Arial" w:hAnsi="Arial" w:cs="Arial"/>
                <w:sz w:val="22"/>
                <w:szCs w:val="22"/>
              </w:rPr>
            </w:pPr>
          </w:p>
        </w:tc>
        <w:tc>
          <w:tcPr>
            <w:tcW w:w="0" w:type="dxa"/>
            <w:tcBorders>
              <w:top w:val="nil"/>
              <w:left w:val="nil"/>
              <w:bottom w:val="nil"/>
              <w:right w:val="nil"/>
            </w:tcBorders>
            <w:vAlign w:val="bottom"/>
          </w:tcPr>
          <w:p w14:paraId="430AF020" w14:textId="77777777" w:rsidR="00C2080B" w:rsidRPr="007923C2" w:rsidRDefault="00C2080B" w:rsidP="0030772E">
            <w:pPr>
              <w:jc w:val="both"/>
              <w:rPr>
                <w:rFonts w:ascii="Arial" w:hAnsi="Arial" w:cs="Arial"/>
                <w:sz w:val="22"/>
                <w:szCs w:val="22"/>
              </w:rPr>
            </w:pPr>
          </w:p>
        </w:tc>
      </w:tr>
    </w:tbl>
    <w:p w14:paraId="536D8330" w14:textId="77777777" w:rsidR="00C2080B" w:rsidRPr="007923C2" w:rsidRDefault="00C2080B" w:rsidP="00C2080B">
      <w:pPr>
        <w:jc w:val="both"/>
        <w:rPr>
          <w:rFonts w:ascii="Arial" w:hAnsi="Arial" w:cs="Arial"/>
          <w:sz w:val="22"/>
          <w:szCs w:val="22"/>
        </w:rPr>
      </w:pPr>
      <w:r w:rsidRPr="007923C2">
        <w:rPr>
          <w:rFonts w:ascii="Arial" w:hAnsi="Arial" w:cs="Arial"/>
          <w:sz w:val="22"/>
          <w:szCs w:val="22"/>
        </w:rPr>
        <w:t>Fuente: Banco de Información Económica (BIE), INEGI</w:t>
      </w:r>
    </w:p>
    <w:p w14:paraId="2B4EBB61" w14:textId="77777777" w:rsidR="00C2080B" w:rsidRDefault="00383BB1" w:rsidP="00C2080B">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894272" behindDoc="0" locked="0" layoutInCell="1" allowOverlap="1" wp14:anchorId="5BC08180" wp14:editId="0334F83A">
            <wp:simplePos x="0" y="0"/>
            <wp:positionH relativeFrom="margin">
              <wp:align>left</wp:align>
            </wp:positionH>
            <wp:positionV relativeFrom="paragraph">
              <wp:posOffset>952500</wp:posOffset>
            </wp:positionV>
            <wp:extent cx="4417695" cy="2295525"/>
            <wp:effectExtent l="0" t="0" r="190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17695" cy="2295525"/>
                    </a:xfrm>
                    <a:prstGeom prst="rect">
                      <a:avLst/>
                    </a:prstGeom>
                    <a:noFill/>
                  </pic:spPr>
                </pic:pic>
              </a:graphicData>
            </a:graphic>
          </wp:anchor>
        </w:drawing>
      </w:r>
      <w:r w:rsidR="00C2080B" w:rsidRPr="007923C2">
        <w:rPr>
          <w:rFonts w:ascii="Arial" w:hAnsi="Arial" w:cs="Arial"/>
          <w:sz w:val="22"/>
          <w:szCs w:val="22"/>
        </w:rPr>
        <w:t>En promedio de 2006 a 2011, el 66% de las exportaciones agroindustriales corresponden a alimentos procesados y bebidas, e industria de la madera y el papel; mientras que el 34% corresponden a los productos agrícolas, pecuarios y pesqueros. Dentro de las exportaciones agrícolas: destacan el jitomate, el pimiento, el aguacate, las frutas como papaya, melón y sandía, el café en grano y los cítricos.</w:t>
      </w:r>
    </w:p>
    <w:p w14:paraId="06774425" w14:textId="77777777" w:rsidR="00383BB1" w:rsidRPr="007923C2" w:rsidRDefault="00383BB1" w:rsidP="00C2080B">
      <w:pPr>
        <w:jc w:val="both"/>
        <w:rPr>
          <w:rFonts w:ascii="Arial" w:hAnsi="Arial" w:cs="Arial"/>
          <w:sz w:val="22"/>
          <w:szCs w:val="22"/>
        </w:rPr>
      </w:pPr>
    </w:p>
    <w:p w14:paraId="287DF2FE" w14:textId="77777777" w:rsidR="006E47B2" w:rsidRPr="007923C2" w:rsidRDefault="006E47B2" w:rsidP="00C2080B">
      <w:pPr>
        <w:jc w:val="both"/>
        <w:rPr>
          <w:rFonts w:ascii="Arial" w:hAnsi="Arial" w:cs="Arial"/>
          <w:sz w:val="22"/>
          <w:szCs w:val="22"/>
        </w:rPr>
      </w:pPr>
    </w:p>
    <w:p w14:paraId="02DFD2EB" w14:textId="77777777" w:rsidR="006E47B2" w:rsidRPr="007923C2" w:rsidRDefault="006E47B2" w:rsidP="00C2080B">
      <w:pPr>
        <w:jc w:val="both"/>
        <w:rPr>
          <w:rFonts w:ascii="Arial" w:hAnsi="Arial" w:cs="Arial"/>
          <w:sz w:val="22"/>
          <w:szCs w:val="22"/>
        </w:rPr>
      </w:pPr>
    </w:p>
    <w:p w14:paraId="5FAB3046" w14:textId="77777777" w:rsidR="00C2080B" w:rsidRDefault="00C2080B" w:rsidP="00C2080B">
      <w:pPr>
        <w:jc w:val="both"/>
        <w:rPr>
          <w:rFonts w:ascii="Arial" w:hAnsi="Arial" w:cs="Arial"/>
          <w:noProof/>
          <w:sz w:val="22"/>
          <w:szCs w:val="22"/>
        </w:rPr>
      </w:pPr>
    </w:p>
    <w:p w14:paraId="4567E265" w14:textId="77777777" w:rsidR="00583D21" w:rsidRDefault="00583D21" w:rsidP="00C2080B">
      <w:pPr>
        <w:jc w:val="both"/>
        <w:rPr>
          <w:rFonts w:ascii="Arial" w:hAnsi="Arial" w:cs="Arial"/>
          <w:noProof/>
          <w:sz w:val="22"/>
          <w:szCs w:val="22"/>
        </w:rPr>
      </w:pPr>
    </w:p>
    <w:p w14:paraId="3D651BED" w14:textId="77777777" w:rsidR="00702E40" w:rsidRDefault="00702E40" w:rsidP="00C2080B">
      <w:pPr>
        <w:jc w:val="both"/>
        <w:rPr>
          <w:rFonts w:ascii="Arial" w:hAnsi="Arial" w:cs="Arial"/>
          <w:noProof/>
          <w:sz w:val="22"/>
          <w:szCs w:val="22"/>
        </w:rPr>
      </w:pPr>
    </w:p>
    <w:p w14:paraId="6AED27C4" w14:textId="77777777" w:rsidR="00583D21" w:rsidRDefault="00583D21" w:rsidP="00C2080B">
      <w:pPr>
        <w:jc w:val="both"/>
        <w:rPr>
          <w:rFonts w:ascii="Arial" w:hAnsi="Arial" w:cs="Arial"/>
          <w:noProof/>
          <w:sz w:val="22"/>
          <w:szCs w:val="22"/>
        </w:rPr>
      </w:pPr>
    </w:p>
    <w:p w14:paraId="271B6DC9" w14:textId="77777777" w:rsidR="00583D21" w:rsidRDefault="00583D21" w:rsidP="00C2080B">
      <w:pPr>
        <w:jc w:val="both"/>
        <w:rPr>
          <w:rFonts w:ascii="Arial" w:hAnsi="Arial" w:cs="Arial"/>
          <w:sz w:val="22"/>
          <w:szCs w:val="22"/>
        </w:rPr>
      </w:pPr>
    </w:p>
    <w:p w14:paraId="624F7AEE" w14:textId="77777777" w:rsidR="00702E40" w:rsidRPr="007923C2" w:rsidRDefault="00702E40" w:rsidP="00C2080B">
      <w:pPr>
        <w:jc w:val="both"/>
        <w:rPr>
          <w:rFonts w:ascii="Arial" w:hAnsi="Arial" w:cs="Arial"/>
          <w:sz w:val="22"/>
          <w:szCs w:val="22"/>
        </w:rPr>
      </w:pPr>
    </w:p>
    <w:p w14:paraId="1E2BDE2B"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Fuente: Banco de Información Económica (BIE), INEGI</w:t>
      </w:r>
    </w:p>
    <w:p w14:paraId="13F6EC11"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Dentro del ramo agroindustrial se incluyen exportaciones e importaciones de la industria de la madera y el papel. No se incluye la industria del cuero ya que está considerada en la rama textil.</w:t>
      </w:r>
    </w:p>
    <w:p w14:paraId="02CB16DB"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Por otra parte, en cuanto a las importaciones; el 58% corresponde a alimentos y bebidas, e industria de la madera y papel, mientras que el 42% corresponde a los productos agrícolas, pecuarios y pesqueros. Los productos agrícolas que destacan en importaciones son: soya, maíz, trigo, leche, algodón, sorgo, pescado, arroz y manzanas.</w:t>
      </w:r>
    </w:p>
    <w:p w14:paraId="44387865" w14:textId="77777777" w:rsidR="000E24F5" w:rsidRPr="007923C2" w:rsidRDefault="002C12FE" w:rsidP="000E24F5">
      <w:pPr>
        <w:jc w:val="both"/>
        <w:rPr>
          <w:rFonts w:ascii="Arial" w:hAnsi="Arial" w:cs="Arial"/>
          <w:sz w:val="22"/>
          <w:szCs w:val="22"/>
        </w:rPr>
      </w:pPr>
      <w:r w:rsidRPr="007923C2">
        <w:rPr>
          <w:rFonts w:ascii="Arial" w:hAnsi="Arial" w:cs="Arial"/>
          <w:sz w:val="22"/>
          <w:szCs w:val="22"/>
        </w:rPr>
        <w:t>I</w:t>
      </w:r>
      <w:r w:rsidR="000E24F5" w:rsidRPr="007923C2">
        <w:rPr>
          <w:rFonts w:ascii="Arial" w:hAnsi="Arial" w:cs="Arial"/>
          <w:sz w:val="22"/>
          <w:szCs w:val="22"/>
        </w:rPr>
        <w:t>mportaciones sector agroindustrial 2006-2011</w:t>
      </w:r>
    </w:p>
    <w:p w14:paraId="456F944F" w14:textId="77777777" w:rsidR="000E24F5" w:rsidRPr="007923C2" w:rsidRDefault="000E24F5" w:rsidP="0007413A">
      <w:pPr>
        <w:rPr>
          <w:rFonts w:ascii="Arial" w:hAnsi="Arial" w:cs="Arial"/>
          <w:sz w:val="22"/>
          <w:szCs w:val="22"/>
        </w:rPr>
      </w:pPr>
      <w:r w:rsidRPr="007923C2">
        <w:rPr>
          <w:rFonts w:ascii="Arial" w:hAnsi="Arial" w:cs="Arial"/>
          <w:noProof/>
          <w:sz w:val="22"/>
          <w:szCs w:val="22"/>
        </w:rPr>
        <w:drawing>
          <wp:anchor distT="0" distB="0" distL="114300" distR="114300" simplePos="0" relativeHeight="251770368" behindDoc="0" locked="0" layoutInCell="1" allowOverlap="1" wp14:anchorId="22236BB0" wp14:editId="43E715A2">
            <wp:simplePos x="0" y="0"/>
            <wp:positionH relativeFrom="margin">
              <wp:align>center</wp:align>
            </wp:positionH>
            <wp:positionV relativeFrom="paragraph">
              <wp:posOffset>0</wp:posOffset>
            </wp:positionV>
            <wp:extent cx="4715510" cy="2972435"/>
            <wp:effectExtent l="0" t="0" r="0" b="0"/>
            <wp:wrapSquare wrapText="bothSides"/>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15510" cy="2972435"/>
                    </a:xfrm>
                    <a:prstGeom prst="rect">
                      <a:avLst/>
                    </a:prstGeom>
                    <a:noFill/>
                  </pic:spPr>
                </pic:pic>
              </a:graphicData>
            </a:graphic>
          </wp:anchor>
        </w:drawing>
      </w:r>
      <w:r w:rsidRPr="007923C2">
        <w:rPr>
          <w:rFonts w:ascii="Arial" w:hAnsi="Arial" w:cs="Arial"/>
          <w:sz w:val="22"/>
          <w:szCs w:val="22"/>
        </w:rPr>
        <w:t>Fuente: Banco de Información Económica (BIE), INEGI</w:t>
      </w:r>
    </w:p>
    <w:p w14:paraId="6D2FCE47"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PRODUCCION AGRICOLA EN MEXICO</w:t>
      </w:r>
    </w:p>
    <w:p w14:paraId="5E096E15"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Aunque en México la agricultura ocupa un nivel bajo en cuanto al producto interno bruto y a los ingresos en general del país, sigue siendo una de las actividades principales de México al emplear a aproximadamente 10% de la población, por la obvia razón de que la producción de alimentos es fundamental para cualquier nación. Los 10 productos que más se producen en el campo mexicano son: Maíz grano, Caña de azúcar, pastos, sorgo grano, tomate, aguacate, chile verde, papa y alfalfa verde.</w:t>
      </w:r>
    </w:p>
    <w:p w14:paraId="2AD0F1DF"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Las actividades primarias de la agroindustria son: agricultura, cría y explotación de ganado, aprovechamiento forestal, pesca, caza y captura. El sector secundario de la agroindustria se ubica dentro de la industria manufacturera en la división de alimentos procesados y bebidas. La forman 12 ramas: carnes y lácteos, frutas y legumbres, molienda de trigo, molienda de nixtamal, beneficio y molienda de café, azúcar, aceites y grasas comestibles, alimentos para animales, otros productos alimenticios, bebidas alcohólicas, cerveza y malta, refrescos y aguas gaseosas, mismas que a su vez se dividen en 23 clases de actividades.</w:t>
      </w:r>
    </w:p>
    <w:p w14:paraId="2CDBD47A"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De estas 12 ramas las más importantes a nivel nacional en cuanto a su valor de producción son: carnes y lácteos, otros productos alimenticios (incluye: preparación y envasado de pescados y mariscos, dulces, golosinas, frituras, etc.), refrescos y aguas, molienda de maíz, cerveza y malta y molienda de trigo.</w:t>
      </w:r>
    </w:p>
    <w:p w14:paraId="0873055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diversidad de México y la brecha en el desarrollo económico entre sectores se refleja claramente en el ámbito agropecuario y en el agroindustrial, al presentar una enorme diversidad en las operaciones que las diferentes empresas, negocios y comercios desarrollan. Además, la diversidad se presenta desde los mismos factores de producción y el recurso humano que utilizan. Lo anterior, trae como consecuencia que la gama de retos y oportunidades del sector sea tan compleja, pero a su vez con tanto potencial.</w:t>
      </w:r>
    </w:p>
    <w:p w14:paraId="3FA0BD36"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Esta diversidad no se limita a lo regional, siendo en el mismo sector identificable, por ejemplo, los sectores exportadores altamente competitivos y los sectores con mercados regionales establecidos, contrastando con sectores de muy bajos niveles de competitividad y segmentos en nivel de subsistencia. Existen en nuestro </w:t>
      </w:r>
      <w:bookmarkStart w:id="8" w:name="page35"/>
      <w:bookmarkEnd w:id="8"/>
      <w:r w:rsidRPr="007923C2">
        <w:rPr>
          <w:rFonts w:ascii="Arial" w:hAnsi="Arial" w:cs="Arial"/>
          <w:sz w:val="22"/>
          <w:szCs w:val="22"/>
        </w:rPr>
        <w:t>país diferentes tipos de empresas agroindustriales que se han desarrollado de distintas formas en diversos segmentos tales como:</w:t>
      </w:r>
    </w:p>
    <w:p w14:paraId="14879BF5"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Corporaciones trasnacionales establecidas en México, que implementan productos y procesos en México con altos estándares de calidad y eficiencia. Muchas de estas empresas están enfocadas al mercado mexicano, sin embargo en muchos casos han utilizado a México para participar en otros mercados internacionales. Estas empresas realizan operaciones de integración con el campo mexicano a través de la generación de proveedores.</w:t>
      </w:r>
    </w:p>
    <w:p w14:paraId="3176C997" w14:textId="2DDDC71D" w:rsidR="000E24F5" w:rsidRPr="007923C2" w:rsidRDefault="000E24F5" w:rsidP="000E24F5">
      <w:pPr>
        <w:jc w:val="both"/>
        <w:rPr>
          <w:rFonts w:ascii="Arial" w:hAnsi="Arial" w:cs="Arial"/>
          <w:sz w:val="22"/>
          <w:szCs w:val="22"/>
        </w:rPr>
      </w:pPr>
      <w:r w:rsidRPr="007923C2">
        <w:rPr>
          <w:rFonts w:ascii="Arial" w:hAnsi="Arial" w:cs="Arial"/>
          <w:sz w:val="22"/>
          <w:szCs w:val="22"/>
        </w:rPr>
        <w:t>Corporaciones mexicanas que han evolucionado a trasnacionales con operaciones en otros países, que de forma similar al caso anterior, han logrado un desarrollo del sector así como de sus proveedores, empleados y de la calidad, exportando así sus operaciones y productos a otros países en todo el mundo. A diferencia de las corporaciones extranjeras, muchas de estas empresas han iniciado su desarrollo desde etapas incipientes para así generar un desarrollo conjuntamente con sus proveedores, evolucionando en la calidad de sus factores de producción. Por mencionar algunos otros ejemplos de este tipo de corporaciones mexicanas están: Sigma Alimentos, Lala, Bimbo, Grupo Modelo,</w:t>
      </w:r>
      <w:r w:rsidR="00DD4003">
        <w:rPr>
          <w:rFonts w:ascii="Arial" w:hAnsi="Arial" w:cs="Arial"/>
          <w:sz w:val="22"/>
          <w:szCs w:val="22"/>
        </w:rPr>
        <w:t xml:space="preserve"> </w:t>
      </w:r>
      <w:r w:rsidRPr="007923C2">
        <w:rPr>
          <w:rFonts w:ascii="Arial" w:hAnsi="Arial" w:cs="Arial"/>
          <w:sz w:val="22"/>
          <w:szCs w:val="22"/>
        </w:rPr>
        <w:t>Jumex y Gruma.</w:t>
      </w:r>
    </w:p>
    <w:p w14:paraId="3520798D"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Empresas grandes mexicanas, que logran una gran calidad en el sector, que tienen un desarrollo similar a las corporaciones mexicanas exportadoras, logrando en ciertos casos la exportación de sus productos. Al igual que las corporaciones mencionadas en los puntos anteriores, el desarrollo de su cadena de proveedores y de suministro de recursos, la eficiencia de los sistemas y la búsqueda de la calidad, han logrado que se transmita el desarrollo de estas empresas a los productores agrícolas del sector primario, los cuales en muchos casos han generado una evolución significativa en sus operaciones. Este desarrollo permite al sector rural la generación de oportunidades en diferentes ámbitos, que para el caso que nos interesa, puede desarrollar áreas como calidad, mejor capacitación de los productores y en su caso mayores oportunidades de crecimiento mediante sistemas de financiamiento, producción, tecnologías, etc. En este caso, podemos mencionar algunos ejemplos como Grupo Alpura, RenyPicot, Albamex, Bafar, Bachoco, Qualtia, La Costeña, Grupo Zaragoza entre otras.</w:t>
      </w:r>
    </w:p>
    <w:p w14:paraId="39E3EBF1"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Empresas medianas y pequeñas que han evolucionado a posicionarse claramente en su sector agrícola o agroindustrial con una evolución en la tecnología y recursos humanos que emplean. Muchas de estas empresas se agrupan en clústers agroindustriales-regionales, en donde adoptan uno o varios de los posicionamientos anteriores, dependiendo de las operaciones que deseen realizar. Por ejemplo, en el caso del “Clúster” de Tequila en Jalisco, la conjunción de empresas ha permitido que más de 100 empresas tequileras puedan tener una mayor participación en el mercado por medio de la promoción y mercadotecnia que existe para la región y para la industria. Muchos de estos clusters agrícolas y agroindustriales se han posicionado en los mercados internacionales, destacan en ello el cluster de aguacate en Michoacán, tomate en Sinaloa, lácteos en la comarca lagunera y Chihuahua, limón persa en Veracruz y Tabasco, entre otros muchos. Estos agrupamientos han consolidado sus estructuras a través de la creación de los sistemas producto a nivel nacional y estatal</w:t>
      </w:r>
      <w:r w:rsidR="00A9501E" w:rsidRPr="007923C2">
        <w:rPr>
          <w:rFonts w:ascii="Arial" w:hAnsi="Arial" w:cs="Arial"/>
          <w:sz w:val="22"/>
          <w:szCs w:val="22"/>
        </w:rPr>
        <w:t>.</w:t>
      </w:r>
    </w:p>
    <w:p w14:paraId="77DF4E9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Productores agrícolas y agroindustriales independientes, se han desarrollado en una amplia red tanto para el sector agropecuario como para el agroindustrial a lo largo y ancho del país. Los niveles de desarrollo de estas empresas son muy variados, porque no sólo se enfrentan a los retos de producción y regionalización, sino a la complejidad en el desarrollo de sistemas eficientes en los aspectos económicos, tecnológicos, legales y en términos de acceso a servicios financieros, entre otros.</w:t>
      </w:r>
    </w:p>
    <w:p w14:paraId="4CD71973"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Productores agrícolas de subsistencia. Forman una estructura muy amplia a nivel nacional y operan con niveles muy bajos de rentabilidad, la producción en gran parte de los casos es para su propia alimentación o en la región de influencia. Presentan retos muy amplios principalmente debido a la dispersión, pobreza y carencia de recursos que enfrentan</w:t>
      </w:r>
    </w:p>
    <w:p w14:paraId="72F830E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Considerando esta amplia diversidad y complejidad de los productores agrícolas y agroindustriales de México se observa claramente un sector empresarial creciente y un amplio sector agrícola enfocado a la subsistencia y con grandes limitaciones.</w:t>
      </w:r>
    </w:p>
    <w:p w14:paraId="36793635" w14:textId="77777777" w:rsidR="000E24F5" w:rsidRPr="007923C2" w:rsidRDefault="000E24F5" w:rsidP="000E24F5">
      <w:pPr>
        <w:jc w:val="both"/>
        <w:rPr>
          <w:rFonts w:ascii="Arial" w:hAnsi="Arial" w:cs="Arial"/>
          <w:sz w:val="22"/>
          <w:szCs w:val="22"/>
        </w:rPr>
      </w:pPr>
      <w:bookmarkStart w:id="9" w:name="page37"/>
      <w:bookmarkEnd w:id="9"/>
      <w:r w:rsidRPr="007923C2">
        <w:rPr>
          <w:rFonts w:ascii="Arial" w:hAnsi="Arial" w:cs="Arial"/>
          <w:sz w:val="22"/>
          <w:szCs w:val="22"/>
        </w:rPr>
        <w:t>UN SECTOR EN CONSTANTE CAMBIO Y EVOLUCION</w:t>
      </w:r>
    </w:p>
    <w:p w14:paraId="632167E4"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Comerciales internacionales, que le han generado una mayor competencia internacional y nuevos y complejos retos, ha mantenido un proceso constante de cambio y evolución. Algunos de estos cambios han sido los siguientes: agrícolas. La introducción de nuevos sistemas de riego y la incorporación de mejores técnicas productivas ha impactado en el aumento de los rendimientos y productividad de muchos cultivos. Ejemplos son el incremento en productividad en maíz amarillo, manzana, leche, frutas y hortalizas en invernaderos, entre otros Nuevos proceso de transformación. La introducción de nuevos procesos de transformación y almacenamiento ha generado nuevos niveles de competitividad en varios sectores. Ejemplos de ellos es la evolución en el número de obradores y rastros TIF, nuevas empresas transformadoras de productos lácteos, refrigeración de atmosfera controlada, etc. Sectores exportadores consolidados. La apertura comercial ha permitido el posicionamiento de ciertos segmentos agropecuarios en los mercados internacionales. Algunos ejemplos notables son: exportación de hortalizas de Sonora y Sinaloa, exportación de Café Mexicano, exportación de tequila, exportación de aguacate de Michoacán, ganado en pie en el norte de México, entre otros </w:t>
      </w:r>
    </w:p>
    <w:p w14:paraId="139B9176"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cambio también ha implicado la pérdida de competitividad de gran número de segmentos y el cierre de operaciones de muchas agroindustrias, especialmente micros y pequeñas empresas.</w:t>
      </w:r>
    </w:p>
    <w:p w14:paraId="52282A77"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Estos cambios han generado complejos paradigmas donde conviven en las mismas regiones empresas con niveles de competitividad a nivel internacional y empresas con operaciones agroindustriales con grandes retrasos y niveles de supervivencia.</w:t>
      </w:r>
    </w:p>
    <w:p w14:paraId="69F205D3"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En la última década el valor de la producción agrícola en México ha sido de alrededor de 330 mil millones de pesos. La superficie que se cosecha anualmente es aproximadamente de 20 millones de hectáreas, de las cuales cerca de 6 millones son de cultivos perenne y 14 millones corresponden a cultivos anuales. Del total de la superficie cosechada anualmente, alrededor de 5 millones de hectáreas son de riego y poco menos de 15 millones de hectáreas corresponde a cultivos de temporal. La producción agrícola por riego aporta cerca de la mitad del valor de la producción nacional, aún cuando la superficie de riego representa menos del 25% de la tierra cultivada. Las zonas noroeste, norte y centro occidente del país concentran 80.7% de este tipo de superficie. En Coahuila la superficie de riego representa el 53%.En México del 77% de la superficie bajo riego se realiza por gravedad. La mayor parte del área bajo riego no está tecnificada, por lo que hay un amplio margen para hacer más eficiente el uso del agua, lo que favorecería tanto el ahorro del recurso como el incremento en la productividad de los cultivos </w:t>
      </w:r>
    </w:p>
    <w:p w14:paraId="04D64D64"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agricultura se realiza en 4 millones de unidades productivas que siembran aproximadamente 20 millones de hectáreas. Sólo 240 mil unidades (6%) son altamente eficientes y rentables, dedicadas principalmente al cultivo de hortalizas, frutales y productos orgánicos. Un 18% de las unidades dedicadas principalmente a cultivos básicos, están en transición hacia un nivel alto en productividad y competitividad y un amplio sector con más de tres millones de unidades (76%) son muy pequeñas explotaciones que producen principalmente maíz y frijol para autoconsumo. Un elemento importante es el hecho de que en los últimos anos el incremento de la demanda y precios de la gran parte de los productos agrícolas y frutícolas ha propiciado un crecimiento acelerados de la llamada agricultura empresarial. Esta tendencia se presenta principalmente en los estados de Sonora, Sinaloa, Chihuahua, Comarca Lagunera, Jalisco y Guanajuato.</w:t>
      </w:r>
    </w:p>
    <w:p w14:paraId="2C63B1B9"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estructura agrícola ha experimentado importantes cambios en los últimos seis años la superficie sembrada de los diez principales cultivos disminuyó a una tasa media anual de 1.8%; la producción, en cambio, registró un incremento promedio de 0.6% anual debido a que el aumento en los rendimientos compensó sobradamente la reducción del área. La productividad promedio aumentó prácticamente en todos los cultivos básicos, a excepción del cártamo y ajonjolí. Por otra parte, las superficies destinadas a la producción de hortalizas y frutales registraron una tendencia creciente y la utilizada para la producción de cultivos industriales y forrajeros permaneció estable. México no contribuye de manera relevante a la oferta internacional de cultivos básicos, pero es un importante exportador de frutas y hortalizas al mercado estadounidense.</w:t>
      </w:r>
    </w:p>
    <w:p w14:paraId="07A5C91F"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Una característica de la producción agrícola en México es la elevada fragmentación de la tierra; cerca del 80 % de los productores agrícolas poseen predios menores a cinco hectáreas, en los cuales gran parte de su producción se destina a satisfacer parcialmente sus necesidades alimenticias a través del autoconsumo. En los estados del sur casi la mitad de la superficie agropecuaria (45%) corresponde al régimen ejidal, en los estados del centro esa proporción disminuye a 34% y en el norte a 29%.</w:t>
      </w:r>
    </w:p>
    <w:p w14:paraId="7E21659A"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La estructura productiva de las actividades agropecuarias tiene características muy diferentes en los ámbitos regionales. Por ejemplo, los productores agropecuarios del norte del país, principalmente árido y semiárido, cuentan con una mayor extensión de tierra para desarrollar sus actividades, ya que </w:t>
      </w:r>
      <w:r w:rsidRPr="007923C2">
        <w:rPr>
          <w:rFonts w:ascii="Arial" w:hAnsi="Arial" w:cs="Arial"/>
          <w:sz w:val="22"/>
          <w:szCs w:val="22"/>
        </w:rPr>
        <w:lastRenderedPageBreak/>
        <w:t>el tamaño promedio de los predios rurales es mayor en más de ocho veces al tamaño de los predios del centro y sur del país, en los que predominan los climas templado y tropical, respectivamente.</w:t>
      </w:r>
    </w:p>
    <w:p w14:paraId="6243BFC0"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estas regiones se han logrado altos niveles de productividad y eficiencia derivados de procesos de inversión en tecnologías de riego más eficientes, equipamiento y maquinaria agrícola así como incorporación de técnicos al sector.</w:t>
      </w:r>
    </w:p>
    <w:p w14:paraId="5C201DDD"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país tiene una importante riqueza por su diversidad y gran potencial, debido a las características geográficas, ecológicas, demográficas, económicas y socioculturales inherentes a cada región y entidad federativa, pero a su vez también representan limitantes para su desarrollo productivo y social</w:t>
      </w:r>
    </w:p>
    <w:p w14:paraId="57267D74"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La agricultura protegida ha presentado una rápida expansión en México en los últimos años. Actualmente existen cerca de 4 mil hectáreas con estructuras equipadas y otras 3 mil hectáreas de túneles, cubiertas de plástico y casas de malla sombra. La mayor superficie de la agricultura protegida está dedicada a hortalizas para exportación (jitomate, pimiento, pepino, lechugas, plantas ornamentales y flores) cuya producción genera alrededor de 500 millones de dólares anuales. Al igual que en muchas partes del mundo, en México ha crecido la agricultura orgánica. La gran diversidad agro climatológica y la disponibilidad de mano de obra de México significan condiciones propicias para el cultivo de los productos orgánicos y permiten condiciones con ventajas competitivas para consolidar un importante posicionamiento como país exportador de estos productos en el mercado mundial. Actualmente, la producción de orgánicos en el país la realizan alrededor de 85 mil productores en más de 300 mil hectáreas (aproximadamente1.4% de la superficie agrícola total), 85% de esta producción se destina a la exportación, generando divisas por más de 300 millones de dólares anuales. El marco legal e institucional que se ha generado para apoyar la producción agrícola en México es muy amplio y ha sido diseñado para instrumentar la política de libre comercio agropecuario en el país al desmantelar en un plazo de quince años (de 1993 a 2008) el sistema de precios de garantía, de precios subsidiados de los agroquímicos, de tarifas de servicio del agua de riego y de tasas de interés preferenciales, así como la inducción del mercado de tierras con la Ley Agraria. </w:t>
      </w:r>
      <w:bookmarkStart w:id="10" w:name="page47"/>
      <w:bookmarkEnd w:id="10"/>
    </w:p>
    <w:p w14:paraId="7AA7A0A1"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MÉXICO Y LOS PRODUCTOS ORGÁNICOS</w:t>
      </w:r>
    </w:p>
    <w:p w14:paraId="0BCA4A5C"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COMERCIO EXTERIOR 2003.</w:t>
      </w:r>
    </w:p>
    <w:p w14:paraId="6A93674A"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mercado de alimentos y productos orgánicos se desarrolla y expande de manera muy acelerada. Ningún otro grupo de productos agropecuarios registra tasas de crecimiento de la producción por arriba de 20% anual y tiene, además, la particularidad de que todavía no puede satisfacer la demanda, como sucede con los de carácter orgánico en Europa, Japón y América del Norte. Las ventas de alimentos orgánicos crecieron en varias zonas del mundo: de 10 000 millones de dólares en 1997 a 20 000 millones en 2002 La agricultura orgánica se practica en casi todos los países del mundo, entre los cuales México figura como líder del café orgánico.</w:t>
      </w:r>
    </w:p>
    <w:p w14:paraId="33EE60BE"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agricultura orgánica, ecológica o biológica se define como un sistema de producción que utiliza insumos naturales rechaza los insumos de síntesis química (fertilizantes, insecticidas, plaguicidas) y los organismos genéticamente modificados mediante prácticas especiales como composta, abonos  y que hoy en día ocupan el décimo quinto lugar de la superficie orgánica mundial, con 103 000 hectáreas.</w:t>
      </w:r>
    </w:p>
    <w:p w14:paraId="5B023136"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El desarrollo del mercado mundial de productos orgánicos y la importancia de México en él a la luz de los siguientes aspectos.</w:t>
      </w:r>
    </w:p>
    <w:p w14:paraId="7E26DCCC"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Principales características del mercado orgánico mundial.</w:t>
      </w:r>
    </w:p>
    <w:p w14:paraId="33F18BCD"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Ubicación general de la agricultura orgánica en el mundo.</w:t>
      </w:r>
    </w:p>
    <w:p w14:paraId="548CFD8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Caracterización de la agricultura orgánica de México en función del mercado (surgimiento, dinamismo, importancia económica y social, tipos de agricultura orgánica, productos y destino de la producción).</w:t>
      </w:r>
    </w:p>
    <w:p w14:paraId="3FE71DE0"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Papel complementario de la oferta mexicana de productos orgánicos en el abastecimiento de la demanda mundial y su competitividad frente a la producción orgánica de otros países.</w:t>
      </w:r>
    </w:p>
    <w:p w14:paraId="2072018E"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       Propuesta de estrategia para el desarrollo de la agricultura orgánica nacional en aras de ganarse una buena posición en los nuevos mercados ecológicos, desarrollar el mercado nacional y consolidar opciones de progreso para los agricultores, campesinos e indígenas.</w:t>
      </w:r>
    </w:p>
    <w:p w14:paraId="50B25CA2"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Una gran oportunidad para los productores mexicanos es el desarrollo del mercado nacional orgánico, sobre todo si se ajusta a las condiciones del país y busca sobreprecios menores, de tal forma que los productos sean accesibles a un mayor número de consumidores</w:t>
      </w:r>
    </w:p>
    <w:p w14:paraId="6598879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Para que los productos obtenidos de esta forma de producción sean reconocidos en el mercado como orgánicos requieren la validación de certificadoras: organismos con reconocimiento internacional, pero ajenos tanto a los productores como a los consumidores. Esto significa que el simple hecho de no utilizar insumos sintéticos no basta para que el producto sea reconocido como orgánico; debe pasar por fuerza por un proceso de inspección, verificación y posterior certificación; en el caso de las exportaciones debe ser certificado por un organismo del país importador. Todo ello genera costos que repercuten en los precios al consumidor, quien debe estar dispuesto a cubrirlos. Hasta la fecha, los productos orgánicos alcanzan un sobreprecio de 20 a 40 por ciento respecto a su similar convencional.</w:t>
      </w:r>
    </w:p>
    <w:p w14:paraId="2796BCC5"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respuesta a la demanda externa, México comenzó en el decenio de los noventa a desarrollar con rapidez sistemas orgánicos de producción, sobre todo en productos tropicales y de invierno que no se pueden cultivar en los países.</w:t>
      </w:r>
    </w:p>
    <w:p w14:paraId="5CD4904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Organización Mundial de Comercio (OMC) y la Organización de las Naciones Unidas para la Agricultura y la Alimentación (FAO) coinciden en que los principales mercados demandantes de productos orgánicos se encuentran en Europa, Estados Unidos y Japón, países industrializados cuya población se caracteriza por sus altos ingresos.</w:t>
      </w:r>
    </w:p>
    <w:p w14:paraId="61AFF544"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la Unión Europea se ha registrado desde 1991 un crecimiento de 25% anual de las ventas. Los cálculos de la demanda futura varían: 55% en el Reino Unido, 30</w:t>
      </w:r>
      <w:r w:rsidRPr="007923C2">
        <w:rPr>
          <w:rFonts w:ascii="Arial" w:hAnsi="Arial" w:cs="Arial"/>
          <w:sz w:val="22"/>
          <w:szCs w:val="22"/>
        </w:rPr>
        <w:softHyphen/>
        <w:t>40% en Dinamarca y Suecia, 30-35% en Suiza, 25-3</w:t>
      </w:r>
      <w:r w:rsidR="00583D21">
        <w:rPr>
          <w:rFonts w:ascii="Arial" w:hAnsi="Arial" w:cs="Arial"/>
          <w:sz w:val="22"/>
          <w:szCs w:val="22"/>
        </w:rPr>
        <w:t>0% en Holanda y 20% en Francia</w:t>
      </w:r>
    </w:p>
    <w:p w14:paraId="36612D1C"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A medida en que los consumidores estadounidenses comenzaron a conocer estos productos y tuvieron un más fácil acceso a ellos, la venta de alimentos orgánicos creció 22.74% de 1991 a 2001. De continuar esta tendencia, se prevén ventas de casi 20 000 millones de dólares en 2005.</w:t>
      </w:r>
    </w:p>
    <w:p w14:paraId="490C6B3B"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No obstante, el mercado de productos orgánicos todavía tiene características de nicho por los bajos volúmenes de venta y su oferta predominante en establecimientos especiales de difícil acceso para todos los consumidores. En los principales países consumidores, no más de 2.5% de las ventas de </w:t>
      </w:r>
      <w:r w:rsidRPr="007923C2">
        <w:rPr>
          <w:rFonts w:ascii="Arial" w:hAnsi="Arial" w:cs="Arial"/>
          <w:sz w:val="22"/>
          <w:szCs w:val="22"/>
        </w:rPr>
        <w:lastRenderedPageBreak/>
        <w:t>alimentos en 2001 se cubrieron con productos orgánicos. En países en desarrollo, como México, este porcentaje es infinitamente menor.</w:t>
      </w:r>
    </w:p>
    <w:p w14:paraId="7C7A8B06"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La tendencia hacia el futuro la marcan países como Dinamarca, donde varios de los alimentos orgánicos ya han salido del mencionado nicho. En ese país, 22% del harina consumida proviene de sistemas de producción orgánica, al igual que 20% de la leche, 13% del huevo, 12% de la zanahoria y 7% de la papa.10 Dinamarca también es el país con el mayor gasto por habitante en alimentos orgánicos (113.59 dólares en 2000). </w:t>
      </w:r>
    </w:p>
    <w:p w14:paraId="04346829"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No obstante, los mayores crecimientos en el gasto per cápita se han registrado en Suecia y Nueva Zelandia: 262% y 388%, respectivamente, de 1997 a 2000. De acuerdo con la experiencia de estos países, los expertos calculan que los alimentos orgánicos podrán alcanzar una participación en el total del mercado del orden de 10% en los países desarrollados.</w:t>
      </w:r>
    </w:p>
    <w:p w14:paraId="698C8D7C"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frecuencia de compra es un indicador para conocer la dinámica del mercado e identificar las perspectivas de los exportadores mexicanos. En Estados Unidos, el número de habitantes interesados en comprar alimentos orgánicos creció de 46% en 1991 a 91% en 2000. Hoy en día, más de un tercio de los consumidores hace compras regulares de productos orgánicos, mientras que 60% manifestó tener interés por hacerlo en el futuro. En Alemania, 94% de los consumidores entrevistados dijeron estar interesados en comprar productos orgánicos. En Dinamarca, 47% de las familias compran productos orgánicos y 15% lo hace siempre que los productos están disponibles. Además, las encuestas revelan que los consumidores daneses sienten la obligación moral de comprar más de estos productos, a raíz de la mayor conciencia de los daños causados por la agricultura convencional al medio ambiente. En Italia, de 100 consumidores 70 conocen los productos orgánicos y 40 ya los ha comprado, aunque sólo 4% los adquiere al menos dos veces a la semana.</w:t>
      </w:r>
    </w:p>
    <w:p w14:paraId="501CCEC6"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¿Por qué la gente compra alimentos orgánicos?</w:t>
      </w:r>
    </w:p>
    <w:p w14:paraId="7C355E03"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Los motivos para comprar alimentos orgánicos suelen ser los beneficios para la salud, la preocupación por la conservación del medio ambiente y el sabor y la frescura que caracterizan a estos alimentos. No obstante, el orden de su importanci</w:t>
      </w:r>
      <w:r w:rsidR="00583D21">
        <w:rPr>
          <w:rFonts w:ascii="Arial" w:hAnsi="Arial" w:cs="Arial"/>
          <w:sz w:val="22"/>
          <w:szCs w:val="22"/>
        </w:rPr>
        <w:t>a varía mucho por región y país</w:t>
      </w:r>
      <w:r w:rsidRPr="007923C2">
        <w:rPr>
          <w:rFonts w:ascii="Arial" w:hAnsi="Arial" w:cs="Arial"/>
          <w:sz w:val="22"/>
          <w:szCs w:val="22"/>
        </w:rPr>
        <w:t>, por los antecedentes y la fuerza política del movimiento verde, la conciencia de la población y el papel del Estado en el fomento de la producción y el consumo. No por nada los escándalos sobre las vacas locas, por ejemplo, motivaron a muchos consumidores a adquirir con más frecuencia productos orgánicos.</w:t>
      </w:r>
    </w:p>
    <w:p w14:paraId="2664A25C"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Las encuestas realizadas sobre estas motivaciones revelan que el consumidor de productos orgánicos se distingue en el conjunto de los consumidores porque sabe identificar y cuantificar lo que adquiere y tiene exigencias mayores en cuanto a la calidad de los alimentos. En la medida en que los productores y los comerciantes logren satisfacer estas expectativas será posible expandir la demanda de los alimentos orgánicos. </w:t>
      </w:r>
    </w:p>
    <w:p w14:paraId="7DB57444"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Encuestas realizadas en Estados Unidos y Canadá distinguen entre compradores fuertes y ligeros. En ambos países resalta el hecho de que los consumidores de productos orgánicos sean los que tienen una mejor preparación académica y no precisamente quienes tienen un mejor ingreso; también destacan aquellos que tienen una mayor educación relacionada con los alimentos y conocimiento sobre las prácticas de producción orgánicas. A su vez, sobresalen los consumidores que son padres jóvenes, interesados en la salud de sus hijos y en la calidad de su alimentación, quienes consideran que los productos orgánicos cumplen ambas características.</w:t>
      </w:r>
    </w:p>
    <w:p w14:paraId="353A548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Un elemento importante que se debe considerar es que incluso quienes consumen productos orgánicos con frecuencia y que se sienten atraídos por comprarlos toman en cuenta los mismos factores, como precio, disponibilidad, conveniencia. Los consumidores se distinguen por su motivación, valores y principios. Los resultados de las encuestas demuestran que los productos orgánicos se deben dirigir a la población joven, tanto por su mayor capacidad de aceptación cuanto para crear una demanda futura duradera.</w:t>
      </w:r>
    </w:p>
    <w:p w14:paraId="19C9BAC1"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Alimentos orgánicos demandados</w:t>
      </w:r>
    </w:p>
    <w:p w14:paraId="6B0E2D51"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Los productos orgánicos con mayor demanda en orden de importancia son: verduras y legumbres, frutas, cereales, carne y lácteos. Sin embargo, existen diferencias de acuerdo con los hábitos de consumo, la facilidad de su cultivo (resistencia a plagas) y la posibilidad de adquirirlos.</w:t>
      </w:r>
    </w:p>
    <w:p w14:paraId="19ED66E7"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Europa se registra un mayor consumo de vegetales, cereales, productos lácteos, papas y frutas.17 En Estados Unidos destacan los vegetales y las frutas frescas. Un estudio del Hartman Group muestra que los productos más comprados por los estadounidenses son, en orden decreciente, frutas y verduras frescas; frutas secas y nueces; café, té y cacao; hierbas y especias; oleaginosas y derivados, y granos.</w:t>
      </w:r>
    </w:p>
    <w:p w14:paraId="439163BD"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mayor mercado de Asia es Japón, donde predomina la demanda de arroz, seguida del té.</w:t>
      </w:r>
    </w:p>
    <w:p w14:paraId="3BAC2FDD"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Asimismo, también avanza el mercado de productos orgánicos no alimenticios: forrajes necesarios para producir cárnicos, lácteos y huevos orgánicos, insumos naturales (semillas, plaguicidas e insecticidas naturales), flores de corte y maceta, además de cosméticos, textiles, artículos de limpieza y madera y sus productos.20 En fin, todos los requerimientos de la vida pueden satisfacerse con productos orgánicos.</w:t>
      </w:r>
    </w:p>
    <w:p w14:paraId="57B501D5"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Canales de comercialización</w:t>
      </w:r>
    </w:p>
    <w:p w14:paraId="56142C55" w14:textId="20207B06"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Un factor importante del éxito de los productos orgánicos es su accesibilidad. Los alimentos orgánicos llegan a los consumidores por medio de tres canales principales: 1) comercio de alimentos convencionales: supermercados, hipermercados nacionales de comercialización también desempeñan un papel importante las políticas agrícola y alimentaria de cada país. En Alemania, cuando a principios de 2001 los consumidores estaban confundidos sobre la inocuidad de </w:t>
      </w:r>
      <w:r w:rsidR="001F23E0">
        <w:rPr>
          <w:rFonts w:ascii="Arial" w:hAnsi="Arial" w:cs="Arial"/>
          <w:noProof/>
          <w:sz w:val="22"/>
          <w:szCs w:val="22"/>
        </w:rPr>
        <mc:AlternateContent>
          <mc:Choice Requires="wps">
            <w:drawing>
              <wp:anchor distT="0" distB="0" distL="0" distR="0" simplePos="0" relativeHeight="251772416" behindDoc="1" locked="0" layoutInCell="1" allowOverlap="1" wp14:anchorId="1335B867" wp14:editId="70B9B9F9">
                <wp:simplePos x="0" y="0"/>
                <wp:positionH relativeFrom="column">
                  <wp:posOffset>0</wp:posOffset>
                </wp:positionH>
                <wp:positionV relativeFrom="paragraph">
                  <wp:posOffset>8392160</wp:posOffset>
                </wp:positionV>
                <wp:extent cx="5586730" cy="133350"/>
                <wp:effectExtent l="0" t="0" r="13970" b="0"/>
                <wp:wrapSquare wrapText="bothSides"/>
                <wp:docPr id="17"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673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E94CE" w14:textId="77777777" w:rsidR="001C2EB7" w:rsidRDefault="001C2EB7" w:rsidP="000E24F5">
                            <w:pPr>
                              <w:spacing w:line="208" w:lineRule="auto"/>
                              <w:ind w:right="144"/>
                              <w:jc w:val="right"/>
                              <w:rPr>
                                <w:rFonts w:ascii="Arial" w:hAnsi="Arial"/>
                                <w:color w:val="00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35B867" id="_x0000_t202" coordsize="21600,21600" o:spt="202" path="m,l,21600r21600,l21600,xe">
                <v:stroke joinstyle="miter"/>
                <v:path gradientshapeok="t" o:connecttype="rect"/>
              </v:shapetype>
              <v:shape id="Cuadro de texto 17" o:spid="_x0000_s1026" type="#_x0000_t202" style="position:absolute;left:0;text-align:left;margin-left:0;margin-top:660.8pt;width:439.9pt;height:10.5pt;z-index:-2515440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" filled="f" stroked="f">
                <v:textbox inset="0,0,0,0">
                  <w:txbxContent>
                    <w:p w14:paraId="118E94CE" w14:textId="77777777" w:rsidR="001C2EB7" w:rsidRDefault="001C2EB7" w:rsidP="000E24F5">
                      <w:pPr>
                        <w:spacing w:line="208" w:lineRule="auto"/>
                        <w:ind w:right="144"/>
                        <w:jc w:val="right"/>
                        <w:rPr>
                          <w:rFonts w:ascii="Arial" w:hAnsi="Arial"/>
                          <w:color w:val="000000"/>
                        </w:rPr>
                      </w:pPr>
                    </w:p>
                  </w:txbxContent>
                </v:textbox>
                <w10:wrap type="square"/>
              </v:shape>
            </w:pict>
          </mc:Fallback>
        </mc:AlternateContent>
      </w:r>
      <w:r w:rsidRPr="007923C2">
        <w:rPr>
          <w:rFonts w:ascii="Arial" w:hAnsi="Arial" w:cs="Arial"/>
          <w:sz w:val="22"/>
          <w:szCs w:val="22"/>
        </w:rPr>
        <w:t>productos cárnicos a raíz de enfermedades en el sector pecuario, la Secretaría de Agricultura y Alimentación de ese país lanzó un nuevo y ambicioso programa de apoyo a la agricultura orgánica, a la vez que motivó a los supermercados a ampliar su oferta de bienes orgánicos.</w:t>
      </w:r>
    </w:p>
    <w:p w14:paraId="5EF59E8E"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Las ventas directas del movimiento "compre lo nacional" representan la forma inicial de penetración de los productos orgánicos en el mercado. Comprar así es un apoyo directo a los productores orgánicos de la región, conecta a la gente de la ciudad con el campo y la vida rural, y se tiene un menor efecto ecológico (bajos costos de transporte, empaque y distribución de los productos), entre otras características favorables.</w:t>
      </w:r>
    </w:p>
    <w:p w14:paraId="0FD09A16"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Esta forma de venta seguirá creciendo en el futuro en términos absolutos, pero va a perder importancia relativa frente a los supermercados.</w:t>
      </w:r>
    </w:p>
    <w:p w14:paraId="50B3F211"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En la Europa mediterránea y del este, así como para México, donde la comercialización se dirige casi en exclusiva a la exportación, el reto consiste en desarrollar formas y canales nacionales de venta, y tiendas 'de </w:t>
      </w:r>
      <w:r w:rsidRPr="007923C2">
        <w:rPr>
          <w:rFonts w:ascii="Arial" w:hAnsi="Arial" w:cs="Arial"/>
          <w:sz w:val="22"/>
          <w:szCs w:val="22"/>
        </w:rPr>
        <w:lastRenderedPageBreak/>
        <w:t>abarrotes; 2) tiendas especializadas: tiendas naturistas y Reforrnhaus, y  3) ventas directas: en la granja y los mercados semanales; cooperativas de consumo, suscripciones, clubes orgánicos. Los canales de venta varían según la estructura del comercio al menudeo y la disposición de los establecimientos tradicionales para incorporar estos productos.</w:t>
      </w:r>
    </w:p>
    <w:p w14:paraId="225A593C"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No obstante, parece existir la tendencia de una aceptación cada vez mayor, sobre todo por parte de los supermercados, en la medida en que crece la demanda. En el Reino Unido, Dinamarca, Finlandia, Austria y Portugal más de 70% del total se vende en los comercios convencionales, en particular en supermercados. Investigaciones recientes señalan que en los países donde se venden en este tipo de establecimientos es en los que más ha crecido el consumo.</w:t>
      </w:r>
    </w:p>
    <w:p w14:paraId="7F1E0B37"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dinámico y atractivo mercado de los alimentos orgánicos ha estimulado mucho la reconversión de la agricultura convencional hacia la orgánica. Aunque ésta existe desde el decenio de los años veinte y en los setenta se elaboraron las primeras normas para su producción, no fue sino hasta los noventa cuando empezó a despegar. Más de 80% de la actual superficie orgánica se incorporó a este sistema a partir de los últimos años 10 años del pasado siglo. Este lento despegue se debe a los fuertes apoyos políticos y económicos a la agricultura convencional, la subestimación de las consecuencias negativas de la agricultura intensiva en el uso de químicos y la negación casi generalizada de opciones para la producción convencional.</w:t>
      </w:r>
    </w:p>
    <w:p w14:paraId="3EA13491"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2001 había 16 millones de hectáreas orgánicas registradas en todo el mundo. Los dos países con mayor superficie orgánica eran Australia y Argentina (véase el cuadro 5), con 7.6 y 3 millones de hectáreas, respectivamente. Pero en estos casos se trata de superficies de pastoreo extensivo que en su producción de masa biológica no son comparables con las áreas agrícolas arables</w:t>
      </w:r>
      <w:r w:rsidR="008F1D4B" w:rsidRPr="007923C2">
        <w:rPr>
          <w:rFonts w:ascii="Arial" w:hAnsi="Arial" w:cs="Arial"/>
          <w:sz w:val="22"/>
          <w:szCs w:val="22"/>
        </w:rPr>
        <w:t>.</w:t>
      </w:r>
    </w:p>
    <w:p w14:paraId="496A749E"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Estados Unidos la superficie orgánica creció de 370 000 a 900 000 hectáreas en sólo 10 años. En Europa, el proceso de conversión ha sido mucho más espectacular, gracias a las favorables políticas gubernamentales de apoyo a esta agricultura.</w:t>
      </w:r>
    </w:p>
    <w:p w14:paraId="1408B85A"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Así, la superficie orgánica europea creció de 111 000 hectáreas en 1985 a casi 3.7 millones en 2001, lo que equivale a más de 2% de la superficie agrícola total y a 1.5% del total de las granjas (130 000).23 México ocupa el décimo quinto lugar, con casi 103 000 hectáreas.</w:t>
      </w:r>
    </w:p>
    <w:p w14:paraId="2D951E34"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Entre los países en los que ha crecido más de 25% por año la superficie destinada a cultivos orgánicos se encuentran Italia, España, Finlandia, Argentina, Dinamarca, Australia y el Reino Unido. Son siete las naciones cuya superficie orgánica rebasa 5% de su área total cultivada: Liechtenstein, con 17%; Austria, con 8.4%; Suiza, con 7.9%; Finlandia, con 6.8%; Italia, con 6.5%; Suecia, con 5.6%, y Dinamarca, con 5.5 por ciento.</w:t>
      </w:r>
    </w:p>
    <w:p w14:paraId="4CB46BA2"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apoyo gubernamental ha sido uno de los principales motores para la reconversión a la agricultura orgánica en todos estos países. Un estudio sobre la Unión Europea mostró que entre los principales factores para la adopción de este sistema de producción están las muestras de apoyo por parte del gobierno, la remoción de barreras institucionales, el acceso a la información de los productores, así como el interés por parte de los consumidores y la industria de alimentos.</w:t>
      </w:r>
    </w:p>
    <w:p w14:paraId="40920F47"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el caso de México aún no se cuenta con una política bien definida en la materia, aunque los instrumentos de la Alianza para el Campo se pueden dirigir a la producción orgánica.</w:t>
      </w:r>
    </w:p>
    <w:p w14:paraId="3E60E013"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De contarse con ésta, México podría generar una estrategia sustentable de desarrollo para las áreas rurales del país, ocupar una buena posición en una parte importante del mercado internacional y desarrollar el mercado interno de productos orgánicos. De no atender pronto esta situación, México mantendrá una desventaja competitiva en el mercado mundial y perderá una opción de desarrollo. Por último, es importante insistir en que la agricultura orgánica, a pesar de sus altas tasas de crecimiento y los apoyos para su desarrollo no va a sustituir la agricultura convencional en un lapso previsible, por limitaciones en la adaptación de las empresas y el bajo poder de compra de estratos importantes de la población. De hecho, la agricultura orgánica ha encontrado un ambiente más propicio en los países desarrollados, donde los presupuestos gubernamentales permiten su fomento. La lenta evolución en las naciones en desarrollo es resultado del retiro de los gobiernos de su función de fomento.</w:t>
      </w:r>
    </w:p>
    <w:p w14:paraId="2581051B"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Sin embargo, en la búsqueda de opciones de producción e ingreso, la producción orgánica para la exportación a los países con mayor demanda ha sido una alternativa viable.</w:t>
      </w:r>
    </w:p>
    <w:p w14:paraId="5EB541F4" w14:textId="51CA006F" w:rsidR="000E24F5" w:rsidRPr="007923C2" w:rsidRDefault="000E24F5" w:rsidP="000E24F5">
      <w:pPr>
        <w:jc w:val="both"/>
        <w:rPr>
          <w:rFonts w:ascii="Arial" w:hAnsi="Arial" w:cs="Arial"/>
          <w:sz w:val="22"/>
          <w:szCs w:val="22"/>
        </w:rPr>
      </w:pPr>
      <w:r w:rsidRPr="007923C2">
        <w:rPr>
          <w:rFonts w:ascii="Arial" w:hAnsi="Arial" w:cs="Arial"/>
          <w:sz w:val="22"/>
          <w:szCs w:val="22"/>
        </w:rPr>
        <w:t>PERSPECTIVA DE MERCADO</w:t>
      </w:r>
      <w:r w:rsidR="00643927">
        <w:rPr>
          <w:rFonts w:ascii="Arial" w:hAnsi="Arial" w:cs="Arial"/>
          <w:sz w:val="22"/>
          <w:szCs w:val="22"/>
        </w:rPr>
        <w:t xml:space="preserve"> </w:t>
      </w:r>
      <w:r w:rsidRPr="007923C2">
        <w:rPr>
          <w:rFonts w:ascii="Arial" w:hAnsi="Arial" w:cs="Arial"/>
          <w:sz w:val="22"/>
          <w:szCs w:val="22"/>
        </w:rPr>
        <w:t>DE LA AGRICULTURA ORGÁNICA DE MÉXICO</w:t>
      </w:r>
    </w:p>
    <w:p w14:paraId="6AB0046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introducción de la agricultura orgánica certificada en México responde a la mencionada tendencia posmaterialista y es resultado de influencias externas: comercializadoras, organizaciones no gubernamentales (ONG) y grupos religiosos (Teología de la Liberación), que fomentaron la apropiación de esta nueva forma de producir para poder surtir la demanda creada en los países desarrollados. Fue de esta manera como las comercializadoras de países desarrollados comenzaron a solicitar a diversos agentes de México la producción de ciertos productos orgánicos, la cual comenzó en áreas donde no se usaban productos de síntesis química como en las regiones indígenas y áreas de agricultura tradicional en Chiapas y Oaxaca. Más tarde, también compañías comercializadoras extranjeras influyeron en el cambio hacia la producción orgánica en la zona norte del país ofreciendo a productores privados financiamiento y capital para la producción de productos orgánicos.</w:t>
      </w:r>
    </w:p>
    <w:p w14:paraId="7DA5F0A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Hasta ahora la producción orgánica ha reaccionado y respondido al mercado, y parte de su éxito está vinculado con la constante demanda externa y la posibilidad de obtener precios premium en el mercado internacional. De esta manera, México se ha tornado más en productor-exportador orgánico que en consumidor (véase el cuadro 5); su producción orgánica le permite generar casi 140 millones de dólares en divisas, con un crecimiento anual de 42%. Esta opción productiva la practican más de 33 000 productores y crea al año 16.4 millones de jornales.</w:t>
      </w:r>
    </w:p>
    <w:p w14:paraId="620E45EE"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el país hay 262 zonas de producción orgánica ubicadas en 28 estados, entre los que destacan Chiapas, Oaxaca, Michoacán, Chihuahua y Guerrero, que concentran en conjunto 82.8% de la superficie orgánica total; Chiapas y Oaxaca cubren 70% del total.</w:t>
      </w:r>
    </w:p>
    <w:p w14:paraId="589DA0B0"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Tipos de agricultura orgánica</w:t>
      </w:r>
    </w:p>
    <w:p w14:paraId="322A68FD"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México se distinguen hipotéticamente tres formas de agricultura orgánica: la "purista", la tipo IFOAM (International Federation of Organic Agriculture Movements) y la empresarial-industrial.</w:t>
      </w:r>
    </w:p>
    <w:p w14:paraId="200A7EB7"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agricultura orgánica purista pone en práctica los principios filosóficos originales de esta forma de producción agrícola y está basada en tecnologías y recursos locales, la producción no se suele certificar y se destina en su mayoría al autoconsumo (en algunos casos se vende en los mercados local y regional).</w:t>
      </w:r>
    </w:p>
    <w:p w14:paraId="4DABECED"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 xml:space="preserve">Los productores respectivos cuentan con unidades de producción muy pequeñas (menos de una hectárea), casi siempre huertos familiares. Se trata de pequeños productores y profesionistas que han incursionado en la agricultura y que tienen una fuerte conciencia sobre los problemas ecológicos. </w:t>
      </w:r>
    </w:p>
    <w:p w14:paraId="57AD0DA6"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Un cálculo preliminar permite indicar que esta clase de agricultura representa sólo 1.1% del total de la superficie orgánica nacional, 2% de los productores y 6.7% del total de las unidades de producción en el país.</w:t>
      </w:r>
    </w:p>
    <w:p w14:paraId="24F17312"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agricultura orgánica tipo IFOAM se basa en estándares definidos (reglas de producción orgánica), procesos de certificación (controles obligatorios) y un sistema especifico de etiquetado que la diferencian de los métodos no orgánicos. La instancia que más ha promovido este proceso es la propia Federación Internacional de Movimientos de Agricultura Orgánica (IFOAM); de ahí la propuesta de denominación. En México predomina tanto en superficie como en número de productores y está representada por las organizaciones de productores indígenas y campesinos pobres que producen café, cacao, vainilla, jamaica, mango, frijol, manzana y miel, entre otros cultivos orgánicos.</w:t>
      </w:r>
    </w:p>
    <w:p w14:paraId="5DD8443E"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agricultura orgánica empresarial-industrial se comenzó a desarrollar en México en el segundo lustro del decenio de los noventa en cultivos como hortalizas, hierbas, mango, plátano, piña, agave y soya, y se caracteriza por ser una agricultura de sustitución de insumos convencionales por insumos naturales externos (insecticidas comerciales orgánicos, jabones, feromonas, trampas, sustancias foliares orgánicas, etcétera), usa tecnología extranjera y tiene una clara orientación hacia el mercado, en particular el de exportación. En ella participan grandes productores individuales interesados en elaborar esta clase de bienes con una lógica empresarial y como una actividad que tiene grandes perspectivas de mercado, precios premium y de ganancia económica. A pesar de que este tipo de agricultura orgánica se desarrolla en todo el mundo, varios analistas critican con dureza sus bases por considerar que viola parte de los principios básicos de la agricultura orgánica.</w:t>
      </w:r>
    </w:p>
    <w:p w14:paraId="4CBEDC09" w14:textId="77777777" w:rsidR="000E24F5" w:rsidRPr="007923C2" w:rsidRDefault="00C26486" w:rsidP="000E24F5">
      <w:pPr>
        <w:jc w:val="both"/>
        <w:rPr>
          <w:rFonts w:ascii="Arial" w:hAnsi="Arial" w:cs="Arial"/>
          <w:sz w:val="22"/>
          <w:szCs w:val="22"/>
        </w:rPr>
      </w:pPr>
      <w:r w:rsidRPr="007923C2">
        <w:rPr>
          <w:rFonts w:ascii="Arial" w:hAnsi="Arial" w:cs="Arial"/>
          <w:sz w:val="22"/>
          <w:szCs w:val="22"/>
        </w:rPr>
        <w:t>T</w:t>
      </w:r>
      <w:r w:rsidR="000E24F5" w:rsidRPr="007923C2">
        <w:rPr>
          <w:rFonts w:ascii="Arial" w:hAnsi="Arial" w:cs="Arial"/>
          <w:sz w:val="22"/>
          <w:szCs w:val="22"/>
        </w:rPr>
        <w:t>ipo de productos</w:t>
      </w:r>
    </w:p>
    <w:p w14:paraId="510C131F"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producto orgánico más importante con respecto a la superficie orgánica cultivada en México es el café, que representa 66% del total (70 838 hectáreas) con una producción de 47 461 toneladas; en segundo lugar se ubican los maíces azul y blanco que en conjunto participan con 4.5% de la superficie (4 670 hectáreas) y producen 7 800 toneladas; en tercer lugar está el ajonjolí, con 4% de la superficie (4 124 hectáreas) y una producción de 2 433 toneladas.</w:t>
      </w:r>
    </w:p>
    <w:p w14:paraId="57465B89" w14:textId="302C6AF1" w:rsidR="000E24F5" w:rsidRPr="007923C2" w:rsidRDefault="000E24F5" w:rsidP="000E24F5">
      <w:pPr>
        <w:jc w:val="both"/>
        <w:rPr>
          <w:rFonts w:ascii="Arial" w:hAnsi="Arial" w:cs="Arial"/>
          <w:sz w:val="22"/>
          <w:szCs w:val="22"/>
        </w:rPr>
      </w:pPr>
      <w:r w:rsidRPr="007923C2">
        <w:rPr>
          <w:rFonts w:ascii="Arial" w:hAnsi="Arial" w:cs="Arial"/>
          <w:sz w:val="22"/>
          <w:szCs w:val="22"/>
        </w:rPr>
        <w:t>Otros productos importantes son maguey (para producción de miel), hierbas,</w:t>
      </w:r>
      <w:r w:rsidR="00DD4003">
        <w:rPr>
          <w:rFonts w:ascii="Arial" w:hAnsi="Arial" w:cs="Arial"/>
          <w:sz w:val="22"/>
          <w:szCs w:val="22"/>
        </w:rPr>
        <w:t xml:space="preserve"> </w:t>
      </w:r>
      <w:r w:rsidRPr="007923C2">
        <w:rPr>
          <w:rFonts w:ascii="Arial" w:hAnsi="Arial" w:cs="Arial"/>
          <w:sz w:val="22"/>
          <w:szCs w:val="22"/>
        </w:rPr>
        <w:t xml:space="preserve"> mango, naranja, frijol, manzana, papaya, aguacate, soya, plátano y cacao. En menor proporción se cultivan palma africana, vainilla, piña, limón, coco, nuez, litchi, cártamo, fruta de la pasión y durazno. También se produce miel, leche, queso, dulces y algunos cosméticos.</w:t>
      </w:r>
    </w:p>
    <w:p w14:paraId="4132775A"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En 1996 la superficie orgánica se concentró en menos productos: sólo el café cubría 82% de la superficie correspondiente; las hortalizas y hierbas ocuparon 10%, y el ajonjolí casi 3% de la superficie. En 2000 se habían diversificado los productos y aumentado la superficie, lo que indica que esta agricultura se ha logrado establecer en el pais y está en camino de consolidarse. </w:t>
      </w:r>
    </w:p>
    <w:p w14:paraId="481996B4"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Cabe destacar que los productos orgánicos que más han crecido (papaya, mango, </w:t>
      </w:r>
      <w:r w:rsidRPr="007923C2">
        <w:rPr>
          <w:rFonts w:ascii="Arial" w:hAnsi="Arial" w:cs="Arial"/>
          <w:sz w:val="22"/>
          <w:szCs w:val="22"/>
        </w:rPr>
        <w:br/>
        <w:t xml:space="preserve">maíz azul, plátano y café) siguen siendo de exportación y que pocos productores </w:t>
      </w:r>
      <w:r w:rsidRPr="007923C2">
        <w:rPr>
          <w:rFonts w:ascii="Arial" w:hAnsi="Arial" w:cs="Arial"/>
          <w:sz w:val="22"/>
          <w:szCs w:val="22"/>
        </w:rPr>
        <w:br/>
        <w:t>han desarrollado métodos de producción orgánica para cultivos de autosuficiencia.</w:t>
      </w:r>
    </w:p>
    <w:p w14:paraId="18B75D85"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Destino de la producción</w:t>
      </w:r>
    </w:p>
    <w:p w14:paraId="4D8B80E5"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De la producción orgánica de México 85% se destina a la exportación, el restante 15% se vende en el mercado interno, sobre todo como producto convencional, porque todavía no existe una demanda nacional por estos productos. Los destinos de las ventas externas son Estados Unidos, Alemania, los Países Bajos, Japón, el Re</w:t>
      </w:r>
      <w:r w:rsidR="00583D21">
        <w:rPr>
          <w:rFonts w:ascii="Arial" w:hAnsi="Arial" w:cs="Arial"/>
          <w:sz w:val="22"/>
          <w:szCs w:val="22"/>
        </w:rPr>
        <w:t>ino Unido y Suiza, entre otros.</w:t>
      </w:r>
    </w:p>
    <w:p w14:paraId="7BDCB943"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comercialización de los productos orgánicos implica la inspección y la certificación de los métodos de producción empleados, la cual realizan principalmente entidades de los países importadores. En 1996, 68% de las zonas de producción orgánica del país las certificó la Organic Crop lmprovement Association (OCIA) de Estados Unidos; 18% Naturland de Alemania; 10% Oregon Tilth de Estados Unidos y el resto otras organizaciones.30 En 2001 las agencias nacionales de certificación, como Certimex y Cemexpo (OCIAMéxico), han ganado espacio y reconocimiento al operar mediante contratos de cocertificación con algunas agencias extranjeras.  De ello ha resultado un abaratamiento parcial de los costos de certificación, sobre todo en la inspección que ahora realizan profesionales mexicanos, con lo que se reducen costos, por ejemplo, de traslado desde Estados Unidos o Europa a México. Otras agencias certificadoras son: Quality Assurance International (Estados Unidos), Bioagricoop (Italia), Ocia Internacional (Estados Unidos), Institute for Market Ecology Control (Suiza), entre otras.</w:t>
      </w:r>
    </w:p>
    <w:p w14:paraId="5DBC4B01"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la generación de divisas, la agricultura orgánica en México aporta casi 140 millones de dólares, que representan 3.7% del total de las exportaciones agropecuarias (1.5% en 1996), además de que supera los totales de exportación de productos tradicionales, como cacao, jugo concentrado de naranja, fresas frescas y congeladas y limón persa, entre otros productos.</w:t>
      </w:r>
    </w:p>
    <w:p w14:paraId="1B965562"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el sector orgánico 33.8% de las divisas generadas se obtienen de las hortalizas, 23.3% del café, 12.1% del mango y el resto de otros productos. Es importante destacar que del total de divisas que generan algunos productos de exportación, sus similares orgánicos ya ocupan cifras importantes; son los casos de la vainilla, con 23.4% del total convencional; el cártamo, con casi 22%; el café, con 4.8%, y el ajonjolí, con 4 por ciento.</w:t>
      </w:r>
    </w:p>
    <w:p w14:paraId="7156594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MÉXICO COMO ABASTECEDOR DE PRODUCTOSORGÁNICOS EN EL MERCADO MUNDIAL</w:t>
      </w:r>
    </w:p>
    <w:p w14:paraId="18AC0057"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papel de México como abastecedor de productos orgánicos en el mercado mundial se limita a tres clases: productos tropicales que no se cultivan en los países desarrollados (café, cacao, mango, plátano, vainilla, etcétera); hortalizas de invierno cuando por cuestiones climáticas los países de clima templado tienen un faltante temporal, y productos que requieren mucha mano de obra (como el ajonjolí). En fin, la producción orgánica de México complementa la de los países desarrollados con productos que no se producen en esas naciones. Sin embargo, la exportación también se dirige a los países que tienen los mercados más desarrollados y han experimentado las mayores tasas de crecimiento en la superficie y producción orgánica en busca de la autosuficiencia, al menos en los productos que les es posible producir (granos, hortalizas en verano, ganadería, procesados).</w:t>
      </w:r>
    </w:p>
    <w:p w14:paraId="1995D3B6"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paso a la agricultura orgánica: ¿una opción interesante para los pequeños agricultores?</w:t>
      </w:r>
    </w:p>
    <w:p w14:paraId="23E7B93F"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adopción de la agricultura orgánica entre los pequeños agricultores de América Latina y el Caribe</w:t>
      </w:r>
      <w:r w:rsidR="00A9501E" w:rsidRPr="007923C2">
        <w:rPr>
          <w:rFonts w:ascii="Arial" w:hAnsi="Arial" w:cs="Arial"/>
          <w:sz w:val="22"/>
          <w:szCs w:val="22"/>
        </w:rPr>
        <w:t>.</w:t>
      </w:r>
    </w:p>
    <w:p w14:paraId="0BBA6E59"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Si bien la definición de agricultura orgánica es objeto de acalorados debates, en general se concuerda en que su práctica comporta el uso de insumos biológicos en lugar de insumos químicos sintéticos. </w:t>
      </w:r>
      <w:r w:rsidRPr="007923C2">
        <w:rPr>
          <w:rFonts w:ascii="Arial" w:hAnsi="Arial" w:cs="Arial"/>
          <w:sz w:val="22"/>
          <w:szCs w:val="22"/>
        </w:rPr>
        <w:lastRenderedPageBreak/>
        <w:t>Las técnicas orgánicas comprenden la conservación del suelo, la rotación de cultivos y la utilización de abono verde, tecnologías de bajo costo, recursos locales y conocimientos tradicionales. Se ha realizado una evaluación temática sobre este tema para analizar la experiencia de siete asociaciones de pequeños agricultores, presentes en seis paises de América Latina y el Caribe, que habían adoptado tecnologías agrícolas orgánicas y comercializado sus productos con éxito.</w:t>
      </w:r>
    </w:p>
    <w:p w14:paraId="0A27F240"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El descenso de los precios de los cultivos convencionales ha puesto en peligro la viabilidad económica de los pequeños agricultores de los países en desarrollo. Por otra parte, los productos obtenidos por medios orgánicos se venden a un precio considerablemente mayor y ofrecen una alternativa viable. </w:t>
      </w:r>
    </w:p>
    <w:p w14:paraId="3985314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demanda de productos orgánicos ha crecido enormemente en todo el mundo, especialmente en la Unión Europea,</w:t>
      </w:r>
      <w:r w:rsidR="00583D21">
        <w:rPr>
          <w:rFonts w:ascii="Arial" w:hAnsi="Arial" w:cs="Arial"/>
          <w:sz w:val="22"/>
          <w:szCs w:val="22"/>
        </w:rPr>
        <w:t xml:space="preserve"> los Estados Unidos y el Japón,</w:t>
      </w:r>
      <w:r w:rsidRPr="007923C2">
        <w:rPr>
          <w:rFonts w:ascii="Arial" w:hAnsi="Arial" w:cs="Arial"/>
          <w:sz w:val="22"/>
          <w:szCs w:val="22"/>
        </w:rPr>
        <w:t xml:space="preserve"> y mucho más rápidamente que la de otros productos alimentarios. Las organizaciones no gubernamentales (ONG) de América Latina y el Caribe han propugnado la adopción de la agricultura orgánica entre los pequeños agricultores promoviendo el uso de recursos locales y de insumos no químicos y asesorando a las organizaciones de agricultores acerca de las técnicas de comercialización. Por lo que se refiere a los siete casos estudiados, hoy día los pequeños agricultores dominan la producción orgánica y representan la mayor parte de este tipo de productores. No cabe duda de que el SIDA necesita aprovechar el papel decisivo que los pequeños agricultores están desempeñando en la producción orgánica.</w:t>
      </w:r>
    </w:p>
    <w:p w14:paraId="45C05B31"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impacto como tema central</w:t>
      </w:r>
    </w:p>
    <w:p w14:paraId="7F773DF0"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paso a la producción orgánica se ha traducido en unos ingresos netos más elevados para todos los agricultores abarcados por la evaluación. En 2001 el margen de beneficio obtenido con los precios de los productos orgánicos frente a los de los productos convencionales variaba entre el 22,2% percibido por los productores de banana en la República Dominicana y el 150% de los productores de cacao en Costa Rica.</w:t>
      </w:r>
    </w:p>
    <w:p w14:paraId="1C9029E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agricultura orgánica reduce los riesgos para la salud, porque los agricultores ya no deben manejar productos químicos tóxicos. De hecho, toda la comunidad se beneficia de las prácticas de lucha contra la erosión, fertilidad del suelo y diversidad biológica</w:t>
      </w:r>
      <w:r w:rsidR="00583D21">
        <w:rPr>
          <w:rFonts w:ascii="Arial" w:hAnsi="Arial" w:cs="Arial"/>
          <w:sz w:val="22"/>
          <w:szCs w:val="22"/>
        </w:rPr>
        <w:t>,</w:t>
      </w:r>
      <w:r w:rsidRPr="007923C2">
        <w:rPr>
          <w:rFonts w:ascii="Arial" w:hAnsi="Arial" w:cs="Arial"/>
          <w:sz w:val="22"/>
          <w:szCs w:val="22"/>
        </w:rPr>
        <w:t xml:space="preserve"> aplicadas por los agricultores, con lo que aumentan las posibilidades de lograr un medio ambiente menos contaminado. Sin embargo, la sostenibilidad depende de la capacidad de los agricultores para mantener niveles de rendimiento</w:t>
      </w:r>
      <w:r w:rsidR="00583D21">
        <w:rPr>
          <w:rFonts w:ascii="Arial" w:hAnsi="Arial" w:cs="Arial"/>
          <w:sz w:val="22"/>
          <w:szCs w:val="22"/>
        </w:rPr>
        <w:t>,</w:t>
      </w:r>
      <w:r w:rsidRPr="007923C2">
        <w:rPr>
          <w:rFonts w:ascii="Arial" w:hAnsi="Arial" w:cs="Arial"/>
          <w:sz w:val="22"/>
          <w:szCs w:val="22"/>
        </w:rPr>
        <w:t xml:space="preserve"> similares o superiores y de las futuras fluctuaciones de los precios. En caso de una expansión demasiado rápida de la agricultura orgánica, la subsiguiente calda de los precios repercutirá negativamente en los pequeños agricultores. La producción orgánica debe fomentarse como una de las diversas opciones ofrecidas a los agricultores para diversificar su producción, reducir los riesgos e incrementar la productividad y los ingresos.</w:t>
      </w:r>
    </w:p>
    <w:p w14:paraId="61A47DB9"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paso a la agricultura orgánica</w:t>
      </w:r>
    </w:p>
    <w:p w14:paraId="7E78173E"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Todo parece indicar que los pequeños agricultores de escasos recursos cuentan con una ventaja comparativa frente a los productores en gran escala, puesto que ya reúnen las condiciones adecuadas para dedicarse a la producción orgánica. De hecho, habida cuenta de sus limitaciones financieras, es más probable que esos agricultores adopten prácticas orgánicas a falta de otras alternativas: al no poder permitirse los costosos insumos químicos, muy probablemente disponen de suelos de mejor calidad.</w:t>
      </w:r>
    </w:p>
    <w:p w14:paraId="60209B16"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Ahora bien, para obtener resultados satisfactorios, es indispensable que se den algunas condiciones. Ante todo es imprescindible contar con una tenencia segura de la tierra: los agricultores no están dispuestos a invertir tiempo y esfuerzo en medidas de conservación que arrojan beneficios sólo a largo plazo si la tenencia de la tierra resulta insegura y de breve duración. Además, los propietarios de la tierra temen no poder desalojar a los arrendatarios una vez que éstos han logrado mejorar la calidad del suelo.</w:t>
      </w:r>
    </w:p>
    <w:p w14:paraId="5DEA74AE"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Es preciso que los proyectos promuevan contratos de arrendamiento a largo plazo para los pequeños agricultores y estimulen a los terratenientes a respaldar métodos de agricultura orgánica y conservación de tierras en general. Entre otras cosas, la buena calidad del suelo permite a los agricultores conseguir y mantener con mayor facilidad los niveles de fertilidad utilizando técnicas orgánicas, con lo que resulta menos difícil cumplir los estrictos requisitos necesarios para obtener la certificación orgánica.</w:t>
      </w:r>
    </w:p>
    <w:p w14:paraId="068B2150"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disponibilidad de mano de obra (familiar) es otro factor decisivo si se considera que la agricultura orgánica requiere gran abundancia de ésta (por ejemplo, para la eliminación manual de malezas).</w:t>
      </w:r>
    </w:p>
    <w:p w14:paraId="17FE4B5C"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Eficiencia colectiva</w:t>
      </w:r>
    </w:p>
    <w:p w14:paraId="119DB4DC" w14:textId="3CC5C6E9" w:rsidR="000E24F5" w:rsidRPr="007923C2" w:rsidRDefault="000E24F5" w:rsidP="000E24F5">
      <w:pPr>
        <w:jc w:val="both"/>
        <w:rPr>
          <w:rFonts w:ascii="Arial" w:hAnsi="Arial" w:cs="Arial"/>
          <w:sz w:val="22"/>
          <w:szCs w:val="22"/>
        </w:rPr>
      </w:pPr>
      <w:r w:rsidRPr="007923C2">
        <w:rPr>
          <w:rFonts w:ascii="Arial" w:hAnsi="Arial" w:cs="Arial"/>
          <w:sz w:val="22"/>
          <w:szCs w:val="22"/>
        </w:rPr>
        <w:t>Las conclusiones de la evaluación indican que el éxito o fracaso de los pequeños agricultores de productos orgánicos depende de su capacidad de constituirse en</w:t>
      </w:r>
      <w:r w:rsidR="001F23E0">
        <w:rPr>
          <w:rFonts w:ascii="Arial" w:hAnsi="Arial" w:cs="Arial"/>
          <w:noProof/>
          <w:sz w:val="22"/>
          <w:szCs w:val="22"/>
        </w:rPr>
        <mc:AlternateContent>
          <mc:Choice Requires="wps">
            <w:drawing>
              <wp:anchor distT="0" distB="0" distL="0" distR="0" simplePos="0" relativeHeight="251773440" behindDoc="1" locked="0" layoutInCell="1" allowOverlap="1" wp14:anchorId="0EF00503" wp14:editId="0E2F0454">
                <wp:simplePos x="0" y="0"/>
                <wp:positionH relativeFrom="column">
                  <wp:posOffset>0</wp:posOffset>
                </wp:positionH>
                <wp:positionV relativeFrom="paragraph">
                  <wp:posOffset>8400415</wp:posOffset>
                </wp:positionV>
                <wp:extent cx="5586730" cy="135890"/>
                <wp:effectExtent l="0" t="0" r="13970" b="16510"/>
                <wp:wrapSquare wrapText="bothSides"/>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673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07777" w14:textId="77777777" w:rsidR="001C2EB7" w:rsidRDefault="001C2EB7" w:rsidP="000E24F5">
                            <w:pPr>
                              <w:spacing w:line="213" w:lineRule="auto"/>
                              <w:ind w:right="144"/>
                              <w:jc w:val="right"/>
                              <w:rPr>
                                <w:rFonts w:ascii="Verdana" w:hAnsi="Verdana"/>
                                <w:color w:val="000000"/>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00503" id="Cuadro de texto 11" o:spid="_x0000_s1027" type="#_x0000_t202" style="position:absolute;left:0;text-align:left;margin-left:0;margin-top:661.45pt;width:439.9pt;height:10.7pt;z-index:-2515430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" filled="f" stroked="f">
                <v:textbox inset="0,0,0,0">
                  <w:txbxContent>
                    <w:p w14:paraId="68E07777" w14:textId="77777777" w:rsidR="001C2EB7" w:rsidRDefault="001C2EB7" w:rsidP="000E24F5">
                      <w:pPr>
                        <w:spacing w:line="213" w:lineRule="auto"/>
                        <w:ind w:right="144"/>
                        <w:jc w:val="right"/>
                        <w:rPr>
                          <w:rFonts w:ascii="Verdana" w:hAnsi="Verdana"/>
                          <w:color w:val="000000"/>
                          <w:sz w:val="17"/>
                        </w:rPr>
                      </w:pPr>
                    </w:p>
                  </w:txbxContent>
                </v:textbox>
                <w10:wrap type="square"/>
              </v:shape>
            </w:pict>
          </mc:Fallback>
        </mc:AlternateContent>
      </w:r>
      <w:r w:rsidRPr="007923C2">
        <w:rPr>
          <w:rFonts w:ascii="Arial" w:hAnsi="Arial" w:cs="Arial"/>
          <w:sz w:val="22"/>
          <w:szCs w:val="22"/>
        </w:rPr>
        <w:t xml:space="preserve"> organizaciones que permitan a los agricultores sacar provecho de las economías de escala mediante la comercialización colectiva.</w:t>
      </w:r>
    </w:p>
    <w:p w14:paraId="6A300462"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Además, los compradores están mucho más dispuestos a negociar con las asociaciones que con una plétora de agricultores particulares. Asimismo, esas organizaciones imparten capacitación sobre los principios de la producción orgánica y promueven la adopción de nuevas tecnologías entre los pequeños agricultores. También ayudan a vigilar el cumplimiento de las normas internacionales en materia de agricultura orgánica, reduciendo así los costos de certificación tanto para los miembros individuales como para los organismos de certificación, que de esta manera no deben realizar inspecciones de todos losagricultores sino solamente de una muestra de ellos. Si bien es imprescindible prestar apoyo a las organizaciones de agricultores, esta tarea dista mucho de ser fácil: la producción orgánica de los países en desarrollo a menudo se vende en el extranjero, donde el cumplimiento de las normas de calidad y la puntualidad de las entregas son fundamentales; los canales de exportación con frecuencia son complejos, y la certificación puede resultar costosa (en Guatemala, los agricultores pagaban el 1,5% sobre el precio del café que producían; en Costa Rica, el 4% sobre el precio del cacao y en la Argentina, el 4,4% sobre el precio de la caña de azúcar).</w:t>
      </w:r>
    </w:p>
    <w:p w14:paraId="4F2500BD"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Comercialización de productos orgánicos</w:t>
      </w:r>
    </w:p>
    <w:p w14:paraId="599A240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Según los cálculos, en 2000 se vendieron productos orgánicos en todo el mundo por un total de USD 19 700 millones; ahora bien, los precios pueden disminuir a medida que aumente la oferta o aparezcan nuevos consumidores que no deseen pagar precios muy elevados. Los productos orgánicos que más se exportan son los tradicionales procedentes de América Latina y el Caribe, como café, bananas, caña de azúcar y cacao, de los que no se dispone en los países industrializados.</w:t>
      </w:r>
    </w:p>
    <w:p w14:paraId="09652ACA"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Datos sobre el estudio de casos</w:t>
      </w:r>
    </w:p>
    <w:p w14:paraId="09273FBC"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Durante la evaluación se examinaron siete casos en la Argentina, Costa Rica, El Salvador, Guatemala, México y </w:t>
      </w:r>
      <w:r w:rsidRPr="007923C2">
        <w:rPr>
          <w:rFonts w:ascii="Arial" w:hAnsi="Arial" w:cs="Arial"/>
          <w:sz w:val="22"/>
          <w:szCs w:val="22"/>
        </w:rPr>
        <w:lastRenderedPageBreak/>
        <w:t>la República Dominicana, en los que grupos de pequeños agricultores habían adoptado tecnologías orgánicas y comercializado sus productos con éxito. Se estudiaron los casos de más de 5 100 pequeños agricultores, cada uno de los cuales disponía de unas dos hectáreas de tierra.</w:t>
      </w:r>
    </w:p>
    <w:p w14:paraId="41C4B330"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 Los países en cuestión presentaban diferencias en cuanto a sus políticas sobre agricultura orgánica y el nivel de desarrollo alcanzado por las instituciones relacionadas con este tipo de agricultura. Además, los diversos productos (café, bananas, cacao, hortalizas, caña de azúcar y miel) planteaban una variedad de problemas técnicos y de comercialización.</w:t>
      </w:r>
    </w:p>
    <w:p w14:paraId="321B1281"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Tres casos trataron de organizaciones de agricultores que colaboraban con </w:t>
      </w:r>
      <w:r w:rsidRPr="007923C2">
        <w:rPr>
          <w:rFonts w:ascii="Arial" w:hAnsi="Arial" w:cs="Arial"/>
          <w:sz w:val="22"/>
          <w:szCs w:val="22"/>
        </w:rPr>
        <w:br/>
        <w:t>proyectos del FIDA y cuatro se refirieron a comunidades indígenas. Seis de los casos estudiados se centraron en productos orgánicos vendidos principalmente en la Unión Europea y los Estados Unidos, mientras que el caso de El Salvador comprendía productos vendidos en el propio país.</w:t>
      </w:r>
    </w:p>
    <w:p w14:paraId="53A19F13"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Una seria amenaza para México es el crecimiento exponencial de la producción orgánica en los países mediterráneos de Europa, sobre todo España (con 59% de crecimiento anual) e Italia (48%), que se han convertido en proveedores de orgánicos de los países del norte de Europa, sobre todo de hortalizas, cítricos, aceite de olivo, vino, queso y frutas secas.</w:t>
      </w:r>
    </w:p>
    <w:p w14:paraId="7A608F4A"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ejemplo más ilustrativo es Italia, que exporta 43% de su producción orgánica a otros países europeos, y en menores proporciones a Estados Unidos y Japón. La entrada de estos países al mercado orgánico de exportación podría limitar las perspectivas de participación de México en los mercados internacionales con productos como hortalizas y cítricos.</w:t>
      </w:r>
    </w:p>
    <w:p w14:paraId="6565FF98"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Un movimiento que se podría fortalecer en el futuro en Estados Unidos, Canadá, Japón y Europa es el denominado "compre lo nacional" que eliminaría las posibilidades de México en la exportación de productos de invierno (principalmente hortalizas) y de los alimentos que sí pueden producir los países consumidores (por ejemplo, granos).</w:t>
      </w:r>
    </w:p>
    <w:p w14:paraId="150B51D9"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Con todo, México tiene mayores perspectivas en los productos tropicales que no pueden producir los países desarrollados.</w:t>
      </w:r>
    </w:p>
    <w:p w14:paraId="6E4FAD53"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Ello genera oportunidades para los actuales productos orgánicos tropicales y otros más (café, mango, plátano, vainilla, aguacate, cacao, jamaica, cítricos, papaya, coco y frutas tropicales exóticas). Es preciso aprovechar la experiencia y el conocimiento de los productores mexicanos en los métodos orgánicos de dichos cultivos a fin de seguir a la delantera de otros países tropicales subdesarrollados (Brasil, Costa Rica, Honduras, Guatemala, Colombia, Perú) que, como México, buscan oportunidades en este prometedor sector.</w:t>
      </w:r>
    </w:p>
    <w:p w14:paraId="01B92B8A"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Una gran oportunidad para los productores mexicanos es el desarrollo del mercado nacional orgánico, lo cual no sería nada despreciable, sobre todo si se ajusta a las condiciones del país y busca sobreprecios menores, de tal forma que los productos sean accesibles a un mayor número de consumidores.</w:t>
      </w:r>
    </w:p>
    <w:p w14:paraId="37C7ED47"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un principio el movimiento orgánico ha avanzado gracias a sus propios recursos y su grado de organización; en el futuro será fundamental la participación del Estado de acuerdo con la experiencia internacional. El apoyo de éste debe darse mediante una visión y una estrategia que incluyan una política que potencie los esfuerzos de los productores y tome en cuenta las ventajas agroecológicas, sociales y culturales de México para lograr un verdadero desarrollo rural sustentable.</w:t>
      </w:r>
    </w:p>
    <w:p w14:paraId="0BE693B7"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PRODUCTORES RURALES DE BAJA CALIFORNIA SUR ALCANZAN VENTAS POR 10 MILLONES DE DÓLARES DE PRODUCTOS ORGÁNICOS</w:t>
      </w:r>
    </w:p>
    <w:p w14:paraId="27BD9292"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Durante su gira de trabajo por Baja California Sur, el Secretario Mayorga Castañeda se reunió con la asociación de productores de orgánicos del Cabo, que agrupa a casi 150 productores rurales que siembran 321 hectáreas con 25 cultivos orgánicos y que en 2005 registraron ventas por 10 millones de dólares. Los productos orgánicos de esta zona han llegado a los mercados de Estados Unidos, Canadá. Inglaterra, Japón, Alemania y Holanda. Los productos orgánicos cumplen con los más rigurosos estándares internacionales de calidad y sanidad vegetal, por lo que contar con un marco legal adecuado se podrán incrementar las ventas en el mercado exterior.</w:t>
      </w:r>
    </w:p>
    <w:p w14:paraId="2EACC2A2"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El representante de la asociación Productores Orgánicos del Cabo, Jesús Herrera, destacó el apoyo del Gobierno Federal a través de la SAGARPA a los productores de la región y ejemplificó que se pondrá en marcha una nueva instalación para el empaque de los productos orgánicos que generan, con una inversión de 16.4 millones de pesos. La Secretaría de Agricultura por medio de los Fideicomisos de Riesgo Compartido (FIRCO) apoyó con el 25 por ciento del monto del proyecto a esta asociación de productores que genera más de cinco mil empleos directos en cada ciclo productivo.</w:t>
      </w:r>
    </w:p>
    <w:p w14:paraId="34B3814A"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En los últimos años, los productores rurales han invertido más de 25 millones de pesos en equipamiento, tecnificación de riego, mecanización y sanidad e inocuidad agroalimentaria y tienen certificadas mil 200 hectáreas para producir alimentos orgánicos.</w:t>
      </w:r>
    </w:p>
    <w:p w14:paraId="6573D5D0"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Los principales productos orgánicos exportados son 67 variedades de hierbas, especias, hortalizas y frutas. La base principal del éxito de esta organización es la producción bajo sistema orgánico, como un nuevo enfoque de la agricultura en nuestro país aunado a la calidad de sus productos</w:t>
      </w:r>
      <w:r w:rsidR="00C26486" w:rsidRPr="007923C2">
        <w:rPr>
          <w:rFonts w:ascii="Arial" w:hAnsi="Arial" w:cs="Arial"/>
          <w:sz w:val="22"/>
          <w:szCs w:val="22"/>
        </w:rPr>
        <w:t>.</w:t>
      </w:r>
    </w:p>
    <w:p w14:paraId="27DE75EA" w14:textId="77777777" w:rsidR="000E24F5" w:rsidRPr="007923C2" w:rsidRDefault="000E24F5" w:rsidP="000E24F5">
      <w:pPr>
        <w:jc w:val="both"/>
        <w:rPr>
          <w:rFonts w:ascii="Arial" w:hAnsi="Arial" w:cs="Arial"/>
          <w:sz w:val="22"/>
          <w:szCs w:val="22"/>
        </w:rPr>
      </w:pPr>
    </w:p>
    <w:p w14:paraId="1C5E5452" w14:textId="77777777" w:rsidR="000E24F5" w:rsidRPr="007923C2" w:rsidRDefault="000E24F5" w:rsidP="000E24F5">
      <w:pPr>
        <w:jc w:val="both"/>
        <w:rPr>
          <w:rFonts w:ascii="Arial" w:hAnsi="Arial" w:cs="Arial"/>
          <w:b/>
          <w:sz w:val="22"/>
          <w:szCs w:val="22"/>
        </w:rPr>
      </w:pPr>
      <w:r w:rsidRPr="007923C2">
        <w:rPr>
          <w:rFonts w:ascii="Arial" w:hAnsi="Arial" w:cs="Arial"/>
          <w:b/>
          <w:sz w:val="22"/>
          <w:szCs w:val="22"/>
        </w:rPr>
        <w:t>4.2.1.5.- TENDENCIAS DEL EMPLEO (DE ACUERDO A LA CARRERA)</w:t>
      </w:r>
    </w:p>
    <w:p w14:paraId="69D59E1C" w14:textId="77777777" w:rsidR="000E24F5" w:rsidRPr="007923C2" w:rsidRDefault="000E24F5" w:rsidP="000E24F5">
      <w:pPr>
        <w:jc w:val="both"/>
        <w:rPr>
          <w:rFonts w:ascii="Arial" w:hAnsi="Arial" w:cs="Arial"/>
          <w:sz w:val="22"/>
          <w:szCs w:val="22"/>
        </w:rPr>
      </w:pPr>
      <w:r w:rsidRPr="007923C2">
        <w:rPr>
          <w:rFonts w:ascii="Arial" w:hAnsi="Arial" w:cs="Arial"/>
          <w:sz w:val="22"/>
          <w:szCs w:val="22"/>
        </w:rPr>
        <w:t>La tendencia del empleo en donde se colocan los agrobiólogos es muy diversa de acuerdo a las áreas de especialización, de las cuales destacan el área de agricultura y conservación de los recursos naturales.</w:t>
      </w:r>
    </w:p>
    <w:p w14:paraId="431F8D96" w14:textId="77777777" w:rsidR="000E24F5" w:rsidRDefault="00E663EA" w:rsidP="000E24F5">
      <w:pPr>
        <w:jc w:val="both"/>
        <w:rPr>
          <w:rFonts w:ascii="Arial" w:hAnsi="Arial" w:cs="Arial"/>
          <w:sz w:val="22"/>
          <w:szCs w:val="22"/>
        </w:rPr>
      </w:pPr>
      <w:r w:rsidRPr="007923C2">
        <w:rPr>
          <w:rFonts w:ascii="Arial" w:hAnsi="Arial" w:cs="Arial"/>
          <w:sz w:val="22"/>
          <w:szCs w:val="22"/>
        </w:rPr>
        <w:t xml:space="preserve">El seguimiento que se le ha hecho a los egresados así como un estudio de pertinencia que se le hizo al Programa Docente IAB a permitido saber las tendencias que tiene la carrera en cuanto a las áreas de trabajo en los que se desempeñan los agrobiólogos y con estos indicadores hacer los cambios pertinentes en el Plan de Estudio. </w:t>
      </w:r>
    </w:p>
    <w:p w14:paraId="2C877F2C" w14:textId="77777777" w:rsidR="00363C18" w:rsidRPr="007923C2" w:rsidRDefault="00363C18" w:rsidP="000E24F5">
      <w:pPr>
        <w:jc w:val="both"/>
        <w:rPr>
          <w:rFonts w:ascii="Arial" w:hAnsi="Arial" w:cs="Arial"/>
          <w:sz w:val="22"/>
          <w:szCs w:val="22"/>
        </w:rPr>
      </w:pPr>
    </w:p>
    <w:p w14:paraId="65267FFE" w14:textId="77777777" w:rsidR="006237F1" w:rsidRPr="00643927" w:rsidRDefault="00007A2A" w:rsidP="000E24F5">
      <w:pPr>
        <w:jc w:val="both"/>
        <w:rPr>
          <w:rFonts w:ascii="Arial" w:hAnsi="Arial" w:cs="Arial"/>
          <w:b/>
          <w:sz w:val="22"/>
          <w:szCs w:val="22"/>
        </w:rPr>
      </w:pPr>
      <w:r w:rsidRPr="00643927">
        <w:rPr>
          <w:rFonts w:ascii="Arial" w:hAnsi="Arial" w:cs="Arial"/>
          <w:b/>
          <w:sz w:val="22"/>
          <w:szCs w:val="22"/>
        </w:rPr>
        <w:t>RESULTADOS DE ESTUDIO DE PERTINENCIA DE LA CARRERA IAB</w:t>
      </w:r>
    </w:p>
    <w:tbl>
      <w:tblPr>
        <w:tblStyle w:val="Tablaconcuadrcula"/>
        <w:tblW w:w="9351" w:type="dxa"/>
        <w:tblLayout w:type="fixed"/>
        <w:tblLook w:val="0000" w:firstRow="0" w:lastRow="0" w:firstColumn="0" w:lastColumn="0" w:noHBand="0" w:noVBand="0"/>
      </w:tblPr>
      <w:tblGrid>
        <w:gridCol w:w="1271"/>
        <w:gridCol w:w="1822"/>
        <w:gridCol w:w="1864"/>
        <w:gridCol w:w="283"/>
        <w:gridCol w:w="283"/>
        <w:gridCol w:w="236"/>
        <w:gridCol w:w="236"/>
        <w:gridCol w:w="47"/>
        <w:gridCol w:w="1183"/>
        <w:gridCol w:w="1026"/>
        <w:gridCol w:w="236"/>
        <w:gridCol w:w="47"/>
        <w:gridCol w:w="236"/>
        <w:gridCol w:w="47"/>
        <w:gridCol w:w="236"/>
        <w:gridCol w:w="298"/>
      </w:tblGrid>
      <w:tr w:rsidR="006237F1" w:rsidRPr="007923C2" w14:paraId="72BC086D" w14:textId="77777777" w:rsidTr="002323B6">
        <w:trPr>
          <w:trHeight w:val="238"/>
        </w:trPr>
        <w:tc>
          <w:tcPr>
            <w:tcW w:w="1271" w:type="dxa"/>
          </w:tcPr>
          <w:p w14:paraId="11091848" w14:textId="77777777"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Clave 1 ...</w:t>
            </w:r>
          </w:p>
        </w:tc>
        <w:tc>
          <w:tcPr>
            <w:tcW w:w="3969" w:type="dxa"/>
            <w:gridSpan w:val="3"/>
          </w:tcPr>
          <w:p w14:paraId="24F52FF0" w14:textId="77777777"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Nombre de la empresa</w:t>
            </w:r>
          </w:p>
        </w:tc>
        <w:tc>
          <w:tcPr>
            <w:tcW w:w="1985" w:type="dxa"/>
            <w:gridSpan w:val="5"/>
          </w:tcPr>
          <w:p w14:paraId="6D3CE35A" w14:textId="77777777"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Giro</w:t>
            </w:r>
          </w:p>
        </w:tc>
        <w:tc>
          <w:tcPr>
            <w:tcW w:w="2126" w:type="dxa"/>
            <w:gridSpan w:val="7"/>
          </w:tcPr>
          <w:p w14:paraId="53EAD361" w14:textId="77777777"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Antigüedad empresa</w:t>
            </w:r>
          </w:p>
        </w:tc>
      </w:tr>
      <w:tr w:rsidR="00CD168C" w:rsidRPr="007923C2" w14:paraId="61A639A7" w14:textId="77777777" w:rsidTr="002323B6">
        <w:trPr>
          <w:trHeight w:val="238"/>
        </w:trPr>
        <w:tc>
          <w:tcPr>
            <w:tcW w:w="1271" w:type="dxa"/>
          </w:tcPr>
          <w:p w14:paraId="329C35C9"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w:t>
            </w:r>
          </w:p>
        </w:tc>
        <w:tc>
          <w:tcPr>
            <w:tcW w:w="3969" w:type="dxa"/>
            <w:gridSpan w:val="3"/>
          </w:tcPr>
          <w:p w14:paraId="2DC820FC"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Despacho Ambiental Forestal y de Fauna</w:t>
            </w:r>
          </w:p>
        </w:tc>
        <w:tc>
          <w:tcPr>
            <w:tcW w:w="1985" w:type="dxa"/>
            <w:gridSpan w:val="5"/>
          </w:tcPr>
          <w:p w14:paraId="71A62987"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Medio ambiente y Forestal</w:t>
            </w:r>
          </w:p>
        </w:tc>
        <w:tc>
          <w:tcPr>
            <w:tcW w:w="2126" w:type="dxa"/>
            <w:gridSpan w:val="7"/>
          </w:tcPr>
          <w:p w14:paraId="0E9412E9"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Dos años</w:t>
            </w:r>
          </w:p>
        </w:tc>
      </w:tr>
      <w:tr w:rsidR="00CD168C" w:rsidRPr="007923C2" w14:paraId="1B3105D0" w14:textId="77777777" w:rsidTr="002323B6">
        <w:trPr>
          <w:trHeight w:val="182"/>
        </w:trPr>
        <w:tc>
          <w:tcPr>
            <w:tcW w:w="1271" w:type="dxa"/>
          </w:tcPr>
          <w:p w14:paraId="40FEA0AC"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2</w:t>
            </w:r>
          </w:p>
        </w:tc>
        <w:tc>
          <w:tcPr>
            <w:tcW w:w="3969" w:type="dxa"/>
            <w:gridSpan w:val="3"/>
          </w:tcPr>
          <w:p w14:paraId="0366BAA2"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Secretaria de Desarrollo Rural Edo Guerrero</w:t>
            </w:r>
          </w:p>
        </w:tc>
        <w:tc>
          <w:tcPr>
            <w:tcW w:w="1985" w:type="dxa"/>
            <w:gridSpan w:val="5"/>
          </w:tcPr>
          <w:p w14:paraId="17128BA8" w14:textId="77777777" w:rsidR="000E24F5" w:rsidRPr="007923C2" w:rsidRDefault="000E24F5" w:rsidP="008F1D4B">
            <w:pPr>
              <w:spacing w:line="276" w:lineRule="auto"/>
              <w:jc w:val="both"/>
              <w:rPr>
                <w:rFonts w:ascii="Arial" w:hAnsi="Arial" w:cs="Arial"/>
                <w:sz w:val="22"/>
                <w:szCs w:val="22"/>
              </w:rPr>
            </w:pPr>
            <w:r w:rsidRPr="007923C2">
              <w:rPr>
                <w:rFonts w:ascii="Arial" w:hAnsi="Arial" w:cs="Arial"/>
                <w:sz w:val="22"/>
                <w:szCs w:val="22"/>
              </w:rPr>
              <w:t>A</w:t>
            </w:r>
            <w:r w:rsidR="008F1D4B" w:rsidRPr="007923C2">
              <w:rPr>
                <w:rFonts w:ascii="Arial" w:hAnsi="Arial" w:cs="Arial"/>
                <w:sz w:val="22"/>
                <w:szCs w:val="22"/>
              </w:rPr>
              <w:t>g</w:t>
            </w:r>
            <w:r w:rsidR="003B2E14" w:rsidRPr="007923C2">
              <w:rPr>
                <w:rFonts w:ascii="Arial" w:hAnsi="Arial" w:cs="Arial"/>
                <w:sz w:val="22"/>
                <w:szCs w:val="22"/>
              </w:rPr>
              <w:t>ro</w:t>
            </w:r>
            <w:r w:rsidRPr="007923C2">
              <w:rPr>
                <w:rFonts w:ascii="Arial" w:hAnsi="Arial" w:cs="Arial"/>
                <w:sz w:val="22"/>
                <w:szCs w:val="22"/>
              </w:rPr>
              <w:t>biólogo</w:t>
            </w:r>
          </w:p>
        </w:tc>
        <w:tc>
          <w:tcPr>
            <w:tcW w:w="2126" w:type="dxa"/>
            <w:gridSpan w:val="7"/>
          </w:tcPr>
          <w:p w14:paraId="3D84655A"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Cuatro años</w:t>
            </w:r>
          </w:p>
        </w:tc>
      </w:tr>
      <w:tr w:rsidR="00CD168C" w:rsidRPr="007923C2" w14:paraId="723687FD" w14:textId="77777777" w:rsidTr="002323B6">
        <w:trPr>
          <w:trHeight w:val="185"/>
        </w:trPr>
        <w:tc>
          <w:tcPr>
            <w:tcW w:w="1271" w:type="dxa"/>
          </w:tcPr>
          <w:p w14:paraId="42B8C76B"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3</w:t>
            </w:r>
          </w:p>
        </w:tc>
        <w:tc>
          <w:tcPr>
            <w:tcW w:w="3969" w:type="dxa"/>
            <w:gridSpan w:val="3"/>
          </w:tcPr>
          <w:p w14:paraId="45C718F4" w14:textId="77777777" w:rsidR="000E24F5" w:rsidRPr="007923C2" w:rsidRDefault="000E24F5" w:rsidP="0030772E">
            <w:pPr>
              <w:spacing w:line="276" w:lineRule="auto"/>
              <w:jc w:val="both"/>
              <w:rPr>
                <w:rFonts w:ascii="Arial" w:hAnsi="Arial" w:cs="Arial"/>
                <w:sz w:val="22"/>
                <w:szCs w:val="22"/>
                <w:lang w:val="en-US"/>
              </w:rPr>
            </w:pPr>
            <w:r w:rsidRPr="007923C2">
              <w:rPr>
                <w:rFonts w:ascii="Arial" w:hAnsi="Arial" w:cs="Arial"/>
                <w:sz w:val="22"/>
                <w:szCs w:val="22"/>
                <w:lang w:val="en-US"/>
              </w:rPr>
              <w:t>R.A.S. Pioneer Hibred Int</w:t>
            </w:r>
          </w:p>
        </w:tc>
        <w:tc>
          <w:tcPr>
            <w:tcW w:w="1985" w:type="dxa"/>
            <w:gridSpan w:val="5"/>
          </w:tcPr>
          <w:p w14:paraId="0215349E" w14:textId="77777777" w:rsidR="000E24F5" w:rsidRPr="007923C2" w:rsidRDefault="003B2E14" w:rsidP="0030772E">
            <w:pPr>
              <w:spacing w:line="276" w:lineRule="auto"/>
              <w:jc w:val="both"/>
              <w:rPr>
                <w:rFonts w:ascii="Arial" w:hAnsi="Arial" w:cs="Arial"/>
                <w:sz w:val="22"/>
                <w:szCs w:val="22"/>
              </w:rPr>
            </w:pPr>
            <w:r w:rsidRPr="007923C2">
              <w:rPr>
                <w:rFonts w:ascii="Arial" w:hAnsi="Arial" w:cs="Arial"/>
                <w:sz w:val="22"/>
                <w:szCs w:val="22"/>
              </w:rPr>
              <w:t>Agro</w:t>
            </w:r>
            <w:r w:rsidR="000E24F5" w:rsidRPr="007923C2">
              <w:rPr>
                <w:rFonts w:ascii="Arial" w:hAnsi="Arial" w:cs="Arial"/>
                <w:sz w:val="22"/>
                <w:szCs w:val="22"/>
              </w:rPr>
              <w:t>biología</w:t>
            </w:r>
          </w:p>
        </w:tc>
        <w:tc>
          <w:tcPr>
            <w:tcW w:w="2126" w:type="dxa"/>
            <w:gridSpan w:val="7"/>
          </w:tcPr>
          <w:p w14:paraId="02903B10"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Tres años</w:t>
            </w:r>
          </w:p>
        </w:tc>
      </w:tr>
      <w:tr w:rsidR="00CD168C" w:rsidRPr="007923C2" w14:paraId="7DC7A7DE" w14:textId="77777777" w:rsidTr="002323B6">
        <w:trPr>
          <w:trHeight w:val="185"/>
        </w:trPr>
        <w:tc>
          <w:tcPr>
            <w:tcW w:w="1271" w:type="dxa"/>
          </w:tcPr>
          <w:p w14:paraId="310BE812"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lastRenderedPageBreak/>
              <w:t>Alumno 4</w:t>
            </w:r>
          </w:p>
        </w:tc>
        <w:tc>
          <w:tcPr>
            <w:tcW w:w="3969" w:type="dxa"/>
            <w:gridSpan w:val="3"/>
          </w:tcPr>
          <w:p w14:paraId="30D2D3C8"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Agricultura Intensiva</w:t>
            </w:r>
          </w:p>
        </w:tc>
        <w:tc>
          <w:tcPr>
            <w:tcW w:w="1985" w:type="dxa"/>
            <w:gridSpan w:val="5"/>
          </w:tcPr>
          <w:p w14:paraId="23135FF2"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Agricultura</w:t>
            </w:r>
          </w:p>
        </w:tc>
        <w:tc>
          <w:tcPr>
            <w:tcW w:w="2126" w:type="dxa"/>
            <w:gridSpan w:val="7"/>
          </w:tcPr>
          <w:p w14:paraId="39549AE9"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Dos años</w:t>
            </w:r>
          </w:p>
        </w:tc>
      </w:tr>
      <w:tr w:rsidR="00CD168C" w:rsidRPr="007923C2" w14:paraId="4938B924" w14:textId="77777777" w:rsidTr="002323B6">
        <w:trPr>
          <w:trHeight w:val="182"/>
        </w:trPr>
        <w:tc>
          <w:tcPr>
            <w:tcW w:w="1271" w:type="dxa"/>
          </w:tcPr>
          <w:p w14:paraId="6F7FFDEF"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5</w:t>
            </w:r>
          </w:p>
        </w:tc>
        <w:tc>
          <w:tcPr>
            <w:tcW w:w="3969" w:type="dxa"/>
            <w:gridSpan w:val="3"/>
          </w:tcPr>
          <w:p w14:paraId="1C3DB7A2"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Colegio de Bachilleres</w:t>
            </w:r>
          </w:p>
        </w:tc>
        <w:tc>
          <w:tcPr>
            <w:tcW w:w="1985" w:type="dxa"/>
            <w:gridSpan w:val="5"/>
          </w:tcPr>
          <w:p w14:paraId="06BA746F"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Educación</w:t>
            </w:r>
          </w:p>
        </w:tc>
        <w:tc>
          <w:tcPr>
            <w:tcW w:w="2126" w:type="dxa"/>
            <w:gridSpan w:val="7"/>
          </w:tcPr>
          <w:p w14:paraId="3A116ABD"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Dos años</w:t>
            </w:r>
          </w:p>
        </w:tc>
      </w:tr>
      <w:tr w:rsidR="00CD168C" w:rsidRPr="007923C2" w14:paraId="4E26A8AE" w14:textId="77777777" w:rsidTr="002323B6">
        <w:trPr>
          <w:trHeight w:val="185"/>
        </w:trPr>
        <w:tc>
          <w:tcPr>
            <w:tcW w:w="1271" w:type="dxa"/>
            <w:tcBorders>
              <w:right w:val="single" w:sz="4" w:space="0" w:color="auto"/>
            </w:tcBorders>
          </w:tcPr>
          <w:p w14:paraId="202363CF"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6</w:t>
            </w:r>
          </w:p>
        </w:tc>
        <w:tc>
          <w:tcPr>
            <w:tcW w:w="1822" w:type="dxa"/>
            <w:tcBorders>
              <w:top w:val="single" w:sz="4" w:space="0" w:color="auto"/>
              <w:left w:val="single" w:sz="4" w:space="0" w:color="auto"/>
              <w:bottom w:val="single" w:sz="4" w:space="0" w:color="auto"/>
              <w:right w:val="nil"/>
            </w:tcBorders>
          </w:tcPr>
          <w:p w14:paraId="08B8CBDA"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(Por su cuenta)</w:t>
            </w:r>
          </w:p>
        </w:tc>
        <w:tc>
          <w:tcPr>
            <w:tcW w:w="2147" w:type="dxa"/>
            <w:gridSpan w:val="2"/>
            <w:tcBorders>
              <w:top w:val="single" w:sz="4" w:space="0" w:color="auto"/>
              <w:left w:val="nil"/>
              <w:bottom w:val="single" w:sz="4" w:space="0" w:color="auto"/>
              <w:right w:val="single" w:sz="4" w:space="0" w:color="auto"/>
            </w:tcBorders>
          </w:tcPr>
          <w:p w14:paraId="347120E5" w14:textId="77777777" w:rsidR="000E24F5" w:rsidRPr="007923C2" w:rsidRDefault="000E24F5" w:rsidP="0030772E">
            <w:pPr>
              <w:spacing w:line="276" w:lineRule="auto"/>
              <w:jc w:val="both"/>
              <w:rPr>
                <w:rFonts w:ascii="Arial" w:hAnsi="Arial" w:cs="Arial"/>
                <w:sz w:val="22"/>
                <w:szCs w:val="22"/>
              </w:rPr>
            </w:pPr>
          </w:p>
        </w:tc>
        <w:tc>
          <w:tcPr>
            <w:tcW w:w="1985" w:type="dxa"/>
            <w:gridSpan w:val="5"/>
            <w:tcBorders>
              <w:left w:val="single" w:sz="4" w:space="0" w:color="auto"/>
            </w:tcBorders>
          </w:tcPr>
          <w:p w14:paraId="7307BB98"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Asesorías y proyectos de producc.</w:t>
            </w:r>
          </w:p>
        </w:tc>
        <w:tc>
          <w:tcPr>
            <w:tcW w:w="2126" w:type="dxa"/>
            <w:gridSpan w:val="7"/>
            <w:tcBorders>
              <w:bottom w:val="single" w:sz="4" w:space="0" w:color="auto"/>
            </w:tcBorders>
          </w:tcPr>
          <w:p w14:paraId="0AB49E39"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Un año</w:t>
            </w:r>
          </w:p>
        </w:tc>
      </w:tr>
      <w:tr w:rsidR="00CD168C" w:rsidRPr="007923C2" w14:paraId="4C474A1A" w14:textId="77777777" w:rsidTr="002323B6">
        <w:trPr>
          <w:trHeight w:val="185"/>
        </w:trPr>
        <w:tc>
          <w:tcPr>
            <w:tcW w:w="1271" w:type="dxa"/>
          </w:tcPr>
          <w:p w14:paraId="3C21E8FD"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7</w:t>
            </w:r>
          </w:p>
        </w:tc>
        <w:tc>
          <w:tcPr>
            <w:tcW w:w="3969" w:type="dxa"/>
            <w:gridSpan w:val="3"/>
            <w:tcBorders>
              <w:bottom w:val="single" w:sz="4" w:space="0" w:color="auto"/>
            </w:tcBorders>
          </w:tcPr>
          <w:p w14:paraId="7BF3FA36"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Secretaria de Agricultura y Desarrollo Rural Edo de Hidalgo</w:t>
            </w:r>
          </w:p>
        </w:tc>
        <w:tc>
          <w:tcPr>
            <w:tcW w:w="1985" w:type="dxa"/>
            <w:gridSpan w:val="5"/>
            <w:tcBorders>
              <w:right w:val="single" w:sz="4" w:space="0" w:color="auto"/>
            </w:tcBorders>
          </w:tcPr>
          <w:p w14:paraId="59D2F4AF"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Forestal</w:t>
            </w:r>
          </w:p>
        </w:tc>
        <w:tc>
          <w:tcPr>
            <w:tcW w:w="1026" w:type="dxa"/>
            <w:tcBorders>
              <w:top w:val="single" w:sz="4" w:space="0" w:color="auto"/>
              <w:left w:val="single" w:sz="4" w:space="0" w:color="auto"/>
              <w:bottom w:val="single" w:sz="4" w:space="0" w:color="auto"/>
              <w:right w:val="nil"/>
            </w:tcBorders>
          </w:tcPr>
          <w:p w14:paraId="0D01BC36" w14:textId="77777777" w:rsidR="000E24F5" w:rsidRPr="007923C2" w:rsidRDefault="00664161" w:rsidP="0030772E">
            <w:pPr>
              <w:spacing w:line="276" w:lineRule="auto"/>
              <w:jc w:val="both"/>
              <w:rPr>
                <w:rFonts w:ascii="Arial" w:hAnsi="Arial" w:cs="Arial"/>
                <w:sz w:val="22"/>
                <w:szCs w:val="22"/>
              </w:rPr>
            </w:pPr>
            <w:r w:rsidRPr="007923C2">
              <w:rPr>
                <w:rFonts w:ascii="Arial" w:hAnsi="Arial" w:cs="Arial"/>
                <w:sz w:val="22"/>
                <w:szCs w:val="22"/>
              </w:rPr>
              <w:t>Seis Años</w:t>
            </w:r>
          </w:p>
        </w:tc>
        <w:tc>
          <w:tcPr>
            <w:tcW w:w="1100" w:type="dxa"/>
            <w:gridSpan w:val="6"/>
            <w:tcBorders>
              <w:top w:val="single" w:sz="4" w:space="0" w:color="auto"/>
              <w:left w:val="nil"/>
              <w:bottom w:val="single" w:sz="4" w:space="0" w:color="auto"/>
              <w:right w:val="single" w:sz="4" w:space="0" w:color="auto"/>
            </w:tcBorders>
          </w:tcPr>
          <w:p w14:paraId="169E26E8" w14:textId="77777777" w:rsidR="000E24F5" w:rsidRPr="007923C2" w:rsidRDefault="000E24F5" w:rsidP="0030772E">
            <w:pPr>
              <w:spacing w:line="276" w:lineRule="auto"/>
              <w:jc w:val="both"/>
              <w:rPr>
                <w:rFonts w:ascii="Arial" w:hAnsi="Arial" w:cs="Arial"/>
                <w:sz w:val="22"/>
                <w:szCs w:val="22"/>
              </w:rPr>
            </w:pPr>
          </w:p>
        </w:tc>
      </w:tr>
      <w:tr w:rsidR="00DD3674" w:rsidRPr="007923C2" w14:paraId="3FF40126" w14:textId="77777777" w:rsidTr="002323B6">
        <w:trPr>
          <w:trHeight w:val="185"/>
        </w:trPr>
        <w:tc>
          <w:tcPr>
            <w:tcW w:w="1271" w:type="dxa"/>
          </w:tcPr>
          <w:p w14:paraId="65F2ADA5" w14:textId="77777777"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Alumno 8</w:t>
            </w:r>
          </w:p>
        </w:tc>
        <w:tc>
          <w:tcPr>
            <w:tcW w:w="3969" w:type="dxa"/>
            <w:gridSpan w:val="3"/>
            <w:tcBorders>
              <w:bottom w:val="single" w:sz="4" w:space="0" w:color="auto"/>
            </w:tcBorders>
          </w:tcPr>
          <w:p w14:paraId="29FC89DB" w14:textId="77777777"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Fertilizante Natural</w:t>
            </w:r>
          </w:p>
        </w:tc>
        <w:tc>
          <w:tcPr>
            <w:tcW w:w="1985" w:type="dxa"/>
            <w:gridSpan w:val="5"/>
            <w:tcBorders>
              <w:right w:val="single" w:sz="4" w:space="0" w:color="auto"/>
            </w:tcBorders>
          </w:tcPr>
          <w:p w14:paraId="58415426" w14:textId="77777777"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Agricultura orgánica</w:t>
            </w:r>
          </w:p>
        </w:tc>
        <w:tc>
          <w:tcPr>
            <w:tcW w:w="1026" w:type="dxa"/>
            <w:tcBorders>
              <w:top w:val="single" w:sz="4" w:space="0" w:color="auto"/>
              <w:left w:val="single" w:sz="4" w:space="0" w:color="auto"/>
              <w:bottom w:val="single" w:sz="4" w:space="0" w:color="auto"/>
              <w:right w:val="nil"/>
            </w:tcBorders>
          </w:tcPr>
          <w:p w14:paraId="5D461B7B" w14:textId="77777777"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Un mes</w:t>
            </w:r>
          </w:p>
        </w:tc>
        <w:tc>
          <w:tcPr>
            <w:tcW w:w="1100" w:type="dxa"/>
            <w:gridSpan w:val="6"/>
            <w:tcBorders>
              <w:top w:val="single" w:sz="4" w:space="0" w:color="auto"/>
              <w:left w:val="nil"/>
              <w:bottom w:val="single" w:sz="4" w:space="0" w:color="auto"/>
              <w:right w:val="single" w:sz="4" w:space="0" w:color="auto"/>
            </w:tcBorders>
          </w:tcPr>
          <w:p w14:paraId="65992A2E" w14:textId="77777777" w:rsidR="00DD3674" w:rsidRPr="007923C2" w:rsidRDefault="00DD3674" w:rsidP="00546E09">
            <w:pPr>
              <w:spacing w:line="276" w:lineRule="auto"/>
              <w:jc w:val="both"/>
              <w:rPr>
                <w:rFonts w:ascii="Arial" w:hAnsi="Arial" w:cs="Arial"/>
                <w:sz w:val="22"/>
                <w:szCs w:val="22"/>
              </w:rPr>
            </w:pPr>
          </w:p>
        </w:tc>
      </w:tr>
      <w:tr w:rsidR="00CD168C" w:rsidRPr="007923C2" w14:paraId="0DE2437C" w14:textId="77777777" w:rsidTr="002323B6">
        <w:trPr>
          <w:trHeight w:val="185"/>
        </w:trPr>
        <w:tc>
          <w:tcPr>
            <w:tcW w:w="1271" w:type="dxa"/>
            <w:tcBorders>
              <w:right w:val="single" w:sz="4" w:space="0" w:color="auto"/>
            </w:tcBorders>
          </w:tcPr>
          <w:p w14:paraId="0EDCF1DD"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9</w:t>
            </w:r>
          </w:p>
        </w:tc>
        <w:tc>
          <w:tcPr>
            <w:tcW w:w="3686" w:type="dxa"/>
            <w:gridSpan w:val="2"/>
            <w:tcBorders>
              <w:top w:val="single" w:sz="4" w:space="0" w:color="auto"/>
              <w:left w:val="single" w:sz="4" w:space="0" w:color="auto"/>
              <w:bottom w:val="single" w:sz="4" w:space="0" w:color="auto"/>
              <w:right w:val="nil"/>
            </w:tcBorders>
          </w:tcPr>
          <w:p w14:paraId="4D3763B5"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Compañía Mexicana de Exploraciones</w:t>
            </w:r>
          </w:p>
        </w:tc>
        <w:tc>
          <w:tcPr>
            <w:tcW w:w="283" w:type="dxa"/>
            <w:tcBorders>
              <w:top w:val="single" w:sz="4" w:space="0" w:color="auto"/>
              <w:left w:val="nil"/>
              <w:bottom w:val="single" w:sz="4" w:space="0" w:color="auto"/>
              <w:right w:val="single" w:sz="4" w:space="0" w:color="auto"/>
            </w:tcBorders>
          </w:tcPr>
          <w:p w14:paraId="60F8E7F9" w14:textId="77777777" w:rsidR="000E24F5" w:rsidRPr="007923C2" w:rsidRDefault="000E24F5" w:rsidP="0030772E">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14:paraId="47E837C3"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Ambienta</w:t>
            </w:r>
            <w:r w:rsidR="00664161" w:rsidRPr="007923C2">
              <w:rPr>
                <w:rFonts w:ascii="Arial" w:hAnsi="Arial" w:cs="Arial"/>
                <w:sz w:val="22"/>
                <w:szCs w:val="22"/>
              </w:rPr>
              <w:t>l</w:t>
            </w:r>
            <w:r w:rsidRPr="007923C2">
              <w:rPr>
                <w:rFonts w:ascii="Arial" w:hAnsi="Arial" w:cs="Arial"/>
                <w:sz w:val="22"/>
                <w:szCs w:val="22"/>
              </w:rPr>
              <w:t xml:space="preserve"> l</w:t>
            </w:r>
          </w:p>
        </w:tc>
        <w:tc>
          <w:tcPr>
            <w:tcW w:w="1026" w:type="dxa"/>
            <w:tcBorders>
              <w:top w:val="single" w:sz="4" w:space="0" w:color="auto"/>
              <w:left w:val="single" w:sz="4" w:space="0" w:color="auto"/>
              <w:bottom w:val="single" w:sz="4" w:space="0" w:color="auto"/>
              <w:right w:val="nil"/>
            </w:tcBorders>
          </w:tcPr>
          <w:p w14:paraId="32B01ACB" w14:textId="77777777" w:rsidR="000E24F5" w:rsidRPr="007923C2" w:rsidRDefault="003B2E14" w:rsidP="0030772E">
            <w:pPr>
              <w:spacing w:line="276" w:lineRule="auto"/>
              <w:jc w:val="both"/>
              <w:rPr>
                <w:rFonts w:ascii="Arial" w:hAnsi="Arial" w:cs="Arial"/>
                <w:sz w:val="22"/>
                <w:szCs w:val="22"/>
              </w:rPr>
            </w:pPr>
            <w:r w:rsidRPr="007923C2">
              <w:rPr>
                <w:rFonts w:ascii="Arial" w:hAnsi="Arial" w:cs="Arial"/>
                <w:sz w:val="22"/>
                <w:szCs w:val="22"/>
              </w:rPr>
              <w:t>Cuatro Años</w:t>
            </w:r>
          </w:p>
        </w:tc>
        <w:tc>
          <w:tcPr>
            <w:tcW w:w="236" w:type="dxa"/>
            <w:tcBorders>
              <w:top w:val="single" w:sz="4" w:space="0" w:color="auto"/>
              <w:left w:val="nil"/>
              <w:bottom w:val="single" w:sz="4" w:space="0" w:color="auto"/>
              <w:right w:val="nil"/>
            </w:tcBorders>
          </w:tcPr>
          <w:p w14:paraId="2900A741" w14:textId="77777777" w:rsidR="000E24F5" w:rsidRPr="007923C2" w:rsidRDefault="000E24F5" w:rsidP="0030772E">
            <w:pPr>
              <w:spacing w:line="276" w:lineRule="auto"/>
              <w:jc w:val="both"/>
              <w:rPr>
                <w:rFonts w:ascii="Arial" w:hAnsi="Arial" w:cs="Arial"/>
                <w:sz w:val="22"/>
                <w:szCs w:val="22"/>
              </w:rPr>
            </w:pPr>
          </w:p>
        </w:tc>
        <w:tc>
          <w:tcPr>
            <w:tcW w:w="864" w:type="dxa"/>
            <w:gridSpan w:val="5"/>
            <w:tcBorders>
              <w:top w:val="single" w:sz="4" w:space="0" w:color="auto"/>
              <w:left w:val="nil"/>
              <w:bottom w:val="single" w:sz="4" w:space="0" w:color="auto"/>
              <w:right w:val="single" w:sz="4" w:space="0" w:color="auto"/>
            </w:tcBorders>
          </w:tcPr>
          <w:p w14:paraId="191D235C" w14:textId="77777777" w:rsidR="000E24F5" w:rsidRPr="007923C2" w:rsidRDefault="000E24F5" w:rsidP="0030772E">
            <w:pPr>
              <w:spacing w:line="276" w:lineRule="auto"/>
              <w:jc w:val="both"/>
              <w:rPr>
                <w:rFonts w:ascii="Arial" w:hAnsi="Arial" w:cs="Arial"/>
                <w:sz w:val="22"/>
                <w:szCs w:val="22"/>
              </w:rPr>
            </w:pPr>
          </w:p>
        </w:tc>
      </w:tr>
      <w:tr w:rsidR="00CD168C" w:rsidRPr="007923C2" w14:paraId="113EE948" w14:textId="77777777" w:rsidTr="002323B6">
        <w:trPr>
          <w:trHeight w:val="185"/>
        </w:trPr>
        <w:tc>
          <w:tcPr>
            <w:tcW w:w="1271" w:type="dxa"/>
            <w:tcBorders>
              <w:right w:val="single" w:sz="4" w:space="0" w:color="auto"/>
            </w:tcBorders>
          </w:tcPr>
          <w:p w14:paraId="3C43B554"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10</w:t>
            </w:r>
          </w:p>
        </w:tc>
        <w:tc>
          <w:tcPr>
            <w:tcW w:w="3686" w:type="dxa"/>
            <w:gridSpan w:val="2"/>
            <w:tcBorders>
              <w:top w:val="single" w:sz="4" w:space="0" w:color="auto"/>
              <w:left w:val="single" w:sz="4" w:space="0" w:color="auto"/>
              <w:bottom w:val="single" w:sz="4" w:space="0" w:color="auto"/>
              <w:right w:val="nil"/>
            </w:tcBorders>
          </w:tcPr>
          <w:p w14:paraId="0C9023B9"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SEMARNAP Delegación Campeche</w:t>
            </w:r>
          </w:p>
        </w:tc>
        <w:tc>
          <w:tcPr>
            <w:tcW w:w="283" w:type="dxa"/>
            <w:tcBorders>
              <w:top w:val="single" w:sz="4" w:space="0" w:color="auto"/>
              <w:left w:val="nil"/>
              <w:bottom w:val="single" w:sz="4" w:space="0" w:color="auto"/>
              <w:right w:val="single" w:sz="4" w:space="0" w:color="auto"/>
            </w:tcBorders>
          </w:tcPr>
          <w:p w14:paraId="10B71945" w14:textId="77777777" w:rsidR="000E24F5" w:rsidRPr="007923C2" w:rsidRDefault="000E24F5" w:rsidP="0030772E">
            <w:pPr>
              <w:spacing w:line="276" w:lineRule="auto"/>
              <w:jc w:val="both"/>
              <w:rPr>
                <w:rFonts w:ascii="Arial" w:hAnsi="Arial" w:cs="Arial"/>
                <w:sz w:val="22"/>
                <w:szCs w:val="22"/>
              </w:rPr>
            </w:pPr>
          </w:p>
        </w:tc>
        <w:tc>
          <w:tcPr>
            <w:tcW w:w="1985" w:type="dxa"/>
            <w:gridSpan w:val="5"/>
            <w:tcBorders>
              <w:left w:val="single" w:sz="4" w:space="0" w:color="auto"/>
              <w:bottom w:val="single" w:sz="4" w:space="0" w:color="auto"/>
              <w:right w:val="single" w:sz="4" w:space="0" w:color="auto"/>
            </w:tcBorders>
          </w:tcPr>
          <w:p w14:paraId="5B513439"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Ambientalista</w:t>
            </w:r>
          </w:p>
        </w:tc>
        <w:tc>
          <w:tcPr>
            <w:tcW w:w="1026" w:type="dxa"/>
            <w:tcBorders>
              <w:top w:val="single" w:sz="4" w:space="0" w:color="auto"/>
              <w:left w:val="single" w:sz="4" w:space="0" w:color="auto"/>
              <w:bottom w:val="single" w:sz="4" w:space="0" w:color="auto"/>
              <w:right w:val="nil"/>
            </w:tcBorders>
          </w:tcPr>
          <w:p w14:paraId="554D4579" w14:textId="77777777" w:rsidR="000E24F5" w:rsidRPr="007923C2" w:rsidRDefault="003B2E14" w:rsidP="0030772E">
            <w:pPr>
              <w:spacing w:line="276" w:lineRule="auto"/>
              <w:jc w:val="both"/>
              <w:rPr>
                <w:rFonts w:ascii="Arial" w:hAnsi="Arial" w:cs="Arial"/>
                <w:sz w:val="22"/>
                <w:szCs w:val="22"/>
              </w:rPr>
            </w:pPr>
            <w:r w:rsidRPr="007923C2">
              <w:rPr>
                <w:rFonts w:ascii="Arial" w:hAnsi="Arial" w:cs="Arial"/>
                <w:sz w:val="22"/>
                <w:szCs w:val="22"/>
              </w:rPr>
              <w:t>Tres Años</w:t>
            </w:r>
          </w:p>
        </w:tc>
        <w:tc>
          <w:tcPr>
            <w:tcW w:w="1100" w:type="dxa"/>
            <w:gridSpan w:val="6"/>
            <w:tcBorders>
              <w:top w:val="single" w:sz="4" w:space="0" w:color="auto"/>
              <w:left w:val="nil"/>
              <w:bottom w:val="single" w:sz="4" w:space="0" w:color="auto"/>
              <w:right w:val="single" w:sz="4" w:space="0" w:color="auto"/>
            </w:tcBorders>
          </w:tcPr>
          <w:p w14:paraId="106F19D6" w14:textId="77777777" w:rsidR="000E24F5" w:rsidRPr="007923C2" w:rsidRDefault="000E24F5" w:rsidP="0030772E">
            <w:pPr>
              <w:spacing w:line="276" w:lineRule="auto"/>
              <w:jc w:val="both"/>
              <w:rPr>
                <w:rFonts w:ascii="Arial" w:hAnsi="Arial" w:cs="Arial"/>
                <w:sz w:val="22"/>
                <w:szCs w:val="22"/>
              </w:rPr>
            </w:pPr>
          </w:p>
        </w:tc>
      </w:tr>
      <w:tr w:rsidR="00DD3674" w:rsidRPr="007923C2" w14:paraId="2F061E37" w14:textId="77777777" w:rsidTr="002323B6">
        <w:trPr>
          <w:trHeight w:val="182"/>
        </w:trPr>
        <w:tc>
          <w:tcPr>
            <w:tcW w:w="1271" w:type="dxa"/>
            <w:tcBorders>
              <w:right w:val="single" w:sz="4" w:space="0" w:color="auto"/>
            </w:tcBorders>
          </w:tcPr>
          <w:p w14:paraId="35882E06"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11</w:t>
            </w:r>
          </w:p>
        </w:tc>
        <w:tc>
          <w:tcPr>
            <w:tcW w:w="1822" w:type="dxa"/>
            <w:tcBorders>
              <w:top w:val="single" w:sz="4" w:space="0" w:color="auto"/>
              <w:left w:val="single" w:sz="4" w:space="0" w:color="auto"/>
              <w:bottom w:val="single" w:sz="4" w:space="0" w:color="auto"/>
              <w:right w:val="nil"/>
            </w:tcBorders>
          </w:tcPr>
          <w:p w14:paraId="445A5EDE" w14:textId="77777777" w:rsidR="000E24F5" w:rsidRPr="007923C2" w:rsidRDefault="000E24F5" w:rsidP="0030772E">
            <w:pPr>
              <w:spacing w:line="276" w:lineRule="auto"/>
              <w:jc w:val="both"/>
              <w:rPr>
                <w:rFonts w:ascii="Arial" w:hAnsi="Arial" w:cs="Arial"/>
                <w:sz w:val="22"/>
                <w:szCs w:val="22"/>
              </w:rPr>
            </w:pPr>
          </w:p>
        </w:tc>
        <w:tc>
          <w:tcPr>
            <w:tcW w:w="2147" w:type="dxa"/>
            <w:gridSpan w:val="2"/>
            <w:tcBorders>
              <w:top w:val="single" w:sz="4" w:space="0" w:color="auto"/>
              <w:left w:val="nil"/>
              <w:bottom w:val="single" w:sz="4" w:space="0" w:color="auto"/>
              <w:right w:val="single" w:sz="4" w:space="0" w:color="auto"/>
            </w:tcBorders>
          </w:tcPr>
          <w:p w14:paraId="59F63773" w14:textId="77777777" w:rsidR="000E24F5" w:rsidRPr="007923C2" w:rsidRDefault="000E24F5" w:rsidP="0030772E">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14:paraId="55BA1795" w14:textId="77777777" w:rsidR="000E24F5" w:rsidRPr="007923C2" w:rsidRDefault="000E24F5" w:rsidP="0030772E">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5F27A30B" w14:textId="77777777" w:rsidR="000E24F5" w:rsidRPr="007923C2" w:rsidRDefault="000E24F5" w:rsidP="0030772E">
            <w:pPr>
              <w:spacing w:line="276" w:lineRule="auto"/>
              <w:jc w:val="both"/>
              <w:rPr>
                <w:rFonts w:ascii="Arial" w:hAnsi="Arial" w:cs="Arial"/>
                <w:sz w:val="22"/>
                <w:szCs w:val="22"/>
              </w:rPr>
            </w:pPr>
          </w:p>
        </w:tc>
        <w:tc>
          <w:tcPr>
            <w:tcW w:w="283" w:type="dxa"/>
            <w:gridSpan w:val="2"/>
            <w:tcBorders>
              <w:top w:val="single" w:sz="4" w:space="0" w:color="auto"/>
              <w:left w:val="nil"/>
              <w:bottom w:val="single" w:sz="4" w:space="0" w:color="auto"/>
              <w:right w:val="nil"/>
            </w:tcBorders>
          </w:tcPr>
          <w:p w14:paraId="0EA6B6C3" w14:textId="77777777" w:rsidR="000E24F5" w:rsidRPr="007923C2" w:rsidRDefault="000E24F5" w:rsidP="0030772E">
            <w:pPr>
              <w:spacing w:line="276" w:lineRule="auto"/>
              <w:jc w:val="both"/>
              <w:rPr>
                <w:rFonts w:ascii="Arial" w:hAnsi="Arial" w:cs="Arial"/>
                <w:sz w:val="22"/>
                <w:szCs w:val="22"/>
              </w:rPr>
            </w:pPr>
          </w:p>
        </w:tc>
        <w:tc>
          <w:tcPr>
            <w:tcW w:w="1183" w:type="dxa"/>
            <w:tcBorders>
              <w:top w:val="single" w:sz="4" w:space="0" w:color="auto"/>
              <w:left w:val="nil"/>
              <w:bottom w:val="single" w:sz="4" w:space="0" w:color="auto"/>
              <w:right w:val="single" w:sz="4" w:space="0" w:color="auto"/>
            </w:tcBorders>
          </w:tcPr>
          <w:p w14:paraId="2CBE218B" w14:textId="77777777" w:rsidR="000E24F5" w:rsidRPr="007923C2" w:rsidRDefault="000E24F5" w:rsidP="0030772E">
            <w:pPr>
              <w:spacing w:line="276" w:lineRule="auto"/>
              <w:jc w:val="both"/>
              <w:rPr>
                <w:rFonts w:ascii="Arial" w:hAnsi="Arial" w:cs="Arial"/>
                <w:sz w:val="22"/>
                <w:szCs w:val="22"/>
              </w:rPr>
            </w:pPr>
          </w:p>
        </w:tc>
        <w:tc>
          <w:tcPr>
            <w:tcW w:w="1592" w:type="dxa"/>
            <w:gridSpan w:val="5"/>
            <w:tcBorders>
              <w:top w:val="single" w:sz="4" w:space="0" w:color="auto"/>
              <w:left w:val="single" w:sz="4" w:space="0" w:color="auto"/>
              <w:bottom w:val="single" w:sz="4" w:space="0" w:color="auto"/>
              <w:right w:val="nil"/>
            </w:tcBorders>
          </w:tcPr>
          <w:p w14:paraId="1519AF02" w14:textId="77777777" w:rsidR="000E24F5" w:rsidRPr="007923C2" w:rsidRDefault="000E24F5" w:rsidP="0030772E">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155BAD94" w14:textId="77777777" w:rsidR="000E24F5" w:rsidRPr="007923C2" w:rsidRDefault="000E24F5" w:rsidP="0030772E">
            <w:pPr>
              <w:spacing w:line="276" w:lineRule="auto"/>
              <w:jc w:val="both"/>
              <w:rPr>
                <w:rFonts w:ascii="Arial" w:hAnsi="Arial" w:cs="Arial"/>
                <w:sz w:val="22"/>
                <w:szCs w:val="22"/>
              </w:rPr>
            </w:pPr>
          </w:p>
        </w:tc>
        <w:tc>
          <w:tcPr>
            <w:tcW w:w="298" w:type="dxa"/>
            <w:tcBorders>
              <w:top w:val="single" w:sz="4" w:space="0" w:color="auto"/>
              <w:left w:val="nil"/>
              <w:bottom w:val="single" w:sz="4" w:space="0" w:color="auto"/>
              <w:right w:val="single" w:sz="4" w:space="0" w:color="auto"/>
            </w:tcBorders>
          </w:tcPr>
          <w:p w14:paraId="791ED609" w14:textId="77777777" w:rsidR="000E24F5" w:rsidRPr="007923C2" w:rsidRDefault="000E24F5" w:rsidP="0030772E">
            <w:pPr>
              <w:spacing w:line="276" w:lineRule="auto"/>
              <w:jc w:val="both"/>
              <w:rPr>
                <w:rFonts w:ascii="Arial" w:hAnsi="Arial" w:cs="Arial"/>
                <w:sz w:val="22"/>
                <w:szCs w:val="22"/>
              </w:rPr>
            </w:pPr>
          </w:p>
        </w:tc>
      </w:tr>
      <w:tr w:rsidR="00DD3674" w:rsidRPr="007923C2" w14:paraId="32DD1267" w14:textId="77777777" w:rsidTr="002323B6">
        <w:trPr>
          <w:trHeight w:val="185"/>
        </w:trPr>
        <w:tc>
          <w:tcPr>
            <w:tcW w:w="1271" w:type="dxa"/>
            <w:tcBorders>
              <w:right w:val="single" w:sz="4" w:space="0" w:color="auto"/>
            </w:tcBorders>
          </w:tcPr>
          <w:p w14:paraId="18C20311"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12</w:t>
            </w:r>
          </w:p>
        </w:tc>
        <w:tc>
          <w:tcPr>
            <w:tcW w:w="1822" w:type="dxa"/>
            <w:tcBorders>
              <w:top w:val="single" w:sz="4" w:space="0" w:color="auto"/>
              <w:left w:val="single" w:sz="4" w:space="0" w:color="auto"/>
              <w:bottom w:val="single" w:sz="4" w:space="0" w:color="auto"/>
              <w:right w:val="nil"/>
            </w:tcBorders>
          </w:tcPr>
          <w:p w14:paraId="65FC69E8" w14:textId="77777777" w:rsidR="000E24F5" w:rsidRPr="007923C2" w:rsidRDefault="000E24F5" w:rsidP="0030772E">
            <w:pPr>
              <w:spacing w:line="276" w:lineRule="auto"/>
              <w:jc w:val="both"/>
              <w:rPr>
                <w:rFonts w:ascii="Arial" w:hAnsi="Arial" w:cs="Arial"/>
                <w:sz w:val="22"/>
                <w:szCs w:val="22"/>
              </w:rPr>
            </w:pPr>
          </w:p>
        </w:tc>
        <w:tc>
          <w:tcPr>
            <w:tcW w:w="2147" w:type="dxa"/>
            <w:gridSpan w:val="2"/>
            <w:tcBorders>
              <w:top w:val="single" w:sz="4" w:space="0" w:color="auto"/>
              <w:left w:val="nil"/>
              <w:bottom w:val="single" w:sz="4" w:space="0" w:color="auto"/>
              <w:right w:val="single" w:sz="4" w:space="0" w:color="auto"/>
            </w:tcBorders>
          </w:tcPr>
          <w:p w14:paraId="1F77D51B" w14:textId="77777777" w:rsidR="000E24F5" w:rsidRPr="007923C2" w:rsidRDefault="000E24F5" w:rsidP="0030772E">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14:paraId="53372EE5" w14:textId="77777777" w:rsidR="000E24F5" w:rsidRPr="007923C2" w:rsidRDefault="000E24F5" w:rsidP="0030772E">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070EE8FA" w14:textId="77777777" w:rsidR="000E24F5" w:rsidRPr="007923C2" w:rsidRDefault="000E24F5" w:rsidP="0030772E">
            <w:pPr>
              <w:spacing w:line="276" w:lineRule="auto"/>
              <w:jc w:val="both"/>
              <w:rPr>
                <w:rFonts w:ascii="Arial" w:hAnsi="Arial" w:cs="Arial"/>
                <w:sz w:val="22"/>
                <w:szCs w:val="22"/>
              </w:rPr>
            </w:pPr>
          </w:p>
        </w:tc>
        <w:tc>
          <w:tcPr>
            <w:tcW w:w="283" w:type="dxa"/>
            <w:gridSpan w:val="2"/>
            <w:tcBorders>
              <w:top w:val="single" w:sz="4" w:space="0" w:color="auto"/>
              <w:left w:val="nil"/>
              <w:bottom w:val="single" w:sz="4" w:space="0" w:color="auto"/>
              <w:right w:val="nil"/>
            </w:tcBorders>
          </w:tcPr>
          <w:p w14:paraId="620C73DE" w14:textId="77777777" w:rsidR="000E24F5" w:rsidRPr="007923C2" w:rsidRDefault="000E24F5" w:rsidP="0030772E">
            <w:pPr>
              <w:spacing w:line="276" w:lineRule="auto"/>
              <w:jc w:val="both"/>
              <w:rPr>
                <w:rFonts w:ascii="Arial" w:hAnsi="Arial" w:cs="Arial"/>
                <w:sz w:val="22"/>
                <w:szCs w:val="22"/>
              </w:rPr>
            </w:pPr>
          </w:p>
        </w:tc>
        <w:tc>
          <w:tcPr>
            <w:tcW w:w="1183" w:type="dxa"/>
            <w:tcBorders>
              <w:top w:val="single" w:sz="4" w:space="0" w:color="auto"/>
              <w:left w:val="nil"/>
              <w:bottom w:val="single" w:sz="4" w:space="0" w:color="auto"/>
              <w:right w:val="single" w:sz="4" w:space="0" w:color="auto"/>
            </w:tcBorders>
          </w:tcPr>
          <w:p w14:paraId="12C5FC92" w14:textId="77777777" w:rsidR="000E24F5" w:rsidRPr="007923C2" w:rsidRDefault="000E24F5" w:rsidP="0030772E">
            <w:pPr>
              <w:spacing w:line="276" w:lineRule="auto"/>
              <w:jc w:val="both"/>
              <w:rPr>
                <w:rFonts w:ascii="Arial" w:hAnsi="Arial" w:cs="Arial"/>
                <w:sz w:val="22"/>
                <w:szCs w:val="22"/>
              </w:rPr>
            </w:pPr>
          </w:p>
        </w:tc>
        <w:tc>
          <w:tcPr>
            <w:tcW w:w="1592" w:type="dxa"/>
            <w:gridSpan w:val="5"/>
            <w:tcBorders>
              <w:top w:val="single" w:sz="4" w:space="0" w:color="auto"/>
              <w:left w:val="single" w:sz="4" w:space="0" w:color="auto"/>
              <w:bottom w:val="single" w:sz="4" w:space="0" w:color="auto"/>
              <w:right w:val="nil"/>
            </w:tcBorders>
          </w:tcPr>
          <w:p w14:paraId="50771640" w14:textId="77777777" w:rsidR="000E24F5" w:rsidRPr="007923C2" w:rsidRDefault="000E24F5" w:rsidP="0030772E">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039D6B59" w14:textId="77777777" w:rsidR="000E24F5" w:rsidRPr="007923C2" w:rsidRDefault="000E24F5" w:rsidP="0030772E">
            <w:pPr>
              <w:spacing w:line="276" w:lineRule="auto"/>
              <w:jc w:val="both"/>
              <w:rPr>
                <w:rFonts w:ascii="Arial" w:hAnsi="Arial" w:cs="Arial"/>
                <w:sz w:val="22"/>
                <w:szCs w:val="22"/>
              </w:rPr>
            </w:pPr>
          </w:p>
        </w:tc>
        <w:tc>
          <w:tcPr>
            <w:tcW w:w="298" w:type="dxa"/>
            <w:tcBorders>
              <w:top w:val="single" w:sz="4" w:space="0" w:color="auto"/>
              <w:left w:val="nil"/>
              <w:bottom w:val="single" w:sz="4" w:space="0" w:color="auto"/>
              <w:right w:val="single" w:sz="4" w:space="0" w:color="auto"/>
            </w:tcBorders>
          </w:tcPr>
          <w:p w14:paraId="492BDD7E" w14:textId="77777777" w:rsidR="000E24F5" w:rsidRPr="007923C2" w:rsidRDefault="000E24F5" w:rsidP="0030772E">
            <w:pPr>
              <w:spacing w:line="276" w:lineRule="auto"/>
              <w:jc w:val="both"/>
              <w:rPr>
                <w:rFonts w:ascii="Arial" w:hAnsi="Arial" w:cs="Arial"/>
                <w:sz w:val="22"/>
                <w:szCs w:val="22"/>
              </w:rPr>
            </w:pPr>
          </w:p>
        </w:tc>
      </w:tr>
      <w:tr w:rsidR="00DD3674" w:rsidRPr="007923C2" w14:paraId="21480AE1" w14:textId="77777777" w:rsidTr="002323B6">
        <w:trPr>
          <w:trHeight w:val="185"/>
        </w:trPr>
        <w:tc>
          <w:tcPr>
            <w:tcW w:w="1271" w:type="dxa"/>
            <w:tcBorders>
              <w:right w:val="single" w:sz="4" w:space="0" w:color="auto"/>
            </w:tcBorders>
          </w:tcPr>
          <w:p w14:paraId="6617B4E9" w14:textId="77777777"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Alumno 13</w:t>
            </w:r>
          </w:p>
        </w:tc>
        <w:tc>
          <w:tcPr>
            <w:tcW w:w="3686" w:type="dxa"/>
            <w:gridSpan w:val="2"/>
            <w:tcBorders>
              <w:top w:val="single" w:sz="4" w:space="0" w:color="auto"/>
              <w:left w:val="single" w:sz="4" w:space="0" w:color="auto"/>
              <w:bottom w:val="single" w:sz="4" w:space="0" w:color="auto"/>
              <w:right w:val="nil"/>
            </w:tcBorders>
          </w:tcPr>
          <w:p w14:paraId="36843107" w14:textId="77777777"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Agro consultoria integral S.C.</w:t>
            </w:r>
          </w:p>
        </w:tc>
        <w:tc>
          <w:tcPr>
            <w:tcW w:w="283" w:type="dxa"/>
            <w:tcBorders>
              <w:top w:val="single" w:sz="4" w:space="0" w:color="auto"/>
              <w:left w:val="nil"/>
              <w:bottom w:val="single" w:sz="4" w:space="0" w:color="auto"/>
              <w:right w:val="single" w:sz="4" w:space="0" w:color="auto"/>
            </w:tcBorders>
          </w:tcPr>
          <w:p w14:paraId="08599FFB" w14:textId="77777777" w:rsidR="00DD3674" w:rsidRPr="007923C2" w:rsidRDefault="00DD3674" w:rsidP="00546E09">
            <w:pPr>
              <w:spacing w:line="276" w:lineRule="auto"/>
              <w:jc w:val="both"/>
              <w:rPr>
                <w:rFonts w:ascii="Arial" w:hAnsi="Arial" w:cs="Arial"/>
                <w:sz w:val="22"/>
                <w:szCs w:val="22"/>
              </w:rPr>
            </w:pPr>
          </w:p>
        </w:tc>
        <w:tc>
          <w:tcPr>
            <w:tcW w:w="1985" w:type="dxa"/>
            <w:gridSpan w:val="5"/>
            <w:tcBorders>
              <w:left w:val="single" w:sz="4" w:space="0" w:color="auto"/>
              <w:bottom w:val="single" w:sz="4" w:space="0" w:color="auto"/>
              <w:right w:val="single" w:sz="4" w:space="0" w:color="auto"/>
            </w:tcBorders>
          </w:tcPr>
          <w:p w14:paraId="715B09C4" w14:textId="77777777"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Agrícola</w:t>
            </w:r>
          </w:p>
        </w:tc>
        <w:tc>
          <w:tcPr>
            <w:tcW w:w="1026" w:type="dxa"/>
            <w:tcBorders>
              <w:top w:val="single" w:sz="4" w:space="0" w:color="auto"/>
              <w:left w:val="single" w:sz="4" w:space="0" w:color="auto"/>
              <w:bottom w:val="single" w:sz="4" w:space="0" w:color="auto"/>
              <w:right w:val="nil"/>
            </w:tcBorders>
          </w:tcPr>
          <w:p w14:paraId="4C929D23" w14:textId="77777777"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Seis meses</w:t>
            </w:r>
          </w:p>
        </w:tc>
        <w:tc>
          <w:tcPr>
            <w:tcW w:w="1100" w:type="dxa"/>
            <w:gridSpan w:val="6"/>
            <w:tcBorders>
              <w:top w:val="single" w:sz="4" w:space="0" w:color="auto"/>
              <w:left w:val="nil"/>
              <w:bottom w:val="single" w:sz="4" w:space="0" w:color="auto"/>
              <w:right w:val="single" w:sz="4" w:space="0" w:color="auto"/>
            </w:tcBorders>
          </w:tcPr>
          <w:p w14:paraId="2FA32826" w14:textId="77777777" w:rsidR="00DD3674" w:rsidRPr="007923C2" w:rsidRDefault="00DD3674" w:rsidP="00546E09">
            <w:pPr>
              <w:spacing w:line="276" w:lineRule="auto"/>
              <w:jc w:val="both"/>
              <w:rPr>
                <w:rFonts w:ascii="Arial" w:hAnsi="Arial" w:cs="Arial"/>
                <w:sz w:val="22"/>
                <w:szCs w:val="22"/>
              </w:rPr>
            </w:pPr>
          </w:p>
        </w:tc>
      </w:tr>
      <w:tr w:rsidR="003B2E14" w:rsidRPr="007923C2" w14:paraId="43ECBCB4" w14:textId="77777777" w:rsidTr="002323B6">
        <w:trPr>
          <w:trHeight w:val="185"/>
        </w:trPr>
        <w:tc>
          <w:tcPr>
            <w:tcW w:w="1271" w:type="dxa"/>
          </w:tcPr>
          <w:p w14:paraId="63D621BE" w14:textId="77777777" w:rsidR="00DD3674"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 xml:space="preserve">Alumno </w:t>
            </w:r>
            <w:r w:rsidR="00DD3674" w:rsidRPr="007923C2">
              <w:rPr>
                <w:rFonts w:ascii="Arial" w:hAnsi="Arial" w:cs="Arial"/>
                <w:sz w:val="22"/>
                <w:szCs w:val="22"/>
              </w:rPr>
              <w:t>14</w:t>
            </w:r>
          </w:p>
        </w:tc>
        <w:tc>
          <w:tcPr>
            <w:tcW w:w="3969" w:type="dxa"/>
            <w:gridSpan w:val="3"/>
          </w:tcPr>
          <w:p w14:paraId="28D96538" w14:textId="77777777" w:rsidR="003B2E14" w:rsidRPr="007923C2" w:rsidRDefault="003B2E14" w:rsidP="00546E09">
            <w:pPr>
              <w:spacing w:line="276" w:lineRule="auto"/>
              <w:jc w:val="both"/>
              <w:rPr>
                <w:rFonts w:ascii="Arial" w:hAnsi="Arial" w:cs="Arial"/>
                <w:sz w:val="22"/>
                <w:szCs w:val="22"/>
              </w:rPr>
            </w:pPr>
            <w:r w:rsidRPr="007923C2">
              <w:rPr>
                <w:rFonts w:ascii="Arial" w:hAnsi="Arial" w:cs="Arial"/>
                <w:sz w:val="22"/>
                <w:szCs w:val="22"/>
              </w:rPr>
              <w:t>Comité Estatal de Sanidad Vegetal</w:t>
            </w:r>
          </w:p>
        </w:tc>
        <w:tc>
          <w:tcPr>
            <w:tcW w:w="1985" w:type="dxa"/>
            <w:gridSpan w:val="5"/>
          </w:tcPr>
          <w:p w14:paraId="370CDE1A" w14:textId="77777777" w:rsidR="003B2E14" w:rsidRPr="007923C2" w:rsidRDefault="003B2E14" w:rsidP="00546E09">
            <w:pPr>
              <w:spacing w:line="276" w:lineRule="auto"/>
              <w:jc w:val="both"/>
              <w:rPr>
                <w:rFonts w:ascii="Arial" w:hAnsi="Arial" w:cs="Arial"/>
                <w:sz w:val="22"/>
                <w:szCs w:val="22"/>
              </w:rPr>
            </w:pPr>
            <w:r w:rsidRPr="007923C2">
              <w:rPr>
                <w:rFonts w:ascii="Arial" w:hAnsi="Arial" w:cs="Arial"/>
                <w:sz w:val="22"/>
                <w:szCs w:val="22"/>
              </w:rPr>
              <w:t>Inocuidad alimentaria</w:t>
            </w:r>
          </w:p>
        </w:tc>
        <w:tc>
          <w:tcPr>
            <w:tcW w:w="2126" w:type="dxa"/>
            <w:gridSpan w:val="7"/>
          </w:tcPr>
          <w:p w14:paraId="03B14D3D" w14:textId="77777777" w:rsidR="003B2E14" w:rsidRPr="007923C2" w:rsidRDefault="00C01A74" w:rsidP="00546E09">
            <w:pPr>
              <w:spacing w:line="276" w:lineRule="auto"/>
              <w:jc w:val="both"/>
              <w:rPr>
                <w:rFonts w:ascii="Arial" w:hAnsi="Arial" w:cs="Arial"/>
                <w:sz w:val="22"/>
                <w:szCs w:val="22"/>
              </w:rPr>
            </w:pPr>
            <w:r w:rsidRPr="007923C2">
              <w:rPr>
                <w:rFonts w:ascii="Arial" w:hAnsi="Arial" w:cs="Arial"/>
                <w:sz w:val="22"/>
                <w:szCs w:val="22"/>
              </w:rPr>
              <w:t>Tres años</w:t>
            </w:r>
          </w:p>
        </w:tc>
      </w:tr>
      <w:tr w:rsidR="00CD168C" w:rsidRPr="007923C2" w14:paraId="0E9FB4B0" w14:textId="77777777" w:rsidTr="002323B6">
        <w:trPr>
          <w:trHeight w:val="185"/>
        </w:trPr>
        <w:tc>
          <w:tcPr>
            <w:tcW w:w="1271" w:type="dxa"/>
          </w:tcPr>
          <w:p w14:paraId="6C103149"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15</w:t>
            </w:r>
          </w:p>
        </w:tc>
        <w:tc>
          <w:tcPr>
            <w:tcW w:w="3969" w:type="dxa"/>
            <w:gridSpan w:val="3"/>
          </w:tcPr>
          <w:p w14:paraId="443FACF0"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Servicio Verificación y Sanidad Ambiental  (SERVESA)</w:t>
            </w:r>
          </w:p>
        </w:tc>
        <w:tc>
          <w:tcPr>
            <w:tcW w:w="1985" w:type="dxa"/>
            <w:gridSpan w:val="5"/>
          </w:tcPr>
          <w:p w14:paraId="59DA50EC"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Inocuidad alimentaria</w:t>
            </w:r>
          </w:p>
        </w:tc>
        <w:tc>
          <w:tcPr>
            <w:tcW w:w="2126" w:type="dxa"/>
            <w:gridSpan w:val="7"/>
          </w:tcPr>
          <w:p w14:paraId="275F507E"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Cinco meses</w:t>
            </w:r>
          </w:p>
        </w:tc>
      </w:tr>
      <w:tr w:rsidR="00DD3674" w:rsidRPr="007923C2" w14:paraId="785287B8" w14:textId="77777777" w:rsidTr="002323B6">
        <w:trPr>
          <w:trHeight w:val="185"/>
        </w:trPr>
        <w:tc>
          <w:tcPr>
            <w:tcW w:w="1271" w:type="dxa"/>
          </w:tcPr>
          <w:p w14:paraId="1FE37F48" w14:textId="77777777"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Alumno 16</w:t>
            </w:r>
          </w:p>
        </w:tc>
        <w:tc>
          <w:tcPr>
            <w:tcW w:w="3969" w:type="dxa"/>
            <w:gridSpan w:val="3"/>
            <w:tcBorders>
              <w:bottom w:val="single" w:sz="4" w:space="0" w:color="auto"/>
            </w:tcBorders>
          </w:tcPr>
          <w:p w14:paraId="7596C199" w14:textId="77777777" w:rsidR="00DD3674" w:rsidRPr="007923C2" w:rsidRDefault="00DD3674" w:rsidP="00DD3674">
            <w:pPr>
              <w:spacing w:line="276" w:lineRule="auto"/>
              <w:jc w:val="both"/>
              <w:rPr>
                <w:rFonts w:ascii="Arial" w:hAnsi="Arial" w:cs="Arial"/>
                <w:sz w:val="22"/>
                <w:szCs w:val="22"/>
              </w:rPr>
            </w:pPr>
            <w:r w:rsidRPr="007923C2">
              <w:rPr>
                <w:rFonts w:ascii="Arial" w:hAnsi="Arial" w:cs="Arial"/>
                <w:sz w:val="22"/>
                <w:szCs w:val="22"/>
              </w:rPr>
              <w:t xml:space="preserve">ASERPAC P.C </w:t>
            </w:r>
          </w:p>
        </w:tc>
        <w:tc>
          <w:tcPr>
            <w:tcW w:w="1985" w:type="dxa"/>
            <w:gridSpan w:val="5"/>
          </w:tcPr>
          <w:p w14:paraId="338DFF9F" w14:textId="77777777" w:rsidR="00DD3674" w:rsidRPr="007923C2" w:rsidRDefault="00DD3674" w:rsidP="00DD3674">
            <w:pPr>
              <w:spacing w:line="276" w:lineRule="auto"/>
              <w:jc w:val="both"/>
              <w:rPr>
                <w:rFonts w:ascii="Arial" w:hAnsi="Arial" w:cs="Arial"/>
                <w:sz w:val="22"/>
                <w:szCs w:val="22"/>
              </w:rPr>
            </w:pPr>
            <w:r w:rsidRPr="007923C2">
              <w:rPr>
                <w:rFonts w:ascii="Arial" w:hAnsi="Arial" w:cs="Arial"/>
                <w:sz w:val="22"/>
                <w:szCs w:val="22"/>
              </w:rPr>
              <w:t xml:space="preserve">Consultoría de proyectos </w:t>
            </w:r>
          </w:p>
        </w:tc>
        <w:tc>
          <w:tcPr>
            <w:tcW w:w="2126" w:type="dxa"/>
            <w:gridSpan w:val="7"/>
          </w:tcPr>
          <w:p w14:paraId="6994461C" w14:textId="77777777"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Cuatro años</w:t>
            </w:r>
          </w:p>
        </w:tc>
      </w:tr>
      <w:tr w:rsidR="00250BD4" w:rsidRPr="007923C2" w14:paraId="3521B4FD" w14:textId="77777777" w:rsidTr="002323B6">
        <w:trPr>
          <w:trHeight w:val="182"/>
        </w:trPr>
        <w:tc>
          <w:tcPr>
            <w:tcW w:w="1271" w:type="dxa"/>
            <w:tcBorders>
              <w:right w:val="single" w:sz="4" w:space="0" w:color="auto"/>
            </w:tcBorders>
          </w:tcPr>
          <w:p w14:paraId="112D9F19" w14:textId="77777777" w:rsidR="00250BD4" w:rsidRPr="007923C2" w:rsidRDefault="00250BD4" w:rsidP="00250BD4">
            <w:pPr>
              <w:spacing w:line="276" w:lineRule="auto"/>
              <w:jc w:val="both"/>
              <w:rPr>
                <w:rFonts w:ascii="Arial" w:hAnsi="Arial" w:cs="Arial"/>
                <w:sz w:val="22"/>
                <w:szCs w:val="22"/>
              </w:rPr>
            </w:pPr>
            <w:r w:rsidRPr="007923C2">
              <w:rPr>
                <w:rFonts w:ascii="Arial" w:hAnsi="Arial" w:cs="Arial"/>
                <w:sz w:val="22"/>
                <w:szCs w:val="22"/>
              </w:rPr>
              <w:t>Alumno 17</w:t>
            </w:r>
          </w:p>
        </w:tc>
        <w:tc>
          <w:tcPr>
            <w:tcW w:w="1822" w:type="dxa"/>
            <w:tcBorders>
              <w:top w:val="single" w:sz="4" w:space="0" w:color="auto"/>
              <w:left w:val="single" w:sz="4" w:space="0" w:color="auto"/>
              <w:bottom w:val="single" w:sz="4" w:space="0" w:color="auto"/>
              <w:right w:val="nil"/>
            </w:tcBorders>
          </w:tcPr>
          <w:p w14:paraId="1E3D424C" w14:textId="77777777" w:rsidR="00250BD4" w:rsidRPr="007923C2" w:rsidRDefault="00250BD4" w:rsidP="00546E09">
            <w:pPr>
              <w:spacing w:line="276" w:lineRule="auto"/>
              <w:jc w:val="both"/>
              <w:rPr>
                <w:rFonts w:ascii="Arial" w:hAnsi="Arial" w:cs="Arial"/>
                <w:sz w:val="22"/>
                <w:szCs w:val="22"/>
              </w:rPr>
            </w:pPr>
            <w:r w:rsidRPr="007923C2">
              <w:rPr>
                <w:rFonts w:ascii="Arial" w:hAnsi="Arial" w:cs="Arial"/>
                <w:sz w:val="22"/>
                <w:szCs w:val="22"/>
              </w:rPr>
              <w:t>Ingenio Huixtla</w:t>
            </w:r>
          </w:p>
        </w:tc>
        <w:tc>
          <w:tcPr>
            <w:tcW w:w="2147" w:type="dxa"/>
            <w:gridSpan w:val="2"/>
            <w:tcBorders>
              <w:top w:val="single" w:sz="4" w:space="0" w:color="auto"/>
              <w:left w:val="nil"/>
              <w:bottom w:val="single" w:sz="4" w:space="0" w:color="auto"/>
              <w:right w:val="single" w:sz="4" w:space="0" w:color="auto"/>
            </w:tcBorders>
          </w:tcPr>
          <w:p w14:paraId="2F252AA3" w14:textId="77777777" w:rsidR="00250BD4" w:rsidRPr="007923C2" w:rsidRDefault="00250BD4" w:rsidP="00546E09">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14:paraId="3FE17E90" w14:textId="77777777" w:rsidR="00250BD4" w:rsidRPr="007923C2" w:rsidRDefault="00250BD4"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48C141DD" w14:textId="77777777" w:rsidR="00250BD4" w:rsidRPr="007923C2" w:rsidRDefault="00250BD4" w:rsidP="00546E09">
            <w:pPr>
              <w:spacing w:line="276" w:lineRule="auto"/>
              <w:jc w:val="both"/>
              <w:rPr>
                <w:rFonts w:ascii="Arial" w:hAnsi="Arial" w:cs="Arial"/>
                <w:sz w:val="22"/>
                <w:szCs w:val="22"/>
              </w:rPr>
            </w:pPr>
          </w:p>
        </w:tc>
        <w:tc>
          <w:tcPr>
            <w:tcW w:w="1466" w:type="dxa"/>
            <w:gridSpan w:val="3"/>
            <w:tcBorders>
              <w:top w:val="single" w:sz="4" w:space="0" w:color="auto"/>
              <w:left w:val="nil"/>
              <w:bottom w:val="single" w:sz="4" w:space="0" w:color="auto"/>
              <w:right w:val="single" w:sz="4" w:space="0" w:color="auto"/>
            </w:tcBorders>
          </w:tcPr>
          <w:p w14:paraId="3908962D" w14:textId="77777777" w:rsidR="00250BD4" w:rsidRPr="007923C2" w:rsidRDefault="00250BD4" w:rsidP="00546E09">
            <w:pPr>
              <w:spacing w:line="276" w:lineRule="auto"/>
              <w:jc w:val="both"/>
              <w:rPr>
                <w:rFonts w:ascii="Arial" w:hAnsi="Arial" w:cs="Arial"/>
                <w:sz w:val="22"/>
                <w:szCs w:val="22"/>
              </w:rPr>
            </w:pPr>
            <w:r w:rsidRPr="007923C2">
              <w:rPr>
                <w:rFonts w:ascii="Arial" w:hAnsi="Arial" w:cs="Arial"/>
                <w:sz w:val="22"/>
                <w:szCs w:val="22"/>
              </w:rPr>
              <w:t>Industria Azucarera Tres meses</w:t>
            </w:r>
          </w:p>
        </w:tc>
        <w:tc>
          <w:tcPr>
            <w:tcW w:w="1309" w:type="dxa"/>
            <w:gridSpan w:val="3"/>
            <w:tcBorders>
              <w:top w:val="single" w:sz="4" w:space="0" w:color="auto"/>
              <w:left w:val="single" w:sz="4" w:space="0" w:color="auto"/>
              <w:bottom w:val="single" w:sz="4" w:space="0" w:color="auto"/>
              <w:right w:val="nil"/>
            </w:tcBorders>
          </w:tcPr>
          <w:p w14:paraId="1975FC7D" w14:textId="77777777" w:rsidR="00250BD4" w:rsidRPr="007923C2" w:rsidRDefault="00250BD4"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5E640D77" w14:textId="77777777" w:rsidR="00250BD4" w:rsidRPr="007923C2" w:rsidRDefault="00250BD4" w:rsidP="00546E09">
            <w:pPr>
              <w:spacing w:line="276" w:lineRule="auto"/>
              <w:jc w:val="both"/>
              <w:rPr>
                <w:rFonts w:ascii="Arial" w:hAnsi="Arial" w:cs="Arial"/>
                <w:sz w:val="22"/>
                <w:szCs w:val="22"/>
              </w:rPr>
            </w:pPr>
          </w:p>
        </w:tc>
        <w:tc>
          <w:tcPr>
            <w:tcW w:w="581" w:type="dxa"/>
            <w:gridSpan w:val="3"/>
            <w:tcBorders>
              <w:top w:val="single" w:sz="4" w:space="0" w:color="auto"/>
              <w:left w:val="nil"/>
              <w:bottom w:val="single" w:sz="4" w:space="0" w:color="auto"/>
              <w:right w:val="single" w:sz="4" w:space="0" w:color="auto"/>
            </w:tcBorders>
          </w:tcPr>
          <w:p w14:paraId="3F658810" w14:textId="77777777" w:rsidR="00250BD4" w:rsidRPr="007923C2" w:rsidRDefault="00250BD4" w:rsidP="00546E09">
            <w:pPr>
              <w:spacing w:line="276" w:lineRule="auto"/>
              <w:jc w:val="both"/>
              <w:rPr>
                <w:rFonts w:ascii="Arial" w:hAnsi="Arial" w:cs="Arial"/>
                <w:sz w:val="22"/>
                <w:szCs w:val="22"/>
              </w:rPr>
            </w:pPr>
          </w:p>
        </w:tc>
      </w:tr>
      <w:tr w:rsidR="00CD168C" w:rsidRPr="007923C2" w14:paraId="50B4BDDD" w14:textId="77777777" w:rsidTr="002323B6">
        <w:trPr>
          <w:trHeight w:val="185"/>
        </w:trPr>
        <w:tc>
          <w:tcPr>
            <w:tcW w:w="1271" w:type="dxa"/>
            <w:tcBorders>
              <w:right w:val="single" w:sz="4" w:space="0" w:color="auto"/>
            </w:tcBorders>
          </w:tcPr>
          <w:p w14:paraId="69292C51"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18</w:t>
            </w:r>
          </w:p>
        </w:tc>
        <w:tc>
          <w:tcPr>
            <w:tcW w:w="3686" w:type="dxa"/>
            <w:gridSpan w:val="2"/>
            <w:tcBorders>
              <w:top w:val="single" w:sz="4" w:space="0" w:color="auto"/>
              <w:left w:val="single" w:sz="4" w:space="0" w:color="auto"/>
              <w:bottom w:val="single" w:sz="4" w:space="0" w:color="auto"/>
              <w:right w:val="nil"/>
            </w:tcBorders>
          </w:tcPr>
          <w:p w14:paraId="6B961A88"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CDI (Particular por grupo de mujeres)</w:t>
            </w:r>
          </w:p>
        </w:tc>
        <w:tc>
          <w:tcPr>
            <w:tcW w:w="283" w:type="dxa"/>
            <w:tcBorders>
              <w:top w:val="single" w:sz="4" w:space="0" w:color="auto"/>
              <w:left w:val="nil"/>
              <w:bottom w:val="single" w:sz="4" w:space="0" w:color="auto"/>
              <w:right w:val="single" w:sz="4" w:space="0" w:color="auto"/>
            </w:tcBorders>
          </w:tcPr>
          <w:p w14:paraId="7884BDF3" w14:textId="77777777" w:rsidR="000E24F5" w:rsidRPr="007923C2" w:rsidRDefault="000E24F5" w:rsidP="0030772E">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14:paraId="17781EDF" w14:textId="77777777" w:rsidR="000E24F5" w:rsidRPr="007923C2" w:rsidRDefault="00250BD4" w:rsidP="0030772E">
            <w:pPr>
              <w:spacing w:line="276" w:lineRule="auto"/>
              <w:jc w:val="both"/>
              <w:rPr>
                <w:rFonts w:ascii="Arial" w:hAnsi="Arial" w:cs="Arial"/>
                <w:sz w:val="22"/>
                <w:szCs w:val="22"/>
              </w:rPr>
            </w:pPr>
            <w:r w:rsidRPr="007923C2">
              <w:rPr>
                <w:rFonts w:ascii="Arial" w:hAnsi="Arial" w:cs="Arial"/>
                <w:sz w:val="22"/>
                <w:szCs w:val="22"/>
              </w:rPr>
              <w:t>Ayuda social</w:t>
            </w:r>
          </w:p>
        </w:tc>
        <w:tc>
          <w:tcPr>
            <w:tcW w:w="1026" w:type="dxa"/>
            <w:tcBorders>
              <w:top w:val="single" w:sz="4" w:space="0" w:color="auto"/>
              <w:left w:val="single" w:sz="4" w:space="0" w:color="auto"/>
              <w:bottom w:val="single" w:sz="4" w:space="0" w:color="auto"/>
              <w:right w:val="nil"/>
            </w:tcBorders>
          </w:tcPr>
          <w:p w14:paraId="764513C5" w14:textId="77777777" w:rsidR="000E24F5" w:rsidRPr="007923C2" w:rsidRDefault="00250BD4" w:rsidP="0030772E">
            <w:pPr>
              <w:spacing w:line="276" w:lineRule="auto"/>
              <w:jc w:val="both"/>
              <w:rPr>
                <w:rFonts w:ascii="Arial" w:hAnsi="Arial" w:cs="Arial"/>
                <w:sz w:val="22"/>
                <w:szCs w:val="22"/>
              </w:rPr>
            </w:pPr>
            <w:r w:rsidRPr="007923C2">
              <w:rPr>
                <w:rFonts w:ascii="Arial" w:hAnsi="Arial" w:cs="Arial"/>
                <w:sz w:val="22"/>
                <w:szCs w:val="22"/>
              </w:rPr>
              <w:t>Un año</w:t>
            </w:r>
          </w:p>
        </w:tc>
        <w:tc>
          <w:tcPr>
            <w:tcW w:w="1100" w:type="dxa"/>
            <w:gridSpan w:val="6"/>
            <w:tcBorders>
              <w:top w:val="single" w:sz="4" w:space="0" w:color="auto"/>
              <w:left w:val="nil"/>
              <w:bottom w:val="single" w:sz="4" w:space="0" w:color="auto"/>
              <w:right w:val="single" w:sz="4" w:space="0" w:color="auto"/>
            </w:tcBorders>
          </w:tcPr>
          <w:p w14:paraId="531466B3" w14:textId="77777777" w:rsidR="000E24F5" w:rsidRPr="007923C2" w:rsidRDefault="000E24F5" w:rsidP="0030772E">
            <w:pPr>
              <w:spacing w:line="276" w:lineRule="auto"/>
              <w:jc w:val="both"/>
              <w:rPr>
                <w:rFonts w:ascii="Arial" w:hAnsi="Arial" w:cs="Arial"/>
                <w:sz w:val="22"/>
                <w:szCs w:val="22"/>
              </w:rPr>
            </w:pPr>
          </w:p>
        </w:tc>
      </w:tr>
      <w:tr w:rsidR="00CD168C" w:rsidRPr="007923C2" w14:paraId="551461D3" w14:textId="77777777" w:rsidTr="002323B6">
        <w:trPr>
          <w:trHeight w:val="185"/>
        </w:trPr>
        <w:tc>
          <w:tcPr>
            <w:tcW w:w="1271" w:type="dxa"/>
            <w:tcBorders>
              <w:right w:val="single" w:sz="4" w:space="0" w:color="auto"/>
            </w:tcBorders>
          </w:tcPr>
          <w:p w14:paraId="40E4A326"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19</w:t>
            </w:r>
          </w:p>
        </w:tc>
        <w:tc>
          <w:tcPr>
            <w:tcW w:w="3686" w:type="dxa"/>
            <w:gridSpan w:val="2"/>
            <w:tcBorders>
              <w:top w:val="single" w:sz="4" w:space="0" w:color="auto"/>
              <w:left w:val="single" w:sz="4" w:space="0" w:color="auto"/>
              <w:bottom w:val="single" w:sz="4" w:space="0" w:color="auto"/>
              <w:right w:val="nil"/>
            </w:tcBorders>
          </w:tcPr>
          <w:p w14:paraId="1E53B6CF" w14:textId="77777777"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Consultoría Ambiental en Oaxaca</w:t>
            </w:r>
          </w:p>
        </w:tc>
        <w:tc>
          <w:tcPr>
            <w:tcW w:w="283" w:type="dxa"/>
            <w:tcBorders>
              <w:top w:val="single" w:sz="4" w:space="0" w:color="auto"/>
              <w:left w:val="nil"/>
              <w:bottom w:val="single" w:sz="4" w:space="0" w:color="auto"/>
              <w:right w:val="single" w:sz="4" w:space="0" w:color="auto"/>
            </w:tcBorders>
          </w:tcPr>
          <w:p w14:paraId="0C98DA0D" w14:textId="77777777" w:rsidR="000E24F5" w:rsidRPr="007923C2" w:rsidRDefault="000E24F5" w:rsidP="0030772E">
            <w:pPr>
              <w:spacing w:line="276" w:lineRule="auto"/>
              <w:jc w:val="both"/>
              <w:rPr>
                <w:rFonts w:ascii="Arial" w:hAnsi="Arial" w:cs="Arial"/>
                <w:sz w:val="22"/>
                <w:szCs w:val="22"/>
              </w:rPr>
            </w:pPr>
          </w:p>
        </w:tc>
        <w:tc>
          <w:tcPr>
            <w:tcW w:w="1985" w:type="dxa"/>
            <w:gridSpan w:val="5"/>
            <w:tcBorders>
              <w:left w:val="single" w:sz="4" w:space="0" w:color="auto"/>
              <w:bottom w:val="single" w:sz="4" w:space="0" w:color="auto"/>
              <w:right w:val="single" w:sz="4" w:space="0" w:color="auto"/>
            </w:tcBorders>
          </w:tcPr>
          <w:p w14:paraId="5EF1D6B3" w14:textId="77777777" w:rsidR="000E24F5" w:rsidRPr="007923C2" w:rsidRDefault="006237F1" w:rsidP="0030772E">
            <w:pPr>
              <w:spacing w:line="276" w:lineRule="auto"/>
              <w:jc w:val="both"/>
              <w:rPr>
                <w:rFonts w:ascii="Arial" w:hAnsi="Arial" w:cs="Arial"/>
                <w:sz w:val="22"/>
                <w:szCs w:val="22"/>
              </w:rPr>
            </w:pPr>
            <w:r w:rsidRPr="007923C2">
              <w:rPr>
                <w:rFonts w:ascii="Arial" w:hAnsi="Arial" w:cs="Arial"/>
                <w:sz w:val="22"/>
                <w:szCs w:val="22"/>
              </w:rPr>
              <w:t>Servicio</w:t>
            </w:r>
          </w:p>
        </w:tc>
        <w:tc>
          <w:tcPr>
            <w:tcW w:w="1026" w:type="dxa"/>
            <w:tcBorders>
              <w:top w:val="nil"/>
              <w:left w:val="single" w:sz="4" w:space="0" w:color="auto"/>
              <w:bottom w:val="single" w:sz="4" w:space="0" w:color="auto"/>
              <w:right w:val="nil"/>
            </w:tcBorders>
          </w:tcPr>
          <w:p w14:paraId="7EC670C8" w14:textId="77777777" w:rsidR="000E24F5" w:rsidRPr="007923C2" w:rsidRDefault="006237F1" w:rsidP="0030772E">
            <w:pPr>
              <w:spacing w:line="276" w:lineRule="auto"/>
              <w:jc w:val="both"/>
              <w:rPr>
                <w:rFonts w:ascii="Arial" w:hAnsi="Arial" w:cs="Arial"/>
                <w:sz w:val="22"/>
                <w:szCs w:val="22"/>
              </w:rPr>
            </w:pPr>
            <w:r w:rsidRPr="007923C2">
              <w:rPr>
                <w:rFonts w:ascii="Arial" w:hAnsi="Arial" w:cs="Arial"/>
                <w:sz w:val="22"/>
                <w:szCs w:val="22"/>
              </w:rPr>
              <w:t>Ocho años</w:t>
            </w:r>
          </w:p>
        </w:tc>
        <w:tc>
          <w:tcPr>
            <w:tcW w:w="236" w:type="dxa"/>
            <w:tcBorders>
              <w:top w:val="nil"/>
              <w:left w:val="nil"/>
              <w:bottom w:val="single" w:sz="4" w:space="0" w:color="auto"/>
              <w:right w:val="nil"/>
            </w:tcBorders>
          </w:tcPr>
          <w:p w14:paraId="1DE1AE1B" w14:textId="77777777" w:rsidR="000E24F5" w:rsidRPr="007923C2" w:rsidRDefault="000E24F5" w:rsidP="0030772E">
            <w:pPr>
              <w:spacing w:line="276" w:lineRule="auto"/>
              <w:jc w:val="both"/>
              <w:rPr>
                <w:rFonts w:ascii="Arial" w:hAnsi="Arial" w:cs="Arial"/>
                <w:sz w:val="22"/>
                <w:szCs w:val="22"/>
              </w:rPr>
            </w:pPr>
          </w:p>
        </w:tc>
        <w:tc>
          <w:tcPr>
            <w:tcW w:w="864" w:type="dxa"/>
            <w:gridSpan w:val="5"/>
            <w:tcBorders>
              <w:top w:val="nil"/>
              <w:left w:val="nil"/>
              <w:bottom w:val="single" w:sz="4" w:space="0" w:color="auto"/>
              <w:right w:val="single" w:sz="4" w:space="0" w:color="auto"/>
            </w:tcBorders>
          </w:tcPr>
          <w:p w14:paraId="75E1089D" w14:textId="77777777" w:rsidR="000E24F5" w:rsidRPr="007923C2" w:rsidRDefault="000E24F5" w:rsidP="0030772E">
            <w:pPr>
              <w:spacing w:line="276" w:lineRule="auto"/>
              <w:jc w:val="both"/>
              <w:rPr>
                <w:rFonts w:ascii="Arial" w:hAnsi="Arial" w:cs="Arial"/>
                <w:sz w:val="22"/>
                <w:szCs w:val="22"/>
              </w:rPr>
            </w:pPr>
          </w:p>
        </w:tc>
      </w:tr>
      <w:tr w:rsidR="006237F1" w:rsidRPr="007923C2" w14:paraId="5432FFA5" w14:textId="77777777" w:rsidTr="002323B6">
        <w:trPr>
          <w:trHeight w:val="182"/>
        </w:trPr>
        <w:tc>
          <w:tcPr>
            <w:tcW w:w="1271" w:type="dxa"/>
          </w:tcPr>
          <w:p w14:paraId="09F9BFFC" w14:textId="77777777"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Alumno 20</w:t>
            </w:r>
          </w:p>
        </w:tc>
        <w:tc>
          <w:tcPr>
            <w:tcW w:w="1822" w:type="dxa"/>
            <w:tcBorders>
              <w:top w:val="single" w:sz="4" w:space="0" w:color="auto"/>
              <w:bottom w:val="single" w:sz="4" w:space="0" w:color="auto"/>
              <w:right w:val="nil"/>
            </w:tcBorders>
          </w:tcPr>
          <w:p w14:paraId="4D46E257" w14:textId="77777777"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INIFAP Saltillo</w:t>
            </w:r>
          </w:p>
        </w:tc>
        <w:tc>
          <w:tcPr>
            <w:tcW w:w="1864" w:type="dxa"/>
            <w:tcBorders>
              <w:top w:val="single" w:sz="4" w:space="0" w:color="auto"/>
              <w:left w:val="nil"/>
              <w:bottom w:val="single" w:sz="4" w:space="0" w:color="auto"/>
              <w:right w:val="nil"/>
            </w:tcBorders>
          </w:tcPr>
          <w:p w14:paraId="3365FB7F" w14:textId="77777777" w:rsidR="006237F1" w:rsidRPr="007923C2" w:rsidRDefault="006237F1" w:rsidP="006237F1">
            <w:pPr>
              <w:spacing w:line="276" w:lineRule="auto"/>
              <w:jc w:val="both"/>
              <w:rPr>
                <w:rFonts w:ascii="Arial" w:hAnsi="Arial" w:cs="Arial"/>
                <w:sz w:val="22"/>
                <w:szCs w:val="22"/>
              </w:rPr>
            </w:pPr>
          </w:p>
        </w:tc>
        <w:tc>
          <w:tcPr>
            <w:tcW w:w="283" w:type="dxa"/>
            <w:tcBorders>
              <w:top w:val="single" w:sz="4" w:space="0" w:color="auto"/>
              <w:left w:val="nil"/>
              <w:bottom w:val="single" w:sz="4" w:space="0" w:color="auto"/>
              <w:right w:val="single" w:sz="4" w:space="0" w:color="auto"/>
            </w:tcBorders>
          </w:tcPr>
          <w:p w14:paraId="6A6E1372" w14:textId="77777777" w:rsidR="006237F1" w:rsidRPr="007923C2" w:rsidRDefault="006237F1" w:rsidP="006237F1">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14:paraId="1BECF43A" w14:textId="77777777" w:rsidR="006237F1" w:rsidRPr="007923C2" w:rsidRDefault="006237F1" w:rsidP="006237F1">
            <w:pPr>
              <w:spacing w:line="276" w:lineRule="auto"/>
              <w:jc w:val="both"/>
              <w:rPr>
                <w:rFonts w:ascii="Arial" w:hAnsi="Arial" w:cs="Arial"/>
                <w:sz w:val="22"/>
                <w:szCs w:val="22"/>
              </w:rPr>
            </w:pPr>
          </w:p>
        </w:tc>
        <w:tc>
          <w:tcPr>
            <w:tcW w:w="1702" w:type="dxa"/>
            <w:gridSpan w:val="4"/>
            <w:tcBorders>
              <w:top w:val="single" w:sz="4" w:space="0" w:color="auto"/>
              <w:left w:val="nil"/>
              <w:bottom w:val="single" w:sz="4" w:space="0" w:color="auto"/>
              <w:right w:val="single" w:sz="4" w:space="0" w:color="auto"/>
            </w:tcBorders>
          </w:tcPr>
          <w:p w14:paraId="6C62198D" w14:textId="77777777"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Investigación</w:t>
            </w:r>
          </w:p>
        </w:tc>
        <w:tc>
          <w:tcPr>
            <w:tcW w:w="1026" w:type="dxa"/>
            <w:tcBorders>
              <w:top w:val="single" w:sz="4" w:space="0" w:color="auto"/>
              <w:left w:val="single" w:sz="4" w:space="0" w:color="auto"/>
              <w:bottom w:val="single" w:sz="4" w:space="0" w:color="auto"/>
              <w:right w:val="nil"/>
            </w:tcBorders>
          </w:tcPr>
          <w:p w14:paraId="0A7B372E" w14:textId="77777777"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No la dijo</w:t>
            </w:r>
          </w:p>
        </w:tc>
        <w:tc>
          <w:tcPr>
            <w:tcW w:w="236" w:type="dxa"/>
            <w:tcBorders>
              <w:top w:val="single" w:sz="4" w:space="0" w:color="auto"/>
              <w:left w:val="nil"/>
              <w:bottom w:val="single" w:sz="4" w:space="0" w:color="auto"/>
              <w:right w:val="nil"/>
            </w:tcBorders>
          </w:tcPr>
          <w:p w14:paraId="3400840D" w14:textId="77777777" w:rsidR="006237F1" w:rsidRPr="007923C2" w:rsidRDefault="006237F1" w:rsidP="006237F1">
            <w:pPr>
              <w:spacing w:line="276" w:lineRule="auto"/>
              <w:jc w:val="both"/>
              <w:rPr>
                <w:rFonts w:ascii="Arial" w:hAnsi="Arial" w:cs="Arial"/>
                <w:sz w:val="22"/>
                <w:szCs w:val="22"/>
              </w:rPr>
            </w:pPr>
          </w:p>
        </w:tc>
        <w:tc>
          <w:tcPr>
            <w:tcW w:w="864" w:type="dxa"/>
            <w:gridSpan w:val="5"/>
            <w:tcBorders>
              <w:top w:val="single" w:sz="4" w:space="0" w:color="auto"/>
              <w:left w:val="nil"/>
              <w:bottom w:val="single" w:sz="4" w:space="0" w:color="auto"/>
              <w:right w:val="single" w:sz="4" w:space="0" w:color="auto"/>
            </w:tcBorders>
          </w:tcPr>
          <w:p w14:paraId="12D6C43C" w14:textId="77777777" w:rsidR="006237F1" w:rsidRPr="007923C2" w:rsidRDefault="006237F1" w:rsidP="006237F1">
            <w:pPr>
              <w:spacing w:line="276" w:lineRule="auto"/>
              <w:jc w:val="both"/>
              <w:rPr>
                <w:rFonts w:ascii="Arial" w:hAnsi="Arial" w:cs="Arial"/>
                <w:sz w:val="22"/>
                <w:szCs w:val="22"/>
              </w:rPr>
            </w:pPr>
          </w:p>
        </w:tc>
      </w:tr>
      <w:tr w:rsidR="006237F1" w:rsidRPr="007923C2" w14:paraId="056B5B16" w14:textId="77777777" w:rsidTr="002323B6">
        <w:trPr>
          <w:trHeight w:val="185"/>
        </w:trPr>
        <w:tc>
          <w:tcPr>
            <w:tcW w:w="1271" w:type="dxa"/>
          </w:tcPr>
          <w:p w14:paraId="43865294" w14:textId="77777777"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Alumno 21</w:t>
            </w:r>
          </w:p>
        </w:tc>
        <w:tc>
          <w:tcPr>
            <w:tcW w:w="3969" w:type="dxa"/>
            <w:gridSpan w:val="3"/>
            <w:tcBorders>
              <w:top w:val="single" w:sz="4" w:space="0" w:color="auto"/>
              <w:right w:val="single" w:sz="4" w:space="0" w:color="auto"/>
            </w:tcBorders>
          </w:tcPr>
          <w:p w14:paraId="131AD85A" w14:textId="77777777"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Flores y Follajes del Norte</w:t>
            </w:r>
          </w:p>
        </w:tc>
        <w:tc>
          <w:tcPr>
            <w:tcW w:w="283" w:type="dxa"/>
            <w:tcBorders>
              <w:top w:val="single" w:sz="4" w:space="0" w:color="auto"/>
              <w:left w:val="single" w:sz="4" w:space="0" w:color="auto"/>
              <w:bottom w:val="single" w:sz="4" w:space="0" w:color="auto"/>
              <w:right w:val="nil"/>
            </w:tcBorders>
          </w:tcPr>
          <w:p w14:paraId="07EAAD58" w14:textId="77777777" w:rsidR="006237F1" w:rsidRPr="007923C2" w:rsidRDefault="006237F1" w:rsidP="006237F1">
            <w:pPr>
              <w:spacing w:line="276" w:lineRule="auto"/>
              <w:jc w:val="both"/>
              <w:rPr>
                <w:rFonts w:ascii="Arial" w:hAnsi="Arial" w:cs="Arial"/>
                <w:sz w:val="22"/>
                <w:szCs w:val="22"/>
              </w:rPr>
            </w:pPr>
          </w:p>
        </w:tc>
        <w:tc>
          <w:tcPr>
            <w:tcW w:w="1702" w:type="dxa"/>
            <w:gridSpan w:val="4"/>
            <w:tcBorders>
              <w:top w:val="single" w:sz="4" w:space="0" w:color="auto"/>
              <w:left w:val="nil"/>
              <w:bottom w:val="single" w:sz="4" w:space="0" w:color="auto"/>
              <w:right w:val="single" w:sz="4" w:space="0" w:color="auto"/>
            </w:tcBorders>
          </w:tcPr>
          <w:p w14:paraId="5108C8BB" w14:textId="77777777"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Compra venta de Flores</w:t>
            </w:r>
          </w:p>
        </w:tc>
        <w:tc>
          <w:tcPr>
            <w:tcW w:w="1262" w:type="dxa"/>
            <w:gridSpan w:val="2"/>
            <w:tcBorders>
              <w:top w:val="single" w:sz="4" w:space="0" w:color="auto"/>
              <w:left w:val="single" w:sz="4" w:space="0" w:color="auto"/>
              <w:bottom w:val="single" w:sz="4" w:space="0" w:color="auto"/>
              <w:right w:val="nil"/>
            </w:tcBorders>
          </w:tcPr>
          <w:p w14:paraId="59099DE0" w14:textId="77777777"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Seis meses</w:t>
            </w:r>
          </w:p>
        </w:tc>
        <w:tc>
          <w:tcPr>
            <w:tcW w:w="864" w:type="dxa"/>
            <w:gridSpan w:val="5"/>
            <w:tcBorders>
              <w:top w:val="single" w:sz="4" w:space="0" w:color="auto"/>
              <w:left w:val="nil"/>
              <w:bottom w:val="single" w:sz="4" w:space="0" w:color="auto"/>
              <w:right w:val="single" w:sz="4" w:space="0" w:color="auto"/>
            </w:tcBorders>
          </w:tcPr>
          <w:p w14:paraId="60FA8273" w14:textId="77777777" w:rsidR="006237F1" w:rsidRPr="007923C2" w:rsidRDefault="006237F1" w:rsidP="006237F1">
            <w:pPr>
              <w:spacing w:line="276" w:lineRule="auto"/>
              <w:jc w:val="both"/>
              <w:rPr>
                <w:rFonts w:ascii="Arial" w:hAnsi="Arial" w:cs="Arial"/>
                <w:sz w:val="22"/>
                <w:szCs w:val="22"/>
              </w:rPr>
            </w:pPr>
          </w:p>
        </w:tc>
      </w:tr>
      <w:tr w:rsidR="002323B6" w:rsidRPr="007923C2" w14:paraId="5E00681F" w14:textId="77777777" w:rsidTr="002323B6">
        <w:trPr>
          <w:trHeight w:val="182"/>
        </w:trPr>
        <w:tc>
          <w:tcPr>
            <w:tcW w:w="1271" w:type="dxa"/>
            <w:tcBorders>
              <w:right w:val="single" w:sz="4" w:space="0" w:color="auto"/>
            </w:tcBorders>
          </w:tcPr>
          <w:p w14:paraId="0291FE4A" w14:textId="77777777"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Alumno 22</w:t>
            </w:r>
          </w:p>
        </w:tc>
        <w:tc>
          <w:tcPr>
            <w:tcW w:w="1822" w:type="dxa"/>
            <w:tcBorders>
              <w:top w:val="single" w:sz="4" w:space="0" w:color="auto"/>
              <w:left w:val="single" w:sz="4" w:space="0" w:color="auto"/>
              <w:bottom w:val="single" w:sz="4" w:space="0" w:color="auto"/>
              <w:right w:val="nil"/>
            </w:tcBorders>
          </w:tcPr>
          <w:p w14:paraId="35D4FF33" w14:textId="77777777" w:rsidR="002323B6" w:rsidRPr="007923C2" w:rsidRDefault="002323B6" w:rsidP="00546E09">
            <w:pPr>
              <w:spacing w:line="276" w:lineRule="auto"/>
              <w:jc w:val="both"/>
              <w:rPr>
                <w:rFonts w:ascii="Arial" w:hAnsi="Arial" w:cs="Arial"/>
                <w:sz w:val="22"/>
                <w:szCs w:val="22"/>
              </w:rPr>
            </w:pPr>
          </w:p>
        </w:tc>
        <w:tc>
          <w:tcPr>
            <w:tcW w:w="2147" w:type="dxa"/>
            <w:gridSpan w:val="2"/>
            <w:tcBorders>
              <w:top w:val="single" w:sz="4" w:space="0" w:color="auto"/>
              <w:left w:val="nil"/>
              <w:bottom w:val="single" w:sz="4" w:space="0" w:color="auto"/>
              <w:right w:val="single" w:sz="4" w:space="0" w:color="auto"/>
            </w:tcBorders>
          </w:tcPr>
          <w:p w14:paraId="474F28B6" w14:textId="77777777" w:rsidR="002323B6" w:rsidRPr="007923C2" w:rsidRDefault="002323B6" w:rsidP="00546E09">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14:paraId="42D9AF26" w14:textId="77777777" w:rsidR="002323B6" w:rsidRPr="007923C2" w:rsidRDefault="002323B6"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34212743" w14:textId="77777777" w:rsidR="002323B6" w:rsidRPr="007923C2" w:rsidRDefault="002323B6" w:rsidP="00546E09">
            <w:pPr>
              <w:spacing w:line="276" w:lineRule="auto"/>
              <w:jc w:val="both"/>
              <w:rPr>
                <w:rFonts w:ascii="Arial" w:hAnsi="Arial" w:cs="Arial"/>
                <w:sz w:val="22"/>
                <w:szCs w:val="22"/>
              </w:rPr>
            </w:pPr>
          </w:p>
        </w:tc>
        <w:tc>
          <w:tcPr>
            <w:tcW w:w="283" w:type="dxa"/>
            <w:gridSpan w:val="2"/>
            <w:tcBorders>
              <w:top w:val="single" w:sz="4" w:space="0" w:color="auto"/>
              <w:left w:val="nil"/>
              <w:bottom w:val="single" w:sz="4" w:space="0" w:color="auto"/>
              <w:right w:val="nil"/>
            </w:tcBorders>
          </w:tcPr>
          <w:p w14:paraId="76EC02BD" w14:textId="77777777" w:rsidR="002323B6" w:rsidRPr="007923C2" w:rsidRDefault="002323B6" w:rsidP="00546E09">
            <w:pPr>
              <w:spacing w:line="276" w:lineRule="auto"/>
              <w:jc w:val="both"/>
              <w:rPr>
                <w:rFonts w:ascii="Arial" w:hAnsi="Arial" w:cs="Arial"/>
                <w:sz w:val="22"/>
                <w:szCs w:val="22"/>
              </w:rPr>
            </w:pPr>
          </w:p>
        </w:tc>
        <w:tc>
          <w:tcPr>
            <w:tcW w:w="1183" w:type="dxa"/>
            <w:tcBorders>
              <w:top w:val="single" w:sz="4" w:space="0" w:color="auto"/>
              <w:left w:val="nil"/>
              <w:bottom w:val="single" w:sz="4" w:space="0" w:color="auto"/>
              <w:right w:val="single" w:sz="4" w:space="0" w:color="auto"/>
            </w:tcBorders>
          </w:tcPr>
          <w:p w14:paraId="5731FEDA" w14:textId="77777777" w:rsidR="002323B6" w:rsidRPr="007923C2" w:rsidRDefault="002323B6" w:rsidP="00546E09">
            <w:pPr>
              <w:spacing w:line="276" w:lineRule="auto"/>
              <w:jc w:val="both"/>
              <w:rPr>
                <w:rFonts w:ascii="Arial" w:hAnsi="Arial" w:cs="Arial"/>
                <w:sz w:val="22"/>
                <w:szCs w:val="22"/>
              </w:rPr>
            </w:pPr>
          </w:p>
        </w:tc>
        <w:tc>
          <w:tcPr>
            <w:tcW w:w="1592" w:type="dxa"/>
            <w:gridSpan w:val="5"/>
            <w:tcBorders>
              <w:top w:val="single" w:sz="4" w:space="0" w:color="auto"/>
              <w:left w:val="single" w:sz="4" w:space="0" w:color="auto"/>
              <w:bottom w:val="single" w:sz="4" w:space="0" w:color="auto"/>
              <w:right w:val="nil"/>
            </w:tcBorders>
          </w:tcPr>
          <w:p w14:paraId="340AC424" w14:textId="77777777" w:rsidR="002323B6" w:rsidRPr="007923C2" w:rsidRDefault="002323B6"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1C1375D8" w14:textId="77777777" w:rsidR="002323B6" w:rsidRPr="007923C2" w:rsidRDefault="002323B6" w:rsidP="00546E09">
            <w:pPr>
              <w:spacing w:line="276" w:lineRule="auto"/>
              <w:jc w:val="both"/>
              <w:rPr>
                <w:rFonts w:ascii="Arial" w:hAnsi="Arial" w:cs="Arial"/>
                <w:sz w:val="22"/>
                <w:szCs w:val="22"/>
              </w:rPr>
            </w:pPr>
          </w:p>
        </w:tc>
        <w:tc>
          <w:tcPr>
            <w:tcW w:w="298" w:type="dxa"/>
            <w:tcBorders>
              <w:top w:val="single" w:sz="4" w:space="0" w:color="auto"/>
              <w:left w:val="nil"/>
              <w:bottom w:val="single" w:sz="4" w:space="0" w:color="auto"/>
              <w:right w:val="single" w:sz="4" w:space="0" w:color="auto"/>
            </w:tcBorders>
          </w:tcPr>
          <w:p w14:paraId="319C8E00" w14:textId="77777777" w:rsidR="002323B6" w:rsidRPr="007923C2" w:rsidRDefault="002323B6" w:rsidP="00546E09">
            <w:pPr>
              <w:spacing w:line="276" w:lineRule="auto"/>
              <w:jc w:val="both"/>
              <w:rPr>
                <w:rFonts w:ascii="Arial" w:hAnsi="Arial" w:cs="Arial"/>
                <w:sz w:val="22"/>
                <w:szCs w:val="22"/>
              </w:rPr>
            </w:pPr>
          </w:p>
        </w:tc>
      </w:tr>
      <w:tr w:rsidR="002323B6" w:rsidRPr="007923C2" w14:paraId="6F994DBA" w14:textId="77777777" w:rsidTr="002323B6">
        <w:trPr>
          <w:trHeight w:val="182"/>
        </w:trPr>
        <w:tc>
          <w:tcPr>
            <w:tcW w:w="1271" w:type="dxa"/>
            <w:tcBorders>
              <w:right w:val="single" w:sz="4" w:space="0" w:color="auto"/>
            </w:tcBorders>
          </w:tcPr>
          <w:p w14:paraId="50A74A19" w14:textId="77777777"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Alumno 23</w:t>
            </w:r>
          </w:p>
        </w:tc>
        <w:tc>
          <w:tcPr>
            <w:tcW w:w="1822" w:type="dxa"/>
            <w:tcBorders>
              <w:top w:val="single" w:sz="4" w:space="0" w:color="auto"/>
              <w:left w:val="single" w:sz="4" w:space="0" w:color="auto"/>
              <w:bottom w:val="single" w:sz="4" w:space="0" w:color="auto"/>
              <w:right w:val="nil"/>
            </w:tcBorders>
          </w:tcPr>
          <w:p w14:paraId="3CD27CF2" w14:textId="77777777" w:rsidR="002323B6" w:rsidRPr="007923C2" w:rsidRDefault="002323B6" w:rsidP="00546E09">
            <w:pPr>
              <w:spacing w:line="276" w:lineRule="auto"/>
              <w:jc w:val="both"/>
              <w:rPr>
                <w:rFonts w:ascii="Arial" w:hAnsi="Arial" w:cs="Arial"/>
                <w:sz w:val="22"/>
                <w:szCs w:val="22"/>
              </w:rPr>
            </w:pPr>
          </w:p>
        </w:tc>
        <w:tc>
          <w:tcPr>
            <w:tcW w:w="2147" w:type="dxa"/>
            <w:gridSpan w:val="2"/>
            <w:tcBorders>
              <w:top w:val="single" w:sz="4" w:space="0" w:color="auto"/>
              <w:left w:val="nil"/>
              <w:bottom w:val="single" w:sz="4" w:space="0" w:color="auto"/>
              <w:right w:val="single" w:sz="4" w:space="0" w:color="auto"/>
            </w:tcBorders>
          </w:tcPr>
          <w:p w14:paraId="72101DE9" w14:textId="77777777" w:rsidR="002323B6" w:rsidRPr="007923C2" w:rsidRDefault="002323B6" w:rsidP="00546E09">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14:paraId="6F587737" w14:textId="77777777" w:rsidR="002323B6" w:rsidRPr="007923C2" w:rsidRDefault="002323B6"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2FE277AF" w14:textId="77777777" w:rsidR="002323B6" w:rsidRPr="007923C2" w:rsidRDefault="002323B6" w:rsidP="00546E09">
            <w:pPr>
              <w:spacing w:line="276" w:lineRule="auto"/>
              <w:jc w:val="both"/>
              <w:rPr>
                <w:rFonts w:ascii="Arial" w:hAnsi="Arial" w:cs="Arial"/>
                <w:sz w:val="22"/>
                <w:szCs w:val="22"/>
              </w:rPr>
            </w:pPr>
          </w:p>
        </w:tc>
        <w:tc>
          <w:tcPr>
            <w:tcW w:w="283" w:type="dxa"/>
            <w:gridSpan w:val="2"/>
            <w:tcBorders>
              <w:top w:val="single" w:sz="4" w:space="0" w:color="auto"/>
              <w:left w:val="nil"/>
              <w:bottom w:val="single" w:sz="4" w:space="0" w:color="auto"/>
              <w:right w:val="nil"/>
            </w:tcBorders>
          </w:tcPr>
          <w:p w14:paraId="1E165469" w14:textId="77777777" w:rsidR="002323B6" w:rsidRPr="007923C2" w:rsidRDefault="002323B6" w:rsidP="00546E09">
            <w:pPr>
              <w:spacing w:line="276" w:lineRule="auto"/>
              <w:jc w:val="both"/>
              <w:rPr>
                <w:rFonts w:ascii="Arial" w:hAnsi="Arial" w:cs="Arial"/>
                <w:sz w:val="22"/>
                <w:szCs w:val="22"/>
              </w:rPr>
            </w:pPr>
          </w:p>
        </w:tc>
        <w:tc>
          <w:tcPr>
            <w:tcW w:w="1183" w:type="dxa"/>
            <w:tcBorders>
              <w:top w:val="single" w:sz="4" w:space="0" w:color="auto"/>
              <w:left w:val="nil"/>
              <w:bottom w:val="single" w:sz="4" w:space="0" w:color="auto"/>
              <w:right w:val="single" w:sz="4" w:space="0" w:color="auto"/>
            </w:tcBorders>
          </w:tcPr>
          <w:p w14:paraId="59B0FFD5" w14:textId="77777777" w:rsidR="002323B6" w:rsidRPr="007923C2" w:rsidRDefault="002323B6" w:rsidP="00546E09">
            <w:pPr>
              <w:spacing w:line="276" w:lineRule="auto"/>
              <w:jc w:val="both"/>
              <w:rPr>
                <w:rFonts w:ascii="Arial" w:hAnsi="Arial" w:cs="Arial"/>
                <w:sz w:val="22"/>
                <w:szCs w:val="22"/>
              </w:rPr>
            </w:pPr>
          </w:p>
        </w:tc>
        <w:tc>
          <w:tcPr>
            <w:tcW w:w="1592" w:type="dxa"/>
            <w:gridSpan w:val="5"/>
            <w:tcBorders>
              <w:top w:val="single" w:sz="4" w:space="0" w:color="auto"/>
              <w:left w:val="single" w:sz="4" w:space="0" w:color="auto"/>
              <w:bottom w:val="single" w:sz="4" w:space="0" w:color="auto"/>
              <w:right w:val="nil"/>
            </w:tcBorders>
          </w:tcPr>
          <w:p w14:paraId="7653775A" w14:textId="77777777" w:rsidR="002323B6" w:rsidRPr="007923C2" w:rsidRDefault="002323B6"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7B16A3E3" w14:textId="77777777" w:rsidR="002323B6" w:rsidRPr="007923C2" w:rsidRDefault="002323B6" w:rsidP="00546E09">
            <w:pPr>
              <w:spacing w:line="276" w:lineRule="auto"/>
              <w:jc w:val="both"/>
              <w:rPr>
                <w:rFonts w:ascii="Arial" w:hAnsi="Arial" w:cs="Arial"/>
                <w:sz w:val="22"/>
                <w:szCs w:val="22"/>
              </w:rPr>
            </w:pPr>
          </w:p>
        </w:tc>
        <w:tc>
          <w:tcPr>
            <w:tcW w:w="298" w:type="dxa"/>
            <w:tcBorders>
              <w:top w:val="single" w:sz="4" w:space="0" w:color="auto"/>
              <w:left w:val="nil"/>
              <w:bottom w:val="single" w:sz="4" w:space="0" w:color="auto"/>
              <w:right w:val="single" w:sz="4" w:space="0" w:color="auto"/>
            </w:tcBorders>
          </w:tcPr>
          <w:p w14:paraId="2E9A46C2" w14:textId="77777777" w:rsidR="002323B6" w:rsidRPr="007923C2" w:rsidRDefault="002323B6" w:rsidP="00546E09">
            <w:pPr>
              <w:spacing w:line="276" w:lineRule="auto"/>
              <w:jc w:val="both"/>
              <w:rPr>
                <w:rFonts w:ascii="Arial" w:hAnsi="Arial" w:cs="Arial"/>
                <w:sz w:val="22"/>
                <w:szCs w:val="22"/>
              </w:rPr>
            </w:pPr>
          </w:p>
        </w:tc>
      </w:tr>
      <w:tr w:rsidR="002323B6" w:rsidRPr="007923C2" w14:paraId="5BEEB030" w14:textId="77777777" w:rsidTr="002323B6">
        <w:trPr>
          <w:trHeight w:val="182"/>
        </w:trPr>
        <w:tc>
          <w:tcPr>
            <w:tcW w:w="1271" w:type="dxa"/>
            <w:tcBorders>
              <w:right w:val="single" w:sz="4" w:space="0" w:color="auto"/>
            </w:tcBorders>
          </w:tcPr>
          <w:p w14:paraId="6747BCD3" w14:textId="77777777"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Alumno 24</w:t>
            </w:r>
          </w:p>
        </w:tc>
        <w:tc>
          <w:tcPr>
            <w:tcW w:w="1822" w:type="dxa"/>
            <w:tcBorders>
              <w:top w:val="single" w:sz="4" w:space="0" w:color="auto"/>
              <w:left w:val="single" w:sz="4" w:space="0" w:color="auto"/>
              <w:bottom w:val="single" w:sz="4" w:space="0" w:color="auto"/>
              <w:right w:val="nil"/>
            </w:tcBorders>
          </w:tcPr>
          <w:p w14:paraId="4623C5FD" w14:textId="77777777" w:rsidR="002323B6" w:rsidRPr="007923C2" w:rsidRDefault="002323B6" w:rsidP="00546E09">
            <w:pPr>
              <w:spacing w:line="276" w:lineRule="auto"/>
              <w:jc w:val="both"/>
              <w:rPr>
                <w:rFonts w:ascii="Arial" w:hAnsi="Arial" w:cs="Arial"/>
                <w:sz w:val="22"/>
                <w:szCs w:val="22"/>
              </w:rPr>
            </w:pPr>
          </w:p>
        </w:tc>
        <w:tc>
          <w:tcPr>
            <w:tcW w:w="2147" w:type="dxa"/>
            <w:gridSpan w:val="2"/>
            <w:tcBorders>
              <w:top w:val="single" w:sz="4" w:space="0" w:color="auto"/>
              <w:left w:val="nil"/>
              <w:bottom w:val="single" w:sz="4" w:space="0" w:color="auto"/>
              <w:right w:val="single" w:sz="4" w:space="0" w:color="auto"/>
            </w:tcBorders>
          </w:tcPr>
          <w:p w14:paraId="656F64DB" w14:textId="77777777" w:rsidR="002323B6" w:rsidRPr="007923C2" w:rsidRDefault="002323B6" w:rsidP="00546E09">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14:paraId="7D7D1F9D" w14:textId="77777777" w:rsidR="002323B6" w:rsidRPr="007923C2" w:rsidRDefault="002323B6"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4432C61E" w14:textId="77777777" w:rsidR="002323B6" w:rsidRPr="007923C2" w:rsidRDefault="002323B6" w:rsidP="00546E09">
            <w:pPr>
              <w:spacing w:line="276" w:lineRule="auto"/>
              <w:jc w:val="both"/>
              <w:rPr>
                <w:rFonts w:ascii="Arial" w:hAnsi="Arial" w:cs="Arial"/>
                <w:sz w:val="22"/>
                <w:szCs w:val="22"/>
              </w:rPr>
            </w:pPr>
          </w:p>
        </w:tc>
        <w:tc>
          <w:tcPr>
            <w:tcW w:w="283" w:type="dxa"/>
            <w:gridSpan w:val="2"/>
            <w:tcBorders>
              <w:top w:val="single" w:sz="4" w:space="0" w:color="auto"/>
              <w:left w:val="nil"/>
              <w:bottom w:val="single" w:sz="4" w:space="0" w:color="auto"/>
              <w:right w:val="nil"/>
            </w:tcBorders>
          </w:tcPr>
          <w:p w14:paraId="6AE73EF1" w14:textId="77777777" w:rsidR="002323B6" w:rsidRPr="007923C2" w:rsidRDefault="002323B6" w:rsidP="00546E09">
            <w:pPr>
              <w:spacing w:line="276" w:lineRule="auto"/>
              <w:jc w:val="both"/>
              <w:rPr>
                <w:rFonts w:ascii="Arial" w:hAnsi="Arial" w:cs="Arial"/>
                <w:sz w:val="22"/>
                <w:szCs w:val="22"/>
              </w:rPr>
            </w:pPr>
          </w:p>
        </w:tc>
        <w:tc>
          <w:tcPr>
            <w:tcW w:w="1183" w:type="dxa"/>
            <w:tcBorders>
              <w:top w:val="single" w:sz="4" w:space="0" w:color="auto"/>
              <w:left w:val="nil"/>
              <w:bottom w:val="single" w:sz="4" w:space="0" w:color="auto"/>
              <w:right w:val="single" w:sz="4" w:space="0" w:color="auto"/>
            </w:tcBorders>
          </w:tcPr>
          <w:p w14:paraId="44669FC8" w14:textId="77777777" w:rsidR="002323B6" w:rsidRPr="007923C2" w:rsidRDefault="002323B6" w:rsidP="00546E09">
            <w:pPr>
              <w:spacing w:line="276" w:lineRule="auto"/>
              <w:jc w:val="both"/>
              <w:rPr>
                <w:rFonts w:ascii="Arial" w:hAnsi="Arial" w:cs="Arial"/>
                <w:sz w:val="22"/>
                <w:szCs w:val="22"/>
              </w:rPr>
            </w:pPr>
          </w:p>
        </w:tc>
        <w:tc>
          <w:tcPr>
            <w:tcW w:w="1592" w:type="dxa"/>
            <w:gridSpan w:val="5"/>
            <w:tcBorders>
              <w:top w:val="single" w:sz="4" w:space="0" w:color="auto"/>
              <w:left w:val="single" w:sz="4" w:space="0" w:color="auto"/>
              <w:bottom w:val="single" w:sz="4" w:space="0" w:color="auto"/>
              <w:right w:val="nil"/>
            </w:tcBorders>
          </w:tcPr>
          <w:p w14:paraId="300C9BCA" w14:textId="77777777" w:rsidR="002323B6" w:rsidRPr="007923C2" w:rsidRDefault="002323B6"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6EC16FF1" w14:textId="77777777" w:rsidR="002323B6" w:rsidRPr="007923C2" w:rsidRDefault="002323B6" w:rsidP="00546E09">
            <w:pPr>
              <w:spacing w:line="276" w:lineRule="auto"/>
              <w:jc w:val="both"/>
              <w:rPr>
                <w:rFonts w:ascii="Arial" w:hAnsi="Arial" w:cs="Arial"/>
                <w:sz w:val="22"/>
                <w:szCs w:val="22"/>
              </w:rPr>
            </w:pPr>
          </w:p>
        </w:tc>
        <w:tc>
          <w:tcPr>
            <w:tcW w:w="298" w:type="dxa"/>
            <w:tcBorders>
              <w:top w:val="single" w:sz="4" w:space="0" w:color="auto"/>
              <w:left w:val="nil"/>
              <w:bottom w:val="single" w:sz="4" w:space="0" w:color="auto"/>
              <w:right w:val="single" w:sz="4" w:space="0" w:color="auto"/>
            </w:tcBorders>
          </w:tcPr>
          <w:p w14:paraId="0DF06F68" w14:textId="77777777" w:rsidR="002323B6" w:rsidRPr="007923C2" w:rsidRDefault="002323B6" w:rsidP="00546E09">
            <w:pPr>
              <w:spacing w:line="276" w:lineRule="auto"/>
              <w:jc w:val="both"/>
              <w:rPr>
                <w:rFonts w:ascii="Arial" w:hAnsi="Arial" w:cs="Arial"/>
                <w:sz w:val="22"/>
                <w:szCs w:val="22"/>
              </w:rPr>
            </w:pPr>
          </w:p>
        </w:tc>
      </w:tr>
      <w:tr w:rsidR="002323B6" w:rsidRPr="007923C2" w14:paraId="65B215BA" w14:textId="77777777" w:rsidTr="002323B6">
        <w:trPr>
          <w:trHeight w:val="182"/>
        </w:trPr>
        <w:tc>
          <w:tcPr>
            <w:tcW w:w="1271" w:type="dxa"/>
            <w:tcBorders>
              <w:right w:val="single" w:sz="4" w:space="0" w:color="auto"/>
            </w:tcBorders>
          </w:tcPr>
          <w:p w14:paraId="6EE9FF3F" w14:textId="77777777"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Alumno 25</w:t>
            </w:r>
          </w:p>
        </w:tc>
        <w:tc>
          <w:tcPr>
            <w:tcW w:w="1822" w:type="dxa"/>
            <w:tcBorders>
              <w:top w:val="single" w:sz="4" w:space="0" w:color="auto"/>
              <w:left w:val="single" w:sz="4" w:space="0" w:color="auto"/>
              <w:bottom w:val="single" w:sz="4" w:space="0" w:color="auto"/>
              <w:right w:val="nil"/>
            </w:tcBorders>
          </w:tcPr>
          <w:p w14:paraId="21F1FD9D" w14:textId="77777777" w:rsidR="002323B6" w:rsidRPr="007923C2" w:rsidRDefault="002323B6" w:rsidP="002323B6">
            <w:pPr>
              <w:spacing w:line="276" w:lineRule="auto"/>
              <w:rPr>
                <w:rFonts w:ascii="Arial" w:hAnsi="Arial" w:cs="Arial"/>
                <w:sz w:val="22"/>
                <w:szCs w:val="22"/>
              </w:rPr>
            </w:pPr>
            <w:r w:rsidRPr="007923C2">
              <w:rPr>
                <w:rFonts w:ascii="Arial" w:hAnsi="Arial" w:cs="Arial"/>
                <w:sz w:val="22"/>
                <w:szCs w:val="22"/>
              </w:rPr>
              <w:t>BIO CORET A.C.</w:t>
            </w:r>
          </w:p>
        </w:tc>
        <w:tc>
          <w:tcPr>
            <w:tcW w:w="2147" w:type="dxa"/>
            <w:gridSpan w:val="2"/>
            <w:tcBorders>
              <w:top w:val="single" w:sz="4" w:space="0" w:color="auto"/>
              <w:left w:val="nil"/>
              <w:bottom w:val="single" w:sz="4" w:space="0" w:color="auto"/>
              <w:right w:val="single" w:sz="4" w:space="0" w:color="auto"/>
            </w:tcBorders>
          </w:tcPr>
          <w:p w14:paraId="5B9B2EE6" w14:textId="77777777" w:rsidR="002323B6" w:rsidRPr="007923C2" w:rsidRDefault="002323B6" w:rsidP="002323B6">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14:paraId="6B63169A" w14:textId="77777777" w:rsidR="002323B6" w:rsidRPr="007923C2" w:rsidRDefault="002323B6" w:rsidP="002323B6">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5367051C" w14:textId="77777777" w:rsidR="002323B6" w:rsidRPr="007923C2" w:rsidRDefault="002323B6" w:rsidP="002323B6">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14:paraId="323BE40E" w14:textId="77777777" w:rsidR="002323B6" w:rsidRPr="007923C2" w:rsidRDefault="002323B6" w:rsidP="002323B6">
            <w:pPr>
              <w:spacing w:line="276" w:lineRule="auto"/>
              <w:jc w:val="both"/>
              <w:rPr>
                <w:rFonts w:ascii="Arial" w:hAnsi="Arial" w:cs="Arial"/>
                <w:sz w:val="22"/>
                <w:szCs w:val="22"/>
              </w:rPr>
            </w:pPr>
          </w:p>
        </w:tc>
        <w:tc>
          <w:tcPr>
            <w:tcW w:w="1230" w:type="dxa"/>
            <w:gridSpan w:val="2"/>
            <w:tcBorders>
              <w:top w:val="single" w:sz="4" w:space="0" w:color="auto"/>
              <w:left w:val="nil"/>
              <w:bottom w:val="single" w:sz="4" w:space="0" w:color="auto"/>
              <w:right w:val="single" w:sz="4" w:space="0" w:color="auto"/>
            </w:tcBorders>
          </w:tcPr>
          <w:p w14:paraId="3EA8C19B" w14:textId="77777777"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Agrobiología</w:t>
            </w:r>
          </w:p>
        </w:tc>
        <w:tc>
          <w:tcPr>
            <w:tcW w:w="1592" w:type="dxa"/>
            <w:gridSpan w:val="5"/>
            <w:tcBorders>
              <w:top w:val="single" w:sz="4" w:space="0" w:color="auto"/>
              <w:left w:val="single" w:sz="4" w:space="0" w:color="auto"/>
              <w:bottom w:val="single" w:sz="4" w:space="0" w:color="auto"/>
              <w:right w:val="nil"/>
            </w:tcBorders>
          </w:tcPr>
          <w:p w14:paraId="6B182CF3" w14:textId="77777777"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Tres años</w:t>
            </w:r>
          </w:p>
        </w:tc>
        <w:tc>
          <w:tcPr>
            <w:tcW w:w="236" w:type="dxa"/>
            <w:tcBorders>
              <w:top w:val="single" w:sz="4" w:space="0" w:color="auto"/>
              <w:left w:val="nil"/>
              <w:bottom w:val="single" w:sz="4" w:space="0" w:color="auto"/>
              <w:right w:val="nil"/>
            </w:tcBorders>
          </w:tcPr>
          <w:p w14:paraId="198157B9" w14:textId="77777777" w:rsidR="002323B6" w:rsidRPr="007923C2" w:rsidRDefault="002323B6" w:rsidP="002323B6">
            <w:pPr>
              <w:spacing w:line="276" w:lineRule="auto"/>
              <w:jc w:val="both"/>
              <w:rPr>
                <w:rFonts w:ascii="Arial" w:hAnsi="Arial" w:cs="Arial"/>
                <w:sz w:val="22"/>
                <w:szCs w:val="22"/>
              </w:rPr>
            </w:pPr>
          </w:p>
        </w:tc>
        <w:tc>
          <w:tcPr>
            <w:tcW w:w="298" w:type="dxa"/>
            <w:tcBorders>
              <w:top w:val="single" w:sz="4" w:space="0" w:color="auto"/>
              <w:left w:val="nil"/>
              <w:bottom w:val="single" w:sz="4" w:space="0" w:color="auto"/>
              <w:right w:val="single" w:sz="4" w:space="0" w:color="auto"/>
            </w:tcBorders>
          </w:tcPr>
          <w:p w14:paraId="120F07FC" w14:textId="77777777" w:rsidR="002323B6" w:rsidRPr="007923C2" w:rsidRDefault="002323B6" w:rsidP="002323B6">
            <w:pPr>
              <w:spacing w:line="276" w:lineRule="auto"/>
              <w:jc w:val="both"/>
              <w:rPr>
                <w:rFonts w:ascii="Arial" w:hAnsi="Arial" w:cs="Arial"/>
                <w:sz w:val="22"/>
                <w:szCs w:val="22"/>
              </w:rPr>
            </w:pPr>
          </w:p>
        </w:tc>
      </w:tr>
      <w:tr w:rsidR="002323B6" w:rsidRPr="007923C2" w14:paraId="3644D8AD" w14:textId="77777777" w:rsidTr="002323B6">
        <w:trPr>
          <w:trHeight w:val="185"/>
        </w:trPr>
        <w:tc>
          <w:tcPr>
            <w:tcW w:w="1271" w:type="dxa"/>
            <w:tcBorders>
              <w:right w:val="single" w:sz="4" w:space="0" w:color="auto"/>
            </w:tcBorders>
          </w:tcPr>
          <w:p w14:paraId="7BF86FD6" w14:textId="77777777"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Alumno 26</w:t>
            </w:r>
          </w:p>
        </w:tc>
        <w:tc>
          <w:tcPr>
            <w:tcW w:w="3686" w:type="dxa"/>
            <w:gridSpan w:val="2"/>
            <w:tcBorders>
              <w:top w:val="single" w:sz="4" w:space="0" w:color="auto"/>
              <w:left w:val="single" w:sz="4" w:space="0" w:color="auto"/>
              <w:bottom w:val="single" w:sz="4" w:space="0" w:color="auto"/>
              <w:right w:val="nil"/>
            </w:tcBorders>
          </w:tcPr>
          <w:p w14:paraId="04E75AD5" w14:textId="77777777" w:rsidR="002323B6" w:rsidRPr="007923C2" w:rsidRDefault="002323B6" w:rsidP="00546E09">
            <w:pPr>
              <w:spacing w:line="276" w:lineRule="auto"/>
              <w:jc w:val="both"/>
              <w:rPr>
                <w:rFonts w:ascii="Arial" w:hAnsi="Arial" w:cs="Arial"/>
                <w:sz w:val="22"/>
                <w:szCs w:val="22"/>
              </w:rPr>
            </w:pPr>
          </w:p>
        </w:tc>
        <w:tc>
          <w:tcPr>
            <w:tcW w:w="283" w:type="dxa"/>
            <w:tcBorders>
              <w:top w:val="single" w:sz="4" w:space="0" w:color="auto"/>
              <w:left w:val="nil"/>
              <w:bottom w:val="single" w:sz="4" w:space="0" w:color="auto"/>
              <w:right w:val="single" w:sz="4" w:space="0" w:color="auto"/>
            </w:tcBorders>
          </w:tcPr>
          <w:p w14:paraId="3A945B0C" w14:textId="77777777"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14:paraId="6875A1A4" w14:textId="77777777" w:rsidR="002323B6" w:rsidRPr="007923C2" w:rsidRDefault="002323B6" w:rsidP="00546E09">
            <w:pPr>
              <w:spacing w:line="276" w:lineRule="auto"/>
              <w:jc w:val="both"/>
              <w:rPr>
                <w:rFonts w:ascii="Arial" w:hAnsi="Arial" w:cs="Arial"/>
                <w:sz w:val="22"/>
                <w:szCs w:val="22"/>
              </w:rPr>
            </w:pPr>
          </w:p>
        </w:tc>
        <w:tc>
          <w:tcPr>
            <w:tcW w:w="1026" w:type="dxa"/>
            <w:tcBorders>
              <w:top w:val="single" w:sz="4" w:space="0" w:color="auto"/>
              <w:left w:val="single" w:sz="4" w:space="0" w:color="auto"/>
              <w:bottom w:val="single" w:sz="4" w:space="0" w:color="auto"/>
              <w:right w:val="nil"/>
            </w:tcBorders>
          </w:tcPr>
          <w:p w14:paraId="03C6F8F5" w14:textId="77777777" w:rsidR="002323B6" w:rsidRPr="007923C2" w:rsidRDefault="002323B6" w:rsidP="00546E09">
            <w:pPr>
              <w:spacing w:line="276" w:lineRule="auto"/>
              <w:jc w:val="both"/>
              <w:rPr>
                <w:rFonts w:ascii="Arial" w:hAnsi="Arial" w:cs="Arial"/>
                <w:sz w:val="22"/>
                <w:szCs w:val="22"/>
              </w:rPr>
            </w:pPr>
          </w:p>
        </w:tc>
        <w:tc>
          <w:tcPr>
            <w:tcW w:w="1100" w:type="dxa"/>
            <w:gridSpan w:val="6"/>
            <w:tcBorders>
              <w:top w:val="single" w:sz="4" w:space="0" w:color="auto"/>
              <w:left w:val="nil"/>
              <w:bottom w:val="single" w:sz="4" w:space="0" w:color="auto"/>
              <w:right w:val="single" w:sz="4" w:space="0" w:color="auto"/>
            </w:tcBorders>
          </w:tcPr>
          <w:p w14:paraId="03498375" w14:textId="77777777" w:rsidR="002323B6" w:rsidRPr="007923C2" w:rsidRDefault="002323B6" w:rsidP="00546E09">
            <w:pPr>
              <w:spacing w:line="276" w:lineRule="auto"/>
              <w:jc w:val="both"/>
              <w:rPr>
                <w:rFonts w:ascii="Arial" w:hAnsi="Arial" w:cs="Arial"/>
                <w:sz w:val="22"/>
                <w:szCs w:val="22"/>
              </w:rPr>
            </w:pPr>
          </w:p>
        </w:tc>
      </w:tr>
      <w:tr w:rsidR="002323B6" w:rsidRPr="007923C2" w14:paraId="567A836E" w14:textId="77777777" w:rsidTr="00546E09">
        <w:trPr>
          <w:trHeight w:val="185"/>
        </w:trPr>
        <w:tc>
          <w:tcPr>
            <w:tcW w:w="1271" w:type="dxa"/>
            <w:tcBorders>
              <w:right w:val="single" w:sz="4" w:space="0" w:color="auto"/>
            </w:tcBorders>
          </w:tcPr>
          <w:p w14:paraId="0A392F08" w14:textId="77777777"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Alumno 27</w:t>
            </w:r>
          </w:p>
        </w:tc>
        <w:tc>
          <w:tcPr>
            <w:tcW w:w="3686" w:type="dxa"/>
            <w:gridSpan w:val="2"/>
            <w:tcBorders>
              <w:top w:val="single" w:sz="4" w:space="0" w:color="auto"/>
              <w:left w:val="single" w:sz="4" w:space="0" w:color="auto"/>
              <w:bottom w:val="single" w:sz="4" w:space="0" w:color="auto"/>
              <w:right w:val="nil"/>
            </w:tcBorders>
          </w:tcPr>
          <w:p w14:paraId="4ECE09A4" w14:textId="77777777"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Prefiere no proporcionar</w:t>
            </w:r>
          </w:p>
        </w:tc>
        <w:tc>
          <w:tcPr>
            <w:tcW w:w="283" w:type="dxa"/>
            <w:tcBorders>
              <w:top w:val="single" w:sz="4" w:space="0" w:color="auto"/>
              <w:left w:val="nil"/>
              <w:bottom w:val="single" w:sz="4" w:space="0" w:color="auto"/>
              <w:right w:val="single" w:sz="4" w:space="0" w:color="auto"/>
            </w:tcBorders>
          </w:tcPr>
          <w:p w14:paraId="5154BA35" w14:textId="77777777" w:rsidR="002323B6" w:rsidRPr="007923C2" w:rsidRDefault="002323B6" w:rsidP="002323B6">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14:paraId="3A787718" w14:textId="77777777"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Asesoría y  ventas</w:t>
            </w:r>
          </w:p>
        </w:tc>
        <w:tc>
          <w:tcPr>
            <w:tcW w:w="1026" w:type="dxa"/>
            <w:tcBorders>
              <w:top w:val="single" w:sz="4" w:space="0" w:color="auto"/>
              <w:left w:val="single" w:sz="4" w:space="0" w:color="auto"/>
              <w:bottom w:val="single" w:sz="4" w:space="0" w:color="auto"/>
              <w:right w:val="nil"/>
            </w:tcBorders>
          </w:tcPr>
          <w:p w14:paraId="3A7DA684" w14:textId="77777777" w:rsidR="002323B6" w:rsidRPr="007923C2" w:rsidRDefault="002323B6" w:rsidP="002323B6">
            <w:pPr>
              <w:spacing w:line="276" w:lineRule="auto"/>
              <w:jc w:val="right"/>
              <w:rPr>
                <w:rFonts w:ascii="Arial" w:hAnsi="Arial" w:cs="Arial"/>
                <w:sz w:val="22"/>
                <w:szCs w:val="22"/>
              </w:rPr>
            </w:pPr>
            <w:r w:rsidRPr="007923C2">
              <w:rPr>
                <w:rFonts w:ascii="Arial" w:hAnsi="Arial" w:cs="Arial"/>
                <w:sz w:val="22"/>
                <w:szCs w:val="22"/>
              </w:rPr>
              <w:t xml:space="preserve">Seis </w:t>
            </w:r>
          </w:p>
        </w:tc>
        <w:tc>
          <w:tcPr>
            <w:tcW w:w="1100" w:type="dxa"/>
            <w:gridSpan w:val="6"/>
            <w:tcBorders>
              <w:top w:val="single" w:sz="4" w:space="0" w:color="auto"/>
              <w:left w:val="nil"/>
              <w:bottom w:val="single" w:sz="4" w:space="0" w:color="auto"/>
              <w:right w:val="single" w:sz="4" w:space="0" w:color="auto"/>
            </w:tcBorders>
          </w:tcPr>
          <w:p w14:paraId="0169E4C8" w14:textId="77777777"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meses</w:t>
            </w:r>
          </w:p>
        </w:tc>
      </w:tr>
      <w:tr w:rsidR="002323B6" w:rsidRPr="007923C2" w14:paraId="700EAFB5" w14:textId="77777777" w:rsidTr="00546E09">
        <w:trPr>
          <w:trHeight w:val="185"/>
        </w:trPr>
        <w:tc>
          <w:tcPr>
            <w:tcW w:w="1271" w:type="dxa"/>
            <w:tcBorders>
              <w:right w:val="single" w:sz="4" w:space="0" w:color="auto"/>
            </w:tcBorders>
          </w:tcPr>
          <w:p w14:paraId="3510E456" w14:textId="77777777"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Alumno 28</w:t>
            </w:r>
          </w:p>
        </w:tc>
        <w:tc>
          <w:tcPr>
            <w:tcW w:w="3686" w:type="dxa"/>
            <w:gridSpan w:val="2"/>
            <w:tcBorders>
              <w:top w:val="single" w:sz="4" w:space="0" w:color="auto"/>
              <w:left w:val="single" w:sz="4" w:space="0" w:color="auto"/>
              <w:bottom w:val="single" w:sz="4" w:space="0" w:color="auto"/>
              <w:right w:val="nil"/>
            </w:tcBorders>
          </w:tcPr>
          <w:p w14:paraId="64148038" w14:textId="77777777"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Agro consultoría Integral S.C.</w:t>
            </w:r>
          </w:p>
        </w:tc>
        <w:tc>
          <w:tcPr>
            <w:tcW w:w="283" w:type="dxa"/>
            <w:tcBorders>
              <w:top w:val="single" w:sz="4" w:space="0" w:color="auto"/>
              <w:left w:val="nil"/>
              <w:bottom w:val="single" w:sz="4" w:space="0" w:color="auto"/>
              <w:right w:val="single" w:sz="4" w:space="0" w:color="auto"/>
            </w:tcBorders>
          </w:tcPr>
          <w:p w14:paraId="0187E167" w14:textId="77777777"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14:paraId="54DEE5F6" w14:textId="77777777"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Área forestal</w:t>
            </w:r>
          </w:p>
        </w:tc>
        <w:tc>
          <w:tcPr>
            <w:tcW w:w="1026" w:type="dxa"/>
            <w:tcBorders>
              <w:top w:val="single" w:sz="4" w:space="0" w:color="auto"/>
              <w:left w:val="single" w:sz="4" w:space="0" w:color="auto"/>
              <w:bottom w:val="single" w:sz="4" w:space="0" w:color="auto"/>
              <w:right w:val="nil"/>
            </w:tcBorders>
          </w:tcPr>
          <w:p w14:paraId="0628FB65" w14:textId="77777777" w:rsidR="002323B6" w:rsidRPr="007923C2" w:rsidRDefault="002323B6" w:rsidP="002323B6">
            <w:pPr>
              <w:spacing w:line="276" w:lineRule="auto"/>
              <w:jc w:val="right"/>
              <w:rPr>
                <w:rFonts w:ascii="Arial" w:hAnsi="Arial" w:cs="Arial"/>
                <w:sz w:val="22"/>
                <w:szCs w:val="22"/>
              </w:rPr>
            </w:pPr>
            <w:r w:rsidRPr="007923C2">
              <w:rPr>
                <w:rFonts w:ascii="Arial" w:hAnsi="Arial" w:cs="Arial"/>
                <w:sz w:val="22"/>
                <w:szCs w:val="22"/>
              </w:rPr>
              <w:t xml:space="preserve">Cinco </w:t>
            </w:r>
          </w:p>
        </w:tc>
        <w:tc>
          <w:tcPr>
            <w:tcW w:w="1100" w:type="dxa"/>
            <w:gridSpan w:val="6"/>
            <w:tcBorders>
              <w:top w:val="single" w:sz="4" w:space="0" w:color="auto"/>
              <w:left w:val="nil"/>
              <w:bottom w:val="single" w:sz="4" w:space="0" w:color="auto"/>
              <w:right w:val="single" w:sz="4" w:space="0" w:color="auto"/>
            </w:tcBorders>
          </w:tcPr>
          <w:p w14:paraId="6D40F548" w14:textId="77777777"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años</w:t>
            </w:r>
          </w:p>
        </w:tc>
      </w:tr>
      <w:tr w:rsidR="002323B6" w:rsidRPr="007923C2" w14:paraId="198099EA" w14:textId="77777777" w:rsidTr="00546E09">
        <w:trPr>
          <w:trHeight w:val="185"/>
        </w:trPr>
        <w:tc>
          <w:tcPr>
            <w:tcW w:w="1271" w:type="dxa"/>
            <w:tcBorders>
              <w:right w:val="single" w:sz="4" w:space="0" w:color="auto"/>
            </w:tcBorders>
          </w:tcPr>
          <w:p w14:paraId="7E77A9F6" w14:textId="77777777"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Alumno 29</w:t>
            </w:r>
          </w:p>
        </w:tc>
        <w:tc>
          <w:tcPr>
            <w:tcW w:w="3686" w:type="dxa"/>
            <w:gridSpan w:val="2"/>
            <w:tcBorders>
              <w:top w:val="single" w:sz="4" w:space="0" w:color="auto"/>
              <w:left w:val="single" w:sz="4" w:space="0" w:color="auto"/>
              <w:bottom w:val="single" w:sz="4" w:space="0" w:color="auto"/>
              <w:right w:val="nil"/>
            </w:tcBorders>
          </w:tcPr>
          <w:p w14:paraId="4FC04245" w14:textId="77777777" w:rsidR="002323B6" w:rsidRPr="007923C2" w:rsidRDefault="002323B6" w:rsidP="00546E09">
            <w:pPr>
              <w:spacing w:line="276" w:lineRule="auto"/>
              <w:jc w:val="both"/>
              <w:rPr>
                <w:rFonts w:ascii="Arial" w:hAnsi="Arial" w:cs="Arial"/>
                <w:sz w:val="22"/>
                <w:szCs w:val="22"/>
              </w:rPr>
            </w:pPr>
          </w:p>
        </w:tc>
        <w:tc>
          <w:tcPr>
            <w:tcW w:w="283" w:type="dxa"/>
            <w:tcBorders>
              <w:top w:val="single" w:sz="4" w:space="0" w:color="auto"/>
              <w:left w:val="nil"/>
              <w:bottom w:val="single" w:sz="4" w:space="0" w:color="auto"/>
              <w:right w:val="single" w:sz="4" w:space="0" w:color="auto"/>
            </w:tcBorders>
          </w:tcPr>
          <w:p w14:paraId="1DBB2D4E" w14:textId="77777777"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14:paraId="30C5D3D1" w14:textId="77777777" w:rsidR="002323B6" w:rsidRPr="007923C2" w:rsidRDefault="002323B6" w:rsidP="00546E09">
            <w:pPr>
              <w:spacing w:line="276" w:lineRule="auto"/>
              <w:jc w:val="both"/>
              <w:rPr>
                <w:rFonts w:ascii="Arial" w:hAnsi="Arial" w:cs="Arial"/>
                <w:sz w:val="22"/>
                <w:szCs w:val="22"/>
              </w:rPr>
            </w:pPr>
          </w:p>
        </w:tc>
        <w:tc>
          <w:tcPr>
            <w:tcW w:w="1026" w:type="dxa"/>
            <w:tcBorders>
              <w:top w:val="single" w:sz="4" w:space="0" w:color="auto"/>
              <w:left w:val="single" w:sz="4" w:space="0" w:color="auto"/>
              <w:bottom w:val="single" w:sz="4" w:space="0" w:color="auto"/>
              <w:right w:val="nil"/>
            </w:tcBorders>
          </w:tcPr>
          <w:p w14:paraId="305BC188" w14:textId="77777777" w:rsidR="002323B6" w:rsidRPr="007923C2" w:rsidRDefault="002323B6" w:rsidP="00546E09">
            <w:pPr>
              <w:spacing w:line="276" w:lineRule="auto"/>
              <w:jc w:val="right"/>
              <w:rPr>
                <w:rFonts w:ascii="Arial" w:hAnsi="Arial" w:cs="Arial"/>
                <w:sz w:val="22"/>
                <w:szCs w:val="22"/>
              </w:rPr>
            </w:pPr>
          </w:p>
        </w:tc>
        <w:tc>
          <w:tcPr>
            <w:tcW w:w="1100" w:type="dxa"/>
            <w:gridSpan w:val="6"/>
            <w:tcBorders>
              <w:top w:val="single" w:sz="4" w:space="0" w:color="auto"/>
              <w:left w:val="nil"/>
              <w:bottom w:val="single" w:sz="4" w:space="0" w:color="auto"/>
              <w:right w:val="single" w:sz="4" w:space="0" w:color="auto"/>
            </w:tcBorders>
          </w:tcPr>
          <w:p w14:paraId="4B1C589F" w14:textId="77777777" w:rsidR="002323B6" w:rsidRPr="007923C2" w:rsidRDefault="002323B6" w:rsidP="00546E09">
            <w:pPr>
              <w:spacing w:line="276" w:lineRule="auto"/>
              <w:jc w:val="both"/>
              <w:rPr>
                <w:rFonts w:ascii="Arial" w:hAnsi="Arial" w:cs="Arial"/>
                <w:sz w:val="22"/>
                <w:szCs w:val="22"/>
              </w:rPr>
            </w:pPr>
          </w:p>
        </w:tc>
      </w:tr>
      <w:tr w:rsidR="002323B6" w:rsidRPr="007923C2" w14:paraId="64ABC08D" w14:textId="77777777" w:rsidTr="00546E09">
        <w:trPr>
          <w:trHeight w:val="185"/>
        </w:trPr>
        <w:tc>
          <w:tcPr>
            <w:tcW w:w="1271" w:type="dxa"/>
            <w:tcBorders>
              <w:right w:val="single" w:sz="4" w:space="0" w:color="auto"/>
            </w:tcBorders>
          </w:tcPr>
          <w:p w14:paraId="759D6ACA" w14:textId="77777777"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lastRenderedPageBreak/>
              <w:t>Alumno 30</w:t>
            </w:r>
          </w:p>
        </w:tc>
        <w:tc>
          <w:tcPr>
            <w:tcW w:w="3686" w:type="dxa"/>
            <w:gridSpan w:val="2"/>
            <w:tcBorders>
              <w:top w:val="single" w:sz="4" w:space="0" w:color="auto"/>
              <w:left w:val="single" w:sz="4" w:space="0" w:color="auto"/>
              <w:bottom w:val="single" w:sz="4" w:space="0" w:color="auto"/>
              <w:right w:val="nil"/>
            </w:tcBorders>
          </w:tcPr>
          <w:p w14:paraId="3316BDD8" w14:textId="77777777"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CBTA No. 10</w:t>
            </w:r>
          </w:p>
        </w:tc>
        <w:tc>
          <w:tcPr>
            <w:tcW w:w="283" w:type="dxa"/>
            <w:tcBorders>
              <w:top w:val="single" w:sz="4" w:space="0" w:color="auto"/>
              <w:left w:val="nil"/>
              <w:bottom w:val="single" w:sz="4" w:space="0" w:color="auto"/>
              <w:right w:val="single" w:sz="4" w:space="0" w:color="auto"/>
            </w:tcBorders>
          </w:tcPr>
          <w:p w14:paraId="0A7DE80E" w14:textId="77777777"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14:paraId="1B3C19BC" w14:textId="77777777"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Educación Media</w:t>
            </w:r>
          </w:p>
        </w:tc>
        <w:tc>
          <w:tcPr>
            <w:tcW w:w="1026" w:type="dxa"/>
            <w:tcBorders>
              <w:top w:val="single" w:sz="4" w:space="0" w:color="auto"/>
              <w:left w:val="single" w:sz="4" w:space="0" w:color="auto"/>
              <w:bottom w:val="single" w:sz="4" w:space="0" w:color="auto"/>
              <w:right w:val="nil"/>
            </w:tcBorders>
          </w:tcPr>
          <w:p w14:paraId="6BB4010F" w14:textId="77777777" w:rsidR="00423355" w:rsidRPr="007923C2" w:rsidRDefault="00423355" w:rsidP="00423355">
            <w:pPr>
              <w:spacing w:line="276" w:lineRule="auto"/>
              <w:jc w:val="right"/>
              <w:rPr>
                <w:rFonts w:ascii="Arial" w:hAnsi="Arial" w:cs="Arial"/>
                <w:sz w:val="22"/>
                <w:szCs w:val="22"/>
              </w:rPr>
            </w:pPr>
            <w:r w:rsidRPr="007923C2">
              <w:rPr>
                <w:rFonts w:ascii="Arial" w:hAnsi="Arial" w:cs="Arial"/>
                <w:sz w:val="22"/>
                <w:szCs w:val="22"/>
              </w:rPr>
              <w:t xml:space="preserve">Dos </w:t>
            </w:r>
          </w:p>
        </w:tc>
        <w:tc>
          <w:tcPr>
            <w:tcW w:w="1100" w:type="dxa"/>
            <w:gridSpan w:val="6"/>
            <w:tcBorders>
              <w:top w:val="single" w:sz="4" w:space="0" w:color="auto"/>
              <w:left w:val="nil"/>
              <w:bottom w:val="single" w:sz="4" w:space="0" w:color="auto"/>
              <w:right w:val="single" w:sz="4" w:space="0" w:color="auto"/>
            </w:tcBorders>
          </w:tcPr>
          <w:p w14:paraId="73998C64" w14:textId="77777777"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años</w:t>
            </w:r>
          </w:p>
        </w:tc>
      </w:tr>
      <w:tr w:rsidR="002323B6" w:rsidRPr="007923C2" w14:paraId="57578179" w14:textId="77777777" w:rsidTr="00546E09">
        <w:trPr>
          <w:trHeight w:val="185"/>
        </w:trPr>
        <w:tc>
          <w:tcPr>
            <w:tcW w:w="1271" w:type="dxa"/>
            <w:tcBorders>
              <w:right w:val="single" w:sz="4" w:space="0" w:color="auto"/>
            </w:tcBorders>
          </w:tcPr>
          <w:p w14:paraId="2C06D48A" w14:textId="77777777"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 xml:space="preserve">Alumno </w:t>
            </w:r>
            <w:r w:rsidR="00423355" w:rsidRPr="007923C2">
              <w:rPr>
                <w:rFonts w:ascii="Arial" w:hAnsi="Arial" w:cs="Arial"/>
                <w:sz w:val="22"/>
                <w:szCs w:val="22"/>
              </w:rPr>
              <w:t>31</w:t>
            </w:r>
          </w:p>
        </w:tc>
        <w:tc>
          <w:tcPr>
            <w:tcW w:w="3686" w:type="dxa"/>
            <w:gridSpan w:val="2"/>
            <w:tcBorders>
              <w:top w:val="single" w:sz="4" w:space="0" w:color="auto"/>
              <w:left w:val="single" w:sz="4" w:space="0" w:color="auto"/>
              <w:bottom w:val="single" w:sz="4" w:space="0" w:color="auto"/>
              <w:right w:val="nil"/>
            </w:tcBorders>
          </w:tcPr>
          <w:p w14:paraId="1D147A84" w14:textId="77777777" w:rsidR="002323B6" w:rsidRPr="007923C2" w:rsidRDefault="002323B6" w:rsidP="00546E09">
            <w:pPr>
              <w:spacing w:line="276" w:lineRule="auto"/>
              <w:jc w:val="both"/>
              <w:rPr>
                <w:rFonts w:ascii="Arial" w:hAnsi="Arial" w:cs="Arial"/>
                <w:sz w:val="22"/>
                <w:szCs w:val="22"/>
              </w:rPr>
            </w:pPr>
          </w:p>
        </w:tc>
        <w:tc>
          <w:tcPr>
            <w:tcW w:w="283" w:type="dxa"/>
            <w:tcBorders>
              <w:top w:val="single" w:sz="4" w:space="0" w:color="auto"/>
              <w:left w:val="nil"/>
              <w:bottom w:val="single" w:sz="4" w:space="0" w:color="auto"/>
              <w:right w:val="single" w:sz="4" w:space="0" w:color="auto"/>
            </w:tcBorders>
          </w:tcPr>
          <w:p w14:paraId="35ACDF43" w14:textId="77777777"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14:paraId="43FDE7DA" w14:textId="77777777" w:rsidR="002323B6" w:rsidRPr="007923C2" w:rsidRDefault="002323B6" w:rsidP="00546E09">
            <w:pPr>
              <w:spacing w:line="276" w:lineRule="auto"/>
              <w:jc w:val="both"/>
              <w:rPr>
                <w:rFonts w:ascii="Arial" w:hAnsi="Arial" w:cs="Arial"/>
                <w:sz w:val="22"/>
                <w:szCs w:val="22"/>
              </w:rPr>
            </w:pPr>
          </w:p>
        </w:tc>
        <w:tc>
          <w:tcPr>
            <w:tcW w:w="1026" w:type="dxa"/>
            <w:tcBorders>
              <w:top w:val="single" w:sz="4" w:space="0" w:color="auto"/>
              <w:left w:val="single" w:sz="4" w:space="0" w:color="auto"/>
              <w:bottom w:val="single" w:sz="4" w:space="0" w:color="auto"/>
              <w:right w:val="nil"/>
            </w:tcBorders>
          </w:tcPr>
          <w:p w14:paraId="7EB48037" w14:textId="77777777" w:rsidR="002323B6" w:rsidRPr="007923C2" w:rsidRDefault="002323B6" w:rsidP="00546E09">
            <w:pPr>
              <w:spacing w:line="276" w:lineRule="auto"/>
              <w:jc w:val="right"/>
              <w:rPr>
                <w:rFonts w:ascii="Arial" w:hAnsi="Arial" w:cs="Arial"/>
                <w:sz w:val="22"/>
                <w:szCs w:val="22"/>
              </w:rPr>
            </w:pPr>
          </w:p>
        </w:tc>
        <w:tc>
          <w:tcPr>
            <w:tcW w:w="1100" w:type="dxa"/>
            <w:gridSpan w:val="6"/>
            <w:tcBorders>
              <w:top w:val="single" w:sz="4" w:space="0" w:color="auto"/>
              <w:left w:val="nil"/>
              <w:bottom w:val="single" w:sz="4" w:space="0" w:color="auto"/>
              <w:right w:val="single" w:sz="4" w:space="0" w:color="auto"/>
            </w:tcBorders>
          </w:tcPr>
          <w:p w14:paraId="6DA7BF01" w14:textId="77777777" w:rsidR="002323B6" w:rsidRPr="007923C2" w:rsidRDefault="002323B6" w:rsidP="00546E09">
            <w:pPr>
              <w:spacing w:line="276" w:lineRule="auto"/>
              <w:jc w:val="both"/>
              <w:rPr>
                <w:rFonts w:ascii="Arial" w:hAnsi="Arial" w:cs="Arial"/>
                <w:sz w:val="22"/>
                <w:szCs w:val="22"/>
              </w:rPr>
            </w:pPr>
          </w:p>
        </w:tc>
      </w:tr>
      <w:tr w:rsidR="002323B6" w:rsidRPr="007923C2" w14:paraId="5CD651F6" w14:textId="77777777" w:rsidTr="00546E09">
        <w:trPr>
          <w:trHeight w:val="185"/>
        </w:trPr>
        <w:tc>
          <w:tcPr>
            <w:tcW w:w="1271" w:type="dxa"/>
            <w:tcBorders>
              <w:right w:val="single" w:sz="4" w:space="0" w:color="auto"/>
            </w:tcBorders>
          </w:tcPr>
          <w:p w14:paraId="530EDF64" w14:textId="77777777"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 xml:space="preserve">Alumno </w:t>
            </w:r>
            <w:r w:rsidR="00423355" w:rsidRPr="007923C2">
              <w:rPr>
                <w:rFonts w:ascii="Arial" w:hAnsi="Arial" w:cs="Arial"/>
                <w:sz w:val="22"/>
                <w:szCs w:val="22"/>
              </w:rPr>
              <w:t>32</w:t>
            </w:r>
          </w:p>
        </w:tc>
        <w:tc>
          <w:tcPr>
            <w:tcW w:w="3686" w:type="dxa"/>
            <w:gridSpan w:val="2"/>
            <w:tcBorders>
              <w:top w:val="single" w:sz="4" w:space="0" w:color="auto"/>
              <w:left w:val="single" w:sz="4" w:space="0" w:color="auto"/>
              <w:bottom w:val="single" w:sz="4" w:space="0" w:color="auto"/>
              <w:right w:val="nil"/>
            </w:tcBorders>
          </w:tcPr>
          <w:p w14:paraId="7C9CD066" w14:textId="77777777"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Innovadora Hidroagricola del Sureste</w:t>
            </w:r>
          </w:p>
        </w:tc>
        <w:tc>
          <w:tcPr>
            <w:tcW w:w="283" w:type="dxa"/>
            <w:tcBorders>
              <w:top w:val="single" w:sz="4" w:space="0" w:color="auto"/>
              <w:left w:val="nil"/>
              <w:bottom w:val="single" w:sz="4" w:space="0" w:color="auto"/>
              <w:right w:val="single" w:sz="4" w:space="0" w:color="auto"/>
            </w:tcBorders>
          </w:tcPr>
          <w:p w14:paraId="26F3C76D" w14:textId="77777777"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14:paraId="71366980" w14:textId="77777777"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Venta de insumos y sistemas de riego</w:t>
            </w:r>
          </w:p>
        </w:tc>
        <w:tc>
          <w:tcPr>
            <w:tcW w:w="1026" w:type="dxa"/>
            <w:tcBorders>
              <w:top w:val="single" w:sz="4" w:space="0" w:color="auto"/>
              <w:left w:val="single" w:sz="4" w:space="0" w:color="auto"/>
              <w:bottom w:val="single" w:sz="4" w:space="0" w:color="auto"/>
              <w:right w:val="nil"/>
            </w:tcBorders>
          </w:tcPr>
          <w:p w14:paraId="4F7A4996" w14:textId="77777777" w:rsidR="002323B6" w:rsidRPr="007923C2" w:rsidRDefault="00423355" w:rsidP="00546E09">
            <w:pPr>
              <w:spacing w:line="276" w:lineRule="auto"/>
              <w:jc w:val="right"/>
              <w:rPr>
                <w:rFonts w:ascii="Arial" w:hAnsi="Arial" w:cs="Arial"/>
                <w:sz w:val="22"/>
                <w:szCs w:val="22"/>
              </w:rPr>
            </w:pPr>
            <w:r w:rsidRPr="007923C2">
              <w:rPr>
                <w:rFonts w:ascii="Arial" w:hAnsi="Arial" w:cs="Arial"/>
                <w:sz w:val="22"/>
                <w:szCs w:val="22"/>
              </w:rPr>
              <w:t>Un año</w:t>
            </w:r>
          </w:p>
        </w:tc>
        <w:tc>
          <w:tcPr>
            <w:tcW w:w="1100" w:type="dxa"/>
            <w:gridSpan w:val="6"/>
            <w:tcBorders>
              <w:top w:val="single" w:sz="4" w:space="0" w:color="auto"/>
              <w:left w:val="nil"/>
              <w:bottom w:val="single" w:sz="4" w:space="0" w:color="auto"/>
              <w:right w:val="single" w:sz="4" w:space="0" w:color="auto"/>
            </w:tcBorders>
          </w:tcPr>
          <w:p w14:paraId="2165E386" w14:textId="77777777" w:rsidR="002323B6" w:rsidRPr="007923C2" w:rsidRDefault="002323B6" w:rsidP="00546E09">
            <w:pPr>
              <w:spacing w:line="276" w:lineRule="auto"/>
              <w:jc w:val="both"/>
              <w:rPr>
                <w:rFonts w:ascii="Arial" w:hAnsi="Arial" w:cs="Arial"/>
                <w:sz w:val="22"/>
                <w:szCs w:val="22"/>
              </w:rPr>
            </w:pPr>
          </w:p>
        </w:tc>
      </w:tr>
      <w:tr w:rsidR="002323B6" w:rsidRPr="007923C2" w14:paraId="2CAB8F97" w14:textId="77777777" w:rsidTr="00546E09">
        <w:trPr>
          <w:trHeight w:val="185"/>
        </w:trPr>
        <w:tc>
          <w:tcPr>
            <w:tcW w:w="1271" w:type="dxa"/>
            <w:tcBorders>
              <w:right w:val="single" w:sz="4" w:space="0" w:color="auto"/>
            </w:tcBorders>
          </w:tcPr>
          <w:p w14:paraId="251332BF" w14:textId="77777777"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 xml:space="preserve">Alumno </w:t>
            </w:r>
            <w:r w:rsidR="00423355" w:rsidRPr="007923C2">
              <w:rPr>
                <w:rFonts w:ascii="Arial" w:hAnsi="Arial" w:cs="Arial"/>
                <w:sz w:val="22"/>
                <w:szCs w:val="22"/>
              </w:rPr>
              <w:t>33</w:t>
            </w:r>
          </w:p>
        </w:tc>
        <w:tc>
          <w:tcPr>
            <w:tcW w:w="3686" w:type="dxa"/>
            <w:gridSpan w:val="2"/>
            <w:tcBorders>
              <w:top w:val="single" w:sz="4" w:space="0" w:color="auto"/>
              <w:left w:val="single" w:sz="4" w:space="0" w:color="auto"/>
              <w:bottom w:val="single" w:sz="4" w:space="0" w:color="auto"/>
              <w:right w:val="nil"/>
            </w:tcBorders>
          </w:tcPr>
          <w:p w14:paraId="6C8E7DD6" w14:textId="77777777"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Instituto Tecnológico Superior de V. Carranza</w:t>
            </w:r>
          </w:p>
        </w:tc>
        <w:tc>
          <w:tcPr>
            <w:tcW w:w="283" w:type="dxa"/>
            <w:tcBorders>
              <w:top w:val="single" w:sz="4" w:space="0" w:color="auto"/>
              <w:left w:val="nil"/>
              <w:bottom w:val="single" w:sz="4" w:space="0" w:color="auto"/>
              <w:right w:val="single" w:sz="4" w:space="0" w:color="auto"/>
            </w:tcBorders>
          </w:tcPr>
          <w:p w14:paraId="317E5A47" w14:textId="77777777"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14:paraId="575A200C" w14:textId="77777777"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Educación Superior</w:t>
            </w:r>
          </w:p>
        </w:tc>
        <w:tc>
          <w:tcPr>
            <w:tcW w:w="1026" w:type="dxa"/>
            <w:tcBorders>
              <w:top w:val="single" w:sz="4" w:space="0" w:color="auto"/>
              <w:left w:val="single" w:sz="4" w:space="0" w:color="auto"/>
              <w:bottom w:val="single" w:sz="4" w:space="0" w:color="auto"/>
              <w:right w:val="nil"/>
            </w:tcBorders>
          </w:tcPr>
          <w:p w14:paraId="378C466D" w14:textId="77777777" w:rsidR="002323B6" w:rsidRPr="007923C2" w:rsidRDefault="00423355" w:rsidP="00423355">
            <w:pPr>
              <w:spacing w:line="276" w:lineRule="auto"/>
              <w:jc w:val="right"/>
              <w:rPr>
                <w:rFonts w:ascii="Arial" w:hAnsi="Arial" w:cs="Arial"/>
                <w:sz w:val="22"/>
                <w:szCs w:val="22"/>
              </w:rPr>
            </w:pPr>
            <w:r w:rsidRPr="007923C2">
              <w:rPr>
                <w:rFonts w:ascii="Arial" w:hAnsi="Arial" w:cs="Arial"/>
                <w:sz w:val="22"/>
                <w:szCs w:val="22"/>
              </w:rPr>
              <w:t xml:space="preserve">Seis </w:t>
            </w:r>
          </w:p>
        </w:tc>
        <w:tc>
          <w:tcPr>
            <w:tcW w:w="1100" w:type="dxa"/>
            <w:gridSpan w:val="6"/>
            <w:tcBorders>
              <w:top w:val="single" w:sz="4" w:space="0" w:color="auto"/>
              <w:left w:val="nil"/>
              <w:bottom w:val="single" w:sz="4" w:space="0" w:color="auto"/>
              <w:right w:val="single" w:sz="4" w:space="0" w:color="auto"/>
            </w:tcBorders>
          </w:tcPr>
          <w:p w14:paraId="1B7683D0" w14:textId="77777777" w:rsidR="002323B6" w:rsidRPr="007923C2" w:rsidRDefault="00423355" w:rsidP="00423355">
            <w:pPr>
              <w:spacing w:line="276" w:lineRule="auto"/>
              <w:rPr>
                <w:rFonts w:ascii="Arial" w:hAnsi="Arial" w:cs="Arial"/>
                <w:sz w:val="22"/>
                <w:szCs w:val="22"/>
              </w:rPr>
            </w:pPr>
            <w:r w:rsidRPr="007923C2">
              <w:rPr>
                <w:rFonts w:ascii="Arial" w:hAnsi="Arial" w:cs="Arial"/>
                <w:sz w:val="22"/>
                <w:szCs w:val="22"/>
              </w:rPr>
              <w:t>meses</w:t>
            </w:r>
          </w:p>
        </w:tc>
      </w:tr>
      <w:tr w:rsidR="00423355" w:rsidRPr="007923C2" w14:paraId="084F4902" w14:textId="77777777" w:rsidTr="00546E09">
        <w:trPr>
          <w:trHeight w:val="185"/>
        </w:trPr>
        <w:tc>
          <w:tcPr>
            <w:tcW w:w="1271" w:type="dxa"/>
            <w:tcBorders>
              <w:right w:val="single" w:sz="4" w:space="0" w:color="auto"/>
            </w:tcBorders>
          </w:tcPr>
          <w:p w14:paraId="4CB06334" w14:textId="77777777" w:rsidR="00423355" w:rsidRPr="007923C2" w:rsidRDefault="00423355" w:rsidP="00423355">
            <w:pPr>
              <w:spacing w:line="276" w:lineRule="auto"/>
              <w:jc w:val="both"/>
              <w:rPr>
                <w:rFonts w:ascii="Arial" w:hAnsi="Arial" w:cs="Arial"/>
                <w:sz w:val="22"/>
                <w:szCs w:val="22"/>
              </w:rPr>
            </w:pPr>
            <w:r w:rsidRPr="007923C2">
              <w:rPr>
                <w:rFonts w:ascii="Arial" w:hAnsi="Arial" w:cs="Arial"/>
                <w:sz w:val="22"/>
                <w:szCs w:val="22"/>
              </w:rPr>
              <w:t>Alumno 34</w:t>
            </w:r>
          </w:p>
        </w:tc>
        <w:tc>
          <w:tcPr>
            <w:tcW w:w="3686" w:type="dxa"/>
            <w:gridSpan w:val="2"/>
            <w:tcBorders>
              <w:top w:val="single" w:sz="4" w:space="0" w:color="auto"/>
              <w:left w:val="single" w:sz="4" w:space="0" w:color="auto"/>
              <w:bottom w:val="single" w:sz="4" w:space="0" w:color="auto"/>
              <w:right w:val="nil"/>
            </w:tcBorders>
          </w:tcPr>
          <w:p w14:paraId="25DAA972" w14:textId="77777777" w:rsidR="00423355" w:rsidRPr="007923C2" w:rsidRDefault="00423355" w:rsidP="00423355">
            <w:pPr>
              <w:spacing w:line="276" w:lineRule="auto"/>
              <w:jc w:val="both"/>
              <w:rPr>
                <w:rFonts w:ascii="Arial" w:hAnsi="Arial" w:cs="Arial"/>
                <w:sz w:val="22"/>
                <w:szCs w:val="22"/>
              </w:rPr>
            </w:pPr>
            <w:r w:rsidRPr="007923C2">
              <w:rPr>
                <w:rFonts w:ascii="Arial" w:hAnsi="Arial" w:cs="Arial"/>
                <w:sz w:val="22"/>
                <w:szCs w:val="22"/>
              </w:rPr>
              <w:t>Aseguradora Agrícola Revolución</w:t>
            </w:r>
          </w:p>
        </w:tc>
        <w:tc>
          <w:tcPr>
            <w:tcW w:w="283" w:type="dxa"/>
            <w:tcBorders>
              <w:top w:val="single" w:sz="4" w:space="0" w:color="auto"/>
              <w:left w:val="nil"/>
              <w:bottom w:val="single" w:sz="4" w:space="0" w:color="auto"/>
              <w:right w:val="single" w:sz="4" w:space="0" w:color="auto"/>
            </w:tcBorders>
          </w:tcPr>
          <w:p w14:paraId="50A32EF0" w14:textId="77777777" w:rsidR="00423355" w:rsidRPr="007923C2" w:rsidRDefault="00423355" w:rsidP="00423355">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14:paraId="1F4C93B1" w14:textId="77777777" w:rsidR="00423355" w:rsidRPr="007923C2" w:rsidRDefault="00423355" w:rsidP="00423355">
            <w:pPr>
              <w:spacing w:line="276" w:lineRule="auto"/>
              <w:jc w:val="both"/>
              <w:rPr>
                <w:rFonts w:ascii="Arial" w:hAnsi="Arial" w:cs="Arial"/>
                <w:sz w:val="22"/>
                <w:szCs w:val="22"/>
              </w:rPr>
            </w:pPr>
            <w:r w:rsidRPr="007923C2">
              <w:rPr>
                <w:rFonts w:ascii="Arial" w:hAnsi="Arial" w:cs="Arial"/>
                <w:sz w:val="22"/>
                <w:szCs w:val="22"/>
              </w:rPr>
              <w:t>Seguros Agrícolas</w:t>
            </w:r>
          </w:p>
        </w:tc>
        <w:tc>
          <w:tcPr>
            <w:tcW w:w="1026" w:type="dxa"/>
            <w:tcBorders>
              <w:top w:val="single" w:sz="4" w:space="0" w:color="auto"/>
              <w:left w:val="single" w:sz="4" w:space="0" w:color="auto"/>
              <w:bottom w:val="single" w:sz="4" w:space="0" w:color="auto"/>
              <w:right w:val="nil"/>
            </w:tcBorders>
          </w:tcPr>
          <w:p w14:paraId="57CAB35C" w14:textId="77777777" w:rsidR="00423355" w:rsidRPr="007923C2" w:rsidRDefault="00423355" w:rsidP="00423355">
            <w:pPr>
              <w:spacing w:line="276" w:lineRule="auto"/>
              <w:jc w:val="right"/>
              <w:rPr>
                <w:rFonts w:ascii="Arial" w:hAnsi="Arial" w:cs="Arial"/>
                <w:sz w:val="22"/>
                <w:szCs w:val="22"/>
              </w:rPr>
            </w:pPr>
            <w:r w:rsidRPr="007923C2">
              <w:rPr>
                <w:rFonts w:ascii="Arial" w:hAnsi="Arial" w:cs="Arial"/>
                <w:sz w:val="22"/>
                <w:szCs w:val="22"/>
              </w:rPr>
              <w:t>Tres años</w:t>
            </w:r>
          </w:p>
        </w:tc>
        <w:tc>
          <w:tcPr>
            <w:tcW w:w="1100" w:type="dxa"/>
            <w:gridSpan w:val="6"/>
            <w:tcBorders>
              <w:top w:val="single" w:sz="4" w:space="0" w:color="auto"/>
              <w:left w:val="nil"/>
              <w:bottom w:val="single" w:sz="4" w:space="0" w:color="auto"/>
              <w:right w:val="single" w:sz="4" w:space="0" w:color="auto"/>
            </w:tcBorders>
          </w:tcPr>
          <w:p w14:paraId="164FA3E5" w14:textId="77777777" w:rsidR="00423355" w:rsidRPr="007923C2" w:rsidRDefault="00423355" w:rsidP="00423355">
            <w:pPr>
              <w:spacing w:line="276" w:lineRule="auto"/>
              <w:jc w:val="both"/>
              <w:rPr>
                <w:rFonts w:ascii="Arial" w:hAnsi="Arial" w:cs="Arial"/>
                <w:sz w:val="22"/>
                <w:szCs w:val="22"/>
              </w:rPr>
            </w:pPr>
          </w:p>
        </w:tc>
      </w:tr>
      <w:tr w:rsidR="00423355" w:rsidRPr="007923C2" w14:paraId="654013BE" w14:textId="77777777" w:rsidTr="00546E09">
        <w:trPr>
          <w:trHeight w:val="185"/>
        </w:trPr>
        <w:tc>
          <w:tcPr>
            <w:tcW w:w="1271" w:type="dxa"/>
            <w:tcBorders>
              <w:right w:val="single" w:sz="4" w:space="0" w:color="auto"/>
            </w:tcBorders>
          </w:tcPr>
          <w:p w14:paraId="64B089C5" w14:textId="77777777" w:rsidR="00423355" w:rsidRPr="007923C2" w:rsidRDefault="00423355" w:rsidP="00423355">
            <w:pPr>
              <w:spacing w:line="276" w:lineRule="auto"/>
              <w:jc w:val="both"/>
              <w:rPr>
                <w:rFonts w:ascii="Arial" w:hAnsi="Arial" w:cs="Arial"/>
                <w:sz w:val="22"/>
                <w:szCs w:val="22"/>
              </w:rPr>
            </w:pPr>
            <w:r w:rsidRPr="007923C2">
              <w:rPr>
                <w:rFonts w:ascii="Arial" w:hAnsi="Arial" w:cs="Arial"/>
                <w:sz w:val="22"/>
                <w:szCs w:val="22"/>
              </w:rPr>
              <w:t>Alumno 35</w:t>
            </w:r>
          </w:p>
        </w:tc>
        <w:tc>
          <w:tcPr>
            <w:tcW w:w="3686" w:type="dxa"/>
            <w:gridSpan w:val="2"/>
            <w:tcBorders>
              <w:top w:val="single" w:sz="4" w:space="0" w:color="auto"/>
              <w:left w:val="single" w:sz="4" w:space="0" w:color="auto"/>
              <w:bottom w:val="single" w:sz="4" w:space="0" w:color="auto"/>
              <w:right w:val="nil"/>
            </w:tcBorders>
          </w:tcPr>
          <w:p w14:paraId="63A245AC" w14:textId="77777777" w:rsidR="00423355" w:rsidRPr="007923C2" w:rsidRDefault="00423355" w:rsidP="00423355">
            <w:pPr>
              <w:spacing w:line="276" w:lineRule="auto"/>
              <w:jc w:val="both"/>
              <w:rPr>
                <w:rFonts w:ascii="Arial" w:hAnsi="Arial" w:cs="Arial"/>
                <w:sz w:val="22"/>
                <w:szCs w:val="22"/>
              </w:rPr>
            </w:pPr>
          </w:p>
        </w:tc>
        <w:tc>
          <w:tcPr>
            <w:tcW w:w="283" w:type="dxa"/>
            <w:tcBorders>
              <w:top w:val="single" w:sz="4" w:space="0" w:color="auto"/>
              <w:left w:val="nil"/>
              <w:bottom w:val="single" w:sz="4" w:space="0" w:color="auto"/>
              <w:right w:val="single" w:sz="4" w:space="0" w:color="auto"/>
            </w:tcBorders>
          </w:tcPr>
          <w:p w14:paraId="6357C208" w14:textId="77777777" w:rsidR="00423355" w:rsidRPr="007923C2" w:rsidRDefault="00423355" w:rsidP="00423355">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14:paraId="38BB91FC" w14:textId="77777777" w:rsidR="00423355" w:rsidRPr="007923C2" w:rsidRDefault="00423355" w:rsidP="00423355">
            <w:pPr>
              <w:spacing w:line="276" w:lineRule="auto"/>
              <w:jc w:val="both"/>
              <w:rPr>
                <w:rFonts w:ascii="Arial" w:hAnsi="Arial" w:cs="Arial"/>
                <w:sz w:val="22"/>
                <w:szCs w:val="22"/>
              </w:rPr>
            </w:pPr>
          </w:p>
        </w:tc>
        <w:tc>
          <w:tcPr>
            <w:tcW w:w="1026" w:type="dxa"/>
            <w:tcBorders>
              <w:top w:val="single" w:sz="4" w:space="0" w:color="auto"/>
              <w:left w:val="single" w:sz="4" w:space="0" w:color="auto"/>
              <w:bottom w:val="single" w:sz="4" w:space="0" w:color="auto"/>
              <w:right w:val="nil"/>
            </w:tcBorders>
          </w:tcPr>
          <w:p w14:paraId="0EDC4BAA" w14:textId="77777777" w:rsidR="00423355" w:rsidRPr="007923C2" w:rsidRDefault="00423355" w:rsidP="00423355">
            <w:pPr>
              <w:spacing w:line="276" w:lineRule="auto"/>
              <w:jc w:val="right"/>
              <w:rPr>
                <w:rFonts w:ascii="Arial" w:hAnsi="Arial" w:cs="Arial"/>
                <w:sz w:val="22"/>
                <w:szCs w:val="22"/>
              </w:rPr>
            </w:pPr>
          </w:p>
        </w:tc>
        <w:tc>
          <w:tcPr>
            <w:tcW w:w="1100" w:type="dxa"/>
            <w:gridSpan w:val="6"/>
            <w:tcBorders>
              <w:top w:val="single" w:sz="4" w:space="0" w:color="auto"/>
              <w:left w:val="nil"/>
              <w:bottom w:val="single" w:sz="4" w:space="0" w:color="auto"/>
              <w:right w:val="single" w:sz="4" w:space="0" w:color="auto"/>
            </w:tcBorders>
          </w:tcPr>
          <w:p w14:paraId="344F6770" w14:textId="77777777" w:rsidR="00423355" w:rsidRPr="007923C2" w:rsidRDefault="00423355" w:rsidP="00423355">
            <w:pPr>
              <w:spacing w:line="276" w:lineRule="auto"/>
              <w:jc w:val="both"/>
              <w:rPr>
                <w:rFonts w:ascii="Arial" w:hAnsi="Arial" w:cs="Arial"/>
                <w:sz w:val="22"/>
                <w:szCs w:val="22"/>
              </w:rPr>
            </w:pPr>
          </w:p>
        </w:tc>
      </w:tr>
    </w:tbl>
    <w:p w14:paraId="66425AFB" w14:textId="77777777" w:rsidR="008A5D3D" w:rsidRPr="007923C2" w:rsidRDefault="008A5D3D" w:rsidP="000E24F5">
      <w:pPr>
        <w:jc w:val="both"/>
        <w:rPr>
          <w:rFonts w:ascii="Arial" w:hAnsi="Arial" w:cs="Arial"/>
          <w:sz w:val="22"/>
          <w:szCs w:val="22"/>
        </w:rPr>
      </w:pPr>
      <w:bookmarkStart w:id="11" w:name="page117"/>
      <w:bookmarkEnd w:id="11"/>
    </w:p>
    <w:tbl>
      <w:tblPr>
        <w:tblStyle w:val="Tablaconcuadrcula"/>
        <w:tblW w:w="7450" w:type="dxa"/>
        <w:jc w:val="center"/>
        <w:tblLook w:val="0000" w:firstRow="0" w:lastRow="0" w:firstColumn="0" w:lastColumn="0" w:noHBand="0" w:noVBand="0"/>
      </w:tblPr>
      <w:tblGrid>
        <w:gridCol w:w="1426"/>
        <w:gridCol w:w="3012"/>
        <w:gridCol w:w="3012"/>
      </w:tblGrid>
      <w:tr w:rsidR="000E24F5" w:rsidRPr="007923C2" w14:paraId="51967E8A" w14:textId="77777777" w:rsidTr="00583D21">
        <w:trPr>
          <w:trHeight w:val="193"/>
          <w:jc w:val="center"/>
        </w:trPr>
        <w:tc>
          <w:tcPr>
            <w:tcW w:w="0" w:type="auto"/>
            <w:tcBorders>
              <w:top w:val="single" w:sz="4" w:space="0" w:color="auto"/>
              <w:left w:val="single" w:sz="4" w:space="0" w:color="auto"/>
              <w:bottom w:val="nil"/>
              <w:right w:val="single" w:sz="4" w:space="0" w:color="auto"/>
            </w:tcBorders>
          </w:tcPr>
          <w:p w14:paraId="1AA92BCC"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Clave 1 ...</w:t>
            </w:r>
          </w:p>
        </w:tc>
        <w:tc>
          <w:tcPr>
            <w:tcW w:w="0" w:type="auto"/>
            <w:gridSpan w:val="2"/>
            <w:tcBorders>
              <w:top w:val="single" w:sz="4" w:space="0" w:color="auto"/>
              <w:left w:val="single" w:sz="4" w:space="0" w:color="auto"/>
              <w:bottom w:val="nil"/>
              <w:right w:val="single" w:sz="4" w:space="0" w:color="auto"/>
            </w:tcBorders>
          </w:tcPr>
          <w:p w14:paraId="6701F810"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Puesto que ocupa</w:t>
            </w:r>
          </w:p>
        </w:tc>
      </w:tr>
      <w:tr w:rsidR="000E24F5" w:rsidRPr="007923C2" w14:paraId="19CAAF8D" w14:textId="77777777" w:rsidTr="00583D21">
        <w:trPr>
          <w:trHeight w:val="22"/>
          <w:jc w:val="center"/>
        </w:trPr>
        <w:tc>
          <w:tcPr>
            <w:tcW w:w="0" w:type="auto"/>
            <w:tcBorders>
              <w:top w:val="nil"/>
              <w:left w:val="single" w:sz="4" w:space="0" w:color="auto"/>
              <w:bottom w:val="single" w:sz="4" w:space="0" w:color="auto"/>
              <w:right w:val="single" w:sz="4" w:space="0" w:color="auto"/>
            </w:tcBorders>
          </w:tcPr>
          <w:p w14:paraId="15815039" w14:textId="77777777" w:rsidR="000E24F5" w:rsidRPr="007923C2" w:rsidRDefault="000E24F5" w:rsidP="0030772E">
            <w:pPr>
              <w:jc w:val="both"/>
              <w:rPr>
                <w:rFonts w:ascii="Arial" w:hAnsi="Arial" w:cs="Arial"/>
                <w:sz w:val="22"/>
                <w:szCs w:val="22"/>
              </w:rPr>
            </w:pPr>
          </w:p>
        </w:tc>
        <w:tc>
          <w:tcPr>
            <w:tcW w:w="0" w:type="auto"/>
            <w:tcBorders>
              <w:top w:val="nil"/>
              <w:left w:val="single" w:sz="4" w:space="0" w:color="auto"/>
              <w:bottom w:val="single" w:sz="4" w:space="0" w:color="auto"/>
              <w:right w:val="nil"/>
            </w:tcBorders>
          </w:tcPr>
          <w:p w14:paraId="1CEF5740" w14:textId="77777777" w:rsidR="000E24F5" w:rsidRPr="007923C2" w:rsidRDefault="000E24F5" w:rsidP="0030772E">
            <w:pPr>
              <w:jc w:val="both"/>
              <w:rPr>
                <w:rFonts w:ascii="Arial" w:hAnsi="Arial" w:cs="Arial"/>
                <w:sz w:val="22"/>
                <w:szCs w:val="22"/>
              </w:rPr>
            </w:pPr>
          </w:p>
        </w:tc>
        <w:tc>
          <w:tcPr>
            <w:tcW w:w="0" w:type="auto"/>
            <w:tcBorders>
              <w:top w:val="nil"/>
              <w:left w:val="nil"/>
              <w:bottom w:val="single" w:sz="4" w:space="0" w:color="auto"/>
              <w:right w:val="single" w:sz="4" w:space="0" w:color="auto"/>
            </w:tcBorders>
          </w:tcPr>
          <w:p w14:paraId="24F30319" w14:textId="77777777" w:rsidR="000E24F5" w:rsidRPr="007923C2" w:rsidRDefault="000E24F5" w:rsidP="0030772E">
            <w:pPr>
              <w:jc w:val="both"/>
              <w:rPr>
                <w:rFonts w:ascii="Arial" w:hAnsi="Arial" w:cs="Arial"/>
                <w:sz w:val="22"/>
                <w:szCs w:val="22"/>
              </w:rPr>
            </w:pPr>
          </w:p>
        </w:tc>
      </w:tr>
      <w:tr w:rsidR="000E24F5" w:rsidRPr="007923C2" w14:paraId="2F997A32" w14:textId="77777777" w:rsidTr="00583D21">
        <w:trPr>
          <w:trHeight w:val="106"/>
          <w:jc w:val="center"/>
        </w:trPr>
        <w:tc>
          <w:tcPr>
            <w:tcW w:w="0" w:type="auto"/>
            <w:tcBorders>
              <w:top w:val="single" w:sz="4" w:space="0" w:color="auto"/>
              <w:left w:val="single" w:sz="4" w:space="0" w:color="auto"/>
              <w:bottom w:val="single" w:sz="4" w:space="0" w:color="auto"/>
              <w:right w:val="single" w:sz="4" w:space="0" w:color="auto"/>
            </w:tcBorders>
          </w:tcPr>
          <w:p w14:paraId="0FBD630E"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1</w:t>
            </w:r>
          </w:p>
        </w:tc>
        <w:tc>
          <w:tcPr>
            <w:tcW w:w="0" w:type="auto"/>
            <w:gridSpan w:val="2"/>
            <w:tcBorders>
              <w:top w:val="single" w:sz="4" w:space="0" w:color="auto"/>
              <w:left w:val="single" w:sz="4" w:space="0" w:color="auto"/>
              <w:bottom w:val="single" w:sz="4" w:space="0" w:color="auto"/>
              <w:right w:val="single" w:sz="4" w:space="0" w:color="auto"/>
            </w:tcBorders>
          </w:tcPr>
          <w:p w14:paraId="6F8DD7B7"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Responsable Técnico</w:t>
            </w:r>
          </w:p>
        </w:tc>
      </w:tr>
      <w:tr w:rsidR="000E24F5" w:rsidRPr="007923C2" w14:paraId="5C089F69"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2DF1AD9A"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2</w:t>
            </w:r>
          </w:p>
        </w:tc>
        <w:tc>
          <w:tcPr>
            <w:tcW w:w="0" w:type="auto"/>
            <w:gridSpan w:val="2"/>
            <w:tcBorders>
              <w:top w:val="single" w:sz="4" w:space="0" w:color="auto"/>
              <w:left w:val="single" w:sz="4" w:space="0" w:color="auto"/>
              <w:bottom w:val="single" w:sz="4" w:space="0" w:color="auto"/>
              <w:right w:val="single" w:sz="4" w:space="0" w:color="auto"/>
            </w:tcBorders>
          </w:tcPr>
          <w:p w14:paraId="2B9DB3D4"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Investigador</w:t>
            </w:r>
          </w:p>
        </w:tc>
      </w:tr>
      <w:tr w:rsidR="000E24F5" w:rsidRPr="007923C2" w14:paraId="3FC99F71" w14:textId="77777777"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14:paraId="51D85F5A"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3</w:t>
            </w:r>
          </w:p>
        </w:tc>
        <w:tc>
          <w:tcPr>
            <w:tcW w:w="0" w:type="auto"/>
            <w:gridSpan w:val="2"/>
            <w:tcBorders>
              <w:top w:val="single" w:sz="4" w:space="0" w:color="auto"/>
              <w:left w:val="single" w:sz="4" w:space="0" w:color="auto"/>
              <w:bottom w:val="single" w:sz="4" w:space="0" w:color="auto"/>
              <w:right w:val="single" w:sz="4" w:space="0" w:color="auto"/>
            </w:tcBorders>
          </w:tcPr>
          <w:p w14:paraId="74CEE239"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Investigador</w:t>
            </w:r>
          </w:p>
        </w:tc>
      </w:tr>
      <w:tr w:rsidR="000E24F5" w:rsidRPr="007923C2" w14:paraId="61C87121"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34F679E8"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4</w:t>
            </w:r>
          </w:p>
        </w:tc>
        <w:tc>
          <w:tcPr>
            <w:tcW w:w="0" w:type="auto"/>
            <w:gridSpan w:val="2"/>
            <w:tcBorders>
              <w:top w:val="single" w:sz="4" w:space="0" w:color="auto"/>
              <w:left w:val="single" w:sz="4" w:space="0" w:color="auto"/>
              <w:bottom w:val="single" w:sz="4" w:space="0" w:color="auto"/>
              <w:right w:val="single" w:sz="4" w:space="0" w:color="auto"/>
            </w:tcBorders>
          </w:tcPr>
          <w:p w14:paraId="6EAF9A89"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Propietario</w:t>
            </w:r>
          </w:p>
        </w:tc>
      </w:tr>
      <w:tr w:rsidR="000E24F5" w:rsidRPr="007923C2" w14:paraId="7BB6976D"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61A8E676"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5</w:t>
            </w:r>
          </w:p>
        </w:tc>
        <w:tc>
          <w:tcPr>
            <w:tcW w:w="0" w:type="auto"/>
            <w:gridSpan w:val="2"/>
            <w:tcBorders>
              <w:top w:val="single" w:sz="4" w:space="0" w:color="auto"/>
              <w:left w:val="single" w:sz="4" w:space="0" w:color="auto"/>
              <w:bottom w:val="single" w:sz="4" w:space="0" w:color="auto"/>
              <w:right w:val="single" w:sz="4" w:space="0" w:color="auto"/>
            </w:tcBorders>
          </w:tcPr>
          <w:p w14:paraId="279E3727"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Maestro</w:t>
            </w:r>
          </w:p>
        </w:tc>
      </w:tr>
      <w:tr w:rsidR="000E24F5" w:rsidRPr="007923C2" w14:paraId="72B9B1FB" w14:textId="77777777"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14:paraId="26DC1CA5"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6</w:t>
            </w:r>
          </w:p>
        </w:tc>
        <w:tc>
          <w:tcPr>
            <w:tcW w:w="0" w:type="auto"/>
            <w:gridSpan w:val="2"/>
            <w:tcBorders>
              <w:top w:val="single" w:sz="4" w:space="0" w:color="auto"/>
              <w:left w:val="single" w:sz="4" w:space="0" w:color="auto"/>
              <w:bottom w:val="single" w:sz="4" w:space="0" w:color="auto"/>
              <w:right w:val="single" w:sz="4" w:space="0" w:color="auto"/>
            </w:tcBorders>
          </w:tcPr>
          <w:p w14:paraId="6543BD15"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Asesor Técnico</w:t>
            </w:r>
          </w:p>
        </w:tc>
      </w:tr>
      <w:tr w:rsidR="000E24F5" w:rsidRPr="007923C2" w14:paraId="3D31EF91"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58EDE4D7"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7</w:t>
            </w:r>
          </w:p>
        </w:tc>
        <w:tc>
          <w:tcPr>
            <w:tcW w:w="0" w:type="auto"/>
            <w:gridSpan w:val="2"/>
            <w:tcBorders>
              <w:top w:val="single" w:sz="4" w:space="0" w:color="auto"/>
              <w:left w:val="single" w:sz="4" w:space="0" w:color="auto"/>
              <w:bottom w:val="single" w:sz="4" w:space="0" w:color="auto"/>
              <w:right w:val="single" w:sz="4" w:space="0" w:color="auto"/>
            </w:tcBorders>
          </w:tcPr>
          <w:p w14:paraId="3970F348"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Encargado de vivero</w:t>
            </w:r>
          </w:p>
        </w:tc>
      </w:tr>
      <w:tr w:rsidR="000E24F5" w:rsidRPr="007923C2" w14:paraId="751A26F2"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3FC0626C"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8</w:t>
            </w:r>
          </w:p>
        </w:tc>
        <w:tc>
          <w:tcPr>
            <w:tcW w:w="0" w:type="auto"/>
            <w:gridSpan w:val="2"/>
            <w:tcBorders>
              <w:top w:val="single" w:sz="4" w:space="0" w:color="auto"/>
              <w:left w:val="single" w:sz="4" w:space="0" w:color="auto"/>
              <w:bottom w:val="single" w:sz="4" w:space="0" w:color="auto"/>
              <w:right w:val="single" w:sz="4" w:space="0" w:color="auto"/>
            </w:tcBorders>
          </w:tcPr>
          <w:p w14:paraId="528C8D6B"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Asesor Agrícola</w:t>
            </w:r>
          </w:p>
        </w:tc>
      </w:tr>
      <w:tr w:rsidR="000E24F5" w:rsidRPr="007923C2" w14:paraId="530EF492" w14:textId="77777777"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14:paraId="07551365"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9</w:t>
            </w:r>
          </w:p>
        </w:tc>
        <w:tc>
          <w:tcPr>
            <w:tcW w:w="0" w:type="auto"/>
            <w:gridSpan w:val="2"/>
            <w:tcBorders>
              <w:top w:val="single" w:sz="4" w:space="0" w:color="auto"/>
              <w:left w:val="single" w:sz="4" w:space="0" w:color="auto"/>
              <w:bottom w:val="single" w:sz="4" w:space="0" w:color="auto"/>
              <w:right w:val="single" w:sz="4" w:space="0" w:color="auto"/>
            </w:tcBorders>
          </w:tcPr>
          <w:p w14:paraId="65D5B85F"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Supervisor Ambiental</w:t>
            </w:r>
          </w:p>
        </w:tc>
      </w:tr>
      <w:tr w:rsidR="000E24F5" w:rsidRPr="007923C2" w14:paraId="5D9A3430"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7FC959A1"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10</w:t>
            </w:r>
          </w:p>
        </w:tc>
        <w:tc>
          <w:tcPr>
            <w:tcW w:w="0" w:type="auto"/>
            <w:gridSpan w:val="2"/>
            <w:tcBorders>
              <w:top w:val="single" w:sz="4" w:space="0" w:color="auto"/>
              <w:left w:val="single" w:sz="4" w:space="0" w:color="auto"/>
              <w:bottom w:val="single" w:sz="4" w:space="0" w:color="auto"/>
              <w:right w:val="single" w:sz="4" w:space="0" w:color="auto"/>
            </w:tcBorders>
          </w:tcPr>
          <w:p w14:paraId="6A807876"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Jefe del Departamento Impactos y Riesgo Ambiental</w:t>
            </w:r>
          </w:p>
        </w:tc>
      </w:tr>
      <w:tr w:rsidR="000E24F5" w:rsidRPr="007923C2" w14:paraId="32CF7147"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7FD0EFCC"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11</w:t>
            </w:r>
          </w:p>
        </w:tc>
        <w:tc>
          <w:tcPr>
            <w:tcW w:w="0" w:type="auto"/>
            <w:tcBorders>
              <w:top w:val="single" w:sz="4" w:space="0" w:color="auto"/>
              <w:left w:val="single" w:sz="4" w:space="0" w:color="auto"/>
              <w:bottom w:val="single" w:sz="4" w:space="0" w:color="auto"/>
              <w:right w:val="nil"/>
            </w:tcBorders>
          </w:tcPr>
          <w:p w14:paraId="0D8C6790" w14:textId="77777777"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14:paraId="5E6DBBEE" w14:textId="77777777" w:rsidR="000E24F5" w:rsidRPr="007923C2" w:rsidRDefault="000E24F5" w:rsidP="0030772E">
            <w:pPr>
              <w:jc w:val="both"/>
              <w:rPr>
                <w:rFonts w:ascii="Arial" w:hAnsi="Arial" w:cs="Arial"/>
                <w:sz w:val="22"/>
                <w:szCs w:val="22"/>
              </w:rPr>
            </w:pPr>
          </w:p>
        </w:tc>
      </w:tr>
      <w:tr w:rsidR="000E24F5" w:rsidRPr="007923C2" w14:paraId="283EB49A" w14:textId="77777777"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14:paraId="5B398623"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12</w:t>
            </w:r>
          </w:p>
        </w:tc>
        <w:tc>
          <w:tcPr>
            <w:tcW w:w="0" w:type="auto"/>
            <w:tcBorders>
              <w:top w:val="single" w:sz="4" w:space="0" w:color="auto"/>
              <w:left w:val="single" w:sz="4" w:space="0" w:color="auto"/>
              <w:bottom w:val="single" w:sz="4" w:space="0" w:color="auto"/>
              <w:right w:val="nil"/>
            </w:tcBorders>
          </w:tcPr>
          <w:p w14:paraId="48DBC248" w14:textId="77777777"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14:paraId="31B92EA1" w14:textId="77777777" w:rsidR="000E24F5" w:rsidRPr="007923C2" w:rsidRDefault="000E24F5" w:rsidP="0030772E">
            <w:pPr>
              <w:jc w:val="both"/>
              <w:rPr>
                <w:rFonts w:ascii="Arial" w:hAnsi="Arial" w:cs="Arial"/>
                <w:sz w:val="22"/>
                <w:szCs w:val="22"/>
              </w:rPr>
            </w:pPr>
          </w:p>
        </w:tc>
      </w:tr>
      <w:tr w:rsidR="000E24F5" w:rsidRPr="007923C2" w14:paraId="1A6228CD"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08A330D2"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13</w:t>
            </w:r>
          </w:p>
        </w:tc>
        <w:tc>
          <w:tcPr>
            <w:tcW w:w="0" w:type="auto"/>
            <w:gridSpan w:val="2"/>
            <w:tcBorders>
              <w:top w:val="single" w:sz="4" w:space="0" w:color="auto"/>
              <w:left w:val="single" w:sz="4" w:space="0" w:color="auto"/>
              <w:bottom w:val="single" w:sz="4" w:space="0" w:color="auto"/>
              <w:right w:val="single" w:sz="4" w:space="0" w:color="auto"/>
            </w:tcBorders>
          </w:tcPr>
          <w:p w14:paraId="77949697"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Encargado de vivero asesor de proyectos</w:t>
            </w:r>
          </w:p>
        </w:tc>
      </w:tr>
      <w:tr w:rsidR="000E24F5" w:rsidRPr="007923C2" w14:paraId="6ABFB324"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42C40362"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14</w:t>
            </w:r>
          </w:p>
        </w:tc>
        <w:tc>
          <w:tcPr>
            <w:tcW w:w="0" w:type="auto"/>
            <w:gridSpan w:val="2"/>
            <w:tcBorders>
              <w:top w:val="single" w:sz="4" w:space="0" w:color="auto"/>
              <w:left w:val="single" w:sz="4" w:space="0" w:color="auto"/>
              <w:bottom w:val="single" w:sz="4" w:space="0" w:color="auto"/>
              <w:right w:val="single" w:sz="4" w:space="0" w:color="auto"/>
            </w:tcBorders>
          </w:tcPr>
          <w:p w14:paraId="74C2A84E"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Asesor de Manejo de plagas y enfermedades</w:t>
            </w:r>
          </w:p>
        </w:tc>
      </w:tr>
      <w:tr w:rsidR="000E24F5" w:rsidRPr="007923C2" w14:paraId="46A58196" w14:textId="77777777"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14:paraId="57486131"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15</w:t>
            </w:r>
          </w:p>
        </w:tc>
        <w:tc>
          <w:tcPr>
            <w:tcW w:w="0" w:type="auto"/>
            <w:gridSpan w:val="2"/>
            <w:tcBorders>
              <w:top w:val="single" w:sz="4" w:space="0" w:color="auto"/>
              <w:left w:val="single" w:sz="4" w:space="0" w:color="auto"/>
              <w:bottom w:val="single" w:sz="4" w:space="0" w:color="auto"/>
              <w:right w:val="single" w:sz="4" w:space="0" w:color="auto"/>
            </w:tcBorders>
          </w:tcPr>
          <w:p w14:paraId="0EC56AF9"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Verificador ambiental</w:t>
            </w:r>
          </w:p>
        </w:tc>
      </w:tr>
      <w:tr w:rsidR="000E24F5" w:rsidRPr="007923C2" w14:paraId="60BE6582"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56693AFF"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16</w:t>
            </w:r>
          </w:p>
        </w:tc>
        <w:tc>
          <w:tcPr>
            <w:tcW w:w="0" w:type="auto"/>
            <w:gridSpan w:val="2"/>
            <w:tcBorders>
              <w:top w:val="single" w:sz="4" w:space="0" w:color="auto"/>
              <w:left w:val="single" w:sz="4" w:space="0" w:color="auto"/>
              <w:bottom w:val="single" w:sz="4" w:space="0" w:color="auto"/>
              <w:right w:val="single" w:sz="4" w:space="0" w:color="auto"/>
            </w:tcBorders>
          </w:tcPr>
          <w:p w14:paraId="1E092ADF"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Representante legal y Coordinador de proyectos</w:t>
            </w:r>
          </w:p>
        </w:tc>
      </w:tr>
      <w:tr w:rsidR="000E24F5" w:rsidRPr="007923C2" w14:paraId="3546C3A1"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0349046C"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17</w:t>
            </w:r>
          </w:p>
        </w:tc>
        <w:tc>
          <w:tcPr>
            <w:tcW w:w="0" w:type="auto"/>
            <w:gridSpan w:val="2"/>
            <w:tcBorders>
              <w:top w:val="single" w:sz="4" w:space="0" w:color="auto"/>
              <w:left w:val="single" w:sz="4" w:space="0" w:color="auto"/>
              <w:bottom w:val="single" w:sz="4" w:space="0" w:color="auto"/>
              <w:right w:val="single" w:sz="4" w:space="0" w:color="auto"/>
            </w:tcBorders>
          </w:tcPr>
          <w:p w14:paraId="233B4EB2"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Auxiliar de Sanidad Vegetal</w:t>
            </w:r>
          </w:p>
        </w:tc>
      </w:tr>
      <w:tr w:rsidR="000E24F5" w:rsidRPr="007923C2" w14:paraId="7EA04B3B" w14:textId="77777777"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14:paraId="76CBD479"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18</w:t>
            </w:r>
          </w:p>
        </w:tc>
        <w:tc>
          <w:tcPr>
            <w:tcW w:w="0" w:type="auto"/>
            <w:gridSpan w:val="2"/>
            <w:tcBorders>
              <w:top w:val="single" w:sz="4" w:space="0" w:color="auto"/>
              <w:left w:val="single" w:sz="4" w:space="0" w:color="auto"/>
              <w:bottom w:val="single" w:sz="4" w:space="0" w:color="auto"/>
              <w:right w:val="single" w:sz="4" w:space="0" w:color="auto"/>
            </w:tcBorders>
          </w:tcPr>
          <w:p w14:paraId="04A30FC2"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Asesora Técnica</w:t>
            </w:r>
          </w:p>
        </w:tc>
      </w:tr>
      <w:tr w:rsidR="000E24F5" w:rsidRPr="007923C2" w14:paraId="01AB2996"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66731AC1"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19</w:t>
            </w:r>
          </w:p>
        </w:tc>
        <w:tc>
          <w:tcPr>
            <w:tcW w:w="0" w:type="auto"/>
            <w:gridSpan w:val="2"/>
            <w:tcBorders>
              <w:top w:val="single" w:sz="4" w:space="0" w:color="auto"/>
              <w:left w:val="single" w:sz="4" w:space="0" w:color="auto"/>
              <w:bottom w:val="single" w:sz="4" w:space="0" w:color="auto"/>
              <w:right w:val="single" w:sz="4" w:space="0" w:color="auto"/>
            </w:tcBorders>
          </w:tcPr>
          <w:p w14:paraId="68D655EC"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Facilitador de campo</w:t>
            </w:r>
          </w:p>
        </w:tc>
      </w:tr>
      <w:tr w:rsidR="000E24F5" w:rsidRPr="007923C2" w14:paraId="1B8BC381"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1E6713B8"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20</w:t>
            </w:r>
          </w:p>
        </w:tc>
        <w:tc>
          <w:tcPr>
            <w:tcW w:w="0" w:type="auto"/>
            <w:gridSpan w:val="2"/>
            <w:tcBorders>
              <w:top w:val="single" w:sz="4" w:space="0" w:color="auto"/>
              <w:left w:val="single" w:sz="4" w:space="0" w:color="auto"/>
              <w:bottom w:val="single" w:sz="4" w:space="0" w:color="auto"/>
              <w:right w:val="single" w:sz="4" w:space="0" w:color="auto"/>
            </w:tcBorders>
          </w:tcPr>
          <w:p w14:paraId="736C4479"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Investigador</w:t>
            </w:r>
          </w:p>
        </w:tc>
      </w:tr>
      <w:tr w:rsidR="000E24F5" w:rsidRPr="007923C2" w14:paraId="365643B2" w14:textId="77777777"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14:paraId="5BD7F4EB"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21</w:t>
            </w:r>
          </w:p>
        </w:tc>
        <w:tc>
          <w:tcPr>
            <w:tcW w:w="0" w:type="auto"/>
            <w:gridSpan w:val="2"/>
            <w:tcBorders>
              <w:top w:val="single" w:sz="4" w:space="0" w:color="auto"/>
              <w:left w:val="single" w:sz="4" w:space="0" w:color="auto"/>
              <w:bottom w:val="single" w:sz="4" w:space="0" w:color="auto"/>
              <w:right w:val="single" w:sz="4" w:space="0" w:color="auto"/>
            </w:tcBorders>
          </w:tcPr>
          <w:p w14:paraId="06DBB909"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Técnico</w:t>
            </w:r>
          </w:p>
        </w:tc>
      </w:tr>
      <w:tr w:rsidR="000E24F5" w:rsidRPr="007923C2" w14:paraId="5CE9B439"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266FCAB3"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22</w:t>
            </w:r>
          </w:p>
        </w:tc>
        <w:tc>
          <w:tcPr>
            <w:tcW w:w="0" w:type="auto"/>
            <w:tcBorders>
              <w:top w:val="single" w:sz="4" w:space="0" w:color="auto"/>
              <w:left w:val="single" w:sz="4" w:space="0" w:color="auto"/>
              <w:bottom w:val="single" w:sz="4" w:space="0" w:color="auto"/>
              <w:right w:val="nil"/>
            </w:tcBorders>
          </w:tcPr>
          <w:p w14:paraId="29BFEFFF" w14:textId="77777777"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14:paraId="4366E19A" w14:textId="77777777" w:rsidR="000E24F5" w:rsidRPr="007923C2" w:rsidRDefault="000E24F5" w:rsidP="0030772E">
            <w:pPr>
              <w:jc w:val="both"/>
              <w:rPr>
                <w:rFonts w:ascii="Arial" w:hAnsi="Arial" w:cs="Arial"/>
                <w:sz w:val="22"/>
                <w:szCs w:val="22"/>
              </w:rPr>
            </w:pPr>
          </w:p>
        </w:tc>
      </w:tr>
      <w:tr w:rsidR="000E24F5" w:rsidRPr="007923C2" w14:paraId="57999C70"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0CB3E266"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23</w:t>
            </w:r>
          </w:p>
        </w:tc>
        <w:tc>
          <w:tcPr>
            <w:tcW w:w="0" w:type="auto"/>
            <w:tcBorders>
              <w:top w:val="single" w:sz="4" w:space="0" w:color="auto"/>
              <w:left w:val="single" w:sz="4" w:space="0" w:color="auto"/>
              <w:bottom w:val="single" w:sz="4" w:space="0" w:color="auto"/>
              <w:right w:val="nil"/>
            </w:tcBorders>
          </w:tcPr>
          <w:p w14:paraId="6C0127E9" w14:textId="77777777"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14:paraId="03651314" w14:textId="77777777" w:rsidR="000E24F5" w:rsidRPr="007923C2" w:rsidRDefault="000E24F5" w:rsidP="0030772E">
            <w:pPr>
              <w:jc w:val="both"/>
              <w:rPr>
                <w:rFonts w:ascii="Arial" w:hAnsi="Arial" w:cs="Arial"/>
                <w:sz w:val="22"/>
                <w:szCs w:val="22"/>
              </w:rPr>
            </w:pPr>
          </w:p>
        </w:tc>
      </w:tr>
      <w:tr w:rsidR="000E24F5" w:rsidRPr="007923C2" w14:paraId="46F48E19" w14:textId="77777777"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14:paraId="3B135B0A"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24</w:t>
            </w:r>
          </w:p>
        </w:tc>
        <w:tc>
          <w:tcPr>
            <w:tcW w:w="0" w:type="auto"/>
            <w:tcBorders>
              <w:top w:val="single" w:sz="4" w:space="0" w:color="auto"/>
              <w:left w:val="single" w:sz="4" w:space="0" w:color="auto"/>
              <w:bottom w:val="single" w:sz="4" w:space="0" w:color="auto"/>
              <w:right w:val="nil"/>
            </w:tcBorders>
          </w:tcPr>
          <w:p w14:paraId="70986D1D" w14:textId="77777777"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14:paraId="229EF39D" w14:textId="77777777" w:rsidR="000E24F5" w:rsidRPr="007923C2" w:rsidRDefault="000E24F5" w:rsidP="0030772E">
            <w:pPr>
              <w:jc w:val="both"/>
              <w:rPr>
                <w:rFonts w:ascii="Arial" w:hAnsi="Arial" w:cs="Arial"/>
                <w:sz w:val="22"/>
                <w:szCs w:val="22"/>
              </w:rPr>
            </w:pPr>
          </w:p>
        </w:tc>
      </w:tr>
      <w:tr w:rsidR="000E24F5" w:rsidRPr="007923C2" w14:paraId="4B2FBD39"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2EFC3A89"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25</w:t>
            </w:r>
          </w:p>
        </w:tc>
        <w:tc>
          <w:tcPr>
            <w:tcW w:w="0" w:type="auto"/>
            <w:gridSpan w:val="2"/>
            <w:tcBorders>
              <w:top w:val="single" w:sz="4" w:space="0" w:color="auto"/>
              <w:left w:val="single" w:sz="4" w:space="0" w:color="auto"/>
              <w:bottom w:val="single" w:sz="4" w:space="0" w:color="auto"/>
              <w:right w:val="single" w:sz="4" w:space="0" w:color="auto"/>
            </w:tcBorders>
          </w:tcPr>
          <w:p w14:paraId="1D5E715D"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Técnico de Restauración</w:t>
            </w:r>
          </w:p>
        </w:tc>
      </w:tr>
      <w:tr w:rsidR="000E24F5" w:rsidRPr="007923C2" w14:paraId="1EBFC0B3"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017B15A4"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26</w:t>
            </w:r>
          </w:p>
        </w:tc>
        <w:tc>
          <w:tcPr>
            <w:tcW w:w="0" w:type="auto"/>
            <w:tcBorders>
              <w:top w:val="single" w:sz="4" w:space="0" w:color="auto"/>
              <w:left w:val="single" w:sz="4" w:space="0" w:color="auto"/>
              <w:bottom w:val="single" w:sz="4" w:space="0" w:color="auto"/>
              <w:right w:val="nil"/>
            </w:tcBorders>
          </w:tcPr>
          <w:p w14:paraId="69F9F790" w14:textId="77777777"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14:paraId="359B37FD" w14:textId="77777777" w:rsidR="000E24F5" w:rsidRPr="007923C2" w:rsidRDefault="000E24F5" w:rsidP="0030772E">
            <w:pPr>
              <w:jc w:val="both"/>
              <w:rPr>
                <w:rFonts w:ascii="Arial" w:hAnsi="Arial" w:cs="Arial"/>
                <w:sz w:val="22"/>
                <w:szCs w:val="22"/>
              </w:rPr>
            </w:pPr>
          </w:p>
        </w:tc>
      </w:tr>
      <w:tr w:rsidR="000E24F5" w:rsidRPr="007923C2" w14:paraId="4AF21A9F" w14:textId="77777777"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14:paraId="3D505A0F"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27</w:t>
            </w:r>
          </w:p>
        </w:tc>
        <w:tc>
          <w:tcPr>
            <w:tcW w:w="0" w:type="auto"/>
            <w:gridSpan w:val="2"/>
            <w:tcBorders>
              <w:top w:val="single" w:sz="4" w:space="0" w:color="auto"/>
              <w:left w:val="single" w:sz="4" w:space="0" w:color="auto"/>
              <w:bottom w:val="single" w:sz="4" w:space="0" w:color="auto"/>
              <w:right w:val="single" w:sz="4" w:space="0" w:color="auto"/>
            </w:tcBorders>
          </w:tcPr>
          <w:p w14:paraId="4E9BD2C8"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Asesor técnico</w:t>
            </w:r>
          </w:p>
        </w:tc>
      </w:tr>
      <w:tr w:rsidR="000E24F5" w:rsidRPr="007923C2" w14:paraId="11642D04"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44F4290B"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28</w:t>
            </w:r>
          </w:p>
        </w:tc>
        <w:tc>
          <w:tcPr>
            <w:tcW w:w="0" w:type="auto"/>
            <w:gridSpan w:val="2"/>
            <w:tcBorders>
              <w:top w:val="single" w:sz="4" w:space="0" w:color="auto"/>
              <w:left w:val="single" w:sz="4" w:space="0" w:color="auto"/>
              <w:bottom w:val="single" w:sz="4" w:space="0" w:color="auto"/>
              <w:right w:val="single" w:sz="4" w:space="0" w:color="auto"/>
            </w:tcBorders>
          </w:tcPr>
          <w:p w14:paraId="65D75852"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Técnico de Campo</w:t>
            </w:r>
          </w:p>
        </w:tc>
      </w:tr>
      <w:tr w:rsidR="000E24F5" w:rsidRPr="007923C2" w14:paraId="788FD1BE"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4B1FA328"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29</w:t>
            </w:r>
          </w:p>
        </w:tc>
        <w:tc>
          <w:tcPr>
            <w:tcW w:w="0" w:type="auto"/>
            <w:tcBorders>
              <w:top w:val="single" w:sz="4" w:space="0" w:color="auto"/>
              <w:left w:val="single" w:sz="4" w:space="0" w:color="auto"/>
              <w:bottom w:val="single" w:sz="4" w:space="0" w:color="auto"/>
              <w:right w:val="nil"/>
            </w:tcBorders>
          </w:tcPr>
          <w:p w14:paraId="17C311EC" w14:textId="77777777"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14:paraId="31933CCA" w14:textId="77777777" w:rsidR="000E24F5" w:rsidRPr="007923C2" w:rsidRDefault="000E24F5" w:rsidP="0030772E">
            <w:pPr>
              <w:jc w:val="both"/>
              <w:rPr>
                <w:rFonts w:ascii="Arial" w:hAnsi="Arial" w:cs="Arial"/>
                <w:sz w:val="22"/>
                <w:szCs w:val="22"/>
              </w:rPr>
            </w:pPr>
          </w:p>
        </w:tc>
      </w:tr>
      <w:tr w:rsidR="000E24F5" w:rsidRPr="007923C2" w14:paraId="4B679684" w14:textId="77777777"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14:paraId="406E675A"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30</w:t>
            </w:r>
          </w:p>
        </w:tc>
        <w:tc>
          <w:tcPr>
            <w:tcW w:w="0" w:type="auto"/>
            <w:gridSpan w:val="2"/>
            <w:tcBorders>
              <w:top w:val="single" w:sz="4" w:space="0" w:color="auto"/>
              <w:left w:val="single" w:sz="4" w:space="0" w:color="auto"/>
              <w:bottom w:val="single" w:sz="4" w:space="0" w:color="auto"/>
              <w:right w:val="single" w:sz="4" w:space="0" w:color="auto"/>
            </w:tcBorders>
          </w:tcPr>
          <w:p w14:paraId="667FAEF3"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Maestro</w:t>
            </w:r>
          </w:p>
        </w:tc>
      </w:tr>
      <w:tr w:rsidR="000E24F5" w:rsidRPr="007923C2" w14:paraId="44CFEC0A"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6006118E"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31</w:t>
            </w:r>
          </w:p>
        </w:tc>
        <w:tc>
          <w:tcPr>
            <w:tcW w:w="0" w:type="auto"/>
            <w:tcBorders>
              <w:top w:val="single" w:sz="4" w:space="0" w:color="auto"/>
              <w:left w:val="single" w:sz="4" w:space="0" w:color="auto"/>
              <w:bottom w:val="single" w:sz="4" w:space="0" w:color="auto"/>
              <w:right w:val="nil"/>
            </w:tcBorders>
          </w:tcPr>
          <w:p w14:paraId="63DC58FD" w14:textId="77777777"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14:paraId="174ECB0A" w14:textId="77777777" w:rsidR="000E24F5" w:rsidRPr="007923C2" w:rsidRDefault="000E24F5" w:rsidP="0030772E">
            <w:pPr>
              <w:jc w:val="both"/>
              <w:rPr>
                <w:rFonts w:ascii="Arial" w:hAnsi="Arial" w:cs="Arial"/>
                <w:sz w:val="22"/>
                <w:szCs w:val="22"/>
              </w:rPr>
            </w:pPr>
          </w:p>
        </w:tc>
      </w:tr>
      <w:tr w:rsidR="000E24F5" w:rsidRPr="007923C2" w14:paraId="755175B8"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779F1851"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32</w:t>
            </w:r>
          </w:p>
        </w:tc>
        <w:tc>
          <w:tcPr>
            <w:tcW w:w="0" w:type="auto"/>
            <w:gridSpan w:val="2"/>
            <w:tcBorders>
              <w:top w:val="single" w:sz="4" w:space="0" w:color="auto"/>
              <w:left w:val="single" w:sz="4" w:space="0" w:color="auto"/>
              <w:bottom w:val="single" w:sz="4" w:space="0" w:color="auto"/>
              <w:right w:val="single" w:sz="4" w:space="0" w:color="auto"/>
            </w:tcBorders>
          </w:tcPr>
          <w:p w14:paraId="2D74CFB7"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Propietario</w:t>
            </w:r>
          </w:p>
        </w:tc>
      </w:tr>
      <w:tr w:rsidR="000E24F5" w:rsidRPr="007923C2" w14:paraId="7FD96035" w14:textId="77777777"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14:paraId="511E16AB"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33</w:t>
            </w:r>
          </w:p>
        </w:tc>
        <w:tc>
          <w:tcPr>
            <w:tcW w:w="0" w:type="auto"/>
            <w:gridSpan w:val="2"/>
            <w:tcBorders>
              <w:top w:val="single" w:sz="4" w:space="0" w:color="auto"/>
              <w:left w:val="single" w:sz="4" w:space="0" w:color="auto"/>
              <w:bottom w:val="single" w:sz="4" w:space="0" w:color="auto"/>
              <w:right w:val="single" w:sz="4" w:space="0" w:color="auto"/>
            </w:tcBorders>
          </w:tcPr>
          <w:p w14:paraId="0A587DA9"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Maestro</w:t>
            </w:r>
          </w:p>
        </w:tc>
      </w:tr>
      <w:tr w:rsidR="000E24F5" w:rsidRPr="007923C2" w14:paraId="2C550873"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514CCAB6"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lastRenderedPageBreak/>
              <w:t>Alumno 34</w:t>
            </w:r>
          </w:p>
        </w:tc>
        <w:tc>
          <w:tcPr>
            <w:tcW w:w="0" w:type="auto"/>
            <w:gridSpan w:val="2"/>
            <w:tcBorders>
              <w:top w:val="single" w:sz="4" w:space="0" w:color="auto"/>
              <w:left w:val="single" w:sz="4" w:space="0" w:color="auto"/>
              <w:bottom w:val="single" w:sz="4" w:space="0" w:color="auto"/>
              <w:right w:val="single" w:sz="4" w:space="0" w:color="auto"/>
            </w:tcBorders>
          </w:tcPr>
          <w:p w14:paraId="0A0992E5"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Analista</w:t>
            </w:r>
          </w:p>
        </w:tc>
      </w:tr>
      <w:tr w:rsidR="000E24F5" w:rsidRPr="007923C2" w14:paraId="176641C1" w14:textId="77777777"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14:paraId="5531F287" w14:textId="77777777" w:rsidR="000E24F5" w:rsidRPr="007923C2" w:rsidRDefault="000E24F5" w:rsidP="0030772E">
            <w:pPr>
              <w:jc w:val="both"/>
              <w:rPr>
                <w:rFonts w:ascii="Arial" w:hAnsi="Arial" w:cs="Arial"/>
                <w:sz w:val="22"/>
                <w:szCs w:val="22"/>
              </w:rPr>
            </w:pPr>
            <w:r w:rsidRPr="007923C2">
              <w:rPr>
                <w:rFonts w:ascii="Arial" w:hAnsi="Arial" w:cs="Arial"/>
                <w:sz w:val="22"/>
                <w:szCs w:val="22"/>
              </w:rPr>
              <w:t>Alumno 35</w:t>
            </w:r>
          </w:p>
        </w:tc>
        <w:tc>
          <w:tcPr>
            <w:tcW w:w="0" w:type="auto"/>
            <w:tcBorders>
              <w:top w:val="single" w:sz="4" w:space="0" w:color="auto"/>
              <w:left w:val="single" w:sz="4" w:space="0" w:color="auto"/>
              <w:bottom w:val="single" w:sz="4" w:space="0" w:color="auto"/>
              <w:right w:val="nil"/>
            </w:tcBorders>
          </w:tcPr>
          <w:p w14:paraId="7831FB35" w14:textId="77777777"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14:paraId="307F1C1D" w14:textId="77777777" w:rsidR="000E24F5" w:rsidRPr="007923C2" w:rsidRDefault="000E24F5" w:rsidP="0030772E">
            <w:pPr>
              <w:jc w:val="both"/>
              <w:rPr>
                <w:rFonts w:ascii="Arial" w:hAnsi="Arial" w:cs="Arial"/>
                <w:sz w:val="22"/>
                <w:szCs w:val="22"/>
              </w:rPr>
            </w:pPr>
          </w:p>
        </w:tc>
      </w:tr>
    </w:tbl>
    <w:p w14:paraId="48F54BF3" w14:textId="77777777" w:rsidR="000E24F5" w:rsidRPr="007923C2" w:rsidRDefault="000E24F5" w:rsidP="000E24F5">
      <w:pPr>
        <w:jc w:val="both"/>
        <w:rPr>
          <w:rFonts w:ascii="Arial" w:hAnsi="Arial" w:cs="Arial"/>
          <w:sz w:val="22"/>
          <w:szCs w:val="22"/>
        </w:rPr>
      </w:pPr>
    </w:p>
    <w:p w14:paraId="056F8405" w14:textId="77777777" w:rsidR="00AE1BF8" w:rsidRPr="007923C2" w:rsidRDefault="00AE1BF8" w:rsidP="00AE1BF8">
      <w:pPr>
        <w:jc w:val="both"/>
        <w:rPr>
          <w:rFonts w:ascii="Arial" w:hAnsi="Arial" w:cs="Arial"/>
          <w:sz w:val="22"/>
          <w:szCs w:val="22"/>
        </w:rPr>
      </w:pPr>
      <w:r w:rsidRPr="007923C2">
        <w:rPr>
          <w:rFonts w:ascii="Arial" w:hAnsi="Arial" w:cs="Arial"/>
          <w:sz w:val="22"/>
          <w:szCs w:val="22"/>
        </w:rPr>
        <w:t>Tiempo en conseguir su primer empleo</w:t>
      </w:r>
    </w:p>
    <w:p w14:paraId="22286605" w14:textId="77777777" w:rsidR="00AE1BF8" w:rsidRPr="007923C2" w:rsidRDefault="00AE1BF8" w:rsidP="00AE1BF8">
      <w:pPr>
        <w:jc w:val="both"/>
        <w:rPr>
          <w:rFonts w:ascii="Arial" w:hAnsi="Arial" w:cs="Arial"/>
          <w:sz w:val="22"/>
          <w:szCs w:val="22"/>
        </w:rPr>
      </w:pPr>
      <w:r w:rsidRPr="007923C2">
        <w:rPr>
          <w:rFonts w:ascii="Arial" w:hAnsi="Arial" w:cs="Arial"/>
          <w:sz w:val="22"/>
          <w:szCs w:val="22"/>
        </w:rPr>
        <w:t>44.44% de los entrevistados que están laborando comentaron que tardaron menos de un mes después de egresados para incorporarse en el mercado laboral.</w:t>
      </w:r>
    </w:p>
    <w:tbl>
      <w:tblPr>
        <w:tblW w:w="9840" w:type="dxa"/>
        <w:tblLayout w:type="fixed"/>
        <w:tblCellMar>
          <w:left w:w="0" w:type="dxa"/>
          <w:right w:w="0" w:type="dxa"/>
        </w:tblCellMar>
        <w:tblLook w:val="0000" w:firstRow="0" w:lastRow="0" w:firstColumn="0" w:lastColumn="0" w:noHBand="0" w:noVBand="0"/>
      </w:tblPr>
      <w:tblGrid>
        <w:gridCol w:w="1120"/>
        <w:gridCol w:w="8720"/>
      </w:tblGrid>
      <w:tr w:rsidR="004220B7" w:rsidRPr="007923C2" w14:paraId="6B1199A8" w14:textId="77777777" w:rsidTr="001B00D6">
        <w:trPr>
          <w:trHeight w:val="184"/>
        </w:trPr>
        <w:tc>
          <w:tcPr>
            <w:tcW w:w="1120" w:type="dxa"/>
            <w:tcBorders>
              <w:top w:val="nil"/>
              <w:left w:val="nil"/>
              <w:bottom w:val="nil"/>
              <w:right w:val="nil"/>
            </w:tcBorders>
            <w:vAlign w:val="bottom"/>
          </w:tcPr>
          <w:p w14:paraId="3117FD9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Clave 1 ...</w:t>
            </w:r>
          </w:p>
        </w:tc>
        <w:tc>
          <w:tcPr>
            <w:tcW w:w="8720" w:type="dxa"/>
            <w:tcBorders>
              <w:top w:val="nil"/>
              <w:left w:val="nil"/>
              <w:bottom w:val="nil"/>
              <w:right w:val="nil"/>
            </w:tcBorders>
            <w:vAlign w:val="bottom"/>
          </w:tcPr>
          <w:p w14:paraId="006984A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¿Cuánto tiempo tardó en conseguir su primer empleo?</w:t>
            </w:r>
          </w:p>
        </w:tc>
      </w:tr>
      <w:tr w:rsidR="004220B7" w:rsidRPr="007923C2" w14:paraId="42426549" w14:textId="77777777" w:rsidTr="001B00D6">
        <w:trPr>
          <w:trHeight w:val="238"/>
        </w:trPr>
        <w:tc>
          <w:tcPr>
            <w:tcW w:w="1120" w:type="dxa"/>
            <w:tcBorders>
              <w:top w:val="nil"/>
              <w:left w:val="nil"/>
              <w:bottom w:val="nil"/>
              <w:right w:val="nil"/>
            </w:tcBorders>
            <w:vAlign w:val="bottom"/>
          </w:tcPr>
          <w:p w14:paraId="1D40B05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w:t>
            </w:r>
          </w:p>
        </w:tc>
        <w:tc>
          <w:tcPr>
            <w:tcW w:w="8720" w:type="dxa"/>
            <w:tcBorders>
              <w:top w:val="nil"/>
              <w:left w:val="nil"/>
              <w:bottom w:val="nil"/>
              <w:right w:val="nil"/>
            </w:tcBorders>
            <w:vAlign w:val="bottom"/>
          </w:tcPr>
          <w:p w14:paraId="55B956C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Dos años</w:t>
            </w:r>
          </w:p>
        </w:tc>
      </w:tr>
      <w:tr w:rsidR="004220B7" w:rsidRPr="007923C2" w14:paraId="22E4E6C3" w14:textId="77777777" w:rsidTr="001B00D6">
        <w:trPr>
          <w:trHeight w:val="185"/>
        </w:trPr>
        <w:tc>
          <w:tcPr>
            <w:tcW w:w="1120" w:type="dxa"/>
            <w:tcBorders>
              <w:top w:val="nil"/>
              <w:left w:val="nil"/>
              <w:bottom w:val="nil"/>
              <w:right w:val="nil"/>
            </w:tcBorders>
            <w:vAlign w:val="bottom"/>
          </w:tcPr>
          <w:p w14:paraId="0834715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w:t>
            </w:r>
          </w:p>
        </w:tc>
        <w:tc>
          <w:tcPr>
            <w:tcW w:w="8720" w:type="dxa"/>
            <w:tcBorders>
              <w:top w:val="nil"/>
              <w:left w:val="nil"/>
              <w:bottom w:val="nil"/>
              <w:right w:val="nil"/>
            </w:tcBorders>
            <w:vAlign w:val="bottom"/>
          </w:tcPr>
          <w:p w14:paraId="5EEC1B6C"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Cuatro meses</w:t>
            </w:r>
          </w:p>
        </w:tc>
      </w:tr>
      <w:tr w:rsidR="004220B7" w:rsidRPr="007923C2" w14:paraId="4F8AB3B6" w14:textId="77777777" w:rsidTr="001B00D6">
        <w:trPr>
          <w:trHeight w:val="185"/>
        </w:trPr>
        <w:tc>
          <w:tcPr>
            <w:tcW w:w="1120" w:type="dxa"/>
            <w:tcBorders>
              <w:top w:val="nil"/>
              <w:left w:val="nil"/>
              <w:bottom w:val="nil"/>
              <w:right w:val="nil"/>
            </w:tcBorders>
            <w:vAlign w:val="bottom"/>
          </w:tcPr>
          <w:p w14:paraId="4275893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w:t>
            </w:r>
          </w:p>
        </w:tc>
        <w:tc>
          <w:tcPr>
            <w:tcW w:w="8720" w:type="dxa"/>
            <w:tcBorders>
              <w:top w:val="nil"/>
              <w:left w:val="nil"/>
              <w:bottom w:val="nil"/>
              <w:right w:val="nil"/>
            </w:tcBorders>
            <w:vAlign w:val="bottom"/>
          </w:tcPr>
          <w:p w14:paraId="321E4D5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Una semana</w:t>
            </w:r>
          </w:p>
        </w:tc>
      </w:tr>
      <w:tr w:rsidR="004220B7" w:rsidRPr="007923C2" w14:paraId="257DB060" w14:textId="77777777" w:rsidTr="001B00D6">
        <w:trPr>
          <w:trHeight w:val="183"/>
        </w:trPr>
        <w:tc>
          <w:tcPr>
            <w:tcW w:w="1120" w:type="dxa"/>
            <w:tcBorders>
              <w:top w:val="nil"/>
              <w:left w:val="nil"/>
              <w:bottom w:val="nil"/>
              <w:right w:val="nil"/>
            </w:tcBorders>
            <w:vAlign w:val="bottom"/>
          </w:tcPr>
          <w:p w14:paraId="171D3F8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4</w:t>
            </w:r>
          </w:p>
        </w:tc>
        <w:tc>
          <w:tcPr>
            <w:tcW w:w="8720" w:type="dxa"/>
            <w:tcBorders>
              <w:top w:val="nil"/>
              <w:left w:val="nil"/>
              <w:bottom w:val="nil"/>
              <w:right w:val="nil"/>
            </w:tcBorders>
            <w:vAlign w:val="bottom"/>
          </w:tcPr>
          <w:p w14:paraId="581B2C4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Tres Años</w:t>
            </w:r>
          </w:p>
        </w:tc>
      </w:tr>
      <w:tr w:rsidR="004220B7" w:rsidRPr="007923C2" w14:paraId="1E80AB23" w14:textId="77777777" w:rsidTr="001B00D6">
        <w:trPr>
          <w:trHeight w:val="185"/>
        </w:trPr>
        <w:tc>
          <w:tcPr>
            <w:tcW w:w="1120" w:type="dxa"/>
            <w:tcBorders>
              <w:top w:val="nil"/>
              <w:left w:val="nil"/>
              <w:bottom w:val="nil"/>
              <w:right w:val="nil"/>
            </w:tcBorders>
            <w:vAlign w:val="bottom"/>
          </w:tcPr>
          <w:p w14:paraId="61E428E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5</w:t>
            </w:r>
          </w:p>
        </w:tc>
        <w:tc>
          <w:tcPr>
            <w:tcW w:w="8720" w:type="dxa"/>
            <w:tcBorders>
              <w:top w:val="nil"/>
              <w:left w:val="nil"/>
              <w:bottom w:val="nil"/>
              <w:right w:val="nil"/>
            </w:tcBorders>
            <w:vAlign w:val="bottom"/>
          </w:tcPr>
          <w:p w14:paraId="0901A0C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Dos años</w:t>
            </w:r>
          </w:p>
        </w:tc>
      </w:tr>
      <w:tr w:rsidR="004220B7" w:rsidRPr="007923C2" w14:paraId="7D726A31" w14:textId="77777777" w:rsidTr="001B00D6">
        <w:trPr>
          <w:trHeight w:val="185"/>
        </w:trPr>
        <w:tc>
          <w:tcPr>
            <w:tcW w:w="1120" w:type="dxa"/>
            <w:tcBorders>
              <w:top w:val="nil"/>
              <w:left w:val="nil"/>
              <w:bottom w:val="nil"/>
              <w:right w:val="nil"/>
            </w:tcBorders>
            <w:vAlign w:val="bottom"/>
          </w:tcPr>
          <w:p w14:paraId="493218D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6</w:t>
            </w:r>
          </w:p>
        </w:tc>
        <w:tc>
          <w:tcPr>
            <w:tcW w:w="8720" w:type="dxa"/>
            <w:tcBorders>
              <w:top w:val="nil"/>
              <w:left w:val="nil"/>
              <w:bottom w:val="nil"/>
              <w:right w:val="nil"/>
            </w:tcBorders>
            <w:vAlign w:val="bottom"/>
          </w:tcPr>
          <w:p w14:paraId="21EF894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Una semana</w:t>
            </w:r>
          </w:p>
        </w:tc>
      </w:tr>
      <w:tr w:rsidR="004220B7" w:rsidRPr="007923C2" w14:paraId="5E684391" w14:textId="77777777" w:rsidTr="001B00D6">
        <w:trPr>
          <w:trHeight w:val="182"/>
        </w:trPr>
        <w:tc>
          <w:tcPr>
            <w:tcW w:w="1120" w:type="dxa"/>
            <w:tcBorders>
              <w:top w:val="nil"/>
              <w:left w:val="nil"/>
              <w:bottom w:val="nil"/>
              <w:right w:val="nil"/>
            </w:tcBorders>
            <w:vAlign w:val="bottom"/>
          </w:tcPr>
          <w:p w14:paraId="2960CE3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7</w:t>
            </w:r>
          </w:p>
        </w:tc>
        <w:tc>
          <w:tcPr>
            <w:tcW w:w="8720" w:type="dxa"/>
            <w:tcBorders>
              <w:top w:val="nil"/>
              <w:left w:val="nil"/>
              <w:bottom w:val="nil"/>
              <w:right w:val="nil"/>
            </w:tcBorders>
            <w:vAlign w:val="bottom"/>
          </w:tcPr>
          <w:p w14:paraId="01D4DE7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Cuatro meses</w:t>
            </w:r>
          </w:p>
        </w:tc>
      </w:tr>
      <w:tr w:rsidR="004220B7" w:rsidRPr="007923C2" w14:paraId="63C9A2A7" w14:textId="77777777" w:rsidTr="001B00D6">
        <w:trPr>
          <w:trHeight w:val="185"/>
        </w:trPr>
        <w:tc>
          <w:tcPr>
            <w:tcW w:w="1120" w:type="dxa"/>
            <w:tcBorders>
              <w:top w:val="nil"/>
              <w:left w:val="nil"/>
              <w:bottom w:val="nil"/>
              <w:right w:val="nil"/>
            </w:tcBorders>
            <w:vAlign w:val="bottom"/>
          </w:tcPr>
          <w:p w14:paraId="60F4E99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8</w:t>
            </w:r>
          </w:p>
        </w:tc>
        <w:tc>
          <w:tcPr>
            <w:tcW w:w="8720" w:type="dxa"/>
            <w:tcBorders>
              <w:top w:val="nil"/>
              <w:left w:val="nil"/>
              <w:bottom w:val="nil"/>
              <w:right w:val="nil"/>
            </w:tcBorders>
            <w:vAlign w:val="bottom"/>
          </w:tcPr>
          <w:p w14:paraId="2EB152F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Un mes</w:t>
            </w:r>
          </w:p>
        </w:tc>
      </w:tr>
      <w:tr w:rsidR="004220B7" w:rsidRPr="007923C2" w14:paraId="2D4668EC" w14:textId="77777777" w:rsidTr="001B00D6">
        <w:trPr>
          <w:trHeight w:val="185"/>
        </w:trPr>
        <w:tc>
          <w:tcPr>
            <w:tcW w:w="1120" w:type="dxa"/>
            <w:tcBorders>
              <w:top w:val="nil"/>
              <w:left w:val="nil"/>
              <w:bottom w:val="nil"/>
              <w:right w:val="nil"/>
            </w:tcBorders>
            <w:vAlign w:val="bottom"/>
          </w:tcPr>
          <w:p w14:paraId="4971CC5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9</w:t>
            </w:r>
          </w:p>
        </w:tc>
        <w:tc>
          <w:tcPr>
            <w:tcW w:w="8720" w:type="dxa"/>
            <w:tcBorders>
              <w:top w:val="nil"/>
              <w:left w:val="nil"/>
              <w:bottom w:val="nil"/>
              <w:right w:val="nil"/>
            </w:tcBorders>
            <w:vAlign w:val="bottom"/>
          </w:tcPr>
          <w:p w14:paraId="2DB9001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Un mes</w:t>
            </w:r>
          </w:p>
        </w:tc>
      </w:tr>
      <w:tr w:rsidR="004220B7" w:rsidRPr="007923C2" w14:paraId="760B4B16" w14:textId="77777777" w:rsidTr="001B00D6">
        <w:trPr>
          <w:trHeight w:val="182"/>
        </w:trPr>
        <w:tc>
          <w:tcPr>
            <w:tcW w:w="1120" w:type="dxa"/>
            <w:tcBorders>
              <w:top w:val="nil"/>
              <w:left w:val="nil"/>
              <w:bottom w:val="nil"/>
              <w:right w:val="nil"/>
            </w:tcBorders>
            <w:vAlign w:val="bottom"/>
          </w:tcPr>
          <w:p w14:paraId="0134006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10</w:t>
            </w:r>
          </w:p>
        </w:tc>
        <w:tc>
          <w:tcPr>
            <w:tcW w:w="8720" w:type="dxa"/>
            <w:tcBorders>
              <w:top w:val="nil"/>
              <w:left w:val="nil"/>
              <w:bottom w:val="nil"/>
              <w:right w:val="nil"/>
            </w:tcBorders>
            <w:vAlign w:val="bottom"/>
          </w:tcPr>
          <w:p w14:paraId="43001AA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Tres meses</w:t>
            </w:r>
          </w:p>
        </w:tc>
      </w:tr>
      <w:tr w:rsidR="004220B7" w:rsidRPr="007923C2" w14:paraId="3793AD56" w14:textId="77777777" w:rsidTr="001B00D6">
        <w:trPr>
          <w:trHeight w:val="185"/>
        </w:trPr>
        <w:tc>
          <w:tcPr>
            <w:tcW w:w="1120" w:type="dxa"/>
            <w:tcBorders>
              <w:top w:val="nil"/>
              <w:left w:val="nil"/>
              <w:bottom w:val="nil"/>
              <w:right w:val="nil"/>
            </w:tcBorders>
            <w:vAlign w:val="bottom"/>
          </w:tcPr>
          <w:p w14:paraId="2A4C8F2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11</w:t>
            </w:r>
          </w:p>
        </w:tc>
        <w:tc>
          <w:tcPr>
            <w:tcW w:w="8720" w:type="dxa"/>
            <w:tcBorders>
              <w:top w:val="nil"/>
              <w:left w:val="nil"/>
              <w:bottom w:val="nil"/>
              <w:right w:val="nil"/>
            </w:tcBorders>
            <w:vAlign w:val="bottom"/>
          </w:tcPr>
          <w:p w14:paraId="561D27FB" w14:textId="77777777" w:rsidR="004220B7" w:rsidRPr="007923C2" w:rsidRDefault="004220B7" w:rsidP="0030772E">
            <w:pPr>
              <w:jc w:val="both"/>
              <w:rPr>
                <w:rFonts w:ascii="Arial" w:hAnsi="Arial" w:cs="Arial"/>
                <w:sz w:val="22"/>
                <w:szCs w:val="22"/>
              </w:rPr>
            </w:pPr>
          </w:p>
        </w:tc>
      </w:tr>
      <w:tr w:rsidR="004220B7" w:rsidRPr="007923C2" w14:paraId="07996457" w14:textId="77777777" w:rsidTr="001B00D6">
        <w:trPr>
          <w:trHeight w:val="185"/>
        </w:trPr>
        <w:tc>
          <w:tcPr>
            <w:tcW w:w="1120" w:type="dxa"/>
            <w:tcBorders>
              <w:top w:val="nil"/>
              <w:left w:val="nil"/>
              <w:bottom w:val="nil"/>
              <w:right w:val="nil"/>
            </w:tcBorders>
            <w:vAlign w:val="bottom"/>
          </w:tcPr>
          <w:p w14:paraId="376D9E5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12</w:t>
            </w:r>
          </w:p>
        </w:tc>
        <w:tc>
          <w:tcPr>
            <w:tcW w:w="8720" w:type="dxa"/>
            <w:tcBorders>
              <w:top w:val="nil"/>
              <w:left w:val="nil"/>
              <w:bottom w:val="nil"/>
              <w:right w:val="nil"/>
            </w:tcBorders>
            <w:vAlign w:val="bottom"/>
          </w:tcPr>
          <w:p w14:paraId="035FA714" w14:textId="77777777" w:rsidR="004220B7" w:rsidRPr="007923C2" w:rsidRDefault="004220B7" w:rsidP="0030772E">
            <w:pPr>
              <w:jc w:val="both"/>
              <w:rPr>
                <w:rFonts w:ascii="Arial" w:hAnsi="Arial" w:cs="Arial"/>
                <w:sz w:val="22"/>
                <w:szCs w:val="22"/>
              </w:rPr>
            </w:pPr>
          </w:p>
        </w:tc>
      </w:tr>
      <w:tr w:rsidR="004220B7" w:rsidRPr="007923C2" w14:paraId="1B3E1228" w14:textId="77777777" w:rsidTr="001B00D6">
        <w:trPr>
          <w:trHeight w:val="182"/>
        </w:trPr>
        <w:tc>
          <w:tcPr>
            <w:tcW w:w="1120" w:type="dxa"/>
            <w:tcBorders>
              <w:top w:val="nil"/>
              <w:left w:val="nil"/>
              <w:bottom w:val="nil"/>
              <w:right w:val="nil"/>
            </w:tcBorders>
            <w:vAlign w:val="bottom"/>
          </w:tcPr>
          <w:p w14:paraId="22AB085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13</w:t>
            </w:r>
          </w:p>
        </w:tc>
        <w:tc>
          <w:tcPr>
            <w:tcW w:w="8720" w:type="dxa"/>
            <w:tcBorders>
              <w:top w:val="nil"/>
              <w:left w:val="nil"/>
              <w:bottom w:val="nil"/>
              <w:right w:val="nil"/>
            </w:tcBorders>
            <w:vAlign w:val="bottom"/>
          </w:tcPr>
          <w:p w14:paraId="166AD36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Veinte días</w:t>
            </w:r>
          </w:p>
        </w:tc>
      </w:tr>
      <w:tr w:rsidR="004220B7" w:rsidRPr="007923C2" w14:paraId="70CF9D64" w14:textId="77777777" w:rsidTr="001B00D6">
        <w:trPr>
          <w:trHeight w:val="185"/>
        </w:trPr>
        <w:tc>
          <w:tcPr>
            <w:tcW w:w="1120" w:type="dxa"/>
            <w:tcBorders>
              <w:top w:val="nil"/>
              <w:left w:val="nil"/>
              <w:bottom w:val="nil"/>
              <w:right w:val="nil"/>
            </w:tcBorders>
            <w:vAlign w:val="bottom"/>
          </w:tcPr>
          <w:p w14:paraId="374B514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14</w:t>
            </w:r>
          </w:p>
        </w:tc>
        <w:tc>
          <w:tcPr>
            <w:tcW w:w="8720" w:type="dxa"/>
            <w:tcBorders>
              <w:top w:val="nil"/>
              <w:left w:val="nil"/>
              <w:bottom w:val="nil"/>
              <w:right w:val="nil"/>
            </w:tcBorders>
            <w:vAlign w:val="bottom"/>
          </w:tcPr>
          <w:p w14:paraId="5F7A45A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Seis meses</w:t>
            </w:r>
          </w:p>
        </w:tc>
      </w:tr>
      <w:tr w:rsidR="004220B7" w:rsidRPr="007923C2" w14:paraId="6AE23448" w14:textId="77777777" w:rsidTr="001B00D6">
        <w:trPr>
          <w:trHeight w:val="185"/>
        </w:trPr>
        <w:tc>
          <w:tcPr>
            <w:tcW w:w="1120" w:type="dxa"/>
            <w:tcBorders>
              <w:top w:val="nil"/>
              <w:left w:val="nil"/>
              <w:bottom w:val="nil"/>
              <w:right w:val="nil"/>
            </w:tcBorders>
            <w:vAlign w:val="bottom"/>
          </w:tcPr>
          <w:p w14:paraId="67D5F13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15</w:t>
            </w:r>
          </w:p>
        </w:tc>
        <w:tc>
          <w:tcPr>
            <w:tcW w:w="8720" w:type="dxa"/>
            <w:tcBorders>
              <w:top w:val="nil"/>
              <w:left w:val="nil"/>
              <w:bottom w:val="nil"/>
              <w:right w:val="nil"/>
            </w:tcBorders>
            <w:vAlign w:val="bottom"/>
          </w:tcPr>
          <w:p w14:paraId="1594072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Cinco días</w:t>
            </w:r>
          </w:p>
        </w:tc>
      </w:tr>
      <w:tr w:rsidR="004220B7" w:rsidRPr="007923C2" w14:paraId="50C10023" w14:textId="77777777" w:rsidTr="001B00D6">
        <w:trPr>
          <w:trHeight w:val="182"/>
        </w:trPr>
        <w:tc>
          <w:tcPr>
            <w:tcW w:w="1120" w:type="dxa"/>
            <w:tcBorders>
              <w:top w:val="nil"/>
              <w:left w:val="nil"/>
              <w:bottom w:val="nil"/>
              <w:right w:val="nil"/>
            </w:tcBorders>
            <w:vAlign w:val="bottom"/>
          </w:tcPr>
          <w:p w14:paraId="02FCB05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16</w:t>
            </w:r>
          </w:p>
        </w:tc>
        <w:tc>
          <w:tcPr>
            <w:tcW w:w="8720" w:type="dxa"/>
            <w:tcBorders>
              <w:top w:val="nil"/>
              <w:left w:val="nil"/>
              <w:bottom w:val="nil"/>
              <w:right w:val="nil"/>
            </w:tcBorders>
            <w:vAlign w:val="bottom"/>
          </w:tcPr>
          <w:p w14:paraId="33048DC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Ocho meses</w:t>
            </w:r>
          </w:p>
        </w:tc>
      </w:tr>
      <w:tr w:rsidR="004220B7" w:rsidRPr="007923C2" w14:paraId="2F518F8C" w14:textId="77777777" w:rsidTr="001B00D6">
        <w:trPr>
          <w:trHeight w:val="185"/>
        </w:trPr>
        <w:tc>
          <w:tcPr>
            <w:tcW w:w="1120" w:type="dxa"/>
            <w:tcBorders>
              <w:top w:val="nil"/>
              <w:left w:val="nil"/>
              <w:bottom w:val="nil"/>
              <w:right w:val="nil"/>
            </w:tcBorders>
            <w:vAlign w:val="bottom"/>
          </w:tcPr>
          <w:p w14:paraId="172F299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17</w:t>
            </w:r>
          </w:p>
        </w:tc>
        <w:tc>
          <w:tcPr>
            <w:tcW w:w="8720" w:type="dxa"/>
            <w:tcBorders>
              <w:top w:val="nil"/>
              <w:left w:val="nil"/>
              <w:bottom w:val="nil"/>
              <w:right w:val="nil"/>
            </w:tcBorders>
            <w:vAlign w:val="bottom"/>
          </w:tcPr>
          <w:p w14:paraId="075A53E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Antes de Graduarme conseguí empleo</w:t>
            </w:r>
          </w:p>
        </w:tc>
      </w:tr>
      <w:tr w:rsidR="004220B7" w:rsidRPr="007923C2" w14:paraId="5B2F4C3A" w14:textId="77777777" w:rsidTr="001B00D6">
        <w:trPr>
          <w:trHeight w:val="185"/>
        </w:trPr>
        <w:tc>
          <w:tcPr>
            <w:tcW w:w="1120" w:type="dxa"/>
            <w:tcBorders>
              <w:top w:val="nil"/>
              <w:left w:val="nil"/>
              <w:bottom w:val="nil"/>
              <w:right w:val="nil"/>
            </w:tcBorders>
            <w:vAlign w:val="bottom"/>
          </w:tcPr>
          <w:p w14:paraId="66FCC46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18</w:t>
            </w:r>
          </w:p>
        </w:tc>
        <w:tc>
          <w:tcPr>
            <w:tcW w:w="8720" w:type="dxa"/>
            <w:tcBorders>
              <w:top w:val="nil"/>
              <w:left w:val="nil"/>
              <w:bottom w:val="nil"/>
              <w:right w:val="nil"/>
            </w:tcBorders>
            <w:vAlign w:val="bottom"/>
          </w:tcPr>
          <w:p w14:paraId="0A07756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Seis meses</w:t>
            </w:r>
          </w:p>
        </w:tc>
      </w:tr>
      <w:tr w:rsidR="004220B7" w:rsidRPr="007923C2" w14:paraId="151EC9D7" w14:textId="77777777" w:rsidTr="001B00D6">
        <w:trPr>
          <w:trHeight w:val="182"/>
        </w:trPr>
        <w:tc>
          <w:tcPr>
            <w:tcW w:w="1120" w:type="dxa"/>
            <w:tcBorders>
              <w:top w:val="nil"/>
              <w:left w:val="nil"/>
              <w:bottom w:val="nil"/>
              <w:right w:val="nil"/>
            </w:tcBorders>
            <w:vAlign w:val="bottom"/>
          </w:tcPr>
          <w:p w14:paraId="408C312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19</w:t>
            </w:r>
          </w:p>
        </w:tc>
        <w:tc>
          <w:tcPr>
            <w:tcW w:w="8720" w:type="dxa"/>
            <w:tcBorders>
              <w:top w:val="nil"/>
              <w:left w:val="nil"/>
              <w:bottom w:val="nil"/>
              <w:right w:val="nil"/>
            </w:tcBorders>
            <w:vAlign w:val="bottom"/>
          </w:tcPr>
          <w:p w14:paraId="5D47589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Inmediatamente lo conseguí</w:t>
            </w:r>
          </w:p>
        </w:tc>
      </w:tr>
      <w:tr w:rsidR="004220B7" w:rsidRPr="007923C2" w14:paraId="65C6E4E4" w14:textId="77777777" w:rsidTr="001B00D6">
        <w:trPr>
          <w:trHeight w:val="185"/>
        </w:trPr>
        <w:tc>
          <w:tcPr>
            <w:tcW w:w="1120" w:type="dxa"/>
            <w:tcBorders>
              <w:top w:val="nil"/>
              <w:left w:val="nil"/>
              <w:bottom w:val="nil"/>
              <w:right w:val="nil"/>
            </w:tcBorders>
            <w:vAlign w:val="bottom"/>
          </w:tcPr>
          <w:p w14:paraId="5931F1E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20</w:t>
            </w:r>
          </w:p>
        </w:tc>
        <w:tc>
          <w:tcPr>
            <w:tcW w:w="8720" w:type="dxa"/>
            <w:tcBorders>
              <w:top w:val="nil"/>
              <w:left w:val="nil"/>
              <w:bottom w:val="nil"/>
              <w:right w:val="nil"/>
            </w:tcBorders>
            <w:vAlign w:val="bottom"/>
          </w:tcPr>
          <w:p w14:paraId="6C1B137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Ocho meses</w:t>
            </w:r>
          </w:p>
        </w:tc>
      </w:tr>
      <w:tr w:rsidR="004220B7" w:rsidRPr="007923C2" w14:paraId="7D023926" w14:textId="77777777" w:rsidTr="001B00D6">
        <w:trPr>
          <w:trHeight w:val="185"/>
        </w:trPr>
        <w:tc>
          <w:tcPr>
            <w:tcW w:w="1120" w:type="dxa"/>
            <w:tcBorders>
              <w:top w:val="nil"/>
              <w:left w:val="nil"/>
              <w:bottom w:val="nil"/>
              <w:right w:val="nil"/>
            </w:tcBorders>
            <w:vAlign w:val="bottom"/>
          </w:tcPr>
          <w:p w14:paraId="1A47FA3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21</w:t>
            </w:r>
          </w:p>
        </w:tc>
        <w:tc>
          <w:tcPr>
            <w:tcW w:w="8720" w:type="dxa"/>
            <w:tcBorders>
              <w:top w:val="nil"/>
              <w:left w:val="nil"/>
              <w:bottom w:val="nil"/>
              <w:right w:val="nil"/>
            </w:tcBorders>
            <w:vAlign w:val="bottom"/>
          </w:tcPr>
          <w:p w14:paraId="5657AFD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Estaba ya en el trabajo</w:t>
            </w:r>
          </w:p>
        </w:tc>
      </w:tr>
      <w:tr w:rsidR="004220B7" w:rsidRPr="007923C2" w14:paraId="572C3566" w14:textId="77777777" w:rsidTr="001B00D6">
        <w:trPr>
          <w:trHeight w:val="183"/>
        </w:trPr>
        <w:tc>
          <w:tcPr>
            <w:tcW w:w="1120" w:type="dxa"/>
            <w:tcBorders>
              <w:top w:val="nil"/>
              <w:left w:val="nil"/>
              <w:bottom w:val="nil"/>
              <w:right w:val="nil"/>
            </w:tcBorders>
            <w:vAlign w:val="bottom"/>
          </w:tcPr>
          <w:p w14:paraId="595769C7" w14:textId="77777777" w:rsidR="004220B7" w:rsidRPr="007923C2" w:rsidRDefault="00583D21" w:rsidP="0030772E">
            <w:pPr>
              <w:jc w:val="both"/>
              <w:rPr>
                <w:rFonts w:ascii="Arial" w:hAnsi="Arial" w:cs="Arial"/>
                <w:sz w:val="22"/>
                <w:szCs w:val="22"/>
              </w:rPr>
            </w:pPr>
            <w:r>
              <w:rPr>
                <w:rFonts w:ascii="Arial" w:hAnsi="Arial" w:cs="Arial"/>
                <w:sz w:val="22"/>
                <w:szCs w:val="22"/>
              </w:rPr>
              <w:t>Alumno 22</w:t>
            </w:r>
          </w:p>
        </w:tc>
        <w:tc>
          <w:tcPr>
            <w:tcW w:w="8720" w:type="dxa"/>
            <w:tcBorders>
              <w:top w:val="nil"/>
              <w:left w:val="nil"/>
              <w:bottom w:val="nil"/>
              <w:right w:val="nil"/>
            </w:tcBorders>
            <w:vAlign w:val="bottom"/>
          </w:tcPr>
          <w:p w14:paraId="0981E49E" w14:textId="77777777" w:rsidR="004220B7" w:rsidRPr="007923C2" w:rsidRDefault="004220B7" w:rsidP="0030772E">
            <w:pPr>
              <w:jc w:val="both"/>
              <w:rPr>
                <w:rFonts w:ascii="Arial" w:hAnsi="Arial" w:cs="Arial"/>
                <w:sz w:val="22"/>
                <w:szCs w:val="22"/>
              </w:rPr>
            </w:pPr>
          </w:p>
        </w:tc>
      </w:tr>
      <w:tr w:rsidR="004220B7" w:rsidRPr="007923C2" w14:paraId="3F0F7565" w14:textId="77777777" w:rsidTr="001B00D6">
        <w:trPr>
          <w:trHeight w:val="185"/>
        </w:trPr>
        <w:tc>
          <w:tcPr>
            <w:tcW w:w="1120" w:type="dxa"/>
            <w:tcBorders>
              <w:top w:val="nil"/>
              <w:left w:val="nil"/>
              <w:bottom w:val="nil"/>
              <w:right w:val="nil"/>
            </w:tcBorders>
            <w:vAlign w:val="bottom"/>
          </w:tcPr>
          <w:p w14:paraId="56096624" w14:textId="77777777" w:rsidR="004220B7" w:rsidRPr="007923C2" w:rsidRDefault="00583D21" w:rsidP="0030772E">
            <w:pPr>
              <w:jc w:val="both"/>
              <w:rPr>
                <w:rFonts w:ascii="Arial" w:hAnsi="Arial" w:cs="Arial"/>
                <w:sz w:val="22"/>
                <w:szCs w:val="22"/>
              </w:rPr>
            </w:pPr>
            <w:r>
              <w:rPr>
                <w:rFonts w:ascii="Arial" w:hAnsi="Arial" w:cs="Arial"/>
                <w:sz w:val="22"/>
                <w:szCs w:val="22"/>
              </w:rPr>
              <w:t>Alumno 23</w:t>
            </w:r>
          </w:p>
        </w:tc>
        <w:tc>
          <w:tcPr>
            <w:tcW w:w="8720" w:type="dxa"/>
            <w:tcBorders>
              <w:top w:val="nil"/>
              <w:left w:val="nil"/>
              <w:bottom w:val="nil"/>
              <w:right w:val="nil"/>
            </w:tcBorders>
            <w:vAlign w:val="bottom"/>
          </w:tcPr>
          <w:p w14:paraId="41A055FC" w14:textId="77777777" w:rsidR="004220B7" w:rsidRPr="007923C2" w:rsidRDefault="004220B7" w:rsidP="0030772E">
            <w:pPr>
              <w:jc w:val="both"/>
              <w:rPr>
                <w:rFonts w:ascii="Arial" w:hAnsi="Arial" w:cs="Arial"/>
                <w:sz w:val="22"/>
                <w:szCs w:val="22"/>
              </w:rPr>
            </w:pPr>
          </w:p>
        </w:tc>
      </w:tr>
      <w:tr w:rsidR="004220B7" w:rsidRPr="007923C2" w14:paraId="700B7333" w14:textId="77777777" w:rsidTr="001B00D6">
        <w:trPr>
          <w:trHeight w:val="185"/>
        </w:trPr>
        <w:tc>
          <w:tcPr>
            <w:tcW w:w="1120" w:type="dxa"/>
            <w:tcBorders>
              <w:top w:val="nil"/>
              <w:left w:val="nil"/>
              <w:bottom w:val="nil"/>
              <w:right w:val="nil"/>
            </w:tcBorders>
            <w:vAlign w:val="bottom"/>
          </w:tcPr>
          <w:p w14:paraId="4F177D2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24</w:t>
            </w:r>
          </w:p>
        </w:tc>
        <w:tc>
          <w:tcPr>
            <w:tcW w:w="8720" w:type="dxa"/>
            <w:tcBorders>
              <w:top w:val="nil"/>
              <w:left w:val="nil"/>
              <w:bottom w:val="nil"/>
              <w:right w:val="nil"/>
            </w:tcBorders>
            <w:vAlign w:val="bottom"/>
          </w:tcPr>
          <w:p w14:paraId="53293CB9" w14:textId="77777777" w:rsidR="004220B7" w:rsidRPr="007923C2" w:rsidRDefault="001B00D6" w:rsidP="0030772E">
            <w:pPr>
              <w:jc w:val="both"/>
              <w:rPr>
                <w:rFonts w:ascii="Arial" w:hAnsi="Arial" w:cs="Arial"/>
                <w:sz w:val="22"/>
                <w:szCs w:val="22"/>
              </w:rPr>
            </w:pPr>
            <w:r w:rsidRPr="007923C2">
              <w:rPr>
                <w:rFonts w:ascii="Arial" w:hAnsi="Arial" w:cs="Arial"/>
                <w:sz w:val="22"/>
                <w:szCs w:val="22"/>
              </w:rPr>
              <w:t>Un año</w:t>
            </w:r>
          </w:p>
        </w:tc>
      </w:tr>
      <w:tr w:rsidR="004220B7" w:rsidRPr="007923C2" w14:paraId="46BE9D40" w14:textId="77777777" w:rsidTr="001B00D6">
        <w:trPr>
          <w:trHeight w:val="182"/>
        </w:trPr>
        <w:tc>
          <w:tcPr>
            <w:tcW w:w="1120" w:type="dxa"/>
            <w:tcBorders>
              <w:top w:val="nil"/>
              <w:left w:val="nil"/>
              <w:bottom w:val="nil"/>
              <w:right w:val="nil"/>
            </w:tcBorders>
            <w:vAlign w:val="bottom"/>
          </w:tcPr>
          <w:p w14:paraId="024F5E3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25</w:t>
            </w:r>
          </w:p>
        </w:tc>
        <w:tc>
          <w:tcPr>
            <w:tcW w:w="8720" w:type="dxa"/>
            <w:tcBorders>
              <w:top w:val="nil"/>
              <w:left w:val="nil"/>
              <w:bottom w:val="nil"/>
              <w:right w:val="nil"/>
            </w:tcBorders>
            <w:vAlign w:val="bottom"/>
          </w:tcPr>
          <w:p w14:paraId="39DF4DF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Un año</w:t>
            </w:r>
          </w:p>
        </w:tc>
      </w:tr>
      <w:tr w:rsidR="004220B7" w:rsidRPr="007923C2" w14:paraId="6544CDC4" w14:textId="77777777" w:rsidTr="001B00D6">
        <w:trPr>
          <w:trHeight w:val="185"/>
        </w:trPr>
        <w:tc>
          <w:tcPr>
            <w:tcW w:w="1120" w:type="dxa"/>
            <w:tcBorders>
              <w:top w:val="nil"/>
              <w:left w:val="nil"/>
              <w:bottom w:val="nil"/>
              <w:right w:val="nil"/>
            </w:tcBorders>
            <w:vAlign w:val="bottom"/>
          </w:tcPr>
          <w:p w14:paraId="19A38AA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Alumno 26</w:t>
            </w:r>
          </w:p>
        </w:tc>
        <w:tc>
          <w:tcPr>
            <w:tcW w:w="8720" w:type="dxa"/>
            <w:tcBorders>
              <w:top w:val="nil"/>
              <w:left w:val="nil"/>
              <w:bottom w:val="nil"/>
              <w:right w:val="nil"/>
            </w:tcBorders>
            <w:vAlign w:val="bottom"/>
          </w:tcPr>
          <w:p w14:paraId="320AD973" w14:textId="77777777" w:rsidR="004220B7" w:rsidRPr="007923C2" w:rsidRDefault="001B00D6" w:rsidP="0030772E">
            <w:pPr>
              <w:jc w:val="both"/>
              <w:rPr>
                <w:rFonts w:ascii="Arial" w:hAnsi="Arial" w:cs="Arial"/>
                <w:sz w:val="22"/>
                <w:szCs w:val="22"/>
              </w:rPr>
            </w:pPr>
            <w:r w:rsidRPr="007923C2">
              <w:rPr>
                <w:rFonts w:ascii="Arial" w:hAnsi="Arial" w:cs="Arial"/>
                <w:sz w:val="22"/>
                <w:szCs w:val="22"/>
              </w:rPr>
              <w:t>Dos años</w:t>
            </w:r>
          </w:p>
        </w:tc>
      </w:tr>
      <w:tr w:rsidR="004220B7" w:rsidRPr="007923C2" w14:paraId="7A46A29E" w14:textId="77777777" w:rsidTr="001B00D6">
        <w:trPr>
          <w:trHeight w:val="185"/>
        </w:trPr>
        <w:tc>
          <w:tcPr>
            <w:tcW w:w="1120" w:type="dxa"/>
            <w:tcBorders>
              <w:top w:val="nil"/>
              <w:left w:val="nil"/>
              <w:bottom w:val="nil"/>
              <w:right w:val="nil"/>
            </w:tcBorders>
            <w:vAlign w:val="bottom"/>
          </w:tcPr>
          <w:p w14:paraId="1B96D2D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27</w:t>
            </w:r>
          </w:p>
        </w:tc>
        <w:tc>
          <w:tcPr>
            <w:tcW w:w="8720" w:type="dxa"/>
            <w:tcBorders>
              <w:top w:val="nil"/>
              <w:left w:val="nil"/>
              <w:bottom w:val="nil"/>
              <w:right w:val="nil"/>
            </w:tcBorders>
            <w:vAlign w:val="bottom"/>
          </w:tcPr>
          <w:p w14:paraId="0424290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Seis meses</w:t>
            </w:r>
          </w:p>
        </w:tc>
      </w:tr>
      <w:tr w:rsidR="004220B7" w:rsidRPr="007923C2" w14:paraId="401515F4" w14:textId="77777777" w:rsidTr="001B00D6">
        <w:trPr>
          <w:trHeight w:val="182"/>
        </w:trPr>
        <w:tc>
          <w:tcPr>
            <w:tcW w:w="1120" w:type="dxa"/>
            <w:tcBorders>
              <w:top w:val="nil"/>
              <w:left w:val="nil"/>
              <w:bottom w:val="nil"/>
              <w:right w:val="nil"/>
            </w:tcBorders>
            <w:vAlign w:val="bottom"/>
          </w:tcPr>
          <w:p w14:paraId="02D986A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28</w:t>
            </w:r>
          </w:p>
        </w:tc>
        <w:tc>
          <w:tcPr>
            <w:tcW w:w="8720" w:type="dxa"/>
            <w:tcBorders>
              <w:top w:val="nil"/>
              <w:left w:val="nil"/>
              <w:bottom w:val="nil"/>
              <w:right w:val="nil"/>
            </w:tcBorders>
            <w:vAlign w:val="bottom"/>
          </w:tcPr>
          <w:p w14:paraId="6E0E927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Tres meses</w:t>
            </w:r>
          </w:p>
        </w:tc>
      </w:tr>
      <w:tr w:rsidR="004220B7" w:rsidRPr="007923C2" w14:paraId="11C745DB" w14:textId="77777777" w:rsidTr="001B00D6">
        <w:trPr>
          <w:trHeight w:val="185"/>
        </w:trPr>
        <w:tc>
          <w:tcPr>
            <w:tcW w:w="1120" w:type="dxa"/>
            <w:tcBorders>
              <w:top w:val="nil"/>
              <w:left w:val="nil"/>
              <w:bottom w:val="nil"/>
              <w:right w:val="nil"/>
            </w:tcBorders>
            <w:vAlign w:val="bottom"/>
          </w:tcPr>
          <w:p w14:paraId="03F809D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29</w:t>
            </w:r>
          </w:p>
        </w:tc>
        <w:tc>
          <w:tcPr>
            <w:tcW w:w="8720" w:type="dxa"/>
            <w:tcBorders>
              <w:top w:val="nil"/>
              <w:left w:val="nil"/>
              <w:bottom w:val="nil"/>
              <w:right w:val="nil"/>
            </w:tcBorders>
            <w:vAlign w:val="bottom"/>
          </w:tcPr>
          <w:p w14:paraId="5D9E0233" w14:textId="77777777" w:rsidR="004220B7" w:rsidRPr="007923C2" w:rsidRDefault="001B00D6" w:rsidP="0030772E">
            <w:pPr>
              <w:jc w:val="both"/>
              <w:rPr>
                <w:rFonts w:ascii="Arial" w:hAnsi="Arial" w:cs="Arial"/>
                <w:sz w:val="22"/>
                <w:szCs w:val="22"/>
              </w:rPr>
            </w:pPr>
            <w:r w:rsidRPr="007923C2">
              <w:rPr>
                <w:rFonts w:ascii="Arial" w:hAnsi="Arial" w:cs="Arial"/>
                <w:sz w:val="22"/>
                <w:szCs w:val="22"/>
              </w:rPr>
              <w:t>8 meses</w:t>
            </w:r>
          </w:p>
        </w:tc>
      </w:tr>
      <w:tr w:rsidR="004220B7" w:rsidRPr="007923C2" w14:paraId="023D29F0" w14:textId="77777777" w:rsidTr="001B00D6">
        <w:trPr>
          <w:trHeight w:val="185"/>
        </w:trPr>
        <w:tc>
          <w:tcPr>
            <w:tcW w:w="1120" w:type="dxa"/>
            <w:tcBorders>
              <w:top w:val="nil"/>
              <w:left w:val="nil"/>
              <w:bottom w:val="nil"/>
              <w:right w:val="nil"/>
            </w:tcBorders>
            <w:vAlign w:val="bottom"/>
          </w:tcPr>
          <w:p w14:paraId="24CFA88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30</w:t>
            </w:r>
          </w:p>
        </w:tc>
        <w:tc>
          <w:tcPr>
            <w:tcW w:w="8720" w:type="dxa"/>
            <w:tcBorders>
              <w:top w:val="nil"/>
              <w:left w:val="nil"/>
              <w:bottom w:val="nil"/>
              <w:right w:val="nil"/>
            </w:tcBorders>
            <w:vAlign w:val="bottom"/>
          </w:tcPr>
          <w:p w14:paraId="4D81A8F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Quince días</w:t>
            </w:r>
          </w:p>
        </w:tc>
      </w:tr>
      <w:tr w:rsidR="004220B7" w:rsidRPr="007923C2" w14:paraId="01811C4F" w14:textId="77777777" w:rsidTr="001B00D6">
        <w:trPr>
          <w:trHeight w:val="182"/>
        </w:trPr>
        <w:tc>
          <w:tcPr>
            <w:tcW w:w="1120" w:type="dxa"/>
            <w:tcBorders>
              <w:top w:val="nil"/>
              <w:left w:val="nil"/>
              <w:bottom w:val="nil"/>
              <w:right w:val="nil"/>
            </w:tcBorders>
            <w:vAlign w:val="bottom"/>
          </w:tcPr>
          <w:p w14:paraId="7F7E93D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31</w:t>
            </w:r>
          </w:p>
        </w:tc>
        <w:tc>
          <w:tcPr>
            <w:tcW w:w="8720" w:type="dxa"/>
            <w:tcBorders>
              <w:top w:val="nil"/>
              <w:left w:val="nil"/>
              <w:bottom w:val="nil"/>
              <w:right w:val="nil"/>
            </w:tcBorders>
            <w:vAlign w:val="bottom"/>
          </w:tcPr>
          <w:p w14:paraId="35FB3731" w14:textId="77777777" w:rsidR="004220B7" w:rsidRPr="007923C2" w:rsidRDefault="001B00D6" w:rsidP="0030772E">
            <w:pPr>
              <w:jc w:val="both"/>
              <w:rPr>
                <w:rFonts w:ascii="Arial" w:hAnsi="Arial" w:cs="Arial"/>
                <w:sz w:val="22"/>
                <w:szCs w:val="22"/>
              </w:rPr>
            </w:pPr>
            <w:r w:rsidRPr="007923C2">
              <w:rPr>
                <w:rFonts w:ascii="Arial" w:hAnsi="Arial" w:cs="Arial"/>
                <w:sz w:val="22"/>
                <w:szCs w:val="22"/>
              </w:rPr>
              <w:t>Un año</w:t>
            </w:r>
          </w:p>
        </w:tc>
      </w:tr>
      <w:tr w:rsidR="004220B7" w:rsidRPr="007923C2" w14:paraId="74C2FA10" w14:textId="77777777" w:rsidTr="001B00D6">
        <w:trPr>
          <w:trHeight w:val="185"/>
        </w:trPr>
        <w:tc>
          <w:tcPr>
            <w:tcW w:w="1120" w:type="dxa"/>
            <w:tcBorders>
              <w:top w:val="nil"/>
              <w:left w:val="nil"/>
              <w:bottom w:val="nil"/>
              <w:right w:val="nil"/>
            </w:tcBorders>
            <w:vAlign w:val="bottom"/>
          </w:tcPr>
          <w:p w14:paraId="5127BD7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32</w:t>
            </w:r>
          </w:p>
        </w:tc>
        <w:tc>
          <w:tcPr>
            <w:tcW w:w="8720" w:type="dxa"/>
            <w:tcBorders>
              <w:top w:val="nil"/>
              <w:left w:val="nil"/>
              <w:bottom w:val="nil"/>
              <w:right w:val="nil"/>
            </w:tcBorders>
            <w:vAlign w:val="bottom"/>
          </w:tcPr>
          <w:p w14:paraId="7C9B817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De inmediato</w:t>
            </w:r>
          </w:p>
        </w:tc>
      </w:tr>
      <w:tr w:rsidR="004220B7" w:rsidRPr="007923C2" w14:paraId="3E233B73" w14:textId="77777777" w:rsidTr="001B00D6">
        <w:trPr>
          <w:trHeight w:val="185"/>
        </w:trPr>
        <w:tc>
          <w:tcPr>
            <w:tcW w:w="1120" w:type="dxa"/>
            <w:tcBorders>
              <w:top w:val="nil"/>
              <w:left w:val="nil"/>
              <w:bottom w:val="nil"/>
              <w:right w:val="nil"/>
            </w:tcBorders>
            <w:vAlign w:val="bottom"/>
          </w:tcPr>
          <w:p w14:paraId="7700226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33</w:t>
            </w:r>
          </w:p>
        </w:tc>
        <w:tc>
          <w:tcPr>
            <w:tcW w:w="8720" w:type="dxa"/>
            <w:tcBorders>
              <w:top w:val="nil"/>
              <w:left w:val="nil"/>
              <w:bottom w:val="nil"/>
              <w:right w:val="nil"/>
            </w:tcBorders>
            <w:vAlign w:val="bottom"/>
          </w:tcPr>
          <w:p w14:paraId="5B35E87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Quince días</w:t>
            </w:r>
          </w:p>
        </w:tc>
      </w:tr>
      <w:tr w:rsidR="004220B7" w:rsidRPr="007923C2" w14:paraId="5F4CA339" w14:textId="77777777" w:rsidTr="001B00D6">
        <w:trPr>
          <w:trHeight w:val="182"/>
        </w:trPr>
        <w:tc>
          <w:tcPr>
            <w:tcW w:w="1120" w:type="dxa"/>
            <w:tcBorders>
              <w:top w:val="nil"/>
              <w:left w:val="nil"/>
              <w:bottom w:val="nil"/>
              <w:right w:val="nil"/>
            </w:tcBorders>
            <w:vAlign w:val="bottom"/>
          </w:tcPr>
          <w:p w14:paraId="68AC830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34</w:t>
            </w:r>
          </w:p>
        </w:tc>
        <w:tc>
          <w:tcPr>
            <w:tcW w:w="8720" w:type="dxa"/>
            <w:tcBorders>
              <w:top w:val="nil"/>
              <w:left w:val="nil"/>
              <w:bottom w:val="nil"/>
              <w:right w:val="nil"/>
            </w:tcBorders>
            <w:vAlign w:val="bottom"/>
          </w:tcPr>
          <w:p w14:paraId="3D2C15C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Un día</w:t>
            </w:r>
          </w:p>
        </w:tc>
      </w:tr>
      <w:tr w:rsidR="004220B7" w:rsidRPr="007923C2" w14:paraId="4777463E" w14:textId="77777777" w:rsidTr="00583D21">
        <w:trPr>
          <w:trHeight w:val="185"/>
        </w:trPr>
        <w:tc>
          <w:tcPr>
            <w:tcW w:w="1120" w:type="dxa"/>
            <w:tcBorders>
              <w:top w:val="nil"/>
              <w:left w:val="nil"/>
              <w:bottom w:val="single" w:sz="4" w:space="0" w:color="auto"/>
              <w:right w:val="nil"/>
            </w:tcBorders>
            <w:vAlign w:val="bottom"/>
          </w:tcPr>
          <w:p w14:paraId="1A1EAE6E" w14:textId="77777777" w:rsidR="004220B7" w:rsidRPr="007923C2" w:rsidRDefault="004220B7" w:rsidP="0030772E">
            <w:pPr>
              <w:jc w:val="both"/>
              <w:rPr>
                <w:rFonts w:ascii="Arial" w:hAnsi="Arial" w:cs="Arial"/>
                <w:sz w:val="22"/>
                <w:szCs w:val="22"/>
              </w:rPr>
            </w:pPr>
          </w:p>
        </w:tc>
        <w:tc>
          <w:tcPr>
            <w:tcW w:w="8720" w:type="dxa"/>
            <w:tcBorders>
              <w:top w:val="nil"/>
              <w:left w:val="nil"/>
              <w:bottom w:val="single" w:sz="4" w:space="0" w:color="auto"/>
              <w:right w:val="nil"/>
            </w:tcBorders>
            <w:vAlign w:val="bottom"/>
          </w:tcPr>
          <w:p w14:paraId="26167AF1" w14:textId="77777777" w:rsidR="004220B7" w:rsidRPr="007923C2" w:rsidRDefault="004220B7" w:rsidP="0030772E">
            <w:pPr>
              <w:jc w:val="both"/>
              <w:rPr>
                <w:rFonts w:ascii="Arial" w:hAnsi="Arial" w:cs="Arial"/>
                <w:sz w:val="22"/>
                <w:szCs w:val="22"/>
              </w:rPr>
            </w:pPr>
          </w:p>
        </w:tc>
      </w:tr>
      <w:tr w:rsidR="004220B7" w:rsidRPr="007923C2" w14:paraId="0FBEA20A" w14:textId="77777777" w:rsidTr="00583D21">
        <w:trPr>
          <w:trHeight w:val="184"/>
        </w:trPr>
        <w:tc>
          <w:tcPr>
            <w:tcW w:w="1120" w:type="dxa"/>
            <w:tcBorders>
              <w:top w:val="single" w:sz="4" w:space="0" w:color="auto"/>
              <w:left w:val="single" w:sz="4" w:space="0" w:color="auto"/>
              <w:bottom w:val="single" w:sz="4" w:space="0" w:color="auto"/>
            </w:tcBorders>
            <w:vAlign w:val="bottom"/>
          </w:tcPr>
          <w:p w14:paraId="45CE986E" w14:textId="77777777" w:rsidR="004220B7" w:rsidRPr="007923C2" w:rsidRDefault="004220B7" w:rsidP="0030772E">
            <w:pPr>
              <w:jc w:val="both"/>
              <w:rPr>
                <w:rFonts w:ascii="Arial" w:hAnsi="Arial" w:cs="Arial"/>
                <w:sz w:val="22"/>
                <w:szCs w:val="22"/>
              </w:rPr>
            </w:pPr>
          </w:p>
        </w:tc>
        <w:tc>
          <w:tcPr>
            <w:tcW w:w="8720" w:type="dxa"/>
            <w:tcBorders>
              <w:top w:val="single" w:sz="4" w:space="0" w:color="auto"/>
              <w:bottom w:val="single" w:sz="4" w:space="0" w:color="auto"/>
              <w:right w:val="single" w:sz="4" w:space="0" w:color="auto"/>
            </w:tcBorders>
            <w:vAlign w:val="bottom"/>
          </w:tcPr>
          <w:p w14:paraId="21BAA0FC"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¿Cuáles son las tendencias para el sector?</w:t>
            </w:r>
          </w:p>
        </w:tc>
      </w:tr>
      <w:tr w:rsidR="004220B7" w:rsidRPr="007923C2" w14:paraId="31A6EC86" w14:textId="77777777" w:rsidTr="00583D21">
        <w:trPr>
          <w:trHeight w:val="238"/>
        </w:trPr>
        <w:tc>
          <w:tcPr>
            <w:tcW w:w="1120" w:type="dxa"/>
            <w:tcBorders>
              <w:top w:val="single" w:sz="4" w:space="0" w:color="auto"/>
              <w:left w:val="single" w:sz="4" w:space="0" w:color="auto"/>
              <w:bottom w:val="single" w:sz="4" w:space="0" w:color="auto"/>
              <w:right w:val="single" w:sz="4" w:space="0" w:color="auto"/>
            </w:tcBorders>
            <w:vAlign w:val="bottom"/>
          </w:tcPr>
          <w:p w14:paraId="1F5B1FD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w:t>
            </w:r>
          </w:p>
        </w:tc>
        <w:tc>
          <w:tcPr>
            <w:tcW w:w="8720" w:type="dxa"/>
            <w:tcBorders>
              <w:top w:val="single" w:sz="4" w:space="0" w:color="auto"/>
              <w:left w:val="single" w:sz="4" w:space="0" w:color="auto"/>
              <w:bottom w:val="single" w:sz="4" w:space="0" w:color="auto"/>
              <w:right w:val="single" w:sz="4" w:space="0" w:color="auto"/>
            </w:tcBorders>
            <w:vAlign w:val="bottom"/>
          </w:tcPr>
          <w:p w14:paraId="05E15C8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Reforestación, Mejoramiento genético, obras  de conservación forestal,  obras de suelo</w:t>
            </w:r>
          </w:p>
        </w:tc>
      </w:tr>
      <w:tr w:rsidR="004220B7" w:rsidRPr="007923C2" w14:paraId="7B2CFE9C"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6BCCAFD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w:t>
            </w:r>
          </w:p>
        </w:tc>
        <w:tc>
          <w:tcPr>
            <w:tcW w:w="8720" w:type="dxa"/>
            <w:tcBorders>
              <w:top w:val="single" w:sz="4" w:space="0" w:color="auto"/>
              <w:left w:val="single" w:sz="4" w:space="0" w:color="auto"/>
              <w:bottom w:val="single" w:sz="4" w:space="0" w:color="auto"/>
              <w:right w:val="single" w:sz="4" w:space="0" w:color="auto"/>
            </w:tcBorders>
            <w:vAlign w:val="bottom"/>
          </w:tcPr>
          <w:p w14:paraId="268298C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Producción de orgánicos, sustentabilidad de producción y medio ambiente</w:t>
            </w:r>
          </w:p>
        </w:tc>
      </w:tr>
      <w:tr w:rsidR="004220B7" w:rsidRPr="007923C2" w14:paraId="3A1E5CB2" w14:textId="77777777"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14:paraId="0830967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w:t>
            </w:r>
          </w:p>
        </w:tc>
        <w:tc>
          <w:tcPr>
            <w:tcW w:w="8720" w:type="dxa"/>
            <w:tcBorders>
              <w:top w:val="single" w:sz="4" w:space="0" w:color="auto"/>
              <w:left w:val="single" w:sz="4" w:space="0" w:color="auto"/>
              <w:bottom w:val="single" w:sz="4" w:space="0" w:color="auto"/>
              <w:right w:val="single" w:sz="4" w:space="0" w:color="auto"/>
            </w:tcBorders>
            <w:vAlign w:val="bottom"/>
          </w:tcPr>
          <w:p w14:paraId="4B092D5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Tecnología en transgénicos, Regulaciones fitosanitarias</w:t>
            </w:r>
          </w:p>
        </w:tc>
      </w:tr>
      <w:tr w:rsidR="004220B7" w:rsidRPr="007923C2" w14:paraId="09B7B5DF"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39D6E19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4</w:t>
            </w:r>
          </w:p>
        </w:tc>
        <w:tc>
          <w:tcPr>
            <w:tcW w:w="8720" w:type="dxa"/>
            <w:tcBorders>
              <w:top w:val="single" w:sz="4" w:space="0" w:color="auto"/>
              <w:left w:val="single" w:sz="4" w:space="0" w:color="auto"/>
              <w:bottom w:val="single" w:sz="4" w:space="0" w:color="auto"/>
              <w:right w:val="single" w:sz="4" w:space="0" w:color="auto"/>
            </w:tcBorders>
            <w:vAlign w:val="bottom"/>
          </w:tcPr>
          <w:p w14:paraId="03986DC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Mejoramiento genético de semillas</w:t>
            </w:r>
          </w:p>
        </w:tc>
      </w:tr>
      <w:tr w:rsidR="004220B7" w:rsidRPr="007923C2" w14:paraId="6DD82193"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67C8F24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5</w:t>
            </w:r>
          </w:p>
        </w:tc>
        <w:tc>
          <w:tcPr>
            <w:tcW w:w="8720" w:type="dxa"/>
            <w:tcBorders>
              <w:top w:val="single" w:sz="4" w:space="0" w:color="auto"/>
              <w:left w:val="single" w:sz="4" w:space="0" w:color="auto"/>
              <w:bottom w:val="single" w:sz="4" w:space="0" w:color="auto"/>
              <w:right w:val="single" w:sz="4" w:space="0" w:color="auto"/>
            </w:tcBorders>
            <w:vAlign w:val="bottom"/>
          </w:tcPr>
          <w:p w14:paraId="23040FA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Las parcelas demostrativas, Fertilizantes biológicos, repelentes naturales</w:t>
            </w:r>
          </w:p>
        </w:tc>
      </w:tr>
      <w:tr w:rsidR="004220B7" w:rsidRPr="007923C2" w14:paraId="16AF211E" w14:textId="77777777"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14:paraId="178CE3F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6</w:t>
            </w:r>
          </w:p>
        </w:tc>
        <w:tc>
          <w:tcPr>
            <w:tcW w:w="8720" w:type="dxa"/>
            <w:tcBorders>
              <w:top w:val="single" w:sz="4" w:space="0" w:color="auto"/>
              <w:left w:val="single" w:sz="4" w:space="0" w:color="auto"/>
              <w:bottom w:val="single" w:sz="4" w:space="0" w:color="auto"/>
              <w:right w:val="single" w:sz="4" w:space="0" w:color="auto"/>
            </w:tcBorders>
            <w:vAlign w:val="bottom"/>
          </w:tcPr>
          <w:p w14:paraId="1311387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Control biológico, Elaboración de productos orgánicos</w:t>
            </w:r>
          </w:p>
        </w:tc>
      </w:tr>
      <w:tr w:rsidR="004220B7" w:rsidRPr="007923C2" w14:paraId="6F1BF0A9"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57963C1C"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7</w:t>
            </w:r>
          </w:p>
        </w:tc>
        <w:tc>
          <w:tcPr>
            <w:tcW w:w="8720" w:type="dxa"/>
            <w:tcBorders>
              <w:top w:val="single" w:sz="4" w:space="0" w:color="auto"/>
              <w:left w:val="single" w:sz="4" w:space="0" w:color="auto"/>
              <w:bottom w:val="single" w:sz="4" w:space="0" w:color="auto"/>
              <w:right w:val="single" w:sz="4" w:space="0" w:color="auto"/>
            </w:tcBorders>
            <w:vAlign w:val="bottom"/>
          </w:tcPr>
          <w:p w14:paraId="398CF19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El cumplimiento de las metas de reforestación para cubrir áreas  degradadas</w:t>
            </w:r>
          </w:p>
        </w:tc>
      </w:tr>
      <w:tr w:rsidR="004220B7" w:rsidRPr="007923C2" w14:paraId="655E7EB7" w14:textId="77777777"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14:paraId="1DEC6AF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8</w:t>
            </w:r>
          </w:p>
        </w:tc>
        <w:tc>
          <w:tcPr>
            <w:tcW w:w="8720" w:type="dxa"/>
            <w:tcBorders>
              <w:top w:val="single" w:sz="4" w:space="0" w:color="auto"/>
              <w:left w:val="single" w:sz="4" w:space="0" w:color="auto"/>
              <w:bottom w:val="single" w:sz="4" w:space="0" w:color="auto"/>
              <w:right w:val="single" w:sz="4" w:space="0" w:color="auto"/>
            </w:tcBorders>
            <w:vAlign w:val="bottom"/>
          </w:tcPr>
          <w:p w14:paraId="11CFA0F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El control de plagas por bioquímicos orgánicos y biológicos</w:t>
            </w:r>
          </w:p>
        </w:tc>
      </w:tr>
      <w:tr w:rsidR="004220B7" w:rsidRPr="007923C2" w14:paraId="0EC9D82C"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753016A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9</w:t>
            </w:r>
          </w:p>
        </w:tc>
        <w:tc>
          <w:tcPr>
            <w:tcW w:w="8720" w:type="dxa"/>
            <w:tcBorders>
              <w:top w:val="single" w:sz="4" w:space="0" w:color="auto"/>
              <w:left w:val="single" w:sz="4" w:space="0" w:color="auto"/>
              <w:bottom w:val="single" w:sz="4" w:space="0" w:color="auto"/>
              <w:right w:val="single" w:sz="4" w:space="0" w:color="auto"/>
            </w:tcBorders>
            <w:vAlign w:val="bottom"/>
          </w:tcPr>
          <w:p w14:paraId="50E2259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La legislación ambiental y cumplimiento de normatividad</w:t>
            </w:r>
          </w:p>
        </w:tc>
      </w:tr>
      <w:tr w:rsidR="004220B7" w:rsidRPr="007923C2" w14:paraId="5CBFA615"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7076C52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10</w:t>
            </w:r>
          </w:p>
        </w:tc>
        <w:tc>
          <w:tcPr>
            <w:tcW w:w="8720" w:type="dxa"/>
            <w:tcBorders>
              <w:top w:val="single" w:sz="4" w:space="0" w:color="auto"/>
              <w:left w:val="single" w:sz="4" w:space="0" w:color="auto"/>
              <w:bottom w:val="single" w:sz="4" w:space="0" w:color="auto"/>
              <w:right w:val="single" w:sz="4" w:space="0" w:color="auto"/>
            </w:tcBorders>
            <w:vAlign w:val="bottom"/>
          </w:tcPr>
          <w:p w14:paraId="1777749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Cumplimiento total de reglamentos y normatividades</w:t>
            </w:r>
          </w:p>
        </w:tc>
      </w:tr>
      <w:tr w:rsidR="004220B7" w:rsidRPr="007923C2" w14:paraId="0789E44D" w14:textId="77777777"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14:paraId="3F53517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11</w:t>
            </w:r>
          </w:p>
        </w:tc>
        <w:tc>
          <w:tcPr>
            <w:tcW w:w="8720" w:type="dxa"/>
            <w:tcBorders>
              <w:top w:val="single" w:sz="4" w:space="0" w:color="auto"/>
              <w:left w:val="single" w:sz="4" w:space="0" w:color="auto"/>
              <w:bottom w:val="single" w:sz="4" w:space="0" w:color="auto"/>
              <w:right w:val="single" w:sz="4" w:space="0" w:color="auto"/>
            </w:tcBorders>
            <w:vAlign w:val="bottom"/>
          </w:tcPr>
          <w:p w14:paraId="7A681F68" w14:textId="77777777" w:rsidR="004220B7" w:rsidRPr="007923C2" w:rsidRDefault="004220B7" w:rsidP="0030772E">
            <w:pPr>
              <w:jc w:val="both"/>
              <w:rPr>
                <w:rFonts w:ascii="Arial" w:hAnsi="Arial" w:cs="Arial"/>
                <w:sz w:val="22"/>
                <w:szCs w:val="22"/>
              </w:rPr>
            </w:pPr>
          </w:p>
        </w:tc>
      </w:tr>
      <w:tr w:rsidR="004220B7" w:rsidRPr="007923C2" w14:paraId="23A77AEC"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500819D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12</w:t>
            </w:r>
          </w:p>
        </w:tc>
        <w:tc>
          <w:tcPr>
            <w:tcW w:w="8720" w:type="dxa"/>
            <w:tcBorders>
              <w:top w:val="single" w:sz="4" w:space="0" w:color="auto"/>
              <w:left w:val="single" w:sz="4" w:space="0" w:color="auto"/>
              <w:bottom w:val="single" w:sz="4" w:space="0" w:color="auto"/>
              <w:right w:val="single" w:sz="4" w:space="0" w:color="auto"/>
            </w:tcBorders>
            <w:vAlign w:val="bottom"/>
          </w:tcPr>
          <w:p w14:paraId="61D42BF7" w14:textId="77777777" w:rsidR="004220B7" w:rsidRPr="007923C2" w:rsidRDefault="004220B7" w:rsidP="0030772E">
            <w:pPr>
              <w:jc w:val="both"/>
              <w:rPr>
                <w:rFonts w:ascii="Arial" w:hAnsi="Arial" w:cs="Arial"/>
                <w:sz w:val="22"/>
                <w:szCs w:val="22"/>
              </w:rPr>
            </w:pPr>
          </w:p>
        </w:tc>
      </w:tr>
      <w:tr w:rsidR="004220B7" w:rsidRPr="007923C2" w14:paraId="1D8BD611"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6B23818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13</w:t>
            </w:r>
          </w:p>
        </w:tc>
        <w:tc>
          <w:tcPr>
            <w:tcW w:w="8720" w:type="dxa"/>
            <w:tcBorders>
              <w:top w:val="single" w:sz="4" w:space="0" w:color="auto"/>
              <w:left w:val="single" w:sz="4" w:space="0" w:color="auto"/>
              <w:bottom w:val="single" w:sz="4" w:space="0" w:color="auto"/>
              <w:right w:val="single" w:sz="4" w:space="0" w:color="auto"/>
            </w:tcBorders>
            <w:vAlign w:val="bottom"/>
          </w:tcPr>
          <w:p w14:paraId="4C2E0BE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Reforestación de zona depredada en invernadero de malla sombra</w:t>
            </w:r>
          </w:p>
        </w:tc>
      </w:tr>
      <w:tr w:rsidR="004220B7" w:rsidRPr="007923C2" w14:paraId="3BC29F4F" w14:textId="77777777"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14:paraId="18A01DA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14</w:t>
            </w:r>
          </w:p>
        </w:tc>
        <w:tc>
          <w:tcPr>
            <w:tcW w:w="8720" w:type="dxa"/>
            <w:tcBorders>
              <w:top w:val="single" w:sz="4" w:space="0" w:color="auto"/>
              <w:left w:val="single" w:sz="4" w:space="0" w:color="auto"/>
              <w:bottom w:val="single" w:sz="4" w:space="0" w:color="auto"/>
              <w:right w:val="single" w:sz="4" w:space="0" w:color="auto"/>
            </w:tcBorders>
            <w:vAlign w:val="bottom"/>
          </w:tcPr>
          <w:p w14:paraId="519E2A1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Inocuidad alimentaria, Cumplir normatividad</w:t>
            </w:r>
          </w:p>
        </w:tc>
      </w:tr>
      <w:tr w:rsidR="004220B7" w:rsidRPr="007923C2" w14:paraId="38D405A9"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34666E7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15</w:t>
            </w:r>
          </w:p>
        </w:tc>
        <w:tc>
          <w:tcPr>
            <w:tcW w:w="8720" w:type="dxa"/>
            <w:tcBorders>
              <w:top w:val="single" w:sz="4" w:space="0" w:color="auto"/>
              <w:left w:val="single" w:sz="4" w:space="0" w:color="auto"/>
              <w:bottom w:val="single" w:sz="4" w:space="0" w:color="auto"/>
              <w:right w:val="single" w:sz="4" w:space="0" w:color="auto"/>
            </w:tcBorders>
            <w:vAlign w:val="bottom"/>
          </w:tcPr>
          <w:p w14:paraId="58A7CF9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Sustitución de productos que sean más amigables al medio ambiente</w:t>
            </w:r>
          </w:p>
        </w:tc>
      </w:tr>
      <w:tr w:rsidR="004220B7" w:rsidRPr="007923C2" w14:paraId="73B07E1F"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38E9FF8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16</w:t>
            </w:r>
          </w:p>
        </w:tc>
        <w:tc>
          <w:tcPr>
            <w:tcW w:w="8720" w:type="dxa"/>
            <w:tcBorders>
              <w:top w:val="single" w:sz="4" w:space="0" w:color="auto"/>
              <w:left w:val="single" w:sz="4" w:space="0" w:color="auto"/>
              <w:bottom w:val="single" w:sz="4" w:space="0" w:color="auto"/>
              <w:right w:val="single" w:sz="4" w:space="0" w:color="auto"/>
            </w:tcBorders>
            <w:vAlign w:val="bottom"/>
          </w:tcPr>
          <w:p w14:paraId="03FBF34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Zonas rurales marginadas, cambiar modos de producción de químicos a orgánicos</w:t>
            </w:r>
          </w:p>
        </w:tc>
      </w:tr>
      <w:tr w:rsidR="004220B7" w:rsidRPr="007923C2" w14:paraId="3C45B3D5" w14:textId="77777777" w:rsidTr="00583D21">
        <w:trPr>
          <w:trHeight w:val="183"/>
        </w:trPr>
        <w:tc>
          <w:tcPr>
            <w:tcW w:w="1120" w:type="dxa"/>
            <w:tcBorders>
              <w:top w:val="single" w:sz="4" w:space="0" w:color="auto"/>
              <w:left w:val="single" w:sz="4" w:space="0" w:color="auto"/>
              <w:bottom w:val="single" w:sz="4" w:space="0" w:color="auto"/>
              <w:right w:val="single" w:sz="4" w:space="0" w:color="auto"/>
            </w:tcBorders>
            <w:vAlign w:val="bottom"/>
          </w:tcPr>
          <w:p w14:paraId="54E3663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17</w:t>
            </w:r>
          </w:p>
        </w:tc>
        <w:tc>
          <w:tcPr>
            <w:tcW w:w="8720" w:type="dxa"/>
            <w:tcBorders>
              <w:top w:val="single" w:sz="4" w:space="0" w:color="auto"/>
              <w:left w:val="single" w:sz="4" w:space="0" w:color="auto"/>
              <w:bottom w:val="single" w:sz="4" w:space="0" w:color="auto"/>
              <w:right w:val="single" w:sz="4" w:space="0" w:color="auto"/>
            </w:tcBorders>
            <w:vAlign w:val="bottom"/>
          </w:tcPr>
          <w:p w14:paraId="32D54F0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Ingenieros prácticos y con conocimiento de matemáticas para hacer proyecciones climáticas</w:t>
            </w:r>
          </w:p>
        </w:tc>
      </w:tr>
      <w:tr w:rsidR="004220B7" w:rsidRPr="007923C2" w14:paraId="735E6217"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5910C89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18</w:t>
            </w:r>
          </w:p>
        </w:tc>
        <w:tc>
          <w:tcPr>
            <w:tcW w:w="8720" w:type="dxa"/>
            <w:tcBorders>
              <w:top w:val="single" w:sz="4" w:space="0" w:color="auto"/>
              <w:left w:val="single" w:sz="4" w:space="0" w:color="auto"/>
              <w:bottom w:val="single" w:sz="4" w:space="0" w:color="auto"/>
              <w:right w:val="single" w:sz="4" w:space="0" w:color="auto"/>
            </w:tcBorders>
            <w:vAlign w:val="bottom"/>
          </w:tcPr>
          <w:p w14:paraId="73ED583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Mas Agricultura en sector primario</w:t>
            </w:r>
          </w:p>
        </w:tc>
      </w:tr>
      <w:tr w:rsidR="004220B7" w:rsidRPr="007923C2" w14:paraId="090EE31B"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06E5EF0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19</w:t>
            </w:r>
          </w:p>
        </w:tc>
        <w:tc>
          <w:tcPr>
            <w:tcW w:w="8720" w:type="dxa"/>
            <w:tcBorders>
              <w:top w:val="single" w:sz="4" w:space="0" w:color="auto"/>
              <w:left w:val="single" w:sz="4" w:space="0" w:color="auto"/>
              <w:bottom w:val="single" w:sz="4" w:space="0" w:color="auto"/>
              <w:right w:val="single" w:sz="4" w:space="0" w:color="auto"/>
            </w:tcBorders>
            <w:vAlign w:val="bottom"/>
          </w:tcPr>
          <w:p w14:paraId="3E100EA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Son pocas, ya que es una región con muy alta marginación (Abasolo del Valle Veracruz)</w:t>
            </w:r>
          </w:p>
        </w:tc>
      </w:tr>
      <w:tr w:rsidR="004220B7" w:rsidRPr="007923C2" w14:paraId="22FE77A0" w14:textId="77777777"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14:paraId="1B2B2C6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Alumno 20</w:t>
            </w:r>
          </w:p>
        </w:tc>
        <w:tc>
          <w:tcPr>
            <w:tcW w:w="8720" w:type="dxa"/>
            <w:tcBorders>
              <w:top w:val="single" w:sz="4" w:space="0" w:color="auto"/>
              <w:left w:val="single" w:sz="4" w:space="0" w:color="auto"/>
              <w:bottom w:val="single" w:sz="4" w:space="0" w:color="auto"/>
              <w:right w:val="single" w:sz="4" w:space="0" w:color="auto"/>
            </w:tcBorders>
            <w:vAlign w:val="bottom"/>
          </w:tcPr>
          <w:p w14:paraId="6252F14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Es de gran importancia la rehabilitación de praderas, Plantas nativas, Zonas desérticas, nivelación de terrenos</w:t>
            </w:r>
          </w:p>
        </w:tc>
      </w:tr>
      <w:tr w:rsidR="004220B7" w:rsidRPr="007923C2" w14:paraId="5A1E52EF"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173FF84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21</w:t>
            </w:r>
          </w:p>
        </w:tc>
        <w:tc>
          <w:tcPr>
            <w:tcW w:w="8720" w:type="dxa"/>
            <w:tcBorders>
              <w:top w:val="single" w:sz="4" w:space="0" w:color="auto"/>
              <w:left w:val="single" w:sz="4" w:space="0" w:color="auto"/>
              <w:bottom w:val="single" w:sz="4" w:space="0" w:color="auto"/>
              <w:right w:val="single" w:sz="4" w:space="0" w:color="auto"/>
            </w:tcBorders>
            <w:vAlign w:val="bottom"/>
          </w:tcPr>
          <w:p w14:paraId="0C23F29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Mas apoyos gubernamentales al sector primario SAGARPA</w:t>
            </w:r>
          </w:p>
        </w:tc>
      </w:tr>
      <w:tr w:rsidR="004220B7" w:rsidRPr="007923C2" w14:paraId="20800306"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586090FC"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22</w:t>
            </w:r>
          </w:p>
        </w:tc>
        <w:tc>
          <w:tcPr>
            <w:tcW w:w="8720" w:type="dxa"/>
            <w:tcBorders>
              <w:top w:val="single" w:sz="4" w:space="0" w:color="auto"/>
              <w:left w:val="single" w:sz="4" w:space="0" w:color="auto"/>
              <w:bottom w:val="single" w:sz="4" w:space="0" w:color="auto"/>
              <w:right w:val="single" w:sz="4" w:space="0" w:color="auto"/>
            </w:tcBorders>
            <w:vAlign w:val="bottom"/>
          </w:tcPr>
          <w:p w14:paraId="0BA6FE8C"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Ambiental</w:t>
            </w:r>
          </w:p>
        </w:tc>
      </w:tr>
      <w:tr w:rsidR="004220B7" w:rsidRPr="007923C2" w14:paraId="60DF9905" w14:textId="77777777"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14:paraId="6A00BF9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23</w:t>
            </w:r>
          </w:p>
        </w:tc>
        <w:tc>
          <w:tcPr>
            <w:tcW w:w="8720" w:type="dxa"/>
            <w:tcBorders>
              <w:top w:val="single" w:sz="4" w:space="0" w:color="auto"/>
              <w:left w:val="single" w:sz="4" w:space="0" w:color="auto"/>
              <w:bottom w:val="single" w:sz="4" w:space="0" w:color="auto"/>
              <w:right w:val="single" w:sz="4" w:space="0" w:color="auto"/>
            </w:tcBorders>
            <w:vAlign w:val="bottom"/>
          </w:tcPr>
          <w:p w14:paraId="39C1F4F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Invernaderos en Saltillo</w:t>
            </w:r>
          </w:p>
        </w:tc>
      </w:tr>
      <w:tr w:rsidR="004220B7" w:rsidRPr="007923C2" w14:paraId="0368E312"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7CFE473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24</w:t>
            </w:r>
          </w:p>
        </w:tc>
        <w:tc>
          <w:tcPr>
            <w:tcW w:w="8720" w:type="dxa"/>
            <w:tcBorders>
              <w:top w:val="single" w:sz="4" w:space="0" w:color="auto"/>
              <w:left w:val="single" w:sz="4" w:space="0" w:color="auto"/>
              <w:bottom w:val="single" w:sz="4" w:space="0" w:color="auto"/>
              <w:right w:val="single" w:sz="4" w:space="0" w:color="auto"/>
            </w:tcBorders>
            <w:vAlign w:val="bottom"/>
          </w:tcPr>
          <w:p w14:paraId="41FF8A4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Agro bilogía</w:t>
            </w:r>
          </w:p>
        </w:tc>
      </w:tr>
      <w:tr w:rsidR="004220B7" w:rsidRPr="007923C2" w14:paraId="66BEE040"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69DBE72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25</w:t>
            </w:r>
          </w:p>
        </w:tc>
        <w:tc>
          <w:tcPr>
            <w:tcW w:w="8720" w:type="dxa"/>
            <w:tcBorders>
              <w:top w:val="single" w:sz="4" w:space="0" w:color="auto"/>
              <w:left w:val="single" w:sz="4" w:space="0" w:color="auto"/>
              <w:bottom w:val="single" w:sz="4" w:space="0" w:color="auto"/>
              <w:right w:val="single" w:sz="4" w:space="0" w:color="auto"/>
            </w:tcBorders>
            <w:vAlign w:val="bottom"/>
          </w:tcPr>
          <w:p w14:paraId="343EC2A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Restauración forestal por los impactos ambientales</w:t>
            </w:r>
          </w:p>
        </w:tc>
      </w:tr>
      <w:tr w:rsidR="004220B7" w:rsidRPr="007923C2" w14:paraId="3EDBCA14" w14:textId="77777777"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14:paraId="43ADF80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26</w:t>
            </w:r>
          </w:p>
        </w:tc>
        <w:tc>
          <w:tcPr>
            <w:tcW w:w="8720" w:type="dxa"/>
            <w:tcBorders>
              <w:top w:val="single" w:sz="4" w:space="0" w:color="auto"/>
              <w:left w:val="single" w:sz="4" w:space="0" w:color="auto"/>
              <w:bottom w:val="single" w:sz="4" w:space="0" w:color="auto"/>
              <w:right w:val="single" w:sz="4" w:space="0" w:color="auto"/>
            </w:tcBorders>
            <w:vAlign w:val="bottom"/>
          </w:tcPr>
          <w:p w14:paraId="0411EDC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No se</w:t>
            </w:r>
          </w:p>
        </w:tc>
      </w:tr>
      <w:tr w:rsidR="004220B7" w:rsidRPr="007923C2" w14:paraId="2F2D52A6"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10E4327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27</w:t>
            </w:r>
          </w:p>
        </w:tc>
        <w:tc>
          <w:tcPr>
            <w:tcW w:w="8720" w:type="dxa"/>
            <w:tcBorders>
              <w:top w:val="single" w:sz="4" w:space="0" w:color="auto"/>
              <w:left w:val="single" w:sz="4" w:space="0" w:color="auto"/>
              <w:bottom w:val="single" w:sz="4" w:space="0" w:color="auto"/>
              <w:right w:val="single" w:sz="4" w:space="0" w:color="auto"/>
            </w:tcBorders>
            <w:vAlign w:val="bottom"/>
          </w:tcPr>
          <w:p w14:paraId="1D71BB5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La competencia laboral más que nada y los bajos salarios en todos los sectores</w:t>
            </w:r>
          </w:p>
        </w:tc>
      </w:tr>
      <w:tr w:rsidR="004220B7" w:rsidRPr="007923C2" w14:paraId="1D7872C3"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78C873C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28</w:t>
            </w:r>
          </w:p>
        </w:tc>
        <w:tc>
          <w:tcPr>
            <w:tcW w:w="8720" w:type="dxa"/>
            <w:tcBorders>
              <w:top w:val="single" w:sz="4" w:space="0" w:color="auto"/>
              <w:left w:val="single" w:sz="4" w:space="0" w:color="auto"/>
              <w:bottom w:val="single" w:sz="4" w:space="0" w:color="auto"/>
              <w:right w:val="single" w:sz="4" w:space="0" w:color="auto"/>
            </w:tcBorders>
            <w:vAlign w:val="bottom"/>
          </w:tcPr>
          <w:p w14:paraId="3D0FAD4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Que los alumnos pasen por el proceso de certificación ante la SAGARPA para elaborar proyectos</w:t>
            </w:r>
          </w:p>
        </w:tc>
      </w:tr>
      <w:tr w:rsidR="004220B7" w:rsidRPr="007923C2" w14:paraId="7F1A7DA7" w14:textId="77777777"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14:paraId="30D76C1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29</w:t>
            </w:r>
          </w:p>
        </w:tc>
        <w:tc>
          <w:tcPr>
            <w:tcW w:w="8720" w:type="dxa"/>
            <w:tcBorders>
              <w:top w:val="single" w:sz="4" w:space="0" w:color="auto"/>
              <w:left w:val="single" w:sz="4" w:space="0" w:color="auto"/>
              <w:bottom w:val="single" w:sz="4" w:space="0" w:color="auto"/>
              <w:right w:val="single" w:sz="4" w:space="0" w:color="auto"/>
            </w:tcBorders>
            <w:vAlign w:val="bottom"/>
          </w:tcPr>
          <w:p w14:paraId="535BAD7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Métodos diversos de enlatado para la conservación de la piña y cerveza</w:t>
            </w:r>
          </w:p>
        </w:tc>
      </w:tr>
      <w:tr w:rsidR="004220B7" w:rsidRPr="007923C2" w14:paraId="406947A3"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36535E3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30</w:t>
            </w:r>
          </w:p>
        </w:tc>
        <w:tc>
          <w:tcPr>
            <w:tcW w:w="8720" w:type="dxa"/>
            <w:tcBorders>
              <w:top w:val="single" w:sz="4" w:space="0" w:color="auto"/>
              <w:left w:val="single" w:sz="4" w:space="0" w:color="auto"/>
              <w:bottom w:val="single" w:sz="4" w:space="0" w:color="auto"/>
              <w:right w:val="single" w:sz="4" w:space="0" w:color="auto"/>
            </w:tcBorders>
            <w:vAlign w:val="bottom"/>
          </w:tcPr>
          <w:p w14:paraId="37512E4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La Agricultura Orgánica</w:t>
            </w:r>
          </w:p>
        </w:tc>
      </w:tr>
      <w:tr w:rsidR="004220B7" w:rsidRPr="007923C2" w14:paraId="5FAF73E7"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21EE1CF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31</w:t>
            </w:r>
          </w:p>
        </w:tc>
        <w:tc>
          <w:tcPr>
            <w:tcW w:w="8720" w:type="dxa"/>
            <w:tcBorders>
              <w:top w:val="single" w:sz="4" w:space="0" w:color="auto"/>
              <w:left w:val="single" w:sz="4" w:space="0" w:color="auto"/>
              <w:bottom w:val="single" w:sz="4" w:space="0" w:color="auto"/>
              <w:right w:val="single" w:sz="4" w:space="0" w:color="auto"/>
            </w:tcBorders>
            <w:vAlign w:val="bottom"/>
          </w:tcPr>
          <w:p w14:paraId="46DB21E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En el sector ambiental, la sustentabilidad debe mantenerse</w:t>
            </w:r>
          </w:p>
        </w:tc>
      </w:tr>
      <w:tr w:rsidR="004220B7" w:rsidRPr="007923C2" w14:paraId="39DB1C4E" w14:textId="77777777"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14:paraId="68FE437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32</w:t>
            </w:r>
          </w:p>
        </w:tc>
        <w:tc>
          <w:tcPr>
            <w:tcW w:w="8720" w:type="dxa"/>
            <w:tcBorders>
              <w:top w:val="single" w:sz="4" w:space="0" w:color="auto"/>
              <w:left w:val="single" w:sz="4" w:space="0" w:color="auto"/>
              <w:bottom w:val="single" w:sz="4" w:space="0" w:color="auto"/>
              <w:right w:val="single" w:sz="4" w:space="0" w:color="auto"/>
            </w:tcBorders>
            <w:vAlign w:val="bottom"/>
          </w:tcPr>
          <w:p w14:paraId="7D6F81F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Tecnificación de sistemas de riego</w:t>
            </w:r>
          </w:p>
        </w:tc>
      </w:tr>
      <w:tr w:rsidR="004220B7" w:rsidRPr="007923C2" w14:paraId="01D8FDB7"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25D9C22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33</w:t>
            </w:r>
          </w:p>
        </w:tc>
        <w:tc>
          <w:tcPr>
            <w:tcW w:w="8720" w:type="dxa"/>
            <w:tcBorders>
              <w:top w:val="single" w:sz="4" w:space="0" w:color="auto"/>
              <w:left w:val="single" w:sz="4" w:space="0" w:color="auto"/>
              <w:bottom w:val="single" w:sz="4" w:space="0" w:color="auto"/>
              <w:right w:val="single" w:sz="4" w:space="0" w:color="auto"/>
            </w:tcBorders>
            <w:vAlign w:val="bottom"/>
          </w:tcPr>
          <w:p w14:paraId="2DFA995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La aplicación de mas tecnología</w:t>
            </w:r>
          </w:p>
        </w:tc>
      </w:tr>
      <w:tr w:rsidR="004220B7" w:rsidRPr="007923C2" w14:paraId="493290B3" w14:textId="77777777"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7C8A12E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34</w:t>
            </w:r>
          </w:p>
        </w:tc>
        <w:tc>
          <w:tcPr>
            <w:tcW w:w="8720" w:type="dxa"/>
            <w:tcBorders>
              <w:top w:val="single" w:sz="4" w:space="0" w:color="auto"/>
              <w:left w:val="single" w:sz="4" w:space="0" w:color="auto"/>
              <w:bottom w:val="single" w:sz="4" w:space="0" w:color="auto"/>
              <w:right w:val="single" w:sz="4" w:space="0" w:color="auto"/>
            </w:tcBorders>
            <w:vAlign w:val="bottom"/>
          </w:tcPr>
          <w:p w14:paraId="5804BF7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Asesoría total de proyectos y créditos para asegurar los cultivos</w:t>
            </w:r>
          </w:p>
        </w:tc>
      </w:tr>
      <w:tr w:rsidR="004220B7" w:rsidRPr="007923C2" w14:paraId="64E51CA0" w14:textId="77777777"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14:paraId="33E5F3A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Alumno 35</w:t>
            </w:r>
          </w:p>
        </w:tc>
        <w:tc>
          <w:tcPr>
            <w:tcW w:w="8720" w:type="dxa"/>
            <w:tcBorders>
              <w:top w:val="single" w:sz="4" w:space="0" w:color="auto"/>
              <w:left w:val="single" w:sz="4" w:space="0" w:color="auto"/>
              <w:bottom w:val="single" w:sz="4" w:space="0" w:color="auto"/>
              <w:right w:val="single" w:sz="4" w:space="0" w:color="auto"/>
            </w:tcBorders>
            <w:vAlign w:val="bottom"/>
          </w:tcPr>
          <w:p w14:paraId="17C1123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La producción de papa, manzana y ganadería y leche en la región de Saltillo y Arteaga</w:t>
            </w:r>
          </w:p>
        </w:tc>
      </w:tr>
    </w:tbl>
    <w:p w14:paraId="448812FF" w14:textId="77777777" w:rsidR="004220B7" w:rsidRPr="007923C2" w:rsidRDefault="004220B7" w:rsidP="004220B7">
      <w:pPr>
        <w:jc w:val="both"/>
        <w:rPr>
          <w:rFonts w:ascii="Arial" w:hAnsi="Arial" w:cs="Arial"/>
          <w:sz w:val="22"/>
          <w:szCs w:val="22"/>
        </w:rPr>
      </w:pPr>
    </w:p>
    <w:p w14:paraId="334D978E"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LUGARES EN DONDE TRABAJAN LOS EGRESADOS DE LA CARRERA DE INGENIERO EN AGROBIOLOGÍA.</w:t>
      </w:r>
    </w:p>
    <w:p w14:paraId="42BBF10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1.-Productos agrícolas los Asmoles SPR de RL- Encargado de producción</w:t>
      </w:r>
    </w:p>
    <w:p w14:paraId="3F1AC6E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2.-Ingenio Santa Clara SA de CV- Jefe de investigación agrícola.</w:t>
      </w:r>
    </w:p>
    <w:p w14:paraId="014E581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3.-Agro servicios técnicos de la Laguna SA de CV- Manejo de plagas de algodón.</w:t>
      </w:r>
    </w:p>
    <w:p w14:paraId="3595B2E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4.-Instituto de Reconversión productiva y hortalizas bioenergético.-Responsable de vivero.</w:t>
      </w:r>
    </w:p>
    <w:p w14:paraId="4AFD5E9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5.-Ecología del Municipio de Pedro Escobedo Querétaro-Campañas de reforestación, talleres de Educación ambiental.</w:t>
      </w:r>
    </w:p>
    <w:p w14:paraId="7523039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6.-Docente en el centro de bachillerato Tecnológico Agropecuario.</w:t>
      </w:r>
    </w:p>
    <w:p w14:paraId="5B4DF3A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7.-Red Mexicana de esfuerzos contra la desertificación y degradación de recursos naturales AC.</w:t>
      </w:r>
    </w:p>
    <w:p w14:paraId="5888227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8.-FERSINSA- Microbiología industrial.</w:t>
      </w:r>
    </w:p>
    <w:p w14:paraId="799EBA7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9.-INEGI</w:t>
      </w:r>
    </w:p>
    <w:p w14:paraId="596470D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10.-SAGARPA</w:t>
      </w:r>
    </w:p>
    <w:p w14:paraId="7D4B0EC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11.-Secretaria del Medio Ambiente Saltillo Coah.</w:t>
      </w:r>
    </w:p>
    <w:p w14:paraId="4382B41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12.-Servicios y estudios integrales en ingeniería ambiental SA de CV </w:t>
      </w:r>
    </w:p>
    <w:p w14:paraId="0844DC3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13.-Colegio de estudios científicos y tecnológicos del Estado de Coahuila.</w:t>
      </w:r>
    </w:p>
    <w:p w14:paraId="54C0BA0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14.-Alfa grupo tecnológico SA de CV- Proyectos agrícolas.</w:t>
      </w:r>
    </w:p>
    <w:p w14:paraId="00AD005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15.-Comisión Nacional Forestal- Agente para el desarrollo agrícola. </w:t>
      </w:r>
    </w:p>
    <w:p w14:paraId="07F3287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16.- Consultoría de Proyectos Zona Mixe SC- Técnico facilitador especialista en café.</w:t>
      </w:r>
    </w:p>
    <w:p w14:paraId="1663C6F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17.-Greencorp Biorganiks de México SA de CV</w:t>
      </w:r>
    </w:p>
    <w:p w14:paraId="0CD54C3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18.-Desarrollo de café orgánico en Chiapas.</w:t>
      </w:r>
    </w:p>
    <w:p w14:paraId="6DD883B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19.-PROFEPA Ramos Arizpe Coahuila</w:t>
      </w:r>
    </w:p>
    <w:p w14:paraId="26422DD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20.-Producción de tomate en invernadero Chiapas.</w:t>
      </w:r>
    </w:p>
    <w:p w14:paraId="53E5098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21.-INIFAP</w:t>
      </w:r>
    </w:p>
    <w:p w14:paraId="14ABBFB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22.-CIQA</w:t>
      </w:r>
    </w:p>
    <w:p w14:paraId="1BE6750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23.-Procuraduría Ambiental y de ordenamiento territorial del Estado de Guanajuato- Inspector ambiental.</w:t>
      </w:r>
    </w:p>
    <w:p w14:paraId="73241AB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24.-INEA – Docente</w:t>
      </w:r>
    </w:p>
    <w:p w14:paraId="4B22509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25.-Servicios Agropecuarios Olor a Tierra SC- Coordinador de proyectos.</w:t>
      </w:r>
    </w:p>
    <w:p w14:paraId="7E79ECB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26.-Consultoría en servicios técnicos, proyectos estratégicos de seguridad alimentaria de la SAGARPA Oaxaca.</w:t>
      </w:r>
    </w:p>
    <w:p w14:paraId="267C30F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27.-Agente de desarrollo local del fondo internacional para el desarrollo agrícola en el marco del desarrollo comunitario de los estados del sur.</w:t>
      </w:r>
    </w:p>
    <w:p w14:paraId="056EEB4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28.-  Ingenio azucarero de Veracruz</w:t>
      </w:r>
    </w:p>
    <w:p w14:paraId="0B44556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29.- Universidad Autónoma Agraria Antonio Narro –Profesor investigador.</w:t>
      </w:r>
    </w:p>
    <w:p w14:paraId="578C8DF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30.-CONAFOR</w:t>
      </w:r>
    </w:p>
    <w:p w14:paraId="462EC56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31.-Industria automotriz Departamento de control ambiental</w:t>
      </w:r>
    </w:p>
    <w:p w14:paraId="618317EB" w14:textId="77777777" w:rsidR="00363C18" w:rsidRDefault="00363C18" w:rsidP="004220B7">
      <w:pPr>
        <w:jc w:val="both"/>
        <w:rPr>
          <w:rFonts w:ascii="Arial" w:hAnsi="Arial" w:cs="Arial"/>
          <w:b/>
          <w:sz w:val="22"/>
          <w:szCs w:val="22"/>
        </w:rPr>
      </w:pPr>
    </w:p>
    <w:p w14:paraId="7D3970DA"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4.2.1.6.- FLUCTUACIONES DE PRECIOS</w:t>
      </w:r>
    </w:p>
    <w:p w14:paraId="1FAB5D4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Indicadores Económicos de México</w:t>
      </w:r>
    </w:p>
    <w:p w14:paraId="0C26067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interpretar los indicadores económicos permite a los gobiernos tomar decisiones en materia monetaria y fiscal, y sobre todo pronosticar y anticipar los cambios futuros. De igual forma a la iniciativa privada y ciudadanos en general les permite conocer si la situación de la economía nacional mejora o se deter</w:t>
      </w:r>
      <w:r w:rsidR="00490A1B" w:rsidRPr="007923C2">
        <w:rPr>
          <w:rFonts w:ascii="Arial" w:hAnsi="Arial" w:cs="Arial"/>
          <w:sz w:val="22"/>
          <w:szCs w:val="22"/>
        </w:rPr>
        <w:t>i</w:t>
      </w:r>
      <w:r w:rsidRPr="007923C2">
        <w:rPr>
          <w:rFonts w:ascii="Arial" w:hAnsi="Arial" w:cs="Arial"/>
          <w:sz w:val="22"/>
          <w:szCs w:val="22"/>
        </w:rPr>
        <w:t>ora.</w:t>
      </w:r>
    </w:p>
    <w:p w14:paraId="29D3F53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Entre los indicadores económicos más relevantes ´de México se encuentran: El Producto Interno Bruto, la Inflación, las Tasas de Interés, el Índice de Precios y Cotizaciones de la Bolsa Mexicana de Valores, la Tasa de Desempleo, Balanza de Pago asi como el Riesgo País y el EMBI.</w:t>
      </w:r>
    </w:p>
    <w:p w14:paraId="437389A9" w14:textId="77777777" w:rsidR="004220B7" w:rsidRPr="007923C2" w:rsidRDefault="004220B7" w:rsidP="004220B7">
      <w:pPr>
        <w:jc w:val="both"/>
        <w:rPr>
          <w:rFonts w:ascii="Arial" w:hAnsi="Arial" w:cs="Arial"/>
          <w:sz w:val="22"/>
          <w:szCs w:val="22"/>
        </w:rPr>
      </w:pPr>
    </w:p>
    <w:p w14:paraId="4274FF32"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28FD0368" wp14:editId="0D7872EB">
            <wp:extent cx="2839720" cy="1828800"/>
            <wp:effectExtent l="0" t="0" r="0" b="0"/>
            <wp:docPr id="416" name="Imagen 416" descr="Indicadores Económ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dicadores Económico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39720" cy="1828800"/>
                    </a:xfrm>
                    <a:prstGeom prst="rect">
                      <a:avLst/>
                    </a:prstGeom>
                    <a:noFill/>
                    <a:ln>
                      <a:noFill/>
                    </a:ln>
                  </pic:spPr>
                </pic:pic>
              </a:graphicData>
            </a:graphic>
          </wp:inline>
        </w:drawing>
      </w:r>
    </w:p>
    <w:p w14:paraId="1D6F031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Principales Indicadores Económicos</w:t>
      </w:r>
    </w:p>
    <w:p w14:paraId="46D6991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Producto Interno Bruto</w:t>
      </w:r>
    </w:p>
    <w:p w14:paraId="31BB09DA" w14:textId="0E6BA86A" w:rsidR="004220B7" w:rsidRPr="007923C2" w:rsidRDefault="004220B7" w:rsidP="004220B7">
      <w:pPr>
        <w:jc w:val="both"/>
        <w:rPr>
          <w:rFonts w:ascii="Arial" w:hAnsi="Arial" w:cs="Arial"/>
          <w:sz w:val="22"/>
          <w:szCs w:val="22"/>
        </w:rPr>
      </w:pPr>
      <w:r w:rsidRPr="007923C2">
        <w:rPr>
          <w:rFonts w:ascii="Arial" w:hAnsi="Arial" w:cs="Arial"/>
          <w:sz w:val="22"/>
          <w:szCs w:val="22"/>
        </w:rPr>
        <w:t>El Producto Interno Bruto (PIB) es uno de los indicadores económicos que se refiere al valor monetario de la suma de bienes y servicios finales producidos por una economía en un período determinado. Es  el indicador que muestra cómo se encuentra la economía en general del país, para el caso de México la publicación es cada tres meses. Según datos de INEGI, en su comparación anual y con datos originales, el PIB se incrementó 3.2% en el cuarto trimestre de 2012 con relación a igual lapso de un año antes, como resultado del desempeño positivo de los tres grandes grupos de actividades que lo integran: las Actividades Primarias fueron mayores en 2.09% y las Terciarias en 0.68%, en tanto que las Secundarias retrocedieron (-)</w:t>
      </w:r>
      <w:r w:rsidR="00643927">
        <w:rPr>
          <w:rFonts w:ascii="Arial" w:hAnsi="Arial" w:cs="Arial"/>
          <w:sz w:val="22"/>
          <w:szCs w:val="22"/>
        </w:rPr>
        <w:t xml:space="preserve"> </w:t>
      </w:r>
      <w:r w:rsidRPr="007923C2">
        <w:rPr>
          <w:rFonts w:ascii="Arial" w:hAnsi="Arial" w:cs="Arial"/>
          <w:sz w:val="22"/>
          <w:szCs w:val="22"/>
        </w:rPr>
        <w:t>0.21% frente al trimestre anterior.</w:t>
      </w:r>
    </w:p>
    <w:p w14:paraId="6F75C08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Inflación</w:t>
      </w:r>
    </w:p>
    <w:p w14:paraId="13677D5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inflación, otro de los indicadores económicos caracterizado por el aumento generalizado y sostenido de los precios de bienes y servicios en un país. Para la primera quincena de marzo los precios al consumidor en México se incrementaron 0.52%, habiéndose reflejado un incremento en la tasa de inflación anual de 3.55 a 4.12% debido a los aumentos en precios agropecuarios y telefonía móvil, nivel que no se registraba desde el 2008. En contraste los precios al consumidor aumentaron 0.15 por ciento en la primera quincena de enero, con lo cual la inflación anual se ubicó en 3.21 por ciento, su menor nivel en 14 meses.</w:t>
      </w:r>
    </w:p>
    <w:p w14:paraId="57E34BE5" w14:textId="5328B669" w:rsidR="004220B7" w:rsidRPr="007923C2" w:rsidRDefault="004220B7" w:rsidP="004220B7">
      <w:pPr>
        <w:jc w:val="both"/>
        <w:rPr>
          <w:rFonts w:ascii="Arial" w:hAnsi="Arial" w:cs="Arial"/>
          <w:sz w:val="22"/>
          <w:szCs w:val="22"/>
        </w:rPr>
      </w:pPr>
      <w:r w:rsidRPr="007923C2">
        <w:rPr>
          <w:rFonts w:ascii="Arial" w:hAnsi="Arial" w:cs="Arial"/>
          <w:sz w:val="22"/>
          <w:szCs w:val="22"/>
        </w:rPr>
        <w:t> Tasas de interés</w:t>
      </w:r>
    </w:p>
    <w:p w14:paraId="45E3711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Las tasas de interés son otro de los indicadores económicos de fundamental valor en la economía de un país ya que  representan las fluctuaciones de los precios de las divisas en los mercados cambiarios o bien llámese el precio del dinero. La tasa de Interés Interbancaria de Equilibrio (TIIE), utiliza como referencia para diversos instrumentos y productos financieros, tales como tarjetas de crédito, calculada diariamente por el Banco de México con base en cotizaciones presentadas por las instituciones de crédito. El tipo de cambio (FIX) para el día 4 de abril de 2013 fue  de 12.3197, es determinado por el </w:t>
      </w:r>
      <w:r w:rsidRPr="007923C2">
        <w:rPr>
          <w:rFonts w:ascii="Arial" w:hAnsi="Arial" w:cs="Arial"/>
          <w:sz w:val="22"/>
          <w:szCs w:val="22"/>
        </w:rPr>
        <w:lastRenderedPageBreak/>
        <w:t>Banco de México con base en un promedio de cotizaciones del mercado de cambios al mayoreo para operaciones liquidables el segundo día hábil bancario siguiente.</w:t>
      </w:r>
    </w:p>
    <w:p w14:paraId="4175BA6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Índice de Precios y Cotizaciones</w:t>
      </w:r>
    </w:p>
    <w:p w14:paraId="5C7D96E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índice de precios y cotizaciones de la Bolsa Mexicana de Valores, el IPC, que mide el rendimiento del mercado accionario del país con base a la evolución de la variación de los precios de las empresas que lo conforman, es otro de los indicadores  que va a reflejar los problemas económicos del país significativamente si el IPC generan cuantiosas pérdidas o ganancias. El IPC de la bolsa por citar un ejemplo, cumplió con un objetivo de caída hasta su promedio móvil de 200 días, donde tuvo un ligero rebote en marzo de 2013 sin poder asegurar que hubiera tocado fondo, pero si una primera señal que podría haber manifestado el final de ese ajuste que hubiera iniciado a finales de enero de 2013.</w:t>
      </w:r>
    </w:p>
    <w:p w14:paraId="591200D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Tasa de Desempleo</w:t>
      </w:r>
    </w:p>
    <w:p w14:paraId="22B62BE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tasa de desempleo de un país  refiriéndose  a la población económicamente activa que está buscando un trabajo pero no lo consigue, es uno de los </w:t>
      </w:r>
      <w:r w:rsidR="00236365" w:rsidRPr="007923C2">
        <w:rPr>
          <w:rFonts w:ascii="Arial" w:hAnsi="Arial" w:cs="Arial"/>
          <w:sz w:val="22"/>
          <w:szCs w:val="22"/>
        </w:rPr>
        <w:t>indicadores económicos</w:t>
      </w:r>
      <w:r w:rsidRPr="007923C2">
        <w:rPr>
          <w:rFonts w:ascii="Arial" w:hAnsi="Arial" w:cs="Arial"/>
          <w:sz w:val="22"/>
          <w:szCs w:val="22"/>
        </w:rPr>
        <w:t> que refleja  cual es la situación económico financiera del país. Durante el segundo mes de 2013, la tasa de desempleo en México disminuyó a 4.85%, menor a 5.33% reportado en igual mes de 2012, según información  del INEGI. La Población Económicamente Activa (PEA) ocupada, se ubicó en 95.15 por ciento.</w:t>
      </w:r>
    </w:p>
    <w:p w14:paraId="41BF8F9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Balanza de Pago</w:t>
      </w:r>
    </w:p>
    <w:p w14:paraId="6CF5718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balanza de pagos refleja las estadísticas de comercio internacional, el balance comercial, el balance entre las exportaciones y las importaciones y los pagos de transferencias.  Es decir los pagos que se reciben de países extranjeros y la cantidad de pagos efectuados que el país doméstico hacen hacia el exterior. La entrada y salida de divisas en la actividad comercial  mostrando que tan endeudado está el país.</w:t>
      </w:r>
    </w:p>
    <w:p w14:paraId="1F11D6D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economía mexicana captó en el 2012 un monto de inversión extranjera directa por 12 mil 659 millones de dólares, en tanto que el valor de la inversión directa de mexicanos en el exterior ascendió a 25 mil 596 millones de dólares.  La cuenta corriente de la balanza de pagos de México cerró en 2012 con un déficit de nueve mil 249 millones de dólares, monto  equivalente  a 0.8 por ciento del Producto Interno Bruto (PIB), según información del Banco de México (Banxico).</w:t>
      </w:r>
    </w:p>
    <w:p w14:paraId="0A6B949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ENTORNO ECONÓMICO </w:t>
      </w:r>
    </w:p>
    <w:p w14:paraId="5C30AF0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Paquete Económico 2016 estará enmarcado en un contexto de mayor crecimiento, aunque con un panorama externo complejo y volátil.</w:t>
      </w:r>
    </w:p>
    <w:p w14:paraId="52B6E27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pesar de un entorno externo, se espera una aceleración económica en 2016. Sin embargo, la tasa de crecimiento apunta a ser menor a la estimada en Pre-criterios.</w:t>
      </w:r>
    </w:p>
    <w:p w14:paraId="4D1B3AB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estima que en 2016, prevalezca un bajo nivel de precios del petróleo con altos riesgos a la baja.</w:t>
      </w:r>
    </w:p>
    <w:p w14:paraId="28A9250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caída en la producción de petróleo ha sido significativa en 2014 y 2015. Se espera que en 2016 se estabilice la plataforma y comience a crecer en 2017 apoyada en la Reforma Energética.</w:t>
      </w:r>
    </w:p>
    <w:p w14:paraId="7BFE322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aumento de los ingresos tributarios asociados a la Reforma Hacendaria</w:t>
      </w:r>
      <w:r w:rsidR="00DC0773">
        <w:rPr>
          <w:rFonts w:ascii="Arial" w:hAnsi="Arial" w:cs="Arial"/>
          <w:sz w:val="22"/>
          <w:szCs w:val="22"/>
        </w:rPr>
        <w:t>,</w:t>
      </w:r>
      <w:r w:rsidRPr="007923C2">
        <w:rPr>
          <w:rFonts w:ascii="Arial" w:hAnsi="Arial" w:cs="Arial"/>
          <w:sz w:val="22"/>
          <w:szCs w:val="22"/>
        </w:rPr>
        <w:t xml:space="preserve"> compensan la caída de los ingresos petroleros derivado de los menores precios del petróleo.</w:t>
      </w:r>
    </w:p>
    <w:p w14:paraId="61D67C8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El Gobierno Federal plantea reducir el déficit en 2016, como se comprometió desde 2013, para regresar a un presupuesto balanceado en 2017.</w:t>
      </w:r>
    </w:p>
    <w:p w14:paraId="7C74EF3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MEDIDAS PARA PRESERVAR LA ESTABILIDAD</w:t>
      </w:r>
    </w:p>
    <w:p w14:paraId="2D0AAB9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Paquete Económico 2016 está construido sobre premisas sólidas y prudentes para garantizar que contribuya al cumplimiento de las metas de finanzas públicas comprometidas en 2013 para eliminar el déficit en el 2017 y llevar el nivel de endeudamiento a una trayectoria decreciente en relación con el PIB.</w:t>
      </w:r>
    </w:p>
    <w:p w14:paraId="0D665F3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principal objetivo es mantener la estabilidad macroeconómica, la cual, permitirá preservar el patrimonio, el ingreso y el poder adquisitivo de las familias. Dicho objetivo descansará en instrumentos como unas finanzas públicas sanas y una política monetaria autónoma y prudente.</w:t>
      </w:r>
    </w:p>
    <w:p w14:paraId="2B5F3E6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Estabilidad macroeconómica</w:t>
      </w:r>
    </w:p>
    <w:p w14:paraId="7FEAFB6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1. Marco macroeconómico responsable: Es el conjunto de parámetros sobre el que se construye la estimación de ingresos y gastos. Es indispensable que sea realista para que contribuya al cumplimiento de las metas.</w:t>
      </w:r>
    </w:p>
    <w:p w14:paraId="74BC229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Variables acorde al Mercado. Tanto el crecimiento económico esperado como la inflación, las tasas de interés y el tipo de cambio utilizan estimaciones muy similares a las que espera el mercado o incluso más conservadoras cuando algún parámetro es volátil y difícil de predecir.</w:t>
      </w:r>
    </w:p>
    <w:p w14:paraId="708707B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El precio del petróleo es la variable que más impacto tiene sobre los ingresos presupuestarios.</w:t>
      </w:r>
    </w:p>
    <w:p w14:paraId="073EE44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Programa de Coberturas. Se obtuvieron coberturas a un costo promedio de 49 dólares por barril, el cual es un nivel menor a 2015 (76 dpb) pero mayor a los precios actuales.</w:t>
      </w:r>
    </w:p>
    <w:p w14:paraId="12C721B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Para estimar los ingresos petroleros y construir el paquete económico, se utilizará un precio similar al que se logró cubrir aun cuando la fórmula establecida en la Ley de Presupuesto y Responsabilidad Hacendaria permitiría utilizar un número mayor (alrededor de 60 dpb).</w:t>
      </w:r>
    </w:p>
    <w:p w14:paraId="7C65921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2. Reducción del Déficit.</w:t>
      </w:r>
    </w:p>
    <w:p w14:paraId="5FA18A8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Se ratifica el compromiso de reducir el déficit 0.5% en 2016 de conformidad con la trayectoria establecida en 2013.</w:t>
      </w:r>
    </w:p>
    <w:p w14:paraId="534CAD6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No se incrementan los impuestos ni la deuda.</w:t>
      </w:r>
    </w:p>
    <w:p w14:paraId="3FA5C12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El gobierno es el que “se aprieta el cinturón” con un ajuste del gasto, el cual se ha dado de forma gradual y ordenada desde enero de 2015.</w:t>
      </w:r>
    </w:p>
    <w:p w14:paraId="54F0DD5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El monto del ajuste es similar al estimado en Pre-criterios.</w:t>
      </w:r>
    </w:p>
    <w:p w14:paraId="37687EC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3. Reforma a la Ley de Presupuesto y Responsabilidad Hacendaria</w:t>
      </w:r>
    </w:p>
    <w:p w14:paraId="3ED4F4F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Se presentará una reforma para que la gran mayoría de los ingresos extraordinarios no recurrentes (asociado a fluctuaciones en el tipo de cambio) estén destinados a reducir la deuda de forma anticipada.</w:t>
      </w:r>
    </w:p>
    <w:p w14:paraId="0AC6323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PARA PROMOVER EL AHORRO Y LA INVERSIÓN</w:t>
      </w:r>
    </w:p>
    <w:p w14:paraId="708178A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El gobierno Federal ha preparado un paquete de medidas para promover el ahorro y la inversión. Las medidas modifican aspectos puntuales del marco tributario, que buscan facilitar el ahorro de las familias y la inversión de las empresas del país, pero garantizando en todo momento la fortaleza de los ingresos públicos.</w:t>
      </w:r>
    </w:p>
    <w:p w14:paraId="31FF084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Para promover el ahorro: Es necesario promover el ahorro doméstico en un entorno de mayores tasas de interés y menor disponibilidad de recursos a nivel internacional. Para ello se propone:Que la retención que hacen los intermediarios financieros a los ingresos por intereses de las personas refleje de forma más adecuada los rendimientos. Que las personas físicas puedan deducir sus aportaciones a instrumentos de ahorro de largo plazo sin que les aplique el límite global a las deducciones personales .Establecer un programa temporal de repatriación de capitales.</w:t>
      </w:r>
    </w:p>
    <w:p w14:paraId="1FEE0CE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Para promover la inversión: las medidas se enfocan a los sectores más sensibles a las condiciones de liquidez o a sectores determinantes de la competitividad. Deducción inmediata de la inversión para PYMES y sectores de energía e infraestructura. Estímulo a la reinversión de utilidades por parte de las empresas.</w:t>
      </w:r>
    </w:p>
    <w:p w14:paraId="0A70A8D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Para promover la formalización: se profundizan las medidas que se han venido adoptando para fomentar la formalización. Se propone:</w:t>
      </w:r>
    </w:p>
    <w:p w14:paraId="1F0B2F0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Realizar un sorteo fiscal 3 veces al año. Podrán participar quienes realicen sus compras mediante medios electrónicos y solicitando comprobante fiscal digital.</w:t>
      </w:r>
    </w:p>
    <w:p w14:paraId="0B180C5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Que las Pymes puedan optar por permitir al SAT compartir su información para la elaboración de calificaciones crediticias.</w:t>
      </w:r>
    </w:p>
    <w:p w14:paraId="349E358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Fortalecer el Régimen de Incorporación Fiscal (RIF), ampliando el universo de contribuyentes que pueden participar.</w:t>
      </w:r>
    </w:p>
    <w:p w14:paraId="34795B2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Medidas sectoriales (misceláneas): medidas específicas para corregir distorsiones y facilitar el ajuste a las nuevas disposiciones fiscales. Estímulo complementario a la inversión en energías renovables y disposiciones para facilitar la inversión en generación de electricidad. Extender el estímulo del diésel al sector minero.Medidas para acelerar el proceso de desconsolidación (dividendos contables, pérdidas por enajenación de acciones y desconsolidación de pérdidas). Mejorar la definición de pequeño productor del sector primario.</w:t>
      </w:r>
    </w:p>
    <w:p w14:paraId="2EAAEDD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Transición para la liberalización de los precios de las gasolinas. Establecer un impuesto fijo a las gasolinas que permita que los precios de las gasolinas reflejen las fluctuaciones de los precios internacionales, de tal forma que cuando disminuyan como ha sucedido recientemente, las familias mexicanas puedan disfrutar de menores precios.</w:t>
      </w:r>
    </w:p>
    <w:p w14:paraId="2D5DEC1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PRESUPUESTO BASE CERO</w:t>
      </w:r>
    </w:p>
    <w:p w14:paraId="0735E9F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Reingeniería del Gasto 2016 se realizó con base en los siguientes ejes:</w:t>
      </w:r>
    </w:p>
    <w:p w14:paraId="3A5DA5DD" w14:textId="77777777" w:rsidR="004220B7" w:rsidRPr="00DC0773" w:rsidRDefault="004220B7" w:rsidP="004220B7">
      <w:pPr>
        <w:jc w:val="both"/>
        <w:rPr>
          <w:rFonts w:ascii="Arial" w:hAnsi="Arial" w:cs="Arial"/>
          <w:b/>
          <w:sz w:val="22"/>
          <w:szCs w:val="22"/>
        </w:rPr>
      </w:pPr>
      <w:r w:rsidRPr="00DC0773">
        <w:rPr>
          <w:rFonts w:ascii="Arial" w:hAnsi="Arial" w:cs="Arial"/>
          <w:b/>
          <w:sz w:val="22"/>
          <w:szCs w:val="22"/>
        </w:rPr>
        <w:t>1. Programas presupuestarios.</w:t>
      </w:r>
    </w:p>
    <w:p w14:paraId="35B0CFC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Revisión profunda de la Estructura Programática.</w:t>
      </w:r>
    </w:p>
    <w:p w14:paraId="5B20AE0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Se identificaron complementariedades, similitudes y/o duplicidades en los objetivos y alcances.</w:t>
      </w:r>
    </w:p>
    <w:p w14:paraId="0FC067F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Se realizaron fusiones, eliminaciones, re-sectorizaciones de programas.</w:t>
      </w:r>
    </w:p>
    <w:p w14:paraId="6360E4B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 Priorización de programas de acuerdo a los objetivos del PND 2013-2018.</w:t>
      </w:r>
    </w:p>
    <w:p w14:paraId="1732271B" w14:textId="77777777" w:rsidR="004220B7" w:rsidRPr="00DC0773" w:rsidRDefault="004220B7" w:rsidP="004220B7">
      <w:pPr>
        <w:jc w:val="both"/>
        <w:rPr>
          <w:rFonts w:ascii="Arial" w:hAnsi="Arial" w:cs="Arial"/>
          <w:b/>
          <w:sz w:val="22"/>
          <w:szCs w:val="22"/>
        </w:rPr>
      </w:pPr>
      <w:r w:rsidRPr="00DC0773">
        <w:rPr>
          <w:rFonts w:ascii="Arial" w:hAnsi="Arial" w:cs="Arial"/>
          <w:b/>
          <w:sz w:val="22"/>
          <w:szCs w:val="22"/>
        </w:rPr>
        <w:t>2. Estructuras orgánicas.</w:t>
      </w:r>
    </w:p>
    <w:p w14:paraId="7A12F14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Centralización de áreas transversales en dependencias coordinadoras de sector.</w:t>
      </w:r>
    </w:p>
    <w:p w14:paraId="43BE182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Administración, planeación, evaluación, vinculación, comunicación social, relaciones internacionales, Órganos Internos de Control.</w:t>
      </w:r>
    </w:p>
    <w:p w14:paraId="6EB1DD1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Fusiones o eliminaciones de áreas o estructuras que presenten duplicidades o similitudes</w:t>
      </w:r>
    </w:p>
    <w:p w14:paraId="387BD9C1" w14:textId="77777777" w:rsidR="004220B7" w:rsidRPr="00DC0773" w:rsidRDefault="004220B7" w:rsidP="004220B7">
      <w:pPr>
        <w:jc w:val="both"/>
        <w:rPr>
          <w:rFonts w:ascii="Arial" w:hAnsi="Arial" w:cs="Arial"/>
          <w:b/>
          <w:sz w:val="22"/>
          <w:szCs w:val="22"/>
        </w:rPr>
      </w:pPr>
      <w:r w:rsidRPr="00DC0773">
        <w:rPr>
          <w:rFonts w:ascii="Arial" w:hAnsi="Arial" w:cs="Arial"/>
          <w:b/>
          <w:sz w:val="22"/>
          <w:szCs w:val="22"/>
        </w:rPr>
        <w:t>3. Gastos Administrativos.</w:t>
      </w:r>
    </w:p>
    <w:p w14:paraId="025D9AA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Reducción de gastos de alimentación, telefonía, comunicación social, asesorías y consultorías, viáticos, pasajes, materiales y suministros, impresiones y fotocopiado, congresos y convenciones, entre otros.</w:t>
      </w:r>
    </w:p>
    <w:p w14:paraId="5C02D4D4" w14:textId="77777777" w:rsidR="004220B7" w:rsidRPr="00DC0773" w:rsidRDefault="004220B7" w:rsidP="004220B7">
      <w:pPr>
        <w:jc w:val="both"/>
        <w:rPr>
          <w:rFonts w:ascii="Arial" w:hAnsi="Arial" w:cs="Arial"/>
          <w:b/>
          <w:sz w:val="22"/>
          <w:szCs w:val="22"/>
        </w:rPr>
      </w:pPr>
      <w:r w:rsidRPr="00DC0773">
        <w:rPr>
          <w:rFonts w:ascii="Arial" w:hAnsi="Arial" w:cs="Arial"/>
          <w:b/>
          <w:sz w:val="22"/>
          <w:szCs w:val="22"/>
        </w:rPr>
        <w:t>4. Programas y proyectos de inversión.</w:t>
      </w:r>
    </w:p>
    <w:p w14:paraId="73ABB2E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Avance en las factibilidades técnica, legal, social, ambiental y económica.</w:t>
      </w:r>
    </w:p>
    <w:p w14:paraId="1CFAB88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Compromisos de Gobierno o previstos en el Programa Nacional de Infraestructura.</w:t>
      </w:r>
    </w:p>
    <w:p w14:paraId="598716C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Mejores resultados de variables socioeconómicas.</w:t>
      </w:r>
    </w:p>
    <w:p w14:paraId="2E82699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Número de personas beneficiadas.</w:t>
      </w:r>
    </w:p>
    <w:p w14:paraId="5C190198" w14:textId="77777777" w:rsidR="004220B7" w:rsidRDefault="004220B7" w:rsidP="004220B7">
      <w:pPr>
        <w:jc w:val="both"/>
        <w:rPr>
          <w:rFonts w:ascii="Arial" w:hAnsi="Arial" w:cs="Arial"/>
          <w:sz w:val="22"/>
          <w:szCs w:val="22"/>
        </w:rPr>
      </w:pPr>
      <w:r w:rsidRPr="007923C2">
        <w:rPr>
          <w:rFonts w:ascii="Arial" w:hAnsi="Arial" w:cs="Arial"/>
          <w:sz w:val="22"/>
          <w:szCs w:val="22"/>
        </w:rPr>
        <w:t>- Impacto regional, particularmente en la zona sur-sureste.</w:t>
      </w:r>
    </w:p>
    <w:p w14:paraId="484A945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Reingeniería del gasto</w:t>
      </w:r>
    </w:p>
    <w:p w14:paraId="70295E3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Para determinar el Presupuesto 2016 se tomó en cuenta el desempeño de los programas y se optimizaron los recursos de las dependencias de la Administración Pública.Se consideraron las evaluaciones de desempeño de cada programa, las recomendaciones de la Auditoría Superior de la Federación y las del CONEVAL. No se afectaron los programas sociales fuerte y medianamente prioritarios (CONEVAL) vinculados a la disminución de las carencias sociales y al acceso efectivo de los derechos sociales. Los Ramos Administrativos del Gobierno Federal han realizado esfuerzos extraordinarios para lograr la reducción de los servicios personales y de los gastos de operación. </w:t>
      </w:r>
    </w:p>
    <w:p w14:paraId="7E11306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dio prioridad a los proyectos de inversión que fomentan el desarrollo regional, a los que dan cumplimiento a los compromisos de gobierno y a los que se encuentran en el Programa Nacional de Infraestructura. Se protegieron los programas que tienen un efecto multiplicador en la economía.</w:t>
      </w:r>
    </w:p>
    <w:p w14:paraId="747C104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Educación</w:t>
      </w:r>
    </w:p>
    <w:p w14:paraId="56895AA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privilegió el presupuesto de las instituciones de educación superior.</w:t>
      </w:r>
    </w:p>
    <w:p w14:paraId="6E683B1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favoreció a la Ciencia y la Tecnología en 2016.</w:t>
      </w:r>
    </w:p>
    <w:p w14:paraId="2FAFF3E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fortaleció la promoción de la cultura, con programas vinculados con ésta.</w:t>
      </w:r>
    </w:p>
    <w:p w14:paraId="0C2D3CF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crearon dos nuevos programas de educación para mejorar la convivencia escolar (anti “bullying”) y para ayudar al aprendizaje del idioma inglés.</w:t>
      </w:r>
    </w:p>
    <w:p w14:paraId="3E87905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Salud</w:t>
      </w:r>
    </w:p>
    <w:p w14:paraId="71BA1D1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Se dio prioridad a los recursos para atención a la salud, programa de vacunación, vigilancia epidemiológica, y prevención y control de sobrepeso, obesidad y diabetes.</w:t>
      </w:r>
    </w:p>
    <w:p w14:paraId="0BFA1AD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Combate a la pobreza y seguridad social</w:t>
      </w:r>
    </w:p>
    <w:p w14:paraId="14E4D27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No se afectaron los recursos de los programas sociales prioritarios dedicados al abatimiento de las carencias en la población.</w:t>
      </w:r>
    </w:p>
    <w:p w14:paraId="296B250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No se afectaron los recursos de PROSPERA.</w:t>
      </w:r>
    </w:p>
    <w:p w14:paraId="0E794D4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dio prioridad a los programas de apoyo a la población indígena.</w:t>
      </w:r>
    </w:p>
    <w:p w14:paraId="5E9733D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fortaleció el presupuesto de los programas prioritarios que disminuyen las carencias por ingresos, incluido el Programa Nacional de Becas.</w:t>
      </w:r>
    </w:p>
    <w:p w14:paraId="69AC0FF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Fomento al crecimiento económico</w:t>
      </w:r>
    </w:p>
    <w:p w14:paraId="08EDB9F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dio prioridad a los programas de vivienda y de infraestructura que fomentan el crecimiento económico.</w:t>
      </w:r>
    </w:p>
    <w:p w14:paraId="23052CC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Aumentó el presupuesto para los programas de reconstrucción y conservación de carreteras, así como de los de infraestructura de caminos rurales.</w:t>
      </w:r>
    </w:p>
    <w:p w14:paraId="189295A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Continúa el proyecto del Nuevo Aeropuerto de la Ciudad de México.</w:t>
      </w:r>
    </w:p>
    <w:p w14:paraId="4A84ABB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fortaleció el esquema de Asociación Público Privada como una fuente de financiamiento alternativo y eficiencia para los proyectos de inversión.</w:t>
      </w:r>
    </w:p>
    <w:p w14:paraId="5EBD841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Aumentó el presupuesto para programas de apoyo a la innovación.</w:t>
      </w:r>
    </w:p>
    <w:p w14:paraId="27807D8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Aumentaron los recursos al Programa de Apoyo al Empleo, el cual es considerado prioritario para la protección y fomento del derecho al trabajo.</w:t>
      </w:r>
    </w:p>
    <w:p w14:paraId="075C9FD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fortaleció el Programa de Agua Potable, Alcantarillado y Saneamiento.</w:t>
      </w:r>
    </w:p>
    <w:p w14:paraId="076C3E3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Aumentó el presupuesto para la Promoción de México como Destino Turístico y para el Programa de Desarrollo Regional Turístico Sustentable y Pueblos Mágicos.</w:t>
      </w:r>
    </w:p>
    <w:p w14:paraId="5E9A9DC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Seguridad Pública</w:t>
      </w:r>
    </w:p>
    <w:p w14:paraId="6CA42CD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incrementaron los recursos dirigidos a seguridad pública.</w:t>
      </w:r>
    </w:p>
    <w:p w14:paraId="715A1C5C" w14:textId="77777777" w:rsidR="004220B7" w:rsidRDefault="004220B7" w:rsidP="004220B7">
      <w:pPr>
        <w:jc w:val="both"/>
        <w:rPr>
          <w:rFonts w:ascii="Arial" w:hAnsi="Arial" w:cs="Arial"/>
          <w:sz w:val="22"/>
          <w:szCs w:val="22"/>
        </w:rPr>
      </w:pPr>
      <w:r w:rsidRPr="007923C2">
        <w:rPr>
          <w:rFonts w:ascii="Arial" w:hAnsi="Arial" w:cs="Arial"/>
          <w:sz w:val="22"/>
          <w:szCs w:val="22"/>
        </w:rPr>
        <w:t>Aumentaron los recursos del Fondo de Desastres Naturales.</w:t>
      </w:r>
    </w:p>
    <w:p w14:paraId="28FEDBD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NUEVOS VEHÍCULOS DE INVERSIÓN</w:t>
      </w:r>
    </w:p>
    <w:p w14:paraId="5444F95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Fibra E y CerP</w:t>
      </w:r>
    </w:p>
    <w:p w14:paraId="751F1CF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crea en la regulación mexicana dos nuevos vehículos de inversión: la FIBRA E y los Certificados de Proyectos de Inversión (CerPI).</w:t>
      </w:r>
    </w:p>
    <w:p w14:paraId="45A7ABD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Estos vehículos, permitirán captar, de una manera eficaz, ágil y con los mejores estándares internacionales en términos de gobierno corporativo y transparencia, importantes flujos de inversión nacional y extranjera en todos los sectores económicos, especialmente el energético.</w:t>
      </w:r>
    </w:p>
    <w:p w14:paraId="4C791FA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marco de estabilidad macroeconómica y las Reformas Estructurales detonan una amplia gama de oportunidades de inversión en todos los sectores productivos de la economía.</w:t>
      </w:r>
    </w:p>
    <w:p w14:paraId="5DC0A98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Esta inversión requiere de vehículos financieros adecuados cuyas características permitan atraer capital privado a gran escala, tal como se realiza en los mercados financieros más desarrollados.</w:t>
      </w:r>
    </w:p>
    <w:p w14:paraId="43357C8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Con la introducción de estos vehículos, México actualiza sus instrumentos de inversión para generar mayor flujo a proyectos públicos estratégicos y de interés privado.</w:t>
      </w:r>
    </w:p>
    <w:p w14:paraId="75F7665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FIBRA E permitirá darle acceso al gran público inversionista a proyectos maduros en los sectores de energía e infraestructura, en condiciones similares a las que ofrecen las FIBRAS inmobiliarias en nuestro país y que han sido muy exitosas en los últimos años.</w:t>
      </w:r>
    </w:p>
    <w:p w14:paraId="2F1DF7E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Los Certificados de Proyectos de Inversión (CerPI), con un diseño moderno de gobierno corporativo y flexible en su operación, permitirá a los fondos de pensiones, aseguradoras y otros inversionistas institucionales nacionales y extranjeros, invertir en una amplia gama de proyectos en todos los sectores productivos de la economía. </w:t>
      </w:r>
    </w:p>
    <w:p w14:paraId="2BBBA90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BONOS DE INFRAESTRUCTURA EDUCATIVA</w:t>
      </w:r>
    </w:p>
    <w:p w14:paraId="5950BBD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¿Qué son los Bonos de Infraestructura Educativa?</w:t>
      </w:r>
    </w:p>
    <w:p w14:paraId="09435E2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Certificados Bursátiles Fiduciarios cuya fuente de pago es el Fondo de Aportaciones Múltiples (FAM) (Ramo 33) de las Entidades Federativas.</w:t>
      </w:r>
    </w:p>
    <w:p w14:paraId="787FF4B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FAM se determina cada año como el 0.814% de la Recaudación Federal Participable, lo que lo hace un flujo de recursos estable e incluso fácil de proyectar.</w:t>
      </w:r>
    </w:p>
    <w:p w14:paraId="5FDB84D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¿Para qué sirven los Bonos? ¿Cómo se utilizarán los recursos obtenidos? A partir de la Reforma a la Ley de Coordinación Fiscal de diciembre de 2013, se abrió la posibilidad de utilizar el FAM como fuente de pago de un mecanismo como el que estamos planteando a través de los Bonos de Infraestructura Educativa.</w:t>
      </w:r>
    </w:p>
    <w:p w14:paraId="03850CA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recursos obtenidos de manera bursátil mantendrán el mismo fin que tienen actualmente, sin embargo, en preparación al lanzamiento del programa, la Secretaría de Educación Pública y el Instituto Nacional de la Infraestructura Física Educativa han definido una cartera de proyectos de mejoramiento en el orden de los 50,000 millones de pesos, cifra equivalente al monto estimado para la colocación de Bonos de Infraestructura Educativa.</w:t>
      </w:r>
    </w:p>
    <w:p w14:paraId="2242E12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¿Cuál es el impacto esperado en la infraestructura educativa?</w:t>
      </w:r>
    </w:p>
    <w:p w14:paraId="7AC5168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Las obras del programa beneficiarán a más de 5.2 millones de alumnos en más 32,000 planteles que serán mejorados con los recursos de los Bonos de Infraestructura Educativa.</w:t>
      </w:r>
    </w:p>
    <w:p w14:paraId="75FED03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Cabe destacar que los planteles se encuentran distribuidos en 2,011 municipios, y que de los alumnos beneficiados más de 1.7 millones corresponde a poblaciones indígenas.</w:t>
      </w:r>
    </w:p>
    <w:p w14:paraId="018E78E6" w14:textId="77777777" w:rsidR="002067A5" w:rsidRDefault="002067A5" w:rsidP="004220B7">
      <w:pPr>
        <w:jc w:val="both"/>
        <w:rPr>
          <w:rFonts w:ascii="Arial" w:hAnsi="Arial" w:cs="Arial"/>
          <w:b/>
          <w:sz w:val="22"/>
          <w:szCs w:val="22"/>
        </w:rPr>
      </w:pPr>
    </w:p>
    <w:p w14:paraId="36058E0F"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4.2.1.7 INGRESOS POR GRUPOS DE CONSUMIDORES.</w:t>
      </w:r>
    </w:p>
    <w:p w14:paraId="0E279EF5" w14:textId="65A0E19C" w:rsidR="004220B7" w:rsidRPr="007923C2" w:rsidRDefault="00236365" w:rsidP="004220B7">
      <w:pPr>
        <w:jc w:val="both"/>
        <w:rPr>
          <w:rFonts w:ascii="Arial" w:hAnsi="Arial" w:cs="Arial"/>
          <w:sz w:val="22"/>
          <w:szCs w:val="22"/>
        </w:rPr>
      </w:pPr>
      <w:r w:rsidRPr="007923C2">
        <w:rPr>
          <w:rFonts w:ascii="Arial" w:hAnsi="Arial" w:cs="Arial"/>
          <w:sz w:val="22"/>
          <w:szCs w:val="22"/>
        </w:rPr>
        <w:t>Áreas de</w:t>
      </w:r>
      <w:r w:rsidR="002067A5">
        <w:rPr>
          <w:rFonts w:ascii="Arial" w:hAnsi="Arial" w:cs="Arial"/>
          <w:sz w:val="22"/>
          <w:szCs w:val="22"/>
        </w:rPr>
        <w:t xml:space="preserve"> </w:t>
      </w:r>
      <w:r w:rsidRPr="007923C2">
        <w:rPr>
          <w:rFonts w:ascii="Arial" w:hAnsi="Arial" w:cs="Arial"/>
          <w:sz w:val="22"/>
          <w:szCs w:val="22"/>
        </w:rPr>
        <w:t>empleadores</w:t>
      </w:r>
      <w:r w:rsidR="002067A5">
        <w:rPr>
          <w:rFonts w:ascii="Arial" w:hAnsi="Arial" w:cs="Arial"/>
          <w:sz w:val="22"/>
          <w:szCs w:val="22"/>
        </w:rPr>
        <w:t xml:space="preserve"> </w:t>
      </w:r>
      <w:r w:rsidRPr="007923C2">
        <w:rPr>
          <w:rFonts w:ascii="Arial" w:hAnsi="Arial" w:cs="Arial"/>
          <w:sz w:val="22"/>
          <w:szCs w:val="22"/>
        </w:rPr>
        <w:t>en donde</w:t>
      </w:r>
      <w:r w:rsidR="002067A5">
        <w:rPr>
          <w:rFonts w:ascii="Arial" w:hAnsi="Arial" w:cs="Arial"/>
          <w:sz w:val="22"/>
          <w:szCs w:val="22"/>
        </w:rPr>
        <w:t xml:space="preserve"> </w:t>
      </w:r>
      <w:r w:rsidRPr="007923C2">
        <w:rPr>
          <w:rFonts w:ascii="Arial" w:hAnsi="Arial" w:cs="Arial"/>
          <w:sz w:val="22"/>
          <w:szCs w:val="22"/>
        </w:rPr>
        <w:t>pueden incursionar los profesionistas</w:t>
      </w:r>
      <w:r w:rsidR="002067A5">
        <w:rPr>
          <w:rFonts w:ascii="Arial" w:hAnsi="Arial" w:cs="Arial"/>
          <w:sz w:val="22"/>
          <w:szCs w:val="22"/>
        </w:rPr>
        <w:t xml:space="preserve"> </w:t>
      </w:r>
      <w:r w:rsidRPr="007923C2">
        <w:rPr>
          <w:rFonts w:ascii="Arial" w:hAnsi="Arial" w:cs="Arial"/>
          <w:sz w:val="22"/>
          <w:szCs w:val="22"/>
        </w:rPr>
        <w:t>de</w:t>
      </w:r>
      <w:r w:rsidR="002067A5">
        <w:rPr>
          <w:rFonts w:ascii="Arial" w:hAnsi="Arial" w:cs="Arial"/>
          <w:sz w:val="22"/>
          <w:szCs w:val="22"/>
        </w:rPr>
        <w:t xml:space="preserve"> </w:t>
      </w:r>
      <w:r w:rsidRPr="007923C2">
        <w:rPr>
          <w:rFonts w:ascii="Arial" w:hAnsi="Arial" w:cs="Arial"/>
          <w:sz w:val="22"/>
          <w:szCs w:val="22"/>
        </w:rPr>
        <w:t>Agrobiología</w:t>
      </w:r>
    </w:p>
    <w:p w14:paraId="2109D7C0" w14:textId="67FBFAA8" w:rsidR="004220B7" w:rsidRPr="007923C2" w:rsidRDefault="00D83916" w:rsidP="004220B7">
      <w:pPr>
        <w:jc w:val="both"/>
        <w:rPr>
          <w:rFonts w:ascii="Arial" w:hAnsi="Arial" w:cs="Arial"/>
          <w:sz w:val="22"/>
          <w:szCs w:val="22"/>
        </w:rPr>
      </w:pPr>
      <w:r w:rsidRPr="007923C2">
        <w:rPr>
          <w:rFonts w:ascii="Arial" w:hAnsi="Arial" w:cs="Arial"/>
          <w:sz w:val="22"/>
          <w:szCs w:val="22"/>
        </w:rPr>
        <w:t>La perspectiva económica en el debate</w:t>
      </w:r>
      <w:r w:rsidR="002067A5">
        <w:rPr>
          <w:rFonts w:ascii="Arial" w:hAnsi="Arial" w:cs="Arial"/>
          <w:sz w:val="22"/>
          <w:szCs w:val="22"/>
        </w:rPr>
        <w:t xml:space="preserve"> </w:t>
      </w:r>
      <w:r w:rsidRPr="007923C2">
        <w:rPr>
          <w:rFonts w:ascii="Arial" w:hAnsi="Arial" w:cs="Arial"/>
          <w:sz w:val="22"/>
          <w:szCs w:val="22"/>
        </w:rPr>
        <w:t>sobre aplicaciones biotecnológicas.</w:t>
      </w:r>
    </w:p>
    <w:p w14:paraId="11A6A3D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IMPORTANCIA DEL ENFOQUE ECONÓMICO</w:t>
      </w:r>
    </w:p>
    <w:p w14:paraId="40E72BD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Las ventajas de centrarse en las repercusiones económicas de la biotecnologia están en recurrir a instrumentos de análisis que proporcionan datos e informaciones muy concretas sobre aspectos fundamentales en el debate:</w:t>
      </w:r>
    </w:p>
    <w:p w14:paraId="7F89C9A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Quiénes (individuos, empresas e instituciones) son los protagonistas Que necesidades intentan satisfacer o crear la biotecnología.</w:t>
      </w:r>
    </w:p>
    <w:p w14:paraId="640A9AE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Qué impacto tendrá sobre el PIB, el empleo, los mercados la competitividad de un paísen el debate sobre conflictos sociales derivados de las nuevas biotecnologias es fundamental un buen conocimiento de las tecnologías empleadas, sus riesgos y potencialidades</w:t>
      </w:r>
      <w:r w:rsidR="00D83916" w:rsidRPr="007923C2">
        <w:rPr>
          <w:rFonts w:ascii="Arial" w:hAnsi="Arial" w:cs="Arial"/>
          <w:sz w:val="22"/>
          <w:szCs w:val="22"/>
        </w:rPr>
        <w:t>.</w:t>
      </w:r>
      <w:r w:rsidRPr="007923C2">
        <w:rPr>
          <w:rFonts w:ascii="Arial" w:hAnsi="Arial" w:cs="Arial"/>
          <w:sz w:val="22"/>
          <w:szCs w:val="22"/>
        </w:rPr>
        <w:t xml:space="preserve"> Pero la perspectiva económica aporta abundantes elementos de juicio con peso específico para evitar rodeos y generalidades en el debate, además de proporcionar criterios condicionantes de otras muchas valoraciones éticas o sociales sobre las múltiples aplicaciones de las nuevas </w:t>
      </w:r>
      <w:r w:rsidR="00793237" w:rsidRPr="007923C2">
        <w:rPr>
          <w:rFonts w:ascii="Arial" w:hAnsi="Arial" w:cs="Arial"/>
          <w:sz w:val="22"/>
          <w:szCs w:val="22"/>
        </w:rPr>
        <w:t>biotecnologías.</w:t>
      </w:r>
    </w:p>
    <w:p w14:paraId="05E5A4C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Repercusiones económicas de la biotecnología en diversos sectores:</w:t>
      </w:r>
    </w:p>
    <w:p w14:paraId="55F0233D" w14:textId="60F7CC32" w:rsidR="004220B7" w:rsidRPr="007923C2" w:rsidRDefault="004220B7" w:rsidP="004220B7">
      <w:pPr>
        <w:jc w:val="both"/>
        <w:rPr>
          <w:rFonts w:ascii="Arial" w:hAnsi="Arial" w:cs="Arial"/>
          <w:sz w:val="22"/>
          <w:szCs w:val="22"/>
        </w:rPr>
      </w:pPr>
      <w:r w:rsidRPr="007923C2">
        <w:rPr>
          <w:rFonts w:ascii="Arial" w:hAnsi="Arial" w:cs="Arial"/>
          <w:sz w:val="22"/>
          <w:szCs w:val="22"/>
        </w:rPr>
        <w:t>Las biotecnologias ya han tenido un considerable impacto económico en el sector de la alimentación, pues desde 1990 se han hecho operativos sistemas de diagnóstico y bioconversión de almidón: se han comercializado edulcorantes y saborizantes, se han diseñado procesos de producción de jugos, aminoácidos, pigmentos y vitaminas; productos de fermentación, enzimas para elaboración de quesos, productos lácteos y levaduras híbridas. Para el período 1995-2000 se prevé comercializar bacterias y enzimas modificadas genéticamente, como elementos flavorizanfes que mejoran la calidad de los alimentos, así corno biocatalizadores y biosensores para la industria de producción</w:t>
      </w:r>
      <w:r w:rsidR="00D83916" w:rsidRPr="007923C2">
        <w:rPr>
          <w:rFonts w:ascii="Arial" w:hAnsi="Arial" w:cs="Arial"/>
          <w:sz w:val="22"/>
          <w:szCs w:val="22"/>
        </w:rPr>
        <w:t>.</w:t>
      </w:r>
    </w:p>
    <w:p w14:paraId="7884C209" w14:textId="77777777" w:rsidR="00793237" w:rsidRPr="007923C2" w:rsidRDefault="004220B7" w:rsidP="004220B7">
      <w:pPr>
        <w:jc w:val="both"/>
        <w:rPr>
          <w:rFonts w:ascii="Arial" w:hAnsi="Arial" w:cs="Arial"/>
          <w:sz w:val="22"/>
          <w:szCs w:val="22"/>
        </w:rPr>
      </w:pPr>
      <w:r w:rsidRPr="007923C2">
        <w:rPr>
          <w:rFonts w:ascii="Arial" w:hAnsi="Arial" w:cs="Arial"/>
          <w:sz w:val="22"/>
          <w:szCs w:val="22"/>
        </w:rPr>
        <w:t>En el sector agrícola, ya existen variedades transgénicas de tomates, patatas, algodón, tabaco y soja, experimentadas al nivel de campo en pequeños reductos que presentan características de resistencia a herbicidas, vir</w:t>
      </w:r>
      <w:r w:rsidR="00DC0773">
        <w:rPr>
          <w:rFonts w:ascii="Arial" w:hAnsi="Arial" w:cs="Arial"/>
          <w:sz w:val="22"/>
          <w:szCs w:val="22"/>
        </w:rPr>
        <w:t>us, insectos y cualidades especí</w:t>
      </w:r>
      <w:r w:rsidRPr="007923C2">
        <w:rPr>
          <w:rFonts w:ascii="Arial" w:hAnsi="Arial" w:cs="Arial"/>
          <w:sz w:val="22"/>
          <w:szCs w:val="22"/>
        </w:rPr>
        <w:t>ficas</w:t>
      </w:r>
      <w:r w:rsidR="00793237" w:rsidRPr="007923C2">
        <w:rPr>
          <w:rFonts w:ascii="Arial" w:hAnsi="Arial" w:cs="Arial"/>
          <w:sz w:val="22"/>
          <w:szCs w:val="22"/>
        </w:rPr>
        <w:t>.</w:t>
      </w:r>
    </w:p>
    <w:p w14:paraId="1814BC2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 Algunos están comercializados ya en 1995 y otros deberán pasar algunos controles que retrasarán su entrada en el mercado hasta casi el 2000, y su impacto previsible en la economía será hacia el 2005, probablemente. En los paises en desarrollo, ese impacto se retrasará dos o tres años más.</w:t>
      </w:r>
    </w:p>
    <w:p w14:paraId="6E83A2D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Dentro de sectores no alimentarios, la bictecnologia ha influido en los sistemas de producción de metano o etanol, por fermentación anaerobia de biomasa, y en el crecimiento selectivo y propagación de árboles y plantas ornamentales. Las técnicas más utilizadas son las de ADN</w:t>
      </w:r>
      <w:r w:rsidR="00793237" w:rsidRPr="007923C2">
        <w:rPr>
          <w:rFonts w:ascii="Arial" w:hAnsi="Arial" w:cs="Arial"/>
          <w:sz w:val="22"/>
          <w:szCs w:val="22"/>
        </w:rPr>
        <w:t>,</w:t>
      </w:r>
      <w:r w:rsidRPr="007923C2">
        <w:rPr>
          <w:rFonts w:ascii="Arial" w:hAnsi="Arial" w:cs="Arial"/>
          <w:sz w:val="22"/>
          <w:szCs w:val="22"/>
        </w:rPr>
        <w:t xml:space="preserve"> ingeniería de proteínas y procesos e ingeniería de producción de anticuerpos monocionales -un área muy limitada de la bioteonologia-, que han revolucionado en un corto espacio de tiempo campos co</w:t>
      </w:r>
      <w:r w:rsidR="00793237" w:rsidRPr="007923C2">
        <w:rPr>
          <w:rFonts w:ascii="Arial" w:hAnsi="Arial" w:cs="Arial"/>
          <w:sz w:val="22"/>
          <w:szCs w:val="22"/>
        </w:rPr>
        <w:t>m</w:t>
      </w:r>
      <w:r w:rsidRPr="007923C2">
        <w:rPr>
          <w:rFonts w:ascii="Arial" w:hAnsi="Arial" w:cs="Arial"/>
          <w:sz w:val="22"/>
          <w:szCs w:val="22"/>
        </w:rPr>
        <w:t>o el diagnóstico de enfermedades infecciosas y genéticas, la monitorización de procesos industriales y la producción de variedades de microorganismos capaces de elaborar sustancias farmacológicas o alimenticias y de metabolizar aceites para eliminar contaminaciones. El mercado de enzimas ha sufrido una auténtica revolución, especialmente por la variedad de productos de investigación ofrecidos a los profesionales.</w:t>
      </w:r>
    </w:p>
    <w:p w14:paraId="4B0B47E2" w14:textId="37286D37" w:rsidR="004220B7" w:rsidRPr="007923C2" w:rsidRDefault="001F23E0" w:rsidP="004220B7">
      <w:pPr>
        <w:jc w:val="both"/>
        <w:rPr>
          <w:rFonts w:ascii="Arial" w:hAnsi="Arial" w:cs="Arial"/>
          <w:sz w:val="22"/>
          <w:szCs w:val="22"/>
        </w:rPr>
      </w:pPr>
      <w:r>
        <w:rPr>
          <w:rFonts w:ascii="Arial" w:hAnsi="Arial" w:cs="Arial"/>
          <w:noProof/>
          <w:sz w:val="22"/>
          <w:szCs w:val="22"/>
        </w:rPr>
        <mc:AlternateContent>
          <mc:Choice Requires="wps">
            <w:drawing>
              <wp:anchor distT="4294967294" distB="4294967294" distL="114300" distR="114300" simplePos="0" relativeHeight="251782656" behindDoc="0" locked="0" layoutInCell="1" allowOverlap="1" wp14:anchorId="60DD5572" wp14:editId="1084DAE6">
                <wp:simplePos x="0" y="0"/>
                <wp:positionH relativeFrom="page">
                  <wp:posOffset>1251585</wp:posOffset>
                </wp:positionH>
                <wp:positionV relativeFrom="page">
                  <wp:posOffset>4790439</wp:posOffset>
                </wp:positionV>
                <wp:extent cx="1708150" cy="0"/>
                <wp:effectExtent l="0" t="0" r="25400" b="19050"/>
                <wp:wrapNone/>
                <wp:docPr id="435" name="Conector recto 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8150" cy="0"/>
                        </a:xfrm>
                        <a:prstGeom prst="line">
                          <a:avLst/>
                        </a:prstGeom>
                        <a:noFill/>
                        <a:ln w="698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955D6B" id="Conector recto 435" o:spid="_x0000_s1026" style="position:absolute;z-index:251782656;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98.55pt,377.2pt" to="233.05pt,3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" strokeweight=".55pt">
                <w10:wrap anchorx="page" anchory="page"/>
              </v:line>
            </w:pict>
          </mc:Fallback>
        </mc:AlternateContent>
      </w:r>
      <w:r>
        <w:rPr>
          <w:rFonts w:ascii="Arial" w:hAnsi="Arial" w:cs="Arial"/>
          <w:noProof/>
          <w:sz w:val="22"/>
          <w:szCs w:val="22"/>
        </w:rPr>
        <mc:AlternateContent>
          <mc:Choice Requires="wps">
            <w:drawing>
              <wp:anchor distT="4294967294" distB="4294967294" distL="114300" distR="114300" simplePos="0" relativeHeight="251783680" behindDoc="0" locked="0" layoutInCell="1" allowOverlap="1" wp14:anchorId="2623D979" wp14:editId="5CEB61C2">
                <wp:simplePos x="0" y="0"/>
                <wp:positionH relativeFrom="page">
                  <wp:posOffset>3759200</wp:posOffset>
                </wp:positionH>
                <wp:positionV relativeFrom="page">
                  <wp:posOffset>4799964</wp:posOffset>
                </wp:positionV>
                <wp:extent cx="1504950" cy="0"/>
                <wp:effectExtent l="0" t="0" r="19050" b="19050"/>
                <wp:wrapNone/>
                <wp:docPr id="434" name="Conector recto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4950" cy="0"/>
                        </a:xfrm>
                        <a:prstGeom prst="line">
                          <a:avLst/>
                        </a:prstGeom>
                        <a:noFill/>
                        <a:ln w="889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649A6A" id="Conector recto 434" o:spid="_x0000_s1026" style="position:absolute;z-index:251783680;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296pt,377.95pt" to="414.5pt,37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" strokeweight=".7pt">
                <w10:wrap anchorx="page" anchory="page"/>
              </v:line>
            </w:pict>
          </mc:Fallback>
        </mc:AlternateContent>
      </w:r>
      <w:r w:rsidR="004220B7" w:rsidRPr="007923C2">
        <w:rPr>
          <w:rFonts w:ascii="Arial" w:hAnsi="Arial" w:cs="Arial"/>
          <w:sz w:val="22"/>
          <w:szCs w:val="22"/>
        </w:rPr>
        <w:t>Estos datos permiten inferir que la riqueza generada por los productos biotecnológicos estará determinada por los requerimientos en alimentación, agricultura y sanidad. El sector químico y energético representará sólo una pequeña parte Mientras el valor estimado para productos agrícolas y alimenta</w:t>
      </w:r>
      <w:r w:rsidR="00793237" w:rsidRPr="007923C2">
        <w:rPr>
          <w:rFonts w:ascii="Arial" w:hAnsi="Arial" w:cs="Arial"/>
          <w:sz w:val="22"/>
          <w:szCs w:val="22"/>
        </w:rPr>
        <w:t>rios</w:t>
      </w:r>
      <w:r w:rsidR="004220B7" w:rsidRPr="007923C2">
        <w:rPr>
          <w:rFonts w:ascii="Arial" w:hAnsi="Arial" w:cs="Arial"/>
          <w:sz w:val="22"/>
          <w:szCs w:val="22"/>
        </w:rPr>
        <w:t xml:space="preserve"> sufrió un retroceso en la estimación de 1990, el valor del sector de la energ</w:t>
      </w:r>
      <w:r w:rsidR="002067A5">
        <w:rPr>
          <w:rFonts w:ascii="Arial" w:hAnsi="Arial" w:cs="Arial"/>
          <w:sz w:val="22"/>
          <w:szCs w:val="22"/>
        </w:rPr>
        <w:t>ía</w:t>
      </w:r>
      <w:r w:rsidR="004220B7" w:rsidRPr="007923C2">
        <w:rPr>
          <w:rFonts w:ascii="Arial" w:hAnsi="Arial" w:cs="Arial"/>
          <w:sz w:val="22"/>
          <w:szCs w:val="22"/>
        </w:rPr>
        <w:t xml:space="preserve">  se triplicó. Las expectativas de transformación de plantas no han dado durante este tiempo los resultados </w:t>
      </w:r>
      <w:r w:rsidR="004220B7" w:rsidRPr="007923C2">
        <w:rPr>
          <w:rFonts w:ascii="Arial" w:hAnsi="Arial" w:cs="Arial"/>
          <w:sz w:val="22"/>
          <w:szCs w:val="22"/>
        </w:rPr>
        <w:lastRenderedPageBreak/>
        <w:t>esperados. La estimación del sector energético tampoco ha sido correcta porque la producción de metano a partir de biomasa no ha podido cubrir los volúmenes esperados, debido a problemas técnicos y económicos de rendimiento, y a que ha disminuido e</w:t>
      </w:r>
      <w:r w:rsidR="002067A5">
        <w:rPr>
          <w:rFonts w:ascii="Arial" w:hAnsi="Arial" w:cs="Arial"/>
          <w:sz w:val="22"/>
          <w:szCs w:val="22"/>
        </w:rPr>
        <w:t>l</w:t>
      </w:r>
      <w:r w:rsidR="004220B7" w:rsidRPr="007923C2">
        <w:rPr>
          <w:rFonts w:ascii="Arial" w:hAnsi="Arial" w:cs="Arial"/>
          <w:sz w:val="22"/>
          <w:szCs w:val="22"/>
        </w:rPr>
        <w:t xml:space="preserve"> entusiasmo inicial en esta fuente de energía como alternativa a las fuentes fósiles.</w:t>
      </w:r>
    </w:p>
    <w:p w14:paraId="0AD1760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Importancia económica del sector sanitario</w:t>
      </w:r>
    </w:p>
    <w:p w14:paraId="20AABF7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Si se divide el impacto económico por el volumen en tonelaje de producto final, la sanidad domina la economía desde el punto de vista de valor evadido, tanto por la producción de sustancias relacionadas con la salud humana como por la repercusión de estas sustancias en la calidad y cantidad de alimentos generados a partir de fuentes animales. Esta tendencia parece que ha de ser la dinámica del futuro y que la sanidad en todas sus vertientes será el motor de una economía en progreso. Es necesario tener en cuenta que mientras los requerimientos alimentarios en una sociedad desarrollada pueden alcanzar su techo -como sucede en muchos paises la sanidad y la educación en estas mismas economías están en niveles deficitarios de servicio. Por esta razón, mientras que en décadas pasadas era la industria pesada y de materia</w:t>
      </w:r>
      <w:r w:rsidR="00AA4752">
        <w:rPr>
          <w:rFonts w:ascii="Arial" w:hAnsi="Arial" w:cs="Arial"/>
          <w:sz w:val="22"/>
          <w:szCs w:val="22"/>
        </w:rPr>
        <w:t>l</w:t>
      </w:r>
      <w:r w:rsidRPr="007923C2">
        <w:rPr>
          <w:rFonts w:ascii="Arial" w:hAnsi="Arial" w:cs="Arial"/>
          <w:sz w:val="22"/>
          <w:szCs w:val="22"/>
        </w:rPr>
        <w:t xml:space="preserve"> de equipo, junto con la agricultura, el grupo que representaba el mayor volumen de riqueza, en el futuro será la industria sanitaria y eugenésica, en su sentido positivo más amplío, la que servirá como marcador de la riqueza económico-social de las naciones desarrolladas. Desde este punto de vista podemos comprender mejor los enormes intereses manifestados por los países biotecnológicamente desarrollados en controlar el mayor número posible de patentes relacionadas con la biomedicina</w:t>
      </w:r>
      <w:r w:rsidR="00D83916" w:rsidRPr="007923C2">
        <w:rPr>
          <w:rFonts w:ascii="Arial" w:hAnsi="Arial" w:cs="Arial"/>
          <w:sz w:val="22"/>
          <w:szCs w:val="22"/>
        </w:rPr>
        <w:t>.</w:t>
      </w:r>
      <w:r w:rsidRPr="007923C2">
        <w:rPr>
          <w:rFonts w:ascii="Arial" w:hAnsi="Arial" w:cs="Arial"/>
          <w:sz w:val="22"/>
          <w:szCs w:val="22"/>
        </w:rPr>
        <w:t xml:space="preserve"> Mayor actividad biotecnológica en volumen de impacto económico y social.</w:t>
      </w:r>
    </w:p>
    <w:p w14:paraId="518023E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OCRE reconoce que en la década de los ochenta los descubrimientos que prometían un florecimiento espectacular de la agricultura fueron más rápidos </w:t>
      </w:r>
      <w:r w:rsidR="00DC0773">
        <w:rPr>
          <w:rFonts w:ascii="Arial" w:hAnsi="Arial" w:cs="Arial"/>
          <w:sz w:val="22"/>
          <w:szCs w:val="22"/>
        </w:rPr>
        <w:t xml:space="preserve">de lo que se esperaba, pero que </w:t>
      </w:r>
      <w:r w:rsidRPr="007923C2">
        <w:rPr>
          <w:rFonts w:ascii="Arial" w:hAnsi="Arial" w:cs="Arial"/>
          <w:sz w:val="22"/>
          <w:szCs w:val="22"/>
        </w:rPr>
        <w:t>sin embargo, la *Revolución del Conocimiento no condujo inmediatamente a la 'Revolución Agrícola. Los cambios genéticos inducidos en animales y plantas requieren, según parece, un mínimo de 20 á30 años para generar frutos</w:t>
      </w:r>
      <w:r w:rsidR="00D83916" w:rsidRPr="007923C2">
        <w:rPr>
          <w:rFonts w:ascii="Arial" w:hAnsi="Arial" w:cs="Arial"/>
          <w:sz w:val="22"/>
          <w:szCs w:val="22"/>
        </w:rPr>
        <w:t>.</w:t>
      </w:r>
      <w:r w:rsidRPr="007923C2">
        <w:rPr>
          <w:rFonts w:ascii="Arial" w:hAnsi="Arial" w:cs="Arial"/>
          <w:sz w:val="22"/>
          <w:szCs w:val="22"/>
        </w:rPr>
        <w:t xml:space="preserve"> La causa de este retraso tiene que ver con factores económicos, restricciones legales y de seguridad, actitudes públicas y políticas industriales.</w:t>
      </w:r>
    </w:p>
    <w:p w14:paraId="3B9E78FC" w14:textId="10FFD543" w:rsidR="004220B7" w:rsidRPr="007923C2" w:rsidRDefault="004220B7" w:rsidP="004220B7">
      <w:pPr>
        <w:jc w:val="both"/>
        <w:rPr>
          <w:rFonts w:ascii="Arial" w:hAnsi="Arial" w:cs="Arial"/>
          <w:sz w:val="22"/>
          <w:szCs w:val="22"/>
        </w:rPr>
      </w:pPr>
      <w:r w:rsidRPr="007923C2">
        <w:rPr>
          <w:rFonts w:ascii="Arial" w:hAnsi="Arial" w:cs="Arial"/>
          <w:sz w:val="22"/>
          <w:szCs w:val="22"/>
        </w:rPr>
        <w:t>Impacto en las relaciones comerciales</w:t>
      </w:r>
      <w:r w:rsidR="002067A5">
        <w:rPr>
          <w:rFonts w:ascii="Arial" w:hAnsi="Arial" w:cs="Arial"/>
          <w:sz w:val="22"/>
          <w:szCs w:val="22"/>
        </w:rPr>
        <w:t xml:space="preserve"> a</w:t>
      </w:r>
      <w:r w:rsidRPr="007923C2">
        <w:rPr>
          <w:rFonts w:ascii="Arial" w:hAnsi="Arial" w:cs="Arial"/>
          <w:sz w:val="22"/>
          <w:szCs w:val="22"/>
        </w:rPr>
        <w:t xml:space="preserve"> escala nacional e internacional es preciso adoptar políticas específicas que orienten el desarrollo de procesos blotecnológicos, especialmente en el Tercer Mundo y los países en desarrollo, para suavizar los posibles conflictos que se derivan de la competitividad excesiva entre pequeños países sin necesidad de poner barreras proteccionistas (que sólo las pueden establecer los países ricos, los únicos que disfrutan de ellas, los pobres las padecen-. Estas políticas deberían decidirse por alguna de las tres alternativas posibles, en función de la capacidad tecnológica disponible: </w:t>
      </w:r>
    </w:p>
    <w:p w14:paraId="4994363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1.- Tecnologías que generen productos de alto volumen de producción, pero de bajo valor añadido, como metano, e</w:t>
      </w:r>
      <w:r w:rsidR="00DC0773">
        <w:rPr>
          <w:rFonts w:ascii="Arial" w:hAnsi="Arial" w:cs="Arial"/>
          <w:sz w:val="22"/>
          <w:szCs w:val="22"/>
        </w:rPr>
        <w:t>tanol, biomasa, alimento animal,</w:t>
      </w:r>
      <w:r w:rsidRPr="007923C2">
        <w:rPr>
          <w:rFonts w:ascii="Arial" w:hAnsi="Arial" w:cs="Arial"/>
          <w:sz w:val="22"/>
          <w:szCs w:val="22"/>
        </w:rPr>
        <w:t xml:space="preserve"> purificación de aguas y tratamientos de materiales de desecho. </w:t>
      </w:r>
    </w:p>
    <w:p w14:paraId="55F08737" w14:textId="49E492CD" w:rsidR="004220B7" w:rsidRPr="007923C2" w:rsidRDefault="004220B7" w:rsidP="004220B7">
      <w:pPr>
        <w:jc w:val="both"/>
        <w:rPr>
          <w:rFonts w:ascii="Arial" w:hAnsi="Arial" w:cs="Arial"/>
          <w:sz w:val="22"/>
          <w:szCs w:val="22"/>
        </w:rPr>
      </w:pPr>
      <w:r w:rsidRPr="007923C2">
        <w:rPr>
          <w:rFonts w:ascii="Arial" w:hAnsi="Arial" w:cs="Arial"/>
          <w:sz w:val="22"/>
          <w:szCs w:val="22"/>
        </w:rPr>
        <w:t>2. Tecnologías que generen productos de menor volumen y de valor añadido intermedio, como aminoácidos y ácidos orgánicos, productos alimenticios, levaduras</w:t>
      </w:r>
      <w:r w:rsidR="00632F03">
        <w:rPr>
          <w:rFonts w:ascii="Arial" w:hAnsi="Arial" w:cs="Arial"/>
          <w:sz w:val="22"/>
          <w:szCs w:val="22"/>
        </w:rPr>
        <w:t>,</w:t>
      </w:r>
      <w:r w:rsidRPr="007923C2">
        <w:rPr>
          <w:rFonts w:ascii="Arial" w:hAnsi="Arial" w:cs="Arial"/>
          <w:sz w:val="22"/>
          <w:szCs w:val="22"/>
        </w:rPr>
        <w:t xml:space="preserve"> acetona, butanol, polímeros, metales y otros similares.</w:t>
      </w:r>
    </w:p>
    <w:p w14:paraId="07801B6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 3.- Los productos de bajo volumen y alto valor añadido se sitúan en otra escala de decisión politica, como los antibióticos, productos farmacológicos, enzimas, vitaminas y las tecnologías de </w:t>
      </w:r>
      <w:r w:rsidRPr="007923C2">
        <w:rPr>
          <w:rFonts w:ascii="Arial" w:hAnsi="Arial" w:cs="Arial"/>
          <w:sz w:val="22"/>
          <w:szCs w:val="22"/>
        </w:rPr>
        <w:lastRenderedPageBreak/>
        <w:t>transformación genética aplicadas a la salud (terapias génicas y no genicas) y agricultura (producción de organismos genéticamente modificados).</w:t>
      </w:r>
    </w:p>
    <w:p w14:paraId="58A810C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Las actividades del tipo (3), para obtener productos finales de alto valor añadido, requieren normalmente un fuerte capital co</w:t>
      </w:r>
      <w:r w:rsidR="00793237" w:rsidRPr="007923C2">
        <w:rPr>
          <w:rFonts w:ascii="Arial" w:hAnsi="Arial" w:cs="Arial"/>
          <w:sz w:val="22"/>
          <w:szCs w:val="22"/>
        </w:rPr>
        <w:t>m</w:t>
      </w:r>
      <w:r w:rsidRPr="007923C2">
        <w:rPr>
          <w:rFonts w:ascii="Arial" w:hAnsi="Arial" w:cs="Arial"/>
          <w:sz w:val="22"/>
          <w:szCs w:val="22"/>
        </w:rPr>
        <w:t xml:space="preserve">o inversión a largo plazo, </w:t>
      </w:r>
      <w:r w:rsidR="00793237" w:rsidRPr="007923C2">
        <w:rPr>
          <w:rFonts w:ascii="Arial" w:hAnsi="Arial" w:cs="Arial"/>
          <w:sz w:val="22"/>
          <w:szCs w:val="22"/>
        </w:rPr>
        <w:t>pl</w:t>
      </w:r>
      <w:r w:rsidRPr="007923C2">
        <w:rPr>
          <w:rFonts w:ascii="Arial" w:hAnsi="Arial" w:cs="Arial"/>
          <w:sz w:val="22"/>
          <w:szCs w:val="22"/>
        </w:rPr>
        <w:t>antas industriales especializadas y procesos sofisticados con altos costes de mantenimiento. Las del tipo (2) exigen inversiones moderadas y operaciones menos complejas, pero llevan a producir materiales de no muy elevado valor añadido, co</w:t>
      </w:r>
      <w:r w:rsidR="00793237" w:rsidRPr="007923C2">
        <w:rPr>
          <w:rFonts w:ascii="Arial" w:hAnsi="Arial" w:cs="Arial"/>
          <w:sz w:val="22"/>
          <w:szCs w:val="22"/>
        </w:rPr>
        <w:t>m</w:t>
      </w:r>
      <w:r w:rsidRPr="007923C2">
        <w:rPr>
          <w:rFonts w:ascii="Arial" w:hAnsi="Arial" w:cs="Arial"/>
          <w:sz w:val="22"/>
          <w:szCs w:val="22"/>
        </w:rPr>
        <w:t>o alimentos y bebidas, pesticidas y enzimas no purificadas, Los productos del tipo (1 ), de bajo valor añadido y originados por procesos fermentativos sin alta especificidad, como biogás y proteínas microbianas obtenidas de caldos de cultivo que utilizan materiales de desecho, no requieren alta tecnología ni tampoco inversiones elevadas. La mayoría de los paises no desarrollados o poco desarrollados sólo tienen acceso a esta última y, como mucho  a producciones del tipo (2),</w:t>
      </w:r>
    </w:p>
    <w:p w14:paraId="4297FA95" w14:textId="41A531FF" w:rsidR="004220B7" w:rsidRPr="007923C2" w:rsidRDefault="004220B7" w:rsidP="004220B7">
      <w:pPr>
        <w:jc w:val="both"/>
        <w:rPr>
          <w:rFonts w:ascii="Arial" w:hAnsi="Arial" w:cs="Arial"/>
          <w:sz w:val="22"/>
          <w:szCs w:val="22"/>
        </w:rPr>
      </w:pPr>
      <w:r w:rsidRPr="007923C2">
        <w:rPr>
          <w:rFonts w:ascii="Arial" w:hAnsi="Arial" w:cs="Arial"/>
          <w:sz w:val="22"/>
          <w:szCs w:val="22"/>
        </w:rPr>
        <w:t>Además, es preciso tener en cuenta que la opción inmediata por una determinada actividad biotecnológica condicionará la economía derivada y el desarrollo de nuevas elecciones. Apostar sin planificación por actividades biotecnológicas fáciles, que requieren bajo capital inversor y baja tecnologia, supone a la larga estancarse en niveles de producción de materiales de baja calidad y escaso valor añadido. Por esta razón los paises de la OCDE han optado por establecer políticas sistemáticas sobre ciencia y tecnología</w:t>
      </w:r>
      <w:r w:rsidR="002067A5">
        <w:rPr>
          <w:rFonts w:ascii="Arial" w:hAnsi="Arial" w:cs="Arial"/>
          <w:sz w:val="22"/>
          <w:szCs w:val="22"/>
        </w:rPr>
        <w:t>s</w:t>
      </w:r>
      <w:r w:rsidRPr="007923C2">
        <w:rPr>
          <w:rFonts w:ascii="Arial" w:hAnsi="Arial" w:cs="Arial"/>
          <w:sz w:val="22"/>
          <w:szCs w:val="22"/>
        </w:rPr>
        <w:t xml:space="preserve"> coordinadas y prioridades comunes, con énfasis especial en la competitividad internacional.</w:t>
      </w:r>
    </w:p>
    <w:p w14:paraId="5B74F5A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Biotecnología y factores de competitividad internacional</w:t>
      </w:r>
      <w:r w:rsidRPr="007923C2">
        <w:rPr>
          <w:rFonts w:ascii="Arial" w:hAnsi="Arial" w:cs="Arial"/>
          <w:sz w:val="22"/>
          <w:szCs w:val="22"/>
        </w:rPr>
        <w:tab/>
      </w:r>
    </w:p>
    <w:p w14:paraId="30FFF09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"competitividad" se entiende la disponibilidad de un pais para producir y comercializar bienes y servicios a más bajo costo que las compañías que generan el mismo producto en otros </w:t>
      </w:r>
      <w:r w:rsidR="00793237" w:rsidRPr="007923C2">
        <w:rPr>
          <w:rFonts w:ascii="Arial" w:hAnsi="Arial" w:cs="Arial"/>
          <w:sz w:val="22"/>
          <w:szCs w:val="22"/>
        </w:rPr>
        <w:t>países.</w:t>
      </w:r>
      <w:r w:rsidRPr="007923C2">
        <w:rPr>
          <w:rFonts w:ascii="Arial" w:hAnsi="Arial" w:cs="Arial"/>
          <w:sz w:val="22"/>
          <w:szCs w:val="22"/>
        </w:rPr>
        <w:t xml:space="preserve"> Es un concepto relativo a precios y sistemas de producción y distribución, Entre los factores necesarios para la competitividad económica de un país a escala internacional figura, en primer lugar, el nivel de integración de su actividad industrial y el número y calidad de las compañías capaces de comercializar los productos, tanto en el propio país como en el extranjero. Es preciso, además, evaluar detenidamente sus capacidades económicas, la disponibilidad de personal cualificado, los recursos financieros de origen público y Ovado destinables al desarrollo de una investigación básica y aplicada acorde con los requerimientos de la industria y las directrices políticas estatales de apoyo financiero y fiscal. Asimismo, es de vital importancia la capacidad de captación de transferencia e importación de tecnologia internacional, la disponibilidad de una buena infraestructura informática/comunicaciones y de una normativa adecuada sobre propiedad intelectual y relaciones industria-centros de investigación, tanto a escala nacional como internacional.</w:t>
      </w:r>
    </w:p>
    <w:p w14:paraId="65BE89A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consiguiente, no se puede encuadrar en un mismo marco el desarrollo biotecnológico de paises que ya utilizan alta tecnología, aunque sea prestada, como varios del sureste asiático (República de Corea, Singapur, Taiwan, Hong-Kong y Tailandia), y el desarrollo de paises que están en una etapa tecnológicamente primitiva_ En este contexto, la elección más dificil está en saber si se ha de financiar o no un desarrollo tecnológico en agricultura y sanidad, que se adelante a las exigencias puramente mercantiles y cuyos móviles no sean otros que los meramente derivados de su rentabilidad monetaria.</w:t>
      </w:r>
    </w:p>
    <w:p w14:paraId="59B4BF7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Tanto la biotecnologia de primera generación co</w:t>
      </w:r>
      <w:r w:rsidR="00AD2B15" w:rsidRPr="007923C2">
        <w:rPr>
          <w:rFonts w:ascii="Arial" w:hAnsi="Arial" w:cs="Arial"/>
          <w:sz w:val="22"/>
          <w:szCs w:val="22"/>
        </w:rPr>
        <w:t>m</w:t>
      </w:r>
      <w:r w:rsidRPr="007923C2">
        <w:rPr>
          <w:rFonts w:ascii="Arial" w:hAnsi="Arial" w:cs="Arial"/>
          <w:sz w:val="22"/>
          <w:szCs w:val="22"/>
        </w:rPr>
        <w:t xml:space="preserve">o, sobre todo, la de segunda generación (tipo 3), estará disponible sólo en los paises con alta nivel tecnológico y de conocimientos de ciencia básica, por razones económicas y técnicas la biotecnologia afectará a las relaciones de intercambio comercial </w:t>
      </w:r>
      <w:r w:rsidRPr="007923C2">
        <w:rPr>
          <w:rFonts w:ascii="Arial" w:hAnsi="Arial" w:cs="Arial"/>
          <w:sz w:val="22"/>
          <w:szCs w:val="22"/>
        </w:rPr>
        <w:lastRenderedPageBreak/>
        <w:t>entre los paises. Una competitividad internacional en esta área regida sólo por el móvil económico condenará al aislamiento económico y social a los países no desarrollados, relegados al nivel de productores de bienes de servicio para los países desarrollados, con un valor añadido intermedio o casi nulo.</w:t>
      </w:r>
    </w:p>
    <w:p w14:paraId="0621F74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productos bioteonológicos que ya están en el mercado son más caros que los producidos por sistemas tradicionales, y no es difícil averiguar por qué. Si las tecnologías tradicionales han creado una situación en la que el 20% de la población más rica acumula el 82,7% de los ingresos, el 81,2% del comercio, el 94,6% de los préstamos comerciales, el 80,6% del ahorro interno y el 80.5% de la inversión; y el 20% más pobre acumula el 1,4% del ingreso mundial, el 1% del comercio, el 0,2% del préstamo y el 1,5% de la inversión, )cuál será la situación, cuando el negocio de valores futuros gire en torno a productos de elaboración sofisticada? Es inevitable pensar que aumentará la ya casi insuperable distancia establecida: en 1960, el 20% de la población más rica tenía 30 veces más que el 20% de la población más pobre. En 1990 el 20% más rico tiene 60 veces más que el resto.</w:t>
      </w:r>
    </w:p>
    <w:p w14:paraId="6016FC8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intercambio de productos agrícolas y, sobre todo, sanitarios indica hasta qué punto se ven alteradas las relaciones entre paises industrializados y paises en vías de desarrollo. En 1990, el mundo desarrollado ten</w:t>
      </w:r>
      <w:r w:rsidR="00433553" w:rsidRPr="007923C2">
        <w:rPr>
          <w:rFonts w:ascii="Arial" w:hAnsi="Arial" w:cs="Arial"/>
          <w:sz w:val="22"/>
          <w:szCs w:val="22"/>
        </w:rPr>
        <w:t>í</w:t>
      </w:r>
      <w:r w:rsidRPr="007923C2">
        <w:rPr>
          <w:rFonts w:ascii="Arial" w:hAnsi="Arial" w:cs="Arial"/>
          <w:sz w:val="22"/>
          <w:szCs w:val="22"/>
        </w:rPr>
        <w:t>a aproximadamente el 24% de la población mundial y el 85% de la actividad económica; y se calculaba que para su consumo necesitaba alrededor del 50% de la producción total de grano. Esto supone que e[ 76% de la población del Tercer Mundo se beneficia sólo del 15% de la actividad económica y cuenta, para su alimentación, con el otro 50% del grano. Pero la alimentación en el Tercer Mundo está basada sobre todo en el consumo de grano, mientras que la del mundo industrializado está mucho más diversificada. Disparidades parecidas se dan en el consumo de energía. Si no se garantiza que los paises no desarrollados puedan acceder a productos de alto valor añadido corno los sanitarios, la distorsión puede ser aún mayor y conducir a una nueva modalidad de esclavitud e hipocresía,</w:t>
      </w:r>
    </w:p>
    <w:p w14:paraId="6CE1F22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Un informe de la OCDE ha puesto de manifiesto que la biotecnologia es claramente una tecnología de las naciones muy industrializadas, con importantes recursos destinados a 1+0 y gran potencial de mercado. En estas naciones, una industria biotecnológica poderosa permitirá explotar la genética de plantas y llegar a reemplazar las materias cosechadas en el Tercer Mundo. Esto apunta hacia un incremento de la concentración del mercado mundial en el área de la OCDE</w:t>
      </w:r>
      <w:r w:rsidR="00433553" w:rsidRPr="007923C2">
        <w:rPr>
          <w:rFonts w:ascii="Arial" w:hAnsi="Arial" w:cs="Arial"/>
          <w:sz w:val="22"/>
          <w:szCs w:val="22"/>
        </w:rPr>
        <w:t>.</w:t>
      </w:r>
      <w:r w:rsidRPr="007923C2">
        <w:rPr>
          <w:rFonts w:ascii="Arial" w:hAnsi="Arial" w:cs="Arial"/>
          <w:sz w:val="22"/>
          <w:szCs w:val="22"/>
        </w:rPr>
        <w:t xml:space="preserve"> Además de reducirse en volumen de tonelaje el intercambio de productos alimentarios entre la OCDE y los paises en desarrollo, incluso en relación con aquellos productos sobre los cuales existe competencia internacional (maíz, cacao, azúcar y algodón), la ganancia neta seguirá disminuyendo porque los precios se han reducido en los últimos años en un 70%, 60%, 59% y 53% respectivamente. Lo mismo que no existe relación comercial significativa entre los paises del área desarrollada y los del Tercer Mundo en el terreno de la industria pesada, puede llegar el momento en el que desaparezca esta relación en los productos agrícolas</w:t>
      </w:r>
      <w:r w:rsidR="00433553" w:rsidRPr="007923C2">
        <w:rPr>
          <w:rFonts w:ascii="Arial" w:hAnsi="Arial" w:cs="Arial"/>
          <w:sz w:val="22"/>
          <w:szCs w:val="22"/>
        </w:rPr>
        <w:t>.</w:t>
      </w:r>
      <w:r w:rsidRPr="007923C2">
        <w:rPr>
          <w:rFonts w:ascii="Arial" w:hAnsi="Arial" w:cs="Arial"/>
          <w:sz w:val="22"/>
          <w:szCs w:val="22"/>
        </w:rPr>
        <w:t xml:space="preserve"> El momento de esa desaparición está llegando, porque ya, en el terreno sanitario, por ejemplo, es casi inexistente.</w:t>
      </w:r>
    </w:p>
    <w:p w14:paraId="33137D5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TIPOS DE EMPRESAS DEDICADAS A LA BIOTECNOLOGÍA Y SUS  DIMENSIONES </w:t>
      </w:r>
    </w:p>
    <w:p w14:paraId="0DBD1F7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Desde algún tiempo suele distinguirse entre empresas basadas en y dedicadas a la explotación de nuevas tecnologías específicas, entre las cuales estarían las compañías dedicadas a la biotecnología; y compañías bien consolidadas, a menudo grandes corporaciones, que recurren a las nuevas tecnolog</w:t>
      </w:r>
      <w:r w:rsidR="004714F8" w:rsidRPr="007923C2">
        <w:rPr>
          <w:rFonts w:ascii="Arial" w:hAnsi="Arial" w:cs="Arial"/>
          <w:sz w:val="22"/>
          <w:szCs w:val="22"/>
        </w:rPr>
        <w:t>í</w:t>
      </w:r>
      <w:r w:rsidRPr="007923C2">
        <w:rPr>
          <w:rFonts w:ascii="Arial" w:hAnsi="Arial" w:cs="Arial"/>
          <w:sz w:val="22"/>
          <w:szCs w:val="22"/>
        </w:rPr>
        <w:t>as para diversificar sus actividades o l</w:t>
      </w:r>
      <w:r w:rsidR="004714F8" w:rsidRPr="007923C2">
        <w:rPr>
          <w:rFonts w:ascii="Arial" w:hAnsi="Arial" w:cs="Arial"/>
          <w:sz w:val="22"/>
          <w:szCs w:val="22"/>
        </w:rPr>
        <w:t>í</w:t>
      </w:r>
      <w:r w:rsidRPr="007923C2">
        <w:rPr>
          <w:rFonts w:ascii="Arial" w:hAnsi="Arial" w:cs="Arial"/>
          <w:sz w:val="22"/>
          <w:szCs w:val="22"/>
        </w:rPr>
        <w:t>neas de productos</w:t>
      </w:r>
      <w:r w:rsidR="004714F8" w:rsidRPr="007923C2">
        <w:rPr>
          <w:rFonts w:ascii="Arial" w:hAnsi="Arial" w:cs="Arial"/>
          <w:sz w:val="22"/>
          <w:szCs w:val="22"/>
        </w:rPr>
        <w:t>.</w:t>
      </w:r>
      <w:r w:rsidRPr="007923C2">
        <w:rPr>
          <w:rFonts w:ascii="Arial" w:hAnsi="Arial" w:cs="Arial"/>
          <w:sz w:val="22"/>
          <w:szCs w:val="22"/>
        </w:rPr>
        <w:t xml:space="preserve"> Para nuestro análisis nos </w:t>
      </w:r>
      <w:r w:rsidRPr="007923C2">
        <w:rPr>
          <w:rFonts w:ascii="Arial" w:hAnsi="Arial" w:cs="Arial"/>
          <w:sz w:val="22"/>
          <w:szCs w:val="22"/>
        </w:rPr>
        <w:lastRenderedPageBreak/>
        <w:t>centraremos preferentemente en las primeras. Entre ellas existen grandes diferencias en cuanto a número de empleados, tamaño y volumen de negocio, Según algunos datos recientes, el número de empleados puede oscilar entre 1 y 2.600: el volumen de sus inversiones en 1+D puede alcanzar apenas $ 1.000 (dólares USA) en las más pequeñas y llegar hasta 700 millones en las mayores. El porcentaje de esta inversión puede oscilar entre un 0,01% y un 15.000% del presupuesto global. Un alto número de empresas tiene menos de 10 empleados, presupuestos muy limitadas para 1+D y pocos o nulos beneficios, Tan sólo 10 empresas generan el 40% de los beneficios derivados de este sector, que en EE.UU. alcanzó un montante de 16./1,10 millones de dólares USA para un total de 1,050 empresas contabilizadas en 1994. Este elevado número de empresas con recursos tan limitados en la mayoría de los casos ha obligado a desarrollar una politica muy activa de alianzas y reestructuraciones -sobre todo en el sector biofarmaceutico- para hacer posible su continuidad.</w:t>
      </w:r>
    </w:p>
    <w:p w14:paraId="2B6C16E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cuanto a su titularidad, según una encuesta realizada a comienzos de 1995 en EE.UU. el 26% eran públicas, el 60% privadas y el 14% restante lo formaban sucursales o divisiones de otras y joint ventures, El porcentaje de empresas dedicadas básicamente a biotecnología relacionada con la atención sanitaria era mayor (40%) que el de empresas dedicadas a biotecnología orientada a la agricultura (23%). Prácticamente la mitad de las compañías dedicadas al desarrollo de productos terapéuticos eran públicas. Sin embargo, este panorama puede alterarse drásticamente debido a los continuos acuerdos de fusión y financiación conjunta de proyectos de 1+0.</w:t>
      </w:r>
    </w:p>
    <w:p w14:paraId="6CB7887D" w14:textId="2A158AF1" w:rsidR="004220B7" w:rsidRPr="007923C2" w:rsidRDefault="001F23E0" w:rsidP="004220B7">
      <w:pPr>
        <w:jc w:val="both"/>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784704" behindDoc="1" locked="0" layoutInCell="1" allowOverlap="1" wp14:anchorId="485AAF61" wp14:editId="2319A682">
                <wp:simplePos x="0" y="0"/>
                <wp:positionH relativeFrom="column">
                  <wp:posOffset>0</wp:posOffset>
                </wp:positionH>
                <wp:positionV relativeFrom="paragraph">
                  <wp:posOffset>8171180</wp:posOffset>
                </wp:positionV>
                <wp:extent cx="5486400" cy="135890"/>
                <wp:effectExtent l="0" t="0" r="0" b="16510"/>
                <wp:wrapSquare wrapText="bothSides"/>
                <wp:docPr id="432" name="Cuadro de texto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A6A55" w14:textId="77777777" w:rsidR="001C2EB7" w:rsidRDefault="001C2EB7" w:rsidP="004220B7">
                            <w:pPr>
                              <w:spacing w:line="201" w:lineRule="auto"/>
                              <w:ind w:right="108"/>
                              <w:jc w:val="right"/>
                              <w:rPr>
                                <w:rFonts w:ascii="Tahoma" w:hAnsi="Tahoma"/>
                                <w:color w:val="00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5AAF61" id="Cuadro de texto 432" o:spid="_x0000_s1028" type="#_x0000_t202" style="position:absolute;left:0;text-align:left;margin-left:0;margin-top:643.4pt;width:6in;height:10.7pt;z-index:-2515317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" filled="f" stroked="f">
                <v:textbox inset="0,0,0,0">
                  <w:txbxContent>
                    <w:p w14:paraId="617A6A55" w14:textId="77777777" w:rsidR="001C2EB7" w:rsidRDefault="001C2EB7" w:rsidP="004220B7">
                      <w:pPr>
                        <w:spacing w:line="201" w:lineRule="auto"/>
                        <w:ind w:right="108"/>
                        <w:jc w:val="right"/>
                        <w:rPr>
                          <w:rFonts w:ascii="Tahoma" w:hAnsi="Tahoma"/>
                          <w:color w:val="000000"/>
                        </w:rPr>
                      </w:pPr>
                    </w:p>
                  </w:txbxContent>
                </v:textbox>
                <w10:wrap type="square"/>
              </v:shape>
            </w:pict>
          </mc:Fallback>
        </mc:AlternateContent>
      </w:r>
      <w:r w:rsidR="004220B7" w:rsidRPr="007923C2">
        <w:rPr>
          <w:rFonts w:ascii="Arial" w:hAnsi="Arial" w:cs="Arial"/>
          <w:sz w:val="22"/>
          <w:szCs w:val="22"/>
        </w:rPr>
        <w:t>LA CONSERVACION DE LA BIODIVERSIDAD EN MÉXICO: MITOS Y REALIDADES</w:t>
      </w:r>
    </w:p>
    <w:p w14:paraId="57FC04D1" w14:textId="77777777" w:rsidR="00433553" w:rsidRPr="007923C2" w:rsidRDefault="00433553" w:rsidP="004220B7">
      <w:pPr>
        <w:jc w:val="both"/>
        <w:rPr>
          <w:rFonts w:ascii="Arial" w:hAnsi="Arial" w:cs="Arial"/>
          <w:sz w:val="22"/>
          <w:szCs w:val="22"/>
        </w:rPr>
      </w:pPr>
      <w:r w:rsidRPr="007923C2">
        <w:rPr>
          <w:rFonts w:ascii="Arial" w:hAnsi="Arial" w:cs="Arial"/>
          <w:sz w:val="22"/>
          <w:szCs w:val="22"/>
        </w:rPr>
        <w:t>Otra de las áreas en las cuales puede incursionar el ágrobiólogo es en el de conservación.</w:t>
      </w:r>
    </w:p>
    <w:p w14:paraId="7A51A4DB" w14:textId="77777777" w:rsidR="00433553" w:rsidRPr="007923C2" w:rsidRDefault="00433553" w:rsidP="004220B7">
      <w:pPr>
        <w:jc w:val="both"/>
        <w:rPr>
          <w:rFonts w:ascii="Arial" w:hAnsi="Arial" w:cs="Arial"/>
          <w:sz w:val="22"/>
          <w:szCs w:val="22"/>
        </w:rPr>
      </w:pPr>
      <w:r w:rsidRPr="007923C2">
        <w:rPr>
          <w:rFonts w:ascii="Arial" w:hAnsi="Arial" w:cs="Arial"/>
          <w:sz w:val="22"/>
          <w:szCs w:val="22"/>
        </w:rPr>
        <w:t xml:space="preserve">México es un país megadiverso con una diversidad de climas que lo hacen un país que debe conservar sus riquezas, establecer un desarrollo sustentable </w:t>
      </w:r>
      <w:r w:rsidR="005854D9" w:rsidRPr="007923C2">
        <w:rPr>
          <w:rFonts w:ascii="Arial" w:hAnsi="Arial" w:cs="Arial"/>
          <w:sz w:val="22"/>
          <w:szCs w:val="22"/>
        </w:rPr>
        <w:t>que permita una explotación de los recursos naturales sin afectarlos por las actividades productivas.</w:t>
      </w:r>
    </w:p>
    <w:p w14:paraId="292E6B1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Todos estamos de acuerdo en que las causas de las grandes amenazas para la humanidad ya están identificadas: crecimiento poblacional, pobreza, avaricia, ignorancia, concentración de la riqueza y el poder, escandaloso consumismo, contaminación y deterioro ecológico.</w:t>
      </w:r>
    </w:p>
    <w:p w14:paraId="74CED27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Ante este aplastante escenario, ¿cu</w:t>
      </w:r>
      <w:r w:rsidR="00F36778" w:rsidRPr="007923C2">
        <w:rPr>
          <w:rFonts w:ascii="Arial" w:hAnsi="Arial" w:cs="Arial"/>
          <w:sz w:val="22"/>
          <w:szCs w:val="22"/>
        </w:rPr>
        <w:t>á</w:t>
      </w:r>
      <w:r w:rsidRPr="007923C2">
        <w:rPr>
          <w:rFonts w:ascii="Arial" w:hAnsi="Arial" w:cs="Arial"/>
          <w:sz w:val="22"/>
          <w:szCs w:val="22"/>
        </w:rPr>
        <w:t>l debe ser nuestro papel co</w:t>
      </w:r>
      <w:r w:rsidR="00F36778" w:rsidRPr="007923C2">
        <w:rPr>
          <w:rFonts w:ascii="Arial" w:hAnsi="Arial" w:cs="Arial"/>
          <w:sz w:val="22"/>
          <w:szCs w:val="22"/>
        </w:rPr>
        <w:t>m</w:t>
      </w:r>
      <w:r w:rsidRPr="007923C2">
        <w:rPr>
          <w:rFonts w:ascii="Arial" w:hAnsi="Arial" w:cs="Arial"/>
          <w:sz w:val="22"/>
          <w:szCs w:val="22"/>
        </w:rPr>
        <w:t xml:space="preserve">o </w:t>
      </w:r>
      <w:r w:rsidR="005854D9" w:rsidRPr="007923C2">
        <w:rPr>
          <w:rFonts w:ascii="Arial" w:hAnsi="Arial" w:cs="Arial"/>
          <w:sz w:val="22"/>
          <w:szCs w:val="22"/>
        </w:rPr>
        <w:t>agrobiólogos</w:t>
      </w:r>
      <w:r w:rsidRPr="007923C2">
        <w:rPr>
          <w:rFonts w:ascii="Arial" w:hAnsi="Arial" w:cs="Arial"/>
          <w:sz w:val="22"/>
          <w:szCs w:val="22"/>
        </w:rPr>
        <w:t>? Lo único que nos queda, es hacer nuestro trabajo lo mejor posible generar conocimientos y contribuir a buscar soluciones a problemas que nosotros podamos resolver. Nuestra esperanza es que en algún momento, aquellos que to</w:t>
      </w:r>
      <w:r w:rsidR="00F36778" w:rsidRPr="007923C2">
        <w:rPr>
          <w:rFonts w:ascii="Arial" w:hAnsi="Arial" w:cs="Arial"/>
          <w:sz w:val="22"/>
          <w:szCs w:val="22"/>
        </w:rPr>
        <w:t>m</w:t>
      </w:r>
      <w:r w:rsidRPr="007923C2">
        <w:rPr>
          <w:rFonts w:ascii="Arial" w:hAnsi="Arial" w:cs="Arial"/>
          <w:sz w:val="22"/>
          <w:szCs w:val="22"/>
        </w:rPr>
        <w:t>an decisiones, puedan usar estos conocimientos para el bien de todos.</w:t>
      </w:r>
    </w:p>
    <w:p w14:paraId="3D6D87F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Reflexiones sobre la conservación de la biodiversidad.</w:t>
      </w:r>
    </w:p>
    <w:p w14:paraId="2E05A2B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términos conservación y biodiversidad reflejan conceptos que todos conocemos. El primero comunmente se refiere a las acciones humanas que buscan proteger muestras de la naturaleza -biotipos, especies, ecosistemas, paisajes- de las acciones humanas y también se refiere al uso sostenible de los recursos naturales. La biodiversidad es el nuevo término generado por los científicos para referirse a la diversidad de genes, organismos, ecosistemas y a los procesos biológicos y ecológicos que la producen.</w:t>
      </w:r>
    </w:p>
    <w:p w14:paraId="2940F33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conservación de la biodiversidad es quizás uno de los temas m</w:t>
      </w:r>
      <w:r w:rsidR="005854D9" w:rsidRPr="007923C2">
        <w:rPr>
          <w:rFonts w:ascii="Arial" w:hAnsi="Arial" w:cs="Arial"/>
          <w:sz w:val="22"/>
          <w:szCs w:val="22"/>
        </w:rPr>
        <w:t>á</w:t>
      </w:r>
      <w:r w:rsidRPr="007923C2">
        <w:rPr>
          <w:rFonts w:ascii="Arial" w:hAnsi="Arial" w:cs="Arial"/>
          <w:sz w:val="22"/>
          <w:szCs w:val="22"/>
        </w:rPr>
        <w:t xml:space="preserve">s importantes de nuestro tiempo. La información científica nos indica que las tasas de deforestación a nivel mundial se han </w:t>
      </w:r>
      <w:r w:rsidRPr="007923C2">
        <w:rPr>
          <w:rFonts w:ascii="Arial" w:hAnsi="Arial" w:cs="Arial"/>
          <w:sz w:val="22"/>
          <w:szCs w:val="22"/>
        </w:rPr>
        <w:lastRenderedPageBreak/>
        <w:t>incrementado en forma notable, en especial en los países tropicales. Esta pérdida de masas forestales se dice que puede traer consigo una extinción masiva de especies, un hecho sin precedente en la historia reciente de la tierra (Gómez-Pompa et al, 1972).</w:t>
      </w:r>
    </w:p>
    <w:p w14:paraId="3BC06F6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Varios científicos han tratado de estimar el posible número de extinciones de especies que podrían ocurrir si el proceso de transformación masiva continúa. Algunas cifras son quizás exageradas, sin embargo el proceso de extinción es una realidad (Lovejoy, 1959; Heywood et. al., 1994). Si se pierde 1, 10 o mil especies por año no es importante, lo importante es que se puedan estar extinguiendo por acciones humanas que podrían ser detenidas. La falta de información biológica sobre la presencia de especies en el campo a través del tiempo nos impide confirmar o rechazar estas estimaciones. Es muy lamentable la escasez de nuevos proyectos taxonómicos y flor</w:t>
      </w:r>
      <w:r w:rsidR="00FA3FCF" w:rsidRPr="007923C2">
        <w:rPr>
          <w:rFonts w:ascii="Arial" w:hAnsi="Arial" w:cs="Arial"/>
          <w:sz w:val="22"/>
          <w:szCs w:val="22"/>
        </w:rPr>
        <w:t>í</w:t>
      </w:r>
      <w:r w:rsidRPr="007923C2">
        <w:rPr>
          <w:rFonts w:ascii="Arial" w:hAnsi="Arial" w:cs="Arial"/>
          <w:sz w:val="22"/>
          <w:szCs w:val="22"/>
        </w:rPr>
        <w:t>sticos, ya que ellos son la fuente m</w:t>
      </w:r>
      <w:r w:rsidR="005854D9" w:rsidRPr="007923C2">
        <w:rPr>
          <w:rFonts w:ascii="Arial" w:hAnsi="Arial" w:cs="Arial"/>
          <w:sz w:val="22"/>
          <w:szCs w:val="22"/>
        </w:rPr>
        <w:t>á</w:t>
      </w:r>
      <w:r w:rsidRPr="007923C2">
        <w:rPr>
          <w:rFonts w:ascii="Arial" w:hAnsi="Arial" w:cs="Arial"/>
          <w:sz w:val="22"/>
          <w:szCs w:val="22"/>
        </w:rPr>
        <w:t>s creíble y actualizada sobre extinciones locales.</w:t>
      </w:r>
    </w:p>
    <w:p w14:paraId="607ED979" w14:textId="3E35EA65"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posible pérdida del patrimonio biológico y genético de la humanidad por nuestras acciones es un asunto de gran importancia. No es posible seguir especulando sobre </w:t>
      </w:r>
      <w:r w:rsidR="005854D9" w:rsidRPr="007923C2">
        <w:rPr>
          <w:rFonts w:ascii="Arial" w:hAnsi="Arial" w:cs="Arial"/>
          <w:sz w:val="22"/>
          <w:szCs w:val="22"/>
        </w:rPr>
        <w:t>é</w:t>
      </w:r>
      <w:r w:rsidRPr="007923C2">
        <w:rPr>
          <w:rFonts w:ascii="Arial" w:hAnsi="Arial" w:cs="Arial"/>
          <w:sz w:val="22"/>
          <w:szCs w:val="22"/>
        </w:rPr>
        <w:t>ste te</w:t>
      </w:r>
      <w:r w:rsidR="005854D9" w:rsidRPr="007923C2">
        <w:rPr>
          <w:rFonts w:ascii="Arial" w:hAnsi="Arial" w:cs="Arial"/>
          <w:sz w:val="22"/>
          <w:szCs w:val="22"/>
        </w:rPr>
        <w:t>m</w:t>
      </w:r>
      <w:r w:rsidRPr="007923C2">
        <w:rPr>
          <w:rFonts w:ascii="Arial" w:hAnsi="Arial" w:cs="Arial"/>
          <w:sz w:val="22"/>
          <w:szCs w:val="22"/>
        </w:rPr>
        <w:t>a</w:t>
      </w:r>
      <w:r w:rsidR="005854D9" w:rsidRPr="007923C2">
        <w:rPr>
          <w:rFonts w:ascii="Arial" w:hAnsi="Arial" w:cs="Arial"/>
          <w:sz w:val="22"/>
          <w:szCs w:val="22"/>
        </w:rPr>
        <w:t>.</w:t>
      </w:r>
      <w:r w:rsidRPr="007923C2">
        <w:rPr>
          <w:rFonts w:ascii="Arial" w:hAnsi="Arial" w:cs="Arial"/>
          <w:sz w:val="22"/>
          <w:szCs w:val="22"/>
        </w:rPr>
        <w:t xml:space="preserve"> Lo que tenemos que hacer es tratar de canalizar esta preocupación para buscar apoyos económicos para llevar a cabo proyectos ambiciosos que podrían confirmar, o no, la gravedad del asunto. La gran conferencia de Río de Janeiro (UNCED) convocada por las Naciones Unidas -que reunió al mayor n</w:t>
      </w:r>
      <w:r w:rsidR="00FA3FCF" w:rsidRPr="007923C2">
        <w:rPr>
          <w:rFonts w:ascii="Arial" w:hAnsi="Arial" w:cs="Arial"/>
          <w:sz w:val="22"/>
          <w:szCs w:val="22"/>
        </w:rPr>
        <w:t>ú</w:t>
      </w:r>
      <w:r w:rsidRPr="007923C2">
        <w:rPr>
          <w:rFonts w:ascii="Arial" w:hAnsi="Arial" w:cs="Arial"/>
          <w:sz w:val="22"/>
          <w:szCs w:val="22"/>
        </w:rPr>
        <w:t xml:space="preserve">mero de Jefes de Estado que cualquier otra conferencia de la </w:t>
      </w:r>
      <w:r w:rsidR="001F23E0">
        <w:rPr>
          <w:rFonts w:ascii="Arial" w:hAnsi="Arial" w:cs="Arial"/>
          <w:noProof/>
          <w:sz w:val="22"/>
          <w:szCs w:val="22"/>
        </w:rPr>
        <mc:AlternateContent>
          <mc:Choice Requires="wps">
            <w:drawing>
              <wp:anchor distT="0" distB="0" distL="0" distR="0" simplePos="0" relativeHeight="251785728" behindDoc="1" locked="0" layoutInCell="1" allowOverlap="1" wp14:anchorId="5A06ED76" wp14:editId="05FFB7AC">
                <wp:simplePos x="0" y="0"/>
                <wp:positionH relativeFrom="column">
                  <wp:posOffset>0</wp:posOffset>
                </wp:positionH>
                <wp:positionV relativeFrom="paragraph">
                  <wp:posOffset>6786245</wp:posOffset>
                </wp:positionV>
                <wp:extent cx="5486400" cy="113030"/>
                <wp:effectExtent l="0" t="0" r="0" b="1270"/>
                <wp:wrapSquare wrapText="bothSides"/>
                <wp:docPr id="431" name="Cuadro de texto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9EBD5" w14:textId="77777777" w:rsidR="001C2EB7" w:rsidRDefault="001C2EB7" w:rsidP="004220B7">
                            <w:pPr>
                              <w:spacing w:line="194" w:lineRule="auto"/>
                              <w:ind w:right="108"/>
                              <w:jc w:val="right"/>
                              <w:rPr>
                                <w:color w:val="000000"/>
                                <w:sz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6ED76" id="Cuadro de texto 431" o:spid="_x0000_s1029" type="#_x0000_t202" style="position:absolute;left:0;text-align:left;margin-left:0;margin-top:534.35pt;width:6in;height:8.9pt;z-index:-2515307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" filled="f" stroked="f">
                <v:textbox inset="0,0,0,0">
                  <w:txbxContent>
                    <w:p w14:paraId="4089EBD5" w14:textId="77777777" w:rsidR="001C2EB7" w:rsidRDefault="001C2EB7" w:rsidP="004220B7">
                      <w:pPr>
                        <w:spacing w:line="194" w:lineRule="auto"/>
                        <w:ind w:right="108"/>
                        <w:jc w:val="right"/>
                        <w:rPr>
                          <w:color w:val="000000"/>
                          <w:sz w:val="19"/>
                        </w:rPr>
                      </w:pPr>
                    </w:p>
                  </w:txbxContent>
                </v:textbox>
                <w10:wrap type="square"/>
              </v:shape>
            </w:pict>
          </mc:Fallback>
        </mc:AlternateContent>
      </w:r>
      <w:r w:rsidRPr="007923C2">
        <w:rPr>
          <w:rFonts w:ascii="Arial" w:hAnsi="Arial" w:cs="Arial"/>
          <w:sz w:val="22"/>
          <w:szCs w:val="22"/>
        </w:rPr>
        <w:t xml:space="preserve">ONU- tenia como uno de sus grandes temas a la biodiversidad,y su  conservación se convirtió en el centro de atención para las políticas conservacionistas a nivel mundial. </w:t>
      </w:r>
    </w:p>
    <w:p w14:paraId="7D69D7F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problema es que prácticamente ningún país estaba preparado para adoptar este nuevo objetivo conservacionista, Habla. -y hay- una falta información y personal capacitado para este nuevo objetivo.</w:t>
      </w:r>
    </w:p>
    <w:p w14:paraId="608FE75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Una pregunta básica que deberíamos hacer es: ¿que tanta biodiversidad está protegida en los sistemas actuales de conservación a la naturaleza, por ejemplo, en los Parques Nacionales? La contestación es que prácticamente ningún país sabe lo que tiene protegido.</w:t>
      </w:r>
    </w:p>
    <w:p w14:paraId="0BABCEB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Muchos paises, incluyendo México tenían ya una política -quizá muy débil- de conservación basada en un grupo de áreas legalmente protegidas con valores ecológicos, biológicos, estéticos, paisajísticos o históricos, Sin embargo la biodiversidad nunca fue considerada para su establecimiento. Se requerían nuevos esquemas</w:t>
      </w:r>
      <w:r w:rsidR="004E3C5C" w:rsidRPr="007923C2">
        <w:rPr>
          <w:rFonts w:ascii="Arial" w:hAnsi="Arial" w:cs="Arial"/>
          <w:sz w:val="22"/>
          <w:szCs w:val="22"/>
        </w:rPr>
        <w:t>.</w:t>
      </w:r>
      <w:r w:rsidRPr="007923C2">
        <w:rPr>
          <w:rFonts w:ascii="Arial" w:hAnsi="Arial" w:cs="Arial"/>
          <w:sz w:val="22"/>
          <w:szCs w:val="22"/>
        </w:rPr>
        <w:t xml:space="preserve"> El problema fue que no existia, ni existe, la información científica necesaria para tomar decisiones sobre nuevos sitios o nuevas formas de conservar esta biodiversidad. Ni tampoco la comunidad científica necesaria para generar esos conocimientos.</w:t>
      </w:r>
    </w:p>
    <w:p w14:paraId="592582C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adición a esto, se sabía que prácticamente todas las áreas protegidas decretadas por distintos Gobiernos a través del tiempo no incluían la obligación de comprar o expropiar las tierras, ni tampoco recursos para protegerlas y hacer cumplir los objetivos de los decretos que les dieron origen (Gómez-Pompa y Dirzo, 1995)</w:t>
      </w:r>
      <w:r w:rsidR="004E3C5C" w:rsidRPr="007923C2">
        <w:rPr>
          <w:rFonts w:ascii="Arial" w:hAnsi="Arial" w:cs="Arial"/>
          <w:sz w:val="22"/>
          <w:szCs w:val="22"/>
        </w:rPr>
        <w:t>.</w:t>
      </w:r>
      <w:r w:rsidRPr="007923C2">
        <w:rPr>
          <w:rFonts w:ascii="Arial" w:hAnsi="Arial" w:cs="Arial"/>
          <w:sz w:val="22"/>
          <w:szCs w:val="22"/>
        </w:rPr>
        <w:t xml:space="preserve"> La gran mayoría eran lo que se han llamado "parques de papel", tan conocidos en nuestros paises latinoamericanos. Sin embargo debo mencionar, que a pesar del desentendimiento gubernamental a sus áreas protegidas, muchas de ellas fueron respetadas por las poblaciones locales y con ello cumplieron y cumplen su papel conservacionista</w:t>
      </w:r>
      <w:r w:rsidR="004E3C5C" w:rsidRPr="007923C2">
        <w:rPr>
          <w:rFonts w:ascii="Arial" w:hAnsi="Arial" w:cs="Arial"/>
          <w:sz w:val="22"/>
          <w:szCs w:val="22"/>
        </w:rPr>
        <w:t>.</w:t>
      </w:r>
      <w:r w:rsidRPr="007923C2">
        <w:rPr>
          <w:rFonts w:ascii="Arial" w:hAnsi="Arial" w:cs="Arial"/>
          <w:sz w:val="22"/>
          <w:szCs w:val="22"/>
        </w:rPr>
        <w:t xml:space="preserve"> Sin embargo el objetivo central de tratar de buscar esquemas que aseguren la conservación de la biodiversidad de México ha quedado pendiente hasta la fecha</w:t>
      </w:r>
      <w:r w:rsidR="004E3C5C" w:rsidRPr="007923C2">
        <w:rPr>
          <w:rFonts w:ascii="Arial" w:hAnsi="Arial" w:cs="Arial"/>
          <w:sz w:val="22"/>
          <w:szCs w:val="22"/>
        </w:rPr>
        <w:t>.</w:t>
      </w:r>
      <w:r w:rsidRPr="007923C2">
        <w:rPr>
          <w:rFonts w:ascii="Arial" w:hAnsi="Arial" w:cs="Arial"/>
          <w:sz w:val="22"/>
          <w:szCs w:val="22"/>
        </w:rPr>
        <w:t xml:space="preserve"> El país </w:t>
      </w:r>
      <w:r w:rsidR="004E3C5C" w:rsidRPr="007923C2">
        <w:rPr>
          <w:rFonts w:ascii="Arial" w:hAnsi="Arial" w:cs="Arial"/>
          <w:sz w:val="22"/>
          <w:szCs w:val="22"/>
        </w:rPr>
        <w:t>p</w:t>
      </w:r>
      <w:r w:rsidRPr="007923C2">
        <w:rPr>
          <w:rFonts w:ascii="Arial" w:hAnsi="Arial" w:cs="Arial"/>
          <w:sz w:val="22"/>
          <w:szCs w:val="22"/>
        </w:rPr>
        <w:t xml:space="preserve">ara poder entender la problemática de la conservación en México será útil repasar brevemente algunas fortalezas y debilidades del país. México cuenta con cerca de 100 millones de habitantes y con un crecimiento poblacional de cerca el 2%. En los últimos 50 años </w:t>
      </w:r>
      <w:r w:rsidRPr="007923C2">
        <w:rPr>
          <w:rFonts w:ascii="Arial" w:hAnsi="Arial" w:cs="Arial"/>
          <w:sz w:val="22"/>
          <w:szCs w:val="22"/>
        </w:rPr>
        <w:lastRenderedPageBreak/>
        <w:t xml:space="preserve">ha perdido la mayor </w:t>
      </w:r>
      <w:r w:rsidR="006F5C1C" w:rsidRPr="007923C2">
        <w:rPr>
          <w:rFonts w:ascii="Arial" w:hAnsi="Arial" w:cs="Arial"/>
          <w:sz w:val="22"/>
          <w:szCs w:val="22"/>
        </w:rPr>
        <w:t>parte</w:t>
      </w:r>
      <w:r w:rsidRPr="007923C2">
        <w:rPr>
          <w:rFonts w:ascii="Arial" w:hAnsi="Arial" w:cs="Arial"/>
          <w:sz w:val="22"/>
          <w:szCs w:val="22"/>
        </w:rPr>
        <w:t xml:space="preserve"> de sus selvas altas siempre verdes. Pérdida relacionada con una tasa de deforestación sostenida de alrededor de 5013,000 hectáreas por año</w:t>
      </w:r>
      <w:r w:rsidR="004E3C5C" w:rsidRPr="007923C2">
        <w:rPr>
          <w:rFonts w:ascii="Arial" w:hAnsi="Arial" w:cs="Arial"/>
          <w:sz w:val="22"/>
          <w:szCs w:val="22"/>
        </w:rPr>
        <w:t>.</w:t>
      </w:r>
      <w:r w:rsidRPr="007923C2">
        <w:rPr>
          <w:rFonts w:ascii="Arial" w:hAnsi="Arial" w:cs="Arial"/>
          <w:sz w:val="22"/>
          <w:szCs w:val="22"/>
        </w:rPr>
        <w:t xml:space="preserve"> Una de las m</w:t>
      </w:r>
      <w:r w:rsidR="000D2727" w:rsidRPr="007923C2">
        <w:rPr>
          <w:rFonts w:ascii="Arial" w:hAnsi="Arial" w:cs="Arial"/>
          <w:sz w:val="22"/>
          <w:szCs w:val="22"/>
        </w:rPr>
        <w:t>á</w:t>
      </w:r>
      <w:r w:rsidRPr="007923C2">
        <w:rPr>
          <w:rFonts w:ascii="Arial" w:hAnsi="Arial" w:cs="Arial"/>
          <w:sz w:val="22"/>
          <w:szCs w:val="22"/>
        </w:rPr>
        <w:t xml:space="preserve">s altas de Latino América. Inmensas áreas del pais muestran una degradación ecológica y </w:t>
      </w:r>
      <w:r w:rsidR="004E3C5C" w:rsidRPr="007923C2">
        <w:rPr>
          <w:rFonts w:ascii="Arial" w:hAnsi="Arial" w:cs="Arial"/>
          <w:sz w:val="22"/>
          <w:szCs w:val="22"/>
        </w:rPr>
        <w:t xml:space="preserve">un </w:t>
      </w:r>
      <w:r w:rsidRPr="007923C2">
        <w:rPr>
          <w:rFonts w:ascii="Arial" w:hAnsi="Arial" w:cs="Arial"/>
          <w:sz w:val="22"/>
          <w:szCs w:val="22"/>
        </w:rPr>
        <w:t>empobrecimiento biológico notable (Sirnon, 1997)</w:t>
      </w:r>
    </w:p>
    <w:p w14:paraId="0F177074" w14:textId="0B03D873" w:rsidR="004220B7" w:rsidRPr="007923C2" w:rsidRDefault="001F23E0" w:rsidP="004220B7">
      <w:pPr>
        <w:jc w:val="both"/>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786752" behindDoc="1" locked="0" layoutInCell="1" allowOverlap="1" wp14:anchorId="56D09DCF" wp14:editId="3E1A1E29">
                <wp:simplePos x="0" y="0"/>
                <wp:positionH relativeFrom="column">
                  <wp:posOffset>0</wp:posOffset>
                </wp:positionH>
                <wp:positionV relativeFrom="paragraph">
                  <wp:posOffset>8183880</wp:posOffset>
                </wp:positionV>
                <wp:extent cx="5486400" cy="135255"/>
                <wp:effectExtent l="0" t="0" r="0" b="17145"/>
                <wp:wrapSquare wrapText="bothSides"/>
                <wp:docPr id="430" name="Cuadro de texto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FE159" w14:textId="77777777" w:rsidR="001C2EB7" w:rsidRDefault="001C2EB7" w:rsidP="004220B7">
                            <w:pPr>
                              <w:spacing w:line="201" w:lineRule="auto"/>
                              <w:ind w:right="180"/>
                              <w:jc w:val="right"/>
                              <w:rPr>
                                <w:rFonts w:ascii="Arial" w:hAnsi="Arial"/>
                                <w:color w:val="00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09DCF" id="Cuadro de texto 430" o:spid="_x0000_s1030" type="#_x0000_t202" style="position:absolute;left:0;text-align:left;margin-left:0;margin-top:644.4pt;width:6in;height:10.65pt;z-index:-2515297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" filled="f" stroked="f">
                <v:textbox inset="0,0,0,0">
                  <w:txbxContent>
                    <w:p w14:paraId="741FE159" w14:textId="77777777" w:rsidR="001C2EB7" w:rsidRDefault="001C2EB7" w:rsidP="004220B7">
                      <w:pPr>
                        <w:spacing w:line="201" w:lineRule="auto"/>
                        <w:ind w:right="180"/>
                        <w:jc w:val="right"/>
                        <w:rPr>
                          <w:rFonts w:ascii="Arial" w:hAnsi="Arial"/>
                          <w:color w:val="000000"/>
                        </w:rPr>
                      </w:pPr>
                    </w:p>
                  </w:txbxContent>
                </v:textbox>
                <w10:wrap type="square"/>
              </v:shape>
            </w:pict>
          </mc:Fallback>
        </mc:AlternateContent>
      </w:r>
      <w:r w:rsidR="004220B7" w:rsidRPr="007923C2">
        <w:rPr>
          <w:rFonts w:ascii="Arial" w:hAnsi="Arial" w:cs="Arial"/>
          <w:sz w:val="22"/>
          <w:szCs w:val="22"/>
        </w:rPr>
        <w:t>La distribución del ingreso es una de la más polarizadas de Latino América con más del 50% de su población en la pobreza y un 20 % ya en pobreza extrema. En contraste con esto, un pequeño grupo de mexicanos forman parte de la lista de los 100 más ricos del mundo.</w:t>
      </w:r>
    </w:p>
    <w:p w14:paraId="1141C94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México es uno de los paises más biodiversos del planeta, con un altísimo porcentaje de endemismos en plantas y animales (Mitteminier et al., 1992; Sarukhan et 1996), La comunidad conservacionista mexicana ha sido muy activa en los últimos años y he logrado influir en los Gobiernos en turno para adoptar y desarrollar modelos conservacionistas y establecer e través del tiempo innumerables parques nacionales, refugios de fauna, reservas forestales, sitios del patrimonio mundial, jardines botánicos y zoológicos y una red de Reservas de le Biosfera. En la actualidad cuenta con un sistema de áreas protegidas "activas" que cubre un10 %del territorio nacional (Górnez-Pompa &amp; Kaus, 1999).</w:t>
      </w:r>
    </w:p>
    <w:p w14:paraId="23D3E9B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México es también el sitio en donde se han desarrollado, florecido y colapsado notables culturas indígenas en los últimos 3,000 años. Estas culturas poseen una enorme diversidad de prácticas y conocimientos -que bien podemos llamar conservacionistas- que vienen desde épocas pre-hispánicas. Varios investigadores han mencionado que la mayor biodiversidad de México se encuentra en los mismos sitios en donde viven los grupos indígenas (Toledo, 1989). Esta población maneja sus recursos naturales en forma tradicional y en ese manejo practican sus propias "politicas" conservacionistas Este te</w:t>
      </w:r>
      <w:r w:rsidR="00A04C89" w:rsidRPr="007923C2">
        <w:rPr>
          <w:rFonts w:ascii="Arial" w:hAnsi="Arial" w:cs="Arial"/>
          <w:sz w:val="22"/>
          <w:szCs w:val="22"/>
        </w:rPr>
        <w:t>m</w:t>
      </w:r>
      <w:r w:rsidRPr="007923C2">
        <w:rPr>
          <w:rFonts w:ascii="Arial" w:hAnsi="Arial" w:cs="Arial"/>
          <w:sz w:val="22"/>
          <w:szCs w:val="22"/>
        </w:rPr>
        <w:t>a tan fundamental, apenas se empieza a estudiar por la activa comunidad etnobotánica mexicana (Gómez-Pompa &amp; Kaus, 1999).</w:t>
      </w:r>
    </w:p>
    <w:p w14:paraId="13BAA09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México además cuenta con un número impresionante de ecosistemas naturales que han sobrevivido los cambios producidos por el hombre a través de los tiempos. Aparentemente han demostrado ser resistentes a los distintos ciclos de perturbaciones humanas del pasado. La regeneración y resistencia ecológica -y quizá la biológica- ha sido un factor importante en el mantenimiento de la biodiversidad del pais. Este es un tema de enorme importancia que requiere la investigación científica (Gómez-Pompa &amp; Kaus, 1999).</w:t>
      </w:r>
    </w:p>
    <w:p w14:paraId="79AEE19E" w14:textId="797BE87D" w:rsidR="004220B7" w:rsidRPr="007923C2" w:rsidRDefault="004220B7" w:rsidP="004220B7">
      <w:pPr>
        <w:jc w:val="both"/>
        <w:rPr>
          <w:rFonts w:ascii="Arial" w:hAnsi="Arial" w:cs="Arial"/>
          <w:sz w:val="22"/>
          <w:szCs w:val="22"/>
        </w:rPr>
      </w:pPr>
      <w:r w:rsidRPr="007923C2">
        <w:rPr>
          <w:rFonts w:ascii="Arial" w:hAnsi="Arial" w:cs="Arial"/>
          <w:sz w:val="22"/>
          <w:szCs w:val="22"/>
        </w:rPr>
        <w:t>El reto actual de la conservación de la biodiversidad de México tiene que entenderse dentro de este doble contexto de re</w:t>
      </w:r>
      <w:r w:rsidR="00A04C89" w:rsidRPr="007923C2">
        <w:rPr>
          <w:rFonts w:ascii="Arial" w:hAnsi="Arial" w:cs="Arial"/>
          <w:sz w:val="22"/>
          <w:szCs w:val="22"/>
        </w:rPr>
        <w:t>t</w:t>
      </w:r>
      <w:r w:rsidRPr="007923C2">
        <w:rPr>
          <w:rFonts w:ascii="Arial" w:hAnsi="Arial" w:cs="Arial"/>
          <w:sz w:val="22"/>
          <w:szCs w:val="22"/>
        </w:rPr>
        <w:t xml:space="preserve">os y cultura, En México conviven dos culturas conservacionistas la del México moderno con sus áreas protegidas y la del México indígena y campesino -el llamado México Profundo- por Guillermo Bonfil- con su manejo tradicional de la naturaleza (Bonfil, 1987). El gran reto de le conservación en México es la compatibilizacion de las dos políticas para crear una sola. México ha decretado más de 500 áreas protegidas de distintos tipos en los últimos 8O años. Desafortunadamente le creación de un área no tuvo nada que ver con la protección y manejo de la misma. Si acumularemos todos los decretos existentes desde principios de siglo, ¡México tendrá más de la mitad de su territorio protegido! Cada presidente en turno decretaba nuevas áreas a sabiendas de que </w:t>
      </w:r>
      <w:r w:rsidR="001F23E0">
        <w:rPr>
          <w:rFonts w:ascii="Arial" w:hAnsi="Arial" w:cs="Arial"/>
          <w:noProof/>
          <w:sz w:val="22"/>
          <w:szCs w:val="22"/>
        </w:rPr>
        <mc:AlternateContent>
          <mc:Choice Requires="wps">
            <w:drawing>
              <wp:anchor distT="0" distB="0" distL="0" distR="0" simplePos="0" relativeHeight="251787776" behindDoc="1" locked="0" layoutInCell="1" allowOverlap="1" wp14:anchorId="1C42F527" wp14:editId="75FA0A65">
                <wp:simplePos x="0" y="0"/>
                <wp:positionH relativeFrom="column">
                  <wp:posOffset>0</wp:posOffset>
                </wp:positionH>
                <wp:positionV relativeFrom="paragraph">
                  <wp:posOffset>8172450</wp:posOffset>
                </wp:positionV>
                <wp:extent cx="5486400" cy="142240"/>
                <wp:effectExtent l="0" t="0" r="0" b="10160"/>
                <wp:wrapSquare wrapText="bothSides"/>
                <wp:docPr id="429" name="Cuadro de texto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67AE47" w14:textId="77777777" w:rsidR="001C2EB7" w:rsidRDefault="001C2EB7" w:rsidP="004220B7">
                            <w:pPr>
                              <w:spacing w:line="187" w:lineRule="auto"/>
                              <w:ind w:right="108"/>
                              <w:jc w:val="right"/>
                              <w:rPr>
                                <w:color w:val="000000"/>
                                <w:spacing w:val="10"/>
                                <w:sz w:val="2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42F527" id="Cuadro de texto 429" o:spid="_x0000_s1031" type="#_x0000_t202" style="position:absolute;left:0;text-align:left;margin-left:0;margin-top:643.5pt;width:6in;height:11.2pt;z-index:-251528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" filled="f" stroked="f">
                <v:textbox inset="0,0,0,0">
                  <w:txbxContent>
                    <w:p w14:paraId="7067AE47" w14:textId="77777777" w:rsidR="001C2EB7" w:rsidRDefault="001C2EB7" w:rsidP="004220B7">
                      <w:pPr>
                        <w:spacing w:line="187" w:lineRule="auto"/>
                        <w:ind w:right="108"/>
                        <w:jc w:val="right"/>
                        <w:rPr>
                          <w:color w:val="000000"/>
                          <w:spacing w:val="10"/>
                          <w:sz w:val="25"/>
                        </w:rPr>
                      </w:pPr>
                    </w:p>
                  </w:txbxContent>
                </v:textbox>
                <w10:wrap type="square"/>
              </v:shape>
            </w:pict>
          </mc:Fallback>
        </mc:AlternateContent>
      </w:r>
      <w:r w:rsidRPr="007923C2">
        <w:rPr>
          <w:rFonts w:ascii="Arial" w:hAnsi="Arial" w:cs="Arial"/>
          <w:sz w:val="22"/>
          <w:szCs w:val="22"/>
        </w:rPr>
        <w:t>ni él, ni sus sucesores se ocuparían de protegerlas. Pronto se aprendió la nefasta lección que decretar áreas 'no cuesta nada, adorna políticamente, no compromete a nada e incluso puede proteger la naturaleza al menos por un tiempo</w:t>
      </w:r>
      <w:r w:rsidR="002067A5">
        <w:rPr>
          <w:rFonts w:ascii="Arial" w:hAnsi="Arial" w:cs="Arial"/>
          <w:sz w:val="22"/>
          <w:szCs w:val="22"/>
        </w:rPr>
        <w:t xml:space="preserve"> </w:t>
      </w:r>
      <w:r w:rsidRPr="007923C2">
        <w:rPr>
          <w:rFonts w:ascii="Arial" w:hAnsi="Arial" w:cs="Arial"/>
          <w:sz w:val="22"/>
          <w:szCs w:val="22"/>
        </w:rPr>
        <w:t xml:space="preserve">(Gómez-Pompa &amp; Dirzo, 1985). Dada la demagogia del proceso, las superficies decretadas podían ser enormes, tal fue el caso de las áreas protectoras forestales de cuencas de ríos </w:t>
      </w:r>
      <w:r w:rsidRPr="007923C2">
        <w:rPr>
          <w:rFonts w:ascii="Arial" w:hAnsi="Arial" w:cs="Arial"/>
          <w:sz w:val="22"/>
          <w:szCs w:val="22"/>
        </w:rPr>
        <w:lastRenderedPageBreak/>
        <w:t>y ciudadesde la nación.</w:t>
      </w:r>
    </w:p>
    <w:p w14:paraId="45126FC5" w14:textId="0940E964" w:rsidR="004220B7" w:rsidRPr="007923C2" w:rsidRDefault="004220B7" w:rsidP="004220B7">
      <w:pPr>
        <w:jc w:val="both"/>
        <w:rPr>
          <w:rFonts w:ascii="Arial" w:hAnsi="Arial" w:cs="Arial"/>
          <w:sz w:val="22"/>
          <w:szCs w:val="22"/>
        </w:rPr>
      </w:pPr>
      <w:r w:rsidRPr="007923C2">
        <w:rPr>
          <w:rFonts w:ascii="Arial" w:hAnsi="Arial" w:cs="Arial"/>
          <w:sz w:val="22"/>
          <w:szCs w:val="22"/>
        </w:rPr>
        <w:t>En muchos casos los propietarios de tierras en áreas protegidas no estaban ni siquiera enterados de que estaban dentro, ni existía</w:t>
      </w:r>
      <w:r w:rsidR="00CA4D64">
        <w:rPr>
          <w:rFonts w:ascii="Arial" w:hAnsi="Arial" w:cs="Arial"/>
          <w:sz w:val="22"/>
          <w:szCs w:val="22"/>
        </w:rPr>
        <w:t xml:space="preserve"> n</w:t>
      </w:r>
      <w:r w:rsidRPr="007923C2">
        <w:rPr>
          <w:rFonts w:ascii="Arial" w:hAnsi="Arial" w:cs="Arial"/>
          <w:sz w:val="22"/>
          <w:szCs w:val="22"/>
        </w:rPr>
        <w:t>inguna autoridad que se hiciera responsable de vigilar que se cumplieran los decretos,</w:t>
      </w:r>
    </w:p>
    <w:p w14:paraId="6F56BEB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comunidad científica conservacionista hasta los años 50's prácticamente era inexistente y con muy poca influencia. Salvo contadas excepciones, tal fue ef caso del Ing. Angel Quevedo, funcionario responsable de la impresionante política conservacionista del Presidente Lazar</w:t>
      </w:r>
      <w:r w:rsidR="000D2727" w:rsidRPr="007923C2">
        <w:rPr>
          <w:rFonts w:ascii="Arial" w:hAnsi="Arial" w:cs="Arial"/>
          <w:sz w:val="22"/>
          <w:szCs w:val="22"/>
        </w:rPr>
        <w:t>o</w:t>
      </w:r>
      <w:r w:rsidRPr="007923C2">
        <w:rPr>
          <w:rFonts w:ascii="Arial" w:hAnsi="Arial" w:cs="Arial"/>
          <w:sz w:val="22"/>
          <w:szCs w:val="22"/>
        </w:rPr>
        <w:t xml:space="preserve"> Cárdenas y el Dr. Enrique B</w:t>
      </w:r>
      <w:r w:rsidR="000D2727" w:rsidRPr="007923C2">
        <w:rPr>
          <w:rFonts w:ascii="Arial" w:hAnsi="Arial" w:cs="Arial"/>
          <w:sz w:val="22"/>
          <w:szCs w:val="22"/>
        </w:rPr>
        <w:t>e</w:t>
      </w:r>
      <w:r w:rsidRPr="007923C2">
        <w:rPr>
          <w:rFonts w:ascii="Arial" w:hAnsi="Arial" w:cs="Arial"/>
          <w:sz w:val="22"/>
          <w:szCs w:val="22"/>
        </w:rPr>
        <w:t>ltrán padre del movimiento conservacionista moderno y funcionario en el Gobierno del Presidente López Mateos, Evidentemente México tiene un problema grave en su politica de conservación de la naturaleza,</w:t>
      </w:r>
    </w:p>
    <w:p w14:paraId="6DDE7C3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Las Reservas de la Biosfera.</w:t>
      </w:r>
    </w:p>
    <w:p w14:paraId="0B513EC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situación de México no era única. Muchos otros paises tenían problemas similares (van Schaik el al, 1997). La comunidad científica conservacionista estaba concierte del problema. En lo años 70's a instancias de un grupo de científicos se crea en la UNESCO el Programa del Hombre y la Biosfera (MAB), como una alternativa al problema de la ineficacia de los sistemas de protección de la naturaleza prevalecientes en mundo. El MAB lanza un nuevo concepto de protección a la naturaleza: la Reserva de la Biosfera, Este concepto combinaba cuatro elementos fundamentales: la investigación científica, la necesidad de tener áreas bien protegidas (llamadas zonas núcleo) rodeadas por zonas de amortiguamiento, la participación local y la continuación de la politica de no adquisición de tierras (Halffter 1984; taus 1992).</w:t>
      </w:r>
    </w:p>
    <w:p w14:paraId="46E118B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idea parecía genial ya que combinaba elementos difícilmente criticables que había gente dentro de las reservas y que había que tomarla en cuenta.</w:t>
      </w:r>
    </w:p>
    <w:p w14:paraId="447D79C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MAB-México apoyado por CONACYT adaptó de inmediato el concepto y decidió crear un sistema de reservas de la Biosfera en forma independiente de lo existente. En contraste con otros países solamente cambiaron el nombre a algunos de sus Parques Nacionales existentes.</w:t>
      </w:r>
    </w:p>
    <w:p w14:paraId="1CB5663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México la idea inicial fue dedicar estas reservas a la investigación científica de la conservación. Este paso era muy importante ya que permitía ligar a centros de investigación científica con la conservación de grandes áreas</w:t>
      </w:r>
      <w:r w:rsidR="00A04C89" w:rsidRPr="007923C2">
        <w:rPr>
          <w:rFonts w:ascii="Arial" w:hAnsi="Arial" w:cs="Arial"/>
          <w:sz w:val="22"/>
          <w:szCs w:val="22"/>
        </w:rPr>
        <w:t>.</w:t>
      </w:r>
      <w:r w:rsidRPr="007923C2">
        <w:rPr>
          <w:rFonts w:ascii="Arial" w:hAnsi="Arial" w:cs="Arial"/>
          <w:sz w:val="22"/>
          <w:szCs w:val="22"/>
        </w:rPr>
        <w:t xml:space="preserve"> Esta etapa inicial fue decisiva para consolidar el prestigio de México en esta nueva categoría de área protegida. Desafortunadamente la idea original de crear una red ligada a centros de investigación fue perdiéndose. Pronto la iniciativa de creación de Reservas de la Biosfera dejo de estar en manos de la comunidad científica y pasó paulatinamente a la burocracia gubernamental. Ellos descubrieron lo mismo que los anteriores, de que la creación de Reservas de la Biosfera no costaba </w:t>
      </w:r>
      <w:r w:rsidR="00A04C89" w:rsidRPr="007923C2">
        <w:rPr>
          <w:rFonts w:ascii="Arial" w:hAnsi="Arial" w:cs="Arial"/>
          <w:sz w:val="22"/>
          <w:szCs w:val="22"/>
        </w:rPr>
        <w:t xml:space="preserve">nada ni </w:t>
      </w:r>
      <w:r w:rsidRPr="007923C2">
        <w:rPr>
          <w:rFonts w:ascii="Arial" w:hAnsi="Arial" w:cs="Arial"/>
          <w:sz w:val="22"/>
          <w:szCs w:val="22"/>
        </w:rPr>
        <w:t>implicaba compromiso alguno, ni requería comprar tierras ni expropiadas y lo mas importante daba prestigio internacional</w:t>
      </w:r>
      <w:r w:rsidR="00A04C89" w:rsidRPr="007923C2">
        <w:rPr>
          <w:rFonts w:ascii="Arial" w:hAnsi="Arial" w:cs="Arial"/>
          <w:sz w:val="22"/>
          <w:szCs w:val="22"/>
        </w:rPr>
        <w:t>.</w:t>
      </w:r>
      <w:r w:rsidRPr="007923C2">
        <w:rPr>
          <w:rFonts w:ascii="Arial" w:hAnsi="Arial" w:cs="Arial"/>
          <w:sz w:val="22"/>
          <w:szCs w:val="22"/>
        </w:rPr>
        <w:t xml:space="preserve"> La influencia de la comunidad científica poco a poco fue disminuyendo, salvo en aquellas reservas iniciales ligadas e centros de investigación.</w:t>
      </w:r>
    </w:p>
    <w:p w14:paraId="76200CA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red de Reservas de la Biosfera de México se ha convertido en el sistema primordial de la conservación de la biodiversidad de México</w:t>
      </w:r>
      <w:r w:rsidR="00A04C89" w:rsidRPr="007923C2">
        <w:rPr>
          <w:rFonts w:ascii="Arial" w:hAnsi="Arial" w:cs="Arial"/>
          <w:sz w:val="22"/>
          <w:szCs w:val="22"/>
        </w:rPr>
        <w:t>.</w:t>
      </w:r>
      <w:r w:rsidRPr="007923C2">
        <w:rPr>
          <w:rFonts w:ascii="Arial" w:hAnsi="Arial" w:cs="Arial"/>
          <w:sz w:val="22"/>
          <w:szCs w:val="22"/>
        </w:rPr>
        <w:t xml:space="preserve"> La diferencia ahora es la mayor visibilidad nacional e internacional, los apoyos de grupos conservacionistas nacionales e internacionales y el apoyo económico tanto del Gobierno corno de fuentes financieras internacionales Sin embargo  prevalece la incertidumbre en la tenencia y uso de la tierra y sus recursos y la falta de presupuesto para vigilar y </w:t>
      </w:r>
      <w:r w:rsidRPr="007923C2">
        <w:rPr>
          <w:rFonts w:ascii="Arial" w:hAnsi="Arial" w:cs="Arial"/>
          <w:sz w:val="22"/>
          <w:szCs w:val="22"/>
        </w:rPr>
        <w:lastRenderedPageBreak/>
        <w:t>manejar todas las reservas activas. Faltan instrumentos legales para vigilar que se obedezcan las limitaciones en el uso del suelo y [os recursos de las reservas. La participación focal est</w:t>
      </w:r>
      <w:r w:rsidR="00A04C89" w:rsidRPr="007923C2">
        <w:rPr>
          <w:rFonts w:ascii="Arial" w:hAnsi="Arial" w:cs="Arial"/>
          <w:sz w:val="22"/>
          <w:szCs w:val="22"/>
        </w:rPr>
        <w:t>á</w:t>
      </w:r>
      <w:r w:rsidRPr="007923C2">
        <w:rPr>
          <w:rFonts w:ascii="Arial" w:hAnsi="Arial" w:cs="Arial"/>
          <w:sz w:val="22"/>
          <w:szCs w:val="22"/>
        </w:rPr>
        <w:t xml:space="preserve"> ausente o es mínima, La investigación científica sobre la biodiversidad y su conservación de las áreas es casi inexistente. Mientras no se resuelvan estos problemas nos parece que su futuro es aún incierto.</w:t>
      </w:r>
    </w:p>
    <w:p w14:paraId="46930C8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México sólo se tienen funcionando -parcialmente- unas cuantas (</w:t>
      </w:r>
      <w:r w:rsidR="004A04A6" w:rsidRPr="007923C2">
        <w:rPr>
          <w:rFonts w:ascii="Arial" w:hAnsi="Arial" w:cs="Arial"/>
          <w:sz w:val="22"/>
          <w:szCs w:val="22"/>
        </w:rPr>
        <w:t>Ma</w:t>
      </w:r>
      <w:r w:rsidRPr="007923C2">
        <w:rPr>
          <w:rFonts w:ascii="Arial" w:hAnsi="Arial" w:cs="Arial"/>
          <w:sz w:val="22"/>
          <w:szCs w:val="22"/>
        </w:rPr>
        <w:t>nantlán y Pinacate son las mejores), el resto corre el peligro de seguir la misma suerte de las otras áreas protegidas del pasado.</w:t>
      </w:r>
    </w:p>
    <w:p w14:paraId="1253B1F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¿Qué hacer?</w:t>
      </w:r>
    </w:p>
    <w:p w14:paraId="2FDF294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Evidentemente México requiere revisar su política conservacionista, quizás elaborar un plan estratégico nacional que partiendo de las amenazas conocidas a la biodiversidad de México plantee alternativas viables a corto, mediano y largo plazo. En este plan las áreas protegidas gubernamentales (en especial las Reservas de la Biosfera) tendrán un papel importante; pero no deberán ser la única opción</w:t>
      </w:r>
      <w:r w:rsidR="004A04A6" w:rsidRPr="007923C2">
        <w:rPr>
          <w:rFonts w:ascii="Arial" w:hAnsi="Arial" w:cs="Arial"/>
          <w:sz w:val="22"/>
          <w:szCs w:val="22"/>
        </w:rPr>
        <w:t>.</w:t>
      </w:r>
      <w:r w:rsidRPr="007923C2">
        <w:rPr>
          <w:rFonts w:ascii="Arial" w:hAnsi="Arial" w:cs="Arial"/>
          <w:sz w:val="22"/>
          <w:szCs w:val="22"/>
        </w:rPr>
        <w:t xml:space="preserve"> Habrá que buscar otras formas de protección que sean eficientes para conservar la diversidad biótica del pais.</w:t>
      </w:r>
    </w:p>
    <w:p w14:paraId="1F4016E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Para poder desarrollar este plan se requerirá echar mano de toda la información cient</w:t>
      </w:r>
      <w:r w:rsidR="004A04A6" w:rsidRPr="007923C2">
        <w:rPr>
          <w:rFonts w:ascii="Arial" w:hAnsi="Arial" w:cs="Arial"/>
          <w:sz w:val="22"/>
          <w:szCs w:val="22"/>
        </w:rPr>
        <w:t>í</w:t>
      </w:r>
      <w:r w:rsidRPr="007923C2">
        <w:rPr>
          <w:rFonts w:ascii="Arial" w:hAnsi="Arial" w:cs="Arial"/>
          <w:sz w:val="22"/>
          <w:szCs w:val="22"/>
        </w:rPr>
        <w:t>fica disponible sobre la biodiversidad del país</w:t>
      </w:r>
      <w:r w:rsidR="004A04A6" w:rsidRPr="007923C2">
        <w:rPr>
          <w:rFonts w:ascii="Arial" w:hAnsi="Arial" w:cs="Arial"/>
          <w:sz w:val="22"/>
          <w:szCs w:val="22"/>
        </w:rPr>
        <w:t>.</w:t>
      </w:r>
      <w:r w:rsidRPr="007923C2">
        <w:rPr>
          <w:rFonts w:ascii="Arial" w:hAnsi="Arial" w:cs="Arial"/>
          <w:sz w:val="22"/>
          <w:szCs w:val="22"/>
        </w:rPr>
        <w:t xml:space="preserve"> Habrá que analizar lo que tenemos y lo que aún necesitamos de información</w:t>
      </w:r>
      <w:r w:rsidR="004A04A6" w:rsidRPr="007923C2">
        <w:rPr>
          <w:rFonts w:ascii="Arial" w:hAnsi="Arial" w:cs="Arial"/>
          <w:sz w:val="22"/>
          <w:szCs w:val="22"/>
        </w:rPr>
        <w:t>.</w:t>
      </w:r>
      <w:r w:rsidRPr="007923C2">
        <w:rPr>
          <w:rFonts w:ascii="Arial" w:hAnsi="Arial" w:cs="Arial"/>
          <w:sz w:val="22"/>
          <w:szCs w:val="22"/>
        </w:rPr>
        <w:t xml:space="preserve"> Aquí debo hacer un reconocimiento a la comunidad botánica mexicana que ha generado valiosos conocimientos y también a CONABIO que ha venido estimulando investigaciones y compilando y organizando la información existente.</w:t>
      </w:r>
    </w:p>
    <w:p w14:paraId="78BBBB5D" w14:textId="71F49D29"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Aún quedan muchas preguntas sin respuesta: ¿Dónde está la mayor biodiversidad? ¿En las áreas protegidas o fuera de las áreas? Para poder responder estas preguntas tendríamos que tener inventarios de taxa selectos de las principales áreas_ Desafortunadamente esta tarea no ha tenido la alta prioridad </w:t>
      </w:r>
      <w:r w:rsidR="001F23E0">
        <w:rPr>
          <w:rFonts w:ascii="Arial" w:hAnsi="Arial" w:cs="Arial"/>
          <w:noProof/>
          <w:sz w:val="22"/>
          <w:szCs w:val="22"/>
        </w:rPr>
        <mc:AlternateContent>
          <mc:Choice Requires="wps">
            <w:drawing>
              <wp:anchor distT="0" distB="0" distL="0" distR="0" simplePos="0" relativeHeight="251788800" behindDoc="1" locked="0" layoutInCell="1" allowOverlap="1" wp14:anchorId="4FC3A2AC" wp14:editId="355DFE61">
                <wp:simplePos x="0" y="0"/>
                <wp:positionH relativeFrom="column">
                  <wp:posOffset>0</wp:posOffset>
                </wp:positionH>
                <wp:positionV relativeFrom="paragraph">
                  <wp:posOffset>8177530</wp:posOffset>
                </wp:positionV>
                <wp:extent cx="5486400" cy="126365"/>
                <wp:effectExtent l="0" t="0" r="0" b="6985"/>
                <wp:wrapSquare wrapText="bothSides"/>
                <wp:docPr id="428" name="Cuadro de texto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F1FBC" w14:textId="77777777" w:rsidR="001C2EB7" w:rsidRDefault="001C2EB7" w:rsidP="004220B7">
                            <w:pPr>
                              <w:spacing w:line="206" w:lineRule="auto"/>
                              <w:ind w:right="180"/>
                              <w:jc w:val="right"/>
                              <w:rPr>
                                <w:rFonts w:ascii="Verdana" w:hAnsi="Verdana"/>
                                <w:color w:val="141414"/>
                                <w:sz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3A2AC" id="Cuadro de texto 428" o:spid="_x0000_s1032" type="#_x0000_t202" style="position:absolute;left:0;text-align:left;margin-left:0;margin-top:643.9pt;width:6in;height:9.95pt;z-index:-2515276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" filled="f" stroked="f">
                <v:textbox inset="0,0,0,0">
                  <w:txbxContent>
                    <w:p w14:paraId="10DF1FBC" w14:textId="77777777" w:rsidR="001C2EB7" w:rsidRDefault="001C2EB7" w:rsidP="004220B7">
                      <w:pPr>
                        <w:spacing w:line="206" w:lineRule="auto"/>
                        <w:ind w:right="180"/>
                        <w:jc w:val="right"/>
                        <w:rPr>
                          <w:rFonts w:ascii="Verdana" w:hAnsi="Verdana"/>
                          <w:color w:val="141414"/>
                          <w:sz w:val="19"/>
                        </w:rPr>
                      </w:pPr>
                    </w:p>
                  </w:txbxContent>
                </v:textbox>
                <w10:wrap type="square"/>
              </v:shape>
            </w:pict>
          </mc:Fallback>
        </mc:AlternateContent>
      </w:r>
      <w:r w:rsidRPr="007923C2">
        <w:rPr>
          <w:rFonts w:ascii="Arial" w:hAnsi="Arial" w:cs="Arial"/>
          <w:sz w:val="22"/>
          <w:szCs w:val="22"/>
        </w:rPr>
        <w:t xml:space="preserve">que se merece y en la actualidad desconocemos que biodiversidad de plantas tenemos protegida en el país. Alguien ha dicho que reservas sin </w:t>
      </w:r>
      <w:r w:rsidR="004A04A6" w:rsidRPr="007923C2">
        <w:rPr>
          <w:rFonts w:ascii="Arial" w:hAnsi="Arial" w:cs="Arial"/>
          <w:sz w:val="22"/>
          <w:szCs w:val="22"/>
        </w:rPr>
        <w:t>in</w:t>
      </w:r>
      <w:r w:rsidRPr="007923C2">
        <w:rPr>
          <w:rFonts w:ascii="Arial" w:hAnsi="Arial" w:cs="Arial"/>
          <w:sz w:val="22"/>
          <w:szCs w:val="22"/>
        </w:rPr>
        <w:t>ventario son como bibliotecas sin catálogo. Esto es cierto. Una pregunta molesta sería ¿qué tantas más áreas protegidas necesitamos para proteger digamos el 80 % de la diversidad florística de México?</w:t>
      </w:r>
    </w:p>
    <w:p w14:paraId="550FCD0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Recursos económicos existen para un proyecto de esta naturaleza. Si se usaran sólo los intereses del .5 % de la deuda de México, podríamos tener casi un billón de dolares para llevar a cabo un proyecto para toda la América Latina. Si la biodiversidad es tan importante y beneficia a todos, cantidades de esta magnitud no deberían asustar a nadie. El GEF del Banco Mundial bien podría colaborar en este proyecto.</w:t>
      </w:r>
    </w:p>
    <w:p w14:paraId="5A3880B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¿Dado el nivel de ignorancia existente, debemos sólo concentrarnos en grandes áreas protegidas que no pertenezcan a la nación?</w:t>
      </w:r>
    </w:p>
    <w:p w14:paraId="44AE04A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un país con el tipo de biodiversidad de México un esquema de este tipo podría funcionar muy bien y proteger un gran número de taxa de distribución restringida. La gran diversidad genética de nuestras plantas cultivadas podría incluirse en esta red alternativa. Las pequeñas áreas protegidas además son bancos de germoplasma que en un futuro serán clave para proyectos de restauración biológica. Lo más interesante de esta idea es que estas áreas ya existen en todas partes del país: en predios privados, ejidos o comunidades indígenas. Sus dueños han decidido conservar algún área de su propiedad para el futuro.</w:t>
      </w:r>
    </w:p>
    <w:p w14:paraId="62F477C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 xml:space="preserve">Si es cierto que las zonas indígenas tienen la mayor biodiversidad ¿Cuales son las prácticas que permiten la co-existencia de sus zonas de producción con el mantenimiento de la </w:t>
      </w:r>
      <w:r w:rsidR="000D2727" w:rsidRPr="007923C2">
        <w:rPr>
          <w:rFonts w:ascii="Arial" w:hAnsi="Arial" w:cs="Arial"/>
          <w:sz w:val="22"/>
          <w:szCs w:val="22"/>
        </w:rPr>
        <w:t>b</w:t>
      </w:r>
      <w:r w:rsidRPr="007923C2">
        <w:rPr>
          <w:rFonts w:ascii="Arial" w:hAnsi="Arial" w:cs="Arial"/>
          <w:sz w:val="22"/>
          <w:szCs w:val="22"/>
        </w:rPr>
        <w:t>iodiversidad? ¿En que consiste la estrategia de conservación campesina?</w:t>
      </w:r>
    </w:p>
    <w:p w14:paraId="57A38DE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Buscando la respuesta a estas preguntas nos hemos encontrado con el hecho de que muchas comunidades indígenas y campesinas "dejan" porciones de sus bosques y selvas con un mínimo de perturbación, a lo largo de caminos, cerca de sus casas o sus milpas, en sitios poco accesibles. En esos sitios ellos obtienen semillas, plantas medicinales, sombra, fauna silvestre, madera. Estos sitios los hemos denominado reservas campesinas y pueden ser de menos de una hectárea o cientos de hectáreas. Otra modalidad de estas reservas campesinas son sus complejos y biodiversos sistemas agrícolas y agroforestales. En ellos se conserva una diversidad genética impresionante de razas de plantas cultivadas y semi-cultivadas. Este hecho nos ha permitido ver la enorme posibilidad y potencial que tienen las iniciativas campesinas para la conservación efectiva sin decreto. Es indispensable buscar las mejores formas para estimular, compensar y reconocer estas acciones conservacionistas campesinas.</w:t>
      </w:r>
    </w:p>
    <w:p w14:paraId="38874F0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¿Cual ha sido el papel de varios siglos de perturbación humana en el proceso evolutivo de diferenciación genética de las especies secundarias?</w:t>
      </w:r>
    </w:p>
    <w:p w14:paraId="39F07CC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Preguntas como esta probablemente ocuparán la atención de nuevos investigadores de la biodiversidad y de la conservación biológica. A medida que México se integraba a los mercados mundiales, empeoraban significativamente las condiciones ambientales del país. Durante el periodo analizado [1985-1999], los índices de erosión del suelo, residuos sólidos municipales, contaminación del aire urbano y contaminación del agua crecieron más que la economía y la población. Pero esto no se debió a que México se convirtiera en un refugio para la industria sucia estadounidense: por el contrario, el porcentaje de este tipo de industrias se redujo durante este periodo. Más bien, dicho crecimiento se debió a que el gobierno mexicano y el acuerdo de cooperación ambiental del TLCAN no anticiparon la creciente degradación ambiental [ocasionada por el crecimiento de la industria en general]. México no creó las estructuras institucionales apropiadas para promover la protección del medio ambiente. Durante el periodo 1985-1999, el gasto en la protección ambiental del país se redujo en 50 por ciento en términos reales y el número de inspecciones ambientales a las plantas fabriles se redujo en 45 por ciento. Estudios del Banco Mundial demuestran que dichas inspecciones son esenciales para garantizar la protección del ambiente.Quienes consideran que el libre comercio promueve la protección del ambiente mencionan la llamada curva ambiental de Kuznets, que muestra que la degradación ambiental se eleva en las primeras etapas de la integración económica, para después nivelarse y disminuir en forma constante a medida que aumenta el ingreso per cápita. De acuerdo con esta teoría, ¿en qué nivel de ingreso debió haber comenzado a disminuir la degradación ambiental en México?</w:t>
      </w:r>
    </w:p>
    <w:p w14:paraId="59F02DC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supone que el cambio debió ocurrir al alcanzar un ingreso anual per cápita de $EU 3,000 a $EU 5,000. México ya había llegado al segundo nivel en 1985, lo que quiere decir que al principio de mi estudio debí haber observado señales de que la degradación ambiental descendía o por lo menos se nivelaba, pero en vez de ello, cada año a partir de 1985 hemos visto que el índice de contaminación crece con mayor rapidez que el producto interno bruto y la población.</w:t>
      </w:r>
    </w:p>
    <w:p w14:paraId="6E18B6F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qué se debe la discrepancia?</w:t>
      </w:r>
    </w:p>
    <w:p w14:paraId="4530A1E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La curva ambiental de Kuznets tiene sentido lógico, pero no ocurre de manera automática, aunque por desgracia así es como se ha interpretado en el campo político. La frase común en los círculos de comercio y política es "Crece ahora y preocúpate por el ambiente después". Sin embargo, esta frase no reconoce que la degradación ambiental no se agrega al costo de producción. Si eres una planta de pulpa y papel ubicada en el área conurbada de la Ciudad de México y tus clientes son fábricas que elaboran cajas de cartón, trasladas los costos económicos y de salud a un tercero: la población</w:t>
      </w:r>
      <w:r w:rsidR="004A04A6" w:rsidRPr="007923C2">
        <w:rPr>
          <w:rFonts w:ascii="Arial" w:hAnsi="Arial" w:cs="Arial"/>
          <w:sz w:val="22"/>
          <w:szCs w:val="22"/>
        </w:rPr>
        <w:t>, t</w:t>
      </w:r>
      <w:r w:rsidRPr="007923C2">
        <w:rPr>
          <w:rFonts w:ascii="Arial" w:hAnsi="Arial" w:cs="Arial"/>
          <w:sz w:val="22"/>
          <w:szCs w:val="22"/>
        </w:rPr>
        <w:t>u contaminación va a dar a la ciudad. y es la sociedad quien paga por ella en forma de costos de atención médica más altos y ausentismo en el trabajo. Las estadísticas mexicanas muestran que costos como estos derivados de la degradación ambiental representaron 10 por ciento del PIB anual durante el periodo de 1985 a 1999. La causa más importante es la falta de estructuras institucionales adecuadas para mejorar la protección del medio ambiente.</w:t>
      </w:r>
    </w:p>
    <w:p w14:paraId="75C042A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qué tipo de estructuras institucionales se refiere?</w:t>
      </w:r>
    </w:p>
    <w:p w14:paraId="6BCB01A6" w14:textId="77777777" w:rsidR="004220B7" w:rsidRDefault="004220B7" w:rsidP="004220B7">
      <w:pPr>
        <w:jc w:val="both"/>
        <w:rPr>
          <w:rFonts w:ascii="Arial" w:hAnsi="Arial" w:cs="Arial"/>
          <w:sz w:val="22"/>
          <w:szCs w:val="22"/>
        </w:rPr>
      </w:pPr>
      <w:r w:rsidRPr="007923C2">
        <w:rPr>
          <w:rFonts w:ascii="Arial" w:hAnsi="Arial" w:cs="Arial"/>
          <w:sz w:val="22"/>
          <w:szCs w:val="22"/>
        </w:rPr>
        <w:t>Se necesita un fuerte compromiso nacional con el crecimiento económico ambientalmente sustentable, lo que significa incluir el medio ambiente en las decisiones que tomen secretarios de gobierno y empresas privadas. Pero sabemos que los países en desarrollo con frecuencia precisan ayuda para alcanzar sus metas. La CCA es un buen ejemplo. En los tratados de libre comercio de Chile y América Central hubo un retroceso porque no se creó una institución [como la CCA] que vigile el desempeño ambiental de dichos tratados y los recursos financieros disponibles para tal efecto son pocos, si no es que nulos. La cooperación técnica es de lo mejor que tiene la CCA, que desempeñó un papel fundamental para que México aprobara una ley de información de contaminantes (RETO) cuyo alcance es más amplio que el de sus contrapartes estadounidense o canadiense.</w:t>
      </w:r>
    </w:p>
    <w:p w14:paraId="54162615" w14:textId="77777777" w:rsidR="00551F08" w:rsidRDefault="00551F08" w:rsidP="00E72A9E">
      <w:pPr>
        <w:jc w:val="both"/>
        <w:rPr>
          <w:rFonts w:ascii="Arial" w:hAnsi="Arial" w:cs="Arial"/>
          <w:b/>
          <w:bCs/>
          <w:sz w:val="22"/>
          <w:szCs w:val="22"/>
        </w:rPr>
      </w:pPr>
    </w:p>
    <w:p w14:paraId="70BFD27C" w14:textId="77777777" w:rsidR="00E72A9E" w:rsidRPr="007923C2" w:rsidRDefault="00E72A9E" w:rsidP="00E72A9E">
      <w:pPr>
        <w:jc w:val="both"/>
        <w:rPr>
          <w:rFonts w:ascii="Arial" w:hAnsi="Arial" w:cs="Arial"/>
          <w:b/>
          <w:bCs/>
          <w:sz w:val="22"/>
          <w:szCs w:val="22"/>
        </w:rPr>
      </w:pPr>
      <w:r w:rsidRPr="007923C2">
        <w:rPr>
          <w:rFonts w:ascii="Arial" w:hAnsi="Arial" w:cs="Arial"/>
          <w:b/>
          <w:bCs/>
          <w:sz w:val="22"/>
          <w:szCs w:val="22"/>
        </w:rPr>
        <w:t>PROMEDIO DE INGRESOS DE LOS PROFESIONISTAS</w:t>
      </w:r>
    </w:p>
    <w:p w14:paraId="09FADD9B" w14:textId="77777777" w:rsidR="00E72A9E" w:rsidRPr="007923C2" w:rsidRDefault="00E72A9E" w:rsidP="00E72A9E">
      <w:pPr>
        <w:jc w:val="both"/>
        <w:rPr>
          <w:rFonts w:ascii="Arial" w:hAnsi="Arial" w:cs="Arial"/>
          <w:sz w:val="22"/>
          <w:szCs w:val="22"/>
        </w:rPr>
      </w:pPr>
      <w:r w:rsidRPr="007923C2">
        <w:rPr>
          <w:rFonts w:ascii="Arial" w:hAnsi="Arial" w:cs="Arial"/>
          <w:sz w:val="22"/>
          <w:szCs w:val="22"/>
        </w:rPr>
        <w:t>Al primer trimestre de 2015, el ingreso promedio mensual de los profesionistas ocupados del país es de $10,384 pesos. En seis de las diez áreas de conocimiento el ingreso promedio se encuentra por arriba el ingreso promedio a nivel nacional.</w:t>
      </w:r>
    </w:p>
    <w:p w14:paraId="78142ED7" w14:textId="77777777" w:rsidR="00E72A9E" w:rsidRPr="007923C2" w:rsidRDefault="00E72A9E" w:rsidP="00E72A9E">
      <w:pPr>
        <w:jc w:val="both"/>
        <w:rPr>
          <w:rFonts w:ascii="Arial" w:hAnsi="Arial" w:cs="Arial"/>
          <w:sz w:val="22"/>
          <w:szCs w:val="22"/>
        </w:rPr>
      </w:pPr>
      <w:r w:rsidRPr="007923C2">
        <w:rPr>
          <w:rFonts w:ascii="Arial" w:hAnsi="Arial" w:cs="Arial"/>
          <w:sz w:val="22"/>
          <w:szCs w:val="22"/>
        </w:rPr>
        <w:t>El área de Ciencias Físico Matemáticas percibe los ingresos más elevados con $12,755, le sigue Arquitectura, Urbanismo y Diseño con $12,127 y en tercer lugar se encuentran las Ciencias Biológicas con $11,205.</w:t>
      </w: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5120"/>
        <w:gridCol w:w="2380"/>
      </w:tblGrid>
      <w:tr w:rsidR="00E72A9E" w:rsidRPr="007923C2" w14:paraId="21E6BAAF" w14:textId="77777777" w:rsidTr="00F15E57">
        <w:trPr>
          <w:trHeight w:val="765"/>
          <w:tblCellSpacing w:w="15" w:type="dxa"/>
          <w:jc w:val="center"/>
        </w:trPr>
        <w:tc>
          <w:tcPr>
            <w:tcW w:w="6" w:type="dxa"/>
            <w:tcBorders>
              <w:left w:val="single" w:sz="6" w:space="0" w:color="auto"/>
            </w:tcBorders>
            <w:shd w:val="clear" w:color="auto" w:fill="00796F"/>
            <w:vAlign w:val="center"/>
            <w:hideMark/>
          </w:tcPr>
          <w:p w14:paraId="3955DC67" w14:textId="77777777" w:rsidR="00DC0773" w:rsidRDefault="00E72A9E" w:rsidP="00F15E57">
            <w:pPr>
              <w:jc w:val="both"/>
              <w:rPr>
                <w:rFonts w:ascii="Arial" w:hAnsi="Arial" w:cs="Arial"/>
                <w:b/>
                <w:bCs/>
                <w:sz w:val="22"/>
                <w:szCs w:val="22"/>
              </w:rPr>
            </w:pPr>
            <w:r w:rsidRPr="007923C2">
              <w:rPr>
                <w:rFonts w:ascii="Arial" w:hAnsi="Arial" w:cs="Arial"/>
                <w:b/>
                <w:bCs/>
                <w:sz w:val="22"/>
                <w:szCs w:val="22"/>
              </w:rPr>
              <w:t xml:space="preserve">Carreras con el ingreso promedio mensual </w:t>
            </w:r>
          </w:p>
          <w:p w14:paraId="2DF51D48" w14:textId="77777777" w:rsidR="00E72A9E" w:rsidRPr="007923C2" w:rsidRDefault="00E72A9E" w:rsidP="00F15E57">
            <w:pPr>
              <w:jc w:val="both"/>
              <w:rPr>
                <w:rFonts w:ascii="Arial" w:hAnsi="Arial" w:cs="Arial"/>
                <w:b/>
                <w:bCs/>
                <w:sz w:val="22"/>
                <w:szCs w:val="22"/>
              </w:rPr>
            </w:pPr>
            <w:r w:rsidRPr="007923C2">
              <w:rPr>
                <w:rFonts w:ascii="Arial" w:hAnsi="Arial" w:cs="Arial"/>
                <w:b/>
                <w:bCs/>
                <w:sz w:val="22"/>
                <w:szCs w:val="22"/>
              </w:rPr>
              <w:t>más alto</w:t>
            </w:r>
          </w:p>
        </w:tc>
        <w:tc>
          <w:tcPr>
            <w:tcW w:w="6" w:type="dxa"/>
            <w:tcBorders>
              <w:left w:val="single" w:sz="6" w:space="0" w:color="auto"/>
            </w:tcBorders>
            <w:shd w:val="clear" w:color="auto" w:fill="00796F"/>
            <w:tcMar>
              <w:top w:w="15" w:type="dxa"/>
              <w:left w:w="150" w:type="dxa"/>
              <w:bottom w:w="15" w:type="dxa"/>
              <w:right w:w="150" w:type="dxa"/>
            </w:tcMar>
            <w:vAlign w:val="center"/>
            <w:hideMark/>
          </w:tcPr>
          <w:p w14:paraId="2F712009" w14:textId="77777777" w:rsidR="00E72A9E" w:rsidRPr="007923C2" w:rsidRDefault="00E72A9E" w:rsidP="00F15E57">
            <w:pPr>
              <w:jc w:val="both"/>
              <w:rPr>
                <w:rFonts w:ascii="Arial" w:hAnsi="Arial" w:cs="Arial"/>
                <w:b/>
                <w:bCs/>
                <w:sz w:val="22"/>
                <w:szCs w:val="22"/>
              </w:rPr>
            </w:pPr>
            <w:r w:rsidRPr="007923C2">
              <w:rPr>
                <w:rFonts w:ascii="Arial" w:hAnsi="Arial" w:cs="Arial"/>
                <w:b/>
                <w:bCs/>
                <w:sz w:val="22"/>
                <w:szCs w:val="22"/>
              </w:rPr>
              <w:t>$</w:t>
            </w:r>
          </w:p>
        </w:tc>
      </w:tr>
      <w:tr w:rsidR="00E72A9E" w:rsidRPr="007923C2" w14:paraId="7183190B" w14:textId="77777777" w:rsidTr="00F15E57">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2B949501" w14:textId="77777777" w:rsidR="00E72A9E" w:rsidRPr="007923C2" w:rsidRDefault="00E72A9E" w:rsidP="00F15E57">
            <w:pPr>
              <w:jc w:val="both"/>
              <w:rPr>
                <w:rFonts w:ascii="Arial" w:hAnsi="Arial" w:cs="Arial"/>
                <w:sz w:val="22"/>
                <w:szCs w:val="22"/>
              </w:rPr>
            </w:pPr>
            <w:r w:rsidRPr="007923C2">
              <w:rPr>
                <w:rFonts w:ascii="Arial" w:hAnsi="Arial" w:cs="Arial"/>
                <w:sz w:val="22"/>
                <w:szCs w:val="22"/>
              </w:rPr>
              <w:t>Finanzas, banca y seguros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7E252180" w14:textId="77777777" w:rsidR="00E72A9E" w:rsidRPr="007923C2" w:rsidRDefault="00E72A9E" w:rsidP="00F15E57">
            <w:pPr>
              <w:jc w:val="both"/>
              <w:rPr>
                <w:rFonts w:ascii="Arial" w:hAnsi="Arial" w:cs="Arial"/>
                <w:sz w:val="22"/>
                <w:szCs w:val="22"/>
              </w:rPr>
            </w:pPr>
            <w:r w:rsidRPr="007923C2">
              <w:rPr>
                <w:rFonts w:ascii="Arial" w:hAnsi="Arial" w:cs="Arial"/>
                <w:sz w:val="22"/>
                <w:szCs w:val="22"/>
              </w:rPr>
              <w:t>$    22,186</w:t>
            </w:r>
          </w:p>
        </w:tc>
      </w:tr>
      <w:tr w:rsidR="00E72A9E" w:rsidRPr="007923C2" w14:paraId="24936748" w14:textId="77777777" w:rsidTr="00F15E57">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4D64AA6A" w14:textId="77777777" w:rsidR="00E72A9E" w:rsidRPr="007923C2" w:rsidRDefault="00E72A9E" w:rsidP="00F15E57">
            <w:pPr>
              <w:jc w:val="both"/>
              <w:rPr>
                <w:rFonts w:ascii="Arial" w:hAnsi="Arial" w:cs="Arial"/>
                <w:sz w:val="22"/>
                <w:szCs w:val="22"/>
              </w:rPr>
            </w:pPr>
            <w:r w:rsidRPr="007923C2">
              <w:rPr>
                <w:rFonts w:ascii="Arial" w:hAnsi="Arial" w:cs="Arial"/>
                <w:sz w:val="22"/>
                <w:szCs w:val="22"/>
              </w:rPr>
              <w:t>Minería y extracción</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29EA823F" w14:textId="77777777" w:rsidR="00E72A9E" w:rsidRPr="007923C2" w:rsidRDefault="00E72A9E" w:rsidP="00F15E57">
            <w:pPr>
              <w:jc w:val="both"/>
              <w:rPr>
                <w:rFonts w:ascii="Arial" w:hAnsi="Arial" w:cs="Arial"/>
                <w:sz w:val="22"/>
                <w:szCs w:val="22"/>
              </w:rPr>
            </w:pPr>
            <w:r w:rsidRPr="007923C2">
              <w:rPr>
                <w:rFonts w:ascii="Arial" w:hAnsi="Arial" w:cs="Arial"/>
                <w:sz w:val="22"/>
                <w:szCs w:val="22"/>
              </w:rPr>
              <w:t>$    21,511</w:t>
            </w:r>
          </w:p>
        </w:tc>
      </w:tr>
      <w:tr w:rsidR="00E72A9E" w:rsidRPr="007923C2" w14:paraId="59E7038B" w14:textId="77777777" w:rsidTr="00F15E57">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45EDF811" w14:textId="77777777" w:rsidR="00E72A9E" w:rsidRPr="007923C2" w:rsidRDefault="00E72A9E" w:rsidP="00F15E57">
            <w:pPr>
              <w:jc w:val="both"/>
              <w:rPr>
                <w:rFonts w:ascii="Arial" w:hAnsi="Arial" w:cs="Arial"/>
                <w:sz w:val="22"/>
                <w:szCs w:val="22"/>
              </w:rPr>
            </w:pPr>
            <w:r w:rsidRPr="007923C2">
              <w:rPr>
                <w:rFonts w:ascii="Arial" w:hAnsi="Arial" w:cs="Arial"/>
                <w:sz w:val="22"/>
                <w:szCs w:val="22"/>
              </w:rPr>
              <w:t>Servicios de transporte</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555285E2" w14:textId="77777777" w:rsidR="00E72A9E" w:rsidRPr="007923C2" w:rsidRDefault="00E72A9E" w:rsidP="00F15E57">
            <w:pPr>
              <w:jc w:val="both"/>
              <w:rPr>
                <w:rFonts w:ascii="Arial" w:hAnsi="Arial" w:cs="Arial"/>
                <w:sz w:val="22"/>
                <w:szCs w:val="22"/>
              </w:rPr>
            </w:pPr>
            <w:r w:rsidRPr="007923C2">
              <w:rPr>
                <w:rFonts w:ascii="Arial" w:hAnsi="Arial" w:cs="Arial"/>
                <w:sz w:val="22"/>
                <w:szCs w:val="22"/>
              </w:rPr>
              <w:t>$    19,382</w:t>
            </w:r>
          </w:p>
        </w:tc>
      </w:tr>
    </w:tbl>
    <w:p w14:paraId="0E7FE08A" w14:textId="77777777" w:rsidR="00E72A9E" w:rsidRPr="007923C2" w:rsidRDefault="00E72A9E" w:rsidP="00E72A9E">
      <w:pPr>
        <w:jc w:val="both"/>
        <w:rPr>
          <w:rFonts w:ascii="Arial" w:hAnsi="Arial" w:cs="Arial"/>
          <w:sz w:val="22"/>
          <w:szCs w:val="22"/>
        </w:rPr>
      </w:pPr>
      <w:r w:rsidRPr="007923C2">
        <w:rPr>
          <w:rFonts w:ascii="Arial" w:hAnsi="Arial" w:cs="Arial"/>
          <w:sz w:val="22"/>
          <w:szCs w:val="22"/>
        </w:rPr>
        <w:lastRenderedPageBreak/>
        <w:t>Las áreas que presentan niveles de ingreso mensuales por debajo del promedio de los profesionistas ocupados son Ciencias de la Salud, Ciencias Sociales, Artes y Educación (con $10,218, $10,083, $9,708 y $8,882 respectivamente).</w:t>
      </w:r>
    </w:p>
    <w:p w14:paraId="5AD5B6F8" w14:textId="77777777" w:rsidR="00E72A9E" w:rsidRPr="007923C2" w:rsidRDefault="00E72A9E" w:rsidP="00E72A9E">
      <w:pPr>
        <w:jc w:val="both"/>
        <w:rPr>
          <w:rFonts w:ascii="Arial" w:hAnsi="Arial" w:cs="Arial"/>
          <w:sz w:val="22"/>
          <w:szCs w:val="22"/>
        </w:rPr>
      </w:pPr>
      <w:r w:rsidRPr="007923C2">
        <w:rPr>
          <w:rFonts w:ascii="Arial" w:hAnsi="Arial" w:cs="Arial"/>
          <w:noProof/>
          <w:sz w:val="22"/>
          <w:szCs w:val="22"/>
        </w:rPr>
        <w:drawing>
          <wp:inline distT="0" distB="0" distL="0" distR="0" wp14:anchorId="1F448198" wp14:editId="222C6748">
            <wp:extent cx="4763135" cy="3296285"/>
            <wp:effectExtent l="0" t="0" r="0" b="0"/>
            <wp:docPr id="575" name="Imagen 575" descr="Promedio de ingre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Promedio de ingreso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3135" cy="3296285"/>
                    </a:xfrm>
                    <a:prstGeom prst="rect">
                      <a:avLst/>
                    </a:prstGeom>
                    <a:noFill/>
                    <a:ln>
                      <a:noFill/>
                    </a:ln>
                  </pic:spPr>
                </pic:pic>
              </a:graphicData>
            </a:graphic>
          </wp:inline>
        </w:drawing>
      </w:r>
    </w:p>
    <w:p w14:paraId="53D921B5" w14:textId="77777777" w:rsidR="00E72A9E" w:rsidRPr="007923C2" w:rsidRDefault="00E72A9E" w:rsidP="00E72A9E">
      <w:pPr>
        <w:jc w:val="both"/>
        <w:rPr>
          <w:rFonts w:ascii="Arial" w:hAnsi="Arial" w:cs="Arial"/>
          <w:b/>
          <w:bCs/>
          <w:sz w:val="22"/>
          <w:szCs w:val="22"/>
        </w:rPr>
      </w:pPr>
      <w:r w:rsidRPr="007923C2">
        <w:rPr>
          <w:rFonts w:ascii="Arial" w:hAnsi="Arial" w:cs="Arial"/>
          <w:b/>
          <w:bCs/>
          <w:sz w:val="22"/>
          <w:szCs w:val="22"/>
        </w:rPr>
        <w:t>RELACIÓN ENTRE OCUPACIÓN Y ESTUDIOS REALIZADOS</w:t>
      </w:r>
    </w:p>
    <w:p w14:paraId="4BEEFFE2" w14:textId="77777777" w:rsidR="00E72A9E" w:rsidRDefault="00E72A9E" w:rsidP="00E72A9E">
      <w:pPr>
        <w:jc w:val="both"/>
        <w:rPr>
          <w:rFonts w:ascii="Arial" w:hAnsi="Arial" w:cs="Arial"/>
          <w:sz w:val="22"/>
          <w:szCs w:val="22"/>
        </w:rPr>
      </w:pPr>
      <w:r w:rsidRPr="007923C2">
        <w:rPr>
          <w:rFonts w:ascii="Arial" w:hAnsi="Arial" w:cs="Arial"/>
          <w:sz w:val="22"/>
          <w:szCs w:val="22"/>
        </w:rPr>
        <w:t>Al primer trimestre de 2015, el promedio nacional de afinidad de la ocupación de los profesionistas respecto a sus estudios realizados es del 80.2 %., siendo las áreas de Educación y Ciencias de la Salud, las que cuentan con mayor porcentaje de afinidad (superior al 90 %), le siguen las áreas de Humanidades, Ciencias Físico Matemáticas, Artes y Ciencias Sociales donde la afinidad de los profesionistas ocupados que trabajan en ocupaciones acordes con sus estudios es de 8 de cada 10.</w:t>
      </w:r>
    </w:p>
    <w:p w14:paraId="588B1A8C" w14:textId="77777777" w:rsidR="00363C18" w:rsidRPr="007923C2" w:rsidRDefault="00363C18" w:rsidP="00E72A9E">
      <w:pPr>
        <w:jc w:val="both"/>
        <w:rPr>
          <w:rFonts w:ascii="Arial" w:hAnsi="Arial" w:cs="Arial"/>
          <w:sz w:val="22"/>
          <w:szCs w:val="22"/>
        </w:rPr>
      </w:pP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6680"/>
        <w:gridCol w:w="820"/>
      </w:tblGrid>
      <w:tr w:rsidR="00E72A9E" w:rsidRPr="007923C2" w14:paraId="40817C61" w14:textId="77777777" w:rsidTr="00F15E57">
        <w:trPr>
          <w:trHeight w:val="765"/>
          <w:tblCellSpacing w:w="15" w:type="dxa"/>
          <w:jc w:val="center"/>
        </w:trPr>
        <w:tc>
          <w:tcPr>
            <w:tcW w:w="6" w:type="dxa"/>
            <w:tcBorders>
              <w:left w:val="single" w:sz="6" w:space="0" w:color="auto"/>
            </w:tcBorders>
            <w:shd w:val="clear" w:color="auto" w:fill="00796F"/>
            <w:vAlign w:val="center"/>
            <w:hideMark/>
          </w:tcPr>
          <w:p w14:paraId="6B864832" w14:textId="77777777" w:rsidR="00E72A9E" w:rsidRPr="007923C2" w:rsidRDefault="00E72A9E" w:rsidP="00F15E57">
            <w:pPr>
              <w:jc w:val="both"/>
              <w:rPr>
                <w:rFonts w:ascii="Arial" w:hAnsi="Arial" w:cs="Arial"/>
                <w:b/>
                <w:bCs/>
                <w:sz w:val="22"/>
                <w:szCs w:val="22"/>
              </w:rPr>
            </w:pPr>
            <w:r w:rsidRPr="007923C2">
              <w:rPr>
                <w:rFonts w:ascii="Arial" w:hAnsi="Arial" w:cs="Arial"/>
                <w:b/>
                <w:bCs/>
                <w:sz w:val="22"/>
                <w:szCs w:val="22"/>
              </w:rPr>
              <w:t>Carreras con mayor afinidad</w:t>
            </w:r>
          </w:p>
        </w:tc>
        <w:tc>
          <w:tcPr>
            <w:tcW w:w="6" w:type="dxa"/>
            <w:tcBorders>
              <w:left w:val="single" w:sz="6" w:space="0" w:color="auto"/>
            </w:tcBorders>
            <w:shd w:val="clear" w:color="auto" w:fill="00796F"/>
            <w:tcMar>
              <w:top w:w="15" w:type="dxa"/>
              <w:left w:w="150" w:type="dxa"/>
              <w:bottom w:w="15" w:type="dxa"/>
              <w:right w:w="150" w:type="dxa"/>
            </w:tcMar>
            <w:vAlign w:val="center"/>
            <w:hideMark/>
          </w:tcPr>
          <w:p w14:paraId="198C901E" w14:textId="77777777" w:rsidR="00E72A9E" w:rsidRPr="007923C2" w:rsidRDefault="00E72A9E" w:rsidP="00F15E57">
            <w:pPr>
              <w:jc w:val="both"/>
              <w:rPr>
                <w:rFonts w:ascii="Arial" w:hAnsi="Arial" w:cs="Arial"/>
                <w:b/>
                <w:bCs/>
                <w:sz w:val="22"/>
                <w:szCs w:val="22"/>
              </w:rPr>
            </w:pPr>
            <w:r w:rsidRPr="007923C2">
              <w:rPr>
                <w:rFonts w:ascii="Arial" w:hAnsi="Arial" w:cs="Arial"/>
                <w:b/>
                <w:bCs/>
                <w:sz w:val="22"/>
                <w:szCs w:val="22"/>
              </w:rPr>
              <w:t>%</w:t>
            </w:r>
          </w:p>
        </w:tc>
      </w:tr>
      <w:tr w:rsidR="00E72A9E" w:rsidRPr="007923C2" w14:paraId="33D6B741" w14:textId="77777777" w:rsidTr="00F15E57">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428D78E5" w14:textId="77777777" w:rsidR="00E72A9E" w:rsidRPr="007923C2" w:rsidRDefault="00E72A9E" w:rsidP="00F15E57">
            <w:pPr>
              <w:jc w:val="both"/>
              <w:rPr>
                <w:rFonts w:ascii="Arial" w:hAnsi="Arial" w:cs="Arial"/>
                <w:sz w:val="22"/>
                <w:szCs w:val="22"/>
              </w:rPr>
            </w:pPr>
            <w:r w:rsidRPr="007923C2">
              <w:rPr>
                <w:rFonts w:ascii="Arial" w:hAnsi="Arial" w:cs="Arial"/>
                <w:sz w:val="22"/>
                <w:szCs w:val="22"/>
              </w:rPr>
              <w:t>Formación docente para educación de nivel medio superior</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4863B2FF" w14:textId="77777777" w:rsidR="00E72A9E" w:rsidRPr="007923C2" w:rsidRDefault="00E72A9E" w:rsidP="00F15E57">
            <w:pPr>
              <w:jc w:val="both"/>
              <w:rPr>
                <w:rFonts w:ascii="Arial" w:hAnsi="Arial" w:cs="Arial"/>
                <w:sz w:val="22"/>
                <w:szCs w:val="22"/>
              </w:rPr>
            </w:pPr>
            <w:r w:rsidRPr="007923C2">
              <w:rPr>
                <w:rFonts w:ascii="Arial" w:hAnsi="Arial" w:cs="Arial"/>
                <w:sz w:val="22"/>
                <w:szCs w:val="22"/>
              </w:rPr>
              <w:t>97.4</w:t>
            </w:r>
          </w:p>
        </w:tc>
      </w:tr>
      <w:tr w:rsidR="00E72A9E" w:rsidRPr="007923C2" w14:paraId="77CAB743" w14:textId="77777777" w:rsidTr="00F15E57">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4F41118D" w14:textId="77777777" w:rsidR="00E72A9E" w:rsidRPr="007923C2" w:rsidRDefault="00E72A9E" w:rsidP="00F15E57">
            <w:pPr>
              <w:jc w:val="both"/>
              <w:rPr>
                <w:rFonts w:ascii="Arial" w:hAnsi="Arial" w:cs="Arial"/>
                <w:sz w:val="22"/>
                <w:szCs w:val="22"/>
              </w:rPr>
            </w:pPr>
            <w:r w:rsidRPr="007923C2">
              <w:rPr>
                <w:rFonts w:ascii="Arial" w:hAnsi="Arial" w:cs="Arial"/>
                <w:sz w:val="22"/>
                <w:szCs w:val="22"/>
              </w:rPr>
              <w:t>Medicina</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0E4B3F5E" w14:textId="77777777" w:rsidR="00E72A9E" w:rsidRPr="007923C2" w:rsidRDefault="00E72A9E" w:rsidP="00F15E57">
            <w:pPr>
              <w:jc w:val="both"/>
              <w:rPr>
                <w:rFonts w:ascii="Arial" w:hAnsi="Arial" w:cs="Arial"/>
                <w:sz w:val="22"/>
                <w:szCs w:val="22"/>
              </w:rPr>
            </w:pPr>
            <w:r w:rsidRPr="007923C2">
              <w:rPr>
                <w:rFonts w:ascii="Arial" w:hAnsi="Arial" w:cs="Arial"/>
                <w:sz w:val="22"/>
                <w:szCs w:val="22"/>
              </w:rPr>
              <w:t>95.5</w:t>
            </w:r>
          </w:p>
        </w:tc>
      </w:tr>
      <w:tr w:rsidR="00E72A9E" w:rsidRPr="007923C2" w14:paraId="20341785" w14:textId="77777777" w:rsidTr="00F15E57">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36E5756F" w14:textId="77777777" w:rsidR="00E72A9E" w:rsidRPr="007923C2" w:rsidRDefault="00E72A9E" w:rsidP="00F15E57">
            <w:pPr>
              <w:jc w:val="both"/>
              <w:rPr>
                <w:rFonts w:ascii="Arial" w:hAnsi="Arial" w:cs="Arial"/>
                <w:sz w:val="22"/>
                <w:szCs w:val="22"/>
              </w:rPr>
            </w:pPr>
            <w:r w:rsidRPr="007923C2">
              <w:rPr>
                <w:rFonts w:ascii="Arial" w:hAnsi="Arial" w:cs="Arial"/>
                <w:sz w:val="22"/>
                <w:szCs w:val="22"/>
              </w:rPr>
              <w:t>Formación docente, programas multidisciplinarios o generales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1BD6F2FA" w14:textId="77777777" w:rsidR="00E72A9E" w:rsidRPr="007923C2" w:rsidRDefault="00E72A9E" w:rsidP="00F15E57">
            <w:pPr>
              <w:jc w:val="both"/>
              <w:rPr>
                <w:rFonts w:ascii="Arial" w:hAnsi="Arial" w:cs="Arial"/>
                <w:sz w:val="22"/>
                <w:szCs w:val="22"/>
              </w:rPr>
            </w:pPr>
            <w:r w:rsidRPr="007923C2">
              <w:rPr>
                <w:rFonts w:ascii="Arial" w:hAnsi="Arial" w:cs="Arial"/>
                <w:sz w:val="22"/>
                <w:szCs w:val="22"/>
              </w:rPr>
              <w:t>94.8</w:t>
            </w:r>
          </w:p>
        </w:tc>
      </w:tr>
    </w:tbl>
    <w:p w14:paraId="097713B9" w14:textId="77777777" w:rsidR="00E72A9E" w:rsidRPr="007923C2" w:rsidRDefault="00E72A9E" w:rsidP="00E72A9E">
      <w:pPr>
        <w:jc w:val="both"/>
        <w:rPr>
          <w:rFonts w:ascii="Arial" w:hAnsi="Arial" w:cs="Arial"/>
          <w:sz w:val="22"/>
          <w:szCs w:val="22"/>
        </w:rPr>
      </w:pPr>
      <w:r w:rsidRPr="007923C2">
        <w:rPr>
          <w:rFonts w:ascii="Arial" w:hAnsi="Arial" w:cs="Arial"/>
          <w:sz w:val="22"/>
          <w:szCs w:val="22"/>
        </w:rPr>
        <w:t>En contraste, tan sólo un poco más del 20 % de los profesionistas ocupados en las áreas de Económicas Administrativas e Ingenierías trabajan en ocupaciones que no son acordes con su formación profesional.</w:t>
      </w:r>
    </w:p>
    <w:p w14:paraId="383C61D8" w14:textId="77777777" w:rsidR="00E72A9E" w:rsidRPr="007923C2" w:rsidRDefault="00E72A9E" w:rsidP="00DC0773">
      <w:pPr>
        <w:jc w:val="center"/>
        <w:rPr>
          <w:rFonts w:ascii="Arial" w:hAnsi="Arial" w:cs="Arial"/>
          <w:sz w:val="22"/>
          <w:szCs w:val="22"/>
        </w:rPr>
      </w:pPr>
      <w:r w:rsidRPr="007923C2">
        <w:rPr>
          <w:rFonts w:ascii="Arial" w:hAnsi="Arial" w:cs="Arial"/>
          <w:noProof/>
          <w:sz w:val="22"/>
          <w:szCs w:val="22"/>
        </w:rPr>
        <w:lastRenderedPageBreak/>
        <w:drawing>
          <wp:inline distT="0" distB="0" distL="0" distR="0" wp14:anchorId="1C82FE70" wp14:editId="6867DAE3">
            <wp:extent cx="4763135" cy="3296285"/>
            <wp:effectExtent l="0" t="0" r="0" b="0"/>
            <wp:docPr id="574" name="Imagen 574" descr="RELACIÓN ENTRE OCUPACIÓN Y ESTUDIOS REALIZ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RELACIÓN ENTRE OCUPACIÓN Y ESTUDIOS REALIZADO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3135" cy="3296285"/>
                    </a:xfrm>
                    <a:prstGeom prst="rect">
                      <a:avLst/>
                    </a:prstGeom>
                    <a:noFill/>
                    <a:ln>
                      <a:noFill/>
                    </a:ln>
                  </pic:spPr>
                </pic:pic>
              </a:graphicData>
            </a:graphic>
          </wp:inline>
        </w:drawing>
      </w:r>
    </w:p>
    <w:p w14:paraId="7F8279CD" w14:textId="77777777" w:rsidR="00974B10" w:rsidRPr="007923C2" w:rsidRDefault="00974B10" w:rsidP="00E72A9E">
      <w:pPr>
        <w:jc w:val="both"/>
        <w:rPr>
          <w:rFonts w:ascii="Arial" w:hAnsi="Arial" w:cs="Arial"/>
          <w:sz w:val="22"/>
          <w:szCs w:val="22"/>
        </w:rPr>
      </w:pPr>
      <w:r w:rsidRPr="007923C2">
        <w:rPr>
          <w:rFonts w:ascii="Arial" w:hAnsi="Arial" w:cs="Arial"/>
          <w:sz w:val="22"/>
          <w:szCs w:val="22"/>
        </w:rPr>
        <w:t>El alumno egresado de la carrera de ingeniero en Agrobiología se puede desempeñar en organizaciones gubernamentales, empresas privadas o crear un autoempleo.</w:t>
      </w:r>
    </w:p>
    <w:p w14:paraId="4B87A19C" w14:textId="77777777" w:rsidR="00974B10" w:rsidRPr="007923C2" w:rsidRDefault="00974B10" w:rsidP="00E72A9E">
      <w:pPr>
        <w:jc w:val="both"/>
        <w:rPr>
          <w:rFonts w:ascii="Arial" w:hAnsi="Arial" w:cs="Arial"/>
          <w:sz w:val="22"/>
          <w:szCs w:val="22"/>
        </w:rPr>
      </w:pPr>
      <w:r w:rsidRPr="007923C2">
        <w:rPr>
          <w:rFonts w:ascii="Arial" w:hAnsi="Arial" w:cs="Arial"/>
          <w:sz w:val="22"/>
          <w:szCs w:val="22"/>
        </w:rPr>
        <w:t>La media general de ingreso para el nivel ingeniería está estandarizado sobre todo a nivel organizaciones públicas, en cuanto a las empresas privadas tienen una mejor oportunidad de contar con mejores ingresos</w:t>
      </w:r>
      <w:r w:rsidR="009C45CC" w:rsidRPr="007923C2">
        <w:rPr>
          <w:rFonts w:ascii="Arial" w:hAnsi="Arial" w:cs="Arial"/>
          <w:sz w:val="22"/>
          <w:szCs w:val="22"/>
        </w:rPr>
        <w:t>.</w:t>
      </w:r>
    </w:p>
    <w:p w14:paraId="2D4FCC7E" w14:textId="77777777" w:rsidR="009C45CC" w:rsidRPr="007923C2" w:rsidRDefault="009C45CC" w:rsidP="00E72A9E">
      <w:pPr>
        <w:jc w:val="both"/>
        <w:rPr>
          <w:rFonts w:ascii="Arial" w:hAnsi="Arial" w:cs="Arial"/>
          <w:sz w:val="22"/>
          <w:szCs w:val="22"/>
        </w:rPr>
      </w:pPr>
      <w:r w:rsidRPr="007923C2">
        <w:rPr>
          <w:rFonts w:ascii="Arial" w:hAnsi="Arial" w:cs="Arial"/>
          <w:sz w:val="22"/>
          <w:szCs w:val="22"/>
        </w:rPr>
        <w:t>En la actualidad el gobierno ofrece a través de la SAGARPA el manejo de varios tipos de proyectos productivos o aplicados en el mejoramiento del medio ambiente, por lo tanto el agrobiólogo tiene la oportunidad de manejar estos proyectos de manera independiente.</w:t>
      </w:r>
    </w:p>
    <w:p w14:paraId="1A465EC6" w14:textId="77777777" w:rsidR="00CA4D64" w:rsidRDefault="00CA4D64" w:rsidP="004220B7">
      <w:pPr>
        <w:jc w:val="both"/>
        <w:rPr>
          <w:rFonts w:ascii="Arial" w:hAnsi="Arial" w:cs="Arial"/>
          <w:b/>
          <w:sz w:val="22"/>
          <w:szCs w:val="22"/>
        </w:rPr>
      </w:pPr>
    </w:p>
    <w:p w14:paraId="008AE1F0" w14:textId="77777777" w:rsidR="004220B7" w:rsidRPr="007923C2" w:rsidRDefault="00F0197B" w:rsidP="004220B7">
      <w:pPr>
        <w:jc w:val="both"/>
        <w:rPr>
          <w:rFonts w:ascii="Arial" w:hAnsi="Arial" w:cs="Arial"/>
          <w:b/>
          <w:sz w:val="22"/>
          <w:szCs w:val="22"/>
        </w:rPr>
      </w:pPr>
      <w:r w:rsidRPr="007923C2">
        <w:rPr>
          <w:rFonts w:ascii="Arial" w:hAnsi="Arial" w:cs="Arial"/>
          <w:b/>
          <w:sz w:val="22"/>
          <w:szCs w:val="22"/>
        </w:rPr>
        <w:t>4.2.1.8.-ACUERDOS DE TRATADO DE LIBRE COMERCIO</w:t>
      </w:r>
    </w:p>
    <w:p w14:paraId="6B0A64F7"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Entre las políticas económicas con las que se creía que México iba a tener un beneficio fue el TLCAN, cuyos objetivos y resultados son los siguientes:    </w:t>
      </w:r>
    </w:p>
    <w:p w14:paraId="08D03B17"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1. Objetivos y resultados generales del TLCAN</w:t>
      </w:r>
    </w:p>
    <w:p w14:paraId="37779AD4"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Los objetivos anunciados por el gobierno mexicano al negociar y firmar el TLCAN: generar suficientes empleos bien remunerados para la población mexicana, reteniéndola en el país; atraer grandes volúmenes de inversión extranjera para mantener los equilibrios macroeconómicos y aumentar los coeficientes de inversión física; acelerar el crecimiento económico y la productividad; acabar con las obstrucciones a las exportaciones mexicanas, mejorando las relaciones económicas y sociales entre nuestros países; y realizar un pasaje por vía rápida de México al primer mundo, </w:t>
      </w:r>
      <w:r w:rsidRPr="007923C2">
        <w:rPr>
          <w:rFonts w:ascii="Arial" w:hAnsi="Arial" w:cs="Arial"/>
          <w:i/>
          <w:iCs/>
          <w:sz w:val="22"/>
          <w:szCs w:val="22"/>
        </w:rPr>
        <w:t>no se han cumplido</w:t>
      </w:r>
      <w:r w:rsidRPr="007923C2">
        <w:rPr>
          <w:rFonts w:ascii="Arial" w:hAnsi="Arial" w:cs="Arial"/>
          <w:sz w:val="22"/>
          <w:szCs w:val="22"/>
        </w:rPr>
        <w:t>.</w:t>
      </w:r>
    </w:p>
    <w:p w14:paraId="027B76B5"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Por el contrario, a casi tres años de la entrada en vigor del TLCAN, México se encuentra hundido en la peor depresión de su economía real desde la gran depresión de 1929-1932 y en el mayor desastre financiero jamás conocido en México. El producto nacional, la inversión física, el empleo, los salarios </w:t>
      </w:r>
      <w:r w:rsidRPr="007923C2">
        <w:rPr>
          <w:rFonts w:ascii="Arial" w:hAnsi="Arial" w:cs="Arial"/>
          <w:sz w:val="22"/>
          <w:szCs w:val="22"/>
        </w:rPr>
        <w:lastRenderedPageBreak/>
        <w:t>y el bienestar  social son significativamente menores a los existentes antes de la entrada en vigor del TLCAN: en 1996 el PIB per cápita será 6.8% menor que en 1993; la inversión fija bruta será 15.4% menor que en 1993; el desempleo abierto o encubierto será 16.4% mayor; los salarios mínimos son 22.9% inferiores a 1993 y los salarios contractuales, de los trabajadores sindicalizados, 26.1% menores.</w:t>
      </w:r>
    </w:p>
    <w:p w14:paraId="5585C05D"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Desde luego, </w:t>
      </w:r>
      <w:r w:rsidRPr="007923C2">
        <w:rPr>
          <w:rFonts w:ascii="Arial" w:hAnsi="Arial" w:cs="Arial"/>
          <w:i/>
          <w:iCs/>
          <w:sz w:val="22"/>
          <w:szCs w:val="22"/>
        </w:rPr>
        <w:t>el desastre de la economía mexicana no es primordialmente imputable al TLCAN</w:t>
      </w:r>
      <w:r w:rsidRPr="007923C2">
        <w:rPr>
          <w:rFonts w:ascii="Arial" w:hAnsi="Arial" w:cs="Arial"/>
          <w:sz w:val="22"/>
          <w:szCs w:val="22"/>
        </w:rPr>
        <w:t xml:space="preserve">. Es producto de </w:t>
      </w:r>
      <w:r w:rsidRPr="007923C2">
        <w:rPr>
          <w:rFonts w:ascii="Arial" w:hAnsi="Arial" w:cs="Arial"/>
          <w:i/>
          <w:iCs/>
          <w:sz w:val="22"/>
          <w:szCs w:val="22"/>
        </w:rPr>
        <w:t>la estrategia económica de la cual la adhesión de México al TLCAN es parte integral</w:t>
      </w:r>
      <w:r w:rsidRPr="007923C2">
        <w:rPr>
          <w:rFonts w:ascii="Arial" w:hAnsi="Arial" w:cs="Arial"/>
          <w:sz w:val="22"/>
          <w:szCs w:val="22"/>
        </w:rPr>
        <w:t xml:space="preserve">, basada en: una apertura comercial unilateral y abrupta; una severa reducción de la participación del Estado en el fomento económico; una precipitada liberalización del sistema financiero; y una política cambiaria y crediticia que ha privilegiado la estabilidad monetaria sobre el crecimiento económico, el empleo y el bienestar social. Los indicadores cuantitativos de estos instrumentos de política económica son: el valor de las importaciones sujetas a controles no arancelarias disminuyó del 100% en 1982 al 10.6% en 1994 y al 6.5% en 1996; el arancel máximo se redujo de 100% a 20%; la media arancelaria se redujo de 24.8% a 12.5% en 1994 y a 12.7% en 1996; la inversión pública (en infraestructura y otros rubros de interés público) se redujo 54.7% entre 1982 y 1994 y 61.4% entre 1982 y 1996; el gasto público en fomento industrial se redujo 46% entre 1982 y 1994 y 48.4% entre 1982 y 1996. </w:t>
      </w:r>
    </w:p>
    <w:p w14:paraId="07319BFD" w14:textId="77777777" w:rsidR="00DC0773"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resultados agregados de esta estrategia son: 1) un PIB percápita que en 1996 es 15.7% inferior al de 1981; 2) una inversión fija bruta 23% menor que en 1981; 3) una tasa de desempleo 7.6 veces mayor que en 1981; 4) salarios mínimos 67.5% menores que en 1981 y salarios contra</w:t>
      </w:r>
      <w:r w:rsidR="00DC0773">
        <w:rPr>
          <w:rFonts w:ascii="Arial" w:hAnsi="Arial" w:cs="Arial"/>
          <w:sz w:val="22"/>
          <w:szCs w:val="22"/>
        </w:rPr>
        <w:t>ctuales 55% menores que en 1981</w:t>
      </w:r>
    </w:p>
    <w:p w14:paraId="1539E81E"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La ilusión que este tratado establecería reglas claras, justas y parejas en nuestros tratos comerciales con Estados Unidos, fue un sueño neoliberal que no se ha convertido en realidad. En 1991, mientras los países industrializados miembros de la OCDE sometían a regulaciones no arancelarias al 48.5% de sus importaciones, en México solo el 9.2% de las importaciones estaban sujetas a regulaciones no arancelarias.</w:t>
      </w:r>
    </w:p>
    <w:p w14:paraId="698A8B02"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En el ámbito laboral, los flujos migratorios de mexicanos en búsqueda de empleo en Estados Unidos —los cuales no se han reducido con el TLCAN sino, por el contrario, aumentado— han exacerbado los problemas de discriminación y violación de los derechos humanos de los ciudadanos mexicanos inmigrados ilegalmente a los Estados Unidos. Así, el TLCAN no ha contribuido a mejorar el trato humano hacia los mexicanos que, por la presencia de una estrategia económica incapaz de proveerlos de empleos e ingresos dignos en nuestro país, se ven orillados a cruzar la frontera norte.</w:t>
      </w:r>
    </w:p>
    <w:p w14:paraId="0303A9D7"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En general, el TLCAN no ha sido el instrumento idóneo para resolver los problemas estructurales de la economía mexicana; por el contrario, ha reducido los márgenes de maniobra —comerciales, tecnológicos, financieros y de política industrial— para resolver estos problemas estructurales.</w:t>
      </w:r>
    </w:p>
    <w:p w14:paraId="3E9755FA"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Frente a estas realidades, que difieren radicalmente de las bondades esperadas del TLCAN, es necesario que México realice </w:t>
      </w:r>
      <w:r w:rsidRPr="007923C2">
        <w:rPr>
          <w:rFonts w:ascii="Arial" w:hAnsi="Arial" w:cs="Arial"/>
          <w:i/>
          <w:iCs/>
          <w:sz w:val="22"/>
          <w:szCs w:val="22"/>
        </w:rPr>
        <w:t xml:space="preserve">una profunda revisión de la estrategia económica de la cual el TLCAN es parte integral, </w:t>
      </w:r>
      <w:r w:rsidRPr="007923C2">
        <w:rPr>
          <w:rFonts w:ascii="Arial" w:hAnsi="Arial" w:cs="Arial"/>
          <w:sz w:val="22"/>
          <w:szCs w:val="22"/>
        </w:rPr>
        <w:t>que ha conducido al país al más grave desastre económico y financiero de su historia.</w:t>
      </w:r>
    </w:p>
    <w:p w14:paraId="4ECA2C7E" w14:textId="77777777" w:rsidR="00F0197B" w:rsidRPr="007923C2" w:rsidRDefault="00F0197B" w:rsidP="00F0197B">
      <w:pPr>
        <w:widowControl w:val="0"/>
        <w:autoSpaceDE w:val="0"/>
        <w:autoSpaceDN w:val="0"/>
        <w:adjustRightInd w:val="0"/>
        <w:jc w:val="both"/>
        <w:rPr>
          <w:rFonts w:ascii="Arial" w:hAnsi="Arial" w:cs="Arial"/>
          <w:i/>
          <w:iCs/>
          <w:sz w:val="22"/>
          <w:szCs w:val="22"/>
        </w:rPr>
      </w:pPr>
      <w:r w:rsidRPr="007923C2">
        <w:rPr>
          <w:rFonts w:ascii="Arial" w:hAnsi="Arial" w:cs="Arial"/>
          <w:i/>
          <w:iCs/>
          <w:sz w:val="22"/>
          <w:szCs w:val="22"/>
        </w:rPr>
        <w:t>El desastre agrícola de México</w:t>
      </w:r>
    </w:p>
    <w:p w14:paraId="3D19B1FE"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estrategia neoliberal del cambio estructural o </w:t>
      </w:r>
      <w:r w:rsidRPr="007923C2">
        <w:rPr>
          <w:rFonts w:ascii="Arial" w:hAnsi="Arial" w:cs="Arial"/>
          <w:i/>
          <w:iCs/>
          <w:sz w:val="22"/>
          <w:szCs w:val="22"/>
        </w:rPr>
        <w:t>modernización económica</w:t>
      </w:r>
      <w:r w:rsidRPr="007923C2">
        <w:rPr>
          <w:rFonts w:ascii="Arial" w:hAnsi="Arial" w:cs="Arial"/>
          <w:sz w:val="22"/>
          <w:szCs w:val="22"/>
        </w:rPr>
        <w:t xml:space="preserve">—puesta en marcha a partir de 1983, y con reforzada energía a partir del PSE decretado en diciembre de 1987— comprendió un </w:t>
      </w:r>
      <w:r w:rsidRPr="007923C2">
        <w:rPr>
          <w:rFonts w:ascii="Arial" w:hAnsi="Arial" w:cs="Arial"/>
          <w:sz w:val="22"/>
          <w:szCs w:val="22"/>
        </w:rPr>
        <w:lastRenderedPageBreak/>
        <w:t>programa de liberalización del sector agropecuario, cuyas vertientes principales son: 1) la severa reducción de la participación del Estado en la  promoción del desarrollo económico sectorial; 2) la apertura comercial externa que remató en la inclusión completa del sector agropecuario en el Tratado de Libre Comercio de América del Norte; 3) la reforma neoliberal de la legislación agraria (artículo 27 constitucional y su ley reglamentaria), que abrió múltiples vías para el comercio de las tierras ejidales y comunales así como para la concentración de la tierra en grandes unidades de producción.</w:t>
      </w:r>
    </w:p>
    <w:p w14:paraId="1DCE3D69"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La tecnocracia neoliberal suponía que este programa liberalizador, que dejaba a los agentes privados y a las fuerzas espontáneas del mercado la libre asignación de los factores productivos, conduciría al incremento de las inversiones de capital en la agricultura, a la elevación de la eficiencia y al desarrollo de la producción de alimentos y materias primas agropecuarias.</w:t>
      </w:r>
    </w:p>
    <w:p w14:paraId="0C169A59"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Los resultados, sin embargo, han sido exactamente inversos a los proyectados. En valor </w:t>
      </w:r>
      <w:r w:rsidRPr="007923C2">
        <w:rPr>
          <w:rFonts w:ascii="Arial" w:hAnsi="Arial" w:cs="Arial"/>
          <w:i/>
          <w:iCs/>
          <w:sz w:val="22"/>
          <w:szCs w:val="22"/>
        </w:rPr>
        <w:t>per cápita</w:t>
      </w:r>
      <w:r w:rsidRPr="007923C2">
        <w:rPr>
          <w:rFonts w:ascii="Arial" w:hAnsi="Arial" w:cs="Arial"/>
          <w:sz w:val="22"/>
          <w:szCs w:val="22"/>
        </w:rPr>
        <w:t xml:space="preserve">, la producción agrícola (PIB) en 1994 resultó 17.1% inferior a la de 1981, la producción pecuaria 16.6% menor y la producción forestal 20.7% inferior (cuadro 4). En kilogramos </w:t>
      </w:r>
      <w:r w:rsidRPr="007923C2">
        <w:rPr>
          <w:rFonts w:ascii="Arial" w:hAnsi="Arial" w:cs="Arial"/>
          <w:i/>
          <w:iCs/>
          <w:sz w:val="22"/>
          <w:szCs w:val="22"/>
        </w:rPr>
        <w:t>per cápita</w:t>
      </w:r>
      <w:r w:rsidRPr="007923C2">
        <w:rPr>
          <w:rFonts w:ascii="Arial" w:hAnsi="Arial" w:cs="Arial"/>
          <w:sz w:val="22"/>
          <w:szCs w:val="22"/>
        </w:rPr>
        <w:t>, la producción de los ocho principales granos declinó 20.6%; la producción de carnes rojas declinó 31.2%; la de leche se redujo 21.9%; y la producción forestal maderable disminuyó 46.1%.</w:t>
      </w:r>
    </w:p>
    <w:p w14:paraId="5A2BFA75"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 1995 se desplomó aun más la producción de granos, porque a las políticas económicas adversas se sumó la sequía que afectó a gran parte de México, de manera que la cosecha granera por habitante fue 41% inferior a la de 1981. </w:t>
      </w:r>
    </w:p>
    <w:p w14:paraId="64344832"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Como contraparte, las importaciones de alimentos se dispararon de 1,790 millones de dólares en </w:t>
      </w:r>
      <w:smartTag w:uri="urn:schemas-microsoft-com:office:smarttags" w:element="metricconverter">
        <w:smartTagPr>
          <w:attr w:name="ProductID" w:val="1982, a"/>
        </w:smartTagPr>
        <w:r w:rsidRPr="007923C2">
          <w:rPr>
            <w:rFonts w:ascii="Arial" w:hAnsi="Arial" w:cs="Arial"/>
            <w:sz w:val="22"/>
            <w:szCs w:val="22"/>
          </w:rPr>
          <w:t>1982, a</w:t>
        </w:r>
      </w:smartTag>
      <w:r w:rsidRPr="007923C2">
        <w:rPr>
          <w:rFonts w:ascii="Arial" w:hAnsi="Arial" w:cs="Arial"/>
          <w:sz w:val="22"/>
          <w:szCs w:val="22"/>
        </w:rPr>
        <w:t xml:space="preserve"> 5,915 millones en 1993 y a7,242 millones de dólares en 1994 (cuadro 6), que representaron el 110.2% del valor de las exportaciones de petróleo crudo.</w:t>
      </w:r>
    </w:p>
    <w:p w14:paraId="44C2A35F"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Ciertamente, en 1995 se redujeron drásticamente (28.2%) las importaciones  alimentarias (descendiendo de 7,274.4 millones de dólares a 5,221.7 MDD); y,simultáneamente, aumentaron 42.4% las exportaciones agroalimentarias, de manera que se pasó de un déficit comercial agroalimentario de 3,158.1 millones de dólares en </w:t>
      </w:r>
      <w:smartTag w:uri="urn:schemas-microsoft-com:office:smarttags" w:element="metricconverter">
        <w:smartTagPr>
          <w:attr w:name="ProductID" w:val="1994 a"/>
        </w:smartTagPr>
        <w:r w:rsidRPr="007923C2">
          <w:rPr>
            <w:rFonts w:ascii="Arial" w:hAnsi="Arial" w:cs="Arial"/>
            <w:sz w:val="22"/>
            <w:szCs w:val="22"/>
          </w:rPr>
          <w:t>1994 a</w:t>
        </w:r>
      </w:smartTag>
      <w:r w:rsidRPr="007923C2">
        <w:rPr>
          <w:rFonts w:ascii="Arial" w:hAnsi="Arial" w:cs="Arial"/>
          <w:sz w:val="22"/>
          <w:szCs w:val="22"/>
        </w:rPr>
        <w:t xml:space="preserve"> un superavit agroalimentario de 639.4 MDD en 1995. Pero este resultado no es un signo de bonanza rural ni de recuperación nacional, sino al contrario: como la producción agropecuaria disminuyó 3.8% en 1995, lo anterior implica que el ajuste externo se logró a costa de </w:t>
      </w:r>
      <w:r w:rsidRPr="007923C2">
        <w:rPr>
          <w:rFonts w:ascii="Arial" w:hAnsi="Arial" w:cs="Arial"/>
          <w:i/>
          <w:iCs/>
          <w:sz w:val="22"/>
          <w:szCs w:val="22"/>
        </w:rPr>
        <w:t xml:space="preserve">reducir las reservas alimentarias </w:t>
      </w:r>
      <w:r w:rsidRPr="007923C2">
        <w:rPr>
          <w:rFonts w:ascii="Arial" w:hAnsi="Arial" w:cs="Arial"/>
          <w:sz w:val="22"/>
          <w:szCs w:val="22"/>
        </w:rPr>
        <w:t xml:space="preserve">y de </w:t>
      </w:r>
      <w:r w:rsidRPr="007923C2">
        <w:rPr>
          <w:rFonts w:ascii="Arial" w:hAnsi="Arial" w:cs="Arial"/>
          <w:i/>
          <w:iCs/>
          <w:sz w:val="22"/>
          <w:szCs w:val="22"/>
        </w:rPr>
        <w:t>disminuir el consumo alimentario de la población</w:t>
      </w:r>
      <w:r w:rsidRPr="007923C2">
        <w:rPr>
          <w:rFonts w:ascii="Arial" w:hAnsi="Arial" w:cs="Arial"/>
          <w:sz w:val="22"/>
          <w:szCs w:val="22"/>
        </w:rPr>
        <w:t>.</w:t>
      </w:r>
    </w:p>
    <w:p w14:paraId="7A023AFD"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Los principios e instrumentos esenciales del programa neoliberal, aplicados en forma particularmente severa en el sector agropecuario, debían necesariamente desembocar en ese resultado. </w:t>
      </w:r>
    </w:p>
    <w:p w14:paraId="429E070D"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 primer lugar, la </w:t>
      </w:r>
      <w:r w:rsidRPr="007923C2">
        <w:rPr>
          <w:rFonts w:ascii="Arial" w:hAnsi="Arial" w:cs="Arial"/>
          <w:i/>
          <w:iCs/>
          <w:sz w:val="22"/>
          <w:szCs w:val="22"/>
        </w:rPr>
        <w:t xml:space="preserve">apertura comercial </w:t>
      </w:r>
      <w:r w:rsidRPr="007923C2">
        <w:rPr>
          <w:rFonts w:ascii="Arial" w:hAnsi="Arial" w:cs="Arial"/>
          <w:sz w:val="22"/>
          <w:szCs w:val="22"/>
        </w:rPr>
        <w:t xml:space="preserve">(combinada con la </w:t>
      </w:r>
      <w:r w:rsidRPr="007923C2">
        <w:rPr>
          <w:rFonts w:ascii="Arial" w:hAnsi="Arial" w:cs="Arial"/>
          <w:i/>
          <w:iCs/>
          <w:sz w:val="22"/>
          <w:szCs w:val="22"/>
        </w:rPr>
        <w:t xml:space="preserve">política cambiaria </w:t>
      </w:r>
      <w:r w:rsidRPr="007923C2">
        <w:rPr>
          <w:rFonts w:ascii="Arial" w:hAnsi="Arial" w:cs="Arial"/>
          <w:sz w:val="22"/>
          <w:szCs w:val="22"/>
        </w:rPr>
        <w:t>que remató en la sobrevaluación de nuestra moneda) hizo descender los precios reales de numerosos productos: los cultivadores de maíz (sumando al precio de garantía el subsidio de PROCAMPO) perdieron el 37.6% del poder adquisitivo de su grano (respecto al conjunto de bienes: Indice Nacional de Precios al Consumidor) entre 1981 y 1994; los productores de frijol perdieron el 36.2%; los agricultores trigueros (sumando al precio de concertación el subsidio de PROCAMPO) perdieron el 25.8% y los productores de soya, el 48.3%. Pero en términos de rentabilidad, la pérdida fue todavía mayor porque las relaciones de intercambio de los granos respecto a los precios de las materias primas de la actividad agrícola (fertilizantes, combustibles, etc.), se deterioraron 49.7% para el maíz, 48.5% para el frijol, 42.4% para el trigo y 58.3% para el soya.</w:t>
      </w:r>
    </w:p>
    <w:p w14:paraId="43816367"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Pero a medida que está recuperándose la producción granera mundial, los precios están descendiendo, arrastrando a la baja los precios internos.</w:t>
      </w:r>
    </w:p>
    <w:p w14:paraId="55CF2C8D"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A los efectos adversos del desplome de los términos de intercambio del sector agropecuario, se sumó el abrupto repliegue del Estado de sus acciones de fomento rural. A contracorriente de lo ocurrido durante los ochenta y noventa en los países con sectores agropecuarios vigorosos (Estados Unidos, Canadá, Comunidad Europea, etc.), que reforzaron su intervencionismo gubernamental en el campo (llegando hasta la guerra de guerrillas de los subsidios), en México se produjo una precipitada supresión y reducción de los programas de fomento sectorial, en aras del </w:t>
      </w:r>
      <w:r w:rsidRPr="007923C2">
        <w:rPr>
          <w:rFonts w:ascii="Arial" w:hAnsi="Arial" w:cs="Arial"/>
          <w:i/>
          <w:iCs/>
          <w:sz w:val="22"/>
          <w:szCs w:val="22"/>
        </w:rPr>
        <w:t xml:space="preserve">fetiche del equilibrio fiscal </w:t>
      </w:r>
      <w:r w:rsidRPr="007923C2">
        <w:rPr>
          <w:rFonts w:ascii="Arial" w:hAnsi="Arial" w:cs="Arial"/>
          <w:sz w:val="22"/>
          <w:szCs w:val="22"/>
        </w:rPr>
        <w:t xml:space="preserve">y del abatimiento de la inflación. La inversión pública en fomento rural disminuyó 88.3% entre 1981 y 1995 (es decir, </w:t>
      </w:r>
      <w:r w:rsidRPr="007923C2">
        <w:rPr>
          <w:rFonts w:ascii="Arial" w:hAnsi="Arial" w:cs="Arial"/>
          <w:i/>
          <w:iCs/>
          <w:sz w:val="22"/>
          <w:szCs w:val="22"/>
        </w:rPr>
        <w:t>a menos de la séptima parte</w:t>
      </w:r>
      <w:r w:rsidRPr="007923C2">
        <w:rPr>
          <w:rFonts w:ascii="Arial" w:hAnsi="Arial" w:cs="Arial"/>
          <w:sz w:val="22"/>
          <w:szCs w:val="22"/>
        </w:rPr>
        <w:t xml:space="preserve">), afectando tanto la necesaria expansión de la infraestructura (v.gr. la superficie anual abierta al cultivo irrigado disminuyó de 146,050 has en </w:t>
      </w:r>
      <w:smartTag w:uri="urn:schemas-microsoft-com:office:smarttags" w:element="metricconverter">
        <w:smartTagPr>
          <w:attr w:name="ProductID" w:val="1981 a"/>
        </w:smartTagPr>
        <w:r w:rsidRPr="007923C2">
          <w:rPr>
            <w:rFonts w:ascii="Arial" w:hAnsi="Arial" w:cs="Arial"/>
            <w:sz w:val="22"/>
            <w:szCs w:val="22"/>
          </w:rPr>
          <w:t>1981 a</w:t>
        </w:r>
      </w:smartTag>
      <w:r w:rsidRPr="007923C2">
        <w:rPr>
          <w:rFonts w:ascii="Arial" w:hAnsi="Arial" w:cs="Arial"/>
          <w:sz w:val="22"/>
          <w:szCs w:val="22"/>
        </w:rPr>
        <w:t xml:space="preserve"> 16,484 en 1994), como las inversiones requeridas para mantener en operación la infraestructura previamente construida. Además, el gasto público global en fomento rural declinó 65.5% entre 1981 y 1995, afectando partidas estratégicas de investigación, extensionismo, sanidad vegetal, etc., así como programas de apoyo específicos (v.gr. supresión del programa de maquinaria agrícola), con la particularidad de que, actualmente, un alto porcentaje del gasto público sectorial, está compuesto por la bolsa del "PROCAMPO" destinada a compensar </w:t>
      </w:r>
      <w:r w:rsidRPr="007923C2">
        <w:rPr>
          <w:rFonts w:ascii="Arial" w:hAnsi="Arial" w:cs="Arial"/>
          <w:i/>
          <w:iCs/>
          <w:sz w:val="22"/>
          <w:szCs w:val="22"/>
        </w:rPr>
        <w:t xml:space="preserve">parcialmente </w:t>
      </w:r>
      <w:r w:rsidRPr="007923C2">
        <w:rPr>
          <w:rFonts w:ascii="Arial" w:hAnsi="Arial" w:cs="Arial"/>
          <w:sz w:val="22"/>
          <w:szCs w:val="22"/>
        </w:rPr>
        <w:t xml:space="preserve">la </w:t>
      </w:r>
      <w:r w:rsidRPr="007923C2">
        <w:rPr>
          <w:rFonts w:ascii="Arial" w:hAnsi="Arial" w:cs="Arial"/>
          <w:i/>
          <w:iCs/>
          <w:sz w:val="22"/>
          <w:szCs w:val="22"/>
        </w:rPr>
        <w:t xml:space="preserve">nueva caída </w:t>
      </w:r>
      <w:r w:rsidRPr="007923C2">
        <w:rPr>
          <w:rFonts w:ascii="Arial" w:hAnsi="Arial" w:cs="Arial"/>
          <w:sz w:val="22"/>
          <w:szCs w:val="22"/>
        </w:rPr>
        <w:t>de los precios reales de los granos, mientras que antes se trataba de fondos frescos para el desarrollo rural.</w:t>
      </w:r>
    </w:p>
    <w:p w14:paraId="07ECF7AA"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Finalmente, la tercera gran causa que ha hundido al sector agropecuario en el desastre y a los productores en la insolvencia, ha sido la </w:t>
      </w:r>
      <w:r w:rsidRPr="007923C2">
        <w:rPr>
          <w:rFonts w:ascii="Arial" w:hAnsi="Arial" w:cs="Arial"/>
          <w:i/>
          <w:iCs/>
          <w:sz w:val="22"/>
          <w:szCs w:val="22"/>
        </w:rPr>
        <w:t xml:space="preserve">insuficiencia </w:t>
      </w:r>
      <w:r w:rsidRPr="007923C2">
        <w:rPr>
          <w:rFonts w:ascii="Arial" w:hAnsi="Arial" w:cs="Arial"/>
          <w:sz w:val="22"/>
          <w:szCs w:val="22"/>
        </w:rPr>
        <w:t xml:space="preserve">y la </w:t>
      </w:r>
      <w:r w:rsidRPr="007923C2">
        <w:rPr>
          <w:rFonts w:ascii="Arial" w:hAnsi="Arial" w:cs="Arial"/>
          <w:i/>
          <w:iCs/>
          <w:sz w:val="22"/>
          <w:szCs w:val="22"/>
        </w:rPr>
        <w:t xml:space="preserve">carestía </w:t>
      </w:r>
      <w:r w:rsidRPr="007923C2">
        <w:rPr>
          <w:rFonts w:ascii="Arial" w:hAnsi="Arial" w:cs="Arial"/>
          <w:sz w:val="22"/>
          <w:szCs w:val="22"/>
        </w:rPr>
        <w:t xml:space="preserve">del crédito agrícola. La banca nacional de desarrollo disminuyó (en saldos a diciembre, a precios constantes de 1994) sus créditos agropecuarios de 19,193 millones de nuevos pesos en </w:t>
      </w:r>
      <w:smartTag w:uri="urn:schemas-microsoft-com:office:smarttags" w:element="metricconverter">
        <w:smartTagPr>
          <w:attr w:name="ProductID" w:val="1981 a"/>
        </w:smartTagPr>
        <w:r w:rsidRPr="007923C2">
          <w:rPr>
            <w:rFonts w:ascii="Arial" w:hAnsi="Arial" w:cs="Arial"/>
            <w:sz w:val="22"/>
            <w:szCs w:val="22"/>
          </w:rPr>
          <w:t>1981 a</w:t>
        </w:r>
      </w:smartTag>
      <w:r w:rsidRPr="007923C2">
        <w:rPr>
          <w:rFonts w:ascii="Arial" w:hAnsi="Arial" w:cs="Arial"/>
          <w:sz w:val="22"/>
          <w:szCs w:val="22"/>
        </w:rPr>
        <w:t xml:space="preserve"> 9,500.5 millones en 1995, afectando severamente a los campesinos más necesitados: el área habilitada por BANRURAL se redujo de </w:t>
      </w:r>
      <w:smartTag w:uri="urn:schemas-microsoft-com:office:smarttags" w:element="metricconverter">
        <w:smartTagPr>
          <w:attr w:name="ProductID" w:val="7,263.000 hectáreas"/>
        </w:smartTagPr>
        <w:r w:rsidRPr="007923C2">
          <w:rPr>
            <w:rFonts w:ascii="Arial" w:hAnsi="Arial" w:cs="Arial"/>
            <w:sz w:val="22"/>
            <w:szCs w:val="22"/>
          </w:rPr>
          <w:t>7,263.000 hectáreas</w:t>
        </w:r>
      </w:smartTag>
      <w:r w:rsidRPr="007923C2">
        <w:rPr>
          <w:rFonts w:ascii="Arial" w:hAnsi="Arial" w:cs="Arial"/>
          <w:sz w:val="22"/>
          <w:szCs w:val="22"/>
        </w:rPr>
        <w:t xml:space="preserve"> en </w:t>
      </w:r>
      <w:smartTag w:uri="urn:schemas-microsoft-com:office:smarttags" w:element="metricconverter">
        <w:smartTagPr>
          <w:attr w:name="ProductID" w:val="1982 a"/>
        </w:smartTagPr>
        <w:r w:rsidRPr="007923C2">
          <w:rPr>
            <w:rFonts w:ascii="Arial" w:hAnsi="Arial" w:cs="Arial"/>
            <w:sz w:val="22"/>
            <w:szCs w:val="22"/>
          </w:rPr>
          <w:t>1982 a</w:t>
        </w:r>
      </w:smartTag>
      <w:r w:rsidRPr="007923C2">
        <w:rPr>
          <w:rFonts w:ascii="Arial" w:hAnsi="Arial" w:cs="Arial"/>
          <w:sz w:val="22"/>
          <w:szCs w:val="22"/>
        </w:rPr>
        <w:t xml:space="preserve"> sólo </w:t>
      </w:r>
      <w:smartTag w:uri="urn:schemas-microsoft-com:office:smarttags" w:element="metricconverter">
        <w:smartTagPr>
          <w:attr w:name="ProductID" w:val="1,060,000 hectáreas"/>
        </w:smartTagPr>
        <w:r w:rsidRPr="007923C2">
          <w:rPr>
            <w:rFonts w:ascii="Arial" w:hAnsi="Arial" w:cs="Arial"/>
            <w:sz w:val="22"/>
            <w:szCs w:val="22"/>
          </w:rPr>
          <w:t>1,060,000 hectáreas</w:t>
        </w:r>
      </w:smartTag>
      <w:r w:rsidRPr="007923C2">
        <w:rPr>
          <w:rFonts w:ascii="Arial" w:hAnsi="Arial" w:cs="Arial"/>
          <w:sz w:val="22"/>
          <w:szCs w:val="22"/>
        </w:rPr>
        <w:t xml:space="preserve"> en 1994. </w:t>
      </w:r>
    </w:p>
    <w:p w14:paraId="28E5F174"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insolvencia de numerosos agricultores fue provocada, en primer lugar, por el desplome de la rentabilidad agregada del sector agropecuario debida al severo descenso de los precios reales de numerosos productos rurales. Así, si bien la causa principal de las carteras  vencidas radica en las adversas políticas agrícolas, que desplomaron la rentabilidad sectorial, las elevadas tasas de interés han contribuido también a la insolvencia.  Las causas del desastre agrícola, en vez de ser combatidas, fueron trastocadas, inculpándose al ejido como el causante del desastre. En consecuencia, fue decretada la contrarreforma agraria neoliberal que rompió el contrato social agrario de la Revolución mexicana, al dar por terminado el reparto antes de cumplir cabalmente el mandato redistributivo del Constituyente; al suprimir el carácter patrimonial (inalineable, inembargable e imprescriptible) de la propiedad campesina ejidal y comunal; y al abrir múltiples vías a la SARH, </w:t>
      </w:r>
      <w:r w:rsidRPr="007923C2">
        <w:rPr>
          <w:rFonts w:ascii="Arial" w:hAnsi="Arial" w:cs="Arial"/>
          <w:i/>
          <w:iCs/>
          <w:sz w:val="22"/>
          <w:szCs w:val="22"/>
        </w:rPr>
        <w:t xml:space="preserve">Inventarios de infraestructura rural ociosa, </w:t>
      </w:r>
      <w:r w:rsidRPr="007923C2">
        <w:rPr>
          <w:rFonts w:ascii="Arial" w:hAnsi="Arial" w:cs="Arial"/>
          <w:sz w:val="22"/>
          <w:szCs w:val="22"/>
        </w:rPr>
        <w:t xml:space="preserve">México, 1993. </w:t>
      </w:r>
    </w:p>
    <w:p w14:paraId="186CA790"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Reconcentración de la tierra, incluso bajo la figura de </w:t>
      </w:r>
      <w:r w:rsidRPr="007923C2">
        <w:rPr>
          <w:rFonts w:ascii="Arial" w:hAnsi="Arial" w:cs="Arial"/>
          <w:i/>
          <w:iCs/>
          <w:sz w:val="22"/>
          <w:szCs w:val="22"/>
        </w:rPr>
        <w:t xml:space="preserve">sociedades mercantiles </w:t>
      </w:r>
      <w:r w:rsidRPr="007923C2">
        <w:rPr>
          <w:rFonts w:ascii="Arial" w:hAnsi="Arial" w:cs="Arial"/>
          <w:sz w:val="22"/>
          <w:szCs w:val="22"/>
        </w:rPr>
        <w:t>que podrán acaparar, en sólo 10,933 latifundios por acciones, la totalidad de los 180 millones de hectáreas agrícolas, ganaderas y forestales de México.</w:t>
      </w:r>
    </w:p>
    <w:p w14:paraId="1B65108A"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 esta manera, en vez de resolverse la crisis agrícola se agregó a ésta una </w:t>
      </w:r>
      <w:r w:rsidRPr="007923C2">
        <w:rPr>
          <w:rFonts w:ascii="Arial" w:hAnsi="Arial" w:cs="Arial"/>
          <w:i/>
          <w:iCs/>
          <w:sz w:val="22"/>
          <w:szCs w:val="22"/>
        </w:rPr>
        <w:t>crisis</w:t>
      </w:r>
    </w:p>
    <w:p w14:paraId="0F382DB7"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política</w:t>
      </w:r>
      <w:r w:rsidRPr="007923C2">
        <w:rPr>
          <w:rFonts w:ascii="Arial" w:hAnsi="Arial" w:cs="Arial"/>
          <w:sz w:val="22"/>
          <w:szCs w:val="22"/>
        </w:rPr>
        <w:t xml:space="preserve">: el alzamiento campesino de Chiapas cuyo </w:t>
      </w:r>
      <w:r w:rsidRPr="007923C2">
        <w:rPr>
          <w:rFonts w:ascii="Arial" w:hAnsi="Arial" w:cs="Arial"/>
          <w:i/>
          <w:iCs/>
          <w:sz w:val="22"/>
          <w:szCs w:val="22"/>
        </w:rPr>
        <w:t>detonante fue precisamente</w:t>
      </w:r>
      <w:r w:rsidRPr="007923C2">
        <w:rPr>
          <w:rFonts w:ascii="Arial" w:hAnsi="Arial" w:cs="Arial"/>
          <w:sz w:val="22"/>
          <w:szCs w:val="22"/>
        </w:rPr>
        <w:t xml:space="preserve">, como señaló el </w:t>
      </w:r>
      <w:r w:rsidRPr="007923C2">
        <w:rPr>
          <w:rFonts w:ascii="Arial" w:hAnsi="Arial" w:cs="Arial"/>
          <w:i/>
          <w:iCs/>
          <w:sz w:val="22"/>
          <w:szCs w:val="22"/>
        </w:rPr>
        <w:t xml:space="preserve">subcomandante </w:t>
      </w:r>
      <w:r w:rsidRPr="007923C2">
        <w:rPr>
          <w:rFonts w:ascii="Arial" w:hAnsi="Arial" w:cs="Arial"/>
          <w:sz w:val="22"/>
          <w:szCs w:val="22"/>
        </w:rPr>
        <w:t>Marcos, la reforma neoliberal del artículo 27 constitucional.</w:t>
      </w:r>
    </w:p>
    <w:p w14:paraId="793E8611"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Estos son los resultados reales de la aplicación de las doctrinas neoliberales en el</w:t>
      </w:r>
    </w:p>
    <w:p w14:paraId="6EAA2A0B"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campo mexicano.</w:t>
      </w:r>
    </w:p>
    <w:p w14:paraId="111BC92E"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3. Principios de una política agrícola para la reactivación y el crecimiento sostenido de la producción en México.</w:t>
      </w:r>
    </w:p>
    <w:p w14:paraId="7201B3D0"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Para reactivar de manera consistente e integral la producción interna de alimentos y reorientarla hacia un período largo de crecimiento sostenido con equidad, es necesario reformular la estrategia económica general y desplegar una verdadera política de fomento agropecuario.</w:t>
      </w:r>
    </w:p>
    <w:p w14:paraId="465C250E"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Actualmente, el crecimiento de la producción interna de alimentos puede lograrse</w:t>
      </w:r>
    </w:p>
    <w:p w14:paraId="5806528A"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mediante las siguientes cinco vías, no excluyentes sino complementarias: </w:t>
      </w:r>
    </w:p>
    <w:p w14:paraId="05996AC7"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1) la reincorporación al cultivo de las tierras laborables que hoy se encuentran ociosas por incosteabilidad de las siembras y falta de capital de trabajo (más del 20% del área abierta al cultivo); </w:t>
      </w:r>
    </w:p>
    <w:p w14:paraId="69A20452"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2) la ampliación de la frontera agrícola (existen diez millones de ha. dedicadas a la  ganadería extensiva o encubiertas con monte bajo, susceptibles de incorporarse al cultivo);</w:t>
      </w:r>
    </w:p>
    <w:p w14:paraId="078CA831"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3) la rehabilitación de la infraestructura previamente construida (cerca del 20% de la superficie previamente irrigada se encuentra fuera de operación por falta de inversiones de conservación o mantenimiento); </w:t>
      </w:r>
    </w:p>
    <w:p w14:paraId="3A1D1094"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4) la construcción de nuevas obras de irrigación, que  beneficien a cerca de cuatro millones de hectáreas susceptibles de incorporarse al cultivo irrigado; </w:t>
      </w:r>
    </w:p>
    <w:p w14:paraId="0811E120"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5) la elevación de los rendimientos por unidad de superficie y por unidad animal. Un programa congruente de reactivación y crecimiento sostenido de la actividad Agropecuaria debe contemplar </w:t>
      </w:r>
      <w:r w:rsidRPr="007923C2">
        <w:rPr>
          <w:rFonts w:ascii="Arial" w:hAnsi="Arial" w:cs="Arial"/>
          <w:i/>
          <w:iCs/>
          <w:sz w:val="22"/>
          <w:szCs w:val="22"/>
        </w:rPr>
        <w:t xml:space="preserve">simultáneamente </w:t>
      </w:r>
      <w:r w:rsidRPr="007923C2">
        <w:rPr>
          <w:rFonts w:ascii="Arial" w:hAnsi="Arial" w:cs="Arial"/>
          <w:sz w:val="22"/>
          <w:szCs w:val="22"/>
        </w:rPr>
        <w:t xml:space="preserve">esas cinco vías de crecimiento. Hay que recordar que el sistema de precios de soporte, aplicado en Estados Unidos desde la </w:t>
      </w:r>
      <w:r w:rsidRPr="007923C2">
        <w:rPr>
          <w:rFonts w:ascii="Arial" w:hAnsi="Arial" w:cs="Arial"/>
          <w:i/>
          <w:iCs/>
          <w:sz w:val="22"/>
          <w:szCs w:val="22"/>
        </w:rPr>
        <w:t>Ley Agrícola de 1933</w:t>
      </w:r>
      <w:r w:rsidRPr="007923C2">
        <w:rPr>
          <w:rFonts w:ascii="Arial" w:hAnsi="Arial" w:cs="Arial"/>
          <w:sz w:val="22"/>
          <w:szCs w:val="22"/>
        </w:rPr>
        <w:t xml:space="preserve">y en la Unión Europea desde el establecimiento de la </w:t>
      </w:r>
      <w:r w:rsidRPr="007923C2">
        <w:rPr>
          <w:rFonts w:ascii="Arial" w:hAnsi="Arial" w:cs="Arial"/>
          <w:i/>
          <w:iCs/>
          <w:sz w:val="22"/>
          <w:szCs w:val="22"/>
        </w:rPr>
        <w:t xml:space="preserve">Política Agrícola Común </w:t>
      </w:r>
      <w:r w:rsidRPr="007923C2">
        <w:rPr>
          <w:rFonts w:ascii="Arial" w:hAnsi="Arial" w:cs="Arial"/>
          <w:sz w:val="22"/>
          <w:szCs w:val="22"/>
        </w:rPr>
        <w:t xml:space="preserve">en 1957, permitió la conversión de Estados Unidos y la Unión Europea en potencias agrícolas. El objetivo que ha tenido el sistema de precios en esos países —que combinan </w:t>
      </w:r>
      <w:r w:rsidRPr="007923C2">
        <w:rPr>
          <w:rFonts w:ascii="Arial" w:hAnsi="Arial" w:cs="Arial"/>
          <w:i/>
          <w:iCs/>
          <w:sz w:val="22"/>
          <w:szCs w:val="22"/>
        </w:rPr>
        <w:t xml:space="preserve">política comercial selectivamente proteccionista </w:t>
      </w:r>
      <w:r w:rsidRPr="007923C2">
        <w:rPr>
          <w:rFonts w:ascii="Arial" w:hAnsi="Arial" w:cs="Arial"/>
          <w:sz w:val="22"/>
          <w:szCs w:val="22"/>
        </w:rPr>
        <w:t xml:space="preserve">con pagos directos— es el mismo  que debe tener en México: incentivar la oferta interna y poner a salvo a los productores nacionales frente a las oscilaciones de los precios internacionales y frente a la competencia desleal por el control de los mercados y el </w:t>
      </w:r>
      <w:r w:rsidRPr="007923C2">
        <w:rPr>
          <w:rFonts w:ascii="Arial" w:hAnsi="Arial" w:cs="Arial"/>
          <w:i/>
          <w:iCs/>
          <w:sz w:val="22"/>
          <w:szCs w:val="22"/>
        </w:rPr>
        <w:t>food power</w:t>
      </w:r>
      <w:r w:rsidRPr="007923C2">
        <w:rPr>
          <w:rFonts w:ascii="Arial" w:hAnsi="Arial" w:cs="Arial"/>
          <w:sz w:val="22"/>
          <w:szCs w:val="22"/>
        </w:rPr>
        <w:t>.</w:t>
      </w:r>
    </w:p>
    <w:p w14:paraId="30F6368F"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El incremento sustancial de los recursos públicos para obras de infraestructura</w:t>
      </w:r>
    </w:p>
    <w:p w14:paraId="7097CCAF"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hidroagrícola, de investigación y extensionismo, de almacenamiento, etc., de manera que la inversión pública ascienda, de inmediato, por lo menos a la mitad de la ejercida en 1981 (en 1994 ascendió a menos de la quinta parte: 2,967.5 millones de nuevos pesos contra N$ 14,465.3 millones —a precios de 1994— que alcanzó en 1981). </w:t>
      </w:r>
    </w:p>
    <w:p w14:paraId="0A945362"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Canalización de un volumen adecuado de crédito al sector agropecuario (porlos menos dos puntos porcentuales arriba del aporte proporcional del sector al PIB global) y con tasas preferenciales para los pequeños cultivadores de productos prioritarios </w:t>
      </w:r>
      <w:r w:rsidRPr="007923C2">
        <w:rPr>
          <w:rFonts w:ascii="Arial" w:hAnsi="Arial" w:cs="Arial"/>
          <w:i/>
          <w:iCs/>
          <w:sz w:val="22"/>
          <w:szCs w:val="22"/>
        </w:rPr>
        <w:t>supeditadas éstas a un programa de asistencia técnica</w:t>
      </w:r>
      <w:r w:rsidRPr="007923C2">
        <w:rPr>
          <w:rFonts w:ascii="Arial" w:hAnsi="Arial" w:cs="Arial"/>
          <w:sz w:val="22"/>
          <w:szCs w:val="22"/>
        </w:rPr>
        <w:t xml:space="preserve">. La política crediticia para el campo debe, desde luego, concertarse entre el gobierno, los bancos y los productores organizados con compromisos precisos para las partes. El problema debe </w:t>
      </w:r>
      <w:r w:rsidRPr="007923C2">
        <w:rPr>
          <w:rFonts w:ascii="Arial" w:hAnsi="Arial" w:cs="Arial"/>
          <w:sz w:val="22"/>
          <w:szCs w:val="22"/>
        </w:rPr>
        <w:lastRenderedPageBreak/>
        <w:t xml:space="preserve">ser resuelto atacando sus causas de fondo (particularmente la política de precios agropecuarios r elativos y la política de regulación de las tasas de interés, consiguiendo esto último mediante un pacto económico financiero entre gobierno, sector productivo y   banqueros, que comprometa a éstos a bajar sus márgenes de intermediación financiera al promedio histórico del 7% real, a partir, del cual podrían reducirse los subsidios fiscales a las tasas agrícolas preferenciales), así como mediante un programa inmediato de rescate de deudores que reestructure sus adeudos de acuerdo con su capacidad real de pago. </w:t>
      </w:r>
    </w:p>
    <w:p w14:paraId="774F892D"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Un programa de largo plazo de apoyo a la investigación y al extensionismo agronómico y zootécnico cuyos efectos en la productividad y la producción son enormes, como lo muestra también la experiencia de las potencias agrícolas. El fomento de la investigación debe contemplar tecnologías convencionales, biotecnología y tecnologías alternativas de bajo insumo energético. (La investigación agronómica y zootécnica debe realizarse en México porque, generalmente, la tecnología de organismos vivos no es implemente transferible como la tecnología industrial; en el mejor de los casos se requiere investigación de adaptación). El programa de extensión debe incluir fuertes apoyos a la divulgación de las tecnologías generadas, así como a la asistencia técnica para elevar la eficiencia microeconómica extendiendo las prácticas agrícolas y pecuarias ya aplicadas ahora en escala comercial por granjas líderes que logran mayor eficiencia en la asignación de recursos.</w:t>
      </w:r>
    </w:p>
    <w:p w14:paraId="414E747D"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Como criterio general, dada la existencia de más de cinco millones de familias campesinas en México, y la imposibilidad de que la economía mexicana logre absorberlos en otras actividades económicas durante los próximos años, </w:t>
      </w:r>
      <w:r w:rsidRPr="007923C2">
        <w:rPr>
          <w:rFonts w:ascii="Arial" w:hAnsi="Arial" w:cs="Arial"/>
          <w:i/>
          <w:iCs/>
          <w:sz w:val="22"/>
          <w:szCs w:val="22"/>
        </w:rPr>
        <w:t>la preservación de las fuentes de empleo e ingreso rurales y, por tanto, la atención, promoción y apoyo preferente de las pequeñas explotaciones agrícolas, debe ser un objetivo central del programa.</w:t>
      </w:r>
    </w:p>
    <w:p w14:paraId="79D7C409"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factibilidad de la elevación acelerada de la producción y la productividad de latierra y el capital, </w:t>
      </w:r>
      <w:r w:rsidRPr="007923C2">
        <w:rPr>
          <w:rFonts w:ascii="Arial" w:hAnsi="Arial" w:cs="Arial"/>
          <w:i/>
          <w:iCs/>
          <w:sz w:val="22"/>
          <w:szCs w:val="22"/>
        </w:rPr>
        <w:t>sobre una base de pequeñas unidades de producción</w:t>
      </w:r>
      <w:r w:rsidRPr="007923C2">
        <w:rPr>
          <w:rFonts w:ascii="Arial" w:hAnsi="Arial" w:cs="Arial"/>
          <w:sz w:val="22"/>
          <w:szCs w:val="22"/>
        </w:rPr>
        <w:t xml:space="preserve">, deriva de la </w:t>
      </w:r>
      <w:r w:rsidRPr="007923C2">
        <w:rPr>
          <w:rFonts w:ascii="Arial" w:hAnsi="Arial" w:cs="Arial"/>
          <w:i/>
          <w:iCs/>
          <w:sz w:val="22"/>
          <w:szCs w:val="22"/>
        </w:rPr>
        <w:t xml:space="preserve">divisibilidad de los factores </w:t>
      </w:r>
      <w:r w:rsidRPr="007923C2">
        <w:rPr>
          <w:rFonts w:ascii="Arial" w:hAnsi="Arial" w:cs="Arial"/>
          <w:sz w:val="22"/>
          <w:szCs w:val="22"/>
        </w:rPr>
        <w:t>característica de la agricultura: los fertilizantes, semillas certificadas, mejoradores de suelos, etc, pueden utilizarse lo mismo en una maceta que en un predio de diez mil hectáreas; mientras que la maquinaria agrícola, si bien no es susceptible de adquisición por un pequeño labriego que cultiva dos o tres hectáreas graneras, sí es factible de utilización en pequeñas explotaciones mediante el sistema de maquilas, de alquileres de maquinaria o de cooperativas campesinas.</w:t>
      </w:r>
    </w:p>
    <w:p w14:paraId="65888B4C"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Por ello, un modelo de desarrollo agropecuario fundado en una </w:t>
      </w:r>
      <w:r w:rsidRPr="007923C2">
        <w:rPr>
          <w:rFonts w:ascii="Arial" w:hAnsi="Arial" w:cs="Arial"/>
          <w:i/>
          <w:iCs/>
          <w:sz w:val="22"/>
          <w:szCs w:val="22"/>
        </w:rPr>
        <w:t xml:space="preserve">política de fomento que promueva la aceleración del cambio tecnológico sobre una estructura agraria de pequeñas granjas familiares </w:t>
      </w:r>
      <w:r w:rsidRPr="007923C2">
        <w:rPr>
          <w:rFonts w:ascii="Arial" w:hAnsi="Arial" w:cs="Arial"/>
          <w:sz w:val="22"/>
          <w:szCs w:val="22"/>
        </w:rPr>
        <w:t xml:space="preserve">sería más </w:t>
      </w:r>
      <w:r w:rsidRPr="007923C2">
        <w:rPr>
          <w:rFonts w:ascii="Arial" w:hAnsi="Arial" w:cs="Arial"/>
          <w:i/>
          <w:iCs/>
          <w:sz w:val="22"/>
          <w:szCs w:val="22"/>
        </w:rPr>
        <w:t xml:space="preserve">congruente con nuestra dotación relativa de factores y, por ello mismo, </w:t>
      </w:r>
      <w:r w:rsidRPr="007923C2">
        <w:rPr>
          <w:rFonts w:ascii="Arial" w:hAnsi="Arial" w:cs="Arial"/>
          <w:sz w:val="22"/>
          <w:szCs w:val="22"/>
        </w:rPr>
        <w:t xml:space="preserve">con las particularidades económicas, sociales, geográficas y culturales de nuestro país, porque tenemos una estructura agraria que incluye alrededor de cinco millones de pequeños agricultores. </w:t>
      </w:r>
    </w:p>
    <w:p w14:paraId="4254D088"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Este modelo optimizaría el aprovechamiento de nuestros factores escasos que son la tierra y el capital, sin provocar la expulsión de millones de familias campesinas cuya absorción en otras actividades económicas no es viable por lo menos en los próximos veinte años.</w:t>
      </w:r>
    </w:p>
    <w:p w14:paraId="4AD0B6CA"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Hacia una nueva estrategia económica para México que redefina el TLCAN</w:t>
      </w:r>
    </w:p>
    <w:p w14:paraId="440144DD" w14:textId="77777777"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Una política de fomento agropecuario como la antes descrita en incompatible con los fundamentos de la estrategia neoliberal que postula el libre comercio a ultranza y rechaza la intervención gubernamental en la promoción activa de desarrollo económico. Por ello, para tener una verdadera </w:t>
      </w:r>
      <w:r w:rsidRPr="007923C2">
        <w:rPr>
          <w:rFonts w:ascii="Arial" w:hAnsi="Arial" w:cs="Arial"/>
          <w:i/>
          <w:iCs/>
          <w:sz w:val="22"/>
          <w:szCs w:val="22"/>
        </w:rPr>
        <w:lastRenderedPageBreak/>
        <w:t xml:space="preserve">política agrícola </w:t>
      </w:r>
      <w:r w:rsidRPr="007923C2">
        <w:rPr>
          <w:rFonts w:ascii="Arial" w:hAnsi="Arial" w:cs="Arial"/>
          <w:sz w:val="22"/>
          <w:szCs w:val="22"/>
        </w:rPr>
        <w:t xml:space="preserve">es necesario desechar el fundamentalismo neoliberal y desplegar una nueva estrategia capaz de reencauzar a nuestro país hacia un ciclo largo de crecimiento económico con equidad social, cuyos principios fundamentales son: </w:t>
      </w:r>
      <w:r w:rsidRPr="007923C2">
        <w:rPr>
          <w:rFonts w:ascii="Arial" w:hAnsi="Arial" w:cs="Arial"/>
          <w:i/>
          <w:iCs/>
          <w:sz w:val="22"/>
          <w:szCs w:val="22"/>
        </w:rPr>
        <w:t>Primero</w:t>
      </w:r>
      <w:r w:rsidRPr="007923C2">
        <w:rPr>
          <w:rFonts w:ascii="Arial" w:hAnsi="Arial" w:cs="Arial"/>
          <w:sz w:val="22"/>
          <w:szCs w:val="22"/>
        </w:rPr>
        <w:t>: Una política comercial pragmática, que utilice al máximo los márgenes de maniobra para regular nuestro comercio exterior, aplicando (exactamente igual a como proceden Estados Unidos, Canadá y los demás países con desarrollo exitoso), aranceles, normas técnicas, salvaguardas y disposiciones contra prácticas desleales de comercio, a las cuales tenemos derecho como miembros de la OMC e incluso como miembros del TLCAN.</w:t>
      </w:r>
    </w:p>
    <w:p w14:paraId="7FBBB82F" w14:textId="77777777" w:rsidR="00F0197B"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Es necesario renegociar el TLCAN, a fin de que las otras partes signatarias reconozcan la condición de México como país en desarrollo —cosa que reconocieron como partes contratantes del GATT-OMC, cuando México ingresó a este organismo multilateral— y concedan a México mayores salvaguardas en áreas de la producción y la inversión altamente relevantes para nuestro país por su importancia en la generación de empleos o en los  equilibrios macroeconómicos, así como la institución de </w:t>
      </w:r>
      <w:r w:rsidRPr="007923C2">
        <w:rPr>
          <w:rFonts w:ascii="Arial" w:hAnsi="Arial" w:cs="Arial"/>
          <w:i/>
          <w:iCs/>
          <w:sz w:val="22"/>
          <w:szCs w:val="22"/>
        </w:rPr>
        <w:t xml:space="preserve">fondos de cohesión social y estructurales </w:t>
      </w:r>
      <w:r w:rsidRPr="007923C2">
        <w:rPr>
          <w:rFonts w:ascii="Arial" w:hAnsi="Arial" w:cs="Arial"/>
          <w:sz w:val="22"/>
          <w:szCs w:val="22"/>
        </w:rPr>
        <w:t>análogos a los de la Unión Europea, basados en el principio de que los países más desarrollados deben aportar recursos para acelerar el desarrollo y elevar el bienestar social de los países menos desarrollados. Así mismo, una nueva versión del TLCAN debe incluir un capítulo sobre mano de obra que permita el libre flujo de trabajadores y salvaguarde los derechos laborales y humanos de los migrantes.</w:t>
      </w:r>
    </w:p>
    <w:p w14:paraId="5F95E479" w14:textId="77777777" w:rsidR="00DC0773" w:rsidRPr="007923C2" w:rsidRDefault="00DC0773" w:rsidP="00F0197B">
      <w:pPr>
        <w:widowControl w:val="0"/>
        <w:autoSpaceDE w:val="0"/>
        <w:autoSpaceDN w:val="0"/>
        <w:adjustRightInd w:val="0"/>
        <w:jc w:val="both"/>
        <w:rPr>
          <w:rFonts w:ascii="Arial" w:hAnsi="Arial" w:cs="Arial"/>
          <w:sz w:val="22"/>
          <w:szCs w:val="22"/>
        </w:rPr>
      </w:pPr>
    </w:p>
    <w:p w14:paraId="146AEA79" w14:textId="77777777"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 xml:space="preserve">4.2.2.- </w:t>
      </w:r>
      <w:r w:rsidR="00276E48" w:rsidRPr="007923C2">
        <w:rPr>
          <w:rFonts w:ascii="Arial" w:hAnsi="Arial" w:cs="Arial"/>
          <w:b/>
          <w:bCs/>
          <w:sz w:val="22"/>
          <w:szCs w:val="22"/>
        </w:rPr>
        <w:t>VARIABLES</w:t>
      </w:r>
      <w:r w:rsidR="00363C18">
        <w:rPr>
          <w:rFonts w:ascii="Arial" w:hAnsi="Arial" w:cs="Arial"/>
          <w:b/>
          <w:bCs/>
          <w:sz w:val="22"/>
          <w:szCs w:val="22"/>
        </w:rPr>
        <w:t xml:space="preserve"> </w:t>
      </w:r>
      <w:r w:rsidR="00276E48" w:rsidRPr="007923C2">
        <w:rPr>
          <w:rFonts w:ascii="Arial" w:hAnsi="Arial" w:cs="Arial"/>
          <w:b/>
          <w:bCs/>
          <w:sz w:val="22"/>
          <w:szCs w:val="22"/>
        </w:rPr>
        <w:t>SOCIALES</w:t>
      </w:r>
      <w:r w:rsidRPr="007923C2">
        <w:rPr>
          <w:rFonts w:ascii="Arial" w:hAnsi="Arial" w:cs="Arial"/>
          <w:b/>
          <w:bCs/>
          <w:sz w:val="22"/>
          <w:szCs w:val="22"/>
        </w:rPr>
        <w:t xml:space="preserve">, </w:t>
      </w:r>
      <w:r w:rsidR="00276E48" w:rsidRPr="007923C2">
        <w:rPr>
          <w:rFonts w:ascii="Arial" w:hAnsi="Arial" w:cs="Arial"/>
          <w:b/>
          <w:bCs/>
          <w:sz w:val="22"/>
          <w:szCs w:val="22"/>
        </w:rPr>
        <w:t>CULTURALES</w:t>
      </w:r>
      <w:r w:rsidR="00363C18">
        <w:rPr>
          <w:rFonts w:ascii="Arial" w:hAnsi="Arial" w:cs="Arial"/>
          <w:b/>
          <w:bCs/>
          <w:sz w:val="22"/>
          <w:szCs w:val="22"/>
        </w:rPr>
        <w:t xml:space="preserve"> </w:t>
      </w:r>
      <w:r w:rsidR="00276E48" w:rsidRPr="007923C2">
        <w:rPr>
          <w:rFonts w:ascii="Arial" w:hAnsi="Arial" w:cs="Arial"/>
          <w:b/>
          <w:bCs/>
          <w:sz w:val="22"/>
          <w:szCs w:val="22"/>
        </w:rPr>
        <w:t>DEMOGRÁFICAS YAMBIENTALES</w:t>
      </w:r>
    </w:p>
    <w:p w14:paraId="64B1E8B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carrera de Ingeniero en Agrobiología tiene una gran fuerza en las variables sociales, organización de productores pero sobre todo en los problemas ambientales ofreciendo una nueva alternativa de producción y conservación de los recursos naturales.</w:t>
      </w:r>
    </w:p>
    <w:p w14:paraId="183A9120" w14:textId="77777777" w:rsidR="004220B7" w:rsidRPr="007923C2" w:rsidRDefault="004220B7" w:rsidP="004220B7">
      <w:pPr>
        <w:jc w:val="both"/>
        <w:rPr>
          <w:rFonts w:ascii="Arial" w:hAnsi="Arial" w:cs="Arial"/>
          <w:spacing w:val="5"/>
          <w:sz w:val="22"/>
          <w:szCs w:val="22"/>
        </w:rPr>
      </w:pPr>
      <w:r w:rsidRPr="007923C2">
        <w:rPr>
          <w:rFonts w:ascii="Arial" w:hAnsi="Arial" w:cs="Arial"/>
          <w:spacing w:val="5"/>
          <w:sz w:val="22"/>
          <w:szCs w:val="22"/>
        </w:rPr>
        <w:t xml:space="preserve">La sociedad mexicana, como contexto de la educación superior, está inmersa en </w:t>
      </w:r>
      <w:r w:rsidRPr="007923C2">
        <w:rPr>
          <w:rFonts w:ascii="Arial" w:hAnsi="Arial" w:cs="Arial"/>
          <w:spacing w:val="9"/>
          <w:sz w:val="22"/>
          <w:szCs w:val="22"/>
        </w:rPr>
        <w:t xml:space="preserve">un proceso de transición en todos los órdenes: económico, politice social y </w:t>
      </w:r>
      <w:r w:rsidRPr="007923C2">
        <w:rPr>
          <w:rFonts w:ascii="Arial" w:hAnsi="Arial" w:cs="Arial"/>
          <w:sz w:val="22"/>
          <w:szCs w:val="22"/>
        </w:rPr>
        <w:t xml:space="preserve">cultural, signado por la interdependencia mundial. El cambio afecta a todos pero el </w:t>
      </w:r>
      <w:r w:rsidRPr="007923C2">
        <w:rPr>
          <w:rFonts w:ascii="Arial" w:hAnsi="Arial" w:cs="Arial"/>
          <w:spacing w:val="4"/>
          <w:sz w:val="22"/>
          <w:szCs w:val="22"/>
        </w:rPr>
        <w:t>cambio no se da demanera homogénea en los distintos ámbitos de la sociedad.</w:t>
      </w:r>
    </w:p>
    <w:p w14:paraId="19DE32C6" w14:textId="77777777" w:rsidR="004220B7" w:rsidRPr="007923C2" w:rsidRDefault="004220B7" w:rsidP="004220B7">
      <w:pPr>
        <w:jc w:val="both"/>
        <w:rPr>
          <w:rFonts w:ascii="Arial" w:hAnsi="Arial" w:cs="Arial"/>
          <w:spacing w:val="5"/>
          <w:sz w:val="22"/>
          <w:szCs w:val="22"/>
        </w:rPr>
      </w:pPr>
      <w:r w:rsidRPr="007923C2">
        <w:rPr>
          <w:rFonts w:ascii="Arial" w:hAnsi="Arial" w:cs="Arial"/>
          <w:spacing w:val="5"/>
          <w:sz w:val="22"/>
          <w:szCs w:val="22"/>
        </w:rPr>
        <w:t>En lo económico, se han diseñado estrategias que buscan la incorporación de Mé</w:t>
      </w:r>
      <w:r w:rsidRPr="007923C2">
        <w:rPr>
          <w:rFonts w:ascii="Arial" w:hAnsi="Arial" w:cs="Arial"/>
          <w:spacing w:val="1"/>
          <w:sz w:val="22"/>
          <w:szCs w:val="22"/>
        </w:rPr>
        <w:t xml:space="preserve">xico en los mercados mundiales, el aumento de la competitividad de le planta </w:t>
      </w:r>
      <w:r w:rsidRPr="007923C2">
        <w:rPr>
          <w:rFonts w:ascii="Arial" w:hAnsi="Arial" w:cs="Arial"/>
          <w:spacing w:val="3"/>
          <w:sz w:val="22"/>
          <w:szCs w:val="22"/>
        </w:rPr>
        <w:t xml:space="preserve">productiva y la modernización de las unidades económicas. En lo político, el país </w:t>
      </w:r>
      <w:r w:rsidRPr="007923C2">
        <w:rPr>
          <w:rFonts w:ascii="Arial" w:hAnsi="Arial" w:cs="Arial"/>
          <w:spacing w:val="6"/>
          <w:sz w:val="22"/>
          <w:szCs w:val="22"/>
        </w:rPr>
        <w:t xml:space="preserve">viene ampliando su vida democrática con la consolidación de la estructura de </w:t>
      </w:r>
      <w:r w:rsidRPr="007923C2">
        <w:rPr>
          <w:rFonts w:ascii="Arial" w:hAnsi="Arial" w:cs="Arial"/>
          <w:spacing w:val="5"/>
          <w:sz w:val="22"/>
          <w:szCs w:val="22"/>
        </w:rPr>
        <w:t xml:space="preserve">partidos y asociaciones políticas, la alternancia en el poder y la emergencia de </w:t>
      </w:r>
      <w:r w:rsidRPr="007923C2">
        <w:rPr>
          <w:rFonts w:ascii="Arial" w:hAnsi="Arial" w:cs="Arial"/>
          <w:spacing w:val="3"/>
          <w:sz w:val="22"/>
          <w:szCs w:val="22"/>
        </w:rPr>
        <w:t>nuevos actores en el seno de la sociedad civil.</w:t>
      </w:r>
    </w:p>
    <w:p w14:paraId="7C4E879B" w14:textId="77777777" w:rsidR="004220B7" w:rsidRPr="007923C2" w:rsidRDefault="004220B7" w:rsidP="004220B7">
      <w:pPr>
        <w:jc w:val="both"/>
        <w:rPr>
          <w:rFonts w:ascii="Arial" w:hAnsi="Arial" w:cs="Arial"/>
          <w:spacing w:val="9"/>
          <w:sz w:val="22"/>
          <w:szCs w:val="22"/>
        </w:rPr>
      </w:pPr>
      <w:r w:rsidRPr="007923C2">
        <w:rPr>
          <w:rFonts w:ascii="Arial" w:hAnsi="Arial" w:cs="Arial"/>
          <w:spacing w:val="9"/>
          <w:sz w:val="22"/>
          <w:szCs w:val="22"/>
        </w:rPr>
        <w:t xml:space="preserve">En lo social han aparecido nuevos procesos y estructuras que apuntan a la </w:t>
      </w:r>
      <w:r w:rsidRPr="007923C2">
        <w:rPr>
          <w:rFonts w:ascii="Arial" w:hAnsi="Arial" w:cs="Arial"/>
          <w:spacing w:val="3"/>
          <w:sz w:val="22"/>
          <w:szCs w:val="22"/>
        </w:rPr>
        <w:t xml:space="preserve">conformación de una sociedad más urbana y moderna, pero al mismo tiempo se </w:t>
      </w:r>
      <w:r w:rsidRPr="007923C2">
        <w:rPr>
          <w:rFonts w:ascii="Arial" w:hAnsi="Arial" w:cs="Arial"/>
          <w:spacing w:val="6"/>
          <w:sz w:val="22"/>
          <w:szCs w:val="22"/>
        </w:rPr>
        <w:t xml:space="preserve">tienen amplias regiones del país y sectores sociales que no participan de los </w:t>
      </w:r>
      <w:r w:rsidRPr="007923C2">
        <w:rPr>
          <w:rFonts w:ascii="Arial" w:hAnsi="Arial" w:cs="Arial"/>
          <w:spacing w:val="3"/>
          <w:sz w:val="22"/>
          <w:szCs w:val="22"/>
        </w:rPr>
        <w:t>beneficios del crecimiento económico.</w:t>
      </w:r>
    </w:p>
    <w:p w14:paraId="6BB52F8E" w14:textId="77777777" w:rsidR="004220B7" w:rsidRPr="007923C2" w:rsidRDefault="004220B7" w:rsidP="004220B7">
      <w:pPr>
        <w:jc w:val="both"/>
        <w:rPr>
          <w:rFonts w:ascii="Arial" w:hAnsi="Arial" w:cs="Arial"/>
          <w:spacing w:val="13"/>
          <w:sz w:val="22"/>
          <w:szCs w:val="22"/>
        </w:rPr>
      </w:pPr>
      <w:r w:rsidRPr="007923C2">
        <w:rPr>
          <w:rFonts w:ascii="Arial" w:hAnsi="Arial" w:cs="Arial"/>
          <w:spacing w:val="13"/>
          <w:sz w:val="22"/>
          <w:szCs w:val="22"/>
        </w:rPr>
        <w:t xml:space="preserve">En lo cultural están apareciendo nuevos fenómenos como son el avance </w:t>
      </w:r>
      <w:r w:rsidRPr="007923C2">
        <w:rPr>
          <w:rFonts w:ascii="Arial" w:hAnsi="Arial" w:cs="Arial"/>
          <w:spacing w:val="9"/>
          <w:sz w:val="22"/>
          <w:szCs w:val="22"/>
        </w:rPr>
        <w:t xml:space="preserve">acelerado de los conocimientos científicos, humanísticos y tecnológicos, la </w:t>
      </w:r>
      <w:r w:rsidRPr="007923C2">
        <w:rPr>
          <w:rFonts w:ascii="Arial" w:hAnsi="Arial" w:cs="Arial"/>
          <w:spacing w:val="3"/>
          <w:sz w:val="22"/>
          <w:szCs w:val="22"/>
        </w:rPr>
        <w:t xml:space="preserve">creciente escolaridad de la población en los niveles de educación básica y los </w:t>
      </w:r>
      <w:r w:rsidRPr="007923C2">
        <w:rPr>
          <w:rFonts w:ascii="Arial" w:hAnsi="Arial" w:cs="Arial"/>
          <w:spacing w:val="2"/>
          <w:sz w:val="22"/>
          <w:szCs w:val="22"/>
        </w:rPr>
        <w:t>adelantos en las tecnologías de la información y comunicación.</w:t>
      </w:r>
    </w:p>
    <w:p w14:paraId="20EE4A4E" w14:textId="77777777" w:rsidR="004220B7" w:rsidRPr="007923C2" w:rsidRDefault="004220B7" w:rsidP="004220B7">
      <w:pPr>
        <w:jc w:val="both"/>
        <w:rPr>
          <w:rFonts w:ascii="Arial" w:hAnsi="Arial" w:cs="Arial"/>
          <w:spacing w:val="1"/>
          <w:sz w:val="22"/>
          <w:szCs w:val="22"/>
        </w:rPr>
      </w:pPr>
      <w:r w:rsidRPr="007923C2">
        <w:rPr>
          <w:rFonts w:ascii="Arial" w:hAnsi="Arial" w:cs="Arial"/>
          <w:spacing w:val="1"/>
          <w:sz w:val="22"/>
          <w:szCs w:val="22"/>
        </w:rPr>
        <w:lastRenderedPageBreak/>
        <w:t>Sin embargo la transición del país se ha dado en un contexto de crisis recurrentes</w:t>
      </w:r>
      <w:r w:rsidRPr="007923C2">
        <w:rPr>
          <w:rFonts w:ascii="Arial" w:hAnsi="Arial" w:cs="Arial"/>
          <w:b/>
          <w:spacing w:val="1"/>
          <w:sz w:val="22"/>
          <w:szCs w:val="22"/>
        </w:rPr>
        <w:t xml:space="preserve">, </w:t>
      </w:r>
      <w:r w:rsidRPr="007923C2">
        <w:rPr>
          <w:rFonts w:ascii="Arial" w:hAnsi="Arial" w:cs="Arial"/>
          <w:spacing w:val="-1"/>
          <w:sz w:val="22"/>
          <w:szCs w:val="22"/>
        </w:rPr>
        <w:t xml:space="preserve">no solamente de dimensión nacional, sino también. </w:t>
      </w:r>
      <w:r w:rsidR="008C42E1" w:rsidRPr="007923C2">
        <w:rPr>
          <w:rFonts w:ascii="Arial" w:hAnsi="Arial" w:cs="Arial"/>
          <w:spacing w:val="-1"/>
          <w:sz w:val="22"/>
          <w:szCs w:val="22"/>
        </w:rPr>
        <w:t>I</w:t>
      </w:r>
      <w:r w:rsidRPr="007923C2">
        <w:rPr>
          <w:rFonts w:ascii="Arial" w:hAnsi="Arial" w:cs="Arial"/>
          <w:spacing w:val="-1"/>
          <w:sz w:val="22"/>
          <w:szCs w:val="22"/>
        </w:rPr>
        <w:t>nternacional</w:t>
      </w:r>
      <w:r w:rsidR="008C42E1" w:rsidRPr="007923C2">
        <w:rPr>
          <w:rFonts w:ascii="Arial" w:hAnsi="Arial" w:cs="Arial"/>
          <w:spacing w:val="-1"/>
          <w:sz w:val="22"/>
          <w:szCs w:val="22"/>
        </w:rPr>
        <w:t>.</w:t>
      </w:r>
      <w:r w:rsidRPr="007923C2">
        <w:rPr>
          <w:rFonts w:ascii="Arial" w:hAnsi="Arial" w:cs="Arial"/>
          <w:spacing w:val="-1"/>
          <w:sz w:val="22"/>
          <w:szCs w:val="22"/>
        </w:rPr>
        <w:t xml:space="preserve"> Los procesos de </w:t>
      </w:r>
      <w:r w:rsidRPr="007923C2">
        <w:rPr>
          <w:rFonts w:ascii="Arial" w:hAnsi="Arial" w:cs="Arial"/>
          <w:spacing w:val="4"/>
          <w:sz w:val="22"/>
          <w:szCs w:val="22"/>
        </w:rPr>
        <w:t xml:space="preserve">globalización de las economías nacionales hacen interdependientes a todos los </w:t>
      </w:r>
      <w:r w:rsidRPr="007923C2">
        <w:rPr>
          <w:rFonts w:ascii="Arial" w:hAnsi="Arial" w:cs="Arial"/>
          <w:spacing w:val="9"/>
          <w:sz w:val="22"/>
          <w:szCs w:val="22"/>
        </w:rPr>
        <w:t xml:space="preserve">paises, A finales de la presente década México se enfrenta a un panorama </w:t>
      </w:r>
      <w:r w:rsidRPr="007923C2">
        <w:rPr>
          <w:rFonts w:ascii="Arial" w:hAnsi="Arial" w:cs="Arial"/>
          <w:spacing w:val="6"/>
          <w:sz w:val="22"/>
          <w:szCs w:val="22"/>
        </w:rPr>
        <w:t xml:space="preserve">mundial y nacional de crisis económica global, de tal magnitud que ha llevado a </w:t>
      </w:r>
      <w:r w:rsidRPr="007923C2">
        <w:rPr>
          <w:rFonts w:ascii="Arial" w:hAnsi="Arial" w:cs="Arial"/>
          <w:spacing w:val="13"/>
          <w:sz w:val="22"/>
          <w:szCs w:val="22"/>
        </w:rPr>
        <w:t xml:space="preserve">los organismos internacionales a plantear correcciones a las estrategias </w:t>
      </w:r>
      <w:r w:rsidRPr="007923C2">
        <w:rPr>
          <w:rFonts w:ascii="Arial" w:hAnsi="Arial" w:cs="Arial"/>
          <w:spacing w:val="8"/>
          <w:sz w:val="22"/>
          <w:szCs w:val="22"/>
        </w:rPr>
        <w:t xml:space="preserve">económicas que depositaron un excesivo optimismo en la regulación de los </w:t>
      </w:r>
      <w:r w:rsidRPr="007923C2">
        <w:rPr>
          <w:rFonts w:ascii="Arial" w:hAnsi="Arial" w:cs="Arial"/>
          <w:spacing w:val="3"/>
          <w:sz w:val="22"/>
          <w:szCs w:val="22"/>
        </w:rPr>
        <w:t xml:space="preserve">mercados </w:t>
      </w:r>
      <w:r w:rsidRPr="003052BE">
        <w:rPr>
          <w:rFonts w:ascii="Arial" w:hAnsi="Arial" w:cs="Arial"/>
          <w:spacing w:val="3"/>
          <w:sz w:val="22"/>
          <w:szCs w:val="22"/>
        </w:rPr>
        <w:t xml:space="preserve">sin </w:t>
      </w:r>
      <w:r w:rsidRPr="007923C2">
        <w:rPr>
          <w:rFonts w:ascii="Arial" w:hAnsi="Arial" w:cs="Arial"/>
          <w:spacing w:val="3"/>
          <w:sz w:val="22"/>
          <w:szCs w:val="22"/>
        </w:rPr>
        <w:t>intervención de los estados nacionales,</w:t>
      </w:r>
    </w:p>
    <w:p w14:paraId="70A56594" w14:textId="77777777" w:rsidR="004220B7" w:rsidRPr="007923C2" w:rsidRDefault="004220B7" w:rsidP="004220B7">
      <w:pPr>
        <w:jc w:val="both"/>
        <w:rPr>
          <w:rFonts w:ascii="Arial" w:hAnsi="Arial" w:cs="Arial"/>
          <w:spacing w:val="3"/>
          <w:sz w:val="22"/>
          <w:szCs w:val="22"/>
        </w:rPr>
      </w:pPr>
      <w:r w:rsidRPr="007923C2">
        <w:rPr>
          <w:rFonts w:ascii="Arial" w:hAnsi="Arial" w:cs="Arial"/>
          <w:spacing w:val="3"/>
          <w:sz w:val="22"/>
          <w:szCs w:val="22"/>
        </w:rPr>
        <w:t xml:space="preserve">Hoy tenemos un mundo más polarizado entre los países ricos y países pobres y </w:t>
      </w:r>
      <w:r w:rsidRPr="007923C2">
        <w:rPr>
          <w:rFonts w:ascii="Arial" w:hAnsi="Arial" w:cs="Arial"/>
          <w:spacing w:val="4"/>
          <w:sz w:val="22"/>
          <w:szCs w:val="22"/>
        </w:rPr>
        <w:t>sociedades con una profunda inequidad social.</w:t>
      </w:r>
    </w:p>
    <w:p w14:paraId="1436D767" w14:textId="77777777" w:rsidR="004220B7" w:rsidRPr="007923C2" w:rsidRDefault="004220B7" w:rsidP="004220B7">
      <w:pPr>
        <w:jc w:val="both"/>
        <w:rPr>
          <w:rFonts w:ascii="Arial" w:hAnsi="Arial" w:cs="Arial"/>
          <w:spacing w:val="3"/>
          <w:sz w:val="22"/>
          <w:szCs w:val="22"/>
        </w:rPr>
      </w:pPr>
      <w:r w:rsidRPr="007923C2">
        <w:rPr>
          <w:rFonts w:ascii="Arial" w:hAnsi="Arial" w:cs="Arial"/>
          <w:spacing w:val="3"/>
          <w:sz w:val="22"/>
          <w:szCs w:val="22"/>
        </w:rPr>
        <w:t xml:space="preserve">La crisis económica en el caso de México se ha ahondado hoy ante la disminución </w:t>
      </w:r>
      <w:r w:rsidRPr="007923C2">
        <w:rPr>
          <w:rFonts w:ascii="Arial" w:hAnsi="Arial" w:cs="Arial"/>
          <w:spacing w:val="6"/>
          <w:sz w:val="22"/>
          <w:szCs w:val="22"/>
        </w:rPr>
        <w:t xml:space="preserve">de los precios internacionales del petróleo y la crisis bancaria que ha costado mucho al pais en 1999 y muy probablemente los siguientes años, conllevarán a </w:t>
      </w:r>
      <w:r w:rsidRPr="007923C2">
        <w:rPr>
          <w:rFonts w:ascii="Arial" w:hAnsi="Arial" w:cs="Arial"/>
          <w:spacing w:val="13"/>
          <w:sz w:val="22"/>
          <w:szCs w:val="22"/>
        </w:rPr>
        <w:t xml:space="preserve">una austeridad en el gasto público que afectarán al sector educativo en su </w:t>
      </w:r>
      <w:r w:rsidRPr="007923C2">
        <w:rPr>
          <w:rFonts w:ascii="Arial" w:hAnsi="Arial" w:cs="Arial"/>
          <w:spacing w:val="3"/>
          <w:sz w:val="22"/>
          <w:szCs w:val="22"/>
        </w:rPr>
        <w:t>conjunto y a la educación superior en particular.</w:t>
      </w:r>
    </w:p>
    <w:p w14:paraId="16F24EFB" w14:textId="77777777" w:rsidR="003052BE" w:rsidRDefault="004220B7" w:rsidP="004220B7">
      <w:pPr>
        <w:jc w:val="both"/>
        <w:rPr>
          <w:rFonts w:ascii="Arial" w:hAnsi="Arial" w:cs="Arial"/>
          <w:spacing w:val="4"/>
          <w:sz w:val="22"/>
          <w:szCs w:val="22"/>
        </w:rPr>
      </w:pPr>
      <w:r w:rsidRPr="007923C2">
        <w:rPr>
          <w:rFonts w:ascii="Arial" w:hAnsi="Arial" w:cs="Arial"/>
          <w:spacing w:val="6"/>
          <w:sz w:val="22"/>
          <w:szCs w:val="22"/>
        </w:rPr>
        <w:t xml:space="preserve">Las instituciones educativas actúan en un contexto social no siempre favorable </w:t>
      </w:r>
      <w:r w:rsidRPr="007923C2">
        <w:rPr>
          <w:rFonts w:ascii="Arial" w:hAnsi="Arial" w:cs="Arial"/>
          <w:spacing w:val="7"/>
          <w:sz w:val="22"/>
          <w:szCs w:val="22"/>
        </w:rPr>
        <w:t xml:space="preserve">para el óptimo desempeño de sus funciones y que presenta amenazas que se </w:t>
      </w:r>
      <w:r w:rsidRPr="007923C2">
        <w:rPr>
          <w:rFonts w:ascii="Arial" w:hAnsi="Arial" w:cs="Arial"/>
          <w:spacing w:val="11"/>
          <w:sz w:val="22"/>
          <w:szCs w:val="22"/>
        </w:rPr>
        <w:t xml:space="preserve">tiene que sortear, pero el contexto social cambiante también abre </w:t>
      </w:r>
      <w:r w:rsidRPr="007923C2">
        <w:rPr>
          <w:rFonts w:ascii="Arial" w:hAnsi="Arial" w:cs="Arial"/>
          <w:spacing w:val="21"/>
          <w:sz w:val="22"/>
          <w:szCs w:val="22"/>
        </w:rPr>
        <w:t xml:space="preserve">nuevas oportunidades de </w:t>
      </w:r>
      <w:r w:rsidRPr="007923C2">
        <w:rPr>
          <w:rFonts w:ascii="Arial" w:hAnsi="Arial" w:cs="Arial"/>
          <w:spacing w:val="11"/>
          <w:sz w:val="22"/>
          <w:szCs w:val="22"/>
        </w:rPr>
        <w:t xml:space="preserve">acción. La crisis representa retos a la imaginación de las </w:t>
      </w:r>
      <w:r w:rsidRPr="007923C2">
        <w:rPr>
          <w:rFonts w:ascii="Arial" w:hAnsi="Arial" w:cs="Arial"/>
          <w:spacing w:val="6"/>
          <w:sz w:val="22"/>
          <w:szCs w:val="22"/>
        </w:rPr>
        <w:t xml:space="preserve">instituciones educativas y les exige buscar nuevas formas </w:t>
      </w:r>
      <w:r w:rsidRPr="007923C2">
        <w:rPr>
          <w:rFonts w:ascii="Arial" w:hAnsi="Arial" w:cs="Arial"/>
          <w:spacing w:val="-4"/>
          <w:sz w:val="22"/>
          <w:szCs w:val="22"/>
        </w:rPr>
        <w:t xml:space="preserve">en el </w:t>
      </w:r>
      <w:r w:rsidRPr="007923C2">
        <w:rPr>
          <w:rFonts w:ascii="Arial" w:hAnsi="Arial" w:cs="Arial"/>
          <w:spacing w:val="6"/>
          <w:sz w:val="22"/>
          <w:szCs w:val="22"/>
        </w:rPr>
        <w:t xml:space="preserve">cumplimiento de </w:t>
      </w:r>
      <w:r w:rsidRPr="007923C2">
        <w:rPr>
          <w:rFonts w:ascii="Arial" w:hAnsi="Arial" w:cs="Arial"/>
          <w:spacing w:val="4"/>
          <w:sz w:val="22"/>
          <w:szCs w:val="22"/>
        </w:rPr>
        <w:t>sus funciones sustantivas.</w:t>
      </w:r>
    </w:p>
    <w:p w14:paraId="0F4A85C0" w14:textId="244B8140" w:rsidR="004220B7" w:rsidRPr="003052BE" w:rsidRDefault="001F23E0" w:rsidP="004220B7">
      <w:pPr>
        <w:jc w:val="both"/>
        <w:rPr>
          <w:rFonts w:ascii="Arial" w:hAnsi="Arial" w:cs="Arial"/>
          <w:spacing w:val="4"/>
          <w:sz w:val="22"/>
          <w:szCs w:val="22"/>
        </w:rPr>
      </w:pPr>
      <w:r>
        <w:rPr>
          <w:rFonts w:ascii="Arial" w:hAnsi="Arial" w:cs="Arial"/>
          <w:noProof/>
          <w:sz w:val="22"/>
          <w:szCs w:val="22"/>
        </w:rPr>
        <mc:AlternateContent>
          <mc:Choice Requires="wps">
            <w:drawing>
              <wp:anchor distT="0" distB="0" distL="0" distR="0" simplePos="0" relativeHeight="251789824" behindDoc="1" locked="0" layoutInCell="1" allowOverlap="1" wp14:anchorId="73452C40" wp14:editId="162661EF">
                <wp:simplePos x="0" y="0"/>
                <wp:positionH relativeFrom="column">
                  <wp:posOffset>95250</wp:posOffset>
                </wp:positionH>
                <wp:positionV relativeFrom="paragraph">
                  <wp:posOffset>-1417320</wp:posOffset>
                </wp:positionV>
                <wp:extent cx="5486400" cy="121920"/>
                <wp:effectExtent l="0" t="0" r="0" b="11430"/>
                <wp:wrapSquare wrapText="bothSides"/>
                <wp:docPr id="539" name="Cuadro de texto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483A2" w14:textId="77777777" w:rsidR="001C2EB7" w:rsidRDefault="001C2EB7" w:rsidP="004220B7">
                            <w:pPr>
                              <w:spacing w:line="199" w:lineRule="auto"/>
                              <w:ind w:right="180"/>
                              <w:jc w:val="right"/>
                              <w:rPr>
                                <w:color w:val="000000"/>
                                <w:w w:val="115"/>
                                <w:sz w:val="20"/>
                              </w:rPr>
                            </w:pPr>
                          </w:p>
                          <w:p w14:paraId="4ADA9081" w14:textId="77777777" w:rsidR="001C2EB7" w:rsidRDefault="001C2EB7" w:rsidP="004220B7">
                            <w:pPr>
                              <w:spacing w:line="199" w:lineRule="auto"/>
                              <w:ind w:right="180"/>
                              <w:jc w:val="right"/>
                              <w:rPr>
                                <w:color w:val="000000"/>
                                <w:w w:val="115"/>
                                <w:sz w:val="20"/>
                              </w:rPr>
                            </w:pPr>
                            <w:r>
                              <w:rPr>
                                <w:color w:val="000000"/>
                                <w:w w:val="115"/>
                                <w:sz w:val="20"/>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452C40" id="Cuadro de texto 539" o:spid="_x0000_s1033" type="#_x0000_t202" style="position:absolute;left:0;text-align:left;margin-left:7.5pt;margin-top:-111.6pt;width:6in;height:9.6pt;z-index:-2515266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" filled="f" stroked="f">
                <v:textbox inset="0,0,0,0">
                  <w:txbxContent>
                    <w:p w14:paraId="232483A2" w14:textId="77777777" w:rsidR="001C2EB7" w:rsidRDefault="001C2EB7" w:rsidP="004220B7">
                      <w:pPr>
                        <w:spacing w:line="199" w:lineRule="auto"/>
                        <w:ind w:right="180"/>
                        <w:jc w:val="right"/>
                        <w:rPr>
                          <w:color w:val="000000"/>
                          <w:w w:val="115"/>
                          <w:sz w:val="20"/>
                        </w:rPr>
                      </w:pPr>
                    </w:p>
                    <w:p w14:paraId="4ADA9081" w14:textId="77777777" w:rsidR="001C2EB7" w:rsidRDefault="001C2EB7" w:rsidP="004220B7">
                      <w:pPr>
                        <w:spacing w:line="199" w:lineRule="auto"/>
                        <w:ind w:right="180"/>
                        <w:jc w:val="right"/>
                        <w:rPr>
                          <w:color w:val="000000"/>
                          <w:w w:val="115"/>
                          <w:sz w:val="20"/>
                        </w:rPr>
                      </w:pPr>
                      <w:r>
                        <w:rPr>
                          <w:color w:val="000000"/>
                          <w:w w:val="115"/>
                          <w:sz w:val="20"/>
                        </w:rPr>
                        <w:t>42</w:t>
                      </w:r>
                    </w:p>
                  </w:txbxContent>
                </v:textbox>
                <w10:wrap type="square"/>
              </v:shape>
            </w:pict>
          </mc:Fallback>
        </mc:AlternateContent>
      </w:r>
      <w:r w:rsidR="003052BE" w:rsidRPr="003052BE">
        <w:rPr>
          <w:rFonts w:ascii="Arial" w:hAnsi="Arial" w:cs="Arial"/>
          <w:spacing w:val="-5"/>
          <w:sz w:val="22"/>
          <w:szCs w:val="22"/>
        </w:rPr>
        <w:t xml:space="preserve">Una </w:t>
      </w:r>
      <w:r w:rsidR="004220B7" w:rsidRPr="007923C2">
        <w:rPr>
          <w:rFonts w:ascii="Arial" w:hAnsi="Arial" w:cs="Arial"/>
          <w:spacing w:val="5"/>
          <w:sz w:val="22"/>
          <w:szCs w:val="22"/>
        </w:rPr>
        <w:t xml:space="preserve">Sociedad mundial </w:t>
      </w:r>
      <w:r w:rsidR="004220B7" w:rsidRPr="007923C2">
        <w:rPr>
          <w:rFonts w:ascii="Arial" w:hAnsi="Arial" w:cs="Arial"/>
          <w:spacing w:val="-5"/>
          <w:sz w:val="22"/>
          <w:szCs w:val="22"/>
        </w:rPr>
        <w:t xml:space="preserve">y nacional inmersa en </w:t>
      </w:r>
      <w:r w:rsidR="004220B7" w:rsidRPr="007923C2">
        <w:rPr>
          <w:rFonts w:ascii="Arial" w:hAnsi="Arial" w:cs="Arial"/>
          <w:spacing w:val="5"/>
          <w:sz w:val="22"/>
          <w:szCs w:val="22"/>
        </w:rPr>
        <w:t xml:space="preserve">un proceso de cambio acelerado en todas las esferas de la vida humana exige de transformaciones profundas </w:t>
      </w:r>
      <w:r w:rsidR="004220B7" w:rsidRPr="007923C2">
        <w:rPr>
          <w:rFonts w:ascii="Arial" w:hAnsi="Arial" w:cs="Arial"/>
          <w:spacing w:val="-5"/>
          <w:sz w:val="22"/>
          <w:szCs w:val="22"/>
        </w:rPr>
        <w:t>en lasformas de</w:t>
      </w:r>
      <w:r w:rsidR="004220B7" w:rsidRPr="007923C2">
        <w:rPr>
          <w:rFonts w:ascii="Arial" w:hAnsi="Arial" w:cs="Arial"/>
          <w:spacing w:val="5"/>
          <w:sz w:val="22"/>
          <w:szCs w:val="22"/>
        </w:rPr>
        <w:t xml:space="preserve">organizar y operar la educación terciaria en </w:t>
      </w:r>
      <w:r w:rsidR="004220B7" w:rsidRPr="007923C2">
        <w:rPr>
          <w:rFonts w:ascii="Arial" w:hAnsi="Arial" w:cs="Arial"/>
          <w:spacing w:val="-5"/>
          <w:sz w:val="22"/>
          <w:szCs w:val="22"/>
        </w:rPr>
        <w:t>lo particular. El cambio esconstante, acelerado</w:t>
      </w:r>
      <w:r w:rsidR="004220B7" w:rsidRPr="007923C2">
        <w:rPr>
          <w:rFonts w:ascii="Arial" w:hAnsi="Arial" w:cs="Arial"/>
          <w:spacing w:val="5"/>
          <w:sz w:val="22"/>
          <w:szCs w:val="22"/>
        </w:rPr>
        <w:t xml:space="preserve">y afecta atoda la </w:t>
      </w:r>
      <w:r w:rsidR="004220B7" w:rsidRPr="007923C2">
        <w:rPr>
          <w:rFonts w:ascii="Arial" w:hAnsi="Arial" w:cs="Arial"/>
          <w:spacing w:val="-5"/>
          <w:sz w:val="22"/>
          <w:szCs w:val="22"/>
        </w:rPr>
        <w:t xml:space="preserve">vida de la sociedad, se da en </w:t>
      </w:r>
      <w:r w:rsidR="004220B7" w:rsidRPr="007923C2">
        <w:rPr>
          <w:rFonts w:ascii="Arial" w:hAnsi="Arial" w:cs="Arial"/>
          <w:spacing w:val="5"/>
          <w:sz w:val="22"/>
          <w:szCs w:val="22"/>
        </w:rPr>
        <w:t xml:space="preserve">la actividad </w:t>
      </w:r>
      <w:r w:rsidR="004220B7" w:rsidRPr="007923C2">
        <w:rPr>
          <w:rFonts w:ascii="Arial" w:hAnsi="Arial" w:cs="Arial"/>
          <w:spacing w:val="9"/>
          <w:sz w:val="22"/>
          <w:szCs w:val="22"/>
        </w:rPr>
        <w:t xml:space="preserve">económica, las formas de organización </w:t>
      </w:r>
      <w:r w:rsidR="004220B7" w:rsidRPr="007923C2">
        <w:rPr>
          <w:rFonts w:ascii="Arial" w:hAnsi="Arial" w:cs="Arial"/>
          <w:spacing w:val="-1"/>
          <w:sz w:val="22"/>
          <w:szCs w:val="22"/>
        </w:rPr>
        <w:t>del trabajo y las</w:t>
      </w:r>
      <w:r w:rsidR="004220B7" w:rsidRPr="007923C2">
        <w:rPr>
          <w:rFonts w:ascii="Arial" w:hAnsi="Arial" w:cs="Arial"/>
          <w:spacing w:val="9"/>
          <w:sz w:val="22"/>
          <w:szCs w:val="22"/>
        </w:rPr>
        <w:t xml:space="preserve">bases técnicas de la </w:t>
      </w:r>
      <w:r w:rsidR="004220B7" w:rsidRPr="007923C2">
        <w:rPr>
          <w:rFonts w:ascii="Arial" w:hAnsi="Arial" w:cs="Arial"/>
          <w:spacing w:val="6"/>
          <w:sz w:val="22"/>
          <w:szCs w:val="22"/>
        </w:rPr>
        <w:t xml:space="preserve">producción, surgen nuevas necesidades y exigencias relativas a las competencias </w:t>
      </w:r>
      <w:r w:rsidR="004220B7" w:rsidRPr="007923C2">
        <w:rPr>
          <w:rFonts w:ascii="Arial" w:hAnsi="Arial" w:cs="Arial"/>
          <w:spacing w:val="2"/>
          <w:sz w:val="22"/>
          <w:szCs w:val="22"/>
        </w:rPr>
        <w:t xml:space="preserve">y conocimientos de los hombres para insertarse activamente en el mundo laboral, </w:t>
      </w:r>
      <w:r w:rsidR="004220B7" w:rsidRPr="007923C2">
        <w:rPr>
          <w:rFonts w:ascii="Arial" w:hAnsi="Arial" w:cs="Arial"/>
          <w:spacing w:val="8"/>
          <w:sz w:val="22"/>
          <w:szCs w:val="22"/>
        </w:rPr>
        <w:t xml:space="preserve">surgen actividades nuevas que requieren de innovaciones continuas y de una </w:t>
      </w:r>
      <w:r w:rsidR="004220B7" w:rsidRPr="007923C2">
        <w:rPr>
          <w:rFonts w:ascii="Arial" w:hAnsi="Arial" w:cs="Arial"/>
          <w:spacing w:val="7"/>
          <w:sz w:val="22"/>
          <w:szCs w:val="22"/>
        </w:rPr>
        <w:t>mayor participación de la dimensión intelectual del trabajo, se modifican las costumbres, los patrones de conducta y los modos de vida de los individuos, de l</w:t>
      </w:r>
      <w:r w:rsidR="004220B7" w:rsidRPr="007923C2">
        <w:rPr>
          <w:rFonts w:ascii="Arial" w:hAnsi="Arial" w:cs="Arial"/>
          <w:spacing w:val="9"/>
          <w:sz w:val="22"/>
          <w:szCs w:val="22"/>
        </w:rPr>
        <w:t xml:space="preserve">os grupos sociales y de los sexos, se extienden los ámbitos de acción de la </w:t>
      </w:r>
      <w:r w:rsidR="004220B7" w:rsidRPr="007923C2">
        <w:rPr>
          <w:rFonts w:ascii="Arial" w:hAnsi="Arial" w:cs="Arial"/>
          <w:spacing w:val="7"/>
          <w:sz w:val="22"/>
          <w:szCs w:val="22"/>
        </w:rPr>
        <w:t xml:space="preserve">sociedad civil y se reduce el campo de intervención directa del Estado, se va </w:t>
      </w:r>
      <w:r w:rsidR="004220B7" w:rsidRPr="007923C2">
        <w:rPr>
          <w:rFonts w:ascii="Arial" w:hAnsi="Arial" w:cs="Arial"/>
          <w:spacing w:val="4"/>
          <w:sz w:val="22"/>
          <w:szCs w:val="22"/>
        </w:rPr>
        <w:t>conformando una sociedad mas democrática y mas participativa.</w:t>
      </w:r>
    </w:p>
    <w:p w14:paraId="38F9C74E" w14:textId="77777777" w:rsidR="004220B7" w:rsidRPr="007923C2" w:rsidRDefault="004220B7" w:rsidP="004220B7">
      <w:pPr>
        <w:jc w:val="both"/>
        <w:rPr>
          <w:rFonts w:ascii="Arial" w:hAnsi="Arial" w:cs="Arial"/>
          <w:spacing w:val="4"/>
          <w:sz w:val="22"/>
          <w:szCs w:val="22"/>
        </w:rPr>
      </w:pPr>
      <w:r w:rsidRPr="007923C2">
        <w:rPr>
          <w:rFonts w:ascii="Arial" w:hAnsi="Arial" w:cs="Arial"/>
          <w:spacing w:val="4"/>
          <w:sz w:val="22"/>
          <w:szCs w:val="22"/>
        </w:rPr>
        <w:t xml:space="preserve">Las IES que continúen con una visión tradicional encerradas en si mismas y no </w:t>
      </w:r>
      <w:r w:rsidRPr="007923C2">
        <w:rPr>
          <w:rFonts w:ascii="Arial" w:hAnsi="Arial" w:cs="Arial"/>
          <w:spacing w:val="5"/>
          <w:sz w:val="22"/>
          <w:szCs w:val="22"/>
        </w:rPr>
        <w:t xml:space="preserve">aprovechan las oportunidades que presenta la cultura que está emergiendo de la </w:t>
      </w:r>
      <w:r w:rsidRPr="007923C2">
        <w:rPr>
          <w:rFonts w:ascii="Arial" w:hAnsi="Arial" w:cs="Arial"/>
          <w:spacing w:val="19"/>
          <w:sz w:val="22"/>
          <w:szCs w:val="22"/>
        </w:rPr>
        <w:t xml:space="preserve">nueva sociedad del conocimiento, con todos los elementos humanos y </w:t>
      </w:r>
      <w:r w:rsidRPr="007923C2">
        <w:rPr>
          <w:rFonts w:ascii="Arial" w:hAnsi="Arial" w:cs="Arial"/>
          <w:spacing w:val="12"/>
          <w:sz w:val="22"/>
          <w:szCs w:val="22"/>
        </w:rPr>
        <w:t xml:space="preserve">tecnológicos disponibles, serán desplazadas por otras instituciones en las </w:t>
      </w:r>
      <w:r w:rsidRPr="007923C2">
        <w:rPr>
          <w:rFonts w:ascii="Arial" w:hAnsi="Arial" w:cs="Arial"/>
          <w:spacing w:val="3"/>
          <w:sz w:val="22"/>
          <w:szCs w:val="22"/>
        </w:rPr>
        <w:t>funciones de generación del conocimiento, creación y recreación de la cultura y formación de los técnicos y profesionales del pais,</w:t>
      </w:r>
    </w:p>
    <w:p w14:paraId="615FC9C9" w14:textId="7FAA3249" w:rsidR="004220B7" w:rsidRPr="007923C2" w:rsidRDefault="004220B7" w:rsidP="004220B7">
      <w:pPr>
        <w:jc w:val="both"/>
        <w:rPr>
          <w:rFonts w:ascii="Arial" w:hAnsi="Arial" w:cs="Arial"/>
          <w:spacing w:val="5"/>
          <w:sz w:val="22"/>
          <w:szCs w:val="22"/>
        </w:rPr>
      </w:pPr>
      <w:r w:rsidRPr="007923C2">
        <w:rPr>
          <w:rFonts w:ascii="Arial" w:hAnsi="Arial" w:cs="Arial"/>
          <w:spacing w:val="5"/>
          <w:sz w:val="22"/>
          <w:szCs w:val="22"/>
        </w:rPr>
        <w:t xml:space="preserve">La educación superior y la investigación forman hoy en día la parte fundamental </w:t>
      </w:r>
      <w:r w:rsidRPr="007923C2">
        <w:rPr>
          <w:rFonts w:ascii="Arial" w:hAnsi="Arial" w:cs="Arial"/>
          <w:spacing w:val="11"/>
          <w:sz w:val="22"/>
          <w:szCs w:val="22"/>
        </w:rPr>
        <w:t xml:space="preserve">del desarrollo cultural socioeconómica y ecológicamente sostenible de los </w:t>
      </w:r>
      <w:r w:rsidRPr="007923C2">
        <w:rPr>
          <w:rFonts w:ascii="Arial" w:hAnsi="Arial" w:cs="Arial"/>
          <w:spacing w:val="13"/>
          <w:sz w:val="22"/>
          <w:szCs w:val="22"/>
        </w:rPr>
        <w:t xml:space="preserve">individuos, las comunidades y las naciones. La educación superior ha de </w:t>
      </w:r>
      <w:r w:rsidRPr="007923C2">
        <w:rPr>
          <w:rFonts w:ascii="Arial" w:hAnsi="Arial" w:cs="Arial"/>
          <w:spacing w:val="1"/>
          <w:sz w:val="22"/>
          <w:szCs w:val="22"/>
        </w:rPr>
        <w:t>emprender la</w:t>
      </w:r>
      <w:r w:rsidR="004220D8">
        <w:rPr>
          <w:rFonts w:ascii="Arial" w:hAnsi="Arial" w:cs="Arial"/>
          <w:spacing w:val="1"/>
          <w:sz w:val="22"/>
          <w:szCs w:val="22"/>
        </w:rPr>
        <w:t xml:space="preserve"> </w:t>
      </w:r>
      <w:r w:rsidRPr="007923C2">
        <w:rPr>
          <w:rFonts w:ascii="Arial" w:hAnsi="Arial" w:cs="Arial"/>
          <w:spacing w:val="11"/>
          <w:sz w:val="22"/>
          <w:szCs w:val="22"/>
        </w:rPr>
        <w:t xml:space="preserve">transformación y la renovación </w:t>
      </w:r>
      <w:r w:rsidRPr="007923C2">
        <w:rPr>
          <w:rFonts w:ascii="Arial" w:hAnsi="Arial" w:cs="Arial"/>
          <w:spacing w:val="1"/>
          <w:sz w:val="22"/>
          <w:szCs w:val="22"/>
        </w:rPr>
        <w:t>más radical que jamás se haya</w:t>
      </w:r>
      <w:r w:rsidRPr="007923C2">
        <w:rPr>
          <w:rFonts w:ascii="Arial" w:hAnsi="Arial" w:cs="Arial"/>
          <w:spacing w:val="-6"/>
          <w:sz w:val="22"/>
          <w:szCs w:val="22"/>
        </w:rPr>
        <w:t>tenido por</w:t>
      </w:r>
      <w:r w:rsidRPr="007923C2">
        <w:rPr>
          <w:rFonts w:ascii="Arial" w:hAnsi="Arial" w:cs="Arial"/>
          <w:spacing w:val="4"/>
          <w:sz w:val="22"/>
          <w:szCs w:val="22"/>
        </w:rPr>
        <w:t xml:space="preserve"> delante.</w:t>
      </w:r>
    </w:p>
    <w:p w14:paraId="32CD04AE" w14:textId="29579C78" w:rsidR="004220B7" w:rsidRPr="007923C2" w:rsidRDefault="004220B7" w:rsidP="004220B7">
      <w:pPr>
        <w:jc w:val="both"/>
        <w:rPr>
          <w:rFonts w:ascii="Arial" w:hAnsi="Arial" w:cs="Arial"/>
          <w:spacing w:val="10"/>
          <w:sz w:val="22"/>
          <w:szCs w:val="22"/>
        </w:rPr>
      </w:pPr>
      <w:r w:rsidRPr="007923C2">
        <w:rPr>
          <w:rFonts w:ascii="Arial" w:hAnsi="Arial" w:cs="Arial"/>
          <w:spacing w:val="10"/>
          <w:sz w:val="22"/>
          <w:szCs w:val="22"/>
        </w:rPr>
        <w:t xml:space="preserve">Una sociedad polarizada con un pequeño segmento que </w:t>
      </w:r>
      <w:r w:rsidRPr="007923C2">
        <w:rPr>
          <w:rFonts w:ascii="Arial" w:hAnsi="Arial" w:cs="Arial"/>
          <w:sz w:val="22"/>
          <w:szCs w:val="22"/>
        </w:rPr>
        <w:t>se puede denominar</w:t>
      </w:r>
      <w:r w:rsidR="004220D8">
        <w:rPr>
          <w:rFonts w:ascii="Arial" w:hAnsi="Arial" w:cs="Arial"/>
          <w:sz w:val="22"/>
          <w:szCs w:val="22"/>
        </w:rPr>
        <w:t xml:space="preserve"> </w:t>
      </w:r>
      <w:r w:rsidRPr="007923C2">
        <w:rPr>
          <w:rFonts w:ascii="Arial" w:hAnsi="Arial" w:cs="Arial"/>
          <w:spacing w:val="4"/>
          <w:sz w:val="22"/>
          <w:szCs w:val="22"/>
        </w:rPr>
        <w:t xml:space="preserve">moderno y </w:t>
      </w:r>
      <w:r w:rsidRPr="007923C2">
        <w:rPr>
          <w:rFonts w:ascii="Arial" w:hAnsi="Arial" w:cs="Arial"/>
          <w:spacing w:val="-6"/>
          <w:sz w:val="22"/>
          <w:szCs w:val="22"/>
        </w:rPr>
        <w:t>una</w:t>
      </w:r>
      <w:r w:rsidR="004220D8">
        <w:rPr>
          <w:rFonts w:ascii="Arial" w:hAnsi="Arial" w:cs="Arial"/>
          <w:spacing w:val="-6"/>
          <w:sz w:val="22"/>
          <w:szCs w:val="22"/>
        </w:rPr>
        <w:t xml:space="preserve"> </w:t>
      </w:r>
      <w:r w:rsidRPr="007923C2">
        <w:rPr>
          <w:rFonts w:ascii="Arial" w:hAnsi="Arial" w:cs="Arial"/>
          <w:spacing w:val="4"/>
          <w:sz w:val="22"/>
          <w:szCs w:val="22"/>
        </w:rPr>
        <w:t xml:space="preserve">mayoría marginada </w:t>
      </w:r>
      <w:r w:rsidRPr="007923C2">
        <w:rPr>
          <w:rFonts w:ascii="Arial" w:hAnsi="Arial" w:cs="Arial"/>
          <w:spacing w:val="-6"/>
          <w:sz w:val="22"/>
          <w:szCs w:val="22"/>
        </w:rPr>
        <w:t>del desarrollo, difícilmente</w:t>
      </w:r>
      <w:r w:rsidR="004220D8">
        <w:rPr>
          <w:rFonts w:ascii="Arial" w:hAnsi="Arial" w:cs="Arial"/>
          <w:spacing w:val="-6"/>
          <w:sz w:val="22"/>
          <w:szCs w:val="22"/>
        </w:rPr>
        <w:t xml:space="preserve"> </w:t>
      </w:r>
      <w:r w:rsidRPr="007923C2">
        <w:rPr>
          <w:rFonts w:ascii="Arial" w:hAnsi="Arial" w:cs="Arial"/>
          <w:spacing w:val="4"/>
          <w:sz w:val="22"/>
          <w:szCs w:val="22"/>
        </w:rPr>
        <w:t xml:space="preserve">podrá </w:t>
      </w:r>
      <w:r w:rsidRPr="007923C2">
        <w:rPr>
          <w:rFonts w:ascii="Arial" w:hAnsi="Arial" w:cs="Arial"/>
          <w:spacing w:val="-6"/>
          <w:sz w:val="22"/>
          <w:szCs w:val="22"/>
        </w:rPr>
        <w:t xml:space="preserve">enfrentar con </w:t>
      </w:r>
      <w:r w:rsidRPr="007923C2">
        <w:rPr>
          <w:rFonts w:ascii="Arial" w:hAnsi="Arial" w:cs="Arial"/>
          <w:spacing w:val="-2"/>
          <w:sz w:val="22"/>
          <w:szCs w:val="22"/>
        </w:rPr>
        <w:t>éxito</w:t>
      </w:r>
      <w:r w:rsidR="004220D8">
        <w:rPr>
          <w:rFonts w:ascii="Arial" w:hAnsi="Arial" w:cs="Arial"/>
          <w:spacing w:val="-2"/>
          <w:sz w:val="22"/>
          <w:szCs w:val="22"/>
        </w:rPr>
        <w:t xml:space="preserve"> </w:t>
      </w:r>
      <w:r w:rsidRPr="007923C2">
        <w:rPr>
          <w:rFonts w:ascii="Arial" w:hAnsi="Arial" w:cs="Arial"/>
          <w:spacing w:val="-6"/>
          <w:sz w:val="22"/>
          <w:szCs w:val="22"/>
        </w:rPr>
        <w:t xml:space="preserve">programas formativos </w:t>
      </w:r>
      <w:r w:rsidRPr="007923C2">
        <w:rPr>
          <w:rFonts w:ascii="Arial" w:hAnsi="Arial" w:cs="Arial"/>
          <w:spacing w:val="-6"/>
          <w:sz w:val="22"/>
          <w:szCs w:val="22"/>
        </w:rPr>
        <w:lastRenderedPageBreak/>
        <w:t xml:space="preserve">emergentes para conformar los </w:t>
      </w:r>
      <w:r w:rsidRPr="007923C2">
        <w:rPr>
          <w:rFonts w:ascii="Arial" w:hAnsi="Arial" w:cs="Arial"/>
          <w:spacing w:val="-2"/>
          <w:sz w:val="22"/>
          <w:szCs w:val="22"/>
        </w:rPr>
        <w:t xml:space="preserve">ciudadanos que protagonizarán el desarrollo los desafíos quese plantean en el próximo siglo. Desde la educación básica </w:t>
      </w:r>
      <w:r w:rsidRPr="007923C2">
        <w:rPr>
          <w:rFonts w:ascii="Arial" w:hAnsi="Arial" w:cs="Arial"/>
          <w:spacing w:val="-6"/>
          <w:sz w:val="22"/>
          <w:szCs w:val="22"/>
        </w:rPr>
        <w:t xml:space="preserve">hasta la superior requerirán </w:t>
      </w:r>
      <w:r w:rsidRPr="007923C2">
        <w:rPr>
          <w:rFonts w:ascii="Arial" w:hAnsi="Arial" w:cs="Arial"/>
          <w:spacing w:val="-2"/>
          <w:sz w:val="22"/>
          <w:szCs w:val="22"/>
        </w:rPr>
        <w:t>económico social y politico del país.</w:t>
      </w:r>
    </w:p>
    <w:p w14:paraId="7E3946D2" w14:textId="211A7E37" w:rsidR="004220B7" w:rsidRPr="007923C2" w:rsidRDefault="004220B7" w:rsidP="004220B7">
      <w:pPr>
        <w:jc w:val="both"/>
        <w:rPr>
          <w:rFonts w:ascii="Arial" w:hAnsi="Arial" w:cs="Arial"/>
          <w:b/>
          <w:spacing w:val="-7"/>
          <w:sz w:val="22"/>
          <w:szCs w:val="22"/>
        </w:rPr>
      </w:pPr>
      <w:r w:rsidRPr="007923C2">
        <w:rPr>
          <w:rFonts w:ascii="Arial" w:hAnsi="Arial" w:cs="Arial"/>
          <w:spacing w:val="-7"/>
          <w:sz w:val="22"/>
          <w:szCs w:val="22"/>
        </w:rPr>
        <w:t>La progresión</w:t>
      </w:r>
      <w:r w:rsidR="004220D8">
        <w:rPr>
          <w:rFonts w:ascii="Arial" w:hAnsi="Arial" w:cs="Arial"/>
          <w:spacing w:val="-7"/>
          <w:sz w:val="22"/>
          <w:szCs w:val="22"/>
        </w:rPr>
        <w:t xml:space="preserve"> </w:t>
      </w:r>
      <w:r w:rsidRPr="007923C2">
        <w:rPr>
          <w:rFonts w:ascii="Arial" w:hAnsi="Arial" w:cs="Arial"/>
          <w:spacing w:val="3"/>
          <w:sz w:val="22"/>
          <w:szCs w:val="22"/>
        </w:rPr>
        <w:t xml:space="preserve">geométrica de los conocimientos científicos y tecnológicos y de </w:t>
      </w:r>
      <w:r w:rsidRPr="007923C2">
        <w:rPr>
          <w:rFonts w:ascii="Arial" w:hAnsi="Arial" w:cs="Arial"/>
          <w:spacing w:val="-7"/>
          <w:sz w:val="22"/>
          <w:szCs w:val="22"/>
        </w:rPr>
        <w:t xml:space="preserve">las </w:t>
      </w:r>
      <w:r w:rsidRPr="007923C2">
        <w:rPr>
          <w:rFonts w:ascii="Arial" w:hAnsi="Arial" w:cs="Arial"/>
          <w:spacing w:val="5"/>
          <w:sz w:val="22"/>
          <w:szCs w:val="22"/>
        </w:rPr>
        <w:t>nuevas tecnologías de la</w:t>
      </w:r>
      <w:r w:rsidRPr="007923C2">
        <w:rPr>
          <w:rFonts w:ascii="Arial" w:hAnsi="Arial" w:cs="Arial"/>
          <w:spacing w:val="15"/>
          <w:sz w:val="22"/>
          <w:szCs w:val="22"/>
        </w:rPr>
        <w:t xml:space="preserve">información y comunicación presenta múltiples </w:t>
      </w:r>
      <w:r w:rsidRPr="007923C2">
        <w:rPr>
          <w:rFonts w:ascii="Arial" w:hAnsi="Arial" w:cs="Arial"/>
          <w:sz w:val="22"/>
          <w:szCs w:val="22"/>
        </w:rPr>
        <w:t xml:space="preserve">oportunidades a la educación superior, El más fácil acceso a la información y a su </w:t>
      </w:r>
      <w:r w:rsidRPr="007923C2">
        <w:rPr>
          <w:rFonts w:ascii="Arial" w:hAnsi="Arial" w:cs="Arial"/>
          <w:spacing w:val="2"/>
          <w:sz w:val="22"/>
          <w:szCs w:val="22"/>
        </w:rPr>
        <w:t xml:space="preserve">distribución por medio informáticos multiplica el impacto formativo de las 1E, la </w:t>
      </w:r>
      <w:r w:rsidRPr="007923C2">
        <w:rPr>
          <w:rFonts w:ascii="Arial" w:hAnsi="Arial" w:cs="Arial"/>
          <w:spacing w:val="6"/>
          <w:sz w:val="22"/>
          <w:szCs w:val="22"/>
        </w:rPr>
        <w:t xml:space="preserve">mayor interacción entre las comunidades científicas y académicas permite un </w:t>
      </w:r>
      <w:r w:rsidRPr="007923C2">
        <w:rPr>
          <w:rFonts w:ascii="Arial" w:hAnsi="Arial" w:cs="Arial"/>
          <w:spacing w:val="10"/>
          <w:sz w:val="22"/>
          <w:szCs w:val="22"/>
        </w:rPr>
        <w:t xml:space="preserve">proceso continuo de mejoramiento de la calidad educativa, la apertura a la </w:t>
      </w:r>
      <w:r w:rsidRPr="007923C2">
        <w:rPr>
          <w:rFonts w:ascii="Arial" w:hAnsi="Arial" w:cs="Arial"/>
          <w:spacing w:val="2"/>
          <w:sz w:val="22"/>
          <w:szCs w:val="22"/>
        </w:rPr>
        <w:t xml:space="preserve">interacción mundial potencia los procesos de transformación de las instituciones </w:t>
      </w:r>
      <w:r w:rsidRPr="007923C2">
        <w:rPr>
          <w:rFonts w:ascii="Arial" w:hAnsi="Arial" w:cs="Arial"/>
          <w:spacing w:val="5"/>
          <w:sz w:val="22"/>
          <w:szCs w:val="22"/>
        </w:rPr>
        <w:t>educativas y el surgimiento de nuevos valores en la sociedad en general posibilita la construcción de espacios académicos consolidados,</w:t>
      </w:r>
    </w:p>
    <w:p w14:paraId="765EEEA8" w14:textId="6FFCA088" w:rsidR="004220B7" w:rsidRPr="007923C2" w:rsidRDefault="001F23E0" w:rsidP="004220B7">
      <w:pPr>
        <w:jc w:val="both"/>
        <w:rPr>
          <w:rFonts w:ascii="Arial" w:hAnsi="Arial" w:cs="Arial"/>
          <w:spacing w:val="6"/>
          <w:sz w:val="22"/>
          <w:szCs w:val="22"/>
        </w:rPr>
      </w:pPr>
      <w:r>
        <w:rPr>
          <w:rFonts w:ascii="Arial" w:hAnsi="Arial" w:cs="Arial"/>
          <w:noProof/>
          <w:sz w:val="22"/>
          <w:szCs w:val="22"/>
        </w:rPr>
        <mc:AlternateContent>
          <mc:Choice Requires="wps">
            <w:drawing>
              <wp:anchor distT="0" distB="0" distL="0" distR="0" simplePos="0" relativeHeight="251790848" behindDoc="1" locked="0" layoutInCell="1" allowOverlap="1" wp14:anchorId="3FBF81C5" wp14:editId="3E481FE6">
                <wp:simplePos x="0" y="0"/>
                <wp:positionH relativeFrom="column">
                  <wp:posOffset>0</wp:posOffset>
                </wp:positionH>
                <wp:positionV relativeFrom="paragraph">
                  <wp:posOffset>8182610</wp:posOffset>
                </wp:positionV>
                <wp:extent cx="5486400" cy="137795"/>
                <wp:effectExtent l="0" t="0" r="0" b="14605"/>
                <wp:wrapSquare wrapText="bothSides"/>
                <wp:docPr id="538" name="Cuadro de texto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3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11F07" w14:textId="77777777" w:rsidR="001C2EB7" w:rsidRDefault="001C2EB7" w:rsidP="004220B7">
                            <w:pPr>
                              <w:spacing w:line="189" w:lineRule="auto"/>
                              <w:ind w:right="144"/>
                              <w:jc w:val="right"/>
                              <w:rPr>
                                <w:color w:val="000000"/>
                                <w:spacing w:val="1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F81C5" id="Cuadro de texto 538" o:spid="_x0000_s1034" type="#_x0000_t202" style="position:absolute;left:0;text-align:left;margin-left:0;margin-top:644.3pt;width:6in;height:10.85pt;z-index:-2515256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" filled="f" stroked="f">
                <v:textbox inset="0,0,0,0">
                  <w:txbxContent>
                    <w:p w14:paraId="4D611F07" w14:textId="77777777" w:rsidR="001C2EB7" w:rsidRDefault="001C2EB7" w:rsidP="004220B7">
                      <w:pPr>
                        <w:spacing w:line="189" w:lineRule="auto"/>
                        <w:ind w:right="144"/>
                        <w:jc w:val="right"/>
                        <w:rPr>
                          <w:color w:val="000000"/>
                          <w:spacing w:val="10"/>
                        </w:rPr>
                      </w:pPr>
                    </w:p>
                  </w:txbxContent>
                </v:textbox>
                <w10:wrap type="square"/>
              </v:shape>
            </w:pict>
          </mc:Fallback>
        </mc:AlternateContent>
      </w:r>
      <w:r w:rsidR="004220B7" w:rsidRPr="007923C2">
        <w:rPr>
          <w:rFonts w:ascii="Arial" w:hAnsi="Arial" w:cs="Arial"/>
          <w:spacing w:val="6"/>
          <w:sz w:val="22"/>
          <w:szCs w:val="22"/>
        </w:rPr>
        <w:t xml:space="preserve">El gran reto es disminuir la brecha existente entre países ricos y países pobres. </w:t>
      </w:r>
      <w:r w:rsidR="004220B7" w:rsidRPr="007923C2">
        <w:rPr>
          <w:rFonts w:ascii="Arial" w:hAnsi="Arial" w:cs="Arial"/>
          <w:spacing w:val="12"/>
          <w:sz w:val="22"/>
          <w:szCs w:val="22"/>
        </w:rPr>
        <w:t xml:space="preserve">El proceso de globalización económica, la interdependencia mundial y la </w:t>
      </w:r>
      <w:r w:rsidR="004220B7" w:rsidRPr="007923C2">
        <w:rPr>
          <w:rFonts w:ascii="Arial" w:hAnsi="Arial" w:cs="Arial"/>
          <w:spacing w:val="-2"/>
          <w:sz w:val="22"/>
          <w:szCs w:val="22"/>
        </w:rPr>
        <w:t xml:space="preserve">constitución de bloques regionales constituyen el nuevo contexto internacional que </w:t>
      </w:r>
      <w:r w:rsidR="004220B7" w:rsidRPr="007923C2">
        <w:rPr>
          <w:rFonts w:ascii="Arial" w:hAnsi="Arial" w:cs="Arial"/>
          <w:spacing w:val="5"/>
          <w:sz w:val="22"/>
          <w:szCs w:val="22"/>
        </w:rPr>
        <w:t xml:space="preserve">presenta oportunidades a las IES del pais para establecer alianzas estratégicas en el terreno cultural y educativo por medio de fortalecimiento de programas de </w:t>
      </w:r>
      <w:r w:rsidR="004220B7" w:rsidRPr="007923C2">
        <w:rPr>
          <w:rFonts w:ascii="Arial" w:hAnsi="Arial" w:cs="Arial"/>
          <w:spacing w:val="10"/>
          <w:sz w:val="22"/>
          <w:szCs w:val="22"/>
        </w:rPr>
        <w:t xml:space="preserve">intercambios y movilidad de estudiantes y de profesores,  </w:t>
      </w:r>
      <w:r w:rsidR="006F5C1C" w:rsidRPr="007923C2">
        <w:rPr>
          <w:rFonts w:ascii="Arial" w:hAnsi="Arial" w:cs="Arial"/>
          <w:spacing w:val="10"/>
          <w:sz w:val="22"/>
          <w:szCs w:val="22"/>
        </w:rPr>
        <w:t xml:space="preserve">la </w:t>
      </w:r>
      <w:r w:rsidR="004220B7" w:rsidRPr="007923C2">
        <w:rPr>
          <w:rFonts w:ascii="Arial" w:hAnsi="Arial" w:cs="Arial"/>
          <w:spacing w:val="10"/>
          <w:sz w:val="22"/>
          <w:szCs w:val="22"/>
        </w:rPr>
        <w:t xml:space="preserve">realización de </w:t>
      </w:r>
      <w:r w:rsidR="004220B7" w:rsidRPr="007923C2">
        <w:rPr>
          <w:rFonts w:ascii="Arial" w:hAnsi="Arial" w:cs="Arial"/>
          <w:spacing w:val="4"/>
          <w:sz w:val="22"/>
          <w:szCs w:val="22"/>
        </w:rPr>
        <w:t xml:space="preserve">programas académicos conjuntos en licenciatura, posgrado e investigación y el </w:t>
      </w:r>
      <w:r w:rsidR="004220B7" w:rsidRPr="007923C2">
        <w:rPr>
          <w:rFonts w:ascii="Arial" w:hAnsi="Arial" w:cs="Arial"/>
          <w:spacing w:val="5"/>
          <w:sz w:val="22"/>
          <w:szCs w:val="22"/>
        </w:rPr>
        <w:t xml:space="preserve">establecimiento de redes educativas en los distintos campos del conocimiento </w:t>
      </w:r>
      <w:r w:rsidR="004220B7" w:rsidRPr="007923C2">
        <w:rPr>
          <w:rFonts w:ascii="Arial" w:hAnsi="Arial" w:cs="Arial"/>
          <w:spacing w:val="4"/>
          <w:sz w:val="22"/>
          <w:szCs w:val="22"/>
        </w:rPr>
        <w:t>aprovechando las ventajas comparativas de las instituciones del extranjero.</w:t>
      </w:r>
    </w:p>
    <w:p w14:paraId="32F6935A" w14:textId="77777777" w:rsidR="004220B7" w:rsidRPr="007923C2" w:rsidRDefault="004220B7" w:rsidP="004220B7">
      <w:pPr>
        <w:jc w:val="both"/>
        <w:rPr>
          <w:rFonts w:ascii="Arial" w:hAnsi="Arial" w:cs="Arial"/>
          <w:spacing w:val="14"/>
          <w:sz w:val="22"/>
          <w:szCs w:val="22"/>
        </w:rPr>
      </w:pPr>
      <w:r w:rsidRPr="007923C2">
        <w:rPr>
          <w:rFonts w:ascii="Arial" w:hAnsi="Arial" w:cs="Arial"/>
          <w:spacing w:val="14"/>
          <w:sz w:val="22"/>
          <w:szCs w:val="22"/>
        </w:rPr>
        <w:t xml:space="preserve">México compite en condiciones de desventaja y tiene la amenaza de ser </w:t>
      </w:r>
      <w:r w:rsidRPr="007923C2">
        <w:rPr>
          <w:rFonts w:ascii="Arial" w:hAnsi="Arial" w:cs="Arial"/>
          <w:sz w:val="22"/>
          <w:szCs w:val="22"/>
        </w:rPr>
        <w:t xml:space="preserve">desplazado en aquellos sectores económicos poco competitivos. Los efectos de la </w:t>
      </w:r>
      <w:r w:rsidRPr="007923C2">
        <w:rPr>
          <w:rFonts w:ascii="Arial" w:hAnsi="Arial" w:cs="Arial"/>
          <w:spacing w:val="2"/>
          <w:sz w:val="22"/>
          <w:szCs w:val="22"/>
        </w:rPr>
        <w:t xml:space="preserve">globalización y la liberalización refuerzan la polaridad: una sociedad restringida </w:t>
      </w:r>
      <w:r w:rsidRPr="007923C2">
        <w:rPr>
          <w:rFonts w:ascii="Arial" w:hAnsi="Arial" w:cs="Arial"/>
          <w:spacing w:val="-1"/>
          <w:sz w:val="22"/>
          <w:szCs w:val="22"/>
        </w:rPr>
        <w:t xml:space="preserve">moderna, abierta al mundo, y una mayoría, circunscrita a las preocupaciones de la </w:t>
      </w:r>
      <w:r w:rsidRPr="007923C2">
        <w:rPr>
          <w:rFonts w:ascii="Arial" w:hAnsi="Arial" w:cs="Arial"/>
          <w:spacing w:val="1"/>
          <w:sz w:val="22"/>
          <w:szCs w:val="22"/>
        </w:rPr>
        <w:t>supervivencia cotidiana y marginada del desarrollo económico.</w:t>
      </w:r>
    </w:p>
    <w:p w14:paraId="387FA1F6" w14:textId="77777777" w:rsidR="004220B7" w:rsidRPr="007923C2" w:rsidRDefault="004220B7" w:rsidP="004220B7">
      <w:pPr>
        <w:jc w:val="both"/>
        <w:rPr>
          <w:rFonts w:ascii="Arial" w:hAnsi="Arial" w:cs="Arial"/>
          <w:spacing w:val="20"/>
          <w:sz w:val="22"/>
          <w:szCs w:val="22"/>
        </w:rPr>
      </w:pPr>
      <w:r w:rsidRPr="007923C2">
        <w:rPr>
          <w:rFonts w:ascii="Arial" w:hAnsi="Arial" w:cs="Arial"/>
          <w:spacing w:val="20"/>
          <w:sz w:val="22"/>
          <w:szCs w:val="22"/>
        </w:rPr>
        <w:t xml:space="preserve">La educación superior esta siendo desafiada a orientar sus objetivos </w:t>
      </w:r>
      <w:r w:rsidRPr="007923C2">
        <w:rPr>
          <w:rFonts w:ascii="Arial" w:hAnsi="Arial" w:cs="Arial"/>
          <w:sz w:val="22"/>
          <w:szCs w:val="22"/>
        </w:rPr>
        <w:t xml:space="preserve">fundamentales a encontrar un equilibrio entre la búsqueda del conocimiento por si </w:t>
      </w:r>
      <w:r w:rsidRPr="007923C2">
        <w:rPr>
          <w:rFonts w:ascii="Arial" w:hAnsi="Arial" w:cs="Arial"/>
          <w:spacing w:val="-1"/>
          <w:sz w:val="22"/>
          <w:szCs w:val="22"/>
        </w:rPr>
        <w:t xml:space="preserve">mismo y un servicio directo a la sociedad, entre fomentar capacidades genéricas o </w:t>
      </w:r>
      <w:r w:rsidRPr="007923C2">
        <w:rPr>
          <w:rFonts w:ascii="Arial" w:hAnsi="Arial" w:cs="Arial"/>
          <w:spacing w:val="4"/>
          <w:sz w:val="22"/>
          <w:szCs w:val="22"/>
        </w:rPr>
        <w:t xml:space="preserve">desarrollar conocimientos específicos, entre responder a demandas del empleador </w:t>
      </w:r>
      <w:r w:rsidRPr="007923C2">
        <w:rPr>
          <w:rFonts w:ascii="Arial" w:hAnsi="Arial" w:cs="Arial"/>
          <w:spacing w:val="6"/>
          <w:sz w:val="22"/>
          <w:szCs w:val="22"/>
        </w:rPr>
        <w:t xml:space="preserve">o adelantarse y descubrir anticipadamente el mundo a futuro del trabajo. En </w:t>
      </w:r>
      <w:r w:rsidRPr="007923C2">
        <w:rPr>
          <w:rFonts w:ascii="Arial" w:hAnsi="Arial" w:cs="Arial"/>
          <w:spacing w:val="5"/>
          <w:sz w:val="22"/>
          <w:szCs w:val="22"/>
        </w:rPr>
        <w:t xml:space="preserve">muchos países relativamente ricos, asi como en las naciones en desarrollo se </w:t>
      </w:r>
      <w:r w:rsidRPr="007923C2">
        <w:rPr>
          <w:rFonts w:ascii="Arial" w:hAnsi="Arial" w:cs="Arial"/>
          <w:spacing w:val="7"/>
          <w:sz w:val="22"/>
          <w:szCs w:val="22"/>
        </w:rPr>
        <w:t xml:space="preserve">informa acerca de un desempleo considerable de los graduados. Pese a que la cuota de desempleo entre los egresados es más pequeña que la del total de la </w:t>
      </w:r>
      <w:r w:rsidRPr="007923C2">
        <w:rPr>
          <w:rFonts w:ascii="Arial" w:hAnsi="Arial" w:cs="Arial"/>
          <w:spacing w:val="3"/>
          <w:sz w:val="22"/>
          <w:szCs w:val="22"/>
        </w:rPr>
        <w:t>fuerza del trabajo en la mayor parte del pais.</w:t>
      </w:r>
    </w:p>
    <w:p w14:paraId="13753209" w14:textId="77777777" w:rsidR="004220B7" w:rsidRPr="007923C2" w:rsidRDefault="004220B7" w:rsidP="004220B7">
      <w:pPr>
        <w:jc w:val="both"/>
        <w:rPr>
          <w:rFonts w:ascii="Arial" w:hAnsi="Arial" w:cs="Arial"/>
          <w:spacing w:val="6"/>
          <w:sz w:val="22"/>
          <w:szCs w:val="22"/>
        </w:rPr>
      </w:pPr>
      <w:r w:rsidRPr="007923C2">
        <w:rPr>
          <w:rFonts w:ascii="Arial" w:hAnsi="Arial" w:cs="Arial"/>
          <w:spacing w:val="6"/>
          <w:sz w:val="22"/>
          <w:szCs w:val="22"/>
        </w:rPr>
        <w:t>Existe una oferta excesiva de egresados de la educación superior, que contrasta con la afirmación de muchos empleadores y egresados de falta o carencia de competencia necesario por parte de los egresados.</w:t>
      </w:r>
    </w:p>
    <w:p w14:paraId="120D4AAE" w14:textId="77777777" w:rsidR="004220B7" w:rsidRPr="007923C2" w:rsidRDefault="004220B7" w:rsidP="004220B7">
      <w:pPr>
        <w:jc w:val="both"/>
        <w:rPr>
          <w:rFonts w:ascii="Arial" w:hAnsi="Arial" w:cs="Arial"/>
          <w:spacing w:val="1"/>
          <w:sz w:val="22"/>
          <w:szCs w:val="22"/>
        </w:rPr>
      </w:pPr>
      <w:r w:rsidRPr="007923C2">
        <w:rPr>
          <w:rFonts w:ascii="Arial" w:hAnsi="Arial" w:cs="Arial"/>
          <w:spacing w:val="1"/>
          <w:sz w:val="22"/>
          <w:szCs w:val="22"/>
        </w:rPr>
        <w:t xml:space="preserve">México como el resto del mundo ha venido ampliando los niveles de instrucción </w:t>
      </w:r>
      <w:r w:rsidRPr="007923C2">
        <w:rPr>
          <w:rFonts w:ascii="Arial" w:hAnsi="Arial" w:cs="Arial"/>
          <w:spacing w:val="-9"/>
          <w:sz w:val="22"/>
          <w:szCs w:val="22"/>
        </w:rPr>
        <w:t xml:space="preserve">de </w:t>
      </w:r>
      <w:r w:rsidRPr="007923C2">
        <w:rPr>
          <w:rFonts w:ascii="Arial" w:hAnsi="Arial" w:cs="Arial"/>
          <w:spacing w:val="5"/>
          <w:sz w:val="22"/>
          <w:szCs w:val="22"/>
        </w:rPr>
        <w:t>población que será una tendencia que se reforzará en el futuro.</w:t>
      </w:r>
    </w:p>
    <w:p w14:paraId="22F6ACA9" w14:textId="77777777" w:rsidR="004220B7" w:rsidRPr="007923C2" w:rsidRDefault="004220B7" w:rsidP="004220B7">
      <w:pPr>
        <w:jc w:val="both"/>
        <w:rPr>
          <w:rFonts w:ascii="Arial" w:hAnsi="Arial" w:cs="Arial"/>
          <w:spacing w:val="5"/>
          <w:sz w:val="22"/>
          <w:szCs w:val="22"/>
        </w:rPr>
      </w:pPr>
      <w:r w:rsidRPr="007923C2">
        <w:rPr>
          <w:rFonts w:ascii="Arial" w:hAnsi="Arial" w:cs="Arial"/>
          <w:spacing w:val="5"/>
          <w:sz w:val="22"/>
          <w:szCs w:val="22"/>
        </w:rPr>
        <w:t xml:space="preserve">Sin embargo México tiene una gran </w:t>
      </w:r>
      <w:r w:rsidRPr="007923C2">
        <w:rPr>
          <w:rFonts w:ascii="Arial" w:hAnsi="Arial" w:cs="Arial"/>
          <w:spacing w:val="15"/>
          <w:sz w:val="22"/>
          <w:szCs w:val="22"/>
        </w:rPr>
        <w:t xml:space="preserve">desventaja con </w:t>
      </w:r>
      <w:r w:rsidRPr="007923C2">
        <w:rPr>
          <w:rFonts w:ascii="Arial" w:hAnsi="Arial" w:cs="Arial"/>
          <w:spacing w:val="5"/>
          <w:sz w:val="22"/>
          <w:szCs w:val="22"/>
        </w:rPr>
        <w:t xml:space="preserve">otros paises, principalmente </w:t>
      </w:r>
      <w:r w:rsidRPr="007923C2">
        <w:rPr>
          <w:rFonts w:ascii="Arial" w:hAnsi="Arial" w:cs="Arial"/>
          <w:spacing w:val="7"/>
          <w:sz w:val="22"/>
          <w:szCs w:val="22"/>
        </w:rPr>
        <w:t xml:space="preserve">con los que </w:t>
      </w:r>
      <w:r w:rsidRPr="007923C2">
        <w:rPr>
          <w:rFonts w:ascii="Arial" w:hAnsi="Arial" w:cs="Arial"/>
          <w:spacing w:val="17"/>
          <w:sz w:val="22"/>
          <w:szCs w:val="22"/>
        </w:rPr>
        <w:t xml:space="preserve">mantiene </w:t>
      </w:r>
      <w:r w:rsidRPr="007923C2">
        <w:rPr>
          <w:rFonts w:ascii="Arial" w:hAnsi="Arial" w:cs="Arial"/>
          <w:spacing w:val="7"/>
          <w:sz w:val="22"/>
          <w:szCs w:val="22"/>
        </w:rPr>
        <w:t xml:space="preserve">acuerdos comerciales como son Canadá y Estados Unidos, </w:t>
      </w:r>
      <w:r w:rsidRPr="007923C2">
        <w:rPr>
          <w:rFonts w:ascii="Arial" w:hAnsi="Arial" w:cs="Arial"/>
          <w:spacing w:val="-1"/>
          <w:sz w:val="22"/>
          <w:szCs w:val="22"/>
        </w:rPr>
        <w:t xml:space="preserve">y la ubicación que tenemos en el concierto internacional por si mismo </w:t>
      </w:r>
      <w:r w:rsidRPr="007923C2">
        <w:rPr>
          <w:rFonts w:ascii="Arial" w:hAnsi="Arial" w:cs="Arial"/>
          <w:spacing w:val="9"/>
          <w:sz w:val="22"/>
          <w:szCs w:val="22"/>
        </w:rPr>
        <w:t xml:space="preserve">habla de los </w:t>
      </w:r>
      <w:r w:rsidRPr="007923C2">
        <w:rPr>
          <w:rFonts w:ascii="Arial" w:hAnsi="Arial" w:cs="Arial"/>
          <w:spacing w:val="12"/>
          <w:sz w:val="22"/>
          <w:szCs w:val="22"/>
        </w:rPr>
        <w:t xml:space="preserve">rezagos </w:t>
      </w:r>
      <w:r w:rsidRPr="007923C2">
        <w:rPr>
          <w:rFonts w:ascii="Arial" w:hAnsi="Arial" w:cs="Arial"/>
          <w:spacing w:val="2"/>
          <w:sz w:val="22"/>
          <w:szCs w:val="22"/>
        </w:rPr>
        <w:t>que se tienen que superar.</w:t>
      </w:r>
    </w:p>
    <w:p w14:paraId="6C4A92C1" w14:textId="77777777" w:rsidR="004220B7" w:rsidRPr="007923C2" w:rsidRDefault="004220B7" w:rsidP="004220B7">
      <w:pPr>
        <w:jc w:val="both"/>
        <w:rPr>
          <w:rFonts w:ascii="Arial" w:hAnsi="Arial" w:cs="Arial"/>
          <w:b/>
          <w:sz w:val="22"/>
          <w:szCs w:val="22"/>
        </w:rPr>
      </w:pPr>
      <w:r w:rsidRPr="007923C2">
        <w:rPr>
          <w:rFonts w:ascii="Arial" w:hAnsi="Arial" w:cs="Arial"/>
          <w:spacing w:val="4"/>
          <w:sz w:val="22"/>
          <w:szCs w:val="22"/>
        </w:rPr>
        <w:lastRenderedPageBreak/>
        <w:t xml:space="preserve">La nueva composición demográfica y la mayor escolarización de la población en los niveles previos exigen una reflexión profunda sobre las grandes orientaciones </w:t>
      </w:r>
      <w:r w:rsidRPr="007923C2">
        <w:rPr>
          <w:rFonts w:ascii="Arial" w:hAnsi="Arial" w:cs="Arial"/>
          <w:spacing w:val="3"/>
          <w:sz w:val="22"/>
          <w:szCs w:val="22"/>
        </w:rPr>
        <w:t xml:space="preserve">del desarrollo </w:t>
      </w:r>
      <w:r w:rsidRPr="007923C2">
        <w:rPr>
          <w:rFonts w:ascii="Arial" w:hAnsi="Arial" w:cs="Arial"/>
          <w:spacing w:val="-7"/>
          <w:sz w:val="22"/>
          <w:szCs w:val="22"/>
        </w:rPr>
        <w:t xml:space="preserve">futuro de las </w:t>
      </w:r>
      <w:r w:rsidRPr="007923C2">
        <w:rPr>
          <w:rFonts w:ascii="Arial" w:hAnsi="Arial" w:cs="Arial"/>
          <w:spacing w:val="3"/>
          <w:sz w:val="22"/>
          <w:szCs w:val="22"/>
        </w:rPr>
        <w:t xml:space="preserve">instituciones de educación superior. Si bien la presión </w:t>
      </w:r>
      <w:r w:rsidRPr="007923C2">
        <w:rPr>
          <w:rFonts w:ascii="Arial" w:hAnsi="Arial" w:cs="Arial"/>
          <w:spacing w:val="8"/>
          <w:sz w:val="22"/>
          <w:szCs w:val="22"/>
        </w:rPr>
        <w:t xml:space="preserve">demográfica se ha </w:t>
      </w:r>
      <w:r w:rsidRPr="007923C2">
        <w:rPr>
          <w:rFonts w:ascii="Arial" w:hAnsi="Arial" w:cs="Arial"/>
          <w:spacing w:val="18"/>
          <w:sz w:val="22"/>
          <w:szCs w:val="22"/>
        </w:rPr>
        <w:t xml:space="preserve">atenuado en términos globales al reducirse la taza de </w:t>
      </w:r>
      <w:r w:rsidRPr="007923C2">
        <w:rPr>
          <w:rFonts w:ascii="Arial" w:hAnsi="Arial" w:cs="Arial"/>
          <w:spacing w:val="8"/>
          <w:sz w:val="22"/>
          <w:szCs w:val="22"/>
        </w:rPr>
        <w:t xml:space="preserve">crecimiento poblacional, aun la quinta parte de la población esta en edad de </w:t>
      </w:r>
      <w:r w:rsidRPr="007923C2">
        <w:rPr>
          <w:rFonts w:ascii="Arial" w:hAnsi="Arial" w:cs="Arial"/>
          <w:spacing w:val="7"/>
          <w:sz w:val="22"/>
          <w:szCs w:val="22"/>
        </w:rPr>
        <w:t xml:space="preserve">escolarización obligatoria y más </w:t>
      </w:r>
      <w:r w:rsidRPr="007923C2">
        <w:rPr>
          <w:rFonts w:ascii="Arial" w:hAnsi="Arial" w:cs="Arial"/>
          <w:spacing w:val="-3"/>
          <w:sz w:val="22"/>
          <w:szCs w:val="22"/>
        </w:rPr>
        <w:t xml:space="preserve">de 50 millones de mexicanos tienen </w:t>
      </w:r>
      <w:r w:rsidRPr="007923C2">
        <w:rPr>
          <w:rFonts w:ascii="Arial" w:hAnsi="Arial" w:cs="Arial"/>
          <w:spacing w:val="7"/>
          <w:sz w:val="22"/>
          <w:szCs w:val="22"/>
        </w:rPr>
        <w:t xml:space="preserve">menos de 25 </w:t>
      </w:r>
      <w:r w:rsidRPr="007923C2">
        <w:rPr>
          <w:rFonts w:ascii="Arial" w:hAnsi="Arial" w:cs="Arial"/>
          <w:spacing w:val="2"/>
          <w:sz w:val="22"/>
          <w:szCs w:val="22"/>
        </w:rPr>
        <w:t xml:space="preserve">años. Por tanto en el primer tercio del nuevo siglo continuará una presión creciente </w:t>
      </w:r>
      <w:r w:rsidRPr="007923C2">
        <w:rPr>
          <w:rFonts w:ascii="Arial" w:hAnsi="Arial" w:cs="Arial"/>
          <w:spacing w:val="5"/>
          <w:sz w:val="22"/>
          <w:szCs w:val="22"/>
        </w:rPr>
        <w:t xml:space="preserve">para el ingreso a </w:t>
      </w:r>
      <w:r w:rsidRPr="007923C2">
        <w:rPr>
          <w:rFonts w:ascii="Arial" w:hAnsi="Arial" w:cs="Arial"/>
          <w:spacing w:val="-5"/>
          <w:sz w:val="22"/>
          <w:szCs w:val="22"/>
        </w:rPr>
        <w:t xml:space="preserve">la </w:t>
      </w:r>
      <w:r w:rsidRPr="007923C2">
        <w:rPr>
          <w:rFonts w:ascii="Arial" w:hAnsi="Arial" w:cs="Arial"/>
          <w:spacing w:val="5"/>
          <w:sz w:val="22"/>
          <w:szCs w:val="22"/>
        </w:rPr>
        <w:t>educación postobligatoria.</w:t>
      </w:r>
    </w:p>
    <w:p w14:paraId="03ECDB45" w14:textId="77777777" w:rsidR="004220B7" w:rsidRPr="007923C2" w:rsidRDefault="004220B7" w:rsidP="004220B7">
      <w:pPr>
        <w:jc w:val="both"/>
        <w:rPr>
          <w:rFonts w:ascii="Arial" w:hAnsi="Arial" w:cs="Arial"/>
          <w:b/>
          <w:sz w:val="22"/>
          <w:szCs w:val="22"/>
        </w:rPr>
      </w:pPr>
    </w:p>
    <w:p w14:paraId="30A4A1EF" w14:textId="19A4ED4A" w:rsidR="004220B7" w:rsidRPr="007923C2" w:rsidRDefault="001F23E0" w:rsidP="004220B7">
      <w:pPr>
        <w:jc w:val="both"/>
        <w:rPr>
          <w:rFonts w:ascii="Arial" w:hAnsi="Arial" w:cs="Arial"/>
          <w:b/>
          <w:sz w:val="22"/>
          <w:szCs w:val="22"/>
        </w:rPr>
      </w:pPr>
      <w:r>
        <w:rPr>
          <w:rFonts w:ascii="Arial" w:hAnsi="Arial" w:cs="Arial"/>
          <w:noProof/>
          <w:sz w:val="22"/>
          <w:szCs w:val="22"/>
        </w:rPr>
        <mc:AlternateContent>
          <mc:Choice Requires="wps">
            <w:drawing>
              <wp:anchor distT="0" distB="0" distL="0" distR="0" simplePos="0" relativeHeight="251791872" behindDoc="1" locked="0" layoutInCell="1" allowOverlap="1" wp14:anchorId="30E23969" wp14:editId="59FEA8F7">
                <wp:simplePos x="0" y="0"/>
                <wp:positionH relativeFrom="column">
                  <wp:posOffset>0</wp:posOffset>
                </wp:positionH>
                <wp:positionV relativeFrom="paragraph">
                  <wp:posOffset>6955155</wp:posOffset>
                </wp:positionV>
                <wp:extent cx="5486400" cy="115570"/>
                <wp:effectExtent l="0" t="0" r="0" b="17780"/>
                <wp:wrapSquare wrapText="bothSides"/>
                <wp:docPr id="537" name="Cuadro de texto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1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47F38" w14:textId="77777777" w:rsidR="001C2EB7" w:rsidRDefault="001C2EB7" w:rsidP="004220B7">
                            <w:pPr>
                              <w:spacing w:line="199" w:lineRule="auto"/>
                              <w:ind w:right="144"/>
                              <w:jc w:val="right"/>
                              <w:rPr>
                                <w:rFonts w:ascii="Tahoma" w:hAnsi="Tahoma"/>
                                <w:color w:val="000000"/>
                                <w:sz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E23969" id="Cuadro de texto 537" o:spid="_x0000_s1035" type="#_x0000_t202" style="position:absolute;left:0;text-align:left;margin-left:0;margin-top:547.65pt;width:6in;height:9.1pt;z-index:-2515246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" filled="f" stroked="f">
                <v:textbox inset="0,0,0,0">
                  <w:txbxContent>
                    <w:p w14:paraId="18D47F38" w14:textId="77777777" w:rsidR="001C2EB7" w:rsidRDefault="001C2EB7" w:rsidP="004220B7">
                      <w:pPr>
                        <w:spacing w:line="199" w:lineRule="auto"/>
                        <w:ind w:right="144"/>
                        <w:jc w:val="right"/>
                        <w:rPr>
                          <w:rFonts w:ascii="Tahoma" w:hAnsi="Tahoma"/>
                          <w:color w:val="000000"/>
                          <w:sz w:val="18"/>
                        </w:rPr>
                      </w:pPr>
                    </w:p>
                  </w:txbxContent>
                </v:textbox>
                <w10:wrap type="square"/>
              </v:shape>
            </w:pict>
          </mc:Fallback>
        </mc:AlternateContent>
      </w:r>
      <w:r w:rsidR="004220B7" w:rsidRPr="007923C2">
        <w:rPr>
          <w:rFonts w:ascii="Arial" w:hAnsi="Arial" w:cs="Arial"/>
          <w:b/>
          <w:sz w:val="22"/>
          <w:szCs w:val="22"/>
        </w:rPr>
        <w:t>4.2.2.1.-CONDICIONES SOCIODEMOGRAFICAS EN MEXICO</w:t>
      </w:r>
    </w:p>
    <w:p w14:paraId="36E52CAF"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CAMBIOS EN LA POBLACIÓN POR RAZA, EDAD, SEXO</w:t>
      </w:r>
    </w:p>
    <w:p w14:paraId="10F00DC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población de México ha tenido cambios importantes en las últimas décadas, con el fin de mostrar información relevante sobre la situación actual del país, en este apartado, se presentan indicadores sobre el total de habitantes, la estructura por edad y sexo de la población, así como de la distribución territorial en las entidades de México y por tamaño de localidad. Adicionalmente, se muestran la razón de dependencia y sus componentes, además de la relación hombres-mujeres. También se presentan series históricas que permiten conocer la dinámica, crecimiento y evolución de la población mexicana.</w:t>
      </w:r>
    </w:p>
    <w:p w14:paraId="644CEA06"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71C138A0" wp14:editId="1CA636E8">
            <wp:extent cx="4954905" cy="3848735"/>
            <wp:effectExtent l="0" t="0" r="0" b="0"/>
            <wp:docPr id="545" name="Imagen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54905" cy="3848735"/>
                    </a:xfrm>
                    <a:prstGeom prst="rect">
                      <a:avLst/>
                    </a:prstGeom>
                    <a:noFill/>
                    <a:ln>
                      <a:noFill/>
                    </a:ln>
                  </pic:spPr>
                </pic:pic>
              </a:graphicData>
            </a:graphic>
          </wp:inline>
        </w:drawing>
      </w:r>
    </w:p>
    <w:p w14:paraId="75BACF81"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POBLACION TOTAL</w:t>
      </w:r>
    </w:p>
    <w:p w14:paraId="1AB7743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 lo largo del siglo XX, México presentó varios cambios en el comportamiento demográfico. En 1900, la población nacional alcanza los 13.6 millones de habitantes, Sin embargo, la lucha revolucionaria impactó en </w:t>
      </w:r>
      <w:r w:rsidRPr="007923C2">
        <w:rPr>
          <w:rFonts w:ascii="Arial" w:hAnsi="Arial" w:cs="Arial"/>
          <w:sz w:val="22"/>
          <w:szCs w:val="22"/>
        </w:rPr>
        <w:lastRenderedPageBreak/>
        <w:t>el monto de población, por lo que la Tasa anual de crecimiento durante ese decenio llegó a ser negativa. En el periodo de 1920 a 1950, el incremento de la población fue constante, alcanzando 25.8 millones de personas. Alrededor de 1950, las políticas pronatalistas emprendidas por la administración pública, así como las acciones efectuadas para disminuir los niveles de la mortalidad –en particular, la mortalidad infantil– tuvieron un efecto acelerado en el incremento poblacional, lo que reflejó que en la década de 1960, el país alcanzara elmáximohistóricoenlatasadecrecimientoanualcon3.4 por ciento. En 1970, México alcanzó los 48.2 millones de habitantes por lo que la planeación demográfica impulsó el mayor uso de métodos anticonceptivos y los programas de planificación familiar, dándose un descenso paulatino de la fecundidad y una reducción en el ritmo de crecimiento promedio anual de la población, sin embargo, la población del año 2000 se duplicó respecto a 1970, con una cifra de 97.5 millones de personas. Los resultados del Censo 2010 dan cuenta de1 12.3 millones de residentes en México, 14.8 millones de personas más que en el año 2000, es decir, el país creció a una tasa promedio anual de 1.4 por ciento.</w:t>
      </w:r>
    </w:p>
    <w:p w14:paraId="0AF20846" w14:textId="77777777" w:rsidR="004220B7" w:rsidRPr="007923C2" w:rsidRDefault="004220B7" w:rsidP="004220B7">
      <w:pPr>
        <w:jc w:val="both"/>
        <w:rPr>
          <w:rFonts w:ascii="Arial" w:hAnsi="Arial" w:cs="Arial"/>
          <w:sz w:val="22"/>
          <w:szCs w:val="22"/>
        </w:rPr>
      </w:pPr>
    </w:p>
    <w:p w14:paraId="023411F1"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2F952199" wp14:editId="0736B0B8">
            <wp:extent cx="5571490" cy="4742180"/>
            <wp:effectExtent l="0" t="0" r="0" b="1270"/>
            <wp:docPr id="544" name="Imagen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71490" cy="4742180"/>
                    </a:xfrm>
                    <a:prstGeom prst="rect">
                      <a:avLst/>
                    </a:prstGeom>
                    <a:noFill/>
                    <a:ln>
                      <a:noFill/>
                    </a:ln>
                  </pic:spPr>
                </pic:pic>
              </a:graphicData>
            </a:graphic>
          </wp:inline>
        </w:drawing>
      </w:r>
    </w:p>
    <w:p w14:paraId="22A0F9F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periodo 2000 a 2010, el comportamiento demográfico por entidad federativa ha sido diferencial. Las entidades más pobladas son: México, el Distrito Federal, Veracruz y Jalisco, las cuales concentran 39 millones de personas. El Distrito Federal presenta el menor crecimiento poblacional del país, 0.3% </w:t>
      </w:r>
      <w:r w:rsidRPr="007923C2">
        <w:rPr>
          <w:rFonts w:ascii="Arial" w:hAnsi="Arial" w:cs="Arial"/>
          <w:sz w:val="22"/>
          <w:szCs w:val="22"/>
        </w:rPr>
        <w:lastRenderedPageBreak/>
        <w:t>anual; seguido por Guerrero, Michoacán, Sinaloa y Zacatecas, entidades expulsoras de población cuya tasa de crecimiento anual es de 0.9 porciento.</w:t>
      </w:r>
    </w:p>
    <w:p w14:paraId="14A2EB3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Mientras que Quintana Roo y Baja California Sur son entidades que se caracterizan por Un crecimiento significativo de su población, resultado en gran parte de la inmigración. Se puede apreciar en ellas las mayor tasa de crecimiento, del orden de 4% anual. En menor medida, se observan cuatro entidades con tasas de crecimiento anuales entre 2 y 3%, entre ellas: Chiapas, Aguascalientes, Baja California y Querétaro. </w:t>
      </w:r>
    </w:p>
    <w:p w14:paraId="4925EC47"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582636EB" wp14:editId="4D15B86D">
            <wp:extent cx="5050155" cy="5720080"/>
            <wp:effectExtent l="0" t="0" r="0" b="0"/>
            <wp:docPr id="543" name="Imagen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50155" cy="5720080"/>
                    </a:xfrm>
                    <a:prstGeom prst="rect">
                      <a:avLst/>
                    </a:prstGeom>
                    <a:noFill/>
                    <a:ln>
                      <a:noFill/>
                    </a:ln>
                  </pic:spPr>
                </pic:pic>
              </a:graphicData>
            </a:graphic>
          </wp:inline>
        </w:drawing>
      </w:r>
    </w:p>
    <w:p w14:paraId="4EE63715" w14:textId="77777777" w:rsidR="004220B7" w:rsidRPr="007923C2" w:rsidRDefault="004220B7" w:rsidP="004220B7">
      <w:pPr>
        <w:jc w:val="both"/>
        <w:rPr>
          <w:rFonts w:ascii="Arial" w:hAnsi="Arial" w:cs="Arial"/>
          <w:sz w:val="22"/>
          <w:szCs w:val="22"/>
        </w:rPr>
      </w:pPr>
    </w:p>
    <w:p w14:paraId="1068B68F" w14:textId="77777777" w:rsidR="004220D8" w:rsidRDefault="004220D8" w:rsidP="004220B7">
      <w:pPr>
        <w:jc w:val="both"/>
        <w:rPr>
          <w:rFonts w:ascii="Arial" w:hAnsi="Arial" w:cs="Arial"/>
          <w:b/>
          <w:sz w:val="22"/>
          <w:szCs w:val="22"/>
        </w:rPr>
      </w:pPr>
    </w:p>
    <w:p w14:paraId="1C3056BB" w14:textId="77777777" w:rsidR="004220D8" w:rsidRDefault="004220D8" w:rsidP="004220B7">
      <w:pPr>
        <w:jc w:val="both"/>
        <w:rPr>
          <w:rFonts w:ascii="Arial" w:hAnsi="Arial" w:cs="Arial"/>
          <w:b/>
          <w:sz w:val="22"/>
          <w:szCs w:val="22"/>
        </w:rPr>
      </w:pPr>
    </w:p>
    <w:p w14:paraId="70DC11EB"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lastRenderedPageBreak/>
        <w:t>DISTRIBUCIÒN PORCENTUAL DE LA POBLACIÒN TOTAL</w:t>
      </w:r>
    </w:p>
    <w:p w14:paraId="45A856C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Al analizar la distribución de la población por entidad federativa, se observa el comportamiento descendente que muestra el Distrito Federal, el cual en 1990 representaba 10.1% de la población nacional, en 2000 se ubica en 8.8%, hasta llegar a 7.9% en 2010, con casi 9 millones de habitantes. </w:t>
      </w:r>
    </w:p>
    <w:p w14:paraId="661644F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otro extremo se encuentra el estado de México, cuya población en 1990 representaba 12.1% del total de habitantes en el país, para el año 2000 contaba ya con 13 millones de habitantes (13.4%) y para 2010 con poco más de 15 millones, esta entidad representa el 13.5% de la población total del país. </w:t>
      </w:r>
    </w:p>
    <w:p w14:paraId="7F5FCF4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su parte, el estado de Quintana Roo duplicó su proporción respecto al total nacional, entre los años 1990 y 2010 pasando de 0.6% a 1.2 por ciento.</w:t>
      </w:r>
    </w:p>
    <w:p w14:paraId="199FCF0E" w14:textId="77777777" w:rsidR="004220B7" w:rsidRPr="007923C2" w:rsidRDefault="004220B7" w:rsidP="004220B7">
      <w:pPr>
        <w:jc w:val="both"/>
        <w:rPr>
          <w:rFonts w:ascii="Arial" w:hAnsi="Arial" w:cs="Arial"/>
          <w:sz w:val="22"/>
          <w:szCs w:val="22"/>
        </w:rPr>
      </w:pPr>
    </w:p>
    <w:p w14:paraId="22D71418"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55510C62" wp14:editId="2154DCD3">
            <wp:extent cx="5895975" cy="5419725"/>
            <wp:effectExtent l="0" t="0" r="9525" b="9525"/>
            <wp:docPr id="542" name="Imagen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1726" cy="5425011"/>
                    </a:xfrm>
                    <a:prstGeom prst="rect">
                      <a:avLst/>
                    </a:prstGeom>
                    <a:noFill/>
                    <a:ln>
                      <a:noFill/>
                    </a:ln>
                  </pic:spPr>
                </pic:pic>
              </a:graphicData>
            </a:graphic>
          </wp:inline>
        </w:drawing>
      </w:r>
    </w:p>
    <w:p w14:paraId="302AA58D" w14:textId="77777777" w:rsidR="004220B7" w:rsidRPr="007923C2" w:rsidRDefault="004220B7" w:rsidP="004220B7">
      <w:pPr>
        <w:jc w:val="both"/>
        <w:rPr>
          <w:rFonts w:ascii="Arial" w:hAnsi="Arial" w:cs="Arial"/>
          <w:sz w:val="22"/>
          <w:szCs w:val="22"/>
        </w:rPr>
      </w:pPr>
    </w:p>
    <w:p w14:paraId="6F1DDAFA"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lastRenderedPageBreak/>
        <w:t>POBLACIÒN TOTAL POR SEXO</w:t>
      </w:r>
    </w:p>
    <w:p w14:paraId="676690F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el año 2010, las entidades más pobladas de la República son el estado de México, el Distrito Federal, Veracruz y Jalisco con un monto que va de 7 a más de 15 millones de habitantes. Las entidades con menor población en el país son los estados de Baja California Sur, Colima, y Campeche, en los cuales la población total para el año 2010 no rebasa el millón de habitantes.</w:t>
      </w:r>
    </w:p>
    <w:p w14:paraId="64D4668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Se observa que en 28 entidades el número de mujeres es superior al de hombres. Sin embargo, en Baja California Sur 51.1% de la población son hombres y 48.9% son mujeres; en otras tres entidades: Baja California, Quintana Roo y Sonora, el número de Hombres es ligeramente superior al de mujeres.</w:t>
      </w:r>
    </w:p>
    <w:p w14:paraId="436DA96C" w14:textId="77777777" w:rsidR="004220B7" w:rsidRPr="007923C2" w:rsidRDefault="004220B7" w:rsidP="004220B7">
      <w:pPr>
        <w:jc w:val="both"/>
        <w:rPr>
          <w:rFonts w:ascii="Arial" w:hAnsi="Arial" w:cs="Arial"/>
          <w:sz w:val="22"/>
          <w:szCs w:val="22"/>
        </w:rPr>
      </w:pPr>
    </w:p>
    <w:p w14:paraId="61097B69"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4FA86098" wp14:editId="098E8E2D">
            <wp:extent cx="5899785" cy="3629025"/>
            <wp:effectExtent l="0" t="0" r="5715" b="9525"/>
            <wp:docPr id="541" name="Imagen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55837" cy="3663503"/>
                    </a:xfrm>
                    <a:prstGeom prst="rect">
                      <a:avLst/>
                    </a:prstGeom>
                    <a:noFill/>
                    <a:ln>
                      <a:noFill/>
                    </a:ln>
                  </pic:spPr>
                </pic:pic>
              </a:graphicData>
            </a:graphic>
          </wp:inline>
        </w:drawing>
      </w:r>
    </w:p>
    <w:p w14:paraId="43D0498E" w14:textId="77777777" w:rsidR="004220B7" w:rsidRPr="007923C2" w:rsidRDefault="004220B7" w:rsidP="004220B7">
      <w:pPr>
        <w:jc w:val="both"/>
        <w:rPr>
          <w:rFonts w:ascii="Arial" w:hAnsi="Arial" w:cs="Arial"/>
          <w:sz w:val="22"/>
          <w:szCs w:val="22"/>
        </w:rPr>
      </w:pPr>
    </w:p>
    <w:p w14:paraId="28A2A155" w14:textId="77777777" w:rsidR="004220B7" w:rsidRPr="007923C2" w:rsidRDefault="004220B7" w:rsidP="004220B7">
      <w:pPr>
        <w:jc w:val="both"/>
        <w:rPr>
          <w:rFonts w:ascii="Arial" w:hAnsi="Arial" w:cs="Arial"/>
          <w:sz w:val="22"/>
          <w:szCs w:val="22"/>
        </w:rPr>
      </w:pPr>
      <w:r w:rsidRPr="007923C2">
        <w:rPr>
          <w:rFonts w:ascii="Arial" w:hAnsi="Arial" w:cs="Arial"/>
          <w:b/>
          <w:sz w:val="22"/>
          <w:szCs w:val="22"/>
        </w:rPr>
        <w:t>POBLACIÒN TOTAL POR TAMAÑO DE LOCALIDAD</w:t>
      </w:r>
    </w:p>
    <w:p w14:paraId="0213FE1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siglo XX se caracterizó por una constante urbanización del país. Entre 1930 y 1940 la nación era en su mayoría rural, ya que 6 de cada 10 personas vivían en localidades de menos de 2 500 habitantes; en las siguientes dos décadas, el país experimentó una intensa fase de industrialización, lo que detonó el desarrollo de centros urbanos y propició movimientos internos del ámbito rural hacia estos lugares. El porcentaje de población rural se redujo de manera importante y para 1960 las proporciones de población residente en localidades de ambos tamaños, se encontraban alrededor de 50 por ciento.</w:t>
      </w:r>
    </w:p>
    <w:p w14:paraId="540690E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Para 1970, la proporción de población urbana era mayor a la rural, 58.7% y 41.3% respectivamente; este fenómeno siguió desarrollándose de tal manera que para el año 2000, sólo la cuarta parte de la población (25.4%) vivía en localidades rurales. Para el año 2010, se observa que el proceso de urbanización ha sido cada vez más lento, reflejándose en el porcentaje de personas que residen en </w:t>
      </w:r>
      <w:r w:rsidRPr="007923C2">
        <w:rPr>
          <w:rFonts w:ascii="Arial" w:hAnsi="Arial" w:cs="Arial"/>
          <w:sz w:val="22"/>
          <w:szCs w:val="22"/>
        </w:rPr>
        <w:lastRenderedPageBreak/>
        <w:t>localidades rurales que pasó a 23.2 por ciento; lo anterior, representa, que 26 millones de mexicanos vivan dispersos en 188 594 localidades de menos de 2 500 habitantes. En este sentido, el mayor número se observa en las entidades de Veracruz con 2.9 millones, Chiapas con 2.4 millones y Oaxaca con poco más de 2 millones de personas.</w:t>
      </w:r>
    </w:p>
    <w:p w14:paraId="1AF155F2"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3CF0F77D" wp14:editId="03535785">
            <wp:extent cx="6019800" cy="5848350"/>
            <wp:effectExtent l="0" t="0" r="0" b="0"/>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48001" cy="5875748"/>
                    </a:xfrm>
                    <a:prstGeom prst="rect">
                      <a:avLst/>
                    </a:prstGeom>
                    <a:noFill/>
                    <a:ln>
                      <a:noFill/>
                    </a:ln>
                  </pic:spPr>
                </pic:pic>
              </a:graphicData>
            </a:graphic>
          </wp:inline>
        </w:drawing>
      </w:r>
    </w:p>
    <w:p w14:paraId="377AEA99" w14:textId="77777777" w:rsidR="004220B7" w:rsidRPr="007923C2" w:rsidRDefault="004220B7" w:rsidP="004220B7">
      <w:pPr>
        <w:jc w:val="both"/>
        <w:rPr>
          <w:rFonts w:ascii="Arial" w:hAnsi="Arial" w:cs="Arial"/>
          <w:sz w:val="22"/>
          <w:szCs w:val="22"/>
        </w:rPr>
      </w:pPr>
    </w:p>
    <w:p w14:paraId="0186C69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Entre 2000 y 2010, la población aumentó en cerca de 15 millones de personas. Las localidades con el mayor incremento son también las más pobladas (100 mil y más habitantes), en ellas habitan 53.6 millones de personas, es decir, 47.8% de la población Nacional. Al observar esta situación por entidad federativa, en el Distrito Federal, 96.7%de la población vive en alguna localidad de 100 mil habitantes y más.</w:t>
      </w:r>
    </w:p>
    <w:p w14:paraId="2A7CCAD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Por otro lado, y con proporciones menores a 20% se encuentran los estados de Chiapas,Tabasco, Hidalgo, Oaxaca y Tlaxcala, esta última entidad es la única en el país que no tiene localidades mayores de 100 mil habitantes.</w:t>
      </w:r>
    </w:p>
    <w:p w14:paraId="107DB6D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año 2000, los casos particulares de Colima y Zacatecas, tenían 22 y 8.4% de su Población en localidades de 100 mil y más habitantes; para 2010 la proporción se triplicó alcanzando 59.2 y 25.1% respectivamente. </w:t>
      </w:r>
      <w:r w:rsidR="00E65FC3" w:rsidRPr="007923C2">
        <w:rPr>
          <w:rFonts w:ascii="Arial" w:hAnsi="Arial" w:cs="Arial"/>
          <w:sz w:val="22"/>
          <w:szCs w:val="22"/>
        </w:rPr>
        <w:t>p</w:t>
      </w:r>
      <w:r w:rsidRPr="007923C2">
        <w:rPr>
          <w:rFonts w:ascii="Arial" w:hAnsi="Arial" w:cs="Arial"/>
          <w:sz w:val="22"/>
          <w:szCs w:val="22"/>
        </w:rPr>
        <w:t>or el contrario, poco más de la mitad de la población de Oaxaca y Chiapas vive en localidad es con menos de 2 500 habitantes. Asimismo, en entidades como Hidalgo, Tabasco, Guerrero y Zacatecas el porcentaje de esta población, está por arriba del 40 por ciento.</w:t>
      </w:r>
    </w:p>
    <w:p w14:paraId="41DBAE82"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2F514C61" wp14:editId="5CEBEE85">
            <wp:extent cx="5957570" cy="4267200"/>
            <wp:effectExtent l="0" t="0" r="5080" b="0"/>
            <wp:docPr id="573" name="Imagen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62381" cy="4270646"/>
                    </a:xfrm>
                    <a:prstGeom prst="rect">
                      <a:avLst/>
                    </a:prstGeom>
                    <a:noFill/>
                    <a:ln>
                      <a:noFill/>
                    </a:ln>
                  </pic:spPr>
                </pic:pic>
              </a:graphicData>
            </a:graphic>
          </wp:inline>
        </w:drawing>
      </w:r>
    </w:p>
    <w:p w14:paraId="23C27800" w14:textId="77777777" w:rsidR="004220B7" w:rsidRPr="007923C2" w:rsidRDefault="004220B7" w:rsidP="004220B7">
      <w:pPr>
        <w:jc w:val="both"/>
        <w:rPr>
          <w:rFonts w:ascii="Arial" w:hAnsi="Arial" w:cs="Arial"/>
          <w:sz w:val="22"/>
          <w:szCs w:val="22"/>
        </w:rPr>
      </w:pPr>
    </w:p>
    <w:p w14:paraId="76824DCC" w14:textId="77777777" w:rsidR="004220B7" w:rsidRPr="007923C2" w:rsidRDefault="004220B7" w:rsidP="004220B7">
      <w:pPr>
        <w:jc w:val="both"/>
        <w:rPr>
          <w:rFonts w:ascii="Arial" w:hAnsi="Arial" w:cs="Arial"/>
          <w:sz w:val="22"/>
          <w:szCs w:val="22"/>
        </w:rPr>
      </w:pPr>
    </w:p>
    <w:p w14:paraId="7FEF74FB"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TASA DE CRECIMIENTO DE LA POBLACIÒN POR TAMAÑO DE LOCALIDAD</w:t>
      </w:r>
    </w:p>
    <w:p w14:paraId="2067B45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México, las tasas de crecimiento poblacional en las localidades de menos de 2 500 habitantes en las últimas dos décadas son significativamente menores que en las localidades de 2 500 y más habitantes. La población en localidades de menos de 2 500 habitantes tuvo tasas de alrededor de medio punto porcentual de 1990 a 2010.</w:t>
      </w:r>
    </w:p>
    <w:p w14:paraId="457E9B3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crecimiento de la población urbana de 1990 a 2000 era de 2.3% promedio anual y descendió durante el periodo 2000 a 2010 a 1.7 por ciento.</w:t>
      </w:r>
    </w:p>
    <w:p w14:paraId="25156180" w14:textId="77777777" w:rsidR="004220B7" w:rsidRPr="007923C2" w:rsidRDefault="004220B7" w:rsidP="004220B7">
      <w:pPr>
        <w:jc w:val="both"/>
        <w:rPr>
          <w:rFonts w:ascii="Arial" w:hAnsi="Arial" w:cs="Arial"/>
          <w:sz w:val="22"/>
          <w:szCs w:val="22"/>
        </w:rPr>
      </w:pPr>
    </w:p>
    <w:p w14:paraId="404A4125"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622A4785" wp14:editId="0B06A60A">
            <wp:extent cx="5876290" cy="5343525"/>
            <wp:effectExtent l="0" t="0" r="0" b="9525"/>
            <wp:docPr id="572" name="Imagen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78478" cy="5345515"/>
                    </a:xfrm>
                    <a:prstGeom prst="rect">
                      <a:avLst/>
                    </a:prstGeom>
                    <a:noFill/>
                    <a:ln>
                      <a:noFill/>
                    </a:ln>
                  </pic:spPr>
                </pic:pic>
              </a:graphicData>
            </a:graphic>
          </wp:inline>
        </w:drawing>
      </w:r>
    </w:p>
    <w:p w14:paraId="7BB1F384" w14:textId="77777777" w:rsidR="004220B7" w:rsidRPr="007923C2" w:rsidRDefault="004220B7" w:rsidP="004220B7">
      <w:pPr>
        <w:jc w:val="both"/>
        <w:rPr>
          <w:rFonts w:ascii="Arial" w:hAnsi="Arial" w:cs="Arial"/>
          <w:sz w:val="22"/>
          <w:szCs w:val="22"/>
        </w:rPr>
      </w:pPr>
    </w:p>
    <w:p w14:paraId="74D80F4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Para 2010, en los estados de Oaxaca y Chiapas poco más de50% de la población se encuentra viviendo en localidades con menos de 2 500 habitantes.</w:t>
      </w:r>
    </w:p>
    <w:p w14:paraId="1FD0030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Al comparar el porcentaje que tenían en 2000, se observa que ambos estados presenta nula disminución de la población en localidades con menos de  2 500 habitantes, ya que pasaron de 55.5 a 52.7% en Oaxaca, y en Chiapas de 54.3 a 51.3 porciento.</w:t>
      </w:r>
    </w:p>
    <w:p w14:paraId="0A10AF0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2010, en entidades como Hidalgo, Tabasco, Guerrero y Zacatecas el porcentaje de población que vive en localidades con menos de 2 500 habitantes está por arriba de 40 por ciento. </w:t>
      </w:r>
    </w:p>
    <w:p w14:paraId="3D16B18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otro lado, con proporciones menores se encuentran entidades como Baja California y Nuevo León con menos de 10 por ciento; en el Distrito Federal la proporción de población que vive en localidades </w:t>
      </w:r>
      <w:r w:rsidRPr="007923C2">
        <w:rPr>
          <w:rFonts w:ascii="Arial" w:hAnsi="Arial" w:cs="Arial"/>
          <w:sz w:val="22"/>
          <w:szCs w:val="22"/>
        </w:rPr>
        <w:lastRenderedPageBreak/>
        <w:t>con menos de 2500 habitantes pasó de 0.2a0.5% durante ella  comprendido entre los años 2000 y 2010.</w:t>
      </w:r>
    </w:p>
    <w:p w14:paraId="2AA62F30"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191C969E" wp14:editId="78CADBB9">
            <wp:extent cx="5900420" cy="5686425"/>
            <wp:effectExtent l="0" t="0" r="5080" b="9525"/>
            <wp:docPr id="571" name="Imagen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04825" cy="5690670"/>
                    </a:xfrm>
                    <a:prstGeom prst="rect">
                      <a:avLst/>
                    </a:prstGeom>
                    <a:noFill/>
                    <a:ln>
                      <a:noFill/>
                    </a:ln>
                  </pic:spPr>
                </pic:pic>
              </a:graphicData>
            </a:graphic>
          </wp:inline>
        </w:drawing>
      </w:r>
    </w:p>
    <w:p w14:paraId="446D0A6C" w14:textId="77777777" w:rsidR="004220B7" w:rsidRPr="007923C2" w:rsidRDefault="004220B7" w:rsidP="004220B7">
      <w:pPr>
        <w:jc w:val="both"/>
        <w:rPr>
          <w:rFonts w:ascii="Arial" w:hAnsi="Arial" w:cs="Arial"/>
          <w:sz w:val="22"/>
          <w:szCs w:val="22"/>
        </w:rPr>
      </w:pPr>
    </w:p>
    <w:p w14:paraId="26359DB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2010, el porcentaje de población que reside en localidades de 100 mil y más habitantes varía en medio punto porcentual con respecto a lo registrado en el año 2000.</w:t>
      </w:r>
    </w:p>
    <w:p w14:paraId="71F1209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Al observar esta situación por entidad federativa, en el Distrito Federal, alrededor de 97% de la población vive en localidades mayores de 100 mil habitantes, en Nuevo León esta proporción es de 77.7%, Chihuahua 72.4%, en Baja California 72.0% y en Tamaulipas 71.3 por ciento.</w:t>
      </w:r>
    </w:p>
    <w:p w14:paraId="4A7C454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otro lado, y con proporciones menores a 20% se encuentran los estados de Chiapas, Tabasco, Hidalgo, Oaxaca y Tlaxcala. Se destacan los casos de Colima y Zacatecas que en el año 2000 tenían 22.0 y 8.4% de su población en localidades de 100 mil y más habitantes y para 2010 la proporción es </w:t>
      </w:r>
      <w:r w:rsidRPr="007923C2">
        <w:rPr>
          <w:rFonts w:ascii="Arial" w:hAnsi="Arial" w:cs="Arial"/>
          <w:sz w:val="22"/>
          <w:szCs w:val="22"/>
        </w:rPr>
        <w:lastRenderedPageBreak/>
        <w:t>de 59.2 y 25.1% respectivamente, lo que muestra un proceso de urbanización importante, en el que el monto de población que vive en este tipo de localidades se triplicó.</w:t>
      </w:r>
    </w:p>
    <w:p w14:paraId="1C79A6F5"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POBLACIÒN POR SEXO Y EDAD</w:t>
      </w:r>
    </w:p>
    <w:p w14:paraId="0206BE6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población femenina es superior a la masculina, las mujeres alcanzan en 2010, 57.5 millones, lo que representa 51.1% de la población total, en cuanto a los hombres, contabilizan 54.9 millones de personas y representan 48.9 por ciento.</w:t>
      </w:r>
    </w:p>
    <w:p w14:paraId="57C32E23"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195C4E7B" wp14:editId="053B8B58">
            <wp:extent cx="3538745" cy="3448050"/>
            <wp:effectExtent l="0" t="0" r="5080" b="0"/>
            <wp:docPr id="570" name="Imagen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70876" cy="3479357"/>
                    </a:xfrm>
                    <a:prstGeom prst="rect">
                      <a:avLst/>
                    </a:prstGeom>
                    <a:noFill/>
                    <a:ln>
                      <a:noFill/>
                    </a:ln>
                  </pic:spPr>
                </pic:pic>
              </a:graphicData>
            </a:graphic>
          </wp:inline>
        </w:drawing>
      </w:r>
    </w:p>
    <w:p w14:paraId="75CDE1CF" w14:textId="77777777" w:rsidR="004220B7" w:rsidRPr="007923C2" w:rsidRDefault="004220B7" w:rsidP="004220B7">
      <w:pPr>
        <w:jc w:val="both"/>
        <w:rPr>
          <w:rFonts w:ascii="Arial" w:hAnsi="Arial" w:cs="Arial"/>
          <w:sz w:val="22"/>
          <w:szCs w:val="22"/>
        </w:rPr>
      </w:pPr>
    </w:p>
    <w:p w14:paraId="765CC50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Las estructuras por sexo y edad de la población nacional reflejan los cambios en la distribución relativa de la población por edades durante las últimas dos décadas, como se observaen las gráficas.</w:t>
      </w:r>
    </w:p>
    <w:p w14:paraId="5FFF56B6"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585D6D75" wp14:editId="133D0E14">
            <wp:extent cx="3422665" cy="3038475"/>
            <wp:effectExtent l="0" t="0" r="6350" b="0"/>
            <wp:docPr id="569" name="Imagen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47541" cy="3060559"/>
                    </a:xfrm>
                    <a:prstGeom prst="rect">
                      <a:avLst/>
                    </a:prstGeom>
                    <a:noFill/>
                    <a:ln>
                      <a:noFill/>
                    </a:ln>
                  </pic:spPr>
                </pic:pic>
              </a:graphicData>
            </a:graphic>
          </wp:inline>
        </w:drawing>
      </w:r>
    </w:p>
    <w:p w14:paraId="61AE74B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un lado, se aprecia un descenso constante del peso relativo de la población de 0 a 14 años, como consecuencia de la disminución de los niveles de la fecundidad. La estructura de la población del país en el 2010 se ensancha en el centro y se reduce en la base, es decir, ocurrió un cambio en la estructura de población con predominancia de niños hacia una población joven y en edad laboral. Simultáneamente, se observa en las edades laborales la recomposición de la estructura debido principalmente a la movilidad internacional, sobre todo de población masculina entre los 20 y 39 años de edad.</w:t>
      </w:r>
    </w:p>
    <w:p w14:paraId="7CC12A5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Asimismo, en la medida que ha transcurrido el descenso de la fecundidad conjuntamente con la mortalidad, se constata el paulatino y continuo proceso de envejecimiento de la población mexicana.</w:t>
      </w:r>
    </w:p>
    <w:p w14:paraId="1982F20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mayor esperanza de vida de la población femenina, tiende a incrementar la proporción de mujeres en edades avanzadas, como se puede observar en la estructura de población a partir de los 60 años y más de edad.</w:t>
      </w:r>
    </w:p>
    <w:p w14:paraId="4F8AB71A" w14:textId="77777777" w:rsidR="004220B7" w:rsidRPr="007923C2" w:rsidRDefault="004220B7" w:rsidP="004220B7">
      <w:pPr>
        <w:jc w:val="both"/>
        <w:rPr>
          <w:rFonts w:ascii="Arial" w:hAnsi="Arial" w:cs="Arial"/>
          <w:sz w:val="22"/>
          <w:szCs w:val="22"/>
        </w:rPr>
      </w:pPr>
    </w:p>
    <w:p w14:paraId="179F36C4"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2851D050" wp14:editId="65B145A2">
            <wp:extent cx="5802265" cy="5191125"/>
            <wp:effectExtent l="0" t="0" r="8255" b="0"/>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62020" cy="5244586"/>
                    </a:xfrm>
                    <a:prstGeom prst="rect">
                      <a:avLst/>
                    </a:prstGeom>
                    <a:noFill/>
                    <a:ln>
                      <a:noFill/>
                    </a:ln>
                  </pic:spPr>
                </pic:pic>
              </a:graphicData>
            </a:graphic>
          </wp:inline>
        </w:drawing>
      </w:r>
    </w:p>
    <w:p w14:paraId="5204BA45" w14:textId="77777777" w:rsidR="004220B7" w:rsidRPr="007923C2" w:rsidRDefault="004220B7" w:rsidP="004220B7">
      <w:pPr>
        <w:jc w:val="both"/>
        <w:rPr>
          <w:rFonts w:ascii="Arial" w:hAnsi="Arial" w:cs="Arial"/>
          <w:sz w:val="22"/>
          <w:szCs w:val="22"/>
        </w:rPr>
      </w:pPr>
    </w:p>
    <w:p w14:paraId="1A6AC455"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5CC93702" wp14:editId="2E503BCB">
            <wp:extent cx="5904230" cy="4267200"/>
            <wp:effectExtent l="0" t="0" r="1270" b="0"/>
            <wp:docPr id="567" name="Imagen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6115" cy="4283017"/>
                    </a:xfrm>
                    <a:prstGeom prst="rect">
                      <a:avLst/>
                    </a:prstGeom>
                    <a:noFill/>
                    <a:ln>
                      <a:noFill/>
                    </a:ln>
                  </pic:spPr>
                </pic:pic>
              </a:graphicData>
            </a:graphic>
          </wp:inline>
        </w:drawing>
      </w:r>
    </w:p>
    <w:p w14:paraId="0CFAAD80" w14:textId="77777777" w:rsidR="0025430C" w:rsidRPr="007923C2" w:rsidRDefault="0025430C" w:rsidP="004220B7">
      <w:pPr>
        <w:jc w:val="both"/>
        <w:rPr>
          <w:rFonts w:ascii="Arial" w:hAnsi="Arial" w:cs="Arial"/>
          <w:b/>
          <w:sz w:val="22"/>
          <w:szCs w:val="22"/>
        </w:rPr>
      </w:pPr>
    </w:p>
    <w:p w14:paraId="07DEB8F5" w14:textId="77777777" w:rsidR="0025430C" w:rsidRPr="007923C2" w:rsidRDefault="0025430C" w:rsidP="004220B7">
      <w:pPr>
        <w:jc w:val="both"/>
        <w:rPr>
          <w:rFonts w:ascii="Arial" w:hAnsi="Arial" w:cs="Arial"/>
          <w:b/>
          <w:sz w:val="22"/>
          <w:szCs w:val="22"/>
        </w:rPr>
      </w:pPr>
    </w:p>
    <w:p w14:paraId="066A3DFD"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LA POBLACIÒN POR GRUPOS DE EDAD</w:t>
      </w:r>
    </w:p>
    <w:p w14:paraId="34D8C21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agrupación de la población en menores de 15 años; entre 15 y 64 años y; 65 años y más, permite dimensionar el peso de cada uno de ellos en relación con el total. </w:t>
      </w:r>
    </w:p>
    <w:p w14:paraId="7A9BBD0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lapso de 20 años se observa una tendencia constante en el descenso del peso relativo de la población de 0 a 14 años como efecto de la reducción de la fecundidad. En este sentido, la población infantil disminuyó su participación en casi diez puntos porcentuales. Esta pérdida se compensa con el incremento de las personas de 15 a 64 años, ya que aumentaron 7 puntos porcentuales. </w:t>
      </w:r>
    </w:p>
    <w:p w14:paraId="43AED3D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proporción de adultos mayores pasó de 4.2% en 1990 a 6.2% en 2010. </w:t>
      </w:r>
    </w:p>
    <w:p w14:paraId="250197F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un futuro cercano el proceso de envejecimiento será más acelerado debido al aumento de la esperanza de vida de la población mexicana.</w:t>
      </w:r>
    </w:p>
    <w:p w14:paraId="4930267D" w14:textId="77777777" w:rsidR="004220B7" w:rsidRPr="007923C2" w:rsidRDefault="004220B7" w:rsidP="004220B7">
      <w:pPr>
        <w:jc w:val="both"/>
        <w:rPr>
          <w:rFonts w:ascii="Arial" w:hAnsi="Arial" w:cs="Arial"/>
          <w:sz w:val="22"/>
          <w:szCs w:val="22"/>
        </w:rPr>
      </w:pPr>
    </w:p>
    <w:p w14:paraId="57416CFD"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57129C15" wp14:editId="7FFABA73">
            <wp:extent cx="5832475" cy="6038850"/>
            <wp:effectExtent l="0" t="0" r="0" b="0"/>
            <wp:docPr id="566" name="Imagen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78755" cy="6086768"/>
                    </a:xfrm>
                    <a:prstGeom prst="rect">
                      <a:avLst/>
                    </a:prstGeom>
                    <a:noFill/>
                    <a:ln>
                      <a:noFill/>
                    </a:ln>
                  </pic:spPr>
                </pic:pic>
              </a:graphicData>
            </a:graphic>
          </wp:inline>
        </w:drawing>
      </w:r>
    </w:p>
    <w:p w14:paraId="03FF0F1D" w14:textId="77777777" w:rsidR="004220B7" w:rsidRPr="007923C2" w:rsidRDefault="004220B7" w:rsidP="004220B7">
      <w:pPr>
        <w:jc w:val="both"/>
        <w:rPr>
          <w:rFonts w:ascii="Arial" w:hAnsi="Arial" w:cs="Arial"/>
          <w:sz w:val="22"/>
          <w:szCs w:val="22"/>
        </w:rPr>
      </w:pPr>
    </w:p>
    <w:p w14:paraId="6AF37FE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2010, todas las entidades muestran una disminución en la proporción de menores de 15 años en comparación con 2000. </w:t>
      </w:r>
    </w:p>
    <w:p w14:paraId="1A7EE63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indicadores más altos son para Chiapas, Guerrero y Aguascalientes. Aparece en seguida Oaxaca, entidad que registra el mayor decremento en el periodo con 6.5 puntos porcentuales, seguido de Michoacán (6.3), Campeche (6.2) y San Luis Potosí (6.0).</w:t>
      </w:r>
    </w:p>
    <w:p w14:paraId="1152741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el contrario, Baja California y Nuevo León registran el menor decremento con 1.8 y2.6 unidades, respectivamente. </w:t>
      </w:r>
    </w:p>
    <w:p w14:paraId="233B90D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Por su parte, el Distrito Federal aparece como la entidad con menor proporción de niños con 21.9 por ciento.</w:t>
      </w:r>
    </w:p>
    <w:p w14:paraId="3F30215B"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50CFD266" wp14:editId="4FC78060">
            <wp:extent cx="5917565" cy="5819775"/>
            <wp:effectExtent l="0" t="0" r="6985" b="9525"/>
            <wp:docPr id="565" name="Imagen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3496" cy="5825608"/>
                    </a:xfrm>
                    <a:prstGeom prst="rect">
                      <a:avLst/>
                    </a:prstGeom>
                    <a:noFill/>
                    <a:ln>
                      <a:noFill/>
                    </a:ln>
                  </pic:spPr>
                </pic:pic>
              </a:graphicData>
            </a:graphic>
          </wp:inline>
        </w:drawing>
      </w:r>
    </w:p>
    <w:p w14:paraId="347C8211" w14:textId="77777777" w:rsidR="0047097D" w:rsidRDefault="0047097D" w:rsidP="004220B7">
      <w:pPr>
        <w:jc w:val="both"/>
        <w:rPr>
          <w:rFonts w:ascii="Arial" w:hAnsi="Arial" w:cs="Arial"/>
          <w:sz w:val="22"/>
          <w:szCs w:val="22"/>
        </w:rPr>
      </w:pPr>
    </w:p>
    <w:p w14:paraId="2796902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las entidades federativas la proporción de adultos mayores ha aumentado a distinto ritmo y con ganancias mayores a las registradas entre 1990 y 2000, Veracruz y Zacatecas presentaban incrementos de 1.2 puntos porcentuales. En la última década, los incrementos más significativos se observan en Oaxaca, Distrito Federal y Veracruz con 1.9 unidades, esta situación hace que Zacatecas ya no sea la entidad con la mayor proporción de población adulta mayor; los menores incrementos se dieron  en Baja California Sur (0.4%), Quintana Roo (0.6%) y Aguascalientes (0.7%), lo que hace que las dos primeras se mantengan entre las entidades con menor porcentaje de población de 65 años y más.</w:t>
      </w:r>
    </w:p>
    <w:p w14:paraId="5624268B" w14:textId="77777777" w:rsidR="004220B7" w:rsidRPr="007923C2" w:rsidRDefault="004220B7" w:rsidP="004220B7">
      <w:pPr>
        <w:jc w:val="both"/>
        <w:rPr>
          <w:rFonts w:ascii="Arial" w:hAnsi="Arial" w:cs="Arial"/>
          <w:sz w:val="22"/>
          <w:szCs w:val="22"/>
        </w:rPr>
      </w:pPr>
    </w:p>
    <w:p w14:paraId="43E77332" w14:textId="77777777" w:rsidR="004220B7" w:rsidRPr="007923C2" w:rsidRDefault="004220B7" w:rsidP="004220B7">
      <w:pPr>
        <w:jc w:val="both"/>
        <w:rPr>
          <w:rFonts w:ascii="Arial" w:hAnsi="Arial" w:cs="Arial"/>
          <w:sz w:val="22"/>
          <w:szCs w:val="22"/>
        </w:rPr>
      </w:pPr>
    </w:p>
    <w:p w14:paraId="213B10B2"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3394BD3D" wp14:editId="6C2CA93F">
            <wp:extent cx="5851525" cy="5391150"/>
            <wp:effectExtent l="0" t="0" r="0" b="0"/>
            <wp:docPr id="564" name="Imagen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78781" cy="5416262"/>
                    </a:xfrm>
                    <a:prstGeom prst="rect">
                      <a:avLst/>
                    </a:prstGeom>
                    <a:noFill/>
                    <a:ln>
                      <a:noFill/>
                    </a:ln>
                  </pic:spPr>
                </pic:pic>
              </a:graphicData>
            </a:graphic>
          </wp:inline>
        </w:drawing>
      </w:r>
    </w:p>
    <w:p w14:paraId="71FC33BC" w14:textId="77777777" w:rsidR="004220B7" w:rsidRPr="007923C2" w:rsidRDefault="004220B7" w:rsidP="004220B7">
      <w:pPr>
        <w:jc w:val="both"/>
        <w:rPr>
          <w:rFonts w:ascii="Arial" w:hAnsi="Arial" w:cs="Arial"/>
          <w:b/>
          <w:sz w:val="22"/>
          <w:szCs w:val="22"/>
        </w:rPr>
      </w:pPr>
    </w:p>
    <w:p w14:paraId="7359A08A" w14:textId="77777777" w:rsidR="004220B7" w:rsidRPr="007923C2" w:rsidRDefault="004220B7" w:rsidP="004220B7">
      <w:pPr>
        <w:jc w:val="both"/>
        <w:rPr>
          <w:rFonts w:ascii="Arial" w:hAnsi="Arial" w:cs="Arial"/>
          <w:sz w:val="22"/>
          <w:szCs w:val="22"/>
        </w:rPr>
      </w:pPr>
      <w:r w:rsidRPr="007923C2">
        <w:rPr>
          <w:rFonts w:ascii="Arial" w:hAnsi="Arial" w:cs="Arial"/>
          <w:b/>
          <w:sz w:val="22"/>
          <w:szCs w:val="22"/>
        </w:rPr>
        <w:t>RELACIÒN HOMBRES- MUJERES</w:t>
      </w:r>
    </w:p>
    <w:p w14:paraId="5070C80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el país hay 95 hombres por cada 100 mujeres, proporción similar a la obtenida en el 2000. La tendencia de este indicador tiene variaciones por grupos de edad. La magnitud para los últimos dos censos en los primeros grupos de edades predominantemente masculina, esto se explica porque en el país y en prácticamente el resto del mundo, nacen más hombres que mujeres.</w:t>
      </w:r>
    </w:p>
    <w:p w14:paraId="11B715D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Sin embargo, en el 2000, a partir del grupo de 20-24 hasta el de 35-39 años, el indicadores menor que en el año 2010,motivado principalmente por el mayor saldo neto migratorio negativo de población masculina hacia el exterior del país; a partir de estos grupos de edad y en las edades sucesivas, este comportamiento se invierte, situación que se va acentuando de manera natural debido al aumento de </w:t>
      </w:r>
      <w:r w:rsidRPr="007923C2">
        <w:rPr>
          <w:rFonts w:ascii="Arial" w:hAnsi="Arial" w:cs="Arial"/>
          <w:sz w:val="22"/>
          <w:szCs w:val="22"/>
        </w:rPr>
        <w:lastRenderedPageBreak/>
        <w:t>la exposición al riesgo de morir conforme avanza la edad de los hombres, sobre todo en los grupos de personas más longevas.</w:t>
      </w:r>
    </w:p>
    <w:p w14:paraId="37CE2D74" w14:textId="77777777" w:rsidR="004220B7" w:rsidRPr="007923C2" w:rsidRDefault="004220B7" w:rsidP="004220B7">
      <w:pPr>
        <w:jc w:val="both"/>
        <w:rPr>
          <w:rFonts w:ascii="Arial" w:hAnsi="Arial" w:cs="Arial"/>
          <w:sz w:val="22"/>
          <w:szCs w:val="22"/>
        </w:rPr>
      </w:pPr>
    </w:p>
    <w:p w14:paraId="7BB28C23"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0865B8CC" wp14:editId="416F1498">
            <wp:extent cx="6136593" cy="5391150"/>
            <wp:effectExtent l="0" t="0" r="0" b="0"/>
            <wp:docPr id="563" name="Imagen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61716" cy="5413222"/>
                    </a:xfrm>
                    <a:prstGeom prst="rect">
                      <a:avLst/>
                    </a:prstGeom>
                    <a:noFill/>
                    <a:ln>
                      <a:noFill/>
                    </a:ln>
                  </pic:spPr>
                </pic:pic>
              </a:graphicData>
            </a:graphic>
          </wp:inline>
        </w:drawing>
      </w:r>
    </w:p>
    <w:p w14:paraId="0BB7021F" w14:textId="77777777" w:rsidR="004220B7" w:rsidRPr="007923C2" w:rsidRDefault="004220B7" w:rsidP="004220B7">
      <w:pPr>
        <w:jc w:val="both"/>
        <w:rPr>
          <w:rFonts w:ascii="Arial" w:hAnsi="Arial" w:cs="Arial"/>
          <w:sz w:val="22"/>
          <w:szCs w:val="22"/>
        </w:rPr>
      </w:pPr>
    </w:p>
    <w:p w14:paraId="06D905D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Baja California Sur, Quintana Roo, Baja California y Sonora, tienen una relación de hombres mujeres superior a 100, debido principalmente a que en la última década se mantienen como entidades de atracción migratoria. </w:t>
      </w:r>
    </w:p>
    <w:p w14:paraId="4EC2449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todas las demás entidades el indicador presenta un mayor monto de mujeres que de hombres, lo cual se explica por la relación directa del efecto de la mortalidad y la migración, aun que estos factores se presentan con diferencias para cada entidad.</w:t>
      </w:r>
    </w:p>
    <w:p w14:paraId="0DCDA71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Así Puebla, Distrito Federal y Oaxaca son los estados que presentan el menor número de hombres por cada 100 mujeres.</w:t>
      </w:r>
    </w:p>
    <w:p w14:paraId="258F5E6B" w14:textId="77777777" w:rsidR="004220B7" w:rsidRPr="007923C2" w:rsidRDefault="004220B7" w:rsidP="0047097D">
      <w:pPr>
        <w:jc w:val="center"/>
        <w:rPr>
          <w:rFonts w:ascii="Arial" w:hAnsi="Arial" w:cs="Arial"/>
          <w:sz w:val="22"/>
          <w:szCs w:val="22"/>
        </w:rPr>
      </w:pPr>
      <w:r w:rsidRPr="007923C2">
        <w:rPr>
          <w:rFonts w:ascii="Arial" w:hAnsi="Arial" w:cs="Arial"/>
          <w:noProof/>
          <w:sz w:val="22"/>
          <w:szCs w:val="22"/>
        </w:rPr>
        <w:lastRenderedPageBreak/>
        <w:drawing>
          <wp:inline distT="0" distB="0" distL="0" distR="0" wp14:anchorId="5D75E4AF" wp14:editId="0ED2E2C5">
            <wp:extent cx="5008816" cy="2924175"/>
            <wp:effectExtent l="0" t="0" r="1905" b="0"/>
            <wp:docPr id="562" name="Imagen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08816" cy="2924175"/>
                    </a:xfrm>
                    <a:prstGeom prst="rect">
                      <a:avLst/>
                    </a:prstGeom>
                    <a:noFill/>
                    <a:ln>
                      <a:noFill/>
                    </a:ln>
                  </pic:spPr>
                </pic:pic>
              </a:graphicData>
            </a:graphic>
          </wp:inline>
        </w:drawing>
      </w:r>
    </w:p>
    <w:p w14:paraId="0825F289" w14:textId="77777777" w:rsidR="004220B7" w:rsidRPr="007923C2" w:rsidRDefault="004220B7" w:rsidP="004220B7">
      <w:pPr>
        <w:jc w:val="both"/>
        <w:rPr>
          <w:rFonts w:ascii="Arial" w:hAnsi="Arial" w:cs="Arial"/>
          <w:sz w:val="22"/>
          <w:szCs w:val="22"/>
        </w:rPr>
      </w:pPr>
      <w:r w:rsidRPr="007923C2">
        <w:rPr>
          <w:rFonts w:ascii="Arial" w:hAnsi="Arial" w:cs="Arial"/>
          <w:b/>
          <w:sz w:val="22"/>
          <w:szCs w:val="22"/>
        </w:rPr>
        <w:t>RAZÒN DE DEPENDENCIA</w:t>
      </w:r>
    </w:p>
    <w:p w14:paraId="32D6261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razón de dependencia ha disminuido de 75 dependientes por cada100 personas en 1990, a 55 dependientes en el 2010, lo que implica que prácticamente 1 de cada 2 personas en el país se encuentra en edad dependiente. Esta situación se debe a la disminución de la población joven y al aumento de la población de 15 a 64 años, razón por la cual se reduce la carga de los dependientes respecto de aquellos en edades productivas. Sin embargo, el componente dela población adulta mayor aumenta de 7 a casi 10 personas dependientes.</w:t>
      </w:r>
    </w:p>
    <w:p w14:paraId="5C7F5222" w14:textId="77777777" w:rsidR="004220B7" w:rsidRPr="007923C2" w:rsidRDefault="004220B7" w:rsidP="0047097D">
      <w:pPr>
        <w:jc w:val="center"/>
        <w:rPr>
          <w:rFonts w:ascii="Arial" w:hAnsi="Arial" w:cs="Arial"/>
          <w:sz w:val="22"/>
          <w:szCs w:val="22"/>
        </w:rPr>
      </w:pPr>
      <w:r w:rsidRPr="007923C2">
        <w:rPr>
          <w:rFonts w:ascii="Arial" w:hAnsi="Arial" w:cs="Arial"/>
          <w:noProof/>
          <w:sz w:val="22"/>
          <w:szCs w:val="22"/>
        </w:rPr>
        <w:lastRenderedPageBreak/>
        <w:drawing>
          <wp:inline distT="0" distB="0" distL="0" distR="0" wp14:anchorId="4B526733" wp14:editId="334DDBE1">
            <wp:extent cx="5305425" cy="3794559"/>
            <wp:effectExtent l="0" t="0" r="0" b="0"/>
            <wp:docPr id="561" name="Imagen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6712" cy="3824088"/>
                    </a:xfrm>
                    <a:prstGeom prst="rect">
                      <a:avLst/>
                    </a:prstGeom>
                    <a:noFill/>
                    <a:ln>
                      <a:noFill/>
                    </a:ln>
                  </pic:spPr>
                </pic:pic>
              </a:graphicData>
            </a:graphic>
          </wp:inline>
        </w:drawing>
      </w:r>
    </w:p>
    <w:p w14:paraId="1B7EDB2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disminución del indicador de la razón de dependencia en los últimos 20 años es distinta por entidad federativa. En comparación con las demás entidades del país, el Distrito Federal, Quintana Roo y Baja California Sur poseen la razón de dependencia más baja, donde menos de 1 de cada 2 personas se encuentra en edad dependiente.</w:t>
      </w:r>
    </w:p>
    <w:p w14:paraId="6CA9A00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el contario, en Guerrero, Oaxaca y Chiapas se ubican los mayores indicadores de dependencia, entidades con elevada proporción de población infantil y expulsora de población en edad laboral. Sin embargo, basta señalar que hace dos décadas, la diferencia entre el valor máximo (Chiapas) y el mínimo (Distrito Federal) era de 35 dependientes por cada 100 en edad laboral. Para el año 2010, la diferencia entre ambas entidades se reduce a 22 dependientes.</w:t>
      </w:r>
    </w:p>
    <w:p w14:paraId="426E5131" w14:textId="77777777" w:rsidR="004220B7" w:rsidRPr="007923C2" w:rsidRDefault="004220B7" w:rsidP="004220B7">
      <w:pPr>
        <w:jc w:val="both"/>
        <w:rPr>
          <w:rFonts w:ascii="Arial" w:hAnsi="Arial" w:cs="Arial"/>
          <w:sz w:val="22"/>
          <w:szCs w:val="22"/>
        </w:rPr>
      </w:pPr>
    </w:p>
    <w:p w14:paraId="1D2D9474" w14:textId="77777777" w:rsidR="004220B7" w:rsidRPr="007923C2" w:rsidRDefault="004220B7" w:rsidP="0047097D">
      <w:pPr>
        <w:rPr>
          <w:rFonts w:ascii="Arial" w:hAnsi="Arial" w:cs="Arial"/>
          <w:sz w:val="22"/>
          <w:szCs w:val="22"/>
        </w:rPr>
      </w:pPr>
      <w:r w:rsidRPr="007923C2">
        <w:rPr>
          <w:rFonts w:ascii="Arial" w:hAnsi="Arial" w:cs="Arial"/>
          <w:noProof/>
          <w:sz w:val="22"/>
          <w:szCs w:val="22"/>
        </w:rPr>
        <w:lastRenderedPageBreak/>
        <w:drawing>
          <wp:inline distT="0" distB="0" distL="0" distR="0" wp14:anchorId="4CF92419" wp14:editId="0CEAB95D">
            <wp:extent cx="6062043" cy="4733925"/>
            <wp:effectExtent l="0" t="0" r="0" b="0"/>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9770" cy="4747768"/>
                    </a:xfrm>
                    <a:prstGeom prst="rect">
                      <a:avLst/>
                    </a:prstGeom>
                    <a:noFill/>
                    <a:ln>
                      <a:noFill/>
                    </a:ln>
                  </pic:spPr>
                </pic:pic>
              </a:graphicData>
            </a:graphic>
          </wp:inline>
        </w:drawing>
      </w:r>
    </w:p>
    <w:p w14:paraId="78A4DCD6" w14:textId="77777777" w:rsidR="004220B7" w:rsidRPr="007923C2" w:rsidRDefault="004220B7" w:rsidP="004220B7">
      <w:pPr>
        <w:jc w:val="both"/>
        <w:rPr>
          <w:rFonts w:ascii="Arial" w:hAnsi="Arial" w:cs="Arial"/>
          <w:sz w:val="22"/>
          <w:szCs w:val="22"/>
        </w:rPr>
      </w:pPr>
      <w:r w:rsidRPr="007923C2">
        <w:rPr>
          <w:rFonts w:ascii="Arial" w:hAnsi="Arial" w:cs="Arial"/>
          <w:b/>
          <w:sz w:val="22"/>
          <w:szCs w:val="22"/>
        </w:rPr>
        <w:t>LOS MUNICIPIOS Y SUS HABITANTES</w:t>
      </w:r>
    </w:p>
    <w:p w14:paraId="67B8EE8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forma de organización política, administrativa y territorial para las entidades federativas es el municipio (delegación para el Distrito Federal). </w:t>
      </w:r>
    </w:p>
    <w:p w14:paraId="3CA2D94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país se divide en 2 456 municipios. Once de ellos se caracterizan por el tamaño de su población, que supera 1 millón de habitantes. En ellos radican 15.5 millones de personas (13.8%), lo que significa que 1 de cada 7 personas residente en México vive en alguno de estos municipios.</w:t>
      </w:r>
    </w:p>
    <w:p w14:paraId="4E77444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municipios con 15 mil y menos de un millón de habitantes suman 1 105, en ellos habita 79.3% de la población mexicana. En contraste, hay 970 municipios de 2 500 a 14 999 habitantes donde vive sólo 6.5% de la población, adicionalmente 370 municipios (equivalentes al 15.1% de los municipios) albergan casi medio millón de habitantes, lo que representa 0.4% del total de la población.</w:t>
      </w:r>
    </w:p>
    <w:p w14:paraId="50832172" w14:textId="77777777" w:rsidR="004220B7" w:rsidRPr="007923C2" w:rsidRDefault="004220B7" w:rsidP="0047097D">
      <w:pPr>
        <w:jc w:val="center"/>
        <w:rPr>
          <w:rFonts w:ascii="Arial" w:hAnsi="Arial" w:cs="Arial"/>
          <w:sz w:val="22"/>
          <w:szCs w:val="22"/>
        </w:rPr>
      </w:pPr>
      <w:r w:rsidRPr="007923C2">
        <w:rPr>
          <w:rFonts w:ascii="Arial" w:hAnsi="Arial" w:cs="Arial"/>
          <w:noProof/>
          <w:sz w:val="22"/>
          <w:szCs w:val="22"/>
        </w:rPr>
        <w:lastRenderedPageBreak/>
        <w:drawing>
          <wp:inline distT="0" distB="0" distL="0" distR="0" wp14:anchorId="23D5D5F1" wp14:editId="5D7D3805">
            <wp:extent cx="5575935" cy="5210175"/>
            <wp:effectExtent l="0" t="0" r="5715" b="9525"/>
            <wp:docPr id="559" name="Imagen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08794" cy="5240879"/>
                    </a:xfrm>
                    <a:prstGeom prst="rect">
                      <a:avLst/>
                    </a:prstGeom>
                    <a:noFill/>
                    <a:ln>
                      <a:noFill/>
                    </a:ln>
                  </pic:spPr>
                </pic:pic>
              </a:graphicData>
            </a:graphic>
          </wp:inline>
        </w:drawing>
      </w:r>
    </w:p>
    <w:p w14:paraId="51A70175" w14:textId="77777777" w:rsidR="004220B7" w:rsidRPr="007923C2" w:rsidRDefault="004220B7" w:rsidP="004220B7">
      <w:pPr>
        <w:jc w:val="both"/>
        <w:rPr>
          <w:rFonts w:ascii="Arial" w:hAnsi="Arial" w:cs="Arial"/>
          <w:sz w:val="22"/>
          <w:szCs w:val="22"/>
        </w:rPr>
      </w:pPr>
    </w:p>
    <w:p w14:paraId="0EEFC6B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los 43 municipios o delegaciones del país que cuentan con más de medio millón de habitantes residen 37.4 millones de personas. El espacio geográfico más poblado es la región del Valle de México, ya que 13 municipios concentran 11.4 millones de habitantes y abarca 6 de las 16 delegaciones del Distrito Federal, –encabezadas por Iztapalapa que es la delegación más habitada del país–, y 8 municipios del estado de México.El panorama que se observa es que las tasas de crecimiento anual entre 2000 y 2010 son más bajas que el resto de los municipios, con excepción de Chimalhuacán (2.2%) y Tultitlán (1.9%), incluso algunos municipios muestran tasas negativas, entre ellos: Naucalpan de Juárez, Coyoacán, Gustavo A. Madero, Tlalnepantla de Baz y Nezahualcóyotl.</w:t>
      </w:r>
    </w:p>
    <w:p w14:paraId="1FA617F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cambio, en los municipios de Apodaca, Nuevo León; Benito Juárez, Quintana Roo; y Reynosa, Tamaulipas; destacan las mayores tasas de crecimiento anual observadas en la última década propiciando que en 2010 rebasen el medio millón de habitantes. En menor medida, otros municipios que mantienen un proceso de crecimiento poblacional con tasas superiores a 2% son: Tijuana, Hermosillo, Tlaquepaque, Tuxtla Gutiérrez, León, Saltillo, Querétaro, Zapopan y Aguascalientes.</w:t>
      </w:r>
    </w:p>
    <w:p w14:paraId="41F24A41" w14:textId="77777777" w:rsidR="004220B7" w:rsidRPr="007923C2" w:rsidRDefault="004220B7" w:rsidP="004220B7">
      <w:pPr>
        <w:jc w:val="both"/>
        <w:rPr>
          <w:rFonts w:ascii="Arial" w:hAnsi="Arial" w:cs="Arial"/>
          <w:sz w:val="22"/>
          <w:szCs w:val="22"/>
        </w:rPr>
      </w:pPr>
    </w:p>
    <w:p w14:paraId="07176C32"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27DAFDDF" wp14:editId="174A16A0">
            <wp:extent cx="5862558" cy="5276850"/>
            <wp:effectExtent l="0" t="0" r="5080" b="0"/>
            <wp:docPr id="558" name="Imagen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14591" cy="5323685"/>
                    </a:xfrm>
                    <a:prstGeom prst="rect">
                      <a:avLst/>
                    </a:prstGeom>
                    <a:noFill/>
                    <a:ln>
                      <a:noFill/>
                    </a:ln>
                  </pic:spPr>
                </pic:pic>
              </a:graphicData>
            </a:graphic>
          </wp:inline>
        </w:drawing>
      </w:r>
    </w:p>
    <w:p w14:paraId="289E5FB4" w14:textId="77777777" w:rsidR="004220B7" w:rsidRPr="007923C2" w:rsidRDefault="004220B7" w:rsidP="004220B7">
      <w:pPr>
        <w:jc w:val="both"/>
        <w:rPr>
          <w:rFonts w:ascii="Arial" w:hAnsi="Arial" w:cs="Arial"/>
          <w:sz w:val="22"/>
          <w:szCs w:val="22"/>
        </w:rPr>
      </w:pPr>
    </w:p>
    <w:p w14:paraId="5ECA564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Del total de municipios del país, 1 751 aumentaron su población, esto representa 71.3%, mientras que 692 de ellos perdieron población. Las entidades que presentan un crecimiento en todos sus municipios son: Aguascalientes, Baja California, Baja California Sur, Morelos, Quintana Roo y Tabasco. El municipio con el mayor crecimiento de población es Tijuana con casi 349 mil personas. El que presenta la mayor disminución es Guadalajara, con una pérdida de 151 mil personas respecto al año 2000.</w:t>
      </w:r>
    </w:p>
    <w:p w14:paraId="135DC6FB"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TASA GLOBAL DE FECUNDIDAD Y NIVEL DE ESCOLARIDAD</w:t>
      </w:r>
    </w:p>
    <w:p w14:paraId="0FA73A1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Entre 1999 a 2009, hubo una disminución en la tasa global de fecundidad según el nivel de escolaridad de las mujeres. Para el año 2009 las mujeres sin escolaridad y con primaria incompleta así como las mujeres con primaria completa, tienen niveles de fecundidad arriba de los tres hijos por mujer. En cambio, aquellas mujeres con secundaria y nivel medio superior y superior, tienen una TGF de 2.6 y 1.9 hijos por mujer, respectivamente.</w:t>
      </w:r>
    </w:p>
    <w:p w14:paraId="1D6C52F5" w14:textId="77777777" w:rsidR="004220B7" w:rsidRPr="007923C2" w:rsidRDefault="004220B7" w:rsidP="0047097D">
      <w:pPr>
        <w:jc w:val="center"/>
        <w:rPr>
          <w:rFonts w:ascii="Arial" w:hAnsi="Arial" w:cs="Arial"/>
          <w:sz w:val="22"/>
          <w:szCs w:val="22"/>
        </w:rPr>
      </w:pPr>
      <w:r w:rsidRPr="007923C2">
        <w:rPr>
          <w:rFonts w:ascii="Arial" w:hAnsi="Arial" w:cs="Arial"/>
          <w:noProof/>
          <w:sz w:val="22"/>
          <w:szCs w:val="22"/>
        </w:rPr>
        <w:lastRenderedPageBreak/>
        <w:drawing>
          <wp:inline distT="0" distB="0" distL="0" distR="0" wp14:anchorId="1052BDF6" wp14:editId="514E44EE">
            <wp:extent cx="5310857" cy="4638675"/>
            <wp:effectExtent l="0" t="0" r="4445" b="0"/>
            <wp:docPr id="557" name="Imagen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64911" cy="4685887"/>
                    </a:xfrm>
                    <a:prstGeom prst="rect">
                      <a:avLst/>
                    </a:prstGeom>
                    <a:noFill/>
                    <a:ln>
                      <a:noFill/>
                    </a:ln>
                  </pic:spPr>
                </pic:pic>
              </a:graphicData>
            </a:graphic>
          </wp:inline>
        </w:drawing>
      </w:r>
    </w:p>
    <w:p w14:paraId="5FB7493C"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TASA GLOBAL DE FECUNDIDAD Y CONDICIÒN DE ACTIVIDAD</w:t>
      </w:r>
    </w:p>
    <w:p w14:paraId="1581608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tasa global de fecundidad es menor en el caso de las mujeres que participan en las actividades económicas, en 1999 la TGF de las mujeres económicamente activas era aproximadamente de 1.7 hijos por mujer, la mitad de las que no eran económicamente activas (3.6 hijos por mujer). La brecha entre mujeres que participan y que no participan en la actividad económica ha venido disminuyendo, pues mientras las mujeres económicamente activas no manifestaron cambio en la TGF la cual se mantuvo en 1.7, las mujeres no económicamente activas disminuyeron su TGF de 3.6 a 2.9 hijos por mujer, de 1999 a 2009</w:t>
      </w:r>
    </w:p>
    <w:p w14:paraId="1F61242A" w14:textId="77777777" w:rsidR="004220B7" w:rsidRPr="007923C2" w:rsidRDefault="004220B7" w:rsidP="004220B7">
      <w:pPr>
        <w:jc w:val="both"/>
        <w:rPr>
          <w:rFonts w:ascii="Arial" w:hAnsi="Arial" w:cs="Arial"/>
          <w:sz w:val="22"/>
          <w:szCs w:val="22"/>
        </w:rPr>
      </w:pPr>
    </w:p>
    <w:p w14:paraId="6CB5222B"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42B75200" wp14:editId="0DD1A74A">
            <wp:extent cx="5713318" cy="4667250"/>
            <wp:effectExtent l="0" t="0" r="1905" b="0"/>
            <wp:docPr id="556" name="Imagen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8495" cy="4687817"/>
                    </a:xfrm>
                    <a:prstGeom prst="rect">
                      <a:avLst/>
                    </a:prstGeom>
                    <a:noFill/>
                    <a:ln>
                      <a:noFill/>
                    </a:ln>
                  </pic:spPr>
                </pic:pic>
              </a:graphicData>
            </a:graphic>
          </wp:inline>
        </w:drawing>
      </w:r>
    </w:p>
    <w:p w14:paraId="7BECAD53"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MORTALIDAD</w:t>
      </w:r>
    </w:p>
    <w:p w14:paraId="41C243F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mortalidad es uno de los componentes del crecimiento natural de la población que transforma el tamaño y la composición por edad y sexo de la misma. La persona, desde su nacimiento y a lo largo de toda su vida, se encuentra expuesta al riesgo de morir y, a diferencia de la fecundidad y la migración que pueden tener lugar varios eventos a lo largo de la vida, la muerte es un evento irrepetible.</w:t>
      </w:r>
    </w:p>
    <w:p w14:paraId="54B6031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partir de ella, es posible conocer una de las principales variables que se relacionan con las condiciones de vida de las personas y la vulnerabilidad de grupos específicos. En este apartado, el fenómeno se mide a través de la relación entre el total de hijos nacidos vivos y el de fallecidos, por grupos quinquenales de edad de las mujeres de 12 años y más, así como del promedio de hijos fallecidos</w:t>
      </w:r>
    </w:p>
    <w:p w14:paraId="65A26C10"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HIJOS NACIDOS VIVOS E HIJOS FALLECIDOS</w:t>
      </w:r>
    </w:p>
    <w:p w14:paraId="23189DA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Para el año 2010, el total de hijos nacidos vivos de las mujeres de 12 años y más es 100.5 millones (casi 9.4 millones más, en comparación a los que tenían en el año 2000), de los cuales fallecieron 8.2 millones, cifra menor a la de 2000, que fue de 9.7 millones. Con ello, el porcentaje disminuyó 2.5 unidades porcentuales ubicándose en 8.1 hijos fallecidos.</w:t>
      </w:r>
    </w:p>
    <w:p w14:paraId="02658CA1" w14:textId="77777777" w:rsidR="004220B7" w:rsidRPr="007923C2" w:rsidRDefault="004220B7" w:rsidP="004220B7">
      <w:pPr>
        <w:jc w:val="both"/>
        <w:rPr>
          <w:rFonts w:ascii="Arial" w:hAnsi="Arial" w:cs="Arial"/>
          <w:sz w:val="22"/>
          <w:szCs w:val="22"/>
        </w:rPr>
      </w:pPr>
    </w:p>
    <w:p w14:paraId="0CD0B85C" w14:textId="77777777" w:rsidR="004220B7" w:rsidRPr="007923C2" w:rsidRDefault="004220B7" w:rsidP="00BB53BC">
      <w:pPr>
        <w:jc w:val="center"/>
        <w:rPr>
          <w:rFonts w:ascii="Arial" w:hAnsi="Arial" w:cs="Arial"/>
          <w:sz w:val="22"/>
          <w:szCs w:val="22"/>
        </w:rPr>
      </w:pPr>
      <w:r w:rsidRPr="007923C2">
        <w:rPr>
          <w:rFonts w:ascii="Arial" w:hAnsi="Arial" w:cs="Arial"/>
          <w:noProof/>
          <w:sz w:val="22"/>
          <w:szCs w:val="22"/>
        </w:rPr>
        <w:lastRenderedPageBreak/>
        <w:drawing>
          <wp:inline distT="0" distB="0" distL="0" distR="0" wp14:anchorId="3F0B7AD4" wp14:editId="3673F2A7">
            <wp:extent cx="4625233" cy="2038350"/>
            <wp:effectExtent l="0" t="0" r="4445" b="0"/>
            <wp:docPr id="555" name="Imagen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44842" cy="2046992"/>
                    </a:xfrm>
                    <a:prstGeom prst="rect">
                      <a:avLst/>
                    </a:prstGeom>
                    <a:noFill/>
                    <a:ln>
                      <a:noFill/>
                    </a:ln>
                  </pic:spPr>
                </pic:pic>
              </a:graphicData>
            </a:graphic>
          </wp:inline>
        </w:drawing>
      </w:r>
    </w:p>
    <w:p w14:paraId="3E3D59EC" w14:textId="77777777" w:rsidR="004220B7" w:rsidRPr="007923C2" w:rsidRDefault="004220B7" w:rsidP="004220B7">
      <w:pPr>
        <w:jc w:val="both"/>
        <w:rPr>
          <w:rFonts w:ascii="Arial" w:hAnsi="Arial" w:cs="Arial"/>
          <w:sz w:val="22"/>
          <w:szCs w:val="22"/>
        </w:rPr>
      </w:pPr>
    </w:p>
    <w:p w14:paraId="52AF7B8E"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PORCENTAJE DE HIJOS FALLECIDOS</w:t>
      </w:r>
    </w:p>
    <w:p w14:paraId="3123D66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medida que avanza la edad de las mujeres, el porcentaje de hijos fallecidos se incrementa paulatinamente, excepto en el caso de las mujeres de 12 a 14 años, cuyo porcentaje de hijos fallecidos (2.3 en el año 2010) es mayor que en los dos grupos quinquenales de edad siguientes, lo cual se asocia, entre otros factores, al riesgo de procrear en edades tempranas.</w:t>
      </w:r>
    </w:p>
    <w:p w14:paraId="46E5ACEC" w14:textId="77777777" w:rsidR="004220B7" w:rsidRPr="007923C2" w:rsidRDefault="004220B7" w:rsidP="004220B7">
      <w:pPr>
        <w:jc w:val="both"/>
        <w:rPr>
          <w:rFonts w:ascii="Arial" w:hAnsi="Arial" w:cs="Arial"/>
          <w:sz w:val="22"/>
          <w:szCs w:val="22"/>
        </w:rPr>
      </w:pPr>
    </w:p>
    <w:p w14:paraId="7427C2B5"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1930D021" wp14:editId="00AD4534">
            <wp:extent cx="4106407" cy="4638675"/>
            <wp:effectExtent l="0" t="0" r="8890" b="0"/>
            <wp:docPr id="554" name="Imagen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28299" cy="4663404"/>
                    </a:xfrm>
                    <a:prstGeom prst="rect">
                      <a:avLst/>
                    </a:prstGeom>
                    <a:noFill/>
                    <a:ln>
                      <a:noFill/>
                    </a:ln>
                  </pic:spPr>
                </pic:pic>
              </a:graphicData>
            </a:graphic>
          </wp:inline>
        </w:drawing>
      </w:r>
    </w:p>
    <w:p w14:paraId="346585F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todos los grupos de edad comprendidos entre los 12 y 49 años, los porcentajes del indicador se han reducido significativamente en una década, y están por debajo de las 10 unidades. En cambio, en el grupo de 80 a 84 años, 1 de cada 5 hijos han fallecido; y entre aquellas de 85 años y más, la proporción alcanza a 1 de cada 4 hijos.</w:t>
      </w:r>
    </w:p>
    <w:p w14:paraId="35D0A035" w14:textId="77777777" w:rsidR="004220B7" w:rsidRPr="007923C2" w:rsidRDefault="004220B7" w:rsidP="004220B7">
      <w:pPr>
        <w:jc w:val="both"/>
        <w:rPr>
          <w:rFonts w:ascii="Arial" w:hAnsi="Arial" w:cs="Arial"/>
          <w:sz w:val="22"/>
          <w:szCs w:val="22"/>
        </w:rPr>
      </w:pPr>
    </w:p>
    <w:p w14:paraId="1F9EDE6F"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12448CBF" wp14:editId="6AD83F58">
            <wp:extent cx="5872248" cy="5114925"/>
            <wp:effectExtent l="0" t="0" r="0" b="0"/>
            <wp:docPr id="553" name="Imagen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93518" cy="5133452"/>
                    </a:xfrm>
                    <a:prstGeom prst="rect">
                      <a:avLst/>
                    </a:prstGeom>
                    <a:noFill/>
                    <a:ln>
                      <a:noFill/>
                    </a:ln>
                  </pic:spPr>
                </pic:pic>
              </a:graphicData>
            </a:graphic>
          </wp:inline>
        </w:drawing>
      </w:r>
    </w:p>
    <w:p w14:paraId="2CC7FF40" w14:textId="77777777" w:rsidR="004220B7" w:rsidRPr="007923C2" w:rsidRDefault="004220B7" w:rsidP="004220B7">
      <w:pPr>
        <w:jc w:val="both"/>
        <w:rPr>
          <w:rFonts w:ascii="Arial" w:hAnsi="Arial" w:cs="Arial"/>
          <w:sz w:val="22"/>
          <w:szCs w:val="22"/>
        </w:rPr>
      </w:pPr>
    </w:p>
    <w:p w14:paraId="0F97F33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De igual modo, el porcentaje de hijos fallecidos ha disminuido en todas las entidades federativas. </w:t>
      </w:r>
    </w:p>
    <w:p w14:paraId="5359A0C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estados que registran un porcentaje de hijos fallecidos similar al nacional (8.1%) son Colima, Chihuahua, Jalisco y Querétaro. Por su parte, Guerrero, Oaxaca y Puebla se mantienen como las entidades con el mayor valor, 1 de cada 10 hijos que nacieron vivos ha fallecido. Nuevo León es la entidad con la cifra más baja, 5.5% que representa la mitad del indicador correspondiente a Oaxaca.</w:t>
      </w:r>
    </w:p>
    <w:p w14:paraId="307AB7EF"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05031503" wp14:editId="6249BD86">
            <wp:extent cx="5718527" cy="4791075"/>
            <wp:effectExtent l="0" t="0" r="0" b="0"/>
            <wp:docPr id="552" name="Imagen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42001" cy="4810742"/>
                    </a:xfrm>
                    <a:prstGeom prst="rect">
                      <a:avLst/>
                    </a:prstGeom>
                    <a:noFill/>
                    <a:ln>
                      <a:noFill/>
                    </a:ln>
                  </pic:spPr>
                </pic:pic>
              </a:graphicData>
            </a:graphic>
          </wp:inline>
        </w:drawing>
      </w:r>
    </w:p>
    <w:p w14:paraId="6EEF0F08" w14:textId="77777777" w:rsidR="004220B7" w:rsidRPr="007923C2" w:rsidRDefault="004220B7" w:rsidP="004220B7">
      <w:pPr>
        <w:jc w:val="both"/>
        <w:rPr>
          <w:rFonts w:ascii="Arial" w:hAnsi="Arial" w:cs="Arial"/>
          <w:sz w:val="22"/>
          <w:szCs w:val="22"/>
        </w:rPr>
      </w:pPr>
    </w:p>
    <w:p w14:paraId="6420A37C"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LENGUA INDIGENA</w:t>
      </w:r>
    </w:p>
    <w:p w14:paraId="532CB65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Nuestro país se reconoce por su diversidad étnica y cultural, representada por más de 60 pueblos indígenas, con rasgos sociales y culturales específicos, de los cuales la lengua hablada es uno de los signos de identidad más importante.</w:t>
      </w:r>
    </w:p>
    <w:p w14:paraId="755D2AA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concordancia, existe un marco legal que reconoce a México como una nación pluricultural sustentada en su población indígena. De ahí que diversos sectores demanden información estadística para conocer y atender de manera oportuna las distintas necesidades de los pueblos indígenas.</w:t>
      </w:r>
    </w:p>
    <w:p w14:paraId="123B630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Al respecto, cabe señalar que los censos de población y vivienda brindan información sobre la población indígena desde 1895, mediante el criterio lingüístico para identificar a esta población. Hasta el 2000 este criterio se aplicó a la población de 5 años y más, en 2010 se amplió a la de 3 años y más, por considerar que a partir de esa edad los niños pueden comunicarse verbalmente. Además, el cuestionario ampliado de los censos 2000 y 2010, incluyó una pregunta sobre la pertenencia a un grupo indígena. En el año 2010, por vez primera se preguntó a la población no hablante sobre la comprensión de lengua indígena, para disponer de un indicador sobre fortaleza lingüística.</w:t>
      </w:r>
    </w:p>
    <w:p w14:paraId="0B53BDB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 xml:space="preserve">En este capítulo, se abordan los siguientes aspectos: volumen, estructura por sexo y grupos de edad, principales lenguas, monolingüismo, pertenencia étnica y comprensión de lengua indígena, movimientos migratorios, características educativas, derechohabiencia a servicios de salud, fecundidad, así como algunas características de la vivienda donde reside la población indígena: material en pisos, servicios, bienes y tecnologías de la información y la comunicación. </w:t>
      </w:r>
    </w:p>
    <w:p w14:paraId="26A2071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Cabe aclarar que en el apartado se usan dos cortes de edad: 5 años y más en las comparaciones de información de los censos de 1990, 2000 y 2010; y 3 años y más si solo se considera el 2010.</w:t>
      </w:r>
    </w:p>
    <w:p w14:paraId="30F62577" w14:textId="77777777" w:rsidR="004220B7" w:rsidRPr="007923C2" w:rsidRDefault="004220B7" w:rsidP="004220B7">
      <w:pPr>
        <w:jc w:val="both"/>
        <w:rPr>
          <w:rFonts w:ascii="Arial" w:hAnsi="Arial" w:cs="Arial"/>
          <w:b/>
          <w:sz w:val="22"/>
          <w:szCs w:val="22"/>
        </w:rPr>
      </w:pPr>
    </w:p>
    <w:p w14:paraId="6E081D98"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SITUACIÒN DEMOGRAFICA DE LA POBLACIÒN HABLANTE DE LENGUA INDIGENA DE 5 AÑOS Y MÀS</w:t>
      </w:r>
    </w:p>
    <w:p w14:paraId="4864487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De acuerdo con los resultados del Censo 2010, en el país residen 6.7 millones de personas de 5 años y más hablantes de lengua indígena. Esta cantidad es mayor a la registrada en 2000, que fue de 6 millones de hablantes.</w:t>
      </w:r>
    </w:p>
    <w:p w14:paraId="4A3D5EB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distribución por sexo de esta población permite apreciar que entre los años 2000 y 2010, las proporciones son casi equitativas, pero las de mujeres son ligeramente mayores que las de hombres y también muestran un leve incremento entre un año y otro.</w:t>
      </w:r>
    </w:p>
    <w:p w14:paraId="2F667522"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41F8A8AD" wp14:editId="7B6BDD5F">
            <wp:extent cx="4316730" cy="3731895"/>
            <wp:effectExtent l="0" t="0" r="7620" b="1905"/>
            <wp:docPr id="551" name="Imagen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16730" cy="3731895"/>
                    </a:xfrm>
                    <a:prstGeom prst="rect">
                      <a:avLst/>
                    </a:prstGeom>
                    <a:noFill/>
                    <a:ln>
                      <a:noFill/>
                    </a:ln>
                  </pic:spPr>
                </pic:pic>
              </a:graphicData>
            </a:graphic>
          </wp:inline>
        </w:drawing>
      </w:r>
    </w:p>
    <w:p w14:paraId="08A8621C" w14:textId="77777777" w:rsidR="004220B7" w:rsidRPr="007923C2" w:rsidRDefault="004220B7" w:rsidP="004220B7">
      <w:pPr>
        <w:jc w:val="both"/>
        <w:rPr>
          <w:rFonts w:ascii="Arial" w:hAnsi="Arial" w:cs="Arial"/>
          <w:sz w:val="22"/>
          <w:szCs w:val="22"/>
        </w:rPr>
      </w:pPr>
    </w:p>
    <w:p w14:paraId="3EC88DF6"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LA ESTRUCTURA POR SEXO Y GRUPOS DE EDAD DE LA POBLACIÒN DE 3 AÑOS Y MÀS</w:t>
      </w:r>
    </w:p>
    <w:p w14:paraId="2EFADC4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estructura por sexo y grupos de edad de una población permite conocer la medida en que participan porcentualmente hombres y mujeres de los diferentes grupos de edad en el conjunto de esa población.</w:t>
      </w:r>
    </w:p>
    <w:p w14:paraId="68E1555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 xml:space="preserve">El Censo 2010 captó 6.9 millones de personas de 3 años y más que hablan alguna lengua indígena. </w:t>
      </w:r>
    </w:p>
    <w:p w14:paraId="2793409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Las dos poblaciones registran una mayor proporción de mujeres que de hombres; porcentajes altos de menores de 15 años y también una elevada proporción de personas de 15 a 19 años; en ambas se registra una disminución a partir de los 20 años. Además existen algunas diferencias entre ambas poblaciones. De los hablantes de lengua indígena, 49.1% son hombres y 50.9% mujeres; mientras que para los no hablantes de lengua indigena, la proporción de mujeres es de 51.3% y la de hombres, 48.7%. </w:t>
      </w:r>
    </w:p>
    <w:p w14:paraId="5720FEB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Asimismo, hay una participación más marcada de personas menores de 30 años entre la población que no habla lengua indígena (53.7%) frente al 48.8% que registran los hablantes; por el contrario las personas de 60 años y más tienen una participación mayor entre los hablantes que entre los no hablantes, con 13.8% y 9.2%, respectivamente</w:t>
      </w:r>
    </w:p>
    <w:p w14:paraId="27D7F4D1" w14:textId="77777777" w:rsidR="004220B7" w:rsidRPr="007923C2" w:rsidRDefault="004220B7" w:rsidP="004220B7">
      <w:pPr>
        <w:jc w:val="both"/>
        <w:rPr>
          <w:rFonts w:ascii="Arial" w:hAnsi="Arial" w:cs="Arial"/>
          <w:sz w:val="22"/>
          <w:szCs w:val="22"/>
        </w:rPr>
      </w:pPr>
    </w:p>
    <w:p w14:paraId="22D7BCF6"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74186E42" wp14:editId="684AD7C7">
            <wp:extent cx="5762625" cy="5487963"/>
            <wp:effectExtent l="0" t="0" r="0" b="0"/>
            <wp:docPr id="549" name="Imagen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31161" cy="5553232"/>
                    </a:xfrm>
                    <a:prstGeom prst="rect">
                      <a:avLst/>
                    </a:prstGeom>
                    <a:noFill/>
                    <a:ln>
                      <a:noFill/>
                    </a:ln>
                  </pic:spPr>
                </pic:pic>
              </a:graphicData>
            </a:graphic>
          </wp:inline>
        </w:drawing>
      </w:r>
    </w:p>
    <w:p w14:paraId="4978E456"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lastRenderedPageBreak/>
        <w:t>POBLACIÒN HABLANTE DE LENGUA INDIGENA DE 3 AÑOS Y MÀS</w:t>
      </w:r>
    </w:p>
    <w:p w14:paraId="3DDC8F3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6.9 millones de personas de 3 años y más que hablan alguna lengua indígena, representan 6.6% de este segmento de población.</w:t>
      </w:r>
    </w:p>
    <w:p w14:paraId="516EC78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entidad federativa destaca Oaxaca, donde 33.8% de su población de 3 años y más habla alguna lengua indígena. </w:t>
      </w:r>
    </w:p>
    <w:p w14:paraId="21E9A01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seguida se ubica Yucatán, donde los hablantes son el 29.6 por ciento; Chiapas (27.3%), Quintana Roo (16.2%), Guerrero (15.2%), Hidalgo (14.8%), Campeche (12.0%), Puebla (11.5%) y San Luis Potosí (10.6 por ciento). Cabe señalar que estos nueve estados se consideran asentamientos tradicionales de población indígena. Por el contrario, en otras nueve entidades menos del 1% de la población de 3 años y más habla alguna lengua indígena, destacando Coahui la y Aguascalientes con solamente 0.2%, les siguen Guanajuato (0.3%) y Zacatecas (0.4 por ciento).</w:t>
      </w:r>
    </w:p>
    <w:p w14:paraId="1AAFA3F2" w14:textId="77777777" w:rsidR="004220B7" w:rsidRPr="007923C2" w:rsidRDefault="004220B7" w:rsidP="004220B7">
      <w:pPr>
        <w:jc w:val="both"/>
        <w:rPr>
          <w:rFonts w:ascii="Arial" w:hAnsi="Arial" w:cs="Arial"/>
          <w:sz w:val="22"/>
          <w:szCs w:val="22"/>
        </w:rPr>
      </w:pPr>
    </w:p>
    <w:p w14:paraId="5F312B9E"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1A44EC99" wp14:editId="6135745C">
            <wp:extent cx="5560695" cy="4263390"/>
            <wp:effectExtent l="0" t="0" r="1905" b="3810"/>
            <wp:docPr id="548" name="Imagen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60695" cy="4263390"/>
                    </a:xfrm>
                    <a:prstGeom prst="rect">
                      <a:avLst/>
                    </a:prstGeom>
                    <a:noFill/>
                    <a:ln>
                      <a:noFill/>
                    </a:ln>
                  </pic:spPr>
                </pic:pic>
              </a:graphicData>
            </a:graphic>
          </wp:inline>
        </w:drawing>
      </w:r>
    </w:p>
    <w:p w14:paraId="7C6328C8" w14:textId="77777777" w:rsidR="004220B7" w:rsidRPr="007923C2" w:rsidRDefault="004220B7" w:rsidP="004220B7">
      <w:pPr>
        <w:jc w:val="both"/>
        <w:rPr>
          <w:rFonts w:ascii="Arial" w:hAnsi="Arial" w:cs="Arial"/>
          <w:sz w:val="22"/>
          <w:szCs w:val="22"/>
        </w:rPr>
      </w:pPr>
    </w:p>
    <w:p w14:paraId="03207F70"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PRINCIPALES LENGUAS</w:t>
      </w:r>
    </w:p>
    <w:p w14:paraId="10C5AC0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partir de los resultados del Censo 2010, se ha determinado que actualmente se hablan 89 lenguas indígenas en el territorio nacional.</w:t>
      </w:r>
    </w:p>
    <w:p w14:paraId="0A6649B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Las lenguas que tienen las mayores cantidades de hablantes en el país son: náhuatl, maya, lenguas mixtecas, lenguas zapotecas, tzeltal y tzotzil, todas con montos de más de 400 mil hablantes.</w:t>
      </w:r>
    </w:p>
    <w:p w14:paraId="1125C30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Cabe destacar que entre los años 2000 y 2010 se incrementó notablemente el número de hablantes de las lenguas tzotzil y tzeltal, al pasar los primeros de 298 mil a 405 mil y los segundos de 285 mil a 446 mil. También se incrementaron, aunque en menor medida, las cantidades de hablantes de algunas lenguas, en particular el náhuatl y las lenguas mixtecas.</w:t>
      </w:r>
    </w:p>
    <w:p w14:paraId="70B88297" w14:textId="77777777" w:rsidR="004220B7" w:rsidRPr="007923C2" w:rsidRDefault="004220B7" w:rsidP="004220B7">
      <w:pPr>
        <w:jc w:val="both"/>
        <w:rPr>
          <w:rFonts w:ascii="Arial" w:hAnsi="Arial" w:cs="Arial"/>
          <w:sz w:val="22"/>
          <w:szCs w:val="22"/>
        </w:rPr>
      </w:pPr>
    </w:p>
    <w:p w14:paraId="7176D5E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el contrario, disminuyó el número de hablantes de lenguas zapotecas y de maya.</w:t>
      </w:r>
    </w:p>
    <w:p w14:paraId="76F84931" w14:textId="77777777" w:rsidR="004220B7" w:rsidRPr="007923C2" w:rsidRDefault="004220B7" w:rsidP="004220B7">
      <w:pPr>
        <w:jc w:val="both"/>
        <w:rPr>
          <w:rFonts w:ascii="Arial" w:hAnsi="Arial" w:cs="Arial"/>
          <w:sz w:val="22"/>
          <w:szCs w:val="22"/>
        </w:rPr>
      </w:pPr>
    </w:p>
    <w:p w14:paraId="2E1CD403"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5ABDD1E6" wp14:editId="3F2A54A6">
            <wp:extent cx="5858005" cy="4657725"/>
            <wp:effectExtent l="0" t="0" r="9525" b="0"/>
            <wp:docPr id="547" name="Imagen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60528" cy="4659731"/>
                    </a:xfrm>
                    <a:prstGeom prst="rect">
                      <a:avLst/>
                    </a:prstGeom>
                    <a:noFill/>
                    <a:ln>
                      <a:noFill/>
                    </a:ln>
                  </pic:spPr>
                </pic:pic>
              </a:graphicData>
            </a:graphic>
          </wp:inline>
        </w:drawing>
      </w:r>
    </w:p>
    <w:p w14:paraId="22FE50A2" w14:textId="77777777" w:rsidR="004220B7" w:rsidRPr="007923C2" w:rsidRDefault="004220B7" w:rsidP="004220B7">
      <w:pPr>
        <w:jc w:val="both"/>
        <w:rPr>
          <w:rFonts w:ascii="Arial" w:hAnsi="Arial" w:cs="Arial"/>
          <w:sz w:val="22"/>
          <w:szCs w:val="22"/>
        </w:rPr>
      </w:pPr>
    </w:p>
    <w:p w14:paraId="11680CA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2010, el náhuatl es la lengua indígena con el mayor número de hablantes: éstos representan 23.1% de todos los hablantes en el país; en segundo lugar se ubica el maya, luego las lenguas mixtecas, zapotecas, tzeltal y tzotzil. Estas seis lenguas concentran en conjunto 61.3% del total de hablantes de lengua indígena. Los de otras lenguas como el otomí, totonaca, mazateco y chol participan con porcentajes que van del 4.3% al 3.2 por ciento.</w:t>
      </w:r>
    </w:p>
    <w:p w14:paraId="5FBA262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Entre los años 2000 y 2010, la proporción de hablantes de algunas de las principales lenguas muestra decrementos. Los hablantes de náhuatl pasan de 24.0 a 23.1%, los hablantes de maya de 13.2 a 11.7%, los de lenguas mixtecas, de 7.4 a 7.1% y los de lenguas zapotecas, de 7.5 a 6.7 por ciento.</w:t>
      </w:r>
    </w:p>
    <w:p w14:paraId="03577F7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cambio, los hablantes de tzeltal y tzotzil incrementaron de manera apreciable su participación, al pasar de 4.7 a 6.7% y de 4.9 a 6.0%, respectivamente.</w:t>
      </w:r>
    </w:p>
    <w:p w14:paraId="4EC0C587"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MONOLINGUES DE 5 AÑOS Y MÀS DE EDAD</w:t>
      </w:r>
    </w:p>
    <w:p w14:paraId="54669DB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resultados del Censo 2010 registran que en el país hay alrededor de 981 mil personas de 5 años y más que hablan alguna lengua indígena y no hablan español.</w:t>
      </w:r>
    </w:p>
    <w:p w14:paraId="7FBD4ED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Entre los años 2000 y 2010, la población hablante de lengua indígena que no habla español decreció de un millón a 981 mil .</w:t>
      </w:r>
    </w:p>
    <w:p w14:paraId="1C878F3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Es preciso hacer notar que en 1990, 2000 y 2010, existe una notable brecha de género entre los monolingües, ya que dos terceras partes son mujeres.</w:t>
      </w:r>
    </w:p>
    <w:p w14:paraId="178EE2EA"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55FE33F4" wp14:editId="141BF4B4">
            <wp:extent cx="4603750" cy="4008755"/>
            <wp:effectExtent l="0" t="0" r="6350" b="0"/>
            <wp:docPr id="546" name="Imagen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03750" cy="4008755"/>
                    </a:xfrm>
                    <a:prstGeom prst="rect">
                      <a:avLst/>
                    </a:prstGeom>
                    <a:noFill/>
                    <a:ln>
                      <a:noFill/>
                    </a:ln>
                  </pic:spPr>
                </pic:pic>
              </a:graphicData>
            </a:graphic>
          </wp:inline>
        </w:drawing>
      </w:r>
    </w:p>
    <w:p w14:paraId="5FA3F6FC" w14:textId="77777777" w:rsidR="004220B7" w:rsidRPr="007923C2" w:rsidRDefault="004220B7" w:rsidP="004220B7">
      <w:pPr>
        <w:jc w:val="both"/>
        <w:rPr>
          <w:rFonts w:ascii="Arial" w:hAnsi="Arial" w:cs="Arial"/>
          <w:b/>
          <w:sz w:val="22"/>
          <w:szCs w:val="22"/>
        </w:rPr>
      </w:pPr>
    </w:p>
    <w:p w14:paraId="3047026E" w14:textId="77777777" w:rsidR="004220B7" w:rsidRPr="007923C2" w:rsidRDefault="004220B7" w:rsidP="004220B7">
      <w:pPr>
        <w:jc w:val="both"/>
        <w:rPr>
          <w:rFonts w:ascii="Arial" w:hAnsi="Arial" w:cs="Arial"/>
          <w:b/>
          <w:sz w:val="22"/>
          <w:szCs w:val="22"/>
        </w:rPr>
      </w:pPr>
    </w:p>
    <w:p w14:paraId="2F350A7B"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MONOLINGUES DE 3 AÑOS Y MÀS DE EDAD</w:t>
      </w:r>
    </w:p>
    <w:p w14:paraId="20DFE65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partir de la información del Censo 2010, se ha estimado que de cada 100 hablantes de lengua indígena de 3 años y más, 16 no hablan español, 12.4% de los hombres y 19.2% de las mujeres.</w:t>
      </w:r>
    </w:p>
    <w:p w14:paraId="4893EF98" w14:textId="77777777" w:rsidR="004220B7" w:rsidRPr="007923C2" w:rsidRDefault="004220B7" w:rsidP="004220B7">
      <w:pPr>
        <w:jc w:val="both"/>
        <w:rPr>
          <w:rFonts w:ascii="Arial" w:hAnsi="Arial" w:cs="Arial"/>
          <w:sz w:val="22"/>
          <w:szCs w:val="22"/>
        </w:rPr>
      </w:pPr>
    </w:p>
    <w:p w14:paraId="6E5B7435"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0F8767CC" wp14:editId="58A5BEBF">
            <wp:extent cx="3343224" cy="2943225"/>
            <wp:effectExtent l="0" t="0" r="0" b="0"/>
            <wp:docPr id="627" name="Imagen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70700" cy="2967413"/>
                    </a:xfrm>
                    <a:prstGeom prst="rect">
                      <a:avLst/>
                    </a:prstGeom>
                    <a:noFill/>
                    <a:ln>
                      <a:noFill/>
                    </a:ln>
                  </pic:spPr>
                </pic:pic>
              </a:graphicData>
            </a:graphic>
          </wp:inline>
        </w:drawing>
      </w:r>
    </w:p>
    <w:p w14:paraId="4585F4DD" w14:textId="77777777" w:rsidR="004220B7" w:rsidRDefault="004220B7" w:rsidP="004220B7">
      <w:pPr>
        <w:jc w:val="both"/>
        <w:rPr>
          <w:rFonts w:ascii="Arial" w:hAnsi="Arial" w:cs="Arial"/>
          <w:sz w:val="22"/>
          <w:szCs w:val="22"/>
        </w:rPr>
      </w:pPr>
      <w:r w:rsidRPr="007923C2">
        <w:rPr>
          <w:rFonts w:ascii="Arial" w:hAnsi="Arial" w:cs="Arial"/>
          <w:sz w:val="22"/>
          <w:szCs w:val="22"/>
        </w:rPr>
        <w:t>Los monolingües alcanzan porcentajes elevados cuando son menores de 15 años, con alrededor de 30% tanto los varones como las mujeres. En comparación, sus proporciones son bajas a partir de los 15 años, sobre todo entre los hombres, pero aumentan con la edad, hasta llegar a 29.2% para las mujeres y 16.4% para los hombres de 65 años y más.</w:t>
      </w:r>
    </w:p>
    <w:p w14:paraId="3F0F936F" w14:textId="77777777" w:rsidR="00BB53BC" w:rsidRDefault="00BB53BC" w:rsidP="004220B7">
      <w:pPr>
        <w:jc w:val="both"/>
        <w:rPr>
          <w:rFonts w:ascii="Arial" w:hAnsi="Arial" w:cs="Arial"/>
          <w:b/>
          <w:sz w:val="22"/>
          <w:szCs w:val="22"/>
        </w:rPr>
      </w:pPr>
    </w:p>
    <w:p w14:paraId="5397D84C"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PERTENENCIA ÈTNICA DE LA POBLACIÒN DE 3 AŇOS Y MÀS</w:t>
      </w:r>
    </w:p>
    <w:p w14:paraId="0351C6B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Censo 2010 también captó información para conocer a la población que se considera indígena, independientemente de que hable o no alguna lengua. Dicho conjunto suma 15.7 millones de personas y representa 14.9% de la población de 3 años y más.</w:t>
      </w:r>
    </w:p>
    <w:p w14:paraId="733FF0B4"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699383B8" wp14:editId="5B311DFB">
            <wp:extent cx="3419475" cy="3320593"/>
            <wp:effectExtent l="0" t="0" r="0" b="0"/>
            <wp:docPr id="626" name="Imagen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29844" cy="3330663"/>
                    </a:xfrm>
                    <a:prstGeom prst="rect">
                      <a:avLst/>
                    </a:prstGeom>
                    <a:noFill/>
                    <a:ln>
                      <a:noFill/>
                    </a:ln>
                  </pic:spPr>
                </pic:pic>
              </a:graphicData>
            </a:graphic>
          </wp:inline>
        </w:drawing>
      </w:r>
    </w:p>
    <w:p w14:paraId="77020E05" w14:textId="77777777" w:rsidR="0030489A" w:rsidRDefault="0030489A" w:rsidP="004220B7">
      <w:pPr>
        <w:jc w:val="both"/>
        <w:rPr>
          <w:rFonts w:ascii="Arial" w:hAnsi="Arial" w:cs="Arial"/>
          <w:sz w:val="22"/>
          <w:szCs w:val="22"/>
        </w:rPr>
      </w:pPr>
    </w:p>
    <w:p w14:paraId="24E0C47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nivel de entidad federativa se aprecian contrastes importantes. Dos de las entidades con más hablantes de lengua indígena registran los más altos porcentajes de la población que se considera indígena: Yucatán, 62.7% y Oaxaca, 58.0 por ciento. En cambio, en 18 entidades federativas el porcentaje de la población que se considera indígena en conjunto suman 6.3 por ciento.</w:t>
      </w:r>
    </w:p>
    <w:p w14:paraId="5DDEADD3"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POBLACION DE 3 AÑOS Y MÀS QUE COMPRENDE UNA LENGUA INDIGENA</w:t>
      </w:r>
    </w:p>
    <w:p w14:paraId="42BF5D4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Censo 2010 captó información sobre las personas de 3 años y más que no hablan lengua indígena pero sí entienden alguna, en conjunto suman 1.5 millones de personas, lo que representa 1.5% de la población del país con esa edad.</w:t>
      </w:r>
    </w:p>
    <w:p w14:paraId="42696C2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entidad federativa se identifican dos situaciones principales: una es que los mayores porcentajes de población con estos rasgos se registran en las entidades con el mayor volumen de hablantes de lengua indígena.</w:t>
      </w:r>
    </w:p>
    <w:p w14:paraId="61667FA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Este fenómeno sucede de manera particular en el estado de Yucatán, donde 17.9% de la población de 3 años y más que no habla lengua indígena declaró entender alguna de ellas.</w:t>
      </w:r>
    </w:p>
    <w:p w14:paraId="343B72E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Le siguen, con una diferencia de más de 10 puntos porcentuales Quintana Roo, 7.3%, Oaxaca 7.2% y Campeche con 5.8% de población con estas características.</w:t>
      </w:r>
    </w:p>
    <w:p w14:paraId="67B39D7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segunda situación consiste en que las entidades con los porcentajes más bajos son, en general, aquellas donde el número de hablantes no es alto o las que tienen alta atracción migratoria para la población hablante de lengua indígena.</w:t>
      </w:r>
    </w:p>
    <w:p w14:paraId="70ADF6F6"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065814DB" wp14:editId="7C24D3E5">
            <wp:extent cx="5582285" cy="4072255"/>
            <wp:effectExtent l="0" t="0" r="0" b="4445"/>
            <wp:docPr id="625" name="Imagen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82285" cy="4072255"/>
                    </a:xfrm>
                    <a:prstGeom prst="rect">
                      <a:avLst/>
                    </a:prstGeom>
                    <a:noFill/>
                    <a:ln>
                      <a:noFill/>
                    </a:ln>
                  </pic:spPr>
                </pic:pic>
              </a:graphicData>
            </a:graphic>
          </wp:inline>
        </w:drawing>
      </w:r>
    </w:p>
    <w:p w14:paraId="5CE835CC" w14:textId="77777777" w:rsidR="004220B7" w:rsidRPr="007923C2" w:rsidRDefault="004220B7" w:rsidP="004220B7">
      <w:pPr>
        <w:jc w:val="both"/>
        <w:rPr>
          <w:rFonts w:ascii="Arial" w:hAnsi="Arial" w:cs="Arial"/>
          <w:sz w:val="22"/>
          <w:szCs w:val="22"/>
        </w:rPr>
      </w:pPr>
    </w:p>
    <w:p w14:paraId="5364CBD1" w14:textId="77777777" w:rsidR="004220B7" w:rsidRPr="007923C2" w:rsidRDefault="004220B7" w:rsidP="004220B7">
      <w:pPr>
        <w:jc w:val="both"/>
        <w:rPr>
          <w:rFonts w:ascii="Arial" w:hAnsi="Arial" w:cs="Arial"/>
          <w:sz w:val="22"/>
          <w:szCs w:val="22"/>
        </w:rPr>
      </w:pPr>
    </w:p>
    <w:p w14:paraId="5CEC02AA"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RELACIÒN HOMBRES-MUJERES DE LOS HABLANTES DE LENGUA INDIGENA</w:t>
      </w:r>
    </w:p>
    <w:p w14:paraId="652F299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Esta relación muestra el número de hombres por cada 100 mujeres. Para el total de la población de 3 años y más del país, la relación hombres-mujeres es de 95 hombres por cada 100 mujeres; sin embargo, entre la población hablante de lengua indígena de este grupo de edad, dicha relación es de 97.</w:t>
      </w:r>
    </w:p>
    <w:p w14:paraId="5D5C87E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Con base en los resultados del Censo 2010, puede determinarse que el volumen de la población masculina hablante de lengua indígena es mayor que la femenina en 21 entidades, destacando Baja California Sur (146 hombres por 100 mujeres), Aguascalientes (140), Colima (133) y Coahuila (131). Por su parte, en seis entidades el número de hombres por cada 100 mujeres es menor a 95; en Michoacán y el estado de México (93), Guerrero (92), Puebla (92), Oaxaca (90) y el Distrito Federal (89).</w:t>
      </w:r>
    </w:p>
    <w:p w14:paraId="41D5E21C" w14:textId="77777777" w:rsidR="004220B7" w:rsidRPr="007923C2" w:rsidRDefault="004220B7" w:rsidP="004220B7">
      <w:pPr>
        <w:jc w:val="both"/>
        <w:rPr>
          <w:rFonts w:ascii="Arial" w:hAnsi="Arial" w:cs="Arial"/>
          <w:sz w:val="22"/>
          <w:szCs w:val="22"/>
        </w:rPr>
      </w:pPr>
    </w:p>
    <w:p w14:paraId="4550336C"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2BE1FD31" wp14:editId="17BB042A">
            <wp:extent cx="5603240" cy="4944110"/>
            <wp:effectExtent l="0" t="0" r="0" b="8890"/>
            <wp:docPr id="624" name="Imagen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03240" cy="4944110"/>
                    </a:xfrm>
                    <a:prstGeom prst="rect">
                      <a:avLst/>
                    </a:prstGeom>
                    <a:noFill/>
                    <a:ln>
                      <a:noFill/>
                    </a:ln>
                  </pic:spPr>
                </pic:pic>
              </a:graphicData>
            </a:graphic>
          </wp:inline>
        </w:drawing>
      </w:r>
    </w:p>
    <w:p w14:paraId="30D19B9D" w14:textId="77777777" w:rsidR="004220B7" w:rsidRPr="007923C2" w:rsidRDefault="004220B7" w:rsidP="004220B7">
      <w:pPr>
        <w:jc w:val="both"/>
        <w:rPr>
          <w:rFonts w:ascii="Arial" w:hAnsi="Arial" w:cs="Arial"/>
          <w:sz w:val="22"/>
          <w:szCs w:val="22"/>
        </w:rPr>
      </w:pPr>
    </w:p>
    <w:p w14:paraId="744BA6A8"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RAZON DE DEPENDENCIA DE LOS HABLANTES DE LENGUA INDIGENA</w:t>
      </w:r>
    </w:p>
    <w:p w14:paraId="154565F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Esta razón es un cociente de las poblaciones de 3 a 14 años y de 65 años y más, entre la población de 15 a 64 años, por 100. Brinda una aproximación a la carga económica promedio de la población hablante de lengua indígena en edad productiva; a la vez permite analizar los cambios en su estructura de edad.</w:t>
      </w:r>
    </w:p>
    <w:p w14:paraId="2265234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nivel nacional, entre la población hablante de lengua indígena este indicador es de 48 personas dependientes por cada 100 económicamente productivas. En cambio, este indicador muestra amplios contrastes por entidad federativa, que van desde un mínimo de 9 hasta un máximo de 70 dependientes en Nuevo León y Guerrero, respectivamente.</w:t>
      </w:r>
    </w:p>
    <w:p w14:paraId="1D0701E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ocho entidades la relación es mayor a 50 dependientes por cada 100 personas en edad productiva, en cambio, cuatro entidades federativas, registran valores menores a 20.</w:t>
      </w:r>
    </w:p>
    <w:p w14:paraId="30E0F41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general, las relaciones de dependencia más altas se registran en las entidades que tradicionalmente han sido expulsoras de población hablante de lengua indígena; sucediendo lo </w:t>
      </w:r>
      <w:r w:rsidRPr="007923C2">
        <w:rPr>
          <w:rFonts w:ascii="Arial" w:hAnsi="Arial" w:cs="Arial"/>
          <w:sz w:val="22"/>
          <w:szCs w:val="22"/>
        </w:rPr>
        <w:lastRenderedPageBreak/>
        <w:t>contrario en las entidades que atraen migrantes. Ésto corresponde a que la migración es, principalmente, de jóvenes.</w:t>
      </w:r>
    </w:p>
    <w:p w14:paraId="41007217"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7C9B7E0B" wp14:editId="743F7470">
            <wp:extent cx="5560695" cy="5177790"/>
            <wp:effectExtent l="0" t="0" r="1905" b="3810"/>
            <wp:docPr id="623" name="Imagen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60695" cy="5177790"/>
                    </a:xfrm>
                    <a:prstGeom prst="rect">
                      <a:avLst/>
                    </a:prstGeom>
                    <a:noFill/>
                    <a:ln>
                      <a:noFill/>
                    </a:ln>
                  </pic:spPr>
                </pic:pic>
              </a:graphicData>
            </a:graphic>
          </wp:inline>
        </w:drawing>
      </w:r>
    </w:p>
    <w:p w14:paraId="4925B97E" w14:textId="77777777" w:rsidR="004220B7" w:rsidRPr="007923C2" w:rsidRDefault="004220B7" w:rsidP="004220B7">
      <w:pPr>
        <w:jc w:val="both"/>
        <w:rPr>
          <w:rFonts w:ascii="Arial" w:hAnsi="Arial" w:cs="Arial"/>
          <w:b/>
          <w:sz w:val="22"/>
          <w:szCs w:val="22"/>
        </w:rPr>
      </w:pPr>
    </w:p>
    <w:p w14:paraId="4749E825"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RAZÒN DE DEPENDENCIA DE VEJEZ EN LA POBLACIÒN HABLANTE DE LA LENGUA INDIGENA</w:t>
      </w:r>
    </w:p>
    <w:p w14:paraId="795BB75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razón de dependencia de vejez es la relación que resulta de dividir la población de 65 años y más entre el número de personas de 15 a 64 años, multiplicada por cien.</w:t>
      </w:r>
    </w:p>
    <w:p w14:paraId="4E94A37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el año 2010 había en el país 14.8 hablantes de 65 años y más por cada 100 hablantes de 15 a 64 años. En este mismo año, se observaron diferencias notables por entidad federativa. En Tlaxcala se registra la mayor razón de dependencia en la población hablante de lengua indígena, con 33 hablantes de 65 años y más por cada 100 personas que tienen entre 15 y 64 años; destacan también Sonora y Campeche, con 22 y 20 hablantes de 65 años y más.</w:t>
      </w:r>
    </w:p>
    <w:p w14:paraId="37512FC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En cambio, las menores razones se encuentran en Nuevo León, con tres y Baja California Sur, con cuatro hablantes de 65 años y más por 100 hablantes de lengua indígena de 15 a 64 años. Otras 12 entidades tienen razones menores a 10 hablantes de 65 años y más, por cada 100 hablantes de 15 a 64 años.</w:t>
      </w:r>
    </w:p>
    <w:p w14:paraId="40A1D92D"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4162E40C" wp14:editId="09D387D7">
            <wp:extent cx="5603240" cy="4965700"/>
            <wp:effectExtent l="0" t="0" r="0" b="6350"/>
            <wp:docPr id="622" name="Imagen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03240" cy="4965700"/>
                    </a:xfrm>
                    <a:prstGeom prst="rect">
                      <a:avLst/>
                    </a:prstGeom>
                    <a:noFill/>
                    <a:ln>
                      <a:noFill/>
                    </a:ln>
                  </pic:spPr>
                </pic:pic>
              </a:graphicData>
            </a:graphic>
          </wp:inline>
        </w:drawing>
      </w:r>
    </w:p>
    <w:p w14:paraId="1C1579ED" w14:textId="77777777" w:rsidR="004220B7" w:rsidRPr="007923C2" w:rsidRDefault="004220B7" w:rsidP="004220B7">
      <w:pPr>
        <w:jc w:val="both"/>
        <w:rPr>
          <w:rFonts w:ascii="Arial" w:hAnsi="Arial" w:cs="Arial"/>
          <w:sz w:val="22"/>
          <w:szCs w:val="22"/>
        </w:rPr>
      </w:pPr>
    </w:p>
    <w:p w14:paraId="7EF3461F" w14:textId="77777777" w:rsidR="004220B7" w:rsidRPr="007923C2" w:rsidRDefault="004220B7" w:rsidP="004220B7">
      <w:pPr>
        <w:jc w:val="both"/>
        <w:rPr>
          <w:rFonts w:ascii="Arial" w:hAnsi="Arial" w:cs="Arial"/>
          <w:b/>
          <w:caps/>
          <w:sz w:val="22"/>
          <w:szCs w:val="22"/>
        </w:rPr>
      </w:pPr>
    </w:p>
    <w:p w14:paraId="55D608F9" w14:textId="77777777" w:rsidR="004220B7" w:rsidRPr="007923C2" w:rsidRDefault="004220B7" w:rsidP="004220B7">
      <w:pPr>
        <w:jc w:val="both"/>
        <w:rPr>
          <w:rFonts w:ascii="Arial" w:hAnsi="Arial" w:cs="Arial"/>
          <w:b/>
          <w:caps/>
          <w:sz w:val="22"/>
          <w:szCs w:val="22"/>
        </w:rPr>
      </w:pPr>
      <w:r w:rsidRPr="007923C2">
        <w:rPr>
          <w:rFonts w:ascii="Arial" w:hAnsi="Arial" w:cs="Arial"/>
          <w:b/>
          <w:caps/>
          <w:sz w:val="22"/>
          <w:szCs w:val="22"/>
        </w:rPr>
        <w:t>Adultos mayores indigenas</w:t>
      </w:r>
    </w:p>
    <w:p w14:paraId="0F23201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adultos mayores son las personas de 60 años y más de edad. Con base en la información del Censo 2010, se estima que representan 9.6% de la población de 3 años y más de edad.</w:t>
      </w:r>
    </w:p>
    <w:p w14:paraId="5192A77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comparación, las personas de 60 años y más que hablan alguna lengua indígena, a las que aquí se designa como adultos mayores indígenas, constituyen 13.9% de la población hablante de 3 años y más de edad. </w:t>
      </w:r>
    </w:p>
    <w:p w14:paraId="0230226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No obstante, por entidad federativa pueden apreciarse algunas diferencias importantes en su proporción.</w:t>
      </w:r>
    </w:p>
    <w:p w14:paraId="0BA59C6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En términos generales, los porcentajes más altos se registran en las entidades expulsoras de esta población. En efecto, en Tlaxcala se registra su nivel más alto, 28.5%, le siguen Sonora con 21.9% y Yucatán 20.3 por ciento.</w:t>
      </w:r>
    </w:p>
    <w:p w14:paraId="6B6D9EA4" w14:textId="77777777" w:rsidR="004220B7" w:rsidRPr="007923C2" w:rsidRDefault="004220B7" w:rsidP="004220B7">
      <w:pPr>
        <w:jc w:val="both"/>
        <w:rPr>
          <w:rFonts w:ascii="Arial" w:hAnsi="Arial" w:cs="Arial"/>
          <w:sz w:val="22"/>
          <w:szCs w:val="22"/>
        </w:rPr>
      </w:pPr>
    </w:p>
    <w:p w14:paraId="676BE32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cambio, en seis entidades son menores a 7% estas son: Nuevo León 4.1%, Baja California Sur 5.6%, Durango 6.4%, Jalisco 6.6%, Chiapas 6.7% y Nayarit 6.8 por ciento.</w:t>
      </w:r>
    </w:p>
    <w:p w14:paraId="30F5CA73"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130EF0AA" wp14:editId="3F336E05">
            <wp:extent cx="5571490" cy="4890770"/>
            <wp:effectExtent l="0" t="0" r="0" b="5080"/>
            <wp:docPr id="621" name="Imagen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71490" cy="4890770"/>
                    </a:xfrm>
                    <a:prstGeom prst="rect">
                      <a:avLst/>
                    </a:prstGeom>
                    <a:noFill/>
                    <a:ln>
                      <a:noFill/>
                    </a:ln>
                  </pic:spPr>
                </pic:pic>
              </a:graphicData>
            </a:graphic>
          </wp:inline>
        </w:drawing>
      </w:r>
    </w:p>
    <w:p w14:paraId="6064669B" w14:textId="77777777" w:rsidR="004220B7" w:rsidRPr="007923C2" w:rsidRDefault="004220B7" w:rsidP="004220B7">
      <w:pPr>
        <w:jc w:val="both"/>
        <w:rPr>
          <w:rFonts w:ascii="Arial" w:hAnsi="Arial" w:cs="Arial"/>
          <w:b/>
          <w:sz w:val="22"/>
          <w:szCs w:val="22"/>
        </w:rPr>
      </w:pPr>
      <w:r w:rsidRPr="007923C2">
        <w:rPr>
          <w:rFonts w:ascii="Arial" w:hAnsi="Arial" w:cs="Arial"/>
          <w:noProof/>
          <w:sz w:val="22"/>
          <w:szCs w:val="22"/>
        </w:rPr>
        <w:lastRenderedPageBreak/>
        <w:drawing>
          <wp:inline distT="0" distB="0" distL="0" distR="0" wp14:anchorId="33107B80" wp14:editId="1A5EB47F">
            <wp:extent cx="5571490" cy="4890770"/>
            <wp:effectExtent l="0" t="0" r="0" b="5080"/>
            <wp:docPr id="620" name="Imagen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71490" cy="4890770"/>
                    </a:xfrm>
                    <a:prstGeom prst="rect">
                      <a:avLst/>
                    </a:prstGeom>
                    <a:noFill/>
                    <a:ln>
                      <a:noFill/>
                    </a:ln>
                  </pic:spPr>
                </pic:pic>
              </a:graphicData>
            </a:graphic>
          </wp:inline>
        </w:drawing>
      </w:r>
    </w:p>
    <w:p w14:paraId="06C1376E" w14:textId="77777777" w:rsidR="004220B7" w:rsidRPr="007923C2" w:rsidRDefault="004220B7" w:rsidP="004220B7">
      <w:pPr>
        <w:jc w:val="both"/>
        <w:rPr>
          <w:rFonts w:ascii="Arial" w:hAnsi="Arial" w:cs="Arial"/>
          <w:b/>
          <w:sz w:val="22"/>
          <w:szCs w:val="22"/>
        </w:rPr>
      </w:pPr>
    </w:p>
    <w:p w14:paraId="3D7838C0"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POR LUGAR DE NACIMIENTO</w:t>
      </w:r>
    </w:p>
    <w:p w14:paraId="4825E3A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Con base en la información del Censo 2010 se ha determinado que en el país hay casi 738 mil personas de 3 años y más que son hablantes de lengua indígena y que residen en una entidad federativa diferente a la de su nacimiento.</w:t>
      </w:r>
    </w:p>
    <w:p w14:paraId="709B8FE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Como puede apreciarse en la gráfica, algunas entidades federativas destacan por atraer un número importante de migrantes hablantes de lengua indígena, principalmente el estado de México, Quintana Roo y Distrito Federal.</w:t>
      </w:r>
    </w:p>
    <w:p w14:paraId="1AED668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el contrario, Nayarit, Guerrero, Chiapas, Colima, Coahuila, Zacatecas, Durango y Aguascalientes cuentan con menos de 5 mil hablantes nacidos en otra entidad.</w:t>
      </w:r>
    </w:p>
    <w:p w14:paraId="2082B3B1"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3E3F1B31" wp14:editId="16030357">
            <wp:extent cx="5560695" cy="5114290"/>
            <wp:effectExtent l="0" t="0" r="1905" b="0"/>
            <wp:docPr id="619" name="Imagen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60695" cy="5114290"/>
                    </a:xfrm>
                    <a:prstGeom prst="rect">
                      <a:avLst/>
                    </a:prstGeom>
                    <a:noFill/>
                    <a:ln>
                      <a:noFill/>
                    </a:ln>
                  </pic:spPr>
                </pic:pic>
              </a:graphicData>
            </a:graphic>
          </wp:inline>
        </w:drawing>
      </w:r>
    </w:p>
    <w:p w14:paraId="513449B1"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MIGRACIÒN RECIENTE</w:t>
      </w:r>
    </w:p>
    <w:p w14:paraId="5DFBF49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migración interna reciente alude a la población que en 2005 vivía en una entidad diferente a la de su residencia en 2010. El censo captó 175 mil personas de 5 años y más que hablan alguna lengua indígena, en la situación mencionada.</w:t>
      </w:r>
    </w:p>
    <w:p w14:paraId="25E28D1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este periodo el estado de México, destaca por ser la entidad que registra un mayor número de hablantes de lengua indígena en su territorio con casi 24 mil personas. Le sigue en importancia Oaxaca, Distrito Federal, Quintana Roo, Veracruz, Nuevo León y Puebla, como puede observarse algunas de estas entidades son, para los hablantes, importantes lugares de atracción, mientras que otras representan principalmente centros de retorno.</w:t>
      </w:r>
    </w:p>
    <w:p w14:paraId="7F4C3F9D" w14:textId="77777777" w:rsidR="004220B7" w:rsidRDefault="004220B7" w:rsidP="004220B7">
      <w:pPr>
        <w:jc w:val="both"/>
        <w:rPr>
          <w:rFonts w:ascii="Arial" w:hAnsi="Arial" w:cs="Arial"/>
          <w:sz w:val="22"/>
          <w:szCs w:val="22"/>
        </w:rPr>
      </w:pPr>
      <w:r w:rsidRPr="007923C2">
        <w:rPr>
          <w:rFonts w:ascii="Arial" w:hAnsi="Arial" w:cs="Arial"/>
          <w:sz w:val="22"/>
          <w:szCs w:val="22"/>
        </w:rPr>
        <w:t>Por el contrario, entidades como Coahuila, Durango y Aguascalientes son para los hablantes de lengua indígena las entidades de menor atracción al reportar menos de mil hablantes de lengua indígena.</w:t>
      </w:r>
    </w:p>
    <w:p w14:paraId="2B315F13" w14:textId="77777777" w:rsidR="0030489A" w:rsidRDefault="0030489A" w:rsidP="004220B7">
      <w:pPr>
        <w:jc w:val="both"/>
        <w:rPr>
          <w:rFonts w:ascii="Arial" w:hAnsi="Arial" w:cs="Arial"/>
          <w:sz w:val="22"/>
          <w:szCs w:val="22"/>
        </w:rPr>
      </w:pPr>
    </w:p>
    <w:p w14:paraId="20192B41"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POBLACIÒN DE 15 AÑOS Y MÀS HABLANTE DE LENGUA INDIGENA QUE SABE LEER Y ESCRIBIR</w:t>
      </w:r>
    </w:p>
    <w:p w14:paraId="009D1DC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En el Censo 2010 se registraron cerca de 3.9 millones de hablantes de lengua indígena de 15 años y más alfabetas, quienes representan 72.1% del conjunto de los hablantes de esa edad.</w:t>
      </w:r>
    </w:p>
    <w:p w14:paraId="268D1C5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Como se aprecia en la gráfica, dichos alfabetas representan 79.7% de los hombres y 64.9% de las mujeres; mientras que en el 2000, estos porcentajes eran de 76.1 y 56.7%, respectivamente.</w:t>
      </w:r>
    </w:p>
    <w:p w14:paraId="0E85DBEE" w14:textId="77777777" w:rsidR="004220B7" w:rsidRPr="007923C2" w:rsidRDefault="004220B7" w:rsidP="004220B7">
      <w:pPr>
        <w:jc w:val="both"/>
        <w:rPr>
          <w:rFonts w:ascii="Arial" w:hAnsi="Arial" w:cs="Arial"/>
          <w:sz w:val="22"/>
          <w:szCs w:val="22"/>
        </w:rPr>
      </w:pPr>
    </w:p>
    <w:p w14:paraId="4052E4A8"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0CA3E099" wp14:editId="05EC05B5">
            <wp:extent cx="3771900" cy="3266440"/>
            <wp:effectExtent l="0" t="0" r="0" b="0"/>
            <wp:docPr id="618" name="Imagen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84624" cy="3277459"/>
                    </a:xfrm>
                    <a:prstGeom prst="rect">
                      <a:avLst/>
                    </a:prstGeom>
                    <a:noFill/>
                    <a:ln>
                      <a:noFill/>
                    </a:ln>
                  </pic:spPr>
                </pic:pic>
              </a:graphicData>
            </a:graphic>
          </wp:inline>
        </w:drawing>
      </w:r>
    </w:p>
    <w:p w14:paraId="471AE326" w14:textId="77777777" w:rsidR="004220B7" w:rsidRPr="007923C2" w:rsidRDefault="004220B7" w:rsidP="0030489A">
      <w:pPr>
        <w:jc w:val="both"/>
        <w:rPr>
          <w:rFonts w:ascii="Arial" w:hAnsi="Arial" w:cs="Arial"/>
          <w:sz w:val="22"/>
          <w:szCs w:val="22"/>
        </w:rPr>
      </w:pPr>
      <w:r w:rsidRPr="007923C2">
        <w:rPr>
          <w:rFonts w:ascii="Arial" w:hAnsi="Arial" w:cs="Arial"/>
          <w:sz w:val="22"/>
          <w:szCs w:val="22"/>
        </w:rPr>
        <w:t xml:space="preserve">Esta información indica que la diferencia entre hombres y mujeres se redujo de 19.4 a 14.8 puntos </w:t>
      </w:r>
    </w:p>
    <w:p w14:paraId="6D89105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porcentajes de población hablante de lengua indígena de 15 años y más que sabe leer y escribir, a nivel nacional son 64.9% de las mujeres y 79.7% de los hombres, con una brecha de género de 15 puntos porcentuales. Esta situación presenta diferentes escenarios a nivel de entidad federativa.</w:t>
      </w:r>
    </w:p>
    <w:p w14:paraId="3E454DF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Nuevo León muestra los porcentajes más altos de alfabetismo entre los hablantes de este grupo de edad, con 96.8% de los varones y 94.1% de las mujeres. Le siguen Aguascalientes, Coahuila, Tamaulipas y el Distrito Federal, con porcentajes mayores al 90% entre los hombres, y mayores al 80% entre las mujeres.</w:t>
      </w:r>
    </w:p>
    <w:p w14:paraId="03CC237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otra parte, hay entidades donde las proporciones de hablantes de lengua indígena de 15 años y más que saben leer y escribir son considerablemente más bajas, con una diferencia de 30 puntos con respecto a las entidades de porcentajes mayores, como Guerrero, con 65.9 y 51.9%, para hombres y mujeres, y Chihuahua con 66.8 y 53.3%,  respectivamente.</w:t>
      </w:r>
    </w:p>
    <w:p w14:paraId="497A65C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Un hecho a destacar es que en todas las entidades federativas los porcentajes de alfabetismo entre los hombres son mayores que los de las mujeres. La diferencia más alta se encuentra en el estado de México con 20.4 puntos porcentuales.</w:t>
      </w:r>
    </w:p>
    <w:p w14:paraId="77A038D2" w14:textId="77777777" w:rsidR="004220B7" w:rsidRPr="007923C2" w:rsidRDefault="004220B7" w:rsidP="004220B7">
      <w:pPr>
        <w:jc w:val="both"/>
        <w:rPr>
          <w:rFonts w:ascii="Arial" w:hAnsi="Arial" w:cs="Arial"/>
          <w:b/>
          <w:sz w:val="22"/>
          <w:szCs w:val="22"/>
        </w:rPr>
      </w:pPr>
    </w:p>
    <w:p w14:paraId="58B0B7D7"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lastRenderedPageBreak/>
        <w:t>ASISTENCIA ESCOLAR DE LA POBLACIÒN DE 5 A 14 AÑOS HABLANTE DE LENGUA INDIGENA</w:t>
      </w:r>
    </w:p>
    <w:p w14:paraId="0E898E2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resultados de los censos 2000 y 2010, permiten determinar que del total de niños de 5 a 14 años hablantes de lengua indígena, 88.6% asiste a la escuela, este porcentaje comparado con el correspondiente al 2000, es superior en casi ocho puntos porcentuales.</w:t>
      </w:r>
    </w:p>
    <w:p w14:paraId="4E1EEF8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Como puede apreciarse en las gráficas, este incremento se refleja también en los porcentajes de asistencia por edad desplegada, en hombres y mujeres, en todas las edades.</w:t>
      </w:r>
    </w:p>
    <w:p w14:paraId="13D77F2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Entre los años 2000 y 2010, la proporción de asistencia aumenta conforme aumenta la edad, hasta los nueve años y disminuye paulatinamente hasta ser menor de 80% a los 14 años. </w:t>
      </w:r>
    </w:p>
    <w:p w14:paraId="4D350F92" w14:textId="77777777" w:rsidR="004220B7" w:rsidRPr="007923C2" w:rsidRDefault="004220B7" w:rsidP="0030489A">
      <w:pPr>
        <w:jc w:val="center"/>
        <w:rPr>
          <w:rFonts w:ascii="Arial" w:hAnsi="Arial" w:cs="Arial"/>
          <w:sz w:val="22"/>
          <w:szCs w:val="22"/>
        </w:rPr>
      </w:pPr>
      <w:r w:rsidRPr="007923C2">
        <w:rPr>
          <w:rFonts w:ascii="Arial" w:hAnsi="Arial" w:cs="Arial"/>
          <w:noProof/>
          <w:sz w:val="22"/>
          <w:szCs w:val="22"/>
        </w:rPr>
        <w:drawing>
          <wp:inline distT="0" distB="0" distL="0" distR="0" wp14:anchorId="4AA3A61A" wp14:editId="032819E0">
            <wp:extent cx="4108841" cy="5505450"/>
            <wp:effectExtent l="0" t="0" r="6350" b="0"/>
            <wp:docPr id="616" name="Imagen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23871" cy="5525589"/>
                    </a:xfrm>
                    <a:prstGeom prst="rect">
                      <a:avLst/>
                    </a:prstGeom>
                    <a:noFill/>
                    <a:ln>
                      <a:noFill/>
                    </a:ln>
                  </pic:spPr>
                </pic:pic>
              </a:graphicData>
            </a:graphic>
          </wp:inline>
        </w:drawing>
      </w:r>
    </w:p>
    <w:p w14:paraId="07A3342D" w14:textId="77777777" w:rsidR="004220B7" w:rsidRPr="007923C2" w:rsidRDefault="004220B7" w:rsidP="004220B7">
      <w:pPr>
        <w:jc w:val="both"/>
        <w:rPr>
          <w:rFonts w:ascii="Arial" w:hAnsi="Arial" w:cs="Arial"/>
          <w:sz w:val="22"/>
          <w:szCs w:val="22"/>
        </w:rPr>
      </w:pPr>
    </w:p>
    <w:p w14:paraId="1B15578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Asimismo, hasta los 12 años hombres y mujeres registran porcentajes similares, mientras que de los 13 a los 14 años los porcentajes de asistencia de las mujeres disminuyen más que los de los varones.</w:t>
      </w:r>
    </w:p>
    <w:p w14:paraId="1CCC6E5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Cabe señalar que durante el periodo se redujeron las brechas entre mujeres y hombres, en todas las edades, pero en especial a partir de los 11 años, siendo notable entre los de 14 años, donde la diferencia en la proporción bajó de 12.1 a solamente 4 por ciento</w:t>
      </w:r>
    </w:p>
    <w:p w14:paraId="69B23A06" w14:textId="77777777" w:rsidR="004220B7" w:rsidRPr="007923C2" w:rsidRDefault="004220B7" w:rsidP="004220B7">
      <w:pPr>
        <w:jc w:val="both"/>
        <w:rPr>
          <w:rFonts w:ascii="Arial" w:hAnsi="Arial" w:cs="Arial"/>
          <w:sz w:val="22"/>
          <w:szCs w:val="22"/>
        </w:rPr>
      </w:pPr>
    </w:p>
    <w:p w14:paraId="7568F562"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34756577" wp14:editId="16C25DD4">
            <wp:extent cx="5808980" cy="5038725"/>
            <wp:effectExtent l="0" t="0" r="1270" b="9525"/>
            <wp:docPr id="615" name="Imagen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40522" cy="5066085"/>
                    </a:xfrm>
                    <a:prstGeom prst="rect">
                      <a:avLst/>
                    </a:prstGeom>
                    <a:noFill/>
                    <a:ln>
                      <a:noFill/>
                    </a:ln>
                  </pic:spPr>
                </pic:pic>
              </a:graphicData>
            </a:graphic>
          </wp:inline>
        </w:drawing>
      </w:r>
    </w:p>
    <w:p w14:paraId="569A9E72" w14:textId="77777777" w:rsidR="004220B7" w:rsidRPr="007923C2" w:rsidRDefault="004220B7" w:rsidP="004220B7">
      <w:pPr>
        <w:jc w:val="both"/>
        <w:rPr>
          <w:rFonts w:ascii="Arial" w:hAnsi="Arial" w:cs="Arial"/>
          <w:sz w:val="22"/>
          <w:szCs w:val="22"/>
        </w:rPr>
      </w:pPr>
    </w:p>
    <w:p w14:paraId="04BD605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 nivel nacional, las proporciones de los hablantes de lengua indígena de 5 a 14 años que asisten a la escuela son 89.1% de los varones y 88.2% de las mujeres. </w:t>
      </w:r>
    </w:p>
    <w:p w14:paraId="7025DD2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entidad federativa hay ciertas diferencias: el porcentaje de los varones es mayor al 90% en 10 entidades, entre ellas San Luis Potosí, con 96%, le siguen Hidalgo, Campeche, Quintana Roo y Yucatán, con más del 94 por ciento. En cambio, Colima muestra el menor porcentaje del país (56.5%), le sigue Chihuahua con 64.9 por ciento. La diferencia entre los niños de San Luis Potosí y Colima es de casi 40 puntos. </w:t>
      </w:r>
    </w:p>
    <w:p w14:paraId="77A1B1B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En el caso de las mujeres, la situación es similar las proporciones más altas están en San Luis Potosí (96%) e Hidalgo (95%), mientras las menores se ubican en Colima (64%) y Chihuahua (65 por ciento). La diferencia entre las niñas de San Luis Potosí y Colima es de 32 puntos. Al comparar a niños y niñas, se identifican algunos contrastes. En 17 estados, los porcentajes de los varones son mayores; en los otros 15, es a la inversa. En el primer caso destaca Nuevo León, con 90.8% de los hombres y 85.6% de las mujeres, y Jalisco con 80.5% y 75.7 por ciento. En el caso de los menores porcentajes para las mujeres, está Colima, con 64% de las niñas y 56.5% de los niños.</w:t>
      </w:r>
    </w:p>
    <w:p w14:paraId="112C0BF5"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ASISTENCIA ESCOLAR DE LA POBLACIÒN DE 15 A 19 AÑOS HABLANTE DE LENGUA INDIGENA</w:t>
      </w:r>
    </w:p>
    <w:p w14:paraId="61D3725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Entre los años 2000 y 2010, el porcentaje de asistencia escolar de la población de 15 a 19 años hablante de lengua indígena, aumentó significativamente de 30.0 a 40.7 por ciento. El mayor incremento se registró entre las mujeres, de 25.0 a 38.4 por ciento.</w:t>
      </w:r>
    </w:p>
    <w:p w14:paraId="07D5961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edad individual también se aprecian aumentos, sobre todo de las mujeres de 15 y 16 años.</w:t>
      </w:r>
    </w:p>
    <w:p w14:paraId="27EBFC8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periodo, el porcentaje de asistencia escolar de los hombres de 15 años pasan de 58.3 a 69.5%, con 11.2 puntos de diferencia. Las mujeres de esta edad pasan de 44.7 a 64.4%, con 19.7 puntos de diferencia. </w:t>
      </w:r>
    </w:p>
    <w:p w14:paraId="23445AEE"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39963F18" wp14:editId="53FF5495">
            <wp:extent cx="3838575" cy="5399859"/>
            <wp:effectExtent l="0" t="0" r="0" b="0"/>
            <wp:docPr id="614" name="Imagen 614"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BOTANICA\AppData\Local\Temp\msohtmlclip1\01\clip_image001.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75769" cy="5452181"/>
                    </a:xfrm>
                    <a:prstGeom prst="rect">
                      <a:avLst/>
                    </a:prstGeom>
                    <a:noFill/>
                    <a:ln>
                      <a:noFill/>
                    </a:ln>
                  </pic:spPr>
                </pic:pic>
              </a:graphicData>
            </a:graphic>
          </wp:inline>
        </w:drawing>
      </w:r>
    </w:p>
    <w:p w14:paraId="10612EA9" w14:textId="77777777" w:rsidR="004220B7" w:rsidRPr="007923C2" w:rsidRDefault="004220B7" w:rsidP="00263F9E">
      <w:pPr>
        <w:ind w:left="-510"/>
        <w:jc w:val="both"/>
        <w:rPr>
          <w:rFonts w:ascii="Arial" w:hAnsi="Arial" w:cs="Arial"/>
          <w:sz w:val="22"/>
          <w:szCs w:val="22"/>
        </w:rPr>
      </w:pPr>
      <w:r w:rsidRPr="007923C2">
        <w:rPr>
          <w:rFonts w:ascii="Arial" w:hAnsi="Arial" w:cs="Arial"/>
          <w:sz w:val="22"/>
          <w:szCs w:val="22"/>
        </w:rPr>
        <w:t>A su vez, los varones de 16 años incrementaron su asistencia escolar en 8.7 puntos porcentuales, mientras que las mujeres lo hicieron en 16.1.</w:t>
      </w:r>
    </w:p>
    <w:p w14:paraId="7B47C6D5" w14:textId="77777777" w:rsidR="004220B7" w:rsidRPr="007923C2" w:rsidRDefault="004220B7" w:rsidP="00263F9E">
      <w:pPr>
        <w:ind w:left="-510"/>
        <w:jc w:val="both"/>
        <w:rPr>
          <w:rFonts w:ascii="Arial" w:hAnsi="Arial" w:cs="Arial"/>
          <w:sz w:val="22"/>
          <w:szCs w:val="22"/>
        </w:rPr>
      </w:pPr>
      <w:r w:rsidRPr="007923C2">
        <w:rPr>
          <w:rFonts w:ascii="Arial" w:hAnsi="Arial" w:cs="Arial"/>
          <w:sz w:val="22"/>
          <w:szCs w:val="22"/>
        </w:rPr>
        <w:t xml:space="preserve">También se incrementaron las proporciones de hombres y sobre todo de mujeres de 17 y de 18 años. En cambio, el menor incremento correspondió a la población de 19 años, en particular a los hombres. </w:t>
      </w:r>
    </w:p>
    <w:p w14:paraId="0BA3D77D" w14:textId="77777777" w:rsidR="004220B7" w:rsidRPr="007923C2" w:rsidRDefault="004220B7" w:rsidP="00263F9E">
      <w:pPr>
        <w:ind w:left="-510"/>
        <w:jc w:val="both"/>
        <w:rPr>
          <w:rFonts w:ascii="Arial" w:hAnsi="Arial" w:cs="Arial"/>
          <w:sz w:val="22"/>
          <w:szCs w:val="22"/>
        </w:rPr>
      </w:pPr>
      <w:r w:rsidRPr="007923C2">
        <w:rPr>
          <w:rFonts w:ascii="Arial" w:hAnsi="Arial" w:cs="Arial"/>
          <w:sz w:val="22"/>
          <w:szCs w:val="22"/>
        </w:rPr>
        <w:t>Lo anterior permite apreciar tanto el incremento en la asistencia escolar de los hablantes de lengua indígena de estas edades, como la reducción en las brechas de género</w:t>
      </w:r>
    </w:p>
    <w:p w14:paraId="278E7E80" w14:textId="77777777" w:rsidR="004220B7" w:rsidRPr="007923C2" w:rsidRDefault="004220B7" w:rsidP="0030489A">
      <w:pPr>
        <w:jc w:val="center"/>
        <w:rPr>
          <w:rFonts w:ascii="Arial" w:hAnsi="Arial" w:cs="Arial"/>
          <w:sz w:val="22"/>
          <w:szCs w:val="22"/>
        </w:rPr>
      </w:pPr>
      <w:r w:rsidRPr="007923C2">
        <w:rPr>
          <w:rFonts w:ascii="Arial" w:hAnsi="Arial" w:cs="Arial"/>
          <w:noProof/>
          <w:sz w:val="22"/>
          <w:szCs w:val="22"/>
        </w:rPr>
        <w:lastRenderedPageBreak/>
        <w:drawing>
          <wp:inline distT="0" distB="0" distL="0" distR="0" wp14:anchorId="055CC24E" wp14:editId="5296EC92">
            <wp:extent cx="4642217" cy="4419600"/>
            <wp:effectExtent l="0" t="0" r="6350" b="0"/>
            <wp:docPr id="613" name="Imagen 613"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BOTANICA\AppData\Local\Temp\msohtmlclip1\01\clip_image00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83095" cy="4458518"/>
                    </a:xfrm>
                    <a:prstGeom prst="rect">
                      <a:avLst/>
                    </a:prstGeom>
                    <a:noFill/>
                    <a:ln>
                      <a:noFill/>
                    </a:ln>
                  </pic:spPr>
                </pic:pic>
              </a:graphicData>
            </a:graphic>
          </wp:inline>
        </w:drawing>
      </w:r>
    </w:p>
    <w:p w14:paraId="2097AECC" w14:textId="77777777" w:rsidR="004220B7" w:rsidRPr="007923C2" w:rsidRDefault="004220B7" w:rsidP="004220B7">
      <w:pPr>
        <w:jc w:val="both"/>
        <w:rPr>
          <w:rFonts w:ascii="Arial" w:hAnsi="Arial" w:cs="Arial"/>
          <w:sz w:val="22"/>
          <w:szCs w:val="22"/>
        </w:rPr>
      </w:pPr>
    </w:p>
    <w:p w14:paraId="761987B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contraste con los hablantes de 5 a 14 años, el grupo de edad de 15 a 19 años tiene porcentajes de asistencia escolar más bajos: 43% de los hombres y 38.4% de las mujeres a nivel nacional. Sin embargo, por entidad federativa existen diferencias relevantes.</w:t>
      </w:r>
    </w:p>
    <w:p w14:paraId="4C78A63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caso de los hombres, en tres entidades dicho porcentaje supera el 50%, destaca Coahuila con el mayor 61.4%, le siguen Tabasco, con 56.6% y San Luis </w:t>
      </w:r>
    </w:p>
    <w:p w14:paraId="4B8D55E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Potosí 50.6 por ciento; y en otras once, es mayor al 40 por ciento. Por el contrario, en Baja California Sur es de solamente 12.3 por ciento.</w:t>
      </w:r>
    </w:p>
    <w:p w14:paraId="0826966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Para las mujeres, dicho porcentaje se acerca a 50% en cuatro entidades: el mayor corresponde a Coahuila y San Luis Potosí (ambos 49.5%), luego están Tabasco (48.1%) y Veracruz (47.1 por ciento); en otras 12 entidades rebasa el 35 por ciento. En cambio, en Nuevo León está el menor, con 12.0%, seguido de cerca por Baja California Sur con 15.1 por ciento.</w:t>
      </w:r>
    </w:p>
    <w:p w14:paraId="4B63D7F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Cabe señalar que en 23 entidades el porcentaje de asistencia escolar de los varones hablantes supera al de las mujeres, sobretodo en Chiapas, Jalisco y Coahuila, con alrededor de 10 puntos de diferencia, mientras que en otras ocho el de las mujeres rebasa al de los hombres, destaca Guanajuato y Zacatecas con brechas superiores a siete puntos.</w:t>
      </w:r>
    </w:p>
    <w:p w14:paraId="505FDDB7" w14:textId="77777777" w:rsidR="004220B7" w:rsidRPr="007923C2" w:rsidRDefault="004220B7" w:rsidP="0030489A">
      <w:pPr>
        <w:jc w:val="center"/>
        <w:rPr>
          <w:rFonts w:ascii="Arial" w:hAnsi="Arial" w:cs="Arial"/>
          <w:sz w:val="22"/>
          <w:szCs w:val="22"/>
        </w:rPr>
      </w:pPr>
      <w:r w:rsidRPr="007923C2">
        <w:rPr>
          <w:rFonts w:ascii="Arial" w:hAnsi="Arial" w:cs="Arial"/>
          <w:noProof/>
          <w:sz w:val="22"/>
          <w:szCs w:val="22"/>
        </w:rPr>
        <w:lastRenderedPageBreak/>
        <w:drawing>
          <wp:inline distT="0" distB="0" distL="0" distR="0" wp14:anchorId="02FE8CC3" wp14:editId="7A6AC1A5">
            <wp:extent cx="4543425" cy="3890610"/>
            <wp:effectExtent l="0" t="0" r="0" b="0"/>
            <wp:docPr id="612" name="Imagen 612"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BOTANICA\AppData\Local\Temp\msohtmlclip1\01\clip_image00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91151" cy="3931478"/>
                    </a:xfrm>
                    <a:prstGeom prst="rect">
                      <a:avLst/>
                    </a:prstGeom>
                    <a:noFill/>
                    <a:ln>
                      <a:noFill/>
                    </a:ln>
                  </pic:spPr>
                </pic:pic>
              </a:graphicData>
            </a:graphic>
          </wp:inline>
        </w:drawing>
      </w:r>
    </w:p>
    <w:p w14:paraId="08C992EB"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PROMEDIO DE ESCOLARIDAD DE LA POBLACIÓN DE 15 AÑOS Y MÁS HABLANTE DE LENGUA ÍNDIGENA</w:t>
      </w:r>
    </w:p>
    <w:p w14:paraId="3816084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 nivel nacional, el número de años de educación formal, que en promedio aprobó la población hablante de lengua indígena de 15 años y más es de 5.1, es decir, cuentan con un nivel menor a la primaria concluida. </w:t>
      </w:r>
    </w:p>
    <w:p w14:paraId="4047790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Además, dicho promedio permite apreciar diferencias de género: el de los hombres es de 5.6 años y el de las mujeres de 4.5, con una diferencia de 1.1 años.</w:t>
      </w:r>
    </w:p>
    <w:p w14:paraId="10FA21F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Destacan Aguascalientes, Coahuila y Nuevo León, donde los hablantes varones registran promedios de escolaridad mayores a ocho años y las mujeres a 7.5, mientras que en otros ocho estados los promedios de hombres y mujeres están entre 6 y 7 años. Por otra parte, en Chihuahua, Guerrero, Veracruz, Puebla, Chiapas y Nayarit el número promedio de años aprobados es menor a 5. Destaca que en Chihuahua el de las mujeres es de 3.4 años.</w:t>
      </w:r>
    </w:p>
    <w:p w14:paraId="66F4B05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Las mayores diferencias por género corresponden al estado de México con 1.7, el Distrito Federal y Colima con 1.5 y Querétaro con 1.4 años.</w:t>
      </w:r>
    </w:p>
    <w:p w14:paraId="541E676D"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6C93C89C" wp14:editId="7C83E834">
            <wp:extent cx="4955919" cy="3714750"/>
            <wp:effectExtent l="0" t="0" r="0" b="0"/>
            <wp:docPr id="611" name="Imagen 611"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C:\Users\BOTANICA\AppData\Local\Temp\msohtmlclip1\01\clip_image00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01928" cy="3749236"/>
                    </a:xfrm>
                    <a:prstGeom prst="rect">
                      <a:avLst/>
                    </a:prstGeom>
                    <a:noFill/>
                    <a:ln>
                      <a:noFill/>
                    </a:ln>
                  </pic:spPr>
                </pic:pic>
              </a:graphicData>
            </a:graphic>
          </wp:inline>
        </w:drawing>
      </w:r>
    </w:p>
    <w:p w14:paraId="2D72AEAB" w14:textId="77777777" w:rsidR="004220B7" w:rsidRPr="007923C2" w:rsidRDefault="004220B7" w:rsidP="004220B7">
      <w:pPr>
        <w:jc w:val="both"/>
        <w:rPr>
          <w:rFonts w:ascii="Arial" w:hAnsi="Arial" w:cs="Arial"/>
          <w:sz w:val="22"/>
          <w:szCs w:val="22"/>
        </w:rPr>
      </w:pPr>
    </w:p>
    <w:p w14:paraId="23A3A97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país, 78.3% de las viviendas indígenas cuenta con agua entubada dentro de la vivienda; o bien, fuera de ella, pero dentro del terreno; la que se acarrea de otra vivienda, y la que se obtiene de una llave pública o hidrante. </w:t>
      </w:r>
    </w:p>
    <w:p w14:paraId="58A82D4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entidad federativa existen importantes diferencias. En 14 entidades, el porcentaje de estas viviendas que dispone de agua entubada es mayor a 90%, destacando Aguascalientes con el más alto, 99.2%, le siguen Coahuila (98.5%), Tlaxcala (97.2%) y Yucatán (96.7 por ciento). En otras 10 entidades, los porcentajes están entre 79.2% (Hidalgo) y 87.8% (Zacatecas). </w:t>
      </w:r>
    </w:p>
    <w:p w14:paraId="46DE568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cambio, los porcentajes son menores a 60% en estos cuatro estados, San Luis Potosí con 59.1%, Guerrero (57.6%), Chihuahua (51.9%) y el porcentaje más bajo (45.3%), registrado en Durango.</w:t>
      </w:r>
    </w:p>
    <w:p w14:paraId="5AAA99C3" w14:textId="77777777" w:rsidR="004220B7" w:rsidRPr="007923C2" w:rsidRDefault="004220B7" w:rsidP="004220B7">
      <w:pPr>
        <w:jc w:val="both"/>
        <w:rPr>
          <w:rFonts w:ascii="Arial" w:hAnsi="Arial" w:cs="Arial"/>
          <w:sz w:val="22"/>
          <w:szCs w:val="22"/>
        </w:rPr>
      </w:pPr>
    </w:p>
    <w:p w14:paraId="5DD9BF6E" w14:textId="77777777" w:rsidR="004220B7" w:rsidRPr="007923C2" w:rsidRDefault="004220B7" w:rsidP="004220B7">
      <w:pPr>
        <w:jc w:val="both"/>
        <w:rPr>
          <w:rFonts w:ascii="Arial" w:hAnsi="Arial" w:cs="Arial"/>
          <w:sz w:val="22"/>
          <w:szCs w:val="22"/>
        </w:rPr>
      </w:pPr>
    </w:p>
    <w:p w14:paraId="0591C6E4" w14:textId="77777777" w:rsidR="004220B7" w:rsidRPr="007923C2" w:rsidRDefault="004220B7" w:rsidP="004220B7">
      <w:pPr>
        <w:jc w:val="both"/>
        <w:rPr>
          <w:rFonts w:ascii="Arial" w:hAnsi="Arial" w:cs="Arial"/>
          <w:sz w:val="22"/>
          <w:szCs w:val="22"/>
        </w:rPr>
      </w:pPr>
    </w:p>
    <w:p w14:paraId="4487C9D5" w14:textId="77777777" w:rsidR="004220B7" w:rsidRPr="007923C2" w:rsidRDefault="004220B7" w:rsidP="004220B7">
      <w:pPr>
        <w:jc w:val="both"/>
        <w:rPr>
          <w:rFonts w:ascii="Arial" w:hAnsi="Arial" w:cs="Arial"/>
          <w:sz w:val="22"/>
          <w:szCs w:val="22"/>
        </w:rPr>
      </w:pPr>
    </w:p>
    <w:p w14:paraId="2856C247" w14:textId="77777777" w:rsidR="004220B7" w:rsidRPr="007923C2" w:rsidRDefault="004220B7" w:rsidP="004220B7">
      <w:pPr>
        <w:jc w:val="both"/>
        <w:rPr>
          <w:rFonts w:ascii="Arial" w:hAnsi="Arial" w:cs="Arial"/>
          <w:sz w:val="22"/>
          <w:szCs w:val="22"/>
        </w:rPr>
      </w:pPr>
    </w:p>
    <w:p w14:paraId="2367E5BA"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6B700381" wp14:editId="43436C5E">
            <wp:extent cx="4200525" cy="3487048"/>
            <wp:effectExtent l="0" t="0" r="0" b="0"/>
            <wp:docPr id="610" name="Imagen 610"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C:\Users\BOTANICA\AppData\Local\Temp\msohtmlclip1\01\clip_image001.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36432" cy="3516856"/>
                    </a:xfrm>
                    <a:prstGeom prst="rect">
                      <a:avLst/>
                    </a:prstGeom>
                    <a:noFill/>
                    <a:ln>
                      <a:noFill/>
                    </a:ln>
                  </pic:spPr>
                </pic:pic>
              </a:graphicData>
            </a:graphic>
          </wp:inline>
        </w:drawing>
      </w:r>
    </w:p>
    <w:p w14:paraId="63E4D26E"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 xml:space="preserve">BIENES Y TECNOLOGIAS DE LA INFORMACION Y LA COMUNICACIÓN DE LA VIVIENDA INDIGENA </w:t>
      </w:r>
    </w:p>
    <w:p w14:paraId="5C69B93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partir de la información del Censo 2010, pueden identificarse las viviendas indígenas que disponen de bienes y tecnologías de la información y la comunicación</w:t>
      </w:r>
    </w:p>
    <w:p w14:paraId="5EF2C14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el caso de los bienes, destaca que en casi la mitad de las viviendas indígenas (46.7%) se dispone de refrigerador, en poco más de una cuarta parte se cuenta con lavadora (27.5%), mientras que solo en 15.7% los ocupantes poseen auto propio.</w:t>
      </w:r>
    </w:p>
    <w:p w14:paraId="21EE96C5" w14:textId="77777777" w:rsidR="0030489A" w:rsidRDefault="004220B7" w:rsidP="004220B7">
      <w:pPr>
        <w:jc w:val="both"/>
        <w:rPr>
          <w:rFonts w:ascii="Arial" w:hAnsi="Arial" w:cs="Arial"/>
          <w:sz w:val="22"/>
          <w:szCs w:val="22"/>
        </w:rPr>
      </w:pPr>
      <w:r w:rsidRPr="007923C2">
        <w:rPr>
          <w:rFonts w:ascii="Arial" w:hAnsi="Arial" w:cs="Arial"/>
          <w:sz w:val="22"/>
          <w:szCs w:val="22"/>
        </w:rPr>
        <w:t xml:space="preserve">Por lo que respecta a las tecnologías de la información y la comunicación, en la mayoría de las viviendas indígenas se dispone de televisor (70.6%), mientras que en 64.1% se cuenta con radio. En contraste, en 32.8% se dispone de teléfono celular, en 8.6% de computadora y solamente en </w:t>
      </w:r>
    </w:p>
    <w:p w14:paraId="591AB757" w14:textId="77777777" w:rsidR="004220B7" w:rsidRDefault="004220B7" w:rsidP="004220B7">
      <w:pPr>
        <w:jc w:val="both"/>
        <w:rPr>
          <w:rFonts w:ascii="Arial" w:hAnsi="Arial" w:cs="Arial"/>
          <w:sz w:val="22"/>
          <w:szCs w:val="22"/>
        </w:rPr>
      </w:pPr>
      <w:r w:rsidRPr="007923C2">
        <w:rPr>
          <w:rFonts w:ascii="Arial" w:hAnsi="Arial" w:cs="Arial"/>
          <w:sz w:val="22"/>
          <w:szCs w:val="22"/>
        </w:rPr>
        <w:t>4.7% de internet</w:t>
      </w:r>
      <w:r w:rsidR="0030489A">
        <w:rPr>
          <w:rFonts w:ascii="Arial" w:hAnsi="Arial" w:cs="Arial"/>
          <w:sz w:val="22"/>
          <w:szCs w:val="22"/>
        </w:rPr>
        <w:t>.</w:t>
      </w:r>
    </w:p>
    <w:p w14:paraId="70F87226" w14:textId="77777777" w:rsidR="0030489A" w:rsidRDefault="0030489A"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0CA11969" wp14:editId="1B587AA8">
            <wp:extent cx="3086100" cy="2387600"/>
            <wp:effectExtent l="0" t="0" r="0" b="0"/>
            <wp:docPr id="18" name="Imagen 18"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C:\Users\BOTANICA\AppData\Local\Temp\msohtmlclip1\01\clip_image00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22970" cy="2416125"/>
                    </a:xfrm>
                    <a:prstGeom prst="rect">
                      <a:avLst/>
                    </a:prstGeom>
                    <a:noFill/>
                    <a:ln>
                      <a:noFill/>
                    </a:ln>
                  </pic:spPr>
                </pic:pic>
              </a:graphicData>
            </a:graphic>
          </wp:inline>
        </w:drawing>
      </w:r>
    </w:p>
    <w:p w14:paraId="06400B14" w14:textId="77777777" w:rsidR="0030489A" w:rsidRDefault="0030489A" w:rsidP="004220B7">
      <w:pPr>
        <w:jc w:val="both"/>
        <w:rPr>
          <w:rFonts w:ascii="Arial" w:hAnsi="Arial" w:cs="Arial"/>
          <w:b/>
          <w:sz w:val="22"/>
          <w:szCs w:val="22"/>
        </w:rPr>
      </w:pPr>
      <w:r w:rsidRPr="007923C2">
        <w:rPr>
          <w:rFonts w:ascii="Arial" w:hAnsi="Arial" w:cs="Arial"/>
          <w:noProof/>
          <w:sz w:val="22"/>
          <w:szCs w:val="22"/>
        </w:rPr>
        <w:drawing>
          <wp:inline distT="0" distB="0" distL="0" distR="0" wp14:anchorId="2C664AA3" wp14:editId="6B4A0D41">
            <wp:extent cx="3270166" cy="2876550"/>
            <wp:effectExtent l="0" t="0" r="6985" b="0"/>
            <wp:docPr id="609" name="Imagen 609"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C:\Users\BOTANICA\AppData\Local\Temp\msohtmlclip1\01\clip_image00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98129" cy="2901147"/>
                    </a:xfrm>
                    <a:prstGeom prst="rect">
                      <a:avLst/>
                    </a:prstGeom>
                    <a:noFill/>
                    <a:ln>
                      <a:noFill/>
                    </a:ln>
                  </pic:spPr>
                </pic:pic>
              </a:graphicData>
            </a:graphic>
          </wp:inline>
        </w:drawing>
      </w:r>
    </w:p>
    <w:p w14:paraId="61F5A7B3" w14:textId="77777777" w:rsidR="004C4536" w:rsidRDefault="004C4536" w:rsidP="004220B7">
      <w:pPr>
        <w:jc w:val="both"/>
        <w:rPr>
          <w:rFonts w:ascii="Arial" w:hAnsi="Arial" w:cs="Arial"/>
          <w:b/>
          <w:sz w:val="22"/>
          <w:szCs w:val="22"/>
        </w:rPr>
      </w:pPr>
    </w:p>
    <w:p w14:paraId="282F6907"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4.2.2.2.- EGRESADOS DE EDUCACIÓN MEDIA</w:t>
      </w:r>
    </w:p>
    <w:p w14:paraId="3DDCF3B5"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EDUCACIÓN</w:t>
      </w:r>
    </w:p>
    <w:p w14:paraId="607E2924" w14:textId="77777777" w:rsidR="004220B7" w:rsidRPr="007923C2" w:rsidRDefault="004220B7" w:rsidP="004220B7">
      <w:pPr>
        <w:jc w:val="both"/>
        <w:rPr>
          <w:rFonts w:ascii="Arial" w:hAnsi="Arial" w:cs="Arial"/>
          <w:b/>
          <w:sz w:val="22"/>
          <w:szCs w:val="22"/>
        </w:rPr>
      </w:pPr>
      <w:r w:rsidRPr="007923C2">
        <w:rPr>
          <w:rFonts w:ascii="Arial" w:hAnsi="Arial" w:cs="Arial"/>
          <w:sz w:val="22"/>
          <w:szCs w:val="22"/>
        </w:rPr>
        <w:t>La educación que recibe la población dentro del sistema educativo, contribuye a adquirir los conocimientos, las habilidades y las actitudes básicas para su desarrollo individual, familiar y social; además es un medio para generar transformaciones de la sociedad que se traduce en referente para el progreso del país.</w:t>
      </w:r>
    </w:p>
    <w:p w14:paraId="62FD215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Así lo muestran los datos: el comportamiento de la fecundidad y la salud se relacionan directamente con el nivel de escolaridad, orientándose en la toma de decisiones sobre los derechos reproductivos y en mejores prácticas de nutrición, que inciden en tasas más </w:t>
      </w:r>
    </w:p>
    <w:p w14:paraId="23F6047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Altas de sobrevivencia infantil. En el plano laboral, se tienen mayores probabilidades de incorporarse y permanecer en el mercado formal, ganar un salario más alto y contribuir a la productividad económica del país.</w:t>
      </w:r>
    </w:p>
    <w:p w14:paraId="30152F1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censos son una fuente de información estadística, indispensable para el análisis del comportamiento demográfico, social y económico de la población. En este capítulo importa centrar y destacar lo referente al tema de la educación. Tradicionalmente y atendiendo las recomendaciones internacionales de Naciones Unidas, los censos de población reúnen información de educación a partir de tres variables básicas: asistencia, nivel de escolaridad y alfabetismo.</w:t>
      </w:r>
    </w:p>
    <w:p w14:paraId="37BCE04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Censo de Población y Vivienda 2010, además de ofrecer continuidad y comparabilidad para esos temas, proporciona por primera vez datos sobre la asistencia escolar de la población de 3 años y más, que tiene fundamento en la Ley General de Educación.</w:t>
      </w:r>
    </w:p>
    <w:p w14:paraId="63F5940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El presente capítulo ofrece, con base en las tres principales variables, una serie de indicadores que brindan un panorama general del acceso, los logros y los retos educativos de la población, con lo que es posible identificar los avances y las necesidades que existen en la materia. </w:t>
      </w:r>
    </w:p>
    <w:p w14:paraId="5F3BE6BE"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ANALFABETISMO</w:t>
      </w:r>
    </w:p>
    <w:p w14:paraId="180FF4F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El analfabetismo considera a la población de 15 años y más que no sabe leer ni escribir un recado. </w:t>
      </w:r>
    </w:p>
    <w:p w14:paraId="3734AD4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Este indicador es básico para medir el nivel de bienestar de la población.</w:t>
      </w:r>
    </w:p>
    <w:p w14:paraId="7AE91E1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2010, de cada 100 personas 7 no han adquirido la habilidad de la lecto-escritura.</w:t>
      </w:r>
    </w:p>
    <w:p w14:paraId="5C343E42" w14:textId="77777777" w:rsidR="004220B7" w:rsidRPr="007923C2" w:rsidRDefault="004220B7" w:rsidP="004C4536">
      <w:pPr>
        <w:jc w:val="center"/>
        <w:rPr>
          <w:rFonts w:ascii="Arial" w:hAnsi="Arial" w:cs="Arial"/>
          <w:sz w:val="22"/>
          <w:szCs w:val="22"/>
          <w:highlight w:val="yellow"/>
        </w:rPr>
      </w:pPr>
      <w:r w:rsidRPr="007923C2">
        <w:rPr>
          <w:rFonts w:ascii="Arial" w:hAnsi="Arial" w:cs="Arial"/>
          <w:noProof/>
          <w:sz w:val="22"/>
          <w:szCs w:val="22"/>
        </w:rPr>
        <w:drawing>
          <wp:inline distT="0" distB="0" distL="0" distR="0" wp14:anchorId="12EB5FBE" wp14:editId="6AC4A981">
            <wp:extent cx="3333750" cy="3145416"/>
            <wp:effectExtent l="0" t="0" r="0" b="0"/>
            <wp:docPr id="608" name="Imagen 608"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descr="C:\Users\BOTANICA\AppData\Local\Temp\msohtmlclip1\01\clip_image00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57496" cy="3167821"/>
                    </a:xfrm>
                    <a:prstGeom prst="rect">
                      <a:avLst/>
                    </a:prstGeom>
                    <a:noFill/>
                    <a:ln>
                      <a:noFill/>
                    </a:ln>
                  </pic:spPr>
                </pic:pic>
              </a:graphicData>
            </a:graphic>
          </wp:inline>
        </w:drawing>
      </w:r>
    </w:p>
    <w:p w14:paraId="5B45450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Al desagregar el indicador por sexo es posible apreciar las brechas que existen. </w:t>
      </w:r>
    </w:p>
    <w:p w14:paraId="0B75788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los últimos 20 años, la tasa de analfabetismo ha sido superior en las mujeres en relación con los hombres. </w:t>
      </w:r>
    </w:p>
    <w:p w14:paraId="349DB739" w14:textId="77777777"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lastRenderedPageBreak/>
        <w:t>Sin embargo, la distancia tiende a disminuir. En 1990, la diferencia fue de poco más de 5 puntos; 10 años después se reduce a casi 4 y, para la última década es de 2.5 puntos porcentuales.</w:t>
      </w:r>
    </w:p>
    <w:p w14:paraId="218AD9EE" w14:textId="77777777"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drawing>
          <wp:inline distT="0" distB="0" distL="0" distR="0" wp14:anchorId="15A79D85" wp14:editId="5A52C11F">
            <wp:extent cx="4029075" cy="2742870"/>
            <wp:effectExtent l="0" t="0" r="0" b="635"/>
            <wp:docPr id="607" name="Imagen 607"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descr="C:\Users\BOTANICA\AppData\Local\Temp\msohtmlclip1\01\clip_image0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55977" cy="2761184"/>
                    </a:xfrm>
                    <a:prstGeom prst="rect">
                      <a:avLst/>
                    </a:prstGeom>
                    <a:noFill/>
                    <a:ln>
                      <a:noFill/>
                    </a:ln>
                  </pic:spPr>
                </pic:pic>
              </a:graphicData>
            </a:graphic>
          </wp:inline>
        </w:drawing>
      </w:r>
    </w:p>
    <w:p w14:paraId="66D7393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Desde una óptica generacional, la tasa de analfabetismo es más alta conforme aumenta la edad, lo que evidencia las pocas oportunidades educativas que se tenían en el pasado, así como las disparidades de género. </w:t>
      </w:r>
    </w:p>
    <w:p w14:paraId="69BB67F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Entre los jóvenes, la proporción de analfabetas de ambos sexos no solo son menores, sino que además no hay diferencias.</w:t>
      </w:r>
    </w:p>
    <w:p w14:paraId="55917A2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lado puesto, los adultos mayores aparte de tener la mayor tasa de analfabetismo, la brecha por sexo es notablemente más grande. </w:t>
      </w:r>
    </w:p>
    <w:p w14:paraId="49070B52" w14:textId="77777777"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lastRenderedPageBreak/>
        <w:drawing>
          <wp:inline distT="0" distB="0" distL="0" distR="0" wp14:anchorId="33C798E1" wp14:editId="0B40C8AF">
            <wp:extent cx="4624522" cy="4219575"/>
            <wp:effectExtent l="0" t="0" r="5080" b="0"/>
            <wp:docPr id="606" name="Imagen 606"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descr="C:\Users\BOTANICA\AppData\Local\Temp\msohtmlclip1\01\clip_image0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43741" cy="4237111"/>
                    </a:xfrm>
                    <a:prstGeom prst="rect">
                      <a:avLst/>
                    </a:prstGeom>
                    <a:noFill/>
                    <a:ln>
                      <a:noFill/>
                    </a:ln>
                  </pic:spPr>
                </pic:pic>
              </a:graphicData>
            </a:graphic>
          </wp:inline>
        </w:drawing>
      </w:r>
    </w:p>
    <w:p w14:paraId="2E4A1FA2" w14:textId="77777777" w:rsidR="004220B7" w:rsidRPr="007923C2" w:rsidRDefault="004220B7" w:rsidP="004220B7">
      <w:pPr>
        <w:jc w:val="both"/>
        <w:rPr>
          <w:rFonts w:ascii="Arial" w:hAnsi="Arial" w:cs="Arial"/>
          <w:sz w:val="22"/>
          <w:szCs w:val="22"/>
          <w:highlight w:val="yellow"/>
        </w:rPr>
      </w:pPr>
    </w:p>
    <w:p w14:paraId="6CAC515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entidad federativa, se muestran los contrastes que existen por regiones.</w:t>
      </w:r>
    </w:p>
    <w:p w14:paraId="29B90EA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los Estados del sur y centro del país se concentran las tasas más altas de población analfabeta, entre ellos se encuentran: Chiapas 17.8%, Guerrero 16.7%, Oaxaca 16.3%, Veracruz 11.4%, Puebla 10.4%, Michoacán 10.2% e Hidalgo 10.2 por ciento. </w:t>
      </w:r>
    </w:p>
    <w:p w14:paraId="3B7428B6" w14:textId="77777777"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t>En el extremo opuesto, se ubican ocho entidades con las menores tasas de analfabetismo: el Distrito Federal 2.1%, Nuevo León 2.2%, Baja California 2.6%, Coahuila 2.6%, Sonora 3.0%, Baja California Sur 3.2%, Aguascalientes 3.3% y Tamaulipas 3.6 por ciento.</w:t>
      </w:r>
    </w:p>
    <w:p w14:paraId="724A943F" w14:textId="77777777" w:rsidR="004220B7" w:rsidRPr="007923C2" w:rsidRDefault="004220B7" w:rsidP="004C4536">
      <w:pPr>
        <w:jc w:val="center"/>
        <w:rPr>
          <w:rFonts w:ascii="Arial" w:hAnsi="Arial" w:cs="Arial"/>
          <w:sz w:val="22"/>
          <w:szCs w:val="22"/>
          <w:highlight w:val="yellow"/>
        </w:rPr>
      </w:pPr>
      <w:r w:rsidRPr="007923C2">
        <w:rPr>
          <w:rFonts w:ascii="Arial" w:hAnsi="Arial" w:cs="Arial"/>
          <w:noProof/>
          <w:sz w:val="22"/>
          <w:szCs w:val="22"/>
        </w:rPr>
        <w:lastRenderedPageBreak/>
        <w:drawing>
          <wp:inline distT="0" distB="0" distL="0" distR="0" wp14:anchorId="4F5F85FD" wp14:editId="1EA41F64">
            <wp:extent cx="5076529" cy="3790950"/>
            <wp:effectExtent l="0" t="0" r="0" b="0"/>
            <wp:docPr id="605" name="Imagen 605"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descr="C:\Users\BOTANICA\AppData\Local\Temp\msohtmlclip1\01\clip_image0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87966" cy="3799491"/>
                    </a:xfrm>
                    <a:prstGeom prst="rect">
                      <a:avLst/>
                    </a:prstGeom>
                    <a:noFill/>
                    <a:ln>
                      <a:noFill/>
                    </a:ln>
                  </pic:spPr>
                </pic:pic>
              </a:graphicData>
            </a:graphic>
          </wp:inline>
        </w:drawing>
      </w:r>
    </w:p>
    <w:p w14:paraId="322635B1" w14:textId="77777777" w:rsidR="004220B7" w:rsidRPr="007923C2" w:rsidRDefault="004220B7" w:rsidP="004220B7">
      <w:pPr>
        <w:jc w:val="both"/>
        <w:rPr>
          <w:rFonts w:ascii="Arial" w:hAnsi="Arial" w:cs="Arial"/>
          <w:sz w:val="22"/>
          <w:szCs w:val="22"/>
          <w:highlight w:val="yellow"/>
        </w:rPr>
      </w:pPr>
    </w:p>
    <w:p w14:paraId="7EE68410" w14:textId="77777777" w:rsidR="004220B7" w:rsidRPr="007923C2" w:rsidRDefault="004220B7" w:rsidP="004220B7">
      <w:pPr>
        <w:jc w:val="both"/>
        <w:rPr>
          <w:rFonts w:ascii="Arial" w:hAnsi="Arial" w:cs="Arial"/>
          <w:sz w:val="22"/>
          <w:szCs w:val="22"/>
          <w:highlight w:val="yellow"/>
        </w:rPr>
      </w:pPr>
    </w:p>
    <w:p w14:paraId="6C6565E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Existe una relación inversamente proporcional entre la población analfabeta y el tamaño de localidad.</w:t>
      </w:r>
    </w:p>
    <w:p w14:paraId="090428B7" w14:textId="77777777"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t>En las localidades con menos de 2 500 habitantes, el analfabetismo es seis veces mayor que el correspondiente a la población de las localidades más grandes.</w:t>
      </w:r>
    </w:p>
    <w:p w14:paraId="7F9AB271" w14:textId="77777777" w:rsidR="004220B7" w:rsidRPr="007923C2" w:rsidRDefault="004220B7" w:rsidP="004C4536">
      <w:pPr>
        <w:jc w:val="center"/>
        <w:rPr>
          <w:rFonts w:ascii="Arial" w:hAnsi="Arial" w:cs="Arial"/>
          <w:sz w:val="22"/>
          <w:szCs w:val="22"/>
          <w:highlight w:val="yellow"/>
        </w:rPr>
      </w:pPr>
      <w:r w:rsidRPr="007923C2">
        <w:rPr>
          <w:rFonts w:ascii="Arial" w:hAnsi="Arial" w:cs="Arial"/>
          <w:noProof/>
          <w:sz w:val="22"/>
          <w:szCs w:val="22"/>
        </w:rPr>
        <w:drawing>
          <wp:inline distT="0" distB="0" distL="0" distR="0" wp14:anchorId="1955090F" wp14:editId="6E495418">
            <wp:extent cx="3695700" cy="3018007"/>
            <wp:effectExtent l="0" t="0" r="0" b="0"/>
            <wp:docPr id="604" name="Imagen 604"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descr="C:\Users\BOTANICA\AppData\Local\Temp\msohtmlclip1\01\clip_image00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01613" cy="3022836"/>
                    </a:xfrm>
                    <a:prstGeom prst="rect">
                      <a:avLst/>
                    </a:prstGeom>
                    <a:noFill/>
                    <a:ln>
                      <a:noFill/>
                    </a:ln>
                  </pic:spPr>
                </pic:pic>
              </a:graphicData>
            </a:graphic>
          </wp:inline>
        </w:drawing>
      </w:r>
    </w:p>
    <w:p w14:paraId="6CBCA191"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lastRenderedPageBreak/>
        <w:t>REZAGO EDUCATIVO</w:t>
      </w:r>
    </w:p>
    <w:p w14:paraId="1B8F361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rezago educativo es uno de los retos que enfrenta el sistema educativo nacional.</w:t>
      </w:r>
    </w:p>
    <w:p w14:paraId="601A879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rezago se refiere a la población de 15 años y más que no tiene escolaridad, o bien aquellos que tienen al menos un grado aprobado en primaria, más la población que cuenta con la secundaria incompleta.</w:t>
      </w:r>
    </w:p>
    <w:p w14:paraId="74D07C07"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0E2C2025" wp14:editId="4DD9F5FF">
            <wp:extent cx="3667125" cy="3022549"/>
            <wp:effectExtent l="0" t="0" r="0" b="6985"/>
            <wp:docPr id="603" name="Imagen 603"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descr="C:\Users\BOTANICA\AppData\Local\Temp\msohtmlclip1\01\clip_image00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67125" cy="3022549"/>
                    </a:xfrm>
                    <a:prstGeom prst="rect">
                      <a:avLst/>
                    </a:prstGeom>
                    <a:noFill/>
                    <a:ln>
                      <a:noFill/>
                    </a:ln>
                  </pic:spPr>
                </pic:pic>
              </a:graphicData>
            </a:graphic>
          </wp:inline>
        </w:drawing>
      </w:r>
    </w:p>
    <w:p w14:paraId="7D330004" w14:textId="77777777" w:rsidR="004220B7" w:rsidRPr="007923C2" w:rsidRDefault="004220B7" w:rsidP="004C4536">
      <w:pPr>
        <w:jc w:val="both"/>
        <w:rPr>
          <w:rFonts w:ascii="Arial" w:hAnsi="Arial" w:cs="Arial"/>
          <w:sz w:val="22"/>
          <w:szCs w:val="22"/>
          <w:highlight w:val="yellow"/>
        </w:rPr>
      </w:pPr>
      <w:r w:rsidRPr="007923C2">
        <w:rPr>
          <w:rFonts w:ascii="Arial" w:hAnsi="Arial" w:cs="Arial"/>
          <w:sz w:val="22"/>
          <w:szCs w:val="22"/>
        </w:rPr>
        <w:t>Los últimos 20 años manifiestan un avance importante en la reducción del rezago educativo. Sin embargo, en 2010 de cada 100 personas de 15 años y más 42 están en esta situación.</w:t>
      </w:r>
    </w:p>
    <w:p w14:paraId="289493D0" w14:textId="77777777" w:rsidR="004220B7" w:rsidRPr="007923C2" w:rsidRDefault="004220B7" w:rsidP="004C4536">
      <w:pPr>
        <w:jc w:val="both"/>
        <w:rPr>
          <w:rFonts w:ascii="Arial" w:hAnsi="Arial" w:cs="Arial"/>
          <w:sz w:val="22"/>
          <w:szCs w:val="22"/>
        </w:rPr>
      </w:pPr>
      <w:r w:rsidRPr="007923C2">
        <w:rPr>
          <w:rFonts w:ascii="Arial" w:hAnsi="Arial" w:cs="Arial"/>
          <w:sz w:val="22"/>
          <w:szCs w:val="22"/>
        </w:rPr>
        <w:t>La edad de la población y el rezago educativo se encuentran estrechamente vinculados: amayor edad, es más grande la proporción de población que no cuenta con estudios básicos terminados.</w:t>
      </w:r>
    </w:p>
    <w:p w14:paraId="66F75DDD" w14:textId="77777777" w:rsidR="004220B7" w:rsidRDefault="004220B7" w:rsidP="004C4536">
      <w:pPr>
        <w:jc w:val="both"/>
        <w:rPr>
          <w:rFonts w:ascii="Arial" w:hAnsi="Arial" w:cs="Arial"/>
          <w:sz w:val="22"/>
          <w:szCs w:val="22"/>
        </w:rPr>
      </w:pPr>
      <w:r w:rsidRPr="007923C2">
        <w:rPr>
          <w:rFonts w:ascii="Arial" w:hAnsi="Arial" w:cs="Arial"/>
          <w:sz w:val="22"/>
          <w:szCs w:val="22"/>
        </w:rPr>
        <w:t>En 2010, de cada 100 jóvenes de 15 a 29 años, 27 están en rezago educativo; mientras que en el grupo de 75 años y más, de cada 100 personas 89 no han logrado concluir la secundaria.</w:t>
      </w:r>
    </w:p>
    <w:p w14:paraId="3AD8D62E" w14:textId="77777777" w:rsidR="004C4536" w:rsidRPr="007923C2" w:rsidRDefault="004C4536" w:rsidP="004C4536">
      <w:pPr>
        <w:jc w:val="both"/>
        <w:rPr>
          <w:rFonts w:ascii="Arial" w:hAnsi="Arial" w:cs="Arial"/>
          <w:sz w:val="22"/>
          <w:szCs w:val="22"/>
        </w:rPr>
      </w:pPr>
    </w:p>
    <w:p w14:paraId="2B9D75F5" w14:textId="77777777"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drawing>
          <wp:inline distT="0" distB="0" distL="0" distR="0" wp14:anchorId="3DBF0736" wp14:editId="648478B5">
            <wp:extent cx="3429000" cy="2219785"/>
            <wp:effectExtent l="0" t="0" r="0" b="9525"/>
            <wp:docPr id="602" name="Imagen 602"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descr="C:\Users\BOTANICA\AppData\Local\Temp\msohtmlclip1\01\clip_image00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66706" cy="2244194"/>
                    </a:xfrm>
                    <a:prstGeom prst="rect">
                      <a:avLst/>
                    </a:prstGeom>
                    <a:noFill/>
                    <a:ln>
                      <a:noFill/>
                    </a:ln>
                  </pic:spPr>
                </pic:pic>
              </a:graphicData>
            </a:graphic>
          </wp:inline>
        </w:drawing>
      </w:r>
    </w:p>
    <w:p w14:paraId="52C30A46" w14:textId="77777777" w:rsidR="004C4536" w:rsidRDefault="004C4536" w:rsidP="004220B7">
      <w:pPr>
        <w:jc w:val="both"/>
        <w:rPr>
          <w:rFonts w:ascii="Arial" w:hAnsi="Arial" w:cs="Arial"/>
          <w:sz w:val="22"/>
          <w:szCs w:val="22"/>
        </w:rPr>
      </w:pPr>
    </w:p>
    <w:p w14:paraId="1F6E0A3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Casi dos terceras partes de la población que reside en las localidades menores de 2 500 habitantes, se encuentran en </w:t>
      </w:r>
      <w:r w:rsidR="00B152E1" w:rsidRPr="007923C2">
        <w:rPr>
          <w:rFonts w:ascii="Arial" w:hAnsi="Arial" w:cs="Arial"/>
          <w:sz w:val="22"/>
          <w:szCs w:val="22"/>
        </w:rPr>
        <w:t xml:space="preserve">rezago educativo.  </w:t>
      </w:r>
    </w:p>
    <w:p w14:paraId="5B8A4082" w14:textId="77777777" w:rsidR="004220B7" w:rsidRPr="007923C2" w:rsidRDefault="004220B7" w:rsidP="00B152E1">
      <w:pPr>
        <w:jc w:val="center"/>
        <w:rPr>
          <w:rFonts w:ascii="Arial" w:hAnsi="Arial" w:cs="Arial"/>
          <w:sz w:val="22"/>
          <w:szCs w:val="22"/>
        </w:rPr>
      </w:pPr>
      <w:r w:rsidRPr="007923C2">
        <w:rPr>
          <w:rFonts w:ascii="Arial" w:hAnsi="Arial" w:cs="Arial"/>
          <w:noProof/>
          <w:sz w:val="22"/>
          <w:szCs w:val="22"/>
        </w:rPr>
        <w:drawing>
          <wp:inline distT="0" distB="0" distL="0" distR="0" wp14:anchorId="4917ACA4" wp14:editId="2C46F735">
            <wp:extent cx="3678555" cy="3444875"/>
            <wp:effectExtent l="0" t="0" r="0" b="3175"/>
            <wp:docPr id="601" name="Imagen 601"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descr="C:\Users\BOTANICA\AppData\Local\Temp\msohtmlclip1\01\clip_image0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78555" cy="3444875"/>
                    </a:xfrm>
                    <a:prstGeom prst="rect">
                      <a:avLst/>
                    </a:prstGeom>
                    <a:noFill/>
                    <a:ln>
                      <a:noFill/>
                    </a:ln>
                  </pic:spPr>
                </pic:pic>
              </a:graphicData>
            </a:graphic>
          </wp:inline>
        </w:drawing>
      </w:r>
    </w:p>
    <w:p w14:paraId="61D9B056" w14:textId="77777777" w:rsidR="004220B7" w:rsidRPr="007923C2" w:rsidRDefault="00FB1BB1" w:rsidP="004220B7">
      <w:pPr>
        <w:jc w:val="both"/>
        <w:rPr>
          <w:rFonts w:ascii="Arial" w:hAnsi="Arial" w:cs="Arial"/>
          <w:sz w:val="22"/>
          <w:szCs w:val="22"/>
          <w:highlight w:val="yellow"/>
        </w:rPr>
      </w:pPr>
      <w:r w:rsidRPr="007923C2">
        <w:rPr>
          <w:rFonts w:ascii="Arial" w:hAnsi="Arial" w:cs="Arial"/>
          <w:sz w:val="22"/>
          <w:szCs w:val="22"/>
        </w:rPr>
        <w:t>M</w:t>
      </w:r>
      <w:r w:rsidR="004220B7" w:rsidRPr="007923C2">
        <w:rPr>
          <w:rFonts w:ascii="Arial" w:hAnsi="Arial" w:cs="Arial"/>
          <w:sz w:val="22"/>
          <w:szCs w:val="22"/>
        </w:rPr>
        <w:t>ientras que en localidades de 100 mil y más habitantes, de cada 100 personas 30 no cuentan con la educación básica concluida</w:t>
      </w:r>
    </w:p>
    <w:p w14:paraId="774ECFC5" w14:textId="77777777" w:rsidR="004220B7" w:rsidRPr="007923C2" w:rsidRDefault="004220B7" w:rsidP="004220B7">
      <w:pPr>
        <w:jc w:val="both"/>
        <w:rPr>
          <w:rFonts w:ascii="Arial" w:hAnsi="Arial" w:cs="Arial"/>
          <w:sz w:val="22"/>
          <w:szCs w:val="22"/>
          <w:highlight w:val="yellow"/>
        </w:rPr>
      </w:pPr>
    </w:p>
    <w:p w14:paraId="2585B46D" w14:textId="77777777" w:rsidR="004220B7" w:rsidRPr="007923C2" w:rsidRDefault="004220B7" w:rsidP="00B152E1">
      <w:pPr>
        <w:jc w:val="center"/>
        <w:rPr>
          <w:rFonts w:ascii="Arial" w:hAnsi="Arial" w:cs="Arial"/>
          <w:sz w:val="22"/>
          <w:szCs w:val="22"/>
          <w:highlight w:val="yellow"/>
        </w:rPr>
      </w:pPr>
      <w:r w:rsidRPr="007923C2">
        <w:rPr>
          <w:rFonts w:ascii="Arial" w:hAnsi="Arial" w:cs="Arial"/>
          <w:noProof/>
          <w:sz w:val="22"/>
          <w:szCs w:val="22"/>
        </w:rPr>
        <w:lastRenderedPageBreak/>
        <w:drawing>
          <wp:inline distT="0" distB="0" distL="0" distR="0" wp14:anchorId="398667BF" wp14:editId="7446ECC4">
            <wp:extent cx="4619429" cy="3219450"/>
            <wp:effectExtent l="0" t="0" r="0" b="0"/>
            <wp:docPr id="600" name="Imagen 600"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descr="C:\Users\BOTANICA\AppData\Local\Temp\msohtmlclip1\01\clip_image0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28945" cy="3226082"/>
                    </a:xfrm>
                    <a:prstGeom prst="rect">
                      <a:avLst/>
                    </a:prstGeom>
                    <a:noFill/>
                    <a:ln>
                      <a:noFill/>
                    </a:ln>
                  </pic:spPr>
                </pic:pic>
              </a:graphicData>
            </a:graphic>
          </wp:inline>
        </w:drawing>
      </w:r>
    </w:p>
    <w:p w14:paraId="156776D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2010, ocho entidades federativas tienen porcentajes de población en rezago educativo superiores a 49 por ciento. Entre ellas se encuentran: Chiapas (60.1%), Oaxaca (57.9%), Michoacán (54.1%), Guerrero (53.9%) y Veracruz (51.1 por ciento).</w:t>
      </w:r>
    </w:p>
    <w:p w14:paraId="3D45F2C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Nueve entidades se ubican con las menores proporciones, sobresalen el Distrito Federal con 26.1% y Nuevo León con 29.7 por ciento.</w:t>
      </w:r>
    </w:p>
    <w:p w14:paraId="3F7EFD94" w14:textId="77777777" w:rsidR="004220B7" w:rsidRDefault="004220B7" w:rsidP="004220B7">
      <w:pPr>
        <w:jc w:val="both"/>
        <w:rPr>
          <w:rFonts w:ascii="Arial" w:hAnsi="Arial" w:cs="Arial"/>
          <w:sz w:val="22"/>
          <w:szCs w:val="22"/>
        </w:rPr>
      </w:pPr>
      <w:r w:rsidRPr="007923C2">
        <w:rPr>
          <w:rFonts w:ascii="Arial" w:hAnsi="Arial" w:cs="Arial"/>
          <w:sz w:val="22"/>
          <w:szCs w:val="22"/>
        </w:rPr>
        <w:t>Es importante señalar que 18 entidades cuentan con porcentajes de rezago educativo inferiores al promedio nacional, que es de 41.7 por ciento.</w:t>
      </w:r>
    </w:p>
    <w:p w14:paraId="05D2EF56" w14:textId="77777777" w:rsidR="004220B7" w:rsidRPr="007923C2" w:rsidRDefault="004220B7" w:rsidP="004220B7">
      <w:pPr>
        <w:jc w:val="both"/>
        <w:rPr>
          <w:rFonts w:ascii="Arial" w:hAnsi="Arial" w:cs="Arial"/>
          <w:sz w:val="22"/>
          <w:szCs w:val="22"/>
        </w:rPr>
      </w:pPr>
      <w:r w:rsidRPr="007923C2">
        <w:rPr>
          <w:rFonts w:ascii="Arial" w:hAnsi="Arial" w:cs="Arial"/>
          <w:b/>
          <w:sz w:val="22"/>
          <w:szCs w:val="22"/>
        </w:rPr>
        <w:t>ASISTENCIA</w:t>
      </w:r>
    </w:p>
    <w:p w14:paraId="08345E2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asistencia escolar se refiere a las personas que acuden a cualquier establecimiento de enseñanza del sistema educativo.</w:t>
      </w:r>
    </w:p>
    <w:p w14:paraId="5C0DDD6E" w14:textId="77777777" w:rsidR="004220B7" w:rsidRDefault="004220B7" w:rsidP="004220B7">
      <w:pPr>
        <w:jc w:val="both"/>
        <w:rPr>
          <w:rFonts w:ascii="Arial" w:hAnsi="Arial" w:cs="Arial"/>
          <w:sz w:val="22"/>
          <w:szCs w:val="22"/>
        </w:rPr>
      </w:pPr>
      <w:r w:rsidRPr="007923C2">
        <w:rPr>
          <w:rFonts w:ascii="Arial" w:hAnsi="Arial" w:cs="Arial"/>
          <w:sz w:val="22"/>
          <w:szCs w:val="22"/>
        </w:rPr>
        <w:t>En el país, en los últimos 20 años se tiene un crecimiento paulatino de la población de 6 a 29 años que va a la escuela.</w:t>
      </w:r>
    </w:p>
    <w:p w14:paraId="1AF4B32F" w14:textId="77777777" w:rsidR="00B152E1" w:rsidRPr="007923C2" w:rsidRDefault="00B152E1" w:rsidP="004220B7">
      <w:pPr>
        <w:jc w:val="both"/>
        <w:rPr>
          <w:rFonts w:ascii="Arial" w:hAnsi="Arial" w:cs="Arial"/>
          <w:sz w:val="22"/>
          <w:szCs w:val="22"/>
        </w:rPr>
      </w:pPr>
    </w:p>
    <w:p w14:paraId="388ACCF8"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5FF607FF" wp14:editId="7C9DB7F2">
            <wp:extent cx="4638675" cy="4123887"/>
            <wp:effectExtent l="0" t="0" r="0" b="0"/>
            <wp:docPr id="599" name="Imagen 599"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descr="C:\Users\BOTANICA\AppData\Local\Temp\msohtmlclip1\01\clip_image00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51520" cy="4135307"/>
                    </a:xfrm>
                    <a:prstGeom prst="rect">
                      <a:avLst/>
                    </a:prstGeom>
                    <a:noFill/>
                    <a:ln>
                      <a:noFill/>
                    </a:ln>
                  </pic:spPr>
                </pic:pic>
              </a:graphicData>
            </a:graphic>
          </wp:inline>
        </w:drawing>
      </w:r>
    </w:p>
    <w:p w14:paraId="3FE6171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mayor incremento se presenta en la última década con 3.4 puntos; mientras que en la primera fue de 1.6 puntos porcentuales.</w:t>
      </w:r>
    </w:p>
    <w:p w14:paraId="7910B4C1"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49A6B7D9" wp14:editId="1BE7E044">
            <wp:extent cx="3590925" cy="3261228"/>
            <wp:effectExtent l="0" t="0" r="0" b="0"/>
            <wp:docPr id="598" name="Imagen 598"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descr="C:\Users\BOTANICA\AppData\Local\Temp\msohtmlclip1\01\clip_image0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17546" cy="3285405"/>
                    </a:xfrm>
                    <a:prstGeom prst="rect">
                      <a:avLst/>
                    </a:prstGeom>
                    <a:noFill/>
                    <a:ln>
                      <a:noFill/>
                    </a:ln>
                  </pic:spPr>
                </pic:pic>
              </a:graphicData>
            </a:graphic>
          </wp:inline>
        </w:drawing>
      </w:r>
    </w:p>
    <w:p w14:paraId="10F3436E" w14:textId="77777777" w:rsidR="004220B7" w:rsidRPr="007923C2" w:rsidRDefault="004220B7" w:rsidP="004220B7">
      <w:pPr>
        <w:jc w:val="both"/>
        <w:rPr>
          <w:rFonts w:ascii="Arial" w:hAnsi="Arial" w:cs="Arial"/>
          <w:sz w:val="22"/>
          <w:szCs w:val="22"/>
        </w:rPr>
      </w:pPr>
    </w:p>
    <w:p w14:paraId="5F6E9B6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asistencia a la escuela difiere según el grupo de edad de la población que se trate.</w:t>
      </w:r>
    </w:p>
    <w:p w14:paraId="314D242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educación básica, en 2010, absorbe a más de 90% de los niños de 6 a 14 años; proporción que desciende conforme se avanza en los grupos de edad.</w:t>
      </w:r>
    </w:p>
    <w:p w14:paraId="77709C32" w14:textId="77777777"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t>Dos terceras partes de los jóvenes de 15 a 17 años van a la escuela y son los que presentan el mayor incremento porcentual en el periodo 1990-2010.</w:t>
      </w:r>
    </w:p>
    <w:p w14:paraId="36251490" w14:textId="77777777"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drawing>
          <wp:inline distT="0" distB="0" distL="0" distR="0" wp14:anchorId="299361C7" wp14:editId="161AD74D">
            <wp:extent cx="4018915" cy="3466465"/>
            <wp:effectExtent l="0" t="0" r="635" b="635"/>
            <wp:docPr id="597" name="Imagen 597"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descr="C:\Users\BOTANICA\AppData\Local\Temp\msohtmlclip1\01\clip_image00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18915" cy="3466465"/>
                    </a:xfrm>
                    <a:prstGeom prst="rect">
                      <a:avLst/>
                    </a:prstGeom>
                    <a:noFill/>
                    <a:ln>
                      <a:noFill/>
                    </a:ln>
                  </pic:spPr>
                </pic:pic>
              </a:graphicData>
            </a:graphic>
          </wp:inline>
        </w:drawing>
      </w:r>
    </w:p>
    <w:p w14:paraId="4792AF7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Actualmente, la presencia de hombres y mujeres en el sistema educativo nacional es similar en todos los grupos de edad.</w:t>
      </w:r>
    </w:p>
    <w:p w14:paraId="6161D87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modernización educativa de 1993, rinde sus frutos en la cobertura de la población de 6a 14 años, edades en las que se espera que asistan a primaria y secundaria.</w:t>
      </w:r>
    </w:p>
    <w:p w14:paraId="01BB546F" w14:textId="77777777"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t>El Censo 2010, capta por primera vez la asistencia de los niños de 3 años, que es cuando ingresan a preescolar.</w:t>
      </w:r>
    </w:p>
    <w:p w14:paraId="0AA2E711" w14:textId="77777777" w:rsidR="004220B7" w:rsidRPr="007923C2" w:rsidRDefault="004220B7" w:rsidP="004220B7">
      <w:pPr>
        <w:jc w:val="both"/>
        <w:rPr>
          <w:rFonts w:ascii="Arial" w:hAnsi="Arial" w:cs="Arial"/>
          <w:sz w:val="22"/>
          <w:szCs w:val="22"/>
          <w:highlight w:val="yellow"/>
        </w:rPr>
      </w:pPr>
    </w:p>
    <w:p w14:paraId="26872842" w14:textId="77777777"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lastRenderedPageBreak/>
        <w:drawing>
          <wp:inline distT="0" distB="0" distL="0" distR="0" wp14:anchorId="1EC26DCE" wp14:editId="23FB4098">
            <wp:extent cx="4518660" cy="3902075"/>
            <wp:effectExtent l="0" t="0" r="0" b="3175"/>
            <wp:docPr id="596" name="Imagen 596"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descr="C:\Users\BOTANICA\AppData\Local\Temp\msohtmlclip1\01\clip_image00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18660" cy="3902075"/>
                    </a:xfrm>
                    <a:prstGeom prst="rect">
                      <a:avLst/>
                    </a:prstGeom>
                    <a:noFill/>
                    <a:ln>
                      <a:noFill/>
                    </a:ln>
                  </pic:spPr>
                </pic:pic>
              </a:graphicData>
            </a:graphic>
          </wp:inline>
        </w:drawing>
      </w:r>
    </w:p>
    <w:p w14:paraId="2A203579" w14:textId="77777777" w:rsidR="004220B7" w:rsidRPr="007923C2" w:rsidRDefault="004220B7" w:rsidP="004220B7">
      <w:pPr>
        <w:jc w:val="both"/>
        <w:rPr>
          <w:rFonts w:ascii="Arial" w:hAnsi="Arial" w:cs="Arial"/>
          <w:sz w:val="22"/>
          <w:szCs w:val="22"/>
        </w:rPr>
      </w:pPr>
    </w:p>
    <w:p w14:paraId="30B034D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el país, 6.5 millones de niños de 3 a 5 años van a la escuela.</w:t>
      </w:r>
    </w:p>
    <w:p w14:paraId="72E70D8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porcentaje de asistencia, para este conjunto de población, varía dependiendo de la entidad federativa que se trate.</w:t>
      </w:r>
    </w:p>
    <w:p w14:paraId="24FFD7B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estados con el mayor y menor porcentaje de cobertura son: San Luis Potosí (63.5%) y Chihuahua (41.0%), respectivamente.</w:t>
      </w:r>
    </w:p>
    <w:p w14:paraId="06026E1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Para el siguiente grupo de edad, 6 a 11 años, el número de niños que es atendido en el sistema educativo, asciende a 13.3 millones. En todas las entidades federativas, el porcentaje de asistencia es superior a 92 por ciento.</w:t>
      </w:r>
    </w:p>
    <w:p w14:paraId="2646BC4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el grupo de 12 a 14 años, se tiene que 6.5 millones se encuentran en el sistema escolar.</w:t>
      </w:r>
    </w:p>
    <w:p w14:paraId="02B0D72B" w14:textId="77777777"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t>Chiapas, Michoacán, Guerrero y Puebla, son los estados con los menores porcentajes de asistencia con un rango que va de 86.0 a 89.3 por ciento.</w:t>
      </w:r>
    </w:p>
    <w:p w14:paraId="553B4005" w14:textId="77777777"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lastRenderedPageBreak/>
        <w:drawing>
          <wp:inline distT="0" distB="0" distL="0" distR="0" wp14:anchorId="78E9C901" wp14:editId="3BD117A3">
            <wp:extent cx="3529965" cy="3115310"/>
            <wp:effectExtent l="0" t="0" r="0" b="8890"/>
            <wp:docPr id="595" name="Imagen 595"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descr="C:\Users\BOTANICA\AppData\Local\Temp\msohtmlclip1\01\clip_image00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29965" cy="3115310"/>
                    </a:xfrm>
                    <a:prstGeom prst="rect">
                      <a:avLst/>
                    </a:prstGeom>
                    <a:noFill/>
                    <a:ln>
                      <a:noFill/>
                    </a:ln>
                  </pic:spPr>
                </pic:pic>
              </a:graphicData>
            </a:graphic>
          </wp:inline>
        </w:drawing>
      </w:r>
    </w:p>
    <w:p w14:paraId="5D13F0E2" w14:textId="77777777" w:rsidR="004220B7" w:rsidRPr="007923C2" w:rsidRDefault="004220B7" w:rsidP="004220B7">
      <w:pPr>
        <w:jc w:val="both"/>
        <w:rPr>
          <w:rFonts w:ascii="Arial" w:hAnsi="Arial" w:cs="Arial"/>
          <w:sz w:val="22"/>
          <w:szCs w:val="22"/>
          <w:highlight w:val="yellow"/>
        </w:rPr>
      </w:pPr>
    </w:p>
    <w:p w14:paraId="610D029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Cuando se revisa el indicador de acuerdo al tamaño de localidad donde reside la población, se hacen visibles las distancias que hay entre las áreas pequeñas (en su mayoría dispersas) y las de mayor tamaño e infraestructura.</w:t>
      </w:r>
    </w:p>
    <w:p w14:paraId="4B2A2C2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Existe una relación directa entre el tamaño de localidad y el porcentaje de asistencia escolar de la población. Conforme crece el tamaño de localidad, aumenta la cobertura del sistema educativo.</w:t>
      </w:r>
    </w:p>
    <w:p w14:paraId="2BEDD72D" w14:textId="77777777"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t>La mayor diferencia porcentual entre las localidades más pequeñas y las más grandes, Corresponde a los niños de 12 a 14 años, con casi seis puntos porcentuales.</w:t>
      </w:r>
    </w:p>
    <w:p w14:paraId="5E64937E" w14:textId="77777777"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drawing>
          <wp:inline distT="0" distB="0" distL="0" distR="0" wp14:anchorId="5F848DD2" wp14:editId="7B41A7AC">
            <wp:extent cx="3286125" cy="2973993"/>
            <wp:effectExtent l="0" t="0" r="0" b="0"/>
            <wp:docPr id="594" name="Imagen 594"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C:\Users\BOTANICA\AppData\Local\Temp\msohtmlclip1\01\clip_image00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90441" cy="2977899"/>
                    </a:xfrm>
                    <a:prstGeom prst="rect">
                      <a:avLst/>
                    </a:prstGeom>
                    <a:noFill/>
                    <a:ln>
                      <a:noFill/>
                    </a:ln>
                  </pic:spPr>
                </pic:pic>
              </a:graphicData>
            </a:graphic>
          </wp:inline>
        </w:drawing>
      </w:r>
    </w:p>
    <w:p w14:paraId="5799B5C4"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lastRenderedPageBreak/>
        <w:t>REZAGO ESCOLAR</w:t>
      </w:r>
    </w:p>
    <w:p w14:paraId="3EDF0BC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asistencia a la escuela según los grados aprobados de la población, es un indicador que permite apuntar los rezagos que se tienen sobre el particular.</w:t>
      </w:r>
    </w:p>
    <w:p w14:paraId="0DD48B0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los 12 años, los niños pueden asistir a primero de secundaria, pero no necesariamente tener grados aprobados en ese nivel porque a los seis años se ingresa a primaria.</w:t>
      </w:r>
    </w:p>
    <w:p w14:paraId="2DE6069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los 13 años se espera que hayan aprobado un grado en secundaria, sin embargo más de la mitad de ellos no lo ha logrado y 15.2% de los que tienen 14 años, tampoco cuentan con grados aprobados en ese nivel.</w:t>
      </w:r>
    </w:p>
    <w:p w14:paraId="6C97F5DE" w14:textId="77777777"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drawing>
          <wp:inline distT="0" distB="0" distL="0" distR="0" wp14:anchorId="20CA7164" wp14:editId="116CBF34">
            <wp:extent cx="3796030" cy="3391535"/>
            <wp:effectExtent l="0" t="0" r="0" b="0"/>
            <wp:docPr id="593" name="Imagen 593"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 descr="C:\Users\BOTANICA\AppData\Local\Temp\msohtmlclip1\01\clip_image00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96030" cy="3391535"/>
                    </a:xfrm>
                    <a:prstGeom prst="rect">
                      <a:avLst/>
                    </a:prstGeom>
                    <a:noFill/>
                    <a:ln>
                      <a:noFill/>
                    </a:ln>
                  </pic:spPr>
                </pic:pic>
              </a:graphicData>
            </a:graphic>
          </wp:inline>
        </w:drawing>
      </w:r>
    </w:p>
    <w:p w14:paraId="1CC04122" w14:textId="77777777" w:rsidR="004220B7" w:rsidRPr="007923C2" w:rsidRDefault="004220B7" w:rsidP="004220B7">
      <w:pPr>
        <w:jc w:val="both"/>
        <w:rPr>
          <w:rFonts w:ascii="Arial" w:hAnsi="Arial" w:cs="Arial"/>
          <w:sz w:val="22"/>
          <w:szCs w:val="22"/>
          <w:highlight w:val="yellow"/>
        </w:rPr>
      </w:pPr>
    </w:p>
    <w:p w14:paraId="168F760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 mismo ocurre con la población de 15 a 17 años, edad requerida para asistir a los estudios de nivel medio superior.</w:t>
      </w:r>
    </w:p>
    <w:p w14:paraId="18AF47E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porcentaje es alto en los adolescentes de 15 años, porque es probable que estén cursando el primero de bachillerato e incluso todavía algunos lo hagan en secundaria.</w:t>
      </w:r>
    </w:p>
    <w:p w14:paraId="17672C16" w14:textId="77777777" w:rsidR="004220B7" w:rsidRDefault="004220B7" w:rsidP="004220B7">
      <w:pPr>
        <w:jc w:val="both"/>
        <w:rPr>
          <w:rFonts w:ascii="Arial" w:hAnsi="Arial" w:cs="Arial"/>
          <w:sz w:val="22"/>
          <w:szCs w:val="22"/>
        </w:rPr>
      </w:pPr>
      <w:r w:rsidRPr="007923C2">
        <w:rPr>
          <w:rFonts w:ascii="Arial" w:hAnsi="Arial" w:cs="Arial"/>
          <w:sz w:val="22"/>
          <w:szCs w:val="22"/>
        </w:rPr>
        <w:t>En la población de 16 años, prácticamente la mitad no ha concluido un grado de estudios en este nivel, rezago que también se presenta entre los que tienen 17 años pero en  menor proporción.</w:t>
      </w:r>
    </w:p>
    <w:p w14:paraId="6C130B6D" w14:textId="77777777" w:rsidR="00B152E1" w:rsidRPr="007923C2" w:rsidRDefault="00B152E1" w:rsidP="004220B7">
      <w:pPr>
        <w:jc w:val="both"/>
        <w:rPr>
          <w:rFonts w:ascii="Arial" w:hAnsi="Arial" w:cs="Arial"/>
          <w:sz w:val="22"/>
          <w:szCs w:val="22"/>
        </w:rPr>
      </w:pPr>
    </w:p>
    <w:p w14:paraId="2C060D7E" w14:textId="77777777" w:rsidR="00E64685" w:rsidRDefault="00E64685" w:rsidP="004220B7">
      <w:pPr>
        <w:jc w:val="both"/>
        <w:rPr>
          <w:rFonts w:ascii="Arial" w:hAnsi="Arial" w:cs="Arial"/>
          <w:b/>
          <w:sz w:val="22"/>
          <w:szCs w:val="22"/>
        </w:rPr>
      </w:pPr>
    </w:p>
    <w:p w14:paraId="7F405AE9" w14:textId="77777777" w:rsidR="00E64685" w:rsidRDefault="00E64685" w:rsidP="004220B7">
      <w:pPr>
        <w:jc w:val="both"/>
        <w:rPr>
          <w:rFonts w:ascii="Arial" w:hAnsi="Arial" w:cs="Arial"/>
          <w:b/>
          <w:sz w:val="22"/>
          <w:szCs w:val="22"/>
        </w:rPr>
      </w:pPr>
    </w:p>
    <w:p w14:paraId="52311E73" w14:textId="77777777" w:rsidR="006144C7" w:rsidRDefault="006144C7" w:rsidP="004220B7">
      <w:pPr>
        <w:jc w:val="both"/>
        <w:rPr>
          <w:rFonts w:ascii="Arial" w:hAnsi="Arial" w:cs="Arial"/>
          <w:b/>
          <w:sz w:val="22"/>
          <w:szCs w:val="22"/>
        </w:rPr>
      </w:pPr>
    </w:p>
    <w:p w14:paraId="4169F612" w14:textId="77777777" w:rsidR="006144C7" w:rsidRDefault="006144C7" w:rsidP="004220B7">
      <w:pPr>
        <w:jc w:val="both"/>
        <w:rPr>
          <w:rFonts w:ascii="Arial" w:hAnsi="Arial" w:cs="Arial"/>
          <w:b/>
          <w:sz w:val="22"/>
          <w:szCs w:val="22"/>
        </w:rPr>
      </w:pPr>
    </w:p>
    <w:p w14:paraId="31AA40B8"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lastRenderedPageBreak/>
        <w:t>ESCOLARIDAD</w:t>
      </w:r>
    </w:p>
    <w:p w14:paraId="6B81B0E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escolaridad se refiere al último grado aprobado que logra la población en el nivel de escolaridad más alto del sistema educativo nacional.</w:t>
      </w:r>
    </w:p>
    <w:p w14:paraId="696B800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las dos últimas décadas (1990-2010), el porcentaje de población de 15 años y más que no ha logrado acceder o  permanecer en el sistema escolarizado, disminuyó seis puntos porcentuales.</w:t>
      </w:r>
    </w:p>
    <w:p w14:paraId="5C1A7F4D"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13EFF85F" wp14:editId="78181D1D">
            <wp:extent cx="4551045" cy="3646805"/>
            <wp:effectExtent l="0" t="0" r="1905" b="0"/>
            <wp:docPr id="592" name="Imagen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51045" cy="3646805"/>
                    </a:xfrm>
                    <a:prstGeom prst="rect">
                      <a:avLst/>
                    </a:prstGeom>
                    <a:noFill/>
                    <a:ln>
                      <a:noFill/>
                    </a:ln>
                  </pic:spPr>
                </pic:pic>
              </a:graphicData>
            </a:graphic>
          </wp:inline>
        </w:drawing>
      </w:r>
    </w:p>
    <w:p w14:paraId="7F929E1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De esta manera, la escolaridad de la población asciende casi ocho puntos porcentuales en el periodo de referencia y, lo hace en mayor proporción en el decenio 1990-2000.</w:t>
      </w:r>
    </w:p>
    <w:p w14:paraId="36C8A304"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5021E21D" wp14:editId="3EEC40B0">
            <wp:extent cx="4165745" cy="4067175"/>
            <wp:effectExtent l="0" t="0" r="6350" b="0"/>
            <wp:docPr id="591" name="Imagen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73332" cy="4074583"/>
                    </a:xfrm>
                    <a:prstGeom prst="rect">
                      <a:avLst/>
                    </a:prstGeom>
                    <a:noFill/>
                    <a:ln>
                      <a:noFill/>
                    </a:ln>
                  </pic:spPr>
                </pic:pic>
              </a:graphicData>
            </a:graphic>
          </wp:inline>
        </w:drawing>
      </w:r>
    </w:p>
    <w:p w14:paraId="4A229A4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los últimos 20 años, se tienen logros considerables en los estudios posbásicos, que comprenden los niveles medio superior y superior de la estructura escolarizada.</w:t>
      </w:r>
    </w:p>
    <w:p w14:paraId="2C84AC9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Tanto en 1990 como en 2000, predominaba la población con educación básica incompleta, es decir, aquellos que tenían al menos un grado aprobado en primaria o en secundaria.</w:t>
      </w:r>
    </w:p>
    <w:p w14:paraId="78DE1C28" w14:textId="77777777" w:rsidR="004220B7" w:rsidRDefault="004220B7" w:rsidP="004220B7">
      <w:pPr>
        <w:jc w:val="both"/>
        <w:rPr>
          <w:rFonts w:ascii="Arial" w:hAnsi="Arial" w:cs="Arial"/>
          <w:sz w:val="22"/>
          <w:szCs w:val="22"/>
        </w:rPr>
      </w:pPr>
      <w:r w:rsidRPr="007923C2">
        <w:rPr>
          <w:rFonts w:ascii="Arial" w:hAnsi="Arial" w:cs="Arial"/>
          <w:sz w:val="22"/>
          <w:szCs w:val="22"/>
        </w:rPr>
        <w:t>En 2010, persiste una diferencia en el acceso y en la permanencia a la educación formal, entre los hombres y las mujeres de 15 años y más.</w:t>
      </w:r>
    </w:p>
    <w:p w14:paraId="7BEB1BAB" w14:textId="77777777" w:rsidR="00B152E1" w:rsidRPr="007923C2" w:rsidRDefault="00B152E1" w:rsidP="004220B7">
      <w:pPr>
        <w:jc w:val="both"/>
        <w:rPr>
          <w:rFonts w:ascii="Arial" w:hAnsi="Arial" w:cs="Arial"/>
          <w:sz w:val="22"/>
          <w:szCs w:val="22"/>
        </w:rPr>
      </w:pPr>
    </w:p>
    <w:p w14:paraId="05917A1E"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087A64BA" wp14:editId="5A76DD4E">
            <wp:extent cx="5129189" cy="5276850"/>
            <wp:effectExtent l="0" t="0" r="0" b="0"/>
            <wp:docPr id="590" name="Imagen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36644" cy="5284520"/>
                    </a:xfrm>
                    <a:prstGeom prst="rect">
                      <a:avLst/>
                    </a:prstGeom>
                    <a:noFill/>
                    <a:ln>
                      <a:noFill/>
                    </a:ln>
                  </pic:spPr>
                </pic:pic>
              </a:graphicData>
            </a:graphic>
          </wp:inline>
        </w:drawing>
      </w:r>
    </w:p>
    <w:p w14:paraId="39068247" w14:textId="77777777" w:rsidR="00B152E1" w:rsidRDefault="00B152E1" w:rsidP="004220B7">
      <w:pPr>
        <w:jc w:val="both"/>
        <w:rPr>
          <w:rFonts w:ascii="Arial" w:hAnsi="Arial" w:cs="Arial"/>
          <w:sz w:val="22"/>
          <w:szCs w:val="22"/>
        </w:rPr>
      </w:pPr>
    </w:p>
    <w:p w14:paraId="49C0AC2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Son ellas, las que en mayor medida se encuentran fuera del sistema escolar; sin embargo su participación porcentual en los siguientes niveles educativos, en relación con los hombres es similar.</w:t>
      </w:r>
    </w:p>
    <w:p w14:paraId="7F99C74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distancia en los estudios básicos y posbásicos es de poco más de un punto porcentual a favor de los hombres.</w:t>
      </w:r>
    </w:p>
    <w:p w14:paraId="49800BCC"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1D14D9D9" wp14:editId="43F60B82">
            <wp:extent cx="5571490" cy="2190115"/>
            <wp:effectExtent l="0" t="0" r="0" b="635"/>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71490" cy="2190115"/>
                    </a:xfrm>
                    <a:prstGeom prst="rect">
                      <a:avLst/>
                    </a:prstGeom>
                    <a:noFill/>
                    <a:ln>
                      <a:noFill/>
                    </a:ln>
                  </pic:spPr>
                </pic:pic>
              </a:graphicData>
            </a:graphic>
          </wp:inline>
        </w:drawing>
      </w:r>
    </w:p>
    <w:p w14:paraId="505172B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grupos de edad se advierten las diferentes oportunidades educativas entre las generaciones. </w:t>
      </w:r>
    </w:p>
    <w:p w14:paraId="5FABB07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2010, los más altos porcentajes de población sin escolaridad y con educación básica incompleta, se tienen entre los adultos mayores (de 60 años y más de edad).</w:t>
      </w:r>
    </w:p>
    <w:p w14:paraId="589EF14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otra parte, los jóvenes y adultos presentan los porcentajes más altos de educación básica terminada y son los jóvenes quienes tienen mayores logros educativos en los niveles medio superior y superior</w:t>
      </w:r>
    </w:p>
    <w:p w14:paraId="649BBF6F"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51246479" wp14:editId="7C2F6586">
            <wp:extent cx="5582285" cy="2232660"/>
            <wp:effectExtent l="0" t="0" r="0" b="0"/>
            <wp:docPr id="588" name="Imagen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82285" cy="2232660"/>
                    </a:xfrm>
                    <a:prstGeom prst="rect">
                      <a:avLst/>
                    </a:prstGeom>
                    <a:noFill/>
                    <a:ln>
                      <a:noFill/>
                    </a:ln>
                  </pic:spPr>
                </pic:pic>
              </a:graphicData>
            </a:graphic>
          </wp:inline>
        </w:drawing>
      </w:r>
    </w:p>
    <w:p w14:paraId="460BE276" w14:textId="77777777" w:rsidR="004220B7" w:rsidRPr="007923C2" w:rsidRDefault="004220B7" w:rsidP="004220B7">
      <w:pPr>
        <w:jc w:val="both"/>
        <w:rPr>
          <w:rFonts w:ascii="Arial" w:hAnsi="Arial" w:cs="Arial"/>
          <w:sz w:val="22"/>
          <w:szCs w:val="22"/>
        </w:rPr>
      </w:pPr>
    </w:p>
    <w:p w14:paraId="50FB9A3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nivel de escolaridad de la población de 15 años y más que reside en las localidades de menor y mayor tamaño, presenta diferencias considerables.</w:t>
      </w:r>
    </w:p>
    <w:p w14:paraId="5F58FA0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Mientras que en las áreas más pequeñas, 15 de cada 100 personas no tienen escolaridad, en las de mayor tamaño, 4 de cada 100, se encuentran en esta situación. </w:t>
      </w:r>
    </w:p>
    <w:p w14:paraId="737D305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cambio, en las localidades más pequeñas 14.6% tiene estudios posbásicos en relación con 47.4% de las personas que residen en las grandes ciudades</w:t>
      </w:r>
    </w:p>
    <w:p w14:paraId="24B46A3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educación media superior se refiere a la población de 15 años y más con al menos un grado aprobado en bachillerato o en profesional técnico. Recientemente, se estableció la obligatoriedad de este nivel.</w:t>
      </w:r>
    </w:p>
    <w:p w14:paraId="385BE6D9"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4156B147" wp14:editId="35DBC457">
            <wp:extent cx="4444365" cy="3700145"/>
            <wp:effectExtent l="0" t="0" r="0" b="0"/>
            <wp:docPr id="587" name="Imagen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44365" cy="3700145"/>
                    </a:xfrm>
                    <a:prstGeom prst="rect">
                      <a:avLst/>
                    </a:prstGeom>
                    <a:noFill/>
                    <a:ln>
                      <a:noFill/>
                    </a:ln>
                  </pic:spPr>
                </pic:pic>
              </a:graphicData>
            </a:graphic>
          </wp:inline>
        </w:drawing>
      </w:r>
    </w:p>
    <w:p w14:paraId="38B3DA0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Entre 1990 y 2010, se registró un crecimiento constante del porcentaje de población con estos estudios. En ese lapso, se tiene un incremento de cinco puntos porcentuales.</w:t>
      </w:r>
    </w:p>
    <w:p w14:paraId="66BF945B" w14:textId="77777777" w:rsidR="004220B7" w:rsidRDefault="004220B7" w:rsidP="004220B7">
      <w:pPr>
        <w:jc w:val="both"/>
        <w:rPr>
          <w:rFonts w:ascii="Arial" w:hAnsi="Arial" w:cs="Arial"/>
          <w:sz w:val="22"/>
          <w:szCs w:val="22"/>
        </w:rPr>
      </w:pPr>
      <w:r w:rsidRPr="007923C2">
        <w:rPr>
          <w:rFonts w:ascii="Arial" w:hAnsi="Arial" w:cs="Arial"/>
          <w:sz w:val="22"/>
          <w:szCs w:val="22"/>
        </w:rPr>
        <w:t>Actualmente, se tiene la misma proporción tanto de hombres como de mujeres con al menos un grado aprobado en este nivel educativo.</w:t>
      </w:r>
    </w:p>
    <w:p w14:paraId="5EAB5D25"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4B080563" wp14:editId="0DC38142">
            <wp:extent cx="4067175" cy="3716767"/>
            <wp:effectExtent l="0" t="0" r="0" b="0"/>
            <wp:docPr id="586" name="Imagen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73230" cy="3722300"/>
                    </a:xfrm>
                    <a:prstGeom prst="rect">
                      <a:avLst/>
                    </a:prstGeom>
                    <a:noFill/>
                    <a:ln>
                      <a:noFill/>
                    </a:ln>
                  </pic:spPr>
                </pic:pic>
              </a:graphicData>
            </a:graphic>
          </wp:inline>
        </w:drawing>
      </w:r>
    </w:p>
    <w:p w14:paraId="6F21387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educación superior comprende el nivel técnico superior, la licenciatura, la maestría y el doctorado.</w:t>
      </w:r>
    </w:p>
    <w:p w14:paraId="6880403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estos niveles educativos, el aumento de la población con al menos un grado aprobado en cualquiera de los niveles que la conforman es considerable.</w:t>
      </w:r>
    </w:p>
    <w:p w14:paraId="1B2D4CB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De 1990 a 2010, la proporción de la población de 18 años y más con estudios superiores prácticamente es del doble.</w:t>
      </w:r>
    </w:p>
    <w:p w14:paraId="33E3BE53" w14:textId="77777777" w:rsidR="004220B7" w:rsidRDefault="004220B7" w:rsidP="004220B7">
      <w:pPr>
        <w:jc w:val="both"/>
        <w:rPr>
          <w:rFonts w:ascii="Arial" w:hAnsi="Arial" w:cs="Arial"/>
          <w:sz w:val="22"/>
          <w:szCs w:val="22"/>
        </w:rPr>
      </w:pPr>
      <w:r w:rsidRPr="007923C2">
        <w:rPr>
          <w:rFonts w:ascii="Arial" w:hAnsi="Arial" w:cs="Arial"/>
          <w:sz w:val="22"/>
          <w:szCs w:val="22"/>
        </w:rPr>
        <w:t>El mayor crecimiento porcentual se observa en las mujeres con casi 10 puntos; mientras que los hombres lo hacen con poco más de siete puntos, en el periodo de referencia.</w:t>
      </w:r>
    </w:p>
    <w:p w14:paraId="43094D72" w14:textId="77777777" w:rsidR="00B152E1" w:rsidRPr="007923C2" w:rsidRDefault="00B152E1" w:rsidP="004220B7">
      <w:pPr>
        <w:jc w:val="both"/>
        <w:rPr>
          <w:rFonts w:ascii="Arial" w:hAnsi="Arial" w:cs="Arial"/>
          <w:sz w:val="22"/>
          <w:szCs w:val="22"/>
        </w:rPr>
      </w:pPr>
    </w:p>
    <w:p w14:paraId="56ECD957"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20426FBC" wp14:editId="2FC53FF6">
            <wp:extent cx="5549900" cy="3487420"/>
            <wp:effectExtent l="0" t="0" r="0" b="0"/>
            <wp:docPr id="585" name="Imagen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49900" cy="3487420"/>
                    </a:xfrm>
                    <a:prstGeom prst="rect">
                      <a:avLst/>
                    </a:prstGeom>
                    <a:noFill/>
                    <a:ln>
                      <a:noFill/>
                    </a:ln>
                  </pic:spPr>
                </pic:pic>
              </a:graphicData>
            </a:graphic>
          </wp:inline>
        </w:drawing>
      </w:r>
    </w:p>
    <w:p w14:paraId="575AD105" w14:textId="77777777" w:rsidR="004220B7" w:rsidRPr="007923C2" w:rsidRDefault="004220B7" w:rsidP="004220B7">
      <w:pPr>
        <w:jc w:val="both"/>
        <w:rPr>
          <w:rFonts w:ascii="Arial" w:hAnsi="Arial" w:cs="Arial"/>
          <w:b/>
          <w:sz w:val="22"/>
          <w:szCs w:val="22"/>
        </w:rPr>
      </w:pPr>
    </w:p>
    <w:p w14:paraId="521194AB" w14:textId="77777777" w:rsidR="004220B7" w:rsidRDefault="004220B7" w:rsidP="004220B7">
      <w:pPr>
        <w:jc w:val="both"/>
        <w:rPr>
          <w:rFonts w:ascii="Arial" w:hAnsi="Arial" w:cs="Arial"/>
          <w:b/>
          <w:sz w:val="22"/>
          <w:szCs w:val="22"/>
        </w:rPr>
      </w:pPr>
      <w:r w:rsidRPr="007923C2">
        <w:rPr>
          <w:rFonts w:ascii="Arial" w:hAnsi="Arial" w:cs="Arial"/>
          <w:b/>
          <w:sz w:val="22"/>
          <w:szCs w:val="22"/>
        </w:rPr>
        <w:t>4.2.2.3.- DEMANDA DE LA CARRERA INDICE DE SATURACIÓN DE CARRERAS.</w:t>
      </w:r>
    </w:p>
    <w:p w14:paraId="07813486" w14:textId="77777777" w:rsidR="00B152E1" w:rsidRPr="007923C2" w:rsidRDefault="00B152E1" w:rsidP="004220B7">
      <w:pPr>
        <w:jc w:val="both"/>
        <w:rPr>
          <w:rFonts w:ascii="Arial" w:hAnsi="Arial" w:cs="Arial"/>
          <w:b/>
          <w:sz w:val="22"/>
          <w:szCs w:val="22"/>
        </w:rPr>
      </w:pPr>
    </w:p>
    <w:p w14:paraId="02C8A857"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CAMPOS DE FORMACIÒN ACADÈMICA</w:t>
      </w:r>
    </w:p>
    <w:p w14:paraId="66EEB2C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campo de formación académica, permite evaluar la oferta de la educación, necesaria para alcanzar las metas fijadas en los planes de desarrollo económico y social.</w:t>
      </w:r>
    </w:p>
    <w:p w14:paraId="6E4E27D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elección de los estudios profesionales técnicos, según los campos de formación académica entre la población de 15 años y más, presenta diferencias entre hombres y mujeres.</w:t>
      </w:r>
    </w:p>
    <w:p w14:paraId="475BF50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hombres tienen mayor presencia en el campo de ingeniería; mientras que las mujeres en el de servicios.</w:t>
      </w:r>
    </w:p>
    <w:p w14:paraId="2DD483D5"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3D3390D7" wp14:editId="7E486517">
            <wp:extent cx="5571490" cy="3721100"/>
            <wp:effectExtent l="0" t="0" r="0" b="0"/>
            <wp:docPr id="584" name="Imagen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71490" cy="3721100"/>
                    </a:xfrm>
                    <a:prstGeom prst="rect">
                      <a:avLst/>
                    </a:prstGeom>
                    <a:noFill/>
                    <a:ln>
                      <a:noFill/>
                    </a:ln>
                  </pic:spPr>
                </pic:pic>
              </a:graphicData>
            </a:graphic>
          </wp:inline>
        </w:drawing>
      </w:r>
    </w:p>
    <w:p w14:paraId="3D763E8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campos de formación académica de los niveles superiores con mayor demanda de la población de 18 años y más, son los que se refieren a las Ciencias Sociales, Administración y Derecho, seguido por el de Ingeniería, Manufactura y Construcción.</w:t>
      </w:r>
    </w:p>
    <w:p w14:paraId="7C4977E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Sin embargo, la participación porcentual por sexo es distinta. En el primer campo, de cada 100 mujeres con estudios superiores 44 deciden las Ciencias Sociales, Administración y Derecho; mientras que 38 de cada 100 hombres optan por los estudios del mismo campo de formación académica.</w:t>
      </w:r>
    </w:p>
    <w:p w14:paraId="29893E2C" w14:textId="77777777" w:rsidR="004220B7" w:rsidRDefault="004220B7" w:rsidP="004220B7">
      <w:pPr>
        <w:jc w:val="both"/>
        <w:rPr>
          <w:rFonts w:ascii="Arial" w:hAnsi="Arial" w:cs="Arial"/>
          <w:sz w:val="22"/>
          <w:szCs w:val="22"/>
        </w:rPr>
      </w:pPr>
      <w:r w:rsidRPr="007923C2">
        <w:rPr>
          <w:rFonts w:ascii="Arial" w:hAnsi="Arial" w:cs="Arial"/>
          <w:sz w:val="22"/>
          <w:szCs w:val="22"/>
        </w:rPr>
        <w:t>En cambio, en el área de Ingeniería, Manufactura y Construcción, la situación se invierte y se tiene una mayor proporción de hombres (29.8%) que de mujeres (7.4%) incluso, es en donde se presenta la distancia más grande por sexo con 22.4 puntos porcentuales.</w:t>
      </w:r>
    </w:p>
    <w:p w14:paraId="1122D775" w14:textId="77777777" w:rsidR="00B152E1" w:rsidRPr="007923C2" w:rsidRDefault="00B152E1" w:rsidP="004220B7">
      <w:pPr>
        <w:jc w:val="both"/>
        <w:rPr>
          <w:rFonts w:ascii="Arial" w:hAnsi="Arial" w:cs="Arial"/>
          <w:sz w:val="22"/>
          <w:szCs w:val="22"/>
        </w:rPr>
      </w:pPr>
    </w:p>
    <w:p w14:paraId="00B06332"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PROMEDIO DE ESCOLARIDAD</w:t>
      </w:r>
    </w:p>
    <w:p w14:paraId="09DA37C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promedio de escolaridad resume los logros alcanzados por la población, dentro del sistema educativo nacional.</w:t>
      </w:r>
    </w:p>
    <w:p w14:paraId="139A932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El indicador se refiere al número de años que en promedio aprobaron las personas de 15 años y más. </w:t>
      </w:r>
    </w:p>
    <w:p w14:paraId="2C0B230E"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3A5B0D28" wp14:editId="52147D4A">
            <wp:extent cx="4295775" cy="3653237"/>
            <wp:effectExtent l="0" t="0" r="0" b="4445"/>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02195" cy="3658697"/>
                    </a:xfrm>
                    <a:prstGeom prst="rect">
                      <a:avLst/>
                    </a:prstGeom>
                    <a:noFill/>
                    <a:ln>
                      <a:noFill/>
                    </a:ln>
                  </pic:spPr>
                </pic:pic>
              </a:graphicData>
            </a:graphic>
          </wp:inline>
        </w:drawing>
      </w:r>
    </w:p>
    <w:p w14:paraId="424CABE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escolaridad promedio de la población pasó de tener la primaria terminada en 1990, a contar con prácticamente la educación secundaria en 2010</w:t>
      </w:r>
    </w:p>
    <w:p w14:paraId="126BE758"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77175DD7" wp14:editId="5677F8C4">
            <wp:extent cx="3895725" cy="3106928"/>
            <wp:effectExtent l="0" t="0" r="0" b="0"/>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99140" cy="3109651"/>
                    </a:xfrm>
                    <a:prstGeom prst="rect">
                      <a:avLst/>
                    </a:prstGeom>
                    <a:noFill/>
                    <a:ln>
                      <a:noFill/>
                    </a:ln>
                  </pic:spPr>
                </pic:pic>
              </a:graphicData>
            </a:graphic>
          </wp:inline>
        </w:drawing>
      </w:r>
    </w:p>
    <w:p w14:paraId="5096E71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2010, el promedio de escolaridad de los jóvenes equivale a tener un grado de estudio en educación media superior.</w:t>
      </w:r>
    </w:p>
    <w:p w14:paraId="482C728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El promedio desciende conforme la edad y entre los adultos mayores el promedio es cercano a la primaria incompleta.</w:t>
      </w:r>
    </w:p>
    <w:p w14:paraId="6C32E468"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538F5430" wp14:editId="3C9D9F3D">
            <wp:extent cx="4886325" cy="3515770"/>
            <wp:effectExtent l="0" t="0" r="0" b="8890"/>
            <wp:docPr id="581" name="Imagen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95485" cy="3522361"/>
                    </a:xfrm>
                    <a:prstGeom prst="rect">
                      <a:avLst/>
                    </a:prstGeom>
                    <a:noFill/>
                    <a:ln>
                      <a:noFill/>
                    </a:ln>
                  </pic:spPr>
                </pic:pic>
              </a:graphicData>
            </a:graphic>
          </wp:inline>
        </w:drawing>
      </w:r>
    </w:p>
    <w:p w14:paraId="7771668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entidad federativa, los mayores promedios de escolaridad de la población de 15 años y más se presentan en cinco estados del norte: Nuevo León (9.8 años), Coahuila (9.5), Baja California Sur (9.4), Sonora (9.4) y Baja California (9.3); y en dos estados de la región centro: Distrito Federal (10.5) y Aguascalientes (9.2).</w:t>
      </w:r>
    </w:p>
    <w:p w14:paraId="5477803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De ese conjunto, el Distrito Federal encabeza el promedio más alto, superando en casi dos grados al promedio nacional.</w:t>
      </w:r>
    </w:p>
    <w:p w14:paraId="077FA8B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el rango más bajo se encuentran tres entidades del sur del país: Chiapas (6.7 años), Oaxaca (6.9) y Guerrero  (7.3); seguidas de Michoacán (7.4), Veracruz (7.7), Guanajuato (7.7), Zacatecas (7.9) y Puebla (7.9).</w:t>
      </w:r>
    </w:p>
    <w:p w14:paraId="47780DF5" w14:textId="77777777" w:rsidR="00B152E1" w:rsidRDefault="004220B7" w:rsidP="004220B7">
      <w:pPr>
        <w:jc w:val="both"/>
        <w:rPr>
          <w:rFonts w:ascii="Arial" w:hAnsi="Arial" w:cs="Arial"/>
          <w:sz w:val="22"/>
          <w:szCs w:val="22"/>
        </w:rPr>
      </w:pPr>
      <w:r w:rsidRPr="007923C2">
        <w:rPr>
          <w:rFonts w:ascii="Arial" w:hAnsi="Arial" w:cs="Arial"/>
          <w:sz w:val="22"/>
          <w:szCs w:val="22"/>
        </w:rPr>
        <w:t>Los promedios más bajos se tienen en Chiapas y Oaxaca que equivalen a prácticamente un grado aprobado de secundaria</w:t>
      </w:r>
      <w:r w:rsidR="00B152E1">
        <w:rPr>
          <w:rFonts w:ascii="Arial" w:hAnsi="Arial" w:cs="Arial"/>
          <w:sz w:val="22"/>
          <w:szCs w:val="22"/>
        </w:rPr>
        <w:t>.</w:t>
      </w:r>
    </w:p>
    <w:p w14:paraId="63BC408D" w14:textId="77777777" w:rsidR="00B152E1" w:rsidRDefault="00B152E1"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05F2ACEC" wp14:editId="49E09155">
            <wp:extent cx="3028950" cy="2378347"/>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42365" cy="2388880"/>
                    </a:xfrm>
                    <a:prstGeom prst="rect">
                      <a:avLst/>
                    </a:prstGeom>
                    <a:noFill/>
                    <a:ln>
                      <a:noFill/>
                    </a:ln>
                  </pic:spPr>
                </pic:pic>
              </a:graphicData>
            </a:graphic>
          </wp:inline>
        </w:drawing>
      </w:r>
    </w:p>
    <w:p w14:paraId="4805452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población presenta diferencias en el promedio de escolaridad según el tamaño de localidad de residencia que se trate, lo que puede estar relacionado con el grado de desarrollo que se tiene en las mismas.</w:t>
      </w:r>
    </w:p>
    <w:p w14:paraId="0D3BB50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las de menos de 2 500 habitantes, el promedio equivale a tener la primaria concluida y prácticamente es el promedio que se tenía a nivel nacional en 1990.</w:t>
      </w:r>
    </w:p>
    <w:p w14:paraId="469C93A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contraste, en localidades de 100 mil y más habitantes, el promedio es igual a tener un grado aprobado en bachillerato.</w:t>
      </w:r>
    </w:p>
    <w:p w14:paraId="702E8992"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TENDENCIAS DE EMPLEO</w:t>
      </w:r>
    </w:p>
    <w:p w14:paraId="4460AB56" w14:textId="77777777"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Primer trimestre de 2015</w:t>
      </w:r>
    </w:p>
    <w:p w14:paraId="4B99E17A" w14:textId="77777777"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NÚMERO DE PROFESIONISTAS OCUPADOS</w:t>
      </w:r>
    </w:p>
    <w:p w14:paraId="696BD9F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Datos al primer trimestre de 2015 de la Encuesta Nacional de Ocupación y Empleo (ENOE), muestran que el número de profesionistas ocupados en el país es de 7.6 millones de personas, cifra que representa tan sólo el 15.2 % de la población ocupada.</w:t>
      </w:r>
    </w:p>
    <w:p w14:paraId="6996A27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Así mismo estos datos nos muestran que las áreas con el mayor número de ocupados se encuentran representadas por la Económico Administrativa, las Ingenierías y la de Educación, estas tres áreas alcanzan los 4.9 millones de profesionistas ocupados.</w:t>
      </w:r>
    </w:p>
    <w:p w14:paraId="52E47E9C" w14:textId="77777777" w:rsidR="004220B7" w:rsidRPr="007923C2" w:rsidRDefault="004220B7" w:rsidP="004220B7">
      <w:pPr>
        <w:jc w:val="both"/>
        <w:rPr>
          <w:rFonts w:ascii="Arial" w:hAnsi="Arial" w:cs="Arial"/>
          <w:sz w:val="22"/>
          <w:szCs w:val="22"/>
        </w:rPr>
      </w:pP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4566"/>
        <w:gridCol w:w="1275"/>
        <w:gridCol w:w="1659"/>
      </w:tblGrid>
      <w:tr w:rsidR="004220B7" w:rsidRPr="007923C2" w14:paraId="0C625898" w14:textId="77777777" w:rsidTr="00B152E1">
        <w:trPr>
          <w:trHeight w:val="765"/>
          <w:tblCellSpacing w:w="15" w:type="dxa"/>
          <w:jc w:val="center"/>
        </w:trPr>
        <w:tc>
          <w:tcPr>
            <w:tcW w:w="4521" w:type="dxa"/>
            <w:tcBorders>
              <w:left w:val="single" w:sz="6" w:space="0" w:color="auto"/>
            </w:tcBorders>
            <w:shd w:val="clear" w:color="auto" w:fill="00796F"/>
            <w:vAlign w:val="center"/>
            <w:hideMark/>
          </w:tcPr>
          <w:p w14:paraId="22DA016A" w14:textId="77777777" w:rsidR="004220B7" w:rsidRPr="007923C2" w:rsidRDefault="004220B7" w:rsidP="00B152E1">
            <w:pPr>
              <w:jc w:val="center"/>
              <w:rPr>
                <w:rFonts w:ascii="Arial" w:hAnsi="Arial" w:cs="Arial"/>
                <w:b/>
                <w:bCs/>
                <w:sz w:val="22"/>
                <w:szCs w:val="22"/>
              </w:rPr>
            </w:pPr>
            <w:r w:rsidRPr="007923C2">
              <w:rPr>
                <w:rFonts w:ascii="Arial" w:hAnsi="Arial" w:cs="Arial"/>
                <w:b/>
                <w:bCs/>
                <w:sz w:val="22"/>
                <w:szCs w:val="22"/>
              </w:rPr>
              <w:t>Carreras con mayor número de ocupados</w:t>
            </w:r>
          </w:p>
        </w:tc>
        <w:tc>
          <w:tcPr>
            <w:tcW w:w="1245" w:type="dxa"/>
            <w:tcBorders>
              <w:left w:val="single" w:sz="6" w:space="0" w:color="auto"/>
            </w:tcBorders>
            <w:shd w:val="clear" w:color="auto" w:fill="00796F"/>
            <w:vAlign w:val="center"/>
            <w:hideMark/>
          </w:tcPr>
          <w:p w14:paraId="2074F1B6" w14:textId="77777777" w:rsidR="004220B7" w:rsidRPr="007923C2" w:rsidRDefault="004220B7" w:rsidP="00973738">
            <w:pPr>
              <w:jc w:val="center"/>
              <w:rPr>
                <w:rFonts w:ascii="Arial" w:hAnsi="Arial" w:cs="Arial"/>
                <w:b/>
                <w:bCs/>
                <w:sz w:val="22"/>
                <w:szCs w:val="22"/>
              </w:rPr>
            </w:pPr>
            <w:r w:rsidRPr="007923C2">
              <w:rPr>
                <w:rFonts w:ascii="Arial" w:hAnsi="Arial" w:cs="Arial"/>
                <w:b/>
                <w:bCs/>
                <w:sz w:val="22"/>
                <w:szCs w:val="22"/>
              </w:rPr>
              <w:t>Miles de personas</w:t>
            </w:r>
          </w:p>
        </w:tc>
        <w:tc>
          <w:tcPr>
            <w:tcW w:w="1614" w:type="dxa"/>
            <w:tcBorders>
              <w:left w:val="single" w:sz="6" w:space="0" w:color="auto"/>
            </w:tcBorders>
            <w:shd w:val="clear" w:color="auto" w:fill="00796F"/>
            <w:tcMar>
              <w:top w:w="15" w:type="dxa"/>
              <w:left w:w="150" w:type="dxa"/>
              <w:bottom w:w="15" w:type="dxa"/>
              <w:right w:w="150" w:type="dxa"/>
            </w:tcMar>
            <w:vAlign w:val="center"/>
            <w:hideMark/>
          </w:tcPr>
          <w:p w14:paraId="4169A16B" w14:textId="77777777" w:rsidR="004220B7" w:rsidRPr="007923C2" w:rsidRDefault="004220B7" w:rsidP="00973738">
            <w:pPr>
              <w:jc w:val="center"/>
              <w:rPr>
                <w:rFonts w:ascii="Arial" w:hAnsi="Arial" w:cs="Arial"/>
                <w:b/>
                <w:bCs/>
                <w:sz w:val="22"/>
                <w:szCs w:val="22"/>
              </w:rPr>
            </w:pPr>
            <w:r w:rsidRPr="007923C2">
              <w:rPr>
                <w:rFonts w:ascii="Arial" w:hAnsi="Arial" w:cs="Arial"/>
                <w:b/>
                <w:bCs/>
                <w:sz w:val="22"/>
                <w:szCs w:val="22"/>
              </w:rPr>
              <w:t>De los cuales se ocupan en lo que estudiaron (%)</w:t>
            </w:r>
          </w:p>
        </w:tc>
      </w:tr>
      <w:tr w:rsidR="004220B7" w:rsidRPr="007923C2" w14:paraId="3D36C03B"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33ED871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Administración y gestión de empresas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3A63C529" w14:textId="77777777" w:rsidR="004220B7" w:rsidRPr="007923C2" w:rsidRDefault="004220B7" w:rsidP="00973738">
            <w:pPr>
              <w:jc w:val="center"/>
              <w:rPr>
                <w:rFonts w:ascii="Arial" w:hAnsi="Arial" w:cs="Arial"/>
                <w:sz w:val="22"/>
                <w:szCs w:val="22"/>
              </w:rPr>
            </w:pPr>
            <w:r w:rsidRPr="007923C2">
              <w:rPr>
                <w:rFonts w:ascii="Arial" w:hAnsi="Arial" w:cs="Arial"/>
                <w:sz w:val="22"/>
                <w:szCs w:val="22"/>
              </w:rPr>
              <w:t>762,999</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208F86E5" w14:textId="77777777" w:rsidR="004220B7" w:rsidRPr="007923C2" w:rsidRDefault="004220B7" w:rsidP="00973738">
            <w:pPr>
              <w:jc w:val="center"/>
              <w:rPr>
                <w:rFonts w:ascii="Arial" w:hAnsi="Arial" w:cs="Arial"/>
                <w:sz w:val="22"/>
                <w:szCs w:val="22"/>
              </w:rPr>
            </w:pPr>
            <w:r w:rsidRPr="007923C2">
              <w:rPr>
                <w:rFonts w:ascii="Arial" w:hAnsi="Arial" w:cs="Arial"/>
                <w:sz w:val="22"/>
                <w:szCs w:val="22"/>
              </w:rPr>
              <w:t>69.0</w:t>
            </w:r>
          </w:p>
        </w:tc>
      </w:tr>
      <w:tr w:rsidR="004220B7" w:rsidRPr="007923C2" w14:paraId="7E7CFED4"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7879646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Contabilidad y fiscalización</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640CF258" w14:textId="77777777" w:rsidR="004220B7" w:rsidRPr="007923C2" w:rsidRDefault="004220B7" w:rsidP="00973738">
            <w:pPr>
              <w:jc w:val="center"/>
              <w:rPr>
                <w:rFonts w:ascii="Arial" w:hAnsi="Arial" w:cs="Arial"/>
                <w:sz w:val="22"/>
                <w:szCs w:val="22"/>
              </w:rPr>
            </w:pPr>
            <w:r w:rsidRPr="007923C2">
              <w:rPr>
                <w:rFonts w:ascii="Arial" w:hAnsi="Arial" w:cs="Arial"/>
                <w:sz w:val="22"/>
                <w:szCs w:val="22"/>
              </w:rPr>
              <w:t>711,560</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5FBA05CA" w14:textId="77777777" w:rsidR="004220B7" w:rsidRPr="007923C2" w:rsidRDefault="004220B7" w:rsidP="00973738">
            <w:pPr>
              <w:jc w:val="center"/>
              <w:rPr>
                <w:rFonts w:ascii="Arial" w:hAnsi="Arial" w:cs="Arial"/>
                <w:sz w:val="22"/>
                <w:szCs w:val="22"/>
              </w:rPr>
            </w:pPr>
            <w:r w:rsidRPr="007923C2">
              <w:rPr>
                <w:rFonts w:ascii="Arial" w:hAnsi="Arial" w:cs="Arial"/>
                <w:sz w:val="22"/>
                <w:szCs w:val="22"/>
              </w:rPr>
              <w:t>79.5</w:t>
            </w:r>
          </w:p>
        </w:tc>
      </w:tr>
      <w:tr w:rsidR="004220B7" w:rsidRPr="007923C2" w14:paraId="1F65D315"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1C49132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Derecho</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3A70E762" w14:textId="77777777" w:rsidR="004220B7" w:rsidRPr="007923C2" w:rsidRDefault="004220B7" w:rsidP="00973738">
            <w:pPr>
              <w:jc w:val="center"/>
              <w:rPr>
                <w:rFonts w:ascii="Arial" w:hAnsi="Arial" w:cs="Arial"/>
                <w:sz w:val="22"/>
                <w:szCs w:val="22"/>
              </w:rPr>
            </w:pPr>
            <w:r w:rsidRPr="007923C2">
              <w:rPr>
                <w:rFonts w:ascii="Arial" w:hAnsi="Arial" w:cs="Arial"/>
                <w:sz w:val="22"/>
                <w:szCs w:val="22"/>
              </w:rPr>
              <w:t>667,040</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18696C20" w14:textId="77777777" w:rsidR="004220B7" w:rsidRPr="007923C2" w:rsidRDefault="004220B7" w:rsidP="00973738">
            <w:pPr>
              <w:jc w:val="center"/>
              <w:rPr>
                <w:rFonts w:ascii="Arial" w:hAnsi="Arial" w:cs="Arial"/>
                <w:sz w:val="22"/>
                <w:szCs w:val="22"/>
              </w:rPr>
            </w:pPr>
            <w:r w:rsidRPr="007923C2">
              <w:rPr>
                <w:rFonts w:ascii="Arial" w:hAnsi="Arial" w:cs="Arial"/>
                <w:sz w:val="22"/>
                <w:szCs w:val="22"/>
              </w:rPr>
              <w:t>81.5</w:t>
            </w:r>
          </w:p>
        </w:tc>
      </w:tr>
    </w:tbl>
    <w:p w14:paraId="205F7CB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ocupados de estas tres carreras, representan el 28.3 % del total de los profesionistas ocupados.</w:t>
      </w:r>
    </w:p>
    <w:p w14:paraId="0A41034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Las áreas que muestran el menor número de ocupados son Ciencias Físico-Matemáticas, Humanidades y Ciencias Biológicas, con apenas 318 mil 646 profesionistas ocupados entre las tres.</w:t>
      </w: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4961"/>
        <w:gridCol w:w="1054"/>
        <w:gridCol w:w="1485"/>
      </w:tblGrid>
      <w:tr w:rsidR="004220B7" w:rsidRPr="007923C2" w14:paraId="2B3C7F15" w14:textId="77777777" w:rsidTr="0030772E">
        <w:trPr>
          <w:trHeight w:val="765"/>
          <w:tblCellSpacing w:w="15" w:type="dxa"/>
          <w:jc w:val="center"/>
        </w:trPr>
        <w:tc>
          <w:tcPr>
            <w:tcW w:w="6" w:type="dxa"/>
            <w:tcBorders>
              <w:left w:val="single" w:sz="6" w:space="0" w:color="auto"/>
            </w:tcBorders>
            <w:shd w:val="clear" w:color="auto" w:fill="00796F"/>
            <w:vAlign w:val="center"/>
            <w:hideMark/>
          </w:tcPr>
          <w:p w14:paraId="7B2873FD" w14:textId="77777777" w:rsidR="004220B7" w:rsidRPr="007923C2" w:rsidRDefault="004220B7" w:rsidP="00B152E1">
            <w:pPr>
              <w:jc w:val="center"/>
              <w:rPr>
                <w:rFonts w:ascii="Arial" w:hAnsi="Arial" w:cs="Arial"/>
                <w:b/>
                <w:bCs/>
                <w:sz w:val="22"/>
                <w:szCs w:val="22"/>
              </w:rPr>
            </w:pPr>
            <w:r w:rsidRPr="007923C2">
              <w:rPr>
                <w:rFonts w:ascii="Arial" w:hAnsi="Arial" w:cs="Arial"/>
                <w:b/>
                <w:bCs/>
                <w:sz w:val="22"/>
                <w:szCs w:val="22"/>
              </w:rPr>
              <w:t>Carreras con menor número de ocupados</w:t>
            </w:r>
          </w:p>
        </w:tc>
        <w:tc>
          <w:tcPr>
            <w:tcW w:w="6" w:type="dxa"/>
            <w:tcBorders>
              <w:left w:val="single" w:sz="6" w:space="0" w:color="auto"/>
            </w:tcBorders>
            <w:shd w:val="clear" w:color="auto" w:fill="00796F"/>
            <w:vAlign w:val="center"/>
            <w:hideMark/>
          </w:tcPr>
          <w:p w14:paraId="59F6BB00" w14:textId="77777777" w:rsidR="004220B7" w:rsidRPr="007923C2" w:rsidRDefault="004220B7" w:rsidP="00973738">
            <w:pPr>
              <w:jc w:val="center"/>
              <w:rPr>
                <w:rFonts w:ascii="Arial" w:hAnsi="Arial" w:cs="Arial"/>
                <w:b/>
                <w:bCs/>
                <w:sz w:val="22"/>
                <w:szCs w:val="22"/>
              </w:rPr>
            </w:pPr>
            <w:r w:rsidRPr="007923C2">
              <w:rPr>
                <w:rFonts w:ascii="Arial" w:hAnsi="Arial" w:cs="Arial"/>
                <w:b/>
                <w:bCs/>
                <w:sz w:val="22"/>
                <w:szCs w:val="22"/>
              </w:rPr>
              <w:t>Miles de personas</w:t>
            </w:r>
          </w:p>
        </w:tc>
        <w:tc>
          <w:tcPr>
            <w:tcW w:w="6" w:type="dxa"/>
            <w:tcBorders>
              <w:left w:val="single" w:sz="6" w:space="0" w:color="auto"/>
            </w:tcBorders>
            <w:shd w:val="clear" w:color="auto" w:fill="00796F"/>
            <w:tcMar>
              <w:top w:w="15" w:type="dxa"/>
              <w:left w:w="150" w:type="dxa"/>
              <w:bottom w:w="15" w:type="dxa"/>
              <w:right w:w="150" w:type="dxa"/>
            </w:tcMar>
            <w:vAlign w:val="center"/>
            <w:hideMark/>
          </w:tcPr>
          <w:p w14:paraId="6970E635" w14:textId="77777777" w:rsidR="004220B7" w:rsidRPr="007923C2" w:rsidRDefault="004220B7" w:rsidP="00973738">
            <w:pPr>
              <w:jc w:val="center"/>
              <w:rPr>
                <w:rFonts w:ascii="Arial" w:hAnsi="Arial" w:cs="Arial"/>
                <w:b/>
                <w:bCs/>
                <w:sz w:val="22"/>
                <w:szCs w:val="22"/>
              </w:rPr>
            </w:pPr>
            <w:r w:rsidRPr="007923C2">
              <w:rPr>
                <w:rFonts w:ascii="Arial" w:hAnsi="Arial" w:cs="Arial"/>
                <w:b/>
                <w:bCs/>
                <w:sz w:val="22"/>
                <w:szCs w:val="22"/>
              </w:rPr>
              <w:t>De los cuales se ocupan en lo que estudiaron (%)</w:t>
            </w:r>
          </w:p>
        </w:tc>
      </w:tr>
      <w:tr w:rsidR="004220B7" w:rsidRPr="007923C2" w14:paraId="43FC3B5F"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4AE41DD2" w14:textId="77777777" w:rsidR="004220B7" w:rsidRPr="007923C2" w:rsidRDefault="004220B7" w:rsidP="00B152E1">
            <w:pPr>
              <w:rPr>
                <w:rFonts w:ascii="Arial" w:hAnsi="Arial" w:cs="Arial"/>
                <w:sz w:val="22"/>
                <w:szCs w:val="22"/>
              </w:rPr>
            </w:pPr>
            <w:r w:rsidRPr="007923C2">
              <w:rPr>
                <w:rFonts w:ascii="Arial" w:hAnsi="Arial" w:cs="Arial"/>
                <w:sz w:val="22"/>
                <w:szCs w:val="22"/>
              </w:rPr>
              <w:t>Diagnóstico médico y tecnología del tratamiento</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2C58EF49" w14:textId="77777777" w:rsidR="004220B7" w:rsidRPr="007923C2" w:rsidRDefault="004220B7" w:rsidP="00973738">
            <w:pPr>
              <w:jc w:val="center"/>
              <w:rPr>
                <w:rFonts w:ascii="Arial" w:hAnsi="Arial" w:cs="Arial"/>
                <w:sz w:val="22"/>
                <w:szCs w:val="22"/>
              </w:rPr>
            </w:pPr>
            <w:r w:rsidRPr="007923C2">
              <w:rPr>
                <w:rFonts w:ascii="Arial" w:hAnsi="Arial" w:cs="Arial"/>
                <w:sz w:val="22"/>
                <w:szCs w:val="22"/>
              </w:rPr>
              <w:t>5,300</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6AE08FDF" w14:textId="77777777" w:rsidR="004220B7" w:rsidRPr="007923C2" w:rsidRDefault="004220B7" w:rsidP="00973738">
            <w:pPr>
              <w:jc w:val="center"/>
              <w:rPr>
                <w:rFonts w:ascii="Arial" w:hAnsi="Arial" w:cs="Arial"/>
                <w:sz w:val="22"/>
                <w:szCs w:val="22"/>
              </w:rPr>
            </w:pPr>
            <w:r w:rsidRPr="007923C2">
              <w:rPr>
                <w:rFonts w:ascii="Arial" w:hAnsi="Arial" w:cs="Arial"/>
                <w:sz w:val="22"/>
                <w:szCs w:val="22"/>
              </w:rPr>
              <w:t>86.4</w:t>
            </w:r>
          </w:p>
        </w:tc>
      </w:tr>
      <w:tr w:rsidR="004220B7" w:rsidRPr="007923C2" w14:paraId="3216C86D"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3E7E91F0" w14:textId="77777777" w:rsidR="004220B7" w:rsidRPr="007923C2" w:rsidRDefault="004220B7" w:rsidP="00B152E1">
            <w:pPr>
              <w:rPr>
                <w:rFonts w:ascii="Arial" w:hAnsi="Arial" w:cs="Arial"/>
                <w:sz w:val="22"/>
                <w:szCs w:val="22"/>
              </w:rPr>
            </w:pPr>
            <w:r w:rsidRPr="007923C2">
              <w:rPr>
                <w:rFonts w:ascii="Arial" w:hAnsi="Arial" w:cs="Arial"/>
                <w:sz w:val="22"/>
                <w:szCs w:val="22"/>
              </w:rPr>
              <w:t>Deportes</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18B189A5" w14:textId="77777777" w:rsidR="004220B7" w:rsidRPr="007923C2" w:rsidRDefault="004220B7" w:rsidP="00973738">
            <w:pPr>
              <w:jc w:val="center"/>
              <w:rPr>
                <w:rFonts w:ascii="Arial" w:hAnsi="Arial" w:cs="Arial"/>
                <w:sz w:val="22"/>
                <w:szCs w:val="22"/>
              </w:rPr>
            </w:pPr>
            <w:r w:rsidRPr="007923C2">
              <w:rPr>
                <w:rFonts w:ascii="Arial" w:hAnsi="Arial" w:cs="Arial"/>
                <w:sz w:val="22"/>
                <w:szCs w:val="22"/>
              </w:rPr>
              <w:t>5,140</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6DFA302B" w14:textId="77777777" w:rsidR="004220B7" w:rsidRPr="007923C2" w:rsidRDefault="004220B7" w:rsidP="00973738">
            <w:pPr>
              <w:jc w:val="center"/>
              <w:rPr>
                <w:rFonts w:ascii="Arial" w:hAnsi="Arial" w:cs="Arial"/>
                <w:sz w:val="22"/>
                <w:szCs w:val="22"/>
              </w:rPr>
            </w:pPr>
            <w:r w:rsidRPr="007923C2">
              <w:rPr>
                <w:rFonts w:ascii="Arial" w:hAnsi="Arial" w:cs="Arial"/>
                <w:sz w:val="22"/>
                <w:szCs w:val="22"/>
              </w:rPr>
              <w:t>93.8</w:t>
            </w:r>
          </w:p>
        </w:tc>
      </w:tr>
      <w:tr w:rsidR="004220B7" w:rsidRPr="007923C2" w14:paraId="5EC15EDE"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2F13B92B" w14:textId="77777777" w:rsidR="004220B7" w:rsidRPr="007923C2" w:rsidRDefault="004220B7" w:rsidP="00B152E1">
            <w:pPr>
              <w:rPr>
                <w:rFonts w:ascii="Arial" w:hAnsi="Arial" w:cs="Arial"/>
                <w:sz w:val="22"/>
                <w:szCs w:val="22"/>
              </w:rPr>
            </w:pPr>
            <w:r w:rsidRPr="007923C2">
              <w:rPr>
                <w:rFonts w:ascii="Arial" w:hAnsi="Arial" w:cs="Arial"/>
                <w:sz w:val="22"/>
                <w:szCs w:val="22"/>
              </w:rPr>
              <w:t>Silvicultura</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22B3699C" w14:textId="77777777" w:rsidR="004220B7" w:rsidRPr="007923C2" w:rsidRDefault="004220B7" w:rsidP="00973738">
            <w:pPr>
              <w:jc w:val="center"/>
              <w:rPr>
                <w:rFonts w:ascii="Arial" w:hAnsi="Arial" w:cs="Arial"/>
                <w:sz w:val="22"/>
                <w:szCs w:val="22"/>
              </w:rPr>
            </w:pPr>
            <w:r w:rsidRPr="007923C2">
              <w:rPr>
                <w:rFonts w:ascii="Arial" w:hAnsi="Arial" w:cs="Arial"/>
                <w:sz w:val="22"/>
                <w:szCs w:val="22"/>
              </w:rPr>
              <w:t>4,497</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57E747FB" w14:textId="77777777" w:rsidR="004220B7" w:rsidRPr="007923C2" w:rsidRDefault="004220B7" w:rsidP="00973738">
            <w:pPr>
              <w:jc w:val="center"/>
              <w:rPr>
                <w:rFonts w:ascii="Arial" w:hAnsi="Arial" w:cs="Arial"/>
                <w:sz w:val="22"/>
                <w:szCs w:val="22"/>
              </w:rPr>
            </w:pPr>
            <w:r w:rsidRPr="007923C2">
              <w:rPr>
                <w:rFonts w:ascii="Arial" w:hAnsi="Arial" w:cs="Arial"/>
                <w:sz w:val="22"/>
                <w:szCs w:val="22"/>
              </w:rPr>
              <w:t>78.2</w:t>
            </w:r>
          </w:p>
        </w:tc>
      </w:tr>
    </w:tbl>
    <w:p w14:paraId="3B616010"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47343B2D" wp14:editId="39CF0A42">
            <wp:extent cx="4763135" cy="3296285"/>
            <wp:effectExtent l="0" t="0" r="0" b="0"/>
            <wp:docPr id="579" name="Imagen 579" descr="Por area de conoci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Por area de conocimient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63135" cy="3296285"/>
                    </a:xfrm>
                    <a:prstGeom prst="rect">
                      <a:avLst/>
                    </a:prstGeom>
                    <a:noFill/>
                    <a:ln>
                      <a:noFill/>
                    </a:ln>
                  </pic:spPr>
                </pic:pic>
              </a:graphicData>
            </a:graphic>
          </wp:inline>
        </w:drawing>
      </w:r>
    </w:p>
    <w:p w14:paraId="21AF117E" w14:textId="77777777" w:rsidR="004220B7" w:rsidRPr="007923C2" w:rsidRDefault="004220B7" w:rsidP="004220B7">
      <w:pPr>
        <w:jc w:val="both"/>
        <w:rPr>
          <w:rFonts w:ascii="Arial" w:hAnsi="Arial" w:cs="Arial"/>
          <w:sz w:val="22"/>
          <w:szCs w:val="22"/>
        </w:rPr>
      </w:pPr>
      <w:r w:rsidRPr="007923C2">
        <w:rPr>
          <w:rFonts w:ascii="Arial" w:hAnsi="Arial" w:cs="Arial"/>
          <w:b/>
          <w:bCs/>
          <w:sz w:val="22"/>
          <w:szCs w:val="22"/>
        </w:rPr>
        <w:lastRenderedPageBreak/>
        <w:t>Profesionistas ocupados por área de conocimiento.</w:t>
      </w:r>
    </w:p>
    <w:p w14:paraId="543ED3C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 Presente gráfica muestra información sobre los profesionistas ocupados por área de conocimiento, al primertrimestre de 2015; se muestran los resultados con mayor y menor número de ocupados de acuerdo a las diferentes ramas del conocimiento. La profesión con mayor ocupación son las Económicas Administrativas, las de menor ocupación son las Ciencias Físico-Matemáticas.</w:t>
      </w:r>
    </w:p>
    <w:p w14:paraId="094F84AA" w14:textId="77777777"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DISTRIBUCIÓN DE LOS PROFESIONISTAS OCUPADOS POR SEXO</w:t>
      </w:r>
    </w:p>
    <w:p w14:paraId="4AA11B8A" w14:textId="77777777" w:rsidR="00973738" w:rsidRDefault="004220B7" w:rsidP="004220B7">
      <w:pPr>
        <w:jc w:val="both"/>
        <w:rPr>
          <w:rFonts w:ascii="Arial" w:hAnsi="Arial" w:cs="Arial"/>
          <w:sz w:val="22"/>
          <w:szCs w:val="22"/>
        </w:rPr>
      </w:pPr>
      <w:r w:rsidRPr="007923C2">
        <w:rPr>
          <w:rFonts w:ascii="Arial" w:hAnsi="Arial" w:cs="Arial"/>
          <w:sz w:val="22"/>
          <w:szCs w:val="22"/>
        </w:rPr>
        <w:t>Al primer trimestre de 2015, el porcentaje de mujeres profesionistas ocupadas en el país alcanza el 44.5 % del total de los profesionistas ocupados.</w:t>
      </w:r>
    </w:p>
    <w:p w14:paraId="21AA564D" w14:textId="77777777" w:rsidR="004220B7" w:rsidRDefault="004220B7" w:rsidP="004220B7">
      <w:pPr>
        <w:jc w:val="both"/>
        <w:rPr>
          <w:rFonts w:ascii="Arial" w:hAnsi="Arial" w:cs="Arial"/>
          <w:sz w:val="22"/>
          <w:szCs w:val="22"/>
        </w:rPr>
      </w:pPr>
      <w:r w:rsidRPr="007923C2">
        <w:rPr>
          <w:rFonts w:ascii="Arial" w:hAnsi="Arial" w:cs="Arial"/>
          <w:sz w:val="22"/>
          <w:szCs w:val="22"/>
        </w:rPr>
        <w:t>Las áreas profesionales en donde las mujeres representan a más de la mitad del total de profesionistas ocupados son Educación, Ciencias de la Salud, Humanidades, Ciencias Biológicas y Artes.</w:t>
      </w:r>
    </w:p>
    <w:p w14:paraId="1EBD814C" w14:textId="77777777" w:rsidR="00CD4438" w:rsidRPr="007923C2" w:rsidRDefault="00CD4438" w:rsidP="004220B7">
      <w:pPr>
        <w:jc w:val="both"/>
        <w:rPr>
          <w:rFonts w:ascii="Arial" w:hAnsi="Arial" w:cs="Arial"/>
          <w:sz w:val="22"/>
          <w:szCs w:val="22"/>
        </w:rPr>
      </w:pP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6652"/>
        <w:gridCol w:w="848"/>
      </w:tblGrid>
      <w:tr w:rsidR="004220B7" w:rsidRPr="007923C2" w14:paraId="1D5BECAA" w14:textId="77777777" w:rsidTr="0030772E">
        <w:trPr>
          <w:trHeight w:val="765"/>
          <w:tblCellSpacing w:w="15" w:type="dxa"/>
          <w:jc w:val="center"/>
        </w:trPr>
        <w:tc>
          <w:tcPr>
            <w:tcW w:w="6" w:type="dxa"/>
            <w:tcBorders>
              <w:left w:val="single" w:sz="6" w:space="0" w:color="auto"/>
            </w:tcBorders>
            <w:shd w:val="clear" w:color="auto" w:fill="00796F"/>
            <w:vAlign w:val="center"/>
            <w:hideMark/>
          </w:tcPr>
          <w:p w14:paraId="6715F25C" w14:textId="77777777"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Carreras con mayor porcentaje de mujeres profesionistas ocupadas</w:t>
            </w:r>
          </w:p>
        </w:tc>
        <w:tc>
          <w:tcPr>
            <w:tcW w:w="6" w:type="dxa"/>
            <w:tcBorders>
              <w:left w:val="single" w:sz="6" w:space="0" w:color="auto"/>
            </w:tcBorders>
            <w:shd w:val="clear" w:color="auto" w:fill="00796F"/>
            <w:tcMar>
              <w:top w:w="15" w:type="dxa"/>
              <w:left w:w="150" w:type="dxa"/>
              <w:bottom w:w="15" w:type="dxa"/>
              <w:right w:w="150" w:type="dxa"/>
            </w:tcMar>
            <w:vAlign w:val="center"/>
            <w:hideMark/>
          </w:tcPr>
          <w:p w14:paraId="4FFFA4A3" w14:textId="77777777"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w:t>
            </w:r>
          </w:p>
        </w:tc>
      </w:tr>
      <w:tr w:rsidR="004220B7" w:rsidRPr="007923C2" w14:paraId="67B31286"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6A92FB5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para educación básica, nivel preescolar</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23C2152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97.9</w:t>
            </w:r>
          </w:p>
        </w:tc>
      </w:tr>
      <w:tr w:rsidR="004220B7" w:rsidRPr="007923C2" w14:paraId="1E1930EA"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5BDA7AD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Trabajo y atención social</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67A773F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88.1</w:t>
            </w:r>
          </w:p>
        </w:tc>
      </w:tr>
      <w:tr w:rsidR="004220B7" w:rsidRPr="007923C2" w14:paraId="4AE74E3C"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4776347C"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para otros servicios educativos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1CC84AB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87.8</w:t>
            </w:r>
          </w:p>
        </w:tc>
      </w:tr>
    </w:tbl>
    <w:p w14:paraId="26B1220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Las mujeres profesionistas tienen menor presencia en la ocupación en las áreas de Ingenierías, Arquitectura, Urbanismo y Diseño y en el área de Ciencias Físico Matemáticas.</w:t>
      </w: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6581"/>
        <w:gridCol w:w="919"/>
      </w:tblGrid>
      <w:tr w:rsidR="004220B7" w:rsidRPr="007923C2" w14:paraId="456EE881" w14:textId="77777777" w:rsidTr="0030772E">
        <w:trPr>
          <w:trHeight w:val="765"/>
          <w:tblCellSpacing w:w="15" w:type="dxa"/>
          <w:jc w:val="center"/>
        </w:trPr>
        <w:tc>
          <w:tcPr>
            <w:tcW w:w="6" w:type="dxa"/>
            <w:tcBorders>
              <w:left w:val="single" w:sz="6" w:space="0" w:color="auto"/>
            </w:tcBorders>
            <w:shd w:val="clear" w:color="auto" w:fill="00796F"/>
            <w:vAlign w:val="center"/>
            <w:hideMark/>
          </w:tcPr>
          <w:p w14:paraId="74730BEE" w14:textId="77777777"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Carreras con mayor porcentaje de hombres profesionistas ocupados</w:t>
            </w:r>
          </w:p>
        </w:tc>
        <w:tc>
          <w:tcPr>
            <w:tcW w:w="6" w:type="dxa"/>
            <w:tcBorders>
              <w:left w:val="single" w:sz="6" w:space="0" w:color="auto"/>
            </w:tcBorders>
            <w:shd w:val="clear" w:color="auto" w:fill="00796F"/>
            <w:tcMar>
              <w:top w:w="15" w:type="dxa"/>
              <w:left w:w="150" w:type="dxa"/>
              <w:bottom w:w="15" w:type="dxa"/>
              <w:right w:w="150" w:type="dxa"/>
            </w:tcMar>
            <w:vAlign w:val="center"/>
            <w:hideMark/>
          </w:tcPr>
          <w:p w14:paraId="7C9D9BCC" w14:textId="77777777"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w:t>
            </w:r>
          </w:p>
        </w:tc>
      </w:tr>
      <w:tr w:rsidR="004220B7" w:rsidRPr="007923C2" w14:paraId="71329F84"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4ADA7F6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Ingeniería de vehículos de motor, barcos y aeronaves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3B561A1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99.8</w:t>
            </w:r>
          </w:p>
        </w:tc>
      </w:tr>
      <w:tr w:rsidR="004220B7" w:rsidRPr="007923C2" w14:paraId="49765ACB"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3E1E84A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Electricidad y generación de energía</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33D33A7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96.9</w:t>
            </w:r>
          </w:p>
        </w:tc>
      </w:tr>
      <w:tr w:rsidR="004220B7" w:rsidRPr="007923C2" w14:paraId="70436C2C"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5C85F1B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Electrónica y automatización</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1997D14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95.7</w:t>
            </w:r>
          </w:p>
        </w:tc>
      </w:tr>
    </w:tbl>
    <w:p w14:paraId="6599D1B6"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56C968CE" wp14:editId="07C69715">
            <wp:extent cx="4476750" cy="3098095"/>
            <wp:effectExtent l="0" t="0" r="0" b="7620"/>
            <wp:docPr id="578" name="Imagen 578" descr="Por se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Por sexo"/>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84810" cy="3103673"/>
                    </a:xfrm>
                    <a:prstGeom prst="rect">
                      <a:avLst/>
                    </a:prstGeom>
                    <a:noFill/>
                    <a:ln>
                      <a:noFill/>
                    </a:ln>
                  </pic:spPr>
                </pic:pic>
              </a:graphicData>
            </a:graphic>
          </wp:inline>
        </w:drawing>
      </w:r>
    </w:p>
    <w:p w14:paraId="590F2B87" w14:textId="77777777"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PROFESIONISTAS OCUPADOS POR GRUPOS DE EDAD (%)</w:t>
      </w:r>
    </w:p>
    <w:p w14:paraId="3605AFE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Al primer trimestre de 2015, tan sólo el 6.1 % de los profesionistas ocupados se encuentran dentro del grupo de 20 a 24 años de edad, el cual se concentran mayoritariamente dentro de las áreas de Artes, Ingenierías y finalmente en Arquitectura, Urbanismo y Diseño.</w:t>
      </w: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4352"/>
        <w:gridCol w:w="774"/>
        <w:gridCol w:w="774"/>
        <w:gridCol w:w="774"/>
        <w:gridCol w:w="826"/>
      </w:tblGrid>
      <w:tr w:rsidR="004220B7" w:rsidRPr="007923C2" w14:paraId="4126B71D" w14:textId="77777777" w:rsidTr="0030772E">
        <w:trPr>
          <w:trHeight w:val="450"/>
          <w:tblCellSpacing w:w="15" w:type="dxa"/>
          <w:jc w:val="center"/>
        </w:trPr>
        <w:tc>
          <w:tcPr>
            <w:tcW w:w="6" w:type="dxa"/>
            <w:gridSpan w:val="5"/>
            <w:tcBorders>
              <w:left w:val="single" w:sz="6" w:space="0" w:color="auto"/>
            </w:tcBorders>
            <w:shd w:val="clear" w:color="auto" w:fill="00796F"/>
            <w:vAlign w:val="center"/>
            <w:hideMark/>
          </w:tcPr>
          <w:p w14:paraId="133A5DA1" w14:textId="77777777"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Carreras que cuentan con el porcentaje más alto de jóvenes ocupados</w:t>
            </w:r>
          </w:p>
        </w:tc>
      </w:tr>
      <w:tr w:rsidR="004220B7" w:rsidRPr="007923C2" w14:paraId="13BE0246" w14:textId="77777777" w:rsidTr="0030772E">
        <w:trPr>
          <w:trHeight w:val="450"/>
          <w:tblCellSpacing w:w="15" w:type="dxa"/>
          <w:jc w:val="center"/>
        </w:trPr>
        <w:tc>
          <w:tcPr>
            <w:tcW w:w="418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054BB44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 </w:t>
            </w:r>
          </w:p>
        </w:tc>
        <w:tc>
          <w:tcPr>
            <w:tcW w:w="67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444F81A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20-24</w:t>
            </w:r>
          </w:p>
        </w:tc>
        <w:tc>
          <w:tcPr>
            <w:tcW w:w="630"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392D9B3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25-34</w:t>
            </w:r>
          </w:p>
        </w:tc>
        <w:tc>
          <w:tcPr>
            <w:tcW w:w="67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25A7712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35-44</w:t>
            </w:r>
          </w:p>
        </w:tc>
        <w:tc>
          <w:tcPr>
            <w:tcW w:w="82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23ABE00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45 y más</w:t>
            </w:r>
          </w:p>
        </w:tc>
      </w:tr>
      <w:tr w:rsidR="004220B7" w:rsidRPr="007923C2" w14:paraId="52D33B7D"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7B6A04D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Criminología</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2D482B3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20.7</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44AE633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53.7</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7120784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18.8</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05B383C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6.9</w:t>
            </w:r>
          </w:p>
        </w:tc>
      </w:tr>
      <w:tr w:rsidR="004220B7" w:rsidRPr="007923C2" w14:paraId="5765A6CF"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0C9E0E3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Manufacturas y procesos, programas multidisciplinarios o generales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26942BB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16.6</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1D5E269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31.5</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3FFAFBD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31.0</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1A9B6B0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20.9</w:t>
            </w:r>
          </w:p>
        </w:tc>
      </w:tr>
      <w:tr w:rsidR="004220B7" w:rsidRPr="007923C2" w14:paraId="63470000"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71BD470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Diseño</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055B1D6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14.8</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1384D3D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36.3</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69C0830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28.7</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196F70CC"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20.1</w:t>
            </w:r>
          </w:p>
        </w:tc>
      </w:tr>
    </w:tbl>
    <w:p w14:paraId="35D7DB3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w:t>
      </w:r>
    </w:p>
    <w:p w14:paraId="35009C7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Mientras que los profesionistas ocupados de 25 a 34 años se concentran en mayor medida en las áreas de Artes, Ciencias Sociales e Ingenierías.</w:t>
      </w:r>
    </w:p>
    <w:p w14:paraId="737EC3B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su parte, los profesionistas ocupados de 35 a 44 años tienen una mayor representación en las áreas de Económicas Administrativas, Educación y Ciencias Sociales.</w:t>
      </w:r>
    </w:p>
    <w:p w14:paraId="6127187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Para el grupo de profesionistas ocupados mayores de 45 años, la mayor concentración se observa en las áreas de las Ciencias Biológicas, Humanidades y en el área de Ciencias Físico Matemáticas.</w:t>
      </w: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4392"/>
        <w:gridCol w:w="700"/>
        <w:gridCol w:w="774"/>
        <w:gridCol w:w="774"/>
        <w:gridCol w:w="860"/>
      </w:tblGrid>
      <w:tr w:rsidR="004220B7" w:rsidRPr="007923C2" w14:paraId="7882F91A" w14:textId="77777777" w:rsidTr="0030772E">
        <w:trPr>
          <w:trHeight w:val="450"/>
          <w:tblCellSpacing w:w="15" w:type="dxa"/>
          <w:jc w:val="center"/>
        </w:trPr>
        <w:tc>
          <w:tcPr>
            <w:tcW w:w="6" w:type="dxa"/>
            <w:gridSpan w:val="5"/>
            <w:tcBorders>
              <w:left w:val="single" w:sz="6" w:space="0" w:color="auto"/>
            </w:tcBorders>
            <w:shd w:val="clear" w:color="auto" w:fill="00796F"/>
            <w:vAlign w:val="center"/>
            <w:hideMark/>
          </w:tcPr>
          <w:p w14:paraId="33E1CD05" w14:textId="77777777"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Carreras que cuentan con el porcentaje más alto de personas mayores de 45 años</w:t>
            </w:r>
          </w:p>
        </w:tc>
      </w:tr>
      <w:tr w:rsidR="004220B7" w:rsidRPr="007923C2" w14:paraId="15101D39" w14:textId="77777777" w:rsidTr="0030772E">
        <w:trPr>
          <w:trHeight w:val="450"/>
          <w:tblCellSpacing w:w="15" w:type="dxa"/>
          <w:jc w:val="center"/>
        </w:trPr>
        <w:tc>
          <w:tcPr>
            <w:tcW w:w="418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539B54C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 </w:t>
            </w:r>
          </w:p>
        </w:tc>
        <w:tc>
          <w:tcPr>
            <w:tcW w:w="67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09112E2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20-24</w:t>
            </w:r>
          </w:p>
        </w:tc>
        <w:tc>
          <w:tcPr>
            <w:tcW w:w="630"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7323E39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25-34</w:t>
            </w:r>
          </w:p>
        </w:tc>
        <w:tc>
          <w:tcPr>
            <w:tcW w:w="67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42DFAAE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35-44</w:t>
            </w:r>
          </w:p>
        </w:tc>
        <w:tc>
          <w:tcPr>
            <w:tcW w:w="82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19ACCBB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45 y más</w:t>
            </w:r>
          </w:p>
        </w:tc>
      </w:tr>
      <w:tr w:rsidR="004220B7" w:rsidRPr="007923C2" w14:paraId="392B9E87"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263DE33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Farmacia</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2F42376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7.8</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1A5356E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16.2</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0A39035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11.9</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4842791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64.1</w:t>
            </w:r>
          </w:p>
        </w:tc>
      </w:tr>
      <w:tr w:rsidR="004220B7" w:rsidRPr="007923C2" w14:paraId="241E76CE"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596D659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Producción y explotación agrícola y ganadera</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54DFA68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2.1</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2303695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14.8</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54EE386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19.3</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51F7A26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63.8</w:t>
            </w:r>
          </w:p>
        </w:tc>
      </w:tr>
      <w:tr w:rsidR="004220B7" w:rsidRPr="007923C2" w14:paraId="2C1505E9"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3FC07C7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Física</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567329C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1.7</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1B16CDF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31.5</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54E8AE0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8.6</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7D6879C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58.2</w:t>
            </w:r>
          </w:p>
        </w:tc>
      </w:tr>
    </w:tbl>
    <w:p w14:paraId="3D909915"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14:anchorId="689EB7D9" wp14:editId="2BFFFB04">
            <wp:extent cx="4763135" cy="3296285"/>
            <wp:effectExtent l="0" t="0" r="0" b="0"/>
            <wp:docPr id="577" name="Imagen 577" descr="Por grupos de e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Por grupos de eda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63135" cy="3296285"/>
                    </a:xfrm>
                    <a:prstGeom prst="rect">
                      <a:avLst/>
                    </a:prstGeom>
                    <a:noFill/>
                    <a:ln>
                      <a:noFill/>
                    </a:ln>
                  </pic:spPr>
                </pic:pic>
              </a:graphicData>
            </a:graphic>
          </wp:inline>
        </w:drawing>
      </w:r>
    </w:p>
    <w:p w14:paraId="6F4D8182" w14:textId="77777777" w:rsidR="00973738" w:rsidRDefault="00973738" w:rsidP="004220B7">
      <w:pPr>
        <w:jc w:val="both"/>
        <w:rPr>
          <w:rFonts w:ascii="Arial" w:hAnsi="Arial" w:cs="Arial"/>
          <w:b/>
          <w:bCs/>
          <w:sz w:val="22"/>
          <w:szCs w:val="22"/>
        </w:rPr>
      </w:pPr>
    </w:p>
    <w:p w14:paraId="0B6E51FD" w14:textId="77777777"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Porcentaje de profesionistas ocupados por grupo de edad.</w:t>
      </w:r>
    </w:p>
    <w:p w14:paraId="224C10D5" w14:textId="77777777"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POSICIÓN EN LA OCUPACIÓN</w:t>
      </w:r>
    </w:p>
    <w:p w14:paraId="5B2E7E83" w14:textId="77777777" w:rsidR="004220B7" w:rsidRDefault="004220B7" w:rsidP="004220B7">
      <w:pPr>
        <w:jc w:val="both"/>
        <w:rPr>
          <w:rFonts w:ascii="Arial" w:hAnsi="Arial" w:cs="Arial"/>
          <w:sz w:val="22"/>
          <w:szCs w:val="22"/>
        </w:rPr>
      </w:pPr>
      <w:r w:rsidRPr="007923C2">
        <w:rPr>
          <w:rFonts w:ascii="Arial" w:hAnsi="Arial" w:cs="Arial"/>
          <w:sz w:val="22"/>
          <w:szCs w:val="22"/>
        </w:rPr>
        <w:t xml:space="preserve">8 de cada 10 profesionistas ocupados en el país son trabajadores subordinados y remunerados, 6.1 % son empleadores y tan sólo 1 de cada 10 trabajan por cuenta propia. Al primer trimestre de 2015, </w:t>
      </w:r>
      <w:r w:rsidRPr="007923C2">
        <w:rPr>
          <w:rFonts w:ascii="Arial" w:hAnsi="Arial" w:cs="Arial"/>
          <w:sz w:val="22"/>
          <w:szCs w:val="22"/>
        </w:rPr>
        <w:lastRenderedPageBreak/>
        <w:t>el área de Educación es la que cuenta con la mayor proporción de profesionistas subordinados y remunerados (95 de cada 100).</w:t>
      </w: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6711"/>
        <w:gridCol w:w="789"/>
      </w:tblGrid>
      <w:tr w:rsidR="004220B7" w:rsidRPr="007923C2" w14:paraId="387EF842" w14:textId="77777777" w:rsidTr="00973738">
        <w:trPr>
          <w:trHeight w:val="765"/>
          <w:tblCellSpacing w:w="15" w:type="dxa"/>
          <w:jc w:val="center"/>
        </w:trPr>
        <w:tc>
          <w:tcPr>
            <w:tcW w:w="6666" w:type="dxa"/>
            <w:tcBorders>
              <w:left w:val="single" w:sz="6" w:space="0" w:color="auto"/>
            </w:tcBorders>
            <w:shd w:val="clear" w:color="auto" w:fill="00796F"/>
            <w:vAlign w:val="center"/>
            <w:hideMark/>
          </w:tcPr>
          <w:p w14:paraId="21B85E34" w14:textId="77777777"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Carreras que poseen los porcentajes más elevados de profesionistas subordinados y remunerados</w:t>
            </w:r>
          </w:p>
        </w:tc>
        <w:tc>
          <w:tcPr>
            <w:tcW w:w="744" w:type="dxa"/>
            <w:tcBorders>
              <w:left w:val="single" w:sz="6" w:space="0" w:color="auto"/>
            </w:tcBorders>
            <w:shd w:val="clear" w:color="auto" w:fill="00796F"/>
            <w:tcMar>
              <w:top w:w="15" w:type="dxa"/>
              <w:left w:w="150" w:type="dxa"/>
              <w:bottom w:w="15" w:type="dxa"/>
              <w:right w:w="150" w:type="dxa"/>
            </w:tcMar>
            <w:vAlign w:val="center"/>
            <w:hideMark/>
          </w:tcPr>
          <w:p w14:paraId="3902B8F9" w14:textId="77777777"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w:t>
            </w:r>
          </w:p>
        </w:tc>
      </w:tr>
      <w:tr w:rsidR="004220B7" w:rsidRPr="007923C2" w14:paraId="6525ABFD"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7A06C09C"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Física</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7018093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98.3</w:t>
            </w:r>
          </w:p>
        </w:tc>
      </w:tr>
      <w:tr w:rsidR="004220B7" w:rsidRPr="007923C2" w14:paraId="284A2737"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7143E73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programas multidisciplinarios o generales</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550B29A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96.5</w:t>
            </w:r>
          </w:p>
        </w:tc>
      </w:tr>
      <w:tr w:rsidR="004220B7" w:rsidRPr="007923C2" w14:paraId="70CA2F8B"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3FCF354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para educación básica, nivel primaria</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0B3AFB5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96.3</w:t>
            </w:r>
          </w:p>
        </w:tc>
      </w:tr>
      <w:tr w:rsidR="004220B7" w:rsidRPr="007923C2" w14:paraId="31C09B3A"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178EE50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Enfermería y cuidados</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5FF4146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96.1</w:t>
            </w:r>
          </w:p>
        </w:tc>
      </w:tr>
      <w:tr w:rsidR="004220B7" w:rsidRPr="007923C2" w14:paraId="65B95874"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450FBCB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Ciencias de la educación, programas multidisciplinarios o generales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07C683C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96.0</w:t>
            </w:r>
          </w:p>
        </w:tc>
      </w:tr>
    </w:tbl>
    <w:p w14:paraId="1283561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otro lado en el área Económico Administrativas, 1 de cada 10 ocupados son trabajadores por cuenta propia.</w:t>
      </w:r>
    </w:p>
    <w:tbl>
      <w:tblPr>
        <w:tblW w:w="7500" w:type="dxa"/>
        <w:jc w:val="center"/>
        <w:tblCellSpacing w:w="15" w:type="dxa"/>
        <w:tblCellMar>
          <w:top w:w="15" w:type="dxa"/>
          <w:left w:w="15" w:type="dxa"/>
          <w:bottom w:w="15" w:type="dxa"/>
          <w:right w:w="15" w:type="dxa"/>
        </w:tblCellMar>
        <w:tblLook w:val="04A0" w:firstRow="1" w:lastRow="0" w:firstColumn="1" w:lastColumn="0" w:noHBand="0" w:noVBand="1"/>
      </w:tblPr>
      <w:tblGrid>
        <w:gridCol w:w="6022"/>
        <w:gridCol w:w="1478"/>
      </w:tblGrid>
      <w:tr w:rsidR="004220B7" w:rsidRPr="007923C2" w14:paraId="2BDCE3C3" w14:textId="77777777" w:rsidTr="0030772E">
        <w:trPr>
          <w:trHeight w:val="765"/>
          <w:tblCellSpacing w:w="15" w:type="dxa"/>
          <w:jc w:val="center"/>
        </w:trPr>
        <w:tc>
          <w:tcPr>
            <w:tcW w:w="6" w:type="dxa"/>
            <w:tcBorders>
              <w:left w:val="single" w:sz="6" w:space="0" w:color="auto"/>
            </w:tcBorders>
            <w:shd w:val="clear" w:color="auto" w:fill="00796F"/>
            <w:vAlign w:val="center"/>
            <w:hideMark/>
          </w:tcPr>
          <w:p w14:paraId="5389DB03" w14:textId="77777777"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Carreras que poseen los porcentajes más elevados de trabajadores por cuenta propia</w:t>
            </w:r>
          </w:p>
        </w:tc>
        <w:tc>
          <w:tcPr>
            <w:tcW w:w="6" w:type="dxa"/>
            <w:tcBorders>
              <w:left w:val="single" w:sz="6" w:space="0" w:color="auto"/>
            </w:tcBorders>
            <w:shd w:val="clear" w:color="auto" w:fill="00796F"/>
            <w:tcMar>
              <w:top w:w="15" w:type="dxa"/>
              <w:left w:w="150" w:type="dxa"/>
              <w:bottom w:w="15" w:type="dxa"/>
              <w:right w:w="150" w:type="dxa"/>
            </w:tcMar>
            <w:vAlign w:val="center"/>
            <w:hideMark/>
          </w:tcPr>
          <w:p w14:paraId="6AA3E033" w14:textId="77777777"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w:t>
            </w:r>
          </w:p>
        </w:tc>
      </w:tr>
      <w:tr w:rsidR="004220B7" w:rsidRPr="007923C2" w14:paraId="5C279209"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541A848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Estomatología y odontología</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185A52C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42.3</w:t>
            </w:r>
          </w:p>
        </w:tc>
      </w:tr>
      <w:tr w:rsidR="004220B7" w:rsidRPr="007923C2" w14:paraId="75BD2AB1"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751A3E0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Veterinaria</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14:paraId="0AC9AB4C"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32.8</w:t>
            </w:r>
          </w:p>
        </w:tc>
      </w:tr>
      <w:tr w:rsidR="004220B7" w:rsidRPr="007923C2" w14:paraId="1BF89B07" w14:textId="77777777"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751BCF5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Bellas artes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14:paraId="46ED62E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25.9</w:t>
            </w:r>
          </w:p>
        </w:tc>
      </w:tr>
    </w:tbl>
    <w:p w14:paraId="2B60243A" w14:textId="77777777"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14:anchorId="164D939C" wp14:editId="39248244">
            <wp:extent cx="4763135" cy="3296285"/>
            <wp:effectExtent l="0" t="0" r="0" b="0"/>
            <wp:docPr id="576" name="Imagen 576" descr="http://observatoriolaboral.gob.mx/swb/work/models/ola/Resource/484/1/imag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http://observatoriolaboral.gob.mx/swb/work/models/ola/Resource/484/1/images/4.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63135" cy="3296285"/>
                    </a:xfrm>
                    <a:prstGeom prst="rect">
                      <a:avLst/>
                    </a:prstGeom>
                    <a:noFill/>
                    <a:ln>
                      <a:noFill/>
                    </a:ln>
                  </pic:spPr>
                </pic:pic>
              </a:graphicData>
            </a:graphic>
          </wp:inline>
        </w:drawing>
      </w:r>
    </w:p>
    <w:p w14:paraId="225A7FE4" w14:textId="77777777"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Posición en la ocupación.</w:t>
      </w:r>
    </w:p>
    <w:p w14:paraId="04E917DC" w14:textId="77777777" w:rsidR="004220B7" w:rsidRPr="007923C2" w:rsidRDefault="00AD2B15" w:rsidP="004220B7">
      <w:pPr>
        <w:jc w:val="both"/>
        <w:rPr>
          <w:rFonts w:ascii="Arial" w:hAnsi="Arial" w:cs="Arial"/>
          <w:b/>
          <w:bCs/>
          <w:sz w:val="22"/>
          <w:szCs w:val="22"/>
        </w:rPr>
      </w:pPr>
      <w:r w:rsidRPr="007923C2">
        <w:rPr>
          <w:rFonts w:ascii="Arial" w:hAnsi="Arial" w:cs="Arial"/>
          <w:b/>
          <w:bCs/>
          <w:sz w:val="22"/>
          <w:szCs w:val="22"/>
        </w:rPr>
        <w:t>C</w:t>
      </w:r>
      <w:r w:rsidR="004220B7" w:rsidRPr="007923C2">
        <w:rPr>
          <w:rFonts w:ascii="Arial" w:hAnsi="Arial" w:cs="Arial"/>
          <w:b/>
          <w:bCs/>
          <w:sz w:val="22"/>
          <w:szCs w:val="22"/>
        </w:rPr>
        <w:t>lasificación de las carreras por área de conocimiento</w:t>
      </w:r>
    </w:p>
    <w:tbl>
      <w:tblPr>
        <w:tblW w:w="4489" w:type="pct"/>
        <w:tblCellSpacing w:w="0" w:type="dxa"/>
        <w:tblInd w:w="675" w:type="dxa"/>
        <w:tblCellMar>
          <w:top w:w="15" w:type="dxa"/>
          <w:left w:w="15" w:type="dxa"/>
          <w:bottom w:w="15" w:type="dxa"/>
          <w:right w:w="15" w:type="dxa"/>
        </w:tblCellMar>
        <w:tblLook w:val="04A0" w:firstRow="1" w:lastRow="0" w:firstColumn="1" w:lastColumn="0" w:noHBand="0" w:noVBand="1"/>
      </w:tblPr>
      <w:tblGrid>
        <w:gridCol w:w="2793"/>
        <w:gridCol w:w="6063"/>
      </w:tblGrid>
      <w:tr w:rsidR="004220B7" w:rsidRPr="007923C2" w14:paraId="13C37F4F" w14:textId="77777777"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7D45181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Arquitectura, Urbanismo y Diseño</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5EB9AA3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Arquitectura y urbanismo</w:t>
            </w:r>
          </w:p>
        </w:tc>
      </w:tr>
      <w:tr w:rsidR="004220B7" w:rsidRPr="007923C2" w14:paraId="4240DE86" w14:textId="77777777"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4DF7BB3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Artes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33D4F0D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Bellas Artes</w:t>
            </w:r>
          </w:p>
          <w:p w14:paraId="0B2817C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Música y artes escénicas</w:t>
            </w:r>
          </w:p>
          <w:p w14:paraId="1C245B6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Técnicas audiovisuales y producción de medios</w:t>
            </w:r>
          </w:p>
          <w:p w14:paraId="39D31D7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Diseño</w:t>
            </w:r>
          </w:p>
          <w:p w14:paraId="731D332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Técnicas y habilidades artesanales</w:t>
            </w:r>
          </w:p>
        </w:tc>
      </w:tr>
      <w:tr w:rsidR="004220B7" w:rsidRPr="007923C2" w14:paraId="5871882F" w14:textId="77777777"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4DA595B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Ciencias Biológicas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646D81E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Biología y bioquímica</w:t>
            </w:r>
          </w:p>
          <w:p w14:paraId="581DF88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Ciencias ambientales</w:t>
            </w:r>
          </w:p>
          <w:p w14:paraId="10D50D7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Química</w:t>
            </w:r>
          </w:p>
        </w:tc>
      </w:tr>
      <w:tr w:rsidR="004220B7" w:rsidRPr="007923C2" w14:paraId="3DA3F3F4" w14:textId="77777777"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16824EA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Ciencias de la Salud</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200F9BB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Psicología</w:t>
            </w:r>
          </w:p>
          <w:p w14:paraId="11D5361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Veterinaria</w:t>
            </w:r>
          </w:p>
          <w:p w14:paraId="3B88C0D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Medicina</w:t>
            </w:r>
          </w:p>
          <w:p w14:paraId="085A993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Enfermería y cuidados</w:t>
            </w:r>
          </w:p>
          <w:p w14:paraId="16B5047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Estomatología y odontología</w:t>
            </w:r>
          </w:p>
          <w:p w14:paraId="3979EEA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Diagnóstico médico y tecnología del tratamiento</w:t>
            </w:r>
          </w:p>
          <w:p w14:paraId="15C53BD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Terapia y rehabilitación</w:t>
            </w:r>
          </w:p>
          <w:p w14:paraId="4A9538F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Farmacia</w:t>
            </w:r>
          </w:p>
          <w:p w14:paraId="59B631D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Salud pública</w:t>
            </w:r>
          </w:p>
        </w:tc>
      </w:tr>
      <w:tr w:rsidR="004220B7" w:rsidRPr="007923C2" w14:paraId="28447FE9" w14:textId="77777777"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55D2BD7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Ciencias Físico Matemáticas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10BB78A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Física</w:t>
            </w:r>
          </w:p>
          <w:p w14:paraId="0310E3F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Ciencias de la tierra y de la atmósfera</w:t>
            </w:r>
          </w:p>
          <w:p w14:paraId="3A05EB7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Matemáticas</w:t>
            </w:r>
          </w:p>
          <w:p w14:paraId="10264C2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Estadística</w:t>
            </w:r>
          </w:p>
        </w:tc>
      </w:tr>
      <w:tr w:rsidR="004220B7" w:rsidRPr="007923C2" w14:paraId="15B5875D" w14:textId="77777777"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66EBDE44" w14:textId="77777777" w:rsidR="004220B7" w:rsidRPr="007923C2" w:rsidRDefault="004220B7" w:rsidP="0030772E">
            <w:pPr>
              <w:jc w:val="both"/>
              <w:rPr>
                <w:rFonts w:ascii="Arial" w:hAnsi="Arial" w:cs="Arial"/>
                <w:sz w:val="22"/>
                <w:szCs w:val="22"/>
              </w:rPr>
            </w:pPr>
            <w:r w:rsidRPr="007923C2">
              <w:rPr>
                <w:rFonts w:ascii="Arial" w:hAnsi="Arial" w:cs="Arial"/>
                <w:b/>
                <w:sz w:val="22"/>
                <w:szCs w:val="22"/>
              </w:rPr>
              <w:br w:type="page"/>
            </w:r>
            <w:r w:rsidRPr="007923C2">
              <w:rPr>
                <w:rFonts w:ascii="Arial" w:hAnsi="Arial" w:cs="Arial"/>
                <w:sz w:val="22"/>
                <w:szCs w:val="22"/>
              </w:rPr>
              <w:t>Ciencias Sociales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01BAC1A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Sociología y antropología</w:t>
            </w:r>
          </w:p>
          <w:p w14:paraId="74A2F8A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Ciencias políticas</w:t>
            </w:r>
          </w:p>
          <w:p w14:paraId="2B2B181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Trabajo y atención social</w:t>
            </w:r>
          </w:p>
          <w:p w14:paraId="2F47CB8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Comunicación y periodismo</w:t>
            </w:r>
          </w:p>
          <w:p w14:paraId="7058A59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Derecho</w:t>
            </w:r>
          </w:p>
          <w:p w14:paraId="13D60CC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Criminología</w:t>
            </w:r>
          </w:p>
        </w:tc>
      </w:tr>
      <w:tr w:rsidR="004220B7" w:rsidRPr="007923C2" w14:paraId="146C7352" w14:textId="77777777"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7016B66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Económicas Administrativas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326163E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Economía</w:t>
            </w:r>
          </w:p>
          <w:p w14:paraId="5D42ECA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Negocios y comercio</w:t>
            </w:r>
          </w:p>
          <w:p w14:paraId="6B7D00E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Mercadotecnia y publicidad</w:t>
            </w:r>
          </w:p>
          <w:p w14:paraId="3597A58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Finanzas, banca y seguros</w:t>
            </w:r>
          </w:p>
          <w:p w14:paraId="15B54A1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Contabilidad y fiscalización</w:t>
            </w:r>
          </w:p>
          <w:p w14:paraId="66E904D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Administración y gestión de empresas</w:t>
            </w:r>
          </w:p>
        </w:tc>
      </w:tr>
      <w:tr w:rsidR="004220B7" w:rsidRPr="007923C2" w14:paraId="4898FF90" w14:textId="77777777"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1F90CCE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Educación</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1110C78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Didáctica, pedagogía y currículo</w:t>
            </w:r>
          </w:p>
          <w:p w14:paraId="4BC26BB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Planeación y evaluación educativa</w:t>
            </w:r>
          </w:p>
          <w:p w14:paraId="7CAA383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Orientación y asesoría educativa</w:t>
            </w:r>
          </w:p>
          <w:p w14:paraId="293CA5A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Tecnología educativa</w:t>
            </w:r>
          </w:p>
          <w:p w14:paraId="16ABA65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educación básica, nivel preescolar</w:t>
            </w:r>
          </w:p>
          <w:p w14:paraId="5219846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educación básica, nivel primaria</w:t>
            </w:r>
          </w:p>
          <w:p w14:paraId="37F8C4EC"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educación básica, nivel secundaria</w:t>
            </w:r>
          </w:p>
          <w:p w14:paraId="5DA76E5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educación media superior</w:t>
            </w:r>
          </w:p>
          <w:p w14:paraId="7B41134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educación superior</w:t>
            </w:r>
          </w:p>
          <w:p w14:paraId="0A8DD84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educación física, artística o tecnológica</w:t>
            </w:r>
          </w:p>
          <w:p w14:paraId="7EADC51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Formación docente para la enseñanza de asignaturas especificas</w:t>
            </w:r>
          </w:p>
          <w:p w14:paraId="6B70271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otros servicios educativos</w:t>
            </w:r>
          </w:p>
        </w:tc>
      </w:tr>
      <w:tr w:rsidR="004220B7" w:rsidRPr="007923C2" w14:paraId="14C082DD" w14:textId="77777777"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30911F8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Humanidades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4A73BE0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Teología</w:t>
            </w:r>
          </w:p>
          <w:p w14:paraId="554D3A8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Lenguas extranjeras</w:t>
            </w:r>
          </w:p>
          <w:p w14:paraId="0ECA304C"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Literatura</w:t>
            </w:r>
          </w:p>
          <w:p w14:paraId="7DAB876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Historia y arqueología</w:t>
            </w:r>
          </w:p>
          <w:p w14:paraId="3875A82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Filosofía y ética</w:t>
            </w:r>
          </w:p>
        </w:tc>
      </w:tr>
      <w:tr w:rsidR="004220B7" w:rsidRPr="007923C2" w14:paraId="611AE683" w14:textId="77777777"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38690F9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Ingenierías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14:paraId="3187A2E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Ciencias de la computación</w:t>
            </w:r>
          </w:p>
          <w:p w14:paraId="3B81D86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Ingeniería mecánica y metalurgia</w:t>
            </w:r>
          </w:p>
          <w:p w14:paraId="7F57C8B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Electricidad y generación de energía</w:t>
            </w:r>
          </w:p>
          <w:p w14:paraId="65BD45B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Electrónica y automatización</w:t>
            </w:r>
          </w:p>
          <w:p w14:paraId="292860E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Ingeniería química</w:t>
            </w:r>
          </w:p>
          <w:p w14:paraId="0D1AA5E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Ingeniería de vehículos de motor, barcos y aeronaves</w:t>
            </w:r>
          </w:p>
          <w:p w14:paraId="525B9843"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Tecnología y protección del medio ambiente</w:t>
            </w:r>
          </w:p>
          <w:p w14:paraId="1EED1A2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Tecnología de la información y la comunicación</w:t>
            </w:r>
          </w:p>
          <w:p w14:paraId="091145E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Industria de la alimentación</w:t>
            </w:r>
          </w:p>
          <w:p w14:paraId="76B277F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Industria textil, del calzado y piel</w:t>
            </w:r>
          </w:p>
          <w:p w14:paraId="37B0430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Industrias de materiales diversos (madera, papel, plástico y vidrio)</w:t>
            </w:r>
          </w:p>
          <w:p w14:paraId="00081B5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Minería y extracción</w:t>
            </w:r>
          </w:p>
          <w:p w14:paraId="520EA4F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Construcción e ingeniería civil</w:t>
            </w:r>
          </w:p>
          <w:p w14:paraId="16DC4E7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Producción y explotación agrícola y ganadera</w:t>
            </w:r>
          </w:p>
          <w:p w14:paraId="1CBAD019"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Horticultura</w:t>
            </w:r>
          </w:p>
          <w:p w14:paraId="45CE10A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Silvicultura</w:t>
            </w:r>
          </w:p>
          <w:p w14:paraId="0D61615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Pesca</w:t>
            </w:r>
          </w:p>
          <w:p w14:paraId="6BDEE59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Servicios de transporte</w:t>
            </w:r>
          </w:p>
        </w:tc>
      </w:tr>
    </w:tbl>
    <w:p w14:paraId="600A17D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w:t>
      </w:r>
    </w:p>
    <w:p w14:paraId="7E4079CC" w14:textId="77777777" w:rsidR="004220B7" w:rsidRPr="007923C2" w:rsidRDefault="004220B7" w:rsidP="004220B7">
      <w:pPr>
        <w:jc w:val="both"/>
        <w:rPr>
          <w:rFonts w:ascii="Arial" w:hAnsi="Arial" w:cs="Arial"/>
          <w:caps/>
          <w:sz w:val="22"/>
          <w:szCs w:val="22"/>
        </w:rPr>
      </w:pPr>
      <w:r w:rsidRPr="007923C2">
        <w:rPr>
          <w:rFonts w:ascii="Arial" w:hAnsi="Arial" w:cs="Arial"/>
          <w:b/>
          <w:bCs/>
          <w:caps/>
          <w:sz w:val="22"/>
          <w:szCs w:val="22"/>
        </w:rPr>
        <w:t>Educación media superior, superior y formación para el trabajo</w:t>
      </w:r>
    </w:p>
    <w:p w14:paraId="0A8D954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educación media superior, la educación superior y la formación para el trabajo deben ser fortalecidas para contribuir al desarrollo de México. En estos tipos de educación se forma a los jóvenes en las competencias que se requieren para el avance democrático, social y económico del país. Son </w:t>
      </w:r>
      <w:r w:rsidRPr="007923C2">
        <w:rPr>
          <w:rFonts w:ascii="Arial" w:hAnsi="Arial" w:cs="Arial"/>
          <w:sz w:val="22"/>
          <w:szCs w:val="22"/>
        </w:rPr>
        <w:lastRenderedPageBreak/>
        <w:t>fundamentales para construir una nación más próspera y socialmente incluyente, así como para lograr una inserción ventajosa en la economía basada en el conocimiento.</w:t>
      </w:r>
    </w:p>
    <w:p w14:paraId="74A381C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Tanto en la educación media superior como en la superior, cada estudiante debe lograr un sólido dominio de las disciplinas y valores que deben caracterizar a las distintas profesiones. Igualmente importante es que los jóvenes se preparen para poner sus capacidades a prueba en el mundo del trabajo. Los jóvenes estudian con la expectativa de involucrarse en condiciones más favorables en el desarrollo nacional.</w:t>
      </w:r>
    </w:p>
    <w:p w14:paraId="3FB5AA3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educación media superior (EMS), al ser ahora parte de la formación obligatoria establecida en el Artículo 3o de la Constitución, tiene el fin de profundizar en la formación integral de los estudiantes, independientemente de que al término de esta etapa continúen sus estudios o ingresen al mundo del trabajo. Asimismo, es la última etapa educativa antes de que las personas lleguen a la edad adulta. Por ello, es fundamental ampliar las oportunidades de los jóvenes para cursar este tipo educativo. También es muy importante que los jóvenes no abandonen los estudios. La tasa de abandono escolar en EMS fue del 15 por ciento al concluir el ciclo 2011-2012, lo cual significa que 650 mil alumnos dejaron la escuela en ese periodo.</w:t>
      </w:r>
    </w:p>
    <w:p w14:paraId="37500FC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Un importante proceso de cambio se ha dado mediante la Reforma Integral de la Educación Media Superior (RIEMS). Como parte de este proceso se estableció el Marco Curricular Común (MCC), en el cual se precisa un conjunto de características que definen el perfil de egreso. La RIEMS también fijó los atributos que una escuela debe reunir para producir egresados que cumplan con ese perfil. Aquellas escuelas que reúnen las características necesarias, previa evaluación del Consejo para la Evaluación de la Educación del Tipo Medio Superior (COPEEMS), ingresan al Sistema Nacional de Bachillerato (SNB). Hasta septiembre de 2013 han ingresado al SNB 658 planteles con una matrícula de 551 mil estudiantes, lo que representa un poco más de cuatro por ciento de los planteles de EMS y menos de 13 por ciento de la matrícula total. El desafío es evidente.</w:t>
      </w:r>
    </w:p>
    <w:p w14:paraId="1579C1D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Las transformaciones educativas exigen tiempo y perseverancia para asegurar la calidad de los aprendizajes. Por ello será necesario dedicar esfuerzos para la consolidación del SNB y el fortalecimiento de la profesionalización docente y directiva. Para tal fin, habrá que revisar el sistema de incentivos para favorecer el ingreso y permanencia de planteles en el SNB, mejorar los indicadores para apoyar la toma de decisiones, impulsar la universalización del MCC en los planteles federales, estatales y particulares de la educación media superior y desarrollar programas de formación y actualización de directores para la gestión escolar. Asimismo habrá que superar los problemas que limitan la sana convivencia en las escuelas, promover la certificación de competencias relevantes y reducir el número de planteles que tengan una alta concentración de estudiantes de bajo rendimiento escolar. Todo ello en el marco de una revisión permanente del modelo educativo para garantizar su pertinencia y eficacia.</w:t>
      </w:r>
    </w:p>
    <w:p w14:paraId="7B0E6E08"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Al igual que en la educación básica, la entrada en vigor de la Ley General del Servicio Profesional Docente abre nuevas y valiosas perspectivas para el desarrollo profesional de los maestros de EMS. La SEP trabajará con el INEE, con otras autoridades educativas y con los organismos descentralizados que ofrecen educación media superior, para que las evaluaciones del desempeño docente sean justas, objetivas y transparentes. La SEP otorgará todos los apoyos que estén a su alcance para que la nueva legislación resulte en nuevas opciones de desarrollo profesional para los maestros, con pleno respeto a sus derechos laborales.</w:t>
      </w:r>
    </w:p>
    <w:p w14:paraId="73A01EB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En la educación superior el país encuentra una de sus principales riquezas para el desarrollo social, político y económico. Hoy se cuenta con un sistema de educación superior diversificado y con amplia presencia nacional. El aumento de la población que cursa la EMS ha sido la base para lograr el crecimiento de la cobertura de la educación superior.</w:t>
      </w:r>
    </w:p>
    <w:p w14:paraId="60C65AD1" w14:textId="77777777" w:rsidR="004220B7" w:rsidRPr="007923C2" w:rsidRDefault="004220B7" w:rsidP="004220B7">
      <w:pPr>
        <w:jc w:val="both"/>
        <w:rPr>
          <w:rFonts w:ascii="Arial" w:hAnsi="Arial" w:cs="Arial"/>
          <w:sz w:val="22"/>
          <w:szCs w:val="22"/>
        </w:rPr>
      </w:pPr>
      <w:r w:rsidRPr="007923C2">
        <w:rPr>
          <w:rFonts w:ascii="Arial" w:hAnsi="Arial" w:cs="Arial"/>
          <w:b/>
          <w:bCs/>
          <w:sz w:val="22"/>
          <w:szCs w:val="22"/>
        </w:rPr>
        <w:t>Cobertura (tasa bruta de escolarización) en Educación media superior y superior1 (1990-2012)</w:t>
      </w:r>
    </w:p>
    <w:tbl>
      <w:tblPr>
        <w:tblW w:w="0" w:type="auto"/>
        <w:tblCellMar>
          <w:top w:w="15" w:type="dxa"/>
          <w:left w:w="15" w:type="dxa"/>
          <w:bottom w:w="15" w:type="dxa"/>
          <w:right w:w="15" w:type="dxa"/>
        </w:tblCellMar>
        <w:tblLook w:val="04A0" w:firstRow="1" w:lastRow="0" w:firstColumn="1" w:lastColumn="0" w:noHBand="0" w:noVBand="1"/>
      </w:tblPr>
      <w:tblGrid>
        <w:gridCol w:w="1209"/>
        <w:gridCol w:w="666"/>
        <w:gridCol w:w="1094"/>
        <w:gridCol w:w="974"/>
        <w:gridCol w:w="666"/>
        <w:gridCol w:w="1094"/>
        <w:gridCol w:w="972"/>
        <w:gridCol w:w="666"/>
        <w:gridCol w:w="1094"/>
        <w:gridCol w:w="972"/>
      </w:tblGrid>
      <w:tr w:rsidR="004220B7" w:rsidRPr="007923C2" w14:paraId="75C64DE0" w14:textId="77777777" w:rsidTr="0030772E">
        <w:trPr>
          <w:trHeight w:val="352"/>
        </w:trPr>
        <w:tc>
          <w:tcPr>
            <w:tcW w:w="1209" w:type="dxa"/>
            <w:vMerge w:val="restart"/>
            <w:tcBorders>
              <w:top w:val="single" w:sz="6" w:space="0" w:color="000000"/>
              <w:left w:val="single" w:sz="6" w:space="0" w:color="000000"/>
              <w:right w:val="single" w:sz="6" w:space="0" w:color="000000"/>
            </w:tcBorders>
            <w:shd w:val="clear" w:color="auto" w:fill="C0C0C0"/>
            <w:tcMar>
              <w:top w:w="15" w:type="dxa"/>
              <w:left w:w="70" w:type="dxa"/>
              <w:bottom w:w="15" w:type="dxa"/>
              <w:right w:w="70" w:type="dxa"/>
            </w:tcMar>
            <w:vAlign w:val="center"/>
            <w:hideMark/>
          </w:tcPr>
          <w:p w14:paraId="34970122"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Ciclo escolar</w:t>
            </w:r>
          </w:p>
        </w:tc>
        <w:tc>
          <w:tcPr>
            <w:tcW w:w="2561" w:type="dxa"/>
            <w:gridSpan w:val="3"/>
            <w:tcBorders>
              <w:top w:val="single" w:sz="6" w:space="0" w:color="000000"/>
              <w:left w:val="single" w:sz="6" w:space="0" w:color="000000"/>
              <w:right w:val="single" w:sz="6" w:space="0" w:color="000000"/>
            </w:tcBorders>
            <w:shd w:val="clear" w:color="auto" w:fill="C0C0C0"/>
            <w:tcMar>
              <w:top w:w="15" w:type="dxa"/>
              <w:left w:w="70" w:type="dxa"/>
              <w:bottom w:w="15" w:type="dxa"/>
              <w:right w:w="70" w:type="dxa"/>
            </w:tcMar>
            <w:vAlign w:val="center"/>
            <w:hideMark/>
          </w:tcPr>
          <w:p w14:paraId="20133CD6"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Media superior (15 a 17 años)</w:t>
            </w:r>
          </w:p>
        </w:tc>
        <w:tc>
          <w:tcPr>
            <w:tcW w:w="2471" w:type="dxa"/>
            <w:gridSpan w:val="3"/>
            <w:tcBorders>
              <w:top w:val="single" w:sz="6" w:space="0" w:color="000000"/>
              <w:left w:val="single" w:sz="6" w:space="0" w:color="000000"/>
              <w:right w:val="single" w:sz="6" w:space="0" w:color="000000"/>
            </w:tcBorders>
            <w:shd w:val="clear" w:color="auto" w:fill="C0C0C0"/>
            <w:tcMar>
              <w:top w:w="15" w:type="dxa"/>
              <w:left w:w="70" w:type="dxa"/>
              <w:bottom w:w="15" w:type="dxa"/>
              <w:right w:w="70" w:type="dxa"/>
            </w:tcMar>
            <w:vAlign w:val="center"/>
            <w:hideMark/>
          </w:tcPr>
          <w:p w14:paraId="1D119C29"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Superior (18 a 23 años)</w:t>
            </w:r>
          </w:p>
        </w:tc>
        <w:tc>
          <w:tcPr>
            <w:tcW w:w="2471" w:type="dxa"/>
            <w:gridSpan w:val="3"/>
            <w:tcBorders>
              <w:top w:val="single" w:sz="6" w:space="0" w:color="000000"/>
              <w:left w:val="single" w:sz="6" w:space="0" w:color="000000"/>
              <w:right w:val="single" w:sz="6" w:space="0" w:color="000000"/>
            </w:tcBorders>
            <w:shd w:val="clear" w:color="auto" w:fill="C0C0C0"/>
            <w:tcMar>
              <w:top w:w="15" w:type="dxa"/>
              <w:left w:w="70" w:type="dxa"/>
              <w:bottom w:w="15" w:type="dxa"/>
              <w:right w:w="70" w:type="dxa"/>
            </w:tcMar>
            <w:vAlign w:val="center"/>
            <w:hideMark/>
          </w:tcPr>
          <w:p w14:paraId="47A09022"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Superior (18 a 22 años)</w:t>
            </w:r>
          </w:p>
        </w:tc>
      </w:tr>
      <w:tr w:rsidR="004220B7" w:rsidRPr="007923C2" w14:paraId="717AA03D" w14:textId="77777777" w:rsidTr="0030772E">
        <w:trPr>
          <w:trHeight w:val="337"/>
        </w:trPr>
        <w:tc>
          <w:tcPr>
            <w:tcW w:w="0" w:type="auto"/>
            <w:vMerge/>
            <w:tcBorders>
              <w:top w:val="single" w:sz="6" w:space="0" w:color="000000"/>
              <w:left w:val="single" w:sz="6" w:space="0" w:color="000000"/>
              <w:right w:val="single" w:sz="6" w:space="0" w:color="000000"/>
            </w:tcBorders>
            <w:vAlign w:val="center"/>
            <w:hideMark/>
          </w:tcPr>
          <w:p w14:paraId="53A68F4C" w14:textId="77777777" w:rsidR="004220B7" w:rsidRPr="007923C2" w:rsidRDefault="004220B7" w:rsidP="0030772E">
            <w:pPr>
              <w:jc w:val="both"/>
              <w:rPr>
                <w:rFonts w:ascii="Arial" w:hAnsi="Arial" w:cs="Arial"/>
                <w:sz w:val="22"/>
                <w:szCs w:val="22"/>
              </w:rPr>
            </w:pPr>
          </w:p>
        </w:tc>
        <w:tc>
          <w:tcPr>
            <w:tcW w:w="638" w:type="dxa"/>
            <w:tcBorders>
              <w:left w:val="single" w:sz="6" w:space="0" w:color="000000"/>
              <w:bottom w:val="single" w:sz="6" w:space="0" w:color="000000"/>
            </w:tcBorders>
            <w:shd w:val="clear" w:color="auto" w:fill="C0C0C0"/>
            <w:tcMar>
              <w:top w:w="15" w:type="dxa"/>
              <w:left w:w="70" w:type="dxa"/>
              <w:bottom w:w="15" w:type="dxa"/>
              <w:right w:w="70" w:type="dxa"/>
            </w:tcMar>
            <w:vAlign w:val="center"/>
            <w:hideMark/>
          </w:tcPr>
          <w:p w14:paraId="37D4397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 </w:t>
            </w:r>
          </w:p>
        </w:tc>
        <w:tc>
          <w:tcPr>
            <w:tcW w:w="949" w:type="dxa"/>
            <w:tcBorders>
              <w:bottom w:val="single" w:sz="6" w:space="0" w:color="000000"/>
            </w:tcBorders>
            <w:shd w:val="clear" w:color="auto" w:fill="C0C0C0"/>
            <w:tcMar>
              <w:top w:w="15" w:type="dxa"/>
              <w:left w:w="70" w:type="dxa"/>
              <w:bottom w:w="15" w:type="dxa"/>
              <w:right w:w="70" w:type="dxa"/>
            </w:tcMar>
            <w:vAlign w:val="center"/>
            <w:hideMark/>
          </w:tcPr>
          <w:p w14:paraId="63AC6DE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 </w:t>
            </w:r>
          </w:p>
        </w:tc>
        <w:tc>
          <w:tcPr>
            <w:tcW w:w="974" w:type="dxa"/>
            <w:tcBorders>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6902210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 </w:t>
            </w:r>
          </w:p>
        </w:tc>
        <w:tc>
          <w:tcPr>
            <w:tcW w:w="2471" w:type="dxa"/>
            <w:gridSpan w:val="3"/>
            <w:tcBorders>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11BA9E2E"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Incluye posgrado</w:t>
            </w:r>
          </w:p>
        </w:tc>
        <w:tc>
          <w:tcPr>
            <w:tcW w:w="2471" w:type="dxa"/>
            <w:gridSpan w:val="3"/>
            <w:tcBorders>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3F5315DD"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No incluye posgrado</w:t>
            </w:r>
          </w:p>
        </w:tc>
      </w:tr>
      <w:tr w:rsidR="004220B7" w:rsidRPr="007923C2" w14:paraId="28530E98" w14:textId="77777777" w:rsidTr="0030772E">
        <w:trPr>
          <w:trHeight w:val="337"/>
        </w:trPr>
        <w:tc>
          <w:tcPr>
            <w:tcW w:w="0" w:type="auto"/>
            <w:vMerge/>
            <w:tcBorders>
              <w:top w:val="single" w:sz="6" w:space="0" w:color="000000"/>
              <w:left w:val="single" w:sz="6" w:space="0" w:color="000000"/>
              <w:right w:val="single" w:sz="6" w:space="0" w:color="000000"/>
            </w:tcBorders>
            <w:vAlign w:val="center"/>
            <w:hideMark/>
          </w:tcPr>
          <w:p w14:paraId="08624604" w14:textId="77777777" w:rsidR="004220B7" w:rsidRPr="007923C2" w:rsidRDefault="004220B7" w:rsidP="0030772E">
            <w:pPr>
              <w:jc w:val="both"/>
              <w:rPr>
                <w:rFonts w:ascii="Arial" w:hAnsi="Arial" w:cs="Arial"/>
                <w:sz w:val="22"/>
                <w:szCs w:val="22"/>
              </w:rPr>
            </w:pPr>
          </w:p>
        </w:tc>
        <w:tc>
          <w:tcPr>
            <w:tcW w:w="63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3D24B2B0"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Total</w:t>
            </w:r>
          </w:p>
        </w:tc>
        <w:tc>
          <w:tcPr>
            <w:tcW w:w="94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43E7DC5C"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Hombres</w:t>
            </w:r>
          </w:p>
        </w:tc>
        <w:tc>
          <w:tcPr>
            <w:tcW w:w="97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30FD87C5"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Mujeres</w:t>
            </w:r>
          </w:p>
        </w:tc>
        <w:tc>
          <w:tcPr>
            <w:tcW w:w="63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094E5BF3"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Total</w:t>
            </w:r>
          </w:p>
        </w:tc>
        <w:tc>
          <w:tcPr>
            <w:tcW w:w="94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1E2A226A"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Hombres</w:t>
            </w:r>
          </w:p>
        </w:tc>
        <w:tc>
          <w:tcPr>
            <w:tcW w:w="8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51770BA2"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Mujeres</w:t>
            </w:r>
          </w:p>
        </w:tc>
        <w:tc>
          <w:tcPr>
            <w:tcW w:w="63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5F06187F"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Total</w:t>
            </w:r>
          </w:p>
        </w:tc>
        <w:tc>
          <w:tcPr>
            <w:tcW w:w="94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07E6A764"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Hombres</w:t>
            </w:r>
          </w:p>
        </w:tc>
        <w:tc>
          <w:tcPr>
            <w:tcW w:w="8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36B06658"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Mujeres</w:t>
            </w:r>
          </w:p>
        </w:tc>
      </w:tr>
      <w:tr w:rsidR="004220B7" w:rsidRPr="007923C2" w14:paraId="363DDF65" w14:textId="77777777" w:rsidTr="0030772E">
        <w:trPr>
          <w:trHeight w:val="337"/>
        </w:trPr>
        <w:tc>
          <w:tcPr>
            <w:tcW w:w="1209" w:type="dxa"/>
            <w:tcBorders>
              <w:top w:val="single" w:sz="6" w:space="0" w:color="000000"/>
              <w:left w:val="single" w:sz="6" w:space="0" w:color="000000"/>
              <w:right w:val="single" w:sz="6" w:space="0" w:color="000000"/>
            </w:tcBorders>
            <w:shd w:val="clear" w:color="auto" w:fill="C0C0C0"/>
            <w:tcMar>
              <w:top w:w="15" w:type="dxa"/>
              <w:left w:w="70" w:type="dxa"/>
              <w:bottom w:w="15" w:type="dxa"/>
              <w:right w:w="70" w:type="dxa"/>
            </w:tcMar>
            <w:vAlign w:val="center"/>
            <w:hideMark/>
          </w:tcPr>
          <w:p w14:paraId="1563A1C8"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1990-1991</w:t>
            </w:r>
          </w:p>
        </w:tc>
        <w:tc>
          <w:tcPr>
            <w:tcW w:w="638" w:type="dxa"/>
            <w:tcBorders>
              <w:top w:val="single" w:sz="6" w:space="0" w:color="000000"/>
              <w:left w:val="single" w:sz="6" w:space="0" w:color="000000"/>
            </w:tcBorders>
            <w:tcMar>
              <w:top w:w="15" w:type="dxa"/>
              <w:left w:w="70" w:type="dxa"/>
              <w:bottom w:w="15" w:type="dxa"/>
              <w:right w:w="70" w:type="dxa"/>
            </w:tcMar>
            <w:vAlign w:val="center"/>
            <w:hideMark/>
          </w:tcPr>
          <w:p w14:paraId="2A4230D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34.1</w:t>
            </w:r>
          </w:p>
        </w:tc>
        <w:tc>
          <w:tcPr>
            <w:tcW w:w="949" w:type="dxa"/>
            <w:tcBorders>
              <w:top w:val="single" w:sz="6" w:space="0" w:color="000000"/>
            </w:tcBorders>
            <w:tcMar>
              <w:top w:w="15" w:type="dxa"/>
              <w:left w:w="70" w:type="dxa"/>
              <w:bottom w:w="15" w:type="dxa"/>
              <w:right w:w="70" w:type="dxa"/>
            </w:tcMar>
            <w:vAlign w:val="center"/>
            <w:hideMark/>
          </w:tcPr>
          <w:p w14:paraId="4858E1B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34.7</w:t>
            </w:r>
          </w:p>
        </w:tc>
        <w:tc>
          <w:tcPr>
            <w:tcW w:w="974" w:type="dxa"/>
            <w:tcBorders>
              <w:top w:val="single" w:sz="6" w:space="0" w:color="000000"/>
              <w:right w:val="single" w:sz="6" w:space="0" w:color="000000"/>
            </w:tcBorders>
            <w:tcMar>
              <w:top w:w="15" w:type="dxa"/>
              <w:left w:w="70" w:type="dxa"/>
              <w:bottom w:w="15" w:type="dxa"/>
              <w:right w:w="70" w:type="dxa"/>
            </w:tcMar>
            <w:vAlign w:val="center"/>
            <w:hideMark/>
          </w:tcPr>
          <w:p w14:paraId="14D78D4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33.6</w:t>
            </w:r>
          </w:p>
        </w:tc>
        <w:tc>
          <w:tcPr>
            <w:tcW w:w="638" w:type="dxa"/>
            <w:tcBorders>
              <w:top w:val="single" w:sz="6" w:space="0" w:color="000000"/>
              <w:left w:val="single" w:sz="6" w:space="0" w:color="000000"/>
            </w:tcBorders>
            <w:tcMar>
              <w:top w:w="15" w:type="dxa"/>
              <w:left w:w="70" w:type="dxa"/>
              <w:bottom w:w="15" w:type="dxa"/>
              <w:right w:w="70" w:type="dxa"/>
            </w:tcMar>
            <w:vAlign w:val="center"/>
            <w:hideMark/>
          </w:tcPr>
          <w:p w14:paraId="2C54DE2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11.4</w:t>
            </w:r>
          </w:p>
        </w:tc>
        <w:tc>
          <w:tcPr>
            <w:tcW w:w="949" w:type="dxa"/>
            <w:tcBorders>
              <w:top w:val="single" w:sz="6" w:space="0" w:color="000000"/>
            </w:tcBorders>
            <w:tcMar>
              <w:top w:w="15" w:type="dxa"/>
              <w:left w:w="70" w:type="dxa"/>
              <w:bottom w:w="15" w:type="dxa"/>
              <w:right w:w="70" w:type="dxa"/>
            </w:tcMar>
            <w:vAlign w:val="center"/>
            <w:hideMark/>
          </w:tcPr>
          <w:p w14:paraId="4EDB387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12.9</w:t>
            </w:r>
          </w:p>
        </w:tc>
        <w:tc>
          <w:tcPr>
            <w:tcW w:w="884" w:type="dxa"/>
            <w:tcBorders>
              <w:top w:val="single" w:sz="6" w:space="0" w:color="000000"/>
              <w:right w:val="single" w:sz="6" w:space="0" w:color="000000"/>
            </w:tcBorders>
            <w:tcMar>
              <w:top w:w="15" w:type="dxa"/>
              <w:left w:w="70" w:type="dxa"/>
              <w:bottom w:w="15" w:type="dxa"/>
              <w:right w:w="70" w:type="dxa"/>
            </w:tcMar>
            <w:vAlign w:val="center"/>
            <w:hideMark/>
          </w:tcPr>
          <w:p w14:paraId="4B11ECD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9.9</w:t>
            </w:r>
          </w:p>
        </w:tc>
        <w:tc>
          <w:tcPr>
            <w:tcW w:w="638" w:type="dxa"/>
            <w:tcBorders>
              <w:top w:val="single" w:sz="6" w:space="0" w:color="000000"/>
              <w:left w:val="single" w:sz="6" w:space="0" w:color="000000"/>
            </w:tcBorders>
            <w:tcMar>
              <w:top w:w="15" w:type="dxa"/>
              <w:left w:w="70" w:type="dxa"/>
              <w:bottom w:w="15" w:type="dxa"/>
              <w:right w:w="70" w:type="dxa"/>
            </w:tcMar>
            <w:vAlign w:val="center"/>
            <w:hideMark/>
          </w:tcPr>
          <w:p w14:paraId="09B7FC7B"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13.0</w:t>
            </w:r>
          </w:p>
        </w:tc>
        <w:tc>
          <w:tcPr>
            <w:tcW w:w="949" w:type="dxa"/>
            <w:tcBorders>
              <w:top w:val="single" w:sz="6" w:space="0" w:color="000000"/>
            </w:tcBorders>
            <w:tcMar>
              <w:top w:w="15" w:type="dxa"/>
              <w:left w:w="70" w:type="dxa"/>
              <w:bottom w:w="15" w:type="dxa"/>
              <w:right w:w="70" w:type="dxa"/>
            </w:tcMar>
            <w:vAlign w:val="center"/>
            <w:hideMark/>
          </w:tcPr>
          <w:p w14:paraId="725D9E4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14.6</w:t>
            </w:r>
          </w:p>
        </w:tc>
        <w:tc>
          <w:tcPr>
            <w:tcW w:w="884" w:type="dxa"/>
            <w:tcBorders>
              <w:top w:val="single" w:sz="6" w:space="0" w:color="000000"/>
              <w:right w:val="single" w:sz="6" w:space="0" w:color="000000"/>
            </w:tcBorders>
            <w:tcMar>
              <w:top w:w="15" w:type="dxa"/>
              <w:left w:w="70" w:type="dxa"/>
              <w:bottom w:w="15" w:type="dxa"/>
              <w:right w:w="70" w:type="dxa"/>
            </w:tcMar>
            <w:vAlign w:val="center"/>
            <w:hideMark/>
          </w:tcPr>
          <w:p w14:paraId="0C8DC7F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11.3</w:t>
            </w:r>
          </w:p>
        </w:tc>
      </w:tr>
      <w:tr w:rsidR="004220B7" w:rsidRPr="007923C2" w14:paraId="27803A42" w14:textId="77777777" w:rsidTr="0030772E">
        <w:trPr>
          <w:trHeight w:val="337"/>
        </w:trPr>
        <w:tc>
          <w:tcPr>
            <w:tcW w:w="1209" w:type="dxa"/>
            <w:tcBorders>
              <w:left w:val="single" w:sz="6" w:space="0" w:color="000000"/>
              <w:right w:val="single" w:sz="6" w:space="0" w:color="000000"/>
            </w:tcBorders>
            <w:shd w:val="clear" w:color="auto" w:fill="C0C0C0"/>
            <w:tcMar>
              <w:top w:w="15" w:type="dxa"/>
              <w:left w:w="70" w:type="dxa"/>
              <w:bottom w:w="15" w:type="dxa"/>
              <w:right w:w="70" w:type="dxa"/>
            </w:tcMar>
            <w:vAlign w:val="center"/>
            <w:hideMark/>
          </w:tcPr>
          <w:p w14:paraId="7EAFFF27"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2000-2001</w:t>
            </w:r>
          </w:p>
        </w:tc>
        <w:tc>
          <w:tcPr>
            <w:tcW w:w="638" w:type="dxa"/>
            <w:tcBorders>
              <w:left w:val="single" w:sz="6" w:space="0" w:color="000000"/>
            </w:tcBorders>
            <w:tcMar>
              <w:top w:w="15" w:type="dxa"/>
              <w:left w:w="70" w:type="dxa"/>
              <w:bottom w:w="15" w:type="dxa"/>
              <w:right w:w="70" w:type="dxa"/>
            </w:tcMar>
            <w:vAlign w:val="center"/>
            <w:hideMark/>
          </w:tcPr>
          <w:p w14:paraId="40DC76B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47.2</w:t>
            </w:r>
          </w:p>
        </w:tc>
        <w:tc>
          <w:tcPr>
            <w:tcW w:w="949" w:type="dxa"/>
            <w:tcMar>
              <w:top w:w="15" w:type="dxa"/>
              <w:left w:w="70" w:type="dxa"/>
              <w:bottom w:w="15" w:type="dxa"/>
              <w:right w:w="70" w:type="dxa"/>
            </w:tcMar>
            <w:vAlign w:val="center"/>
            <w:hideMark/>
          </w:tcPr>
          <w:p w14:paraId="64C38546"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47.0</w:t>
            </w:r>
          </w:p>
        </w:tc>
        <w:tc>
          <w:tcPr>
            <w:tcW w:w="974" w:type="dxa"/>
            <w:tcBorders>
              <w:right w:val="single" w:sz="6" w:space="0" w:color="000000"/>
            </w:tcBorders>
            <w:tcMar>
              <w:top w:w="15" w:type="dxa"/>
              <w:left w:w="70" w:type="dxa"/>
              <w:bottom w:w="15" w:type="dxa"/>
              <w:right w:w="70" w:type="dxa"/>
            </w:tcMar>
            <w:vAlign w:val="center"/>
            <w:hideMark/>
          </w:tcPr>
          <w:p w14:paraId="3BDCC81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47.4</w:t>
            </w:r>
          </w:p>
        </w:tc>
        <w:tc>
          <w:tcPr>
            <w:tcW w:w="638" w:type="dxa"/>
            <w:tcBorders>
              <w:left w:val="single" w:sz="6" w:space="0" w:color="000000"/>
            </w:tcBorders>
            <w:tcMar>
              <w:top w:w="15" w:type="dxa"/>
              <w:left w:w="70" w:type="dxa"/>
              <w:bottom w:w="15" w:type="dxa"/>
              <w:right w:w="70" w:type="dxa"/>
            </w:tcMar>
            <w:vAlign w:val="center"/>
            <w:hideMark/>
          </w:tcPr>
          <w:p w14:paraId="1FF5D9C7"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17.2</w:t>
            </w:r>
          </w:p>
        </w:tc>
        <w:tc>
          <w:tcPr>
            <w:tcW w:w="949" w:type="dxa"/>
            <w:tcMar>
              <w:top w:w="15" w:type="dxa"/>
              <w:left w:w="70" w:type="dxa"/>
              <w:bottom w:w="15" w:type="dxa"/>
              <w:right w:w="70" w:type="dxa"/>
            </w:tcMar>
            <w:vAlign w:val="center"/>
            <w:hideMark/>
          </w:tcPr>
          <w:p w14:paraId="35B0679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17.9</w:t>
            </w:r>
          </w:p>
        </w:tc>
        <w:tc>
          <w:tcPr>
            <w:tcW w:w="884" w:type="dxa"/>
            <w:tcBorders>
              <w:right w:val="single" w:sz="6" w:space="0" w:color="000000"/>
            </w:tcBorders>
            <w:tcMar>
              <w:top w:w="15" w:type="dxa"/>
              <w:left w:w="70" w:type="dxa"/>
              <w:bottom w:w="15" w:type="dxa"/>
              <w:right w:w="70" w:type="dxa"/>
            </w:tcMar>
            <w:vAlign w:val="center"/>
            <w:hideMark/>
          </w:tcPr>
          <w:p w14:paraId="4B82932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16.6</w:t>
            </w:r>
          </w:p>
        </w:tc>
        <w:tc>
          <w:tcPr>
            <w:tcW w:w="638" w:type="dxa"/>
            <w:tcBorders>
              <w:left w:val="single" w:sz="6" w:space="0" w:color="000000"/>
            </w:tcBorders>
            <w:tcMar>
              <w:top w:w="15" w:type="dxa"/>
              <w:left w:w="70" w:type="dxa"/>
              <w:bottom w:w="15" w:type="dxa"/>
              <w:right w:w="70" w:type="dxa"/>
            </w:tcMar>
            <w:vAlign w:val="center"/>
            <w:hideMark/>
          </w:tcPr>
          <w:p w14:paraId="6B52FDD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19.2</w:t>
            </w:r>
          </w:p>
        </w:tc>
        <w:tc>
          <w:tcPr>
            <w:tcW w:w="949" w:type="dxa"/>
            <w:tcMar>
              <w:top w:w="15" w:type="dxa"/>
              <w:left w:w="70" w:type="dxa"/>
              <w:bottom w:w="15" w:type="dxa"/>
              <w:right w:w="70" w:type="dxa"/>
            </w:tcMar>
            <w:vAlign w:val="center"/>
            <w:hideMark/>
          </w:tcPr>
          <w:p w14:paraId="69E17C1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19.8</w:t>
            </w:r>
          </w:p>
        </w:tc>
        <w:tc>
          <w:tcPr>
            <w:tcW w:w="884" w:type="dxa"/>
            <w:tcBorders>
              <w:right w:val="single" w:sz="6" w:space="0" w:color="000000"/>
            </w:tcBorders>
            <w:tcMar>
              <w:top w:w="15" w:type="dxa"/>
              <w:left w:w="70" w:type="dxa"/>
              <w:bottom w:w="15" w:type="dxa"/>
              <w:right w:w="70" w:type="dxa"/>
            </w:tcMar>
            <w:vAlign w:val="center"/>
            <w:hideMark/>
          </w:tcPr>
          <w:p w14:paraId="0A6388B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18.7</w:t>
            </w:r>
          </w:p>
        </w:tc>
      </w:tr>
      <w:tr w:rsidR="004220B7" w:rsidRPr="007923C2" w14:paraId="2F7D92A0" w14:textId="77777777" w:rsidTr="0030772E">
        <w:trPr>
          <w:trHeight w:val="337"/>
        </w:trPr>
        <w:tc>
          <w:tcPr>
            <w:tcW w:w="1209" w:type="dxa"/>
            <w:tcBorders>
              <w:left w:val="single" w:sz="6" w:space="0" w:color="000000"/>
              <w:right w:val="single" w:sz="6" w:space="0" w:color="000000"/>
            </w:tcBorders>
            <w:shd w:val="clear" w:color="auto" w:fill="C0C0C0"/>
            <w:tcMar>
              <w:top w:w="15" w:type="dxa"/>
              <w:left w:w="70" w:type="dxa"/>
              <w:bottom w:w="15" w:type="dxa"/>
              <w:right w:w="70" w:type="dxa"/>
            </w:tcMar>
            <w:vAlign w:val="center"/>
            <w:hideMark/>
          </w:tcPr>
          <w:p w14:paraId="7D47B9C9"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2010-2011</w:t>
            </w:r>
          </w:p>
        </w:tc>
        <w:tc>
          <w:tcPr>
            <w:tcW w:w="638" w:type="dxa"/>
            <w:tcBorders>
              <w:left w:val="single" w:sz="6" w:space="0" w:color="000000"/>
            </w:tcBorders>
            <w:tcMar>
              <w:top w:w="15" w:type="dxa"/>
              <w:left w:w="70" w:type="dxa"/>
              <w:bottom w:w="15" w:type="dxa"/>
              <w:right w:w="70" w:type="dxa"/>
            </w:tcMar>
            <w:vAlign w:val="center"/>
            <w:hideMark/>
          </w:tcPr>
          <w:p w14:paraId="43AF3C9F"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62.7</w:t>
            </w:r>
          </w:p>
        </w:tc>
        <w:tc>
          <w:tcPr>
            <w:tcW w:w="949" w:type="dxa"/>
            <w:tcMar>
              <w:top w:w="15" w:type="dxa"/>
              <w:left w:w="70" w:type="dxa"/>
              <w:bottom w:w="15" w:type="dxa"/>
              <w:right w:w="70" w:type="dxa"/>
            </w:tcMar>
            <w:vAlign w:val="center"/>
            <w:hideMark/>
          </w:tcPr>
          <w:p w14:paraId="34B5691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61.6</w:t>
            </w:r>
          </w:p>
        </w:tc>
        <w:tc>
          <w:tcPr>
            <w:tcW w:w="974" w:type="dxa"/>
            <w:tcBorders>
              <w:right w:val="single" w:sz="6" w:space="0" w:color="000000"/>
            </w:tcBorders>
            <w:tcMar>
              <w:top w:w="15" w:type="dxa"/>
              <w:left w:w="70" w:type="dxa"/>
              <w:bottom w:w="15" w:type="dxa"/>
              <w:right w:w="70" w:type="dxa"/>
            </w:tcMar>
            <w:vAlign w:val="center"/>
            <w:hideMark/>
          </w:tcPr>
          <w:p w14:paraId="2E8E7712"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63.7</w:t>
            </w:r>
          </w:p>
        </w:tc>
        <w:tc>
          <w:tcPr>
            <w:tcW w:w="638" w:type="dxa"/>
            <w:tcBorders>
              <w:left w:val="single" w:sz="6" w:space="0" w:color="000000"/>
            </w:tcBorders>
            <w:tcMar>
              <w:top w:w="15" w:type="dxa"/>
              <w:left w:w="70" w:type="dxa"/>
              <w:bottom w:w="15" w:type="dxa"/>
              <w:right w:w="70" w:type="dxa"/>
            </w:tcMar>
            <w:vAlign w:val="center"/>
            <w:hideMark/>
          </w:tcPr>
          <w:p w14:paraId="2A7AB8D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23.9</w:t>
            </w:r>
          </w:p>
        </w:tc>
        <w:tc>
          <w:tcPr>
            <w:tcW w:w="949" w:type="dxa"/>
            <w:tcMar>
              <w:top w:w="15" w:type="dxa"/>
              <w:left w:w="70" w:type="dxa"/>
              <w:bottom w:w="15" w:type="dxa"/>
              <w:right w:w="70" w:type="dxa"/>
            </w:tcMar>
            <w:vAlign w:val="center"/>
            <w:hideMark/>
          </w:tcPr>
          <w:p w14:paraId="4111FF00"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24.5</w:t>
            </w:r>
          </w:p>
        </w:tc>
        <w:tc>
          <w:tcPr>
            <w:tcW w:w="884" w:type="dxa"/>
            <w:tcBorders>
              <w:right w:val="single" w:sz="6" w:space="0" w:color="000000"/>
            </w:tcBorders>
            <w:tcMar>
              <w:top w:w="15" w:type="dxa"/>
              <w:left w:w="70" w:type="dxa"/>
              <w:bottom w:w="15" w:type="dxa"/>
              <w:right w:w="70" w:type="dxa"/>
            </w:tcMar>
            <w:vAlign w:val="center"/>
            <w:hideMark/>
          </w:tcPr>
          <w:p w14:paraId="6A70763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23.4</w:t>
            </w:r>
          </w:p>
        </w:tc>
        <w:tc>
          <w:tcPr>
            <w:tcW w:w="638" w:type="dxa"/>
            <w:tcBorders>
              <w:left w:val="single" w:sz="6" w:space="0" w:color="000000"/>
            </w:tcBorders>
            <w:tcMar>
              <w:top w:w="15" w:type="dxa"/>
              <w:left w:w="70" w:type="dxa"/>
              <w:bottom w:w="15" w:type="dxa"/>
              <w:right w:w="70" w:type="dxa"/>
            </w:tcMar>
            <w:vAlign w:val="center"/>
            <w:hideMark/>
          </w:tcPr>
          <w:p w14:paraId="7775212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26.4</w:t>
            </w:r>
          </w:p>
        </w:tc>
        <w:tc>
          <w:tcPr>
            <w:tcW w:w="949" w:type="dxa"/>
            <w:tcMar>
              <w:top w:w="15" w:type="dxa"/>
              <w:left w:w="70" w:type="dxa"/>
              <w:bottom w:w="15" w:type="dxa"/>
              <w:right w:w="70" w:type="dxa"/>
            </w:tcMar>
            <w:vAlign w:val="center"/>
            <w:hideMark/>
          </w:tcPr>
          <w:p w14:paraId="6385E64D"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27.1</w:t>
            </w:r>
          </w:p>
        </w:tc>
        <w:tc>
          <w:tcPr>
            <w:tcW w:w="884" w:type="dxa"/>
            <w:tcBorders>
              <w:right w:val="single" w:sz="6" w:space="0" w:color="000000"/>
            </w:tcBorders>
            <w:tcMar>
              <w:top w:w="15" w:type="dxa"/>
              <w:left w:w="70" w:type="dxa"/>
              <w:bottom w:w="15" w:type="dxa"/>
              <w:right w:w="70" w:type="dxa"/>
            </w:tcMar>
            <w:vAlign w:val="center"/>
            <w:hideMark/>
          </w:tcPr>
          <w:p w14:paraId="22E1120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25.8</w:t>
            </w:r>
          </w:p>
        </w:tc>
      </w:tr>
      <w:tr w:rsidR="004220B7" w:rsidRPr="007923C2" w14:paraId="009FBD4F" w14:textId="77777777" w:rsidTr="0030772E">
        <w:trPr>
          <w:trHeight w:val="352"/>
        </w:trPr>
        <w:tc>
          <w:tcPr>
            <w:tcW w:w="1209" w:type="dxa"/>
            <w:tcBorders>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14:paraId="7F6ED62B" w14:textId="77777777" w:rsidR="004220B7" w:rsidRPr="007923C2" w:rsidRDefault="004220B7" w:rsidP="0030772E">
            <w:pPr>
              <w:jc w:val="both"/>
              <w:rPr>
                <w:rFonts w:ascii="Arial" w:hAnsi="Arial" w:cs="Arial"/>
                <w:sz w:val="22"/>
                <w:szCs w:val="22"/>
              </w:rPr>
            </w:pPr>
            <w:r w:rsidRPr="007923C2">
              <w:rPr>
                <w:rFonts w:ascii="Arial" w:hAnsi="Arial" w:cs="Arial"/>
                <w:b/>
                <w:bCs/>
                <w:sz w:val="22"/>
                <w:szCs w:val="22"/>
              </w:rPr>
              <w:t>2012-2013</w:t>
            </w:r>
          </w:p>
        </w:tc>
        <w:tc>
          <w:tcPr>
            <w:tcW w:w="638" w:type="dxa"/>
            <w:tcBorders>
              <w:left w:val="single" w:sz="6" w:space="0" w:color="000000"/>
              <w:bottom w:val="single" w:sz="6" w:space="0" w:color="000000"/>
            </w:tcBorders>
            <w:tcMar>
              <w:top w:w="15" w:type="dxa"/>
              <w:left w:w="70" w:type="dxa"/>
              <w:bottom w:w="15" w:type="dxa"/>
              <w:right w:w="70" w:type="dxa"/>
            </w:tcMar>
            <w:vAlign w:val="center"/>
            <w:hideMark/>
          </w:tcPr>
          <w:p w14:paraId="5A1B2BD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65.9</w:t>
            </w:r>
          </w:p>
        </w:tc>
        <w:tc>
          <w:tcPr>
            <w:tcW w:w="949" w:type="dxa"/>
            <w:tcBorders>
              <w:bottom w:val="single" w:sz="6" w:space="0" w:color="000000"/>
            </w:tcBorders>
            <w:tcMar>
              <w:top w:w="15" w:type="dxa"/>
              <w:left w:w="70" w:type="dxa"/>
              <w:bottom w:w="15" w:type="dxa"/>
              <w:right w:w="70" w:type="dxa"/>
            </w:tcMar>
            <w:vAlign w:val="center"/>
            <w:hideMark/>
          </w:tcPr>
          <w:p w14:paraId="5F6E2A5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64.9</w:t>
            </w:r>
          </w:p>
        </w:tc>
        <w:tc>
          <w:tcPr>
            <w:tcW w:w="974" w:type="dxa"/>
            <w:tcBorders>
              <w:bottom w:val="single" w:sz="6" w:space="0" w:color="000000"/>
              <w:right w:val="single" w:sz="6" w:space="0" w:color="000000"/>
            </w:tcBorders>
            <w:tcMar>
              <w:top w:w="15" w:type="dxa"/>
              <w:left w:w="70" w:type="dxa"/>
              <w:bottom w:w="15" w:type="dxa"/>
              <w:right w:w="70" w:type="dxa"/>
            </w:tcMar>
            <w:vAlign w:val="center"/>
            <w:hideMark/>
          </w:tcPr>
          <w:p w14:paraId="205AB415"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66.8</w:t>
            </w:r>
          </w:p>
        </w:tc>
        <w:tc>
          <w:tcPr>
            <w:tcW w:w="638" w:type="dxa"/>
            <w:tcBorders>
              <w:left w:val="single" w:sz="6" w:space="0" w:color="000000"/>
              <w:bottom w:val="single" w:sz="6" w:space="0" w:color="000000"/>
            </w:tcBorders>
            <w:tcMar>
              <w:top w:w="15" w:type="dxa"/>
              <w:left w:w="70" w:type="dxa"/>
              <w:bottom w:w="15" w:type="dxa"/>
              <w:right w:w="70" w:type="dxa"/>
            </w:tcMar>
            <w:vAlign w:val="center"/>
            <w:hideMark/>
          </w:tcPr>
          <w:p w14:paraId="52BB3BC1"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25.8</w:t>
            </w:r>
          </w:p>
        </w:tc>
        <w:tc>
          <w:tcPr>
            <w:tcW w:w="949" w:type="dxa"/>
            <w:tcBorders>
              <w:bottom w:val="single" w:sz="6" w:space="0" w:color="000000"/>
            </w:tcBorders>
            <w:tcMar>
              <w:top w:w="15" w:type="dxa"/>
              <w:left w:w="70" w:type="dxa"/>
              <w:bottom w:w="15" w:type="dxa"/>
              <w:right w:w="70" w:type="dxa"/>
            </w:tcMar>
            <w:vAlign w:val="center"/>
            <w:hideMark/>
          </w:tcPr>
          <w:p w14:paraId="73F048C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26.5</w:t>
            </w:r>
          </w:p>
        </w:tc>
        <w:tc>
          <w:tcPr>
            <w:tcW w:w="884" w:type="dxa"/>
            <w:tcBorders>
              <w:bottom w:val="single" w:sz="6" w:space="0" w:color="000000"/>
              <w:right w:val="single" w:sz="6" w:space="0" w:color="000000"/>
            </w:tcBorders>
            <w:tcMar>
              <w:top w:w="15" w:type="dxa"/>
              <w:left w:w="70" w:type="dxa"/>
              <w:bottom w:w="15" w:type="dxa"/>
              <w:right w:w="70" w:type="dxa"/>
            </w:tcMar>
            <w:vAlign w:val="center"/>
            <w:hideMark/>
          </w:tcPr>
          <w:p w14:paraId="6426040A"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25.2</w:t>
            </w:r>
          </w:p>
        </w:tc>
        <w:tc>
          <w:tcPr>
            <w:tcW w:w="638" w:type="dxa"/>
            <w:tcBorders>
              <w:left w:val="single" w:sz="6" w:space="0" w:color="000000"/>
              <w:bottom w:val="single" w:sz="6" w:space="0" w:color="000000"/>
            </w:tcBorders>
            <w:tcMar>
              <w:top w:w="15" w:type="dxa"/>
              <w:left w:w="70" w:type="dxa"/>
              <w:bottom w:w="15" w:type="dxa"/>
              <w:right w:w="70" w:type="dxa"/>
            </w:tcMar>
            <w:vAlign w:val="center"/>
            <w:hideMark/>
          </w:tcPr>
          <w:p w14:paraId="2175E18E"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28.6</w:t>
            </w:r>
          </w:p>
        </w:tc>
        <w:tc>
          <w:tcPr>
            <w:tcW w:w="949" w:type="dxa"/>
            <w:tcBorders>
              <w:bottom w:val="single" w:sz="6" w:space="0" w:color="000000"/>
            </w:tcBorders>
            <w:tcMar>
              <w:top w:w="15" w:type="dxa"/>
              <w:left w:w="70" w:type="dxa"/>
              <w:bottom w:w="15" w:type="dxa"/>
              <w:right w:w="70" w:type="dxa"/>
            </w:tcMar>
            <w:vAlign w:val="center"/>
            <w:hideMark/>
          </w:tcPr>
          <w:p w14:paraId="425AC9F8"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29.4</w:t>
            </w:r>
          </w:p>
        </w:tc>
        <w:tc>
          <w:tcPr>
            <w:tcW w:w="884" w:type="dxa"/>
            <w:tcBorders>
              <w:bottom w:val="single" w:sz="6" w:space="0" w:color="000000"/>
              <w:right w:val="single" w:sz="6" w:space="0" w:color="000000"/>
            </w:tcBorders>
            <w:tcMar>
              <w:top w:w="15" w:type="dxa"/>
              <w:left w:w="70" w:type="dxa"/>
              <w:bottom w:w="15" w:type="dxa"/>
              <w:right w:w="70" w:type="dxa"/>
            </w:tcMar>
            <w:vAlign w:val="center"/>
            <w:hideMark/>
          </w:tcPr>
          <w:p w14:paraId="30031094" w14:textId="77777777" w:rsidR="004220B7" w:rsidRPr="007923C2" w:rsidRDefault="004220B7" w:rsidP="0030772E">
            <w:pPr>
              <w:jc w:val="both"/>
              <w:rPr>
                <w:rFonts w:ascii="Arial" w:hAnsi="Arial" w:cs="Arial"/>
                <w:sz w:val="22"/>
                <w:szCs w:val="22"/>
              </w:rPr>
            </w:pPr>
            <w:r w:rsidRPr="007923C2">
              <w:rPr>
                <w:rFonts w:ascii="Arial" w:hAnsi="Arial" w:cs="Arial"/>
                <w:sz w:val="22"/>
                <w:szCs w:val="22"/>
              </w:rPr>
              <w:t>27.8</w:t>
            </w:r>
          </w:p>
        </w:tc>
      </w:tr>
    </w:tbl>
    <w:p w14:paraId="0B2E3461" w14:textId="77777777" w:rsidR="004220B7" w:rsidRPr="007923C2" w:rsidRDefault="004220B7" w:rsidP="004220B7">
      <w:pPr>
        <w:jc w:val="both"/>
        <w:rPr>
          <w:rFonts w:ascii="Arial" w:hAnsi="Arial" w:cs="Arial"/>
          <w:b/>
          <w:bCs/>
          <w:sz w:val="22"/>
          <w:szCs w:val="22"/>
        </w:rPr>
      </w:pPr>
    </w:p>
    <w:p w14:paraId="069C14F5" w14:textId="77777777" w:rsidR="004220B7" w:rsidRPr="007923C2" w:rsidRDefault="004220B7" w:rsidP="004220B7">
      <w:pPr>
        <w:jc w:val="both"/>
        <w:rPr>
          <w:rFonts w:ascii="Arial" w:hAnsi="Arial" w:cs="Arial"/>
          <w:sz w:val="22"/>
          <w:szCs w:val="22"/>
        </w:rPr>
      </w:pPr>
      <w:r w:rsidRPr="007923C2">
        <w:rPr>
          <w:rFonts w:ascii="Arial" w:hAnsi="Arial" w:cs="Arial"/>
          <w:b/>
          <w:bCs/>
          <w:sz w:val="22"/>
          <w:szCs w:val="22"/>
        </w:rPr>
        <w:t>1 </w:t>
      </w:r>
      <w:r w:rsidRPr="007923C2">
        <w:rPr>
          <w:rFonts w:ascii="Arial" w:hAnsi="Arial" w:cs="Arial"/>
          <w:sz w:val="22"/>
          <w:szCs w:val="22"/>
        </w:rPr>
        <w:t>La Cobertura o tasa bruta de escolarización corresponde al número total de alumnos inscritos en un nivel educativo al inicio del ciclo escolar, por cada cien del grupo de población con la edad reglamentaria para cursar ese nivel. Los datos se refieren únicamente a la población que cursa sus estudios en el sistema escolarizado.</w:t>
      </w:r>
    </w:p>
    <w:p w14:paraId="2CDC9DF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Habrá que continuar con la ampliación y el impulso al mejoramiento de la calidad de la educación superior. Los fondos extraordinarios, adicionales al presupuesto regularizable, han probado ser un valioso mecanismo para formar y mejorar al profesorado, corregir problemas estructurales de las universidades, apoyar el desarrollo institucional, fortalecer el trabajo académico y favorecer el crecimiento de la oferta en áreas prioritarias para el desarrollo regional y nacional.</w:t>
      </w:r>
    </w:p>
    <w:p w14:paraId="26A4A2E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libertad de pensamiento que siempre debe caracterizar a la educación superior debe ser compatible con el aseguramiento de la calidad de los programas y la fortaleza de las instituciones. Nuestro país ha impulsado mecanismos para lograrlo. Sobresalen las evaluaciones que llevan a cabo los Comités Interinstitucionales para la Evaluación de la Educación Superior (CIEES), las acreditaciones de programas que se efectúan al amparo del Consejo para la Acreditación de la Educación Superior (COPAES) y los Exámenes Generales de Egreso de la Licenciatura (EGEL).</w:t>
      </w:r>
    </w:p>
    <w:p w14:paraId="1509258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Estos mecanismos han sido cuidadosamente construidos entre las instituciones de educación superior, la Asociación Nacional de Universidades e Instituciones de Educación Superior (ANUIES) y la SEP, para orientar las mejoras y dar certidumbre a los usuarios de los servicios sobre la calidad de las escuelas y programas. Consolidar y desarrollar los mecanismos de aseguramiento de la calidad resultará en instituciones, públicas y particulares, más fuertes. La buena calidad de las instituciones es condición para la preparación de profesionistas y emprendedores con alto sentido de la responsabilidad y compromiso, capaces de hacer frente a la diversidad de requerimientos sociales y </w:t>
      </w:r>
      <w:r w:rsidRPr="007923C2">
        <w:rPr>
          <w:rFonts w:ascii="Arial" w:hAnsi="Arial" w:cs="Arial"/>
          <w:sz w:val="22"/>
          <w:szCs w:val="22"/>
        </w:rPr>
        <w:lastRenderedPageBreak/>
        <w:t>productivos del país. Por otra parte, la educación superior se beneficiará mediante nuevos modelos de cooperación académica en México y en el extranjero.</w:t>
      </w:r>
    </w:p>
    <w:p w14:paraId="1AF2A74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capacidad de innovar es uno de los factores que marca la diferencia en el camino hacia el desarrollo. Si bien los egresados de todos los niveles educativos deben ser creativos y producir soluciones apropiadas para los contextos en los que se desenvuelven, es en la educación superior, particularmente en el posgrado, en donde la generación de nuevo conocimiento y la creatividad tienen mayor importancia. Las instituciones con alumnos de posgrado tienen la responsabilidad de formarlos para que hagan una contribución directa al avance del conocimiento, la innovación y el desarrollo científico y tecnológico, y con ello mejorar los niveles de vida en el país.</w:t>
      </w:r>
    </w:p>
    <w:p w14:paraId="6A08BD4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El sector educativo debe contribuir a la formación de esas capacidades mediante el crecimiento de la oferta de posgrados, particularmente de aquellos que pertenecen al Programa Nacional de Posgrados de Calidad (PNPC). </w:t>
      </w:r>
    </w:p>
    <w:p w14:paraId="6C513001"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Igualmente habrá que fortalecer las capacidades de investigación en las instituciones de educación superior en áreas prioritarias del país y asegurar que las inversiones se concentren en donde existan condiciones más favorables para el desarrollo científico y tecnológico.</w:t>
      </w:r>
    </w:p>
    <w:p w14:paraId="01AB802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Para impulsar la pertinencia de los programas de posgrado y de investigación será preciso promover, conjuntamente con el CONACYT, las redes del conocimiento en las que participen las instituciones de educación superior, y apoyarlas para que su organización interna favorezca la vinculación con los requerimientos productivos y sociales.</w:t>
      </w:r>
    </w:p>
    <w:p w14:paraId="2B60910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país ha hecho distintos esfuerzos por dotar de pertinencia a la educación, pero aún falta mucho para acercarla a los requerimientos sociales y económicos. El PND ofrece condiciones favorables para avanzar en esa dirección. La importancia que se da a la productividad como eje para el desarrollo económico debe facilitar una mayor vinculación de las escuelas con las necesidades sociales y productivas. Una mayor diversidad de la oferta educativa y nuevos modelos de cooperación para facilitar los aprendizajes, las estancias y la empleabilidad deberán contribuir a dichos propósitos. Las posibilidades de este tipo de cooperación son mayores en los sectores altamente productivos que requieren de un mayor uso y desarrollo del conocimiento. Este esfuerzo debe ser complementado con estudios del mercado laboral y de seguimiento de egresados, nuevas métricas para medir el alcance de la vinculación y nuevas formas de reconocimiento de las competencias adquiridas.</w:t>
      </w:r>
    </w:p>
    <w:p w14:paraId="32A8246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años recientes el Sistema de Normalización y Certificación de Competencias Laborales recibió un nuevo impulso que permitió otorgar 62 mil certificados en 2012, el número anual más alto desde la creación de este sistema en 1995. Para continuar impulsándolo se requiere de un marco nacional de certificaciones más amplio en sus alcances y que permita sumar eficazmente iniciativas productivas, educativas, laborales y de capacitación.</w:t>
      </w:r>
    </w:p>
    <w:p w14:paraId="7789DEC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la educación media superior, el marco de calificaciones deberá contribuir a corregir el desajuste entre la oferta educativa en el bachillerato y los requerimientos del mercado laboral. De acuerdo a estimaciones elaboradas con base en los resultados de la Encuesta Nacional de Ocupación y Empleo del INEGI (III y IV trimestres de 2012 y I de 2013), en promedio, seis de cada diez egresados de la educación media superior señalan que para ingresar al mercado laboral no les fue necesario contar con el bachillerato, dado que se ubicaron en ocupaciones que les exigían competencias elementales; de igual manera, cuatro de cada diez mencionaron que las habilidades adquiridas en este nivel </w:t>
      </w:r>
      <w:r w:rsidRPr="007923C2">
        <w:rPr>
          <w:rFonts w:ascii="Arial" w:hAnsi="Arial" w:cs="Arial"/>
          <w:sz w:val="22"/>
          <w:szCs w:val="22"/>
        </w:rPr>
        <w:lastRenderedPageBreak/>
        <w:t>educativo les sirvieron poco o nada en su primer empleo. Por ello, es necesario avanzar en la certificación de competencias laborales y robustecer los esquemas de vinculación con los sectores público, privado y social.</w:t>
      </w:r>
    </w:p>
    <w:p w14:paraId="7F357F0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Las tecnologías de la información y la comunicación han venido implantándose en la educación media superior y superior, aunque el avance en su uso es todavía insuficiente. La educación podrá obtener un amplio beneficio al impulsar el desarrollo de la oferta de educación en línea. No solamente permitirá ampliar la oferta y diversificar los modelos de atención educativa, sino que será de enorme valor para la generación de capacidades propias de la sociedad del conocimiento, especialmente las requeridas para procesar la información de manera efectiva y extraer lo que es útil o importante. Ello exigirá de inversiones en plataformas tecnológicas, trabajo con las comunidades de docentes, revisar la normativa pertinente, promover la investigación sobre el uso de las tecnologías y la evaluación de resultados.</w:t>
      </w:r>
    </w:p>
    <w:p w14:paraId="4257ACB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En la tarea de fortalecer la educación media superior, la educación superior y la formación para el trabajo no puede ignorarse el serio problema de infraestructura física y de equipamiento. En la EMS no hay estándares bien definidos para infraestructura, equipamiento y conectividad. Las carencias son menos severas en la educación superior, pero no por ello son menores. Por estos motivos resulta necesario llevar a cabo inversiones adicionales para mejorar las escuelas.</w:t>
      </w:r>
    </w:p>
    <w:p w14:paraId="388A2C6B" w14:textId="77777777" w:rsidR="00A03B00" w:rsidRPr="007923C2" w:rsidRDefault="00A03B00" w:rsidP="004220B7">
      <w:pPr>
        <w:jc w:val="both"/>
        <w:rPr>
          <w:rFonts w:ascii="Arial" w:hAnsi="Arial" w:cs="Arial"/>
          <w:sz w:val="22"/>
          <w:szCs w:val="22"/>
        </w:rPr>
      </w:pPr>
    </w:p>
    <w:p w14:paraId="27D6DE5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ALGUNAS IMPLICACIONES ECONÓMICAS Y SOCIALES DEL ASPECTO</w:t>
      </w:r>
    </w:p>
    <w:p w14:paraId="791C5E6F" w14:textId="77777777" w:rsidR="004220B7" w:rsidRPr="007923C2" w:rsidRDefault="004220B7" w:rsidP="004220B7">
      <w:pPr>
        <w:jc w:val="both"/>
        <w:rPr>
          <w:rFonts w:ascii="Arial" w:hAnsi="Arial" w:cs="Arial"/>
          <w:spacing w:val="8"/>
          <w:sz w:val="22"/>
          <w:szCs w:val="22"/>
        </w:rPr>
      </w:pPr>
      <w:r w:rsidRPr="007923C2">
        <w:rPr>
          <w:rFonts w:ascii="Arial" w:hAnsi="Arial" w:cs="Arial"/>
          <w:spacing w:val="8"/>
          <w:sz w:val="22"/>
          <w:szCs w:val="22"/>
        </w:rPr>
        <w:t xml:space="preserve">DEMOGRÁFICO </w:t>
      </w:r>
    </w:p>
    <w:p w14:paraId="505FB651" w14:textId="77777777" w:rsidR="004220B7" w:rsidRPr="007923C2" w:rsidRDefault="004220B7" w:rsidP="004220B7">
      <w:pPr>
        <w:jc w:val="both"/>
        <w:rPr>
          <w:rFonts w:ascii="Arial" w:hAnsi="Arial" w:cs="Arial"/>
          <w:spacing w:val="2"/>
          <w:sz w:val="22"/>
          <w:szCs w:val="22"/>
        </w:rPr>
      </w:pPr>
      <w:r w:rsidRPr="007923C2">
        <w:rPr>
          <w:rFonts w:ascii="Arial" w:hAnsi="Arial" w:cs="Arial"/>
          <w:spacing w:val="2"/>
          <w:sz w:val="22"/>
          <w:szCs w:val="22"/>
        </w:rPr>
        <w:t xml:space="preserve">La estructura de la población y los cambios que ha habido en ella, ejercen </w:t>
      </w:r>
      <w:r w:rsidRPr="007923C2">
        <w:rPr>
          <w:rFonts w:ascii="Arial" w:hAnsi="Arial" w:cs="Arial"/>
          <w:spacing w:val="4"/>
          <w:sz w:val="22"/>
          <w:szCs w:val="22"/>
        </w:rPr>
        <w:t>grandes presiones sobre la oferta y la demanda de bienes y servicios.</w:t>
      </w:r>
    </w:p>
    <w:p w14:paraId="02E23425" w14:textId="77777777" w:rsidR="004220B7" w:rsidRPr="007923C2" w:rsidRDefault="004220B7" w:rsidP="004220B7">
      <w:pPr>
        <w:jc w:val="both"/>
        <w:rPr>
          <w:rFonts w:ascii="Arial" w:hAnsi="Arial" w:cs="Arial"/>
          <w:spacing w:val="5"/>
          <w:sz w:val="22"/>
          <w:szCs w:val="22"/>
        </w:rPr>
      </w:pPr>
      <w:r w:rsidRPr="007923C2">
        <w:rPr>
          <w:rFonts w:ascii="Arial" w:hAnsi="Arial" w:cs="Arial"/>
          <w:spacing w:val="5"/>
          <w:sz w:val="22"/>
          <w:szCs w:val="22"/>
        </w:rPr>
        <w:t xml:space="preserve">Los cambios que se vislumbran en la estructura social, implicará cambios </w:t>
      </w:r>
      <w:r w:rsidRPr="007923C2">
        <w:rPr>
          <w:rFonts w:ascii="Arial" w:hAnsi="Arial" w:cs="Arial"/>
          <w:spacing w:val="3"/>
          <w:sz w:val="22"/>
          <w:szCs w:val="22"/>
        </w:rPr>
        <w:t xml:space="preserve">importantes en la demanda y satisfacción de los servicios educativos, donde </w:t>
      </w:r>
      <w:r w:rsidRPr="007923C2">
        <w:rPr>
          <w:rFonts w:ascii="Arial" w:hAnsi="Arial" w:cs="Arial"/>
          <w:spacing w:val="7"/>
          <w:sz w:val="22"/>
          <w:szCs w:val="22"/>
        </w:rPr>
        <w:t xml:space="preserve">habrá un desplazamiento de la demanda educativa de educación primaria </w:t>
      </w:r>
      <w:r w:rsidRPr="007923C2">
        <w:rPr>
          <w:rFonts w:ascii="Arial" w:hAnsi="Arial" w:cs="Arial"/>
          <w:spacing w:val="3"/>
          <w:sz w:val="22"/>
          <w:szCs w:val="22"/>
        </w:rPr>
        <w:t>hacia los niveles de secundaria, media superior y superior.</w:t>
      </w:r>
    </w:p>
    <w:p w14:paraId="3AF72670" w14:textId="77777777" w:rsidR="004220B7" w:rsidRPr="007923C2" w:rsidRDefault="004220B7" w:rsidP="004220B7">
      <w:pPr>
        <w:jc w:val="both"/>
        <w:rPr>
          <w:rFonts w:ascii="Arial" w:hAnsi="Arial" w:cs="Arial"/>
          <w:spacing w:val="5"/>
          <w:sz w:val="22"/>
          <w:szCs w:val="22"/>
        </w:rPr>
      </w:pPr>
      <w:r w:rsidRPr="007923C2">
        <w:rPr>
          <w:rFonts w:ascii="Arial" w:hAnsi="Arial" w:cs="Arial"/>
          <w:spacing w:val="4"/>
          <w:sz w:val="22"/>
          <w:szCs w:val="22"/>
        </w:rPr>
        <w:t xml:space="preserve">Así mismo, mayor presión en los servicios de salud, debido al personal, la </w:t>
      </w:r>
      <w:r w:rsidRPr="007923C2">
        <w:rPr>
          <w:rFonts w:ascii="Arial" w:hAnsi="Arial" w:cs="Arial"/>
          <w:spacing w:val="13"/>
          <w:sz w:val="22"/>
          <w:szCs w:val="22"/>
        </w:rPr>
        <w:t xml:space="preserve">infraestructura y el gasto para atender a una población en constante </w:t>
      </w:r>
      <w:r w:rsidRPr="007923C2">
        <w:rPr>
          <w:rFonts w:ascii="Arial" w:hAnsi="Arial" w:cs="Arial"/>
          <w:spacing w:val="5"/>
          <w:sz w:val="22"/>
          <w:szCs w:val="22"/>
        </w:rPr>
        <w:t xml:space="preserve">crecimiento. Al respecto valdría la pena considerar, que en 1998 habla un </w:t>
      </w:r>
      <w:r w:rsidRPr="007923C2">
        <w:rPr>
          <w:rFonts w:ascii="Arial" w:hAnsi="Arial" w:cs="Arial"/>
          <w:spacing w:val="6"/>
          <w:sz w:val="22"/>
          <w:szCs w:val="22"/>
        </w:rPr>
        <w:t xml:space="preserve">médico por cada 767 habitantes y 1A enfermeras por cada médico, si se </w:t>
      </w:r>
      <w:r w:rsidRPr="007923C2">
        <w:rPr>
          <w:rFonts w:ascii="Arial" w:hAnsi="Arial" w:cs="Arial"/>
          <w:spacing w:val="1"/>
          <w:sz w:val="22"/>
          <w:szCs w:val="22"/>
        </w:rPr>
        <w:t xml:space="preserve">mantiene esta misma proporción de médicos por habitantes, en los años 2010, </w:t>
      </w:r>
      <w:r w:rsidRPr="007923C2">
        <w:rPr>
          <w:rFonts w:ascii="Arial" w:hAnsi="Arial" w:cs="Arial"/>
          <w:spacing w:val="10"/>
          <w:sz w:val="22"/>
          <w:szCs w:val="22"/>
        </w:rPr>
        <w:t xml:space="preserve">2020 y 2030, harán falta 20 mil, 33 mil y 44 mil médicos adicionales </w:t>
      </w:r>
      <w:r w:rsidRPr="007923C2">
        <w:rPr>
          <w:rFonts w:ascii="Arial" w:hAnsi="Arial" w:cs="Arial"/>
          <w:spacing w:val="2"/>
          <w:sz w:val="22"/>
          <w:szCs w:val="22"/>
        </w:rPr>
        <w:t xml:space="preserve">respectivamente, </w:t>
      </w:r>
      <w:r w:rsidRPr="007923C2">
        <w:rPr>
          <w:rFonts w:ascii="Arial" w:hAnsi="Arial" w:cs="Arial"/>
          <w:spacing w:val="5"/>
          <w:sz w:val="22"/>
          <w:szCs w:val="22"/>
        </w:rPr>
        <w:t xml:space="preserve">Por otro lado, el proceso de envejecimiento demográfico, será el factor que </w:t>
      </w:r>
      <w:r w:rsidRPr="007923C2">
        <w:rPr>
          <w:rFonts w:ascii="Arial" w:hAnsi="Arial" w:cs="Arial"/>
          <w:spacing w:val="2"/>
          <w:sz w:val="22"/>
          <w:szCs w:val="22"/>
        </w:rPr>
        <w:t>más determine la cuantiosa asignación de recursos no sólo en la demanda de servicios de salud, sino también en el rubro de la seguridad social,</w:t>
      </w:r>
    </w:p>
    <w:p w14:paraId="368A7CF8" w14:textId="559A87CD" w:rsidR="004220B7" w:rsidRPr="007923C2" w:rsidRDefault="001F23E0" w:rsidP="004220B7">
      <w:pPr>
        <w:jc w:val="both"/>
        <w:rPr>
          <w:rFonts w:ascii="Arial" w:hAnsi="Arial" w:cs="Arial"/>
          <w:spacing w:val="4"/>
          <w:sz w:val="22"/>
          <w:szCs w:val="22"/>
        </w:rPr>
      </w:pPr>
      <w:r>
        <w:rPr>
          <w:rFonts w:ascii="Arial" w:hAnsi="Arial" w:cs="Arial"/>
          <w:noProof/>
          <w:sz w:val="22"/>
          <w:szCs w:val="22"/>
        </w:rPr>
        <mc:AlternateContent>
          <mc:Choice Requires="wps">
            <w:drawing>
              <wp:anchor distT="0" distB="0" distL="0" distR="0" simplePos="0" relativeHeight="251795968" behindDoc="1" locked="0" layoutInCell="1" allowOverlap="1" wp14:anchorId="48A64631" wp14:editId="6693F7E9">
                <wp:simplePos x="0" y="0"/>
                <wp:positionH relativeFrom="page">
                  <wp:posOffset>2056765</wp:posOffset>
                </wp:positionH>
                <wp:positionV relativeFrom="page">
                  <wp:posOffset>9697085</wp:posOffset>
                </wp:positionV>
                <wp:extent cx="4940300" cy="119380"/>
                <wp:effectExtent l="0" t="0" r="12700" b="13970"/>
                <wp:wrapSquare wrapText="bothSides"/>
                <wp:docPr id="655" name="Cuadro de texto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0" cy="119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F37C0" w14:textId="77777777" w:rsidR="001C2EB7" w:rsidRDefault="001C2EB7" w:rsidP="004220B7">
                            <w:pPr>
                              <w:spacing w:line="194" w:lineRule="auto"/>
                              <w:ind w:right="720"/>
                              <w:jc w:val="right"/>
                              <w:rPr>
                                <w:rFonts w:ascii="Verdana" w:hAnsi="Verdana"/>
                                <w:color w:val="000000"/>
                                <w:sz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A64631" id="Cuadro de texto 655" o:spid="_x0000_s1036" type="#_x0000_t202" style="position:absolute;left:0;text-align:left;margin-left:161.95pt;margin-top:763.55pt;width:389pt;height:9.4pt;z-index:-2515205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" filled="f" stroked="f">
                <v:textbox inset="0,0,0,0">
                  <w:txbxContent>
                    <w:p w14:paraId="37FF37C0" w14:textId="77777777" w:rsidR="001C2EB7" w:rsidRDefault="001C2EB7" w:rsidP="004220B7">
                      <w:pPr>
                        <w:spacing w:line="194" w:lineRule="auto"/>
                        <w:ind w:right="720"/>
                        <w:jc w:val="right"/>
                        <w:rPr>
                          <w:rFonts w:ascii="Verdana" w:hAnsi="Verdana"/>
                          <w:color w:val="000000"/>
                          <w:sz w:val="19"/>
                        </w:rPr>
                      </w:pPr>
                    </w:p>
                  </w:txbxContent>
                </v:textbox>
                <w10:wrap type="square" anchorx="page" anchory="page"/>
              </v:shape>
            </w:pict>
          </mc:Fallback>
        </mc:AlternateContent>
      </w:r>
      <w:r w:rsidR="004220B7" w:rsidRPr="007923C2">
        <w:rPr>
          <w:rFonts w:ascii="Arial" w:hAnsi="Arial" w:cs="Arial"/>
          <w:spacing w:val="7"/>
          <w:sz w:val="22"/>
          <w:szCs w:val="22"/>
        </w:rPr>
        <w:t xml:space="preserve">Respecto al empleo, cabría señalar que en cada uno de los próximos 13 años ingresarán al mercado de trabajo alrededor de un millón de mexicanos más; </w:t>
      </w:r>
      <w:r w:rsidR="004220B7" w:rsidRPr="007923C2">
        <w:rPr>
          <w:rFonts w:ascii="Arial" w:hAnsi="Arial" w:cs="Arial"/>
          <w:spacing w:val="4"/>
          <w:sz w:val="22"/>
          <w:szCs w:val="22"/>
        </w:rPr>
        <w:t xml:space="preserve">asi el número de empleos que la economía debiera generar adicionalmente a </w:t>
      </w:r>
      <w:r w:rsidR="004220B7" w:rsidRPr="007923C2">
        <w:rPr>
          <w:rFonts w:ascii="Arial" w:hAnsi="Arial" w:cs="Arial"/>
          <w:spacing w:val="2"/>
          <w:sz w:val="22"/>
          <w:szCs w:val="22"/>
        </w:rPr>
        <w:t>partir de 1998 para satisfa</w:t>
      </w:r>
      <w:r w:rsidR="00320857">
        <w:rPr>
          <w:rFonts w:ascii="Arial" w:hAnsi="Arial" w:cs="Arial"/>
          <w:spacing w:val="2"/>
          <w:sz w:val="22"/>
          <w:szCs w:val="22"/>
        </w:rPr>
        <w:t>cer la demanda de largo plazo.</w:t>
      </w:r>
    </w:p>
    <w:p w14:paraId="3DEB6483" w14:textId="77777777" w:rsidR="00235053" w:rsidRDefault="00235053" w:rsidP="004220B7">
      <w:pPr>
        <w:jc w:val="both"/>
        <w:rPr>
          <w:rFonts w:ascii="Arial" w:hAnsi="Arial" w:cs="Arial"/>
          <w:b/>
          <w:w w:val="104"/>
          <w:sz w:val="22"/>
          <w:szCs w:val="22"/>
        </w:rPr>
      </w:pPr>
    </w:p>
    <w:p w14:paraId="79E8FE3F" w14:textId="77777777" w:rsidR="004220B7" w:rsidRPr="007923C2" w:rsidRDefault="004220B7" w:rsidP="004220B7">
      <w:pPr>
        <w:jc w:val="both"/>
        <w:rPr>
          <w:rFonts w:ascii="Arial" w:hAnsi="Arial" w:cs="Arial"/>
          <w:b/>
          <w:w w:val="104"/>
          <w:sz w:val="22"/>
          <w:szCs w:val="22"/>
        </w:rPr>
      </w:pPr>
      <w:r w:rsidRPr="007923C2">
        <w:rPr>
          <w:rFonts w:ascii="Arial" w:hAnsi="Arial" w:cs="Arial"/>
          <w:b/>
          <w:w w:val="104"/>
          <w:sz w:val="22"/>
          <w:szCs w:val="22"/>
        </w:rPr>
        <w:lastRenderedPageBreak/>
        <w:t>DEMANDA DE LA CARRERA DE INGENIERO EN AGROBIOLOGIA</w:t>
      </w:r>
    </w:p>
    <w:p w14:paraId="7A6EB404" w14:textId="77777777" w:rsidR="007078E9" w:rsidRDefault="004220B7" w:rsidP="004220B7">
      <w:pPr>
        <w:jc w:val="both"/>
        <w:rPr>
          <w:rFonts w:ascii="Arial" w:hAnsi="Arial" w:cs="Arial"/>
          <w:sz w:val="22"/>
          <w:szCs w:val="22"/>
        </w:rPr>
      </w:pPr>
      <w:r w:rsidRPr="007923C2">
        <w:rPr>
          <w:rFonts w:ascii="Arial" w:hAnsi="Arial" w:cs="Arial"/>
          <w:sz w:val="22"/>
          <w:szCs w:val="22"/>
        </w:rPr>
        <w:t>La educación media superior, la educación superior y la formación para el trabajo deben ser fortalecidas para contribuir al desarrollo de México. En estos tipos de educación se forma a los jóvenes en las competencias que se requieren para el avance democrático, social y económico del país. Son fundamentales para construir una nación más próspera y socialmente incluyente, así como para lograr una inserción ventajosa en la economía basada en el conocimiento.</w:t>
      </w:r>
    </w:p>
    <w:p w14:paraId="03FCE47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Tanto en la educación media superior como en la superior, cada estudiante debe lograr un sólido dominio de las disciplinas y valores que deben caracterizar a las distintas profesiones. Igualmente importante es que los jóvenes se preparen para poner sus capacidades a prueba en el mundo del trabajo. Los jóvenes estudian con la expectativa de involucrarse en condiciones más favorables en el desarrollo nacional.</w:t>
      </w:r>
    </w:p>
    <w:p w14:paraId="17D6133C"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Un importante proceso de cambio se ha dado mediante la Reforma Integral de la Educación Media Superior (RIEMS). Como parte de este proceso se estableció el Marco Curricular Común (MCC), en el cual se precisa un conjunto de características que definen el perfil de egreso. La RIEMS también fijó los atributos que una escuela debe reunir para producir egresados que cumplan con ese perfil. </w:t>
      </w:r>
    </w:p>
    <w:p w14:paraId="0AACA26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Las transformaciones educativas exigen tiempo y perseverancia para asegurar la calidad de los aprendizajes. Por ello será necesario dedicar esfuerzos para la consolidación del SNB y el fortalecimiento de la profesionalización docente y directiva. Para tal fin, habrá que revisar el sistema de incentivos para favorecer el ingreso y permanencia de planteles en el SNB, mejorar los indicadores para apoyar la toma de decisiones, impulsar la universalización del MCC en los planteles federales, estatales y particulares de la educación media superior y desarrollar programas de formación y actualización de directores para la gestión escolar. Asimismo habrá que superar los problemas que limitan la sana convivencia en las escuelas, promover la certificación de competencias relevantes y reducir el número de planteles que tengan una alta concentración de estudiantes de bajo rendimiento escolar. Todo ello en el marco de una revisión permanente del modelo educativo para garantizar su pertinencia y eficacia.</w:t>
      </w:r>
    </w:p>
    <w:p w14:paraId="1BDE95A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El sector educativo debe contribuir a la formación de esas capacidades mediante el crecimiento de la oferta de posgrados, particularmente de aquellos que pertenecen al Programa Nacional de Posgrados de Calidad (PNPC). Igualmente habrá que fortalecer las capacidades de investigación en las instituciones de educación superior en áreas prioritarias del país y asegurar que las inversiones se concentren en donde existan condiciones más favorables para el desarrollo científico y tecnológico.</w:t>
      </w:r>
    </w:p>
    <w:p w14:paraId="451FA11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Para impulsar la pertinencia de los programas de posgrado y de investigación será preciso promover, conjuntamente con el CONACYT, las redes del conocimiento en las que participen las instituciones de educación superior, y apoyarlas para que su organización interna favorezca la vinculación con los requerimientos productivos y sociales.</w:t>
      </w:r>
    </w:p>
    <w:p w14:paraId="6973305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El país ha hecho distintos esfuerzos por dotar de pertinencia a la educación, pero aún falta mucho para acercarla a los requerimientos sociales y económicos. El PND ofrece condiciones favorables para avanzar en esa dirección. La importancia que se da a la productividad como eje para el desarrollo económico debe facilitar una mayor vinculación de las escuelas con las necesidades sociales y productivas. Una mayor diversidad de la oferta educativa y nuevos modelos de cooperación para </w:t>
      </w:r>
      <w:r w:rsidRPr="007923C2">
        <w:rPr>
          <w:rFonts w:ascii="Arial" w:hAnsi="Arial" w:cs="Arial"/>
          <w:sz w:val="22"/>
          <w:szCs w:val="22"/>
        </w:rPr>
        <w:lastRenderedPageBreak/>
        <w:t>facilitar los aprendizajes, las estancias y la empleabilidad deberán contribuir a dichos propósitos. Las posibilidades de este tipo de cooperación son mayores en los sectores altamente productivos que requieren de un mayor uso y desarrollo del conocimiento. Este esfuerzo debe ser complementado con estudios del mercado laboral y de seguimiento de egresados, nuevas métricas para medir el alcance de la vinculación y nuevas formas de reconocimiento de las competencias adquiridas.</w:t>
      </w:r>
    </w:p>
    <w:p w14:paraId="03125CA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la educación media superior, el marco de calificaciones deberá contribuir a corregir el desajuste entre la oferta educativa en el bachillerato y los requerimientos del mercado laboral. De acuerdo a estimaciones elaboradas con base en los resultados de la Encuesta Nacional de Ocupación y Empleo del INEGI (III y IV trimestres de 2012 y I de 2013), en promedio, seis de cada diez egresados de la educación media superior señalan que para ingresar al mercado laboral no les fue necesario contar con el bachillerato, dado que se ubicaron en ocupaciones que les exigían competencias elementales; de igual manera, cuatro de cada diez mencionaron que las habilidades adquiridas en este nivel educativo les sirvieron poco o nada en su primer empleo. Por ello, es necesario avanzar en la certificación de competencias laborales y robustecer los esquemas de vinculación con los sectores público, privado y social.</w:t>
      </w:r>
    </w:p>
    <w:p w14:paraId="72799E2D"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Las tecnologías de la información y la comunicación han venido implantándose en la educación media superior y superior, aunque el avance en su uso es todavía insuficiente. La educación podrá obtener un amplio beneficio al impulsar el desarrollo de la oferta de educación en línea. No solamente permitirá ampliar la oferta y diversificar los modelos de atención educativa, sino que será de enorme valor para la generación de capacidades propias de la sociedad del conocimiento, especialmente las requeridas para procesar la información de manera efectiva y extraer lo que es útil o importante. Ello exigirá de inversiones en plataformas tecnológicas, trabajo con las comunidades de docentes, revisar la normativa pertinente, promover la investigación sobre el uso de las tecnologías y la evaluación de resultados.</w:t>
      </w:r>
    </w:p>
    <w:p w14:paraId="3EB61BF0" w14:textId="77777777" w:rsidR="004220B7" w:rsidRDefault="004220B7" w:rsidP="004220B7">
      <w:pPr>
        <w:jc w:val="both"/>
        <w:rPr>
          <w:rFonts w:ascii="Arial" w:hAnsi="Arial" w:cs="Arial"/>
          <w:sz w:val="22"/>
          <w:szCs w:val="22"/>
        </w:rPr>
      </w:pPr>
      <w:r w:rsidRPr="007923C2">
        <w:rPr>
          <w:rFonts w:ascii="Arial" w:hAnsi="Arial" w:cs="Arial"/>
          <w:sz w:val="22"/>
          <w:szCs w:val="22"/>
        </w:rPr>
        <w:t> En la tarea de fortalecer la educación media superior, la educación superior y la formación para el trabajo no puede ignorarse el serio problema de infraestructura física y de equipamiento. En la EMS no hay estándares bien definidos para infraestructura, equipamiento y conectividad. Las carencias son menos severas en la educación superior, pero no por ello son menores. Por estos motivos resulta necesario llevar a cabo inversiones adicionales para mejorar las escuelas.</w:t>
      </w:r>
    </w:p>
    <w:p w14:paraId="6B5A8CD8" w14:textId="77777777" w:rsidR="004220B7" w:rsidRPr="007923C2" w:rsidRDefault="004220B7" w:rsidP="004220B7">
      <w:pPr>
        <w:jc w:val="both"/>
        <w:rPr>
          <w:rFonts w:ascii="Arial" w:hAnsi="Arial" w:cs="Arial"/>
          <w:sz w:val="22"/>
          <w:szCs w:val="22"/>
        </w:rPr>
      </w:pPr>
      <w:r w:rsidRPr="007923C2">
        <w:rPr>
          <w:rFonts w:ascii="Arial" w:hAnsi="Arial" w:cs="Arial"/>
          <w:b/>
          <w:bCs/>
          <w:sz w:val="22"/>
          <w:szCs w:val="22"/>
        </w:rPr>
        <w:t>Capital humano para un México con Educación de Calidad</w:t>
      </w:r>
    </w:p>
    <w:p w14:paraId="0BDA1F5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Un México con Educación de Calidad requiere robustecer el capital humano y formar mujeres y hombres comprometidos con una sociedad más justa y más próspera. El Sistema Educativo Mexicano debe fortalecerse para estar a la altura de las necesidades que un mundo globalizado demanda. Los resultados de las pruebas estandarizadas de logro académico muestran avances que, sin embargo, no son suficientes. La falta de educación es</w:t>
      </w:r>
      <w:r w:rsidRPr="007923C2">
        <w:rPr>
          <w:rFonts w:ascii="Arial" w:hAnsi="Arial" w:cs="Arial"/>
          <w:i/>
          <w:iCs/>
          <w:sz w:val="22"/>
          <w:szCs w:val="22"/>
        </w:rPr>
        <w:t> </w:t>
      </w:r>
      <w:r w:rsidRPr="007923C2">
        <w:rPr>
          <w:rFonts w:ascii="Arial" w:hAnsi="Arial" w:cs="Arial"/>
          <w:sz w:val="22"/>
          <w:szCs w:val="22"/>
        </w:rPr>
        <w:t>una</w:t>
      </w:r>
      <w:r w:rsidRPr="007923C2">
        <w:rPr>
          <w:rFonts w:ascii="Arial" w:hAnsi="Arial" w:cs="Arial"/>
          <w:i/>
          <w:iCs/>
          <w:sz w:val="22"/>
          <w:szCs w:val="22"/>
        </w:rPr>
        <w:t> </w:t>
      </w:r>
      <w:r w:rsidRPr="007923C2">
        <w:rPr>
          <w:rFonts w:ascii="Arial" w:hAnsi="Arial" w:cs="Arial"/>
          <w:sz w:val="22"/>
          <w:szCs w:val="22"/>
        </w:rPr>
        <w:t>barrera</w:t>
      </w:r>
      <w:r w:rsidRPr="007923C2">
        <w:rPr>
          <w:rFonts w:ascii="Arial" w:hAnsi="Arial" w:cs="Arial"/>
          <w:i/>
          <w:iCs/>
          <w:sz w:val="22"/>
          <w:szCs w:val="22"/>
        </w:rPr>
        <w:t> </w:t>
      </w: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desarrollo</w:t>
      </w:r>
      <w:r w:rsidRPr="007923C2">
        <w:rPr>
          <w:rFonts w:ascii="Arial" w:hAnsi="Arial" w:cs="Arial"/>
          <w:i/>
          <w:iCs/>
          <w:sz w:val="22"/>
          <w:szCs w:val="22"/>
        </w:rPr>
        <w:t> </w:t>
      </w:r>
      <w:r w:rsidRPr="007923C2">
        <w:rPr>
          <w:rFonts w:ascii="Arial" w:hAnsi="Arial" w:cs="Arial"/>
          <w:sz w:val="22"/>
          <w:szCs w:val="22"/>
        </w:rPr>
        <w:t>productivo</w:t>
      </w:r>
      <w:r w:rsidRPr="007923C2">
        <w:rPr>
          <w:rFonts w:ascii="Arial" w:hAnsi="Arial" w:cs="Arial"/>
          <w:i/>
          <w:iCs/>
          <w:sz w:val="22"/>
          <w:szCs w:val="22"/>
        </w:rPr>
        <w:t> </w:t>
      </w:r>
      <w:r w:rsidRPr="007923C2">
        <w:rPr>
          <w:rFonts w:ascii="Arial" w:hAnsi="Arial" w:cs="Arial"/>
          <w:sz w:val="22"/>
          <w:szCs w:val="22"/>
        </w:rPr>
        <w:t>del país ya que limita la capacidad de la población para comunicarse de una manera eficiente, trabajar en equipo, resolver problemas, usar efectivamente las tecnologías de la información para adoptar procesos y tecnologías superiores, así como para comprender el entorno en el que vivimos y poder innovar.</w:t>
      </w:r>
    </w:p>
    <w:p w14:paraId="49F0798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A diferencia de otras generaciones, los jóvenes tienen a la mano el acceso a una gran cantidad de</w:t>
      </w:r>
      <w:r w:rsidRPr="007923C2">
        <w:rPr>
          <w:rFonts w:ascii="Arial" w:hAnsi="Arial" w:cs="Arial"/>
          <w:i/>
          <w:iCs/>
          <w:sz w:val="22"/>
          <w:szCs w:val="22"/>
        </w:rPr>
        <w:t> </w:t>
      </w:r>
      <w:r w:rsidRPr="007923C2">
        <w:rPr>
          <w:rFonts w:ascii="Arial" w:hAnsi="Arial" w:cs="Arial"/>
          <w:sz w:val="22"/>
          <w:szCs w:val="22"/>
        </w:rPr>
        <w:t>información.</w:t>
      </w:r>
      <w:r w:rsidRPr="007923C2">
        <w:rPr>
          <w:rFonts w:ascii="Arial" w:hAnsi="Arial" w:cs="Arial"/>
          <w:i/>
          <w:iCs/>
          <w:sz w:val="22"/>
          <w:szCs w:val="22"/>
        </w:rPr>
        <w:t> </w:t>
      </w:r>
      <w:r w:rsidRPr="007923C2">
        <w:rPr>
          <w:rFonts w:ascii="Arial" w:hAnsi="Arial" w:cs="Arial"/>
          <w:sz w:val="22"/>
          <w:szCs w:val="22"/>
        </w:rPr>
        <w:t>Sin</w:t>
      </w:r>
      <w:r w:rsidRPr="007923C2">
        <w:rPr>
          <w:rFonts w:ascii="Arial" w:hAnsi="Arial" w:cs="Arial"/>
          <w:i/>
          <w:iCs/>
          <w:sz w:val="22"/>
          <w:szCs w:val="22"/>
        </w:rPr>
        <w:t> </w:t>
      </w:r>
      <w:r w:rsidRPr="007923C2">
        <w:rPr>
          <w:rFonts w:ascii="Arial" w:hAnsi="Arial" w:cs="Arial"/>
          <w:sz w:val="22"/>
          <w:szCs w:val="22"/>
        </w:rPr>
        <w:t>embargo,</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ocasiones carecen de las herramientas o de las habilidades para</w:t>
      </w:r>
      <w:r w:rsidRPr="007923C2">
        <w:rPr>
          <w:rFonts w:ascii="Arial" w:hAnsi="Arial" w:cs="Arial"/>
          <w:i/>
          <w:iCs/>
          <w:sz w:val="22"/>
          <w:szCs w:val="22"/>
        </w:rPr>
        <w:t> </w:t>
      </w:r>
      <w:r w:rsidRPr="007923C2">
        <w:rPr>
          <w:rFonts w:ascii="Arial" w:hAnsi="Arial" w:cs="Arial"/>
          <w:sz w:val="22"/>
          <w:szCs w:val="22"/>
        </w:rPr>
        <w:t>procesarla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manera</w:t>
      </w:r>
      <w:r w:rsidRPr="007923C2">
        <w:rPr>
          <w:rFonts w:ascii="Arial" w:hAnsi="Arial" w:cs="Arial"/>
          <w:i/>
          <w:iCs/>
          <w:sz w:val="22"/>
          <w:szCs w:val="22"/>
        </w:rPr>
        <w:t> </w:t>
      </w:r>
      <w:r w:rsidRPr="007923C2">
        <w:rPr>
          <w:rFonts w:ascii="Arial" w:hAnsi="Arial" w:cs="Arial"/>
          <w:sz w:val="22"/>
          <w:szCs w:val="22"/>
        </w:rPr>
        <w:t>efectiva</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 xml:space="preserve">extraer lo que será útil o importante. Nuestros jóvenes </w:t>
      </w:r>
      <w:r w:rsidRPr="007923C2">
        <w:rPr>
          <w:rFonts w:ascii="Arial" w:hAnsi="Arial" w:cs="Arial"/>
          <w:sz w:val="22"/>
          <w:szCs w:val="22"/>
        </w:rPr>
        <w:lastRenderedPageBreak/>
        <w:t>requieren</w:t>
      </w:r>
      <w:r w:rsidRPr="007923C2">
        <w:rPr>
          <w:rFonts w:ascii="Arial" w:hAnsi="Arial" w:cs="Arial"/>
          <w:i/>
          <w:iCs/>
          <w:sz w:val="22"/>
          <w:szCs w:val="22"/>
        </w:rPr>
        <w:t> </w:t>
      </w:r>
      <w:r w:rsidRPr="007923C2">
        <w:rPr>
          <w:rFonts w:ascii="Arial" w:hAnsi="Arial" w:cs="Arial"/>
          <w:sz w:val="22"/>
          <w:szCs w:val="22"/>
        </w:rPr>
        <w:t>un</w:t>
      </w:r>
      <w:r w:rsidRPr="007923C2">
        <w:rPr>
          <w:rFonts w:ascii="Arial" w:hAnsi="Arial" w:cs="Arial"/>
          <w:i/>
          <w:iCs/>
          <w:sz w:val="22"/>
          <w:szCs w:val="22"/>
        </w:rPr>
        <w:t> </w:t>
      </w:r>
      <w:r w:rsidRPr="007923C2">
        <w:rPr>
          <w:rFonts w:ascii="Arial" w:hAnsi="Arial" w:cs="Arial"/>
          <w:sz w:val="22"/>
          <w:szCs w:val="22"/>
        </w:rPr>
        <w:t>camino</w:t>
      </w:r>
      <w:r w:rsidRPr="007923C2">
        <w:rPr>
          <w:rFonts w:ascii="Arial" w:hAnsi="Arial" w:cs="Arial"/>
          <w:i/>
          <w:iCs/>
          <w:sz w:val="22"/>
          <w:szCs w:val="22"/>
        </w:rPr>
        <w:t> </w:t>
      </w:r>
      <w:r w:rsidRPr="007923C2">
        <w:rPr>
          <w:rFonts w:ascii="Arial" w:hAnsi="Arial" w:cs="Arial"/>
          <w:sz w:val="22"/>
          <w:szCs w:val="22"/>
        </w:rPr>
        <w:t>claro</w:t>
      </w:r>
      <w:r w:rsidRPr="007923C2">
        <w:rPr>
          <w:rFonts w:ascii="Arial" w:hAnsi="Arial" w:cs="Arial"/>
          <w:i/>
          <w:iCs/>
          <w:sz w:val="22"/>
          <w:szCs w:val="22"/>
        </w:rPr>
        <w:t> </w:t>
      </w: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insertarse</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la vida</w:t>
      </w:r>
      <w:r w:rsidRPr="007923C2">
        <w:rPr>
          <w:rFonts w:ascii="Arial" w:hAnsi="Arial" w:cs="Arial"/>
          <w:i/>
          <w:iCs/>
          <w:sz w:val="22"/>
          <w:szCs w:val="22"/>
        </w:rPr>
        <w:t> </w:t>
      </w:r>
      <w:r w:rsidRPr="007923C2">
        <w:rPr>
          <w:rFonts w:ascii="Arial" w:hAnsi="Arial" w:cs="Arial"/>
          <w:sz w:val="22"/>
          <w:szCs w:val="22"/>
        </w:rPr>
        <w:t>productiva.</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mexicanos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hoy</w:t>
      </w:r>
      <w:r w:rsidRPr="007923C2">
        <w:rPr>
          <w:rFonts w:ascii="Arial" w:hAnsi="Arial" w:cs="Arial"/>
          <w:i/>
          <w:iCs/>
          <w:sz w:val="22"/>
          <w:szCs w:val="22"/>
        </w:rPr>
        <w:t> </w:t>
      </w:r>
      <w:r w:rsidRPr="007923C2">
        <w:rPr>
          <w:rFonts w:ascii="Arial" w:hAnsi="Arial" w:cs="Arial"/>
          <w:sz w:val="22"/>
          <w:szCs w:val="22"/>
        </w:rPr>
        <w:t>deberán responder a un nuevo paradigma donde las oportunidades de trabajo no sólo se buscan sino que en ocasiones deben inventarse. La dinámica de avance tecnológico y la globalización demandan jóvenes capaces de innovar. Ante esta coyuntura, la educación deberá estar en estrecha vinculación con la investigación y con la vida productiva del país.</w:t>
      </w:r>
    </w:p>
    <w:p w14:paraId="29725F92" w14:textId="77777777" w:rsidR="004220B7" w:rsidRDefault="004220B7" w:rsidP="004220B7">
      <w:pPr>
        <w:jc w:val="both"/>
        <w:rPr>
          <w:rFonts w:ascii="Arial" w:hAnsi="Arial" w:cs="Arial"/>
          <w:sz w:val="22"/>
          <w:szCs w:val="22"/>
        </w:rPr>
      </w:pPr>
      <w:r w:rsidRPr="007923C2">
        <w:rPr>
          <w:rFonts w:ascii="Arial" w:hAnsi="Arial" w:cs="Arial"/>
          <w:sz w:val="22"/>
          <w:szCs w:val="22"/>
        </w:rPr>
        <w:t>La nación en su conjunto debe invertir en actividades y servicios que generen valor agregado de una forma sostenible. En este sentido, se debe incrementar el nivel de inversión pública y privada en ciencia y tecnología, así como su efectividad. El reto es hacer de México una dinámica y fortalecida Sociedad del Conocimiento.</w:t>
      </w:r>
    </w:p>
    <w:p w14:paraId="79DEF7D7" w14:textId="77777777" w:rsidR="004220B7" w:rsidRPr="007923C2" w:rsidRDefault="004220B7" w:rsidP="004220B7">
      <w:pPr>
        <w:jc w:val="both"/>
        <w:rPr>
          <w:rFonts w:ascii="Arial" w:hAnsi="Arial" w:cs="Arial"/>
          <w:sz w:val="22"/>
          <w:szCs w:val="22"/>
        </w:rPr>
      </w:pPr>
      <w:r w:rsidRPr="007923C2">
        <w:rPr>
          <w:rFonts w:ascii="Arial" w:hAnsi="Arial" w:cs="Arial"/>
          <w:b/>
          <w:bCs/>
          <w:sz w:val="22"/>
          <w:szCs w:val="22"/>
        </w:rPr>
        <w:t>Igualdad de oportunidades para un México Próspero</w:t>
      </w:r>
    </w:p>
    <w:p w14:paraId="79D6E01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factores geográficos son relevantes para el desarrollo de una nación, ya que se pueden traducir en una barrera para la difusión de la productividad, así como para el flujo de bienes y servicios entre regiones. Las comunidades aisladas geográficamente en México son también aquellas con</w:t>
      </w:r>
      <w:r w:rsidRPr="007923C2">
        <w:rPr>
          <w:rFonts w:ascii="Arial" w:hAnsi="Arial" w:cs="Arial"/>
          <w:i/>
          <w:iCs/>
          <w:sz w:val="22"/>
          <w:szCs w:val="22"/>
        </w:rPr>
        <w:t> </w:t>
      </w:r>
      <w:r w:rsidRPr="007923C2">
        <w:rPr>
          <w:rFonts w:ascii="Arial" w:hAnsi="Arial" w:cs="Arial"/>
          <w:sz w:val="22"/>
          <w:szCs w:val="22"/>
        </w:rPr>
        <w:t>un</w:t>
      </w:r>
      <w:r w:rsidRPr="007923C2">
        <w:rPr>
          <w:rFonts w:ascii="Arial" w:hAnsi="Arial" w:cs="Arial"/>
          <w:i/>
          <w:iCs/>
          <w:sz w:val="22"/>
          <w:szCs w:val="22"/>
        </w:rPr>
        <w:t> </w:t>
      </w:r>
      <w:r w:rsidRPr="007923C2">
        <w:rPr>
          <w:rFonts w:ascii="Arial" w:hAnsi="Arial" w:cs="Arial"/>
          <w:sz w:val="22"/>
          <w:szCs w:val="22"/>
        </w:rPr>
        <w:t>mayor índice de marginación y pobreza. En el mismo sentido, en ocasiones el crecimiento desordenado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algunas</w:t>
      </w:r>
      <w:r w:rsidRPr="007923C2">
        <w:rPr>
          <w:rFonts w:ascii="Arial" w:hAnsi="Arial" w:cs="Arial"/>
          <w:i/>
          <w:iCs/>
          <w:sz w:val="22"/>
          <w:szCs w:val="22"/>
        </w:rPr>
        <w:t> </w:t>
      </w:r>
      <w:r w:rsidRPr="007923C2">
        <w:rPr>
          <w:rFonts w:ascii="Arial" w:hAnsi="Arial" w:cs="Arial"/>
          <w:sz w:val="22"/>
          <w:szCs w:val="22"/>
        </w:rPr>
        <w:t>zonas</w:t>
      </w:r>
      <w:r w:rsidRPr="007923C2">
        <w:rPr>
          <w:rFonts w:ascii="Arial" w:hAnsi="Arial" w:cs="Arial"/>
          <w:i/>
          <w:iCs/>
          <w:sz w:val="22"/>
          <w:szCs w:val="22"/>
        </w:rPr>
        <w:t> </w:t>
      </w:r>
      <w:r w:rsidRPr="007923C2">
        <w:rPr>
          <w:rFonts w:ascii="Arial" w:hAnsi="Arial" w:cs="Arial"/>
          <w:sz w:val="22"/>
          <w:szCs w:val="22"/>
        </w:rPr>
        <w:t>metropolitanas en México se ha traducido en ciudades donde las distancias representan una barrera para el flujo de personas y bienes hacia los puestos de trabajo y mercados en los que se puede generar el mayor beneficio.</w:t>
      </w:r>
    </w:p>
    <w:p w14:paraId="4361108E"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Por otro lado, existen barreras regulatorias que impiden</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las</w:t>
      </w:r>
      <w:r w:rsidRPr="007923C2">
        <w:rPr>
          <w:rFonts w:ascii="Arial" w:hAnsi="Arial" w:cs="Arial"/>
          <w:i/>
          <w:iCs/>
          <w:sz w:val="22"/>
          <w:szCs w:val="22"/>
        </w:rPr>
        <w:t> </w:t>
      </w:r>
      <w:r w:rsidRPr="007923C2">
        <w:rPr>
          <w:rFonts w:ascii="Arial" w:hAnsi="Arial" w:cs="Arial"/>
          <w:sz w:val="22"/>
          <w:szCs w:val="22"/>
        </w:rPr>
        <w:t>empresas</w:t>
      </w:r>
      <w:r w:rsidRPr="007923C2">
        <w:rPr>
          <w:rFonts w:ascii="Arial" w:hAnsi="Arial" w:cs="Arial"/>
          <w:i/>
          <w:iCs/>
          <w:sz w:val="22"/>
          <w:szCs w:val="22"/>
        </w:rPr>
        <w:t> </w:t>
      </w:r>
      <w:r w:rsidRPr="007923C2">
        <w:rPr>
          <w:rFonts w:ascii="Arial" w:hAnsi="Arial" w:cs="Arial"/>
          <w:sz w:val="22"/>
          <w:szCs w:val="22"/>
        </w:rPr>
        <w:t>más</w:t>
      </w:r>
      <w:r w:rsidRPr="007923C2">
        <w:rPr>
          <w:rFonts w:ascii="Arial" w:hAnsi="Arial" w:cs="Arial"/>
          <w:i/>
          <w:iCs/>
          <w:sz w:val="22"/>
          <w:szCs w:val="22"/>
        </w:rPr>
        <w:t> </w:t>
      </w:r>
      <w:r w:rsidRPr="007923C2">
        <w:rPr>
          <w:rFonts w:ascii="Arial" w:hAnsi="Arial" w:cs="Arial"/>
          <w:sz w:val="22"/>
          <w:szCs w:val="22"/>
        </w:rPr>
        <w:t>productivas</w:t>
      </w:r>
      <w:r w:rsidRPr="007923C2">
        <w:rPr>
          <w:rFonts w:ascii="Arial" w:hAnsi="Arial" w:cs="Arial"/>
          <w:i/>
          <w:iCs/>
          <w:sz w:val="22"/>
          <w:szCs w:val="22"/>
        </w:rPr>
        <w:t> </w:t>
      </w:r>
      <w:r w:rsidRPr="007923C2">
        <w:rPr>
          <w:rFonts w:ascii="Arial" w:hAnsi="Arial" w:cs="Arial"/>
          <w:sz w:val="22"/>
          <w:szCs w:val="22"/>
        </w:rPr>
        <w:t>crecer y ganar mercado sobre las menos productivas. Existen diversos sectores en la economía mexicana donde la falta de regulación apropiada o la falta de una adecuada implementación de la ley permiten que algunas empresas limiten la entrada a nuevos competidores. Lo anterior se traduce en un cobro excesivo por bienes y servicios, una escasa oferta de productos y en empresas con bajos incentivos a innovar e incrementar la calidad.</w:t>
      </w:r>
    </w:p>
    <w:p w14:paraId="7DC4E4D5"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México, las empresas e individuos deben tener pleno acceso a insumos estratégicos, tales como financiamiento, energía y las telecomunicaciones. Cuando existen problemas de acceso a estos insumos, con calidad y precios competitivos, se limita el desarrollo ya que se incrementan los costos de operación y se reduce la inversión en proyectos productivos.</w:t>
      </w:r>
    </w:p>
    <w:p w14:paraId="058BCA0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México requiere una nueva política de fomento económico de cara a los retos que se nos presentan en el siglo XXI. En el pasado, diversos países, incluido México, siguieron políticas industriales que tenían como objeto fortalecer el aparato productivo interno, sustituir importaciones y proteger a la industria nacional frente a la competencia. Sin embargo, con el paso del tiempo las políticas industriales acabaron por traducirse en una mayor intervención del Estado en el aparato productivo, una menor libertad y competencia, y un desplazamiento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iniciativa</w:t>
      </w:r>
      <w:r w:rsidRPr="007923C2">
        <w:rPr>
          <w:rFonts w:ascii="Arial" w:hAnsi="Arial" w:cs="Arial"/>
          <w:i/>
          <w:iCs/>
          <w:sz w:val="22"/>
          <w:szCs w:val="22"/>
        </w:rPr>
        <w:t> </w:t>
      </w:r>
      <w:r w:rsidRPr="007923C2">
        <w:rPr>
          <w:rFonts w:ascii="Arial" w:hAnsi="Arial" w:cs="Arial"/>
          <w:sz w:val="22"/>
          <w:szCs w:val="22"/>
        </w:rPr>
        <w:t>privada en la provisión de bienes y servicios en la economía. No obstante, diversas naciones han decidido apoyar ampliamente a sus sectores productivos incluido el industrial, no a través del otorgamiento de subsidios o por medio de la participación expresa del Estado en la actividad como se hacía antes, sino a partir del rol que juegan los gobiernos para eliminar obstáculos, fomentar la orientación hacia mercados o sectores estratégicos, la desregulación, y la coordinación entre diversos agentes y órdenes de gobierno.</w:t>
      </w:r>
    </w:p>
    <w:p w14:paraId="5ED116F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Hoy se precisa de una política moderna de fomento en sectores estratégicos. Lo anterior no significa un retorno a un Estado interventor o a las distorsiones que se generaron en el pasado. Implica transitar hacia un nuevo paradigma donde el gobierno provee los bienes públicos que se requieren para </w:t>
      </w:r>
      <w:r w:rsidRPr="007923C2">
        <w:rPr>
          <w:rFonts w:ascii="Arial" w:hAnsi="Arial" w:cs="Arial"/>
          <w:sz w:val="22"/>
          <w:szCs w:val="22"/>
        </w:rPr>
        <w:lastRenderedPageBreak/>
        <w:t xml:space="preserve">coordinar a los sectores productivos en trayectorias de amplia productividad y crecimiento (es el caso de la información para la identificación y adopción de tecnologías, o de la infraestructura necesaria). </w:t>
      </w:r>
    </w:p>
    <w:p w14:paraId="166B386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No se puede ignorar el papel fundamental que juegan los gobiernos en facilitar y generar las condiciones propicias para la vida económica de un país. La presente Administración es consciente de su responsabilidad de proveer un sólido Estado de Derecho, seguridad física, económica y jurídica a sus habitantes, así como los bienes y servicios públicos con los más altos estándares de calidad y precios que la sociedad demanda. Respetar y entender la delineación entre actividad privada y gobierno no significa eludir el papel fundamental que el Estado debe desempeñar en crear las condiciones propicias para que florezcan la creatividad y la innovación en la economía, y se fortalezcan las libertades y los derechos de los mexicanos.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esta</w:t>
      </w:r>
      <w:r w:rsidRPr="007923C2">
        <w:rPr>
          <w:rFonts w:ascii="Arial" w:hAnsi="Arial" w:cs="Arial"/>
          <w:i/>
          <w:iCs/>
          <w:sz w:val="22"/>
          <w:szCs w:val="22"/>
        </w:rPr>
        <w:t> </w:t>
      </w:r>
      <w:r w:rsidRPr="007923C2">
        <w:rPr>
          <w:rFonts w:ascii="Arial" w:hAnsi="Arial" w:cs="Arial"/>
          <w:sz w:val="22"/>
          <w:szCs w:val="22"/>
        </w:rPr>
        <w:t>forma,</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presente</w:t>
      </w:r>
      <w:r w:rsidRPr="007923C2">
        <w:rPr>
          <w:rFonts w:ascii="Arial" w:hAnsi="Arial" w:cs="Arial"/>
          <w:i/>
          <w:iCs/>
          <w:sz w:val="22"/>
          <w:szCs w:val="22"/>
        </w:rPr>
        <w:t> Plan Nacional de Desarrollo</w:t>
      </w:r>
      <w:r w:rsidRPr="007923C2">
        <w:rPr>
          <w:rFonts w:ascii="Arial" w:hAnsi="Arial" w:cs="Arial"/>
          <w:sz w:val="22"/>
          <w:szCs w:val="22"/>
        </w:rPr>
        <w:t> se establecen las estrategias y líneas de acción para una nueva y moderna política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fomento</w:t>
      </w:r>
      <w:r w:rsidRPr="007923C2">
        <w:rPr>
          <w:rFonts w:ascii="Arial" w:hAnsi="Arial" w:cs="Arial"/>
          <w:i/>
          <w:iCs/>
          <w:sz w:val="22"/>
          <w:szCs w:val="22"/>
        </w:rPr>
        <w:t> </w:t>
      </w:r>
      <w:r w:rsidRPr="007923C2">
        <w:rPr>
          <w:rFonts w:ascii="Arial" w:hAnsi="Arial" w:cs="Arial"/>
          <w:sz w:val="22"/>
          <w:szCs w:val="22"/>
        </w:rPr>
        <w:t>económico,</w:t>
      </w:r>
      <w:r w:rsidRPr="007923C2">
        <w:rPr>
          <w:rFonts w:ascii="Arial" w:hAnsi="Arial" w:cs="Arial"/>
          <w:i/>
          <w:iCs/>
          <w:sz w:val="22"/>
          <w:szCs w:val="22"/>
        </w:rPr>
        <w:t> </w:t>
      </w:r>
      <w:r w:rsidRPr="007923C2">
        <w:rPr>
          <w:rFonts w:ascii="Arial" w:hAnsi="Arial" w:cs="Arial"/>
          <w:sz w:val="22"/>
          <w:szCs w:val="22"/>
        </w:rPr>
        <w:t>particularmente en aquellos sectores estratégicos que tengan capacidad para generar empleo, que puedan competir exitosamente en el exterior, que democraticen la productividad entre sectores económicos y regiones geográficas, y que generen alto valor a través de su integración con cadenas productivas locales.</w:t>
      </w:r>
    </w:p>
    <w:p w14:paraId="2A5FC17A" w14:textId="77777777" w:rsidR="004220B7" w:rsidRPr="007923C2" w:rsidRDefault="004220B7" w:rsidP="004220B7">
      <w:pPr>
        <w:jc w:val="both"/>
        <w:rPr>
          <w:rFonts w:ascii="Arial" w:hAnsi="Arial" w:cs="Arial"/>
          <w:w w:val="124"/>
          <w:sz w:val="22"/>
          <w:szCs w:val="22"/>
        </w:rPr>
      </w:pPr>
      <w:r w:rsidRPr="007923C2">
        <w:rPr>
          <w:rFonts w:ascii="Arial" w:hAnsi="Arial" w:cs="Arial"/>
          <w:w w:val="122"/>
          <w:sz w:val="22"/>
          <w:szCs w:val="22"/>
        </w:rPr>
        <w:t xml:space="preserve">La formación de Ingenieros en agrobiologia reviste en la actualidad una de la </w:t>
      </w:r>
      <w:r w:rsidRPr="007923C2">
        <w:rPr>
          <w:rFonts w:ascii="Arial" w:hAnsi="Arial" w:cs="Arial"/>
          <w:w w:val="116"/>
          <w:sz w:val="22"/>
          <w:szCs w:val="22"/>
        </w:rPr>
        <w:t xml:space="preserve">carreras con mayor potencial de desarrollo en las Ciencias Naturales, Al egresado </w:t>
      </w:r>
      <w:r w:rsidRPr="007923C2">
        <w:rPr>
          <w:rFonts w:ascii="Arial" w:hAnsi="Arial" w:cs="Arial"/>
          <w:w w:val="118"/>
          <w:sz w:val="22"/>
          <w:szCs w:val="22"/>
        </w:rPr>
        <w:t>de nuestra Universidad se le prepara con sólidas bases académicas, científicas y so</w:t>
      </w:r>
      <w:r w:rsidRPr="007923C2">
        <w:rPr>
          <w:rFonts w:ascii="Arial" w:hAnsi="Arial" w:cs="Arial"/>
          <w:w w:val="125"/>
          <w:sz w:val="22"/>
          <w:szCs w:val="22"/>
        </w:rPr>
        <w:t xml:space="preserve">ciales para hacer frente a los retos nuevos que enfrenta la sociedad en el </w:t>
      </w:r>
      <w:r w:rsidRPr="007923C2">
        <w:rPr>
          <w:rFonts w:ascii="Arial" w:hAnsi="Arial" w:cs="Arial"/>
          <w:w w:val="117"/>
          <w:sz w:val="22"/>
          <w:szCs w:val="22"/>
        </w:rPr>
        <w:t xml:space="preserve">manejo, desarrollo, conservación y el uso de los recursos naturales. La carrera de </w:t>
      </w:r>
      <w:r w:rsidRPr="007923C2">
        <w:rPr>
          <w:rFonts w:ascii="Arial" w:hAnsi="Arial" w:cs="Arial"/>
          <w:w w:val="119"/>
          <w:sz w:val="22"/>
          <w:szCs w:val="22"/>
        </w:rPr>
        <w:t xml:space="preserve">Ingeniero en agrobiologia es una de las más versátiles, pues los egresados están </w:t>
      </w:r>
      <w:r w:rsidRPr="007923C2">
        <w:rPr>
          <w:rFonts w:ascii="Arial" w:hAnsi="Arial" w:cs="Arial"/>
          <w:w w:val="116"/>
          <w:sz w:val="22"/>
          <w:szCs w:val="22"/>
        </w:rPr>
        <w:t>capacitados par</w:t>
      </w:r>
      <w:r w:rsidR="007E300C" w:rsidRPr="007923C2">
        <w:rPr>
          <w:rFonts w:ascii="Arial" w:hAnsi="Arial" w:cs="Arial"/>
          <w:w w:val="116"/>
          <w:sz w:val="22"/>
          <w:szCs w:val="22"/>
        </w:rPr>
        <w:t>a</w:t>
      </w:r>
      <w:r w:rsidRPr="007923C2">
        <w:rPr>
          <w:rFonts w:ascii="Arial" w:hAnsi="Arial" w:cs="Arial"/>
          <w:w w:val="116"/>
          <w:sz w:val="22"/>
          <w:szCs w:val="22"/>
        </w:rPr>
        <w:t xml:space="preserve"> resolver problemas referentes al entorno ambiental, no solo en el </w:t>
      </w:r>
      <w:r w:rsidRPr="007923C2">
        <w:rPr>
          <w:rFonts w:ascii="Arial" w:hAnsi="Arial" w:cs="Arial"/>
          <w:w w:val="115"/>
          <w:sz w:val="22"/>
          <w:szCs w:val="22"/>
        </w:rPr>
        <w:t xml:space="preserve">aspecto de protección, sino también de uso y manejo de los ecosistemas </w:t>
      </w:r>
      <w:r w:rsidRPr="007923C2">
        <w:rPr>
          <w:rFonts w:ascii="Arial" w:hAnsi="Arial" w:cs="Arial"/>
          <w:w w:val="119"/>
          <w:sz w:val="22"/>
          <w:szCs w:val="22"/>
        </w:rPr>
        <w:t>forestales, matorrales,</w:t>
      </w:r>
      <w:r w:rsidRPr="007923C2">
        <w:rPr>
          <w:rFonts w:ascii="Arial" w:hAnsi="Arial" w:cs="Arial"/>
          <w:sz w:val="22"/>
          <w:szCs w:val="22"/>
        </w:rPr>
        <w:tab/>
      </w:r>
      <w:r w:rsidRPr="007923C2">
        <w:rPr>
          <w:rFonts w:ascii="Arial" w:hAnsi="Arial" w:cs="Arial"/>
          <w:w w:val="119"/>
          <w:sz w:val="22"/>
          <w:szCs w:val="22"/>
        </w:rPr>
        <w:t xml:space="preserve">pastizales,praderas,   tecnologia   de   la   madera </w:t>
      </w:r>
      <w:r w:rsidRPr="007923C2">
        <w:rPr>
          <w:rFonts w:ascii="Arial" w:hAnsi="Arial" w:cs="Arial"/>
          <w:w w:val="122"/>
          <w:sz w:val="22"/>
          <w:szCs w:val="22"/>
        </w:rPr>
        <w:t xml:space="preserve">productividad, contaminación etc.. Sus fuertes bases científicas y técnicas nos </w:t>
      </w:r>
      <w:r w:rsidRPr="007923C2">
        <w:rPr>
          <w:rFonts w:ascii="Arial" w:hAnsi="Arial" w:cs="Arial"/>
          <w:w w:val="115"/>
          <w:sz w:val="22"/>
          <w:szCs w:val="22"/>
        </w:rPr>
        <w:t xml:space="preserve">permiten decir con orgullo que todos los egresados titulados de nuestra institución </w:t>
      </w:r>
      <w:r w:rsidRPr="007923C2">
        <w:rPr>
          <w:rFonts w:ascii="Arial" w:hAnsi="Arial" w:cs="Arial"/>
          <w:w w:val="124"/>
          <w:sz w:val="22"/>
          <w:szCs w:val="22"/>
        </w:rPr>
        <w:t>están actualmente laborando en el campo donde estudiaron.</w:t>
      </w:r>
    </w:p>
    <w:p w14:paraId="368E3B0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Importancia social de la carrera:</w:t>
      </w:r>
    </w:p>
    <w:p w14:paraId="097BC0AF"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En el aspecto de conservación y manejo de los recursos naturales, los Ingenieros en Agrobiologia brindan a la sociedad l</w:t>
      </w:r>
      <w:r w:rsidR="009C4D6B" w:rsidRPr="007923C2">
        <w:rPr>
          <w:rFonts w:ascii="Arial" w:hAnsi="Arial" w:cs="Arial"/>
          <w:sz w:val="22"/>
          <w:szCs w:val="22"/>
        </w:rPr>
        <w:t>o</w:t>
      </w:r>
      <w:r w:rsidRPr="007923C2">
        <w:rPr>
          <w:rFonts w:ascii="Arial" w:hAnsi="Arial" w:cs="Arial"/>
          <w:sz w:val="22"/>
          <w:szCs w:val="22"/>
        </w:rPr>
        <w:t>s medios de control de degradación y buen uso de los recursos bióticos; participan activamente en el desarrollo de propuestas para la protección de áreas naturales y el manejo de ecosistemas pare la obtención de bienes.</w:t>
      </w:r>
    </w:p>
    <w:p w14:paraId="6B9BA91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implementación de una Carrera de Ing. en Agrobiologia tiene por finalidad brindar una formación que permita la creación de una masa critica de recursos humanos capaces de intervenir en un rnedio con crecientes requerimientos en el campo del Patrimonio.</w:t>
      </w:r>
    </w:p>
    <w:p w14:paraId="4DB24440"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formación teórico-metodológica de la carrera brindara la posibilidad de operar en el espacio de la ciudad, mediante recursos humanos capaces de responder a las demandas del medio local y regional, tanto en el área académica y de investigación, como en el campo de la actuación profesional.</w:t>
      </w:r>
    </w:p>
    <w:p w14:paraId="4AF118F3"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Universidad Autónoma Agraria Antonio </w:t>
      </w:r>
      <w:r w:rsidR="00D43C10" w:rsidRPr="007923C2">
        <w:rPr>
          <w:rFonts w:ascii="Arial" w:hAnsi="Arial" w:cs="Arial"/>
          <w:sz w:val="22"/>
          <w:szCs w:val="22"/>
        </w:rPr>
        <w:t>N</w:t>
      </w:r>
      <w:r w:rsidRPr="007923C2">
        <w:rPr>
          <w:rFonts w:ascii="Arial" w:hAnsi="Arial" w:cs="Arial"/>
          <w:sz w:val="22"/>
          <w:szCs w:val="22"/>
        </w:rPr>
        <w:t>arro</w:t>
      </w:r>
    </w:p>
    <w:p w14:paraId="1E5709F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Es una institución publica y autónoma que imparte 17 licenciaturas en las áreas de</w:t>
      </w:r>
    </w:p>
    <w:p w14:paraId="0C26A4A6"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Ingenieria</w:t>
      </w:r>
      <w:r w:rsidRPr="007923C2">
        <w:rPr>
          <w:rFonts w:ascii="Arial" w:hAnsi="Arial" w:cs="Arial"/>
          <w:sz w:val="22"/>
          <w:szCs w:val="22"/>
        </w:rPr>
        <w:tab/>
        <w:t>de</w:t>
      </w:r>
      <w:r w:rsidRPr="007923C2">
        <w:rPr>
          <w:rFonts w:ascii="Arial" w:hAnsi="Arial" w:cs="Arial"/>
          <w:sz w:val="22"/>
          <w:szCs w:val="22"/>
        </w:rPr>
        <w:tab/>
        <w:t>las</w:t>
      </w:r>
      <w:r w:rsidRPr="007923C2">
        <w:rPr>
          <w:rFonts w:ascii="Arial" w:hAnsi="Arial" w:cs="Arial"/>
          <w:sz w:val="22"/>
          <w:szCs w:val="22"/>
        </w:rPr>
        <w:tab/>
        <w:t>Ciencias</w:t>
      </w:r>
      <w:r w:rsidRPr="007923C2">
        <w:rPr>
          <w:rFonts w:ascii="Arial" w:hAnsi="Arial" w:cs="Arial"/>
          <w:sz w:val="22"/>
          <w:szCs w:val="22"/>
        </w:rPr>
        <w:tab/>
        <w:t>Silvoagropecuarias,</w:t>
      </w:r>
      <w:r w:rsidRPr="007923C2">
        <w:rPr>
          <w:rFonts w:ascii="Arial" w:hAnsi="Arial" w:cs="Arial"/>
          <w:sz w:val="22"/>
          <w:szCs w:val="22"/>
        </w:rPr>
        <w:tab/>
        <w:t>Ciencias</w:t>
      </w:r>
      <w:r w:rsidRPr="007923C2">
        <w:rPr>
          <w:rFonts w:ascii="Arial" w:hAnsi="Arial" w:cs="Arial"/>
          <w:sz w:val="22"/>
          <w:szCs w:val="22"/>
        </w:rPr>
        <w:tab/>
        <w:t>Sociales   yAdministrativas, asi como 20 posgrados en las áreas de Ciencias Agropecuarias, Ciencias Naturales y Exactas, Ciencias Sociales y Administrativas. El periodo escolar esta estructurado en forma semestral para ambos niveles educativos.</w:t>
      </w:r>
    </w:p>
    <w:p w14:paraId="41872C3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matrícula escolar en licenciatura esta conformada por  </w:t>
      </w:r>
      <w:r w:rsidR="004A00C0" w:rsidRPr="007923C2">
        <w:rPr>
          <w:rFonts w:ascii="Arial" w:hAnsi="Arial" w:cs="Arial"/>
          <w:sz w:val="22"/>
          <w:szCs w:val="22"/>
        </w:rPr>
        <w:t>2806</w:t>
      </w:r>
      <w:r w:rsidRPr="007923C2">
        <w:rPr>
          <w:rFonts w:ascii="Arial" w:hAnsi="Arial" w:cs="Arial"/>
          <w:sz w:val="22"/>
          <w:szCs w:val="22"/>
        </w:rPr>
        <w:t xml:space="preserve"> alumnos, de los cuales  </w:t>
      </w:r>
      <w:r w:rsidR="004A00C0" w:rsidRPr="007923C2">
        <w:rPr>
          <w:rFonts w:ascii="Arial" w:hAnsi="Arial" w:cs="Arial"/>
          <w:sz w:val="22"/>
          <w:szCs w:val="22"/>
        </w:rPr>
        <w:t>1899</w:t>
      </w:r>
      <w:r w:rsidRPr="007923C2">
        <w:rPr>
          <w:rFonts w:ascii="Arial" w:hAnsi="Arial" w:cs="Arial"/>
          <w:sz w:val="22"/>
          <w:szCs w:val="22"/>
        </w:rPr>
        <w:t xml:space="preserve"> son hombres y </w:t>
      </w:r>
      <w:r w:rsidR="004A00C0" w:rsidRPr="007923C2">
        <w:rPr>
          <w:rFonts w:ascii="Arial" w:hAnsi="Arial" w:cs="Arial"/>
          <w:sz w:val="22"/>
          <w:szCs w:val="22"/>
        </w:rPr>
        <w:t>907</w:t>
      </w:r>
      <w:r w:rsidRPr="007923C2">
        <w:rPr>
          <w:rFonts w:ascii="Arial" w:hAnsi="Arial" w:cs="Arial"/>
          <w:sz w:val="22"/>
          <w:szCs w:val="22"/>
        </w:rPr>
        <w:t xml:space="preserve"> mujeres.  </w:t>
      </w:r>
    </w:p>
    <w:p w14:paraId="79B78DB2" w14:textId="77777777" w:rsidR="004220B7" w:rsidRPr="007923C2" w:rsidRDefault="004A00C0" w:rsidP="004220B7">
      <w:pPr>
        <w:jc w:val="both"/>
        <w:rPr>
          <w:rFonts w:ascii="Arial" w:hAnsi="Arial" w:cs="Arial"/>
          <w:sz w:val="22"/>
          <w:szCs w:val="22"/>
        </w:rPr>
      </w:pPr>
      <w:r w:rsidRPr="007923C2">
        <w:rPr>
          <w:rFonts w:ascii="Arial" w:hAnsi="Arial" w:cs="Arial"/>
          <w:sz w:val="22"/>
          <w:szCs w:val="22"/>
        </w:rPr>
        <w:t>La carrera de Ingeniero en Agrobiología ha tenido una fluctuación de entre 140-120</w:t>
      </w:r>
    </w:p>
    <w:p w14:paraId="11C3D875" w14:textId="77777777" w:rsidR="004220B7" w:rsidRPr="007923C2" w:rsidRDefault="00C14734" w:rsidP="004220B7">
      <w:pPr>
        <w:jc w:val="both"/>
        <w:rPr>
          <w:rFonts w:ascii="Arial" w:hAnsi="Arial" w:cs="Arial"/>
          <w:sz w:val="22"/>
          <w:szCs w:val="22"/>
        </w:rPr>
      </w:pPr>
      <w:r w:rsidRPr="007923C2">
        <w:rPr>
          <w:rFonts w:ascii="Arial" w:hAnsi="Arial" w:cs="Arial"/>
          <w:sz w:val="22"/>
          <w:szCs w:val="22"/>
        </w:rPr>
        <w:t>e</w:t>
      </w:r>
      <w:r w:rsidR="004A00C0" w:rsidRPr="007923C2">
        <w:rPr>
          <w:rFonts w:ascii="Arial" w:hAnsi="Arial" w:cs="Arial"/>
          <w:sz w:val="22"/>
          <w:szCs w:val="22"/>
        </w:rPr>
        <w:t xml:space="preserve">studiantes en </w:t>
      </w:r>
      <w:r w:rsidRPr="007923C2">
        <w:rPr>
          <w:rFonts w:ascii="Arial" w:hAnsi="Arial" w:cs="Arial"/>
          <w:sz w:val="22"/>
          <w:szCs w:val="22"/>
        </w:rPr>
        <w:t>los 3 últimos años por lo que se considera que no está saturada.</w:t>
      </w:r>
    </w:p>
    <w:p w14:paraId="2153BE79"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La planta académica pare atender los programas de licenciatura y de pogrado</w:t>
      </w:r>
      <w:r w:rsidR="00D43C10" w:rsidRPr="007923C2">
        <w:rPr>
          <w:rFonts w:ascii="Arial" w:hAnsi="Arial" w:cs="Arial"/>
          <w:sz w:val="22"/>
          <w:szCs w:val="22"/>
        </w:rPr>
        <w:t xml:space="preserve"> está integrada por</w:t>
      </w:r>
      <w:r w:rsidRPr="007923C2">
        <w:rPr>
          <w:rFonts w:ascii="Arial" w:hAnsi="Arial" w:cs="Arial"/>
          <w:sz w:val="22"/>
          <w:szCs w:val="22"/>
        </w:rPr>
        <w:t>profesores</w:t>
      </w:r>
      <w:r w:rsidR="00D43C10" w:rsidRPr="007923C2">
        <w:rPr>
          <w:rFonts w:ascii="Arial" w:hAnsi="Arial" w:cs="Arial"/>
          <w:sz w:val="22"/>
          <w:szCs w:val="22"/>
        </w:rPr>
        <w:t xml:space="preserve"> con nivel de estudios (maestría y doctorado) algunos de ellos pertenecen a</w:t>
      </w:r>
      <w:r w:rsidRPr="007923C2">
        <w:rPr>
          <w:rFonts w:ascii="Arial" w:hAnsi="Arial" w:cs="Arial"/>
          <w:sz w:val="22"/>
          <w:szCs w:val="22"/>
        </w:rPr>
        <w:t>l  Sistema  Nacional  de Investigadores,</w:t>
      </w:r>
      <w:r w:rsidR="00D43C10" w:rsidRPr="007923C2">
        <w:rPr>
          <w:rFonts w:ascii="Arial" w:hAnsi="Arial" w:cs="Arial"/>
          <w:sz w:val="22"/>
          <w:szCs w:val="22"/>
        </w:rPr>
        <w:t xml:space="preserve"> cuerpos académicos o se tiene el perfil PRODEP La mayoría tiene </w:t>
      </w:r>
      <w:r w:rsidRPr="007923C2">
        <w:rPr>
          <w:rFonts w:ascii="Arial" w:hAnsi="Arial" w:cs="Arial"/>
          <w:sz w:val="22"/>
          <w:szCs w:val="22"/>
        </w:rPr>
        <w:t xml:space="preserve">tiempo completo, </w:t>
      </w:r>
      <w:r w:rsidR="00D43C10" w:rsidRPr="007923C2">
        <w:rPr>
          <w:rFonts w:ascii="Arial" w:hAnsi="Arial" w:cs="Arial"/>
          <w:sz w:val="22"/>
          <w:szCs w:val="22"/>
        </w:rPr>
        <w:t xml:space="preserve">o de </w:t>
      </w:r>
      <w:r w:rsidRPr="007923C2">
        <w:rPr>
          <w:rFonts w:ascii="Arial" w:hAnsi="Arial" w:cs="Arial"/>
          <w:sz w:val="22"/>
          <w:szCs w:val="22"/>
        </w:rPr>
        <w:t xml:space="preserve">medio tiempo y </w:t>
      </w:r>
      <w:r w:rsidR="00D43C10" w:rsidRPr="007923C2">
        <w:rPr>
          <w:rFonts w:ascii="Arial" w:hAnsi="Arial" w:cs="Arial"/>
          <w:sz w:val="22"/>
          <w:szCs w:val="22"/>
        </w:rPr>
        <w:t>pocos</w:t>
      </w:r>
      <w:r w:rsidRPr="007923C2">
        <w:rPr>
          <w:rFonts w:ascii="Arial" w:hAnsi="Arial" w:cs="Arial"/>
          <w:sz w:val="22"/>
          <w:szCs w:val="22"/>
        </w:rPr>
        <w:t xml:space="preserve"> laboran por hora. </w:t>
      </w:r>
    </w:p>
    <w:p w14:paraId="24BEE3C0"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ESTUDIO DE PERTINENCIA DE LA CARRERA DE INGENIERO EN AGROBIOLOGÍA</w:t>
      </w:r>
    </w:p>
    <w:p w14:paraId="4A3414A4" w14:textId="77777777" w:rsidR="004220B7" w:rsidRPr="007923C2" w:rsidRDefault="004220B7" w:rsidP="004220B7">
      <w:pPr>
        <w:jc w:val="both"/>
        <w:rPr>
          <w:rFonts w:ascii="Arial" w:hAnsi="Arial" w:cs="Arial"/>
          <w:b/>
          <w:sz w:val="22"/>
          <w:szCs w:val="22"/>
        </w:rPr>
      </w:pPr>
      <w:r w:rsidRPr="007923C2">
        <w:rPr>
          <w:rFonts w:ascii="Arial" w:hAnsi="Arial" w:cs="Arial"/>
          <w:b/>
          <w:sz w:val="22"/>
          <w:szCs w:val="22"/>
        </w:rPr>
        <w:t xml:space="preserve">RECOMENDACIONES </w:t>
      </w:r>
      <w:r w:rsidR="00C14734" w:rsidRPr="007923C2">
        <w:rPr>
          <w:rFonts w:ascii="Arial" w:hAnsi="Arial" w:cs="Arial"/>
          <w:b/>
          <w:sz w:val="22"/>
          <w:szCs w:val="22"/>
        </w:rPr>
        <w:t xml:space="preserve"> DE LOS EMPLEADORES.</w:t>
      </w:r>
    </w:p>
    <w:p w14:paraId="4B08B3E4"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Los resultados de la investigación nos muestran un buen nivel de pertinencia para la carrera de Ingeniero en Agrobiología, sin embargo, se observaron algunas limitaciones en la formación y desarrollo profesional de los egresados por lo que se recomienda llevar a cabo algunas acciones para mejorar este nivel de pertinencia alcanzado como lo son:</w:t>
      </w:r>
    </w:p>
    <w:p w14:paraId="27EA034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Actualizar los programas de estudios para incluir las nuevas tecnologías que se están desarrollando en el área de Agrobiología. Actualizar e incrementar el acervo bibliográfico </w:t>
      </w:r>
    </w:p>
    <w:p w14:paraId="578C7F47"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Reforzar la formación de los egresados en áreas como administración, manejo de personal, técnicas gerenciales, formulación y evaluación de proyectos, normatividad federal, reglas de operación de programas de apoyo y el conocimiento de instituciones gubernamentales encargados de fomentar el desarrollo agrícola en el país </w:t>
      </w:r>
    </w:p>
    <w:p w14:paraId="43FBA162"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Analizar la posibilidad de renovar la planta de maestros, ya que algunos son de edad muy avanzada o presentan deficiencias pedagógicas, utilizan material de apoyo y programas antiguos que no corresponden a lo que el alumno se va a encontrar en el desarrollo de actividad profesional. Se recomienda la creación de un programa académico que permita la formulación y perfeccionamiento de los recursos humanos y con un plan de políticas de reemplazo de la planta académica. Trabajar en un programa para la formación de nuevos cuadros de profesores que sustituyan al personal que se requiera. Evaluar una vez al año los conocimientos pedagógicos y la actualización del personal docente en las materias que imparten. </w:t>
      </w:r>
    </w:p>
    <w:p w14:paraId="276AF73B"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falta de suficientes prácticas campo y laboratorio fueron una de las quejas me recurrentes de los egresados por lo que se propone incrementar el número de prácticas que permitan complementar la teoría adquirida </w:t>
      </w:r>
    </w:p>
    <w:p w14:paraId="4D9B68F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Reforzar y actualizar la infraestructura y el equipamiento de talleres y laboratorios para la realización de las prácticas de los alumnos </w:t>
      </w:r>
    </w:p>
    <w:p w14:paraId="5E1710CA" w14:textId="77777777"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 xml:space="preserve">Ampliar y fortalecer las materias de inglés y paquetes computacionales. Se recomienda establecer un centro de idiomas que ofrezca idiomas durante la tarde (especialmente Inglés) a toda la comunidad universitaria, que permita mejorar las capacidades y competitividad de los egresados de la Universidad La UAAAN ha beneficiado el enfoque técnico en la formación académica de sus alumnos, dejando de lado otra formación que debe recibir el egresado, como es el lenguaje oral y escrito, habilidades de información, de comunicación, de pensamiento y solución de problemas, alfabetismo financiero, económico y de negocios. Se recomienda incorporar materias de lectura y redacción, comunicación efectiva, manejo de personal, formación empresarial, entre otras que permita contrarrestar lo introvertido de los egresados de la UAAAN (principal debilidad), así como </w:t>
      </w:r>
      <w:r w:rsidRPr="007923C2">
        <w:rPr>
          <w:rFonts w:ascii="Arial" w:hAnsi="Arial" w:cs="Arial"/>
          <w:bCs/>
          <w:sz w:val="22"/>
          <w:szCs w:val="22"/>
        </w:rPr>
        <w:t>i</w:t>
      </w:r>
      <w:r w:rsidRPr="007923C2">
        <w:rPr>
          <w:rFonts w:ascii="Arial" w:hAnsi="Arial" w:cs="Arial"/>
          <w:sz w:val="22"/>
          <w:szCs w:val="22"/>
        </w:rPr>
        <w:t>ncluir seminarios de apoyo a los alumnos en áreas como ventas, relaciones públicas, administración y mercadotecnia con la finalidad de complementar la formación técnica que se adquiere con la carrera Promover la creación de una dirección que coordine un intercambio de académicos y estudiantes para el enriquecimiento tecnológico y académico de la universidad, así como visitas a zonas agrícolas productoras exitosas en estados como Sonora, Sinaloa, Jalisco, Chihuahua, Guanajuato, entre otros Ingeniero en Agrobiología</w:t>
      </w:r>
      <w:r w:rsidR="002575C9">
        <w:rPr>
          <w:rFonts w:ascii="Arial" w:hAnsi="Arial" w:cs="Arial"/>
          <w:sz w:val="22"/>
          <w:szCs w:val="22"/>
        </w:rPr>
        <w:t>.</w:t>
      </w:r>
    </w:p>
    <w:p w14:paraId="35EC0AA6" w14:textId="77777777" w:rsidR="004220B7" w:rsidRPr="007923C2" w:rsidRDefault="004220B7" w:rsidP="00FA30F9">
      <w:pPr>
        <w:widowControl w:val="0"/>
        <w:tabs>
          <w:tab w:val="left" w:pos="9160"/>
        </w:tabs>
        <w:overflowPunct w:val="0"/>
        <w:autoSpaceDE w:val="0"/>
        <w:autoSpaceDN w:val="0"/>
        <w:adjustRightInd w:val="0"/>
        <w:rPr>
          <w:rFonts w:ascii="Arial" w:hAnsi="Arial" w:cs="Arial"/>
          <w:b/>
          <w:sz w:val="22"/>
          <w:szCs w:val="22"/>
        </w:rPr>
      </w:pPr>
      <w:r w:rsidRPr="007923C2">
        <w:rPr>
          <w:rFonts w:ascii="Arial" w:hAnsi="Arial" w:cs="Arial"/>
          <w:b/>
          <w:sz w:val="22"/>
          <w:szCs w:val="22"/>
        </w:rPr>
        <w:t>Análisis de pertinencia de Carreras</w:t>
      </w:r>
    </w:p>
    <w:p w14:paraId="3B61400C" w14:textId="77777777" w:rsidR="004220B7" w:rsidRPr="007923C2" w:rsidRDefault="004220B7" w:rsidP="004220B7">
      <w:pPr>
        <w:widowControl w:val="0"/>
        <w:overflowPunct w:val="0"/>
        <w:autoSpaceDE w:val="0"/>
        <w:autoSpaceDN w:val="0"/>
        <w:adjustRightInd w:val="0"/>
        <w:spacing w:line="227" w:lineRule="auto"/>
        <w:ind w:right="20"/>
        <w:jc w:val="both"/>
        <w:rPr>
          <w:rFonts w:ascii="Arial" w:hAnsi="Arial" w:cs="Arial"/>
          <w:sz w:val="22"/>
          <w:szCs w:val="22"/>
        </w:rPr>
      </w:pPr>
      <w:r w:rsidRPr="007923C2">
        <w:rPr>
          <w:rFonts w:ascii="Arial" w:hAnsi="Arial" w:cs="Arial"/>
          <w:sz w:val="22"/>
          <w:szCs w:val="22"/>
        </w:rPr>
        <w:t xml:space="preserve">Desarrollar una política de vinculación con los sectores productivos del país, estableciendo unidades de vinculación o centros de asesoría con el sector productivo, enfatizando la visión de desarrollo sustentable y promover la rentabilidad de las actividades productivas, con la finalidad de cerrar brechas entre los productores del país. La vinculación se puede complementar a través de ferias, simposio y conferencias con temas en áreas de oportunidad </w:t>
      </w:r>
    </w:p>
    <w:p w14:paraId="1CE2D99D" w14:textId="77777777" w:rsidR="004220B7" w:rsidRPr="007923C2" w:rsidRDefault="004220B7" w:rsidP="004220B7">
      <w:pPr>
        <w:widowControl w:val="0"/>
        <w:overflowPunct w:val="0"/>
        <w:autoSpaceDE w:val="0"/>
        <w:autoSpaceDN w:val="0"/>
        <w:adjustRightInd w:val="0"/>
        <w:spacing w:line="220" w:lineRule="auto"/>
        <w:ind w:right="20"/>
        <w:jc w:val="both"/>
        <w:rPr>
          <w:rFonts w:ascii="Arial" w:hAnsi="Arial" w:cs="Arial"/>
          <w:sz w:val="22"/>
          <w:szCs w:val="22"/>
        </w:rPr>
      </w:pPr>
      <w:r w:rsidRPr="007923C2">
        <w:rPr>
          <w:rFonts w:ascii="Arial" w:hAnsi="Arial" w:cs="Arial"/>
          <w:sz w:val="22"/>
          <w:szCs w:val="22"/>
        </w:rPr>
        <w:t xml:space="preserve">Fortalecer el área de investigación y desarrollo de la UAAAN para mejorar la formación académica de los alumnos, ampliar la infraestructura para la investigación y acceder a fondos de CONACYT </w:t>
      </w:r>
    </w:p>
    <w:p w14:paraId="45C319ED" w14:textId="77777777" w:rsidR="004220B7" w:rsidRPr="007923C2" w:rsidRDefault="004220B7" w:rsidP="004220B7">
      <w:pPr>
        <w:widowControl w:val="0"/>
        <w:overflowPunct w:val="0"/>
        <w:autoSpaceDE w:val="0"/>
        <w:autoSpaceDN w:val="0"/>
        <w:adjustRightInd w:val="0"/>
        <w:spacing w:line="229" w:lineRule="auto"/>
        <w:ind w:right="40"/>
        <w:jc w:val="both"/>
        <w:rPr>
          <w:rFonts w:ascii="Arial" w:hAnsi="Arial" w:cs="Arial"/>
          <w:sz w:val="22"/>
          <w:szCs w:val="22"/>
        </w:rPr>
      </w:pPr>
      <w:r w:rsidRPr="007923C2">
        <w:rPr>
          <w:rFonts w:ascii="Arial" w:hAnsi="Arial" w:cs="Arial"/>
          <w:sz w:val="22"/>
          <w:szCs w:val="22"/>
        </w:rPr>
        <w:t xml:space="preserve">El Departamento de egresados de la UAAAN debe contar con estudios de seguimiento de sus egresados que muestren la pertinencia de los programas, la aceptación de los egresados en el mercado laboral y que sirvan para orientar las evaluaciones de los planes de estudio de las carreras de acuerdo a las necesidades del entorno. Requiere una bolsa de trabajo efectiva y mantener los vínculos de todos los egresados para obtener retroalimentación constante de su desarrollo profesional que le permita la realización de un programa de mejora continua </w:t>
      </w:r>
    </w:p>
    <w:p w14:paraId="68C67449" w14:textId="77777777" w:rsidR="004220B7" w:rsidRPr="007923C2" w:rsidRDefault="004220B7" w:rsidP="004220B7">
      <w:pPr>
        <w:widowControl w:val="0"/>
        <w:overflowPunct w:val="0"/>
        <w:autoSpaceDE w:val="0"/>
        <w:autoSpaceDN w:val="0"/>
        <w:adjustRightInd w:val="0"/>
        <w:spacing w:line="224" w:lineRule="auto"/>
        <w:ind w:right="40"/>
        <w:jc w:val="both"/>
        <w:rPr>
          <w:rFonts w:ascii="Arial" w:hAnsi="Arial" w:cs="Arial"/>
          <w:sz w:val="22"/>
          <w:szCs w:val="22"/>
        </w:rPr>
      </w:pPr>
      <w:r w:rsidRPr="007923C2">
        <w:rPr>
          <w:rFonts w:ascii="Arial" w:hAnsi="Arial" w:cs="Arial"/>
          <w:sz w:val="22"/>
          <w:szCs w:val="22"/>
        </w:rPr>
        <w:t xml:space="preserve">El acelerado desarrollo del conocimiento y la rápida obsolescencia de la información aprendida en la universidad, obligan al desarrollo y/o consolidación de un área de educación continua, que permita establecer un programa que pueda ofrecer educación a distancia para apoyar a los egresados de la UAAAN y al público en General </w:t>
      </w:r>
    </w:p>
    <w:p w14:paraId="2067F089" w14:textId="77777777" w:rsidR="004220B7" w:rsidRPr="007923C2" w:rsidRDefault="004220B7" w:rsidP="004220B7">
      <w:pPr>
        <w:widowControl w:val="0"/>
        <w:autoSpaceDE w:val="0"/>
        <w:autoSpaceDN w:val="0"/>
        <w:adjustRightInd w:val="0"/>
        <w:spacing w:line="239" w:lineRule="auto"/>
        <w:rPr>
          <w:rFonts w:ascii="Arial" w:hAnsi="Arial" w:cs="Arial"/>
          <w:sz w:val="22"/>
          <w:szCs w:val="22"/>
        </w:rPr>
      </w:pPr>
      <w:r w:rsidRPr="007923C2">
        <w:rPr>
          <w:rFonts w:ascii="Arial" w:hAnsi="Arial" w:cs="Arial"/>
          <w:bCs/>
          <w:sz w:val="22"/>
          <w:szCs w:val="22"/>
        </w:rPr>
        <w:t>Aspectos importantes detectados en la investigación</w:t>
      </w:r>
    </w:p>
    <w:p w14:paraId="4E836D58" w14:textId="77777777" w:rsidR="004220B7" w:rsidRPr="007923C2" w:rsidRDefault="004220B7" w:rsidP="004220B7">
      <w:pPr>
        <w:widowControl w:val="0"/>
        <w:overflowPunct w:val="0"/>
        <w:autoSpaceDE w:val="0"/>
        <w:autoSpaceDN w:val="0"/>
        <w:adjustRightInd w:val="0"/>
        <w:spacing w:line="224" w:lineRule="auto"/>
        <w:ind w:right="20"/>
        <w:jc w:val="both"/>
        <w:rPr>
          <w:rFonts w:ascii="Arial" w:hAnsi="Arial" w:cs="Arial"/>
          <w:sz w:val="22"/>
          <w:szCs w:val="22"/>
        </w:rPr>
      </w:pPr>
      <w:r w:rsidRPr="007923C2">
        <w:rPr>
          <w:rFonts w:ascii="Arial" w:hAnsi="Arial" w:cs="Arial"/>
          <w:sz w:val="22"/>
          <w:szCs w:val="22"/>
        </w:rPr>
        <w:t>Desde el punto de vista de los empleadores las huelgas frecuentes que se desarrollan en la UAAAN han afectado el rendimiento y aprovechamiento de los alumnos de la carrera de Ingeniero Agrobiología, además ha generado una imagen de personas difíciles de integrar a la actividad productiva de las empresas.</w:t>
      </w:r>
    </w:p>
    <w:p w14:paraId="23069DF1" w14:textId="77777777" w:rsidR="004220B7" w:rsidRPr="007923C2" w:rsidRDefault="004220B7" w:rsidP="004220B7">
      <w:pPr>
        <w:widowControl w:val="0"/>
        <w:overflowPunct w:val="0"/>
        <w:autoSpaceDE w:val="0"/>
        <w:autoSpaceDN w:val="0"/>
        <w:adjustRightInd w:val="0"/>
        <w:spacing w:line="228" w:lineRule="auto"/>
        <w:ind w:right="20"/>
        <w:jc w:val="both"/>
        <w:rPr>
          <w:rFonts w:ascii="Arial" w:hAnsi="Arial" w:cs="Arial"/>
          <w:sz w:val="22"/>
          <w:szCs w:val="22"/>
        </w:rPr>
      </w:pPr>
      <w:r w:rsidRPr="007923C2">
        <w:rPr>
          <w:rFonts w:ascii="Arial" w:hAnsi="Arial" w:cs="Arial"/>
          <w:sz w:val="22"/>
          <w:szCs w:val="22"/>
        </w:rPr>
        <w:t>Otra situación comentada por los empresarios y expertos entrevistados es que la UAAAN tiene demasiadas carreras, situación que limita al egresado a un área de acción acotada por su carrera. Siendo que su capacidad académica y laboral pudiera ser mas amplia si se maneja una carrera base, por ejemplo agronomía con una especialidad.</w:t>
      </w:r>
    </w:p>
    <w:p w14:paraId="4FE5D947" w14:textId="77777777" w:rsidR="004220B7" w:rsidRPr="007923C2" w:rsidRDefault="004220B7" w:rsidP="004220B7">
      <w:pPr>
        <w:widowControl w:val="0"/>
        <w:overflowPunct w:val="0"/>
        <w:autoSpaceDE w:val="0"/>
        <w:autoSpaceDN w:val="0"/>
        <w:adjustRightInd w:val="0"/>
        <w:spacing w:line="224" w:lineRule="auto"/>
        <w:ind w:right="40"/>
        <w:jc w:val="both"/>
        <w:rPr>
          <w:rFonts w:ascii="Arial" w:hAnsi="Arial" w:cs="Arial"/>
          <w:sz w:val="22"/>
          <w:szCs w:val="22"/>
        </w:rPr>
      </w:pPr>
      <w:r w:rsidRPr="007923C2">
        <w:rPr>
          <w:rFonts w:ascii="Arial" w:hAnsi="Arial" w:cs="Arial"/>
          <w:sz w:val="22"/>
          <w:szCs w:val="22"/>
        </w:rPr>
        <w:t xml:space="preserve">Otro aspecto, es que el presupuesto del que dispone la UAAAN tiene que repartirse entre demasiadas carreras y esto ha provocado importantes carencias de infraestructura técnica y académica observadas durante la investigación. </w:t>
      </w:r>
      <w:bookmarkStart w:id="12" w:name="page107"/>
      <w:bookmarkEnd w:id="12"/>
    </w:p>
    <w:p w14:paraId="3FCD5182" w14:textId="77777777" w:rsidR="004220B7" w:rsidRPr="007923C2" w:rsidRDefault="004220B7" w:rsidP="004220B7">
      <w:pPr>
        <w:widowControl w:val="0"/>
        <w:autoSpaceDE w:val="0"/>
        <w:autoSpaceDN w:val="0"/>
        <w:adjustRightInd w:val="0"/>
        <w:spacing w:line="243" w:lineRule="exact"/>
        <w:rPr>
          <w:rFonts w:ascii="Arial" w:hAnsi="Arial" w:cs="Arial"/>
          <w:sz w:val="22"/>
          <w:szCs w:val="22"/>
        </w:rPr>
      </w:pPr>
    </w:p>
    <w:p w14:paraId="42BCC477" w14:textId="77777777" w:rsidR="004220B7" w:rsidRPr="007923C2" w:rsidRDefault="004220B7" w:rsidP="004220B7">
      <w:pPr>
        <w:widowControl w:val="0"/>
        <w:autoSpaceDE w:val="0"/>
        <w:autoSpaceDN w:val="0"/>
        <w:adjustRightInd w:val="0"/>
        <w:rPr>
          <w:rFonts w:ascii="Arial" w:hAnsi="Arial" w:cs="Arial"/>
          <w:sz w:val="22"/>
          <w:szCs w:val="22"/>
        </w:rPr>
      </w:pPr>
      <w:r w:rsidRPr="007923C2">
        <w:rPr>
          <w:rFonts w:ascii="Arial" w:hAnsi="Arial" w:cs="Arial"/>
          <w:b/>
          <w:bCs/>
          <w:sz w:val="22"/>
          <w:szCs w:val="22"/>
        </w:rPr>
        <w:t>INVESTIGACION DE CAMPO: ENTREVISTAS A EGRESADOS</w:t>
      </w:r>
    </w:p>
    <w:p w14:paraId="5EC9D3B5" w14:textId="77777777" w:rsidR="004220B7" w:rsidRPr="007923C2" w:rsidRDefault="004220B7" w:rsidP="004220B7">
      <w:pPr>
        <w:widowControl w:val="0"/>
        <w:overflowPunct w:val="0"/>
        <w:autoSpaceDE w:val="0"/>
        <w:autoSpaceDN w:val="0"/>
        <w:adjustRightInd w:val="0"/>
        <w:spacing w:line="224" w:lineRule="auto"/>
        <w:ind w:right="20"/>
        <w:jc w:val="both"/>
        <w:rPr>
          <w:rFonts w:ascii="Arial" w:hAnsi="Arial" w:cs="Arial"/>
          <w:sz w:val="22"/>
          <w:szCs w:val="22"/>
        </w:rPr>
      </w:pPr>
      <w:r w:rsidRPr="007923C2">
        <w:rPr>
          <w:rFonts w:ascii="Arial" w:hAnsi="Arial" w:cs="Arial"/>
          <w:sz w:val="22"/>
          <w:szCs w:val="22"/>
        </w:rPr>
        <w:t xml:space="preserve">Se realizó una investigación de campo, utilizando el método de la entrevista directa por medio de un cuestionario con preguntas estructuradas. El tamaño de la </w:t>
      </w:r>
      <w:r w:rsidRPr="007923C2">
        <w:rPr>
          <w:rFonts w:ascii="Arial" w:hAnsi="Arial" w:cs="Arial"/>
          <w:b/>
          <w:bCs/>
          <w:sz w:val="22"/>
          <w:szCs w:val="22"/>
        </w:rPr>
        <w:t>muestra</w:t>
      </w:r>
      <w:r w:rsidRPr="007923C2">
        <w:rPr>
          <w:rFonts w:ascii="Arial" w:hAnsi="Arial" w:cs="Arial"/>
          <w:sz w:val="22"/>
          <w:szCs w:val="22"/>
        </w:rPr>
        <w:t xml:space="preserve"> fue de </w:t>
      </w:r>
      <w:r w:rsidRPr="007923C2">
        <w:rPr>
          <w:rFonts w:ascii="Arial" w:hAnsi="Arial" w:cs="Arial"/>
          <w:b/>
          <w:bCs/>
          <w:sz w:val="22"/>
          <w:szCs w:val="22"/>
        </w:rPr>
        <w:t>35 egresados</w:t>
      </w:r>
      <w:r w:rsidRPr="007923C2">
        <w:rPr>
          <w:rFonts w:ascii="Arial" w:hAnsi="Arial" w:cs="Arial"/>
          <w:sz w:val="22"/>
          <w:szCs w:val="22"/>
        </w:rPr>
        <w:t xml:space="preserve"> para la carrera de Ingeniero en Agrobiología.</w:t>
      </w:r>
    </w:p>
    <w:p w14:paraId="7FCBB5B8" w14:textId="77777777" w:rsidR="00FA30F9" w:rsidRPr="007923C2" w:rsidRDefault="00FA30F9" w:rsidP="004220B7">
      <w:pPr>
        <w:widowControl w:val="0"/>
        <w:overflowPunct w:val="0"/>
        <w:autoSpaceDE w:val="0"/>
        <w:autoSpaceDN w:val="0"/>
        <w:adjustRightInd w:val="0"/>
        <w:spacing w:line="224" w:lineRule="auto"/>
        <w:ind w:right="20"/>
        <w:jc w:val="both"/>
        <w:rPr>
          <w:rFonts w:ascii="Arial" w:hAnsi="Arial" w:cs="Arial"/>
          <w:sz w:val="22"/>
          <w:szCs w:val="22"/>
        </w:rPr>
      </w:pPr>
    </w:p>
    <w:tbl>
      <w:tblPr>
        <w:tblW w:w="9840" w:type="dxa"/>
        <w:tblLayout w:type="fixed"/>
        <w:tblCellMar>
          <w:left w:w="0" w:type="dxa"/>
          <w:right w:w="0" w:type="dxa"/>
        </w:tblCellMar>
        <w:tblLook w:val="0000" w:firstRow="0" w:lastRow="0" w:firstColumn="0" w:lastColumn="0" w:noHBand="0" w:noVBand="0"/>
      </w:tblPr>
      <w:tblGrid>
        <w:gridCol w:w="1400"/>
        <w:gridCol w:w="8440"/>
      </w:tblGrid>
      <w:tr w:rsidR="004220B7" w:rsidRPr="007923C2" w14:paraId="09F677C1" w14:textId="77777777" w:rsidTr="00FA30F9">
        <w:trPr>
          <w:trHeight w:val="184"/>
        </w:trPr>
        <w:tc>
          <w:tcPr>
            <w:tcW w:w="1400" w:type="dxa"/>
            <w:tcBorders>
              <w:top w:val="nil"/>
              <w:left w:val="nil"/>
              <w:bottom w:val="nil"/>
              <w:right w:val="nil"/>
            </w:tcBorders>
            <w:vAlign w:val="bottom"/>
          </w:tcPr>
          <w:p w14:paraId="4507546C"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b/>
                <w:bCs/>
                <w:sz w:val="22"/>
                <w:szCs w:val="22"/>
              </w:rPr>
              <w:t xml:space="preserve">Clave 1 </w:t>
            </w:r>
            <w:r w:rsidR="00FA30F9" w:rsidRPr="007923C2">
              <w:rPr>
                <w:rFonts w:ascii="Arial" w:hAnsi="Arial" w:cs="Arial"/>
                <w:b/>
                <w:bCs/>
                <w:sz w:val="22"/>
                <w:szCs w:val="22"/>
              </w:rPr>
              <w:t>…</w:t>
            </w:r>
          </w:p>
        </w:tc>
        <w:tc>
          <w:tcPr>
            <w:tcW w:w="8440" w:type="dxa"/>
            <w:tcBorders>
              <w:top w:val="nil"/>
              <w:left w:val="nil"/>
              <w:bottom w:val="nil"/>
              <w:right w:val="nil"/>
            </w:tcBorders>
            <w:vAlign w:val="bottom"/>
          </w:tcPr>
          <w:p w14:paraId="453E8162"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b/>
                <w:bCs/>
                <w:sz w:val="22"/>
                <w:szCs w:val="22"/>
              </w:rPr>
              <w:t>Nombre</w:t>
            </w:r>
          </w:p>
        </w:tc>
      </w:tr>
      <w:tr w:rsidR="004220B7" w:rsidRPr="007923C2" w14:paraId="3D04E2A6" w14:textId="77777777" w:rsidTr="00FA30F9">
        <w:trPr>
          <w:trHeight w:val="51"/>
        </w:trPr>
        <w:tc>
          <w:tcPr>
            <w:tcW w:w="1400" w:type="dxa"/>
            <w:tcBorders>
              <w:top w:val="nil"/>
              <w:left w:val="nil"/>
              <w:right w:val="nil"/>
            </w:tcBorders>
            <w:vAlign w:val="bottom"/>
          </w:tcPr>
          <w:p w14:paraId="4F5CD0D9" w14:textId="77777777" w:rsidR="004220B7" w:rsidRPr="007923C2" w:rsidRDefault="004220B7" w:rsidP="0030772E">
            <w:pPr>
              <w:widowControl w:val="0"/>
              <w:autoSpaceDE w:val="0"/>
              <w:autoSpaceDN w:val="0"/>
              <w:adjustRightInd w:val="0"/>
              <w:rPr>
                <w:rFonts w:ascii="Arial" w:hAnsi="Arial" w:cs="Arial"/>
                <w:sz w:val="22"/>
                <w:szCs w:val="22"/>
              </w:rPr>
            </w:pPr>
          </w:p>
        </w:tc>
        <w:tc>
          <w:tcPr>
            <w:tcW w:w="8440" w:type="dxa"/>
            <w:tcBorders>
              <w:top w:val="nil"/>
              <w:left w:val="nil"/>
              <w:right w:val="nil"/>
            </w:tcBorders>
            <w:vAlign w:val="bottom"/>
          </w:tcPr>
          <w:p w14:paraId="36C4F557" w14:textId="77777777" w:rsidR="004220B7" w:rsidRPr="007923C2" w:rsidRDefault="004220B7" w:rsidP="0030772E">
            <w:pPr>
              <w:widowControl w:val="0"/>
              <w:autoSpaceDE w:val="0"/>
              <w:autoSpaceDN w:val="0"/>
              <w:adjustRightInd w:val="0"/>
              <w:rPr>
                <w:rFonts w:ascii="Arial" w:hAnsi="Arial" w:cs="Arial"/>
                <w:sz w:val="22"/>
                <w:szCs w:val="22"/>
              </w:rPr>
            </w:pPr>
          </w:p>
        </w:tc>
      </w:tr>
      <w:tr w:rsidR="004220B7" w:rsidRPr="007923C2" w14:paraId="2C8D3D09" w14:textId="77777777" w:rsidTr="00FA30F9">
        <w:trPr>
          <w:trHeight w:val="238"/>
        </w:trPr>
        <w:tc>
          <w:tcPr>
            <w:tcW w:w="1400" w:type="dxa"/>
            <w:tcBorders>
              <w:left w:val="nil"/>
              <w:bottom w:val="nil"/>
              <w:right w:val="nil"/>
            </w:tcBorders>
            <w:vAlign w:val="bottom"/>
          </w:tcPr>
          <w:p w14:paraId="7F77BE30"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w:t>
            </w:r>
          </w:p>
        </w:tc>
        <w:tc>
          <w:tcPr>
            <w:tcW w:w="8440" w:type="dxa"/>
            <w:tcBorders>
              <w:left w:val="nil"/>
              <w:bottom w:val="nil"/>
              <w:right w:val="nil"/>
            </w:tcBorders>
            <w:vAlign w:val="bottom"/>
          </w:tcPr>
          <w:p w14:paraId="2FC82702"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Patricia Cisneros</w:t>
            </w:r>
          </w:p>
        </w:tc>
      </w:tr>
      <w:tr w:rsidR="004220B7" w:rsidRPr="007923C2" w14:paraId="1B7E43E0" w14:textId="77777777" w:rsidTr="00FA30F9">
        <w:trPr>
          <w:trHeight w:val="185"/>
        </w:trPr>
        <w:tc>
          <w:tcPr>
            <w:tcW w:w="1400" w:type="dxa"/>
            <w:tcBorders>
              <w:top w:val="nil"/>
              <w:left w:val="nil"/>
              <w:bottom w:val="nil"/>
              <w:right w:val="nil"/>
            </w:tcBorders>
            <w:vAlign w:val="bottom"/>
          </w:tcPr>
          <w:p w14:paraId="416B5CC8"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w:t>
            </w:r>
          </w:p>
        </w:tc>
        <w:tc>
          <w:tcPr>
            <w:tcW w:w="8440" w:type="dxa"/>
            <w:tcBorders>
              <w:top w:val="nil"/>
              <w:left w:val="nil"/>
              <w:bottom w:val="nil"/>
              <w:right w:val="nil"/>
            </w:tcBorders>
            <w:vAlign w:val="bottom"/>
          </w:tcPr>
          <w:p w14:paraId="4ED34EAE"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Daniel de Jesús González Granillo</w:t>
            </w:r>
          </w:p>
        </w:tc>
      </w:tr>
      <w:tr w:rsidR="004220B7" w:rsidRPr="007923C2" w14:paraId="08052517" w14:textId="77777777" w:rsidTr="00FA30F9">
        <w:trPr>
          <w:trHeight w:val="183"/>
        </w:trPr>
        <w:tc>
          <w:tcPr>
            <w:tcW w:w="1400" w:type="dxa"/>
            <w:tcBorders>
              <w:top w:val="nil"/>
              <w:left w:val="nil"/>
              <w:bottom w:val="nil"/>
              <w:right w:val="nil"/>
            </w:tcBorders>
            <w:vAlign w:val="bottom"/>
          </w:tcPr>
          <w:p w14:paraId="55FEB9F9"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w:t>
            </w:r>
          </w:p>
        </w:tc>
        <w:tc>
          <w:tcPr>
            <w:tcW w:w="8440" w:type="dxa"/>
            <w:tcBorders>
              <w:top w:val="nil"/>
              <w:left w:val="nil"/>
              <w:bottom w:val="nil"/>
              <w:right w:val="nil"/>
            </w:tcBorders>
            <w:vAlign w:val="bottom"/>
          </w:tcPr>
          <w:p w14:paraId="283157E1"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Ricardo Trinidad García</w:t>
            </w:r>
          </w:p>
        </w:tc>
      </w:tr>
      <w:tr w:rsidR="004220B7" w:rsidRPr="007923C2" w14:paraId="6D476636" w14:textId="77777777" w:rsidTr="00FA30F9">
        <w:trPr>
          <w:trHeight w:val="185"/>
        </w:trPr>
        <w:tc>
          <w:tcPr>
            <w:tcW w:w="1400" w:type="dxa"/>
            <w:tcBorders>
              <w:top w:val="nil"/>
              <w:left w:val="nil"/>
              <w:bottom w:val="nil"/>
              <w:right w:val="nil"/>
            </w:tcBorders>
            <w:vAlign w:val="bottom"/>
          </w:tcPr>
          <w:p w14:paraId="486C885F"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4</w:t>
            </w:r>
          </w:p>
        </w:tc>
        <w:tc>
          <w:tcPr>
            <w:tcW w:w="8440" w:type="dxa"/>
            <w:tcBorders>
              <w:top w:val="nil"/>
              <w:left w:val="nil"/>
              <w:bottom w:val="nil"/>
              <w:right w:val="nil"/>
            </w:tcBorders>
            <w:vAlign w:val="bottom"/>
          </w:tcPr>
          <w:p w14:paraId="06B87404"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Javier Gutiérrez</w:t>
            </w:r>
          </w:p>
        </w:tc>
      </w:tr>
      <w:tr w:rsidR="004220B7" w:rsidRPr="007923C2" w14:paraId="2D587320" w14:textId="77777777" w:rsidTr="00FA30F9">
        <w:trPr>
          <w:trHeight w:val="182"/>
        </w:trPr>
        <w:tc>
          <w:tcPr>
            <w:tcW w:w="1400" w:type="dxa"/>
            <w:tcBorders>
              <w:top w:val="nil"/>
              <w:left w:val="nil"/>
              <w:bottom w:val="nil"/>
              <w:right w:val="nil"/>
            </w:tcBorders>
            <w:vAlign w:val="bottom"/>
          </w:tcPr>
          <w:p w14:paraId="67291EA0"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5</w:t>
            </w:r>
          </w:p>
        </w:tc>
        <w:tc>
          <w:tcPr>
            <w:tcW w:w="8440" w:type="dxa"/>
            <w:tcBorders>
              <w:top w:val="nil"/>
              <w:left w:val="nil"/>
              <w:bottom w:val="nil"/>
              <w:right w:val="nil"/>
            </w:tcBorders>
            <w:vAlign w:val="bottom"/>
          </w:tcPr>
          <w:p w14:paraId="2F88C774"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Juan Carlos Santos Arellano</w:t>
            </w:r>
          </w:p>
        </w:tc>
      </w:tr>
      <w:tr w:rsidR="004220B7" w:rsidRPr="007923C2" w14:paraId="4C4A8DD5" w14:textId="77777777" w:rsidTr="00FA30F9">
        <w:trPr>
          <w:trHeight w:val="185"/>
        </w:trPr>
        <w:tc>
          <w:tcPr>
            <w:tcW w:w="1400" w:type="dxa"/>
            <w:tcBorders>
              <w:top w:val="nil"/>
              <w:left w:val="nil"/>
              <w:bottom w:val="nil"/>
              <w:right w:val="nil"/>
            </w:tcBorders>
            <w:vAlign w:val="bottom"/>
          </w:tcPr>
          <w:p w14:paraId="35455F21" w14:textId="77777777" w:rsidR="00FA30F9" w:rsidRPr="007923C2" w:rsidRDefault="00FA30F9" w:rsidP="0030772E">
            <w:pPr>
              <w:widowControl w:val="0"/>
              <w:autoSpaceDE w:val="0"/>
              <w:autoSpaceDN w:val="0"/>
              <w:adjustRightInd w:val="0"/>
              <w:spacing w:line="183" w:lineRule="exact"/>
              <w:rPr>
                <w:rFonts w:ascii="Arial" w:hAnsi="Arial" w:cs="Arial"/>
                <w:sz w:val="22"/>
                <w:szCs w:val="22"/>
              </w:rPr>
            </w:pPr>
          </w:p>
          <w:p w14:paraId="415F39EC" w14:textId="77777777" w:rsidR="004220B7" w:rsidRPr="007923C2" w:rsidRDefault="004220B7"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6</w:t>
            </w:r>
          </w:p>
        </w:tc>
        <w:tc>
          <w:tcPr>
            <w:tcW w:w="8440" w:type="dxa"/>
            <w:tcBorders>
              <w:top w:val="nil"/>
              <w:left w:val="nil"/>
              <w:bottom w:val="nil"/>
              <w:right w:val="nil"/>
            </w:tcBorders>
            <w:vAlign w:val="bottom"/>
          </w:tcPr>
          <w:p w14:paraId="7D3DF0C4" w14:textId="77777777" w:rsidR="004220B7" w:rsidRPr="007923C2" w:rsidRDefault="004220B7"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Marbella Robledo Briones</w:t>
            </w:r>
          </w:p>
        </w:tc>
      </w:tr>
      <w:tr w:rsidR="004220B7" w:rsidRPr="007923C2" w14:paraId="3DAD8828" w14:textId="77777777" w:rsidTr="00FA30F9">
        <w:trPr>
          <w:trHeight w:val="185"/>
        </w:trPr>
        <w:tc>
          <w:tcPr>
            <w:tcW w:w="1400" w:type="dxa"/>
            <w:tcBorders>
              <w:top w:val="nil"/>
              <w:left w:val="nil"/>
              <w:bottom w:val="nil"/>
              <w:right w:val="nil"/>
            </w:tcBorders>
            <w:vAlign w:val="bottom"/>
          </w:tcPr>
          <w:p w14:paraId="632FFD51"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7</w:t>
            </w:r>
          </w:p>
        </w:tc>
        <w:tc>
          <w:tcPr>
            <w:tcW w:w="8440" w:type="dxa"/>
            <w:tcBorders>
              <w:top w:val="nil"/>
              <w:left w:val="nil"/>
              <w:bottom w:val="nil"/>
              <w:right w:val="nil"/>
            </w:tcBorders>
            <w:vAlign w:val="bottom"/>
          </w:tcPr>
          <w:p w14:paraId="4315FD91"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Elliot Ricardo</w:t>
            </w:r>
          </w:p>
        </w:tc>
      </w:tr>
      <w:tr w:rsidR="004220B7" w:rsidRPr="007923C2" w14:paraId="0CC04BF9" w14:textId="77777777" w:rsidTr="00FA30F9">
        <w:trPr>
          <w:trHeight w:val="182"/>
        </w:trPr>
        <w:tc>
          <w:tcPr>
            <w:tcW w:w="1400" w:type="dxa"/>
            <w:tcBorders>
              <w:top w:val="nil"/>
              <w:left w:val="nil"/>
              <w:bottom w:val="nil"/>
              <w:right w:val="nil"/>
            </w:tcBorders>
            <w:vAlign w:val="bottom"/>
          </w:tcPr>
          <w:p w14:paraId="454D3043"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8</w:t>
            </w:r>
          </w:p>
        </w:tc>
        <w:tc>
          <w:tcPr>
            <w:tcW w:w="8440" w:type="dxa"/>
            <w:tcBorders>
              <w:top w:val="nil"/>
              <w:left w:val="nil"/>
              <w:bottom w:val="nil"/>
              <w:right w:val="nil"/>
            </w:tcBorders>
            <w:vAlign w:val="bottom"/>
          </w:tcPr>
          <w:p w14:paraId="3D4149FD"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Diana Belem Villa Delgado</w:t>
            </w:r>
          </w:p>
        </w:tc>
      </w:tr>
      <w:tr w:rsidR="004220B7" w:rsidRPr="007923C2" w14:paraId="52D62011" w14:textId="77777777" w:rsidTr="00FA30F9">
        <w:trPr>
          <w:trHeight w:val="185"/>
        </w:trPr>
        <w:tc>
          <w:tcPr>
            <w:tcW w:w="1400" w:type="dxa"/>
            <w:tcBorders>
              <w:top w:val="nil"/>
              <w:left w:val="nil"/>
              <w:bottom w:val="nil"/>
              <w:right w:val="nil"/>
            </w:tcBorders>
            <w:vAlign w:val="bottom"/>
          </w:tcPr>
          <w:p w14:paraId="482F59DC"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9</w:t>
            </w:r>
          </w:p>
        </w:tc>
        <w:tc>
          <w:tcPr>
            <w:tcW w:w="8440" w:type="dxa"/>
            <w:tcBorders>
              <w:top w:val="nil"/>
              <w:left w:val="nil"/>
              <w:bottom w:val="nil"/>
              <w:right w:val="nil"/>
            </w:tcBorders>
            <w:vAlign w:val="bottom"/>
          </w:tcPr>
          <w:p w14:paraId="5B9734EC"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Juan Trinidad Cruz</w:t>
            </w:r>
          </w:p>
        </w:tc>
      </w:tr>
      <w:tr w:rsidR="004220B7" w:rsidRPr="007923C2" w14:paraId="1DF269B7" w14:textId="77777777" w:rsidTr="00FA30F9">
        <w:trPr>
          <w:trHeight w:val="185"/>
        </w:trPr>
        <w:tc>
          <w:tcPr>
            <w:tcW w:w="1400" w:type="dxa"/>
            <w:tcBorders>
              <w:top w:val="nil"/>
              <w:left w:val="nil"/>
              <w:bottom w:val="nil"/>
              <w:right w:val="nil"/>
            </w:tcBorders>
            <w:vAlign w:val="bottom"/>
          </w:tcPr>
          <w:p w14:paraId="7B992050"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10</w:t>
            </w:r>
          </w:p>
        </w:tc>
        <w:tc>
          <w:tcPr>
            <w:tcW w:w="8440" w:type="dxa"/>
            <w:tcBorders>
              <w:top w:val="nil"/>
              <w:left w:val="nil"/>
              <w:bottom w:val="nil"/>
              <w:right w:val="nil"/>
            </w:tcBorders>
            <w:vAlign w:val="bottom"/>
          </w:tcPr>
          <w:p w14:paraId="3C798BBB"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Fernando Quiñones Nieves</w:t>
            </w:r>
          </w:p>
        </w:tc>
      </w:tr>
      <w:tr w:rsidR="004220B7" w:rsidRPr="007923C2" w14:paraId="0CAB8326" w14:textId="77777777" w:rsidTr="00FA30F9">
        <w:trPr>
          <w:trHeight w:val="182"/>
        </w:trPr>
        <w:tc>
          <w:tcPr>
            <w:tcW w:w="1400" w:type="dxa"/>
            <w:tcBorders>
              <w:top w:val="nil"/>
              <w:left w:val="nil"/>
              <w:bottom w:val="nil"/>
              <w:right w:val="nil"/>
            </w:tcBorders>
            <w:vAlign w:val="bottom"/>
          </w:tcPr>
          <w:p w14:paraId="77CE50B8"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11</w:t>
            </w:r>
          </w:p>
        </w:tc>
        <w:tc>
          <w:tcPr>
            <w:tcW w:w="8440" w:type="dxa"/>
            <w:tcBorders>
              <w:top w:val="nil"/>
              <w:left w:val="nil"/>
              <w:bottom w:val="nil"/>
              <w:right w:val="nil"/>
            </w:tcBorders>
            <w:vAlign w:val="bottom"/>
          </w:tcPr>
          <w:p w14:paraId="40FB885F"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Fabián Pérez Labrada</w:t>
            </w:r>
          </w:p>
        </w:tc>
      </w:tr>
      <w:tr w:rsidR="004220B7" w:rsidRPr="007923C2" w14:paraId="3F7F1056" w14:textId="77777777" w:rsidTr="00FA30F9">
        <w:trPr>
          <w:trHeight w:val="185"/>
        </w:trPr>
        <w:tc>
          <w:tcPr>
            <w:tcW w:w="1400" w:type="dxa"/>
            <w:tcBorders>
              <w:top w:val="nil"/>
              <w:left w:val="nil"/>
              <w:bottom w:val="nil"/>
              <w:right w:val="nil"/>
            </w:tcBorders>
            <w:vAlign w:val="bottom"/>
          </w:tcPr>
          <w:p w14:paraId="2AD30C18"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12</w:t>
            </w:r>
          </w:p>
        </w:tc>
        <w:tc>
          <w:tcPr>
            <w:tcW w:w="8440" w:type="dxa"/>
            <w:tcBorders>
              <w:top w:val="nil"/>
              <w:left w:val="nil"/>
              <w:bottom w:val="nil"/>
              <w:right w:val="nil"/>
            </w:tcBorders>
            <w:vAlign w:val="bottom"/>
          </w:tcPr>
          <w:p w14:paraId="7D83AC89"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Jeremías Ramírez Pérez</w:t>
            </w:r>
          </w:p>
        </w:tc>
      </w:tr>
      <w:tr w:rsidR="004220B7" w:rsidRPr="007923C2" w14:paraId="612D88EB" w14:textId="77777777" w:rsidTr="00FA30F9">
        <w:trPr>
          <w:trHeight w:val="185"/>
        </w:trPr>
        <w:tc>
          <w:tcPr>
            <w:tcW w:w="1400" w:type="dxa"/>
            <w:tcBorders>
              <w:top w:val="nil"/>
              <w:left w:val="nil"/>
              <w:bottom w:val="nil"/>
              <w:right w:val="nil"/>
            </w:tcBorders>
            <w:vAlign w:val="bottom"/>
          </w:tcPr>
          <w:p w14:paraId="08A283CB"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13</w:t>
            </w:r>
          </w:p>
        </w:tc>
        <w:tc>
          <w:tcPr>
            <w:tcW w:w="8440" w:type="dxa"/>
            <w:tcBorders>
              <w:top w:val="nil"/>
              <w:left w:val="nil"/>
              <w:bottom w:val="nil"/>
              <w:right w:val="nil"/>
            </w:tcBorders>
            <w:vAlign w:val="bottom"/>
          </w:tcPr>
          <w:p w14:paraId="5DA6C056"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Jesús Asunción Pérez Morales</w:t>
            </w:r>
          </w:p>
        </w:tc>
      </w:tr>
      <w:tr w:rsidR="004220B7" w:rsidRPr="007923C2" w14:paraId="6331950C" w14:textId="77777777" w:rsidTr="00FA30F9">
        <w:trPr>
          <w:trHeight w:val="182"/>
        </w:trPr>
        <w:tc>
          <w:tcPr>
            <w:tcW w:w="1400" w:type="dxa"/>
            <w:tcBorders>
              <w:top w:val="nil"/>
              <w:left w:val="nil"/>
              <w:bottom w:val="nil"/>
              <w:right w:val="nil"/>
            </w:tcBorders>
            <w:vAlign w:val="bottom"/>
          </w:tcPr>
          <w:p w14:paraId="2AEA8BDE"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14</w:t>
            </w:r>
          </w:p>
        </w:tc>
        <w:tc>
          <w:tcPr>
            <w:tcW w:w="8440" w:type="dxa"/>
            <w:tcBorders>
              <w:top w:val="nil"/>
              <w:left w:val="nil"/>
              <w:bottom w:val="nil"/>
              <w:right w:val="nil"/>
            </w:tcBorders>
            <w:vAlign w:val="bottom"/>
          </w:tcPr>
          <w:p w14:paraId="03049E17"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Carmelo Alanís Abdón</w:t>
            </w:r>
          </w:p>
        </w:tc>
      </w:tr>
      <w:tr w:rsidR="004220B7" w:rsidRPr="007923C2" w14:paraId="510F6000" w14:textId="77777777" w:rsidTr="00FA30F9">
        <w:trPr>
          <w:trHeight w:val="185"/>
        </w:trPr>
        <w:tc>
          <w:tcPr>
            <w:tcW w:w="1400" w:type="dxa"/>
            <w:tcBorders>
              <w:top w:val="nil"/>
              <w:left w:val="nil"/>
              <w:bottom w:val="nil"/>
              <w:right w:val="nil"/>
            </w:tcBorders>
            <w:vAlign w:val="bottom"/>
          </w:tcPr>
          <w:p w14:paraId="002FCC26"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15</w:t>
            </w:r>
          </w:p>
        </w:tc>
        <w:tc>
          <w:tcPr>
            <w:tcW w:w="8440" w:type="dxa"/>
            <w:tcBorders>
              <w:top w:val="nil"/>
              <w:left w:val="nil"/>
              <w:bottom w:val="nil"/>
              <w:right w:val="nil"/>
            </w:tcBorders>
            <w:vAlign w:val="bottom"/>
          </w:tcPr>
          <w:p w14:paraId="44B78FAB"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Fabián Cruz López</w:t>
            </w:r>
          </w:p>
        </w:tc>
      </w:tr>
      <w:tr w:rsidR="004220B7" w:rsidRPr="007923C2" w14:paraId="4999C455" w14:textId="77777777" w:rsidTr="00FA30F9">
        <w:trPr>
          <w:trHeight w:val="185"/>
        </w:trPr>
        <w:tc>
          <w:tcPr>
            <w:tcW w:w="1400" w:type="dxa"/>
            <w:tcBorders>
              <w:top w:val="nil"/>
              <w:left w:val="nil"/>
              <w:bottom w:val="nil"/>
              <w:right w:val="nil"/>
            </w:tcBorders>
            <w:vAlign w:val="bottom"/>
          </w:tcPr>
          <w:p w14:paraId="55E2AFCC"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16</w:t>
            </w:r>
          </w:p>
        </w:tc>
        <w:tc>
          <w:tcPr>
            <w:tcW w:w="8440" w:type="dxa"/>
            <w:tcBorders>
              <w:top w:val="nil"/>
              <w:left w:val="nil"/>
              <w:bottom w:val="nil"/>
              <w:right w:val="nil"/>
            </w:tcBorders>
            <w:vAlign w:val="bottom"/>
          </w:tcPr>
          <w:p w14:paraId="747F101B"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Arturo Hernandez del Ángel</w:t>
            </w:r>
          </w:p>
        </w:tc>
      </w:tr>
      <w:tr w:rsidR="004220B7" w:rsidRPr="007923C2" w14:paraId="509D4979" w14:textId="77777777" w:rsidTr="00FA30F9">
        <w:trPr>
          <w:trHeight w:val="182"/>
        </w:trPr>
        <w:tc>
          <w:tcPr>
            <w:tcW w:w="1400" w:type="dxa"/>
            <w:tcBorders>
              <w:top w:val="nil"/>
              <w:left w:val="nil"/>
              <w:bottom w:val="nil"/>
              <w:right w:val="nil"/>
            </w:tcBorders>
            <w:vAlign w:val="bottom"/>
          </w:tcPr>
          <w:p w14:paraId="2B0DD9B5"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17</w:t>
            </w:r>
          </w:p>
        </w:tc>
        <w:tc>
          <w:tcPr>
            <w:tcW w:w="8440" w:type="dxa"/>
            <w:tcBorders>
              <w:top w:val="nil"/>
              <w:left w:val="nil"/>
              <w:bottom w:val="nil"/>
              <w:right w:val="nil"/>
            </w:tcBorders>
            <w:vAlign w:val="bottom"/>
          </w:tcPr>
          <w:p w14:paraId="4D65ACA6"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Diego Raúl Benita Torres</w:t>
            </w:r>
          </w:p>
        </w:tc>
      </w:tr>
      <w:tr w:rsidR="004220B7" w:rsidRPr="007923C2" w14:paraId="6AF406A2" w14:textId="77777777" w:rsidTr="00FA30F9">
        <w:trPr>
          <w:trHeight w:val="185"/>
        </w:trPr>
        <w:tc>
          <w:tcPr>
            <w:tcW w:w="1400" w:type="dxa"/>
            <w:tcBorders>
              <w:top w:val="nil"/>
              <w:left w:val="nil"/>
              <w:bottom w:val="nil"/>
              <w:right w:val="nil"/>
            </w:tcBorders>
            <w:vAlign w:val="bottom"/>
          </w:tcPr>
          <w:p w14:paraId="3D1899BF"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18</w:t>
            </w:r>
          </w:p>
        </w:tc>
        <w:tc>
          <w:tcPr>
            <w:tcW w:w="8440" w:type="dxa"/>
            <w:tcBorders>
              <w:top w:val="nil"/>
              <w:left w:val="nil"/>
              <w:bottom w:val="nil"/>
              <w:right w:val="nil"/>
            </w:tcBorders>
            <w:vAlign w:val="bottom"/>
          </w:tcPr>
          <w:p w14:paraId="73CF18B6"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Judith Gregorio Méndez</w:t>
            </w:r>
          </w:p>
        </w:tc>
      </w:tr>
      <w:tr w:rsidR="004220B7" w:rsidRPr="007923C2" w14:paraId="4BDDBD5C" w14:textId="77777777" w:rsidTr="00FA30F9">
        <w:trPr>
          <w:trHeight w:val="185"/>
        </w:trPr>
        <w:tc>
          <w:tcPr>
            <w:tcW w:w="1400" w:type="dxa"/>
            <w:tcBorders>
              <w:top w:val="nil"/>
              <w:left w:val="nil"/>
              <w:bottom w:val="nil"/>
              <w:right w:val="nil"/>
            </w:tcBorders>
            <w:vAlign w:val="bottom"/>
          </w:tcPr>
          <w:p w14:paraId="2EAF7342"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19</w:t>
            </w:r>
          </w:p>
        </w:tc>
        <w:tc>
          <w:tcPr>
            <w:tcW w:w="8440" w:type="dxa"/>
            <w:tcBorders>
              <w:top w:val="nil"/>
              <w:left w:val="nil"/>
              <w:bottom w:val="nil"/>
              <w:right w:val="nil"/>
            </w:tcBorders>
            <w:vAlign w:val="bottom"/>
          </w:tcPr>
          <w:p w14:paraId="1BE56EF0"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Abigail López Cruz</w:t>
            </w:r>
          </w:p>
        </w:tc>
      </w:tr>
      <w:tr w:rsidR="004220B7" w:rsidRPr="007923C2" w14:paraId="4A502C94" w14:textId="77777777" w:rsidTr="00FA30F9">
        <w:trPr>
          <w:trHeight w:val="182"/>
        </w:trPr>
        <w:tc>
          <w:tcPr>
            <w:tcW w:w="1400" w:type="dxa"/>
            <w:tcBorders>
              <w:top w:val="nil"/>
              <w:left w:val="nil"/>
              <w:bottom w:val="nil"/>
              <w:right w:val="nil"/>
            </w:tcBorders>
            <w:vAlign w:val="bottom"/>
          </w:tcPr>
          <w:p w14:paraId="14B659E7"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20</w:t>
            </w:r>
          </w:p>
        </w:tc>
        <w:tc>
          <w:tcPr>
            <w:tcW w:w="8440" w:type="dxa"/>
            <w:tcBorders>
              <w:top w:val="nil"/>
              <w:left w:val="nil"/>
              <w:bottom w:val="nil"/>
              <w:right w:val="nil"/>
            </w:tcBorders>
            <w:vAlign w:val="bottom"/>
          </w:tcPr>
          <w:p w14:paraId="32A3A07A"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Mariano Narcia Velazco</w:t>
            </w:r>
          </w:p>
        </w:tc>
      </w:tr>
      <w:tr w:rsidR="004220B7" w:rsidRPr="007923C2" w14:paraId="3B5F5402" w14:textId="77777777" w:rsidTr="00FA30F9">
        <w:trPr>
          <w:trHeight w:val="185"/>
        </w:trPr>
        <w:tc>
          <w:tcPr>
            <w:tcW w:w="1400" w:type="dxa"/>
            <w:tcBorders>
              <w:top w:val="nil"/>
              <w:left w:val="nil"/>
              <w:bottom w:val="nil"/>
              <w:right w:val="nil"/>
            </w:tcBorders>
            <w:vAlign w:val="bottom"/>
          </w:tcPr>
          <w:p w14:paraId="00CB15D1"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21</w:t>
            </w:r>
          </w:p>
        </w:tc>
        <w:tc>
          <w:tcPr>
            <w:tcW w:w="8440" w:type="dxa"/>
            <w:tcBorders>
              <w:top w:val="nil"/>
              <w:left w:val="nil"/>
              <w:bottom w:val="nil"/>
              <w:right w:val="nil"/>
            </w:tcBorders>
            <w:vAlign w:val="bottom"/>
          </w:tcPr>
          <w:p w14:paraId="0A10A38F"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Angélica Cortes Montiel</w:t>
            </w:r>
          </w:p>
        </w:tc>
      </w:tr>
      <w:tr w:rsidR="004220B7" w:rsidRPr="007923C2" w14:paraId="56998FEB" w14:textId="77777777" w:rsidTr="00FA30F9">
        <w:trPr>
          <w:trHeight w:val="185"/>
        </w:trPr>
        <w:tc>
          <w:tcPr>
            <w:tcW w:w="1400" w:type="dxa"/>
            <w:tcBorders>
              <w:top w:val="nil"/>
              <w:left w:val="nil"/>
              <w:bottom w:val="nil"/>
              <w:right w:val="nil"/>
            </w:tcBorders>
            <w:vAlign w:val="bottom"/>
          </w:tcPr>
          <w:p w14:paraId="53269266"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22</w:t>
            </w:r>
          </w:p>
        </w:tc>
        <w:tc>
          <w:tcPr>
            <w:tcW w:w="8440" w:type="dxa"/>
            <w:tcBorders>
              <w:top w:val="nil"/>
              <w:left w:val="nil"/>
              <w:bottom w:val="nil"/>
              <w:right w:val="nil"/>
            </w:tcBorders>
            <w:vAlign w:val="bottom"/>
          </w:tcPr>
          <w:p w14:paraId="09CB4819"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Adriana Martinez Estrella</w:t>
            </w:r>
          </w:p>
        </w:tc>
      </w:tr>
      <w:tr w:rsidR="004220B7" w:rsidRPr="007923C2" w14:paraId="4B757B9A" w14:textId="77777777" w:rsidTr="00FA30F9">
        <w:trPr>
          <w:trHeight w:val="182"/>
        </w:trPr>
        <w:tc>
          <w:tcPr>
            <w:tcW w:w="1400" w:type="dxa"/>
            <w:tcBorders>
              <w:top w:val="nil"/>
              <w:left w:val="nil"/>
              <w:bottom w:val="nil"/>
              <w:right w:val="nil"/>
            </w:tcBorders>
            <w:vAlign w:val="bottom"/>
          </w:tcPr>
          <w:p w14:paraId="5C3303FC"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23</w:t>
            </w:r>
          </w:p>
        </w:tc>
        <w:tc>
          <w:tcPr>
            <w:tcW w:w="8440" w:type="dxa"/>
            <w:tcBorders>
              <w:top w:val="nil"/>
              <w:left w:val="nil"/>
              <w:bottom w:val="nil"/>
              <w:right w:val="nil"/>
            </w:tcBorders>
            <w:vAlign w:val="bottom"/>
          </w:tcPr>
          <w:p w14:paraId="2C2CBDAE"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Alejandro de León Sifuentes</w:t>
            </w:r>
          </w:p>
        </w:tc>
      </w:tr>
      <w:tr w:rsidR="004220B7" w:rsidRPr="007923C2" w14:paraId="692FBA46" w14:textId="77777777" w:rsidTr="00FA30F9">
        <w:trPr>
          <w:trHeight w:val="185"/>
        </w:trPr>
        <w:tc>
          <w:tcPr>
            <w:tcW w:w="1400" w:type="dxa"/>
            <w:tcBorders>
              <w:top w:val="nil"/>
              <w:left w:val="nil"/>
              <w:bottom w:val="nil"/>
              <w:right w:val="nil"/>
            </w:tcBorders>
            <w:vAlign w:val="bottom"/>
          </w:tcPr>
          <w:p w14:paraId="7513900B"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24</w:t>
            </w:r>
          </w:p>
        </w:tc>
        <w:tc>
          <w:tcPr>
            <w:tcW w:w="8440" w:type="dxa"/>
            <w:tcBorders>
              <w:top w:val="nil"/>
              <w:left w:val="nil"/>
              <w:bottom w:val="nil"/>
              <w:right w:val="nil"/>
            </w:tcBorders>
            <w:vAlign w:val="bottom"/>
          </w:tcPr>
          <w:p w14:paraId="0A89F2AE"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Diana López Márquez</w:t>
            </w:r>
          </w:p>
        </w:tc>
      </w:tr>
      <w:tr w:rsidR="004220B7" w:rsidRPr="007923C2" w14:paraId="2D5D48FE" w14:textId="77777777" w:rsidTr="00FA30F9">
        <w:trPr>
          <w:trHeight w:val="185"/>
        </w:trPr>
        <w:tc>
          <w:tcPr>
            <w:tcW w:w="1400" w:type="dxa"/>
            <w:tcBorders>
              <w:top w:val="nil"/>
              <w:left w:val="nil"/>
              <w:bottom w:val="nil"/>
              <w:right w:val="nil"/>
            </w:tcBorders>
            <w:vAlign w:val="bottom"/>
          </w:tcPr>
          <w:p w14:paraId="670A110E"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25</w:t>
            </w:r>
          </w:p>
        </w:tc>
        <w:tc>
          <w:tcPr>
            <w:tcW w:w="8440" w:type="dxa"/>
            <w:tcBorders>
              <w:top w:val="nil"/>
              <w:left w:val="nil"/>
              <w:bottom w:val="nil"/>
              <w:right w:val="nil"/>
            </w:tcBorders>
            <w:vAlign w:val="bottom"/>
          </w:tcPr>
          <w:p w14:paraId="083D2912"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Álvaro Solís Morales</w:t>
            </w:r>
          </w:p>
        </w:tc>
      </w:tr>
      <w:tr w:rsidR="004220B7" w:rsidRPr="007923C2" w14:paraId="46DA5D5A" w14:textId="77777777" w:rsidTr="00FA30F9">
        <w:trPr>
          <w:trHeight w:val="182"/>
        </w:trPr>
        <w:tc>
          <w:tcPr>
            <w:tcW w:w="1400" w:type="dxa"/>
            <w:tcBorders>
              <w:top w:val="nil"/>
              <w:left w:val="nil"/>
              <w:bottom w:val="nil"/>
              <w:right w:val="nil"/>
            </w:tcBorders>
            <w:vAlign w:val="bottom"/>
          </w:tcPr>
          <w:p w14:paraId="6EC60D9D"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26</w:t>
            </w:r>
          </w:p>
        </w:tc>
        <w:tc>
          <w:tcPr>
            <w:tcW w:w="8440" w:type="dxa"/>
            <w:tcBorders>
              <w:top w:val="nil"/>
              <w:left w:val="nil"/>
              <w:bottom w:val="nil"/>
              <w:right w:val="nil"/>
            </w:tcBorders>
            <w:vAlign w:val="bottom"/>
          </w:tcPr>
          <w:p w14:paraId="3F053BF8"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Eslit Cortez Hernandez</w:t>
            </w:r>
          </w:p>
        </w:tc>
      </w:tr>
      <w:tr w:rsidR="004220B7" w:rsidRPr="007923C2" w14:paraId="1B5EF7E0" w14:textId="77777777" w:rsidTr="00FA30F9">
        <w:trPr>
          <w:trHeight w:val="185"/>
        </w:trPr>
        <w:tc>
          <w:tcPr>
            <w:tcW w:w="1400" w:type="dxa"/>
            <w:tcBorders>
              <w:top w:val="nil"/>
              <w:left w:val="nil"/>
              <w:bottom w:val="nil"/>
              <w:right w:val="nil"/>
            </w:tcBorders>
            <w:vAlign w:val="bottom"/>
          </w:tcPr>
          <w:p w14:paraId="423C31BE"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Alumno 27</w:t>
            </w:r>
          </w:p>
        </w:tc>
        <w:tc>
          <w:tcPr>
            <w:tcW w:w="8440" w:type="dxa"/>
            <w:tcBorders>
              <w:top w:val="nil"/>
              <w:left w:val="nil"/>
              <w:bottom w:val="nil"/>
              <w:right w:val="nil"/>
            </w:tcBorders>
            <w:vAlign w:val="bottom"/>
          </w:tcPr>
          <w:p w14:paraId="1A4D1D05"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Juan Rosas Ángeles</w:t>
            </w:r>
          </w:p>
        </w:tc>
      </w:tr>
      <w:tr w:rsidR="004220B7" w:rsidRPr="007923C2" w14:paraId="475D451A" w14:textId="77777777" w:rsidTr="00FA30F9">
        <w:trPr>
          <w:trHeight w:val="185"/>
        </w:trPr>
        <w:tc>
          <w:tcPr>
            <w:tcW w:w="1400" w:type="dxa"/>
            <w:tcBorders>
              <w:top w:val="nil"/>
              <w:left w:val="nil"/>
              <w:bottom w:val="nil"/>
              <w:right w:val="nil"/>
            </w:tcBorders>
            <w:vAlign w:val="bottom"/>
          </w:tcPr>
          <w:p w14:paraId="2558028D"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28</w:t>
            </w:r>
          </w:p>
        </w:tc>
        <w:tc>
          <w:tcPr>
            <w:tcW w:w="8440" w:type="dxa"/>
            <w:tcBorders>
              <w:top w:val="nil"/>
              <w:left w:val="nil"/>
              <w:bottom w:val="nil"/>
              <w:right w:val="nil"/>
            </w:tcBorders>
            <w:vAlign w:val="bottom"/>
          </w:tcPr>
          <w:p w14:paraId="3C669B36"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Efrén Carmona Peinado</w:t>
            </w:r>
          </w:p>
        </w:tc>
      </w:tr>
      <w:tr w:rsidR="004220B7" w:rsidRPr="007923C2" w14:paraId="7E455274" w14:textId="77777777" w:rsidTr="00FA30F9">
        <w:trPr>
          <w:trHeight w:val="182"/>
        </w:trPr>
        <w:tc>
          <w:tcPr>
            <w:tcW w:w="1400" w:type="dxa"/>
            <w:tcBorders>
              <w:top w:val="nil"/>
              <w:left w:val="nil"/>
              <w:bottom w:val="nil"/>
              <w:right w:val="nil"/>
            </w:tcBorders>
            <w:vAlign w:val="bottom"/>
          </w:tcPr>
          <w:p w14:paraId="6030D228"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29</w:t>
            </w:r>
          </w:p>
        </w:tc>
        <w:tc>
          <w:tcPr>
            <w:tcW w:w="8440" w:type="dxa"/>
            <w:tcBorders>
              <w:top w:val="nil"/>
              <w:left w:val="nil"/>
              <w:bottom w:val="nil"/>
              <w:right w:val="nil"/>
            </w:tcBorders>
            <w:vAlign w:val="bottom"/>
          </w:tcPr>
          <w:p w14:paraId="4BFB2EF5"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Gary Zamudio Rodríguez</w:t>
            </w:r>
          </w:p>
        </w:tc>
      </w:tr>
      <w:tr w:rsidR="004220B7" w:rsidRPr="007923C2" w14:paraId="701FCD1E" w14:textId="77777777" w:rsidTr="00FA30F9">
        <w:trPr>
          <w:trHeight w:val="185"/>
        </w:trPr>
        <w:tc>
          <w:tcPr>
            <w:tcW w:w="1400" w:type="dxa"/>
            <w:tcBorders>
              <w:top w:val="nil"/>
              <w:left w:val="nil"/>
              <w:bottom w:val="nil"/>
              <w:right w:val="nil"/>
            </w:tcBorders>
            <w:vAlign w:val="bottom"/>
          </w:tcPr>
          <w:p w14:paraId="44792A18"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30</w:t>
            </w:r>
          </w:p>
        </w:tc>
        <w:tc>
          <w:tcPr>
            <w:tcW w:w="8440" w:type="dxa"/>
            <w:tcBorders>
              <w:top w:val="nil"/>
              <w:left w:val="nil"/>
              <w:bottom w:val="nil"/>
              <w:right w:val="nil"/>
            </w:tcBorders>
            <w:vAlign w:val="bottom"/>
          </w:tcPr>
          <w:p w14:paraId="7750C198"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Jorge Rodrigo Silva Mena</w:t>
            </w:r>
          </w:p>
        </w:tc>
      </w:tr>
      <w:tr w:rsidR="004220B7" w:rsidRPr="007923C2" w14:paraId="44928285" w14:textId="77777777" w:rsidTr="00FA30F9">
        <w:trPr>
          <w:trHeight w:val="185"/>
        </w:trPr>
        <w:tc>
          <w:tcPr>
            <w:tcW w:w="1400" w:type="dxa"/>
            <w:tcBorders>
              <w:top w:val="nil"/>
              <w:left w:val="nil"/>
              <w:bottom w:val="nil"/>
              <w:right w:val="nil"/>
            </w:tcBorders>
            <w:vAlign w:val="bottom"/>
          </w:tcPr>
          <w:p w14:paraId="0F0CDD21"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31</w:t>
            </w:r>
          </w:p>
        </w:tc>
        <w:tc>
          <w:tcPr>
            <w:tcW w:w="8440" w:type="dxa"/>
            <w:tcBorders>
              <w:top w:val="nil"/>
              <w:left w:val="nil"/>
              <w:bottom w:val="nil"/>
              <w:right w:val="nil"/>
            </w:tcBorders>
            <w:vAlign w:val="bottom"/>
          </w:tcPr>
          <w:p w14:paraId="7B8BFDBF"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Karla Virginia Mellado Moreno</w:t>
            </w:r>
          </w:p>
        </w:tc>
      </w:tr>
      <w:tr w:rsidR="004220B7" w:rsidRPr="007923C2" w14:paraId="219C51E9" w14:textId="77777777" w:rsidTr="00FA30F9">
        <w:trPr>
          <w:trHeight w:val="182"/>
        </w:trPr>
        <w:tc>
          <w:tcPr>
            <w:tcW w:w="1400" w:type="dxa"/>
            <w:tcBorders>
              <w:top w:val="nil"/>
              <w:left w:val="nil"/>
              <w:bottom w:val="nil"/>
              <w:right w:val="nil"/>
            </w:tcBorders>
            <w:vAlign w:val="bottom"/>
          </w:tcPr>
          <w:p w14:paraId="43A60527"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32</w:t>
            </w:r>
          </w:p>
        </w:tc>
        <w:tc>
          <w:tcPr>
            <w:tcW w:w="8440" w:type="dxa"/>
            <w:tcBorders>
              <w:top w:val="nil"/>
              <w:left w:val="nil"/>
              <w:bottom w:val="nil"/>
              <w:right w:val="nil"/>
            </w:tcBorders>
            <w:vAlign w:val="bottom"/>
          </w:tcPr>
          <w:p w14:paraId="53208507"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Santos Omar Ortega Zapata</w:t>
            </w:r>
          </w:p>
        </w:tc>
      </w:tr>
      <w:tr w:rsidR="004220B7" w:rsidRPr="007923C2" w14:paraId="56CBC84B" w14:textId="77777777" w:rsidTr="00FA30F9">
        <w:trPr>
          <w:trHeight w:val="185"/>
        </w:trPr>
        <w:tc>
          <w:tcPr>
            <w:tcW w:w="1400" w:type="dxa"/>
            <w:tcBorders>
              <w:top w:val="nil"/>
              <w:left w:val="nil"/>
              <w:bottom w:val="nil"/>
              <w:right w:val="nil"/>
            </w:tcBorders>
            <w:vAlign w:val="bottom"/>
          </w:tcPr>
          <w:p w14:paraId="04FF0E7F"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33</w:t>
            </w:r>
          </w:p>
        </w:tc>
        <w:tc>
          <w:tcPr>
            <w:tcW w:w="8440" w:type="dxa"/>
            <w:tcBorders>
              <w:top w:val="nil"/>
              <w:left w:val="nil"/>
              <w:bottom w:val="nil"/>
              <w:right w:val="nil"/>
            </w:tcBorders>
            <w:vAlign w:val="bottom"/>
          </w:tcPr>
          <w:p w14:paraId="47DBD01D"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Rodrigo Prado Vargas</w:t>
            </w:r>
          </w:p>
        </w:tc>
      </w:tr>
      <w:tr w:rsidR="004220B7" w:rsidRPr="007923C2" w14:paraId="71AFC77E" w14:textId="77777777" w:rsidTr="00FA30F9">
        <w:trPr>
          <w:trHeight w:val="185"/>
        </w:trPr>
        <w:tc>
          <w:tcPr>
            <w:tcW w:w="1400" w:type="dxa"/>
            <w:tcBorders>
              <w:top w:val="nil"/>
              <w:left w:val="nil"/>
              <w:bottom w:val="nil"/>
              <w:right w:val="nil"/>
            </w:tcBorders>
            <w:vAlign w:val="bottom"/>
          </w:tcPr>
          <w:p w14:paraId="62CFC454"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34</w:t>
            </w:r>
          </w:p>
        </w:tc>
        <w:tc>
          <w:tcPr>
            <w:tcW w:w="8440" w:type="dxa"/>
            <w:tcBorders>
              <w:top w:val="nil"/>
              <w:left w:val="nil"/>
              <w:bottom w:val="nil"/>
              <w:right w:val="nil"/>
            </w:tcBorders>
            <w:vAlign w:val="bottom"/>
          </w:tcPr>
          <w:p w14:paraId="57ABB79C" w14:textId="77777777"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Jaime Arturo Rodas Velazco</w:t>
            </w:r>
          </w:p>
        </w:tc>
      </w:tr>
      <w:tr w:rsidR="004220B7" w:rsidRPr="007923C2" w14:paraId="2AF40FA4" w14:textId="77777777" w:rsidTr="00FA30F9">
        <w:trPr>
          <w:trHeight w:val="182"/>
        </w:trPr>
        <w:tc>
          <w:tcPr>
            <w:tcW w:w="1400" w:type="dxa"/>
            <w:tcBorders>
              <w:top w:val="nil"/>
              <w:left w:val="nil"/>
              <w:bottom w:val="nil"/>
              <w:right w:val="nil"/>
            </w:tcBorders>
            <w:vAlign w:val="bottom"/>
          </w:tcPr>
          <w:p w14:paraId="7F851538"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35</w:t>
            </w:r>
          </w:p>
        </w:tc>
        <w:tc>
          <w:tcPr>
            <w:tcW w:w="8440" w:type="dxa"/>
            <w:tcBorders>
              <w:top w:val="nil"/>
              <w:left w:val="nil"/>
              <w:bottom w:val="nil"/>
              <w:right w:val="nil"/>
            </w:tcBorders>
            <w:vAlign w:val="bottom"/>
          </w:tcPr>
          <w:p w14:paraId="2F8C0DA4" w14:textId="77777777"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Dalia López López</w:t>
            </w:r>
          </w:p>
        </w:tc>
      </w:tr>
    </w:tbl>
    <w:p w14:paraId="7008CFDB" w14:textId="77777777" w:rsidR="00973738" w:rsidRDefault="00973738" w:rsidP="00A37674">
      <w:pPr>
        <w:widowControl w:val="0"/>
        <w:autoSpaceDE w:val="0"/>
        <w:autoSpaceDN w:val="0"/>
        <w:adjustRightInd w:val="0"/>
        <w:spacing w:line="200" w:lineRule="exact"/>
        <w:rPr>
          <w:rFonts w:ascii="Arial" w:hAnsi="Arial" w:cs="Arial"/>
          <w:b/>
          <w:bCs/>
          <w:sz w:val="22"/>
          <w:szCs w:val="22"/>
        </w:rPr>
      </w:pPr>
    </w:p>
    <w:p w14:paraId="1D1AF720" w14:textId="77777777" w:rsidR="00A37674" w:rsidRPr="007923C2" w:rsidRDefault="00A37674" w:rsidP="00A37674">
      <w:pPr>
        <w:widowControl w:val="0"/>
        <w:autoSpaceDE w:val="0"/>
        <w:autoSpaceDN w:val="0"/>
        <w:adjustRightInd w:val="0"/>
        <w:spacing w:line="200" w:lineRule="exact"/>
        <w:rPr>
          <w:rFonts w:ascii="Arial" w:hAnsi="Arial" w:cs="Arial"/>
          <w:sz w:val="22"/>
          <w:szCs w:val="22"/>
        </w:rPr>
      </w:pPr>
      <w:r w:rsidRPr="007923C2">
        <w:rPr>
          <w:rFonts w:ascii="Arial" w:hAnsi="Arial" w:cs="Arial"/>
          <w:b/>
          <w:bCs/>
          <w:sz w:val="22"/>
          <w:szCs w:val="22"/>
        </w:rPr>
        <w:t>En relación a la preparación que recibió de la UAAAN ¿qué aspectos le ayudaron a conseguir su empleo actual?</w:t>
      </w:r>
    </w:p>
    <w:p w14:paraId="2E875620" w14:textId="0A7BC3D2" w:rsidR="00A37674" w:rsidRPr="007923C2" w:rsidRDefault="00A37674" w:rsidP="00A37674">
      <w:pPr>
        <w:widowControl w:val="0"/>
        <w:overflowPunct w:val="0"/>
        <w:autoSpaceDE w:val="0"/>
        <w:autoSpaceDN w:val="0"/>
        <w:adjustRightInd w:val="0"/>
        <w:spacing w:line="229" w:lineRule="auto"/>
        <w:ind w:right="20"/>
        <w:jc w:val="both"/>
        <w:rPr>
          <w:rFonts w:ascii="Arial" w:hAnsi="Arial" w:cs="Arial"/>
          <w:sz w:val="22"/>
          <w:szCs w:val="22"/>
        </w:rPr>
      </w:pPr>
      <w:r w:rsidRPr="007923C2">
        <w:rPr>
          <w:rFonts w:ascii="Arial" w:hAnsi="Arial" w:cs="Arial"/>
          <w:sz w:val="22"/>
          <w:szCs w:val="22"/>
        </w:rPr>
        <w:t xml:space="preserve">Entre los aspectos que más le ayudaron a conseguir el empleo actual, se encuentra </w:t>
      </w:r>
      <w:r w:rsidRPr="007923C2">
        <w:rPr>
          <w:rFonts w:ascii="Arial" w:hAnsi="Arial" w:cs="Arial"/>
          <w:b/>
          <w:bCs/>
          <w:sz w:val="22"/>
          <w:szCs w:val="22"/>
        </w:rPr>
        <w:t>la formación</w:t>
      </w:r>
      <w:r w:rsidR="00235053">
        <w:rPr>
          <w:rFonts w:ascii="Arial" w:hAnsi="Arial" w:cs="Arial"/>
          <w:b/>
          <w:bCs/>
          <w:sz w:val="22"/>
          <w:szCs w:val="22"/>
        </w:rPr>
        <w:t xml:space="preserve"> </w:t>
      </w:r>
      <w:r w:rsidRPr="007923C2">
        <w:rPr>
          <w:rFonts w:ascii="Arial" w:hAnsi="Arial" w:cs="Arial"/>
          <w:b/>
          <w:bCs/>
          <w:sz w:val="22"/>
          <w:szCs w:val="22"/>
        </w:rPr>
        <w:t xml:space="preserve">académica recibida </w:t>
      </w:r>
      <w:r w:rsidRPr="007923C2">
        <w:rPr>
          <w:rFonts w:ascii="Arial" w:hAnsi="Arial" w:cs="Arial"/>
          <w:sz w:val="22"/>
          <w:szCs w:val="22"/>
        </w:rPr>
        <w:t>con el</w:t>
      </w:r>
      <w:r w:rsidRPr="007923C2">
        <w:rPr>
          <w:rFonts w:ascii="Arial" w:hAnsi="Arial" w:cs="Arial"/>
          <w:b/>
          <w:bCs/>
          <w:sz w:val="22"/>
          <w:szCs w:val="22"/>
        </w:rPr>
        <w:t xml:space="preserve"> 45.8% </w:t>
      </w:r>
      <w:r w:rsidRPr="007923C2">
        <w:rPr>
          <w:rFonts w:ascii="Arial" w:hAnsi="Arial" w:cs="Arial"/>
          <w:sz w:val="22"/>
          <w:szCs w:val="22"/>
        </w:rPr>
        <w:t>de los egresados, 33.3% comentó de las prácticas como factor clave parala colocación, el 8.3% consideró que los valores adquiridos en la universidad fueron el factor que les ayudó a colocarse y un 8.3% comenta que fue el prestigio de la universidad.</w:t>
      </w:r>
    </w:p>
    <w:p w14:paraId="18FFD8C1" w14:textId="77777777" w:rsidR="005B6AD0" w:rsidRPr="007923C2" w:rsidRDefault="005B6AD0" w:rsidP="00A37674">
      <w:pPr>
        <w:widowControl w:val="0"/>
        <w:overflowPunct w:val="0"/>
        <w:autoSpaceDE w:val="0"/>
        <w:autoSpaceDN w:val="0"/>
        <w:adjustRightInd w:val="0"/>
        <w:spacing w:line="229" w:lineRule="auto"/>
        <w:ind w:right="20"/>
        <w:jc w:val="both"/>
        <w:rPr>
          <w:rFonts w:ascii="Arial" w:hAnsi="Arial" w:cs="Arial"/>
          <w:b/>
          <w:bCs/>
          <w:sz w:val="22"/>
          <w:szCs w:val="22"/>
        </w:rPr>
      </w:pPr>
    </w:p>
    <w:p w14:paraId="2A2B1066" w14:textId="77777777" w:rsidR="00A37674" w:rsidRPr="007923C2" w:rsidRDefault="00A37674" w:rsidP="00A37674">
      <w:pPr>
        <w:widowControl w:val="0"/>
        <w:overflowPunct w:val="0"/>
        <w:autoSpaceDE w:val="0"/>
        <w:autoSpaceDN w:val="0"/>
        <w:adjustRightInd w:val="0"/>
        <w:spacing w:line="229" w:lineRule="auto"/>
        <w:ind w:right="20"/>
        <w:jc w:val="both"/>
        <w:rPr>
          <w:rFonts w:ascii="Arial" w:hAnsi="Arial" w:cs="Arial"/>
          <w:sz w:val="22"/>
          <w:szCs w:val="22"/>
        </w:rPr>
      </w:pPr>
      <w:r w:rsidRPr="007923C2">
        <w:rPr>
          <w:rFonts w:ascii="Arial" w:hAnsi="Arial" w:cs="Arial"/>
          <w:b/>
          <w:bCs/>
          <w:sz w:val="22"/>
          <w:szCs w:val="22"/>
        </w:rPr>
        <w:t>Aspectos de la UAAAN que le ayudaron a conseguir su empleo</w:t>
      </w:r>
    </w:p>
    <w:tbl>
      <w:tblPr>
        <w:tblW w:w="9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20"/>
        <w:gridCol w:w="8720"/>
      </w:tblGrid>
      <w:tr w:rsidR="00A37674" w:rsidRPr="007923C2" w14:paraId="1C499616" w14:textId="77777777" w:rsidTr="00FA30F9">
        <w:trPr>
          <w:trHeight w:val="184"/>
        </w:trPr>
        <w:tc>
          <w:tcPr>
            <w:tcW w:w="1120" w:type="dxa"/>
            <w:vAlign w:val="bottom"/>
          </w:tcPr>
          <w:p w14:paraId="5120D9F1" w14:textId="77777777" w:rsidR="00A37674" w:rsidRPr="007923C2" w:rsidRDefault="00A37674" w:rsidP="00A37674">
            <w:pPr>
              <w:jc w:val="both"/>
              <w:rPr>
                <w:rFonts w:ascii="Arial" w:hAnsi="Arial" w:cs="Arial"/>
                <w:sz w:val="22"/>
                <w:szCs w:val="22"/>
              </w:rPr>
            </w:pPr>
            <w:r w:rsidRPr="007923C2">
              <w:rPr>
                <w:rFonts w:ascii="Arial" w:hAnsi="Arial" w:cs="Arial"/>
                <w:b/>
                <w:bCs/>
                <w:sz w:val="22"/>
                <w:szCs w:val="22"/>
              </w:rPr>
              <w:t>Clave 1 ...</w:t>
            </w:r>
          </w:p>
        </w:tc>
        <w:tc>
          <w:tcPr>
            <w:tcW w:w="8720" w:type="dxa"/>
            <w:vAlign w:val="bottom"/>
          </w:tcPr>
          <w:p w14:paraId="7455D7ED" w14:textId="77777777" w:rsidR="00A37674" w:rsidRPr="007923C2" w:rsidRDefault="00A37674" w:rsidP="00A37674">
            <w:pPr>
              <w:jc w:val="both"/>
              <w:rPr>
                <w:rFonts w:ascii="Arial" w:hAnsi="Arial" w:cs="Arial"/>
                <w:sz w:val="22"/>
                <w:szCs w:val="22"/>
              </w:rPr>
            </w:pPr>
            <w:r w:rsidRPr="007923C2">
              <w:rPr>
                <w:rFonts w:ascii="Arial" w:hAnsi="Arial" w:cs="Arial"/>
                <w:b/>
                <w:bCs/>
                <w:sz w:val="22"/>
                <w:szCs w:val="22"/>
              </w:rPr>
              <w:t>En relación a la preparación que recibió de la UAAAN</w:t>
            </w:r>
          </w:p>
        </w:tc>
      </w:tr>
      <w:tr w:rsidR="00A37674" w:rsidRPr="007923C2" w14:paraId="3ADDF72A" w14:textId="77777777" w:rsidTr="00FA30F9">
        <w:trPr>
          <w:trHeight w:val="238"/>
        </w:trPr>
        <w:tc>
          <w:tcPr>
            <w:tcW w:w="1120" w:type="dxa"/>
            <w:vAlign w:val="bottom"/>
          </w:tcPr>
          <w:p w14:paraId="4E0F8E8D"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1</w:t>
            </w:r>
          </w:p>
        </w:tc>
        <w:tc>
          <w:tcPr>
            <w:tcW w:w="8720" w:type="dxa"/>
            <w:vAlign w:val="bottom"/>
          </w:tcPr>
          <w:p w14:paraId="45DC98C7"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Todo el plan de estudios de manera integral y las prácticas realizadas en Ramos Arizpe para Gobierno del Estado de</w:t>
            </w:r>
          </w:p>
        </w:tc>
      </w:tr>
      <w:tr w:rsidR="00A37674" w:rsidRPr="007923C2" w14:paraId="3C7AD3D8" w14:textId="77777777" w:rsidTr="00FA30F9">
        <w:trPr>
          <w:trHeight w:val="185"/>
        </w:trPr>
        <w:tc>
          <w:tcPr>
            <w:tcW w:w="1120" w:type="dxa"/>
            <w:vAlign w:val="bottom"/>
          </w:tcPr>
          <w:p w14:paraId="705FDD2C" w14:textId="77777777" w:rsidR="00A37674" w:rsidRPr="007923C2" w:rsidRDefault="00A37674" w:rsidP="00A37674">
            <w:pPr>
              <w:jc w:val="both"/>
              <w:rPr>
                <w:rFonts w:ascii="Arial" w:hAnsi="Arial" w:cs="Arial"/>
                <w:sz w:val="22"/>
                <w:szCs w:val="22"/>
              </w:rPr>
            </w:pPr>
          </w:p>
        </w:tc>
        <w:tc>
          <w:tcPr>
            <w:tcW w:w="8720" w:type="dxa"/>
            <w:vAlign w:val="bottom"/>
          </w:tcPr>
          <w:p w14:paraId="28B4D5CD"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Coahuila</w:t>
            </w:r>
          </w:p>
        </w:tc>
      </w:tr>
      <w:tr w:rsidR="00A37674" w:rsidRPr="007923C2" w14:paraId="7466E6FF" w14:textId="77777777" w:rsidTr="00FA30F9">
        <w:trPr>
          <w:trHeight w:val="182"/>
        </w:trPr>
        <w:tc>
          <w:tcPr>
            <w:tcW w:w="1120" w:type="dxa"/>
            <w:vAlign w:val="bottom"/>
          </w:tcPr>
          <w:p w14:paraId="4F1DCC0D"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2</w:t>
            </w:r>
          </w:p>
        </w:tc>
        <w:tc>
          <w:tcPr>
            <w:tcW w:w="8720" w:type="dxa"/>
            <w:vAlign w:val="bottom"/>
          </w:tcPr>
          <w:p w14:paraId="4529EC9C"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Las materias propias de agro biología como botánica, modelos biológicos, laboratorio de suelos</w:t>
            </w:r>
          </w:p>
        </w:tc>
      </w:tr>
      <w:tr w:rsidR="00A37674" w:rsidRPr="007923C2" w14:paraId="340D6A0F" w14:textId="77777777" w:rsidTr="00FA30F9">
        <w:trPr>
          <w:trHeight w:val="185"/>
        </w:trPr>
        <w:tc>
          <w:tcPr>
            <w:tcW w:w="1120" w:type="dxa"/>
            <w:vAlign w:val="bottom"/>
          </w:tcPr>
          <w:p w14:paraId="2AB8CC09"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3</w:t>
            </w:r>
          </w:p>
        </w:tc>
        <w:tc>
          <w:tcPr>
            <w:tcW w:w="8720" w:type="dxa"/>
            <w:vAlign w:val="bottom"/>
          </w:tcPr>
          <w:p w14:paraId="0E783171"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El hace su tesis sobre cultivos de tejido de especies en peligro de extinción</w:t>
            </w:r>
          </w:p>
        </w:tc>
      </w:tr>
      <w:tr w:rsidR="00A37674" w:rsidRPr="007923C2" w14:paraId="29140270" w14:textId="77777777" w:rsidTr="00FA30F9">
        <w:trPr>
          <w:trHeight w:val="185"/>
        </w:trPr>
        <w:tc>
          <w:tcPr>
            <w:tcW w:w="1120" w:type="dxa"/>
            <w:vAlign w:val="bottom"/>
          </w:tcPr>
          <w:p w14:paraId="01AA8929"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4</w:t>
            </w:r>
          </w:p>
        </w:tc>
        <w:tc>
          <w:tcPr>
            <w:tcW w:w="8720" w:type="dxa"/>
            <w:vAlign w:val="bottom"/>
          </w:tcPr>
          <w:p w14:paraId="065C96DB"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Hizo la maestría y eso fue de gran ayuda para su negocio porque casi todo fue experiencia en campo que adquirió</w:t>
            </w:r>
          </w:p>
        </w:tc>
      </w:tr>
      <w:tr w:rsidR="00A37674" w:rsidRPr="007923C2" w14:paraId="48A15C72" w14:textId="77777777" w:rsidTr="00FA30F9">
        <w:trPr>
          <w:trHeight w:val="182"/>
        </w:trPr>
        <w:tc>
          <w:tcPr>
            <w:tcW w:w="1120" w:type="dxa"/>
            <w:vAlign w:val="bottom"/>
          </w:tcPr>
          <w:p w14:paraId="7FAE59F7" w14:textId="77777777" w:rsidR="00A37674" w:rsidRPr="007923C2" w:rsidRDefault="00A37674" w:rsidP="00A37674">
            <w:pPr>
              <w:jc w:val="both"/>
              <w:rPr>
                <w:rFonts w:ascii="Arial" w:hAnsi="Arial" w:cs="Arial"/>
                <w:sz w:val="22"/>
                <w:szCs w:val="22"/>
              </w:rPr>
            </w:pPr>
          </w:p>
        </w:tc>
        <w:tc>
          <w:tcPr>
            <w:tcW w:w="8720" w:type="dxa"/>
            <w:vAlign w:val="bottom"/>
          </w:tcPr>
          <w:p w14:paraId="5EBE6123"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en maestría</w:t>
            </w:r>
          </w:p>
        </w:tc>
      </w:tr>
      <w:tr w:rsidR="00A37674" w:rsidRPr="007923C2" w14:paraId="27A1AA1B" w14:textId="77777777" w:rsidTr="00FA30F9">
        <w:trPr>
          <w:trHeight w:val="185"/>
        </w:trPr>
        <w:tc>
          <w:tcPr>
            <w:tcW w:w="1120" w:type="dxa"/>
            <w:vAlign w:val="bottom"/>
          </w:tcPr>
          <w:p w14:paraId="71646E5B"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5</w:t>
            </w:r>
          </w:p>
        </w:tc>
        <w:tc>
          <w:tcPr>
            <w:tcW w:w="8720" w:type="dxa"/>
            <w:vAlign w:val="bottom"/>
          </w:tcPr>
          <w:p w14:paraId="34EA9D4F"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La excelente formación recibida en materias relacionadas con biología, ecología y suelos</w:t>
            </w:r>
          </w:p>
        </w:tc>
      </w:tr>
      <w:tr w:rsidR="00A37674" w:rsidRPr="007923C2" w14:paraId="329F2187" w14:textId="77777777" w:rsidTr="00FA30F9">
        <w:trPr>
          <w:trHeight w:val="185"/>
        </w:trPr>
        <w:tc>
          <w:tcPr>
            <w:tcW w:w="1120" w:type="dxa"/>
            <w:vAlign w:val="bottom"/>
          </w:tcPr>
          <w:p w14:paraId="00078F73"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6</w:t>
            </w:r>
          </w:p>
        </w:tc>
        <w:tc>
          <w:tcPr>
            <w:tcW w:w="8720" w:type="dxa"/>
            <w:vAlign w:val="bottom"/>
          </w:tcPr>
          <w:p w14:paraId="3D16E6C0"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Los conocimientos adquiridos en la carrera sobre todo en ecología y medio ambiente, la experiencia adquirida en el</w:t>
            </w:r>
          </w:p>
        </w:tc>
      </w:tr>
      <w:tr w:rsidR="00A37674" w:rsidRPr="007923C2" w14:paraId="296CEF02" w14:textId="77777777" w:rsidTr="00FA30F9">
        <w:trPr>
          <w:trHeight w:val="182"/>
        </w:trPr>
        <w:tc>
          <w:tcPr>
            <w:tcW w:w="1120" w:type="dxa"/>
            <w:vAlign w:val="bottom"/>
          </w:tcPr>
          <w:p w14:paraId="1DD60DFD" w14:textId="77777777" w:rsidR="00A37674" w:rsidRPr="007923C2" w:rsidRDefault="00A37674" w:rsidP="00A37674">
            <w:pPr>
              <w:jc w:val="both"/>
              <w:rPr>
                <w:rFonts w:ascii="Arial" w:hAnsi="Arial" w:cs="Arial"/>
                <w:sz w:val="22"/>
                <w:szCs w:val="22"/>
              </w:rPr>
            </w:pPr>
          </w:p>
        </w:tc>
        <w:tc>
          <w:tcPr>
            <w:tcW w:w="8720" w:type="dxa"/>
            <w:vAlign w:val="bottom"/>
          </w:tcPr>
          <w:p w14:paraId="37E36380"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semestre de campo</w:t>
            </w:r>
          </w:p>
        </w:tc>
      </w:tr>
      <w:tr w:rsidR="00A37674" w:rsidRPr="007923C2" w14:paraId="0682E41A" w14:textId="77777777" w:rsidTr="00FA30F9">
        <w:trPr>
          <w:trHeight w:val="185"/>
        </w:trPr>
        <w:tc>
          <w:tcPr>
            <w:tcW w:w="1120" w:type="dxa"/>
            <w:vAlign w:val="bottom"/>
          </w:tcPr>
          <w:p w14:paraId="5319DA78"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7</w:t>
            </w:r>
          </w:p>
        </w:tc>
        <w:tc>
          <w:tcPr>
            <w:tcW w:w="8720" w:type="dxa"/>
            <w:vAlign w:val="bottom"/>
          </w:tcPr>
          <w:p w14:paraId="21DF1705"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Básicamente por sus profundos conocimientos en fisiología, botánica y fisiología vegetal</w:t>
            </w:r>
          </w:p>
        </w:tc>
      </w:tr>
      <w:tr w:rsidR="00A37674" w:rsidRPr="007923C2" w14:paraId="73760611" w14:textId="77777777" w:rsidTr="00FA30F9">
        <w:trPr>
          <w:trHeight w:val="185"/>
        </w:trPr>
        <w:tc>
          <w:tcPr>
            <w:tcW w:w="1120" w:type="dxa"/>
            <w:vAlign w:val="bottom"/>
          </w:tcPr>
          <w:p w14:paraId="66755F48"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8</w:t>
            </w:r>
          </w:p>
        </w:tc>
        <w:tc>
          <w:tcPr>
            <w:tcW w:w="8720" w:type="dxa"/>
            <w:vAlign w:val="bottom"/>
          </w:tcPr>
          <w:p w14:paraId="3FD542F2"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La profundidad de los conocimientos impartidos durante toda la carrera</w:t>
            </w:r>
          </w:p>
        </w:tc>
      </w:tr>
      <w:tr w:rsidR="00A37674" w:rsidRPr="007923C2" w14:paraId="6FC94A41" w14:textId="77777777" w:rsidTr="00FA30F9">
        <w:trPr>
          <w:trHeight w:val="182"/>
        </w:trPr>
        <w:tc>
          <w:tcPr>
            <w:tcW w:w="1120" w:type="dxa"/>
            <w:vAlign w:val="bottom"/>
          </w:tcPr>
          <w:p w14:paraId="11D3B74F"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9</w:t>
            </w:r>
          </w:p>
        </w:tc>
        <w:tc>
          <w:tcPr>
            <w:tcW w:w="8720" w:type="dxa"/>
            <w:vAlign w:val="bottom"/>
          </w:tcPr>
          <w:p w14:paraId="022C125E"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El perfil especifico de la carrera y las materias de ambiental y ecología</w:t>
            </w:r>
          </w:p>
        </w:tc>
      </w:tr>
      <w:tr w:rsidR="00A37674" w:rsidRPr="007923C2" w14:paraId="22802CAE" w14:textId="77777777" w:rsidTr="00FA30F9">
        <w:trPr>
          <w:trHeight w:val="185"/>
        </w:trPr>
        <w:tc>
          <w:tcPr>
            <w:tcW w:w="1120" w:type="dxa"/>
            <w:vAlign w:val="bottom"/>
          </w:tcPr>
          <w:p w14:paraId="1832A2F8"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lastRenderedPageBreak/>
              <w:t>Alumno 10</w:t>
            </w:r>
          </w:p>
        </w:tc>
        <w:tc>
          <w:tcPr>
            <w:tcW w:w="8720" w:type="dxa"/>
            <w:vAlign w:val="bottom"/>
          </w:tcPr>
          <w:p w14:paraId="69A2B82B"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Su constante actualización en normatividad tanto Federal como Estatal</w:t>
            </w:r>
          </w:p>
        </w:tc>
      </w:tr>
      <w:tr w:rsidR="00A37674" w:rsidRPr="007923C2" w14:paraId="764EA5D8" w14:textId="77777777" w:rsidTr="00FA30F9">
        <w:trPr>
          <w:trHeight w:val="185"/>
        </w:trPr>
        <w:tc>
          <w:tcPr>
            <w:tcW w:w="1120" w:type="dxa"/>
            <w:vAlign w:val="bottom"/>
          </w:tcPr>
          <w:p w14:paraId="2A3EC7A2"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11</w:t>
            </w:r>
          </w:p>
        </w:tc>
        <w:tc>
          <w:tcPr>
            <w:tcW w:w="8720" w:type="dxa"/>
            <w:vAlign w:val="bottom"/>
          </w:tcPr>
          <w:p w14:paraId="457D6313" w14:textId="77777777" w:rsidR="00A37674" w:rsidRPr="007923C2" w:rsidRDefault="00A37674" w:rsidP="00A37674">
            <w:pPr>
              <w:jc w:val="both"/>
              <w:rPr>
                <w:rFonts w:ascii="Arial" w:hAnsi="Arial" w:cs="Arial"/>
                <w:sz w:val="22"/>
                <w:szCs w:val="22"/>
              </w:rPr>
            </w:pPr>
          </w:p>
        </w:tc>
      </w:tr>
      <w:tr w:rsidR="00A37674" w:rsidRPr="007923C2" w14:paraId="3E727182" w14:textId="77777777" w:rsidTr="00FA30F9">
        <w:trPr>
          <w:trHeight w:val="182"/>
        </w:trPr>
        <w:tc>
          <w:tcPr>
            <w:tcW w:w="1120" w:type="dxa"/>
            <w:vAlign w:val="bottom"/>
          </w:tcPr>
          <w:p w14:paraId="423D366C"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12</w:t>
            </w:r>
          </w:p>
        </w:tc>
        <w:tc>
          <w:tcPr>
            <w:tcW w:w="8720" w:type="dxa"/>
            <w:vAlign w:val="bottom"/>
          </w:tcPr>
          <w:p w14:paraId="415D96E4" w14:textId="77777777" w:rsidR="00A37674" w:rsidRPr="007923C2" w:rsidRDefault="00A37674" w:rsidP="00A37674">
            <w:pPr>
              <w:jc w:val="both"/>
              <w:rPr>
                <w:rFonts w:ascii="Arial" w:hAnsi="Arial" w:cs="Arial"/>
                <w:sz w:val="22"/>
                <w:szCs w:val="22"/>
              </w:rPr>
            </w:pPr>
          </w:p>
        </w:tc>
      </w:tr>
      <w:tr w:rsidR="00A37674" w:rsidRPr="007923C2" w14:paraId="482CA282" w14:textId="77777777" w:rsidTr="00FA30F9">
        <w:trPr>
          <w:trHeight w:val="185"/>
        </w:trPr>
        <w:tc>
          <w:tcPr>
            <w:tcW w:w="1120" w:type="dxa"/>
            <w:vAlign w:val="bottom"/>
          </w:tcPr>
          <w:p w14:paraId="47796969"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13</w:t>
            </w:r>
          </w:p>
        </w:tc>
        <w:tc>
          <w:tcPr>
            <w:tcW w:w="8720" w:type="dxa"/>
            <w:vAlign w:val="bottom"/>
          </w:tcPr>
          <w:p w14:paraId="17CDAB2D"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Por los conocimientos adquiridos en la especialidad y por manejo de plantas</w:t>
            </w:r>
          </w:p>
        </w:tc>
      </w:tr>
      <w:tr w:rsidR="00A37674" w:rsidRPr="007923C2" w14:paraId="5C73D7A6" w14:textId="77777777" w:rsidTr="00FA30F9">
        <w:trPr>
          <w:trHeight w:val="185"/>
        </w:trPr>
        <w:tc>
          <w:tcPr>
            <w:tcW w:w="1120" w:type="dxa"/>
            <w:vAlign w:val="bottom"/>
          </w:tcPr>
          <w:p w14:paraId="736321CD"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14</w:t>
            </w:r>
          </w:p>
        </w:tc>
        <w:tc>
          <w:tcPr>
            <w:tcW w:w="8720" w:type="dxa"/>
            <w:vAlign w:val="bottom"/>
          </w:tcPr>
          <w:p w14:paraId="3D14A7BD"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El estar titulado</w:t>
            </w:r>
          </w:p>
        </w:tc>
      </w:tr>
      <w:tr w:rsidR="00A37674" w:rsidRPr="007923C2" w14:paraId="49E51181" w14:textId="77777777" w:rsidTr="00FA30F9">
        <w:trPr>
          <w:trHeight w:val="183"/>
        </w:trPr>
        <w:tc>
          <w:tcPr>
            <w:tcW w:w="1120" w:type="dxa"/>
            <w:vAlign w:val="bottom"/>
          </w:tcPr>
          <w:p w14:paraId="6324DAE9"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15</w:t>
            </w:r>
          </w:p>
        </w:tc>
        <w:tc>
          <w:tcPr>
            <w:tcW w:w="8720" w:type="dxa"/>
            <w:vAlign w:val="bottom"/>
          </w:tcPr>
          <w:p w14:paraId="17EF1428"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 xml:space="preserve">Por la experiencia adquirida en distintas prácticas y sus exposiciones, la empresa lo vio y lo contrato al hacerle  una </w:t>
            </w:r>
          </w:p>
        </w:tc>
      </w:tr>
      <w:tr w:rsidR="00A37674" w:rsidRPr="007923C2" w14:paraId="3DE4940E" w14:textId="77777777" w:rsidTr="00FA30F9">
        <w:trPr>
          <w:trHeight w:val="185"/>
        </w:trPr>
        <w:tc>
          <w:tcPr>
            <w:tcW w:w="1120" w:type="dxa"/>
            <w:vAlign w:val="bottom"/>
          </w:tcPr>
          <w:p w14:paraId="73DD6CEF" w14:textId="77777777" w:rsidR="00A37674" w:rsidRPr="007923C2" w:rsidRDefault="00A37674" w:rsidP="00A37674">
            <w:pPr>
              <w:jc w:val="both"/>
              <w:rPr>
                <w:rFonts w:ascii="Arial" w:hAnsi="Arial" w:cs="Arial"/>
                <w:sz w:val="22"/>
                <w:szCs w:val="22"/>
              </w:rPr>
            </w:pPr>
          </w:p>
        </w:tc>
        <w:tc>
          <w:tcPr>
            <w:tcW w:w="8720" w:type="dxa"/>
            <w:vAlign w:val="bottom"/>
          </w:tcPr>
          <w:p w14:paraId="10A8FC52"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relación profesional</w:t>
            </w:r>
          </w:p>
        </w:tc>
      </w:tr>
      <w:tr w:rsidR="00A37674" w:rsidRPr="007923C2" w14:paraId="44DA2720" w14:textId="77777777" w:rsidTr="00FA30F9">
        <w:trPr>
          <w:trHeight w:val="185"/>
        </w:trPr>
        <w:tc>
          <w:tcPr>
            <w:tcW w:w="1120" w:type="dxa"/>
            <w:vAlign w:val="bottom"/>
          </w:tcPr>
          <w:p w14:paraId="0510B4C2"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16</w:t>
            </w:r>
          </w:p>
        </w:tc>
        <w:tc>
          <w:tcPr>
            <w:tcW w:w="8720" w:type="dxa"/>
            <w:vAlign w:val="bottom"/>
          </w:tcPr>
          <w:p w14:paraId="6CF31784"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Todo</w:t>
            </w:r>
          </w:p>
        </w:tc>
      </w:tr>
      <w:tr w:rsidR="00A37674" w:rsidRPr="007923C2" w14:paraId="22ABC622" w14:textId="77777777" w:rsidTr="00FA30F9">
        <w:trPr>
          <w:trHeight w:val="182"/>
        </w:trPr>
        <w:tc>
          <w:tcPr>
            <w:tcW w:w="1120" w:type="dxa"/>
            <w:vAlign w:val="bottom"/>
          </w:tcPr>
          <w:p w14:paraId="001BE05A"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17</w:t>
            </w:r>
          </w:p>
        </w:tc>
        <w:tc>
          <w:tcPr>
            <w:tcW w:w="8720" w:type="dxa"/>
            <w:vAlign w:val="bottom"/>
          </w:tcPr>
          <w:p w14:paraId="487A9B7C"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Preparación fuera de salón sobre todo las prácticas</w:t>
            </w:r>
          </w:p>
        </w:tc>
      </w:tr>
      <w:tr w:rsidR="00A37674" w:rsidRPr="007923C2" w14:paraId="75942A58" w14:textId="77777777" w:rsidTr="00FA30F9">
        <w:trPr>
          <w:trHeight w:val="185"/>
        </w:trPr>
        <w:tc>
          <w:tcPr>
            <w:tcW w:w="1120" w:type="dxa"/>
            <w:vAlign w:val="bottom"/>
          </w:tcPr>
          <w:p w14:paraId="32DCBF4C"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18</w:t>
            </w:r>
          </w:p>
        </w:tc>
        <w:tc>
          <w:tcPr>
            <w:tcW w:w="8720" w:type="dxa"/>
            <w:vAlign w:val="bottom"/>
          </w:tcPr>
          <w:p w14:paraId="59A3A23F"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No, ayudaron en mucho</w:t>
            </w:r>
          </w:p>
        </w:tc>
      </w:tr>
      <w:tr w:rsidR="00A37674" w:rsidRPr="007923C2" w14:paraId="536FA24F" w14:textId="77777777" w:rsidTr="00FA30F9">
        <w:trPr>
          <w:trHeight w:val="185"/>
        </w:trPr>
        <w:tc>
          <w:tcPr>
            <w:tcW w:w="1120" w:type="dxa"/>
            <w:vAlign w:val="bottom"/>
          </w:tcPr>
          <w:p w14:paraId="50295B8B"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19</w:t>
            </w:r>
          </w:p>
        </w:tc>
        <w:tc>
          <w:tcPr>
            <w:tcW w:w="8720" w:type="dxa"/>
            <w:vAlign w:val="bottom"/>
          </w:tcPr>
          <w:p w14:paraId="5DA9BAC9"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Todo, ya que desarrollo mi carrera</w:t>
            </w:r>
          </w:p>
        </w:tc>
      </w:tr>
      <w:tr w:rsidR="00A37674" w:rsidRPr="007923C2" w14:paraId="6778E183" w14:textId="77777777" w:rsidTr="00FA30F9">
        <w:trPr>
          <w:trHeight w:val="182"/>
        </w:trPr>
        <w:tc>
          <w:tcPr>
            <w:tcW w:w="1120" w:type="dxa"/>
            <w:vAlign w:val="bottom"/>
          </w:tcPr>
          <w:p w14:paraId="7CB2A31D"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20</w:t>
            </w:r>
          </w:p>
        </w:tc>
        <w:tc>
          <w:tcPr>
            <w:tcW w:w="8720" w:type="dxa"/>
            <w:vAlign w:val="bottom"/>
          </w:tcPr>
          <w:p w14:paraId="6C287762"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Área de taxonomía, Modelación Biológica, Forestal</w:t>
            </w:r>
          </w:p>
        </w:tc>
      </w:tr>
      <w:tr w:rsidR="00A37674" w:rsidRPr="007923C2" w14:paraId="5814525F" w14:textId="77777777" w:rsidTr="00FA30F9">
        <w:trPr>
          <w:trHeight w:val="185"/>
        </w:trPr>
        <w:tc>
          <w:tcPr>
            <w:tcW w:w="1120" w:type="dxa"/>
            <w:vAlign w:val="bottom"/>
          </w:tcPr>
          <w:p w14:paraId="2370429F"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21</w:t>
            </w:r>
          </w:p>
        </w:tc>
        <w:tc>
          <w:tcPr>
            <w:tcW w:w="8720" w:type="dxa"/>
            <w:vAlign w:val="bottom"/>
          </w:tcPr>
          <w:p w14:paraId="24B8940C"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Todo lo relacionado con agronomía botánica</w:t>
            </w:r>
          </w:p>
        </w:tc>
      </w:tr>
      <w:tr w:rsidR="00A37674" w:rsidRPr="007923C2" w14:paraId="54C8861E" w14:textId="77777777" w:rsidTr="00FA30F9">
        <w:trPr>
          <w:trHeight w:val="185"/>
        </w:trPr>
        <w:tc>
          <w:tcPr>
            <w:tcW w:w="1120" w:type="dxa"/>
            <w:vAlign w:val="bottom"/>
          </w:tcPr>
          <w:p w14:paraId="1EA8E154"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22</w:t>
            </w:r>
          </w:p>
        </w:tc>
        <w:tc>
          <w:tcPr>
            <w:tcW w:w="8720" w:type="dxa"/>
            <w:vAlign w:val="bottom"/>
          </w:tcPr>
          <w:p w14:paraId="4FD90CAF" w14:textId="77777777" w:rsidR="00A37674" w:rsidRPr="007923C2" w:rsidRDefault="00A37674" w:rsidP="00A37674">
            <w:pPr>
              <w:jc w:val="both"/>
              <w:rPr>
                <w:rFonts w:ascii="Arial" w:hAnsi="Arial" w:cs="Arial"/>
                <w:sz w:val="22"/>
                <w:szCs w:val="22"/>
              </w:rPr>
            </w:pPr>
          </w:p>
        </w:tc>
      </w:tr>
      <w:tr w:rsidR="00A37674" w:rsidRPr="007923C2" w14:paraId="48D3261C" w14:textId="77777777" w:rsidTr="00FA30F9">
        <w:trPr>
          <w:trHeight w:val="182"/>
        </w:trPr>
        <w:tc>
          <w:tcPr>
            <w:tcW w:w="1120" w:type="dxa"/>
            <w:vAlign w:val="bottom"/>
          </w:tcPr>
          <w:p w14:paraId="2BCDFFFF"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23</w:t>
            </w:r>
          </w:p>
        </w:tc>
        <w:tc>
          <w:tcPr>
            <w:tcW w:w="8720" w:type="dxa"/>
            <w:vAlign w:val="bottom"/>
          </w:tcPr>
          <w:p w14:paraId="18E29DF9" w14:textId="77777777" w:rsidR="00A37674" w:rsidRPr="007923C2" w:rsidRDefault="00A37674" w:rsidP="00A37674">
            <w:pPr>
              <w:jc w:val="both"/>
              <w:rPr>
                <w:rFonts w:ascii="Arial" w:hAnsi="Arial" w:cs="Arial"/>
                <w:sz w:val="22"/>
                <w:szCs w:val="22"/>
              </w:rPr>
            </w:pPr>
          </w:p>
        </w:tc>
      </w:tr>
      <w:tr w:rsidR="00A37674" w:rsidRPr="007923C2" w14:paraId="558D7866" w14:textId="77777777" w:rsidTr="00FA30F9">
        <w:trPr>
          <w:trHeight w:val="185"/>
        </w:trPr>
        <w:tc>
          <w:tcPr>
            <w:tcW w:w="1120" w:type="dxa"/>
            <w:vAlign w:val="bottom"/>
          </w:tcPr>
          <w:p w14:paraId="6769D30A"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24</w:t>
            </w:r>
          </w:p>
        </w:tc>
        <w:tc>
          <w:tcPr>
            <w:tcW w:w="8720" w:type="dxa"/>
            <w:vAlign w:val="bottom"/>
          </w:tcPr>
          <w:p w14:paraId="61D222CA" w14:textId="77777777" w:rsidR="00A37674" w:rsidRPr="007923C2" w:rsidRDefault="00A37674" w:rsidP="00A37674">
            <w:pPr>
              <w:jc w:val="both"/>
              <w:rPr>
                <w:rFonts w:ascii="Arial" w:hAnsi="Arial" w:cs="Arial"/>
                <w:sz w:val="22"/>
                <w:szCs w:val="22"/>
              </w:rPr>
            </w:pPr>
          </w:p>
        </w:tc>
      </w:tr>
      <w:tr w:rsidR="00A37674" w:rsidRPr="007923C2" w14:paraId="7A58AF7B" w14:textId="77777777" w:rsidTr="00FA30F9">
        <w:trPr>
          <w:trHeight w:val="185"/>
        </w:trPr>
        <w:tc>
          <w:tcPr>
            <w:tcW w:w="1120" w:type="dxa"/>
            <w:vAlign w:val="bottom"/>
          </w:tcPr>
          <w:p w14:paraId="2F50B2CE"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25</w:t>
            </w:r>
          </w:p>
        </w:tc>
        <w:tc>
          <w:tcPr>
            <w:tcW w:w="8720" w:type="dxa"/>
            <w:vAlign w:val="bottom"/>
          </w:tcPr>
          <w:p w14:paraId="45E842D5"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El gran nivel de enseñanza de la especialidad de botánica y biología</w:t>
            </w:r>
          </w:p>
        </w:tc>
      </w:tr>
      <w:tr w:rsidR="00A37674" w:rsidRPr="007923C2" w14:paraId="15DAED1E" w14:textId="77777777" w:rsidTr="00FA30F9">
        <w:trPr>
          <w:trHeight w:val="182"/>
        </w:trPr>
        <w:tc>
          <w:tcPr>
            <w:tcW w:w="1120" w:type="dxa"/>
            <w:vAlign w:val="bottom"/>
          </w:tcPr>
          <w:p w14:paraId="3750F42D"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26</w:t>
            </w:r>
          </w:p>
        </w:tc>
        <w:tc>
          <w:tcPr>
            <w:tcW w:w="8720" w:type="dxa"/>
            <w:vAlign w:val="bottom"/>
          </w:tcPr>
          <w:p w14:paraId="37B42ACE" w14:textId="77777777" w:rsidR="00A37674" w:rsidRPr="007923C2" w:rsidRDefault="00A37674" w:rsidP="00A37674">
            <w:pPr>
              <w:jc w:val="both"/>
              <w:rPr>
                <w:rFonts w:ascii="Arial" w:hAnsi="Arial" w:cs="Arial"/>
                <w:sz w:val="22"/>
                <w:szCs w:val="22"/>
              </w:rPr>
            </w:pPr>
          </w:p>
        </w:tc>
      </w:tr>
      <w:tr w:rsidR="00A37674" w:rsidRPr="007923C2" w14:paraId="3AED9447" w14:textId="77777777" w:rsidTr="00FA30F9">
        <w:trPr>
          <w:trHeight w:val="185"/>
        </w:trPr>
        <w:tc>
          <w:tcPr>
            <w:tcW w:w="1120" w:type="dxa"/>
            <w:vAlign w:val="bottom"/>
          </w:tcPr>
          <w:p w14:paraId="0AC747EE"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27</w:t>
            </w:r>
          </w:p>
        </w:tc>
        <w:tc>
          <w:tcPr>
            <w:tcW w:w="8720" w:type="dxa"/>
            <w:vAlign w:val="bottom"/>
          </w:tcPr>
          <w:p w14:paraId="1A1F3980"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El camino abierto que dejan los egresados anteriores y la imagen que dejan los compañeros por su buen desempeño</w:t>
            </w:r>
          </w:p>
        </w:tc>
      </w:tr>
      <w:tr w:rsidR="00A37674" w:rsidRPr="007923C2" w14:paraId="4C17372F" w14:textId="77777777" w:rsidTr="00FA30F9">
        <w:trPr>
          <w:trHeight w:val="185"/>
        </w:trPr>
        <w:tc>
          <w:tcPr>
            <w:tcW w:w="1120" w:type="dxa"/>
            <w:vAlign w:val="bottom"/>
          </w:tcPr>
          <w:p w14:paraId="475E4B26"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Alumno 28</w:t>
            </w:r>
          </w:p>
        </w:tc>
        <w:tc>
          <w:tcPr>
            <w:tcW w:w="8720" w:type="dxa"/>
            <w:vAlign w:val="bottom"/>
          </w:tcPr>
          <w:p w14:paraId="0775C51A" w14:textId="77777777" w:rsidR="00A37674" w:rsidRPr="007923C2" w:rsidRDefault="00A37674" w:rsidP="00A37674">
            <w:pPr>
              <w:jc w:val="both"/>
              <w:rPr>
                <w:rFonts w:ascii="Arial" w:hAnsi="Arial" w:cs="Arial"/>
                <w:sz w:val="22"/>
                <w:szCs w:val="22"/>
              </w:rPr>
            </w:pPr>
            <w:r w:rsidRPr="007923C2">
              <w:rPr>
                <w:rFonts w:ascii="Arial" w:hAnsi="Arial" w:cs="Arial"/>
                <w:sz w:val="22"/>
                <w:szCs w:val="22"/>
              </w:rPr>
              <w:t>Amplio rango de crear para laborar se determinan cuatro áreas terminales. Nos podemos adaptar fácilmente</w:t>
            </w:r>
          </w:p>
        </w:tc>
      </w:tr>
      <w:tr w:rsidR="00FA30F9" w:rsidRPr="007923C2" w14:paraId="50A8E119" w14:textId="77777777"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31ACDD84" w14:textId="77777777" w:rsidR="00FA30F9" w:rsidRPr="007923C2" w:rsidRDefault="00FA30F9" w:rsidP="00546E09">
            <w:pPr>
              <w:jc w:val="both"/>
              <w:rPr>
                <w:rFonts w:ascii="Arial" w:hAnsi="Arial" w:cs="Arial"/>
                <w:sz w:val="22"/>
                <w:szCs w:val="22"/>
              </w:rPr>
            </w:pPr>
            <w:r w:rsidRPr="007923C2">
              <w:rPr>
                <w:rFonts w:ascii="Arial" w:hAnsi="Arial" w:cs="Arial"/>
                <w:sz w:val="22"/>
                <w:szCs w:val="22"/>
              </w:rPr>
              <w:t>Alumno 29</w:t>
            </w:r>
          </w:p>
        </w:tc>
        <w:tc>
          <w:tcPr>
            <w:tcW w:w="8720" w:type="dxa"/>
            <w:tcBorders>
              <w:top w:val="single" w:sz="4" w:space="0" w:color="auto"/>
              <w:left w:val="single" w:sz="4" w:space="0" w:color="auto"/>
              <w:bottom w:val="single" w:sz="4" w:space="0" w:color="auto"/>
              <w:right w:val="single" w:sz="4" w:space="0" w:color="auto"/>
            </w:tcBorders>
            <w:vAlign w:val="bottom"/>
          </w:tcPr>
          <w:p w14:paraId="4FBAE9D1" w14:textId="77777777" w:rsidR="00FA30F9" w:rsidRPr="007923C2" w:rsidRDefault="00FA30F9" w:rsidP="00546E09">
            <w:pPr>
              <w:jc w:val="both"/>
              <w:rPr>
                <w:rFonts w:ascii="Arial" w:hAnsi="Arial" w:cs="Arial"/>
                <w:sz w:val="22"/>
                <w:szCs w:val="22"/>
              </w:rPr>
            </w:pPr>
          </w:p>
        </w:tc>
      </w:tr>
      <w:tr w:rsidR="00FA30F9" w:rsidRPr="007923C2" w14:paraId="5D1ABBB4" w14:textId="77777777"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79D064AE" w14:textId="77777777" w:rsidR="00FA30F9" w:rsidRPr="007923C2" w:rsidRDefault="00FA30F9" w:rsidP="00546E09">
            <w:pPr>
              <w:jc w:val="both"/>
              <w:rPr>
                <w:rFonts w:ascii="Arial" w:hAnsi="Arial" w:cs="Arial"/>
                <w:sz w:val="22"/>
                <w:szCs w:val="22"/>
              </w:rPr>
            </w:pPr>
            <w:r w:rsidRPr="007923C2">
              <w:rPr>
                <w:rFonts w:ascii="Arial" w:hAnsi="Arial" w:cs="Arial"/>
                <w:sz w:val="22"/>
                <w:szCs w:val="22"/>
              </w:rPr>
              <w:t>Alumno 30</w:t>
            </w:r>
          </w:p>
        </w:tc>
        <w:tc>
          <w:tcPr>
            <w:tcW w:w="8720" w:type="dxa"/>
            <w:tcBorders>
              <w:top w:val="single" w:sz="4" w:space="0" w:color="auto"/>
              <w:left w:val="single" w:sz="4" w:space="0" w:color="auto"/>
              <w:bottom w:val="single" w:sz="4" w:space="0" w:color="auto"/>
              <w:right w:val="single" w:sz="4" w:space="0" w:color="auto"/>
            </w:tcBorders>
            <w:vAlign w:val="bottom"/>
          </w:tcPr>
          <w:p w14:paraId="4AB356EE" w14:textId="77777777" w:rsidR="00FA30F9" w:rsidRPr="007923C2" w:rsidRDefault="00FA30F9" w:rsidP="00546E09">
            <w:pPr>
              <w:jc w:val="both"/>
              <w:rPr>
                <w:rFonts w:ascii="Arial" w:hAnsi="Arial" w:cs="Arial"/>
                <w:sz w:val="22"/>
                <w:szCs w:val="22"/>
              </w:rPr>
            </w:pPr>
            <w:r w:rsidRPr="007923C2">
              <w:rPr>
                <w:rFonts w:ascii="Arial" w:hAnsi="Arial" w:cs="Arial"/>
                <w:sz w:val="22"/>
                <w:szCs w:val="22"/>
              </w:rPr>
              <w:t>El perfil académico de la carrera, sus prácticas en laboratorio de la institución        Institución</w:t>
            </w:r>
          </w:p>
        </w:tc>
      </w:tr>
      <w:tr w:rsidR="00FA30F9" w:rsidRPr="007923C2" w14:paraId="2EBA9D43" w14:textId="77777777"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659FE106" w14:textId="77777777" w:rsidR="00FA30F9" w:rsidRPr="007923C2" w:rsidRDefault="00FA30F9" w:rsidP="00FA30F9">
            <w:pPr>
              <w:jc w:val="both"/>
              <w:rPr>
                <w:rFonts w:ascii="Arial" w:hAnsi="Arial" w:cs="Arial"/>
                <w:sz w:val="22"/>
                <w:szCs w:val="22"/>
              </w:rPr>
            </w:pPr>
            <w:r w:rsidRPr="007923C2">
              <w:rPr>
                <w:rFonts w:ascii="Arial" w:hAnsi="Arial" w:cs="Arial"/>
                <w:sz w:val="22"/>
                <w:szCs w:val="22"/>
              </w:rPr>
              <w:t>Alumno 31</w:t>
            </w:r>
          </w:p>
        </w:tc>
        <w:tc>
          <w:tcPr>
            <w:tcW w:w="8720" w:type="dxa"/>
            <w:tcBorders>
              <w:top w:val="single" w:sz="4" w:space="0" w:color="auto"/>
              <w:left w:val="single" w:sz="4" w:space="0" w:color="auto"/>
              <w:bottom w:val="single" w:sz="4" w:space="0" w:color="auto"/>
              <w:right w:val="single" w:sz="4" w:space="0" w:color="auto"/>
            </w:tcBorders>
            <w:vAlign w:val="bottom"/>
          </w:tcPr>
          <w:p w14:paraId="41888DF4" w14:textId="77777777" w:rsidR="00FA30F9" w:rsidRPr="007923C2" w:rsidRDefault="00FA30F9" w:rsidP="00546E09">
            <w:pPr>
              <w:jc w:val="both"/>
              <w:rPr>
                <w:rFonts w:ascii="Arial" w:hAnsi="Arial" w:cs="Arial"/>
                <w:sz w:val="22"/>
                <w:szCs w:val="22"/>
              </w:rPr>
            </w:pPr>
            <w:r w:rsidRPr="007923C2">
              <w:rPr>
                <w:rFonts w:ascii="Arial" w:hAnsi="Arial" w:cs="Arial"/>
                <w:sz w:val="22"/>
                <w:szCs w:val="22"/>
              </w:rPr>
              <w:t>Amplio rango de crear para laborar se determinan cuatro áreas terminales. Nos podemos adaptar fácilmente</w:t>
            </w:r>
          </w:p>
        </w:tc>
      </w:tr>
      <w:tr w:rsidR="00FA30F9" w:rsidRPr="007923C2" w14:paraId="002D842D" w14:textId="77777777"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482FE217" w14:textId="77777777" w:rsidR="00FA30F9" w:rsidRPr="007923C2" w:rsidRDefault="00FA30F9" w:rsidP="00FA30F9">
            <w:pPr>
              <w:jc w:val="both"/>
              <w:rPr>
                <w:rFonts w:ascii="Arial" w:hAnsi="Arial" w:cs="Arial"/>
                <w:sz w:val="22"/>
                <w:szCs w:val="22"/>
              </w:rPr>
            </w:pPr>
            <w:r w:rsidRPr="007923C2">
              <w:rPr>
                <w:rFonts w:ascii="Arial" w:hAnsi="Arial" w:cs="Arial"/>
                <w:sz w:val="22"/>
                <w:szCs w:val="22"/>
              </w:rPr>
              <w:t>Alumno 32</w:t>
            </w:r>
          </w:p>
        </w:tc>
        <w:tc>
          <w:tcPr>
            <w:tcW w:w="8720" w:type="dxa"/>
            <w:tcBorders>
              <w:top w:val="single" w:sz="4" w:space="0" w:color="auto"/>
              <w:left w:val="single" w:sz="4" w:space="0" w:color="auto"/>
              <w:bottom w:val="single" w:sz="4" w:space="0" w:color="auto"/>
              <w:right w:val="single" w:sz="4" w:space="0" w:color="auto"/>
            </w:tcBorders>
            <w:vAlign w:val="bottom"/>
          </w:tcPr>
          <w:p w14:paraId="70016285" w14:textId="77777777" w:rsidR="00FA30F9" w:rsidRPr="007923C2" w:rsidRDefault="000F34EF" w:rsidP="00546E09">
            <w:pPr>
              <w:jc w:val="both"/>
              <w:rPr>
                <w:rFonts w:ascii="Arial" w:hAnsi="Arial" w:cs="Arial"/>
                <w:sz w:val="22"/>
                <w:szCs w:val="22"/>
              </w:rPr>
            </w:pPr>
            <w:r w:rsidRPr="007923C2">
              <w:rPr>
                <w:rFonts w:ascii="Arial" w:hAnsi="Arial" w:cs="Arial"/>
                <w:sz w:val="22"/>
                <w:szCs w:val="22"/>
              </w:rPr>
              <w:t>El nivel educativo personal</w:t>
            </w:r>
          </w:p>
        </w:tc>
      </w:tr>
      <w:tr w:rsidR="00FA30F9" w:rsidRPr="007923C2" w14:paraId="5A541AB7" w14:textId="77777777"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6D346F90" w14:textId="77777777" w:rsidR="00FA30F9" w:rsidRPr="007923C2" w:rsidRDefault="00FA30F9" w:rsidP="00FA30F9">
            <w:pPr>
              <w:jc w:val="both"/>
              <w:rPr>
                <w:rFonts w:ascii="Arial" w:hAnsi="Arial" w:cs="Arial"/>
                <w:sz w:val="22"/>
                <w:szCs w:val="22"/>
              </w:rPr>
            </w:pPr>
            <w:r w:rsidRPr="007923C2">
              <w:rPr>
                <w:rFonts w:ascii="Arial" w:hAnsi="Arial" w:cs="Arial"/>
                <w:sz w:val="22"/>
                <w:szCs w:val="22"/>
              </w:rPr>
              <w:t>Alumno 33</w:t>
            </w:r>
          </w:p>
        </w:tc>
        <w:tc>
          <w:tcPr>
            <w:tcW w:w="8720" w:type="dxa"/>
            <w:tcBorders>
              <w:top w:val="single" w:sz="4" w:space="0" w:color="auto"/>
              <w:left w:val="single" w:sz="4" w:space="0" w:color="auto"/>
              <w:bottom w:val="single" w:sz="4" w:space="0" w:color="auto"/>
              <w:right w:val="single" w:sz="4" w:space="0" w:color="auto"/>
            </w:tcBorders>
            <w:vAlign w:val="bottom"/>
          </w:tcPr>
          <w:p w14:paraId="0FA8D084" w14:textId="77777777" w:rsidR="00FA30F9" w:rsidRPr="007923C2" w:rsidRDefault="000F34EF" w:rsidP="000F34EF">
            <w:pPr>
              <w:widowControl w:val="0"/>
              <w:tabs>
                <w:tab w:val="left" w:pos="1420"/>
              </w:tabs>
              <w:autoSpaceDE w:val="0"/>
              <w:autoSpaceDN w:val="0"/>
              <w:adjustRightInd w:val="0"/>
              <w:spacing w:line="239" w:lineRule="auto"/>
              <w:rPr>
                <w:rFonts w:ascii="Arial" w:hAnsi="Arial" w:cs="Arial"/>
                <w:sz w:val="22"/>
                <w:szCs w:val="22"/>
              </w:rPr>
            </w:pPr>
            <w:r w:rsidRPr="007923C2">
              <w:rPr>
                <w:rFonts w:ascii="Arial" w:hAnsi="Arial" w:cs="Arial"/>
                <w:sz w:val="22"/>
                <w:szCs w:val="22"/>
              </w:rPr>
              <w:t>Por el personal académico y por su conocimiento en evaluación de proyectos</w:t>
            </w:r>
          </w:p>
        </w:tc>
      </w:tr>
      <w:tr w:rsidR="00FA30F9" w:rsidRPr="007923C2" w14:paraId="77394E1C" w14:textId="77777777"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6791B240" w14:textId="77777777" w:rsidR="00FA30F9" w:rsidRPr="007923C2" w:rsidRDefault="00FA30F9" w:rsidP="00FA30F9">
            <w:pPr>
              <w:jc w:val="both"/>
              <w:rPr>
                <w:rFonts w:ascii="Arial" w:hAnsi="Arial" w:cs="Arial"/>
                <w:sz w:val="22"/>
                <w:szCs w:val="22"/>
              </w:rPr>
            </w:pPr>
            <w:r w:rsidRPr="007923C2">
              <w:rPr>
                <w:rFonts w:ascii="Arial" w:hAnsi="Arial" w:cs="Arial"/>
                <w:sz w:val="22"/>
                <w:szCs w:val="22"/>
              </w:rPr>
              <w:t>Alumno 34</w:t>
            </w:r>
          </w:p>
        </w:tc>
        <w:tc>
          <w:tcPr>
            <w:tcW w:w="8720" w:type="dxa"/>
            <w:tcBorders>
              <w:top w:val="single" w:sz="4" w:space="0" w:color="auto"/>
              <w:left w:val="single" w:sz="4" w:space="0" w:color="auto"/>
              <w:bottom w:val="single" w:sz="4" w:space="0" w:color="auto"/>
              <w:right w:val="single" w:sz="4" w:space="0" w:color="auto"/>
            </w:tcBorders>
            <w:vAlign w:val="bottom"/>
          </w:tcPr>
          <w:p w14:paraId="5B701DEF" w14:textId="77777777" w:rsidR="00FA30F9" w:rsidRPr="007923C2" w:rsidRDefault="000F34EF" w:rsidP="00546E09">
            <w:pPr>
              <w:jc w:val="both"/>
              <w:rPr>
                <w:rFonts w:ascii="Arial" w:hAnsi="Arial" w:cs="Arial"/>
                <w:sz w:val="22"/>
                <w:szCs w:val="22"/>
              </w:rPr>
            </w:pPr>
            <w:r w:rsidRPr="007923C2">
              <w:rPr>
                <w:rFonts w:ascii="Arial" w:hAnsi="Arial" w:cs="Arial"/>
                <w:sz w:val="22"/>
                <w:szCs w:val="22"/>
              </w:rPr>
              <w:t>La experiencia adquirida en las prácticas profesionales de los viajes de estancia</w:t>
            </w:r>
          </w:p>
        </w:tc>
      </w:tr>
      <w:tr w:rsidR="00FA30F9" w:rsidRPr="007923C2" w14:paraId="74038571" w14:textId="77777777"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14:paraId="6C7684C6" w14:textId="77777777" w:rsidR="00FA30F9" w:rsidRPr="007923C2" w:rsidRDefault="00FA30F9" w:rsidP="00FA30F9">
            <w:pPr>
              <w:jc w:val="both"/>
              <w:rPr>
                <w:rFonts w:ascii="Arial" w:hAnsi="Arial" w:cs="Arial"/>
                <w:sz w:val="22"/>
                <w:szCs w:val="22"/>
              </w:rPr>
            </w:pPr>
            <w:r w:rsidRPr="007923C2">
              <w:rPr>
                <w:rFonts w:ascii="Arial" w:hAnsi="Arial" w:cs="Arial"/>
                <w:sz w:val="22"/>
                <w:szCs w:val="22"/>
              </w:rPr>
              <w:t>Alumno 35</w:t>
            </w:r>
          </w:p>
        </w:tc>
        <w:tc>
          <w:tcPr>
            <w:tcW w:w="8720" w:type="dxa"/>
            <w:tcBorders>
              <w:top w:val="single" w:sz="4" w:space="0" w:color="auto"/>
              <w:left w:val="single" w:sz="4" w:space="0" w:color="auto"/>
              <w:bottom w:val="single" w:sz="4" w:space="0" w:color="auto"/>
              <w:right w:val="single" w:sz="4" w:space="0" w:color="auto"/>
            </w:tcBorders>
            <w:vAlign w:val="bottom"/>
          </w:tcPr>
          <w:p w14:paraId="19D0A2D5" w14:textId="77777777" w:rsidR="00FA30F9" w:rsidRPr="007923C2" w:rsidRDefault="00FA30F9" w:rsidP="00546E09">
            <w:pPr>
              <w:jc w:val="both"/>
              <w:rPr>
                <w:rFonts w:ascii="Arial" w:hAnsi="Arial" w:cs="Arial"/>
                <w:sz w:val="22"/>
                <w:szCs w:val="22"/>
              </w:rPr>
            </w:pPr>
          </w:p>
        </w:tc>
      </w:tr>
    </w:tbl>
    <w:p w14:paraId="46232581" w14:textId="77777777" w:rsidR="00FA30F9" w:rsidRPr="007923C2" w:rsidRDefault="00FA30F9" w:rsidP="00A37674">
      <w:pPr>
        <w:widowControl w:val="0"/>
        <w:autoSpaceDE w:val="0"/>
        <w:autoSpaceDN w:val="0"/>
        <w:adjustRightInd w:val="0"/>
        <w:rPr>
          <w:rFonts w:ascii="Arial" w:hAnsi="Arial" w:cs="Arial"/>
          <w:sz w:val="22"/>
          <w:szCs w:val="22"/>
        </w:rPr>
      </w:pPr>
    </w:p>
    <w:p w14:paraId="4D629D9B" w14:textId="77777777" w:rsidR="00A37674" w:rsidRPr="007923C2" w:rsidRDefault="00A37674" w:rsidP="00A37674">
      <w:pPr>
        <w:widowControl w:val="0"/>
        <w:overflowPunct w:val="0"/>
        <w:autoSpaceDE w:val="0"/>
        <w:autoSpaceDN w:val="0"/>
        <w:adjustRightInd w:val="0"/>
        <w:spacing w:line="218" w:lineRule="auto"/>
        <w:ind w:right="40"/>
        <w:rPr>
          <w:rFonts w:ascii="Arial" w:hAnsi="Arial" w:cs="Arial"/>
          <w:sz w:val="22"/>
          <w:szCs w:val="22"/>
        </w:rPr>
      </w:pPr>
      <w:r w:rsidRPr="007923C2">
        <w:rPr>
          <w:rFonts w:ascii="Arial" w:hAnsi="Arial" w:cs="Arial"/>
          <w:sz w:val="22"/>
          <w:szCs w:val="22"/>
        </w:rPr>
        <w:t xml:space="preserve">En lo que se refiere a la </w:t>
      </w:r>
      <w:r w:rsidRPr="007923C2">
        <w:rPr>
          <w:rFonts w:ascii="Arial" w:hAnsi="Arial" w:cs="Arial"/>
          <w:b/>
          <w:bCs/>
          <w:sz w:val="22"/>
          <w:szCs w:val="22"/>
        </w:rPr>
        <w:t>compatibilidad</w:t>
      </w:r>
      <w:r w:rsidRPr="007923C2">
        <w:rPr>
          <w:rFonts w:ascii="Arial" w:hAnsi="Arial" w:cs="Arial"/>
          <w:sz w:val="22"/>
          <w:szCs w:val="22"/>
        </w:rPr>
        <w:t xml:space="preserve"> de la carrera cursada con el empleo actual los entrevistados comentaron:</w:t>
      </w:r>
    </w:p>
    <w:tbl>
      <w:tblPr>
        <w:tblW w:w="0" w:type="auto"/>
        <w:tblInd w:w="2760" w:type="dxa"/>
        <w:tblLayout w:type="fixed"/>
        <w:tblCellMar>
          <w:left w:w="0" w:type="dxa"/>
          <w:right w:w="0" w:type="dxa"/>
        </w:tblCellMar>
        <w:tblLook w:val="0000" w:firstRow="0" w:lastRow="0" w:firstColumn="0" w:lastColumn="0" w:noHBand="0" w:noVBand="0"/>
      </w:tblPr>
      <w:tblGrid>
        <w:gridCol w:w="2680"/>
        <w:gridCol w:w="1560"/>
      </w:tblGrid>
      <w:tr w:rsidR="00A37674" w:rsidRPr="007923C2" w14:paraId="1AE23471" w14:textId="77777777" w:rsidTr="0030772E">
        <w:trPr>
          <w:trHeight w:val="269"/>
        </w:trPr>
        <w:tc>
          <w:tcPr>
            <w:tcW w:w="2680" w:type="dxa"/>
            <w:tcBorders>
              <w:top w:val="nil"/>
              <w:left w:val="nil"/>
              <w:bottom w:val="nil"/>
              <w:right w:val="nil"/>
            </w:tcBorders>
            <w:vAlign w:val="bottom"/>
          </w:tcPr>
          <w:p w14:paraId="5B4511AF" w14:textId="77777777" w:rsidR="00A37674" w:rsidRPr="007923C2" w:rsidRDefault="00A37674" w:rsidP="0030772E">
            <w:pPr>
              <w:widowControl w:val="0"/>
              <w:autoSpaceDE w:val="0"/>
              <w:autoSpaceDN w:val="0"/>
              <w:adjustRightInd w:val="0"/>
              <w:rPr>
                <w:rFonts w:ascii="Arial" w:hAnsi="Arial" w:cs="Arial"/>
                <w:sz w:val="22"/>
                <w:szCs w:val="22"/>
              </w:rPr>
            </w:pPr>
          </w:p>
        </w:tc>
        <w:tc>
          <w:tcPr>
            <w:tcW w:w="1560" w:type="dxa"/>
            <w:tcBorders>
              <w:top w:val="nil"/>
              <w:left w:val="nil"/>
              <w:bottom w:val="nil"/>
              <w:right w:val="nil"/>
            </w:tcBorders>
            <w:vAlign w:val="bottom"/>
          </w:tcPr>
          <w:p w14:paraId="03C44044" w14:textId="77777777" w:rsidR="00A37674" w:rsidRPr="007923C2" w:rsidRDefault="00A37674" w:rsidP="0030772E">
            <w:pPr>
              <w:widowControl w:val="0"/>
              <w:autoSpaceDE w:val="0"/>
              <w:autoSpaceDN w:val="0"/>
              <w:adjustRightInd w:val="0"/>
              <w:spacing w:line="267" w:lineRule="exact"/>
              <w:jc w:val="right"/>
              <w:rPr>
                <w:rFonts w:ascii="Arial" w:hAnsi="Arial" w:cs="Arial"/>
                <w:sz w:val="22"/>
                <w:szCs w:val="22"/>
              </w:rPr>
            </w:pPr>
            <w:r w:rsidRPr="007923C2">
              <w:rPr>
                <w:rFonts w:ascii="Arial" w:hAnsi="Arial" w:cs="Arial"/>
                <w:b/>
                <w:bCs/>
                <w:sz w:val="22"/>
                <w:szCs w:val="22"/>
              </w:rPr>
              <w:t>Distribución</w:t>
            </w:r>
          </w:p>
        </w:tc>
      </w:tr>
      <w:tr w:rsidR="00A37674" w:rsidRPr="007923C2" w14:paraId="4E75DCA6" w14:textId="77777777" w:rsidTr="0030772E">
        <w:trPr>
          <w:trHeight w:val="291"/>
        </w:trPr>
        <w:tc>
          <w:tcPr>
            <w:tcW w:w="2680" w:type="dxa"/>
            <w:tcBorders>
              <w:top w:val="nil"/>
              <w:left w:val="nil"/>
              <w:bottom w:val="nil"/>
              <w:right w:val="nil"/>
            </w:tcBorders>
            <w:vAlign w:val="bottom"/>
          </w:tcPr>
          <w:p w14:paraId="73028E51" w14:textId="77777777" w:rsidR="00A37674" w:rsidRPr="007923C2" w:rsidRDefault="00A37674" w:rsidP="0030772E">
            <w:pPr>
              <w:widowControl w:val="0"/>
              <w:autoSpaceDE w:val="0"/>
              <w:autoSpaceDN w:val="0"/>
              <w:adjustRightInd w:val="0"/>
              <w:spacing w:line="267" w:lineRule="exact"/>
              <w:rPr>
                <w:rFonts w:ascii="Arial" w:hAnsi="Arial" w:cs="Arial"/>
                <w:sz w:val="22"/>
                <w:szCs w:val="22"/>
              </w:rPr>
            </w:pPr>
            <w:r w:rsidRPr="007923C2">
              <w:rPr>
                <w:rFonts w:ascii="Arial" w:hAnsi="Arial" w:cs="Arial"/>
                <w:sz w:val="22"/>
                <w:szCs w:val="22"/>
              </w:rPr>
              <w:t>Muy compatible 90-100%</w:t>
            </w:r>
          </w:p>
        </w:tc>
        <w:tc>
          <w:tcPr>
            <w:tcW w:w="1560" w:type="dxa"/>
            <w:tcBorders>
              <w:top w:val="nil"/>
              <w:left w:val="nil"/>
              <w:bottom w:val="nil"/>
              <w:right w:val="nil"/>
            </w:tcBorders>
            <w:vAlign w:val="bottom"/>
          </w:tcPr>
          <w:p w14:paraId="441AAD44" w14:textId="77777777" w:rsidR="00A37674" w:rsidRPr="007923C2" w:rsidRDefault="00A37674" w:rsidP="0030772E">
            <w:pPr>
              <w:widowControl w:val="0"/>
              <w:autoSpaceDE w:val="0"/>
              <w:autoSpaceDN w:val="0"/>
              <w:adjustRightInd w:val="0"/>
              <w:spacing w:line="267" w:lineRule="exact"/>
              <w:jc w:val="right"/>
              <w:rPr>
                <w:rFonts w:ascii="Arial" w:hAnsi="Arial" w:cs="Arial"/>
                <w:sz w:val="22"/>
                <w:szCs w:val="22"/>
              </w:rPr>
            </w:pPr>
            <w:r w:rsidRPr="007923C2">
              <w:rPr>
                <w:rFonts w:ascii="Arial" w:hAnsi="Arial" w:cs="Arial"/>
                <w:sz w:val="22"/>
                <w:szCs w:val="22"/>
              </w:rPr>
              <w:t>86%</w:t>
            </w:r>
          </w:p>
        </w:tc>
      </w:tr>
      <w:tr w:rsidR="00A37674" w:rsidRPr="007923C2" w14:paraId="586372A9" w14:textId="77777777" w:rsidTr="0030772E">
        <w:trPr>
          <w:trHeight w:val="291"/>
        </w:trPr>
        <w:tc>
          <w:tcPr>
            <w:tcW w:w="2680" w:type="dxa"/>
            <w:tcBorders>
              <w:top w:val="nil"/>
              <w:left w:val="nil"/>
              <w:bottom w:val="nil"/>
              <w:right w:val="nil"/>
            </w:tcBorders>
            <w:vAlign w:val="bottom"/>
          </w:tcPr>
          <w:p w14:paraId="1A9EA912" w14:textId="77777777" w:rsidR="00A37674" w:rsidRPr="007923C2" w:rsidRDefault="00A37674" w:rsidP="0030772E">
            <w:pPr>
              <w:widowControl w:val="0"/>
              <w:autoSpaceDE w:val="0"/>
              <w:autoSpaceDN w:val="0"/>
              <w:adjustRightInd w:val="0"/>
              <w:spacing w:line="267" w:lineRule="exact"/>
              <w:rPr>
                <w:rFonts w:ascii="Arial" w:hAnsi="Arial" w:cs="Arial"/>
                <w:sz w:val="22"/>
                <w:szCs w:val="22"/>
              </w:rPr>
            </w:pPr>
            <w:r w:rsidRPr="007923C2">
              <w:rPr>
                <w:rFonts w:ascii="Arial" w:hAnsi="Arial" w:cs="Arial"/>
                <w:sz w:val="22"/>
                <w:szCs w:val="22"/>
              </w:rPr>
              <w:t>Compatible 70-80%</w:t>
            </w:r>
          </w:p>
        </w:tc>
        <w:tc>
          <w:tcPr>
            <w:tcW w:w="1560" w:type="dxa"/>
            <w:tcBorders>
              <w:top w:val="nil"/>
              <w:left w:val="nil"/>
              <w:bottom w:val="nil"/>
              <w:right w:val="nil"/>
            </w:tcBorders>
            <w:vAlign w:val="bottom"/>
          </w:tcPr>
          <w:p w14:paraId="53C8C612" w14:textId="77777777" w:rsidR="00A37674" w:rsidRPr="007923C2" w:rsidRDefault="00A37674" w:rsidP="0030772E">
            <w:pPr>
              <w:widowControl w:val="0"/>
              <w:autoSpaceDE w:val="0"/>
              <w:autoSpaceDN w:val="0"/>
              <w:adjustRightInd w:val="0"/>
              <w:spacing w:line="267" w:lineRule="exact"/>
              <w:jc w:val="right"/>
              <w:rPr>
                <w:rFonts w:ascii="Arial" w:hAnsi="Arial" w:cs="Arial"/>
                <w:sz w:val="22"/>
                <w:szCs w:val="22"/>
              </w:rPr>
            </w:pPr>
            <w:r w:rsidRPr="007923C2">
              <w:rPr>
                <w:rFonts w:ascii="Arial" w:hAnsi="Arial" w:cs="Arial"/>
                <w:sz w:val="22"/>
                <w:szCs w:val="22"/>
              </w:rPr>
              <w:t>5%</w:t>
            </w:r>
          </w:p>
        </w:tc>
      </w:tr>
      <w:tr w:rsidR="00A37674" w:rsidRPr="007923C2" w14:paraId="5DF922C2" w14:textId="77777777" w:rsidTr="0030772E">
        <w:trPr>
          <w:trHeight w:val="291"/>
        </w:trPr>
        <w:tc>
          <w:tcPr>
            <w:tcW w:w="2680" w:type="dxa"/>
            <w:tcBorders>
              <w:top w:val="nil"/>
              <w:left w:val="nil"/>
              <w:bottom w:val="nil"/>
              <w:right w:val="nil"/>
            </w:tcBorders>
            <w:vAlign w:val="bottom"/>
          </w:tcPr>
          <w:p w14:paraId="7A329A3A" w14:textId="77777777" w:rsidR="00A37674" w:rsidRPr="007923C2" w:rsidRDefault="00A37674" w:rsidP="0030772E">
            <w:pPr>
              <w:widowControl w:val="0"/>
              <w:autoSpaceDE w:val="0"/>
              <w:autoSpaceDN w:val="0"/>
              <w:adjustRightInd w:val="0"/>
              <w:spacing w:line="267" w:lineRule="exact"/>
              <w:rPr>
                <w:rFonts w:ascii="Arial" w:hAnsi="Arial" w:cs="Arial"/>
                <w:sz w:val="22"/>
                <w:szCs w:val="22"/>
              </w:rPr>
            </w:pPr>
            <w:r w:rsidRPr="007923C2">
              <w:rPr>
                <w:rFonts w:ascii="Arial" w:hAnsi="Arial" w:cs="Arial"/>
                <w:sz w:val="22"/>
                <w:szCs w:val="22"/>
              </w:rPr>
              <w:t>Poco compatible 50-60%</w:t>
            </w:r>
          </w:p>
        </w:tc>
        <w:tc>
          <w:tcPr>
            <w:tcW w:w="1560" w:type="dxa"/>
            <w:tcBorders>
              <w:top w:val="nil"/>
              <w:left w:val="nil"/>
              <w:bottom w:val="nil"/>
              <w:right w:val="nil"/>
            </w:tcBorders>
            <w:vAlign w:val="bottom"/>
          </w:tcPr>
          <w:p w14:paraId="0253A54D" w14:textId="77777777" w:rsidR="00A37674" w:rsidRPr="007923C2" w:rsidRDefault="00A37674" w:rsidP="0030772E">
            <w:pPr>
              <w:widowControl w:val="0"/>
              <w:autoSpaceDE w:val="0"/>
              <w:autoSpaceDN w:val="0"/>
              <w:adjustRightInd w:val="0"/>
              <w:spacing w:line="267" w:lineRule="exact"/>
              <w:jc w:val="right"/>
              <w:rPr>
                <w:rFonts w:ascii="Arial" w:hAnsi="Arial" w:cs="Arial"/>
                <w:sz w:val="22"/>
                <w:szCs w:val="22"/>
              </w:rPr>
            </w:pPr>
            <w:r w:rsidRPr="007923C2">
              <w:rPr>
                <w:rFonts w:ascii="Arial" w:hAnsi="Arial" w:cs="Arial"/>
                <w:sz w:val="22"/>
                <w:szCs w:val="22"/>
              </w:rPr>
              <w:t>9%</w:t>
            </w:r>
          </w:p>
        </w:tc>
      </w:tr>
    </w:tbl>
    <w:p w14:paraId="39B757A1" w14:textId="77777777" w:rsidR="00A37674" w:rsidRPr="007923C2" w:rsidRDefault="00A37674" w:rsidP="004220B7">
      <w:pPr>
        <w:jc w:val="both"/>
        <w:rPr>
          <w:rFonts w:ascii="Arial" w:hAnsi="Arial" w:cs="Arial"/>
          <w:sz w:val="22"/>
          <w:szCs w:val="22"/>
        </w:rPr>
      </w:pPr>
    </w:p>
    <w:p w14:paraId="49A97C3A" w14:textId="77777777" w:rsidR="00973738" w:rsidRDefault="00973738" w:rsidP="0030772E">
      <w:pPr>
        <w:jc w:val="both"/>
        <w:rPr>
          <w:rFonts w:ascii="Arial" w:hAnsi="Arial" w:cs="Arial"/>
          <w:b/>
          <w:bCs/>
          <w:sz w:val="22"/>
          <w:szCs w:val="22"/>
        </w:rPr>
      </w:pPr>
    </w:p>
    <w:p w14:paraId="060F9484" w14:textId="77777777" w:rsidR="0030772E" w:rsidRPr="007923C2" w:rsidRDefault="0030772E" w:rsidP="0030772E">
      <w:pPr>
        <w:jc w:val="both"/>
        <w:rPr>
          <w:rFonts w:ascii="Arial" w:hAnsi="Arial" w:cs="Arial"/>
          <w:sz w:val="22"/>
          <w:szCs w:val="22"/>
        </w:rPr>
      </w:pPr>
      <w:r w:rsidRPr="007923C2">
        <w:rPr>
          <w:rFonts w:ascii="Arial" w:hAnsi="Arial" w:cs="Arial"/>
          <w:b/>
          <w:bCs/>
          <w:sz w:val="22"/>
          <w:szCs w:val="22"/>
        </w:rPr>
        <w:t>¿Cuál es la relación de su carrera con la actividad que desempeña actualmente?</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00"/>
        <w:gridCol w:w="5300"/>
        <w:gridCol w:w="600"/>
        <w:gridCol w:w="2800"/>
      </w:tblGrid>
      <w:tr w:rsidR="0030772E" w:rsidRPr="007923C2" w14:paraId="1B3369B5" w14:textId="77777777" w:rsidTr="000F34EF">
        <w:trPr>
          <w:trHeight w:val="184"/>
        </w:trPr>
        <w:tc>
          <w:tcPr>
            <w:tcW w:w="1100" w:type="dxa"/>
            <w:vAlign w:val="bottom"/>
          </w:tcPr>
          <w:p w14:paraId="1EC13E75"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1</w:t>
            </w:r>
          </w:p>
        </w:tc>
        <w:tc>
          <w:tcPr>
            <w:tcW w:w="5300" w:type="dxa"/>
            <w:vAlign w:val="bottom"/>
          </w:tcPr>
          <w:p w14:paraId="7685D250"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Responsable técnico forestal y ambiental</w:t>
            </w:r>
          </w:p>
        </w:tc>
        <w:tc>
          <w:tcPr>
            <w:tcW w:w="600" w:type="dxa"/>
            <w:vAlign w:val="bottom"/>
          </w:tcPr>
          <w:p w14:paraId="06E22FAB"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2E4B561D" w14:textId="77777777" w:rsidR="0030772E" w:rsidRPr="007923C2" w:rsidRDefault="0030772E" w:rsidP="0030772E">
            <w:pPr>
              <w:jc w:val="both"/>
              <w:rPr>
                <w:rFonts w:ascii="Arial" w:hAnsi="Arial" w:cs="Arial"/>
                <w:sz w:val="22"/>
                <w:szCs w:val="22"/>
              </w:rPr>
            </w:pPr>
          </w:p>
        </w:tc>
      </w:tr>
      <w:tr w:rsidR="0030772E" w:rsidRPr="007923C2" w14:paraId="68343B34" w14:textId="77777777" w:rsidTr="000F34EF">
        <w:trPr>
          <w:trHeight w:val="185"/>
        </w:trPr>
        <w:tc>
          <w:tcPr>
            <w:tcW w:w="1100" w:type="dxa"/>
            <w:vAlign w:val="bottom"/>
          </w:tcPr>
          <w:p w14:paraId="1E6B100F"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2</w:t>
            </w:r>
          </w:p>
        </w:tc>
        <w:tc>
          <w:tcPr>
            <w:tcW w:w="5300" w:type="dxa"/>
            <w:vAlign w:val="bottom"/>
          </w:tcPr>
          <w:p w14:paraId="0C53D7FC"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Investigación de biofertilizantes</w:t>
            </w:r>
          </w:p>
        </w:tc>
        <w:tc>
          <w:tcPr>
            <w:tcW w:w="600" w:type="dxa"/>
            <w:vAlign w:val="bottom"/>
          </w:tcPr>
          <w:p w14:paraId="07918B6F"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759ECD3B" w14:textId="77777777" w:rsidR="0030772E" w:rsidRPr="007923C2" w:rsidRDefault="0030772E" w:rsidP="0030772E">
            <w:pPr>
              <w:jc w:val="both"/>
              <w:rPr>
                <w:rFonts w:ascii="Arial" w:hAnsi="Arial" w:cs="Arial"/>
                <w:sz w:val="22"/>
                <w:szCs w:val="22"/>
              </w:rPr>
            </w:pPr>
          </w:p>
        </w:tc>
      </w:tr>
      <w:tr w:rsidR="0030772E" w:rsidRPr="007923C2" w14:paraId="173147E8" w14:textId="77777777" w:rsidTr="000F34EF">
        <w:trPr>
          <w:trHeight w:val="182"/>
        </w:trPr>
        <w:tc>
          <w:tcPr>
            <w:tcW w:w="1100" w:type="dxa"/>
            <w:vAlign w:val="bottom"/>
          </w:tcPr>
          <w:p w14:paraId="36D033F3"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3</w:t>
            </w:r>
          </w:p>
        </w:tc>
        <w:tc>
          <w:tcPr>
            <w:tcW w:w="5300" w:type="dxa"/>
            <w:vAlign w:val="bottom"/>
          </w:tcPr>
          <w:p w14:paraId="6C65C6FE"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Investigación acerca de mejoramiento de sorgo</w:t>
            </w:r>
          </w:p>
        </w:tc>
        <w:tc>
          <w:tcPr>
            <w:tcW w:w="600" w:type="dxa"/>
            <w:vAlign w:val="bottom"/>
          </w:tcPr>
          <w:p w14:paraId="178FF6B0"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08F76D85" w14:textId="77777777" w:rsidR="0030772E" w:rsidRPr="007923C2" w:rsidRDefault="0030772E" w:rsidP="0030772E">
            <w:pPr>
              <w:jc w:val="both"/>
              <w:rPr>
                <w:rFonts w:ascii="Arial" w:hAnsi="Arial" w:cs="Arial"/>
                <w:sz w:val="22"/>
                <w:szCs w:val="22"/>
              </w:rPr>
            </w:pPr>
          </w:p>
        </w:tc>
      </w:tr>
      <w:tr w:rsidR="0030772E" w:rsidRPr="007923C2" w14:paraId="7BFE33B6" w14:textId="77777777" w:rsidTr="000F34EF">
        <w:trPr>
          <w:trHeight w:val="185"/>
        </w:trPr>
        <w:tc>
          <w:tcPr>
            <w:tcW w:w="1100" w:type="dxa"/>
            <w:vAlign w:val="bottom"/>
          </w:tcPr>
          <w:p w14:paraId="58A058C9"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4</w:t>
            </w:r>
          </w:p>
        </w:tc>
        <w:tc>
          <w:tcPr>
            <w:tcW w:w="5900" w:type="dxa"/>
            <w:gridSpan w:val="2"/>
            <w:vAlign w:val="bottom"/>
          </w:tcPr>
          <w:p w14:paraId="1A7AF821" w14:textId="77777777" w:rsidR="000F34EF" w:rsidRPr="007923C2" w:rsidRDefault="0030772E" w:rsidP="0030772E">
            <w:pPr>
              <w:jc w:val="both"/>
              <w:rPr>
                <w:rFonts w:ascii="Arial" w:hAnsi="Arial" w:cs="Arial"/>
                <w:sz w:val="22"/>
                <w:szCs w:val="22"/>
              </w:rPr>
            </w:pPr>
            <w:r w:rsidRPr="007923C2">
              <w:rPr>
                <w:rFonts w:ascii="Arial" w:hAnsi="Arial" w:cs="Arial"/>
                <w:sz w:val="22"/>
                <w:szCs w:val="22"/>
              </w:rPr>
              <w:t>Agricultura intensiva, Pro</w:t>
            </w:r>
            <w:r w:rsidR="000F34EF" w:rsidRPr="007923C2">
              <w:rPr>
                <w:rFonts w:ascii="Arial" w:hAnsi="Arial" w:cs="Arial"/>
                <w:sz w:val="22"/>
                <w:szCs w:val="22"/>
              </w:rPr>
              <w:t>ductor hortícola de ajo</w:t>
            </w:r>
          </w:p>
          <w:p w14:paraId="7A8DCD0C" w14:textId="77777777" w:rsidR="0030772E" w:rsidRPr="007923C2" w:rsidRDefault="000F34EF" w:rsidP="0030772E">
            <w:pPr>
              <w:jc w:val="both"/>
              <w:rPr>
                <w:rFonts w:ascii="Arial" w:hAnsi="Arial" w:cs="Arial"/>
                <w:sz w:val="22"/>
                <w:szCs w:val="22"/>
              </w:rPr>
            </w:pPr>
            <w:r w:rsidRPr="007923C2">
              <w:rPr>
                <w:rFonts w:ascii="Arial" w:hAnsi="Arial" w:cs="Arial"/>
                <w:sz w:val="22"/>
                <w:szCs w:val="22"/>
              </w:rPr>
              <w:t xml:space="preserve">brócoli, </w:t>
            </w:r>
            <w:r w:rsidR="0030772E" w:rsidRPr="007923C2">
              <w:rPr>
                <w:rFonts w:ascii="Arial" w:hAnsi="Arial" w:cs="Arial"/>
                <w:sz w:val="22"/>
                <w:szCs w:val="22"/>
              </w:rPr>
              <w:t>lechuga por riego</w:t>
            </w:r>
            <w:r w:rsidRPr="007923C2">
              <w:rPr>
                <w:rFonts w:ascii="Arial" w:hAnsi="Arial" w:cs="Arial"/>
                <w:sz w:val="22"/>
                <w:szCs w:val="22"/>
              </w:rPr>
              <w:t xml:space="preserve">                                               100%</w:t>
            </w:r>
          </w:p>
        </w:tc>
        <w:tc>
          <w:tcPr>
            <w:tcW w:w="2800" w:type="dxa"/>
            <w:vAlign w:val="bottom"/>
          </w:tcPr>
          <w:p w14:paraId="2D003501" w14:textId="77777777" w:rsidR="0030772E" w:rsidRPr="007923C2" w:rsidRDefault="0030772E" w:rsidP="000F34EF">
            <w:pPr>
              <w:jc w:val="both"/>
              <w:rPr>
                <w:rFonts w:ascii="Arial" w:hAnsi="Arial" w:cs="Arial"/>
                <w:sz w:val="22"/>
                <w:szCs w:val="22"/>
              </w:rPr>
            </w:pPr>
          </w:p>
        </w:tc>
      </w:tr>
      <w:tr w:rsidR="0030772E" w:rsidRPr="007923C2" w14:paraId="03AA1765" w14:textId="77777777" w:rsidTr="000F34EF">
        <w:trPr>
          <w:trHeight w:val="185"/>
        </w:trPr>
        <w:tc>
          <w:tcPr>
            <w:tcW w:w="1100" w:type="dxa"/>
            <w:vAlign w:val="bottom"/>
          </w:tcPr>
          <w:p w14:paraId="6212D0D7"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5</w:t>
            </w:r>
          </w:p>
        </w:tc>
        <w:tc>
          <w:tcPr>
            <w:tcW w:w="5300" w:type="dxa"/>
            <w:vAlign w:val="bottom"/>
          </w:tcPr>
          <w:p w14:paraId="06E2AE89"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Docente y Supervisor de proyectos sustentables</w:t>
            </w:r>
          </w:p>
        </w:tc>
        <w:tc>
          <w:tcPr>
            <w:tcW w:w="600" w:type="dxa"/>
            <w:vAlign w:val="bottom"/>
          </w:tcPr>
          <w:p w14:paraId="414E7CDC"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7B18DB83" w14:textId="77777777" w:rsidR="0030772E" w:rsidRPr="007923C2" w:rsidRDefault="0030772E" w:rsidP="0030772E">
            <w:pPr>
              <w:jc w:val="both"/>
              <w:rPr>
                <w:rFonts w:ascii="Arial" w:hAnsi="Arial" w:cs="Arial"/>
                <w:sz w:val="22"/>
                <w:szCs w:val="22"/>
              </w:rPr>
            </w:pPr>
          </w:p>
        </w:tc>
      </w:tr>
      <w:tr w:rsidR="0030772E" w:rsidRPr="007923C2" w14:paraId="134F9BA8" w14:textId="77777777" w:rsidTr="000F34EF">
        <w:trPr>
          <w:trHeight w:val="182"/>
        </w:trPr>
        <w:tc>
          <w:tcPr>
            <w:tcW w:w="1100" w:type="dxa"/>
            <w:vAlign w:val="bottom"/>
          </w:tcPr>
          <w:p w14:paraId="2F503943"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6</w:t>
            </w:r>
          </w:p>
        </w:tc>
        <w:tc>
          <w:tcPr>
            <w:tcW w:w="5300" w:type="dxa"/>
            <w:vAlign w:val="bottom"/>
          </w:tcPr>
          <w:p w14:paraId="33B18254"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Asesorías a proyectos productivos en campo</w:t>
            </w:r>
          </w:p>
        </w:tc>
        <w:tc>
          <w:tcPr>
            <w:tcW w:w="600" w:type="dxa"/>
            <w:vAlign w:val="bottom"/>
          </w:tcPr>
          <w:p w14:paraId="3BE192D4"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57CA9F56" w14:textId="77777777" w:rsidR="0030772E" w:rsidRPr="007923C2" w:rsidRDefault="0030772E" w:rsidP="0030772E">
            <w:pPr>
              <w:jc w:val="both"/>
              <w:rPr>
                <w:rFonts w:ascii="Arial" w:hAnsi="Arial" w:cs="Arial"/>
                <w:sz w:val="22"/>
                <w:szCs w:val="22"/>
              </w:rPr>
            </w:pPr>
          </w:p>
        </w:tc>
      </w:tr>
      <w:tr w:rsidR="0030772E" w:rsidRPr="007923C2" w14:paraId="04918BE9" w14:textId="77777777" w:rsidTr="000F34EF">
        <w:trPr>
          <w:trHeight w:val="185"/>
        </w:trPr>
        <w:tc>
          <w:tcPr>
            <w:tcW w:w="1100" w:type="dxa"/>
            <w:vAlign w:val="bottom"/>
          </w:tcPr>
          <w:p w14:paraId="701347B5"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7</w:t>
            </w:r>
          </w:p>
        </w:tc>
        <w:tc>
          <w:tcPr>
            <w:tcW w:w="5300" w:type="dxa"/>
            <w:vAlign w:val="bottom"/>
          </w:tcPr>
          <w:p w14:paraId="2EB2D621"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Encargado de vivero, Asistente técnico</w:t>
            </w:r>
          </w:p>
        </w:tc>
        <w:tc>
          <w:tcPr>
            <w:tcW w:w="600" w:type="dxa"/>
            <w:vAlign w:val="bottom"/>
          </w:tcPr>
          <w:p w14:paraId="1DCD6EB5"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6D1CCA80" w14:textId="77777777" w:rsidR="0030772E" w:rsidRPr="007923C2" w:rsidRDefault="0030772E" w:rsidP="0030772E">
            <w:pPr>
              <w:jc w:val="both"/>
              <w:rPr>
                <w:rFonts w:ascii="Arial" w:hAnsi="Arial" w:cs="Arial"/>
                <w:sz w:val="22"/>
                <w:szCs w:val="22"/>
              </w:rPr>
            </w:pPr>
          </w:p>
        </w:tc>
      </w:tr>
      <w:tr w:rsidR="0030772E" w:rsidRPr="007923C2" w14:paraId="79CB3900" w14:textId="77777777" w:rsidTr="000F34EF">
        <w:trPr>
          <w:trHeight w:val="185"/>
        </w:trPr>
        <w:tc>
          <w:tcPr>
            <w:tcW w:w="1100" w:type="dxa"/>
            <w:vAlign w:val="bottom"/>
          </w:tcPr>
          <w:p w14:paraId="5EB1236A"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8</w:t>
            </w:r>
          </w:p>
        </w:tc>
        <w:tc>
          <w:tcPr>
            <w:tcW w:w="5300" w:type="dxa"/>
            <w:vAlign w:val="bottom"/>
          </w:tcPr>
          <w:p w14:paraId="4CA87512"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Asesor agrícola en manejo de invernadero</w:t>
            </w:r>
          </w:p>
        </w:tc>
        <w:tc>
          <w:tcPr>
            <w:tcW w:w="600" w:type="dxa"/>
            <w:vAlign w:val="bottom"/>
          </w:tcPr>
          <w:p w14:paraId="75A00C07"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17FA563E" w14:textId="77777777" w:rsidR="0030772E" w:rsidRPr="007923C2" w:rsidRDefault="0030772E" w:rsidP="0030772E">
            <w:pPr>
              <w:jc w:val="both"/>
              <w:rPr>
                <w:rFonts w:ascii="Arial" w:hAnsi="Arial" w:cs="Arial"/>
                <w:sz w:val="22"/>
                <w:szCs w:val="22"/>
              </w:rPr>
            </w:pPr>
          </w:p>
        </w:tc>
      </w:tr>
      <w:tr w:rsidR="0030772E" w:rsidRPr="007923C2" w14:paraId="5D30AD3A" w14:textId="77777777" w:rsidTr="000F34EF">
        <w:trPr>
          <w:trHeight w:val="182"/>
        </w:trPr>
        <w:tc>
          <w:tcPr>
            <w:tcW w:w="1100" w:type="dxa"/>
            <w:vAlign w:val="bottom"/>
          </w:tcPr>
          <w:p w14:paraId="0456A2D9"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9</w:t>
            </w:r>
          </w:p>
        </w:tc>
        <w:tc>
          <w:tcPr>
            <w:tcW w:w="5300" w:type="dxa"/>
            <w:vAlign w:val="bottom"/>
          </w:tcPr>
          <w:p w14:paraId="0AB21D67"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Supervisor ambiental</w:t>
            </w:r>
          </w:p>
        </w:tc>
        <w:tc>
          <w:tcPr>
            <w:tcW w:w="600" w:type="dxa"/>
            <w:vAlign w:val="bottom"/>
          </w:tcPr>
          <w:p w14:paraId="6E1E9F3A"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27CF77B9" w14:textId="77777777" w:rsidR="0030772E" w:rsidRPr="007923C2" w:rsidRDefault="0030772E" w:rsidP="0030772E">
            <w:pPr>
              <w:jc w:val="both"/>
              <w:rPr>
                <w:rFonts w:ascii="Arial" w:hAnsi="Arial" w:cs="Arial"/>
                <w:sz w:val="22"/>
                <w:szCs w:val="22"/>
              </w:rPr>
            </w:pPr>
          </w:p>
        </w:tc>
      </w:tr>
      <w:tr w:rsidR="0030772E" w:rsidRPr="007923C2" w14:paraId="340D0D18" w14:textId="77777777" w:rsidTr="000F34EF">
        <w:trPr>
          <w:trHeight w:val="185"/>
        </w:trPr>
        <w:tc>
          <w:tcPr>
            <w:tcW w:w="1100" w:type="dxa"/>
            <w:vAlign w:val="bottom"/>
          </w:tcPr>
          <w:p w14:paraId="2F726CAD"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10</w:t>
            </w:r>
          </w:p>
        </w:tc>
        <w:tc>
          <w:tcPr>
            <w:tcW w:w="5300" w:type="dxa"/>
            <w:vAlign w:val="bottom"/>
          </w:tcPr>
          <w:p w14:paraId="53C0042F"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Jefe del Departamento de Impacto y Riesgo Ambientales</w:t>
            </w:r>
          </w:p>
        </w:tc>
        <w:tc>
          <w:tcPr>
            <w:tcW w:w="600" w:type="dxa"/>
            <w:vAlign w:val="bottom"/>
          </w:tcPr>
          <w:p w14:paraId="086D6907"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6862DEDF" w14:textId="77777777" w:rsidR="0030772E" w:rsidRPr="007923C2" w:rsidRDefault="0030772E" w:rsidP="0030772E">
            <w:pPr>
              <w:jc w:val="both"/>
              <w:rPr>
                <w:rFonts w:ascii="Arial" w:hAnsi="Arial" w:cs="Arial"/>
                <w:sz w:val="22"/>
                <w:szCs w:val="22"/>
              </w:rPr>
            </w:pPr>
          </w:p>
        </w:tc>
      </w:tr>
      <w:tr w:rsidR="0030772E" w:rsidRPr="007923C2" w14:paraId="1F0FBCDA" w14:textId="77777777" w:rsidTr="000F34EF">
        <w:trPr>
          <w:trHeight w:val="185"/>
        </w:trPr>
        <w:tc>
          <w:tcPr>
            <w:tcW w:w="1100" w:type="dxa"/>
            <w:vAlign w:val="bottom"/>
          </w:tcPr>
          <w:p w14:paraId="73BC23C3"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11</w:t>
            </w:r>
          </w:p>
        </w:tc>
        <w:tc>
          <w:tcPr>
            <w:tcW w:w="5300" w:type="dxa"/>
            <w:vAlign w:val="bottom"/>
          </w:tcPr>
          <w:p w14:paraId="13B4EC13" w14:textId="77777777" w:rsidR="0030772E" w:rsidRPr="007923C2" w:rsidRDefault="0030772E" w:rsidP="0030772E">
            <w:pPr>
              <w:jc w:val="both"/>
              <w:rPr>
                <w:rFonts w:ascii="Arial" w:hAnsi="Arial" w:cs="Arial"/>
                <w:sz w:val="22"/>
                <w:szCs w:val="22"/>
              </w:rPr>
            </w:pPr>
          </w:p>
        </w:tc>
        <w:tc>
          <w:tcPr>
            <w:tcW w:w="600" w:type="dxa"/>
            <w:vAlign w:val="bottom"/>
          </w:tcPr>
          <w:p w14:paraId="1ED14EAD" w14:textId="77777777" w:rsidR="0030772E" w:rsidRPr="007923C2" w:rsidRDefault="0030772E" w:rsidP="0030772E">
            <w:pPr>
              <w:jc w:val="both"/>
              <w:rPr>
                <w:rFonts w:ascii="Arial" w:hAnsi="Arial" w:cs="Arial"/>
                <w:sz w:val="22"/>
                <w:szCs w:val="22"/>
              </w:rPr>
            </w:pPr>
          </w:p>
        </w:tc>
        <w:tc>
          <w:tcPr>
            <w:tcW w:w="2800" w:type="dxa"/>
            <w:vAlign w:val="bottom"/>
          </w:tcPr>
          <w:p w14:paraId="5EC3F80C" w14:textId="77777777" w:rsidR="0030772E" w:rsidRPr="007923C2" w:rsidRDefault="0030772E" w:rsidP="0030772E">
            <w:pPr>
              <w:jc w:val="both"/>
              <w:rPr>
                <w:rFonts w:ascii="Arial" w:hAnsi="Arial" w:cs="Arial"/>
                <w:sz w:val="22"/>
                <w:szCs w:val="22"/>
              </w:rPr>
            </w:pPr>
          </w:p>
        </w:tc>
      </w:tr>
      <w:tr w:rsidR="0030772E" w:rsidRPr="007923C2" w14:paraId="511B89A5" w14:textId="77777777" w:rsidTr="000F34EF">
        <w:trPr>
          <w:trHeight w:val="182"/>
        </w:trPr>
        <w:tc>
          <w:tcPr>
            <w:tcW w:w="1100" w:type="dxa"/>
            <w:vAlign w:val="bottom"/>
          </w:tcPr>
          <w:p w14:paraId="39CCBE87"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12</w:t>
            </w:r>
          </w:p>
        </w:tc>
        <w:tc>
          <w:tcPr>
            <w:tcW w:w="5300" w:type="dxa"/>
            <w:vAlign w:val="bottom"/>
          </w:tcPr>
          <w:p w14:paraId="7EB617E2" w14:textId="77777777" w:rsidR="0030772E" w:rsidRPr="007923C2" w:rsidRDefault="0030772E" w:rsidP="0030772E">
            <w:pPr>
              <w:jc w:val="both"/>
              <w:rPr>
                <w:rFonts w:ascii="Arial" w:hAnsi="Arial" w:cs="Arial"/>
                <w:sz w:val="22"/>
                <w:szCs w:val="22"/>
              </w:rPr>
            </w:pPr>
          </w:p>
        </w:tc>
        <w:tc>
          <w:tcPr>
            <w:tcW w:w="600" w:type="dxa"/>
            <w:vAlign w:val="bottom"/>
          </w:tcPr>
          <w:p w14:paraId="2ABF26F3" w14:textId="77777777" w:rsidR="0030772E" w:rsidRPr="007923C2" w:rsidRDefault="0030772E" w:rsidP="0030772E">
            <w:pPr>
              <w:jc w:val="both"/>
              <w:rPr>
                <w:rFonts w:ascii="Arial" w:hAnsi="Arial" w:cs="Arial"/>
                <w:sz w:val="22"/>
                <w:szCs w:val="22"/>
              </w:rPr>
            </w:pPr>
          </w:p>
        </w:tc>
        <w:tc>
          <w:tcPr>
            <w:tcW w:w="2800" w:type="dxa"/>
            <w:vAlign w:val="bottom"/>
          </w:tcPr>
          <w:p w14:paraId="0245F6D9" w14:textId="77777777" w:rsidR="0030772E" w:rsidRPr="007923C2" w:rsidRDefault="0030772E" w:rsidP="0030772E">
            <w:pPr>
              <w:jc w:val="both"/>
              <w:rPr>
                <w:rFonts w:ascii="Arial" w:hAnsi="Arial" w:cs="Arial"/>
                <w:sz w:val="22"/>
                <w:szCs w:val="22"/>
              </w:rPr>
            </w:pPr>
          </w:p>
        </w:tc>
      </w:tr>
      <w:tr w:rsidR="0030772E" w:rsidRPr="007923C2" w14:paraId="17FC2334" w14:textId="77777777" w:rsidTr="000F34EF">
        <w:trPr>
          <w:trHeight w:val="185"/>
        </w:trPr>
        <w:tc>
          <w:tcPr>
            <w:tcW w:w="1100" w:type="dxa"/>
            <w:vAlign w:val="bottom"/>
          </w:tcPr>
          <w:p w14:paraId="287C5C3B"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13</w:t>
            </w:r>
          </w:p>
        </w:tc>
        <w:tc>
          <w:tcPr>
            <w:tcW w:w="5300" w:type="dxa"/>
            <w:vAlign w:val="bottom"/>
          </w:tcPr>
          <w:p w14:paraId="45EB1362"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Asesor de proyectos y encargado de vivero</w:t>
            </w:r>
          </w:p>
        </w:tc>
        <w:tc>
          <w:tcPr>
            <w:tcW w:w="600" w:type="dxa"/>
            <w:vAlign w:val="bottom"/>
          </w:tcPr>
          <w:p w14:paraId="6653692C"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28F69D45" w14:textId="77777777" w:rsidR="0030772E" w:rsidRPr="007923C2" w:rsidRDefault="0030772E" w:rsidP="0030772E">
            <w:pPr>
              <w:jc w:val="both"/>
              <w:rPr>
                <w:rFonts w:ascii="Arial" w:hAnsi="Arial" w:cs="Arial"/>
                <w:sz w:val="22"/>
                <w:szCs w:val="22"/>
              </w:rPr>
            </w:pPr>
          </w:p>
        </w:tc>
      </w:tr>
      <w:tr w:rsidR="0030772E" w:rsidRPr="007923C2" w14:paraId="5F0AC022" w14:textId="77777777" w:rsidTr="000F34EF">
        <w:trPr>
          <w:trHeight w:val="185"/>
        </w:trPr>
        <w:tc>
          <w:tcPr>
            <w:tcW w:w="1100" w:type="dxa"/>
            <w:vAlign w:val="bottom"/>
          </w:tcPr>
          <w:p w14:paraId="3EDF5224"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14</w:t>
            </w:r>
          </w:p>
        </w:tc>
        <w:tc>
          <w:tcPr>
            <w:tcW w:w="5300" w:type="dxa"/>
            <w:vAlign w:val="bottom"/>
          </w:tcPr>
          <w:p w14:paraId="185EF729"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Asesoría en manejo de plaga de aguacate</w:t>
            </w:r>
          </w:p>
        </w:tc>
        <w:tc>
          <w:tcPr>
            <w:tcW w:w="600" w:type="dxa"/>
            <w:vAlign w:val="bottom"/>
          </w:tcPr>
          <w:p w14:paraId="0E3CAFB2"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60%</w:t>
            </w:r>
          </w:p>
        </w:tc>
        <w:tc>
          <w:tcPr>
            <w:tcW w:w="2800" w:type="dxa"/>
            <w:vAlign w:val="bottom"/>
          </w:tcPr>
          <w:p w14:paraId="492D044C" w14:textId="77777777" w:rsidR="0030772E" w:rsidRPr="007923C2" w:rsidRDefault="0030772E" w:rsidP="0030772E">
            <w:pPr>
              <w:jc w:val="both"/>
              <w:rPr>
                <w:rFonts w:ascii="Arial" w:hAnsi="Arial" w:cs="Arial"/>
                <w:sz w:val="22"/>
                <w:szCs w:val="22"/>
              </w:rPr>
            </w:pPr>
          </w:p>
        </w:tc>
      </w:tr>
      <w:tr w:rsidR="0030772E" w:rsidRPr="007923C2" w14:paraId="7207EA21" w14:textId="77777777" w:rsidTr="000F34EF">
        <w:trPr>
          <w:trHeight w:val="182"/>
        </w:trPr>
        <w:tc>
          <w:tcPr>
            <w:tcW w:w="1100" w:type="dxa"/>
            <w:vAlign w:val="bottom"/>
          </w:tcPr>
          <w:p w14:paraId="3A79C11A"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15</w:t>
            </w:r>
          </w:p>
        </w:tc>
        <w:tc>
          <w:tcPr>
            <w:tcW w:w="5300" w:type="dxa"/>
            <w:vAlign w:val="bottom"/>
          </w:tcPr>
          <w:p w14:paraId="6BF1D9BC"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Verificador de fumigaciones</w:t>
            </w:r>
          </w:p>
        </w:tc>
        <w:tc>
          <w:tcPr>
            <w:tcW w:w="600" w:type="dxa"/>
            <w:vAlign w:val="bottom"/>
          </w:tcPr>
          <w:p w14:paraId="383AF297"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60%</w:t>
            </w:r>
          </w:p>
        </w:tc>
        <w:tc>
          <w:tcPr>
            <w:tcW w:w="2800" w:type="dxa"/>
            <w:vAlign w:val="bottom"/>
          </w:tcPr>
          <w:p w14:paraId="487956E8" w14:textId="77777777" w:rsidR="0030772E" w:rsidRPr="007923C2" w:rsidRDefault="0030772E" w:rsidP="0030772E">
            <w:pPr>
              <w:jc w:val="both"/>
              <w:rPr>
                <w:rFonts w:ascii="Arial" w:hAnsi="Arial" w:cs="Arial"/>
                <w:sz w:val="22"/>
                <w:szCs w:val="22"/>
              </w:rPr>
            </w:pPr>
          </w:p>
        </w:tc>
      </w:tr>
      <w:tr w:rsidR="0030772E" w:rsidRPr="007923C2" w14:paraId="165AB17D" w14:textId="77777777" w:rsidTr="000F34EF">
        <w:trPr>
          <w:trHeight w:val="185"/>
        </w:trPr>
        <w:tc>
          <w:tcPr>
            <w:tcW w:w="1100" w:type="dxa"/>
            <w:vAlign w:val="bottom"/>
          </w:tcPr>
          <w:p w14:paraId="34ADEAC0"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16</w:t>
            </w:r>
          </w:p>
        </w:tc>
        <w:tc>
          <w:tcPr>
            <w:tcW w:w="8700" w:type="dxa"/>
            <w:gridSpan w:val="3"/>
            <w:vAlign w:val="bottom"/>
          </w:tcPr>
          <w:p w14:paraId="0F139DD9" w14:textId="77777777" w:rsidR="000F34EF" w:rsidRPr="007923C2" w:rsidRDefault="000F34EF" w:rsidP="0030772E">
            <w:pPr>
              <w:jc w:val="both"/>
              <w:rPr>
                <w:rFonts w:ascii="Arial" w:hAnsi="Arial" w:cs="Arial"/>
                <w:sz w:val="22"/>
                <w:szCs w:val="22"/>
              </w:rPr>
            </w:pPr>
          </w:p>
          <w:p w14:paraId="7E9B35FD" w14:textId="77777777" w:rsidR="000F34EF" w:rsidRPr="007923C2" w:rsidRDefault="0030772E" w:rsidP="000F34EF">
            <w:pPr>
              <w:jc w:val="both"/>
              <w:rPr>
                <w:rFonts w:ascii="Arial" w:hAnsi="Arial" w:cs="Arial"/>
                <w:sz w:val="22"/>
                <w:szCs w:val="22"/>
              </w:rPr>
            </w:pPr>
            <w:r w:rsidRPr="007923C2">
              <w:rPr>
                <w:rFonts w:ascii="Arial" w:hAnsi="Arial" w:cs="Arial"/>
                <w:sz w:val="22"/>
                <w:szCs w:val="22"/>
              </w:rPr>
              <w:t xml:space="preserve">En Desarrollo Rural y en despacho y servicioa proyectos productivos.  </w:t>
            </w:r>
          </w:p>
          <w:p w14:paraId="237338E7" w14:textId="77777777" w:rsidR="0030772E" w:rsidRPr="007923C2" w:rsidRDefault="0030772E" w:rsidP="000F34EF">
            <w:pPr>
              <w:jc w:val="both"/>
              <w:rPr>
                <w:rFonts w:ascii="Arial" w:hAnsi="Arial" w:cs="Arial"/>
                <w:sz w:val="22"/>
                <w:szCs w:val="22"/>
              </w:rPr>
            </w:pPr>
            <w:r w:rsidRPr="007923C2">
              <w:rPr>
                <w:rFonts w:ascii="Arial" w:hAnsi="Arial" w:cs="Arial"/>
                <w:sz w:val="22"/>
                <w:szCs w:val="22"/>
              </w:rPr>
              <w:t>Promueve cultura orgánica</w:t>
            </w:r>
          </w:p>
        </w:tc>
      </w:tr>
      <w:tr w:rsidR="0030772E" w:rsidRPr="007923C2" w14:paraId="7D7B1901" w14:textId="77777777" w:rsidTr="000F34EF">
        <w:trPr>
          <w:trHeight w:val="182"/>
        </w:trPr>
        <w:tc>
          <w:tcPr>
            <w:tcW w:w="1100" w:type="dxa"/>
            <w:vAlign w:val="bottom"/>
          </w:tcPr>
          <w:p w14:paraId="3057CB66" w14:textId="77777777" w:rsidR="0030772E" w:rsidRPr="007923C2" w:rsidRDefault="000F34EF" w:rsidP="0030772E">
            <w:pPr>
              <w:jc w:val="both"/>
              <w:rPr>
                <w:rFonts w:ascii="Arial" w:hAnsi="Arial" w:cs="Arial"/>
                <w:sz w:val="22"/>
                <w:szCs w:val="22"/>
              </w:rPr>
            </w:pPr>
            <w:r w:rsidRPr="007923C2">
              <w:rPr>
                <w:rFonts w:ascii="Arial" w:hAnsi="Arial" w:cs="Arial"/>
                <w:sz w:val="22"/>
                <w:szCs w:val="22"/>
              </w:rPr>
              <w:lastRenderedPageBreak/>
              <w:t>Alumno 17</w:t>
            </w:r>
          </w:p>
        </w:tc>
        <w:tc>
          <w:tcPr>
            <w:tcW w:w="5300" w:type="dxa"/>
            <w:vAlign w:val="bottom"/>
          </w:tcPr>
          <w:p w14:paraId="3322CA5E" w14:textId="77777777" w:rsidR="0030772E" w:rsidRPr="007923C2" w:rsidRDefault="000F34EF" w:rsidP="0030772E">
            <w:pPr>
              <w:jc w:val="both"/>
              <w:rPr>
                <w:rFonts w:ascii="Arial" w:hAnsi="Arial" w:cs="Arial"/>
                <w:sz w:val="22"/>
                <w:szCs w:val="22"/>
              </w:rPr>
            </w:pPr>
            <w:r w:rsidRPr="007923C2">
              <w:rPr>
                <w:rFonts w:ascii="Arial" w:hAnsi="Arial" w:cs="Arial"/>
                <w:sz w:val="22"/>
                <w:szCs w:val="22"/>
              </w:rPr>
              <w:t>Programa de control biológico, químico, mecánico. Monitoreo de plagas secundarias y en comité de estadísticas de Agronomía</w:t>
            </w:r>
          </w:p>
        </w:tc>
        <w:tc>
          <w:tcPr>
            <w:tcW w:w="3400" w:type="dxa"/>
            <w:gridSpan w:val="2"/>
            <w:vAlign w:val="bottom"/>
          </w:tcPr>
          <w:p w14:paraId="58BA4878"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Si hay detalles que no profundizamos como</w:t>
            </w:r>
            <w:r w:rsidR="000F34EF" w:rsidRPr="007923C2">
              <w:rPr>
                <w:rFonts w:ascii="Arial" w:hAnsi="Arial" w:cs="Arial"/>
                <w:sz w:val="22"/>
                <w:szCs w:val="22"/>
              </w:rPr>
              <w:t xml:space="preserve"> control biológico de plagas</w:t>
            </w:r>
          </w:p>
        </w:tc>
      </w:tr>
      <w:tr w:rsidR="0030772E" w:rsidRPr="007923C2" w14:paraId="52AA3081" w14:textId="77777777" w:rsidTr="000F34EF">
        <w:trPr>
          <w:trHeight w:val="182"/>
        </w:trPr>
        <w:tc>
          <w:tcPr>
            <w:tcW w:w="1100" w:type="dxa"/>
            <w:vAlign w:val="bottom"/>
          </w:tcPr>
          <w:p w14:paraId="767B2D67"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18</w:t>
            </w:r>
          </w:p>
        </w:tc>
        <w:tc>
          <w:tcPr>
            <w:tcW w:w="5300" w:type="dxa"/>
            <w:vAlign w:val="bottom"/>
          </w:tcPr>
          <w:p w14:paraId="6E89B3F0"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Organizar proyectos y llevarlos a cabo Ejemplo Activos productivos</w:t>
            </w:r>
          </w:p>
        </w:tc>
        <w:tc>
          <w:tcPr>
            <w:tcW w:w="600" w:type="dxa"/>
            <w:vAlign w:val="bottom"/>
          </w:tcPr>
          <w:p w14:paraId="33C8F134"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3EDA2AD6" w14:textId="77777777" w:rsidR="0030772E" w:rsidRPr="007923C2" w:rsidRDefault="0030772E" w:rsidP="0030772E">
            <w:pPr>
              <w:jc w:val="both"/>
              <w:rPr>
                <w:rFonts w:ascii="Arial" w:hAnsi="Arial" w:cs="Arial"/>
                <w:sz w:val="22"/>
                <w:szCs w:val="22"/>
              </w:rPr>
            </w:pPr>
          </w:p>
        </w:tc>
      </w:tr>
      <w:tr w:rsidR="0030772E" w:rsidRPr="007923C2" w14:paraId="363BC573" w14:textId="77777777" w:rsidTr="000F34EF">
        <w:trPr>
          <w:trHeight w:val="185"/>
        </w:trPr>
        <w:tc>
          <w:tcPr>
            <w:tcW w:w="1100" w:type="dxa"/>
            <w:vAlign w:val="bottom"/>
          </w:tcPr>
          <w:p w14:paraId="661399C1"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19</w:t>
            </w:r>
          </w:p>
        </w:tc>
        <w:tc>
          <w:tcPr>
            <w:tcW w:w="5300" w:type="dxa"/>
            <w:vAlign w:val="bottom"/>
          </w:tcPr>
          <w:p w14:paraId="18FE799A"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Estudio de ordenamiento ambiental</w:t>
            </w:r>
          </w:p>
        </w:tc>
        <w:tc>
          <w:tcPr>
            <w:tcW w:w="600" w:type="dxa"/>
            <w:vAlign w:val="bottom"/>
          </w:tcPr>
          <w:p w14:paraId="758BBF6A"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0D3B47BD" w14:textId="77777777" w:rsidR="0030772E" w:rsidRPr="007923C2" w:rsidRDefault="0030772E" w:rsidP="0030772E">
            <w:pPr>
              <w:jc w:val="both"/>
              <w:rPr>
                <w:rFonts w:ascii="Arial" w:hAnsi="Arial" w:cs="Arial"/>
                <w:sz w:val="22"/>
                <w:szCs w:val="22"/>
              </w:rPr>
            </w:pPr>
          </w:p>
        </w:tc>
      </w:tr>
      <w:tr w:rsidR="0030772E" w:rsidRPr="007923C2" w14:paraId="6C2BE3B5" w14:textId="77777777" w:rsidTr="000F34EF">
        <w:trPr>
          <w:trHeight w:val="185"/>
        </w:trPr>
        <w:tc>
          <w:tcPr>
            <w:tcW w:w="1100" w:type="dxa"/>
            <w:vAlign w:val="bottom"/>
          </w:tcPr>
          <w:p w14:paraId="2E129190"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20</w:t>
            </w:r>
          </w:p>
        </w:tc>
        <w:tc>
          <w:tcPr>
            <w:tcW w:w="5300" w:type="dxa"/>
            <w:vAlign w:val="bottom"/>
          </w:tcPr>
          <w:p w14:paraId="1967116A"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Investigador</w:t>
            </w:r>
          </w:p>
        </w:tc>
        <w:tc>
          <w:tcPr>
            <w:tcW w:w="3400" w:type="dxa"/>
            <w:gridSpan w:val="2"/>
            <w:vAlign w:val="bottom"/>
          </w:tcPr>
          <w:p w14:paraId="2213C9A8"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De acuerdo al taller de investigación 1 y 11</w:t>
            </w:r>
          </w:p>
        </w:tc>
      </w:tr>
      <w:tr w:rsidR="0030772E" w:rsidRPr="007923C2" w14:paraId="783D7EA0" w14:textId="77777777" w:rsidTr="000F34EF">
        <w:trPr>
          <w:trHeight w:val="182"/>
        </w:trPr>
        <w:tc>
          <w:tcPr>
            <w:tcW w:w="1100" w:type="dxa"/>
            <w:vAlign w:val="bottom"/>
          </w:tcPr>
          <w:p w14:paraId="6ACB8100" w14:textId="77777777" w:rsidR="0030772E" w:rsidRPr="007923C2" w:rsidRDefault="0030772E" w:rsidP="0030772E">
            <w:pPr>
              <w:jc w:val="both"/>
              <w:rPr>
                <w:rFonts w:ascii="Arial" w:hAnsi="Arial" w:cs="Arial"/>
                <w:sz w:val="22"/>
                <w:szCs w:val="22"/>
              </w:rPr>
            </w:pPr>
          </w:p>
        </w:tc>
        <w:tc>
          <w:tcPr>
            <w:tcW w:w="5300" w:type="dxa"/>
            <w:vAlign w:val="bottom"/>
          </w:tcPr>
          <w:p w14:paraId="1C20CCB8" w14:textId="77777777" w:rsidR="0030772E" w:rsidRPr="007923C2" w:rsidRDefault="0030772E" w:rsidP="0030772E">
            <w:pPr>
              <w:jc w:val="both"/>
              <w:rPr>
                <w:rFonts w:ascii="Arial" w:hAnsi="Arial" w:cs="Arial"/>
                <w:sz w:val="22"/>
                <w:szCs w:val="22"/>
              </w:rPr>
            </w:pPr>
          </w:p>
        </w:tc>
        <w:tc>
          <w:tcPr>
            <w:tcW w:w="3400" w:type="dxa"/>
            <w:gridSpan w:val="2"/>
            <w:vAlign w:val="bottom"/>
          </w:tcPr>
          <w:p w14:paraId="315A8217"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Descripción de problemas</w:t>
            </w:r>
          </w:p>
        </w:tc>
      </w:tr>
      <w:tr w:rsidR="0030772E" w:rsidRPr="007923C2" w14:paraId="37CDD3F2" w14:textId="77777777" w:rsidTr="000F34EF">
        <w:trPr>
          <w:trHeight w:val="185"/>
        </w:trPr>
        <w:tc>
          <w:tcPr>
            <w:tcW w:w="1100" w:type="dxa"/>
            <w:vAlign w:val="bottom"/>
          </w:tcPr>
          <w:p w14:paraId="6A2FAAE5"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21</w:t>
            </w:r>
          </w:p>
        </w:tc>
        <w:tc>
          <w:tcPr>
            <w:tcW w:w="5300" w:type="dxa"/>
            <w:vAlign w:val="bottom"/>
          </w:tcPr>
          <w:p w14:paraId="41BC0D40"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Lo relacionado con un vivero, plantas y acomodar</w:t>
            </w:r>
          </w:p>
        </w:tc>
        <w:tc>
          <w:tcPr>
            <w:tcW w:w="600" w:type="dxa"/>
            <w:vAlign w:val="bottom"/>
          </w:tcPr>
          <w:p w14:paraId="665525F7"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6B9E6D23" w14:textId="77777777" w:rsidR="0030772E" w:rsidRPr="007923C2" w:rsidRDefault="0030772E" w:rsidP="0030772E">
            <w:pPr>
              <w:jc w:val="both"/>
              <w:rPr>
                <w:rFonts w:ascii="Arial" w:hAnsi="Arial" w:cs="Arial"/>
                <w:sz w:val="22"/>
                <w:szCs w:val="22"/>
              </w:rPr>
            </w:pPr>
          </w:p>
        </w:tc>
      </w:tr>
      <w:tr w:rsidR="0030772E" w:rsidRPr="007923C2" w14:paraId="0ADCF5EA" w14:textId="77777777" w:rsidTr="000F34EF">
        <w:trPr>
          <w:trHeight w:val="185"/>
        </w:trPr>
        <w:tc>
          <w:tcPr>
            <w:tcW w:w="1100" w:type="dxa"/>
            <w:vAlign w:val="bottom"/>
          </w:tcPr>
          <w:p w14:paraId="6E48CB0B"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22</w:t>
            </w:r>
          </w:p>
        </w:tc>
        <w:tc>
          <w:tcPr>
            <w:tcW w:w="5300" w:type="dxa"/>
            <w:vAlign w:val="bottom"/>
          </w:tcPr>
          <w:p w14:paraId="79A266EB" w14:textId="77777777" w:rsidR="0030772E" w:rsidRPr="007923C2" w:rsidRDefault="0030772E" w:rsidP="0030772E">
            <w:pPr>
              <w:jc w:val="both"/>
              <w:rPr>
                <w:rFonts w:ascii="Arial" w:hAnsi="Arial" w:cs="Arial"/>
                <w:sz w:val="22"/>
                <w:szCs w:val="22"/>
              </w:rPr>
            </w:pPr>
          </w:p>
        </w:tc>
        <w:tc>
          <w:tcPr>
            <w:tcW w:w="600" w:type="dxa"/>
            <w:vAlign w:val="bottom"/>
          </w:tcPr>
          <w:p w14:paraId="6653445F" w14:textId="77777777" w:rsidR="0030772E" w:rsidRPr="007923C2" w:rsidRDefault="0030772E" w:rsidP="0030772E">
            <w:pPr>
              <w:jc w:val="both"/>
              <w:rPr>
                <w:rFonts w:ascii="Arial" w:hAnsi="Arial" w:cs="Arial"/>
                <w:sz w:val="22"/>
                <w:szCs w:val="22"/>
              </w:rPr>
            </w:pPr>
          </w:p>
        </w:tc>
        <w:tc>
          <w:tcPr>
            <w:tcW w:w="2800" w:type="dxa"/>
            <w:vAlign w:val="bottom"/>
          </w:tcPr>
          <w:p w14:paraId="2372EC38" w14:textId="77777777" w:rsidR="0030772E" w:rsidRPr="007923C2" w:rsidRDefault="0030772E" w:rsidP="0030772E">
            <w:pPr>
              <w:jc w:val="both"/>
              <w:rPr>
                <w:rFonts w:ascii="Arial" w:hAnsi="Arial" w:cs="Arial"/>
                <w:sz w:val="22"/>
                <w:szCs w:val="22"/>
              </w:rPr>
            </w:pPr>
          </w:p>
        </w:tc>
      </w:tr>
      <w:tr w:rsidR="0030772E" w:rsidRPr="007923C2" w14:paraId="0FD730DA" w14:textId="77777777" w:rsidTr="000F34EF">
        <w:trPr>
          <w:trHeight w:val="182"/>
        </w:trPr>
        <w:tc>
          <w:tcPr>
            <w:tcW w:w="1100" w:type="dxa"/>
            <w:vAlign w:val="bottom"/>
          </w:tcPr>
          <w:p w14:paraId="59D2D61E"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23</w:t>
            </w:r>
          </w:p>
        </w:tc>
        <w:tc>
          <w:tcPr>
            <w:tcW w:w="5300" w:type="dxa"/>
            <w:vAlign w:val="bottom"/>
          </w:tcPr>
          <w:p w14:paraId="086D1B03" w14:textId="77777777" w:rsidR="0030772E" w:rsidRPr="007923C2" w:rsidRDefault="0030772E" w:rsidP="0030772E">
            <w:pPr>
              <w:jc w:val="both"/>
              <w:rPr>
                <w:rFonts w:ascii="Arial" w:hAnsi="Arial" w:cs="Arial"/>
                <w:sz w:val="22"/>
                <w:szCs w:val="22"/>
              </w:rPr>
            </w:pPr>
          </w:p>
        </w:tc>
        <w:tc>
          <w:tcPr>
            <w:tcW w:w="600" w:type="dxa"/>
            <w:vAlign w:val="bottom"/>
          </w:tcPr>
          <w:p w14:paraId="5CB1FAF6" w14:textId="77777777" w:rsidR="0030772E" w:rsidRPr="007923C2" w:rsidRDefault="0030772E" w:rsidP="0030772E">
            <w:pPr>
              <w:jc w:val="both"/>
              <w:rPr>
                <w:rFonts w:ascii="Arial" w:hAnsi="Arial" w:cs="Arial"/>
                <w:sz w:val="22"/>
                <w:szCs w:val="22"/>
              </w:rPr>
            </w:pPr>
          </w:p>
        </w:tc>
        <w:tc>
          <w:tcPr>
            <w:tcW w:w="2800" w:type="dxa"/>
            <w:vAlign w:val="bottom"/>
          </w:tcPr>
          <w:p w14:paraId="32F5840A" w14:textId="77777777" w:rsidR="0030772E" w:rsidRPr="007923C2" w:rsidRDefault="0030772E" w:rsidP="0030772E">
            <w:pPr>
              <w:jc w:val="both"/>
              <w:rPr>
                <w:rFonts w:ascii="Arial" w:hAnsi="Arial" w:cs="Arial"/>
                <w:sz w:val="22"/>
                <w:szCs w:val="22"/>
              </w:rPr>
            </w:pPr>
          </w:p>
        </w:tc>
      </w:tr>
      <w:tr w:rsidR="0030772E" w:rsidRPr="007923C2" w14:paraId="7D39B3D6" w14:textId="77777777" w:rsidTr="000F34EF">
        <w:trPr>
          <w:trHeight w:val="185"/>
        </w:trPr>
        <w:tc>
          <w:tcPr>
            <w:tcW w:w="1100" w:type="dxa"/>
            <w:vAlign w:val="bottom"/>
          </w:tcPr>
          <w:p w14:paraId="4D79DE08"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24</w:t>
            </w:r>
          </w:p>
        </w:tc>
        <w:tc>
          <w:tcPr>
            <w:tcW w:w="5300" w:type="dxa"/>
            <w:vAlign w:val="bottom"/>
          </w:tcPr>
          <w:p w14:paraId="5747B3A5" w14:textId="77777777" w:rsidR="0030772E" w:rsidRPr="007923C2" w:rsidRDefault="0030772E" w:rsidP="0030772E">
            <w:pPr>
              <w:jc w:val="both"/>
              <w:rPr>
                <w:rFonts w:ascii="Arial" w:hAnsi="Arial" w:cs="Arial"/>
                <w:sz w:val="22"/>
                <w:szCs w:val="22"/>
              </w:rPr>
            </w:pPr>
          </w:p>
        </w:tc>
        <w:tc>
          <w:tcPr>
            <w:tcW w:w="600" w:type="dxa"/>
            <w:vAlign w:val="bottom"/>
          </w:tcPr>
          <w:p w14:paraId="74C39981" w14:textId="77777777" w:rsidR="0030772E" w:rsidRPr="007923C2" w:rsidRDefault="0030772E" w:rsidP="0030772E">
            <w:pPr>
              <w:jc w:val="both"/>
              <w:rPr>
                <w:rFonts w:ascii="Arial" w:hAnsi="Arial" w:cs="Arial"/>
                <w:sz w:val="22"/>
                <w:szCs w:val="22"/>
              </w:rPr>
            </w:pPr>
          </w:p>
        </w:tc>
        <w:tc>
          <w:tcPr>
            <w:tcW w:w="2800" w:type="dxa"/>
            <w:vAlign w:val="bottom"/>
          </w:tcPr>
          <w:p w14:paraId="0EE4DE88" w14:textId="77777777" w:rsidR="0030772E" w:rsidRPr="007923C2" w:rsidRDefault="0030772E" w:rsidP="0030772E">
            <w:pPr>
              <w:jc w:val="both"/>
              <w:rPr>
                <w:rFonts w:ascii="Arial" w:hAnsi="Arial" w:cs="Arial"/>
                <w:sz w:val="22"/>
                <w:szCs w:val="22"/>
              </w:rPr>
            </w:pPr>
          </w:p>
        </w:tc>
      </w:tr>
      <w:tr w:rsidR="0030772E" w:rsidRPr="007923C2" w14:paraId="031B5F08" w14:textId="77777777" w:rsidTr="000F34EF">
        <w:trPr>
          <w:trHeight w:val="185"/>
        </w:trPr>
        <w:tc>
          <w:tcPr>
            <w:tcW w:w="1100" w:type="dxa"/>
            <w:vAlign w:val="bottom"/>
          </w:tcPr>
          <w:p w14:paraId="29B50DEF"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25</w:t>
            </w:r>
          </w:p>
        </w:tc>
        <w:tc>
          <w:tcPr>
            <w:tcW w:w="5300" w:type="dxa"/>
            <w:vAlign w:val="bottom"/>
          </w:tcPr>
          <w:p w14:paraId="21E44099"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Técnico de restauración en reserva forestal</w:t>
            </w:r>
          </w:p>
        </w:tc>
        <w:tc>
          <w:tcPr>
            <w:tcW w:w="600" w:type="dxa"/>
            <w:vAlign w:val="bottom"/>
          </w:tcPr>
          <w:p w14:paraId="4C8EFEF4"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24D7BA86" w14:textId="77777777" w:rsidR="0030772E" w:rsidRPr="007923C2" w:rsidRDefault="0030772E" w:rsidP="0030772E">
            <w:pPr>
              <w:jc w:val="both"/>
              <w:rPr>
                <w:rFonts w:ascii="Arial" w:hAnsi="Arial" w:cs="Arial"/>
                <w:sz w:val="22"/>
                <w:szCs w:val="22"/>
              </w:rPr>
            </w:pPr>
          </w:p>
        </w:tc>
      </w:tr>
      <w:tr w:rsidR="0030772E" w:rsidRPr="007923C2" w14:paraId="637BC563" w14:textId="77777777" w:rsidTr="000F34EF">
        <w:trPr>
          <w:trHeight w:val="183"/>
        </w:trPr>
        <w:tc>
          <w:tcPr>
            <w:tcW w:w="1100" w:type="dxa"/>
            <w:vAlign w:val="bottom"/>
          </w:tcPr>
          <w:p w14:paraId="4C1959CC"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26</w:t>
            </w:r>
          </w:p>
        </w:tc>
        <w:tc>
          <w:tcPr>
            <w:tcW w:w="5300" w:type="dxa"/>
            <w:vAlign w:val="bottom"/>
          </w:tcPr>
          <w:p w14:paraId="0396C12E" w14:textId="77777777" w:rsidR="0030772E" w:rsidRPr="007923C2" w:rsidRDefault="00FF3B91" w:rsidP="0030772E">
            <w:pPr>
              <w:jc w:val="both"/>
              <w:rPr>
                <w:rFonts w:ascii="Arial" w:hAnsi="Arial" w:cs="Arial"/>
                <w:sz w:val="22"/>
                <w:szCs w:val="22"/>
              </w:rPr>
            </w:pPr>
            <w:r w:rsidRPr="007923C2">
              <w:rPr>
                <w:rFonts w:ascii="Arial" w:hAnsi="Arial" w:cs="Arial"/>
                <w:sz w:val="22"/>
                <w:szCs w:val="22"/>
              </w:rPr>
              <w:t>Aplica todo su conocimiento en su trabajo</w:t>
            </w:r>
          </w:p>
        </w:tc>
        <w:tc>
          <w:tcPr>
            <w:tcW w:w="600" w:type="dxa"/>
            <w:vAlign w:val="bottom"/>
          </w:tcPr>
          <w:p w14:paraId="497DB290" w14:textId="77777777" w:rsidR="0030772E" w:rsidRPr="007923C2" w:rsidRDefault="0030772E" w:rsidP="0030772E">
            <w:pPr>
              <w:jc w:val="both"/>
              <w:rPr>
                <w:rFonts w:ascii="Arial" w:hAnsi="Arial" w:cs="Arial"/>
                <w:sz w:val="22"/>
                <w:szCs w:val="22"/>
              </w:rPr>
            </w:pPr>
          </w:p>
        </w:tc>
        <w:tc>
          <w:tcPr>
            <w:tcW w:w="2800" w:type="dxa"/>
            <w:vAlign w:val="bottom"/>
          </w:tcPr>
          <w:p w14:paraId="763828A2" w14:textId="77777777" w:rsidR="0030772E" w:rsidRPr="007923C2" w:rsidRDefault="0030772E" w:rsidP="0030772E">
            <w:pPr>
              <w:jc w:val="both"/>
              <w:rPr>
                <w:rFonts w:ascii="Arial" w:hAnsi="Arial" w:cs="Arial"/>
                <w:sz w:val="22"/>
                <w:szCs w:val="22"/>
              </w:rPr>
            </w:pPr>
          </w:p>
        </w:tc>
      </w:tr>
      <w:tr w:rsidR="000F34EF" w:rsidRPr="007923C2" w14:paraId="3E46E4C6" w14:textId="77777777" w:rsidTr="00546E09">
        <w:trPr>
          <w:trHeight w:val="185"/>
        </w:trPr>
        <w:tc>
          <w:tcPr>
            <w:tcW w:w="1100" w:type="dxa"/>
            <w:vAlign w:val="bottom"/>
          </w:tcPr>
          <w:p w14:paraId="1E504E98" w14:textId="77777777" w:rsidR="000F34EF" w:rsidRPr="007923C2" w:rsidRDefault="000F34EF" w:rsidP="000F34EF">
            <w:pPr>
              <w:jc w:val="both"/>
              <w:rPr>
                <w:rFonts w:ascii="Arial" w:hAnsi="Arial" w:cs="Arial"/>
                <w:sz w:val="22"/>
                <w:szCs w:val="22"/>
              </w:rPr>
            </w:pPr>
            <w:r w:rsidRPr="007923C2">
              <w:rPr>
                <w:rFonts w:ascii="Arial" w:hAnsi="Arial" w:cs="Arial"/>
                <w:sz w:val="22"/>
                <w:szCs w:val="22"/>
              </w:rPr>
              <w:t>Alumno 27</w:t>
            </w:r>
          </w:p>
        </w:tc>
        <w:tc>
          <w:tcPr>
            <w:tcW w:w="5300" w:type="dxa"/>
            <w:vAlign w:val="bottom"/>
          </w:tcPr>
          <w:p w14:paraId="09E3D8B7" w14:textId="77777777" w:rsidR="000F34EF" w:rsidRPr="007923C2" w:rsidRDefault="000F34EF" w:rsidP="00546E09">
            <w:pPr>
              <w:jc w:val="both"/>
              <w:rPr>
                <w:rFonts w:ascii="Arial" w:hAnsi="Arial" w:cs="Arial"/>
                <w:sz w:val="22"/>
                <w:szCs w:val="22"/>
              </w:rPr>
            </w:pPr>
            <w:r w:rsidRPr="007923C2">
              <w:rPr>
                <w:rFonts w:ascii="Arial" w:hAnsi="Arial" w:cs="Arial"/>
                <w:sz w:val="22"/>
                <w:szCs w:val="22"/>
              </w:rPr>
              <w:t>Asesor técnico y de ventas</w:t>
            </w:r>
          </w:p>
        </w:tc>
        <w:tc>
          <w:tcPr>
            <w:tcW w:w="600" w:type="dxa"/>
            <w:vAlign w:val="bottom"/>
          </w:tcPr>
          <w:p w14:paraId="04FDA081" w14:textId="77777777" w:rsidR="000F34EF" w:rsidRPr="007923C2" w:rsidRDefault="000F34EF" w:rsidP="00546E09">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110314F0" w14:textId="77777777" w:rsidR="000F34EF" w:rsidRPr="007923C2" w:rsidRDefault="000F34EF" w:rsidP="00546E09">
            <w:pPr>
              <w:jc w:val="both"/>
              <w:rPr>
                <w:rFonts w:ascii="Arial" w:hAnsi="Arial" w:cs="Arial"/>
                <w:sz w:val="22"/>
                <w:szCs w:val="22"/>
              </w:rPr>
            </w:pPr>
          </w:p>
        </w:tc>
      </w:tr>
      <w:tr w:rsidR="0030772E" w:rsidRPr="007923C2" w14:paraId="291D40D0" w14:textId="77777777" w:rsidTr="000F34EF">
        <w:trPr>
          <w:trHeight w:val="182"/>
        </w:trPr>
        <w:tc>
          <w:tcPr>
            <w:tcW w:w="1100" w:type="dxa"/>
            <w:vAlign w:val="bottom"/>
          </w:tcPr>
          <w:p w14:paraId="40C35280"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28</w:t>
            </w:r>
          </w:p>
        </w:tc>
        <w:tc>
          <w:tcPr>
            <w:tcW w:w="5300" w:type="dxa"/>
            <w:vAlign w:val="bottom"/>
          </w:tcPr>
          <w:p w14:paraId="2040D8C9"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Hacemos proyectos para el manejo de plantaciones, reforestaciones</w:t>
            </w:r>
          </w:p>
        </w:tc>
        <w:tc>
          <w:tcPr>
            <w:tcW w:w="600" w:type="dxa"/>
            <w:vAlign w:val="bottom"/>
          </w:tcPr>
          <w:p w14:paraId="72C95A27"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319480C8" w14:textId="77777777" w:rsidR="0030772E" w:rsidRPr="007923C2" w:rsidRDefault="0030772E" w:rsidP="0030772E">
            <w:pPr>
              <w:jc w:val="both"/>
              <w:rPr>
                <w:rFonts w:ascii="Arial" w:hAnsi="Arial" w:cs="Arial"/>
                <w:sz w:val="22"/>
                <w:szCs w:val="22"/>
              </w:rPr>
            </w:pPr>
          </w:p>
        </w:tc>
      </w:tr>
      <w:tr w:rsidR="0030772E" w:rsidRPr="007923C2" w14:paraId="0922EABD" w14:textId="77777777" w:rsidTr="000F34EF">
        <w:trPr>
          <w:trHeight w:val="185"/>
        </w:trPr>
        <w:tc>
          <w:tcPr>
            <w:tcW w:w="1100" w:type="dxa"/>
            <w:vAlign w:val="bottom"/>
          </w:tcPr>
          <w:p w14:paraId="624C4254"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29</w:t>
            </w:r>
          </w:p>
        </w:tc>
        <w:tc>
          <w:tcPr>
            <w:tcW w:w="5300" w:type="dxa"/>
            <w:vAlign w:val="bottom"/>
          </w:tcPr>
          <w:p w14:paraId="22997765" w14:textId="77777777" w:rsidR="0030772E" w:rsidRPr="007923C2" w:rsidRDefault="0030772E" w:rsidP="0030772E">
            <w:pPr>
              <w:jc w:val="both"/>
              <w:rPr>
                <w:rFonts w:ascii="Arial" w:hAnsi="Arial" w:cs="Arial"/>
                <w:sz w:val="22"/>
                <w:szCs w:val="22"/>
              </w:rPr>
            </w:pPr>
          </w:p>
        </w:tc>
        <w:tc>
          <w:tcPr>
            <w:tcW w:w="600" w:type="dxa"/>
            <w:vAlign w:val="bottom"/>
          </w:tcPr>
          <w:p w14:paraId="7486203A" w14:textId="77777777" w:rsidR="0030772E" w:rsidRPr="007923C2" w:rsidRDefault="0030772E" w:rsidP="0030772E">
            <w:pPr>
              <w:jc w:val="both"/>
              <w:rPr>
                <w:rFonts w:ascii="Arial" w:hAnsi="Arial" w:cs="Arial"/>
                <w:sz w:val="22"/>
                <w:szCs w:val="22"/>
              </w:rPr>
            </w:pPr>
          </w:p>
        </w:tc>
        <w:tc>
          <w:tcPr>
            <w:tcW w:w="2800" w:type="dxa"/>
            <w:vAlign w:val="bottom"/>
          </w:tcPr>
          <w:p w14:paraId="588F364C" w14:textId="77777777" w:rsidR="0030772E" w:rsidRPr="007923C2" w:rsidRDefault="0030772E" w:rsidP="0030772E">
            <w:pPr>
              <w:jc w:val="both"/>
              <w:rPr>
                <w:rFonts w:ascii="Arial" w:hAnsi="Arial" w:cs="Arial"/>
                <w:sz w:val="22"/>
                <w:szCs w:val="22"/>
              </w:rPr>
            </w:pPr>
          </w:p>
        </w:tc>
      </w:tr>
      <w:tr w:rsidR="0030772E" w:rsidRPr="007923C2" w14:paraId="7870E361" w14:textId="77777777" w:rsidTr="000F34EF">
        <w:trPr>
          <w:trHeight w:val="185"/>
        </w:trPr>
        <w:tc>
          <w:tcPr>
            <w:tcW w:w="1100" w:type="dxa"/>
            <w:vAlign w:val="bottom"/>
          </w:tcPr>
          <w:p w14:paraId="1B940212"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30</w:t>
            </w:r>
          </w:p>
        </w:tc>
        <w:tc>
          <w:tcPr>
            <w:tcW w:w="5300" w:type="dxa"/>
            <w:vAlign w:val="bottom"/>
          </w:tcPr>
          <w:p w14:paraId="182022DD"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Maestro de Biología y Bioquímica</w:t>
            </w:r>
          </w:p>
        </w:tc>
        <w:tc>
          <w:tcPr>
            <w:tcW w:w="600" w:type="dxa"/>
            <w:vAlign w:val="bottom"/>
          </w:tcPr>
          <w:p w14:paraId="23E64636"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70%</w:t>
            </w:r>
          </w:p>
        </w:tc>
        <w:tc>
          <w:tcPr>
            <w:tcW w:w="2800" w:type="dxa"/>
            <w:vAlign w:val="bottom"/>
          </w:tcPr>
          <w:p w14:paraId="54205BDC" w14:textId="77777777" w:rsidR="0030772E" w:rsidRPr="007923C2" w:rsidRDefault="0030772E" w:rsidP="0030772E">
            <w:pPr>
              <w:jc w:val="both"/>
              <w:rPr>
                <w:rFonts w:ascii="Arial" w:hAnsi="Arial" w:cs="Arial"/>
                <w:sz w:val="22"/>
                <w:szCs w:val="22"/>
              </w:rPr>
            </w:pPr>
          </w:p>
        </w:tc>
      </w:tr>
      <w:tr w:rsidR="0030772E" w:rsidRPr="007923C2" w14:paraId="73BCB375" w14:textId="77777777" w:rsidTr="000F34EF">
        <w:trPr>
          <w:trHeight w:val="182"/>
        </w:trPr>
        <w:tc>
          <w:tcPr>
            <w:tcW w:w="1100" w:type="dxa"/>
            <w:vAlign w:val="bottom"/>
          </w:tcPr>
          <w:p w14:paraId="1DD005FD"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31</w:t>
            </w:r>
          </w:p>
        </w:tc>
        <w:tc>
          <w:tcPr>
            <w:tcW w:w="5300" w:type="dxa"/>
            <w:vAlign w:val="bottom"/>
          </w:tcPr>
          <w:p w14:paraId="5082773A" w14:textId="77777777" w:rsidR="0030772E" w:rsidRPr="007923C2" w:rsidRDefault="00FF3B91" w:rsidP="0030772E">
            <w:pPr>
              <w:jc w:val="both"/>
              <w:rPr>
                <w:rFonts w:ascii="Arial" w:hAnsi="Arial" w:cs="Arial"/>
                <w:sz w:val="22"/>
                <w:szCs w:val="22"/>
              </w:rPr>
            </w:pPr>
            <w:r w:rsidRPr="007923C2">
              <w:rPr>
                <w:rFonts w:ascii="Arial" w:hAnsi="Arial" w:cs="Arial"/>
                <w:sz w:val="22"/>
                <w:szCs w:val="22"/>
              </w:rPr>
              <w:t>Asesoría a productores y conseguir recursos de FIRA</w:t>
            </w:r>
          </w:p>
        </w:tc>
        <w:tc>
          <w:tcPr>
            <w:tcW w:w="600" w:type="dxa"/>
            <w:vAlign w:val="bottom"/>
          </w:tcPr>
          <w:p w14:paraId="3824CE61" w14:textId="77777777" w:rsidR="0030772E" w:rsidRPr="007923C2" w:rsidRDefault="0030772E" w:rsidP="0030772E">
            <w:pPr>
              <w:jc w:val="both"/>
              <w:rPr>
                <w:rFonts w:ascii="Arial" w:hAnsi="Arial" w:cs="Arial"/>
                <w:sz w:val="22"/>
                <w:szCs w:val="22"/>
              </w:rPr>
            </w:pPr>
          </w:p>
        </w:tc>
        <w:tc>
          <w:tcPr>
            <w:tcW w:w="2800" w:type="dxa"/>
            <w:vAlign w:val="bottom"/>
          </w:tcPr>
          <w:p w14:paraId="770E1EB3" w14:textId="77777777" w:rsidR="0030772E" w:rsidRPr="007923C2" w:rsidRDefault="0030772E" w:rsidP="0030772E">
            <w:pPr>
              <w:jc w:val="both"/>
              <w:rPr>
                <w:rFonts w:ascii="Arial" w:hAnsi="Arial" w:cs="Arial"/>
                <w:sz w:val="22"/>
                <w:szCs w:val="22"/>
              </w:rPr>
            </w:pPr>
          </w:p>
        </w:tc>
      </w:tr>
      <w:tr w:rsidR="0030772E" w:rsidRPr="007923C2" w14:paraId="4F4C87C0" w14:textId="77777777" w:rsidTr="000F34EF">
        <w:trPr>
          <w:trHeight w:val="185"/>
        </w:trPr>
        <w:tc>
          <w:tcPr>
            <w:tcW w:w="1100" w:type="dxa"/>
            <w:vAlign w:val="bottom"/>
          </w:tcPr>
          <w:p w14:paraId="293D8837" w14:textId="77777777" w:rsidR="0030772E" w:rsidRPr="007923C2" w:rsidRDefault="000F34EF" w:rsidP="0030772E">
            <w:pPr>
              <w:jc w:val="both"/>
              <w:rPr>
                <w:rFonts w:ascii="Arial" w:hAnsi="Arial" w:cs="Arial"/>
                <w:sz w:val="22"/>
                <w:szCs w:val="22"/>
              </w:rPr>
            </w:pPr>
            <w:r w:rsidRPr="007923C2">
              <w:rPr>
                <w:rFonts w:ascii="Arial" w:hAnsi="Arial" w:cs="Arial"/>
                <w:sz w:val="22"/>
                <w:szCs w:val="22"/>
              </w:rPr>
              <w:t>Alumno 32</w:t>
            </w:r>
          </w:p>
        </w:tc>
        <w:tc>
          <w:tcPr>
            <w:tcW w:w="5300" w:type="dxa"/>
            <w:vAlign w:val="bottom"/>
          </w:tcPr>
          <w:p w14:paraId="389F716F" w14:textId="77777777" w:rsidR="0030772E" w:rsidRPr="007923C2" w:rsidRDefault="000F34EF" w:rsidP="0030772E">
            <w:pPr>
              <w:jc w:val="both"/>
              <w:rPr>
                <w:rFonts w:ascii="Arial" w:hAnsi="Arial" w:cs="Arial"/>
                <w:sz w:val="22"/>
                <w:szCs w:val="22"/>
              </w:rPr>
            </w:pPr>
            <w:r w:rsidRPr="007923C2">
              <w:rPr>
                <w:rFonts w:ascii="Arial" w:hAnsi="Arial" w:cs="Arial"/>
                <w:sz w:val="22"/>
                <w:szCs w:val="22"/>
              </w:rPr>
              <w:t xml:space="preserve">FIRCO para productores, venta de insumos y sistemas de </w:t>
            </w:r>
            <w:r w:rsidR="00FF3B91" w:rsidRPr="007923C2">
              <w:rPr>
                <w:rFonts w:ascii="Arial" w:hAnsi="Arial" w:cs="Arial"/>
                <w:sz w:val="22"/>
                <w:szCs w:val="22"/>
              </w:rPr>
              <w:t>R</w:t>
            </w:r>
            <w:r w:rsidR="0030772E" w:rsidRPr="007923C2">
              <w:rPr>
                <w:rFonts w:ascii="Arial" w:hAnsi="Arial" w:cs="Arial"/>
                <w:sz w:val="22"/>
                <w:szCs w:val="22"/>
              </w:rPr>
              <w:t>iego</w:t>
            </w:r>
            <w:r w:rsidR="00FF3B91" w:rsidRPr="007923C2">
              <w:rPr>
                <w:rFonts w:ascii="Arial" w:hAnsi="Arial" w:cs="Arial"/>
                <w:sz w:val="22"/>
                <w:szCs w:val="22"/>
              </w:rPr>
              <w:t>.</w:t>
            </w:r>
          </w:p>
        </w:tc>
        <w:tc>
          <w:tcPr>
            <w:tcW w:w="3400" w:type="dxa"/>
            <w:gridSpan w:val="2"/>
            <w:vAlign w:val="bottom"/>
          </w:tcPr>
          <w:p w14:paraId="57CF85CA"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En muy poca la relación</w:t>
            </w:r>
          </w:p>
        </w:tc>
      </w:tr>
      <w:tr w:rsidR="0030772E" w:rsidRPr="007923C2" w14:paraId="76B5C665" w14:textId="77777777" w:rsidTr="000F34EF">
        <w:trPr>
          <w:trHeight w:val="182"/>
        </w:trPr>
        <w:tc>
          <w:tcPr>
            <w:tcW w:w="1100" w:type="dxa"/>
            <w:vAlign w:val="bottom"/>
          </w:tcPr>
          <w:p w14:paraId="4600A3C5"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33</w:t>
            </w:r>
          </w:p>
        </w:tc>
        <w:tc>
          <w:tcPr>
            <w:tcW w:w="5300" w:type="dxa"/>
            <w:vAlign w:val="bottom"/>
          </w:tcPr>
          <w:p w14:paraId="2197A04C"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Maestro</w:t>
            </w:r>
          </w:p>
        </w:tc>
        <w:tc>
          <w:tcPr>
            <w:tcW w:w="600" w:type="dxa"/>
            <w:vAlign w:val="bottom"/>
          </w:tcPr>
          <w:p w14:paraId="50ED5462"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14:paraId="3BCB0619" w14:textId="77777777" w:rsidR="0030772E" w:rsidRPr="007923C2" w:rsidRDefault="0030772E" w:rsidP="0030772E">
            <w:pPr>
              <w:jc w:val="both"/>
              <w:rPr>
                <w:rFonts w:ascii="Arial" w:hAnsi="Arial" w:cs="Arial"/>
                <w:sz w:val="22"/>
                <w:szCs w:val="22"/>
              </w:rPr>
            </w:pPr>
          </w:p>
        </w:tc>
      </w:tr>
      <w:tr w:rsidR="0030772E" w:rsidRPr="007923C2" w14:paraId="6AA2E958" w14:textId="77777777" w:rsidTr="000F34EF">
        <w:trPr>
          <w:trHeight w:val="185"/>
        </w:trPr>
        <w:tc>
          <w:tcPr>
            <w:tcW w:w="1100" w:type="dxa"/>
            <w:vAlign w:val="bottom"/>
          </w:tcPr>
          <w:p w14:paraId="3688FE50"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34</w:t>
            </w:r>
          </w:p>
        </w:tc>
        <w:tc>
          <w:tcPr>
            <w:tcW w:w="5300" w:type="dxa"/>
            <w:vAlign w:val="bottom"/>
          </w:tcPr>
          <w:p w14:paraId="40911303"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Gerente del fondo de aseguramiento agrícola</w:t>
            </w:r>
          </w:p>
        </w:tc>
        <w:tc>
          <w:tcPr>
            <w:tcW w:w="600" w:type="dxa"/>
            <w:vAlign w:val="bottom"/>
          </w:tcPr>
          <w:p w14:paraId="18932CAA"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50%</w:t>
            </w:r>
          </w:p>
        </w:tc>
        <w:tc>
          <w:tcPr>
            <w:tcW w:w="2800" w:type="dxa"/>
            <w:vAlign w:val="bottom"/>
          </w:tcPr>
          <w:p w14:paraId="61252FAD" w14:textId="77777777" w:rsidR="0030772E" w:rsidRPr="007923C2" w:rsidRDefault="0030772E" w:rsidP="0030772E">
            <w:pPr>
              <w:jc w:val="both"/>
              <w:rPr>
                <w:rFonts w:ascii="Arial" w:hAnsi="Arial" w:cs="Arial"/>
                <w:sz w:val="22"/>
                <w:szCs w:val="22"/>
              </w:rPr>
            </w:pPr>
          </w:p>
        </w:tc>
      </w:tr>
      <w:tr w:rsidR="0030772E" w:rsidRPr="007923C2" w14:paraId="6F195C63" w14:textId="77777777" w:rsidTr="000F34EF">
        <w:trPr>
          <w:trHeight w:val="185"/>
        </w:trPr>
        <w:tc>
          <w:tcPr>
            <w:tcW w:w="1100" w:type="dxa"/>
            <w:vAlign w:val="bottom"/>
          </w:tcPr>
          <w:p w14:paraId="06DECB96" w14:textId="77777777" w:rsidR="0030772E" w:rsidRPr="007923C2" w:rsidRDefault="0030772E" w:rsidP="0030772E">
            <w:pPr>
              <w:jc w:val="both"/>
              <w:rPr>
                <w:rFonts w:ascii="Arial" w:hAnsi="Arial" w:cs="Arial"/>
                <w:sz w:val="22"/>
                <w:szCs w:val="22"/>
              </w:rPr>
            </w:pPr>
            <w:r w:rsidRPr="007923C2">
              <w:rPr>
                <w:rFonts w:ascii="Arial" w:hAnsi="Arial" w:cs="Arial"/>
                <w:sz w:val="22"/>
                <w:szCs w:val="22"/>
              </w:rPr>
              <w:t>Alumno 35</w:t>
            </w:r>
          </w:p>
        </w:tc>
        <w:tc>
          <w:tcPr>
            <w:tcW w:w="5300" w:type="dxa"/>
            <w:vAlign w:val="bottom"/>
          </w:tcPr>
          <w:p w14:paraId="2C34DB36" w14:textId="77777777" w:rsidR="0030772E" w:rsidRPr="007923C2" w:rsidRDefault="0030772E" w:rsidP="0030772E">
            <w:pPr>
              <w:jc w:val="both"/>
              <w:rPr>
                <w:rFonts w:ascii="Arial" w:hAnsi="Arial" w:cs="Arial"/>
                <w:sz w:val="22"/>
                <w:szCs w:val="22"/>
              </w:rPr>
            </w:pPr>
          </w:p>
        </w:tc>
        <w:tc>
          <w:tcPr>
            <w:tcW w:w="600" w:type="dxa"/>
            <w:vAlign w:val="bottom"/>
          </w:tcPr>
          <w:p w14:paraId="02CA766B" w14:textId="77777777" w:rsidR="0030772E" w:rsidRPr="007923C2" w:rsidRDefault="0030772E" w:rsidP="0030772E">
            <w:pPr>
              <w:jc w:val="both"/>
              <w:rPr>
                <w:rFonts w:ascii="Arial" w:hAnsi="Arial" w:cs="Arial"/>
                <w:sz w:val="22"/>
                <w:szCs w:val="22"/>
              </w:rPr>
            </w:pPr>
          </w:p>
        </w:tc>
        <w:tc>
          <w:tcPr>
            <w:tcW w:w="2800" w:type="dxa"/>
            <w:vAlign w:val="bottom"/>
          </w:tcPr>
          <w:p w14:paraId="2C2DAB82" w14:textId="77777777" w:rsidR="0030772E" w:rsidRPr="007923C2" w:rsidRDefault="0030772E" w:rsidP="0030772E">
            <w:pPr>
              <w:jc w:val="both"/>
              <w:rPr>
                <w:rFonts w:ascii="Arial" w:hAnsi="Arial" w:cs="Arial"/>
                <w:sz w:val="22"/>
                <w:szCs w:val="22"/>
              </w:rPr>
            </w:pPr>
          </w:p>
        </w:tc>
      </w:tr>
    </w:tbl>
    <w:p w14:paraId="3AFA41B8" w14:textId="77777777" w:rsidR="004220B7" w:rsidRPr="007923C2" w:rsidRDefault="004220B7" w:rsidP="004220B7">
      <w:pPr>
        <w:jc w:val="both"/>
        <w:rPr>
          <w:rFonts w:ascii="Arial" w:hAnsi="Arial" w:cs="Arial"/>
          <w:sz w:val="22"/>
          <w:szCs w:val="22"/>
        </w:rPr>
      </w:pPr>
    </w:p>
    <w:p w14:paraId="2DB7FE25" w14:textId="77777777" w:rsidR="0030772E" w:rsidRPr="007923C2" w:rsidRDefault="0030772E" w:rsidP="0030772E">
      <w:pPr>
        <w:widowControl w:val="0"/>
        <w:autoSpaceDE w:val="0"/>
        <w:autoSpaceDN w:val="0"/>
        <w:adjustRightInd w:val="0"/>
        <w:spacing w:line="239" w:lineRule="auto"/>
        <w:rPr>
          <w:rFonts w:ascii="Arial" w:hAnsi="Arial" w:cs="Arial"/>
          <w:sz w:val="22"/>
          <w:szCs w:val="22"/>
        </w:rPr>
      </w:pPr>
      <w:r w:rsidRPr="007923C2">
        <w:rPr>
          <w:rFonts w:ascii="Arial" w:hAnsi="Arial" w:cs="Arial"/>
          <w:b/>
          <w:bCs/>
          <w:sz w:val="22"/>
          <w:szCs w:val="22"/>
        </w:rPr>
        <w:t>Evaluación de</w:t>
      </w:r>
      <w:r w:rsidR="00AF4E37" w:rsidRPr="007923C2">
        <w:rPr>
          <w:rFonts w:ascii="Arial" w:hAnsi="Arial" w:cs="Arial"/>
          <w:b/>
          <w:bCs/>
          <w:sz w:val="22"/>
          <w:szCs w:val="22"/>
        </w:rPr>
        <w:t xml:space="preserve"> la preparación recibida en la U</w:t>
      </w:r>
      <w:r w:rsidRPr="007923C2">
        <w:rPr>
          <w:rFonts w:ascii="Arial" w:hAnsi="Arial" w:cs="Arial"/>
          <w:b/>
          <w:bCs/>
          <w:sz w:val="22"/>
          <w:szCs w:val="22"/>
        </w:rPr>
        <w:t>niversidad</w:t>
      </w:r>
    </w:p>
    <w:p w14:paraId="069DA42B" w14:textId="77777777" w:rsidR="0030772E" w:rsidRDefault="0030772E" w:rsidP="0030772E">
      <w:pPr>
        <w:widowControl w:val="0"/>
        <w:overflowPunct w:val="0"/>
        <w:autoSpaceDE w:val="0"/>
        <w:autoSpaceDN w:val="0"/>
        <w:adjustRightInd w:val="0"/>
        <w:spacing w:line="214" w:lineRule="auto"/>
        <w:ind w:right="120"/>
        <w:rPr>
          <w:rFonts w:ascii="Arial" w:hAnsi="Arial" w:cs="Arial"/>
          <w:sz w:val="22"/>
          <w:szCs w:val="22"/>
        </w:rPr>
      </w:pPr>
      <w:r w:rsidRPr="007923C2">
        <w:rPr>
          <w:rFonts w:ascii="Arial" w:hAnsi="Arial" w:cs="Arial"/>
          <w:sz w:val="22"/>
          <w:szCs w:val="22"/>
        </w:rPr>
        <w:t xml:space="preserve">Al evaluar la preparación recibida de la UAAAN por los egresados de la carrera de Ingeniero en Agrobiología, </w:t>
      </w:r>
      <w:r w:rsidRPr="007923C2">
        <w:rPr>
          <w:rFonts w:ascii="Arial" w:hAnsi="Arial" w:cs="Arial"/>
          <w:b/>
          <w:bCs/>
          <w:sz w:val="22"/>
          <w:szCs w:val="22"/>
        </w:rPr>
        <w:t xml:space="preserve">64.3% </w:t>
      </w:r>
      <w:r w:rsidRPr="007923C2">
        <w:rPr>
          <w:rFonts w:ascii="Arial" w:hAnsi="Arial" w:cs="Arial"/>
          <w:sz w:val="22"/>
          <w:szCs w:val="22"/>
        </w:rPr>
        <w:t>le otorgó una calificación de</w:t>
      </w:r>
      <w:r w:rsidRPr="007923C2">
        <w:rPr>
          <w:rFonts w:ascii="Arial" w:hAnsi="Arial" w:cs="Arial"/>
          <w:b/>
          <w:bCs/>
          <w:sz w:val="22"/>
          <w:szCs w:val="22"/>
        </w:rPr>
        <w:t xml:space="preserve"> 9 a 10</w:t>
      </w:r>
      <w:r w:rsidRPr="007923C2">
        <w:rPr>
          <w:rFonts w:ascii="Arial" w:hAnsi="Arial" w:cs="Arial"/>
          <w:sz w:val="22"/>
          <w:szCs w:val="22"/>
        </w:rPr>
        <w:t>, 28.6% le otorgó una calificación de 8.</w:t>
      </w:r>
    </w:p>
    <w:p w14:paraId="68AFA71D" w14:textId="77777777" w:rsidR="00973738" w:rsidRPr="007923C2" w:rsidRDefault="00973738" w:rsidP="0030772E">
      <w:pPr>
        <w:widowControl w:val="0"/>
        <w:overflowPunct w:val="0"/>
        <w:autoSpaceDE w:val="0"/>
        <w:autoSpaceDN w:val="0"/>
        <w:adjustRightInd w:val="0"/>
        <w:spacing w:line="214" w:lineRule="auto"/>
        <w:ind w:right="120"/>
        <w:rPr>
          <w:rFonts w:ascii="Arial" w:hAnsi="Arial" w:cs="Arial"/>
          <w:sz w:val="22"/>
          <w:szCs w:val="22"/>
        </w:rPr>
      </w:pPr>
    </w:p>
    <w:p w14:paraId="35AAE4CB" w14:textId="77777777" w:rsidR="0030772E" w:rsidRPr="007923C2" w:rsidRDefault="0030772E" w:rsidP="0030772E">
      <w:pPr>
        <w:widowControl w:val="0"/>
        <w:autoSpaceDE w:val="0"/>
        <w:autoSpaceDN w:val="0"/>
        <w:adjustRightInd w:val="0"/>
        <w:spacing w:line="239" w:lineRule="auto"/>
        <w:rPr>
          <w:rFonts w:ascii="Arial" w:hAnsi="Arial" w:cs="Arial"/>
          <w:sz w:val="22"/>
          <w:szCs w:val="22"/>
        </w:rPr>
      </w:pPr>
      <w:r w:rsidRPr="007923C2">
        <w:rPr>
          <w:rFonts w:ascii="Arial" w:hAnsi="Arial" w:cs="Arial"/>
          <w:sz w:val="22"/>
          <w:szCs w:val="22"/>
        </w:rPr>
        <w:t xml:space="preserve">La </w:t>
      </w:r>
      <w:r w:rsidRPr="007923C2">
        <w:rPr>
          <w:rFonts w:ascii="Arial" w:hAnsi="Arial" w:cs="Arial"/>
          <w:b/>
          <w:bCs/>
          <w:sz w:val="22"/>
          <w:szCs w:val="22"/>
        </w:rPr>
        <w:t>calificación más baja</w:t>
      </w:r>
      <w:r w:rsidRPr="007923C2">
        <w:rPr>
          <w:rFonts w:ascii="Arial" w:hAnsi="Arial" w:cs="Arial"/>
          <w:sz w:val="22"/>
          <w:szCs w:val="22"/>
        </w:rPr>
        <w:t xml:space="preserve"> otorgada fue en el rango de </w:t>
      </w:r>
      <w:r w:rsidRPr="007923C2">
        <w:rPr>
          <w:rFonts w:ascii="Arial" w:hAnsi="Arial" w:cs="Arial"/>
          <w:b/>
          <w:bCs/>
          <w:sz w:val="22"/>
          <w:szCs w:val="22"/>
        </w:rPr>
        <w:t>6</w:t>
      </w:r>
      <w:r w:rsidRPr="007923C2">
        <w:rPr>
          <w:rFonts w:ascii="Arial" w:hAnsi="Arial" w:cs="Arial"/>
          <w:sz w:val="22"/>
          <w:szCs w:val="22"/>
        </w:rPr>
        <w:t xml:space="preserve"> y fue otorgada por el 2.9% de los entrevistados.</w:t>
      </w:r>
    </w:p>
    <w:tbl>
      <w:tblPr>
        <w:tblW w:w="0" w:type="auto"/>
        <w:tblInd w:w="2920" w:type="dxa"/>
        <w:tblLayout w:type="fixed"/>
        <w:tblCellMar>
          <w:left w:w="0" w:type="dxa"/>
          <w:right w:w="0" w:type="dxa"/>
        </w:tblCellMar>
        <w:tblLook w:val="0000" w:firstRow="0" w:lastRow="0" w:firstColumn="0" w:lastColumn="0" w:noHBand="0" w:noVBand="0"/>
      </w:tblPr>
      <w:tblGrid>
        <w:gridCol w:w="1920"/>
        <w:gridCol w:w="1980"/>
      </w:tblGrid>
      <w:tr w:rsidR="0030772E" w:rsidRPr="007923C2" w14:paraId="1C19928D" w14:textId="77777777" w:rsidTr="0030772E">
        <w:trPr>
          <w:trHeight w:val="269"/>
        </w:trPr>
        <w:tc>
          <w:tcPr>
            <w:tcW w:w="1920" w:type="dxa"/>
            <w:tcBorders>
              <w:top w:val="nil"/>
              <w:left w:val="nil"/>
              <w:bottom w:val="nil"/>
              <w:right w:val="nil"/>
            </w:tcBorders>
            <w:vAlign w:val="bottom"/>
          </w:tcPr>
          <w:p w14:paraId="781810BE" w14:textId="77777777" w:rsidR="0030772E" w:rsidRPr="007923C2" w:rsidRDefault="0030772E" w:rsidP="0030772E">
            <w:pPr>
              <w:widowControl w:val="0"/>
              <w:autoSpaceDE w:val="0"/>
              <w:autoSpaceDN w:val="0"/>
              <w:adjustRightInd w:val="0"/>
              <w:spacing w:line="267" w:lineRule="exact"/>
              <w:rPr>
                <w:rFonts w:ascii="Arial" w:hAnsi="Arial" w:cs="Arial"/>
                <w:sz w:val="22"/>
                <w:szCs w:val="22"/>
              </w:rPr>
            </w:pPr>
            <w:r w:rsidRPr="007923C2">
              <w:rPr>
                <w:rFonts w:ascii="Arial" w:hAnsi="Arial" w:cs="Arial"/>
                <w:b/>
                <w:bCs/>
                <w:sz w:val="22"/>
                <w:szCs w:val="22"/>
              </w:rPr>
              <w:lastRenderedPageBreak/>
              <w:t>Calificacion</w:t>
            </w:r>
          </w:p>
        </w:tc>
        <w:tc>
          <w:tcPr>
            <w:tcW w:w="1980" w:type="dxa"/>
            <w:tcBorders>
              <w:top w:val="nil"/>
              <w:left w:val="nil"/>
              <w:bottom w:val="nil"/>
              <w:right w:val="nil"/>
            </w:tcBorders>
            <w:vAlign w:val="bottom"/>
          </w:tcPr>
          <w:p w14:paraId="4E47306D" w14:textId="77777777" w:rsidR="0030772E" w:rsidRPr="007923C2" w:rsidRDefault="0030772E" w:rsidP="0030772E">
            <w:pPr>
              <w:widowControl w:val="0"/>
              <w:autoSpaceDE w:val="0"/>
              <w:autoSpaceDN w:val="0"/>
              <w:adjustRightInd w:val="0"/>
              <w:spacing w:line="267" w:lineRule="exact"/>
              <w:rPr>
                <w:rFonts w:ascii="Arial" w:hAnsi="Arial" w:cs="Arial"/>
                <w:sz w:val="22"/>
                <w:szCs w:val="22"/>
              </w:rPr>
            </w:pPr>
            <w:r w:rsidRPr="007923C2">
              <w:rPr>
                <w:rFonts w:ascii="Arial" w:hAnsi="Arial" w:cs="Arial"/>
                <w:b/>
                <w:bCs/>
                <w:w w:val="97"/>
                <w:sz w:val="22"/>
                <w:szCs w:val="22"/>
              </w:rPr>
              <w:t>Distribución</w:t>
            </w:r>
          </w:p>
        </w:tc>
      </w:tr>
      <w:tr w:rsidR="0030772E" w:rsidRPr="007923C2" w14:paraId="5946F5E9" w14:textId="77777777" w:rsidTr="0030772E">
        <w:trPr>
          <w:trHeight w:val="290"/>
        </w:trPr>
        <w:tc>
          <w:tcPr>
            <w:tcW w:w="1920" w:type="dxa"/>
            <w:tcBorders>
              <w:top w:val="nil"/>
              <w:left w:val="nil"/>
              <w:bottom w:val="nil"/>
              <w:right w:val="nil"/>
            </w:tcBorders>
            <w:vAlign w:val="bottom"/>
          </w:tcPr>
          <w:p w14:paraId="1C17F39B" w14:textId="77777777" w:rsidR="0030772E" w:rsidRPr="007923C2" w:rsidRDefault="0030772E" w:rsidP="0030772E">
            <w:pPr>
              <w:widowControl w:val="0"/>
              <w:autoSpaceDE w:val="0"/>
              <w:autoSpaceDN w:val="0"/>
              <w:adjustRightInd w:val="0"/>
              <w:spacing w:line="267" w:lineRule="exact"/>
              <w:ind w:right="750"/>
              <w:jc w:val="center"/>
              <w:rPr>
                <w:rFonts w:ascii="Arial" w:hAnsi="Arial" w:cs="Arial"/>
                <w:sz w:val="22"/>
                <w:szCs w:val="22"/>
              </w:rPr>
            </w:pPr>
            <w:r w:rsidRPr="007923C2">
              <w:rPr>
                <w:rFonts w:ascii="Arial" w:hAnsi="Arial" w:cs="Arial"/>
                <w:w w:val="98"/>
                <w:sz w:val="22"/>
                <w:szCs w:val="22"/>
              </w:rPr>
              <w:t>10</w:t>
            </w:r>
          </w:p>
        </w:tc>
        <w:tc>
          <w:tcPr>
            <w:tcW w:w="1980" w:type="dxa"/>
            <w:tcBorders>
              <w:top w:val="nil"/>
              <w:left w:val="nil"/>
              <w:bottom w:val="nil"/>
              <w:right w:val="nil"/>
            </w:tcBorders>
            <w:vAlign w:val="bottom"/>
          </w:tcPr>
          <w:p w14:paraId="5DE9469E" w14:textId="77777777" w:rsidR="0030772E" w:rsidRPr="007923C2" w:rsidRDefault="0030772E" w:rsidP="0030772E">
            <w:pPr>
              <w:widowControl w:val="0"/>
              <w:autoSpaceDE w:val="0"/>
              <w:autoSpaceDN w:val="0"/>
              <w:adjustRightInd w:val="0"/>
              <w:spacing w:line="267" w:lineRule="exact"/>
              <w:jc w:val="center"/>
              <w:rPr>
                <w:rFonts w:ascii="Arial" w:hAnsi="Arial" w:cs="Arial"/>
                <w:sz w:val="22"/>
                <w:szCs w:val="22"/>
              </w:rPr>
            </w:pPr>
            <w:r w:rsidRPr="007923C2">
              <w:rPr>
                <w:rFonts w:ascii="Arial" w:hAnsi="Arial" w:cs="Arial"/>
                <w:w w:val="98"/>
                <w:sz w:val="22"/>
                <w:szCs w:val="22"/>
              </w:rPr>
              <w:t>28.6%</w:t>
            </w:r>
          </w:p>
        </w:tc>
      </w:tr>
      <w:tr w:rsidR="0030772E" w:rsidRPr="007923C2" w14:paraId="1F1D7F9E" w14:textId="77777777" w:rsidTr="0030772E">
        <w:trPr>
          <w:trHeight w:val="291"/>
        </w:trPr>
        <w:tc>
          <w:tcPr>
            <w:tcW w:w="1920" w:type="dxa"/>
            <w:tcBorders>
              <w:top w:val="nil"/>
              <w:left w:val="nil"/>
              <w:bottom w:val="nil"/>
              <w:right w:val="nil"/>
            </w:tcBorders>
            <w:vAlign w:val="bottom"/>
          </w:tcPr>
          <w:p w14:paraId="1254D5AC" w14:textId="77777777" w:rsidR="0030772E" w:rsidRPr="007923C2" w:rsidRDefault="0030772E" w:rsidP="0030772E">
            <w:pPr>
              <w:widowControl w:val="0"/>
              <w:autoSpaceDE w:val="0"/>
              <w:autoSpaceDN w:val="0"/>
              <w:adjustRightInd w:val="0"/>
              <w:spacing w:line="267" w:lineRule="exact"/>
              <w:ind w:right="750"/>
              <w:jc w:val="center"/>
              <w:rPr>
                <w:rFonts w:ascii="Arial" w:hAnsi="Arial" w:cs="Arial"/>
                <w:sz w:val="22"/>
                <w:szCs w:val="22"/>
              </w:rPr>
            </w:pPr>
            <w:r w:rsidRPr="007923C2">
              <w:rPr>
                <w:rFonts w:ascii="Arial" w:hAnsi="Arial" w:cs="Arial"/>
                <w:w w:val="89"/>
                <w:sz w:val="22"/>
                <w:szCs w:val="22"/>
              </w:rPr>
              <w:t>9</w:t>
            </w:r>
          </w:p>
        </w:tc>
        <w:tc>
          <w:tcPr>
            <w:tcW w:w="1980" w:type="dxa"/>
            <w:tcBorders>
              <w:top w:val="nil"/>
              <w:left w:val="nil"/>
              <w:bottom w:val="nil"/>
              <w:right w:val="nil"/>
            </w:tcBorders>
            <w:vAlign w:val="bottom"/>
          </w:tcPr>
          <w:p w14:paraId="5B95DBC8" w14:textId="77777777" w:rsidR="0030772E" w:rsidRPr="007923C2" w:rsidRDefault="0030772E" w:rsidP="0030772E">
            <w:pPr>
              <w:widowControl w:val="0"/>
              <w:autoSpaceDE w:val="0"/>
              <w:autoSpaceDN w:val="0"/>
              <w:adjustRightInd w:val="0"/>
              <w:spacing w:line="267" w:lineRule="exact"/>
              <w:jc w:val="center"/>
              <w:rPr>
                <w:rFonts w:ascii="Arial" w:hAnsi="Arial" w:cs="Arial"/>
                <w:sz w:val="22"/>
                <w:szCs w:val="22"/>
              </w:rPr>
            </w:pPr>
            <w:r w:rsidRPr="007923C2">
              <w:rPr>
                <w:rFonts w:ascii="Arial" w:hAnsi="Arial" w:cs="Arial"/>
                <w:w w:val="98"/>
                <w:sz w:val="22"/>
                <w:szCs w:val="22"/>
              </w:rPr>
              <w:t>34.3%</w:t>
            </w:r>
          </w:p>
        </w:tc>
      </w:tr>
      <w:tr w:rsidR="0030772E" w:rsidRPr="007923C2" w14:paraId="636E4C97" w14:textId="77777777" w:rsidTr="0030772E">
        <w:trPr>
          <w:trHeight w:val="290"/>
        </w:trPr>
        <w:tc>
          <w:tcPr>
            <w:tcW w:w="1920" w:type="dxa"/>
            <w:tcBorders>
              <w:top w:val="nil"/>
              <w:left w:val="nil"/>
              <w:bottom w:val="nil"/>
              <w:right w:val="nil"/>
            </w:tcBorders>
            <w:vAlign w:val="bottom"/>
          </w:tcPr>
          <w:p w14:paraId="49B5A2D2" w14:textId="77777777" w:rsidR="0030772E" w:rsidRPr="007923C2" w:rsidRDefault="0030772E" w:rsidP="0030772E">
            <w:pPr>
              <w:widowControl w:val="0"/>
              <w:autoSpaceDE w:val="0"/>
              <w:autoSpaceDN w:val="0"/>
              <w:adjustRightInd w:val="0"/>
              <w:spacing w:line="267" w:lineRule="exact"/>
              <w:ind w:right="770"/>
              <w:jc w:val="center"/>
              <w:rPr>
                <w:rFonts w:ascii="Arial" w:hAnsi="Arial" w:cs="Arial"/>
                <w:sz w:val="22"/>
                <w:szCs w:val="22"/>
              </w:rPr>
            </w:pPr>
            <w:r w:rsidRPr="007923C2">
              <w:rPr>
                <w:rFonts w:ascii="Arial" w:hAnsi="Arial" w:cs="Arial"/>
                <w:sz w:val="22"/>
                <w:szCs w:val="22"/>
              </w:rPr>
              <w:t>8.5</w:t>
            </w:r>
          </w:p>
        </w:tc>
        <w:tc>
          <w:tcPr>
            <w:tcW w:w="1980" w:type="dxa"/>
            <w:tcBorders>
              <w:top w:val="nil"/>
              <w:left w:val="nil"/>
              <w:bottom w:val="nil"/>
              <w:right w:val="nil"/>
            </w:tcBorders>
            <w:vAlign w:val="bottom"/>
          </w:tcPr>
          <w:p w14:paraId="583424A2" w14:textId="77777777" w:rsidR="0030772E" w:rsidRPr="007923C2" w:rsidRDefault="0030772E" w:rsidP="0030772E">
            <w:pPr>
              <w:widowControl w:val="0"/>
              <w:autoSpaceDE w:val="0"/>
              <w:autoSpaceDN w:val="0"/>
              <w:adjustRightInd w:val="0"/>
              <w:spacing w:line="267" w:lineRule="exact"/>
              <w:jc w:val="center"/>
              <w:rPr>
                <w:rFonts w:ascii="Arial" w:hAnsi="Arial" w:cs="Arial"/>
                <w:sz w:val="22"/>
                <w:szCs w:val="22"/>
              </w:rPr>
            </w:pPr>
            <w:r w:rsidRPr="007923C2">
              <w:rPr>
                <w:rFonts w:ascii="Arial" w:hAnsi="Arial" w:cs="Arial"/>
                <w:sz w:val="22"/>
                <w:szCs w:val="22"/>
              </w:rPr>
              <w:t>2.9%</w:t>
            </w:r>
          </w:p>
        </w:tc>
      </w:tr>
      <w:tr w:rsidR="0030772E" w:rsidRPr="007923C2" w14:paraId="36797BBE" w14:textId="77777777" w:rsidTr="0030772E">
        <w:trPr>
          <w:trHeight w:val="291"/>
        </w:trPr>
        <w:tc>
          <w:tcPr>
            <w:tcW w:w="1920" w:type="dxa"/>
            <w:tcBorders>
              <w:top w:val="nil"/>
              <w:left w:val="nil"/>
              <w:bottom w:val="nil"/>
              <w:right w:val="nil"/>
            </w:tcBorders>
            <w:vAlign w:val="bottom"/>
          </w:tcPr>
          <w:p w14:paraId="197D32B8" w14:textId="77777777" w:rsidR="0030772E" w:rsidRPr="007923C2" w:rsidRDefault="0030772E" w:rsidP="0030772E">
            <w:pPr>
              <w:widowControl w:val="0"/>
              <w:autoSpaceDE w:val="0"/>
              <w:autoSpaceDN w:val="0"/>
              <w:adjustRightInd w:val="0"/>
              <w:spacing w:line="267" w:lineRule="exact"/>
              <w:ind w:right="750"/>
              <w:jc w:val="center"/>
              <w:rPr>
                <w:rFonts w:ascii="Arial" w:hAnsi="Arial" w:cs="Arial"/>
                <w:sz w:val="22"/>
                <w:szCs w:val="22"/>
              </w:rPr>
            </w:pPr>
            <w:r w:rsidRPr="007923C2">
              <w:rPr>
                <w:rFonts w:ascii="Arial" w:hAnsi="Arial" w:cs="Arial"/>
                <w:w w:val="89"/>
                <w:sz w:val="22"/>
                <w:szCs w:val="22"/>
              </w:rPr>
              <w:t>8</w:t>
            </w:r>
          </w:p>
        </w:tc>
        <w:tc>
          <w:tcPr>
            <w:tcW w:w="1980" w:type="dxa"/>
            <w:tcBorders>
              <w:top w:val="nil"/>
              <w:left w:val="nil"/>
              <w:bottom w:val="nil"/>
              <w:right w:val="nil"/>
            </w:tcBorders>
            <w:vAlign w:val="bottom"/>
          </w:tcPr>
          <w:p w14:paraId="730F8BF7" w14:textId="77777777" w:rsidR="0030772E" w:rsidRPr="007923C2" w:rsidRDefault="0030772E" w:rsidP="0030772E">
            <w:pPr>
              <w:widowControl w:val="0"/>
              <w:autoSpaceDE w:val="0"/>
              <w:autoSpaceDN w:val="0"/>
              <w:adjustRightInd w:val="0"/>
              <w:spacing w:line="267" w:lineRule="exact"/>
              <w:jc w:val="center"/>
              <w:rPr>
                <w:rFonts w:ascii="Arial" w:hAnsi="Arial" w:cs="Arial"/>
                <w:sz w:val="22"/>
                <w:szCs w:val="22"/>
              </w:rPr>
            </w:pPr>
            <w:r w:rsidRPr="007923C2">
              <w:rPr>
                <w:rFonts w:ascii="Arial" w:hAnsi="Arial" w:cs="Arial"/>
                <w:w w:val="98"/>
                <w:sz w:val="22"/>
                <w:szCs w:val="22"/>
              </w:rPr>
              <w:t>25.7%</w:t>
            </w:r>
          </w:p>
        </w:tc>
      </w:tr>
      <w:tr w:rsidR="0030772E" w:rsidRPr="007923C2" w14:paraId="257CD8D8" w14:textId="77777777" w:rsidTr="0030772E">
        <w:trPr>
          <w:trHeight w:val="291"/>
        </w:trPr>
        <w:tc>
          <w:tcPr>
            <w:tcW w:w="1920" w:type="dxa"/>
            <w:tcBorders>
              <w:top w:val="nil"/>
              <w:left w:val="nil"/>
              <w:bottom w:val="nil"/>
              <w:right w:val="nil"/>
            </w:tcBorders>
            <w:vAlign w:val="bottom"/>
          </w:tcPr>
          <w:p w14:paraId="6D8CE8FC" w14:textId="77777777" w:rsidR="0030772E" w:rsidRPr="007923C2" w:rsidRDefault="0030772E" w:rsidP="0030772E">
            <w:pPr>
              <w:widowControl w:val="0"/>
              <w:autoSpaceDE w:val="0"/>
              <w:autoSpaceDN w:val="0"/>
              <w:adjustRightInd w:val="0"/>
              <w:spacing w:line="267" w:lineRule="exact"/>
              <w:ind w:right="750"/>
              <w:jc w:val="center"/>
              <w:rPr>
                <w:rFonts w:ascii="Arial" w:hAnsi="Arial" w:cs="Arial"/>
                <w:sz w:val="22"/>
                <w:szCs w:val="22"/>
              </w:rPr>
            </w:pPr>
            <w:r w:rsidRPr="007923C2">
              <w:rPr>
                <w:rFonts w:ascii="Arial" w:hAnsi="Arial" w:cs="Arial"/>
                <w:w w:val="89"/>
                <w:sz w:val="22"/>
                <w:szCs w:val="22"/>
              </w:rPr>
              <w:t>7</w:t>
            </w:r>
          </w:p>
        </w:tc>
        <w:tc>
          <w:tcPr>
            <w:tcW w:w="1980" w:type="dxa"/>
            <w:tcBorders>
              <w:top w:val="nil"/>
              <w:left w:val="nil"/>
              <w:bottom w:val="nil"/>
              <w:right w:val="nil"/>
            </w:tcBorders>
            <w:vAlign w:val="bottom"/>
          </w:tcPr>
          <w:p w14:paraId="51D2F7E4" w14:textId="77777777" w:rsidR="0030772E" w:rsidRPr="007923C2" w:rsidRDefault="0030772E" w:rsidP="0030772E">
            <w:pPr>
              <w:widowControl w:val="0"/>
              <w:autoSpaceDE w:val="0"/>
              <w:autoSpaceDN w:val="0"/>
              <w:adjustRightInd w:val="0"/>
              <w:spacing w:line="267" w:lineRule="exact"/>
              <w:jc w:val="center"/>
              <w:rPr>
                <w:rFonts w:ascii="Arial" w:hAnsi="Arial" w:cs="Arial"/>
                <w:sz w:val="22"/>
                <w:szCs w:val="22"/>
              </w:rPr>
            </w:pPr>
            <w:r w:rsidRPr="007923C2">
              <w:rPr>
                <w:rFonts w:ascii="Arial" w:hAnsi="Arial" w:cs="Arial"/>
                <w:sz w:val="22"/>
                <w:szCs w:val="22"/>
              </w:rPr>
              <w:t>5.7%</w:t>
            </w:r>
          </w:p>
        </w:tc>
      </w:tr>
      <w:tr w:rsidR="0030772E" w:rsidRPr="007923C2" w14:paraId="5974D611" w14:textId="77777777" w:rsidTr="0030772E">
        <w:trPr>
          <w:trHeight w:val="290"/>
        </w:trPr>
        <w:tc>
          <w:tcPr>
            <w:tcW w:w="1920" w:type="dxa"/>
            <w:tcBorders>
              <w:top w:val="nil"/>
              <w:left w:val="nil"/>
              <w:bottom w:val="nil"/>
              <w:right w:val="nil"/>
            </w:tcBorders>
            <w:vAlign w:val="bottom"/>
          </w:tcPr>
          <w:p w14:paraId="4197A957" w14:textId="77777777" w:rsidR="0030772E" w:rsidRPr="007923C2" w:rsidRDefault="0030772E" w:rsidP="0030772E">
            <w:pPr>
              <w:widowControl w:val="0"/>
              <w:autoSpaceDE w:val="0"/>
              <w:autoSpaceDN w:val="0"/>
              <w:adjustRightInd w:val="0"/>
              <w:spacing w:line="267" w:lineRule="exact"/>
              <w:ind w:right="750"/>
              <w:jc w:val="center"/>
              <w:rPr>
                <w:rFonts w:ascii="Arial" w:hAnsi="Arial" w:cs="Arial"/>
                <w:sz w:val="22"/>
                <w:szCs w:val="22"/>
              </w:rPr>
            </w:pPr>
            <w:r w:rsidRPr="007923C2">
              <w:rPr>
                <w:rFonts w:ascii="Arial" w:hAnsi="Arial" w:cs="Arial"/>
                <w:w w:val="89"/>
                <w:sz w:val="22"/>
                <w:szCs w:val="22"/>
              </w:rPr>
              <w:t>6</w:t>
            </w:r>
          </w:p>
        </w:tc>
        <w:tc>
          <w:tcPr>
            <w:tcW w:w="1980" w:type="dxa"/>
            <w:tcBorders>
              <w:top w:val="nil"/>
              <w:left w:val="nil"/>
              <w:bottom w:val="nil"/>
              <w:right w:val="nil"/>
            </w:tcBorders>
            <w:vAlign w:val="bottom"/>
          </w:tcPr>
          <w:p w14:paraId="72484465" w14:textId="77777777" w:rsidR="0030772E" w:rsidRPr="007923C2" w:rsidRDefault="0030772E" w:rsidP="0030772E">
            <w:pPr>
              <w:widowControl w:val="0"/>
              <w:autoSpaceDE w:val="0"/>
              <w:autoSpaceDN w:val="0"/>
              <w:adjustRightInd w:val="0"/>
              <w:spacing w:line="267" w:lineRule="exact"/>
              <w:jc w:val="center"/>
              <w:rPr>
                <w:rFonts w:ascii="Arial" w:hAnsi="Arial" w:cs="Arial"/>
                <w:sz w:val="22"/>
                <w:szCs w:val="22"/>
              </w:rPr>
            </w:pPr>
            <w:r w:rsidRPr="007923C2">
              <w:rPr>
                <w:rFonts w:ascii="Arial" w:hAnsi="Arial" w:cs="Arial"/>
                <w:sz w:val="22"/>
                <w:szCs w:val="22"/>
              </w:rPr>
              <w:t>2.9%</w:t>
            </w:r>
          </w:p>
        </w:tc>
      </w:tr>
    </w:tbl>
    <w:p w14:paraId="72454248" w14:textId="77777777" w:rsidR="0030772E" w:rsidRPr="007923C2" w:rsidRDefault="0030772E" w:rsidP="0030772E">
      <w:pPr>
        <w:widowControl w:val="0"/>
        <w:autoSpaceDE w:val="0"/>
        <w:autoSpaceDN w:val="0"/>
        <w:adjustRightInd w:val="0"/>
        <w:spacing w:line="200" w:lineRule="exact"/>
        <w:rPr>
          <w:rFonts w:ascii="Arial" w:hAnsi="Arial" w:cs="Arial"/>
          <w:sz w:val="22"/>
          <w:szCs w:val="22"/>
        </w:rPr>
      </w:pPr>
    </w:p>
    <w:p w14:paraId="660CCAE0" w14:textId="77777777" w:rsidR="0030772E" w:rsidRDefault="0030772E" w:rsidP="0030772E">
      <w:pPr>
        <w:widowControl w:val="0"/>
        <w:overflowPunct w:val="0"/>
        <w:autoSpaceDE w:val="0"/>
        <w:autoSpaceDN w:val="0"/>
        <w:adjustRightInd w:val="0"/>
        <w:spacing w:line="225" w:lineRule="auto"/>
        <w:ind w:right="40"/>
        <w:jc w:val="both"/>
        <w:rPr>
          <w:rFonts w:ascii="Arial" w:hAnsi="Arial" w:cs="Arial"/>
          <w:sz w:val="22"/>
          <w:szCs w:val="22"/>
        </w:rPr>
      </w:pPr>
      <w:r w:rsidRPr="007923C2">
        <w:rPr>
          <w:rFonts w:ascii="Arial" w:hAnsi="Arial" w:cs="Arial"/>
          <w:sz w:val="22"/>
          <w:szCs w:val="22"/>
        </w:rPr>
        <w:t xml:space="preserve">La </w:t>
      </w:r>
      <w:r w:rsidRPr="007923C2">
        <w:rPr>
          <w:rFonts w:ascii="Arial" w:hAnsi="Arial" w:cs="Arial"/>
          <w:b/>
          <w:bCs/>
          <w:sz w:val="22"/>
          <w:szCs w:val="22"/>
        </w:rPr>
        <w:t>falta de prácticas</w:t>
      </w:r>
      <w:r w:rsidRPr="007923C2">
        <w:rPr>
          <w:rFonts w:ascii="Arial" w:hAnsi="Arial" w:cs="Arial"/>
          <w:sz w:val="22"/>
          <w:szCs w:val="22"/>
        </w:rPr>
        <w:t>, maestros faltistas y poco comprometidos con la carrera, así como la actualización de programas académicos fueron los principales aspectos que se tomaron en cuenta para otorgar una calificación baja.</w:t>
      </w:r>
    </w:p>
    <w:p w14:paraId="712506D1" w14:textId="77777777" w:rsidR="00AF4E37" w:rsidRPr="007923C2" w:rsidRDefault="00AF4E37" w:rsidP="0030772E">
      <w:pPr>
        <w:widowControl w:val="0"/>
        <w:overflowPunct w:val="0"/>
        <w:autoSpaceDE w:val="0"/>
        <w:autoSpaceDN w:val="0"/>
        <w:adjustRightInd w:val="0"/>
        <w:spacing w:line="225" w:lineRule="auto"/>
        <w:ind w:right="40"/>
        <w:jc w:val="both"/>
        <w:rPr>
          <w:rFonts w:ascii="Arial" w:hAnsi="Arial" w:cs="Arial"/>
          <w:sz w:val="22"/>
          <w:szCs w:val="22"/>
        </w:rPr>
      </w:pPr>
    </w:p>
    <w:tbl>
      <w:tblPr>
        <w:tblW w:w="9350" w:type="dxa"/>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1120"/>
        <w:gridCol w:w="14"/>
        <w:gridCol w:w="1367"/>
        <w:gridCol w:w="715"/>
        <w:gridCol w:w="6134"/>
      </w:tblGrid>
      <w:tr w:rsidR="00EF3ABE" w:rsidRPr="007923C2" w14:paraId="0C11F193" w14:textId="77777777" w:rsidTr="00E2484C">
        <w:trPr>
          <w:trHeight w:val="184"/>
        </w:trPr>
        <w:tc>
          <w:tcPr>
            <w:tcW w:w="1134" w:type="dxa"/>
            <w:gridSpan w:val="2"/>
            <w:tcBorders>
              <w:top w:val="single" w:sz="4" w:space="0" w:color="auto"/>
              <w:bottom w:val="single" w:sz="4" w:space="0" w:color="auto"/>
              <w:right w:val="single" w:sz="4" w:space="0" w:color="auto"/>
            </w:tcBorders>
            <w:vAlign w:val="bottom"/>
          </w:tcPr>
          <w:p w14:paraId="34837351"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b/>
                <w:bCs/>
                <w:sz w:val="22"/>
                <w:szCs w:val="22"/>
              </w:rPr>
              <w:t>Clave 1 ...</w:t>
            </w:r>
          </w:p>
        </w:tc>
        <w:tc>
          <w:tcPr>
            <w:tcW w:w="1367" w:type="dxa"/>
            <w:tcBorders>
              <w:top w:val="single" w:sz="4" w:space="0" w:color="auto"/>
              <w:left w:val="single" w:sz="4" w:space="0" w:color="auto"/>
              <w:bottom w:val="single" w:sz="4" w:space="0" w:color="auto"/>
              <w:right w:val="single" w:sz="4" w:space="0" w:color="auto"/>
            </w:tcBorders>
            <w:vAlign w:val="bottom"/>
          </w:tcPr>
          <w:p w14:paraId="31EBB9C7"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b/>
                <w:bCs/>
                <w:sz w:val="22"/>
                <w:szCs w:val="22"/>
              </w:rPr>
              <w:t>Calificación</w:t>
            </w:r>
          </w:p>
        </w:tc>
        <w:tc>
          <w:tcPr>
            <w:tcW w:w="6849" w:type="dxa"/>
            <w:gridSpan w:val="2"/>
            <w:tcBorders>
              <w:top w:val="single" w:sz="4" w:space="0" w:color="auto"/>
              <w:left w:val="single" w:sz="4" w:space="0" w:color="auto"/>
              <w:bottom w:val="single" w:sz="4" w:space="0" w:color="auto"/>
            </w:tcBorders>
            <w:vAlign w:val="bottom"/>
          </w:tcPr>
          <w:p w14:paraId="3B42C87B"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b/>
                <w:bCs/>
                <w:sz w:val="22"/>
                <w:szCs w:val="22"/>
              </w:rPr>
              <w:t>¿Por qué?</w:t>
            </w:r>
          </w:p>
        </w:tc>
      </w:tr>
      <w:tr w:rsidR="00EF3ABE" w:rsidRPr="007923C2" w14:paraId="734B5D42" w14:textId="77777777" w:rsidTr="00E2484C">
        <w:trPr>
          <w:trHeight w:val="238"/>
        </w:trPr>
        <w:tc>
          <w:tcPr>
            <w:tcW w:w="1134" w:type="dxa"/>
            <w:gridSpan w:val="2"/>
            <w:tcBorders>
              <w:top w:val="single" w:sz="4" w:space="0" w:color="auto"/>
              <w:bottom w:val="nil"/>
              <w:right w:val="single" w:sz="4" w:space="0" w:color="auto"/>
            </w:tcBorders>
            <w:vAlign w:val="bottom"/>
          </w:tcPr>
          <w:p w14:paraId="276D548B"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w:t>
            </w:r>
          </w:p>
        </w:tc>
        <w:tc>
          <w:tcPr>
            <w:tcW w:w="1367" w:type="dxa"/>
            <w:tcBorders>
              <w:top w:val="single" w:sz="4" w:space="0" w:color="auto"/>
              <w:left w:val="single" w:sz="4" w:space="0" w:color="auto"/>
              <w:bottom w:val="nil"/>
              <w:right w:val="single" w:sz="4" w:space="0" w:color="auto"/>
            </w:tcBorders>
            <w:vAlign w:val="bottom"/>
          </w:tcPr>
          <w:p w14:paraId="28511E8E" w14:textId="77777777" w:rsidR="0030772E" w:rsidRPr="007923C2" w:rsidRDefault="00FF3B91" w:rsidP="0030772E">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30772E" w:rsidRPr="007923C2">
              <w:rPr>
                <w:rFonts w:ascii="Arial" w:hAnsi="Arial" w:cs="Arial"/>
                <w:sz w:val="22"/>
                <w:szCs w:val="22"/>
              </w:rPr>
              <w:t>10</w:t>
            </w:r>
          </w:p>
        </w:tc>
        <w:tc>
          <w:tcPr>
            <w:tcW w:w="6849" w:type="dxa"/>
            <w:gridSpan w:val="2"/>
            <w:tcBorders>
              <w:top w:val="single" w:sz="4" w:space="0" w:color="auto"/>
              <w:left w:val="single" w:sz="4" w:space="0" w:color="auto"/>
            </w:tcBorders>
            <w:vAlign w:val="bottom"/>
          </w:tcPr>
          <w:p w14:paraId="4B0E010E"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Todas las materias del plan de estudios está muy bien, los catedráticos muy bien, muy preparados muy</w:t>
            </w:r>
          </w:p>
        </w:tc>
      </w:tr>
      <w:tr w:rsidR="00EF3ABE" w:rsidRPr="007923C2" w14:paraId="55EEA9DE" w14:textId="77777777" w:rsidTr="00E2484C">
        <w:trPr>
          <w:trHeight w:val="182"/>
        </w:trPr>
        <w:tc>
          <w:tcPr>
            <w:tcW w:w="1134" w:type="dxa"/>
            <w:gridSpan w:val="2"/>
            <w:tcBorders>
              <w:top w:val="nil"/>
              <w:bottom w:val="single" w:sz="4" w:space="0" w:color="auto"/>
              <w:right w:val="single" w:sz="4" w:space="0" w:color="auto"/>
            </w:tcBorders>
            <w:vAlign w:val="bottom"/>
          </w:tcPr>
          <w:p w14:paraId="2D45B1C0" w14:textId="77777777"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single" w:sz="4" w:space="0" w:color="auto"/>
              <w:right w:val="single" w:sz="4" w:space="0" w:color="auto"/>
            </w:tcBorders>
            <w:vAlign w:val="bottom"/>
          </w:tcPr>
          <w:p w14:paraId="65C0E77E" w14:textId="77777777"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left w:val="single" w:sz="4" w:space="0" w:color="auto"/>
              <w:bottom w:val="single" w:sz="4" w:space="0" w:color="auto"/>
            </w:tcBorders>
            <w:vAlign w:val="bottom"/>
          </w:tcPr>
          <w:p w14:paraId="347DB753" w14:textId="77777777"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Experimentados</w:t>
            </w:r>
          </w:p>
        </w:tc>
      </w:tr>
      <w:tr w:rsidR="00EF3ABE" w:rsidRPr="007923C2" w14:paraId="68D4C87D" w14:textId="77777777" w:rsidTr="00E2484C">
        <w:trPr>
          <w:trHeight w:val="185"/>
        </w:trPr>
        <w:tc>
          <w:tcPr>
            <w:tcW w:w="1134" w:type="dxa"/>
            <w:gridSpan w:val="2"/>
            <w:tcBorders>
              <w:top w:val="single" w:sz="4" w:space="0" w:color="auto"/>
              <w:bottom w:val="nil"/>
              <w:right w:val="single" w:sz="4" w:space="0" w:color="auto"/>
            </w:tcBorders>
            <w:vAlign w:val="bottom"/>
          </w:tcPr>
          <w:p w14:paraId="3FF784C3"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w:t>
            </w:r>
          </w:p>
        </w:tc>
        <w:tc>
          <w:tcPr>
            <w:tcW w:w="1367" w:type="dxa"/>
            <w:tcBorders>
              <w:top w:val="single" w:sz="4" w:space="0" w:color="auto"/>
              <w:left w:val="single" w:sz="4" w:space="0" w:color="auto"/>
              <w:bottom w:val="nil"/>
              <w:right w:val="single" w:sz="4" w:space="0" w:color="auto"/>
            </w:tcBorders>
            <w:vAlign w:val="bottom"/>
          </w:tcPr>
          <w:p w14:paraId="15AD01E3" w14:textId="77777777" w:rsidR="0030772E" w:rsidRPr="007923C2" w:rsidRDefault="001578E4" w:rsidP="001578E4">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30772E" w:rsidRPr="007923C2">
              <w:rPr>
                <w:rFonts w:ascii="Arial" w:hAnsi="Arial" w:cs="Arial"/>
                <w:sz w:val="22"/>
                <w:szCs w:val="22"/>
              </w:rPr>
              <w:t>9</w:t>
            </w:r>
          </w:p>
        </w:tc>
        <w:tc>
          <w:tcPr>
            <w:tcW w:w="6849" w:type="dxa"/>
            <w:gridSpan w:val="2"/>
            <w:tcBorders>
              <w:top w:val="single" w:sz="4" w:space="0" w:color="auto"/>
              <w:left w:val="single" w:sz="4" w:space="0" w:color="auto"/>
            </w:tcBorders>
            <w:vAlign w:val="bottom"/>
          </w:tcPr>
          <w:p w14:paraId="292E1B29"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Hay buenos maestros y muy buen plan de estudios solo hay que actualizar a maestros. En materias como</w:t>
            </w:r>
          </w:p>
        </w:tc>
      </w:tr>
      <w:tr w:rsidR="00EF3ABE" w:rsidRPr="007923C2" w14:paraId="3A5C055A" w14:textId="77777777" w:rsidTr="00E2484C">
        <w:trPr>
          <w:trHeight w:val="185"/>
        </w:trPr>
        <w:tc>
          <w:tcPr>
            <w:tcW w:w="1134" w:type="dxa"/>
            <w:gridSpan w:val="2"/>
            <w:tcBorders>
              <w:top w:val="nil"/>
              <w:bottom w:val="nil"/>
              <w:right w:val="single" w:sz="4" w:space="0" w:color="auto"/>
            </w:tcBorders>
            <w:vAlign w:val="bottom"/>
          </w:tcPr>
          <w:p w14:paraId="461C4005" w14:textId="77777777"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nil"/>
              <w:right w:val="single" w:sz="4" w:space="0" w:color="auto"/>
            </w:tcBorders>
            <w:vAlign w:val="bottom"/>
          </w:tcPr>
          <w:p w14:paraId="44D0ED23" w14:textId="77777777"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left w:val="single" w:sz="4" w:space="0" w:color="auto"/>
            </w:tcBorders>
            <w:vAlign w:val="bottom"/>
          </w:tcPr>
          <w:p w14:paraId="1E263215"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patología y en nuevas tecnologías de control biológico de plagas, control biológico de suelos y plagas</w:t>
            </w:r>
          </w:p>
        </w:tc>
      </w:tr>
      <w:tr w:rsidR="00E2484C" w:rsidRPr="007923C2" w14:paraId="586EEA15" w14:textId="77777777" w:rsidTr="00E2484C">
        <w:trPr>
          <w:trHeight w:val="182"/>
        </w:trPr>
        <w:tc>
          <w:tcPr>
            <w:tcW w:w="1134" w:type="dxa"/>
            <w:gridSpan w:val="2"/>
            <w:tcBorders>
              <w:top w:val="nil"/>
              <w:bottom w:val="single" w:sz="4" w:space="0" w:color="auto"/>
              <w:right w:val="single" w:sz="4" w:space="0" w:color="auto"/>
            </w:tcBorders>
            <w:vAlign w:val="bottom"/>
          </w:tcPr>
          <w:p w14:paraId="77463099" w14:textId="77777777"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single" w:sz="4" w:space="0" w:color="auto"/>
              <w:right w:val="single" w:sz="4" w:space="0" w:color="auto"/>
            </w:tcBorders>
            <w:vAlign w:val="bottom"/>
          </w:tcPr>
          <w:p w14:paraId="5AC354CB" w14:textId="77777777" w:rsidR="0030772E" w:rsidRPr="007923C2" w:rsidRDefault="0030772E" w:rsidP="0030772E">
            <w:pPr>
              <w:widowControl w:val="0"/>
              <w:autoSpaceDE w:val="0"/>
              <w:autoSpaceDN w:val="0"/>
              <w:adjustRightInd w:val="0"/>
              <w:rPr>
                <w:rFonts w:ascii="Arial" w:hAnsi="Arial" w:cs="Arial"/>
                <w:sz w:val="22"/>
                <w:szCs w:val="22"/>
              </w:rPr>
            </w:pPr>
          </w:p>
        </w:tc>
        <w:tc>
          <w:tcPr>
            <w:tcW w:w="715" w:type="dxa"/>
            <w:tcBorders>
              <w:left w:val="single" w:sz="4" w:space="0" w:color="auto"/>
              <w:bottom w:val="single" w:sz="4" w:space="0" w:color="auto"/>
            </w:tcBorders>
            <w:vAlign w:val="bottom"/>
          </w:tcPr>
          <w:p w14:paraId="1298C94A" w14:textId="77777777"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foliares</w:t>
            </w:r>
          </w:p>
        </w:tc>
        <w:tc>
          <w:tcPr>
            <w:tcW w:w="6134" w:type="dxa"/>
            <w:tcBorders>
              <w:bottom w:val="single" w:sz="4" w:space="0" w:color="auto"/>
            </w:tcBorders>
            <w:vAlign w:val="bottom"/>
          </w:tcPr>
          <w:p w14:paraId="0A6ED1AF" w14:textId="77777777" w:rsidR="0030772E" w:rsidRPr="007923C2" w:rsidRDefault="0030772E" w:rsidP="0030772E">
            <w:pPr>
              <w:widowControl w:val="0"/>
              <w:autoSpaceDE w:val="0"/>
              <w:autoSpaceDN w:val="0"/>
              <w:adjustRightInd w:val="0"/>
              <w:rPr>
                <w:rFonts w:ascii="Arial" w:hAnsi="Arial" w:cs="Arial"/>
                <w:sz w:val="22"/>
                <w:szCs w:val="22"/>
              </w:rPr>
            </w:pPr>
          </w:p>
        </w:tc>
      </w:tr>
      <w:tr w:rsidR="00E2484C" w:rsidRPr="007923C2" w14:paraId="77239746" w14:textId="77777777" w:rsidTr="00E2484C">
        <w:trPr>
          <w:trHeight w:val="185"/>
        </w:trPr>
        <w:tc>
          <w:tcPr>
            <w:tcW w:w="1134" w:type="dxa"/>
            <w:gridSpan w:val="2"/>
            <w:tcBorders>
              <w:top w:val="nil"/>
              <w:bottom w:val="single" w:sz="4" w:space="0" w:color="auto"/>
              <w:right w:val="single" w:sz="4" w:space="0" w:color="auto"/>
            </w:tcBorders>
            <w:vAlign w:val="bottom"/>
          </w:tcPr>
          <w:p w14:paraId="32171AB8" w14:textId="77777777" w:rsidR="0030772E" w:rsidRPr="007923C2" w:rsidRDefault="00AF4E3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3</w:t>
            </w:r>
          </w:p>
        </w:tc>
        <w:tc>
          <w:tcPr>
            <w:tcW w:w="1367" w:type="dxa"/>
            <w:tcBorders>
              <w:top w:val="nil"/>
              <w:left w:val="single" w:sz="4" w:space="0" w:color="auto"/>
              <w:bottom w:val="single" w:sz="4" w:space="0" w:color="auto"/>
              <w:right w:val="single" w:sz="4" w:space="0" w:color="auto"/>
            </w:tcBorders>
            <w:vAlign w:val="bottom"/>
          </w:tcPr>
          <w:p w14:paraId="3B68DEAF" w14:textId="77777777" w:rsidR="0030772E" w:rsidRPr="007923C2" w:rsidRDefault="00AF4E37" w:rsidP="0030772E">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nil"/>
              <w:left w:val="single" w:sz="4" w:space="0" w:color="auto"/>
              <w:bottom w:val="single" w:sz="4" w:space="0" w:color="auto"/>
            </w:tcBorders>
            <w:vAlign w:val="bottom"/>
          </w:tcPr>
          <w:p w14:paraId="4133B13F" w14:textId="77777777" w:rsidR="0030772E" w:rsidRPr="007923C2" w:rsidRDefault="0030772E" w:rsidP="00AF4E37">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Los maestros muy preparados con muy buenos grados académicos y el plan de </w:t>
            </w:r>
            <w:r w:rsidR="001578E4" w:rsidRPr="007923C2">
              <w:rPr>
                <w:rFonts w:ascii="Arial" w:hAnsi="Arial" w:cs="Arial"/>
                <w:sz w:val="22"/>
                <w:szCs w:val="22"/>
              </w:rPr>
              <w:t>estudios completo</w:t>
            </w:r>
          </w:p>
        </w:tc>
      </w:tr>
      <w:tr w:rsidR="00EF3ABE" w:rsidRPr="007923C2" w14:paraId="52E9F756" w14:textId="77777777" w:rsidTr="00E2484C">
        <w:trPr>
          <w:trHeight w:val="182"/>
        </w:trPr>
        <w:tc>
          <w:tcPr>
            <w:tcW w:w="1134" w:type="dxa"/>
            <w:gridSpan w:val="2"/>
            <w:tcBorders>
              <w:top w:val="single" w:sz="4" w:space="0" w:color="auto"/>
              <w:bottom w:val="single" w:sz="4" w:space="0" w:color="auto"/>
              <w:right w:val="single" w:sz="4" w:space="0" w:color="auto"/>
            </w:tcBorders>
            <w:vAlign w:val="bottom"/>
          </w:tcPr>
          <w:p w14:paraId="2B6F4D05" w14:textId="77777777" w:rsidR="001578E4" w:rsidRPr="007923C2" w:rsidRDefault="00AF4E3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4</w:t>
            </w:r>
          </w:p>
        </w:tc>
        <w:tc>
          <w:tcPr>
            <w:tcW w:w="1367" w:type="dxa"/>
            <w:tcBorders>
              <w:top w:val="single" w:sz="4" w:space="0" w:color="auto"/>
              <w:left w:val="single" w:sz="4" w:space="0" w:color="auto"/>
              <w:bottom w:val="single" w:sz="4" w:space="0" w:color="auto"/>
              <w:right w:val="single" w:sz="4" w:space="0" w:color="auto"/>
            </w:tcBorders>
            <w:vAlign w:val="bottom"/>
          </w:tcPr>
          <w:p w14:paraId="67EA8491" w14:textId="77777777" w:rsidR="0030772E" w:rsidRPr="007923C2" w:rsidRDefault="00AF4E37" w:rsidP="0030772E">
            <w:pPr>
              <w:widowControl w:val="0"/>
              <w:autoSpaceDE w:val="0"/>
              <w:autoSpaceDN w:val="0"/>
              <w:adjustRightInd w:val="0"/>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left w:val="single" w:sz="4" w:space="0" w:color="auto"/>
              <w:bottom w:val="single" w:sz="4" w:space="0" w:color="auto"/>
            </w:tcBorders>
            <w:vAlign w:val="bottom"/>
          </w:tcPr>
          <w:p w14:paraId="2AECA105" w14:textId="77777777" w:rsidR="0030772E" w:rsidRPr="007923C2" w:rsidRDefault="00AF4E3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Falta dedicar más tiempo en campo, planes académicos muy buenos</w:t>
            </w:r>
          </w:p>
        </w:tc>
      </w:tr>
      <w:tr w:rsidR="00EF3ABE" w:rsidRPr="007923C2" w14:paraId="16F19D7D" w14:textId="77777777" w:rsidTr="00E2484C">
        <w:trPr>
          <w:trHeight w:val="185"/>
        </w:trPr>
        <w:tc>
          <w:tcPr>
            <w:tcW w:w="1134" w:type="dxa"/>
            <w:gridSpan w:val="2"/>
            <w:tcBorders>
              <w:top w:val="single" w:sz="4" w:space="0" w:color="auto"/>
              <w:bottom w:val="single" w:sz="4" w:space="0" w:color="auto"/>
              <w:right w:val="single" w:sz="4" w:space="0" w:color="auto"/>
            </w:tcBorders>
            <w:vAlign w:val="bottom"/>
          </w:tcPr>
          <w:p w14:paraId="74C272C2" w14:textId="77777777" w:rsidR="0030772E" w:rsidRPr="007923C2" w:rsidRDefault="0030772E" w:rsidP="001578E4">
            <w:pPr>
              <w:widowControl w:val="0"/>
              <w:autoSpaceDE w:val="0"/>
              <w:autoSpaceDN w:val="0"/>
              <w:adjustRightInd w:val="0"/>
              <w:rPr>
                <w:rFonts w:ascii="Arial" w:hAnsi="Arial" w:cs="Arial"/>
                <w:sz w:val="22"/>
                <w:szCs w:val="22"/>
              </w:rPr>
            </w:pPr>
            <w:r w:rsidRPr="007923C2">
              <w:rPr>
                <w:rFonts w:ascii="Arial" w:hAnsi="Arial" w:cs="Arial"/>
                <w:sz w:val="22"/>
                <w:szCs w:val="22"/>
              </w:rPr>
              <w:t>Alumno</w:t>
            </w:r>
            <w:r w:rsidR="004E3071" w:rsidRPr="007923C2">
              <w:rPr>
                <w:rFonts w:ascii="Arial" w:hAnsi="Arial" w:cs="Arial"/>
                <w:sz w:val="22"/>
                <w:szCs w:val="22"/>
              </w:rPr>
              <w:t>5</w:t>
            </w:r>
          </w:p>
        </w:tc>
        <w:tc>
          <w:tcPr>
            <w:tcW w:w="1367" w:type="dxa"/>
            <w:tcBorders>
              <w:top w:val="single" w:sz="4" w:space="0" w:color="auto"/>
              <w:left w:val="single" w:sz="4" w:space="0" w:color="auto"/>
              <w:bottom w:val="single" w:sz="4" w:space="0" w:color="auto"/>
              <w:right w:val="single" w:sz="4" w:space="0" w:color="auto"/>
            </w:tcBorders>
            <w:vAlign w:val="bottom"/>
          </w:tcPr>
          <w:p w14:paraId="62B9787B"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left w:val="single" w:sz="4" w:space="0" w:color="auto"/>
              <w:bottom w:val="single" w:sz="4" w:space="0" w:color="auto"/>
            </w:tcBorders>
            <w:vAlign w:val="bottom"/>
          </w:tcPr>
          <w:p w14:paraId="004FF834" w14:textId="77777777" w:rsidR="0030772E" w:rsidRPr="007923C2" w:rsidRDefault="001578E4" w:rsidP="0030772E">
            <w:pPr>
              <w:widowControl w:val="0"/>
              <w:autoSpaceDE w:val="0"/>
              <w:autoSpaceDN w:val="0"/>
              <w:adjustRightInd w:val="0"/>
              <w:rPr>
                <w:rFonts w:ascii="Arial" w:hAnsi="Arial" w:cs="Arial"/>
                <w:sz w:val="22"/>
                <w:szCs w:val="22"/>
              </w:rPr>
            </w:pPr>
            <w:r w:rsidRPr="007923C2">
              <w:rPr>
                <w:rFonts w:ascii="Arial" w:hAnsi="Arial" w:cs="Arial"/>
                <w:sz w:val="22"/>
                <w:szCs w:val="22"/>
              </w:rPr>
              <w:t>Maestros con gran capacidad y experiencia</w:t>
            </w:r>
          </w:p>
        </w:tc>
      </w:tr>
      <w:tr w:rsidR="00EF3ABE" w:rsidRPr="007923C2" w14:paraId="68BE57FF" w14:textId="77777777" w:rsidTr="00E2484C">
        <w:trPr>
          <w:trHeight w:val="182"/>
        </w:trPr>
        <w:tc>
          <w:tcPr>
            <w:tcW w:w="1134" w:type="dxa"/>
            <w:gridSpan w:val="2"/>
            <w:tcBorders>
              <w:top w:val="single" w:sz="4" w:space="0" w:color="auto"/>
              <w:bottom w:val="nil"/>
              <w:right w:val="single" w:sz="4" w:space="0" w:color="auto"/>
            </w:tcBorders>
            <w:vAlign w:val="bottom"/>
          </w:tcPr>
          <w:p w14:paraId="4E337989" w14:textId="77777777"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6</w:t>
            </w:r>
          </w:p>
        </w:tc>
        <w:tc>
          <w:tcPr>
            <w:tcW w:w="1367" w:type="dxa"/>
            <w:tcBorders>
              <w:top w:val="single" w:sz="4" w:space="0" w:color="auto"/>
              <w:left w:val="single" w:sz="4" w:space="0" w:color="auto"/>
              <w:bottom w:val="nil"/>
              <w:right w:val="single" w:sz="4" w:space="0" w:color="auto"/>
            </w:tcBorders>
            <w:vAlign w:val="bottom"/>
          </w:tcPr>
          <w:p w14:paraId="27CA5CA9" w14:textId="77777777"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left w:val="single" w:sz="4" w:space="0" w:color="auto"/>
            </w:tcBorders>
            <w:vAlign w:val="bottom"/>
          </w:tcPr>
          <w:p w14:paraId="19518DEC" w14:textId="77777777" w:rsidR="0030772E" w:rsidRPr="007923C2" w:rsidRDefault="0082050C"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En lo docente está muy bien pero faltaron materias como irrigación.</w:t>
            </w:r>
          </w:p>
        </w:tc>
      </w:tr>
      <w:tr w:rsidR="00EF3ABE" w:rsidRPr="007923C2" w14:paraId="68E56AAD" w14:textId="77777777" w:rsidTr="00E2484C">
        <w:trPr>
          <w:trHeight w:val="185"/>
        </w:trPr>
        <w:tc>
          <w:tcPr>
            <w:tcW w:w="1134" w:type="dxa"/>
            <w:gridSpan w:val="2"/>
            <w:tcBorders>
              <w:top w:val="nil"/>
              <w:bottom w:val="single" w:sz="4" w:space="0" w:color="auto"/>
              <w:right w:val="single" w:sz="4" w:space="0" w:color="auto"/>
            </w:tcBorders>
            <w:vAlign w:val="bottom"/>
          </w:tcPr>
          <w:p w14:paraId="6942B37E" w14:textId="77777777"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single" w:sz="4" w:space="0" w:color="auto"/>
              <w:right w:val="single" w:sz="4" w:space="0" w:color="auto"/>
            </w:tcBorders>
            <w:vAlign w:val="bottom"/>
          </w:tcPr>
          <w:p w14:paraId="3EECCB28" w14:textId="77777777"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left w:val="single" w:sz="4" w:space="0" w:color="auto"/>
              <w:bottom w:val="single" w:sz="4" w:space="0" w:color="auto"/>
            </w:tcBorders>
            <w:vAlign w:val="bottom"/>
          </w:tcPr>
          <w:p w14:paraId="1D3A83F7" w14:textId="77777777" w:rsidR="0030772E" w:rsidRPr="007923C2" w:rsidRDefault="00AF4E37" w:rsidP="0030772E">
            <w:pPr>
              <w:widowControl w:val="0"/>
              <w:autoSpaceDE w:val="0"/>
              <w:autoSpaceDN w:val="0"/>
              <w:adjustRightInd w:val="0"/>
              <w:rPr>
                <w:rFonts w:ascii="Arial" w:hAnsi="Arial" w:cs="Arial"/>
                <w:sz w:val="22"/>
                <w:szCs w:val="22"/>
              </w:rPr>
            </w:pPr>
            <w:r w:rsidRPr="007923C2">
              <w:rPr>
                <w:rFonts w:ascii="Arial" w:hAnsi="Arial" w:cs="Arial"/>
                <w:sz w:val="22"/>
                <w:szCs w:val="22"/>
              </w:rPr>
              <w:t>y</w:t>
            </w:r>
            <w:r w:rsidR="0082050C" w:rsidRPr="007923C2">
              <w:rPr>
                <w:rFonts w:ascii="Arial" w:hAnsi="Arial" w:cs="Arial"/>
                <w:sz w:val="22"/>
                <w:szCs w:val="22"/>
              </w:rPr>
              <w:t xml:space="preserve"> maquinaria agrícola y ampliar las prácticas de campo.</w:t>
            </w:r>
          </w:p>
        </w:tc>
      </w:tr>
      <w:tr w:rsidR="00EF3ABE" w:rsidRPr="007923C2" w14:paraId="35E02B30" w14:textId="77777777" w:rsidTr="00E2484C">
        <w:trPr>
          <w:trHeight w:val="185"/>
        </w:trPr>
        <w:tc>
          <w:tcPr>
            <w:tcW w:w="1134" w:type="dxa"/>
            <w:gridSpan w:val="2"/>
            <w:tcBorders>
              <w:top w:val="single" w:sz="4" w:space="0" w:color="auto"/>
              <w:bottom w:val="nil"/>
              <w:right w:val="single" w:sz="4" w:space="0" w:color="auto"/>
            </w:tcBorders>
            <w:vAlign w:val="bottom"/>
          </w:tcPr>
          <w:p w14:paraId="443A67C8"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7</w:t>
            </w:r>
          </w:p>
        </w:tc>
        <w:tc>
          <w:tcPr>
            <w:tcW w:w="1367" w:type="dxa"/>
            <w:tcBorders>
              <w:top w:val="single" w:sz="4" w:space="0" w:color="auto"/>
              <w:left w:val="single" w:sz="4" w:space="0" w:color="auto"/>
              <w:bottom w:val="nil"/>
              <w:right w:val="single" w:sz="4" w:space="0" w:color="auto"/>
            </w:tcBorders>
            <w:vAlign w:val="bottom"/>
          </w:tcPr>
          <w:p w14:paraId="0FAC43F1" w14:textId="77777777" w:rsidR="0030772E" w:rsidRPr="007923C2" w:rsidRDefault="0030772E" w:rsidP="0082050C">
            <w:pPr>
              <w:widowControl w:val="0"/>
              <w:autoSpaceDE w:val="0"/>
              <w:autoSpaceDN w:val="0"/>
              <w:adjustRightInd w:val="0"/>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left w:val="single" w:sz="4" w:space="0" w:color="auto"/>
            </w:tcBorders>
            <w:vAlign w:val="bottom"/>
          </w:tcPr>
          <w:p w14:paraId="5EB737AF" w14:textId="77777777" w:rsidR="0030772E" w:rsidRPr="007923C2" w:rsidRDefault="0082050C" w:rsidP="0082050C">
            <w:pPr>
              <w:widowControl w:val="0"/>
              <w:autoSpaceDE w:val="0"/>
              <w:autoSpaceDN w:val="0"/>
              <w:adjustRightInd w:val="0"/>
              <w:rPr>
                <w:rFonts w:ascii="Arial" w:hAnsi="Arial" w:cs="Arial"/>
                <w:sz w:val="22"/>
                <w:szCs w:val="22"/>
              </w:rPr>
            </w:pPr>
            <w:r w:rsidRPr="007923C2">
              <w:rPr>
                <w:rFonts w:ascii="Arial" w:hAnsi="Arial" w:cs="Arial"/>
                <w:sz w:val="22"/>
                <w:szCs w:val="22"/>
              </w:rPr>
              <w:t>No existe coordinación entre maestros, no hay apoyo, faltan prácticas</w:t>
            </w:r>
          </w:p>
        </w:tc>
      </w:tr>
      <w:tr w:rsidR="00EF3ABE" w:rsidRPr="007923C2" w14:paraId="2592A6CE" w14:textId="77777777" w:rsidTr="00E2484C">
        <w:trPr>
          <w:trHeight w:val="182"/>
        </w:trPr>
        <w:tc>
          <w:tcPr>
            <w:tcW w:w="1134" w:type="dxa"/>
            <w:gridSpan w:val="2"/>
            <w:tcBorders>
              <w:top w:val="nil"/>
              <w:bottom w:val="single" w:sz="4" w:space="0" w:color="auto"/>
              <w:right w:val="single" w:sz="4" w:space="0" w:color="auto"/>
            </w:tcBorders>
            <w:vAlign w:val="bottom"/>
          </w:tcPr>
          <w:p w14:paraId="73E59884" w14:textId="77777777"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single" w:sz="4" w:space="0" w:color="auto"/>
              <w:right w:val="single" w:sz="4" w:space="0" w:color="auto"/>
            </w:tcBorders>
            <w:vAlign w:val="bottom"/>
          </w:tcPr>
          <w:p w14:paraId="4A18F61D" w14:textId="77777777"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left w:val="single" w:sz="4" w:space="0" w:color="auto"/>
              <w:bottom w:val="single" w:sz="4" w:space="0" w:color="auto"/>
            </w:tcBorders>
            <w:vAlign w:val="bottom"/>
          </w:tcPr>
          <w:p w14:paraId="3AA6A19C" w14:textId="77777777" w:rsidR="0030772E" w:rsidRPr="007923C2" w:rsidRDefault="0082050C"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Y análisis foliar.</w:t>
            </w:r>
          </w:p>
        </w:tc>
      </w:tr>
      <w:tr w:rsidR="00EF3ABE" w:rsidRPr="007923C2" w14:paraId="08B63A5D" w14:textId="77777777" w:rsidTr="00E2484C">
        <w:trPr>
          <w:trHeight w:val="185"/>
        </w:trPr>
        <w:tc>
          <w:tcPr>
            <w:tcW w:w="1134" w:type="dxa"/>
            <w:gridSpan w:val="2"/>
            <w:tcBorders>
              <w:top w:val="single" w:sz="4" w:space="0" w:color="auto"/>
              <w:bottom w:val="nil"/>
              <w:right w:val="single" w:sz="4" w:space="0" w:color="auto"/>
            </w:tcBorders>
            <w:vAlign w:val="bottom"/>
          </w:tcPr>
          <w:p w14:paraId="0615EB1B"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8</w:t>
            </w:r>
          </w:p>
        </w:tc>
        <w:tc>
          <w:tcPr>
            <w:tcW w:w="1367" w:type="dxa"/>
            <w:tcBorders>
              <w:top w:val="single" w:sz="4" w:space="0" w:color="auto"/>
              <w:left w:val="single" w:sz="4" w:space="0" w:color="auto"/>
              <w:bottom w:val="nil"/>
              <w:right w:val="single" w:sz="4" w:space="0" w:color="auto"/>
            </w:tcBorders>
            <w:vAlign w:val="bottom"/>
          </w:tcPr>
          <w:p w14:paraId="11E91C1D"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6</w:t>
            </w:r>
          </w:p>
        </w:tc>
        <w:tc>
          <w:tcPr>
            <w:tcW w:w="6849" w:type="dxa"/>
            <w:gridSpan w:val="2"/>
            <w:tcBorders>
              <w:top w:val="single" w:sz="4" w:space="0" w:color="auto"/>
              <w:left w:val="single" w:sz="4" w:space="0" w:color="auto"/>
            </w:tcBorders>
            <w:vAlign w:val="bottom"/>
          </w:tcPr>
          <w:p w14:paraId="36E84BF1" w14:textId="77777777" w:rsidR="0030772E" w:rsidRPr="007923C2" w:rsidRDefault="00EF3ABE" w:rsidP="0030772E">
            <w:pPr>
              <w:widowControl w:val="0"/>
              <w:autoSpaceDE w:val="0"/>
              <w:autoSpaceDN w:val="0"/>
              <w:adjustRightInd w:val="0"/>
              <w:rPr>
                <w:rFonts w:ascii="Arial" w:hAnsi="Arial" w:cs="Arial"/>
                <w:sz w:val="22"/>
                <w:szCs w:val="22"/>
              </w:rPr>
            </w:pPr>
            <w:r w:rsidRPr="007923C2">
              <w:rPr>
                <w:rFonts w:ascii="Arial" w:hAnsi="Arial" w:cs="Arial"/>
                <w:sz w:val="22"/>
                <w:szCs w:val="22"/>
              </w:rPr>
              <w:t>Los maestros muy calificados, al plan de estudios le faltan materias</w:t>
            </w:r>
          </w:p>
        </w:tc>
      </w:tr>
      <w:tr w:rsidR="00EF3ABE" w:rsidRPr="007923C2" w14:paraId="4AC588E5" w14:textId="77777777" w:rsidTr="00E2484C">
        <w:trPr>
          <w:trHeight w:val="185"/>
        </w:trPr>
        <w:tc>
          <w:tcPr>
            <w:tcW w:w="1134" w:type="dxa"/>
            <w:gridSpan w:val="2"/>
            <w:tcBorders>
              <w:top w:val="nil"/>
              <w:bottom w:val="single" w:sz="4" w:space="0" w:color="auto"/>
              <w:right w:val="single" w:sz="4" w:space="0" w:color="auto"/>
            </w:tcBorders>
            <w:vAlign w:val="bottom"/>
          </w:tcPr>
          <w:p w14:paraId="51E9C525" w14:textId="77777777"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single" w:sz="4" w:space="0" w:color="auto"/>
              <w:right w:val="single" w:sz="4" w:space="0" w:color="auto"/>
            </w:tcBorders>
            <w:vAlign w:val="bottom"/>
          </w:tcPr>
          <w:p w14:paraId="103D0199" w14:textId="77777777"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left w:val="single" w:sz="4" w:space="0" w:color="auto"/>
              <w:bottom w:val="single" w:sz="4" w:space="0" w:color="auto"/>
            </w:tcBorders>
            <w:vAlign w:val="bottom"/>
          </w:tcPr>
          <w:p w14:paraId="0F73064E" w14:textId="77777777" w:rsidR="0030772E" w:rsidRPr="007923C2" w:rsidRDefault="00EF3AB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Ambientales.</w:t>
            </w:r>
          </w:p>
        </w:tc>
      </w:tr>
      <w:tr w:rsidR="00EF3ABE" w:rsidRPr="007923C2" w14:paraId="71327892" w14:textId="77777777" w:rsidTr="00E2484C">
        <w:trPr>
          <w:trHeight w:val="182"/>
        </w:trPr>
        <w:tc>
          <w:tcPr>
            <w:tcW w:w="1134" w:type="dxa"/>
            <w:gridSpan w:val="2"/>
            <w:tcBorders>
              <w:top w:val="single" w:sz="4" w:space="0" w:color="auto"/>
              <w:bottom w:val="single" w:sz="4" w:space="0" w:color="auto"/>
              <w:right w:val="single" w:sz="4" w:space="0" w:color="auto"/>
            </w:tcBorders>
            <w:vAlign w:val="bottom"/>
          </w:tcPr>
          <w:p w14:paraId="172199A0" w14:textId="77777777" w:rsidR="0030772E" w:rsidRPr="007923C2" w:rsidRDefault="0030772E" w:rsidP="004E3071">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9</w:t>
            </w:r>
          </w:p>
        </w:tc>
        <w:tc>
          <w:tcPr>
            <w:tcW w:w="1367" w:type="dxa"/>
            <w:tcBorders>
              <w:top w:val="single" w:sz="4" w:space="0" w:color="auto"/>
              <w:left w:val="single" w:sz="4" w:space="0" w:color="auto"/>
              <w:bottom w:val="single" w:sz="4" w:space="0" w:color="auto"/>
              <w:right w:val="single" w:sz="4" w:space="0" w:color="auto"/>
            </w:tcBorders>
            <w:vAlign w:val="bottom"/>
          </w:tcPr>
          <w:p w14:paraId="7F0F6032" w14:textId="77777777"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left w:val="single" w:sz="4" w:space="0" w:color="auto"/>
              <w:bottom w:val="single" w:sz="4" w:space="0" w:color="auto"/>
            </w:tcBorders>
            <w:vAlign w:val="bottom"/>
          </w:tcPr>
          <w:p w14:paraId="0BEA4C89" w14:textId="77777777" w:rsidR="00E2484C" w:rsidRPr="007923C2" w:rsidRDefault="00E2484C" w:rsidP="0030772E">
            <w:pPr>
              <w:widowControl w:val="0"/>
              <w:autoSpaceDE w:val="0"/>
              <w:autoSpaceDN w:val="0"/>
              <w:adjustRightInd w:val="0"/>
              <w:spacing w:line="182" w:lineRule="exact"/>
              <w:rPr>
                <w:rFonts w:ascii="Arial" w:hAnsi="Arial" w:cs="Arial"/>
                <w:sz w:val="22"/>
                <w:szCs w:val="22"/>
              </w:rPr>
            </w:pPr>
          </w:p>
          <w:p w14:paraId="3686ECAD" w14:textId="77777777" w:rsidR="0030772E" w:rsidRPr="007923C2" w:rsidRDefault="00EF3AB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Conocimientos y preparación al día de los maestrosy constante</w:t>
            </w:r>
            <w:r w:rsidR="00E2484C" w:rsidRPr="007923C2">
              <w:rPr>
                <w:rFonts w:ascii="Arial" w:hAnsi="Arial" w:cs="Arial"/>
                <w:sz w:val="22"/>
                <w:szCs w:val="22"/>
              </w:rPr>
              <w:t xml:space="preserve"> actualización en los temas pero deben de ampliar el número de cursos.</w:t>
            </w:r>
          </w:p>
        </w:tc>
      </w:tr>
      <w:tr w:rsidR="004E3071" w:rsidRPr="007923C2" w14:paraId="7A9AA775" w14:textId="77777777" w:rsidTr="004E3071">
        <w:trPr>
          <w:trHeight w:val="185"/>
        </w:trPr>
        <w:tc>
          <w:tcPr>
            <w:tcW w:w="1134" w:type="dxa"/>
            <w:gridSpan w:val="2"/>
            <w:tcBorders>
              <w:top w:val="single" w:sz="4" w:space="0" w:color="auto"/>
              <w:bottom w:val="single" w:sz="4" w:space="0" w:color="auto"/>
              <w:right w:val="single" w:sz="4" w:space="0" w:color="auto"/>
            </w:tcBorders>
            <w:vAlign w:val="bottom"/>
          </w:tcPr>
          <w:p w14:paraId="38485D12" w14:textId="77777777" w:rsidR="004E3071" w:rsidRPr="00973738" w:rsidRDefault="004E3071" w:rsidP="004E3071">
            <w:pPr>
              <w:widowControl w:val="0"/>
              <w:autoSpaceDE w:val="0"/>
              <w:autoSpaceDN w:val="0"/>
              <w:adjustRightInd w:val="0"/>
              <w:rPr>
                <w:rFonts w:ascii="Arial" w:hAnsi="Arial" w:cs="Arial"/>
                <w:sz w:val="22"/>
                <w:szCs w:val="22"/>
              </w:rPr>
            </w:pPr>
            <w:r w:rsidRPr="00973738">
              <w:rPr>
                <w:rFonts w:ascii="Arial" w:hAnsi="Arial" w:cs="Arial"/>
                <w:sz w:val="22"/>
                <w:szCs w:val="22"/>
              </w:rPr>
              <w:lastRenderedPageBreak/>
              <w:t>Alumno 10</w:t>
            </w:r>
          </w:p>
        </w:tc>
        <w:tc>
          <w:tcPr>
            <w:tcW w:w="1367" w:type="dxa"/>
            <w:tcBorders>
              <w:top w:val="single" w:sz="4" w:space="0" w:color="auto"/>
              <w:left w:val="single" w:sz="4" w:space="0" w:color="auto"/>
              <w:bottom w:val="single" w:sz="4" w:space="0" w:color="auto"/>
              <w:right w:val="single" w:sz="4" w:space="0" w:color="auto"/>
            </w:tcBorders>
            <w:vAlign w:val="bottom"/>
          </w:tcPr>
          <w:p w14:paraId="4B2741E5" w14:textId="77777777" w:rsidR="004E3071" w:rsidRPr="007923C2" w:rsidRDefault="004E3071" w:rsidP="004E3071">
            <w:pPr>
              <w:widowControl w:val="0"/>
              <w:autoSpaceDE w:val="0"/>
              <w:autoSpaceDN w:val="0"/>
              <w:adjustRightInd w:val="0"/>
              <w:rPr>
                <w:rFonts w:ascii="Arial" w:hAnsi="Arial" w:cs="Arial"/>
                <w:sz w:val="22"/>
                <w:szCs w:val="22"/>
              </w:rPr>
            </w:pPr>
          </w:p>
        </w:tc>
        <w:tc>
          <w:tcPr>
            <w:tcW w:w="6849" w:type="dxa"/>
            <w:gridSpan w:val="2"/>
            <w:tcBorders>
              <w:top w:val="single" w:sz="4" w:space="0" w:color="auto"/>
              <w:left w:val="single" w:sz="4" w:space="0" w:color="auto"/>
              <w:bottom w:val="single" w:sz="4" w:space="0" w:color="auto"/>
            </w:tcBorders>
            <w:vAlign w:val="bottom"/>
          </w:tcPr>
          <w:p w14:paraId="3C17DD89" w14:textId="77777777" w:rsidR="004E3071" w:rsidRPr="007923C2" w:rsidRDefault="004E3071" w:rsidP="004E3071">
            <w:pPr>
              <w:widowControl w:val="0"/>
              <w:autoSpaceDE w:val="0"/>
              <w:autoSpaceDN w:val="0"/>
              <w:adjustRightInd w:val="0"/>
              <w:rPr>
                <w:rFonts w:ascii="Arial" w:hAnsi="Arial" w:cs="Arial"/>
                <w:sz w:val="22"/>
                <w:szCs w:val="22"/>
              </w:rPr>
            </w:pPr>
          </w:p>
        </w:tc>
      </w:tr>
      <w:tr w:rsidR="00EF3ABE" w:rsidRPr="007923C2" w14:paraId="1E5B0690" w14:textId="77777777" w:rsidTr="00E2484C">
        <w:trPr>
          <w:trHeight w:val="185"/>
        </w:trPr>
        <w:tc>
          <w:tcPr>
            <w:tcW w:w="1134" w:type="dxa"/>
            <w:gridSpan w:val="2"/>
            <w:tcBorders>
              <w:top w:val="single" w:sz="4" w:space="0" w:color="auto"/>
              <w:bottom w:val="nil"/>
              <w:right w:val="single" w:sz="4" w:space="0" w:color="auto"/>
            </w:tcBorders>
            <w:vAlign w:val="bottom"/>
          </w:tcPr>
          <w:p w14:paraId="1A1739C7"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11</w:t>
            </w:r>
          </w:p>
        </w:tc>
        <w:tc>
          <w:tcPr>
            <w:tcW w:w="1367" w:type="dxa"/>
            <w:tcBorders>
              <w:top w:val="single" w:sz="4" w:space="0" w:color="auto"/>
              <w:left w:val="single" w:sz="4" w:space="0" w:color="auto"/>
              <w:bottom w:val="nil"/>
              <w:right w:val="single" w:sz="4" w:space="0" w:color="auto"/>
            </w:tcBorders>
            <w:vAlign w:val="bottom"/>
          </w:tcPr>
          <w:p w14:paraId="08104DF4"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left w:val="single" w:sz="4" w:space="0" w:color="auto"/>
              <w:bottom w:val="nil"/>
            </w:tcBorders>
            <w:vAlign w:val="bottom"/>
          </w:tcPr>
          <w:p w14:paraId="748B4821"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La carga académica es muy actual y los maestros demuestran tener conocimientos solo que hay que</w:t>
            </w:r>
          </w:p>
        </w:tc>
      </w:tr>
      <w:tr w:rsidR="00EF3ABE" w:rsidRPr="007923C2" w14:paraId="418E4D3A" w14:textId="77777777" w:rsidTr="00E2484C">
        <w:trPr>
          <w:trHeight w:val="185"/>
        </w:trPr>
        <w:tc>
          <w:tcPr>
            <w:tcW w:w="1134" w:type="dxa"/>
            <w:gridSpan w:val="2"/>
            <w:tcBorders>
              <w:top w:val="nil"/>
              <w:bottom w:val="single" w:sz="4" w:space="0" w:color="auto"/>
              <w:right w:val="single" w:sz="4" w:space="0" w:color="auto"/>
            </w:tcBorders>
            <w:vAlign w:val="bottom"/>
          </w:tcPr>
          <w:p w14:paraId="25177D6F" w14:textId="77777777"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single" w:sz="4" w:space="0" w:color="auto"/>
              <w:right w:val="single" w:sz="4" w:space="0" w:color="auto"/>
            </w:tcBorders>
            <w:vAlign w:val="bottom"/>
          </w:tcPr>
          <w:p w14:paraId="1133CADE" w14:textId="77777777"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top w:val="nil"/>
              <w:left w:val="single" w:sz="4" w:space="0" w:color="auto"/>
              <w:bottom w:val="single" w:sz="4" w:space="0" w:color="auto"/>
            </w:tcBorders>
            <w:vAlign w:val="bottom"/>
          </w:tcPr>
          <w:p w14:paraId="0AFA5B54" w14:textId="77777777" w:rsidR="0030772E" w:rsidRPr="007923C2" w:rsidRDefault="0030772E" w:rsidP="00EF3ABE">
            <w:pPr>
              <w:widowControl w:val="0"/>
              <w:autoSpaceDE w:val="0"/>
              <w:autoSpaceDN w:val="0"/>
              <w:adjustRightInd w:val="0"/>
              <w:rPr>
                <w:rFonts w:ascii="Arial" w:hAnsi="Arial" w:cs="Arial"/>
                <w:sz w:val="22"/>
                <w:szCs w:val="22"/>
              </w:rPr>
            </w:pPr>
            <w:r w:rsidRPr="007923C2">
              <w:rPr>
                <w:rFonts w:ascii="Arial" w:hAnsi="Arial" w:cs="Arial"/>
                <w:sz w:val="22"/>
                <w:szCs w:val="22"/>
              </w:rPr>
              <w:t>actualizar a  algunos y a otros cambiarlos por personal más joven y con conocimientos y experiencia actual</w:t>
            </w:r>
            <w:r w:rsidR="00EF3ABE" w:rsidRPr="007923C2">
              <w:rPr>
                <w:rFonts w:ascii="Arial" w:hAnsi="Arial" w:cs="Arial"/>
                <w:sz w:val="22"/>
                <w:szCs w:val="22"/>
              </w:rPr>
              <w:t xml:space="preserve"> y fresca.</w:t>
            </w:r>
          </w:p>
        </w:tc>
      </w:tr>
      <w:tr w:rsidR="00EF3ABE" w:rsidRPr="007923C2" w14:paraId="49751322" w14:textId="77777777" w:rsidTr="00E2484C">
        <w:trPr>
          <w:trHeight w:val="185"/>
        </w:trPr>
        <w:tc>
          <w:tcPr>
            <w:tcW w:w="1134" w:type="dxa"/>
            <w:gridSpan w:val="2"/>
            <w:tcBorders>
              <w:top w:val="single" w:sz="4" w:space="0" w:color="auto"/>
              <w:bottom w:val="single" w:sz="4" w:space="0" w:color="auto"/>
              <w:right w:val="single" w:sz="4" w:space="0" w:color="auto"/>
            </w:tcBorders>
            <w:vAlign w:val="bottom"/>
          </w:tcPr>
          <w:p w14:paraId="0B358E41"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12</w:t>
            </w:r>
          </w:p>
        </w:tc>
        <w:tc>
          <w:tcPr>
            <w:tcW w:w="1367" w:type="dxa"/>
            <w:tcBorders>
              <w:top w:val="single" w:sz="4" w:space="0" w:color="auto"/>
              <w:left w:val="single" w:sz="4" w:space="0" w:color="auto"/>
              <w:bottom w:val="single" w:sz="4" w:space="0" w:color="auto"/>
              <w:right w:val="single" w:sz="4" w:space="0" w:color="auto"/>
            </w:tcBorders>
            <w:vAlign w:val="bottom"/>
          </w:tcPr>
          <w:p w14:paraId="209F0179"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left w:val="single" w:sz="4" w:space="0" w:color="auto"/>
              <w:bottom w:val="single" w:sz="4" w:space="0" w:color="auto"/>
            </w:tcBorders>
            <w:vAlign w:val="bottom"/>
          </w:tcPr>
          <w:p w14:paraId="0F0838BB"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Buenos maestros con conocimientos y experiencia solo que es necesario cambiar algunos maestros que</w:t>
            </w:r>
            <w:r w:rsidR="00E2484C" w:rsidRPr="007923C2">
              <w:rPr>
                <w:rFonts w:ascii="Arial" w:hAnsi="Arial" w:cs="Arial"/>
                <w:sz w:val="22"/>
                <w:szCs w:val="22"/>
              </w:rPr>
              <w:t xml:space="preserve"> ya son grandes también actualizar a la plantilla de maestros, que existan más investigadores, Que haya mas práctica y menos teoría.</w:t>
            </w:r>
          </w:p>
        </w:tc>
      </w:tr>
      <w:tr w:rsidR="00EF3ABE" w:rsidRPr="007923C2" w14:paraId="04FC1DE9" w14:textId="77777777" w:rsidTr="00E2484C">
        <w:trPr>
          <w:trHeight w:val="185"/>
        </w:trPr>
        <w:tc>
          <w:tcPr>
            <w:tcW w:w="1134" w:type="dxa"/>
            <w:gridSpan w:val="2"/>
            <w:tcBorders>
              <w:top w:val="single" w:sz="4" w:space="0" w:color="auto"/>
              <w:bottom w:val="single" w:sz="4" w:space="0" w:color="auto"/>
              <w:right w:val="single" w:sz="4" w:space="0" w:color="auto"/>
            </w:tcBorders>
            <w:vAlign w:val="bottom"/>
          </w:tcPr>
          <w:p w14:paraId="2B6BD7D8"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13</w:t>
            </w:r>
          </w:p>
        </w:tc>
        <w:tc>
          <w:tcPr>
            <w:tcW w:w="1367" w:type="dxa"/>
            <w:tcBorders>
              <w:top w:val="single" w:sz="4" w:space="0" w:color="auto"/>
              <w:left w:val="single" w:sz="4" w:space="0" w:color="auto"/>
              <w:bottom w:val="single" w:sz="4" w:space="0" w:color="auto"/>
              <w:right w:val="single" w:sz="4" w:space="0" w:color="auto"/>
            </w:tcBorders>
            <w:vAlign w:val="bottom"/>
          </w:tcPr>
          <w:p w14:paraId="634440CC"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left w:val="single" w:sz="4" w:space="0" w:color="auto"/>
              <w:bottom w:val="single" w:sz="4" w:space="0" w:color="auto"/>
            </w:tcBorders>
            <w:vAlign w:val="bottom"/>
          </w:tcPr>
          <w:p w14:paraId="4C76CF50"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Por su excelente plantilla académica muy preparada y experimentada y por las buenas materias que</w:t>
            </w:r>
            <w:r w:rsidR="00EF3ABE" w:rsidRPr="007923C2">
              <w:rPr>
                <w:rFonts w:ascii="Arial" w:hAnsi="Arial" w:cs="Arial"/>
                <w:sz w:val="22"/>
                <w:szCs w:val="22"/>
              </w:rPr>
              <w:t xml:space="preserve"> imparte</w:t>
            </w:r>
          </w:p>
        </w:tc>
      </w:tr>
      <w:tr w:rsidR="00EF3ABE" w:rsidRPr="007923C2" w14:paraId="76A08BE0" w14:textId="77777777" w:rsidTr="00E2484C">
        <w:trPr>
          <w:trHeight w:val="185"/>
        </w:trPr>
        <w:tc>
          <w:tcPr>
            <w:tcW w:w="1134" w:type="dxa"/>
            <w:gridSpan w:val="2"/>
            <w:tcBorders>
              <w:top w:val="single" w:sz="4" w:space="0" w:color="auto"/>
              <w:bottom w:val="single" w:sz="4" w:space="0" w:color="auto"/>
              <w:right w:val="single" w:sz="4" w:space="0" w:color="auto"/>
            </w:tcBorders>
            <w:vAlign w:val="bottom"/>
          </w:tcPr>
          <w:p w14:paraId="5714320F"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14</w:t>
            </w:r>
          </w:p>
        </w:tc>
        <w:tc>
          <w:tcPr>
            <w:tcW w:w="1367" w:type="dxa"/>
            <w:tcBorders>
              <w:top w:val="single" w:sz="4" w:space="0" w:color="auto"/>
              <w:left w:val="single" w:sz="4" w:space="0" w:color="auto"/>
              <w:bottom w:val="single" w:sz="4" w:space="0" w:color="auto"/>
              <w:right w:val="single" w:sz="4" w:space="0" w:color="auto"/>
            </w:tcBorders>
            <w:vAlign w:val="bottom"/>
          </w:tcPr>
          <w:p w14:paraId="3CD14F0D" w14:textId="77777777" w:rsidR="0030772E" w:rsidRPr="007923C2" w:rsidRDefault="0030772E" w:rsidP="0030772E">
            <w:pPr>
              <w:widowControl w:val="0"/>
              <w:autoSpaceDE w:val="0"/>
              <w:autoSpaceDN w:val="0"/>
              <w:adjustRightInd w:val="0"/>
              <w:rPr>
                <w:rFonts w:ascii="Arial" w:hAnsi="Arial" w:cs="Arial"/>
                <w:sz w:val="22"/>
                <w:szCs w:val="22"/>
              </w:rPr>
            </w:pPr>
          </w:p>
          <w:p w14:paraId="44D28B40"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left w:val="single" w:sz="4" w:space="0" w:color="auto"/>
              <w:bottom w:val="single" w:sz="4" w:space="0" w:color="auto"/>
            </w:tcBorders>
            <w:vAlign w:val="bottom"/>
          </w:tcPr>
          <w:p w14:paraId="5C34F4CF"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Los maestros son excelentes y con gran capacidad y experiencia y las materias son de lo más acertado</w:t>
            </w:r>
            <w:r w:rsidR="00E2484C" w:rsidRPr="007923C2">
              <w:rPr>
                <w:rFonts w:ascii="Arial" w:hAnsi="Arial" w:cs="Arial"/>
                <w:sz w:val="22"/>
                <w:szCs w:val="22"/>
              </w:rPr>
              <w:t>.</w:t>
            </w:r>
          </w:p>
        </w:tc>
      </w:tr>
      <w:tr w:rsidR="00EF3ABE" w:rsidRPr="007923C2" w14:paraId="727B9567" w14:textId="77777777" w:rsidTr="00E2484C">
        <w:trPr>
          <w:trHeight w:val="185"/>
        </w:trPr>
        <w:tc>
          <w:tcPr>
            <w:tcW w:w="1134" w:type="dxa"/>
            <w:gridSpan w:val="2"/>
            <w:tcBorders>
              <w:top w:val="single" w:sz="4" w:space="0" w:color="auto"/>
              <w:bottom w:val="single" w:sz="4" w:space="0" w:color="auto"/>
              <w:right w:val="single" w:sz="4" w:space="0" w:color="auto"/>
            </w:tcBorders>
            <w:vAlign w:val="bottom"/>
          </w:tcPr>
          <w:p w14:paraId="0823190C"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15</w:t>
            </w:r>
          </w:p>
        </w:tc>
        <w:tc>
          <w:tcPr>
            <w:tcW w:w="1367" w:type="dxa"/>
            <w:tcBorders>
              <w:top w:val="single" w:sz="4" w:space="0" w:color="auto"/>
              <w:left w:val="single" w:sz="4" w:space="0" w:color="auto"/>
              <w:bottom w:val="single" w:sz="4" w:space="0" w:color="auto"/>
              <w:right w:val="single" w:sz="4" w:space="0" w:color="auto"/>
            </w:tcBorders>
            <w:vAlign w:val="bottom"/>
          </w:tcPr>
          <w:p w14:paraId="4584A0D3"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left w:val="single" w:sz="4" w:space="0" w:color="auto"/>
              <w:bottom w:val="single" w:sz="4" w:space="0" w:color="auto"/>
            </w:tcBorders>
            <w:vAlign w:val="bottom"/>
          </w:tcPr>
          <w:p w14:paraId="0C1A92BA"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Hay buenas materias y buenos maestros pero hay otras materias que los maestros no son responsables</w:t>
            </w:r>
          </w:p>
        </w:tc>
      </w:tr>
      <w:tr w:rsidR="00EF3ABE" w:rsidRPr="007923C2" w14:paraId="76D98A01" w14:textId="77777777" w:rsidTr="00E2484C">
        <w:trPr>
          <w:trHeight w:val="182"/>
        </w:trPr>
        <w:tc>
          <w:tcPr>
            <w:tcW w:w="1134" w:type="dxa"/>
            <w:gridSpan w:val="2"/>
            <w:tcBorders>
              <w:top w:val="single" w:sz="4" w:space="0" w:color="auto"/>
              <w:bottom w:val="nil"/>
              <w:right w:val="single" w:sz="4" w:space="0" w:color="auto"/>
            </w:tcBorders>
            <w:vAlign w:val="bottom"/>
          </w:tcPr>
          <w:p w14:paraId="0A1F743A" w14:textId="77777777"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single" w:sz="4" w:space="0" w:color="auto"/>
              <w:left w:val="single" w:sz="4" w:space="0" w:color="auto"/>
              <w:bottom w:val="nil"/>
              <w:right w:val="single" w:sz="4" w:space="0" w:color="auto"/>
            </w:tcBorders>
            <w:vAlign w:val="bottom"/>
          </w:tcPr>
          <w:p w14:paraId="73BA8672" w14:textId="77777777"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top w:val="single" w:sz="4" w:space="0" w:color="auto"/>
              <w:left w:val="single" w:sz="4" w:space="0" w:color="auto"/>
              <w:bottom w:val="nil"/>
            </w:tcBorders>
            <w:vAlign w:val="bottom"/>
          </w:tcPr>
          <w:p w14:paraId="55C4B827" w14:textId="77777777"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no las imparten completas y falta mucha practica en campo</w:t>
            </w:r>
          </w:p>
        </w:tc>
      </w:tr>
      <w:tr w:rsidR="00EF3ABE" w:rsidRPr="007923C2" w14:paraId="7C419C1C" w14:textId="77777777" w:rsidTr="00E2484C">
        <w:trPr>
          <w:trHeight w:val="185"/>
        </w:trPr>
        <w:tc>
          <w:tcPr>
            <w:tcW w:w="1134" w:type="dxa"/>
            <w:gridSpan w:val="2"/>
            <w:tcBorders>
              <w:top w:val="nil"/>
              <w:bottom w:val="single" w:sz="4" w:space="0" w:color="auto"/>
              <w:right w:val="single" w:sz="4" w:space="0" w:color="auto"/>
            </w:tcBorders>
            <w:vAlign w:val="bottom"/>
          </w:tcPr>
          <w:p w14:paraId="12904067"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16</w:t>
            </w:r>
          </w:p>
        </w:tc>
        <w:tc>
          <w:tcPr>
            <w:tcW w:w="1367" w:type="dxa"/>
            <w:tcBorders>
              <w:top w:val="nil"/>
              <w:left w:val="single" w:sz="4" w:space="0" w:color="auto"/>
              <w:bottom w:val="single" w:sz="4" w:space="0" w:color="auto"/>
              <w:right w:val="single" w:sz="4" w:space="0" w:color="auto"/>
            </w:tcBorders>
            <w:vAlign w:val="bottom"/>
          </w:tcPr>
          <w:p w14:paraId="43036298"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nil"/>
              <w:left w:val="single" w:sz="4" w:space="0" w:color="auto"/>
              <w:bottom w:val="single" w:sz="4" w:space="0" w:color="auto"/>
            </w:tcBorders>
            <w:vAlign w:val="bottom"/>
          </w:tcPr>
          <w:p w14:paraId="73EA3D61"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Es excelente</w:t>
            </w:r>
          </w:p>
        </w:tc>
      </w:tr>
      <w:tr w:rsidR="00EF3ABE" w:rsidRPr="007923C2" w14:paraId="59BD59F4" w14:textId="77777777" w:rsidTr="00E2484C">
        <w:trPr>
          <w:trHeight w:val="185"/>
        </w:trPr>
        <w:tc>
          <w:tcPr>
            <w:tcW w:w="1134" w:type="dxa"/>
            <w:gridSpan w:val="2"/>
            <w:tcBorders>
              <w:top w:val="single" w:sz="4" w:space="0" w:color="auto"/>
              <w:bottom w:val="single" w:sz="4" w:space="0" w:color="auto"/>
              <w:right w:val="single" w:sz="4" w:space="0" w:color="auto"/>
            </w:tcBorders>
            <w:vAlign w:val="bottom"/>
          </w:tcPr>
          <w:p w14:paraId="7C0ED155"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17</w:t>
            </w:r>
          </w:p>
        </w:tc>
        <w:tc>
          <w:tcPr>
            <w:tcW w:w="1367" w:type="dxa"/>
            <w:tcBorders>
              <w:top w:val="single" w:sz="4" w:space="0" w:color="auto"/>
              <w:left w:val="single" w:sz="4" w:space="0" w:color="auto"/>
              <w:bottom w:val="single" w:sz="4" w:space="0" w:color="auto"/>
              <w:right w:val="single" w:sz="4" w:space="0" w:color="auto"/>
            </w:tcBorders>
            <w:vAlign w:val="bottom"/>
          </w:tcPr>
          <w:p w14:paraId="5F81B11F"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left w:val="single" w:sz="4" w:space="0" w:color="auto"/>
              <w:bottom w:val="single" w:sz="4" w:space="0" w:color="auto"/>
            </w:tcBorders>
            <w:vAlign w:val="bottom"/>
          </w:tcPr>
          <w:p w14:paraId="0D74ED39"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Si uno sabe bien en que quiera especializarse, pero lo normal es que uno no escoge, debe de ser plan</w:t>
            </w:r>
            <w:r w:rsidR="00EF3ABE" w:rsidRPr="007923C2">
              <w:rPr>
                <w:rFonts w:ascii="Arial" w:hAnsi="Arial" w:cs="Arial"/>
                <w:sz w:val="22"/>
                <w:szCs w:val="22"/>
              </w:rPr>
              <w:t xml:space="preserve"> rígido</w:t>
            </w:r>
          </w:p>
        </w:tc>
      </w:tr>
      <w:tr w:rsidR="00EF3ABE" w:rsidRPr="007923C2" w14:paraId="6C9B85CB" w14:textId="77777777" w:rsidTr="00E2484C">
        <w:trPr>
          <w:trHeight w:val="185"/>
        </w:trPr>
        <w:tc>
          <w:tcPr>
            <w:tcW w:w="1134" w:type="dxa"/>
            <w:gridSpan w:val="2"/>
            <w:tcBorders>
              <w:top w:val="single" w:sz="4" w:space="0" w:color="auto"/>
              <w:bottom w:val="single" w:sz="4" w:space="0" w:color="auto"/>
              <w:right w:val="single" w:sz="4" w:space="0" w:color="auto"/>
            </w:tcBorders>
            <w:vAlign w:val="bottom"/>
          </w:tcPr>
          <w:p w14:paraId="5030D2F6"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18</w:t>
            </w:r>
          </w:p>
        </w:tc>
        <w:tc>
          <w:tcPr>
            <w:tcW w:w="1367" w:type="dxa"/>
            <w:tcBorders>
              <w:top w:val="single" w:sz="4" w:space="0" w:color="auto"/>
              <w:left w:val="single" w:sz="4" w:space="0" w:color="auto"/>
              <w:bottom w:val="single" w:sz="4" w:space="0" w:color="auto"/>
              <w:right w:val="single" w:sz="4" w:space="0" w:color="auto"/>
            </w:tcBorders>
            <w:vAlign w:val="bottom"/>
          </w:tcPr>
          <w:p w14:paraId="7C1A01BA"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left w:val="single" w:sz="4" w:space="0" w:color="auto"/>
              <w:bottom w:val="single" w:sz="4" w:space="0" w:color="auto"/>
            </w:tcBorders>
            <w:vAlign w:val="bottom"/>
          </w:tcPr>
          <w:p w14:paraId="0CC13F06" w14:textId="77777777"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Falta mucha práctica, la enseñanza muy teórica</w:t>
            </w:r>
          </w:p>
        </w:tc>
      </w:tr>
      <w:tr w:rsidR="00EF3ABE" w:rsidRPr="007923C2" w14:paraId="2C134EE0" w14:textId="77777777" w:rsidTr="00E2484C">
        <w:trPr>
          <w:trHeight w:val="185"/>
        </w:trPr>
        <w:tc>
          <w:tcPr>
            <w:tcW w:w="1134" w:type="dxa"/>
            <w:gridSpan w:val="2"/>
            <w:tcBorders>
              <w:top w:val="single" w:sz="4" w:space="0" w:color="auto"/>
              <w:bottom w:val="single" w:sz="4" w:space="0" w:color="auto"/>
              <w:right w:val="single" w:sz="4" w:space="0" w:color="auto"/>
            </w:tcBorders>
            <w:vAlign w:val="bottom"/>
          </w:tcPr>
          <w:p w14:paraId="2568BAED"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19</w:t>
            </w:r>
          </w:p>
        </w:tc>
        <w:tc>
          <w:tcPr>
            <w:tcW w:w="1367" w:type="dxa"/>
            <w:tcBorders>
              <w:top w:val="single" w:sz="4" w:space="0" w:color="auto"/>
              <w:left w:val="single" w:sz="4" w:space="0" w:color="auto"/>
              <w:bottom w:val="single" w:sz="4" w:space="0" w:color="auto"/>
              <w:right w:val="single" w:sz="4" w:space="0" w:color="auto"/>
            </w:tcBorders>
            <w:vAlign w:val="bottom"/>
          </w:tcPr>
          <w:p w14:paraId="3DD7EB71"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left w:val="single" w:sz="4" w:space="0" w:color="auto"/>
              <w:bottom w:val="single" w:sz="4" w:space="0" w:color="auto"/>
            </w:tcBorders>
            <w:vAlign w:val="bottom"/>
          </w:tcPr>
          <w:p w14:paraId="1F70239F"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Debido a las materias de las optativas el enfoque lo damos nosotros y nos ayuda</w:t>
            </w:r>
          </w:p>
        </w:tc>
      </w:tr>
      <w:tr w:rsidR="00EF3ABE" w:rsidRPr="007923C2" w14:paraId="37B24D4A" w14:textId="77777777" w:rsidTr="00E2484C">
        <w:trPr>
          <w:trHeight w:val="182"/>
        </w:trPr>
        <w:tc>
          <w:tcPr>
            <w:tcW w:w="1134" w:type="dxa"/>
            <w:gridSpan w:val="2"/>
            <w:tcBorders>
              <w:top w:val="single" w:sz="4" w:space="0" w:color="auto"/>
              <w:bottom w:val="single" w:sz="4" w:space="0" w:color="auto"/>
              <w:right w:val="single" w:sz="4" w:space="0" w:color="auto"/>
            </w:tcBorders>
            <w:vAlign w:val="bottom"/>
          </w:tcPr>
          <w:p w14:paraId="7BC59F1E" w14:textId="77777777"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20</w:t>
            </w:r>
          </w:p>
        </w:tc>
        <w:tc>
          <w:tcPr>
            <w:tcW w:w="1367" w:type="dxa"/>
            <w:tcBorders>
              <w:top w:val="single" w:sz="4" w:space="0" w:color="auto"/>
              <w:left w:val="single" w:sz="4" w:space="0" w:color="auto"/>
              <w:bottom w:val="single" w:sz="4" w:space="0" w:color="auto"/>
              <w:right w:val="single" w:sz="4" w:space="0" w:color="auto"/>
            </w:tcBorders>
            <w:vAlign w:val="bottom"/>
          </w:tcPr>
          <w:p w14:paraId="6776477E" w14:textId="77777777"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7</w:t>
            </w:r>
          </w:p>
        </w:tc>
        <w:tc>
          <w:tcPr>
            <w:tcW w:w="6849" w:type="dxa"/>
            <w:gridSpan w:val="2"/>
            <w:tcBorders>
              <w:top w:val="single" w:sz="4" w:space="0" w:color="auto"/>
              <w:left w:val="single" w:sz="4" w:space="0" w:color="auto"/>
              <w:bottom w:val="single" w:sz="4" w:space="0" w:color="auto"/>
            </w:tcBorders>
            <w:vAlign w:val="bottom"/>
          </w:tcPr>
          <w:p w14:paraId="3FA1A7E2" w14:textId="77777777"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 los Agrónomos falta topografía (se aplica para cualquier área) Falta manejo de maquinaria agrícola</w:t>
            </w:r>
          </w:p>
        </w:tc>
      </w:tr>
      <w:tr w:rsidR="00EF3ABE" w:rsidRPr="007923C2" w14:paraId="51D2EAD0" w14:textId="77777777" w:rsidTr="00E2484C">
        <w:trPr>
          <w:trHeight w:val="185"/>
        </w:trPr>
        <w:tc>
          <w:tcPr>
            <w:tcW w:w="1134" w:type="dxa"/>
            <w:gridSpan w:val="2"/>
            <w:tcBorders>
              <w:top w:val="single" w:sz="4" w:space="0" w:color="auto"/>
              <w:bottom w:val="single" w:sz="4" w:space="0" w:color="auto"/>
              <w:right w:val="single" w:sz="4" w:space="0" w:color="auto"/>
            </w:tcBorders>
            <w:vAlign w:val="bottom"/>
          </w:tcPr>
          <w:p w14:paraId="4E4BCE99"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21</w:t>
            </w:r>
          </w:p>
        </w:tc>
        <w:tc>
          <w:tcPr>
            <w:tcW w:w="1367" w:type="dxa"/>
            <w:tcBorders>
              <w:top w:val="single" w:sz="4" w:space="0" w:color="auto"/>
              <w:left w:val="single" w:sz="4" w:space="0" w:color="auto"/>
              <w:bottom w:val="single" w:sz="4" w:space="0" w:color="auto"/>
              <w:right w:val="single" w:sz="4" w:space="0" w:color="auto"/>
            </w:tcBorders>
            <w:vAlign w:val="bottom"/>
          </w:tcPr>
          <w:p w14:paraId="4D419EB2"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left w:val="single" w:sz="4" w:space="0" w:color="auto"/>
              <w:bottom w:val="single" w:sz="4" w:space="0" w:color="auto"/>
            </w:tcBorders>
            <w:vAlign w:val="bottom"/>
          </w:tcPr>
          <w:p w14:paraId="6971E7B5"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Faltó tomar materias optativas adecuadas</w:t>
            </w:r>
          </w:p>
        </w:tc>
      </w:tr>
      <w:tr w:rsidR="00EF3ABE" w:rsidRPr="007923C2" w14:paraId="0C9FEA6C" w14:textId="77777777" w:rsidTr="00E2484C">
        <w:trPr>
          <w:trHeight w:val="185"/>
        </w:trPr>
        <w:tc>
          <w:tcPr>
            <w:tcW w:w="1134" w:type="dxa"/>
            <w:gridSpan w:val="2"/>
            <w:tcBorders>
              <w:top w:val="single" w:sz="4" w:space="0" w:color="auto"/>
              <w:bottom w:val="single" w:sz="4" w:space="0" w:color="auto"/>
              <w:right w:val="single" w:sz="4" w:space="0" w:color="auto"/>
            </w:tcBorders>
            <w:vAlign w:val="bottom"/>
          </w:tcPr>
          <w:p w14:paraId="23870229"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22</w:t>
            </w:r>
          </w:p>
        </w:tc>
        <w:tc>
          <w:tcPr>
            <w:tcW w:w="1367" w:type="dxa"/>
            <w:tcBorders>
              <w:top w:val="single" w:sz="4" w:space="0" w:color="auto"/>
              <w:left w:val="single" w:sz="4" w:space="0" w:color="auto"/>
              <w:bottom w:val="single" w:sz="4" w:space="0" w:color="auto"/>
              <w:right w:val="single" w:sz="4" w:space="0" w:color="auto"/>
            </w:tcBorders>
            <w:vAlign w:val="bottom"/>
          </w:tcPr>
          <w:p w14:paraId="0D6A9525"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left w:val="single" w:sz="4" w:space="0" w:color="auto"/>
              <w:bottom w:val="single" w:sz="4" w:space="0" w:color="auto"/>
            </w:tcBorders>
            <w:vAlign w:val="bottom"/>
          </w:tcPr>
          <w:p w14:paraId="4CE87366"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falta preparación académica, falta mejorar instalaciones, faltan prácticas</w:t>
            </w:r>
          </w:p>
        </w:tc>
      </w:tr>
      <w:tr w:rsidR="00EF3ABE" w:rsidRPr="007923C2" w14:paraId="1B83493E" w14:textId="77777777" w:rsidTr="00E2484C">
        <w:trPr>
          <w:trHeight w:val="182"/>
        </w:trPr>
        <w:tc>
          <w:tcPr>
            <w:tcW w:w="1134" w:type="dxa"/>
            <w:gridSpan w:val="2"/>
            <w:tcBorders>
              <w:top w:val="single" w:sz="4" w:space="0" w:color="auto"/>
              <w:bottom w:val="single" w:sz="4" w:space="0" w:color="auto"/>
              <w:right w:val="single" w:sz="4" w:space="0" w:color="auto"/>
            </w:tcBorders>
            <w:vAlign w:val="bottom"/>
          </w:tcPr>
          <w:p w14:paraId="6DF0E6F5" w14:textId="77777777"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23</w:t>
            </w:r>
          </w:p>
        </w:tc>
        <w:tc>
          <w:tcPr>
            <w:tcW w:w="1367" w:type="dxa"/>
            <w:tcBorders>
              <w:top w:val="single" w:sz="4" w:space="0" w:color="auto"/>
              <w:left w:val="single" w:sz="4" w:space="0" w:color="auto"/>
              <w:bottom w:val="single" w:sz="4" w:space="0" w:color="auto"/>
              <w:right w:val="single" w:sz="4" w:space="0" w:color="auto"/>
            </w:tcBorders>
            <w:vAlign w:val="bottom"/>
          </w:tcPr>
          <w:p w14:paraId="4DD927E9" w14:textId="77777777"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left w:val="single" w:sz="4" w:space="0" w:color="auto"/>
              <w:bottom w:val="single" w:sz="4" w:space="0" w:color="auto"/>
            </w:tcBorders>
            <w:vAlign w:val="bottom"/>
          </w:tcPr>
          <w:p w14:paraId="1EDCE67F" w14:textId="77777777"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faltan prácticas</w:t>
            </w:r>
          </w:p>
        </w:tc>
      </w:tr>
      <w:tr w:rsidR="00EF3ABE" w:rsidRPr="007923C2" w14:paraId="021D5E08" w14:textId="77777777" w:rsidTr="00E2484C">
        <w:trPr>
          <w:trHeight w:val="185"/>
        </w:trPr>
        <w:tc>
          <w:tcPr>
            <w:tcW w:w="1134" w:type="dxa"/>
            <w:gridSpan w:val="2"/>
            <w:tcBorders>
              <w:top w:val="single" w:sz="4" w:space="0" w:color="auto"/>
              <w:bottom w:val="single" w:sz="4" w:space="0" w:color="auto"/>
              <w:right w:val="single" w:sz="4" w:space="0" w:color="auto"/>
            </w:tcBorders>
            <w:vAlign w:val="bottom"/>
          </w:tcPr>
          <w:p w14:paraId="169D7E5B"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24</w:t>
            </w:r>
          </w:p>
        </w:tc>
        <w:tc>
          <w:tcPr>
            <w:tcW w:w="1367" w:type="dxa"/>
            <w:tcBorders>
              <w:top w:val="single" w:sz="4" w:space="0" w:color="auto"/>
              <w:left w:val="single" w:sz="4" w:space="0" w:color="auto"/>
              <w:bottom w:val="single" w:sz="4" w:space="0" w:color="auto"/>
              <w:right w:val="single" w:sz="4" w:space="0" w:color="auto"/>
            </w:tcBorders>
            <w:vAlign w:val="bottom"/>
          </w:tcPr>
          <w:p w14:paraId="330530B1"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8.5</w:t>
            </w:r>
          </w:p>
        </w:tc>
        <w:tc>
          <w:tcPr>
            <w:tcW w:w="6849" w:type="dxa"/>
            <w:gridSpan w:val="2"/>
            <w:tcBorders>
              <w:top w:val="single" w:sz="4" w:space="0" w:color="auto"/>
              <w:left w:val="single" w:sz="4" w:space="0" w:color="auto"/>
              <w:bottom w:val="single" w:sz="4" w:space="0" w:color="auto"/>
            </w:tcBorders>
            <w:vAlign w:val="bottom"/>
          </w:tcPr>
          <w:p w14:paraId="6929C2A7"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Falta practica en la carrera</w:t>
            </w:r>
          </w:p>
        </w:tc>
      </w:tr>
      <w:tr w:rsidR="00E2484C" w:rsidRPr="007923C2" w14:paraId="25EF839F" w14:textId="77777777" w:rsidTr="00E2484C">
        <w:trPr>
          <w:trHeight w:val="185"/>
        </w:trPr>
        <w:tc>
          <w:tcPr>
            <w:tcW w:w="1134" w:type="dxa"/>
            <w:gridSpan w:val="2"/>
            <w:tcBorders>
              <w:top w:val="single" w:sz="4" w:space="0" w:color="auto"/>
              <w:bottom w:val="single" w:sz="4" w:space="0" w:color="auto"/>
              <w:right w:val="single" w:sz="4" w:space="0" w:color="auto"/>
            </w:tcBorders>
            <w:vAlign w:val="bottom"/>
          </w:tcPr>
          <w:p w14:paraId="3BAD18D2"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25</w:t>
            </w:r>
          </w:p>
        </w:tc>
        <w:tc>
          <w:tcPr>
            <w:tcW w:w="1367" w:type="dxa"/>
            <w:tcBorders>
              <w:top w:val="single" w:sz="4" w:space="0" w:color="auto"/>
              <w:left w:val="single" w:sz="4" w:space="0" w:color="auto"/>
              <w:bottom w:val="single" w:sz="4" w:space="0" w:color="auto"/>
              <w:right w:val="single" w:sz="4" w:space="0" w:color="auto"/>
            </w:tcBorders>
            <w:vAlign w:val="bottom"/>
          </w:tcPr>
          <w:p w14:paraId="7A9E07CE"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left w:val="single" w:sz="4" w:space="0" w:color="auto"/>
              <w:bottom w:val="single" w:sz="4" w:space="0" w:color="auto"/>
            </w:tcBorders>
            <w:vAlign w:val="bottom"/>
          </w:tcPr>
          <w:p w14:paraId="1B9E60AD" w14:textId="77777777"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Gran nivel de enseñanza</w:t>
            </w:r>
          </w:p>
        </w:tc>
      </w:tr>
      <w:tr w:rsidR="00CD1467" w:rsidRPr="007923C2" w14:paraId="15055B92" w14:textId="77777777" w:rsidTr="00E2484C">
        <w:trPr>
          <w:trHeight w:val="184"/>
        </w:trPr>
        <w:tc>
          <w:tcPr>
            <w:tcW w:w="1120" w:type="dxa"/>
            <w:tcBorders>
              <w:top w:val="single" w:sz="4" w:space="0" w:color="auto"/>
              <w:bottom w:val="single" w:sz="4" w:space="0" w:color="auto"/>
              <w:right w:val="single" w:sz="4" w:space="0" w:color="auto"/>
            </w:tcBorders>
            <w:vAlign w:val="bottom"/>
          </w:tcPr>
          <w:p w14:paraId="70993C22" w14:textId="77777777" w:rsidR="00CD1467" w:rsidRPr="007923C2" w:rsidRDefault="00CD1467" w:rsidP="00EF3ABE">
            <w:pPr>
              <w:widowControl w:val="0"/>
              <w:autoSpaceDE w:val="0"/>
              <w:autoSpaceDN w:val="0"/>
              <w:adjustRightInd w:val="0"/>
              <w:rPr>
                <w:rFonts w:ascii="Arial" w:hAnsi="Arial" w:cs="Arial"/>
                <w:sz w:val="22"/>
                <w:szCs w:val="22"/>
              </w:rPr>
            </w:pPr>
            <w:r w:rsidRPr="007923C2">
              <w:rPr>
                <w:rFonts w:ascii="Arial" w:hAnsi="Arial" w:cs="Arial"/>
                <w:sz w:val="22"/>
                <w:szCs w:val="22"/>
              </w:rPr>
              <w:t>Alumno 26</w:t>
            </w:r>
          </w:p>
        </w:tc>
        <w:tc>
          <w:tcPr>
            <w:tcW w:w="1381" w:type="dxa"/>
            <w:gridSpan w:val="2"/>
            <w:tcBorders>
              <w:top w:val="single" w:sz="4" w:space="0" w:color="auto"/>
              <w:left w:val="single" w:sz="4" w:space="0" w:color="auto"/>
              <w:bottom w:val="single" w:sz="4" w:space="0" w:color="auto"/>
            </w:tcBorders>
            <w:vAlign w:val="bottom"/>
          </w:tcPr>
          <w:p w14:paraId="41A4C83B"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7</w:t>
            </w:r>
          </w:p>
        </w:tc>
        <w:tc>
          <w:tcPr>
            <w:tcW w:w="6849" w:type="dxa"/>
            <w:gridSpan w:val="2"/>
            <w:tcBorders>
              <w:top w:val="single" w:sz="4" w:space="0" w:color="auto"/>
              <w:bottom w:val="single" w:sz="4" w:space="0" w:color="auto"/>
            </w:tcBorders>
            <w:vAlign w:val="bottom"/>
          </w:tcPr>
          <w:p w14:paraId="69A25E37"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Maestros preparados en ecología poco agro, Plan de estudios regular</w:t>
            </w:r>
          </w:p>
        </w:tc>
      </w:tr>
      <w:tr w:rsidR="00CD1467" w:rsidRPr="007923C2" w14:paraId="002942B7" w14:textId="77777777" w:rsidTr="00E2484C">
        <w:trPr>
          <w:trHeight w:val="185"/>
        </w:trPr>
        <w:tc>
          <w:tcPr>
            <w:tcW w:w="1120" w:type="dxa"/>
            <w:tcBorders>
              <w:top w:val="single" w:sz="4" w:space="0" w:color="auto"/>
              <w:bottom w:val="single" w:sz="4" w:space="0" w:color="auto"/>
              <w:right w:val="single" w:sz="4" w:space="0" w:color="auto"/>
            </w:tcBorders>
            <w:vAlign w:val="bottom"/>
          </w:tcPr>
          <w:p w14:paraId="09969F9F"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27</w:t>
            </w:r>
          </w:p>
        </w:tc>
        <w:tc>
          <w:tcPr>
            <w:tcW w:w="1381" w:type="dxa"/>
            <w:gridSpan w:val="2"/>
            <w:tcBorders>
              <w:top w:val="single" w:sz="4" w:space="0" w:color="auto"/>
              <w:left w:val="single" w:sz="4" w:space="0" w:color="auto"/>
              <w:bottom w:val="single" w:sz="4" w:space="0" w:color="auto"/>
            </w:tcBorders>
            <w:vAlign w:val="bottom"/>
          </w:tcPr>
          <w:p w14:paraId="72765759"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bottom w:val="single" w:sz="4" w:space="0" w:color="auto"/>
            </w:tcBorders>
            <w:vAlign w:val="bottom"/>
          </w:tcPr>
          <w:p w14:paraId="4101E133"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Faltó un poco de práctica de laboratorio y falta material</w:t>
            </w:r>
          </w:p>
        </w:tc>
      </w:tr>
      <w:tr w:rsidR="00CD1467" w:rsidRPr="007923C2" w14:paraId="4F5AF1C5" w14:textId="77777777" w:rsidTr="00E2484C">
        <w:trPr>
          <w:trHeight w:val="182"/>
        </w:trPr>
        <w:tc>
          <w:tcPr>
            <w:tcW w:w="1120" w:type="dxa"/>
            <w:tcBorders>
              <w:top w:val="single" w:sz="4" w:space="0" w:color="auto"/>
              <w:bottom w:val="single" w:sz="4" w:space="0" w:color="auto"/>
              <w:right w:val="single" w:sz="4" w:space="0" w:color="auto"/>
            </w:tcBorders>
            <w:vAlign w:val="bottom"/>
          </w:tcPr>
          <w:p w14:paraId="49F10A25" w14:textId="77777777"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28</w:t>
            </w:r>
          </w:p>
        </w:tc>
        <w:tc>
          <w:tcPr>
            <w:tcW w:w="1381" w:type="dxa"/>
            <w:gridSpan w:val="2"/>
            <w:tcBorders>
              <w:top w:val="single" w:sz="4" w:space="0" w:color="auto"/>
              <w:left w:val="single" w:sz="4" w:space="0" w:color="auto"/>
              <w:bottom w:val="single" w:sz="4" w:space="0" w:color="auto"/>
            </w:tcBorders>
            <w:vAlign w:val="bottom"/>
          </w:tcPr>
          <w:p w14:paraId="3F1F18F7" w14:textId="77777777"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bottom w:val="single" w:sz="4" w:space="0" w:color="auto"/>
            </w:tcBorders>
            <w:vAlign w:val="bottom"/>
          </w:tcPr>
          <w:p w14:paraId="270D96B2" w14:textId="77777777"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Falta mayor disposición de los maestros se enfocan mucho a la investigación y no a la docencia</w:t>
            </w:r>
          </w:p>
        </w:tc>
      </w:tr>
      <w:tr w:rsidR="00CD1467" w:rsidRPr="007923C2" w14:paraId="780370A2" w14:textId="77777777" w:rsidTr="00E2484C">
        <w:trPr>
          <w:trHeight w:val="185"/>
        </w:trPr>
        <w:tc>
          <w:tcPr>
            <w:tcW w:w="1120" w:type="dxa"/>
            <w:tcBorders>
              <w:top w:val="single" w:sz="4" w:space="0" w:color="auto"/>
              <w:bottom w:val="single" w:sz="4" w:space="0" w:color="auto"/>
              <w:right w:val="single" w:sz="4" w:space="0" w:color="auto"/>
            </w:tcBorders>
            <w:vAlign w:val="bottom"/>
          </w:tcPr>
          <w:p w14:paraId="6EF9FADD"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29</w:t>
            </w:r>
          </w:p>
        </w:tc>
        <w:tc>
          <w:tcPr>
            <w:tcW w:w="1381" w:type="dxa"/>
            <w:gridSpan w:val="2"/>
            <w:tcBorders>
              <w:top w:val="single" w:sz="4" w:space="0" w:color="auto"/>
              <w:left w:val="single" w:sz="4" w:space="0" w:color="auto"/>
              <w:bottom w:val="single" w:sz="4" w:space="0" w:color="auto"/>
            </w:tcBorders>
            <w:vAlign w:val="bottom"/>
          </w:tcPr>
          <w:p w14:paraId="0719EA7F"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bottom w:val="single" w:sz="4" w:space="0" w:color="auto"/>
            </w:tcBorders>
            <w:vAlign w:val="bottom"/>
          </w:tcPr>
          <w:p w14:paraId="0845C782"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Falta mucha practica</w:t>
            </w:r>
          </w:p>
        </w:tc>
      </w:tr>
      <w:tr w:rsidR="00CD1467" w:rsidRPr="007923C2" w14:paraId="3DE2B4E5" w14:textId="77777777" w:rsidTr="00E2484C">
        <w:trPr>
          <w:trHeight w:val="185"/>
        </w:trPr>
        <w:tc>
          <w:tcPr>
            <w:tcW w:w="1120" w:type="dxa"/>
            <w:tcBorders>
              <w:top w:val="single" w:sz="4" w:space="0" w:color="auto"/>
              <w:bottom w:val="single" w:sz="4" w:space="0" w:color="auto"/>
              <w:right w:val="single" w:sz="4" w:space="0" w:color="auto"/>
            </w:tcBorders>
            <w:vAlign w:val="bottom"/>
          </w:tcPr>
          <w:p w14:paraId="3704EFB6"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30</w:t>
            </w:r>
          </w:p>
        </w:tc>
        <w:tc>
          <w:tcPr>
            <w:tcW w:w="1381" w:type="dxa"/>
            <w:gridSpan w:val="2"/>
            <w:tcBorders>
              <w:top w:val="single" w:sz="4" w:space="0" w:color="auto"/>
              <w:left w:val="single" w:sz="4" w:space="0" w:color="auto"/>
              <w:bottom w:val="single" w:sz="4" w:space="0" w:color="auto"/>
            </w:tcBorders>
            <w:vAlign w:val="bottom"/>
          </w:tcPr>
          <w:p w14:paraId="536CF281"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bottom w:val="single" w:sz="4" w:space="0" w:color="auto"/>
            </w:tcBorders>
            <w:vAlign w:val="bottom"/>
          </w:tcPr>
          <w:p w14:paraId="15A03374"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Un plan académico muy completo, los maestros con gran conocimiento y experiencia en sus materias</w:t>
            </w:r>
          </w:p>
        </w:tc>
      </w:tr>
      <w:tr w:rsidR="00CD1467" w:rsidRPr="007923C2" w14:paraId="69AA513E" w14:textId="77777777" w:rsidTr="00E2484C">
        <w:trPr>
          <w:trHeight w:val="182"/>
        </w:trPr>
        <w:tc>
          <w:tcPr>
            <w:tcW w:w="1120" w:type="dxa"/>
            <w:tcBorders>
              <w:top w:val="single" w:sz="4" w:space="0" w:color="auto"/>
              <w:bottom w:val="single" w:sz="4" w:space="0" w:color="auto"/>
              <w:right w:val="single" w:sz="4" w:space="0" w:color="auto"/>
            </w:tcBorders>
            <w:vAlign w:val="bottom"/>
          </w:tcPr>
          <w:p w14:paraId="3D42812B" w14:textId="77777777"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lastRenderedPageBreak/>
              <w:t>Alumno 31</w:t>
            </w:r>
          </w:p>
        </w:tc>
        <w:tc>
          <w:tcPr>
            <w:tcW w:w="1381" w:type="dxa"/>
            <w:gridSpan w:val="2"/>
            <w:tcBorders>
              <w:top w:val="single" w:sz="4" w:space="0" w:color="auto"/>
              <w:left w:val="single" w:sz="4" w:space="0" w:color="auto"/>
              <w:bottom w:val="single" w:sz="4" w:space="0" w:color="auto"/>
            </w:tcBorders>
            <w:vAlign w:val="bottom"/>
          </w:tcPr>
          <w:p w14:paraId="3B622F81" w14:textId="77777777"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bottom w:val="single" w:sz="4" w:space="0" w:color="auto"/>
            </w:tcBorders>
            <w:vAlign w:val="bottom"/>
          </w:tcPr>
          <w:p w14:paraId="40C53C62" w14:textId="77777777"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Hizo falta complementar materias de otras carreras como la materia de topografía</w:t>
            </w:r>
          </w:p>
        </w:tc>
      </w:tr>
      <w:tr w:rsidR="00CD1467" w:rsidRPr="007923C2" w14:paraId="78356A49" w14:textId="77777777" w:rsidTr="00E2484C">
        <w:trPr>
          <w:trHeight w:val="185"/>
        </w:trPr>
        <w:tc>
          <w:tcPr>
            <w:tcW w:w="1120" w:type="dxa"/>
            <w:tcBorders>
              <w:top w:val="single" w:sz="4" w:space="0" w:color="auto"/>
              <w:bottom w:val="single" w:sz="4" w:space="0" w:color="auto"/>
              <w:right w:val="single" w:sz="4" w:space="0" w:color="auto"/>
            </w:tcBorders>
            <w:vAlign w:val="bottom"/>
          </w:tcPr>
          <w:p w14:paraId="45FBA8F7"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32</w:t>
            </w:r>
          </w:p>
        </w:tc>
        <w:tc>
          <w:tcPr>
            <w:tcW w:w="1381" w:type="dxa"/>
            <w:gridSpan w:val="2"/>
            <w:tcBorders>
              <w:top w:val="single" w:sz="4" w:space="0" w:color="auto"/>
              <w:left w:val="single" w:sz="4" w:space="0" w:color="auto"/>
              <w:bottom w:val="single" w:sz="4" w:space="0" w:color="auto"/>
            </w:tcBorders>
            <w:vAlign w:val="bottom"/>
          </w:tcPr>
          <w:p w14:paraId="628DE5B8"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bottom w:val="single" w:sz="4" w:space="0" w:color="auto"/>
            </w:tcBorders>
            <w:vAlign w:val="bottom"/>
          </w:tcPr>
          <w:p w14:paraId="78B2A373"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Tienen que eliminar muchas materias para tener bien enfocadas las carreras y no generalizarlas</w:t>
            </w:r>
          </w:p>
        </w:tc>
      </w:tr>
      <w:tr w:rsidR="00CD1467" w:rsidRPr="007923C2" w14:paraId="1ACB4DE9" w14:textId="77777777" w:rsidTr="00E2484C">
        <w:trPr>
          <w:trHeight w:val="185"/>
        </w:trPr>
        <w:tc>
          <w:tcPr>
            <w:tcW w:w="1120" w:type="dxa"/>
            <w:tcBorders>
              <w:top w:val="single" w:sz="4" w:space="0" w:color="auto"/>
              <w:bottom w:val="single" w:sz="4" w:space="0" w:color="auto"/>
              <w:right w:val="single" w:sz="4" w:space="0" w:color="auto"/>
            </w:tcBorders>
            <w:vAlign w:val="bottom"/>
          </w:tcPr>
          <w:p w14:paraId="343B67EF"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33</w:t>
            </w:r>
          </w:p>
        </w:tc>
        <w:tc>
          <w:tcPr>
            <w:tcW w:w="1381" w:type="dxa"/>
            <w:gridSpan w:val="2"/>
            <w:tcBorders>
              <w:top w:val="single" w:sz="4" w:space="0" w:color="auto"/>
              <w:left w:val="single" w:sz="4" w:space="0" w:color="auto"/>
              <w:bottom w:val="single" w:sz="4" w:space="0" w:color="auto"/>
            </w:tcBorders>
            <w:vAlign w:val="bottom"/>
          </w:tcPr>
          <w:p w14:paraId="660F0793"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bottom w:val="single" w:sz="4" w:space="0" w:color="auto"/>
            </w:tcBorders>
            <w:vAlign w:val="bottom"/>
          </w:tcPr>
          <w:p w14:paraId="69A284BE"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Muy completo el plan de trabajo, materias muy completas y con maestros bastante preparados y con gran</w:t>
            </w:r>
            <w:r w:rsidR="00E2484C" w:rsidRPr="007923C2">
              <w:rPr>
                <w:rFonts w:ascii="Arial" w:hAnsi="Arial" w:cs="Arial"/>
                <w:sz w:val="22"/>
                <w:szCs w:val="22"/>
              </w:rPr>
              <w:t xml:space="preserve"> Experiencia</w:t>
            </w:r>
          </w:p>
        </w:tc>
      </w:tr>
      <w:tr w:rsidR="00CD1467" w:rsidRPr="007923C2" w14:paraId="3AFB28CF" w14:textId="77777777" w:rsidTr="00E2484C">
        <w:trPr>
          <w:trHeight w:val="185"/>
        </w:trPr>
        <w:tc>
          <w:tcPr>
            <w:tcW w:w="1120" w:type="dxa"/>
            <w:tcBorders>
              <w:top w:val="single" w:sz="4" w:space="0" w:color="auto"/>
              <w:bottom w:val="nil"/>
              <w:right w:val="single" w:sz="4" w:space="0" w:color="auto"/>
            </w:tcBorders>
            <w:vAlign w:val="bottom"/>
          </w:tcPr>
          <w:p w14:paraId="047891CE"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34</w:t>
            </w:r>
          </w:p>
        </w:tc>
        <w:tc>
          <w:tcPr>
            <w:tcW w:w="1381" w:type="dxa"/>
            <w:gridSpan w:val="2"/>
            <w:tcBorders>
              <w:top w:val="single" w:sz="4" w:space="0" w:color="auto"/>
              <w:left w:val="single" w:sz="4" w:space="0" w:color="auto"/>
              <w:bottom w:val="nil"/>
            </w:tcBorders>
            <w:vAlign w:val="bottom"/>
          </w:tcPr>
          <w:p w14:paraId="207E3B1E"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bottom w:val="nil"/>
            </w:tcBorders>
            <w:vAlign w:val="bottom"/>
          </w:tcPr>
          <w:p w14:paraId="25AEB8FB"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Los catedráticos bien con conocimientos y experiencia y el plan de estudios regular pues le hace falta más</w:t>
            </w:r>
          </w:p>
        </w:tc>
      </w:tr>
      <w:tr w:rsidR="00CD1467" w:rsidRPr="007923C2" w14:paraId="239E2E69" w14:textId="77777777" w:rsidTr="00E2484C">
        <w:trPr>
          <w:trHeight w:val="185"/>
        </w:trPr>
        <w:tc>
          <w:tcPr>
            <w:tcW w:w="1120" w:type="dxa"/>
            <w:tcBorders>
              <w:top w:val="nil"/>
              <w:bottom w:val="single" w:sz="4" w:space="0" w:color="auto"/>
              <w:right w:val="single" w:sz="4" w:space="0" w:color="auto"/>
            </w:tcBorders>
            <w:vAlign w:val="bottom"/>
          </w:tcPr>
          <w:p w14:paraId="50596CCF" w14:textId="77777777" w:rsidR="00CD1467" w:rsidRPr="007923C2" w:rsidRDefault="00CD1467" w:rsidP="00FC5373">
            <w:pPr>
              <w:widowControl w:val="0"/>
              <w:autoSpaceDE w:val="0"/>
              <w:autoSpaceDN w:val="0"/>
              <w:adjustRightInd w:val="0"/>
              <w:rPr>
                <w:rFonts w:ascii="Arial" w:hAnsi="Arial" w:cs="Arial"/>
                <w:sz w:val="22"/>
                <w:szCs w:val="22"/>
              </w:rPr>
            </w:pPr>
          </w:p>
        </w:tc>
        <w:tc>
          <w:tcPr>
            <w:tcW w:w="1381" w:type="dxa"/>
            <w:gridSpan w:val="2"/>
            <w:tcBorders>
              <w:top w:val="nil"/>
              <w:left w:val="single" w:sz="4" w:space="0" w:color="auto"/>
              <w:bottom w:val="single" w:sz="4" w:space="0" w:color="auto"/>
            </w:tcBorders>
            <w:vAlign w:val="bottom"/>
          </w:tcPr>
          <w:p w14:paraId="11B0125A" w14:textId="77777777" w:rsidR="00CD1467" w:rsidRPr="007923C2" w:rsidRDefault="00CD1467" w:rsidP="00FC5373">
            <w:pPr>
              <w:widowControl w:val="0"/>
              <w:autoSpaceDE w:val="0"/>
              <w:autoSpaceDN w:val="0"/>
              <w:adjustRightInd w:val="0"/>
              <w:rPr>
                <w:rFonts w:ascii="Arial" w:hAnsi="Arial" w:cs="Arial"/>
                <w:sz w:val="22"/>
                <w:szCs w:val="22"/>
              </w:rPr>
            </w:pPr>
          </w:p>
        </w:tc>
        <w:tc>
          <w:tcPr>
            <w:tcW w:w="6849" w:type="dxa"/>
            <w:gridSpan w:val="2"/>
            <w:tcBorders>
              <w:top w:val="nil"/>
              <w:bottom w:val="single" w:sz="4" w:space="0" w:color="auto"/>
            </w:tcBorders>
            <w:vAlign w:val="bottom"/>
          </w:tcPr>
          <w:p w14:paraId="2ABCAF4F" w14:textId="77777777"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enfoque objetivo en la profesión y le hace falta implementar mas prácticas de campo</w:t>
            </w:r>
          </w:p>
        </w:tc>
      </w:tr>
      <w:tr w:rsidR="00CD1467" w:rsidRPr="007923C2" w14:paraId="3AC8BA4E" w14:textId="77777777" w:rsidTr="00E2484C">
        <w:trPr>
          <w:trHeight w:val="182"/>
        </w:trPr>
        <w:tc>
          <w:tcPr>
            <w:tcW w:w="1120" w:type="dxa"/>
            <w:tcBorders>
              <w:top w:val="single" w:sz="4" w:space="0" w:color="auto"/>
              <w:bottom w:val="single" w:sz="4" w:space="0" w:color="auto"/>
              <w:right w:val="single" w:sz="4" w:space="0" w:color="auto"/>
            </w:tcBorders>
            <w:vAlign w:val="bottom"/>
          </w:tcPr>
          <w:p w14:paraId="06673B47" w14:textId="77777777"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35</w:t>
            </w:r>
          </w:p>
        </w:tc>
        <w:tc>
          <w:tcPr>
            <w:tcW w:w="1381" w:type="dxa"/>
            <w:gridSpan w:val="2"/>
            <w:tcBorders>
              <w:top w:val="single" w:sz="4" w:space="0" w:color="auto"/>
              <w:left w:val="single" w:sz="4" w:space="0" w:color="auto"/>
            </w:tcBorders>
            <w:vAlign w:val="bottom"/>
          </w:tcPr>
          <w:p w14:paraId="4159D10F" w14:textId="77777777"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tcBorders>
            <w:vAlign w:val="bottom"/>
          </w:tcPr>
          <w:p w14:paraId="2DB6041E" w14:textId="77777777"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Faltó mucha practica de campo, aunque tienen un semestre de campo, falta material de laboratorio</w:t>
            </w:r>
          </w:p>
        </w:tc>
      </w:tr>
    </w:tbl>
    <w:p w14:paraId="41A02025" w14:textId="77777777" w:rsidR="004220B7" w:rsidRPr="007923C2" w:rsidRDefault="004220B7" w:rsidP="004220B7">
      <w:pPr>
        <w:jc w:val="both"/>
        <w:rPr>
          <w:rFonts w:ascii="Arial" w:hAnsi="Arial" w:cs="Arial"/>
          <w:sz w:val="22"/>
          <w:szCs w:val="22"/>
        </w:rPr>
      </w:pPr>
    </w:p>
    <w:p w14:paraId="36FE152B" w14:textId="77777777" w:rsidR="00CD1467" w:rsidRPr="007923C2" w:rsidRDefault="00CD1467" w:rsidP="00CD1467">
      <w:pPr>
        <w:widowControl w:val="0"/>
        <w:autoSpaceDE w:val="0"/>
        <w:autoSpaceDN w:val="0"/>
        <w:adjustRightInd w:val="0"/>
        <w:spacing w:line="239" w:lineRule="auto"/>
        <w:rPr>
          <w:rFonts w:ascii="Arial" w:hAnsi="Arial" w:cs="Arial"/>
          <w:sz w:val="22"/>
          <w:szCs w:val="22"/>
        </w:rPr>
      </w:pPr>
      <w:r w:rsidRPr="007923C2">
        <w:rPr>
          <w:rFonts w:ascii="Arial" w:hAnsi="Arial" w:cs="Arial"/>
          <w:b/>
          <w:bCs/>
          <w:sz w:val="22"/>
          <w:szCs w:val="22"/>
        </w:rPr>
        <w:t>Principales fortalezas de los egresados</w:t>
      </w:r>
    </w:p>
    <w:p w14:paraId="4C7ED169" w14:textId="77777777" w:rsidR="00CD1467" w:rsidRPr="007923C2" w:rsidRDefault="00CD1467" w:rsidP="00CD1467">
      <w:pPr>
        <w:widowControl w:val="0"/>
        <w:overflowPunct w:val="0"/>
        <w:autoSpaceDE w:val="0"/>
        <w:autoSpaceDN w:val="0"/>
        <w:adjustRightInd w:val="0"/>
        <w:spacing w:line="229" w:lineRule="auto"/>
        <w:ind w:right="20"/>
        <w:jc w:val="both"/>
        <w:rPr>
          <w:rFonts w:ascii="Arial" w:hAnsi="Arial" w:cs="Arial"/>
          <w:sz w:val="22"/>
          <w:szCs w:val="22"/>
        </w:rPr>
      </w:pPr>
      <w:r w:rsidRPr="007923C2">
        <w:rPr>
          <w:rFonts w:ascii="Arial" w:hAnsi="Arial" w:cs="Arial"/>
          <w:b/>
          <w:bCs/>
          <w:sz w:val="22"/>
          <w:szCs w:val="22"/>
        </w:rPr>
        <w:t xml:space="preserve">34.3% </w:t>
      </w:r>
      <w:r w:rsidRPr="007923C2">
        <w:rPr>
          <w:rFonts w:ascii="Arial" w:hAnsi="Arial" w:cs="Arial"/>
          <w:sz w:val="22"/>
          <w:szCs w:val="22"/>
        </w:rPr>
        <w:t>de los entrevistados consideró como la principal fortaleza de los egresados</w:t>
      </w:r>
      <w:r w:rsidRPr="007923C2">
        <w:rPr>
          <w:rFonts w:ascii="Arial" w:hAnsi="Arial" w:cs="Arial"/>
          <w:b/>
          <w:bCs/>
          <w:sz w:val="22"/>
          <w:szCs w:val="22"/>
        </w:rPr>
        <w:t xml:space="preserve"> el prestigio de la UAAAN, </w:t>
      </w:r>
      <w:r w:rsidRPr="007923C2">
        <w:rPr>
          <w:rFonts w:ascii="Arial" w:hAnsi="Arial" w:cs="Arial"/>
          <w:sz w:val="22"/>
          <w:szCs w:val="22"/>
        </w:rPr>
        <w:t>25.7% considera la formación académica con la que egresan los estudiantes, 11.4% considera que es la actitud de servicio que tienen los egresados, 5.7% considera que es la versatilidad y adaptabilidad que tienen para cualquier tipo de trabajo y 5.7% considera que la realización de prácticas profesionales.</w:t>
      </w:r>
    </w:p>
    <w:tbl>
      <w:tblPr>
        <w:tblW w:w="9351" w:type="dxa"/>
        <w:tblCellMar>
          <w:left w:w="0" w:type="dxa"/>
          <w:right w:w="0" w:type="dxa"/>
        </w:tblCellMar>
        <w:tblLook w:val="0000" w:firstRow="0" w:lastRow="0" w:firstColumn="0" w:lastColumn="0" w:noHBand="0" w:noVBand="0"/>
      </w:tblPr>
      <w:tblGrid>
        <w:gridCol w:w="1271"/>
        <w:gridCol w:w="8080"/>
      </w:tblGrid>
      <w:tr w:rsidR="00546E09" w:rsidRPr="007923C2" w14:paraId="4408F0B5" w14:textId="77777777" w:rsidTr="004677D9">
        <w:trPr>
          <w:trHeight w:val="184"/>
        </w:trPr>
        <w:tc>
          <w:tcPr>
            <w:tcW w:w="1271" w:type="dxa"/>
            <w:tcBorders>
              <w:top w:val="single" w:sz="4" w:space="0" w:color="auto"/>
              <w:left w:val="single" w:sz="4" w:space="0" w:color="auto"/>
              <w:bottom w:val="single" w:sz="4" w:space="0" w:color="auto"/>
              <w:right w:val="single" w:sz="4" w:space="0" w:color="auto"/>
            </w:tcBorders>
            <w:vAlign w:val="bottom"/>
          </w:tcPr>
          <w:p w14:paraId="38348B3A" w14:textId="77777777" w:rsidR="00546E09" w:rsidRPr="007923C2" w:rsidRDefault="00546E09" w:rsidP="00546E09">
            <w:pPr>
              <w:widowControl w:val="0"/>
              <w:autoSpaceDE w:val="0"/>
              <w:autoSpaceDN w:val="0"/>
              <w:adjustRightInd w:val="0"/>
              <w:rPr>
                <w:rFonts w:ascii="Arial" w:hAnsi="Arial" w:cs="Arial"/>
                <w:sz w:val="22"/>
                <w:szCs w:val="22"/>
              </w:rPr>
            </w:pPr>
          </w:p>
        </w:tc>
        <w:tc>
          <w:tcPr>
            <w:tcW w:w="8080" w:type="dxa"/>
            <w:tcBorders>
              <w:top w:val="single" w:sz="4" w:space="0" w:color="auto"/>
              <w:left w:val="single" w:sz="4" w:space="0" w:color="auto"/>
              <w:bottom w:val="single" w:sz="4" w:space="0" w:color="auto"/>
              <w:right w:val="single" w:sz="4" w:space="0" w:color="auto"/>
            </w:tcBorders>
            <w:vAlign w:val="bottom"/>
          </w:tcPr>
          <w:p w14:paraId="52CE00FE" w14:textId="77777777" w:rsidR="00546E09" w:rsidRPr="007923C2" w:rsidRDefault="00546E09" w:rsidP="00546E09">
            <w:pPr>
              <w:widowControl w:val="0"/>
              <w:autoSpaceDE w:val="0"/>
              <w:autoSpaceDN w:val="0"/>
              <w:adjustRightInd w:val="0"/>
              <w:rPr>
                <w:rFonts w:ascii="Arial" w:hAnsi="Arial" w:cs="Arial"/>
                <w:sz w:val="22"/>
                <w:szCs w:val="22"/>
              </w:rPr>
            </w:pPr>
            <w:r w:rsidRPr="007923C2">
              <w:rPr>
                <w:rFonts w:ascii="Arial" w:hAnsi="Arial" w:cs="Arial"/>
                <w:b/>
                <w:bCs/>
                <w:sz w:val="22"/>
                <w:szCs w:val="22"/>
              </w:rPr>
              <w:t>Principales fortalezas de los egresados</w:t>
            </w:r>
          </w:p>
        </w:tc>
      </w:tr>
      <w:tr w:rsidR="00072704" w:rsidRPr="007923C2" w14:paraId="15630803" w14:textId="77777777" w:rsidTr="004677D9">
        <w:trPr>
          <w:trHeight w:val="238"/>
        </w:trPr>
        <w:tc>
          <w:tcPr>
            <w:tcW w:w="1271" w:type="dxa"/>
            <w:tcBorders>
              <w:top w:val="single" w:sz="4" w:space="0" w:color="auto"/>
              <w:left w:val="single" w:sz="4" w:space="0" w:color="auto"/>
              <w:bottom w:val="single" w:sz="4" w:space="0" w:color="auto"/>
              <w:right w:val="single" w:sz="4" w:space="0" w:color="auto"/>
            </w:tcBorders>
            <w:vAlign w:val="bottom"/>
          </w:tcPr>
          <w:p w14:paraId="260720D4"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w:t>
            </w:r>
          </w:p>
        </w:tc>
        <w:tc>
          <w:tcPr>
            <w:tcW w:w="8080" w:type="dxa"/>
            <w:tcBorders>
              <w:top w:val="single" w:sz="4" w:space="0" w:color="auto"/>
              <w:left w:val="single" w:sz="4" w:space="0" w:color="auto"/>
              <w:bottom w:val="single" w:sz="4" w:space="0" w:color="auto"/>
              <w:right w:val="single" w:sz="4" w:space="0" w:color="auto"/>
            </w:tcBorders>
            <w:vAlign w:val="bottom"/>
          </w:tcPr>
          <w:p w14:paraId="7A832D05"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Conocimientos muy bien cimentados porque la teoría es basta y concisa</w:t>
            </w:r>
          </w:p>
        </w:tc>
      </w:tr>
      <w:tr w:rsidR="00072704" w:rsidRPr="007923C2" w14:paraId="1B1C82AC"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133723D9"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w:t>
            </w:r>
          </w:p>
        </w:tc>
        <w:tc>
          <w:tcPr>
            <w:tcW w:w="8080" w:type="dxa"/>
            <w:tcBorders>
              <w:top w:val="single" w:sz="4" w:space="0" w:color="auto"/>
              <w:left w:val="single" w:sz="4" w:space="0" w:color="auto"/>
              <w:bottom w:val="single" w:sz="4" w:space="0" w:color="auto"/>
              <w:right w:val="single" w:sz="4" w:space="0" w:color="auto"/>
            </w:tcBorders>
            <w:vAlign w:val="bottom"/>
          </w:tcPr>
          <w:p w14:paraId="4566FD9E"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El prestigio de la Universidad</w:t>
            </w:r>
          </w:p>
        </w:tc>
      </w:tr>
      <w:tr w:rsidR="00072704" w:rsidRPr="007923C2" w14:paraId="1F0726AD" w14:textId="77777777" w:rsidTr="004677D9">
        <w:trPr>
          <w:trHeight w:val="182"/>
        </w:trPr>
        <w:tc>
          <w:tcPr>
            <w:tcW w:w="1271" w:type="dxa"/>
            <w:tcBorders>
              <w:top w:val="single" w:sz="4" w:space="0" w:color="auto"/>
              <w:left w:val="single" w:sz="4" w:space="0" w:color="auto"/>
              <w:bottom w:val="nil"/>
              <w:right w:val="single" w:sz="4" w:space="0" w:color="auto"/>
            </w:tcBorders>
            <w:vAlign w:val="bottom"/>
          </w:tcPr>
          <w:p w14:paraId="2FCDC605"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w:t>
            </w:r>
          </w:p>
        </w:tc>
        <w:tc>
          <w:tcPr>
            <w:tcW w:w="8080" w:type="dxa"/>
            <w:tcBorders>
              <w:top w:val="single" w:sz="4" w:space="0" w:color="auto"/>
              <w:left w:val="single" w:sz="4" w:space="0" w:color="auto"/>
              <w:bottom w:val="nil"/>
              <w:right w:val="single" w:sz="4" w:space="0" w:color="auto"/>
            </w:tcBorders>
            <w:vAlign w:val="bottom"/>
          </w:tcPr>
          <w:p w14:paraId="043276E0"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Prestigio y buen nombre de la universidad</w:t>
            </w:r>
            <w:r w:rsidR="004677D9" w:rsidRPr="007923C2">
              <w:rPr>
                <w:rFonts w:ascii="Arial" w:hAnsi="Arial" w:cs="Arial"/>
                <w:sz w:val="22"/>
                <w:szCs w:val="22"/>
              </w:rPr>
              <w:t>,</w:t>
            </w:r>
            <w:r w:rsidRPr="007923C2">
              <w:rPr>
                <w:rFonts w:ascii="Arial" w:hAnsi="Arial" w:cs="Arial"/>
                <w:sz w:val="22"/>
                <w:szCs w:val="22"/>
              </w:rPr>
              <w:t xml:space="preserve"> acostumbrados a trabajar bajo presión, mente analítica y de investigación</w:t>
            </w:r>
            <w:r w:rsidR="004677D9" w:rsidRPr="007923C2">
              <w:rPr>
                <w:rFonts w:ascii="Arial" w:hAnsi="Arial" w:cs="Arial"/>
                <w:sz w:val="22"/>
                <w:szCs w:val="22"/>
              </w:rPr>
              <w:t xml:space="preserve"> no temen al trabajo duro y pesado.</w:t>
            </w:r>
          </w:p>
        </w:tc>
      </w:tr>
      <w:tr w:rsidR="00072704" w:rsidRPr="007923C2" w14:paraId="1E6D3434"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70637045"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4</w:t>
            </w:r>
          </w:p>
        </w:tc>
        <w:tc>
          <w:tcPr>
            <w:tcW w:w="8080" w:type="dxa"/>
            <w:tcBorders>
              <w:top w:val="single" w:sz="4" w:space="0" w:color="auto"/>
              <w:left w:val="single" w:sz="4" w:space="0" w:color="auto"/>
              <w:bottom w:val="single" w:sz="4" w:space="0" w:color="auto"/>
              <w:right w:val="single" w:sz="4" w:space="0" w:color="auto"/>
            </w:tcBorders>
            <w:vAlign w:val="bottom"/>
          </w:tcPr>
          <w:p w14:paraId="31D6F477"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Reputación por buen nombre de la Universidad, no son conformistas, tratan de desarrollarse, mejor desempeño</w:t>
            </w:r>
          </w:p>
        </w:tc>
      </w:tr>
      <w:tr w:rsidR="00072704" w:rsidRPr="007923C2" w14:paraId="583AD769" w14:textId="77777777" w:rsidTr="004677D9">
        <w:trPr>
          <w:trHeight w:val="182"/>
        </w:trPr>
        <w:tc>
          <w:tcPr>
            <w:tcW w:w="1271" w:type="dxa"/>
            <w:tcBorders>
              <w:top w:val="single" w:sz="4" w:space="0" w:color="auto"/>
              <w:left w:val="single" w:sz="4" w:space="0" w:color="auto"/>
              <w:bottom w:val="nil"/>
              <w:right w:val="single" w:sz="4" w:space="0" w:color="auto"/>
            </w:tcBorders>
            <w:vAlign w:val="bottom"/>
          </w:tcPr>
          <w:p w14:paraId="5E78607E"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5</w:t>
            </w:r>
          </w:p>
        </w:tc>
        <w:tc>
          <w:tcPr>
            <w:tcW w:w="8080" w:type="dxa"/>
            <w:tcBorders>
              <w:top w:val="single" w:sz="4" w:space="0" w:color="auto"/>
              <w:left w:val="single" w:sz="4" w:space="0" w:color="auto"/>
              <w:bottom w:val="nil"/>
              <w:right w:val="single" w:sz="4" w:space="0" w:color="auto"/>
            </w:tcBorders>
            <w:vAlign w:val="bottom"/>
          </w:tcPr>
          <w:p w14:paraId="4B1AA50E"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Sus firmes conocimientos, El saber trabajar en equipo, Saber hablar y comunicarse con diferentes tipos de personas</w:t>
            </w:r>
            <w:r w:rsidR="004677D9" w:rsidRPr="007923C2">
              <w:rPr>
                <w:rFonts w:ascii="Arial" w:hAnsi="Arial" w:cs="Arial"/>
                <w:sz w:val="22"/>
                <w:szCs w:val="22"/>
              </w:rPr>
              <w:t xml:space="preserve"> equipo.</w:t>
            </w:r>
          </w:p>
        </w:tc>
      </w:tr>
      <w:tr w:rsidR="00072704" w:rsidRPr="007923C2" w14:paraId="62F3855E" w14:textId="77777777" w:rsidTr="004677D9">
        <w:trPr>
          <w:trHeight w:val="185"/>
        </w:trPr>
        <w:tc>
          <w:tcPr>
            <w:tcW w:w="1271" w:type="dxa"/>
            <w:tcBorders>
              <w:top w:val="single" w:sz="4" w:space="0" w:color="auto"/>
              <w:left w:val="single" w:sz="4" w:space="0" w:color="auto"/>
              <w:bottom w:val="nil"/>
              <w:right w:val="single" w:sz="4" w:space="0" w:color="auto"/>
            </w:tcBorders>
            <w:vAlign w:val="bottom"/>
          </w:tcPr>
          <w:p w14:paraId="6466C25D"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6</w:t>
            </w:r>
          </w:p>
        </w:tc>
        <w:tc>
          <w:tcPr>
            <w:tcW w:w="8080" w:type="dxa"/>
            <w:tcBorders>
              <w:top w:val="single" w:sz="4" w:space="0" w:color="auto"/>
              <w:left w:val="single" w:sz="4" w:space="0" w:color="auto"/>
              <w:bottom w:val="nil"/>
              <w:right w:val="single" w:sz="4" w:space="0" w:color="auto"/>
            </w:tcBorders>
            <w:vAlign w:val="bottom"/>
          </w:tcPr>
          <w:p w14:paraId="553B6737"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Prestigio de la Escuela, Conocimientos sólidos que hacen ser aceptados en empresas privadas o cualquiera de</w:t>
            </w:r>
            <w:r w:rsidR="004677D9" w:rsidRPr="007923C2">
              <w:rPr>
                <w:rFonts w:ascii="Arial" w:hAnsi="Arial" w:cs="Arial"/>
                <w:sz w:val="22"/>
                <w:szCs w:val="22"/>
              </w:rPr>
              <w:t xml:space="preserve"> Gobierno.</w:t>
            </w:r>
          </w:p>
        </w:tc>
      </w:tr>
      <w:tr w:rsidR="00072704" w:rsidRPr="007923C2" w14:paraId="1E5B8099"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33503F91"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7</w:t>
            </w:r>
          </w:p>
        </w:tc>
        <w:tc>
          <w:tcPr>
            <w:tcW w:w="8080" w:type="dxa"/>
            <w:tcBorders>
              <w:top w:val="single" w:sz="4" w:space="0" w:color="auto"/>
              <w:left w:val="single" w:sz="4" w:space="0" w:color="auto"/>
              <w:bottom w:val="single" w:sz="4" w:space="0" w:color="auto"/>
              <w:right w:val="single" w:sz="4" w:space="0" w:color="auto"/>
            </w:tcBorders>
            <w:vAlign w:val="bottom"/>
          </w:tcPr>
          <w:p w14:paraId="28A35E0A"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Liderazgo, Autosuficiente tiene mucho de emprendedor y si no consigue se crea un autoempleo</w:t>
            </w:r>
          </w:p>
        </w:tc>
      </w:tr>
      <w:tr w:rsidR="00072704" w:rsidRPr="007923C2" w14:paraId="57C0F401"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376134B1"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8</w:t>
            </w:r>
          </w:p>
        </w:tc>
        <w:tc>
          <w:tcPr>
            <w:tcW w:w="8080" w:type="dxa"/>
            <w:tcBorders>
              <w:top w:val="single" w:sz="4" w:space="0" w:color="auto"/>
              <w:left w:val="single" w:sz="4" w:space="0" w:color="auto"/>
              <w:bottom w:val="single" w:sz="4" w:space="0" w:color="auto"/>
              <w:right w:val="single" w:sz="4" w:space="0" w:color="auto"/>
            </w:tcBorders>
            <w:vAlign w:val="bottom"/>
          </w:tcPr>
          <w:p w14:paraId="272F2C3D"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Buenas referencias, buen perfil, buena imagen. No tienen temor al trabajo pesado de campo</w:t>
            </w:r>
          </w:p>
        </w:tc>
      </w:tr>
      <w:tr w:rsidR="00072704" w:rsidRPr="007923C2" w14:paraId="56690D61" w14:textId="77777777"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14:paraId="205DAE05"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9</w:t>
            </w:r>
          </w:p>
        </w:tc>
        <w:tc>
          <w:tcPr>
            <w:tcW w:w="8080" w:type="dxa"/>
            <w:tcBorders>
              <w:top w:val="single" w:sz="4" w:space="0" w:color="auto"/>
              <w:left w:val="single" w:sz="4" w:space="0" w:color="auto"/>
              <w:bottom w:val="single" w:sz="4" w:space="0" w:color="auto"/>
              <w:right w:val="single" w:sz="4" w:space="0" w:color="auto"/>
            </w:tcBorders>
            <w:vAlign w:val="bottom"/>
          </w:tcPr>
          <w:p w14:paraId="44E9BF9F"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El prestigio de la Escuela que hace que sean muy bien aceptados en cualquier parte donde soliciten un puesto</w:t>
            </w:r>
          </w:p>
        </w:tc>
      </w:tr>
      <w:tr w:rsidR="00072704" w:rsidRPr="007923C2" w14:paraId="744F65E3" w14:textId="77777777" w:rsidTr="004677D9">
        <w:trPr>
          <w:trHeight w:val="185"/>
        </w:trPr>
        <w:tc>
          <w:tcPr>
            <w:tcW w:w="1271" w:type="dxa"/>
            <w:tcBorders>
              <w:top w:val="single" w:sz="4" w:space="0" w:color="auto"/>
              <w:left w:val="single" w:sz="4" w:space="0" w:color="auto"/>
              <w:bottom w:val="nil"/>
              <w:right w:val="single" w:sz="4" w:space="0" w:color="auto"/>
            </w:tcBorders>
            <w:vAlign w:val="bottom"/>
          </w:tcPr>
          <w:p w14:paraId="17331B2E"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10</w:t>
            </w:r>
          </w:p>
        </w:tc>
        <w:tc>
          <w:tcPr>
            <w:tcW w:w="8080" w:type="dxa"/>
            <w:tcBorders>
              <w:top w:val="single" w:sz="4" w:space="0" w:color="auto"/>
              <w:left w:val="single" w:sz="4" w:space="0" w:color="auto"/>
              <w:bottom w:val="nil"/>
              <w:right w:val="single" w:sz="4" w:space="0" w:color="auto"/>
            </w:tcBorders>
            <w:vAlign w:val="bottom"/>
          </w:tcPr>
          <w:p w14:paraId="1EA67E7E"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La constante actualización de la base académica que de conocimientos actuales, Prestigio de la Escuela. Vinculación</w:t>
            </w:r>
            <w:r w:rsidR="004677D9" w:rsidRPr="007923C2">
              <w:rPr>
                <w:rFonts w:ascii="Arial" w:hAnsi="Arial" w:cs="Arial"/>
                <w:sz w:val="22"/>
                <w:szCs w:val="22"/>
              </w:rPr>
              <w:t xml:space="preserve"> de la Universidad con diferentes empresas.</w:t>
            </w:r>
          </w:p>
        </w:tc>
      </w:tr>
      <w:tr w:rsidR="00072704" w:rsidRPr="007923C2" w14:paraId="251880A5" w14:textId="77777777"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14:paraId="2504A58F"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11</w:t>
            </w:r>
          </w:p>
        </w:tc>
        <w:tc>
          <w:tcPr>
            <w:tcW w:w="8080" w:type="dxa"/>
            <w:tcBorders>
              <w:top w:val="single" w:sz="4" w:space="0" w:color="auto"/>
              <w:left w:val="single" w:sz="4" w:space="0" w:color="auto"/>
              <w:bottom w:val="single" w:sz="4" w:space="0" w:color="auto"/>
              <w:right w:val="single" w:sz="4" w:space="0" w:color="auto"/>
            </w:tcBorders>
            <w:vAlign w:val="bottom"/>
          </w:tcPr>
          <w:p w14:paraId="3E502E99"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Salen con conocimientos bastos y dominio de técnicas</w:t>
            </w:r>
          </w:p>
        </w:tc>
      </w:tr>
      <w:tr w:rsidR="00072704" w:rsidRPr="007923C2" w14:paraId="2F79876E"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380C0459"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Alumno 12</w:t>
            </w:r>
          </w:p>
        </w:tc>
        <w:tc>
          <w:tcPr>
            <w:tcW w:w="8080" w:type="dxa"/>
            <w:tcBorders>
              <w:top w:val="single" w:sz="4" w:space="0" w:color="auto"/>
              <w:left w:val="single" w:sz="4" w:space="0" w:color="auto"/>
              <w:bottom w:val="single" w:sz="4" w:space="0" w:color="auto"/>
              <w:right w:val="single" w:sz="4" w:space="0" w:color="auto"/>
            </w:tcBorders>
            <w:vAlign w:val="bottom"/>
          </w:tcPr>
          <w:p w14:paraId="400F8BF8"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Responsabilidad en el trabajo, Mucho empeño</w:t>
            </w:r>
          </w:p>
        </w:tc>
      </w:tr>
      <w:tr w:rsidR="00072704" w:rsidRPr="007923C2" w14:paraId="16B74E70"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644D54BC"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13</w:t>
            </w:r>
          </w:p>
        </w:tc>
        <w:tc>
          <w:tcPr>
            <w:tcW w:w="8080" w:type="dxa"/>
            <w:tcBorders>
              <w:top w:val="single" w:sz="4" w:space="0" w:color="auto"/>
              <w:left w:val="single" w:sz="4" w:space="0" w:color="auto"/>
              <w:bottom w:val="single" w:sz="4" w:space="0" w:color="auto"/>
              <w:right w:val="single" w:sz="4" w:space="0" w:color="auto"/>
            </w:tcBorders>
            <w:vAlign w:val="bottom"/>
          </w:tcPr>
          <w:p w14:paraId="05B89EF8"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Visión de superación, dedicados al beneficio de la comunidad y medio ambiente</w:t>
            </w:r>
          </w:p>
        </w:tc>
      </w:tr>
      <w:tr w:rsidR="00072704" w:rsidRPr="007923C2" w14:paraId="5C1B0ADA" w14:textId="77777777"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14:paraId="1148D6F6"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14</w:t>
            </w:r>
          </w:p>
        </w:tc>
        <w:tc>
          <w:tcPr>
            <w:tcW w:w="8080" w:type="dxa"/>
            <w:tcBorders>
              <w:top w:val="single" w:sz="4" w:space="0" w:color="auto"/>
              <w:left w:val="single" w:sz="4" w:space="0" w:color="auto"/>
              <w:bottom w:val="single" w:sz="4" w:space="0" w:color="auto"/>
              <w:right w:val="single" w:sz="4" w:space="0" w:color="auto"/>
            </w:tcBorders>
            <w:vAlign w:val="bottom"/>
          </w:tcPr>
          <w:p w14:paraId="326B5EA7"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Su versatilidad y capacidad para realizar con gran profesionalismo cualquier actividad relacionada con su profesión</w:t>
            </w:r>
          </w:p>
        </w:tc>
      </w:tr>
      <w:tr w:rsidR="00072704" w:rsidRPr="007923C2" w14:paraId="743A17E6"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147C3367"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15</w:t>
            </w:r>
          </w:p>
        </w:tc>
        <w:tc>
          <w:tcPr>
            <w:tcW w:w="8080" w:type="dxa"/>
            <w:tcBorders>
              <w:top w:val="single" w:sz="4" w:space="0" w:color="auto"/>
              <w:left w:val="single" w:sz="4" w:space="0" w:color="auto"/>
              <w:bottom w:val="single" w:sz="4" w:space="0" w:color="auto"/>
              <w:right w:val="single" w:sz="4" w:space="0" w:color="auto"/>
            </w:tcBorders>
            <w:vAlign w:val="bottom"/>
          </w:tcPr>
          <w:p w14:paraId="7BCCA099"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Su ahínco y dedicación, No temen al trabajo duro</w:t>
            </w:r>
          </w:p>
        </w:tc>
      </w:tr>
      <w:tr w:rsidR="00072704" w:rsidRPr="007923C2" w14:paraId="588D87A0"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73B3B861"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16</w:t>
            </w:r>
          </w:p>
        </w:tc>
        <w:tc>
          <w:tcPr>
            <w:tcW w:w="8080" w:type="dxa"/>
            <w:tcBorders>
              <w:top w:val="single" w:sz="4" w:space="0" w:color="auto"/>
              <w:left w:val="single" w:sz="4" w:space="0" w:color="auto"/>
              <w:bottom w:val="single" w:sz="4" w:space="0" w:color="auto"/>
              <w:right w:val="single" w:sz="4" w:space="0" w:color="auto"/>
            </w:tcBorders>
            <w:vAlign w:val="bottom"/>
          </w:tcPr>
          <w:p w14:paraId="50B55BBF"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prácticas profesionales, viajes de estancias</w:t>
            </w:r>
          </w:p>
        </w:tc>
      </w:tr>
      <w:tr w:rsidR="00072704" w:rsidRPr="007923C2" w14:paraId="08C9B31D" w14:textId="77777777"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14:paraId="4898EBC7"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17</w:t>
            </w:r>
          </w:p>
        </w:tc>
        <w:tc>
          <w:tcPr>
            <w:tcW w:w="8080" w:type="dxa"/>
            <w:tcBorders>
              <w:top w:val="single" w:sz="4" w:space="0" w:color="auto"/>
              <w:left w:val="single" w:sz="4" w:space="0" w:color="auto"/>
              <w:bottom w:val="single" w:sz="4" w:space="0" w:color="auto"/>
              <w:right w:val="single" w:sz="4" w:space="0" w:color="auto"/>
            </w:tcBorders>
            <w:vAlign w:val="bottom"/>
          </w:tcPr>
          <w:p w14:paraId="2D9A054A"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Buena preparación</w:t>
            </w:r>
          </w:p>
        </w:tc>
      </w:tr>
      <w:tr w:rsidR="00072704" w:rsidRPr="007923C2" w14:paraId="75D074AC"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3CE92119"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18</w:t>
            </w:r>
          </w:p>
        </w:tc>
        <w:tc>
          <w:tcPr>
            <w:tcW w:w="8080" w:type="dxa"/>
            <w:tcBorders>
              <w:top w:val="single" w:sz="4" w:space="0" w:color="auto"/>
              <w:left w:val="single" w:sz="4" w:space="0" w:color="auto"/>
              <w:bottom w:val="single" w:sz="4" w:space="0" w:color="auto"/>
              <w:right w:val="single" w:sz="4" w:space="0" w:color="auto"/>
            </w:tcBorders>
            <w:vAlign w:val="bottom"/>
          </w:tcPr>
          <w:p w14:paraId="56A79373"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no dijo nada</w:t>
            </w:r>
          </w:p>
        </w:tc>
      </w:tr>
      <w:tr w:rsidR="00072704" w:rsidRPr="007923C2" w14:paraId="453BE531"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5918D8C7"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19</w:t>
            </w:r>
          </w:p>
        </w:tc>
        <w:tc>
          <w:tcPr>
            <w:tcW w:w="8080" w:type="dxa"/>
            <w:tcBorders>
              <w:top w:val="single" w:sz="4" w:space="0" w:color="auto"/>
              <w:left w:val="single" w:sz="4" w:space="0" w:color="auto"/>
              <w:bottom w:val="single" w:sz="4" w:space="0" w:color="auto"/>
              <w:right w:val="single" w:sz="4" w:space="0" w:color="auto"/>
            </w:tcBorders>
            <w:vAlign w:val="bottom"/>
          </w:tcPr>
          <w:p w14:paraId="29413285"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Las prácticas, el equipo de laboratorio, los buenos maestros salen bien preparados</w:t>
            </w:r>
          </w:p>
        </w:tc>
      </w:tr>
      <w:tr w:rsidR="00072704" w:rsidRPr="007923C2" w14:paraId="41EE034E" w14:textId="77777777"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14:paraId="25D47094"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20</w:t>
            </w:r>
          </w:p>
        </w:tc>
        <w:tc>
          <w:tcPr>
            <w:tcW w:w="8080" w:type="dxa"/>
            <w:tcBorders>
              <w:top w:val="single" w:sz="4" w:space="0" w:color="auto"/>
              <w:left w:val="single" w:sz="4" w:space="0" w:color="auto"/>
              <w:bottom w:val="single" w:sz="4" w:space="0" w:color="auto"/>
              <w:right w:val="single" w:sz="4" w:space="0" w:color="auto"/>
            </w:tcBorders>
            <w:vAlign w:val="bottom"/>
          </w:tcPr>
          <w:p w14:paraId="61EFA732"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Tenemos buena preparación académica</w:t>
            </w:r>
          </w:p>
        </w:tc>
      </w:tr>
      <w:tr w:rsidR="00072704" w:rsidRPr="007923C2" w14:paraId="2530536F"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63018E84"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21</w:t>
            </w:r>
          </w:p>
        </w:tc>
        <w:tc>
          <w:tcPr>
            <w:tcW w:w="8080" w:type="dxa"/>
            <w:tcBorders>
              <w:top w:val="single" w:sz="4" w:space="0" w:color="auto"/>
              <w:left w:val="single" w:sz="4" w:space="0" w:color="auto"/>
              <w:bottom w:val="single" w:sz="4" w:space="0" w:color="auto"/>
              <w:right w:val="single" w:sz="4" w:space="0" w:color="auto"/>
            </w:tcBorders>
            <w:vAlign w:val="bottom"/>
          </w:tcPr>
          <w:p w14:paraId="4DC54D39"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No contestó</w:t>
            </w:r>
          </w:p>
        </w:tc>
      </w:tr>
      <w:tr w:rsidR="00072704" w:rsidRPr="007923C2" w14:paraId="465A23F6"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49FD86FD"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22</w:t>
            </w:r>
          </w:p>
        </w:tc>
        <w:tc>
          <w:tcPr>
            <w:tcW w:w="8080" w:type="dxa"/>
            <w:tcBorders>
              <w:top w:val="single" w:sz="4" w:space="0" w:color="auto"/>
              <w:left w:val="single" w:sz="4" w:space="0" w:color="auto"/>
              <w:bottom w:val="single" w:sz="4" w:space="0" w:color="auto"/>
              <w:right w:val="single" w:sz="4" w:space="0" w:color="auto"/>
            </w:tcBorders>
            <w:vAlign w:val="bottom"/>
          </w:tcPr>
          <w:p w14:paraId="1E30848F"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Salimos  de una escuela  excelente</w:t>
            </w:r>
          </w:p>
        </w:tc>
      </w:tr>
      <w:tr w:rsidR="00072704" w:rsidRPr="007923C2" w14:paraId="5B589610" w14:textId="77777777"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14:paraId="0B226F2F"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23</w:t>
            </w:r>
          </w:p>
        </w:tc>
        <w:tc>
          <w:tcPr>
            <w:tcW w:w="8080" w:type="dxa"/>
            <w:tcBorders>
              <w:top w:val="single" w:sz="4" w:space="0" w:color="auto"/>
              <w:left w:val="single" w:sz="4" w:space="0" w:color="auto"/>
              <w:bottom w:val="single" w:sz="4" w:space="0" w:color="auto"/>
              <w:right w:val="single" w:sz="4" w:space="0" w:color="auto"/>
            </w:tcBorders>
            <w:vAlign w:val="bottom"/>
          </w:tcPr>
          <w:p w14:paraId="4310173F"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Salen bien preparados</w:t>
            </w:r>
          </w:p>
        </w:tc>
      </w:tr>
      <w:tr w:rsidR="00072704" w:rsidRPr="007923C2" w14:paraId="7F624DDA"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7081DD45"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24</w:t>
            </w:r>
          </w:p>
        </w:tc>
        <w:tc>
          <w:tcPr>
            <w:tcW w:w="8080" w:type="dxa"/>
            <w:tcBorders>
              <w:top w:val="single" w:sz="4" w:space="0" w:color="auto"/>
              <w:left w:val="single" w:sz="4" w:space="0" w:color="auto"/>
              <w:bottom w:val="single" w:sz="4" w:space="0" w:color="auto"/>
              <w:right w:val="single" w:sz="4" w:space="0" w:color="auto"/>
            </w:tcBorders>
            <w:vAlign w:val="bottom"/>
          </w:tcPr>
          <w:p w14:paraId="41128AC4"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Bien preparados</w:t>
            </w:r>
          </w:p>
        </w:tc>
      </w:tr>
      <w:tr w:rsidR="00072704" w:rsidRPr="007923C2" w14:paraId="73D936F1"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79519D6D"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25</w:t>
            </w:r>
          </w:p>
        </w:tc>
        <w:tc>
          <w:tcPr>
            <w:tcW w:w="8080" w:type="dxa"/>
            <w:tcBorders>
              <w:top w:val="single" w:sz="4" w:space="0" w:color="auto"/>
              <w:left w:val="single" w:sz="4" w:space="0" w:color="auto"/>
              <w:bottom w:val="single" w:sz="4" w:space="0" w:color="auto"/>
              <w:right w:val="single" w:sz="4" w:space="0" w:color="auto"/>
            </w:tcBorders>
            <w:vAlign w:val="bottom"/>
          </w:tcPr>
          <w:p w14:paraId="4B115AE7"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prestigio de la Institución y no le temen al trabajo duro</w:t>
            </w:r>
          </w:p>
        </w:tc>
      </w:tr>
      <w:tr w:rsidR="00072704" w:rsidRPr="007923C2" w14:paraId="096D7FE5" w14:textId="77777777"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14:paraId="6F1DB262"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26</w:t>
            </w:r>
          </w:p>
        </w:tc>
        <w:tc>
          <w:tcPr>
            <w:tcW w:w="8080" w:type="dxa"/>
            <w:tcBorders>
              <w:top w:val="single" w:sz="4" w:space="0" w:color="auto"/>
              <w:left w:val="single" w:sz="4" w:space="0" w:color="auto"/>
              <w:bottom w:val="single" w:sz="4" w:space="0" w:color="auto"/>
              <w:right w:val="single" w:sz="4" w:space="0" w:color="auto"/>
            </w:tcBorders>
            <w:vAlign w:val="bottom"/>
          </w:tcPr>
          <w:p w14:paraId="61515D19"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El prestigio de la Universidad que los avala como conocedores a conciencia de las materias de su profesión</w:t>
            </w:r>
          </w:p>
        </w:tc>
      </w:tr>
      <w:tr w:rsidR="00072704" w:rsidRPr="007923C2" w14:paraId="6691D650"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48D038AD"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27</w:t>
            </w:r>
          </w:p>
        </w:tc>
        <w:tc>
          <w:tcPr>
            <w:tcW w:w="8080" w:type="dxa"/>
            <w:tcBorders>
              <w:top w:val="single" w:sz="4" w:space="0" w:color="auto"/>
              <w:left w:val="single" w:sz="4" w:space="0" w:color="auto"/>
              <w:bottom w:val="single" w:sz="4" w:space="0" w:color="auto"/>
              <w:right w:val="single" w:sz="4" w:space="0" w:color="auto"/>
            </w:tcBorders>
            <w:vAlign w:val="bottom"/>
          </w:tcPr>
          <w:p w14:paraId="771B1F6F"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El prestigio de la Universidad</w:t>
            </w:r>
          </w:p>
        </w:tc>
      </w:tr>
      <w:tr w:rsidR="00072704" w:rsidRPr="007923C2" w14:paraId="37199613" w14:textId="77777777" w:rsidTr="004677D9">
        <w:trPr>
          <w:trHeight w:val="185"/>
        </w:trPr>
        <w:tc>
          <w:tcPr>
            <w:tcW w:w="1271" w:type="dxa"/>
            <w:tcBorders>
              <w:top w:val="single" w:sz="4" w:space="0" w:color="auto"/>
              <w:left w:val="single" w:sz="4" w:space="0" w:color="auto"/>
              <w:bottom w:val="nil"/>
              <w:right w:val="single" w:sz="4" w:space="0" w:color="auto"/>
            </w:tcBorders>
            <w:vAlign w:val="bottom"/>
          </w:tcPr>
          <w:p w14:paraId="03D7B7F9"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28</w:t>
            </w:r>
          </w:p>
        </w:tc>
        <w:tc>
          <w:tcPr>
            <w:tcW w:w="8080" w:type="dxa"/>
            <w:tcBorders>
              <w:top w:val="single" w:sz="4" w:space="0" w:color="auto"/>
              <w:left w:val="single" w:sz="4" w:space="0" w:color="auto"/>
              <w:bottom w:val="nil"/>
              <w:right w:val="single" w:sz="4" w:space="0" w:color="auto"/>
            </w:tcBorders>
            <w:vAlign w:val="bottom"/>
          </w:tcPr>
          <w:p w14:paraId="05B97712"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Somos  muy  entrones,  cualquier  trabajo  lo  adoptamos  sin  temor  alguno.  Tenemos  iniciativa  para  mejorar  las </w:t>
            </w:r>
            <w:r w:rsidR="004677D9" w:rsidRPr="007923C2">
              <w:rPr>
                <w:rFonts w:ascii="Arial" w:hAnsi="Arial" w:cs="Arial"/>
                <w:sz w:val="22"/>
                <w:szCs w:val="22"/>
              </w:rPr>
              <w:t>metodologias</w:t>
            </w:r>
          </w:p>
        </w:tc>
      </w:tr>
      <w:tr w:rsidR="00072704" w:rsidRPr="007923C2" w14:paraId="743EC325"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6B9F3B01"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29</w:t>
            </w:r>
          </w:p>
        </w:tc>
        <w:tc>
          <w:tcPr>
            <w:tcW w:w="8080" w:type="dxa"/>
            <w:tcBorders>
              <w:top w:val="single" w:sz="4" w:space="0" w:color="auto"/>
              <w:left w:val="single" w:sz="4" w:space="0" w:color="auto"/>
              <w:bottom w:val="single" w:sz="4" w:space="0" w:color="auto"/>
              <w:right w:val="single" w:sz="4" w:space="0" w:color="auto"/>
            </w:tcBorders>
            <w:vAlign w:val="bottom"/>
          </w:tcPr>
          <w:p w14:paraId="56A788FA"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La actitud y el orgullo que da salir de la Narro. Casi no hay competencia y hay mucha oportunidad de trabajo</w:t>
            </w:r>
          </w:p>
        </w:tc>
      </w:tr>
      <w:tr w:rsidR="00072704" w:rsidRPr="007923C2" w14:paraId="08B77B09"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26D16AF6"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30</w:t>
            </w:r>
          </w:p>
        </w:tc>
        <w:tc>
          <w:tcPr>
            <w:tcW w:w="8080" w:type="dxa"/>
            <w:tcBorders>
              <w:top w:val="single" w:sz="4" w:space="0" w:color="auto"/>
              <w:left w:val="single" w:sz="4" w:space="0" w:color="auto"/>
              <w:bottom w:val="single" w:sz="4" w:space="0" w:color="auto"/>
              <w:right w:val="single" w:sz="4" w:space="0" w:color="auto"/>
            </w:tcBorders>
            <w:vAlign w:val="bottom"/>
          </w:tcPr>
          <w:p w14:paraId="4B013768"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Sus conocimientos muy sólidos y bastante bien cimentados</w:t>
            </w:r>
          </w:p>
        </w:tc>
      </w:tr>
      <w:tr w:rsidR="00072704" w:rsidRPr="007923C2" w14:paraId="7464251C" w14:textId="77777777"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14:paraId="01F7AB1E"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31</w:t>
            </w:r>
          </w:p>
        </w:tc>
        <w:tc>
          <w:tcPr>
            <w:tcW w:w="8080" w:type="dxa"/>
            <w:tcBorders>
              <w:top w:val="single" w:sz="4" w:space="0" w:color="auto"/>
              <w:left w:val="single" w:sz="4" w:space="0" w:color="auto"/>
              <w:bottom w:val="single" w:sz="4" w:space="0" w:color="auto"/>
              <w:right w:val="single" w:sz="4" w:space="0" w:color="auto"/>
            </w:tcBorders>
            <w:vAlign w:val="bottom"/>
          </w:tcPr>
          <w:p w14:paraId="156C3CC6"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El prestigio de la Universidad Narro</w:t>
            </w:r>
          </w:p>
        </w:tc>
      </w:tr>
      <w:tr w:rsidR="00072704" w:rsidRPr="007923C2" w14:paraId="2E2CDFE8"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40F0A852"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32</w:t>
            </w:r>
          </w:p>
        </w:tc>
        <w:tc>
          <w:tcPr>
            <w:tcW w:w="8080" w:type="dxa"/>
            <w:tcBorders>
              <w:top w:val="single" w:sz="4" w:space="0" w:color="auto"/>
              <w:left w:val="single" w:sz="4" w:space="0" w:color="auto"/>
              <w:bottom w:val="single" w:sz="4" w:space="0" w:color="auto"/>
              <w:right w:val="single" w:sz="4" w:space="0" w:color="auto"/>
            </w:tcBorders>
            <w:vAlign w:val="bottom"/>
          </w:tcPr>
          <w:p w14:paraId="6B762315"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Son trabajadores de campo, técnicos y mas agrónomos</w:t>
            </w:r>
          </w:p>
        </w:tc>
      </w:tr>
      <w:tr w:rsidR="00072704" w:rsidRPr="007923C2" w14:paraId="505BCC13"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0A9683C1"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33</w:t>
            </w:r>
          </w:p>
        </w:tc>
        <w:tc>
          <w:tcPr>
            <w:tcW w:w="8080" w:type="dxa"/>
            <w:tcBorders>
              <w:top w:val="single" w:sz="4" w:space="0" w:color="auto"/>
              <w:left w:val="single" w:sz="4" w:space="0" w:color="auto"/>
              <w:bottom w:val="single" w:sz="4" w:space="0" w:color="auto"/>
              <w:right w:val="single" w:sz="4" w:space="0" w:color="auto"/>
            </w:tcBorders>
            <w:vAlign w:val="bottom"/>
          </w:tcPr>
          <w:p w14:paraId="4B4926A1" w14:textId="77777777"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Su gran preparación técnica, su coraje y espíritu contra la adversidad</w:t>
            </w:r>
          </w:p>
        </w:tc>
      </w:tr>
      <w:tr w:rsidR="00072704" w:rsidRPr="007923C2" w14:paraId="4E9D6F74" w14:textId="77777777"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14:paraId="6CB0C9B8"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34</w:t>
            </w:r>
          </w:p>
        </w:tc>
        <w:tc>
          <w:tcPr>
            <w:tcW w:w="8080" w:type="dxa"/>
            <w:tcBorders>
              <w:top w:val="single" w:sz="4" w:space="0" w:color="auto"/>
              <w:left w:val="single" w:sz="4" w:space="0" w:color="auto"/>
              <w:bottom w:val="single" w:sz="4" w:space="0" w:color="auto"/>
              <w:right w:val="single" w:sz="4" w:space="0" w:color="auto"/>
            </w:tcBorders>
            <w:vAlign w:val="bottom"/>
          </w:tcPr>
          <w:p w14:paraId="5537895C" w14:textId="77777777"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Su actitud positiva ante el trabajo sus conocimientos bien aprendidos, su entrega integral</w:t>
            </w:r>
          </w:p>
        </w:tc>
      </w:tr>
      <w:tr w:rsidR="00072704" w:rsidRPr="007923C2" w14:paraId="288BB060" w14:textId="77777777"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14:paraId="08C9979A" w14:textId="77777777" w:rsidR="005A4B04" w:rsidRPr="007923C2" w:rsidRDefault="005A4B04" w:rsidP="00FC5373">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35</w:t>
            </w:r>
          </w:p>
        </w:tc>
        <w:tc>
          <w:tcPr>
            <w:tcW w:w="8080" w:type="dxa"/>
            <w:tcBorders>
              <w:top w:val="single" w:sz="4" w:space="0" w:color="auto"/>
              <w:left w:val="single" w:sz="4" w:space="0" w:color="auto"/>
              <w:bottom w:val="single" w:sz="4" w:space="0" w:color="auto"/>
              <w:right w:val="single" w:sz="4" w:space="0" w:color="auto"/>
            </w:tcBorders>
            <w:vAlign w:val="bottom"/>
          </w:tcPr>
          <w:p w14:paraId="38C995FC" w14:textId="77777777" w:rsidR="005A4B04" w:rsidRPr="007923C2" w:rsidRDefault="005A4B04" w:rsidP="00FC5373">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Ser egresado de La Narro es la mejor Universidad agrícola agropecuaria del país el prestigio y los docentes</w:t>
            </w:r>
          </w:p>
        </w:tc>
      </w:tr>
    </w:tbl>
    <w:p w14:paraId="11FA25D3" w14:textId="77777777" w:rsidR="00F03B5F" w:rsidRPr="007923C2" w:rsidRDefault="00F03B5F" w:rsidP="00072704">
      <w:pPr>
        <w:widowControl w:val="0"/>
        <w:autoSpaceDE w:val="0"/>
        <w:autoSpaceDN w:val="0"/>
        <w:adjustRightInd w:val="0"/>
        <w:spacing w:line="239" w:lineRule="auto"/>
        <w:rPr>
          <w:rFonts w:ascii="Arial" w:hAnsi="Arial" w:cs="Arial"/>
          <w:b/>
          <w:bCs/>
          <w:sz w:val="22"/>
          <w:szCs w:val="22"/>
        </w:rPr>
      </w:pPr>
    </w:p>
    <w:p w14:paraId="4489C60D" w14:textId="77777777" w:rsidR="00072704" w:rsidRPr="007923C2" w:rsidRDefault="00072704" w:rsidP="00072704">
      <w:pPr>
        <w:widowControl w:val="0"/>
        <w:autoSpaceDE w:val="0"/>
        <w:autoSpaceDN w:val="0"/>
        <w:adjustRightInd w:val="0"/>
        <w:spacing w:line="239" w:lineRule="auto"/>
        <w:rPr>
          <w:rFonts w:ascii="Arial" w:hAnsi="Arial" w:cs="Arial"/>
          <w:sz w:val="22"/>
          <w:szCs w:val="22"/>
        </w:rPr>
      </w:pPr>
      <w:r w:rsidRPr="007923C2">
        <w:rPr>
          <w:rFonts w:ascii="Arial" w:hAnsi="Arial" w:cs="Arial"/>
          <w:b/>
          <w:bCs/>
          <w:sz w:val="22"/>
          <w:szCs w:val="22"/>
        </w:rPr>
        <w:t>Principales debilidades de los egresados</w:t>
      </w:r>
    </w:p>
    <w:p w14:paraId="747FB59D" w14:textId="77777777" w:rsidR="00072704" w:rsidRPr="007923C2" w:rsidRDefault="00072704" w:rsidP="001E0F56">
      <w:pPr>
        <w:widowControl w:val="0"/>
        <w:autoSpaceDE w:val="0"/>
        <w:autoSpaceDN w:val="0"/>
        <w:adjustRightInd w:val="0"/>
        <w:spacing w:line="239" w:lineRule="auto"/>
        <w:jc w:val="both"/>
        <w:rPr>
          <w:rFonts w:ascii="Arial" w:hAnsi="Arial" w:cs="Arial"/>
          <w:sz w:val="22"/>
          <w:szCs w:val="22"/>
        </w:rPr>
      </w:pPr>
      <w:r w:rsidRPr="007923C2">
        <w:rPr>
          <w:rFonts w:ascii="Arial" w:hAnsi="Arial" w:cs="Arial"/>
          <w:sz w:val="22"/>
          <w:szCs w:val="22"/>
        </w:rPr>
        <w:t>Según los entrevistados la principal debilidad que tienen los egresados en orden de importancia son:</w:t>
      </w:r>
      <w:r w:rsidRPr="007923C2">
        <w:rPr>
          <w:rFonts w:ascii="Arial" w:hAnsi="Arial" w:cs="Arial"/>
          <w:b/>
          <w:bCs/>
          <w:sz w:val="22"/>
          <w:szCs w:val="22"/>
        </w:rPr>
        <w:t xml:space="preserve">45.7% </w:t>
      </w:r>
      <w:r w:rsidRPr="007923C2">
        <w:rPr>
          <w:rFonts w:ascii="Arial" w:hAnsi="Arial" w:cs="Arial"/>
          <w:sz w:val="22"/>
          <w:szCs w:val="22"/>
        </w:rPr>
        <w:t>de los egresados considera que la</w:t>
      </w:r>
      <w:r w:rsidRPr="007923C2">
        <w:rPr>
          <w:rFonts w:ascii="Arial" w:hAnsi="Arial" w:cs="Arial"/>
          <w:b/>
          <w:bCs/>
          <w:sz w:val="22"/>
          <w:szCs w:val="22"/>
        </w:rPr>
        <w:t xml:space="preserve"> falta de prácticas </w:t>
      </w:r>
      <w:r w:rsidRPr="007923C2">
        <w:rPr>
          <w:rFonts w:ascii="Arial" w:hAnsi="Arial" w:cs="Arial"/>
          <w:sz w:val="22"/>
          <w:szCs w:val="22"/>
        </w:rPr>
        <w:t xml:space="preserve">que provoca que tengan poca experiencia encampo es la principal debilidad que tienen los egresados, 14.3% considera que la comunicación es una debilidad importante, 11.4% considera que existen materias que no incluye la carreras que las hace faltan en el mercado laboral y un 5.7% considera  la falta de Inglés la principal </w:t>
      </w:r>
      <w:r w:rsidRPr="007923C2">
        <w:rPr>
          <w:rFonts w:ascii="Arial" w:hAnsi="Arial" w:cs="Arial"/>
          <w:sz w:val="22"/>
          <w:szCs w:val="22"/>
        </w:rPr>
        <w:lastRenderedPageBreak/>
        <w:t>debilidad.</w:t>
      </w:r>
    </w:p>
    <w:p w14:paraId="62674085" w14:textId="77777777" w:rsidR="00072704" w:rsidRPr="007923C2" w:rsidRDefault="00072704" w:rsidP="00072704">
      <w:pPr>
        <w:widowControl w:val="0"/>
        <w:autoSpaceDE w:val="0"/>
        <w:autoSpaceDN w:val="0"/>
        <w:adjustRightInd w:val="0"/>
        <w:spacing w:line="231" w:lineRule="exact"/>
        <w:rPr>
          <w:rFonts w:ascii="Arial" w:hAnsi="Arial" w:cs="Arial"/>
          <w:sz w:val="22"/>
          <w:szCs w:val="22"/>
        </w:rPr>
      </w:pPr>
    </w:p>
    <w:tbl>
      <w:tblPr>
        <w:tblW w:w="10280" w:type="dxa"/>
        <w:tblInd w:w="-210" w:type="dxa"/>
        <w:tblLayout w:type="fixed"/>
        <w:tblCellMar>
          <w:left w:w="0" w:type="dxa"/>
          <w:right w:w="0" w:type="dxa"/>
        </w:tblCellMar>
        <w:tblLook w:val="0000" w:firstRow="0" w:lastRow="0" w:firstColumn="0" w:lastColumn="0" w:noHBand="0" w:noVBand="0"/>
      </w:tblPr>
      <w:tblGrid>
        <w:gridCol w:w="733"/>
        <w:gridCol w:w="404"/>
        <w:gridCol w:w="269"/>
        <w:gridCol w:w="298"/>
        <w:gridCol w:w="3544"/>
        <w:gridCol w:w="298"/>
        <w:gridCol w:w="403"/>
        <w:gridCol w:w="962"/>
        <w:gridCol w:w="2489"/>
        <w:gridCol w:w="30"/>
        <w:gridCol w:w="850"/>
      </w:tblGrid>
      <w:tr w:rsidR="00295B33" w:rsidRPr="007923C2" w14:paraId="38202C7E" w14:textId="77777777" w:rsidTr="00295B33">
        <w:trPr>
          <w:gridAfter w:val="1"/>
          <w:wAfter w:w="850" w:type="dxa"/>
          <w:trHeight w:val="245"/>
        </w:trPr>
        <w:tc>
          <w:tcPr>
            <w:tcW w:w="733" w:type="dxa"/>
            <w:tcBorders>
              <w:top w:val="single" w:sz="4" w:space="0" w:color="auto"/>
              <w:left w:val="single" w:sz="4" w:space="0" w:color="auto"/>
              <w:bottom w:val="single" w:sz="4" w:space="0" w:color="auto"/>
            </w:tcBorders>
            <w:vAlign w:val="bottom"/>
          </w:tcPr>
          <w:p w14:paraId="2E230B27" w14:textId="77777777" w:rsidR="00072704" w:rsidRPr="007923C2" w:rsidRDefault="00072704" w:rsidP="00FC5373">
            <w:pPr>
              <w:widowControl w:val="0"/>
              <w:autoSpaceDE w:val="0"/>
              <w:autoSpaceDN w:val="0"/>
              <w:adjustRightInd w:val="0"/>
              <w:rPr>
                <w:rFonts w:ascii="Arial" w:hAnsi="Arial" w:cs="Arial"/>
                <w:sz w:val="22"/>
                <w:szCs w:val="22"/>
              </w:rPr>
            </w:pPr>
          </w:p>
        </w:tc>
        <w:tc>
          <w:tcPr>
            <w:tcW w:w="4515" w:type="dxa"/>
            <w:gridSpan w:val="4"/>
            <w:tcBorders>
              <w:top w:val="single" w:sz="4" w:space="0" w:color="auto"/>
              <w:bottom w:val="single" w:sz="4" w:space="0" w:color="auto"/>
              <w:right w:val="single" w:sz="4" w:space="0" w:color="auto"/>
            </w:tcBorders>
            <w:vAlign w:val="bottom"/>
          </w:tcPr>
          <w:p w14:paraId="116FB309" w14:textId="77777777" w:rsidR="00072704" w:rsidRPr="007923C2" w:rsidRDefault="00072704" w:rsidP="00FC5373">
            <w:pPr>
              <w:widowControl w:val="0"/>
              <w:autoSpaceDE w:val="0"/>
              <w:autoSpaceDN w:val="0"/>
              <w:adjustRightInd w:val="0"/>
              <w:spacing w:line="229" w:lineRule="exact"/>
              <w:rPr>
                <w:rFonts w:ascii="Arial" w:hAnsi="Arial" w:cs="Arial"/>
                <w:sz w:val="22"/>
                <w:szCs w:val="22"/>
              </w:rPr>
            </w:pPr>
            <w:r w:rsidRPr="007923C2">
              <w:rPr>
                <w:rFonts w:ascii="Arial" w:hAnsi="Arial" w:cs="Arial"/>
                <w:sz w:val="22"/>
                <w:szCs w:val="22"/>
              </w:rPr>
              <w:t>Experiencia en Campo</w:t>
            </w:r>
          </w:p>
        </w:tc>
        <w:tc>
          <w:tcPr>
            <w:tcW w:w="4182" w:type="dxa"/>
            <w:gridSpan w:val="5"/>
            <w:tcBorders>
              <w:top w:val="single" w:sz="4" w:space="0" w:color="auto"/>
              <w:left w:val="single" w:sz="4" w:space="0" w:color="auto"/>
              <w:bottom w:val="single" w:sz="4" w:space="0" w:color="auto"/>
              <w:right w:val="single" w:sz="4" w:space="0" w:color="auto"/>
            </w:tcBorders>
            <w:vAlign w:val="bottom"/>
          </w:tcPr>
          <w:p w14:paraId="053407E9" w14:textId="77777777" w:rsidR="00072704" w:rsidRPr="007923C2" w:rsidRDefault="00072704" w:rsidP="00307BE8">
            <w:pPr>
              <w:widowControl w:val="0"/>
              <w:autoSpaceDE w:val="0"/>
              <w:autoSpaceDN w:val="0"/>
              <w:adjustRightInd w:val="0"/>
              <w:spacing w:line="229" w:lineRule="exact"/>
              <w:jc w:val="center"/>
              <w:rPr>
                <w:rFonts w:ascii="Arial" w:hAnsi="Arial" w:cs="Arial"/>
                <w:sz w:val="22"/>
                <w:szCs w:val="22"/>
              </w:rPr>
            </w:pPr>
            <w:r w:rsidRPr="007923C2">
              <w:rPr>
                <w:rFonts w:ascii="Arial" w:hAnsi="Arial" w:cs="Arial"/>
                <w:sz w:val="22"/>
                <w:szCs w:val="22"/>
              </w:rPr>
              <w:t>16</w:t>
            </w:r>
          </w:p>
        </w:tc>
      </w:tr>
      <w:tr w:rsidR="00072704" w:rsidRPr="007923C2" w14:paraId="7BE55A54" w14:textId="77777777" w:rsidTr="00295B33">
        <w:trPr>
          <w:gridAfter w:val="1"/>
          <w:wAfter w:w="850" w:type="dxa"/>
          <w:trHeight w:val="245"/>
        </w:trPr>
        <w:tc>
          <w:tcPr>
            <w:tcW w:w="5248" w:type="dxa"/>
            <w:gridSpan w:val="5"/>
            <w:tcBorders>
              <w:top w:val="single" w:sz="4" w:space="0" w:color="auto"/>
              <w:left w:val="single" w:sz="4" w:space="0" w:color="auto"/>
              <w:bottom w:val="single" w:sz="4" w:space="0" w:color="auto"/>
              <w:right w:val="single" w:sz="4" w:space="0" w:color="auto"/>
            </w:tcBorders>
            <w:vAlign w:val="bottom"/>
          </w:tcPr>
          <w:p w14:paraId="4557B61D" w14:textId="77777777" w:rsidR="00072704" w:rsidRPr="007923C2" w:rsidRDefault="00072704" w:rsidP="00FC5373">
            <w:pPr>
              <w:widowControl w:val="0"/>
              <w:autoSpaceDE w:val="0"/>
              <w:autoSpaceDN w:val="0"/>
              <w:adjustRightInd w:val="0"/>
              <w:spacing w:line="244" w:lineRule="exact"/>
              <w:rPr>
                <w:rFonts w:ascii="Arial" w:hAnsi="Arial" w:cs="Arial"/>
                <w:sz w:val="22"/>
                <w:szCs w:val="22"/>
              </w:rPr>
            </w:pPr>
            <w:r w:rsidRPr="007923C2">
              <w:rPr>
                <w:rFonts w:ascii="Arial" w:hAnsi="Arial" w:cs="Arial"/>
                <w:sz w:val="22"/>
                <w:szCs w:val="22"/>
              </w:rPr>
              <w:t xml:space="preserve">  Personas tímidas batallan para relacionarse</w:t>
            </w:r>
          </w:p>
        </w:tc>
        <w:tc>
          <w:tcPr>
            <w:tcW w:w="4182" w:type="dxa"/>
            <w:gridSpan w:val="5"/>
            <w:tcBorders>
              <w:top w:val="single" w:sz="4" w:space="0" w:color="auto"/>
              <w:left w:val="single" w:sz="4" w:space="0" w:color="auto"/>
              <w:bottom w:val="single" w:sz="4" w:space="0" w:color="auto"/>
              <w:right w:val="single" w:sz="4" w:space="0" w:color="auto"/>
            </w:tcBorders>
            <w:vAlign w:val="bottom"/>
          </w:tcPr>
          <w:p w14:paraId="50F2564B" w14:textId="77777777" w:rsidR="00072704" w:rsidRPr="007923C2" w:rsidRDefault="00072704" w:rsidP="00307BE8">
            <w:pPr>
              <w:widowControl w:val="0"/>
              <w:autoSpaceDE w:val="0"/>
              <w:autoSpaceDN w:val="0"/>
              <w:adjustRightInd w:val="0"/>
              <w:spacing w:line="229" w:lineRule="exact"/>
              <w:jc w:val="center"/>
              <w:rPr>
                <w:rFonts w:ascii="Arial" w:hAnsi="Arial" w:cs="Arial"/>
                <w:sz w:val="22"/>
                <w:szCs w:val="22"/>
              </w:rPr>
            </w:pPr>
            <w:r w:rsidRPr="007923C2">
              <w:rPr>
                <w:rFonts w:ascii="Arial" w:hAnsi="Arial" w:cs="Arial"/>
                <w:sz w:val="22"/>
                <w:szCs w:val="22"/>
              </w:rPr>
              <w:t>5</w:t>
            </w:r>
          </w:p>
        </w:tc>
      </w:tr>
      <w:tr w:rsidR="00072704" w:rsidRPr="007923C2" w14:paraId="7C210338" w14:textId="77777777" w:rsidTr="00295B33">
        <w:trPr>
          <w:gridAfter w:val="1"/>
          <w:wAfter w:w="850" w:type="dxa"/>
          <w:trHeight w:val="242"/>
        </w:trPr>
        <w:tc>
          <w:tcPr>
            <w:tcW w:w="5248" w:type="dxa"/>
            <w:gridSpan w:val="5"/>
            <w:tcBorders>
              <w:top w:val="single" w:sz="4" w:space="0" w:color="auto"/>
              <w:left w:val="single" w:sz="4" w:space="0" w:color="auto"/>
              <w:bottom w:val="single" w:sz="4" w:space="0" w:color="auto"/>
              <w:right w:val="single" w:sz="4" w:space="0" w:color="auto"/>
            </w:tcBorders>
            <w:vAlign w:val="bottom"/>
          </w:tcPr>
          <w:p w14:paraId="28C7359D" w14:textId="77777777" w:rsidR="00072704" w:rsidRPr="007923C2" w:rsidRDefault="00072704" w:rsidP="00FC5373">
            <w:pPr>
              <w:widowControl w:val="0"/>
              <w:autoSpaceDE w:val="0"/>
              <w:autoSpaceDN w:val="0"/>
              <w:adjustRightInd w:val="0"/>
              <w:spacing w:line="242" w:lineRule="exact"/>
              <w:rPr>
                <w:rFonts w:ascii="Arial" w:hAnsi="Arial" w:cs="Arial"/>
                <w:sz w:val="22"/>
                <w:szCs w:val="22"/>
              </w:rPr>
            </w:pPr>
            <w:r w:rsidRPr="007923C2">
              <w:rPr>
                <w:rFonts w:ascii="Arial" w:hAnsi="Arial" w:cs="Arial"/>
                <w:sz w:val="22"/>
                <w:szCs w:val="22"/>
              </w:rPr>
              <w:t xml:space="preserve">  Falta de conocimiento en algunas materias</w:t>
            </w:r>
          </w:p>
        </w:tc>
        <w:tc>
          <w:tcPr>
            <w:tcW w:w="4182" w:type="dxa"/>
            <w:gridSpan w:val="5"/>
            <w:tcBorders>
              <w:top w:val="single" w:sz="4" w:space="0" w:color="auto"/>
              <w:left w:val="single" w:sz="4" w:space="0" w:color="auto"/>
              <w:bottom w:val="single" w:sz="4" w:space="0" w:color="auto"/>
              <w:right w:val="single" w:sz="4" w:space="0" w:color="auto"/>
            </w:tcBorders>
            <w:vAlign w:val="bottom"/>
          </w:tcPr>
          <w:p w14:paraId="7D608D7E" w14:textId="77777777" w:rsidR="00072704" w:rsidRPr="007923C2" w:rsidRDefault="00072704" w:rsidP="00307BE8">
            <w:pPr>
              <w:widowControl w:val="0"/>
              <w:autoSpaceDE w:val="0"/>
              <w:autoSpaceDN w:val="0"/>
              <w:adjustRightInd w:val="0"/>
              <w:spacing w:line="229" w:lineRule="exact"/>
              <w:jc w:val="center"/>
              <w:rPr>
                <w:rFonts w:ascii="Arial" w:hAnsi="Arial" w:cs="Arial"/>
                <w:sz w:val="22"/>
                <w:szCs w:val="22"/>
              </w:rPr>
            </w:pPr>
            <w:r w:rsidRPr="007923C2">
              <w:rPr>
                <w:rFonts w:ascii="Arial" w:hAnsi="Arial" w:cs="Arial"/>
                <w:sz w:val="22"/>
                <w:szCs w:val="22"/>
              </w:rPr>
              <w:t>4</w:t>
            </w:r>
          </w:p>
        </w:tc>
      </w:tr>
      <w:tr w:rsidR="00072704" w:rsidRPr="007923C2" w14:paraId="552A451F" w14:textId="77777777" w:rsidTr="00295B33">
        <w:trPr>
          <w:gridAfter w:val="1"/>
          <w:wAfter w:w="850" w:type="dxa"/>
          <w:trHeight w:val="245"/>
        </w:trPr>
        <w:tc>
          <w:tcPr>
            <w:tcW w:w="733" w:type="dxa"/>
            <w:tcBorders>
              <w:top w:val="single" w:sz="4" w:space="0" w:color="auto"/>
              <w:left w:val="single" w:sz="4" w:space="0" w:color="auto"/>
              <w:bottom w:val="single" w:sz="4" w:space="0" w:color="auto"/>
              <w:right w:val="nil"/>
            </w:tcBorders>
            <w:vAlign w:val="bottom"/>
          </w:tcPr>
          <w:p w14:paraId="198583A4" w14:textId="77777777" w:rsidR="00072704" w:rsidRPr="007923C2" w:rsidRDefault="00072704" w:rsidP="00FC5373">
            <w:pPr>
              <w:widowControl w:val="0"/>
              <w:autoSpaceDE w:val="0"/>
              <w:autoSpaceDN w:val="0"/>
              <w:adjustRightInd w:val="0"/>
              <w:spacing w:line="244" w:lineRule="exact"/>
              <w:rPr>
                <w:rFonts w:ascii="Arial" w:hAnsi="Arial" w:cs="Arial"/>
                <w:sz w:val="22"/>
                <w:szCs w:val="22"/>
              </w:rPr>
            </w:pPr>
          </w:p>
        </w:tc>
        <w:tc>
          <w:tcPr>
            <w:tcW w:w="4515" w:type="dxa"/>
            <w:gridSpan w:val="4"/>
            <w:tcBorders>
              <w:top w:val="single" w:sz="4" w:space="0" w:color="auto"/>
              <w:left w:val="nil"/>
              <w:bottom w:val="single" w:sz="4" w:space="0" w:color="auto"/>
              <w:right w:val="single" w:sz="4" w:space="0" w:color="auto"/>
            </w:tcBorders>
            <w:vAlign w:val="bottom"/>
          </w:tcPr>
          <w:p w14:paraId="3217EDA4" w14:textId="77777777" w:rsidR="00072704" w:rsidRPr="007923C2" w:rsidRDefault="00072704" w:rsidP="00FC5373">
            <w:pPr>
              <w:widowControl w:val="0"/>
              <w:autoSpaceDE w:val="0"/>
              <w:autoSpaceDN w:val="0"/>
              <w:adjustRightInd w:val="0"/>
              <w:spacing w:line="229" w:lineRule="exact"/>
              <w:rPr>
                <w:rFonts w:ascii="Arial" w:hAnsi="Arial" w:cs="Arial"/>
                <w:sz w:val="22"/>
                <w:szCs w:val="22"/>
              </w:rPr>
            </w:pPr>
            <w:r w:rsidRPr="007923C2">
              <w:rPr>
                <w:rFonts w:ascii="Arial" w:hAnsi="Arial" w:cs="Arial"/>
                <w:sz w:val="22"/>
                <w:szCs w:val="22"/>
              </w:rPr>
              <w:t>Falta de Inglés</w:t>
            </w:r>
          </w:p>
        </w:tc>
        <w:tc>
          <w:tcPr>
            <w:tcW w:w="4182" w:type="dxa"/>
            <w:gridSpan w:val="5"/>
            <w:tcBorders>
              <w:top w:val="single" w:sz="4" w:space="0" w:color="auto"/>
              <w:left w:val="single" w:sz="4" w:space="0" w:color="auto"/>
              <w:bottom w:val="single" w:sz="4" w:space="0" w:color="auto"/>
              <w:right w:val="single" w:sz="4" w:space="0" w:color="auto"/>
            </w:tcBorders>
            <w:vAlign w:val="bottom"/>
          </w:tcPr>
          <w:p w14:paraId="5B0475DB" w14:textId="77777777" w:rsidR="00072704" w:rsidRPr="007923C2" w:rsidRDefault="00072704" w:rsidP="00307BE8">
            <w:pPr>
              <w:widowControl w:val="0"/>
              <w:autoSpaceDE w:val="0"/>
              <w:autoSpaceDN w:val="0"/>
              <w:adjustRightInd w:val="0"/>
              <w:spacing w:line="229" w:lineRule="exact"/>
              <w:jc w:val="center"/>
              <w:rPr>
                <w:rFonts w:ascii="Arial" w:hAnsi="Arial" w:cs="Arial"/>
                <w:sz w:val="22"/>
                <w:szCs w:val="22"/>
              </w:rPr>
            </w:pPr>
            <w:r w:rsidRPr="007923C2">
              <w:rPr>
                <w:rFonts w:ascii="Arial" w:hAnsi="Arial" w:cs="Arial"/>
                <w:sz w:val="22"/>
                <w:szCs w:val="22"/>
              </w:rPr>
              <w:t>2</w:t>
            </w:r>
          </w:p>
        </w:tc>
      </w:tr>
      <w:tr w:rsidR="00295B33" w:rsidRPr="007923C2" w14:paraId="15283690" w14:textId="77777777" w:rsidTr="00295B33">
        <w:trPr>
          <w:gridAfter w:val="1"/>
          <w:wAfter w:w="850" w:type="dxa"/>
          <w:trHeight w:val="242"/>
        </w:trPr>
        <w:tc>
          <w:tcPr>
            <w:tcW w:w="733" w:type="dxa"/>
            <w:tcBorders>
              <w:top w:val="single" w:sz="4" w:space="0" w:color="auto"/>
              <w:left w:val="single" w:sz="4" w:space="0" w:color="auto"/>
              <w:bottom w:val="single" w:sz="4" w:space="0" w:color="auto"/>
              <w:right w:val="nil"/>
            </w:tcBorders>
            <w:vAlign w:val="bottom"/>
          </w:tcPr>
          <w:p w14:paraId="51AAAC0C" w14:textId="77777777" w:rsidR="00072704" w:rsidRPr="007923C2" w:rsidRDefault="00072704" w:rsidP="00FC5373">
            <w:pPr>
              <w:widowControl w:val="0"/>
              <w:autoSpaceDE w:val="0"/>
              <w:autoSpaceDN w:val="0"/>
              <w:adjustRightInd w:val="0"/>
              <w:spacing w:line="242" w:lineRule="exact"/>
              <w:rPr>
                <w:rFonts w:ascii="Arial" w:hAnsi="Arial" w:cs="Arial"/>
                <w:sz w:val="22"/>
                <w:szCs w:val="22"/>
              </w:rPr>
            </w:pPr>
          </w:p>
        </w:tc>
        <w:tc>
          <w:tcPr>
            <w:tcW w:w="673" w:type="dxa"/>
            <w:gridSpan w:val="2"/>
            <w:tcBorders>
              <w:top w:val="single" w:sz="4" w:space="0" w:color="auto"/>
              <w:left w:val="nil"/>
              <w:bottom w:val="single" w:sz="4" w:space="0" w:color="auto"/>
              <w:right w:val="nil"/>
            </w:tcBorders>
            <w:vAlign w:val="bottom"/>
          </w:tcPr>
          <w:p w14:paraId="1B9736E2" w14:textId="77777777" w:rsidR="00072704" w:rsidRPr="007923C2" w:rsidRDefault="00072704" w:rsidP="00FC5373">
            <w:pPr>
              <w:widowControl w:val="0"/>
              <w:autoSpaceDE w:val="0"/>
              <w:autoSpaceDN w:val="0"/>
              <w:adjustRightInd w:val="0"/>
              <w:spacing w:line="229" w:lineRule="exact"/>
              <w:rPr>
                <w:rFonts w:ascii="Arial" w:hAnsi="Arial" w:cs="Arial"/>
                <w:sz w:val="22"/>
                <w:szCs w:val="22"/>
              </w:rPr>
            </w:pPr>
            <w:r w:rsidRPr="007923C2">
              <w:rPr>
                <w:rFonts w:ascii="Arial" w:hAnsi="Arial" w:cs="Arial"/>
                <w:sz w:val="22"/>
                <w:szCs w:val="22"/>
              </w:rPr>
              <w:t>Otras</w:t>
            </w:r>
          </w:p>
        </w:tc>
        <w:tc>
          <w:tcPr>
            <w:tcW w:w="3842" w:type="dxa"/>
            <w:gridSpan w:val="2"/>
            <w:tcBorders>
              <w:top w:val="single" w:sz="4" w:space="0" w:color="auto"/>
              <w:left w:val="nil"/>
              <w:bottom w:val="single" w:sz="4" w:space="0" w:color="auto"/>
              <w:right w:val="single" w:sz="4" w:space="0" w:color="auto"/>
            </w:tcBorders>
            <w:vAlign w:val="bottom"/>
          </w:tcPr>
          <w:p w14:paraId="13212C82" w14:textId="77777777" w:rsidR="00072704" w:rsidRPr="007923C2" w:rsidRDefault="00072704" w:rsidP="00FC5373">
            <w:pPr>
              <w:widowControl w:val="0"/>
              <w:autoSpaceDE w:val="0"/>
              <w:autoSpaceDN w:val="0"/>
              <w:adjustRightInd w:val="0"/>
              <w:rPr>
                <w:rFonts w:ascii="Arial" w:hAnsi="Arial" w:cs="Arial"/>
                <w:sz w:val="22"/>
                <w:szCs w:val="22"/>
              </w:rPr>
            </w:pPr>
          </w:p>
        </w:tc>
        <w:tc>
          <w:tcPr>
            <w:tcW w:w="4182" w:type="dxa"/>
            <w:gridSpan w:val="5"/>
            <w:tcBorders>
              <w:top w:val="single" w:sz="4" w:space="0" w:color="auto"/>
              <w:left w:val="single" w:sz="4" w:space="0" w:color="auto"/>
              <w:bottom w:val="single" w:sz="4" w:space="0" w:color="auto"/>
              <w:right w:val="single" w:sz="4" w:space="0" w:color="auto"/>
            </w:tcBorders>
            <w:vAlign w:val="bottom"/>
          </w:tcPr>
          <w:p w14:paraId="7AB537BD" w14:textId="77777777" w:rsidR="00072704" w:rsidRPr="007923C2" w:rsidRDefault="00072704" w:rsidP="00307BE8">
            <w:pPr>
              <w:widowControl w:val="0"/>
              <w:autoSpaceDE w:val="0"/>
              <w:autoSpaceDN w:val="0"/>
              <w:adjustRightInd w:val="0"/>
              <w:spacing w:line="229" w:lineRule="exact"/>
              <w:jc w:val="center"/>
              <w:rPr>
                <w:rFonts w:ascii="Arial" w:hAnsi="Arial" w:cs="Arial"/>
                <w:sz w:val="22"/>
                <w:szCs w:val="22"/>
              </w:rPr>
            </w:pPr>
            <w:r w:rsidRPr="007923C2">
              <w:rPr>
                <w:rFonts w:ascii="Arial" w:hAnsi="Arial" w:cs="Arial"/>
                <w:sz w:val="22"/>
                <w:szCs w:val="22"/>
              </w:rPr>
              <w:t>8</w:t>
            </w:r>
          </w:p>
        </w:tc>
      </w:tr>
      <w:tr w:rsidR="00307BE8" w:rsidRPr="007923C2" w14:paraId="05A1C2DF" w14:textId="77777777" w:rsidTr="00295B33">
        <w:trPr>
          <w:gridAfter w:val="1"/>
          <w:wAfter w:w="850" w:type="dxa"/>
          <w:trHeight w:val="242"/>
        </w:trPr>
        <w:tc>
          <w:tcPr>
            <w:tcW w:w="733" w:type="dxa"/>
            <w:tcBorders>
              <w:top w:val="single" w:sz="4" w:space="0" w:color="auto"/>
              <w:right w:val="nil"/>
            </w:tcBorders>
            <w:vAlign w:val="bottom"/>
          </w:tcPr>
          <w:p w14:paraId="42C1F12D" w14:textId="77777777" w:rsidR="001E0F56" w:rsidRPr="007923C2" w:rsidRDefault="001E0F56" w:rsidP="00D15A0E">
            <w:pPr>
              <w:widowControl w:val="0"/>
              <w:autoSpaceDE w:val="0"/>
              <w:autoSpaceDN w:val="0"/>
              <w:adjustRightInd w:val="0"/>
              <w:spacing w:line="242" w:lineRule="exact"/>
              <w:rPr>
                <w:rFonts w:ascii="Arial" w:hAnsi="Arial" w:cs="Arial"/>
                <w:sz w:val="22"/>
                <w:szCs w:val="22"/>
              </w:rPr>
            </w:pPr>
          </w:p>
        </w:tc>
        <w:tc>
          <w:tcPr>
            <w:tcW w:w="673" w:type="dxa"/>
            <w:gridSpan w:val="2"/>
            <w:tcBorders>
              <w:top w:val="single" w:sz="4" w:space="0" w:color="auto"/>
              <w:left w:val="nil"/>
              <w:right w:val="nil"/>
            </w:tcBorders>
            <w:vAlign w:val="bottom"/>
          </w:tcPr>
          <w:p w14:paraId="254E3466" w14:textId="77777777" w:rsidR="001E0F56" w:rsidRPr="007923C2" w:rsidRDefault="001E0F56" w:rsidP="00D15A0E">
            <w:pPr>
              <w:widowControl w:val="0"/>
              <w:autoSpaceDE w:val="0"/>
              <w:autoSpaceDN w:val="0"/>
              <w:adjustRightInd w:val="0"/>
              <w:spacing w:line="229" w:lineRule="exact"/>
              <w:rPr>
                <w:rFonts w:ascii="Arial" w:hAnsi="Arial" w:cs="Arial"/>
                <w:sz w:val="22"/>
                <w:szCs w:val="22"/>
              </w:rPr>
            </w:pPr>
          </w:p>
        </w:tc>
        <w:tc>
          <w:tcPr>
            <w:tcW w:w="3842" w:type="dxa"/>
            <w:gridSpan w:val="2"/>
            <w:tcBorders>
              <w:top w:val="single" w:sz="4" w:space="0" w:color="auto"/>
              <w:left w:val="nil"/>
              <w:right w:val="nil"/>
            </w:tcBorders>
            <w:vAlign w:val="bottom"/>
          </w:tcPr>
          <w:p w14:paraId="443CF9DB" w14:textId="77777777" w:rsidR="001E0F56" w:rsidRDefault="001E0F56" w:rsidP="00D15A0E">
            <w:pPr>
              <w:widowControl w:val="0"/>
              <w:autoSpaceDE w:val="0"/>
              <w:autoSpaceDN w:val="0"/>
              <w:adjustRightInd w:val="0"/>
              <w:rPr>
                <w:rFonts w:ascii="Arial" w:hAnsi="Arial" w:cs="Arial"/>
                <w:sz w:val="22"/>
                <w:szCs w:val="22"/>
              </w:rPr>
            </w:pPr>
          </w:p>
          <w:p w14:paraId="724A275D" w14:textId="77777777" w:rsidR="00973738" w:rsidRPr="007923C2" w:rsidRDefault="00973738" w:rsidP="00D15A0E">
            <w:pPr>
              <w:widowControl w:val="0"/>
              <w:autoSpaceDE w:val="0"/>
              <w:autoSpaceDN w:val="0"/>
              <w:adjustRightInd w:val="0"/>
              <w:rPr>
                <w:rFonts w:ascii="Arial" w:hAnsi="Arial" w:cs="Arial"/>
                <w:sz w:val="22"/>
                <w:szCs w:val="22"/>
              </w:rPr>
            </w:pPr>
          </w:p>
        </w:tc>
        <w:tc>
          <w:tcPr>
            <w:tcW w:w="4182" w:type="dxa"/>
            <w:gridSpan w:val="5"/>
            <w:tcBorders>
              <w:top w:val="single" w:sz="4" w:space="0" w:color="auto"/>
              <w:left w:val="nil"/>
            </w:tcBorders>
            <w:vAlign w:val="bottom"/>
          </w:tcPr>
          <w:p w14:paraId="21D50EB4" w14:textId="77777777" w:rsidR="001E0F56" w:rsidRPr="007923C2" w:rsidRDefault="001E0F56" w:rsidP="00307BE8">
            <w:pPr>
              <w:widowControl w:val="0"/>
              <w:autoSpaceDE w:val="0"/>
              <w:autoSpaceDN w:val="0"/>
              <w:adjustRightInd w:val="0"/>
              <w:spacing w:line="229" w:lineRule="exact"/>
              <w:jc w:val="center"/>
              <w:rPr>
                <w:rFonts w:ascii="Arial" w:hAnsi="Arial" w:cs="Arial"/>
                <w:sz w:val="22"/>
                <w:szCs w:val="22"/>
              </w:rPr>
            </w:pPr>
          </w:p>
        </w:tc>
      </w:tr>
      <w:tr w:rsidR="00E36673" w:rsidRPr="007923C2" w14:paraId="4C496FED" w14:textId="77777777" w:rsidTr="00295B33">
        <w:trPr>
          <w:gridAfter w:val="1"/>
          <w:wAfter w:w="850" w:type="dxa"/>
          <w:trHeight w:val="835"/>
        </w:trPr>
        <w:tc>
          <w:tcPr>
            <w:tcW w:w="733" w:type="dxa"/>
            <w:tcBorders>
              <w:top w:val="single" w:sz="4" w:space="0" w:color="auto"/>
              <w:left w:val="single" w:sz="4" w:space="0" w:color="auto"/>
              <w:bottom w:val="single" w:sz="4" w:space="0" w:color="auto"/>
              <w:right w:val="nil"/>
            </w:tcBorders>
            <w:vAlign w:val="bottom"/>
          </w:tcPr>
          <w:p w14:paraId="29BD9052" w14:textId="77777777" w:rsidR="00072704" w:rsidRPr="007923C2" w:rsidRDefault="00307BE8" w:rsidP="00FC5373">
            <w:pPr>
              <w:widowControl w:val="0"/>
              <w:autoSpaceDE w:val="0"/>
              <w:autoSpaceDN w:val="0"/>
              <w:adjustRightInd w:val="0"/>
              <w:rPr>
                <w:rFonts w:ascii="Arial" w:hAnsi="Arial" w:cs="Arial"/>
                <w:sz w:val="22"/>
                <w:szCs w:val="22"/>
              </w:rPr>
            </w:pPr>
            <w:r w:rsidRPr="007923C2">
              <w:rPr>
                <w:rFonts w:ascii="Arial" w:hAnsi="Arial" w:cs="Arial"/>
                <w:b/>
                <w:bCs/>
                <w:w w:val="94"/>
                <w:sz w:val="22"/>
                <w:szCs w:val="22"/>
              </w:rPr>
              <w:t>C</w:t>
            </w:r>
            <w:r w:rsidR="00072704" w:rsidRPr="007923C2">
              <w:rPr>
                <w:rFonts w:ascii="Arial" w:hAnsi="Arial" w:cs="Arial"/>
                <w:b/>
                <w:bCs/>
                <w:w w:val="94"/>
                <w:sz w:val="22"/>
                <w:szCs w:val="22"/>
              </w:rPr>
              <w:t xml:space="preserve">lave 1 </w:t>
            </w:r>
          </w:p>
        </w:tc>
        <w:tc>
          <w:tcPr>
            <w:tcW w:w="971" w:type="dxa"/>
            <w:gridSpan w:val="3"/>
            <w:tcBorders>
              <w:top w:val="single" w:sz="4" w:space="0" w:color="auto"/>
              <w:left w:val="nil"/>
              <w:bottom w:val="single" w:sz="4" w:space="0" w:color="auto"/>
              <w:right w:val="single" w:sz="4" w:space="0" w:color="auto"/>
            </w:tcBorders>
            <w:vAlign w:val="bottom"/>
          </w:tcPr>
          <w:p w14:paraId="6856732D" w14:textId="77777777" w:rsidR="001E0F56" w:rsidRPr="007923C2" w:rsidRDefault="001E0F56" w:rsidP="00FC5373">
            <w:pPr>
              <w:widowControl w:val="0"/>
              <w:autoSpaceDE w:val="0"/>
              <w:autoSpaceDN w:val="0"/>
              <w:adjustRightInd w:val="0"/>
              <w:rPr>
                <w:rFonts w:ascii="Arial" w:hAnsi="Arial" w:cs="Arial"/>
                <w:sz w:val="22"/>
                <w:szCs w:val="22"/>
              </w:rPr>
            </w:pPr>
          </w:p>
          <w:p w14:paraId="578D79EF" w14:textId="77777777" w:rsidR="001E0F56" w:rsidRPr="007923C2" w:rsidRDefault="001E0F56" w:rsidP="00FC5373">
            <w:pPr>
              <w:widowControl w:val="0"/>
              <w:autoSpaceDE w:val="0"/>
              <w:autoSpaceDN w:val="0"/>
              <w:adjustRightInd w:val="0"/>
              <w:rPr>
                <w:rFonts w:ascii="Arial" w:hAnsi="Arial" w:cs="Arial"/>
                <w:sz w:val="22"/>
                <w:szCs w:val="22"/>
              </w:rPr>
            </w:pPr>
          </w:p>
        </w:tc>
        <w:tc>
          <w:tcPr>
            <w:tcW w:w="3842" w:type="dxa"/>
            <w:gridSpan w:val="2"/>
            <w:tcBorders>
              <w:top w:val="single" w:sz="4" w:space="0" w:color="auto"/>
              <w:left w:val="single" w:sz="4" w:space="0" w:color="auto"/>
              <w:bottom w:val="single" w:sz="4" w:space="0" w:color="auto"/>
              <w:right w:val="nil"/>
            </w:tcBorders>
            <w:vAlign w:val="bottom"/>
          </w:tcPr>
          <w:p w14:paraId="698BB7F0" w14:textId="77777777" w:rsidR="00072704" w:rsidRPr="007923C2" w:rsidRDefault="00072704" w:rsidP="00307BE8">
            <w:pPr>
              <w:widowControl w:val="0"/>
              <w:autoSpaceDE w:val="0"/>
              <w:autoSpaceDN w:val="0"/>
              <w:adjustRightInd w:val="0"/>
              <w:jc w:val="center"/>
              <w:rPr>
                <w:rFonts w:ascii="Arial" w:hAnsi="Arial" w:cs="Arial"/>
                <w:sz w:val="22"/>
                <w:szCs w:val="22"/>
              </w:rPr>
            </w:pPr>
            <w:r w:rsidRPr="007923C2">
              <w:rPr>
                <w:rFonts w:ascii="Arial" w:hAnsi="Arial" w:cs="Arial"/>
                <w:b/>
                <w:bCs/>
                <w:sz w:val="22"/>
                <w:szCs w:val="22"/>
              </w:rPr>
              <w:t>Principales debilidades de los egresados</w:t>
            </w:r>
          </w:p>
        </w:tc>
        <w:tc>
          <w:tcPr>
            <w:tcW w:w="3884" w:type="dxa"/>
            <w:gridSpan w:val="4"/>
            <w:tcBorders>
              <w:top w:val="single" w:sz="4" w:space="0" w:color="auto"/>
              <w:left w:val="nil"/>
              <w:bottom w:val="single" w:sz="4" w:space="0" w:color="auto"/>
              <w:right w:val="single" w:sz="4" w:space="0" w:color="auto"/>
            </w:tcBorders>
            <w:vAlign w:val="bottom"/>
          </w:tcPr>
          <w:p w14:paraId="301C6488" w14:textId="77777777" w:rsidR="00072704" w:rsidRPr="007923C2" w:rsidRDefault="00072704" w:rsidP="00307BE8">
            <w:pPr>
              <w:widowControl w:val="0"/>
              <w:autoSpaceDE w:val="0"/>
              <w:autoSpaceDN w:val="0"/>
              <w:adjustRightInd w:val="0"/>
              <w:jc w:val="center"/>
              <w:rPr>
                <w:rFonts w:ascii="Arial" w:hAnsi="Arial" w:cs="Arial"/>
                <w:sz w:val="22"/>
                <w:szCs w:val="22"/>
              </w:rPr>
            </w:pPr>
          </w:p>
        </w:tc>
      </w:tr>
      <w:tr w:rsidR="00E36673" w:rsidRPr="007923C2" w14:paraId="27809783" w14:textId="77777777" w:rsidTr="00295B33">
        <w:trPr>
          <w:gridAfter w:val="1"/>
          <w:wAfter w:w="850" w:type="dxa"/>
          <w:trHeight w:val="238"/>
        </w:trPr>
        <w:tc>
          <w:tcPr>
            <w:tcW w:w="1137" w:type="dxa"/>
            <w:gridSpan w:val="2"/>
            <w:tcBorders>
              <w:top w:val="single" w:sz="4" w:space="0" w:color="auto"/>
              <w:left w:val="single" w:sz="4" w:space="0" w:color="auto"/>
              <w:bottom w:val="single" w:sz="4" w:space="0" w:color="auto"/>
              <w:right w:val="nil"/>
            </w:tcBorders>
            <w:vAlign w:val="bottom"/>
          </w:tcPr>
          <w:p w14:paraId="3857AB9E" w14:textId="77777777" w:rsidR="00072704" w:rsidRPr="007923C2" w:rsidRDefault="00072704" w:rsidP="00F03B5F">
            <w:pPr>
              <w:widowControl w:val="0"/>
              <w:autoSpaceDE w:val="0"/>
              <w:autoSpaceDN w:val="0"/>
              <w:adjustRightInd w:val="0"/>
              <w:rPr>
                <w:rFonts w:ascii="Arial" w:hAnsi="Arial" w:cs="Arial"/>
                <w:sz w:val="22"/>
                <w:szCs w:val="22"/>
              </w:rPr>
            </w:pPr>
            <w:r w:rsidRPr="007923C2">
              <w:rPr>
                <w:rFonts w:ascii="Arial" w:hAnsi="Arial" w:cs="Arial"/>
                <w:sz w:val="22"/>
                <w:szCs w:val="22"/>
              </w:rPr>
              <w:t>Alumn</w:t>
            </w:r>
            <w:r w:rsidR="00F03B5F" w:rsidRPr="007923C2">
              <w:rPr>
                <w:rFonts w:ascii="Arial" w:hAnsi="Arial" w:cs="Arial"/>
                <w:sz w:val="22"/>
                <w:szCs w:val="22"/>
              </w:rPr>
              <w:t xml:space="preserve">o </w:t>
            </w:r>
            <w:r w:rsidRPr="007923C2">
              <w:rPr>
                <w:rFonts w:ascii="Arial" w:hAnsi="Arial" w:cs="Arial"/>
                <w:sz w:val="22"/>
                <w:szCs w:val="22"/>
              </w:rPr>
              <w:t>1</w:t>
            </w:r>
          </w:p>
        </w:tc>
        <w:tc>
          <w:tcPr>
            <w:tcW w:w="567" w:type="dxa"/>
            <w:gridSpan w:val="2"/>
            <w:tcBorders>
              <w:top w:val="single" w:sz="4" w:space="0" w:color="auto"/>
              <w:left w:val="nil"/>
              <w:bottom w:val="single" w:sz="4" w:space="0" w:color="auto"/>
              <w:right w:val="single" w:sz="4" w:space="0" w:color="auto"/>
            </w:tcBorders>
            <w:vAlign w:val="bottom"/>
          </w:tcPr>
          <w:p w14:paraId="165FA20B" w14:textId="77777777" w:rsidR="00072704" w:rsidRPr="007923C2" w:rsidRDefault="00072704" w:rsidP="00FC5373">
            <w:pPr>
              <w:widowControl w:val="0"/>
              <w:autoSpaceDE w:val="0"/>
              <w:autoSpaceDN w:val="0"/>
              <w:adjustRightInd w:val="0"/>
              <w:rPr>
                <w:rFonts w:ascii="Arial" w:hAnsi="Arial" w:cs="Arial"/>
                <w:sz w:val="22"/>
                <w:szCs w:val="22"/>
              </w:rPr>
            </w:pPr>
          </w:p>
        </w:tc>
        <w:tc>
          <w:tcPr>
            <w:tcW w:w="4245" w:type="dxa"/>
            <w:gridSpan w:val="3"/>
            <w:tcBorders>
              <w:top w:val="single" w:sz="4" w:space="0" w:color="auto"/>
              <w:left w:val="single" w:sz="4" w:space="0" w:color="auto"/>
              <w:bottom w:val="single" w:sz="4" w:space="0" w:color="auto"/>
            </w:tcBorders>
            <w:vAlign w:val="bottom"/>
          </w:tcPr>
          <w:p w14:paraId="6DD84B12"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Falta de experiencia en el campo</w:t>
            </w:r>
          </w:p>
        </w:tc>
        <w:tc>
          <w:tcPr>
            <w:tcW w:w="3481" w:type="dxa"/>
            <w:gridSpan w:val="3"/>
            <w:tcBorders>
              <w:top w:val="single" w:sz="4" w:space="0" w:color="auto"/>
              <w:left w:val="nil"/>
              <w:bottom w:val="single" w:sz="4" w:space="0" w:color="auto"/>
              <w:right w:val="single" w:sz="4" w:space="0" w:color="auto"/>
            </w:tcBorders>
            <w:vAlign w:val="bottom"/>
          </w:tcPr>
          <w:p w14:paraId="1DC4F1E5" w14:textId="77777777" w:rsidR="00072704" w:rsidRPr="007923C2" w:rsidRDefault="00072704" w:rsidP="00307BE8">
            <w:pPr>
              <w:widowControl w:val="0"/>
              <w:autoSpaceDE w:val="0"/>
              <w:autoSpaceDN w:val="0"/>
              <w:adjustRightInd w:val="0"/>
              <w:rPr>
                <w:rFonts w:ascii="Arial" w:hAnsi="Arial" w:cs="Arial"/>
                <w:sz w:val="22"/>
                <w:szCs w:val="22"/>
              </w:rPr>
            </w:pPr>
          </w:p>
        </w:tc>
      </w:tr>
      <w:tr w:rsidR="00072704" w:rsidRPr="007923C2" w14:paraId="32C8A716" w14:textId="77777777" w:rsidTr="00295B33">
        <w:trPr>
          <w:gridAfter w:val="1"/>
          <w:wAfter w:w="850" w:type="dxa"/>
          <w:trHeight w:val="182"/>
        </w:trPr>
        <w:tc>
          <w:tcPr>
            <w:tcW w:w="1137" w:type="dxa"/>
            <w:gridSpan w:val="2"/>
            <w:tcBorders>
              <w:top w:val="single" w:sz="4" w:space="0" w:color="auto"/>
              <w:left w:val="single" w:sz="4" w:space="0" w:color="auto"/>
              <w:bottom w:val="single" w:sz="4" w:space="0" w:color="auto"/>
              <w:right w:val="nil"/>
            </w:tcBorders>
            <w:vAlign w:val="bottom"/>
          </w:tcPr>
          <w:p w14:paraId="0B4154B6"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w:t>
            </w:r>
          </w:p>
        </w:tc>
        <w:tc>
          <w:tcPr>
            <w:tcW w:w="567" w:type="dxa"/>
            <w:gridSpan w:val="2"/>
            <w:tcBorders>
              <w:top w:val="single" w:sz="4" w:space="0" w:color="auto"/>
              <w:left w:val="nil"/>
              <w:bottom w:val="single" w:sz="4" w:space="0" w:color="auto"/>
              <w:right w:val="single" w:sz="4" w:space="0" w:color="auto"/>
            </w:tcBorders>
            <w:vAlign w:val="bottom"/>
          </w:tcPr>
          <w:p w14:paraId="645B6E9B" w14:textId="77777777" w:rsidR="00072704" w:rsidRPr="007923C2" w:rsidRDefault="00072704" w:rsidP="00FC5373">
            <w:pPr>
              <w:widowControl w:val="0"/>
              <w:autoSpaceDE w:val="0"/>
              <w:autoSpaceDN w:val="0"/>
              <w:adjustRightInd w:val="0"/>
              <w:rPr>
                <w:rFonts w:ascii="Arial" w:hAnsi="Arial" w:cs="Arial"/>
                <w:sz w:val="22"/>
                <w:szCs w:val="22"/>
              </w:rPr>
            </w:pP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22AF1BC2" w14:textId="77777777"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No hay suficiente preparación en micología y citología</w:t>
            </w:r>
          </w:p>
        </w:tc>
      </w:tr>
      <w:tr w:rsidR="00E36673" w:rsidRPr="007923C2" w14:paraId="50FA09FF" w14:textId="77777777" w:rsidTr="00295B33">
        <w:trPr>
          <w:gridAfter w:val="1"/>
          <w:wAfter w:w="850" w:type="dxa"/>
          <w:trHeight w:val="185"/>
        </w:trPr>
        <w:tc>
          <w:tcPr>
            <w:tcW w:w="1137" w:type="dxa"/>
            <w:gridSpan w:val="2"/>
            <w:tcBorders>
              <w:top w:val="single" w:sz="4" w:space="0" w:color="auto"/>
              <w:left w:val="single" w:sz="4" w:space="0" w:color="auto"/>
              <w:bottom w:val="single" w:sz="4" w:space="0" w:color="auto"/>
              <w:right w:val="nil"/>
            </w:tcBorders>
            <w:vAlign w:val="bottom"/>
          </w:tcPr>
          <w:p w14:paraId="56BEC704"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w:t>
            </w:r>
          </w:p>
        </w:tc>
        <w:tc>
          <w:tcPr>
            <w:tcW w:w="567" w:type="dxa"/>
            <w:gridSpan w:val="2"/>
            <w:tcBorders>
              <w:top w:val="single" w:sz="4" w:space="0" w:color="auto"/>
              <w:left w:val="nil"/>
              <w:bottom w:val="single" w:sz="4" w:space="0" w:color="auto"/>
              <w:right w:val="single" w:sz="4" w:space="0" w:color="auto"/>
            </w:tcBorders>
            <w:vAlign w:val="bottom"/>
          </w:tcPr>
          <w:p w14:paraId="6FE5BDFD" w14:textId="77777777" w:rsidR="00072704" w:rsidRPr="007923C2" w:rsidRDefault="00072704" w:rsidP="00FC5373">
            <w:pPr>
              <w:widowControl w:val="0"/>
              <w:autoSpaceDE w:val="0"/>
              <w:autoSpaceDN w:val="0"/>
              <w:adjustRightInd w:val="0"/>
              <w:rPr>
                <w:rFonts w:ascii="Arial" w:hAnsi="Arial" w:cs="Arial"/>
                <w:sz w:val="22"/>
                <w:szCs w:val="22"/>
              </w:rPr>
            </w:pPr>
          </w:p>
        </w:tc>
        <w:tc>
          <w:tcPr>
            <w:tcW w:w="4245" w:type="dxa"/>
            <w:gridSpan w:val="3"/>
            <w:tcBorders>
              <w:top w:val="single" w:sz="4" w:space="0" w:color="auto"/>
              <w:left w:val="single" w:sz="4" w:space="0" w:color="auto"/>
              <w:bottom w:val="single" w:sz="4" w:space="0" w:color="auto"/>
            </w:tcBorders>
            <w:vAlign w:val="bottom"/>
          </w:tcPr>
          <w:p w14:paraId="5BB6956F"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Su poca experiencia en campo</w:t>
            </w:r>
          </w:p>
        </w:tc>
        <w:tc>
          <w:tcPr>
            <w:tcW w:w="3481" w:type="dxa"/>
            <w:gridSpan w:val="3"/>
            <w:tcBorders>
              <w:top w:val="single" w:sz="4" w:space="0" w:color="auto"/>
              <w:left w:val="nil"/>
              <w:bottom w:val="single" w:sz="4" w:space="0" w:color="auto"/>
              <w:right w:val="single" w:sz="4" w:space="0" w:color="auto"/>
            </w:tcBorders>
            <w:vAlign w:val="bottom"/>
          </w:tcPr>
          <w:p w14:paraId="068FAD5A" w14:textId="77777777" w:rsidR="00072704" w:rsidRPr="007923C2" w:rsidRDefault="00072704" w:rsidP="00307BE8">
            <w:pPr>
              <w:widowControl w:val="0"/>
              <w:autoSpaceDE w:val="0"/>
              <w:autoSpaceDN w:val="0"/>
              <w:adjustRightInd w:val="0"/>
              <w:rPr>
                <w:rFonts w:ascii="Arial" w:hAnsi="Arial" w:cs="Arial"/>
                <w:sz w:val="22"/>
                <w:szCs w:val="22"/>
              </w:rPr>
            </w:pPr>
          </w:p>
        </w:tc>
      </w:tr>
      <w:tr w:rsidR="00072704" w:rsidRPr="007923C2" w14:paraId="7A8FC0C0" w14:textId="77777777" w:rsidTr="00295B33">
        <w:trPr>
          <w:gridAfter w:val="1"/>
          <w:wAfter w:w="850" w:type="dxa"/>
          <w:trHeight w:val="185"/>
        </w:trPr>
        <w:tc>
          <w:tcPr>
            <w:tcW w:w="1137" w:type="dxa"/>
            <w:gridSpan w:val="2"/>
            <w:tcBorders>
              <w:top w:val="single" w:sz="4" w:space="0" w:color="auto"/>
              <w:left w:val="single" w:sz="4" w:space="0" w:color="auto"/>
              <w:bottom w:val="single" w:sz="4" w:space="0" w:color="auto"/>
              <w:right w:val="nil"/>
            </w:tcBorders>
            <w:vAlign w:val="bottom"/>
          </w:tcPr>
          <w:p w14:paraId="235E4D3C"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4</w:t>
            </w:r>
          </w:p>
        </w:tc>
        <w:tc>
          <w:tcPr>
            <w:tcW w:w="567" w:type="dxa"/>
            <w:gridSpan w:val="2"/>
            <w:tcBorders>
              <w:top w:val="single" w:sz="4" w:space="0" w:color="auto"/>
              <w:left w:val="nil"/>
              <w:bottom w:val="single" w:sz="4" w:space="0" w:color="auto"/>
              <w:right w:val="single" w:sz="4" w:space="0" w:color="auto"/>
            </w:tcBorders>
            <w:vAlign w:val="bottom"/>
          </w:tcPr>
          <w:p w14:paraId="73C5C937" w14:textId="77777777" w:rsidR="00072704" w:rsidRPr="007923C2" w:rsidRDefault="00072704" w:rsidP="00FC5373">
            <w:pPr>
              <w:widowControl w:val="0"/>
              <w:autoSpaceDE w:val="0"/>
              <w:autoSpaceDN w:val="0"/>
              <w:adjustRightInd w:val="0"/>
              <w:rPr>
                <w:rFonts w:ascii="Arial" w:hAnsi="Arial" w:cs="Arial"/>
                <w:sz w:val="22"/>
                <w:szCs w:val="22"/>
              </w:rPr>
            </w:pP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05C53BB2"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Su falta de experiencia práctica en campo, no son claros y concisos en sus planteamientos</w:t>
            </w:r>
          </w:p>
        </w:tc>
      </w:tr>
      <w:tr w:rsidR="00E36673" w:rsidRPr="007923C2" w14:paraId="07420599" w14:textId="77777777" w:rsidTr="00295B33">
        <w:trPr>
          <w:gridAfter w:val="1"/>
          <w:wAfter w:w="850" w:type="dxa"/>
          <w:trHeight w:val="182"/>
        </w:trPr>
        <w:tc>
          <w:tcPr>
            <w:tcW w:w="1137" w:type="dxa"/>
            <w:gridSpan w:val="2"/>
            <w:tcBorders>
              <w:top w:val="single" w:sz="4" w:space="0" w:color="auto"/>
              <w:left w:val="single" w:sz="4" w:space="0" w:color="auto"/>
              <w:bottom w:val="single" w:sz="4" w:space="0" w:color="auto"/>
              <w:right w:val="nil"/>
            </w:tcBorders>
            <w:vAlign w:val="bottom"/>
          </w:tcPr>
          <w:p w14:paraId="77E28294"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5</w:t>
            </w:r>
          </w:p>
        </w:tc>
        <w:tc>
          <w:tcPr>
            <w:tcW w:w="567" w:type="dxa"/>
            <w:gridSpan w:val="2"/>
            <w:tcBorders>
              <w:top w:val="single" w:sz="4" w:space="0" w:color="auto"/>
              <w:left w:val="nil"/>
              <w:bottom w:val="single" w:sz="4" w:space="0" w:color="auto"/>
              <w:right w:val="single" w:sz="4" w:space="0" w:color="auto"/>
            </w:tcBorders>
            <w:vAlign w:val="bottom"/>
          </w:tcPr>
          <w:p w14:paraId="47B85948" w14:textId="77777777" w:rsidR="00072704" w:rsidRPr="007923C2" w:rsidRDefault="00072704" w:rsidP="00FC5373">
            <w:pPr>
              <w:widowControl w:val="0"/>
              <w:autoSpaceDE w:val="0"/>
              <w:autoSpaceDN w:val="0"/>
              <w:adjustRightInd w:val="0"/>
              <w:rPr>
                <w:rFonts w:ascii="Arial" w:hAnsi="Arial" w:cs="Arial"/>
                <w:sz w:val="22"/>
                <w:szCs w:val="22"/>
              </w:rPr>
            </w:pPr>
          </w:p>
        </w:tc>
        <w:tc>
          <w:tcPr>
            <w:tcW w:w="4245" w:type="dxa"/>
            <w:gridSpan w:val="3"/>
            <w:tcBorders>
              <w:top w:val="single" w:sz="4" w:space="0" w:color="auto"/>
              <w:left w:val="single" w:sz="4" w:space="0" w:color="auto"/>
              <w:bottom w:val="single" w:sz="4" w:space="0" w:color="auto"/>
            </w:tcBorders>
            <w:vAlign w:val="bottom"/>
          </w:tcPr>
          <w:p w14:paraId="06460031" w14:textId="77777777"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La falta de experiencia práctica, ofrecen muy poca</w:t>
            </w:r>
          </w:p>
        </w:tc>
        <w:tc>
          <w:tcPr>
            <w:tcW w:w="3481" w:type="dxa"/>
            <w:gridSpan w:val="3"/>
            <w:tcBorders>
              <w:top w:val="single" w:sz="4" w:space="0" w:color="auto"/>
              <w:left w:val="nil"/>
              <w:bottom w:val="single" w:sz="4" w:space="0" w:color="auto"/>
              <w:right w:val="single" w:sz="4" w:space="0" w:color="auto"/>
            </w:tcBorders>
            <w:vAlign w:val="bottom"/>
          </w:tcPr>
          <w:p w14:paraId="468213E5" w14:textId="77777777"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14:paraId="71E523F0" w14:textId="77777777" w:rsidTr="00295B33">
        <w:trPr>
          <w:gridAfter w:val="1"/>
          <w:wAfter w:w="850" w:type="dxa"/>
          <w:trHeight w:val="185"/>
        </w:trPr>
        <w:tc>
          <w:tcPr>
            <w:tcW w:w="1137" w:type="dxa"/>
            <w:gridSpan w:val="2"/>
            <w:tcBorders>
              <w:top w:val="single" w:sz="4" w:space="0" w:color="auto"/>
              <w:left w:val="single" w:sz="4" w:space="0" w:color="auto"/>
              <w:bottom w:val="single" w:sz="4" w:space="0" w:color="auto"/>
            </w:tcBorders>
            <w:vAlign w:val="bottom"/>
          </w:tcPr>
          <w:p w14:paraId="0ADD640D"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6</w:t>
            </w:r>
          </w:p>
        </w:tc>
        <w:tc>
          <w:tcPr>
            <w:tcW w:w="567" w:type="dxa"/>
            <w:gridSpan w:val="2"/>
            <w:tcBorders>
              <w:top w:val="single" w:sz="4" w:space="0" w:color="auto"/>
              <w:bottom w:val="single" w:sz="4" w:space="0" w:color="auto"/>
              <w:right w:val="single" w:sz="4" w:space="0" w:color="auto"/>
            </w:tcBorders>
            <w:vAlign w:val="bottom"/>
          </w:tcPr>
          <w:p w14:paraId="6A53F34E" w14:textId="77777777" w:rsidR="00072704" w:rsidRPr="007923C2" w:rsidRDefault="00072704" w:rsidP="00FC5373">
            <w:pPr>
              <w:widowControl w:val="0"/>
              <w:autoSpaceDE w:val="0"/>
              <w:autoSpaceDN w:val="0"/>
              <w:adjustRightInd w:val="0"/>
              <w:rPr>
                <w:rFonts w:ascii="Arial" w:hAnsi="Arial" w:cs="Arial"/>
                <w:sz w:val="22"/>
                <w:szCs w:val="22"/>
              </w:rPr>
            </w:pPr>
          </w:p>
        </w:tc>
        <w:tc>
          <w:tcPr>
            <w:tcW w:w="4245" w:type="dxa"/>
            <w:gridSpan w:val="3"/>
            <w:tcBorders>
              <w:top w:val="single" w:sz="4" w:space="0" w:color="auto"/>
              <w:left w:val="single" w:sz="4" w:space="0" w:color="auto"/>
              <w:bottom w:val="single" w:sz="4" w:space="0" w:color="auto"/>
            </w:tcBorders>
            <w:vAlign w:val="bottom"/>
          </w:tcPr>
          <w:p w14:paraId="31A9D419" w14:textId="77777777" w:rsidR="00072704" w:rsidRPr="007923C2" w:rsidRDefault="001E0F56" w:rsidP="00307BE8">
            <w:pPr>
              <w:widowControl w:val="0"/>
              <w:autoSpaceDE w:val="0"/>
              <w:autoSpaceDN w:val="0"/>
              <w:adjustRightInd w:val="0"/>
              <w:ind w:right="-4301"/>
              <w:rPr>
                <w:rFonts w:ascii="Arial" w:hAnsi="Arial" w:cs="Arial"/>
                <w:sz w:val="22"/>
                <w:szCs w:val="22"/>
              </w:rPr>
            </w:pPr>
            <w:r w:rsidRPr="007923C2">
              <w:rPr>
                <w:rFonts w:ascii="Arial" w:hAnsi="Arial" w:cs="Arial"/>
                <w:sz w:val="22"/>
                <w:szCs w:val="22"/>
              </w:rPr>
              <w:t>Escasos conocimientos de t</w:t>
            </w:r>
            <w:r w:rsidR="00072704" w:rsidRPr="007923C2">
              <w:rPr>
                <w:rFonts w:ascii="Arial" w:hAnsi="Arial" w:cs="Arial"/>
                <w:sz w:val="22"/>
                <w:szCs w:val="22"/>
              </w:rPr>
              <w:t>opografía</w:t>
            </w:r>
          </w:p>
        </w:tc>
        <w:tc>
          <w:tcPr>
            <w:tcW w:w="3481" w:type="dxa"/>
            <w:gridSpan w:val="3"/>
            <w:tcBorders>
              <w:top w:val="single" w:sz="4" w:space="0" w:color="auto"/>
              <w:left w:val="nil"/>
              <w:bottom w:val="single" w:sz="4" w:space="0" w:color="auto"/>
              <w:right w:val="single" w:sz="4" w:space="0" w:color="auto"/>
            </w:tcBorders>
            <w:vAlign w:val="bottom"/>
          </w:tcPr>
          <w:p w14:paraId="5B3A97F9" w14:textId="77777777"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14:paraId="00E42B11" w14:textId="77777777" w:rsidTr="00295B33">
        <w:trPr>
          <w:gridAfter w:val="1"/>
          <w:wAfter w:w="850" w:type="dxa"/>
          <w:trHeight w:val="185"/>
        </w:trPr>
        <w:tc>
          <w:tcPr>
            <w:tcW w:w="1137" w:type="dxa"/>
            <w:gridSpan w:val="2"/>
            <w:tcBorders>
              <w:top w:val="single" w:sz="4" w:space="0" w:color="auto"/>
              <w:left w:val="single" w:sz="4" w:space="0" w:color="auto"/>
              <w:bottom w:val="single" w:sz="4" w:space="0" w:color="auto"/>
              <w:right w:val="nil"/>
            </w:tcBorders>
            <w:vAlign w:val="bottom"/>
          </w:tcPr>
          <w:p w14:paraId="7EA0B162" w14:textId="77777777" w:rsidR="00072704" w:rsidRPr="007923C2" w:rsidRDefault="00E36673"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7</w:t>
            </w:r>
          </w:p>
        </w:tc>
        <w:tc>
          <w:tcPr>
            <w:tcW w:w="567" w:type="dxa"/>
            <w:gridSpan w:val="2"/>
            <w:tcBorders>
              <w:top w:val="single" w:sz="4" w:space="0" w:color="auto"/>
              <w:left w:val="nil"/>
              <w:bottom w:val="single" w:sz="4" w:space="0" w:color="auto"/>
              <w:right w:val="single" w:sz="4" w:space="0" w:color="auto"/>
            </w:tcBorders>
            <w:vAlign w:val="bottom"/>
          </w:tcPr>
          <w:p w14:paraId="75C1FEE6" w14:textId="77777777" w:rsidR="00072704" w:rsidRPr="007923C2" w:rsidRDefault="00072704" w:rsidP="00FC5373">
            <w:pPr>
              <w:widowControl w:val="0"/>
              <w:autoSpaceDE w:val="0"/>
              <w:autoSpaceDN w:val="0"/>
              <w:adjustRightInd w:val="0"/>
              <w:rPr>
                <w:rFonts w:ascii="Arial" w:hAnsi="Arial" w:cs="Arial"/>
                <w:sz w:val="22"/>
                <w:szCs w:val="22"/>
              </w:rPr>
            </w:pPr>
          </w:p>
        </w:tc>
        <w:tc>
          <w:tcPr>
            <w:tcW w:w="4245" w:type="dxa"/>
            <w:gridSpan w:val="3"/>
            <w:tcBorders>
              <w:top w:val="single" w:sz="4" w:space="0" w:color="auto"/>
              <w:left w:val="single" w:sz="4" w:space="0" w:color="auto"/>
              <w:bottom w:val="single" w:sz="4" w:space="0" w:color="auto"/>
            </w:tcBorders>
            <w:vAlign w:val="bottom"/>
          </w:tcPr>
          <w:p w14:paraId="2E5CB8F7"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La falta de experiencia  en campo</w:t>
            </w:r>
          </w:p>
        </w:tc>
        <w:tc>
          <w:tcPr>
            <w:tcW w:w="3481" w:type="dxa"/>
            <w:gridSpan w:val="3"/>
            <w:tcBorders>
              <w:top w:val="single" w:sz="4" w:space="0" w:color="auto"/>
              <w:left w:val="nil"/>
              <w:bottom w:val="single" w:sz="4" w:space="0" w:color="auto"/>
              <w:right w:val="single" w:sz="4" w:space="0" w:color="auto"/>
            </w:tcBorders>
            <w:vAlign w:val="bottom"/>
          </w:tcPr>
          <w:p w14:paraId="36309580" w14:textId="77777777" w:rsidR="00072704" w:rsidRPr="007923C2" w:rsidRDefault="00072704" w:rsidP="00307BE8">
            <w:pPr>
              <w:widowControl w:val="0"/>
              <w:autoSpaceDE w:val="0"/>
              <w:autoSpaceDN w:val="0"/>
              <w:adjustRightInd w:val="0"/>
              <w:rPr>
                <w:rFonts w:ascii="Arial" w:hAnsi="Arial" w:cs="Arial"/>
                <w:sz w:val="22"/>
                <w:szCs w:val="22"/>
              </w:rPr>
            </w:pPr>
          </w:p>
        </w:tc>
      </w:tr>
      <w:tr w:rsidR="007923C2" w:rsidRPr="007923C2" w14:paraId="3FC7356D" w14:textId="77777777" w:rsidTr="00295B33">
        <w:trPr>
          <w:gridAfter w:val="1"/>
          <w:wAfter w:w="850" w:type="dxa"/>
          <w:trHeight w:val="182"/>
        </w:trPr>
        <w:tc>
          <w:tcPr>
            <w:tcW w:w="1137" w:type="dxa"/>
            <w:gridSpan w:val="2"/>
            <w:tcBorders>
              <w:top w:val="single" w:sz="4" w:space="0" w:color="auto"/>
              <w:left w:val="single" w:sz="4" w:space="0" w:color="auto"/>
              <w:bottom w:val="nil"/>
              <w:right w:val="nil"/>
            </w:tcBorders>
            <w:vAlign w:val="bottom"/>
          </w:tcPr>
          <w:p w14:paraId="4C54DD4D"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8</w:t>
            </w:r>
          </w:p>
        </w:tc>
        <w:tc>
          <w:tcPr>
            <w:tcW w:w="567" w:type="dxa"/>
            <w:gridSpan w:val="2"/>
            <w:tcBorders>
              <w:top w:val="single" w:sz="4" w:space="0" w:color="auto"/>
              <w:left w:val="nil"/>
              <w:bottom w:val="nil"/>
              <w:right w:val="single" w:sz="4" w:space="0" w:color="auto"/>
            </w:tcBorders>
            <w:vAlign w:val="bottom"/>
          </w:tcPr>
          <w:p w14:paraId="6EBAC0AB" w14:textId="77777777" w:rsidR="00072704" w:rsidRPr="007923C2" w:rsidRDefault="00072704" w:rsidP="00FC5373">
            <w:pPr>
              <w:widowControl w:val="0"/>
              <w:autoSpaceDE w:val="0"/>
              <w:autoSpaceDN w:val="0"/>
              <w:adjustRightInd w:val="0"/>
              <w:rPr>
                <w:rFonts w:ascii="Arial" w:hAnsi="Arial" w:cs="Arial"/>
                <w:sz w:val="22"/>
                <w:szCs w:val="22"/>
              </w:rPr>
            </w:pP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0D7E426E" w14:textId="77777777"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Salen muy deficientes en el área de agronomía y en la de agricultura</w:t>
            </w:r>
          </w:p>
        </w:tc>
      </w:tr>
      <w:tr w:rsidR="00072704" w:rsidRPr="007923C2" w14:paraId="5E1FCE2C" w14:textId="77777777" w:rsidTr="00295B33">
        <w:trPr>
          <w:gridAfter w:val="1"/>
          <w:wAfter w:w="850" w:type="dxa"/>
          <w:trHeight w:val="185"/>
        </w:trPr>
        <w:tc>
          <w:tcPr>
            <w:tcW w:w="1137" w:type="dxa"/>
            <w:gridSpan w:val="2"/>
            <w:tcBorders>
              <w:top w:val="nil"/>
              <w:left w:val="single" w:sz="4" w:space="0" w:color="auto"/>
              <w:bottom w:val="nil"/>
              <w:right w:val="nil"/>
            </w:tcBorders>
            <w:vAlign w:val="bottom"/>
          </w:tcPr>
          <w:p w14:paraId="58596AAB"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9</w:t>
            </w:r>
          </w:p>
        </w:tc>
        <w:tc>
          <w:tcPr>
            <w:tcW w:w="567" w:type="dxa"/>
            <w:gridSpan w:val="2"/>
            <w:tcBorders>
              <w:top w:val="nil"/>
              <w:left w:val="nil"/>
              <w:bottom w:val="nil"/>
              <w:right w:val="single" w:sz="4" w:space="0" w:color="auto"/>
            </w:tcBorders>
            <w:vAlign w:val="bottom"/>
          </w:tcPr>
          <w:p w14:paraId="795DF450" w14:textId="77777777" w:rsidR="00072704" w:rsidRPr="007923C2" w:rsidRDefault="00072704" w:rsidP="00FC5373">
            <w:pPr>
              <w:widowControl w:val="0"/>
              <w:autoSpaceDE w:val="0"/>
              <w:autoSpaceDN w:val="0"/>
              <w:adjustRightInd w:val="0"/>
              <w:rPr>
                <w:rFonts w:ascii="Arial" w:hAnsi="Arial" w:cs="Arial"/>
                <w:sz w:val="22"/>
                <w:szCs w:val="22"/>
              </w:rPr>
            </w:pP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2472AB3B"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Son poco comunicativos y esa parquedad al hablar hace pensar que son hoscos y retraídos</w:t>
            </w:r>
          </w:p>
        </w:tc>
      </w:tr>
      <w:tr w:rsidR="00072704" w:rsidRPr="007923C2" w14:paraId="1CDC374B" w14:textId="77777777"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14:paraId="053562BA"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10</w:t>
            </w: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6C192CE5"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Falta de conocimiento a fondo de Inglés, Falta de experiencia profesional en campo</w:t>
            </w:r>
          </w:p>
        </w:tc>
      </w:tr>
      <w:tr w:rsidR="00072704" w:rsidRPr="007923C2" w14:paraId="3C403AC2" w14:textId="77777777" w:rsidTr="00295B33">
        <w:trPr>
          <w:gridAfter w:val="1"/>
          <w:wAfter w:w="850" w:type="dxa"/>
          <w:trHeight w:val="182"/>
        </w:trPr>
        <w:tc>
          <w:tcPr>
            <w:tcW w:w="1704" w:type="dxa"/>
            <w:gridSpan w:val="4"/>
            <w:tcBorders>
              <w:top w:val="nil"/>
              <w:left w:val="single" w:sz="4" w:space="0" w:color="auto"/>
              <w:bottom w:val="nil"/>
              <w:right w:val="single" w:sz="4" w:space="0" w:color="auto"/>
            </w:tcBorders>
            <w:vAlign w:val="bottom"/>
          </w:tcPr>
          <w:p w14:paraId="4741F384"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11</w:t>
            </w:r>
          </w:p>
        </w:tc>
        <w:tc>
          <w:tcPr>
            <w:tcW w:w="7726" w:type="dxa"/>
            <w:gridSpan w:val="6"/>
            <w:tcBorders>
              <w:top w:val="single" w:sz="4" w:space="0" w:color="auto"/>
              <w:left w:val="single" w:sz="4" w:space="0" w:color="auto"/>
              <w:bottom w:val="nil"/>
              <w:right w:val="single" w:sz="4" w:space="0" w:color="auto"/>
            </w:tcBorders>
            <w:vAlign w:val="bottom"/>
          </w:tcPr>
          <w:p w14:paraId="4827DC6E" w14:textId="77777777"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Su pobre desenvolvimiento interpersonal en el ámbito profesional</w:t>
            </w:r>
          </w:p>
        </w:tc>
      </w:tr>
      <w:tr w:rsidR="00072704" w:rsidRPr="007923C2" w14:paraId="58C8398B" w14:textId="77777777"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14:paraId="071AF34E"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12</w:t>
            </w:r>
          </w:p>
        </w:tc>
        <w:tc>
          <w:tcPr>
            <w:tcW w:w="7726" w:type="dxa"/>
            <w:gridSpan w:val="6"/>
            <w:tcBorders>
              <w:top w:val="nil"/>
              <w:left w:val="single" w:sz="4" w:space="0" w:color="auto"/>
              <w:bottom w:val="nil"/>
              <w:right w:val="single" w:sz="4" w:space="0" w:color="auto"/>
            </w:tcBorders>
            <w:vAlign w:val="bottom"/>
          </w:tcPr>
          <w:p w14:paraId="2FF4AE1C"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La falta de experiencia por no haber prácticas de campo</w:t>
            </w:r>
          </w:p>
        </w:tc>
      </w:tr>
      <w:tr w:rsidR="00E36673" w:rsidRPr="007923C2" w14:paraId="4B425773" w14:textId="77777777"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14:paraId="14546D61"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13</w:t>
            </w:r>
          </w:p>
        </w:tc>
        <w:tc>
          <w:tcPr>
            <w:tcW w:w="5207" w:type="dxa"/>
            <w:gridSpan w:val="4"/>
            <w:tcBorders>
              <w:top w:val="single" w:sz="4" w:space="0" w:color="auto"/>
              <w:left w:val="single" w:sz="4" w:space="0" w:color="auto"/>
              <w:bottom w:val="single" w:sz="4" w:space="0" w:color="auto"/>
              <w:right w:val="nil"/>
            </w:tcBorders>
            <w:vAlign w:val="bottom"/>
          </w:tcPr>
          <w:p w14:paraId="05F4DA97"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Su poco conocimiento en Inglés</w:t>
            </w:r>
          </w:p>
        </w:tc>
        <w:tc>
          <w:tcPr>
            <w:tcW w:w="2519" w:type="dxa"/>
            <w:gridSpan w:val="2"/>
            <w:tcBorders>
              <w:top w:val="single" w:sz="4" w:space="0" w:color="auto"/>
              <w:left w:val="nil"/>
              <w:bottom w:val="single" w:sz="4" w:space="0" w:color="auto"/>
              <w:right w:val="single" w:sz="4" w:space="0" w:color="auto"/>
            </w:tcBorders>
            <w:vAlign w:val="bottom"/>
          </w:tcPr>
          <w:p w14:paraId="1D7276C0" w14:textId="77777777"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14:paraId="4AB86128" w14:textId="77777777" w:rsidTr="00295B33">
        <w:trPr>
          <w:gridAfter w:val="1"/>
          <w:wAfter w:w="850" w:type="dxa"/>
          <w:trHeight w:val="182"/>
        </w:trPr>
        <w:tc>
          <w:tcPr>
            <w:tcW w:w="1704" w:type="dxa"/>
            <w:gridSpan w:val="4"/>
            <w:tcBorders>
              <w:top w:val="nil"/>
              <w:left w:val="single" w:sz="4" w:space="0" w:color="auto"/>
              <w:bottom w:val="nil"/>
              <w:right w:val="single" w:sz="4" w:space="0" w:color="auto"/>
            </w:tcBorders>
            <w:vAlign w:val="bottom"/>
          </w:tcPr>
          <w:p w14:paraId="4B21BD5B"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14</w:t>
            </w:r>
          </w:p>
        </w:tc>
        <w:tc>
          <w:tcPr>
            <w:tcW w:w="5207" w:type="dxa"/>
            <w:gridSpan w:val="4"/>
            <w:tcBorders>
              <w:top w:val="single" w:sz="4" w:space="0" w:color="auto"/>
              <w:left w:val="single" w:sz="4" w:space="0" w:color="auto"/>
              <w:bottom w:val="single" w:sz="4" w:space="0" w:color="auto"/>
              <w:right w:val="nil"/>
            </w:tcBorders>
            <w:vAlign w:val="bottom"/>
          </w:tcPr>
          <w:p w14:paraId="686A1915" w14:textId="77777777"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Su falta de experiencia en trabajos de campo</w:t>
            </w:r>
          </w:p>
        </w:tc>
        <w:tc>
          <w:tcPr>
            <w:tcW w:w="2519" w:type="dxa"/>
            <w:gridSpan w:val="2"/>
            <w:tcBorders>
              <w:top w:val="single" w:sz="4" w:space="0" w:color="auto"/>
              <w:left w:val="nil"/>
              <w:bottom w:val="single" w:sz="4" w:space="0" w:color="auto"/>
              <w:right w:val="single" w:sz="4" w:space="0" w:color="auto"/>
            </w:tcBorders>
            <w:vAlign w:val="bottom"/>
          </w:tcPr>
          <w:p w14:paraId="49513057" w14:textId="77777777" w:rsidR="00072704" w:rsidRPr="007923C2" w:rsidRDefault="00072704" w:rsidP="00307BE8">
            <w:pPr>
              <w:widowControl w:val="0"/>
              <w:autoSpaceDE w:val="0"/>
              <w:autoSpaceDN w:val="0"/>
              <w:adjustRightInd w:val="0"/>
              <w:rPr>
                <w:rFonts w:ascii="Arial" w:hAnsi="Arial" w:cs="Arial"/>
                <w:sz w:val="22"/>
                <w:szCs w:val="22"/>
              </w:rPr>
            </w:pPr>
          </w:p>
        </w:tc>
      </w:tr>
      <w:tr w:rsidR="00295B33" w:rsidRPr="007923C2" w14:paraId="477B41EF" w14:textId="77777777"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14:paraId="1E74166C"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15</w:t>
            </w: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668CED5F"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Por su nivel socioeconómico de el que vienen tienen un cierto complejo de inferioridad y no saben pedir un puesto y</w:t>
            </w:r>
          </w:p>
        </w:tc>
      </w:tr>
      <w:tr w:rsidR="00E36673" w:rsidRPr="007923C2" w14:paraId="2D69B420" w14:textId="77777777" w:rsidTr="00295B33">
        <w:trPr>
          <w:gridAfter w:val="1"/>
          <w:wAfter w:w="850" w:type="dxa"/>
          <w:trHeight w:val="185"/>
        </w:trPr>
        <w:tc>
          <w:tcPr>
            <w:tcW w:w="733" w:type="dxa"/>
            <w:tcBorders>
              <w:top w:val="nil"/>
              <w:left w:val="single" w:sz="4" w:space="0" w:color="auto"/>
              <w:bottom w:val="nil"/>
              <w:right w:val="nil"/>
            </w:tcBorders>
            <w:vAlign w:val="bottom"/>
          </w:tcPr>
          <w:p w14:paraId="5E9D414B" w14:textId="77777777" w:rsidR="00072704" w:rsidRPr="007923C2" w:rsidRDefault="00072704" w:rsidP="00FC5373">
            <w:pPr>
              <w:widowControl w:val="0"/>
              <w:autoSpaceDE w:val="0"/>
              <w:autoSpaceDN w:val="0"/>
              <w:adjustRightInd w:val="0"/>
              <w:rPr>
                <w:rFonts w:ascii="Arial" w:hAnsi="Arial" w:cs="Arial"/>
                <w:sz w:val="22"/>
                <w:szCs w:val="22"/>
              </w:rPr>
            </w:pPr>
          </w:p>
        </w:tc>
        <w:tc>
          <w:tcPr>
            <w:tcW w:w="971" w:type="dxa"/>
            <w:gridSpan w:val="3"/>
            <w:tcBorders>
              <w:top w:val="nil"/>
              <w:left w:val="nil"/>
              <w:bottom w:val="nil"/>
              <w:right w:val="single" w:sz="4" w:space="0" w:color="auto"/>
            </w:tcBorders>
            <w:vAlign w:val="bottom"/>
          </w:tcPr>
          <w:p w14:paraId="51DEC16C" w14:textId="77777777" w:rsidR="00072704" w:rsidRPr="007923C2" w:rsidRDefault="00072704" w:rsidP="00FC5373">
            <w:pPr>
              <w:widowControl w:val="0"/>
              <w:autoSpaceDE w:val="0"/>
              <w:autoSpaceDN w:val="0"/>
              <w:adjustRightInd w:val="0"/>
              <w:rPr>
                <w:rFonts w:ascii="Arial" w:hAnsi="Arial" w:cs="Arial"/>
                <w:sz w:val="22"/>
                <w:szCs w:val="22"/>
              </w:rPr>
            </w:pPr>
          </w:p>
        </w:tc>
        <w:tc>
          <w:tcPr>
            <w:tcW w:w="3842" w:type="dxa"/>
            <w:gridSpan w:val="2"/>
            <w:tcBorders>
              <w:top w:val="single" w:sz="4" w:space="0" w:color="auto"/>
              <w:left w:val="single" w:sz="4" w:space="0" w:color="auto"/>
              <w:bottom w:val="single" w:sz="4" w:space="0" w:color="auto"/>
              <w:right w:val="nil"/>
            </w:tcBorders>
            <w:vAlign w:val="bottom"/>
          </w:tcPr>
          <w:p w14:paraId="69AF2AA4"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un sueldo adecuado a sus conocimientos</w:t>
            </w:r>
          </w:p>
        </w:tc>
        <w:tc>
          <w:tcPr>
            <w:tcW w:w="3884" w:type="dxa"/>
            <w:gridSpan w:val="4"/>
            <w:tcBorders>
              <w:top w:val="single" w:sz="4" w:space="0" w:color="auto"/>
              <w:left w:val="nil"/>
              <w:bottom w:val="single" w:sz="4" w:space="0" w:color="auto"/>
              <w:right w:val="single" w:sz="4" w:space="0" w:color="auto"/>
            </w:tcBorders>
            <w:vAlign w:val="bottom"/>
          </w:tcPr>
          <w:p w14:paraId="0003D0B1" w14:textId="77777777"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14:paraId="066EBA4A" w14:textId="77777777" w:rsidTr="00295B33">
        <w:trPr>
          <w:gridAfter w:val="1"/>
          <w:wAfter w:w="850" w:type="dxa"/>
          <w:trHeight w:val="182"/>
        </w:trPr>
        <w:tc>
          <w:tcPr>
            <w:tcW w:w="1704" w:type="dxa"/>
            <w:gridSpan w:val="4"/>
            <w:tcBorders>
              <w:top w:val="nil"/>
              <w:left w:val="single" w:sz="4" w:space="0" w:color="auto"/>
              <w:bottom w:val="nil"/>
              <w:right w:val="single" w:sz="4" w:space="0" w:color="auto"/>
            </w:tcBorders>
            <w:vAlign w:val="bottom"/>
          </w:tcPr>
          <w:p w14:paraId="4B2FEE57"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lastRenderedPageBreak/>
              <w:t>Alumno 16</w:t>
            </w:r>
          </w:p>
        </w:tc>
        <w:tc>
          <w:tcPr>
            <w:tcW w:w="3842" w:type="dxa"/>
            <w:gridSpan w:val="2"/>
            <w:tcBorders>
              <w:top w:val="nil"/>
              <w:left w:val="single" w:sz="4" w:space="0" w:color="auto"/>
              <w:bottom w:val="single" w:sz="4" w:space="0" w:color="auto"/>
              <w:right w:val="nil"/>
            </w:tcBorders>
            <w:vAlign w:val="bottom"/>
          </w:tcPr>
          <w:p w14:paraId="08D7688C" w14:textId="77777777"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Falta practica</w:t>
            </w:r>
          </w:p>
        </w:tc>
        <w:tc>
          <w:tcPr>
            <w:tcW w:w="3884" w:type="dxa"/>
            <w:gridSpan w:val="4"/>
            <w:tcBorders>
              <w:top w:val="nil"/>
              <w:left w:val="nil"/>
              <w:bottom w:val="single" w:sz="4" w:space="0" w:color="auto"/>
              <w:right w:val="single" w:sz="4" w:space="0" w:color="auto"/>
            </w:tcBorders>
            <w:vAlign w:val="bottom"/>
          </w:tcPr>
          <w:p w14:paraId="4AD27210" w14:textId="77777777" w:rsidR="00072704" w:rsidRPr="007923C2" w:rsidRDefault="00072704" w:rsidP="00307BE8">
            <w:pPr>
              <w:widowControl w:val="0"/>
              <w:autoSpaceDE w:val="0"/>
              <w:autoSpaceDN w:val="0"/>
              <w:adjustRightInd w:val="0"/>
              <w:rPr>
                <w:rFonts w:ascii="Arial" w:hAnsi="Arial" w:cs="Arial"/>
                <w:sz w:val="22"/>
                <w:szCs w:val="22"/>
              </w:rPr>
            </w:pPr>
          </w:p>
        </w:tc>
      </w:tr>
      <w:tr w:rsidR="00072704" w:rsidRPr="007923C2" w14:paraId="6FB390E0" w14:textId="77777777"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14:paraId="60ED60A1"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17</w:t>
            </w: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0DA0DFBA"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Batallan para salir de Coahuila, plan de estudios no rígido las optativas no son obligatorias cada quien escoge</w:t>
            </w:r>
          </w:p>
        </w:tc>
      </w:tr>
      <w:tr w:rsidR="00E36673" w:rsidRPr="007923C2" w14:paraId="1FBCFFED" w14:textId="77777777"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14:paraId="56C9C4F4"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18</w:t>
            </w:r>
          </w:p>
        </w:tc>
        <w:tc>
          <w:tcPr>
            <w:tcW w:w="3842" w:type="dxa"/>
            <w:gridSpan w:val="2"/>
            <w:tcBorders>
              <w:top w:val="single" w:sz="4" w:space="0" w:color="auto"/>
              <w:left w:val="single" w:sz="4" w:space="0" w:color="auto"/>
              <w:bottom w:val="single" w:sz="4" w:space="0" w:color="auto"/>
              <w:right w:val="nil"/>
            </w:tcBorders>
            <w:vAlign w:val="bottom"/>
          </w:tcPr>
          <w:p w14:paraId="1595ADEB"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Falta practica</w:t>
            </w:r>
          </w:p>
        </w:tc>
        <w:tc>
          <w:tcPr>
            <w:tcW w:w="3884" w:type="dxa"/>
            <w:gridSpan w:val="4"/>
            <w:tcBorders>
              <w:top w:val="single" w:sz="4" w:space="0" w:color="auto"/>
              <w:left w:val="nil"/>
              <w:bottom w:val="single" w:sz="4" w:space="0" w:color="auto"/>
              <w:right w:val="single" w:sz="4" w:space="0" w:color="auto"/>
            </w:tcBorders>
            <w:vAlign w:val="bottom"/>
          </w:tcPr>
          <w:p w14:paraId="2A3DCBB7" w14:textId="77777777" w:rsidR="00072704" w:rsidRPr="007923C2" w:rsidRDefault="00072704" w:rsidP="00307BE8">
            <w:pPr>
              <w:widowControl w:val="0"/>
              <w:autoSpaceDE w:val="0"/>
              <w:autoSpaceDN w:val="0"/>
              <w:adjustRightInd w:val="0"/>
              <w:rPr>
                <w:rFonts w:ascii="Arial" w:hAnsi="Arial" w:cs="Arial"/>
                <w:sz w:val="22"/>
                <w:szCs w:val="22"/>
              </w:rPr>
            </w:pPr>
          </w:p>
        </w:tc>
      </w:tr>
      <w:tr w:rsidR="007923C2" w:rsidRPr="007923C2" w14:paraId="6E25D79A" w14:textId="77777777" w:rsidTr="00295B33">
        <w:trPr>
          <w:gridAfter w:val="1"/>
          <w:wAfter w:w="850" w:type="dxa"/>
          <w:trHeight w:val="182"/>
        </w:trPr>
        <w:tc>
          <w:tcPr>
            <w:tcW w:w="1704" w:type="dxa"/>
            <w:gridSpan w:val="4"/>
            <w:tcBorders>
              <w:top w:val="nil"/>
              <w:left w:val="single" w:sz="4" w:space="0" w:color="auto"/>
              <w:bottom w:val="nil"/>
              <w:right w:val="single" w:sz="4" w:space="0" w:color="auto"/>
            </w:tcBorders>
            <w:vAlign w:val="bottom"/>
          </w:tcPr>
          <w:p w14:paraId="30B2F5C6"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19</w:t>
            </w: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5C8B7C21" w14:textId="77777777"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La pérdida de tiempo por la burocracia de los maestros</w:t>
            </w:r>
          </w:p>
        </w:tc>
      </w:tr>
      <w:tr w:rsidR="00072704" w:rsidRPr="007923C2" w14:paraId="57620201" w14:textId="77777777"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14:paraId="3CCD1213"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20</w:t>
            </w:r>
          </w:p>
        </w:tc>
        <w:tc>
          <w:tcPr>
            <w:tcW w:w="7726" w:type="dxa"/>
            <w:gridSpan w:val="6"/>
            <w:tcBorders>
              <w:top w:val="single" w:sz="4" w:space="0" w:color="auto"/>
              <w:left w:val="single" w:sz="4" w:space="0" w:color="auto"/>
              <w:bottom w:val="nil"/>
              <w:right w:val="single" w:sz="4" w:space="0" w:color="auto"/>
            </w:tcBorders>
            <w:vAlign w:val="bottom"/>
          </w:tcPr>
          <w:p w14:paraId="223B48BB"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Los programas académicos son diferentes a la vida real, Se requiere conocer la realidad, falta llevar riego, Manejo de</w:t>
            </w:r>
            <w:r w:rsidR="00E36673" w:rsidRPr="007923C2">
              <w:rPr>
                <w:rFonts w:ascii="Arial" w:hAnsi="Arial" w:cs="Arial"/>
                <w:sz w:val="22"/>
                <w:szCs w:val="22"/>
              </w:rPr>
              <w:t xml:space="preserve"> sistemas ABRIO, Topografía</w:t>
            </w:r>
          </w:p>
        </w:tc>
      </w:tr>
      <w:tr w:rsidR="00E36673" w:rsidRPr="007923C2" w14:paraId="55DC89EF" w14:textId="77777777" w:rsidTr="00295B33">
        <w:trPr>
          <w:trHeight w:val="182"/>
        </w:trPr>
        <w:tc>
          <w:tcPr>
            <w:tcW w:w="1704" w:type="dxa"/>
            <w:gridSpan w:val="4"/>
            <w:tcBorders>
              <w:top w:val="nil"/>
              <w:left w:val="single" w:sz="4" w:space="0" w:color="auto"/>
              <w:right w:val="single" w:sz="4" w:space="0" w:color="auto"/>
            </w:tcBorders>
            <w:vAlign w:val="bottom"/>
          </w:tcPr>
          <w:p w14:paraId="65F3B28F"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21</w:t>
            </w: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5115FBC1" w14:textId="77777777"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Falta más práctica de lo que se ve en teoría</w:t>
            </w:r>
          </w:p>
        </w:tc>
        <w:tc>
          <w:tcPr>
            <w:tcW w:w="850" w:type="dxa"/>
            <w:tcBorders>
              <w:top w:val="nil"/>
              <w:left w:val="single" w:sz="4" w:space="0" w:color="auto"/>
              <w:right w:val="nil"/>
            </w:tcBorders>
            <w:vAlign w:val="bottom"/>
          </w:tcPr>
          <w:p w14:paraId="5367F2DA" w14:textId="77777777"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14:paraId="73259983" w14:textId="77777777" w:rsidTr="00295B33">
        <w:trPr>
          <w:trHeight w:val="185"/>
        </w:trPr>
        <w:tc>
          <w:tcPr>
            <w:tcW w:w="1704" w:type="dxa"/>
            <w:gridSpan w:val="4"/>
            <w:tcBorders>
              <w:top w:val="nil"/>
              <w:left w:val="single" w:sz="4" w:space="0" w:color="auto"/>
              <w:right w:val="single" w:sz="4" w:space="0" w:color="auto"/>
            </w:tcBorders>
            <w:vAlign w:val="bottom"/>
          </w:tcPr>
          <w:p w14:paraId="08A46F84"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22</w:t>
            </w: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2756DEB1"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Falta apoyo en instalaciones y laboratorio</w:t>
            </w:r>
          </w:p>
        </w:tc>
        <w:tc>
          <w:tcPr>
            <w:tcW w:w="850" w:type="dxa"/>
            <w:tcBorders>
              <w:top w:val="nil"/>
              <w:left w:val="single" w:sz="4" w:space="0" w:color="auto"/>
              <w:right w:val="nil"/>
            </w:tcBorders>
            <w:vAlign w:val="bottom"/>
          </w:tcPr>
          <w:p w14:paraId="4AA9E792" w14:textId="77777777" w:rsidR="00072704" w:rsidRPr="007923C2" w:rsidRDefault="00072704" w:rsidP="00307BE8">
            <w:pPr>
              <w:widowControl w:val="0"/>
              <w:autoSpaceDE w:val="0"/>
              <w:autoSpaceDN w:val="0"/>
              <w:adjustRightInd w:val="0"/>
              <w:rPr>
                <w:rFonts w:ascii="Arial" w:hAnsi="Arial" w:cs="Arial"/>
                <w:sz w:val="22"/>
                <w:szCs w:val="22"/>
              </w:rPr>
            </w:pPr>
          </w:p>
        </w:tc>
      </w:tr>
      <w:tr w:rsidR="00295B33" w:rsidRPr="007923C2" w14:paraId="3509DC66" w14:textId="77777777" w:rsidTr="00295B33">
        <w:trPr>
          <w:gridAfter w:val="1"/>
          <w:wAfter w:w="850" w:type="dxa"/>
          <w:trHeight w:val="185"/>
        </w:trPr>
        <w:tc>
          <w:tcPr>
            <w:tcW w:w="1704" w:type="dxa"/>
            <w:gridSpan w:val="4"/>
            <w:tcBorders>
              <w:left w:val="single" w:sz="4" w:space="0" w:color="auto"/>
              <w:bottom w:val="single" w:sz="4" w:space="0" w:color="auto"/>
              <w:right w:val="single" w:sz="4" w:space="0" w:color="auto"/>
            </w:tcBorders>
            <w:vAlign w:val="bottom"/>
          </w:tcPr>
          <w:p w14:paraId="047F2FC1"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23</w:t>
            </w:r>
          </w:p>
        </w:tc>
        <w:tc>
          <w:tcPr>
            <w:tcW w:w="3842" w:type="dxa"/>
            <w:gridSpan w:val="2"/>
            <w:tcBorders>
              <w:top w:val="single" w:sz="4" w:space="0" w:color="auto"/>
              <w:left w:val="single" w:sz="4" w:space="0" w:color="auto"/>
              <w:bottom w:val="single" w:sz="4" w:space="0" w:color="auto"/>
              <w:right w:val="nil"/>
            </w:tcBorders>
            <w:vAlign w:val="bottom"/>
          </w:tcPr>
          <w:p w14:paraId="1E57A7A7"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Faltan mas prácticas</w:t>
            </w:r>
          </w:p>
        </w:tc>
        <w:tc>
          <w:tcPr>
            <w:tcW w:w="3884" w:type="dxa"/>
            <w:gridSpan w:val="4"/>
            <w:tcBorders>
              <w:top w:val="single" w:sz="4" w:space="0" w:color="auto"/>
              <w:left w:val="nil"/>
              <w:bottom w:val="single" w:sz="4" w:space="0" w:color="auto"/>
              <w:right w:val="single" w:sz="4" w:space="0" w:color="auto"/>
            </w:tcBorders>
            <w:vAlign w:val="bottom"/>
          </w:tcPr>
          <w:p w14:paraId="23C76F69" w14:textId="77777777"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14:paraId="4E1B9271" w14:textId="77777777" w:rsidTr="00295B33">
        <w:trPr>
          <w:gridAfter w:val="1"/>
          <w:wAfter w:w="850" w:type="dxa"/>
          <w:trHeight w:val="182"/>
        </w:trPr>
        <w:tc>
          <w:tcPr>
            <w:tcW w:w="1704" w:type="dxa"/>
            <w:gridSpan w:val="4"/>
            <w:tcBorders>
              <w:top w:val="single" w:sz="4" w:space="0" w:color="auto"/>
              <w:left w:val="single" w:sz="4" w:space="0" w:color="auto"/>
              <w:bottom w:val="single" w:sz="4" w:space="0" w:color="auto"/>
              <w:right w:val="single" w:sz="4" w:space="0" w:color="auto"/>
            </w:tcBorders>
            <w:vAlign w:val="bottom"/>
          </w:tcPr>
          <w:p w14:paraId="5658F2F2"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24</w:t>
            </w:r>
          </w:p>
        </w:tc>
        <w:tc>
          <w:tcPr>
            <w:tcW w:w="7696" w:type="dxa"/>
            <w:gridSpan w:val="5"/>
            <w:tcBorders>
              <w:top w:val="single" w:sz="4" w:space="0" w:color="auto"/>
              <w:left w:val="single" w:sz="4" w:space="0" w:color="auto"/>
              <w:bottom w:val="single" w:sz="4" w:space="0" w:color="auto"/>
              <w:right w:val="single" w:sz="4" w:space="0" w:color="auto"/>
            </w:tcBorders>
            <w:vAlign w:val="bottom"/>
          </w:tcPr>
          <w:p w14:paraId="2D6D091A" w14:textId="77777777"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Les falta prácticas</w:t>
            </w:r>
          </w:p>
        </w:tc>
        <w:tc>
          <w:tcPr>
            <w:tcW w:w="30" w:type="dxa"/>
            <w:tcBorders>
              <w:top w:val="single" w:sz="4" w:space="0" w:color="auto"/>
              <w:left w:val="single" w:sz="4" w:space="0" w:color="auto"/>
              <w:bottom w:val="single" w:sz="4" w:space="0" w:color="auto"/>
              <w:right w:val="single" w:sz="4" w:space="0" w:color="auto"/>
            </w:tcBorders>
            <w:vAlign w:val="bottom"/>
          </w:tcPr>
          <w:p w14:paraId="4B030675" w14:textId="77777777"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14:paraId="2C801CE0" w14:textId="77777777"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14:paraId="12CDCE06"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25</w:t>
            </w:r>
          </w:p>
        </w:tc>
        <w:tc>
          <w:tcPr>
            <w:tcW w:w="7696" w:type="dxa"/>
            <w:gridSpan w:val="5"/>
            <w:tcBorders>
              <w:top w:val="single" w:sz="4" w:space="0" w:color="auto"/>
              <w:left w:val="single" w:sz="4" w:space="0" w:color="auto"/>
              <w:bottom w:val="single" w:sz="4" w:space="0" w:color="auto"/>
              <w:right w:val="single" w:sz="4" w:space="0" w:color="auto"/>
            </w:tcBorders>
            <w:vAlign w:val="bottom"/>
          </w:tcPr>
          <w:p w14:paraId="7C656EE7"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Poca experiencia real y falta de prácticas</w:t>
            </w:r>
          </w:p>
        </w:tc>
        <w:tc>
          <w:tcPr>
            <w:tcW w:w="30" w:type="dxa"/>
            <w:tcBorders>
              <w:top w:val="single" w:sz="4" w:space="0" w:color="auto"/>
              <w:left w:val="single" w:sz="4" w:space="0" w:color="auto"/>
              <w:bottom w:val="single" w:sz="4" w:space="0" w:color="auto"/>
              <w:right w:val="single" w:sz="4" w:space="0" w:color="auto"/>
            </w:tcBorders>
            <w:vAlign w:val="bottom"/>
          </w:tcPr>
          <w:p w14:paraId="5A5C92FF" w14:textId="77777777"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14:paraId="4FEBEE1B" w14:textId="77777777"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14:paraId="49E087DA"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26</w:t>
            </w:r>
          </w:p>
        </w:tc>
        <w:tc>
          <w:tcPr>
            <w:tcW w:w="7696" w:type="dxa"/>
            <w:gridSpan w:val="5"/>
            <w:tcBorders>
              <w:top w:val="single" w:sz="4" w:space="0" w:color="auto"/>
              <w:left w:val="single" w:sz="4" w:space="0" w:color="auto"/>
              <w:bottom w:val="single" w:sz="4" w:space="0" w:color="auto"/>
              <w:right w:val="single" w:sz="4" w:space="0" w:color="auto"/>
            </w:tcBorders>
            <w:vAlign w:val="bottom"/>
          </w:tcPr>
          <w:p w14:paraId="45C8A52A"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La falta de experiencia en prácticas de campo</w:t>
            </w:r>
          </w:p>
        </w:tc>
        <w:tc>
          <w:tcPr>
            <w:tcW w:w="30" w:type="dxa"/>
            <w:tcBorders>
              <w:top w:val="single" w:sz="4" w:space="0" w:color="auto"/>
              <w:left w:val="single" w:sz="4" w:space="0" w:color="auto"/>
              <w:bottom w:val="single" w:sz="4" w:space="0" w:color="auto"/>
              <w:right w:val="single" w:sz="4" w:space="0" w:color="auto"/>
            </w:tcBorders>
            <w:vAlign w:val="bottom"/>
          </w:tcPr>
          <w:p w14:paraId="3D751679" w14:textId="77777777"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14:paraId="06F914AF" w14:textId="77777777" w:rsidTr="00295B33">
        <w:trPr>
          <w:gridAfter w:val="1"/>
          <w:wAfter w:w="850" w:type="dxa"/>
          <w:trHeight w:val="182"/>
        </w:trPr>
        <w:tc>
          <w:tcPr>
            <w:tcW w:w="1704" w:type="dxa"/>
            <w:gridSpan w:val="4"/>
            <w:tcBorders>
              <w:top w:val="single" w:sz="4" w:space="0" w:color="auto"/>
              <w:left w:val="single" w:sz="4" w:space="0" w:color="auto"/>
              <w:bottom w:val="single" w:sz="4" w:space="0" w:color="auto"/>
              <w:right w:val="single" w:sz="4" w:space="0" w:color="auto"/>
            </w:tcBorders>
            <w:vAlign w:val="bottom"/>
          </w:tcPr>
          <w:p w14:paraId="291A6CF5"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27</w:t>
            </w:r>
          </w:p>
        </w:tc>
        <w:tc>
          <w:tcPr>
            <w:tcW w:w="7696" w:type="dxa"/>
            <w:gridSpan w:val="5"/>
            <w:tcBorders>
              <w:top w:val="single" w:sz="4" w:space="0" w:color="auto"/>
              <w:left w:val="single" w:sz="4" w:space="0" w:color="auto"/>
              <w:bottom w:val="single" w:sz="4" w:space="0" w:color="auto"/>
              <w:right w:val="single" w:sz="4" w:space="0" w:color="auto"/>
            </w:tcBorders>
            <w:vAlign w:val="bottom"/>
          </w:tcPr>
          <w:p w14:paraId="75D2C319" w14:textId="77777777"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La poca experiencia de práctica de laboratorio</w:t>
            </w:r>
          </w:p>
        </w:tc>
        <w:tc>
          <w:tcPr>
            <w:tcW w:w="30" w:type="dxa"/>
            <w:tcBorders>
              <w:top w:val="single" w:sz="4" w:space="0" w:color="auto"/>
              <w:left w:val="single" w:sz="4" w:space="0" w:color="auto"/>
              <w:bottom w:val="single" w:sz="4" w:space="0" w:color="auto"/>
              <w:right w:val="single" w:sz="4" w:space="0" w:color="auto"/>
            </w:tcBorders>
            <w:vAlign w:val="bottom"/>
          </w:tcPr>
          <w:p w14:paraId="31939CF4" w14:textId="77777777" w:rsidR="00072704" w:rsidRPr="007923C2" w:rsidRDefault="00072704" w:rsidP="00307BE8">
            <w:pPr>
              <w:widowControl w:val="0"/>
              <w:autoSpaceDE w:val="0"/>
              <w:autoSpaceDN w:val="0"/>
              <w:adjustRightInd w:val="0"/>
              <w:rPr>
                <w:rFonts w:ascii="Arial" w:hAnsi="Arial" w:cs="Arial"/>
                <w:sz w:val="22"/>
                <w:szCs w:val="22"/>
              </w:rPr>
            </w:pPr>
          </w:p>
        </w:tc>
      </w:tr>
      <w:tr w:rsidR="00072704" w:rsidRPr="007923C2" w14:paraId="0ED43F24" w14:textId="77777777"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14:paraId="1C9B4176"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28</w:t>
            </w: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0B2B1513"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Nos enseñan a ser buenos técnicos pero no nos enseñan a cobrar y a valorar nuestro trabajo y muchas veces</w:t>
            </w:r>
            <w:r w:rsidR="00307BE8" w:rsidRPr="007923C2">
              <w:rPr>
                <w:rFonts w:ascii="Arial" w:hAnsi="Arial" w:cs="Arial"/>
                <w:sz w:val="22"/>
                <w:szCs w:val="22"/>
              </w:rPr>
              <w:t xml:space="preserve"> trabajamos de a gratis.</w:t>
            </w:r>
          </w:p>
        </w:tc>
      </w:tr>
      <w:tr w:rsidR="00072704" w:rsidRPr="007923C2" w14:paraId="645F26B3" w14:textId="77777777" w:rsidTr="00295B33">
        <w:trPr>
          <w:gridAfter w:val="1"/>
          <w:wAfter w:w="850" w:type="dxa"/>
          <w:trHeight w:val="182"/>
        </w:trPr>
        <w:tc>
          <w:tcPr>
            <w:tcW w:w="1704" w:type="dxa"/>
            <w:gridSpan w:val="4"/>
            <w:tcBorders>
              <w:top w:val="single" w:sz="4" w:space="0" w:color="auto"/>
              <w:left w:val="single" w:sz="4" w:space="0" w:color="auto"/>
              <w:bottom w:val="single" w:sz="4" w:space="0" w:color="auto"/>
              <w:right w:val="single" w:sz="4" w:space="0" w:color="auto"/>
            </w:tcBorders>
            <w:vAlign w:val="bottom"/>
          </w:tcPr>
          <w:p w14:paraId="7F86F542"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29</w:t>
            </w: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777BD31E" w14:textId="77777777"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Falta de lectura, Falta de expresión y hablar al momento de una entrevista</w:t>
            </w:r>
          </w:p>
        </w:tc>
      </w:tr>
      <w:tr w:rsidR="00072704" w:rsidRPr="007923C2" w14:paraId="52E9EB14" w14:textId="77777777"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14:paraId="315C8429"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30</w:t>
            </w:r>
          </w:p>
        </w:tc>
        <w:tc>
          <w:tcPr>
            <w:tcW w:w="3842" w:type="dxa"/>
            <w:gridSpan w:val="2"/>
            <w:tcBorders>
              <w:top w:val="single" w:sz="4" w:space="0" w:color="auto"/>
              <w:left w:val="single" w:sz="4" w:space="0" w:color="auto"/>
              <w:bottom w:val="single" w:sz="4" w:space="0" w:color="auto"/>
              <w:right w:val="nil"/>
            </w:tcBorders>
            <w:vAlign w:val="bottom"/>
          </w:tcPr>
          <w:p w14:paraId="4546D849"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No sabe no ve ninguna</w:t>
            </w:r>
          </w:p>
        </w:tc>
        <w:tc>
          <w:tcPr>
            <w:tcW w:w="3884" w:type="dxa"/>
            <w:gridSpan w:val="4"/>
            <w:tcBorders>
              <w:top w:val="single" w:sz="4" w:space="0" w:color="auto"/>
              <w:left w:val="nil"/>
              <w:bottom w:val="single" w:sz="4" w:space="0" w:color="auto"/>
              <w:right w:val="single" w:sz="4" w:space="0" w:color="auto"/>
            </w:tcBorders>
            <w:vAlign w:val="bottom"/>
          </w:tcPr>
          <w:p w14:paraId="49E4359F" w14:textId="77777777" w:rsidR="00072704" w:rsidRPr="007923C2" w:rsidRDefault="00072704" w:rsidP="00307BE8">
            <w:pPr>
              <w:widowControl w:val="0"/>
              <w:autoSpaceDE w:val="0"/>
              <w:autoSpaceDN w:val="0"/>
              <w:adjustRightInd w:val="0"/>
              <w:rPr>
                <w:rFonts w:ascii="Arial" w:hAnsi="Arial" w:cs="Arial"/>
                <w:sz w:val="22"/>
                <w:szCs w:val="22"/>
              </w:rPr>
            </w:pPr>
          </w:p>
        </w:tc>
      </w:tr>
      <w:tr w:rsidR="00072704" w:rsidRPr="007923C2" w14:paraId="7D127B39" w14:textId="77777777"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14:paraId="72EC41B1"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31</w:t>
            </w: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6CA124ED"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Hace falta más experiencia que se podría adquirir en prácticas de campo</w:t>
            </w:r>
          </w:p>
        </w:tc>
      </w:tr>
      <w:tr w:rsidR="00072704" w:rsidRPr="007923C2" w14:paraId="609D1831" w14:textId="77777777" w:rsidTr="00295B33">
        <w:trPr>
          <w:gridAfter w:val="1"/>
          <w:wAfter w:w="850" w:type="dxa"/>
          <w:trHeight w:val="182"/>
        </w:trPr>
        <w:tc>
          <w:tcPr>
            <w:tcW w:w="1704" w:type="dxa"/>
            <w:gridSpan w:val="4"/>
            <w:tcBorders>
              <w:top w:val="single" w:sz="4" w:space="0" w:color="auto"/>
              <w:left w:val="single" w:sz="4" w:space="0" w:color="auto"/>
              <w:bottom w:val="single" w:sz="4" w:space="0" w:color="auto"/>
              <w:right w:val="single" w:sz="4" w:space="0" w:color="auto"/>
            </w:tcBorders>
            <w:vAlign w:val="bottom"/>
          </w:tcPr>
          <w:p w14:paraId="490E45E6"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32</w:t>
            </w: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439C5CB3" w14:textId="77777777"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La generalización de las especialidades hacen que sepan un poco de todo no se especialicen en nada y eso no está</w:t>
            </w:r>
            <w:r w:rsidR="00307BE8" w:rsidRPr="007923C2">
              <w:rPr>
                <w:rFonts w:ascii="Arial" w:hAnsi="Arial" w:cs="Arial"/>
                <w:sz w:val="22"/>
                <w:szCs w:val="22"/>
              </w:rPr>
              <w:t xml:space="preserve"> bueno.</w:t>
            </w:r>
          </w:p>
        </w:tc>
      </w:tr>
      <w:tr w:rsidR="00072704" w:rsidRPr="007923C2" w14:paraId="3DF7561D" w14:textId="77777777"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14:paraId="05B5EF7D"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33</w:t>
            </w: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2FB1402A"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La falta total de experiencia en campo por falta de practica</w:t>
            </w:r>
          </w:p>
        </w:tc>
      </w:tr>
      <w:tr w:rsidR="00072704" w:rsidRPr="007923C2" w14:paraId="1AF2A550" w14:textId="77777777" w:rsidTr="00295B33">
        <w:trPr>
          <w:gridAfter w:val="1"/>
          <w:wAfter w:w="850" w:type="dxa"/>
          <w:trHeight w:val="182"/>
        </w:trPr>
        <w:tc>
          <w:tcPr>
            <w:tcW w:w="1704" w:type="dxa"/>
            <w:gridSpan w:val="4"/>
            <w:tcBorders>
              <w:top w:val="single" w:sz="4" w:space="0" w:color="auto"/>
              <w:left w:val="single" w:sz="4" w:space="0" w:color="auto"/>
              <w:bottom w:val="single" w:sz="4" w:space="0" w:color="auto"/>
              <w:right w:val="single" w:sz="4" w:space="0" w:color="auto"/>
            </w:tcBorders>
            <w:vAlign w:val="bottom"/>
          </w:tcPr>
          <w:p w14:paraId="54AF5B9E" w14:textId="77777777"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34</w:t>
            </w:r>
          </w:p>
        </w:tc>
        <w:tc>
          <w:tcPr>
            <w:tcW w:w="3842" w:type="dxa"/>
            <w:gridSpan w:val="2"/>
            <w:tcBorders>
              <w:top w:val="single" w:sz="4" w:space="0" w:color="auto"/>
              <w:left w:val="single" w:sz="4" w:space="0" w:color="auto"/>
              <w:bottom w:val="single" w:sz="4" w:space="0" w:color="auto"/>
              <w:right w:val="nil"/>
            </w:tcBorders>
            <w:vAlign w:val="bottom"/>
          </w:tcPr>
          <w:p w14:paraId="665AA85E" w14:textId="77777777" w:rsidR="00072704" w:rsidRPr="007923C2" w:rsidRDefault="00072704" w:rsidP="00307BE8">
            <w:pPr>
              <w:widowControl w:val="0"/>
              <w:autoSpaceDE w:val="0"/>
              <w:autoSpaceDN w:val="0"/>
              <w:adjustRightInd w:val="0"/>
              <w:spacing w:line="182" w:lineRule="exact"/>
              <w:ind w:right="-1699"/>
              <w:rPr>
                <w:rFonts w:ascii="Arial" w:hAnsi="Arial" w:cs="Arial"/>
                <w:sz w:val="22"/>
                <w:szCs w:val="22"/>
              </w:rPr>
            </w:pPr>
            <w:r w:rsidRPr="007923C2">
              <w:rPr>
                <w:rFonts w:ascii="Arial" w:hAnsi="Arial" w:cs="Arial"/>
                <w:sz w:val="22"/>
                <w:szCs w:val="22"/>
              </w:rPr>
              <w:t xml:space="preserve">Falta de actualización en diferentes </w:t>
            </w:r>
          </w:p>
        </w:tc>
        <w:tc>
          <w:tcPr>
            <w:tcW w:w="3884" w:type="dxa"/>
            <w:gridSpan w:val="4"/>
            <w:tcBorders>
              <w:top w:val="single" w:sz="4" w:space="0" w:color="auto"/>
              <w:left w:val="nil"/>
              <w:bottom w:val="single" w:sz="4" w:space="0" w:color="auto"/>
              <w:right w:val="single" w:sz="4" w:space="0" w:color="auto"/>
            </w:tcBorders>
            <w:vAlign w:val="bottom"/>
          </w:tcPr>
          <w:p w14:paraId="3EFA1489" w14:textId="77777777" w:rsidR="00072704" w:rsidRPr="007923C2" w:rsidRDefault="00307BE8" w:rsidP="00307BE8">
            <w:pPr>
              <w:widowControl w:val="0"/>
              <w:autoSpaceDE w:val="0"/>
              <w:autoSpaceDN w:val="0"/>
              <w:adjustRightInd w:val="0"/>
              <w:rPr>
                <w:rFonts w:ascii="Arial" w:hAnsi="Arial" w:cs="Arial"/>
                <w:sz w:val="22"/>
                <w:szCs w:val="22"/>
              </w:rPr>
            </w:pPr>
            <w:r w:rsidRPr="007923C2">
              <w:rPr>
                <w:rFonts w:ascii="Arial" w:hAnsi="Arial" w:cs="Arial"/>
                <w:sz w:val="22"/>
                <w:szCs w:val="22"/>
              </w:rPr>
              <w:t>tecnologicas</w:t>
            </w:r>
          </w:p>
        </w:tc>
      </w:tr>
      <w:tr w:rsidR="00072704" w:rsidRPr="007923C2" w14:paraId="30AF16D6" w14:textId="77777777"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14:paraId="69BCA3DC" w14:textId="77777777"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35</w:t>
            </w:r>
          </w:p>
        </w:tc>
        <w:tc>
          <w:tcPr>
            <w:tcW w:w="7726" w:type="dxa"/>
            <w:gridSpan w:val="6"/>
            <w:tcBorders>
              <w:top w:val="single" w:sz="4" w:space="0" w:color="auto"/>
              <w:left w:val="single" w:sz="4" w:space="0" w:color="auto"/>
              <w:bottom w:val="single" w:sz="4" w:space="0" w:color="auto"/>
              <w:right w:val="single" w:sz="4" w:space="0" w:color="auto"/>
            </w:tcBorders>
            <w:vAlign w:val="bottom"/>
          </w:tcPr>
          <w:p w14:paraId="04E718CD" w14:textId="77777777"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La poca disponibilidad de trabajar en equipo con otras especialidades. No hay compañerismo todos son celosos en</w:t>
            </w:r>
            <w:r w:rsidR="00307BE8" w:rsidRPr="007923C2">
              <w:rPr>
                <w:rFonts w:ascii="Arial" w:hAnsi="Arial" w:cs="Arial"/>
                <w:sz w:val="22"/>
                <w:szCs w:val="22"/>
              </w:rPr>
              <w:t xml:space="preserve"> su conocimiento</w:t>
            </w:r>
          </w:p>
        </w:tc>
      </w:tr>
      <w:tr w:rsidR="00072704" w:rsidRPr="007923C2" w14:paraId="3228F458" w14:textId="77777777" w:rsidTr="00295B33">
        <w:trPr>
          <w:gridAfter w:val="1"/>
          <w:wAfter w:w="850" w:type="dxa"/>
          <w:trHeight w:val="185"/>
        </w:trPr>
        <w:tc>
          <w:tcPr>
            <w:tcW w:w="733" w:type="dxa"/>
            <w:tcBorders>
              <w:top w:val="nil"/>
              <w:left w:val="nil"/>
              <w:bottom w:val="nil"/>
              <w:right w:val="nil"/>
            </w:tcBorders>
            <w:vAlign w:val="bottom"/>
          </w:tcPr>
          <w:p w14:paraId="480BE995" w14:textId="77777777" w:rsidR="00072704" w:rsidRPr="007923C2" w:rsidRDefault="00072704" w:rsidP="00FC5373">
            <w:pPr>
              <w:widowControl w:val="0"/>
              <w:autoSpaceDE w:val="0"/>
              <w:autoSpaceDN w:val="0"/>
              <w:adjustRightInd w:val="0"/>
              <w:rPr>
                <w:rFonts w:ascii="Arial" w:hAnsi="Arial" w:cs="Arial"/>
                <w:sz w:val="22"/>
                <w:szCs w:val="22"/>
              </w:rPr>
            </w:pPr>
          </w:p>
        </w:tc>
        <w:tc>
          <w:tcPr>
            <w:tcW w:w="673" w:type="dxa"/>
            <w:gridSpan w:val="2"/>
            <w:tcBorders>
              <w:top w:val="nil"/>
              <w:left w:val="nil"/>
              <w:bottom w:val="nil"/>
              <w:right w:val="nil"/>
            </w:tcBorders>
            <w:vAlign w:val="bottom"/>
          </w:tcPr>
          <w:p w14:paraId="0C0CCACE" w14:textId="77777777" w:rsidR="00072704" w:rsidRPr="007923C2" w:rsidRDefault="00072704" w:rsidP="00FC5373">
            <w:pPr>
              <w:widowControl w:val="0"/>
              <w:autoSpaceDE w:val="0"/>
              <w:autoSpaceDN w:val="0"/>
              <w:adjustRightInd w:val="0"/>
              <w:rPr>
                <w:rFonts w:ascii="Arial" w:hAnsi="Arial" w:cs="Arial"/>
                <w:sz w:val="22"/>
                <w:szCs w:val="22"/>
              </w:rPr>
            </w:pPr>
          </w:p>
        </w:tc>
        <w:tc>
          <w:tcPr>
            <w:tcW w:w="3842" w:type="dxa"/>
            <w:gridSpan w:val="2"/>
            <w:tcBorders>
              <w:top w:val="nil"/>
              <w:left w:val="nil"/>
              <w:bottom w:val="nil"/>
              <w:right w:val="nil"/>
            </w:tcBorders>
            <w:vAlign w:val="bottom"/>
          </w:tcPr>
          <w:p w14:paraId="61CCF3DC" w14:textId="77777777" w:rsidR="00072704" w:rsidRPr="007923C2" w:rsidRDefault="00072704" w:rsidP="00307BE8">
            <w:pPr>
              <w:widowControl w:val="0"/>
              <w:autoSpaceDE w:val="0"/>
              <w:autoSpaceDN w:val="0"/>
              <w:adjustRightInd w:val="0"/>
              <w:rPr>
                <w:rFonts w:ascii="Arial" w:hAnsi="Arial" w:cs="Arial"/>
                <w:sz w:val="22"/>
                <w:szCs w:val="22"/>
              </w:rPr>
            </w:pPr>
          </w:p>
        </w:tc>
        <w:tc>
          <w:tcPr>
            <w:tcW w:w="4182" w:type="dxa"/>
            <w:gridSpan w:val="5"/>
            <w:tcBorders>
              <w:top w:val="nil"/>
              <w:left w:val="nil"/>
              <w:bottom w:val="nil"/>
              <w:right w:val="nil"/>
            </w:tcBorders>
            <w:vAlign w:val="bottom"/>
          </w:tcPr>
          <w:p w14:paraId="0EB43383" w14:textId="77777777" w:rsidR="00072704" w:rsidRPr="007923C2" w:rsidRDefault="00072704" w:rsidP="00307BE8">
            <w:pPr>
              <w:widowControl w:val="0"/>
              <w:autoSpaceDE w:val="0"/>
              <w:autoSpaceDN w:val="0"/>
              <w:adjustRightInd w:val="0"/>
              <w:rPr>
                <w:rFonts w:ascii="Arial" w:hAnsi="Arial" w:cs="Arial"/>
                <w:sz w:val="22"/>
                <w:szCs w:val="22"/>
              </w:rPr>
            </w:pPr>
          </w:p>
        </w:tc>
      </w:tr>
    </w:tbl>
    <w:p w14:paraId="68329FF2" w14:textId="77777777" w:rsidR="00072704" w:rsidRPr="007923C2" w:rsidRDefault="00072704" w:rsidP="00072704">
      <w:pPr>
        <w:widowControl w:val="0"/>
        <w:tabs>
          <w:tab w:val="left" w:pos="720"/>
        </w:tabs>
        <w:autoSpaceDE w:val="0"/>
        <w:autoSpaceDN w:val="0"/>
        <w:adjustRightInd w:val="0"/>
        <w:jc w:val="both"/>
        <w:rPr>
          <w:rFonts w:ascii="Arial" w:hAnsi="Arial" w:cs="Arial"/>
          <w:color w:val="FF0000"/>
          <w:sz w:val="22"/>
          <w:szCs w:val="22"/>
        </w:rPr>
      </w:pPr>
    </w:p>
    <w:p w14:paraId="792EE7CB" w14:textId="77777777" w:rsidR="00072704" w:rsidRPr="007923C2" w:rsidRDefault="00072704" w:rsidP="00072704">
      <w:pPr>
        <w:widowControl w:val="0"/>
        <w:tabs>
          <w:tab w:val="left" w:pos="720"/>
        </w:tabs>
        <w:autoSpaceDE w:val="0"/>
        <w:autoSpaceDN w:val="0"/>
        <w:adjustRightInd w:val="0"/>
        <w:jc w:val="both"/>
        <w:rPr>
          <w:rFonts w:ascii="Arial" w:hAnsi="Arial" w:cs="Arial"/>
          <w:b/>
          <w:sz w:val="22"/>
          <w:szCs w:val="22"/>
        </w:rPr>
      </w:pPr>
      <w:r w:rsidRPr="007923C2">
        <w:rPr>
          <w:rFonts w:ascii="Arial" w:hAnsi="Arial" w:cs="Arial"/>
          <w:b/>
          <w:sz w:val="22"/>
          <w:szCs w:val="22"/>
        </w:rPr>
        <w:t>LUGARES EN DONDE TRABAJAN LOS EGRESADOS DE LA CARRERA DE INGENIERO EN AGROBIOLOGÍA.</w:t>
      </w:r>
    </w:p>
    <w:p w14:paraId="177F51A2"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1.-Productos agrícolas los Asmoles SPR de RL- Encargado de producción</w:t>
      </w:r>
    </w:p>
    <w:p w14:paraId="0A6B6323"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2.-Ingenio Santa Clara SA de CV- Jefe de investigación agrícola.</w:t>
      </w:r>
    </w:p>
    <w:p w14:paraId="54C6DA6E"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3.-Agro servicios técnicos de la Laguna SA de CV- Manejo de plagas de algodón.</w:t>
      </w:r>
    </w:p>
    <w:p w14:paraId="6BB687F3"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4.-Instituto de Reconversión productiva y hortalizas bioenergético.-Responsable de vivero.</w:t>
      </w:r>
    </w:p>
    <w:p w14:paraId="548A54E3"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lastRenderedPageBreak/>
        <w:t>5.-Ecología del Municipio de Pedro Escobedo Querétaro-Campañas de reforestación, talleres de Educación ambiental.</w:t>
      </w:r>
    </w:p>
    <w:p w14:paraId="59E7599C"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6.-Docente en el centro de bachillerato Tecnológico Agropecuario.</w:t>
      </w:r>
    </w:p>
    <w:p w14:paraId="1B65AB03"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7.-Red Mexicana de esfuerzos contra la desertificación y degradación de recursos naturales AC.</w:t>
      </w:r>
    </w:p>
    <w:p w14:paraId="265E56CD"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8.-FERSINSA- Microbiología industrial.</w:t>
      </w:r>
    </w:p>
    <w:p w14:paraId="0C34BF9B"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9.-INEGI</w:t>
      </w:r>
    </w:p>
    <w:p w14:paraId="5EA75B93"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10.-SAGARPA</w:t>
      </w:r>
    </w:p>
    <w:p w14:paraId="5570EE11"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11.-Secretaria del Medio Ambiente Saltillo Coah.</w:t>
      </w:r>
    </w:p>
    <w:p w14:paraId="6869EFF2"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 xml:space="preserve">12.-Servicios y estudios integrales en ingeniería ambiental SA de CV </w:t>
      </w:r>
    </w:p>
    <w:p w14:paraId="4326F4B9"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13.-Colegio de estudios científicos y tecnológicos del Estado de Coahuila.</w:t>
      </w:r>
    </w:p>
    <w:p w14:paraId="488746EE"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14.-Alfa grupo tecnológico SA de CV- Proyectos agrícolas.</w:t>
      </w:r>
    </w:p>
    <w:p w14:paraId="08B8FD9E"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15.-Comisión Nacional Forestal- Agente para el desarrollo agrícola.</w:t>
      </w:r>
    </w:p>
    <w:p w14:paraId="3BE6521E"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16.- Consultoría de Proyectos Zona Mixe SC- Técnico facilitador especialista en café.</w:t>
      </w:r>
    </w:p>
    <w:p w14:paraId="0DE919D3"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17.-Greencorp Biorganiks de México SA de CV</w:t>
      </w:r>
    </w:p>
    <w:p w14:paraId="42906DB9"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18.-Desarrollo de café orgánico en Chiapas.</w:t>
      </w:r>
    </w:p>
    <w:p w14:paraId="39CE2348"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19.-PROFEPA Ramos Arizpe Coahuila</w:t>
      </w:r>
    </w:p>
    <w:p w14:paraId="342C492A"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20.-Producción de tomate en invernadero Chiapas.</w:t>
      </w:r>
    </w:p>
    <w:p w14:paraId="21FF9917"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21.-INIFAP</w:t>
      </w:r>
    </w:p>
    <w:p w14:paraId="65A0D01C"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22.-CIQA</w:t>
      </w:r>
    </w:p>
    <w:p w14:paraId="655CAA52"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23.-Procuraduría Ambiental y de ordenamiento territorial del Estado de Guanajuato- Inspector ambiental.</w:t>
      </w:r>
    </w:p>
    <w:p w14:paraId="2EFEF810"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24.-INEA – Docente</w:t>
      </w:r>
    </w:p>
    <w:p w14:paraId="067F435A"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25.-Servicios Agropecuarios Olor a Tierra SC- Coordinador de proyectos.</w:t>
      </w:r>
    </w:p>
    <w:p w14:paraId="5B477663"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26.-Consultoría en servicios técnicos, proyectos estratégicos de seguridad alimentaria de la SAGARPA Oaxaca.</w:t>
      </w:r>
    </w:p>
    <w:p w14:paraId="5F9591A0"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27.-Agente de desarrollo local del fondo internacional para el desarrollo agrícola en el marco del desarrollo comunitario de los estados del sur.</w:t>
      </w:r>
    </w:p>
    <w:p w14:paraId="080082EA"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28.-  Ingenio azucarero de Veracruz</w:t>
      </w:r>
    </w:p>
    <w:p w14:paraId="16AB120B"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29.- Universidad Autónoma Agraria Antonio Narro –Profesor investigador.</w:t>
      </w:r>
    </w:p>
    <w:p w14:paraId="3BDFEAF7"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30.-CONAFOR</w:t>
      </w:r>
    </w:p>
    <w:p w14:paraId="1845DDB3" w14:textId="77777777"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 xml:space="preserve">31.-Industria automotriz Departamento de control ambiental.    </w:t>
      </w:r>
    </w:p>
    <w:p w14:paraId="4B56D8F2" w14:textId="77777777" w:rsidR="0084709E" w:rsidRPr="007923C2" w:rsidRDefault="0084709E" w:rsidP="00072704">
      <w:pPr>
        <w:widowControl w:val="0"/>
        <w:tabs>
          <w:tab w:val="left" w:pos="720"/>
        </w:tabs>
        <w:autoSpaceDE w:val="0"/>
        <w:autoSpaceDN w:val="0"/>
        <w:adjustRightInd w:val="0"/>
        <w:jc w:val="both"/>
        <w:rPr>
          <w:rFonts w:ascii="Arial" w:hAnsi="Arial" w:cs="Arial"/>
          <w:sz w:val="22"/>
          <w:szCs w:val="22"/>
        </w:rPr>
      </w:pPr>
    </w:p>
    <w:p w14:paraId="5DCD893D" w14:textId="77777777" w:rsidR="00072704" w:rsidRPr="007923C2" w:rsidRDefault="00072704" w:rsidP="00072704">
      <w:pPr>
        <w:widowControl w:val="0"/>
        <w:autoSpaceDE w:val="0"/>
        <w:autoSpaceDN w:val="0"/>
        <w:adjustRightInd w:val="0"/>
        <w:spacing w:line="200" w:lineRule="exact"/>
        <w:rPr>
          <w:rFonts w:ascii="Arial" w:hAnsi="Arial" w:cs="Arial"/>
          <w:b/>
          <w:sz w:val="22"/>
          <w:szCs w:val="22"/>
        </w:rPr>
      </w:pPr>
      <w:r w:rsidRPr="007923C2">
        <w:rPr>
          <w:rFonts w:ascii="Arial" w:hAnsi="Arial" w:cs="Arial"/>
          <w:noProof/>
          <w:sz w:val="22"/>
          <w:szCs w:val="22"/>
        </w:rPr>
        <w:lastRenderedPageBreak/>
        <w:drawing>
          <wp:anchor distT="0" distB="0" distL="114300" distR="114300" simplePos="0" relativeHeight="251800064" behindDoc="1" locked="0" layoutInCell="0" allowOverlap="1" wp14:anchorId="2DDF9753" wp14:editId="75BD169A">
            <wp:simplePos x="0" y="0"/>
            <wp:positionH relativeFrom="column">
              <wp:posOffset>-4445</wp:posOffset>
            </wp:positionH>
            <wp:positionV relativeFrom="paragraph">
              <wp:posOffset>1388110</wp:posOffset>
            </wp:positionV>
            <wp:extent cx="6255385" cy="889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55385" cy="8890"/>
                    </a:xfrm>
                    <a:prstGeom prst="rect">
                      <a:avLst/>
                    </a:prstGeom>
                    <a:noFill/>
                  </pic:spPr>
                </pic:pic>
              </a:graphicData>
            </a:graphic>
          </wp:anchor>
        </w:drawing>
      </w:r>
      <w:r w:rsidRPr="007923C2">
        <w:rPr>
          <w:rFonts w:ascii="Arial" w:hAnsi="Arial" w:cs="Arial"/>
          <w:b/>
          <w:sz w:val="22"/>
          <w:szCs w:val="22"/>
        </w:rPr>
        <w:t>4.2.2.4.- PROGRAMAS SOCIALES</w:t>
      </w:r>
    </w:p>
    <w:p w14:paraId="3116D462" w14:textId="77777777" w:rsidR="00072704" w:rsidRPr="007923C2" w:rsidRDefault="00072704" w:rsidP="00072704">
      <w:pPr>
        <w:widowControl w:val="0"/>
        <w:autoSpaceDE w:val="0"/>
        <w:autoSpaceDN w:val="0"/>
        <w:adjustRightInd w:val="0"/>
        <w:spacing w:line="200" w:lineRule="exact"/>
        <w:rPr>
          <w:rFonts w:ascii="Arial" w:hAnsi="Arial" w:cs="Arial"/>
          <w:b/>
          <w:sz w:val="22"/>
          <w:szCs w:val="22"/>
        </w:rPr>
      </w:pPr>
    </w:p>
    <w:p w14:paraId="53DE8AAB" w14:textId="77777777" w:rsidR="00072704" w:rsidRPr="007923C2" w:rsidRDefault="00072704" w:rsidP="00072704">
      <w:pPr>
        <w:spacing w:after="101"/>
        <w:jc w:val="center"/>
        <w:rPr>
          <w:rFonts w:ascii="Arial" w:hAnsi="Arial" w:cs="Arial"/>
          <w:b/>
          <w:bCs/>
          <w:sz w:val="22"/>
          <w:szCs w:val="22"/>
        </w:rPr>
      </w:pPr>
      <w:r w:rsidRPr="007923C2">
        <w:rPr>
          <w:rFonts w:ascii="Arial" w:hAnsi="Arial" w:cs="Arial"/>
          <w:b/>
          <w:bCs/>
          <w:sz w:val="22"/>
          <w:szCs w:val="22"/>
        </w:rPr>
        <w:t xml:space="preserve"> MÉXICO INCLUYENTE</w:t>
      </w:r>
    </w:p>
    <w:p w14:paraId="1B7A9E83" w14:textId="77777777" w:rsidR="00295B33" w:rsidRPr="007923C2" w:rsidRDefault="00072704" w:rsidP="00295B33">
      <w:pPr>
        <w:spacing w:after="75"/>
        <w:jc w:val="center"/>
        <w:rPr>
          <w:rFonts w:ascii="Arial" w:hAnsi="Arial" w:cs="Arial"/>
          <w:b/>
          <w:bCs/>
          <w:smallCaps/>
          <w:sz w:val="22"/>
          <w:szCs w:val="22"/>
        </w:rPr>
      </w:pPr>
      <w:r w:rsidRPr="007923C2">
        <w:rPr>
          <w:rFonts w:ascii="Arial" w:hAnsi="Arial" w:cs="Arial"/>
          <w:b/>
          <w:bCs/>
          <w:smallCaps/>
          <w:sz w:val="22"/>
          <w:szCs w:val="22"/>
        </w:rPr>
        <w:t>Los avances que se traduzcan en mayor igualdad de oportunidades para todos serán los mismos que</w:t>
      </w:r>
      <w:r w:rsidRPr="007923C2">
        <w:rPr>
          <w:rFonts w:ascii="Arial" w:hAnsi="Arial" w:cs="Arial"/>
          <w:sz w:val="22"/>
          <w:szCs w:val="22"/>
        </w:rPr>
        <w:br/>
      </w:r>
      <w:r w:rsidRPr="007923C2">
        <w:rPr>
          <w:rFonts w:ascii="Arial" w:hAnsi="Arial" w:cs="Arial"/>
          <w:b/>
          <w:bCs/>
          <w:smallCaps/>
          <w:sz w:val="22"/>
          <w:szCs w:val="22"/>
        </w:rPr>
        <w:t>logren transformar a México.</w:t>
      </w:r>
    </w:p>
    <w:p w14:paraId="4A1FB9A4" w14:textId="77777777" w:rsidR="00295B33" w:rsidRPr="007923C2" w:rsidRDefault="00295B33" w:rsidP="00295B33">
      <w:pPr>
        <w:spacing w:after="75"/>
        <w:jc w:val="center"/>
        <w:rPr>
          <w:rFonts w:ascii="Arial" w:hAnsi="Arial" w:cs="Arial"/>
          <w:b/>
          <w:bCs/>
          <w:smallCaps/>
          <w:sz w:val="22"/>
          <w:szCs w:val="22"/>
        </w:rPr>
      </w:pPr>
    </w:p>
    <w:p w14:paraId="3E21AF4E" w14:textId="77777777"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No es el gobierno el que interpreta las aspiraciones sociales, son los ciudadanos quienes encauzan los deseos de transformación y renovación social.</w:t>
      </w:r>
    </w:p>
    <w:p w14:paraId="2D4F1E4D" w14:textId="77777777" w:rsidR="00072704" w:rsidRPr="007923C2" w:rsidRDefault="00072704" w:rsidP="00072704">
      <w:pPr>
        <w:spacing w:after="75"/>
        <w:ind w:firstLine="288"/>
        <w:jc w:val="right"/>
        <w:rPr>
          <w:rFonts w:ascii="Arial" w:hAnsi="Arial" w:cs="Arial"/>
          <w:sz w:val="22"/>
          <w:szCs w:val="22"/>
        </w:rPr>
      </w:pPr>
      <w:r w:rsidRPr="007923C2">
        <w:rPr>
          <w:rFonts w:ascii="Arial" w:hAnsi="Arial" w:cs="Arial"/>
          <w:smallCaps/>
          <w:sz w:val="22"/>
          <w:szCs w:val="22"/>
        </w:rPr>
        <w:t>Lázaro Cárdenas del Río</w:t>
      </w:r>
    </w:p>
    <w:p w14:paraId="4F4A3714" w14:textId="77777777"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Los niveles de pobreza, desigualdad y exclusión social que enfrenta México constituyen no sólo un desafío político y moral a la base misma de nuestro principio fundacional como nación sustentado en la justicia social, sino también una contradicción con el nivel de desarrollo alcanzado por nuestro país.</w:t>
      </w:r>
    </w:p>
    <w:p w14:paraId="6D2FE290" w14:textId="77777777"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La desigualdad y la pobreza generan frustración en amplios segmentos de la población, erosionan la cohesión social y abren el camino al conflicto y la violación de la ley, con graves consecuencias para la paz pública, la fortaleza de las instituciones, así como para el desarrollo sostenible del país.</w:t>
      </w:r>
    </w:p>
    <w:p w14:paraId="6113A885" w14:textId="77777777"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El que una elevada proporción de la población carezca de acceso pleno y efectivo a los bienes públicos que le corresponden por ley, y enfrente condiciones de vulnerabilidad inaceptables, representa, además, un poderoso freno a la expansión del mercado interno y al incremento de la productividad, lo que afecta sensiblemente el potencial de crecimiento económico del país.</w:t>
      </w:r>
    </w:p>
    <w:p w14:paraId="4A34DA0C" w14:textId="77777777"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Un México Incluyente propone enfocar la acción del Estado en garantizar el ejercicio de los derechos sociales y cerrar las brechas de desigualdad social que aún nos dividen. El objetivo es que el país se integre por una sociedad con equidad, cohesión social e igualdad sustantiva.</w:t>
      </w:r>
    </w:p>
    <w:p w14:paraId="689DCF21" w14:textId="77777777"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Esto implica hacer efectivo el ejercicio de los derechos</w:t>
      </w:r>
      <w:r w:rsidRPr="007923C2">
        <w:rPr>
          <w:rFonts w:ascii="Arial" w:hAnsi="Arial" w:cs="Arial"/>
          <w:i/>
          <w:iCs/>
          <w:sz w:val="22"/>
          <w:szCs w:val="22"/>
        </w:rPr>
        <w:t> </w:t>
      </w:r>
      <w:r w:rsidRPr="007923C2">
        <w:rPr>
          <w:rFonts w:ascii="Arial" w:hAnsi="Arial" w:cs="Arial"/>
          <w:sz w:val="22"/>
          <w:szCs w:val="22"/>
        </w:rPr>
        <w:t>sociales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todos</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mexicanos,</w:t>
      </w:r>
      <w:r w:rsidRPr="007923C2">
        <w:rPr>
          <w:rFonts w:ascii="Arial" w:hAnsi="Arial" w:cs="Arial"/>
          <w:i/>
          <w:iCs/>
          <w:sz w:val="22"/>
          <w:szCs w:val="22"/>
        </w:rPr>
        <w:t> </w:t>
      </w:r>
      <w:r w:rsidRPr="007923C2">
        <w:rPr>
          <w:rFonts w:ascii="Arial" w:hAnsi="Arial" w:cs="Arial"/>
          <w:sz w:val="22"/>
          <w:szCs w:val="22"/>
        </w:rPr>
        <w:t>a través del acceso a servicios básicos, agua potable, drenaje,</w:t>
      </w:r>
      <w:r w:rsidRPr="007923C2">
        <w:rPr>
          <w:rFonts w:ascii="Arial" w:hAnsi="Arial" w:cs="Arial"/>
          <w:i/>
          <w:iCs/>
          <w:sz w:val="22"/>
          <w:szCs w:val="22"/>
        </w:rPr>
        <w:t> </w:t>
      </w:r>
      <w:r w:rsidRPr="007923C2">
        <w:rPr>
          <w:rFonts w:ascii="Arial" w:hAnsi="Arial" w:cs="Arial"/>
          <w:sz w:val="22"/>
          <w:szCs w:val="22"/>
        </w:rPr>
        <w:t>saneamiento,</w:t>
      </w:r>
      <w:r w:rsidRPr="007923C2">
        <w:rPr>
          <w:rFonts w:ascii="Arial" w:hAnsi="Arial" w:cs="Arial"/>
          <w:i/>
          <w:iCs/>
          <w:sz w:val="22"/>
          <w:szCs w:val="22"/>
        </w:rPr>
        <w:t> </w:t>
      </w:r>
      <w:r w:rsidRPr="007923C2">
        <w:rPr>
          <w:rFonts w:ascii="Arial" w:hAnsi="Arial" w:cs="Arial"/>
          <w:sz w:val="22"/>
          <w:szCs w:val="22"/>
        </w:rPr>
        <w:t>electricidad,</w:t>
      </w:r>
      <w:r w:rsidRPr="007923C2">
        <w:rPr>
          <w:rFonts w:ascii="Arial" w:hAnsi="Arial" w:cs="Arial"/>
          <w:i/>
          <w:iCs/>
          <w:sz w:val="22"/>
          <w:szCs w:val="22"/>
        </w:rPr>
        <w:t> </w:t>
      </w:r>
      <w:r w:rsidRPr="007923C2">
        <w:rPr>
          <w:rFonts w:ascii="Arial" w:hAnsi="Arial" w:cs="Arial"/>
          <w:sz w:val="22"/>
          <w:szCs w:val="22"/>
        </w:rPr>
        <w:t>seguridad social, educación, alimentación y vivienda digna, como base de un capital humano que les permita desarrollarse plenamente como individuos.</w:t>
      </w:r>
    </w:p>
    <w:p w14:paraId="09201DDA" w14:textId="77777777"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Al igual que en el resto de las Metas Nacionales, las políticas contenidas en México Incluyente no están diseñadas de manera aislada. Estas acciones se complementan con las políticas de seguridad, impartición de justicia, educación y fomento económico, que forman parte de las demás metas del presente Plan, así como con las Estrategias Transversales propuestas.</w:t>
      </w:r>
    </w:p>
    <w:p w14:paraId="3025E726" w14:textId="77777777" w:rsidR="00072704" w:rsidRPr="007923C2" w:rsidRDefault="00072704" w:rsidP="00072704">
      <w:pPr>
        <w:spacing w:after="101"/>
        <w:jc w:val="both"/>
        <w:rPr>
          <w:rFonts w:ascii="Arial" w:hAnsi="Arial" w:cs="Arial"/>
          <w:sz w:val="22"/>
          <w:szCs w:val="22"/>
        </w:rPr>
      </w:pPr>
      <w:r w:rsidRPr="007923C2">
        <w:rPr>
          <w:rFonts w:ascii="Arial" w:hAnsi="Arial" w:cs="Arial"/>
          <w:b/>
          <w:bCs/>
          <w:sz w:val="22"/>
          <w:szCs w:val="22"/>
        </w:rPr>
        <w:t>II.1. Diagnóstico: persisten altos niveles de exclusión, privación de derechos sociales y desigualdad entre personas y regiones de nuestro país</w:t>
      </w:r>
    </w:p>
    <w:p w14:paraId="39216410"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w:t>
      </w:r>
      <w:r w:rsidRPr="007923C2">
        <w:rPr>
          <w:rFonts w:ascii="Arial" w:hAnsi="Arial" w:cs="Arial"/>
          <w:b/>
          <w:bCs/>
          <w:sz w:val="22"/>
          <w:szCs w:val="22"/>
        </w:rPr>
        <w:t>Un país fragmentado y desigual</w:t>
      </w:r>
    </w:p>
    <w:p w14:paraId="510889AF"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Uno de cada cuatro participantes de la Consulta Ciudadana consideró que la prioridad del Gobierno 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República</w:t>
      </w:r>
      <w:r w:rsidRPr="007923C2">
        <w:rPr>
          <w:rFonts w:ascii="Arial" w:hAnsi="Arial" w:cs="Arial"/>
          <w:i/>
          <w:iCs/>
          <w:sz w:val="22"/>
          <w:szCs w:val="22"/>
        </w:rPr>
        <w:t> </w:t>
      </w:r>
      <w:r w:rsidRPr="007923C2">
        <w:rPr>
          <w:rFonts w:ascii="Arial" w:hAnsi="Arial" w:cs="Arial"/>
          <w:sz w:val="22"/>
          <w:szCs w:val="22"/>
        </w:rPr>
        <w:t>debe</w:t>
      </w:r>
      <w:r w:rsidRPr="007923C2">
        <w:rPr>
          <w:rFonts w:ascii="Arial" w:hAnsi="Arial" w:cs="Arial"/>
          <w:i/>
          <w:iCs/>
          <w:sz w:val="22"/>
          <w:szCs w:val="22"/>
        </w:rPr>
        <w:t> </w:t>
      </w:r>
      <w:r w:rsidRPr="007923C2">
        <w:rPr>
          <w:rFonts w:ascii="Arial" w:hAnsi="Arial" w:cs="Arial"/>
          <w:sz w:val="22"/>
          <w:szCs w:val="22"/>
        </w:rPr>
        <w:t>ser</w:t>
      </w:r>
      <w:r w:rsidRPr="007923C2">
        <w:rPr>
          <w:rFonts w:ascii="Arial" w:hAnsi="Arial" w:cs="Arial"/>
          <w:i/>
          <w:iCs/>
          <w:sz w:val="22"/>
          <w:szCs w:val="22"/>
        </w:rPr>
        <w:t> </w:t>
      </w:r>
      <w:r w:rsidRPr="007923C2">
        <w:rPr>
          <w:rFonts w:ascii="Arial" w:hAnsi="Arial" w:cs="Arial"/>
          <w:sz w:val="22"/>
          <w:szCs w:val="22"/>
        </w:rPr>
        <w:t>combatir</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pobreza y apoyar a los sectores más vulnerables de la población. Actualmente, la pobreza ocupa en México una amplia extensión social y territorial.</w:t>
      </w:r>
    </w:p>
    <w:p w14:paraId="4F96F08A"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xml:space="preserve">Según cifras del Consejo Nacional de Evaluación de la Política de Desarrollo Social (CONEVAL) correspondientes a 2010, el 46.2% de la población se encontraba en condiciones de pobreza. Lo anterior significa que casi la mitad de la población mexicana no dispone de ingresos </w:t>
      </w:r>
      <w:r w:rsidRPr="007923C2">
        <w:rPr>
          <w:rFonts w:ascii="Arial" w:hAnsi="Arial" w:cs="Arial"/>
          <w:sz w:val="22"/>
          <w:szCs w:val="22"/>
        </w:rPr>
        <w:lastRenderedPageBreak/>
        <w:t>suficientes para adquirir los bienes y servicios que requiere para satisfacer sus necesidades, y no ejerce al menos uno de los siguientes derechos sociales: educación, acceso</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servicios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salud,</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seguridad social, calidad y espacios de la vivienda, a servicios básicos en la vivienda y acceso a la alimentación.</w:t>
      </w:r>
    </w:p>
    <w:p w14:paraId="6C96C289"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otra parte, el 10.4% de la población nacional se encuentra en pobreza extrema, esto es, carece del</w:t>
      </w:r>
      <w:r w:rsidRPr="007923C2">
        <w:rPr>
          <w:rFonts w:ascii="Arial" w:hAnsi="Arial" w:cs="Arial"/>
          <w:i/>
          <w:iCs/>
          <w:sz w:val="22"/>
          <w:szCs w:val="22"/>
        </w:rPr>
        <w:t> </w:t>
      </w:r>
      <w:r w:rsidRPr="007923C2">
        <w:rPr>
          <w:rFonts w:ascii="Arial" w:hAnsi="Arial" w:cs="Arial"/>
          <w:sz w:val="22"/>
          <w:szCs w:val="22"/>
        </w:rPr>
        <w:t>ingreso mínimo necesario para adquirir una</w:t>
      </w:r>
      <w:r w:rsidRPr="007923C2">
        <w:rPr>
          <w:rFonts w:ascii="Arial" w:hAnsi="Arial" w:cs="Arial"/>
          <w:i/>
          <w:iCs/>
          <w:sz w:val="22"/>
          <w:szCs w:val="22"/>
        </w:rPr>
        <w:t> </w:t>
      </w:r>
      <w:r w:rsidRPr="007923C2">
        <w:rPr>
          <w:rFonts w:ascii="Arial" w:hAnsi="Arial" w:cs="Arial"/>
          <w:sz w:val="22"/>
          <w:szCs w:val="22"/>
        </w:rPr>
        <w:t>canasta</w:t>
      </w:r>
      <w:r w:rsidRPr="007923C2">
        <w:rPr>
          <w:rFonts w:ascii="Arial" w:hAnsi="Arial" w:cs="Arial"/>
          <w:i/>
          <w:iCs/>
          <w:sz w:val="22"/>
          <w:szCs w:val="22"/>
        </w:rPr>
        <w:t> </w:t>
      </w:r>
      <w:r w:rsidRPr="007923C2">
        <w:rPr>
          <w:rFonts w:ascii="Arial" w:hAnsi="Arial" w:cs="Arial"/>
          <w:sz w:val="22"/>
          <w:szCs w:val="22"/>
        </w:rPr>
        <w:t>alimentaria,</w:t>
      </w:r>
      <w:r w:rsidRPr="007923C2">
        <w:rPr>
          <w:rFonts w:ascii="Arial" w:hAnsi="Arial" w:cs="Arial"/>
          <w:i/>
          <w:iCs/>
          <w:sz w:val="22"/>
          <w:szCs w:val="22"/>
        </w:rPr>
        <w:t> </w:t>
      </w:r>
      <w:r w:rsidRPr="007923C2">
        <w:rPr>
          <w:rFonts w:ascii="Arial" w:hAnsi="Arial" w:cs="Arial"/>
          <w:sz w:val="22"/>
          <w:szCs w:val="22"/>
        </w:rPr>
        <w:t>además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no poder ejercer tres o más derechos sociales. Las estadísticas del CONEVAL también muestran</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en40%</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municipios</w:t>
      </w:r>
      <w:r w:rsidRPr="007923C2">
        <w:rPr>
          <w:rFonts w:ascii="Arial" w:hAnsi="Arial" w:cs="Arial"/>
          <w:i/>
          <w:iCs/>
          <w:sz w:val="22"/>
          <w:szCs w:val="22"/>
        </w:rPr>
        <w:t> </w:t>
      </w:r>
      <w:r w:rsidRPr="007923C2">
        <w:rPr>
          <w:rFonts w:ascii="Arial" w:hAnsi="Arial" w:cs="Arial"/>
          <w:sz w:val="22"/>
          <w:szCs w:val="22"/>
        </w:rPr>
        <w:t>del país</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porcentaje</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población</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situación de pobreza es mayor al 75%. Destaca que la mayoría de éstos son municipios pequeños, en localidades rurales y con altos porcentajes de población de habla indígena. Asimismo, sobresale que en tan sólo 190 municipios del país se concentra la mitad de la población en situación de pobreza extrema.</w:t>
      </w:r>
    </w:p>
    <w:p w14:paraId="6EB1EAE4" w14:textId="77777777" w:rsidR="00072704" w:rsidRPr="007923C2" w:rsidRDefault="00072704" w:rsidP="00072704">
      <w:pPr>
        <w:spacing w:after="86"/>
        <w:jc w:val="both"/>
        <w:rPr>
          <w:rFonts w:ascii="Arial" w:hAnsi="Arial" w:cs="Arial"/>
          <w:sz w:val="22"/>
          <w:szCs w:val="22"/>
        </w:rPr>
      </w:pPr>
      <w:r w:rsidRPr="007923C2">
        <w:rPr>
          <w:rFonts w:ascii="Arial" w:hAnsi="Arial" w:cs="Arial"/>
          <w:sz w:val="22"/>
          <w:szCs w:val="22"/>
        </w:rPr>
        <w:t>Los niveles de pobreza en México se han mantenido altos, a pesar de un creciente gasto social y de la implementación de un diverso mosaico de políticas públicas de los tres órdenes de gobierno. Hoy, la pobreza además tiene otros rostros y modalidades vinculadas a los nuevos patrones de consumo sustentados en bienes y servicios cada vez más sofisticados. Las formas de exclusión también han variado y se extienden a productos y</w:t>
      </w:r>
      <w:r w:rsidRPr="007923C2">
        <w:rPr>
          <w:rFonts w:ascii="Arial" w:hAnsi="Arial" w:cs="Arial"/>
          <w:i/>
          <w:iCs/>
          <w:sz w:val="22"/>
          <w:szCs w:val="22"/>
        </w:rPr>
        <w:t> </w:t>
      </w:r>
      <w:r w:rsidRPr="007923C2">
        <w:rPr>
          <w:rFonts w:ascii="Arial" w:hAnsi="Arial" w:cs="Arial"/>
          <w:sz w:val="22"/>
          <w:szCs w:val="22"/>
        </w:rPr>
        <w:t>servicios</w:t>
      </w:r>
      <w:r w:rsidRPr="007923C2">
        <w:rPr>
          <w:rFonts w:ascii="Arial" w:hAnsi="Arial" w:cs="Arial"/>
          <w:i/>
          <w:iCs/>
          <w:sz w:val="22"/>
          <w:szCs w:val="22"/>
        </w:rPr>
        <w:t> </w:t>
      </w:r>
      <w:r w:rsidRPr="007923C2">
        <w:rPr>
          <w:rFonts w:ascii="Arial" w:hAnsi="Arial" w:cs="Arial"/>
          <w:sz w:val="22"/>
          <w:szCs w:val="22"/>
        </w:rPr>
        <w:t>no</w:t>
      </w:r>
      <w:r w:rsidRPr="007923C2">
        <w:rPr>
          <w:rFonts w:ascii="Arial" w:hAnsi="Arial" w:cs="Arial"/>
          <w:i/>
          <w:iCs/>
          <w:sz w:val="22"/>
          <w:szCs w:val="22"/>
        </w:rPr>
        <w:t> </w:t>
      </w:r>
      <w:r w:rsidRPr="007923C2">
        <w:rPr>
          <w:rFonts w:ascii="Arial" w:hAnsi="Arial" w:cs="Arial"/>
          <w:sz w:val="22"/>
          <w:szCs w:val="22"/>
        </w:rPr>
        <w:t>convencionales,</w:t>
      </w:r>
      <w:r w:rsidRPr="007923C2">
        <w:rPr>
          <w:rFonts w:ascii="Arial" w:hAnsi="Arial" w:cs="Arial"/>
          <w:i/>
          <w:iCs/>
          <w:sz w:val="22"/>
          <w:szCs w:val="22"/>
        </w:rPr>
        <w:t> </w:t>
      </w:r>
      <w:r w:rsidRPr="007923C2">
        <w:rPr>
          <w:rFonts w:ascii="Arial" w:hAnsi="Arial" w:cs="Arial"/>
          <w:sz w:val="22"/>
          <w:szCs w:val="22"/>
        </w:rPr>
        <w:t>como</w:t>
      </w:r>
      <w:r w:rsidRPr="007923C2">
        <w:rPr>
          <w:rFonts w:ascii="Arial" w:hAnsi="Arial" w:cs="Arial"/>
          <w:i/>
          <w:iCs/>
          <w:sz w:val="22"/>
          <w:szCs w:val="22"/>
        </w:rPr>
        <w:t> </w:t>
      </w:r>
      <w:r w:rsidRPr="007923C2">
        <w:rPr>
          <w:rFonts w:ascii="Arial" w:hAnsi="Arial" w:cs="Arial"/>
          <w:sz w:val="22"/>
          <w:szCs w:val="22"/>
        </w:rPr>
        <w:t>es</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caso de las tecnologías vinculadas con la Sociedad del Conocimiento y la información. Éstas compiten en importancia, en segmentos de la población cada vez más amplios, con el consumo de alimentos, la vivienda, el cuidado de la salud y otros rubros fundamentales.</w:t>
      </w:r>
    </w:p>
    <w:p w14:paraId="3A8D2709" w14:textId="77777777" w:rsidR="00072704" w:rsidRPr="007923C2" w:rsidRDefault="00072704" w:rsidP="00072704">
      <w:pPr>
        <w:spacing w:after="86"/>
        <w:jc w:val="both"/>
        <w:rPr>
          <w:rFonts w:ascii="Arial" w:hAnsi="Arial" w:cs="Arial"/>
          <w:sz w:val="22"/>
          <w:szCs w:val="22"/>
        </w:rPr>
      </w:pPr>
      <w:r w:rsidRPr="007923C2">
        <w:rPr>
          <w:rFonts w:ascii="Arial" w:hAnsi="Arial" w:cs="Arial"/>
          <w:sz w:val="22"/>
          <w:szCs w:val="22"/>
        </w:rPr>
        <w:t>Un derecho social fundamental, establecido en el Artículo Cuarto de la Constitución Política de los Estados Unidos Mexicanos, es el derecho a una alimentación nutritiva, suficiente y de calidad.</w:t>
      </w:r>
    </w:p>
    <w:p w14:paraId="541F6800" w14:textId="77777777" w:rsidR="00072704" w:rsidRPr="007923C2" w:rsidRDefault="00072704" w:rsidP="00072704">
      <w:pPr>
        <w:spacing w:after="86"/>
        <w:jc w:val="both"/>
        <w:rPr>
          <w:rFonts w:ascii="Arial" w:hAnsi="Arial" w:cs="Arial"/>
          <w:sz w:val="22"/>
          <w:szCs w:val="22"/>
        </w:rPr>
      </w:pPr>
      <w:r w:rsidRPr="007923C2">
        <w:rPr>
          <w:rFonts w:ascii="Arial" w:hAnsi="Arial" w:cs="Arial"/>
          <w:sz w:val="22"/>
          <w:szCs w:val="22"/>
        </w:rPr>
        <w:t>De acuerdo con estimaciones del CONEVAL, 28 millones de personas no tuvieron acceso a una alimentación adecuada en 2010. De éstos, 7.4 millones se encuentran en pobreza extrema.</w:t>
      </w:r>
    </w:p>
    <w:p w14:paraId="53E598C6" w14:textId="77777777" w:rsidR="00072704" w:rsidRPr="007923C2" w:rsidRDefault="00072704" w:rsidP="00295B33">
      <w:pPr>
        <w:spacing w:after="86"/>
        <w:jc w:val="both"/>
        <w:rPr>
          <w:rFonts w:ascii="Arial" w:hAnsi="Arial" w:cs="Arial"/>
          <w:sz w:val="22"/>
          <w:szCs w:val="22"/>
        </w:rPr>
      </w:pPr>
      <w:r w:rsidRPr="007923C2">
        <w:rPr>
          <w:rFonts w:ascii="Arial" w:hAnsi="Arial" w:cs="Arial"/>
          <w:sz w:val="22"/>
          <w:szCs w:val="22"/>
        </w:rPr>
        <w:t>El hambre es la expresión más lacerante de la pobreza extrema. Cuando afecta a los niños pequeños genera daños físicos e intelectuales irreversibles que los condenan a repetir el mismo ciclo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pobreza</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sufrieron</w:t>
      </w:r>
      <w:r w:rsidRPr="007923C2">
        <w:rPr>
          <w:rFonts w:ascii="Arial" w:hAnsi="Arial" w:cs="Arial"/>
          <w:i/>
          <w:iCs/>
          <w:sz w:val="22"/>
          <w:szCs w:val="22"/>
        </w:rPr>
        <w:t> </w:t>
      </w:r>
      <w:r w:rsidRPr="007923C2">
        <w:rPr>
          <w:rFonts w:ascii="Arial" w:hAnsi="Arial" w:cs="Arial"/>
          <w:sz w:val="22"/>
          <w:szCs w:val="22"/>
        </w:rPr>
        <w:t>sus</w:t>
      </w:r>
      <w:r w:rsidRPr="007923C2">
        <w:rPr>
          <w:rFonts w:ascii="Arial" w:hAnsi="Arial" w:cs="Arial"/>
          <w:i/>
          <w:iCs/>
          <w:sz w:val="22"/>
          <w:szCs w:val="22"/>
        </w:rPr>
        <w:t> </w:t>
      </w:r>
      <w:r w:rsidRPr="007923C2">
        <w:rPr>
          <w:rFonts w:ascii="Arial" w:hAnsi="Arial" w:cs="Arial"/>
          <w:sz w:val="22"/>
          <w:szCs w:val="22"/>
        </w:rPr>
        <w:t>padres.</w:t>
      </w:r>
      <w:r w:rsidRPr="007923C2">
        <w:rPr>
          <w:rFonts w:ascii="Arial" w:hAnsi="Arial" w:cs="Arial"/>
          <w:i/>
          <w:iCs/>
          <w:sz w:val="22"/>
          <w:szCs w:val="22"/>
        </w:rPr>
        <w:t> </w:t>
      </w:r>
      <w:r w:rsidRPr="007923C2">
        <w:rPr>
          <w:rFonts w:ascii="Arial" w:hAnsi="Arial" w:cs="Arial"/>
          <w:sz w:val="22"/>
          <w:szCs w:val="22"/>
        </w:rPr>
        <w:t>De acuerdo con la Encuesta Nacional de Salud y Nutrición (ENSANUT), en 2012, 2.8% de los menores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cinco</w:t>
      </w:r>
      <w:r w:rsidRPr="007923C2">
        <w:rPr>
          <w:rFonts w:ascii="Arial" w:hAnsi="Arial" w:cs="Arial"/>
          <w:i/>
          <w:iCs/>
          <w:sz w:val="22"/>
          <w:szCs w:val="22"/>
        </w:rPr>
        <w:t> </w:t>
      </w:r>
      <w:r w:rsidRPr="007923C2">
        <w:rPr>
          <w:rFonts w:ascii="Arial" w:hAnsi="Arial" w:cs="Arial"/>
          <w:sz w:val="22"/>
          <w:szCs w:val="22"/>
        </w:rPr>
        <w:t>años</w:t>
      </w:r>
      <w:r w:rsidRPr="007923C2">
        <w:rPr>
          <w:rFonts w:ascii="Arial" w:hAnsi="Arial" w:cs="Arial"/>
          <w:i/>
          <w:iCs/>
          <w:sz w:val="22"/>
          <w:szCs w:val="22"/>
        </w:rPr>
        <w:t> </w:t>
      </w:r>
      <w:r w:rsidRPr="007923C2">
        <w:rPr>
          <w:rFonts w:ascii="Arial" w:hAnsi="Arial" w:cs="Arial"/>
          <w:sz w:val="22"/>
          <w:szCs w:val="22"/>
        </w:rPr>
        <w:t>presentan</w:t>
      </w:r>
      <w:r w:rsidRPr="007923C2">
        <w:rPr>
          <w:rFonts w:ascii="Arial" w:hAnsi="Arial" w:cs="Arial"/>
          <w:i/>
          <w:iCs/>
          <w:sz w:val="22"/>
          <w:szCs w:val="22"/>
        </w:rPr>
        <w:t> </w:t>
      </w:r>
      <w:r w:rsidRPr="007923C2">
        <w:rPr>
          <w:rFonts w:ascii="Arial" w:hAnsi="Arial" w:cs="Arial"/>
          <w:sz w:val="22"/>
          <w:szCs w:val="22"/>
        </w:rPr>
        <w:t>bajo</w:t>
      </w:r>
      <w:r w:rsidRPr="007923C2">
        <w:rPr>
          <w:rFonts w:ascii="Arial" w:hAnsi="Arial" w:cs="Arial"/>
          <w:i/>
          <w:iCs/>
          <w:sz w:val="22"/>
          <w:szCs w:val="22"/>
        </w:rPr>
        <w:t> </w:t>
      </w:r>
      <w:r w:rsidRPr="007923C2">
        <w:rPr>
          <w:rFonts w:ascii="Arial" w:hAnsi="Arial" w:cs="Arial"/>
          <w:sz w:val="22"/>
          <w:szCs w:val="22"/>
        </w:rPr>
        <w:t>peso, 13.6% muestran baja talla, 1.6% desnutrición aguda (emaciación) y 23.3% anemia.</w:t>
      </w:r>
    </w:p>
    <w:p w14:paraId="2A22B66D" w14:textId="77777777" w:rsidR="00072704" w:rsidRPr="007923C2" w:rsidRDefault="00072704" w:rsidP="00072704">
      <w:pPr>
        <w:spacing w:after="86"/>
        <w:jc w:val="both"/>
        <w:rPr>
          <w:rFonts w:ascii="Arial" w:hAnsi="Arial" w:cs="Arial"/>
          <w:sz w:val="22"/>
          <w:szCs w:val="22"/>
        </w:rPr>
      </w:pPr>
      <w:r w:rsidRPr="007923C2">
        <w:rPr>
          <w:rFonts w:ascii="Arial" w:hAnsi="Arial" w:cs="Arial"/>
          <w:sz w:val="22"/>
          <w:szCs w:val="22"/>
        </w:rPr>
        <w:t>La falta de acceso a los alimentos se agrava con la pérdida del poder adquisitivo de los hogares. De acuerdo</w:t>
      </w:r>
      <w:r w:rsidRPr="007923C2">
        <w:rPr>
          <w:rFonts w:ascii="Arial" w:hAnsi="Arial" w:cs="Arial"/>
          <w:i/>
          <w:iCs/>
          <w:sz w:val="22"/>
          <w:szCs w:val="22"/>
        </w:rPr>
        <w:t> </w:t>
      </w:r>
      <w:r w:rsidRPr="007923C2">
        <w:rPr>
          <w:rFonts w:ascii="Arial" w:hAnsi="Arial" w:cs="Arial"/>
          <w:sz w:val="22"/>
          <w:szCs w:val="22"/>
        </w:rPr>
        <w:t>con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CONEVAL,</w:t>
      </w:r>
      <w:r w:rsidRPr="007923C2">
        <w:rPr>
          <w:rFonts w:ascii="Arial" w:hAnsi="Arial" w:cs="Arial"/>
          <w:i/>
          <w:iCs/>
          <w:sz w:val="22"/>
          <w:szCs w:val="22"/>
        </w:rPr>
        <w:t> </w:t>
      </w:r>
      <w:r w:rsidRPr="007923C2">
        <w:rPr>
          <w:rFonts w:ascii="Arial" w:hAnsi="Arial" w:cs="Arial"/>
          <w:sz w:val="22"/>
          <w:szCs w:val="22"/>
        </w:rPr>
        <w:t>entre</w:t>
      </w:r>
      <w:r w:rsidRPr="007923C2">
        <w:rPr>
          <w:rFonts w:ascii="Arial" w:hAnsi="Arial" w:cs="Arial"/>
          <w:i/>
          <w:iCs/>
          <w:sz w:val="22"/>
          <w:szCs w:val="22"/>
        </w:rPr>
        <w:t> </w:t>
      </w:r>
      <w:r w:rsidRPr="007923C2">
        <w:rPr>
          <w:rFonts w:ascii="Arial" w:hAnsi="Arial" w:cs="Arial"/>
          <w:sz w:val="22"/>
          <w:szCs w:val="22"/>
        </w:rPr>
        <w:t>2008</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2010, en un escenario de crisis económica y volatilidad de precios internacionales de alimentos, la única carencia</w:t>
      </w:r>
      <w:r w:rsidRPr="007923C2">
        <w:rPr>
          <w:rFonts w:ascii="Arial" w:hAnsi="Arial" w:cs="Arial"/>
          <w:i/>
          <w:iCs/>
          <w:sz w:val="22"/>
          <w:szCs w:val="22"/>
        </w:rPr>
        <w:t> </w:t>
      </w:r>
      <w:r w:rsidRPr="007923C2">
        <w:rPr>
          <w:rFonts w:ascii="Arial" w:hAnsi="Arial" w:cs="Arial"/>
          <w:sz w:val="22"/>
          <w:szCs w:val="22"/>
        </w:rPr>
        <w:t>social</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aumentó</w:t>
      </w:r>
      <w:r w:rsidRPr="007923C2">
        <w:rPr>
          <w:rFonts w:ascii="Arial" w:hAnsi="Arial" w:cs="Arial"/>
          <w:i/>
          <w:iCs/>
          <w:sz w:val="22"/>
          <w:szCs w:val="22"/>
        </w:rPr>
        <w:t> </w:t>
      </w:r>
      <w:r w:rsidRPr="007923C2">
        <w:rPr>
          <w:rFonts w:ascii="Arial" w:hAnsi="Arial" w:cs="Arial"/>
          <w:sz w:val="22"/>
          <w:szCs w:val="22"/>
        </w:rPr>
        <w:t>suincidencia</w:t>
      </w:r>
      <w:r w:rsidRPr="007923C2">
        <w:rPr>
          <w:rFonts w:ascii="Arial" w:hAnsi="Arial" w:cs="Arial"/>
          <w:i/>
          <w:iCs/>
          <w:sz w:val="22"/>
          <w:szCs w:val="22"/>
        </w:rPr>
        <w:t> </w:t>
      </w:r>
      <w:r w:rsidRPr="007923C2">
        <w:rPr>
          <w:rFonts w:ascii="Arial" w:hAnsi="Arial" w:cs="Arial"/>
          <w:sz w:val="22"/>
          <w:szCs w:val="22"/>
        </w:rPr>
        <w:t>fue la alimentaria. Hasta antes de abril de 2010, el crecimiento del valor de la canasta alimentaria fue mayor que el de la inflación promedio, cuestión que afecta en mayor medida a las personas de menores ingresos (debido a que destinan una proporción más elevada de su gasto a la compra de alimentos). Dicha dinámica se debió, en parte, a factores externos. Por ejemplo, en los últimos años, el aumento del consumo per cápita de todos los alimentos de China ha impactado significativamente la demanda de los mismos y se ha traducido en un incremento de sus precios a nivel mundial.</w:t>
      </w:r>
    </w:p>
    <w:p w14:paraId="10BD4CEA"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xml:space="preserve">Por otro lado, la distribución del ingreso del país representa un reto para el desarrollo nacional y la equidad social. En la última década, México fue la segunda nación más desigual de la Organización para la Cooperación y el Desarrollo Económicos (OCDE) después de Chile y la doceava en América Latina, de acuerdo con cifras de la Comisión Económica para América Latina y el Caribe (CEPAL). Con datos de la Encuesta Nacional de Ingresos y Gastos de los Hogares (ENIGH) 2010, se observa </w:t>
      </w:r>
      <w:r w:rsidRPr="007923C2">
        <w:rPr>
          <w:rFonts w:ascii="Arial" w:hAnsi="Arial" w:cs="Arial"/>
          <w:sz w:val="22"/>
          <w:szCs w:val="22"/>
        </w:rPr>
        <w:lastRenderedPageBreak/>
        <w:t>que la relación de ingresos entre el 10% de la población más rica y el 10% más pobre fue de 25 a 1. En términos de desigualdad, también destaca que el 44% de la clase trabajadora del país percibe ingresos por debajo de dos salarios mínimos mensuales, a 2010 el 31.8% de los mexicanos no contaba con acceso a algún esquema de salud y 60.7% de la población no tenía seguridad social.</w:t>
      </w:r>
    </w:p>
    <w:p w14:paraId="493C7444" w14:textId="77777777" w:rsidR="00072704" w:rsidRPr="007923C2" w:rsidRDefault="00072704" w:rsidP="00072704">
      <w:pPr>
        <w:spacing w:after="80"/>
        <w:jc w:val="both"/>
        <w:rPr>
          <w:rFonts w:ascii="Arial" w:hAnsi="Arial" w:cs="Arial"/>
          <w:sz w:val="22"/>
          <w:szCs w:val="22"/>
        </w:rPr>
      </w:pPr>
      <w:r w:rsidRPr="007923C2">
        <w:rPr>
          <w:rFonts w:ascii="Arial" w:hAnsi="Arial" w:cs="Arial"/>
          <w:sz w:val="22"/>
          <w:szCs w:val="22"/>
        </w:rPr>
        <w:t>La desigualdad también se presenta en términos de regiones. La concentración de los núcleos de crecimiento demográfico en las ciudades es un reflejo del relativo estancamiento económico que presenta el campo. Mientras que el 65% de las personas ubicadas en áreas rurales es pobre, la</w:t>
      </w:r>
      <w:r w:rsidRPr="007923C2">
        <w:rPr>
          <w:rFonts w:ascii="Arial" w:hAnsi="Arial" w:cs="Arial"/>
          <w:i/>
          <w:iCs/>
          <w:sz w:val="22"/>
          <w:szCs w:val="22"/>
        </w:rPr>
        <w:t> </w:t>
      </w:r>
      <w:r w:rsidRPr="007923C2">
        <w:rPr>
          <w:rFonts w:ascii="Arial" w:hAnsi="Arial" w:cs="Arial"/>
          <w:sz w:val="22"/>
          <w:szCs w:val="22"/>
        </w:rPr>
        <w:t>proporción</w:t>
      </w:r>
      <w:r w:rsidRPr="007923C2">
        <w:rPr>
          <w:rFonts w:ascii="Arial" w:hAnsi="Arial" w:cs="Arial"/>
          <w:i/>
          <w:iCs/>
          <w:sz w:val="22"/>
          <w:szCs w:val="22"/>
        </w:rPr>
        <w:t> </w:t>
      </w:r>
      <w:r w:rsidRPr="007923C2">
        <w:rPr>
          <w:rFonts w:ascii="Arial" w:hAnsi="Arial" w:cs="Arial"/>
          <w:sz w:val="22"/>
          <w:szCs w:val="22"/>
        </w:rPr>
        <w:t>disminuye</w:t>
      </w:r>
      <w:r w:rsidRPr="007923C2">
        <w:rPr>
          <w:rFonts w:ascii="Arial" w:hAnsi="Arial" w:cs="Arial"/>
          <w:i/>
          <w:iCs/>
          <w:sz w:val="22"/>
          <w:szCs w:val="22"/>
        </w:rPr>
        <w:t> </w:t>
      </w:r>
      <w:r w:rsidRPr="007923C2">
        <w:rPr>
          <w:rFonts w:ascii="Arial" w:hAnsi="Arial" w:cs="Arial"/>
          <w:sz w:val="22"/>
          <w:szCs w:val="22"/>
        </w:rPr>
        <w:t>al</w:t>
      </w:r>
      <w:r w:rsidRPr="007923C2">
        <w:rPr>
          <w:rFonts w:ascii="Arial" w:hAnsi="Arial" w:cs="Arial"/>
          <w:i/>
          <w:iCs/>
          <w:sz w:val="22"/>
          <w:szCs w:val="22"/>
        </w:rPr>
        <w:t> </w:t>
      </w:r>
      <w:r w:rsidRPr="007923C2">
        <w:rPr>
          <w:rFonts w:ascii="Arial" w:hAnsi="Arial" w:cs="Arial"/>
          <w:sz w:val="22"/>
          <w:szCs w:val="22"/>
        </w:rPr>
        <w:t>40.5%</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las</w:t>
      </w:r>
      <w:r w:rsidRPr="007923C2">
        <w:rPr>
          <w:rFonts w:ascii="Arial" w:hAnsi="Arial" w:cs="Arial"/>
          <w:i/>
          <w:iCs/>
          <w:sz w:val="22"/>
          <w:szCs w:val="22"/>
        </w:rPr>
        <w:t> </w:t>
      </w:r>
      <w:r w:rsidRPr="007923C2">
        <w:rPr>
          <w:rFonts w:ascii="Arial" w:hAnsi="Arial" w:cs="Arial"/>
          <w:sz w:val="22"/>
          <w:szCs w:val="22"/>
        </w:rPr>
        <w:t>zonas urbanas. No obstante, muchas de las ciudades, independientemente de su tamaño, siguen manifestando patrones de crecimiento desordenado y socialmente excluyente con carencias y desigualdades, que inciden desfavorablemente en la vida de sus habitantes. La pobreza urbana muestra hoy el rostro más desafiante: ruptura del tejido comunitario y familiar, segregación, violencia y delincuencia, entre muy diversas patologías sociales.</w:t>
      </w:r>
    </w:p>
    <w:p w14:paraId="2F452494" w14:textId="77777777"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ciudadanía</w:t>
      </w:r>
      <w:r w:rsidRPr="007923C2">
        <w:rPr>
          <w:rFonts w:ascii="Arial" w:hAnsi="Arial" w:cs="Arial"/>
          <w:i/>
          <w:iCs/>
          <w:sz w:val="22"/>
          <w:szCs w:val="22"/>
        </w:rPr>
        <w:t> </w:t>
      </w:r>
      <w:r w:rsidRPr="007923C2">
        <w:rPr>
          <w:rFonts w:ascii="Arial" w:hAnsi="Arial" w:cs="Arial"/>
          <w:sz w:val="22"/>
          <w:szCs w:val="22"/>
        </w:rPr>
        <w:t>goce</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w:t>
      </w:r>
      <w:r w:rsidRPr="007923C2">
        <w:rPr>
          <w:rFonts w:ascii="Arial" w:hAnsi="Arial" w:cs="Arial"/>
          <w:sz w:val="22"/>
          <w:szCs w:val="22"/>
        </w:rPr>
        <w:t>pleno</w:t>
      </w:r>
      <w:r w:rsidRPr="007923C2">
        <w:rPr>
          <w:rFonts w:ascii="Arial" w:hAnsi="Arial" w:cs="Arial"/>
          <w:i/>
          <w:iCs/>
          <w:sz w:val="22"/>
          <w:szCs w:val="22"/>
        </w:rPr>
        <w:t> </w:t>
      </w:r>
      <w:r w:rsidRPr="007923C2">
        <w:rPr>
          <w:rFonts w:ascii="Arial" w:hAnsi="Arial" w:cs="Arial"/>
          <w:sz w:val="22"/>
          <w:szCs w:val="22"/>
        </w:rPr>
        <w:t>ejercicio de sus derechos sociales, es necesario resolver importantes</w:t>
      </w:r>
      <w:r w:rsidRPr="007923C2">
        <w:rPr>
          <w:rFonts w:ascii="Arial" w:hAnsi="Arial" w:cs="Arial"/>
          <w:i/>
          <w:iCs/>
          <w:sz w:val="22"/>
          <w:szCs w:val="22"/>
        </w:rPr>
        <w:t> </w:t>
      </w:r>
      <w:r w:rsidRPr="007923C2">
        <w:rPr>
          <w:rFonts w:ascii="Arial" w:hAnsi="Arial" w:cs="Arial"/>
          <w:sz w:val="22"/>
          <w:szCs w:val="22"/>
        </w:rPr>
        <w:t>retos</w:t>
      </w:r>
      <w:r w:rsidRPr="007923C2">
        <w:rPr>
          <w:rFonts w:ascii="Arial" w:hAnsi="Arial" w:cs="Arial"/>
          <w:i/>
          <w:iCs/>
          <w:sz w:val="22"/>
          <w:szCs w:val="22"/>
        </w:rPr>
        <w:t> </w:t>
      </w:r>
      <w:r w:rsidRPr="007923C2">
        <w:rPr>
          <w:rFonts w:ascii="Arial" w:hAnsi="Arial" w:cs="Arial"/>
          <w:sz w:val="22"/>
          <w:szCs w:val="22"/>
        </w:rPr>
        <w:t>vinculados</w:t>
      </w:r>
      <w:r w:rsidRPr="007923C2">
        <w:rPr>
          <w:rFonts w:ascii="Arial" w:hAnsi="Arial" w:cs="Arial"/>
          <w:i/>
          <w:iCs/>
          <w:sz w:val="22"/>
          <w:szCs w:val="22"/>
        </w:rPr>
        <w:t> </w:t>
      </w:r>
      <w:r w:rsidRPr="007923C2">
        <w:rPr>
          <w:rFonts w:ascii="Arial" w:hAnsi="Arial" w:cs="Arial"/>
          <w:sz w:val="22"/>
          <w:szCs w:val="22"/>
        </w:rPr>
        <w:t>con</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forma</w:t>
      </w:r>
      <w:r w:rsidRPr="007923C2">
        <w:rPr>
          <w:rFonts w:ascii="Arial" w:hAnsi="Arial" w:cs="Arial"/>
          <w:i/>
          <w:iCs/>
          <w:sz w:val="22"/>
          <w:szCs w:val="22"/>
        </w:rPr>
        <w:t> </w:t>
      </w:r>
      <w:r w:rsidRPr="007923C2">
        <w:rPr>
          <w:rFonts w:ascii="Arial" w:hAnsi="Arial" w:cs="Arial"/>
          <w:sz w:val="22"/>
          <w:szCs w:val="22"/>
        </w:rPr>
        <w:t>en que se conceptualizan y se ejercen las políticas públicas. Por ejemplo, los procesos de diseño, gestión, implementación y monitoreo se han trabajado de manera aislada, lo que ha derivado en ocasiones en la duplicidad de programas y en una falta de coordinación entre los diferentes órdenes de gobierno. Actualmente, existen 273 programas y acciones federales relacionados con derechos sociales, mientras que en el ámbito estatal se cuenta con 2,391 programas. Sin embargo, no existe un padrón único de beneficiarios y no se tiene un alineamiento claro y estratégico de la política social. Por tanto, se carece de una adecuada</w:t>
      </w:r>
      <w:r w:rsidRPr="007923C2">
        <w:rPr>
          <w:rFonts w:ascii="Arial" w:hAnsi="Arial" w:cs="Arial"/>
          <w:i/>
          <w:iCs/>
          <w:sz w:val="22"/>
          <w:szCs w:val="22"/>
        </w:rPr>
        <w:t> </w:t>
      </w:r>
      <w:r w:rsidRPr="007923C2">
        <w:rPr>
          <w:rFonts w:ascii="Arial" w:hAnsi="Arial" w:cs="Arial"/>
          <w:sz w:val="22"/>
          <w:szCs w:val="22"/>
        </w:rPr>
        <w:t>articulación</w:t>
      </w:r>
      <w:r w:rsidRPr="007923C2">
        <w:rPr>
          <w:rFonts w:ascii="Arial" w:hAnsi="Arial" w:cs="Arial"/>
          <w:i/>
          <w:iCs/>
          <w:sz w:val="22"/>
          <w:szCs w:val="22"/>
        </w:rPr>
        <w:t> </w:t>
      </w:r>
      <w:r w:rsidRPr="007923C2">
        <w:rPr>
          <w:rFonts w:ascii="Arial" w:hAnsi="Arial" w:cs="Arial"/>
          <w:sz w:val="22"/>
          <w:szCs w:val="22"/>
        </w:rPr>
        <w:t>interinstitucional</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resulte en el cumplimiento efectivo de objetivos de desarrollo social comunes o complementarios.</w:t>
      </w:r>
    </w:p>
    <w:p w14:paraId="0A990D5F" w14:textId="77777777" w:rsidR="00072704" w:rsidRPr="007923C2" w:rsidRDefault="00072704" w:rsidP="00072704">
      <w:pPr>
        <w:spacing w:after="82"/>
        <w:jc w:val="both"/>
        <w:rPr>
          <w:rFonts w:ascii="Arial" w:hAnsi="Arial" w:cs="Arial"/>
          <w:sz w:val="22"/>
          <w:szCs w:val="22"/>
        </w:rPr>
      </w:pPr>
    </w:p>
    <w:p w14:paraId="2CA2B38E" w14:textId="77777777"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Por otro lado, los recursos públicos destinados a atender los problemas de pobreza y desigualdad, en algunos casos, no están adecuadamente dirigidos: la mitad de estos recursos se destinan al segmento superior de la escala de ingresos y sólo el 10% de dichos fondos se asignan al 20% más pobre de la población.</w:t>
      </w:r>
    </w:p>
    <w:p w14:paraId="78CF1158" w14:textId="77777777" w:rsidR="00072704" w:rsidRPr="007923C2" w:rsidRDefault="00072704" w:rsidP="00072704">
      <w:pPr>
        <w:spacing w:after="82"/>
        <w:jc w:val="both"/>
        <w:rPr>
          <w:rFonts w:ascii="Arial" w:hAnsi="Arial" w:cs="Arial"/>
          <w:sz w:val="22"/>
          <w:szCs w:val="22"/>
        </w:rPr>
      </w:pPr>
      <w:r w:rsidRPr="007923C2">
        <w:rPr>
          <w:rFonts w:ascii="Arial" w:hAnsi="Arial" w:cs="Arial"/>
          <w:b/>
          <w:bCs/>
          <w:sz w:val="22"/>
          <w:szCs w:val="22"/>
        </w:rPr>
        <w:t>Desigualdad y discriminación</w:t>
      </w:r>
    </w:p>
    <w:p w14:paraId="3AD9571A" w14:textId="77777777"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La discriminación que día a día sufren las mujeres, los 6.7 millones que hablan alguna lengua indígena, los más de 5.7 millones que viven con alguna discapacidad, las niñas y niños además de las personas de edad avanzada, entre otros, ha dado lugar a una situación de indefensión, de abandono y de incapacidad para exigir sus derechos, satisfacer sus necesidades o para hacer frente a los problemas cotidianos.</w:t>
      </w:r>
    </w:p>
    <w:p w14:paraId="3EEF5D48" w14:textId="77777777" w:rsidR="00072704" w:rsidRPr="007923C2" w:rsidRDefault="00072704" w:rsidP="00072704">
      <w:pPr>
        <w:spacing w:after="82"/>
        <w:jc w:val="both"/>
        <w:rPr>
          <w:rFonts w:ascii="Arial" w:hAnsi="Arial" w:cs="Arial"/>
          <w:sz w:val="22"/>
          <w:szCs w:val="22"/>
        </w:rPr>
      </w:pPr>
    </w:p>
    <w:p w14:paraId="7FDA6F04" w14:textId="77777777"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La discriminación, intolerancia y exclusión social que enfrentan estos sectores de la población mexicana</w:t>
      </w:r>
      <w:r w:rsidRPr="007923C2">
        <w:rPr>
          <w:rFonts w:ascii="Arial" w:hAnsi="Arial" w:cs="Arial"/>
          <w:i/>
          <w:iCs/>
          <w:sz w:val="22"/>
          <w:szCs w:val="22"/>
        </w:rPr>
        <w:t> </w:t>
      </w:r>
      <w:r w:rsidRPr="007923C2">
        <w:rPr>
          <w:rFonts w:ascii="Arial" w:hAnsi="Arial" w:cs="Arial"/>
          <w:sz w:val="22"/>
          <w:szCs w:val="22"/>
        </w:rPr>
        <w:t>constituyen</w:t>
      </w:r>
      <w:r w:rsidRPr="007923C2">
        <w:rPr>
          <w:rFonts w:ascii="Arial" w:hAnsi="Arial" w:cs="Arial"/>
          <w:i/>
          <w:iCs/>
          <w:sz w:val="22"/>
          <w:szCs w:val="22"/>
        </w:rPr>
        <w:t> </w:t>
      </w:r>
      <w:r w:rsidRPr="007923C2">
        <w:rPr>
          <w:rFonts w:ascii="Arial" w:hAnsi="Arial" w:cs="Arial"/>
          <w:sz w:val="22"/>
          <w:szCs w:val="22"/>
        </w:rPr>
        <w:t>uno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mayores desafíos para la presente Administración. De ahí el imperativo de generar políticas públicas para corregir desigualdades, dar poder a quienes no lo tienen y crear una auténtica sociedad de derechos y de igualdad de oportunidades. El 30% de los participantes de la Consulta Ciudadana consideró que la prioridad para mejorar la calidad de vida en México debe ser la igualdad de oportunidades.</w:t>
      </w:r>
    </w:p>
    <w:p w14:paraId="79E1E0D0" w14:textId="77777777"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lastRenderedPageBreak/>
        <w:t>Es fundamental atender el creciente número de jóvenes que no estudian y no trabajan, además de diseñar intervenciones específicas de política pública enfocadas a mejorar su calidad de vida y sus oportunidades.</w:t>
      </w:r>
    </w:p>
    <w:p w14:paraId="697A8F36" w14:textId="77777777"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En caso contrario, se corre el riesgo de desaprovechar el bono demográfico del que goza el país, que representa una oportunidad histórica para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transformación</w:t>
      </w:r>
      <w:r w:rsidRPr="007923C2">
        <w:rPr>
          <w:rFonts w:ascii="Arial" w:hAnsi="Arial" w:cs="Arial"/>
          <w:i/>
          <w:iCs/>
          <w:sz w:val="22"/>
          <w:szCs w:val="22"/>
        </w:rPr>
        <w:t> </w:t>
      </w:r>
      <w:r w:rsidRPr="007923C2">
        <w:rPr>
          <w:rFonts w:ascii="Arial" w:hAnsi="Arial" w:cs="Arial"/>
          <w:sz w:val="22"/>
          <w:szCs w:val="22"/>
        </w:rPr>
        <w:t>económica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México. Un desarrollo deficiente de la juventud hoy se traducirá en rezagos sociales, un capital humano poco productivo y un menor potencial de crecimiento en el mañana. La existencia de una población joven sin esperanza ni futuro es el camino más seguro para la reproducción intergeneracional de la pobreza y augura un escenario de mayor inseguridad y falta de cohesión social.</w:t>
      </w:r>
    </w:p>
    <w:p w14:paraId="1DD4EA01" w14:textId="77777777"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De acuerdo con el Censo de Población y Vivienda 2010, hay 6.1 millones de niñas, niños y adolescentes que están fuera de la escuela. El Fondo de Naciones Unidas para la Infancia (UNICEF, por sus siglas en inglés) señala que su inasistencia se asocia con la persistencia de ciertas barreras, tales como la lejanía de los centros educativos de sus comunidades, la falta de docentes capacitados en</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lengua</w:t>
      </w:r>
      <w:r w:rsidRPr="007923C2">
        <w:rPr>
          <w:rFonts w:ascii="Arial" w:hAnsi="Arial" w:cs="Arial"/>
          <w:i/>
          <w:iCs/>
          <w:sz w:val="22"/>
          <w:szCs w:val="22"/>
        </w:rPr>
        <w:t> </w:t>
      </w:r>
      <w:r w:rsidRPr="007923C2">
        <w:rPr>
          <w:rFonts w:ascii="Arial" w:hAnsi="Arial" w:cs="Arial"/>
          <w:sz w:val="22"/>
          <w:szCs w:val="22"/>
        </w:rPr>
        <w:t>materna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niños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niñas,</w:t>
      </w:r>
      <w:r w:rsidRPr="007923C2">
        <w:rPr>
          <w:rFonts w:ascii="Arial" w:hAnsi="Arial" w:cs="Arial"/>
          <w:i/>
          <w:iCs/>
          <w:sz w:val="22"/>
          <w:szCs w:val="22"/>
        </w:rPr>
        <w:t> </w:t>
      </w:r>
      <w:r w:rsidRPr="007923C2">
        <w:rPr>
          <w:rFonts w:ascii="Arial" w:hAnsi="Arial" w:cs="Arial"/>
          <w:sz w:val="22"/>
          <w:szCs w:val="22"/>
        </w:rPr>
        <w:t>la falta de registro de nacimiento, la ausencia de maestros capacitados para incluir a niños y niñas con discapacidades o dificultades de aprendizaje, situación de violencia en la escuela e iniquidad de género, así como la falta de recursos financieros para la compra de uniformes y materiales escolares. Es imperativo garantizar a todos los niños y niñas el acceso a la escuela.</w:t>
      </w:r>
    </w:p>
    <w:p w14:paraId="0C21E49C" w14:textId="77777777"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Este Plan tiene como uno de sus ejes transversales la igualdad sustantiva de género, porque sin la participación plena de las mujeres, quienes representan</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mitad</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población,</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todos los ámbitos de la vida nacional, México será una democracia incompleta y enfrentará fuertes barreras en su desarrollo económico, político y social. Los retos en esta materia son aún muchos y muy complejos.</w:t>
      </w:r>
    </w:p>
    <w:p w14:paraId="0B4BE9A6" w14:textId="77777777"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Según la Encuesta Nacional de Ocupación y Empleo (ENOE) 2012, 18.4 millones de mujeres formaban parte de la población ocupada en el país; su tasa de</w:t>
      </w:r>
      <w:r w:rsidRPr="007923C2">
        <w:rPr>
          <w:rFonts w:ascii="Arial" w:hAnsi="Arial" w:cs="Arial"/>
          <w:i/>
          <w:iCs/>
          <w:sz w:val="22"/>
          <w:szCs w:val="22"/>
        </w:rPr>
        <w:t> </w:t>
      </w:r>
      <w:r w:rsidRPr="007923C2">
        <w:rPr>
          <w:rFonts w:ascii="Arial" w:hAnsi="Arial" w:cs="Arial"/>
          <w:sz w:val="22"/>
          <w:szCs w:val="22"/>
        </w:rPr>
        <w:t>participación</w:t>
      </w:r>
      <w:r w:rsidRPr="007923C2">
        <w:rPr>
          <w:rFonts w:ascii="Arial" w:hAnsi="Arial" w:cs="Arial"/>
          <w:i/>
          <w:iCs/>
          <w:sz w:val="22"/>
          <w:szCs w:val="22"/>
        </w:rPr>
        <w:t> </w:t>
      </w:r>
      <w:r w:rsidRPr="007923C2">
        <w:rPr>
          <w:rFonts w:ascii="Arial" w:hAnsi="Arial" w:cs="Arial"/>
          <w:sz w:val="22"/>
          <w:szCs w:val="22"/>
        </w:rPr>
        <w:t>laboral</w:t>
      </w:r>
      <w:r w:rsidRPr="007923C2">
        <w:rPr>
          <w:rFonts w:ascii="Arial" w:hAnsi="Arial" w:cs="Arial"/>
          <w:i/>
          <w:iCs/>
          <w:sz w:val="22"/>
          <w:szCs w:val="22"/>
        </w:rPr>
        <w:t> </w:t>
      </w:r>
      <w:r w:rsidRPr="007923C2">
        <w:rPr>
          <w:rFonts w:ascii="Arial" w:hAnsi="Arial" w:cs="Arial"/>
          <w:sz w:val="22"/>
          <w:szCs w:val="22"/>
        </w:rPr>
        <w:t>es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42.9%,</w:t>
      </w:r>
      <w:r w:rsidRPr="007923C2">
        <w:rPr>
          <w:rFonts w:ascii="Arial" w:hAnsi="Arial" w:cs="Arial"/>
          <w:i/>
          <w:iCs/>
          <w:sz w:val="22"/>
          <w:szCs w:val="22"/>
        </w:rPr>
        <w:t> </w:t>
      </w:r>
      <w:r w:rsidRPr="007923C2">
        <w:rPr>
          <w:rFonts w:ascii="Arial" w:hAnsi="Arial" w:cs="Arial"/>
          <w:sz w:val="22"/>
          <w:szCs w:val="22"/>
        </w:rPr>
        <w:t>casi</w:t>
      </w:r>
      <w:r w:rsidRPr="007923C2">
        <w:rPr>
          <w:rFonts w:ascii="Arial" w:hAnsi="Arial" w:cs="Arial"/>
          <w:i/>
          <w:iCs/>
          <w:sz w:val="22"/>
          <w:szCs w:val="22"/>
        </w:rPr>
        <w:t> </w:t>
      </w:r>
      <w:r w:rsidRPr="007923C2">
        <w:rPr>
          <w:rFonts w:ascii="Arial" w:hAnsi="Arial" w:cs="Arial"/>
          <w:sz w:val="22"/>
          <w:szCs w:val="22"/>
        </w:rPr>
        <w:t>dos veces menor a la de los hombres. A pesar de que la participación femenina en la economía ha crecido aceleradamente en los últimos 40 años, en su mayoría se siguen desempeñando en puestos de menor jerarquía, en trabajos precarios que carecen de seguridad social, y en actividades propias de los roles asignados a su género, es decir, en el sector de servicios como vendedoras, profesoras, enfermeras y cuidadoras de niños. Asimismo, en México se observan grandes diferencias de género en cuanto al trabajo remunerado: 49.5% de las mujeres ocupadas ganan menos de dos salarios mínimos en comparación con el 34.7% de los hombres. Según el índice de Discriminación Salarial de 2012, las mujeres ganan en promedio 5% menos que los hombres. Sin embargo, en algunas ocupaciones la brecha de percepciones es mucho mayor.</w:t>
      </w:r>
    </w:p>
    <w:p w14:paraId="7A4F48E3" w14:textId="77777777" w:rsidR="00072704" w:rsidRPr="007923C2" w:rsidRDefault="00072704" w:rsidP="00072704">
      <w:pPr>
        <w:spacing w:after="66"/>
        <w:jc w:val="both"/>
        <w:rPr>
          <w:rFonts w:ascii="Arial" w:hAnsi="Arial" w:cs="Arial"/>
          <w:sz w:val="22"/>
          <w:szCs w:val="22"/>
        </w:rPr>
      </w:pPr>
      <w:r w:rsidRPr="007923C2">
        <w:rPr>
          <w:rFonts w:ascii="Arial" w:hAnsi="Arial" w:cs="Arial"/>
          <w:sz w:val="22"/>
          <w:szCs w:val="22"/>
        </w:rPr>
        <w:t>Cuatro de cada 10 hogares en México tienen jefatura</w:t>
      </w:r>
      <w:r w:rsidRPr="007923C2">
        <w:rPr>
          <w:rFonts w:ascii="Arial" w:hAnsi="Arial" w:cs="Arial"/>
          <w:i/>
          <w:iCs/>
          <w:sz w:val="22"/>
          <w:szCs w:val="22"/>
        </w:rPr>
        <w:t> </w:t>
      </w:r>
      <w:r w:rsidRPr="007923C2">
        <w:rPr>
          <w:rFonts w:ascii="Arial" w:hAnsi="Arial" w:cs="Arial"/>
          <w:sz w:val="22"/>
          <w:szCs w:val="22"/>
        </w:rPr>
        <w:t>femenina,</w:t>
      </w:r>
      <w:r w:rsidRPr="007923C2">
        <w:rPr>
          <w:rFonts w:ascii="Arial" w:hAnsi="Arial" w:cs="Arial"/>
          <w:i/>
          <w:iCs/>
          <w:sz w:val="22"/>
          <w:szCs w:val="22"/>
        </w:rPr>
        <w:t> </w:t>
      </w:r>
      <w:r w:rsidRPr="007923C2">
        <w:rPr>
          <w:rFonts w:ascii="Arial" w:hAnsi="Arial" w:cs="Arial"/>
          <w:sz w:val="22"/>
          <w:szCs w:val="22"/>
        </w:rPr>
        <w:t>lo</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refleja el</w:t>
      </w:r>
      <w:r w:rsidRPr="007923C2">
        <w:rPr>
          <w:rFonts w:ascii="Arial" w:hAnsi="Arial" w:cs="Arial"/>
          <w:i/>
          <w:iCs/>
          <w:sz w:val="22"/>
          <w:szCs w:val="22"/>
        </w:rPr>
        <w:t> </w:t>
      </w:r>
      <w:r w:rsidRPr="007923C2">
        <w:rPr>
          <w:rFonts w:ascii="Arial" w:hAnsi="Arial" w:cs="Arial"/>
          <w:sz w:val="22"/>
          <w:szCs w:val="22"/>
        </w:rPr>
        <w:t>aumento</w:t>
      </w:r>
      <w:r w:rsidRPr="007923C2">
        <w:rPr>
          <w:rFonts w:ascii="Arial" w:hAnsi="Arial" w:cs="Arial"/>
          <w:i/>
          <w:iCs/>
          <w:sz w:val="22"/>
          <w:szCs w:val="22"/>
        </w:rPr>
        <w:t> </w:t>
      </w:r>
      <w:r w:rsidRPr="007923C2">
        <w:rPr>
          <w:rFonts w:ascii="Arial" w:hAnsi="Arial" w:cs="Arial"/>
          <w:sz w:val="22"/>
          <w:szCs w:val="22"/>
        </w:rPr>
        <w:t>de su presencia en la economía y el mercado laboral. Usualmente,</w:t>
      </w:r>
      <w:r w:rsidRPr="007923C2">
        <w:rPr>
          <w:rFonts w:ascii="Arial" w:hAnsi="Arial" w:cs="Arial"/>
          <w:i/>
          <w:iCs/>
          <w:sz w:val="22"/>
          <w:szCs w:val="22"/>
        </w:rPr>
        <w:t> </w:t>
      </w:r>
      <w:r w:rsidRPr="007923C2">
        <w:rPr>
          <w:rFonts w:ascii="Arial" w:hAnsi="Arial" w:cs="Arial"/>
          <w:sz w:val="22"/>
          <w:szCs w:val="22"/>
        </w:rPr>
        <w:t>estas</w:t>
      </w:r>
      <w:r w:rsidRPr="007923C2">
        <w:rPr>
          <w:rFonts w:ascii="Arial" w:hAnsi="Arial" w:cs="Arial"/>
          <w:i/>
          <w:iCs/>
          <w:sz w:val="22"/>
          <w:szCs w:val="22"/>
        </w:rPr>
        <w:t> </w:t>
      </w:r>
      <w:r w:rsidRPr="007923C2">
        <w:rPr>
          <w:rFonts w:ascii="Arial" w:hAnsi="Arial" w:cs="Arial"/>
          <w:sz w:val="22"/>
          <w:szCs w:val="22"/>
        </w:rPr>
        <w:t>mujeres</w:t>
      </w:r>
      <w:r w:rsidRPr="007923C2">
        <w:rPr>
          <w:rFonts w:ascii="Arial" w:hAnsi="Arial" w:cs="Arial"/>
          <w:i/>
          <w:iCs/>
          <w:sz w:val="22"/>
          <w:szCs w:val="22"/>
        </w:rPr>
        <w:t> </w:t>
      </w:r>
      <w:r w:rsidRPr="007923C2">
        <w:rPr>
          <w:rFonts w:ascii="Arial" w:hAnsi="Arial" w:cs="Arial"/>
          <w:sz w:val="22"/>
          <w:szCs w:val="22"/>
        </w:rPr>
        <w:t>desempeñan</w:t>
      </w:r>
      <w:r w:rsidRPr="007923C2">
        <w:rPr>
          <w:rFonts w:ascii="Arial" w:hAnsi="Arial" w:cs="Arial"/>
          <w:i/>
          <w:iCs/>
          <w:sz w:val="22"/>
          <w:szCs w:val="22"/>
        </w:rPr>
        <w:t> </w:t>
      </w:r>
      <w:r w:rsidRPr="007923C2">
        <w:rPr>
          <w:rFonts w:ascii="Arial" w:hAnsi="Arial" w:cs="Arial"/>
          <w:sz w:val="22"/>
          <w:szCs w:val="22"/>
        </w:rPr>
        <w:t>una doble jornada: además de su empleo se encargan del trabajo doméstico, aunque este último no se contabiliza en las cuentas nacionales.</w:t>
      </w:r>
    </w:p>
    <w:p w14:paraId="4EAC2686" w14:textId="77777777" w:rsidR="00072704" w:rsidRPr="007923C2" w:rsidRDefault="00072704" w:rsidP="00072704">
      <w:pPr>
        <w:spacing w:after="66"/>
        <w:jc w:val="both"/>
        <w:rPr>
          <w:rFonts w:ascii="Arial" w:hAnsi="Arial" w:cs="Arial"/>
          <w:sz w:val="22"/>
          <w:szCs w:val="22"/>
        </w:rPr>
      </w:pPr>
      <w:r w:rsidRPr="007923C2">
        <w:rPr>
          <w:rFonts w:ascii="Arial" w:hAnsi="Arial" w:cs="Arial"/>
          <w:sz w:val="22"/>
          <w:szCs w:val="22"/>
        </w:rPr>
        <w:t>Otro</w:t>
      </w:r>
      <w:r w:rsidRPr="007923C2">
        <w:rPr>
          <w:rFonts w:ascii="Arial" w:hAnsi="Arial" w:cs="Arial"/>
          <w:i/>
          <w:iCs/>
          <w:sz w:val="22"/>
          <w:szCs w:val="22"/>
        </w:rPr>
        <w:t> </w:t>
      </w:r>
      <w:r w:rsidRPr="007923C2">
        <w:rPr>
          <w:rFonts w:ascii="Arial" w:hAnsi="Arial" w:cs="Arial"/>
          <w:sz w:val="22"/>
          <w:szCs w:val="22"/>
        </w:rPr>
        <w:t>grupo</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requiere</w:t>
      </w:r>
      <w:r w:rsidRPr="007923C2">
        <w:rPr>
          <w:rFonts w:ascii="Arial" w:hAnsi="Arial" w:cs="Arial"/>
          <w:i/>
          <w:iCs/>
          <w:sz w:val="22"/>
          <w:szCs w:val="22"/>
        </w:rPr>
        <w:t> </w:t>
      </w:r>
      <w:r w:rsidRPr="007923C2">
        <w:rPr>
          <w:rFonts w:ascii="Arial" w:hAnsi="Arial" w:cs="Arial"/>
          <w:sz w:val="22"/>
          <w:szCs w:val="22"/>
        </w:rPr>
        <w:t>atención</w:t>
      </w:r>
      <w:r w:rsidRPr="007923C2">
        <w:rPr>
          <w:rFonts w:ascii="Arial" w:hAnsi="Arial" w:cs="Arial"/>
          <w:i/>
          <w:iCs/>
          <w:sz w:val="22"/>
          <w:szCs w:val="22"/>
        </w:rPr>
        <w:t> </w:t>
      </w:r>
      <w:r w:rsidRPr="007923C2">
        <w:rPr>
          <w:rFonts w:ascii="Arial" w:hAnsi="Arial" w:cs="Arial"/>
          <w:sz w:val="22"/>
          <w:szCs w:val="22"/>
        </w:rPr>
        <w:t>especial</w:t>
      </w:r>
      <w:r w:rsidRPr="007923C2">
        <w:rPr>
          <w:rFonts w:ascii="Arial" w:hAnsi="Arial" w:cs="Arial"/>
          <w:i/>
          <w:iCs/>
          <w:sz w:val="22"/>
          <w:szCs w:val="22"/>
        </w:rPr>
        <w:t> </w:t>
      </w:r>
      <w:r w:rsidRPr="007923C2">
        <w:rPr>
          <w:rFonts w:ascii="Arial" w:hAnsi="Arial" w:cs="Arial"/>
          <w:sz w:val="22"/>
          <w:szCs w:val="22"/>
        </w:rPr>
        <w:t>son las personas adultas mayores de 65 años, que representan el 6.2% de la población y casi la mitad está en situación de pobreza. Existe una enorme brecha entre lo que establece la letra de nuestro marco jurídico, como la Ley de los Derechos de las Personas Adultas Mayores, y la situación de vulnerabilidad y exclusión que enfrentan estos mexicanos.</w:t>
      </w:r>
    </w:p>
    <w:p w14:paraId="3D4EB879" w14:textId="77777777" w:rsidR="00072704" w:rsidRPr="007923C2" w:rsidRDefault="00072704" w:rsidP="00072704">
      <w:pPr>
        <w:spacing w:after="66"/>
        <w:jc w:val="both"/>
        <w:rPr>
          <w:rFonts w:ascii="Arial" w:hAnsi="Arial" w:cs="Arial"/>
          <w:sz w:val="22"/>
          <w:szCs w:val="22"/>
        </w:rPr>
      </w:pPr>
      <w:r w:rsidRPr="007923C2">
        <w:rPr>
          <w:rFonts w:ascii="Arial" w:hAnsi="Arial" w:cs="Arial"/>
          <w:sz w:val="22"/>
          <w:szCs w:val="22"/>
        </w:rPr>
        <w:lastRenderedPageBreak/>
        <w:t>En el ámbito rural existen severas restricciones que inhiben el desarrollo de las mujeres y los hombres del campo: la pulverización de la propiedad, que no sólo se presenta en la propiedad social, sino que es más aguda en la pequeña propiedad. Asimismo, la falta de transferencia de la propiedad agraria, la persistencia de conflictos por la posesión de la tierra,</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envejecimiento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sujetos</w:t>
      </w:r>
      <w:r w:rsidRPr="007923C2">
        <w:rPr>
          <w:rFonts w:ascii="Arial" w:hAnsi="Arial" w:cs="Arial"/>
          <w:i/>
          <w:iCs/>
          <w:sz w:val="22"/>
          <w:szCs w:val="22"/>
        </w:rPr>
        <w:t> </w:t>
      </w:r>
      <w:r w:rsidRPr="007923C2">
        <w:rPr>
          <w:rFonts w:ascii="Arial" w:hAnsi="Arial" w:cs="Arial"/>
          <w:sz w:val="22"/>
          <w:szCs w:val="22"/>
        </w:rPr>
        <w:t>agrarios y la feminización del campo derivado de los movimientos migratorios son algunas de las problemáticas que deben afrontarse para lograr un desarrollo agrario justo y equitativo.</w:t>
      </w:r>
    </w:p>
    <w:p w14:paraId="1007D2FA" w14:textId="77777777" w:rsidR="00936838" w:rsidRDefault="00072704" w:rsidP="00072704">
      <w:pPr>
        <w:spacing w:after="66"/>
        <w:jc w:val="both"/>
        <w:rPr>
          <w:rFonts w:ascii="Arial" w:hAnsi="Arial" w:cs="Arial"/>
          <w:sz w:val="22"/>
          <w:szCs w:val="22"/>
        </w:rPr>
      </w:pPr>
      <w:r w:rsidRPr="007923C2">
        <w:rPr>
          <w:rFonts w:ascii="Arial" w:hAnsi="Arial" w:cs="Arial"/>
          <w:sz w:val="22"/>
          <w:szCs w:val="22"/>
        </w:rPr>
        <w:t>En México hay 68 pueblos indígenas cuyas comunidades tienen rasgos culturales comunes como</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uso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lenguas</w:t>
      </w:r>
      <w:r w:rsidRPr="007923C2">
        <w:rPr>
          <w:rFonts w:ascii="Arial" w:hAnsi="Arial" w:cs="Arial"/>
          <w:i/>
          <w:iCs/>
          <w:sz w:val="22"/>
          <w:szCs w:val="22"/>
        </w:rPr>
        <w:t> </w:t>
      </w:r>
      <w:r w:rsidRPr="007923C2">
        <w:rPr>
          <w:rFonts w:ascii="Arial" w:hAnsi="Arial" w:cs="Arial"/>
          <w:sz w:val="22"/>
          <w:szCs w:val="22"/>
        </w:rPr>
        <w:t>originarias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formas propias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organización.</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esfuerzos</w:t>
      </w:r>
      <w:r w:rsidRPr="007923C2">
        <w:rPr>
          <w:rFonts w:ascii="Arial" w:hAnsi="Arial" w:cs="Arial"/>
          <w:i/>
          <w:iCs/>
          <w:sz w:val="22"/>
          <w:szCs w:val="22"/>
        </w:rPr>
        <w:t> </w:t>
      </w:r>
      <w:r w:rsidRPr="007923C2">
        <w:rPr>
          <w:rFonts w:ascii="Arial" w:hAnsi="Arial" w:cs="Arial"/>
          <w:sz w:val="22"/>
          <w:szCs w:val="22"/>
        </w:rPr>
        <w:t xml:space="preserve">dirigidos a atender las carencias de dichas poblaciones en ocasiones han resultado ser poco efectivos debido a las barreras culturales y lingüísticas, además de una acción pública que no ha sido culturalmente pertinente. Lo anterior se ha traducido en una barrera adicional que dificulta su movilidad social. Estos pueblos históricamente han reclamado el derecho a la vida y al bienestar social, así como a construir una conciencia colectiva partiendo del respeto a la diversidad cultural. </w:t>
      </w:r>
    </w:p>
    <w:p w14:paraId="17356C35" w14:textId="77777777" w:rsidR="00936838" w:rsidRDefault="00936838" w:rsidP="00072704">
      <w:pPr>
        <w:spacing w:after="66"/>
        <w:jc w:val="both"/>
        <w:rPr>
          <w:rFonts w:ascii="Arial" w:hAnsi="Arial" w:cs="Arial"/>
          <w:sz w:val="22"/>
          <w:szCs w:val="22"/>
        </w:rPr>
      </w:pPr>
    </w:p>
    <w:p w14:paraId="7784E73F" w14:textId="77777777" w:rsidR="00072704" w:rsidRDefault="00072704" w:rsidP="00072704">
      <w:pPr>
        <w:spacing w:after="66"/>
        <w:jc w:val="both"/>
        <w:rPr>
          <w:rFonts w:ascii="Arial" w:hAnsi="Arial" w:cs="Arial"/>
          <w:sz w:val="22"/>
          <w:szCs w:val="22"/>
        </w:rPr>
      </w:pPr>
      <w:r w:rsidRPr="007923C2">
        <w:rPr>
          <w:rFonts w:ascii="Arial" w:hAnsi="Arial" w:cs="Arial"/>
          <w:sz w:val="22"/>
          <w:szCs w:val="22"/>
        </w:rPr>
        <w:t>Como quedó claro a</w:t>
      </w:r>
      <w:r w:rsidRPr="007923C2">
        <w:rPr>
          <w:rFonts w:ascii="Arial" w:hAnsi="Arial" w:cs="Arial"/>
          <w:i/>
          <w:iCs/>
          <w:sz w:val="22"/>
          <w:szCs w:val="22"/>
        </w:rPr>
        <w:t> </w:t>
      </w:r>
      <w:r w:rsidRPr="007923C2">
        <w:rPr>
          <w:rFonts w:ascii="Arial" w:hAnsi="Arial" w:cs="Arial"/>
          <w:sz w:val="22"/>
          <w:szCs w:val="22"/>
        </w:rPr>
        <w:t>través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consultar</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comunidades</w:t>
      </w:r>
      <w:r w:rsidRPr="007923C2">
        <w:rPr>
          <w:rFonts w:ascii="Arial" w:hAnsi="Arial" w:cs="Arial"/>
          <w:i/>
          <w:iCs/>
          <w:sz w:val="22"/>
          <w:szCs w:val="22"/>
        </w:rPr>
        <w:t> </w:t>
      </w:r>
      <w:r w:rsidRPr="007923C2">
        <w:rPr>
          <w:rFonts w:ascii="Arial" w:hAnsi="Arial" w:cs="Arial"/>
          <w:sz w:val="22"/>
          <w:szCs w:val="22"/>
        </w:rPr>
        <w:t>indígenas en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marco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las</w:t>
      </w:r>
      <w:r w:rsidRPr="007923C2">
        <w:rPr>
          <w:rFonts w:ascii="Arial" w:hAnsi="Arial" w:cs="Arial"/>
          <w:i/>
          <w:iCs/>
          <w:sz w:val="22"/>
          <w:szCs w:val="22"/>
        </w:rPr>
        <w:t> </w:t>
      </w:r>
      <w:r w:rsidRPr="007923C2">
        <w:rPr>
          <w:rFonts w:ascii="Arial" w:hAnsi="Arial" w:cs="Arial"/>
          <w:sz w:val="22"/>
          <w:szCs w:val="22"/>
        </w:rPr>
        <w:t>consultas</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Plan Nacional de Desarrollo</w:t>
      </w:r>
      <w:r w:rsidRPr="007923C2">
        <w:rPr>
          <w:rFonts w:ascii="Arial" w:hAnsi="Arial" w:cs="Arial"/>
          <w:sz w:val="22"/>
          <w:szCs w:val="22"/>
        </w:rPr>
        <w:t> </w:t>
      </w:r>
      <w:r w:rsidRPr="007923C2">
        <w:rPr>
          <w:rFonts w:ascii="Arial" w:hAnsi="Arial" w:cs="Arial"/>
          <w:i/>
          <w:iCs/>
          <w:sz w:val="22"/>
          <w:szCs w:val="22"/>
        </w:rPr>
        <w:t>2013-2018</w:t>
      </w:r>
      <w:r w:rsidRPr="007923C2">
        <w:rPr>
          <w:rFonts w:ascii="Arial" w:hAnsi="Arial" w:cs="Arial"/>
          <w:sz w:val="22"/>
          <w:szCs w:val="22"/>
        </w:rPr>
        <w:t>, una política adecuada para la acción indígena debe ser concebida desde la interculturalidad y el diálogo entre todos los pueblos originarios, donde la diversidad sea motivo de armonía, respeto, igualdad y justicia, y en la que se escuchen las necesidades de este sector de la población. De lo contrario, se corre el riesgo de implementar políticas de tutelaje y asistencialismo que poco ayuden al desarrollo integral de los pueblos indígenas.</w:t>
      </w:r>
    </w:p>
    <w:p w14:paraId="40A84C5B" w14:textId="77777777" w:rsidR="00936838" w:rsidRPr="007923C2" w:rsidRDefault="00936838" w:rsidP="00072704">
      <w:pPr>
        <w:spacing w:after="66"/>
        <w:jc w:val="both"/>
        <w:rPr>
          <w:rFonts w:ascii="Arial" w:hAnsi="Arial" w:cs="Arial"/>
          <w:sz w:val="22"/>
          <w:szCs w:val="22"/>
        </w:rPr>
      </w:pPr>
    </w:p>
    <w:p w14:paraId="13860B44" w14:textId="77777777" w:rsidR="00936838" w:rsidRDefault="00072704" w:rsidP="00072704">
      <w:pPr>
        <w:spacing w:after="66"/>
        <w:jc w:val="both"/>
        <w:rPr>
          <w:rFonts w:ascii="Arial" w:hAnsi="Arial" w:cs="Arial"/>
          <w:sz w:val="22"/>
          <w:szCs w:val="22"/>
        </w:rPr>
      </w:pPr>
      <w:r w:rsidRPr="007923C2">
        <w:rPr>
          <w:rFonts w:ascii="Arial" w:hAnsi="Arial" w:cs="Arial"/>
          <w:sz w:val="22"/>
          <w:szCs w:val="22"/>
        </w:rPr>
        <w:t>Por otro lado, de acuerdo con estadísticas del INEGI, en México el número de personas con alguna limitación física o mental ascendía a 5.7 millones en 2010. Desde 1995, el Gobierno Federal ha destinado recursos para crear las instituciones y mecanismos a fin de garantizar los derechos de las personas con discapacidad y contribuir a su desarrollo integral e inclusión plena.</w:t>
      </w:r>
    </w:p>
    <w:p w14:paraId="186AD8C4" w14:textId="77777777" w:rsidR="00936838" w:rsidRDefault="00936838" w:rsidP="00072704">
      <w:pPr>
        <w:spacing w:after="66"/>
        <w:jc w:val="both"/>
        <w:rPr>
          <w:rFonts w:ascii="Arial" w:hAnsi="Arial" w:cs="Arial"/>
          <w:sz w:val="22"/>
          <w:szCs w:val="22"/>
        </w:rPr>
      </w:pPr>
    </w:p>
    <w:p w14:paraId="560A9F5C" w14:textId="77777777" w:rsidR="00072704" w:rsidRDefault="00072704" w:rsidP="00072704">
      <w:pPr>
        <w:spacing w:after="66"/>
        <w:jc w:val="both"/>
        <w:rPr>
          <w:rFonts w:ascii="Arial" w:hAnsi="Arial" w:cs="Arial"/>
          <w:sz w:val="22"/>
          <w:szCs w:val="22"/>
        </w:rPr>
      </w:pPr>
      <w:r w:rsidRPr="007923C2">
        <w:rPr>
          <w:rFonts w:ascii="Arial" w:hAnsi="Arial" w:cs="Arial"/>
          <w:sz w:val="22"/>
          <w:szCs w:val="22"/>
        </w:rPr>
        <w:t>Sin embargo, aún persiste una brecha importante en el acceso 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educación</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condiciones</w:t>
      </w:r>
      <w:r w:rsidRPr="007923C2">
        <w:rPr>
          <w:rFonts w:ascii="Arial" w:hAnsi="Arial" w:cs="Arial"/>
          <w:i/>
          <w:iCs/>
          <w:sz w:val="22"/>
          <w:szCs w:val="22"/>
        </w:rPr>
        <w:t> </w:t>
      </w:r>
      <w:r w:rsidRPr="007923C2">
        <w:rPr>
          <w:rFonts w:ascii="Arial" w:hAnsi="Arial" w:cs="Arial"/>
          <w:sz w:val="22"/>
          <w:szCs w:val="22"/>
        </w:rPr>
        <w:t>adecuadas,</w:t>
      </w:r>
      <w:r w:rsidRPr="007923C2">
        <w:rPr>
          <w:rFonts w:ascii="Arial" w:hAnsi="Arial" w:cs="Arial"/>
          <w:i/>
          <w:iCs/>
          <w:sz w:val="22"/>
          <w:szCs w:val="22"/>
        </w:rPr>
        <w:t> </w:t>
      </w:r>
      <w:r w:rsidRPr="007923C2">
        <w:rPr>
          <w:rFonts w:ascii="Arial" w:hAnsi="Arial" w:cs="Arial"/>
          <w:sz w:val="22"/>
          <w:szCs w:val="22"/>
        </w:rPr>
        <w:t>así como el acceso a oportunidades de trabajo para este grupo. De acuerdo con diversos participantes de los foros de consulta del </w:t>
      </w:r>
      <w:r w:rsidRPr="007923C2">
        <w:rPr>
          <w:rFonts w:ascii="Arial" w:hAnsi="Arial" w:cs="Arial"/>
          <w:i/>
          <w:iCs/>
          <w:sz w:val="22"/>
          <w:szCs w:val="22"/>
        </w:rPr>
        <w:t>Plan Nacional de Desarrollo</w:t>
      </w:r>
      <w:r w:rsidRPr="007923C2">
        <w:rPr>
          <w:rFonts w:ascii="Arial" w:hAnsi="Arial" w:cs="Arial"/>
          <w:sz w:val="22"/>
          <w:szCs w:val="22"/>
        </w:rPr>
        <w:t>, el desempleo destaca como la principal preocupación de personas con discapacidad. Ante esta problemática, la falta de accesibilidad a la infraestructura</w:t>
      </w:r>
      <w:r w:rsidRPr="007923C2">
        <w:rPr>
          <w:rFonts w:ascii="Arial" w:hAnsi="Arial" w:cs="Arial"/>
          <w:i/>
          <w:iCs/>
          <w:sz w:val="22"/>
          <w:szCs w:val="22"/>
        </w:rPr>
        <w:t> </w:t>
      </w:r>
      <w:r w:rsidRPr="007923C2">
        <w:rPr>
          <w:rFonts w:ascii="Arial" w:hAnsi="Arial" w:cs="Arial"/>
          <w:sz w:val="22"/>
          <w:szCs w:val="22"/>
        </w:rPr>
        <w:t>pública</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privada</w:t>
      </w:r>
      <w:r w:rsidRPr="007923C2">
        <w:rPr>
          <w:rFonts w:ascii="Arial" w:hAnsi="Arial" w:cs="Arial"/>
          <w:i/>
          <w:iCs/>
          <w:sz w:val="22"/>
          <w:szCs w:val="22"/>
        </w:rPr>
        <w:t> </w:t>
      </w:r>
      <w:r w:rsidRPr="007923C2">
        <w:rPr>
          <w:rFonts w:ascii="Arial" w:hAnsi="Arial" w:cs="Arial"/>
          <w:sz w:val="22"/>
          <w:szCs w:val="22"/>
        </w:rPr>
        <w:t>fue</w:t>
      </w:r>
      <w:r w:rsidRPr="007923C2">
        <w:rPr>
          <w:rFonts w:ascii="Arial" w:hAnsi="Arial" w:cs="Arial"/>
          <w:i/>
          <w:iCs/>
          <w:sz w:val="22"/>
          <w:szCs w:val="22"/>
        </w:rPr>
        <w:t> </w:t>
      </w:r>
      <w:r w:rsidRPr="007923C2">
        <w:rPr>
          <w:rFonts w:ascii="Arial" w:hAnsi="Arial" w:cs="Arial"/>
          <w:sz w:val="22"/>
          <w:szCs w:val="22"/>
        </w:rPr>
        <w:t>señalada como un reto importante para cerrar la diferencia de oportunidades que este sector de la población enfrenta.</w:t>
      </w:r>
    </w:p>
    <w:p w14:paraId="70906330" w14:textId="77777777" w:rsidR="00936838" w:rsidRPr="007923C2" w:rsidRDefault="00936838" w:rsidP="00072704">
      <w:pPr>
        <w:spacing w:after="66"/>
        <w:jc w:val="both"/>
        <w:rPr>
          <w:rFonts w:ascii="Arial" w:hAnsi="Arial" w:cs="Arial"/>
          <w:sz w:val="22"/>
          <w:szCs w:val="22"/>
        </w:rPr>
      </w:pPr>
    </w:p>
    <w:p w14:paraId="6E3A0F50" w14:textId="77777777" w:rsidR="00072704" w:rsidRPr="007923C2" w:rsidRDefault="00072704" w:rsidP="00072704">
      <w:pPr>
        <w:spacing w:after="82"/>
        <w:jc w:val="both"/>
        <w:rPr>
          <w:rFonts w:ascii="Arial" w:hAnsi="Arial" w:cs="Arial"/>
          <w:sz w:val="22"/>
          <w:szCs w:val="22"/>
        </w:rPr>
      </w:pPr>
      <w:r w:rsidRPr="007923C2">
        <w:rPr>
          <w:rFonts w:ascii="Arial" w:hAnsi="Arial" w:cs="Arial"/>
          <w:b/>
          <w:bCs/>
          <w:sz w:val="22"/>
          <w:szCs w:val="22"/>
        </w:rPr>
        <w:t>Salud</w:t>
      </w:r>
    </w:p>
    <w:p w14:paraId="446A5909" w14:textId="77777777" w:rsidR="00072704" w:rsidRDefault="00072704" w:rsidP="00072704">
      <w:pPr>
        <w:spacing w:after="66"/>
        <w:jc w:val="both"/>
        <w:rPr>
          <w:rFonts w:ascii="Arial" w:hAnsi="Arial" w:cs="Arial"/>
          <w:sz w:val="22"/>
          <w:szCs w:val="22"/>
        </w:rPr>
      </w:pPr>
      <w:r w:rsidRPr="007923C2">
        <w:rPr>
          <w:rFonts w:ascii="Arial" w:hAnsi="Arial" w:cs="Arial"/>
          <w:sz w:val="22"/>
          <w:szCs w:val="22"/>
        </w:rPr>
        <w:t>El Artículo Cuarto de la Constitución Política de los Estados</w:t>
      </w:r>
      <w:r w:rsidRPr="007923C2">
        <w:rPr>
          <w:rFonts w:ascii="Arial" w:hAnsi="Arial" w:cs="Arial"/>
          <w:i/>
          <w:iCs/>
          <w:sz w:val="22"/>
          <w:szCs w:val="22"/>
        </w:rPr>
        <w:t> </w:t>
      </w:r>
      <w:r w:rsidRPr="007923C2">
        <w:rPr>
          <w:rFonts w:ascii="Arial" w:hAnsi="Arial" w:cs="Arial"/>
          <w:sz w:val="22"/>
          <w:szCs w:val="22"/>
        </w:rPr>
        <w:t>Unidos Mexicanos establece el derecho de toda persona a la protección de la salud. En respuesta a dicho artículo se ha construido un amplio Sistema Nacional de Salud. Sin embargo, éste se caracteriza por estar fragmentado en múltiples subsistemas, donde diversos grupos de la población cuentan con derechos distintos. En 2012, aproximadamente uno de cada cuatro mexicanos no contaba con acceso en algún esquema de salud.</w:t>
      </w:r>
    </w:p>
    <w:p w14:paraId="3EE69A8B" w14:textId="77777777" w:rsidR="00936838" w:rsidRPr="007923C2" w:rsidRDefault="00936838" w:rsidP="00072704">
      <w:pPr>
        <w:spacing w:after="66"/>
        <w:jc w:val="both"/>
        <w:rPr>
          <w:rFonts w:ascii="Arial" w:hAnsi="Arial" w:cs="Arial"/>
          <w:sz w:val="22"/>
          <w:szCs w:val="22"/>
        </w:rPr>
      </w:pPr>
    </w:p>
    <w:p w14:paraId="2FC38C08" w14:textId="77777777" w:rsidR="00072704" w:rsidRDefault="00072704" w:rsidP="00072704">
      <w:pPr>
        <w:spacing w:after="66"/>
        <w:jc w:val="both"/>
        <w:rPr>
          <w:rFonts w:ascii="Arial" w:hAnsi="Arial" w:cs="Arial"/>
          <w:sz w:val="22"/>
          <w:szCs w:val="22"/>
        </w:rPr>
      </w:pPr>
      <w:r w:rsidRPr="007923C2">
        <w:rPr>
          <w:rFonts w:ascii="Arial" w:hAnsi="Arial" w:cs="Arial"/>
          <w:sz w:val="22"/>
          <w:szCs w:val="22"/>
        </w:rPr>
        <w:lastRenderedPageBreak/>
        <w:t>En 2004, el Seguro Popular inició con la finalidad de</w:t>
      </w:r>
      <w:r w:rsidRPr="007923C2">
        <w:rPr>
          <w:rFonts w:ascii="Arial" w:hAnsi="Arial" w:cs="Arial"/>
          <w:i/>
          <w:iCs/>
          <w:sz w:val="22"/>
          <w:szCs w:val="22"/>
        </w:rPr>
        <w:t> </w:t>
      </w:r>
      <w:r w:rsidRPr="007923C2">
        <w:rPr>
          <w:rFonts w:ascii="Arial" w:hAnsi="Arial" w:cs="Arial"/>
          <w:sz w:val="22"/>
          <w:szCs w:val="22"/>
        </w:rPr>
        <w:t>brindar</w:t>
      </w:r>
      <w:r w:rsidRPr="007923C2">
        <w:rPr>
          <w:rFonts w:ascii="Arial" w:hAnsi="Arial" w:cs="Arial"/>
          <w:i/>
          <w:iCs/>
          <w:sz w:val="22"/>
          <w:szCs w:val="22"/>
        </w:rPr>
        <w:t> </w:t>
      </w:r>
      <w:r w:rsidRPr="007923C2">
        <w:rPr>
          <w:rFonts w:ascii="Arial" w:hAnsi="Arial" w:cs="Arial"/>
          <w:sz w:val="22"/>
          <w:szCs w:val="22"/>
        </w:rPr>
        <w:t>protección</w:t>
      </w:r>
      <w:r w:rsidRPr="007923C2">
        <w:rPr>
          <w:rFonts w:ascii="Arial" w:hAnsi="Arial" w:cs="Arial"/>
          <w:i/>
          <w:iCs/>
          <w:sz w:val="22"/>
          <w:szCs w:val="22"/>
        </w:rPr>
        <w:t> </w:t>
      </w:r>
      <w:r w:rsidRPr="007923C2">
        <w:rPr>
          <w:rFonts w:ascii="Arial" w:hAnsi="Arial" w:cs="Arial"/>
          <w:sz w:val="22"/>
          <w:szCs w:val="22"/>
        </w:rPr>
        <w:t>financiera</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población no afiliada a las instituciones de seguridad social. Este programa representa un avance en términos de igualdad y protección social de la salud. Sin embargo,</w:t>
      </w:r>
      <w:r w:rsidRPr="007923C2">
        <w:rPr>
          <w:rFonts w:ascii="Arial" w:hAnsi="Arial" w:cs="Arial"/>
          <w:i/>
          <w:iCs/>
          <w:sz w:val="22"/>
          <w:szCs w:val="22"/>
        </w:rPr>
        <w:t> </w:t>
      </w:r>
      <w:r w:rsidRPr="007923C2">
        <w:rPr>
          <w:rFonts w:ascii="Arial" w:hAnsi="Arial" w:cs="Arial"/>
          <w:sz w:val="22"/>
          <w:szCs w:val="22"/>
        </w:rPr>
        <w:t>su</w:t>
      </w:r>
      <w:r w:rsidRPr="007923C2">
        <w:rPr>
          <w:rFonts w:ascii="Arial" w:hAnsi="Arial" w:cs="Arial"/>
          <w:i/>
          <w:iCs/>
          <w:sz w:val="22"/>
          <w:szCs w:val="22"/>
        </w:rPr>
        <w:t> </w:t>
      </w:r>
      <w:r w:rsidRPr="007923C2">
        <w:rPr>
          <w:rFonts w:ascii="Arial" w:hAnsi="Arial" w:cs="Arial"/>
          <w:sz w:val="22"/>
          <w:szCs w:val="22"/>
        </w:rPr>
        <w:t>paquete</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servicios</w:t>
      </w:r>
      <w:r w:rsidRPr="007923C2">
        <w:rPr>
          <w:rFonts w:ascii="Arial" w:hAnsi="Arial" w:cs="Arial"/>
          <w:i/>
          <w:iCs/>
          <w:sz w:val="22"/>
          <w:szCs w:val="22"/>
        </w:rPr>
        <w:t> </w:t>
      </w:r>
      <w:r w:rsidRPr="007923C2">
        <w:rPr>
          <w:rFonts w:ascii="Arial" w:hAnsi="Arial" w:cs="Arial"/>
          <w:sz w:val="22"/>
          <w:szCs w:val="22"/>
        </w:rPr>
        <w:t>eslimitado en comparación con la cobertura que ofrecen actualmente el Instituto Mexicano del Seguro Social (IMSS) y el Instituto de Seguridad y Servicios Sociales de los Trabajadores del Estado (ISSSTE) a sus derechohabientes. Adicionalmente, el Seguro Popular representa un reto para promover la formalidad del empleo con el tiempo.</w:t>
      </w:r>
    </w:p>
    <w:p w14:paraId="7BDFD7F5" w14:textId="77777777" w:rsidR="00936838" w:rsidRPr="007923C2" w:rsidRDefault="00936838" w:rsidP="00072704">
      <w:pPr>
        <w:spacing w:after="66"/>
        <w:jc w:val="both"/>
        <w:rPr>
          <w:rFonts w:ascii="Arial" w:hAnsi="Arial" w:cs="Arial"/>
          <w:sz w:val="22"/>
          <w:szCs w:val="22"/>
        </w:rPr>
      </w:pPr>
    </w:p>
    <w:p w14:paraId="556CD607" w14:textId="77777777" w:rsidR="00072704" w:rsidRDefault="00072704" w:rsidP="00072704">
      <w:pPr>
        <w:spacing w:after="66"/>
        <w:jc w:val="both"/>
        <w:rPr>
          <w:rFonts w:ascii="Arial" w:hAnsi="Arial" w:cs="Arial"/>
          <w:sz w:val="22"/>
          <w:szCs w:val="22"/>
        </w:rPr>
      </w:pPr>
      <w:r w:rsidRPr="007923C2">
        <w:rPr>
          <w:rFonts w:ascii="Arial" w:hAnsi="Arial" w:cs="Arial"/>
          <w:sz w:val="22"/>
          <w:szCs w:val="22"/>
        </w:rPr>
        <w:t>Si bien el Sistema de Salud Pública cuenta con una amplia red de atención médica, en ocasiones la falta de respuesta ha propiciado que la población busque la atención en el ámbito privado, la asistencia social e incluso mediante la automedicación. Para lograr mayores niveles de eficiencia y poder atender de mejor manera las necesidades de la población, es necesaria una planeación interinstitucional de largo plazo, una mejor administración de riesgos, así como solidaridad, compromiso y corresponsabilidad entre las instituciones y los diferentes grupos poblacionales.</w:t>
      </w:r>
    </w:p>
    <w:p w14:paraId="4B5BA67B" w14:textId="77777777" w:rsidR="00936838" w:rsidRPr="007923C2" w:rsidRDefault="00936838" w:rsidP="00072704">
      <w:pPr>
        <w:spacing w:after="66"/>
        <w:jc w:val="both"/>
        <w:rPr>
          <w:rFonts w:ascii="Arial" w:hAnsi="Arial" w:cs="Arial"/>
          <w:sz w:val="22"/>
          <w:szCs w:val="22"/>
        </w:rPr>
      </w:pPr>
    </w:p>
    <w:p w14:paraId="160E91A8"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Entre</w:t>
      </w:r>
      <w:r w:rsidRPr="007923C2">
        <w:rPr>
          <w:rFonts w:ascii="Arial" w:hAnsi="Arial" w:cs="Arial"/>
          <w:i/>
          <w:iCs/>
          <w:sz w:val="22"/>
          <w:szCs w:val="22"/>
        </w:rPr>
        <w:t> </w:t>
      </w:r>
      <w:r w:rsidRPr="007923C2">
        <w:rPr>
          <w:rFonts w:ascii="Arial" w:hAnsi="Arial" w:cs="Arial"/>
          <w:sz w:val="22"/>
          <w:szCs w:val="22"/>
        </w:rPr>
        <w:t>2000</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2010,</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gasto</w:t>
      </w:r>
      <w:r w:rsidRPr="007923C2">
        <w:rPr>
          <w:rFonts w:ascii="Arial" w:hAnsi="Arial" w:cs="Arial"/>
          <w:i/>
          <w:iCs/>
          <w:sz w:val="22"/>
          <w:szCs w:val="22"/>
        </w:rPr>
        <w:t> </w:t>
      </w:r>
      <w:r w:rsidRPr="007923C2">
        <w:rPr>
          <w:rFonts w:ascii="Arial" w:hAnsi="Arial" w:cs="Arial"/>
          <w:sz w:val="22"/>
          <w:szCs w:val="22"/>
        </w:rPr>
        <w:t>público</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salud como porcentaje del PIB creció de 2.6 a 3.1%, lo que representa un incremento del 19.2%. A pesar del aumento observado, este nivel de gasto sigue siendo bajo en comparación con el de los países de la OCDE. Para avanzar en la calidad y el alcance de los servicios de salud no sólo debemos pensar en el nivel de gasto. La experiencia en los últimos años</w:t>
      </w:r>
      <w:r w:rsidRPr="007923C2">
        <w:rPr>
          <w:rFonts w:ascii="Arial" w:hAnsi="Arial" w:cs="Arial"/>
          <w:i/>
          <w:iCs/>
          <w:sz w:val="22"/>
          <w:szCs w:val="22"/>
        </w:rPr>
        <w:t> </w:t>
      </w:r>
      <w:r w:rsidRPr="007923C2">
        <w:rPr>
          <w:rFonts w:ascii="Arial" w:hAnsi="Arial" w:cs="Arial"/>
          <w:sz w:val="22"/>
          <w:szCs w:val="22"/>
        </w:rPr>
        <w:t>indica</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existen</w:t>
      </w:r>
      <w:r w:rsidRPr="007923C2">
        <w:rPr>
          <w:rFonts w:ascii="Arial" w:hAnsi="Arial" w:cs="Arial"/>
          <w:i/>
          <w:iCs/>
          <w:sz w:val="22"/>
          <w:szCs w:val="22"/>
        </w:rPr>
        <w:t> </w:t>
      </w:r>
      <w:r w:rsidRPr="007923C2">
        <w:rPr>
          <w:rFonts w:ascii="Arial" w:hAnsi="Arial" w:cs="Arial"/>
          <w:sz w:val="22"/>
          <w:szCs w:val="22"/>
        </w:rPr>
        <w:t>áreas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oportunidad para hacer un mejor uso de los recursos. Para mejorar el Sistema de Salud también se requiere un fortalecimiento de los modelos de atención de entidades federativas y municipios, así como una regulación adecuada en diversos ámbitos.</w:t>
      </w:r>
    </w:p>
    <w:p w14:paraId="47F68CC2" w14:textId="77777777" w:rsidR="00072704" w:rsidRDefault="00072704" w:rsidP="00072704">
      <w:pPr>
        <w:spacing w:after="101"/>
        <w:jc w:val="both"/>
        <w:rPr>
          <w:rFonts w:ascii="Arial" w:hAnsi="Arial" w:cs="Arial"/>
          <w:sz w:val="22"/>
          <w:szCs w:val="22"/>
        </w:rPr>
      </w:pPr>
      <w:r w:rsidRPr="007923C2">
        <w:rPr>
          <w:rFonts w:ascii="Arial" w:hAnsi="Arial" w:cs="Arial"/>
          <w:sz w:val="22"/>
          <w:szCs w:val="22"/>
        </w:rPr>
        <w:t>  Existen logros sustantivos en diversos indicadores como</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aumento</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esperanza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vida</w:t>
      </w:r>
      <w:r w:rsidRPr="007923C2">
        <w:rPr>
          <w:rFonts w:ascii="Arial" w:hAnsi="Arial" w:cs="Arial"/>
          <w:i/>
          <w:iCs/>
          <w:sz w:val="22"/>
          <w:szCs w:val="22"/>
        </w:rPr>
        <w:t> </w:t>
      </w:r>
      <w:r w:rsidRPr="007923C2">
        <w:rPr>
          <w:rFonts w:ascii="Arial" w:hAnsi="Arial" w:cs="Arial"/>
          <w:sz w:val="22"/>
          <w:szCs w:val="22"/>
        </w:rPr>
        <w:t>y la</w:t>
      </w:r>
      <w:r w:rsidRPr="007923C2">
        <w:rPr>
          <w:rFonts w:ascii="Arial" w:hAnsi="Arial" w:cs="Arial"/>
          <w:i/>
          <w:iCs/>
          <w:sz w:val="22"/>
          <w:szCs w:val="22"/>
        </w:rPr>
        <w:t> </w:t>
      </w:r>
      <w:r w:rsidRPr="007923C2">
        <w:rPr>
          <w:rFonts w:ascii="Arial" w:hAnsi="Arial" w:cs="Arial"/>
          <w:sz w:val="22"/>
          <w:szCs w:val="22"/>
        </w:rPr>
        <w:t>disminución</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mortalidad</w:t>
      </w:r>
      <w:r w:rsidRPr="007923C2">
        <w:rPr>
          <w:rFonts w:ascii="Arial" w:hAnsi="Arial" w:cs="Arial"/>
          <w:i/>
          <w:iCs/>
          <w:sz w:val="22"/>
          <w:szCs w:val="22"/>
        </w:rPr>
        <w:t> </w:t>
      </w:r>
      <w:r w:rsidRPr="007923C2">
        <w:rPr>
          <w:rFonts w:ascii="Arial" w:hAnsi="Arial" w:cs="Arial"/>
          <w:sz w:val="22"/>
          <w:szCs w:val="22"/>
        </w:rPr>
        <w:t>infantil</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el país. Sin embargo, queda pendiente avanzar en algunos indicadores clave de salud. Por ejemplo, la mortalidad materna se redujo a menos de la mitad entre 1990 y 2011 (al pasar de 89 a 43 defunciones de mujeres por cada 100,000 nacidos vivos). No obstante, este indicador se encuentra lejos de alcanzar la meta de 22 defunciones propuesta para 2015, como parte de los Objetivos de</w:t>
      </w:r>
      <w:r w:rsidRPr="007923C2">
        <w:rPr>
          <w:rFonts w:ascii="Arial" w:hAnsi="Arial" w:cs="Arial"/>
          <w:i/>
          <w:iCs/>
          <w:sz w:val="22"/>
          <w:szCs w:val="22"/>
        </w:rPr>
        <w:t> </w:t>
      </w:r>
      <w:r w:rsidRPr="007923C2">
        <w:rPr>
          <w:rFonts w:ascii="Arial" w:hAnsi="Arial" w:cs="Arial"/>
          <w:sz w:val="22"/>
          <w:szCs w:val="22"/>
        </w:rPr>
        <w:t>Desarrollo</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w:t>
      </w:r>
      <w:r w:rsidRPr="007923C2">
        <w:rPr>
          <w:rFonts w:ascii="Arial" w:hAnsi="Arial" w:cs="Arial"/>
          <w:sz w:val="22"/>
          <w:szCs w:val="22"/>
        </w:rPr>
        <w:t>Milenio</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fueron</w:t>
      </w:r>
      <w:r w:rsidRPr="007923C2">
        <w:rPr>
          <w:rFonts w:ascii="Arial" w:hAnsi="Arial" w:cs="Arial"/>
          <w:i/>
          <w:iCs/>
          <w:sz w:val="22"/>
          <w:szCs w:val="22"/>
        </w:rPr>
        <w:t> </w:t>
      </w:r>
      <w:r w:rsidRPr="007923C2">
        <w:rPr>
          <w:rFonts w:ascii="Arial" w:hAnsi="Arial" w:cs="Arial"/>
          <w:sz w:val="22"/>
          <w:szCs w:val="22"/>
        </w:rPr>
        <w:t>pactados con países miembros de la Organización de las Naciones Unidas (ONU) para alcanzar una mejor calidad de vida de la población.</w:t>
      </w:r>
    </w:p>
    <w:p w14:paraId="5882C731" w14:textId="77777777" w:rsidR="00936838" w:rsidRPr="007923C2" w:rsidRDefault="00936838" w:rsidP="00072704">
      <w:pPr>
        <w:spacing w:after="101"/>
        <w:jc w:val="both"/>
        <w:rPr>
          <w:rFonts w:ascii="Arial" w:hAnsi="Arial" w:cs="Arial"/>
          <w:sz w:val="22"/>
          <w:szCs w:val="22"/>
        </w:rPr>
      </w:pPr>
      <w:r>
        <w:rPr>
          <w:rFonts w:ascii="Arial" w:hAnsi="Arial" w:cs="Arial"/>
          <w:noProof/>
          <w:sz w:val="22"/>
          <w:szCs w:val="22"/>
        </w:rPr>
        <w:lastRenderedPageBreak/>
        <w:drawing>
          <wp:inline distT="0" distB="0" distL="0" distR="0" wp14:anchorId="72190EC6" wp14:editId="4658B372">
            <wp:extent cx="4057650" cy="3476625"/>
            <wp:effectExtent l="0" t="0" r="0" b="9525"/>
            <wp:docPr id="550" name="Imagen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57650" cy="3476625"/>
                    </a:xfrm>
                    <a:prstGeom prst="rect">
                      <a:avLst/>
                    </a:prstGeom>
                    <a:noFill/>
                    <a:ln>
                      <a:noFill/>
                    </a:ln>
                  </pic:spPr>
                </pic:pic>
              </a:graphicData>
            </a:graphic>
          </wp:inline>
        </w:drawing>
      </w:r>
    </w:p>
    <w:p w14:paraId="2C207F0A" w14:textId="77777777" w:rsidR="00072704" w:rsidRPr="007923C2" w:rsidRDefault="00072704" w:rsidP="00072704">
      <w:pPr>
        <w:spacing w:after="101"/>
        <w:jc w:val="center"/>
        <w:rPr>
          <w:rFonts w:ascii="Arial" w:hAnsi="Arial" w:cs="Arial"/>
          <w:sz w:val="22"/>
          <w:szCs w:val="22"/>
        </w:rPr>
      </w:pPr>
    </w:p>
    <w:p w14:paraId="75B66D1C"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w:t>
      </w:r>
      <w:r w:rsidR="00936838">
        <w:rPr>
          <w:rFonts w:ascii="Arial" w:hAnsi="Arial" w:cs="Arial"/>
          <w:noProof/>
          <w:sz w:val="22"/>
          <w:szCs w:val="22"/>
        </w:rPr>
        <w:drawing>
          <wp:inline distT="0" distB="0" distL="0" distR="0" wp14:anchorId="53E8FD72" wp14:editId="2C4FE0DF">
            <wp:extent cx="3952875" cy="3562350"/>
            <wp:effectExtent l="0" t="0" r="9525" b="0"/>
            <wp:docPr id="629" name="Imagen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52875" cy="3562350"/>
                    </a:xfrm>
                    <a:prstGeom prst="rect">
                      <a:avLst/>
                    </a:prstGeom>
                    <a:noFill/>
                    <a:ln>
                      <a:noFill/>
                    </a:ln>
                  </pic:spPr>
                </pic:pic>
              </a:graphicData>
            </a:graphic>
          </wp:inline>
        </w:drawing>
      </w:r>
    </w:p>
    <w:p w14:paraId="7284BA23" w14:textId="77777777" w:rsidR="00072704" w:rsidRPr="007923C2" w:rsidRDefault="00072704" w:rsidP="00072704">
      <w:pPr>
        <w:spacing w:after="101"/>
        <w:jc w:val="both"/>
        <w:rPr>
          <w:rFonts w:ascii="Arial" w:hAnsi="Arial" w:cs="Arial"/>
          <w:sz w:val="22"/>
          <w:szCs w:val="22"/>
        </w:rPr>
      </w:pPr>
    </w:p>
    <w:p w14:paraId="68E5D15D"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xml:space="preserve"> Los datos demográficos y epidemiológicos indican que las presiones sobre el Sistema Nacional de Salud serán cada vez mayores, poniendo en riesgo la sustentabilidad financiera de las instituciones </w:t>
      </w:r>
      <w:r w:rsidRPr="007923C2">
        <w:rPr>
          <w:rFonts w:ascii="Arial" w:hAnsi="Arial" w:cs="Arial"/>
          <w:sz w:val="22"/>
          <w:szCs w:val="22"/>
        </w:rPr>
        <w:lastRenderedPageBreak/>
        <w:t>públicas. La fecundidad, las tasas de mortalidad y la migración suponen una demanda más elevada de servicios, especialmente asociada al mayor número de adultos mayores (la población de 65 años y más crecerá de 6.2% del total en 2010 a 10.5% en 2030). Este hecho impacta no sólo en el Sistema de Salud, sino que impone desafíos a la organización familiar, así como cargas adicionales de trabajo para los cuidados, especialmente para las mujeres, quienes realizan mayoritariamente este trabajo.</w:t>
      </w:r>
    </w:p>
    <w:p w14:paraId="539DD857"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otro lado, hay situaciones que atentan contra la</w:t>
      </w:r>
      <w:r w:rsidRPr="007923C2">
        <w:rPr>
          <w:rFonts w:ascii="Arial" w:hAnsi="Arial" w:cs="Arial"/>
          <w:i/>
          <w:iCs/>
          <w:sz w:val="22"/>
          <w:szCs w:val="22"/>
        </w:rPr>
        <w:t> </w:t>
      </w:r>
      <w:r w:rsidRPr="007923C2">
        <w:rPr>
          <w:rFonts w:ascii="Arial" w:hAnsi="Arial" w:cs="Arial"/>
          <w:sz w:val="22"/>
          <w:szCs w:val="22"/>
        </w:rPr>
        <w:t>salud,</w:t>
      </w:r>
      <w:r w:rsidRPr="007923C2">
        <w:rPr>
          <w:rFonts w:ascii="Arial" w:hAnsi="Arial" w:cs="Arial"/>
          <w:i/>
          <w:iCs/>
          <w:sz w:val="22"/>
          <w:szCs w:val="22"/>
        </w:rPr>
        <w:t> </w:t>
      </w:r>
      <w:r w:rsidRPr="007923C2">
        <w:rPr>
          <w:rFonts w:ascii="Arial" w:hAnsi="Arial" w:cs="Arial"/>
          <w:sz w:val="22"/>
          <w:szCs w:val="22"/>
        </w:rPr>
        <w:t>como</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pobreza</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estilos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vida poco</w:t>
      </w:r>
      <w:r w:rsidRPr="007923C2">
        <w:rPr>
          <w:rFonts w:ascii="Arial" w:hAnsi="Arial" w:cs="Arial"/>
          <w:i/>
          <w:iCs/>
          <w:sz w:val="22"/>
          <w:szCs w:val="22"/>
        </w:rPr>
        <w:t> </w:t>
      </w:r>
      <w:r w:rsidRPr="007923C2">
        <w:rPr>
          <w:rFonts w:ascii="Arial" w:hAnsi="Arial" w:cs="Arial"/>
          <w:sz w:val="22"/>
          <w:szCs w:val="22"/>
        </w:rPr>
        <w:t>saludables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riesgo.</w:t>
      </w:r>
      <w:r w:rsidRPr="007923C2">
        <w:rPr>
          <w:rFonts w:ascii="Arial" w:hAnsi="Arial" w:cs="Arial"/>
          <w:i/>
          <w:iCs/>
          <w:sz w:val="22"/>
          <w:szCs w:val="22"/>
        </w:rPr>
        <w:t> </w:t>
      </w:r>
      <w:r w:rsidRPr="007923C2">
        <w:rPr>
          <w:rFonts w:ascii="Arial" w:hAnsi="Arial" w:cs="Arial"/>
          <w:sz w:val="22"/>
          <w:szCs w:val="22"/>
        </w:rPr>
        <w:t>Por</w:t>
      </w:r>
      <w:r w:rsidRPr="007923C2">
        <w:rPr>
          <w:rFonts w:ascii="Arial" w:hAnsi="Arial" w:cs="Arial"/>
          <w:i/>
          <w:iCs/>
          <w:sz w:val="22"/>
          <w:szCs w:val="22"/>
        </w:rPr>
        <w:t> </w:t>
      </w:r>
      <w:r w:rsidRPr="007923C2">
        <w:rPr>
          <w:rFonts w:ascii="Arial" w:hAnsi="Arial" w:cs="Arial"/>
          <w:sz w:val="22"/>
          <w:szCs w:val="22"/>
        </w:rPr>
        <w:t>ejemplo,</w:t>
      </w:r>
      <w:r w:rsidRPr="007923C2">
        <w:rPr>
          <w:rFonts w:ascii="Arial" w:hAnsi="Arial" w:cs="Arial"/>
          <w:i/>
          <w:iCs/>
          <w:sz w:val="22"/>
          <w:szCs w:val="22"/>
        </w:rPr>
        <w:t> </w:t>
      </w:r>
      <w:r w:rsidRPr="007923C2">
        <w:rPr>
          <w:rFonts w:ascii="Arial" w:hAnsi="Arial" w:cs="Arial"/>
          <w:sz w:val="22"/>
          <w:szCs w:val="22"/>
        </w:rPr>
        <w:t>la falta de actividad física, la nutrición inadecuada, sexo inseguro, consumo de tabaco, alcohol y drogas ilícitas, así como la falta de educación vial repercuten de manera significativa en la salud de la población. Estos factores explican, en gran medida, la alta incidencia de enfermedades crónicas como la diabetes mellitus, las enfermedades isquémicas del corazón y los tumores malignos, así como el alto número de personas lesionadas por accidentes.</w:t>
      </w:r>
    </w:p>
    <w:p w14:paraId="69816F99"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El sobrepeso, la obesidad, la diabetes y la hipertensión han llegado a niveles muy elevados en todos los grupos de la población. Entre los hombres mayores de 20 años de edad, 42.6% presentan sobrepeso y 26.8% obesidad, mientras que en las mujeres estas cifras corresponden a 35.5 y 37.5%, respectivamente.</w:t>
      </w:r>
    </w:p>
    <w:p w14:paraId="25A3334D"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otra parte, en la población escolar (5-11 años) la</w:t>
      </w:r>
      <w:r w:rsidRPr="007923C2">
        <w:rPr>
          <w:rFonts w:ascii="Arial" w:hAnsi="Arial" w:cs="Arial"/>
          <w:i/>
          <w:iCs/>
          <w:sz w:val="22"/>
          <w:szCs w:val="22"/>
        </w:rPr>
        <w:t> </w:t>
      </w:r>
      <w:r w:rsidRPr="007923C2">
        <w:rPr>
          <w:rFonts w:ascii="Arial" w:hAnsi="Arial" w:cs="Arial"/>
          <w:sz w:val="22"/>
          <w:szCs w:val="22"/>
        </w:rPr>
        <w:t>prevalencia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sobrepeso</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obesidad</w:t>
      </w:r>
      <w:r w:rsidRPr="007923C2">
        <w:rPr>
          <w:rFonts w:ascii="Arial" w:hAnsi="Arial" w:cs="Arial"/>
          <w:i/>
          <w:iCs/>
          <w:sz w:val="22"/>
          <w:szCs w:val="22"/>
        </w:rPr>
        <w:t> </w:t>
      </w:r>
      <w:r w:rsidRPr="007923C2">
        <w:rPr>
          <w:rFonts w:ascii="Arial" w:hAnsi="Arial" w:cs="Arial"/>
          <w:sz w:val="22"/>
          <w:szCs w:val="22"/>
        </w:rPr>
        <w:t>fue</w:t>
      </w:r>
      <w:r w:rsidRPr="007923C2">
        <w:rPr>
          <w:rFonts w:ascii="Arial" w:hAnsi="Arial" w:cs="Arial"/>
          <w:i/>
          <w:iCs/>
          <w:sz w:val="22"/>
          <w:szCs w:val="22"/>
        </w:rPr>
        <w:t> </w:t>
      </w:r>
      <w:r w:rsidRPr="007923C2">
        <w:rPr>
          <w:rFonts w:ascii="Arial" w:hAnsi="Arial" w:cs="Arial"/>
          <w:sz w:val="22"/>
          <w:szCs w:val="22"/>
        </w:rPr>
        <w:t>de 19.8 y de 14.6%, respectivamente. Con base en la ENSANUT 2012, la diabetes mellitus afecta actualmente</w:t>
      </w:r>
      <w:r w:rsidRPr="007923C2">
        <w:rPr>
          <w:rFonts w:ascii="Arial" w:hAnsi="Arial" w:cs="Arial"/>
          <w:i/>
          <w:iCs/>
          <w:sz w:val="22"/>
          <w:szCs w:val="22"/>
        </w:rPr>
        <w:t> </w:t>
      </w:r>
      <w:r w:rsidRPr="007923C2">
        <w:rPr>
          <w:rFonts w:ascii="Arial" w:hAnsi="Arial" w:cs="Arial"/>
          <w:sz w:val="22"/>
          <w:szCs w:val="22"/>
        </w:rPr>
        <w:t>al</w:t>
      </w:r>
      <w:r w:rsidRPr="007923C2">
        <w:rPr>
          <w:rFonts w:ascii="Arial" w:hAnsi="Arial" w:cs="Arial"/>
          <w:i/>
          <w:iCs/>
          <w:sz w:val="22"/>
          <w:szCs w:val="22"/>
        </w:rPr>
        <w:t> </w:t>
      </w:r>
      <w:r w:rsidRPr="007923C2">
        <w:rPr>
          <w:rFonts w:ascii="Arial" w:hAnsi="Arial" w:cs="Arial"/>
          <w:sz w:val="22"/>
          <w:szCs w:val="22"/>
        </w:rPr>
        <w:t>9.2%</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población</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w:t>
      </w:r>
      <w:r w:rsidRPr="007923C2">
        <w:rPr>
          <w:rFonts w:ascii="Arial" w:hAnsi="Arial" w:cs="Arial"/>
          <w:sz w:val="22"/>
          <w:szCs w:val="22"/>
        </w:rPr>
        <w:t>país, lo que representa un incremento de 2.2 puntos porcentuales respecto de 2006. Dado su papel como causa de enfermedad, la obesidad aumenta la demanda por servicios de salud y afecta el desarrollo económico y social de la población. De acuerdo con estimaciones de la Universidad Nacional Autónoma de México (UNAM), el costo de la obesidad fue de 67,000 millones de pesos en 2008. De no actuar, el costo que pagaremos en el futuro será mayor a la inversión requerida hoy para implementar políticas que hagan frente a esta problemática.</w:t>
      </w:r>
    </w:p>
    <w:p w14:paraId="00F3C7F9" w14:textId="77777777" w:rsidR="00072704" w:rsidRDefault="00072704" w:rsidP="00072704">
      <w:pPr>
        <w:spacing w:after="101"/>
        <w:jc w:val="both"/>
        <w:rPr>
          <w:rFonts w:ascii="Arial" w:hAnsi="Arial" w:cs="Arial"/>
          <w:sz w:val="22"/>
          <w:szCs w:val="22"/>
        </w:rPr>
      </w:pPr>
      <w:r w:rsidRPr="007923C2">
        <w:rPr>
          <w:rFonts w:ascii="Arial" w:hAnsi="Arial" w:cs="Arial"/>
          <w:sz w:val="22"/>
          <w:szCs w:val="22"/>
        </w:rPr>
        <w:t>Existen tres factores que inciden negativamente en la capacidad del Estado para dar plena vigencia al derecho a la salud y que, por tanto, requieren atención. Primero, el modelo con que fueron concebidas las instituciones del sector ha estado enfocado hacia lo curativo y no a la prevención. En segundo lugar, no han permeado políticas con enfoque multidisciplinario e interinstitucionales hacia el mejoramiento de la calidad de los servicios de salud. En este sentido, destaca como un reto a enfrentar la diversidad de hábitos y costumbres de la población en materia de conocimiento y cuidado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salud.</w:t>
      </w:r>
      <w:r w:rsidRPr="007923C2">
        <w:rPr>
          <w:rFonts w:ascii="Arial" w:hAnsi="Arial" w:cs="Arial"/>
          <w:i/>
          <w:iCs/>
          <w:sz w:val="22"/>
          <w:szCs w:val="22"/>
        </w:rPr>
        <w:t> </w:t>
      </w:r>
      <w:r w:rsidRPr="007923C2">
        <w:rPr>
          <w:rFonts w:ascii="Arial" w:hAnsi="Arial" w:cs="Arial"/>
          <w:sz w:val="22"/>
          <w:szCs w:val="22"/>
        </w:rPr>
        <w:t>Tercero,</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rectoría</w:t>
      </w:r>
      <w:r w:rsidRPr="007923C2">
        <w:rPr>
          <w:rFonts w:ascii="Arial" w:hAnsi="Arial" w:cs="Arial"/>
          <w:i/>
          <w:iCs/>
          <w:sz w:val="22"/>
          <w:szCs w:val="22"/>
        </w:rPr>
        <w:t> </w:t>
      </w:r>
      <w:r w:rsidRPr="007923C2">
        <w:rPr>
          <w:rFonts w:ascii="Arial" w:hAnsi="Arial" w:cs="Arial"/>
          <w:sz w:val="22"/>
          <w:szCs w:val="22"/>
        </w:rPr>
        <w:t>y arreglo</w:t>
      </w:r>
      <w:r w:rsidRPr="007923C2">
        <w:rPr>
          <w:rFonts w:ascii="Arial" w:hAnsi="Arial" w:cs="Arial"/>
          <w:i/>
          <w:iCs/>
          <w:sz w:val="22"/>
          <w:szCs w:val="22"/>
        </w:rPr>
        <w:t> </w:t>
      </w:r>
      <w:r w:rsidRPr="007923C2">
        <w:rPr>
          <w:rFonts w:ascii="Arial" w:hAnsi="Arial" w:cs="Arial"/>
          <w:sz w:val="22"/>
          <w:szCs w:val="22"/>
        </w:rPr>
        <w:t>organizacional</w:t>
      </w:r>
      <w:r w:rsidRPr="007923C2">
        <w:rPr>
          <w:rFonts w:ascii="Arial" w:hAnsi="Arial" w:cs="Arial"/>
          <w:i/>
          <w:iCs/>
          <w:sz w:val="22"/>
          <w:szCs w:val="22"/>
        </w:rPr>
        <w:t> </w:t>
      </w:r>
      <w:r w:rsidRPr="007923C2">
        <w:rPr>
          <w:rFonts w:ascii="Arial" w:hAnsi="Arial" w:cs="Arial"/>
          <w:sz w:val="22"/>
          <w:szCs w:val="22"/>
        </w:rPr>
        <w:t>vigentes,</w:t>
      </w:r>
      <w:r w:rsidRPr="007923C2">
        <w:rPr>
          <w:rFonts w:ascii="Arial" w:hAnsi="Arial" w:cs="Arial"/>
          <w:i/>
          <w:iCs/>
          <w:sz w:val="22"/>
          <w:szCs w:val="22"/>
        </w:rPr>
        <w:t> </w:t>
      </w:r>
      <w:r w:rsidRPr="007923C2">
        <w:rPr>
          <w:rFonts w:ascii="Arial" w:hAnsi="Arial" w:cs="Arial"/>
          <w:sz w:val="22"/>
          <w:szCs w:val="22"/>
        </w:rPr>
        <w:t>donde</w:t>
      </w:r>
      <w:r w:rsidRPr="007923C2">
        <w:rPr>
          <w:rFonts w:ascii="Arial" w:hAnsi="Arial" w:cs="Arial"/>
          <w:i/>
          <w:iCs/>
          <w:sz w:val="22"/>
          <w:szCs w:val="22"/>
        </w:rPr>
        <w:t> </w:t>
      </w:r>
      <w:r w:rsidRPr="007923C2">
        <w:rPr>
          <w:rFonts w:ascii="Arial" w:hAnsi="Arial" w:cs="Arial"/>
          <w:sz w:val="22"/>
          <w:szCs w:val="22"/>
        </w:rPr>
        <w:t>prevalece la participación de instituciones verticalmente integradas y fragmentadas, que limitan la capacidad operativa y la eficiencia del gasto en el Sistema de Salud Pública.</w:t>
      </w:r>
    </w:p>
    <w:p w14:paraId="234B5B5F" w14:textId="77777777" w:rsidR="00936838" w:rsidRPr="007923C2" w:rsidRDefault="00936838" w:rsidP="00072704">
      <w:pPr>
        <w:spacing w:after="101"/>
        <w:jc w:val="both"/>
        <w:rPr>
          <w:rFonts w:ascii="Arial" w:hAnsi="Arial" w:cs="Arial"/>
          <w:sz w:val="22"/>
          <w:szCs w:val="22"/>
        </w:rPr>
      </w:pPr>
    </w:p>
    <w:p w14:paraId="1CFD2308" w14:textId="77777777" w:rsidR="00072704" w:rsidRPr="007923C2" w:rsidRDefault="00072704" w:rsidP="00072704">
      <w:pPr>
        <w:spacing w:after="101"/>
        <w:jc w:val="both"/>
        <w:rPr>
          <w:rFonts w:ascii="Arial" w:hAnsi="Arial" w:cs="Arial"/>
          <w:sz w:val="22"/>
          <w:szCs w:val="22"/>
        </w:rPr>
      </w:pPr>
      <w:r w:rsidRPr="007923C2">
        <w:rPr>
          <w:rFonts w:ascii="Arial" w:hAnsi="Arial" w:cs="Arial"/>
          <w:b/>
          <w:bCs/>
          <w:sz w:val="22"/>
          <w:szCs w:val="22"/>
        </w:rPr>
        <w:t>Sistema de Seguridad Social</w:t>
      </w:r>
    </w:p>
    <w:p w14:paraId="3635AEE1"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De acuerdo con la Organización Internacional del Trabajo (OIT), la seguridad social se define como "La protección que la sociedad proporciona a sus miembros, mediante una serie de medidas públicas, contra las privaciones económicas y sociales que, de no ser así, ocasionarían la desaparición o una fuerte reducción de los ingresos por causa de enfermedad, maternidad, accidente de trabajo, o enfermedad laboral, desempleo, invalidez, vejez y muerte; y también la protección en forma de asistencia médica y de ayuda a las familias con hijos".</w:t>
      </w:r>
    </w:p>
    <w:p w14:paraId="4482BC13"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lastRenderedPageBreak/>
        <w:t>En nuestro país, el acceso a la seguridad social está directamente relacionado con la condición laboral y favorece principalmente a quienes cuentan con un trabajo formal. La estructura actual del Sistema de</w:t>
      </w:r>
      <w:r w:rsidRPr="007923C2">
        <w:rPr>
          <w:rFonts w:ascii="Arial" w:hAnsi="Arial" w:cs="Arial"/>
          <w:i/>
          <w:iCs/>
          <w:sz w:val="22"/>
          <w:szCs w:val="22"/>
        </w:rPr>
        <w:t> </w:t>
      </w:r>
      <w:r w:rsidRPr="007923C2">
        <w:rPr>
          <w:rFonts w:ascii="Arial" w:hAnsi="Arial" w:cs="Arial"/>
          <w:sz w:val="22"/>
          <w:szCs w:val="22"/>
        </w:rPr>
        <w:t>Seguridad</w:t>
      </w:r>
      <w:r w:rsidRPr="007923C2">
        <w:rPr>
          <w:rFonts w:ascii="Arial" w:hAnsi="Arial" w:cs="Arial"/>
          <w:i/>
          <w:iCs/>
          <w:sz w:val="22"/>
          <w:szCs w:val="22"/>
        </w:rPr>
        <w:t> </w:t>
      </w:r>
      <w:r w:rsidRPr="007923C2">
        <w:rPr>
          <w:rFonts w:ascii="Arial" w:hAnsi="Arial" w:cs="Arial"/>
          <w:sz w:val="22"/>
          <w:szCs w:val="22"/>
        </w:rPr>
        <w:t>Social</w:t>
      </w:r>
      <w:r w:rsidRPr="007923C2">
        <w:rPr>
          <w:rFonts w:ascii="Arial" w:hAnsi="Arial" w:cs="Arial"/>
          <w:i/>
          <w:iCs/>
          <w:sz w:val="22"/>
          <w:szCs w:val="22"/>
        </w:rPr>
        <w:t> </w:t>
      </w:r>
      <w:r w:rsidRPr="007923C2">
        <w:rPr>
          <w:rFonts w:ascii="Arial" w:hAnsi="Arial" w:cs="Arial"/>
          <w:sz w:val="22"/>
          <w:szCs w:val="22"/>
        </w:rPr>
        <w:t>se</w:t>
      </w:r>
      <w:r w:rsidRPr="007923C2">
        <w:rPr>
          <w:rFonts w:ascii="Arial" w:hAnsi="Arial" w:cs="Arial"/>
          <w:i/>
          <w:iCs/>
          <w:sz w:val="22"/>
          <w:szCs w:val="22"/>
        </w:rPr>
        <w:t> </w:t>
      </w:r>
      <w:r w:rsidRPr="007923C2">
        <w:rPr>
          <w:rFonts w:ascii="Arial" w:hAnsi="Arial" w:cs="Arial"/>
          <w:sz w:val="22"/>
          <w:szCs w:val="22"/>
        </w:rPr>
        <w:t>caracteriza</w:t>
      </w:r>
      <w:r w:rsidRPr="007923C2">
        <w:rPr>
          <w:rFonts w:ascii="Arial" w:hAnsi="Arial" w:cs="Arial"/>
          <w:i/>
          <w:iCs/>
          <w:sz w:val="22"/>
          <w:szCs w:val="22"/>
        </w:rPr>
        <w:t> </w:t>
      </w:r>
      <w:r w:rsidRPr="007923C2">
        <w:rPr>
          <w:rFonts w:ascii="Arial" w:hAnsi="Arial" w:cs="Arial"/>
          <w:sz w:val="22"/>
          <w:szCs w:val="22"/>
        </w:rPr>
        <w:t>por</w:t>
      </w:r>
      <w:r w:rsidRPr="007923C2">
        <w:rPr>
          <w:rFonts w:ascii="Arial" w:hAnsi="Arial" w:cs="Arial"/>
          <w:i/>
          <w:iCs/>
          <w:sz w:val="22"/>
          <w:szCs w:val="22"/>
        </w:rPr>
        <w:t> </w:t>
      </w:r>
      <w:r w:rsidRPr="007923C2">
        <w:rPr>
          <w:rFonts w:ascii="Arial" w:hAnsi="Arial" w:cs="Arial"/>
          <w:sz w:val="22"/>
          <w:szCs w:val="22"/>
        </w:rPr>
        <w:t>contar con múltiples esquemas de protección social de limitada portabilidad entre ellos y con diferencias significativas entre sí. Dicha estructura ha resultado enuna distribución desigual del gasto social y representa una limitante para generar incentivos que induzcan a la formalidad.</w:t>
      </w:r>
    </w:p>
    <w:p w14:paraId="66760E40"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2010, la carencia por acceso a la seguridad social ascendió a 60.7% del total de la población del país. Aunque este nivel es cuatro puntos porcentuales inferior al observado en 2008, sigue siendo la carencia social con mayor incidencia.</w:t>
      </w:r>
    </w:p>
    <w:p w14:paraId="5A0D95EC"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Actualmente, el 84.4% del gasto del gobierno en protección</w:t>
      </w:r>
      <w:r w:rsidRPr="007923C2">
        <w:rPr>
          <w:rFonts w:ascii="Arial" w:hAnsi="Arial" w:cs="Arial"/>
          <w:i/>
          <w:iCs/>
          <w:sz w:val="22"/>
          <w:szCs w:val="22"/>
        </w:rPr>
        <w:t> </w:t>
      </w:r>
      <w:r w:rsidRPr="007923C2">
        <w:rPr>
          <w:rFonts w:ascii="Arial" w:hAnsi="Arial" w:cs="Arial"/>
          <w:sz w:val="22"/>
          <w:szCs w:val="22"/>
        </w:rPr>
        <w:t>social</w:t>
      </w:r>
      <w:r w:rsidRPr="007923C2">
        <w:rPr>
          <w:rFonts w:ascii="Arial" w:hAnsi="Arial" w:cs="Arial"/>
          <w:i/>
          <w:iCs/>
          <w:sz w:val="22"/>
          <w:szCs w:val="22"/>
        </w:rPr>
        <w:t> </w:t>
      </w:r>
      <w:r w:rsidRPr="007923C2">
        <w:rPr>
          <w:rFonts w:ascii="Arial" w:hAnsi="Arial" w:cs="Arial"/>
          <w:sz w:val="22"/>
          <w:szCs w:val="22"/>
        </w:rPr>
        <w:t>está</w:t>
      </w:r>
      <w:r w:rsidRPr="007923C2">
        <w:rPr>
          <w:rFonts w:ascii="Arial" w:hAnsi="Arial" w:cs="Arial"/>
          <w:i/>
          <w:iCs/>
          <w:sz w:val="22"/>
          <w:szCs w:val="22"/>
        </w:rPr>
        <w:t> </w:t>
      </w:r>
      <w:r w:rsidRPr="007923C2">
        <w:rPr>
          <w:rFonts w:ascii="Arial" w:hAnsi="Arial" w:cs="Arial"/>
          <w:sz w:val="22"/>
          <w:szCs w:val="22"/>
        </w:rPr>
        <w:t>destinado</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población con un trabajo asalariado en el sector formal de la economía que sólo representa el 40% del total. Esto implica que únicamente el 15.6% del gasto en seguridad social del gobierno se utiliza para atender al 60% de la población, fracción en la cual se ubican las personas de menores ingresos. Asimismo, destaca que el Sistema de Protección Social vigente excluye a un gran número de mujeres que realizan trabajo no remunerado a lo largo de toda su vida. Por tanto, es fundamental garantizar una distribución adecuada del gasto en seguridad social de una manera que se procure el desarrollo integral del Sistema, sin que esto genere incentivos a la informalidad. El acceso a la seguridad social debe contemplar mecanismos que fomenten la inserción de un mayor número de mexicanos a la economía formal.</w:t>
      </w:r>
    </w:p>
    <w:p w14:paraId="563D756B"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El Sistema de Seguridad Social en México también se caracteriza por la falta de portabilidad de derechos entre los diversos subsistemas que existen tanto a nivel federal como en las entidades federativas y municipios. La consecuencia directa de esta deficiencia es que quienes deciden cambiar</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empleador,</w:t>
      </w:r>
      <w:r w:rsidRPr="007923C2">
        <w:rPr>
          <w:rFonts w:ascii="Arial" w:hAnsi="Arial" w:cs="Arial"/>
          <w:i/>
          <w:iCs/>
          <w:sz w:val="22"/>
          <w:szCs w:val="22"/>
        </w:rPr>
        <w:t> </w:t>
      </w:r>
      <w:r w:rsidRPr="007923C2">
        <w:rPr>
          <w:rFonts w:ascii="Arial" w:hAnsi="Arial" w:cs="Arial"/>
          <w:sz w:val="22"/>
          <w:szCs w:val="22"/>
        </w:rPr>
        <w:t>antes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cumplir</w:t>
      </w:r>
      <w:r w:rsidRPr="007923C2">
        <w:rPr>
          <w:rFonts w:ascii="Arial" w:hAnsi="Arial" w:cs="Arial"/>
          <w:i/>
          <w:iCs/>
          <w:sz w:val="22"/>
          <w:szCs w:val="22"/>
        </w:rPr>
        <w:t> </w:t>
      </w:r>
      <w:r w:rsidRPr="007923C2">
        <w:rPr>
          <w:rFonts w:ascii="Arial" w:hAnsi="Arial" w:cs="Arial"/>
          <w:sz w:val="22"/>
          <w:szCs w:val="22"/>
        </w:rPr>
        <w:t>con cierta antigüedad laboral, pierden sus beneficios pensionarios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atención</w:t>
      </w:r>
      <w:r w:rsidRPr="007923C2">
        <w:rPr>
          <w:rFonts w:ascii="Arial" w:hAnsi="Arial" w:cs="Arial"/>
          <w:i/>
          <w:iCs/>
          <w:sz w:val="22"/>
          <w:szCs w:val="22"/>
        </w:rPr>
        <w:t> </w:t>
      </w:r>
      <w:r w:rsidRPr="007923C2">
        <w:rPr>
          <w:rFonts w:ascii="Arial" w:hAnsi="Arial" w:cs="Arial"/>
          <w:sz w:val="22"/>
          <w:szCs w:val="22"/>
        </w:rPr>
        <w:t>médica,</w:t>
      </w:r>
      <w:r w:rsidRPr="007923C2">
        <w:rPr>
          <w:rFonts w:ascii="Arial" w:hAnsi="Arial" w:cs="Arial"/>
          <w:i/>
          <w:iCs/>
          <w:sz w:val="22"/>
          <w:szCs w:val="22"/>
        </w:rPr>
        <w:t> </w:t>
      </w:r>
      <w:r w:rsidRPr="007923C2">
        <w:rPr>
          <w:rFonts w:ascii="Arial" w:hAnsi="Arial" w:cs="Arial"/>
          <w:sz w:val="22"/>
          <w:szCs w:val="22"/>
        </w:rPr>
        <w:t>generando un gran número de trabajadores con largas trayectorias laborales y desprotección en la vejez.</w:t>
      </w:r>
    </w:p>
    <w:p w14:paraId="0ECE7F49" w14:textId="77777777" w:rsidR="00072704" w:rsidRPr="007923C2" w:rsidRDefault="00072704" w:rsidP="00072704">
      <w:pPr>
        <w:spacing w:after="101"/>
        <w:jc w:val="both"/>
        <w:rPr>
          <w:rFonts w:ascii="Arial" w:hAnsi="Arial" w:cs="Arial"/>
          <w:sz w:val="22"/>
          <w:szCs w:val="22"/>
        </w:rPr>
      </w:pPr>
    </w:p>
    <w:p w14:paraId="22F5DF33"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El IMSS es la institución de seguridad social más grande</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Latinoamérica:</w:t>
      </w:r>
      <w:r w:rsidRPr="007923C2">
        <w:rPr>
          <w:rFonts w:ascii="Arial" w:hAnsi="Arial" w:cs="Arial"/>
          <w:i/>
          <w:iCs/>
          <w:sz w:val="22"/>
          <w:szCs w:val="22"/>
        </w:rPr>
        <w:t> </w:t>
      </w:r>
      <w:r w:rsidRPr="007923C2">
        <w:rPr>
          <w:rFonts w:ascii="Arial" w:hAnsi="Arial" w:cs="Arial"/>
          <w:sz w:val="22"/>
          <w:szCs w:val="22"/>
        </w:rPr>
        <w:t>cuenta</w:t>
      </w:r>
      <w:r w:rsidRPr="007923C2">
        <w:rPr>
          <w:rFonts w:ascii="Arial" w:hAnsi="Arial" w:cs="Arial"/>
          <w:i/>
          <w:iCs/>
          <w:sz w:val="22"/>
          <w:szCs w:val="22"/>
        </w:rPr>
        <w:t> </w:t>
      </w:r>
      <w:r w:rsidRPr="007923C2">
        <w:rPr>
          <w:rFonts w:ascii="Arial" w:hAnsi="Arial" w:cs="Arial"/>
          <w:sz w:val="22"/>
          <w:szCs w:val="22"/>
        </w:rPr>
        <w:t>con</w:t>
      </w:r>
      <w:r w:rsidRPr="007923C2">
        <w:rPr>
          <w:rFonts w:ascii="Arial" w:hAnsi="Arial" w:cs="Arial"/>
          <w:i/>
          <w:iCs/>
          <w:sz w:val="22"/>
          <w:szCs w:val="22"/>
        </w:rPr>
        <w:t> </w:t>
      </w:r>
      <w:r w:rsidRPr="007923C2">
        <w:rPr>
          <w:rFonts w:ascii="Arial" w:hAnsi="Arial" w:cs="Arial"/>
          <w:sz w:val="22"/>
          <w:szCs w:val="22"/>
        </w:rPr>
        <w:t>más</w:t>
      </w:r>
      <w:r w:rsidRPr="007923C2">
        <w:rPr>
          <w:rFonts w:ascii="Arial" w:hAnsi="Arial" w:cs="Arial"/>
          <w:i/>
          <w:iCs/>
          <w:sz w:val="22"/>
          <w:szCs w:val="22"/>
        </w:rPr>
        <w:t> </w:t>
      </w:r>
      <w:r w:rsidRPr="007923C2">
        <w:rPr>
          <w:rFonts w:ascii="Arial" w:hAnsi="Arial" w:cs="Arial"/>
          <w:sz w:val="22"/>
          <w:szCs w:val="22"/>
        </w:rPr>
        <w:t>de 16 millones de trabajadores asegurados, que se traducen en casi 58 millones de derechohabientes. Además,</w:t>
      </w:r>
      <w:r w:rsidRPr="007923C2">
        <w:rPr>
          <w:rFonts w:ascii="Arial" w:hAnsi="Arial" w:cs="Arial"/>
          <w:i/>
          <w:iCs/>
          <w:sz w:val="22"/>
          <w:szCs w:val="22"/>
        </w:rPr>
        <w:t> </w:t>
      </w:r>
      <w:r w:rsidRPr="007923C2">
        <w:rPr>
          <w:rFonts w:ascii="Arial" w:hAnsi="Arial" w:cs="Arial"/>
          <w:sz w:val="22"/>
          <w:szCs w:val="22"/>
        </w:rPr>
        <w:t>brinda</w:t>
      </w:r>
      <w:r w:rsidRPr="007923C2">
        <w:rPr>
          <w:rFonts w:ascii="Arial" w:hAnsi="Arial" w:cs="Arial"/>
          <w:i/>
          <w:iCs/>
          <w:sz w:val="22"/>
          <w:szCs w:val="22"/>
        </w:rPr>
        <w:t> </w:t>
      </w:r>
      <w:r w:rsidRPr="007923C2">
        <w:rPr>
          <w:rFonts w:ascii="Arial" w:hAnsi="Arial" w:cs="Arial"/>
          <w:sz w:val="22"/>
          <w:szCs w:val="22"/>
        </w:rPr>
        <w:t>servicios</w:t>
      </w:r>
      <w:r w:rsidRPr="007923C2">
        <w:rPr>
          <w:rFonts w:ascii="Arial" w:hAnsi="Arial" w:cs="Arial"/>
          <w:i/>
          <w:iCs/>
          <w:sz w:val="22"/>
          <w:szCs w:val="22"/>
        </w:rPr>
        <w:t> </w:t>
      </w:r>
      <w:r w:rsidRPr="007923C2">
        <w:rPr>
          <w:rFonts w:ascii="Arial" w:hAnsi="Arial" w:cs="Arial"/>
          <w:sz w:val="22"/>
          <w:szCs w:val="22"/>
        </w:rPr>
        <w:t>médicos</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población que no cuenta con seguridad social a través del</w:t>
      </w:r>
      <w:r w:rsidRPr="007923C2">
        <w:rPr>
          <w:rFonts w:ascii="Arial" w:hAnsi="Arial" w:cs="Arial"/>
          <w:i/>
          <w:iCs/>
          <w:sz w:val="22"/>
          <w:szCs w:val="22"/>
        </w:rPr>
        <w:t> </w:t>
      </w:r>
      <w:r w:rsidRPr="007923C2">
        <w:rPr>
          <w:rFonts w:ascii="Arial" w:hAnsi="Arial" w:cs="Arial"/>
          <w:sz w:val="22"/>
          <w:szCs w:val="22"/>
        </w:rPr>
        <w:t>Programa IMSS-Oportunidades.</w:t>
      </w:r>
      <w:r w:rsidRPr="007923C2">
        <w:rPr>
          <w:rFonts w:ascii="Arial" w:hAnsi="Arial" w:cs="Arial"/>
          <w:i/>
          <w:iCs/>
          <w:sz w:val="22"/>
          <w:szCs w:val="22"/>
        </w:rPr>
        <w:t> </w:t>
      </w:r>
      <w:r w:rsidRPr="007923C2">
        <w:rPr>
          <w:rFonts w:ascii="Arial" w:hAnsi="Arial" w:cs="Arial"/>
          <w:sz w:val="22"/>
          <w:szCs w:val="22"/>
        </w:rPr>
        <w:t>Dentro del contexto de seguridad social y de manera complementaria a los servicios de salud, el IMSS brinda prestaciones económicas y servicios que protegen tanto a los trabajadores como a sus familiares frente a un evento de riesgo, y apoyan en el cuidado infantil durante la jornada laboral.</w:t>
      </w:r>
    </w:p>
    <w:p w14:paraId="4D806C89"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El IMSS presenta un panorama financiero complicado, ocasionado por una combinación de factores internos y externos. Por una parte, enfrenta la transición demográfica y epidemiológica</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ha</w:t>
      </w:r>
      <w:r w:rsidRPr="007923C2">
        <w:rPr>
          <w:rFonts w:ascii="Arial" w:hAnsi="Arial" w:cs="Arial"/>
          <w:i/>
          <w:iCs/>
          <w:sz w:val="22"/>
          <w:szCs w:val="22"/>
        </w:rPr>
        <w:t> </w:t>
      </w:r>
      <w:r w:rsidRPr="007923C2">
        <w:rPr>
          <w:rFonts w:ascii="Arial" w:hAnsi="Arial" w:cs="Arial"/>
          <w:sz w:val="22"/>
          <w:szCs w:val="22"/>
        </w:rPr>
        <w:t>tenido</w:t>
      </w:r>
      <w:r w:rsidRPr="007923C2">
        <w:rPr>
          <w:rFonts w:ascii="Arial" w:hAnsi="Arial" w:cs="Arial"/>
          <w:i/>
          <w:iCs/>
          <w:sz w:val="22"/>
          <w:szCs w:val="22"/>
        </w:rPr>
        <w:t> </w:t>
      </w:r>
      <w:r w:rsidRPr="007923C2">
        <w:rPr>
          <w:rFonts w:ascii="Arial" w:hAnsi="Arial" w:cs="Arial"/>
          <w:sz w:val="22"/>
          <w:szCs w:val="22"/>
        </w:rPr>
        <w:t>como</w:t>
      </w:r>
      <w:r w:rsidRPr="007923C2">
        <w:rPr>
          <w:rFonts w:ascii="Arial" w:hAnsi="Arial" w:cs="Arial"/>
          <w:i/>
          <w:iCs/>
          <w:sz w:val="22"/>
          <w:szCs w:val="22"/>
        </w:rPr>
        <w:t> </w:t>
      </w:r>
      <w:r w:rsidRPr="007923C2">
        <w:rPr>
          <w:rFonts w:ascii="Arial" w:hAnsi="Arial" w:cs="Arial"/>
          <w:sz w:val="22"/>
          <w:szCs w:val="22"/>
        </w:rPr>
        <w:t>consecuencia</w:t>
      </w:r>
      <w:r w:rsidRPr="007923C2">
        <w:rPr>
          <w:rFonts w:ascii="Arial" w:hAnsi="Arial" w:cs="Arial"/>
          <w:i/>
          <w:iCs/>
          <w:sz w:val="22"/>
          <w:szCs w:val="22"/>
        </w:rPr>
        <w:t> </w:t>
      </w:r>
      <w:r w:rsidRPr="007923C2">
        <w:rPr>
          <w:rFonts w:ascii="Arial" w:hAnsi="Arial" w:cs="Arial"/>
          <w:sz w:val="22"/>
          <w:szCs w:val="22"/>
        </w:rPr>
        <w:t>una mayor prevalencia de padecimientos crónico-degenerativos, cuya atención requiere de mayores recursos económicos. Por otra parte, dicho instituto observa retos financieros derivados de su régimen de jubilaciones y pensiones y de una contratación acelerada de personal en los últimos años.</w:t>
      </w:r>
    </w:p>
    <w:p w14:paraId="52D0A8C6"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El ISSSTE es la segunda institución de seguridad social</w:t>
      </w:r>
      <w:r w:rsidRPr="007923C2">
        <w:rPr>
          <w:rFonts w:ascii="Arial" w:hAnsi="Arial" w:cs="Arial"/>
          <w:i/>
          <w:iCs/>
          <w:sz w:val="22"/>
          <w:szCs w:val="22"/>
        </w:rPr>
        <w:t> </w:t>
      </w:r>
      <w:r w:rsidRPr="007923C2">
        <w:rPr>
          <w:rFonts w:ascii="Arial" w:hAnsi="Arial" w:cs="Arial"/>
          <w:sz w:val="22"/>
          <w:szCs w:val="22"/>
        </w:rPr>
        <w:t>más</w:t>
      </w:r>
      <w:r w:rsidRPr="007923C2">
        <w:rPr>
          <w:rFonts w:ascii="Arial" w:hAnsi="Arial" w:cs="Arial"/>
          <w:i/>
          <w:iCs/>
          <w:sz w:val="22"/>
          <w:szCs w:val="22"/>
        </w:rPr>
        <w:t> </w:t>
      </w:r>
      <w:r w:rsidRPr="007923C2">
        <w:rPr>
          <w:rFonts w:ascii="Arial" w:hAnsi="Arial" w:cs="Arial"/>
          <w:sz w:val="22"/>
          <w:szCs w:val="22"/>
        </w:rPr>
        <w:t>importante</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w:t>
      </w:r>
      <w:r w:rsidRPr="007923C2">
        <w:rPr>
          <w:rFonts w:ascii="Arial" w:hAnsi="Arial" w:cs="Arial"/>
          <w:sz w:val="22"/>
          <w:szCs w:val="22"/>
        </w:rPr>
        <w:t>país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representa</w:t>
      </w:r>
      <w:r w:rsidRPr="007923C2">
        <w:rPr>
          <w:rFonts w:ascii="Arial" w:hAnsi="Arial" w:cs="Arial"/>
          <w:i/>
          <w:iCs/>
          <w:sz w:val="22"/>
          <w:szCs w:val="22"/>
        </w:rPr>
        <w:t> </w:t>
      </w:r>
      <w:r w:rsidRPr="007923C2">
        <w:rPr>
          <w:rFonts w:ascii="Arial" w:hAnsi="Arial" w:cs="Arial"/>
          <w:sz w:val="22"/>
          <w:szCs w:val="22"/>
        </w:rPr>
        <w:t xml:space="preserve">el 11% del gasto operativo del sector público federal. Este organismo requiere ser fortalecido para </w:t>
      </w:r>
      <w:r w:rsidRPr="007923C2">
        <w:rPr>
          <w:rFonts w:ascii="Arial" w:hAnsi="Arial" w:cs="Arial"/>
          <w:sz w:val="22"/>
          <w:szCs w:val="22"/>
        </w:rPr>
        <w:lastRenderedPageBreak/>
        <w:t>garantizar</w:t>
      </w:r>
      <w:r w:rsidRPr="007923C2">
        <w:rPr>
          <w:rFonts w:ascii="Arial" w:hAnsi="Arial" w:cs="Arial"/>
          <w:i/>
          <w:iCs/>
          <w:sz w:val="22"/>
          <w:szCs w:val="22"/>
        </w:rPr>
        <w:t> </w:t>
      </w:r>
      <w:r w:rsidRPr="007923C2">
        <w:rPr>
          <w:rFonts w:ascii="Arial" w:hAnsi="Arial" w:cs="Arial"/>
          <w:sz w:val="22"/>
          <w:szCs w:val="22"/>
        </w:rPr>
        <w:t>su</w:t>
      </w:r>
      <w:r w:rsidRPr="007923C2">
        <w:rPr>
          <w:rFonts w:ascii="Arial" w:hAnsi="Arial" w:cs="Arial"/>
          <w:i/>
          <w:iCs/>
          <w:sz w:val="22"/>
          <w:szCs w:val="22"/>
        </w:rPr>
        <w:t> </w:t>
      </w:r>
      <w:r w:rsidRPr="007923C2">
        <w:rPr>
          <w:rFonts w:ascii="Arial" w:hAnsi="Arial" w:cs="Arial"/>
          <w:sz w:val="22"/>
          <w:szCs w:val="22"/>
        </w:rPr>
        <w:t>viabilidad.</w:t>
      </w:r>
      <w:r w:rsidRPr="007923C2">
        <w:rPr>
          <w:rFonts w:ascii="Arial" w:hAnsi="Arial" w:cs="Arial"/>
          <w:i/>
          <w:iCs/>
          <w:sz w:val="22"/>
          <w:szCs w:val="22"/>
        </w:rPr>
        <w:t> </w:t>
      </w:r>
      <w:r w:rsidRPr="007923C2">
        <w:rPr>
          <w:rFonts w:ascii="Arial" w:hAnsi="Arial" w:cs="Arial"/>
          <w:sz w:val="22"/>
          <w:szCs w:val="22"/>
        </w:rPr>
        <w:t>Mientras</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las reformas a la Ley del ISSSTE, aprobadas en 2007, contribuyeron</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sanear</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situación</w:t>
      </w:r>
      <w:r w:rsidRPr="007923C2">
        <w:rPr>
          <w:rFonts w:ascii="Arial" w:hAnsi="Arial" w:cs="Arial"/>
          <w:i/>
          <w:iCs/>
          <w:sz w:val="22"/>
          <w:szCs w:val="22"/>
        </w:rPr>
        <w:t> </w:t>
      </w:r>
      <w:r w:rsidRPr="007923C2">
        <w:rPr>
          <w:rFonts w:ascii="Arial" w:hAnsi="Arial" w:cs="Arial"/>
          <w:sz w:val="22"/>
          <w:szCs w:val="22"/>
        </w:rPr>
        <w:t>financiera del mismo, la composición poblacional de sus derechohabientes del segmento de servicios médicos tiene implicaciones en la duración, costo y recurrencia de los tratamientos.</w:t>
      </w:r>
    </w:p>
    <w:p w14:paraId="29E78813"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Los problemas que enfrenta el Sistema de Seguridad Social representan un gran reto que hace necesario llevar a cabo políticas que fortalezcan la situación financiera de estas instituciones, en virtud de que sus necesidades y costos presentan una tendencia de crecimiento mayor a la de sus ingresos. De esta forma, es importante implementar acciones enfocadas en hacer más eficiente su operación, con énfasis en aquellas que les permitan contener</w:t>
      </w:r>
      <w:r w:rsidRPr="007923C2">
        <w:rPr>
          <w:rFonts w:ascii="Arial" w:hAnsi="Arial" w:cs="Arial"/>
          <w:i/>
          <w:iCs/>
          <w:sz w:val="22"/>
          <w:szCs w:val="22"/>
        </w:rPr>
        <w:t> </w:t>
      </w:r>
      <w:r w:rsidRPr="007923C2">
        <w:rPr>
          <w:rFonts w:ascii="Arial" w:hAnsi="Arial" w:cs="Arial"/>
          <w:sz w:val="22"/>
          <w:szCs w:val="22"/>
        </w:rPr>
        <w:t>su</w:t>
      </w:r>
      <w:r w:rsidRPr="007923C2">
        <w:rPr>
          <w:rFonts w:ascii="Arial" w:hAnsi="Arial" w:cs="Arial"/>
          <w:i/>
          <w:iCs/>
          <w:sz w:val="22"/>
          <w:szCs w:val="22"/>
        </w:rPr>
        <w:t> </w:t>
      </w:r>
      <w:r w:rsidRPr="007923C2">
        <w:rPr>
          <w:rFonts w:ascii="Arial" w:hAnsi="Arial" w:cs="Arial"/>
          <w:sz w:val="22"/>
          <w:szCs w:val="22"/>
        </w:rPr>
        <w:t>gasto.</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gasto</w:t>
      </w:r>
      <w:r w:rsidRPr="007923C2">
        <w:rPr>
          <w:rFonts w:ascii="Arial" w:hAnsi="Arial" w:cs="Arial"/>
          <w:i/>
          <w:iCs/>
          <w:sz w:val="22"/>
          <w:szCs w:val="22"/>
        </w:rPr>
        <w:t> </w:t>
      </w:r>
      <w:r w:rsidRPr="007923C2">
        <w:rPr>
          <w:rFonts w:ascii="Arial" w:hAnsi="Arial" w:cs="Arial"/>
          <w:sz w:val="22"/>
          <w:szCs w:val="22"/>
        </w:rPr>
        <w:t>administrativo</w:t>
      </w:r>
      <w:r w:rsidRPr="007923C2">
        <w:rPr>
          <w:rFonts w:ascii="Arial" w:hAnsi="Arial" w:cs="Arial"/>
          <w:i/>
          <w:iCs/>
          <w:sz w:val="22"/>
          <w:szCs w:val="22"/>
        </w:rPr>
        <w:t> </w:t>
      </w:r>
      <w:r w:rsidRPr="007923C2">
        <w:rPr>
          <w:rFonts w:ascii="Arial" w:hAnsi="Arial" w:cs="Arial"/>
          <w:sz w:val="22"/>
          <w:szCs w:val="22"/>
        </w:rPr>
        <w:t>en los sistemas de Seguridad Social es elevado, ya que representa 11.4% del gasto total, que es significativamente mayor en comparación con el promedio de 3.9% en países miembros de la OCDE.</w:t>
      </w:r>
    </w:p>
    <w:p w14:paraId="325C1A11"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Asimismo, un Sistema de Seguridad Social Integral debe contemplar un seguro de desempleo que proteja a las familias ante cambios temporales en la condición laboral. En este sentido, el Reporte de Empleo 2012 publicado por la OCDE señala que un limitado alcance de las medidas de apoyo para</w:t>
      </w:r>
      <w:r w:rsidRPr="007923C2">
        <w:rPr>
          <w:rFonts w:ascii="Arial" w:hAnsi="Arial" w:cs="Arial"/>
          <w:i/>
          <w:iCs/>
          <w:sz w:val="22"/>
          <w:szCs w:val="22"/>
        </w:rPr>
        <w:t> </w:t>
      </w:r>
      <w:r w:rsidRPr="007923C2">
        <w:rPr>
          <w:rFonts w:ascii="Arial" w:hAnsi="Arial" w:cs="Arial"/>
          <w:sz w:val="22"/>
          <w:szCs w:val="22"/>
        </w:rPr>
        <w:t>pérdidas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empleo</w:t>
      </w:r>
      <w:r w:rsidRPr="007923C2">
        <w:rPr>
          <w:rFonts w:ascii="Arial" w:hAnsi="Arial" w:cs="Arial"/>
          <w:i/>
          <w:iCs/>
          <w:sz w:val="22"/>
          <w:szCs w:val="22"/>
        </w:rPr>
        <w:t> </w:t>
      </w:r>
      <w:r w:rsidRPr="007923C2">
        <w:rPr>
          <w:rFonts w:ascii="Arial" w:hAnsi="Arial" w:cs="Arial"/>
          <w:sz w:val="22"/>
          <w:szCs w:val="22"/>
        </w:rPr>
        <w:t>incide</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aumento del sector informal. De acuerdo con el Informe de Perspectivas 2012 de dicha organización, México es el único país miembro que no contaba con un seguro de desempleo. Este beneficio debe aportar una protección adecuada para que el trabajador cuente con un periodo de búsqueda que le permita encontrar un empleo acorde con sus capacidades y productividad.</w:t>
      </w:r>
    </w:p>
    <w:p w14:paraId="1260DDDD"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todo caso, el fortalecimiento de los sistemas de seguridad social es una condición necesaria para avanzar hacia una verdadera seguridad universal. Esta meta requiere el impulso a la formalidad como una solución sustentable que garantice el acceso a la seguridad social de los mexicanos.</w:t>
      </w:r>
    </w:p>
    <w:p w14:paraId="292C190A" w14:textId="77777777" w:rsidR="00072704" w:rsidRPr="007923C2" w:rsidRDefault="00072704" w:rsidP="00072704">
      <w:pPr>
        <w:spacing w:after="101"/>
        <w:jc w:val="both"/>
        <w:rPr>
          <w:rFonts w:ascii="Arial" w:hAnsi="Arial" w:cs="Arial"/>
          <w:sz w:val="22"/>
          <w:szCs w:val="22"/>
        </w:rPr>
      </w:pPr>
      <w:r w:rsidRPr="007923C2">
        <w:rPr>
          <w:rFonts w:ascii="Arial" w:hAnsi="Arial" w:cs="Arial"/>
          <w:b/>
          <w:bCs/>
          <w:sz w:val="22"/>
          <w:szCs w:val="22"/>
        </w:rPr>
        <w:t>Acceso a vivienda digna, infraestructura social básica y desarrollo territorial</w:t>
      </w:r>
    </w:p>
    <w:p w14:paraId="1BC95F7D"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materia de vivienda e infraestructura social básica,</w:t>
      </w:r>
      <w:r w:rsidRPr="007923C2">
        <w:rPr>
          <w:rFonts w:ascii="Arial" w:hAnsi="Arial" w:cs="Arial"/>
          <w:i/>
          <w:iCs/>
          <w:sz w:val="22"/>
          <w:szCs w:val="22"/>
        </w:rPr>
        <w:t> </w:t>
      </w:r>
      <w:r w:rsidRPr="007923C2">
        <w:rPr>
          <w:rFonts w:ascii="Arial" w:hAnsi="Arial" w:cs="Arial"/>
          <w:sz w:val="22"/>
          <w:szCs w:val="22"/>
        </w:rPr>
        <w:t>se</w:t>
      </w:r>
      <w:r w:rsidRPr="007923C2">
        <w:rPr>
          <w:rFonts w:ascii="Arial" w:hAnsi="Arial" w:cs="Arial"/>
          <w:i/>
          <w:iCs/>
          <w:sz w:val="22"/>
          <w:szCs w:val="22"/>
        </w:rPr>
        <w:t> </w:t>
      </w:r>
      <w:r w:rsidRPr="007923C2">
        <w:rPr>
          <w:rFonts w:ascii="Arial" w:hAnsi="Arial" w:cs="Arial"/>
          <w:sz w:val="22"/>
          <w:szCs w:val="22"/>
        </w:rPr>
        <w:t>ha</w:t>
      </w:r>
      <w:r w:rsidRPr="007923C2">
        <w:rPr>
          <w:rFonts w:ascii="Arial" w:hAnsi="Arial" w:cs="Arial"/>
          <w:i/>
          <w:iCs/>
          <w:sz w:val="22"/>
          <w:szCs w:val="22"/>
        </w:rPr>
        <w:t> </w:t>
      </w:r>
      <w:r w:rsidRPr="007923C2">
        <w:rPr>
          <w:rFonts w:ascii="Arial" w:hAnsi="Arial" w:cs="Arial"/>
          <w:sz w:val="22"/>
          <w:szCs w:val="22"/>
        </w:rPr>
        <w:t>avanzado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manera</w:t>
      </w:r>
      <w:r w:rsidRPr="007923C2">
        <w:rPr>
          <w:rFonts w:ascii="Arial" w:hAnsi="Arial" w:cs="Arial"/>
          <w:i/>
          <w:iCs/>
          <w:sz w:val="22"/>
          <w:szCs w:val="22"/>
        </w:rPr>
        <w:t> </w:t>
      </w:r>
      <w:r w:rsidRPr="007923C2">
        <w:rPr>
          <w:rFonts w:ascii="Arial" w:hAnsi="Arial" w:cs="Arial"/>
          <w:sz w:val="22"/>
          <w:szCs w:val="22"/>
        </w:rPr>
        <w:t>importante en</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últimos</w:t>
      </w:r>
      <w:r w:rsidRPr="007923C2">
        <w:rPr>
          <w:rFonts w:ascii="Arial" w:hAnsi="Arial" w:cs="Arial"/>
          <w:i/>
          <w:iCs/>
          <w:sz w:val="22"/>
          <w:szCs w:val="22"/>
        </w:rPr>
        <w:t> </w:t>
      </w:r>
      <w:r w:rsidRPr="007923C2">
        <w:rPr>
          <w:rFonts w:ascii="Arial" w:hAnsi="Arial" w:cs="Arial"/>
          <w:sz w:val="22"/>
          <w:szCs w:val="22"/>
        </w:rPr>
        <w:t>20</w:t>
      </w:r>
      <w:r w:rsidRPr="007923C2">
        <w:rPr>
          <w:rFonts w:ascii="Arial" w:hAnsi="Arial" w:cs="Arial"/>
          <w:i/>
          <w:iCs/>
          <w:sz w:val="22"/>
          <w:szCs w:val="22"/>
        </w:rPr>
        <w:t> </w:t>
      </w:r>
      <w:r w:rsidRPr="007923C2">
        <w:rPr>
          <w:rFonts w:ascii="Arial" w:hAnsi="Arial" w:cs="Arial"/>
          <w:sz w:val="22"/>
          <w:szCs w:val="22"/>
        </w:rPr>
        <w:t>años.</w:t>
      </w:r>
      <w:r w:rsidRPr="007923C2">
        <w:rPr>
          <w:rFonts w:ascii="Arial" w:hAnsi="Arial" w:cs="Arial"/>
          <w:i/>
          <w:iCs/>
          <w:sz w:val="22"/>
          <w:szCs w:val="22"/>
        </w:rPr>
        <w:t> </w:t>
      </w:r>
      <w:r w:rsidRPr="007923C2">
        <w:rPr>
          <w:rFonts w:ascii="Arial" w:hAnsi="Arial" w:cs="Arial"/>
          <w:sz w:val="22"/>
          <w:szCs w:val="22"/>
        </w:rPr>
        <w:t>Entre</w:t>
      </w:r>
      <w:r w:rsidRPr="007923C2">
        <w:rPr>
          <w:rFonts w:ascii="Arial" w:hAnsi="Arial" w:cs="Arial"/>
          <w:i/>
          <w:iCs/>
          <w:sz w:val="22"/>
          <w:szCs w:val="22"/>
        </w:rPr>
        <w:t> </w:t>
      </w:r>
      <w:r w:rsidRPr="007923C2">
        <w:rPr>
          <w:rFonts w:ascii="Arial" w:hAnsi="Arial" w:cs="Arial"/>
          <w:sz w:val="22"/>
          <w:szCs w:val="22"/>
        </w:rPr>
        <w:t>1990</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2010, la proporción de la población que no contaba con servicios</w:t>
      </w:r>
      <w:r w:rsidRPr="007923C2">
        <w:rPr>
          <w:rFonts w:ascii="Arial" w:hAnsi="Arial" w:cs="Arial"/>
          <w:i/>
          <w:iCs/>
          <w:sz w:val="22"/>
          <w:szCs w:val="22"/>
        </w:rPr>
        <w:t> </w:t>
      </w:r>
      <w:r w:rsidRPr="007923C2">
        <w:rPr>
          <w:rFonts w:ascii="Arial" w:hAnsi="Arial" w:cs="Arial"/>
          <w:sz w:val="22"/>
          <w:szCs w:val="22"/>
        </w:rPr>
        <w:t>básicos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vivienda</w:t>
      </w:r>
      <w:r w:rsidRPr="007923C2">
        <w:rPr>
          <w:rFonts w:ascii="Arial" w:hAnsi="Arial" w:cs="Arial"/>
          <w:i/>
          <w:iCs/>
          <w:sz w:val="22"/>
          <w:szCs w:val="22"/>
        </w:rPr>
        <w:t> </w:t>
      </w:r>
      <w:r w:rsidRPr="007923C2">
        <w:rPr>
          <w:rFonts w:ascii="Arial" w:hAnsi="Arial" w:cs="Arial"/>
          <w:sz w:val="22"/>
          <w:szCs w:val="22"/>
        </w:rPr>
        <w:t>pasó</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44</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19 por ciento.</w:t>
      </w:r>
    </w:p>
    <w:p w14:paraId="1761037F"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Sin embargo, los avances en este rubro no han sido uniformes</w:t>
      </w:r>
      <w:r w:rsidRPr="007923C2">
        <w:rPr>
          <w:rFonts w:ascii="Arial" w:hAnsi="Arial" w:cs="Arial"/>
          <w:i/>
          <w:iCs/>
          <w:sz w:val="22"/>
          <w:szCs w:val="22"/>
        </w:rPr>
        <w:t> </w:t>
      </w: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todas</w:t>
      </w:r>
      <w:r w:rsidRPr="007923C2">
        <w:rPr>
          <w:rFonts w:ascii="Arial" w:hAnsi="Arial" w:cs="Arial"/>
          <w:i/>
          <w:iCs/>
          <w:sz w:val="22"/>
          <w:szCs w:val="22"/>
        </w:rPr>
        <w:t> </w:t>
      </w:r>
      <w:r w:rsidRPr="007923C2">
        <w:rPr>
          <w:rFonts w:ascii="Arial" w:hAnsi="Arial" w:cs="Arial"/>
          <w:sz w:val="22"/>
          <w:szCs w:val="22"/>
        </w:rPr>
        <w:t>las</w:t>
      </w:r>
      <w:r w:rsidRPr="007923C2">
        <w:rPr>
          <w:rFonts w:ascii="Arial" w:hAnsi="Arial" w:cs="Arial"/>
          <w:i/>
          <w:iCs/>
          <w:sz w:val="22"/>
          <w:szCs w:val="22"/>
        </w:rPr>
        <w:t> </w:t>
      </w:r>
      <w:r w:rsidRPr="007923C2">
        <w:rPr>
          <w:rFonts w:ascii="Arial" w:hAnsi="Arial" w:cs="Arial"/>
          <w:sz w:val="22"/>
          <w:szCs w:val="22"/>
        </w:rPr>
        <w:t>regiones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localidades del país. En 2010, la carencia de servicios básicos en la vivienda afectó a 9.4% de la población en localidades urbanas, mientras que en zonas rurales se</w:t>
      </w:r>
      <w:r w:rsidRPr="007923C2">
        <w:rPr>
          <w:rFonts w:ascii="Arial" w:hAnsi="Arial" w:cs="Arial"/>
          <w:i/>
          <w:iCs/>
          <w:sz w:val="22"/>
          <w:szCs w:val="22"/>
        </w:rPr>
        <w:t> </w:t>
      </w:r>
      <w:r w:rsidRPr="007923C2">
        <w:rPr>
          <w:rFonts w:ascii="Arial" w:hAnsi="Arial" w:cs="Arial"/>
          <w:sz w:val="22"/>
          <w:szCs w:val="22"/>
        </w:rPr>
        <w:t>presenta</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50.4%.</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mismosentido, existen grupos de la población particularmente desatendidos: la necesidad de reemplazo de vivienda está concentrada en la población no afiliada</w:t>
      </w:r>
      <w:r w:rsidRPr="007923C2">
        <w:rPr>
          <w:rFonts w:ascii="Arial" w:hAnsi="Arial" w:cs="Arial"/>
          <w:i/>
          <w:iCs/>
          <w:sz w:val="22"/>
          <w:szCs w:val="22"/>
        </w:rPr>
        <w:t> </w:t>
      </w:r>
      <w:r w:rsidRPr="007923C2">
        <w:rPr>
          <w:rFonts w:ascii="Arial" w:hAnsi="Arial" w:cs="Arial"/>
          <w:sz w:val="22"/>
          <w:szCs w:val="22"/>
        </w:rPr>
        <w:t>a la seguridad social, que representa el</w:t>
      </w:r>
      <w:r w:rsidRPr="007923C2">
        <w:rPr>
          <w:rFonts w:ascii="Arial" w:hAnsi="Arial" w:cs="Arial"/>
          <w:i/>
          <w:iCs/>
          <w:sz w:val="22"/>
          <w:szCs w:val="22"/>
        </w:rPr>
        <w:t> </w:t>
      </w:r>
      <w:r w:rsidRPr="007923C2">
        <w:rPr>
          <w:rFonts w:ascii="Arial" w:hAnsi="Arial" w:cs="Arial"/>
          <w:sz w:val="22"/>
          <w:szCs w:val="22"/>
        </w:rPr>
        <w:t>73%</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necesidad</w:t>
      </w:r>
      <w:r w:rsidRPr="007923C2">
        <w:rPr>
          <w:rFonts w:ascii="Arial" w:hAnsi="Arial" w:cs="Arial"/>
          <w:i/>
          <w:iCs/>
          <w:sz w:val="22"/>
          <w:szCs w:val="22"/>
        </w:rPr>
        <w:t> </w:t>
      </w:r>
      <w:r w:rsidRPr="007923C2">
        <w:rPr>
          <w:rFonts w:ascii="Arial" w:hAnsi="Arial" w:cs="Arial"/>
          <w:sz w:val="22"/>
          <w:szCs w:val="22"/>
        </w:rPr>
        <w:t>nacional</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solamente recibe el 30% del financiamiento total destinado a vivienda. En este sentido, se requiere fomentar mecanismos que puedan dar respuesta a las necesidades específicas de las mujeres con esquemas de financiamiento apropiados a su situación en el mercado de trabajo.</w:t>
      </w:r>
    </w:p>
    <w:p w14:paraId="7FCFE4BE"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Actualmente existen en México 2.8 millones de viviendas que necesitan ser reemplazadas y 11.8 millones que requieren algún tipo de mejoramiento o ampliación. Asimismo, para atender el crecimiento de la población se estima que en los próximos 20 años se demandarán 10.8 millones de soluciones de vivienda debido a la creación de nuevos hogares.</w:t>
      </w:r>
    </w:p>
    <w:p w14:paraId="65874368"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xml:space="preserve">El modelo de crecimiento urbano reciente ha fomentado el desarrollo de viviendas que se encuentran lejos de servicios como escuelas, hospitales y centros de abasto. Es decir, la producción de vivienda </w:t>
      </w:r>
      <w:r w:rsidRPr="007923C2">
        <w:rPr>
          <w:rFonts w:ascii="Arial" w:hAnsi="Arial" w:cs="Arial"/>
          <w:sz w:val="22"/>
          <w:szCs w:val="22"/>
        </w:rPr>
        <w:lastRenderedPageBreak/>
        <w:t>nueva ha estado basada en un modelo de crecimiento urbano extensivo. Los desarrollos habitacionales se ubicaron en zonas alejadas de los centros de trabajo y de servicios, sin una densidad habitacional adecuada que permitiera costear servicios, vías de comunicación y alternativas de transporte eficientes. Esto ha generado comunidades dispersas, un debilitamiento del tejido social y un uso poco eficiente de los recursos de la economía a través de altos costos de transporte para los trabajadores y las empresas.</w:t>
      </w:r>
    </w:p>
    <w:p w14:paraId="1131ECB0"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Lo anterior también se ha traducido en un importante número de viviendas deshabitadas. De acuerdo con el Censo de Población y Vivienda 2010, el número de viviendas deshabitadas fue de casi 5 millones y las de uso temporal de poco más de 2 millones. Ante esta coyuntura, es necesario impulsar el desarrollo de ciudades más compactas con mayor densidad de población y actividad económica. Alternativas como los mercados de vivienda usada y</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renta</w:t>
      </w:r>
      <w:r w:rsidRPr="007923C2">
        <w:rPr>
          <w:rFonts w:ascii="Arial" w:hAnsi="Arial" w:cs="Arial"/>
          <w:i/>
          <w:iCs/>
          <w:sz w:val="22"/>
          <w:szCs w:val="22"/>
        </w:rPr>
        <w:t> </w:t>
      </w:r>
      <w:r w:rsidRPr="007923C2">
        <w:rPr>
          <w:rFonts w:ascii="Arial" w:hAnsi="Arial" w:cs="Arial"/>
          <w:sz w:val="22"/>
          <w:szCs w:val="22"/>
        </w:rPr>
        <w:t>aún</w:t>
      </w:r>
      <w:r w:rsidRPr="007923C2">
        <w:rPr>
          <w:rFonts w:ascii="Arial" w:hAnsi="Arial" w:cs="Arial"/>
          <w:i/>
          <w:iCs/>
          <w:sz w:val="22"/>
          <w:szCs w:val="22"/>
        </w:rPr>
        <w:t> </w:t>
      </w:r>
      <w:r w:rsidRPr="007923C2">
        <w:rPr>
          <w:rFonts w:ascii="Arial" w:hAnsi="Arial" w:cs="Arial"/>
          <w:sz w:val="22"/>
          <w:szCs w:val="22"/>
        </w:rPr>
        <w:t>son</w:t>
      </w:r>
      <w:r w:rsidRPr="007923C2">
        <w:rPr>
          <w:rFonts w:ascii="Arial" w:hAnsi="Arial" w:cs="Arial"/>
          <w:i/>
          <w:iCs/>
          <w:sz w:val="22"/>
          <w:szCs w:val="22"/>
        </w:rPr>
        <w:t> </w:t>
      </w:r>
      <w:r w:rsidRPr="007923C2">
        <w:rPr>
          <w:rFonts w:ascii="Arial" w:hAnsi="Arial" w:cs="Arial"/>
          <w:sz w:val="22"/>
          <w:szCs w:val="22"/>
        </w:rPr>
        <w:t>incipientes,</w:t>
      </w:r>
      <w:r w:rsidRPr="007923C2">
        <w:rPr>
          <w:rFonts w:ascii="Arial" w:hAnsi="Arial" w:cs="Arial"/>
          <w:i/>
          <w:iCs/>
          <w:sz w:val="22"/>
          <w:szCs w:val="22"/>
        </w:rPr>
        <w:t> </w:t>
      </w:r>
      <w:r w:rsidRPr="007923C2">
        <w:rPr>
          <w:rFonts w:ascii="Arial" w:hAnsi="Arial" w:cs="Arial"/>
          <w:sz w:val="22"/>
          <w:szCs w:val="22"/>
        </w:rPr>
        <w:t>lo</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dificulta que se pueda utilizar la oferta disponible para solucionar las necesidades habitacionales existentes. El mercado secundario de vivienda en México tiene un peso pequeño, aunque hay signos de que ha incrementado su participación. A pesar de que siguen existiendo inhibidores, como los altos costos del traslado de propiedad, el financiamiento para la adquisición de vivienda usada en INFONAVIT prácticamente se duplicó en la década pasada: mientras</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2002</w:t>
      </w:r>
      <w:r w:rsidRPr="007923C2">
        <w:rPr>
          <w:rFonts w:ascii="Arial" w:hAnsi="Arial" w:cs="Arial"/>
          <w:i/>
          <w:iCs/>
          <w:sz w:val="22"/>
          <w:szCs w:val="22"/>
        </w:rPr>
        <w:t> </w:t>
      </w:r>
      <w:r w:rsidRPr="007923C2">
        <w:rPr>
          <w:rFonts w:ascii="Arial" w:hAnsi="Arial" w:cs="Arial"/>
          <w:sz w:val="22"/>
          <w:szCs w:val="22"/>
        </w:rPr>
        <w:t>representaba</w:t>
      </w:r>
      <w:r w:rsidRPr="007923C2">
        <w:rPr>
          <w:rFonts w:ascii="Arial" w:hAnsi="Arial" w:cs="Arial"/>
          <w:i/>
          <w:iCs/>
          <w:sz w:val="22"/>
          <w:szCs w:val="22"/>
        </w:rPr>
        <w:t> </w:t>
      </w:r>
      <w:r w:rsidRPr="007923C2">
        <w:rPr>
          <w:rFonts w:ascii="Arial" w:hAnsi="Arial" w:cs="Arial"/>
          <w:sz w:val="22"/>
          <w:szCs w:val="22"/>
        </w:rPr>
        <w:t>13%,</w:t>
      </w:r>
      <w:r w:rsidRPr="007923C2">
        <w:rPr>
          <w:rFonts w:ascii="Arial" w:hAnsi="Arial" w:cs="Arial"/>
          <w:i/>
          <w:iCs/>
          <w:sz w:val="22"/>
          <w:szCs w:val="22"/>
        </w:rPr>
        <w:t> </w:t>
      </w:r>
      <w:r w:rsidRPr="007923C2">
        <w:rPr>
          <w:rFonts w:ascii="Arial" w:hAnsi="Arial" w:cs="Arial"/>
          <w:sz w:val="22"/>
          <w:szCs w:val="22"/>
        </w:rPr>
        <w:t>para 2012 la proporción fue de 21%. Dado el crecimiento urbano antes descrito, la vivienda usada resulta cada vez más atractiva ya que se encuentra mejor ubicada que las nuevas, lo que ofrece una mejor calidad de vida a sus habitantes.</w:t>
      </w:r>
    </w:p>
    <w:p w14:paraId="4351D1BC"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su parte, el 23% de las viviendas habitadas se clasifican como</w:t>
      </w:r>
      <w:r w:rsidRPr="007923C2">
        <w:rPr>
          <w:rFonts w:ascii="Arial" w:hAnsi="Arial" w:cs="Arial"/>
          <w:i/>
          <w:iCs/>
          <w:sz w:val="22"/>
          <w:szCs w:val="22"/>
        </w:rPr>
        <w:t> </w:t>
      </w:r>
      <w:r w:rsidRPr="007923C2">
        <w:rPr>
          <w:rFonts w:ascii="Arial" w:hAnsi="Arial" w:cs="Arial"/>
          <w:sz w:val="22"/>
          <w:szCs w:val="22"/>
        </w:rPr>
        <w:t>no</w:t>
      </w:r>
      <w:r w:rsidRPr="007923C2">
        <w:rPr>
          <w:rFonts w:ascii="Arial" w:hAnsi="Arial" w:cs="Arial"/>
          <w:i/>
          <w:iCs/>
          <w:sz w:val="22"/>
          <w:szCs w:val="22"/>
        </w:rPr>
        <w:t> </w:t>
      </w:r>
      <w:r w:rsidRPr="007923C2">
        <w:rPr>
          <w:rFonts w:ascii="Arial" w:hAnsi="Arial" w:cs="Arial"/>
          <w:sz w:val="22"/>
          <w:szCs w:val="22"/>
        </w:rPr>
        <w:t>propias</w:t>
      </w:r>
      <w:r w:rsidRPr="007923C2">
        <w:rPr>
          <w:rFonts w:ascii="Arial" w:hAnsi="Arial" w:cs="Arial"/>
          <w:i/>
          <w:iCs/>
          <w:sz w:val="22"/>
          <w:szCs w:val="22"/>
        </w:rPr>
        <w:t> </w:t>
      </w:r>
      <w:r w:rsidRPr="007923C2">
        <w:rPr>
          <w:rFonts w:ascii="Arial" w:hAnsi="Arial" w:cs="Arial"/>
          <w:sz w:val="22"/>
          <w:szCs w:val="22"/>
        </w:rPr>
        <w:t>(rentadas,</w:t>
      </w:r>
      <w:r w:rsidRPr="007923C2">
        <w:rPr>
          <w:rFonts w:ascii="Arial" w:hAnsi="Arial" w:cs="Arial"/>
          <w:i/>
          <w:iCs/>
          <w:sz w:val="22"/>
          <w:szCs w:val="22"/>
        </w:rPr>
        <w:t> </w:t>
      </w:r>
      <w:r w:rsidRPr="007923C2">
        <w:rPr>
          <w:rFonts w:ascii="Arial" w:hAnsi="Arial" w:cs="Arial"/>
          <w:sz w:val="22"/>
          <w:szCs w:val="22"/>
        </w:rPr>
        <w:t>prestadas y en otra situación). En México, la mayor parte del mercado de renta es informal y no existe un sistema</w:t>
      </w:r>
      <w:r w:rsidRPr="007923C2">
        <w:rPr>
          <w:rFonts w:ascii="Arial" w:hAnsi="Arial" w:cs="Arial"/>
          <w:i/>
          <w:iCs/>
          <w:sz w:val="22"/>
          <w:szCs w:val="22"/>
        </w:rPr>
        <w:t> </w:t>
      </w:r>
      <w:r w:rsidRPr="007923C2">
        <w:rPr>
          <w:rFonts w:ascii="Arial" w:hAnsi="Arial" w:cs="Arial"/>
          <w:sz w:val="22"/>
          <w:szCs w:val="22"/>
        </w:rPr>
        <w:t>formal</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propietarios,</w:t>
      </w:r>
      <w:r w:rsidRPr="007923C2">
        <w:rPr>
          <w:rFonts w:ascii="Arial" w:hAnsi="Arial" w:cs="Arial"/>
          <w:i/>
          <w:iCs/>
          <w:sz w:val="22"/>
          <w:szCs w:val="22"/>
        </w:rPr>
        <w:t> </w:t>
      </w:r>
      <w:r w:rsidRPr="007923C2">
        <w:rPr>
          <w:rFonts w:ascii="Arial" w:hAnsi="Arial" w:cs="Arial"/>
          <w:sz w:val="22"/>
          <w:szCs w:val="22"/>
        </w:rPr>
        <w:t>administradores de la propiedad ni compañías dedicadas a invertir en la construcción y administración de vivienda para renta.</w:t>
      </w:r>
    </w:p>
    <w:p w14:paraId="34E8032C" w14:textId="77777777" w:rsidR="00072704" w:rsidRPr="007923C2" w:rsidRDefault="00072704" w:rsidP="00072704">
      <w:pPr>
        <w:spacing w:after="101"/>
        <w:jc w:val="both"/>
        <w:rPr>
          <w:rFonts w:ascii="Arial" w:hAnsi="Arial" w:cs="Arial"/>
          <w:sz w:val="22"/>
          <w:szCs w:val="22"/>
        </w:rPr>
      </w:pPr>
      <w:r w:rsidRPr="007923C2">
        <w:rPr>
          <w:rFonts w:ascii="Arial" w:hAnsi="Arial" w:cs="Arial"/>
          <w:b/>
          <w:bCs/>
          <w:sz w:val="22"/>
          <w:szCs w:val="22"/>
        </w:rPr>
        <w:t>México Incluyente, en las palabras de...</w:t>
      </w:r>
    </w:p>
    <w:p w14:paraId="43CE7BB6" w14:textId="77777777" w:rsidR="00072704" w:rsidRPr="007923C2" w:rsidRDefault="00072704" w:rsidP="00072704">
      <w:pPr>
        <w:spacing w:after="101"/>
        <w:jc w:val="both"/>
        <w:rPr>
          <w:rFonts w:ascii="Arial" w:hAnsi="Arial" w:cs="Arial"/>
          <w:sz w:val="22"/>
          <w:szCs w:val="22"/>
        </w:rPr>
      </w:pPr>
      <w:r w:rsidRPr="007923C2">
        <w:rPr>
          <w:rFonts w:ascii="Arial" w:hAnsi="Arial" w:cs="Arial"/>
          <w:i/>
          <w:iCs/>
          <w:sz w:val="22"/>
          <w:szCs w:val="22"/>
        </w:rPr>
        <w:t>Consideramos que la nueva relación gobierno-pueblos indígenas sea de respeto, diálogos y acuerdos, donde juntos construyamos un Nuevo México, sin poblaciones vulnerables, un México para todos.</w:t>
      </w:r>
    </w:p>
    <w:p w14:paraId="636CCEF4" w14:textId="77777777" w:rsidR="00072704" w:rsidRPr="007923C2" w:rsidRDefault="00072704" w:rsidP="00072704">
      <w:pPr>
        <w:spacing w:after="101"/>
        <w:jc w:val="right"/>
        <w:rPr>
          <w:rFonts w:ascii="Arial" w:hAnsi="Arial" w:cs="Arial"/>
          <w:sz w:val="22"/>
          <w:szCs w:val="22"/>
        </w:rPr>
      </w:pPr>
      <w:r w:rsidRPr="007923C2">
        <w:rPr>
          <w:rFonts w:ascii="Arial" w:hAnsi="Arial" w:cs="Arial"/>
          <w:sz w:val="22"/>
          <w:szCs w:val="22"/>
        </w:rPr>
        <w:t>Victoria Nataly Olmedo Basilio, Papantla, Veracruz</w:t>
      </w:r>
    </w:p>
    <w:p w14:paraId="604C5EAD" w14:textId="77777777" w:rsidR="00072704" w:rsidRPr="007923C2" w:rsidRDefault="00072704" w:rsidP="00072704">
      <w:pPr>
        <w:spacing w:after="101"/>
        <w:jc w:val="both"/>
        <w:rPr>
          <w:rFonts w:ascii="Arial" w:hAnsi="Arial" w:cs="Arial"/>
          <w:sz w:val="22"/>
          <w:szCs w:val="22"/>
        </w:rPr>
      </w:pPr>
      <w:r w:rsidRPr="007923C2">
        <w:rPr>
          <w:rFonts w:ascii="Arial" w:hAnsi="Arial" w:cs="Arial"/>
          <w:i/>
          <w:iCs/>
          <w:sz w:val="22"/>
          <w:szCs w:val="22"/>
        </w:rPr>
        <w:t>Reconocimiento constitucional pleno a las necesidades de las personas con alguna discapacidad, eliminando las disposiciones legales que obstaculicen su productividad.</w:t>
      </w:r>
    </w:p>
    <w:p w14:paraId="6CD8EC3C" w14:textId="77777777" w:rsidR="00072704" w:rsidRPr="007923C2" w:rsidRDefault="00072704" w:rsidP="00072704">
      <w:pPr>
        <w:spacing w:after="101"/>
        <w:jc w:val="right"/>
        <w:rPr>
          <w:rFonts w:ascii="Arial" w:hAnsi="Arial" w:cs="Arial"/>
          <w:sz w:val="22"/>
          <w:szCs w:val="22"/>
        </w:rPr>
      </w:pPr>
      <w:r w:rsidRPr="007923C2">
        <w:rPr>
          <w:rFonts w:ascii="Arial" w:hAnsi="Arial" w:cs="Arial"/>
          <w:sz w:val="22"/>
          <w:szCs w:val="22"/>
        </w:rPr>
        <w:t>Leopoldo Proal, Cancún, Quintana Roo</w:t>
      </w:r>
    </w:p>
    <w:p w14:paraId="58EBAE62" w14:textId="77777777" w:rsidR="00072704" w:rsidRPr="007923C2" w:rsidRDefault="00072704" w:rsidP="00072704">
      <w:pPr>
        <w:spacing w:after="101"/>
        <w:jc w:val="both"/>
        <w:rPr>
          <w:rFonts w:ascii="Arial" w:hAnsi="Arial" w:cs="Arial"/>
          <w:sz w:val="22"/>
          <w:szCs w:val="22"/>
        </w:rPr>
      </w:pPr>
      <w:r w:rsidRPr="007923C2">
        <w:rPr>
          <w:rFonts w:ascii="Arial" w:hAnsi="Arial" w:cs="Arial"/>
          <w:i/>
          <w:iCs/>
          <w:sz w:val="22"/>
          <w:szCs w:val="22"/>
        </w:rPr>
        <w:t>Combatir la discriminación y la violencia hacia las niñas y mujeres en todos los ámbitos; fortalecer la igualdad de oportunidades, la salud y la dignidad de todas ellas, y propiciar una mayor identidad de todas con sus municipios y su estado.</w:t>
      </w:r>
    </w:p>
    <w:p w14:paraId="648DD7B7" w14:textId="77777777" w:rsidR="00072704" w:rsidRPr="007923C2" w:rsidRDefault="00072704" w:rsidP="00072704">
      <w:pPr>
        <w:spacing w:after="101"/>
        <w:jc w:val="right"/>
        <w:rPr>
          <w:rFonts w:ascii="Arial" w:hAnsi="Arial" w:cs="Arial"/>
          <w:sz w:val="22"/>
          <w:szCs w:val="22"/>
        </w:rPr>
      </w:pPr>
      <w:r w:rsidRPr="007923C2">
        <w:rPr>
          <w:rFonts w:ascii="Arial" w:hAnsi="Arial" w:cs="Arial"/>
          <w:sz w:val="22"/>
          <w:szCs w:val="22"/>
        </w:rPr>
        <w:t>Patricia García, Puerto Ángel, Oaxaca</w:t>
      </w:r>
    </w:p>
    <w:p w14:paraId="309979D3" w14:textId="77777777" w:rsidR="00072704" w:rsidRPr="007923C2" w:rsidRDefault="00072704" w:rsidP="00072704">
      <w:pPr>
        <w:spacing w:after="101"/>
        <w:jc w:val="both"/>
        <w:rPr>
          <w:rFonts w:ascii="Arial" w:hAnsi="Arial" w:cs="Arial"/>
          <w:sz w:val="22"/>
          <w:szCs w:val="22"/>
        </w:rPr>
      </w:pPr>
      <w:r w:rsidRPr="007923C2">
        <w:rPr>
          <w:rFonts w:ascii="Arial" w:hAnsi="Arial" w:cs="Arial"/>
          <w:i/>
          <w:iCs/>
          <w:sz w:val="22"/>
          <w:szCs w:val="22"/>
        </w:rPr>
        <w:t>Fomentar los derechos de los niños ya que muchos de ellos son los primeros en padecer ciertos hechos o actos, como la violencia, el trabajo, etcétera.</w:t>
      </w:r>
    </w:p>
    <w:p w14:paraId="0AE34E2D" w14:textId="77777777" w:rsidR="00072704" w:rsidRPr="007923C2" w:rsidRDefault="00072704" w:rsidP="00072704">
      <w:pPr>
        <w:spacing w:after="101"/>
        <w:jc w:val="right"/>
        <w:rPr>
          <w:rFonts w:ascii="Arial" w:hAnsi="Arial" w:cs="Arial"/>
          <w:sz w:val="22"/>
          <w:szCs w:val="22"/>
        </w:rPr>
      </w:pPr>
      <w:r w:rsidRPr="007923C2">
        <w:rPr>
          <w:rFonts w:ascii="Arial" w:hAnsi="Arial" w:cs="Arial"/>
          <w:sz w:val="22"/>
          <w:szCs w:val="22"/>
        </w:rPr>
        <w:t>Guadalupe Jocelin Juárez, Gustavo A. Madero, Distrito Federal</w:t>
      </w:r>
    </w:p>
    <w:p w14:paraId="4D3AC281" w14:textId="77777777" w:rsidR="00072704" w:rsidRDefault="00072704" w:rsidP="00072704">
      <w:pPr>
        <w:spacing w:after="101"/>
        <w:jc w:val="both"/>
        <w:rPr>
          <w:rFonts w:ascii="Arial" w:hAnsi="Arial" w:cs="Arial"/>
          <w:sz w:val="22"/>
          <w:szCs w:val="22"/>
        </w:rPr>
      </w:pPr>
      <w:r w:rsidRPr="007923C2">
        <w:rPr>
          <w:rFonts w:ascii="Arial" w:hAnsi="Arial" w:cs="Arial"/>
          <w:i/>
          <w:iCs/>
          <w:sz w:val="22"/>
          <w:szCs w:val="22"/>
        </w:rPr>
        <w:t xml:space="preserve">Destinar recursos de la nación para que estudiantes, madres solteras y trabajadores independientes podamos conseguir nuestra primera casa, sería un mérito que definitivamente confirmaría la </w:t>
      </w:r>
      <w:r w:rsidRPr="007923C2">
        <w:rPr>
          <w:rFonts w:ascii="Arial" w:hAnsi="Arial" w:cs="Arial"/>
          <w:i/>
          <w:iCs/>
          <w:sz w:val="22"/>
          <w:szCs w:val="22"/>
        </w:rPr>
        <w:lastRenderedPageBreak/>
        <w:t xml:space="preserve">vanguardia de la Presidencia de la República, y que los mexicanos agradeceríamos infinitamente </w:t>
      </w:r>
      <w:r w:rsidRPr="007923C2">
        <w:rPr>
          <w:rFonts w:ascii="Arial" w:hAnsi="Arial" w:cs="Arial"/>
          <w:sz w:val="22"/>
          <w:szCs w:val="22"/>
        </w:rPr>
        <w:t>David Robertos, Chetumal, Quintana Roo.</w:t>
      </w:r>
    </w:p>
    <w:p w14:paraId="7E67DA4D" w14:textId="77777777" w:rsidR="00072704" w:rsidRPr="007923C2" w:rsidRDefault="00072704" w:rsidP="00072704">
      <w:pPr>
        <w:spacing w:after="101"/>
        <w:jc w:val="both"/>
        <w:rPr>
          <w:rFonts w:ascii="Arial" w:hAnsi="Arial" w:cs="Arial"/>
          <w:sz w:val="22"/>
          <w:szCs w:val="22"/>
        </w:rPr>
      </w:pPr>
      <w:r w:rsidRPr="007923C2">
        <w:rPr>
          <w:rFonts w:ascii="Arial" w:hAnsi="Arial" w:cs="Arial"/>
          <w:b/>
          <w:bCs/>
          <w:sz w:val="22"/>
          <w:szCs w:val="22"/>
        </w:rPr>
        <w:t>II.2. Plan de acción: integrar una sociedad con equidad, cohesión social e igualdad de oportunidades</w:t>
      </w:r>
    </w:p>
    <w:p w14:paraId="712EBC52"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Un México Incluyente plantea una política social de</w:t>
      </w:r>
      <w:r w:rsidRPr="007923C2">
        <w:rPr>
          <w:rFonts w:ascii="Arial" w:hAnsi="Arial" w:cs="Arial"/>
          <w:i/>
          <w:iCs/>
          <w:sz w:val="22"/>
          <w:szCs w:val="22"/>
        </w:rPr>
        <w:t> </w:t>
      </w:r>
      <w:r w:rsidRPr="007923C2">
        <w:rPr>
          <w:rFonts w:ascii="Arial" w:hAnsi="Arial" w:cs="Arial"/>
          <w:sz w:val="22"/>
          <w:szCs w:val="22"/>
        </w:rPr>
        <w:t>nueva</w:t>
      </w:r>
      <w:r w:rsidRPr="007923C2">
        <w:rPr>
          <w:rFonts w:ascii="Arial" w:hAnsi="Arial" w:cs="Arial"/>
          <w:i/>
          <w:iCs/>
          <w:sz w:val="22"/>
          <w:szCs w:val="22"/>
        </w:rPr>
        <w:t> </w:t>
      </w:r>
      <w:r w:rsidRPr="007923C2">
        <w:rPr>
          <w:rFonts w:ascii="Arial" w:hAnsi="Arial" w:cs="Arial"/>
          <w:sz w:val="22"/>
          <w:szCs w:val="22"/>
        </w:rPr>
        <w:t>generación.</w:t>
      </w:r>
      <w:r w:rsidRPr="007923C2">
        <w:rPr>
          <w:rFonts w:ascii="Arial" w:hAnsi="Arial" w:cs="Arial"/>
          <w:i/>
          <w:iCs/>
          <w:sz w:val="22"/>
          <w:szCs w:val="22"/>
        </w:rPr>
        <w:t> </w:t>
      </w:r>
      <w:r w:rsidRPr="007923C2">
        <w:rPr>
          <w:rFonts w:ascii="Arial" w:hAnsi="Arial" w:cs="Arial"/>
          <w:sz w:val="22"/>
          <w:szCs w:val="22"/>
        </w:rPr>
        <w:t>Es</w:t>
      </w:r>
      <w:r w:rsidRPr="007923C2">
        <w:rPr>
          <w:rFonts w:ascii="Arial" w:hAnsi="Arial" w:cs="Arial"/>
          <w:i/>
          <w:iCs/>
          <w:sz w:val="22"/>
          <w:szCs w:val="22"/>
        </w:rPr>
        <w:t> </w:t>
      </w:r>
      <w:r w:rsidRPr="007923C2">
        <w:rPr>
          <w:rFonts w:ascii="Arial" w:hAnsi="Arial" w:cs="Arial"/>
          <w:sz w:val="22"/>
          <w:szCs w:val="22"/>
        </w:rPr>
        <w:t>decir,</w:t>
      </w:r>
      <w:r w:rsidRPr="007923C2">
        <w:rPr>
          <w:rFonts w:ascii="Arial" w:hAnsi="Arial" w:cs="Arial"/>
          <w:i/>
          <w:iCs/>
          <w:sz w:val="22"/>
          <w:szCs w:val="22"/>
        </w:rPr>
        <w:t> </w:t>
      </w:r>
      <w:r w:rsidRPr="007923C2">
        <w:rPr>
          <w:rFonts w:ascii="Arial" w:hAnsi="Arial" w:cs="Arial"/>
          <w:sz w:val="22"/>
          <w:szCs w:val="22"/>
        </w:rPr>
        <w:t>una</w:t>
      </w:r>
      <w:r w:rsidRPr="007923C2">
        <w:rPr>
          <w:rFonts w:ascii="Arial" w:hAnsi="Arial" w:cs="Arial"/>
          <w:i/>
          <w:iCs/>
          <w:sz w:val="22"/>
          <w:szCs w:val="22"/>
        </w:rPr>
        <w:t> </w:t>
      </w:r>
      <w:r w:rsidRPr="007923C2">
        <w:rPr>
          <w:rFonts w:ascii="Arial" w:hAnsi="Arial" w:cs="Arial"/>
          <w:sz w:val="22"/>
          <w:szCs w:val="22"/>
        </w:rPr>
        <w:t>política enfocada en alcanzar una sociedad de derechos ciudadanos y humanos plenos. En este sentido, se proponen políticas sociales que giran en torno al ciudadano, ubicándolo como un agente de cambio, protagonista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su</w:t>
      </w:r>
      <w:r w:rsidRPr="007923C2">
        <w:rPr>
          <w:rFonts w:ascii="Arial" w:hAnsi="Arial" w:cs="Arial"/>
          <w:i/>
          <w:iCs/>
          <w:sz w:val="22"/>
          <w:szCs w:val="22"/>
        </w:rPr>
        <w:t> </w:t>
      </w:r>
      <w:r w:rsidRPr="007923C2">
        <w:rPr>
          <w:rFonts w:ascii="Arial" w:hAnsi="Arial" w:cs="Arial"/>
          <w:sz w:val="22"/>
          <w:szCs w:val="22"/>
        </w:rPr>
        <w:t>propia</w:t>
      </w:r>
      <w:r w:rsidRPr="007923C2">
        <w:rPr>
          <w:rFonts w:ascii="Arial" w:hAnsi="Arial" w:cs="Arial"/>
          <w:i/>
          <w:iCs/>
          <w:sz w:val="22"/>
          <w:szCs w:val="22"/>
        </w:rPr>
        <w:t> </w:t>
      </w:r>
      <w:r w:rsidRPr="007923C2">
        <w:rPr>
          <w:rFonts w:ascii="Arial" w:hAnsi="Arial" w:cs="Arial"/>
          <w:sz w:val="22"/>
          <w:szCs w:val="22"/>
        </w:rPr>
        <w:t>superación</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través de su organización y participación activa.</w:t>
      </w:r>
    </w:p>
    <w:p w14:paraId="28FB9BD6"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xml:space="preserve">La prioridad será integrar una sociedad con equidad, cohesión social e igualdad de oportunidades. Un México Incluyente busca consolidar plataformas de movilidad social que contribuyan a cerrar las brechas </w:t>
      </w:r>
    </w:p>
    <w:p w14:paraId="579638EF"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existentes entre diferentes grupos sociales y regiones del país. En este sentido, se plantea guiar la acción del gobierno en torno a cinco objetivos que se describen a continuación.</w:t>
      </w:r>
    </w:p>
    <w:p w14:paraId="3912FAA6"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primer lugar, se busca </w:t>
      </w:r>
      <w:r w:rsidRPr="007923C2">
        <w:rPr>
          <w:rFonts w:ascii="Arial" w:hAnsi="Arial" w:cs="Arial"/>
          <w:b/>
          <w:bCs/>
          <w:sz w:val="22"/>
          <w:szCs w:val="22"/>
        </w:rPr>
        <w:t>garantizar el ejercicio efectivo de los derechos sociales para toda la población</w:t>
      </w:r>
      <w:r w:rsidRPr="007923C2">
        <w:rPr>
          <w:rFonts w:ascii="Arial" w:hAnsi="Arial" w:cs="Arial"/>
          <w:sz w:val="22"/>
          <w:szCs w:val="22"/>
        </w:rPr>
        <w:t>. Esto implica asegurar una alimentación y nutrición adecuada de los individuos en condición de extrema pobreza o con carencia alimentaria severa. Es decir, un México sin hambre. Asimismo, el</w:t>
      </w:r>
      <w:r w:rsidRPr="007923C2">
        <w:rPr>
          <w:rFonts w:ascii="Arial" w:hAnsi="Arial" w:cs="Arial"/>
          <w:i/>
          <w:iCs/>
          <w:sz w:val="22"/>
          <w:szCs w:val="22"/>
        </w:rPr>
        <w:t> </w:t>
      </w:r>
      <w:r w:rsidRPr="007923C2">
        <w:rPr>
          <w:rFonts w:ascii="Arial" w:hAnsi="Arial" w:cs="Arial"/>
          <w:sz w:val="22"/>
          <w:szCs w:val="22"/>
        </w:rPr>
        <w:t>ejercicio efectivo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derechos</w:t>
      </w:r>
      <w:r w:rsidRPr="007923C2">
        <w:rPr>
          <w:rFonts w:ascii="Arial" w:hAnsi="Arial" w:cs="Arial"/>
          <w:i/>
          <w:iCs/>
          <w:sz w:val="22"/>
          <w:szCs w:val="22"/>
        </w:rPr>
        <w:t> </w:t>
      </w:r>
      <w:r w:rsidRPr="007923C2">
        <w:rPr>
          <w:rFonts w:ascii="Arial" w:hAnsi="Arial" w:cs="Arial"/>
          <w:sz w:val="22"/>
          <w:szCs w:val="22"/>
        </w:rPr>
        <w:t>sociales implica fortalecer el desarrollo de capacidades en los hogares con carencias para contribuir a mejorar su calidad de vida e incrementar su capacidad productiva.</w:t>
      </w:r>
    </w:p>
    <w:p w14:paraId="28267345"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Sin duda, la vía más efectiva para cerrar el ciclo de políticas asistencialistas y superar la pobreza es construyendo oportunidades productivas a través de los programas públicos. Por ello, el Gobierno de la República fortalecerá las acciones que permitan a los mexicanos en situación de desventaja invertir sus recursos, iniciativas, talentos y energías emprendedoras. Estos recursos en manos de la sociedad constituyen una fuente para democratizar la productividad y generar riqueza en beneficio de los mexicanos que más lo necesitan.</w:t>
      </w:r>
    </w:p>
    <w:p w14:paraId="6620E40C"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segundo término, se propone </w:t>
      </w:r>
      <w:r w:rsidRPr="007923C2">
        <w:rPr>
          <w:rFonts w:ascii="Arial" w:hAnsi="Arial" w:cs="Arial"/>
          <w:b/>
          <w:bCs/>
          <w:sz w:val="22"/>
          <w:szCs w:val="22"/>
        </w:rPr>
        <w:t>transitar hacia una sociedad equitativa e incluyente</w:t>
      </w:r>
      <w:r w:rsidRPr="007923C2">
        <w:rPr>
          <w:rFonts w:ascii="Arial" w:hAnsi="Arial" w:cs="Arial"/>
          <w:sz w:val="22"/>
          <w:szCs w:val="22"/>
        </w:rPr>
        <w:t>. Para lograrlo, se plantea generar esquemas de desarrollo comunitario con un mayor grado de participación social. Asimismo, se busca articular políticas que atiendan</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manera</w:t>
      </w:r>
      <w:r w:rsidRPr="007923C2">
        <w:rPr>
          <w:rFonts w:ascii="Arial" w:hAnsi="Arial" w:cs="Arial"/>
          <w:i/>
          <w:iCs/>
          <w:sz w:val="22"/>
          <w:szCs w:val="22"/>
        </w:rPr>
        <w:t> </w:t>
      </w:r>
      <w:r w:rsidRPr="007923C2">
        <w:rPr>
          <w:rFonts w:ascii="Arial" w:hAnsi="Arial" w:cs="Arial"/>
          <w:sz w:val="22"/>
          <w:szCs w:val="22"/>
        </w:rPr>
        <w:t>específica</w:t>
      </w:r>
      <w:r w:rsidRPr="007923C2">
        <w:rPr>
          <w:rFonts w:ascii="Arial" w:hAnsi="Arial" w:cs="Arial"/>
          <w:i/>
          <w:iCs/>
          <w:sz w:val="22"/>
          <w:szCs w:val="22"/>
        </w:rPr>
        <w:t> </w:t>
      </w:r>
      <w:r w:rsidRPr="007923C2">
        <w:rPr>
          <w:rFonts w:ascii="Arial" w:hAnsi="Arial" w:cs="Arial"/>
          <w:sz w:val="22"/>
          <w:szCs w:val="22"/>
        </w:rPr>
        <w:t>cada</w:t>
      </w:r>
      <w:r w:rsidRPr="007923C2">
        <w:rPr>
          <w:rFonts w:ascii="Arial" w:hAnsi="Arial" w:cs="Arial"/>
          <w:i/>
          <w:iCs/>
          <w:sz w:val="22"/>
          <w:szCs w:val="22"/>
        </w:rPr>
        <w:t> </w:t>
      </w:r>
      <w:r w:rsidRPr="007923C2">
        <w:rPr>
          <w:rFonts w:ascii="Arial" w:hAnsi="Arial" w:cs="Arial"/>
          <w:sz w:val="22"/>
          <w:szCs w:val="22"/>
        </w:rPr>
        <w:t>etapadel ciclo de vida de la población. Necesitamos hacer de México un país para todas las generaciones. Se buscará</w:t>
      </w:r>
      <w:r w:rsidRPr="007923C2">
        <w:rPr>
          <w:rFonts w:ascii="Arial" w:hAnsi="Arial" w:cs="Arial"/>
          <w:i/>
          <w:iCs/>
          <w:sz w:val="22"/>
          <w:szCs w:val="22"/>
        </w:rPr>
        <w:t> </w:t>
      </w:r>
      <w:r w:rsidRPr="007923C2">
        <w:rPr>
          <w:rFonts w:ascii="Arial" w:hAnsi="Arial" w:cs="Arial"/>
          <w:sz w:val="22"/>
          <w:szCs w:val="22"/>
        </w:rPr>
        <w:t>garantizar</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derechos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infancia a través de un mejor diseño institucional y programático, además del incremento de la inversión</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bienestar</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más</w:t>
      </w:r>
      <w:r w:rsidRPr="007923C2">
        <w:rPr>
          <w:rFonts w:ascii="Arial" w:hAnsi="Arial" w:cs="Arial"/>
          <w:i/>
          <w:iCs/>
          <w:sz w:val="22"/>
          <w:szCs w:val="22"/>
        </w:rPr>
        <w:t> </w:t>
      </w:r>
      <w:r w:rsidRPr="007923C2">
        <w:rPr>
          <w:rFonts w:ascii="Arial" w:hAnsi="Arial" w:cs="Arial"/>
          <w:sz w:val="22"/>
          <w:szCs w:val="22"/>
        </w:rPr>
        <w:t>pequeños de acuerdo con el principio del interés superior del niño</w:t>
      </w:r>
      <w:r w:rsidRPr="007923C2">
        <w:rPr>
          <w:rFonts w:ascii="Arial" w:hAnsi="Arial" w:cs="Arial"/>
          <w:i/>
          <w:iCs/>
          <w:sz w:val="22"/>
          <w:szCs w:val="22"/>
        </w:rPr>
        <w:t> </w:t>
      </w:r>
      <w:r w:rsidRPr="007923C2">
        <w:rPr>
          <w:rFonts w:ascii="Arial" w:hAnsi="Arial" w:cs="Arial"/>
          <w:sz w:val="22"/>
          <w:szCs w:val="22"/>
        </w:rPr>
        <w:t>establecido</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legislación</w:t>
      </w:r>
      <w:r w:rsidRPr="007923C2">
        <w:rPr>
          <w:rFonts w:ascii="Arial" w:hAnsi="Arial" w:cs="Arial"/>
          <w:i/>
          <w:iCs/>
          <w:sz w:val="22"/>
          <w:szCs w:val="22"/>
        </w:rPr>
        <w:t> </w:t>
      </w:r>
      <w:r w:rsidRPr="007923C2">
        <w:rPr>
          <w:rFonts w:ascii="Arial" w:hAnsi="Arial" w:cs="Arial"/>
          <w:sz w:val="22"/>
          <w:szCs w:val="22"/>
        </w:rPr>
        <w:t>nacional e internacional. Asimismo, se propiciará el desarrollo humano integral de los adultos mayores brindándoles todas las oportunidades necesarias para alcanzar un nivel de vida digno y sustentable.</w:t>
      </w:r>
    </w:p>
    <w:p w14:paraId="16D9933A"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Se fomentará el bienestar de los pueblos y comunidades</w:t>
      </w:r>
      <w:r w:rsidRPr="007923C2">
        <w:rPr>
          <w:rFonts w:ascii="Arial" w:hAnsi="Arial" w:cs="Arial"/>
          <w:i/>
          <w:iCs/>
          <w:sz w:val="22"/>
          <w:szCs w:val="22"/>
        </w:rPr>
        <w:t> </w:t>
      </w:r>
      <w:r w:rsidRPr="007923C2">
        <w:rPr>
          <w:rFonts w:ascii="Arial" w:hAnsi="Arial" w:cs="Arial"/>
          <w:sz w:val="22"/>
          <w:szCs w:val="22"/>
        </w:rPr>
        <w:t>indígenas</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través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una</w:t>
      </w:r>
      <w:r w:rsidRPr="007923C2">
        <w:rPr>
          <w:rFonts w:ascii="Arial" w:hAnsi="Arial" w:cs="Arial"/>
          <w:i/>
          <w:iCs/>
          <w:sz w:val="22"/>
          <w:szCs w:val="22"/>
        </w:rPr>
        <w:t> </w:t>
      </w:r>
      <w:r w:rsidRPr="007923C2">
        <w:rPr>
          <w:rFonts w:ascii="Arial" w:hAnsi="Arial" w:cs="Arial"/>
          <w:sz w:val="22"/>
          <w:szCs w:val="22"/>
        </w:rPr>
        <w:t>revisión a fondo del diseño e instrumentación de los programas enfocados a su beneficio, y de la operación de los fondos destinados a su desarrollo económico y social. Todo ello, en el marco de un pleno respeto a su autonomía, identidades, voces y prioridades.</w:t>
      </w:r>
    </w:p>
    <w:p w14:paraId="33F1DD01"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Asimismo, se buscará asegurar la vigencia efectiva de los derechos de las personas con discapacidad y contribuir a su desarrollo integral, lo que transita por su inclusión al mercado de trabajo y la dinámica social,</w:t>
      </w:r>
      <w:r w:rsidRPr="007923C2">
        <w:rPr>
          <w:rFonts w:ascii="Arial" w:hAnsi="Arial" w:cs="Arial"/>
          <w:i/>
          <w:iCs/>
          <w:sz w:val="22"/>
          <w:szCs w:val="22"/>
        </w:rPr>
        <w:t> </w:t>
      </w:r>
      <w:r w:rsidRPr="007923C2">
        <w:rPr>
          <w:rFonts w:ascii="Arial" w:hAnsi="Arial" w:cs="Arial"/>
          <w:sz w:val="22"/>
          <w:szCs w:val="22"/>
        </w:rPr>
        <w:t>además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impulsar,</w:t>
      </w:r>
      <w:r w:rsidRPr="007923C2">
        <w:rPr>
          <w:rFonts w:ascii="Arial" w:hAnsi="Arial" w:cs="Arial"/>
          <w:i/>
          <w:iCs/>
          <w:sz w:val="22"/>
          <w:szCs w:val="22"/>
        </w:rPr>
        <w:t> </w:t>
      </w:r>
      <w:r w:rsidRPr="007923C2">
        <w:rPr>
          <w:rFonts w:ascii="Arial" w:hAnsi="Arial" w:cs="Arial"/>
          <w:sz w:val="22"/>
          <w:szCs w:val="22"/>
        </w:rPr>
        <w:t>con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apoyo</w:t>
      </w:r>
      <w:r w:rsidRPr="007923C2">
        <w:rPr>
          <w:rFonts w:ascii="Arial" w:hAnsi="Arial" w:cs="Arial"/>
          <w:i/>
          <w:iCs/>
          <w:sz w:val="22"/>
          <w:szCs w:val="22"/>
        </w:rPr>
        <w:t> </w:t>
      </w:r>
      <w:r w:rsidRPr="007923C2">
        <w:rPr>
          <w:rFonts w:ascii="Arial" w:hAnsi="Arial" w:cs="Arial"/>
          <w:sz w:val="22"/>
          <w:szCs w:val="22"/>
        </w:rPr>
        <w:t xml:space="preserve">de los medios de comunicación y la sociedad civil, </w:t>
      </w:r>
      <w:r w:rsidRPr="007923C2">
        <w:rPr>
          <w:rFonts w:ascii="Arial" w:hAnsi="Arial" w:cs="Arial"/>
          <w:sz w:val="22"/>
          <w:szCs w:val="22"/>
        </w:rPr>
        <w:lastRenderedPageBreak/>
        <w:t>estrategias que coadyuven a transformar la actual cultura excluyente y discriminatoria en una abierta a la tolerancia y la diversidad.</w:t>
      </w:r>
    </w:p>
    <w:p w14:paraId="60B84D66"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materia de salubridad, el objetivo es </w:t>
      </w:r>
      <w:r w:rsidRPr="007923C2">
        <w:rPr>
          <w:rFonts w:ascii="Arial" w:hAnsi="Arial" w:cs="Arial"/>
          <w:b/>
          <w:bCs/>
          <w:sz w:val="22"/>
          <w:szCs w:val="22"/>
        </w:rPr>
        <w:t>asegurar el acceso a los servicios de salud</w:t>
      </w:r>
      <w:r w:rsidRPr="007923C2">
        <w:rPr>
          <w:rFonts w:ascii="Arial" w:hAnsi="Arial" w:cs="Arial"/>
          <w:sz w:val="22"/>
          <w:szCs w:val="22"/>
        </w:rPr>
        <w:t>. En otras palabras, se busca llevar a la práctica este derecho constitucional.</w:t>
      </w:r>
      <w:r w:rsidRPr="007923C2">
        <w:rPr>
          <w:rFonts w:ascii="Arial" w:hAnsi="Arial" w:cs="Arial"/>
          <w:i/>
          <w:iCs/>
          <w:sz w:val="22"/>
          <w:szCs w:val="22"/>
        </w:rPr>
        <w:t> </w:t>
      </w: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ello,</w:t>
      </w:r>
      <w:r w:rsidRPr="007923C2">
        <w:rPr>
          <w:rFonts w:ascii="Arial" w:hAnsi="Arial" w:cs="Arial"/>
          <w:i/>
          <w:iCs/>
          <w:sz w:val="22"/>
          <w:szCs w:val="22"/>
        </w:rPr>
        <w:t> </w:t>
      </w:r>
      <w:r w:rsidRPr="007923C2">
        <w:rPr>
          <w:rFonts w:ascii="Arial" w:hAnsi="Arial" w:cs="Arial"/>
          <w:sz w:val="22"/>
          <w:szCs w:val="22"/>
        </w:rPr>
        <w:t>se</w:t>
      </w:r>
      <w:r w:rsidRPr="007923C2">
        <w:rPr>
          <w:rFonts w:ascii="Arial" w:hAnsi="Arial" w:cs="Arial"/>
          <w:i/>
          <w:iCs/>
          <w:sz w:val="22"/>
          <w:szCs w:val="22"/>
        </w:rPr>
        <w:t> </w:t>
      </w:r>
      <w:r w:rsidRPr="007923C2">
        <w:rPr>
          <w:rFonts w:ascii="Arial" w:hAnsi="Arial" w:cs="Arial"/>
          <w:sz w:val="22"/>
          <w:szCs w:val="22"/>
        </w:rPr>
        <w:t>propone</w:t>
      </w:r>
      <w:r w:rsidRPr="007923C2">
        <w:rPr>
          <w:rFonts w:ascii="Arial" w:hAnsi="Arial" w:cs="Arial"/>
          <w:i/>
          <w:iCs/>
          <w:sz w:val="22"/>
          <w:szCs w:val="22"/>
        </w:rPr>
        <w:t> </w:t>
      </w:r>
      <w:r w:rsidRPr="007923C2">
        <w:rPr>
          <w:rFonts w:ascii="Arial" w:hAnsi="Arial" w:cs="Arial"/>
          <w:sz w:val="22"/>
          <w:szCs w:val="22"/>
        </w:rPr>
        <w:t>fortalecer la rectoría de la Secretaría de Salud y promover la integración funcional a lo largo de todas las instituciones que la integran. Asimismo, se plantea reforzar la regulación de los establecimientos de atención médica, aplicar estándares de calidad rigurosos, privilegiar el enfoque de prevención y promoción de una vida saludable, así como renovar la planeación y gestión de los recursos disponibles. Todo lo anterior, cuidando una atención continua e integrada de los trabajadores sin importar su condición laboral.</w:t>
      </w:r>
    </w:p>
    <w:p w14:paraId="197E1A53"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Adicionalmente,</w:t>
      </w:r>
      <w:r w:rsidRPr="007923C2">
        <w:rPr>
          <w:rFonts w:ascii="Arial" w:hAnsi="Arial" w:cs="Arial"/>
          <w:i/>
          <w:iCs/>
          <w:sz w:val="22"/>
          <w:szCs w:val="22"/>
        </w:rPr>
        <w:t> </w:t>
      </w:r>
      <w:r w:rsidRPr="007923C2">
        <w:rPr>
          <w:rFonts w:ascii="Arial" w:hAnsi="Arial" w:cs="Arial"/>
          <w:sz w:val="22"/>
          <w:szCs w:val="22"/>
        </w:rPr>
        <w:t>se</w:t>
      </w:r>
      <w:r w:rsidRPr="007923C2">
        <w:rPr>
          <w:rFonts w:ascii="Arial" w:hAnsi="Arial" w:cs="Arial"/>
          <w:i/>
          <w:iCs/>
          <w:sz w:val="22"/>
          <w:szCs w:val="22"/>
        </w:rPr>
        <w:t> </w:t>
      </w:r>
      <w:r w:rsidRPr="007923C2">
        <w:rPr>
          <w:rFonts w:ascii="Arial" w:hAnsi="Arial" w:cs="Arial"/>
          <w:sz w:val="22"/>
          <w:szCs w:val="22"/>
        </w:rPr>
        <w:t>plantea</w:t>
      </w:r>
      <w:r w:rsidRPr="007923C2">
        <w:rPr>
          <w:rFonts w:ascii="Arial" w:hAnsi="Arial" w:cs="Arial"/>
          <w:i/>
          <w:iCs/>
          <w:sz w:val="22"/>
          <w:szCs w:val="22"/>
        </w:rPr>
        <w:t> </w:t>
      </w:r>
      <w:r w:rsidRPr="007923C2">
        <w:rPr>
          <w:rFonts w:ascii="Arial" w:hAnsi="Arial" w:cs="Arial"/>
          <w:b/>
          <w:bCs/>
          <w:sz w:val="22"/>
          <w:szCs w:val="22"/>
        </w:rPr>
        <w:t>ampliar</w:t>
      </w:r>
      <w:r w:rsidRPr="007923C2">
        <w:rPr>
          <w:rFonts w:ascii="Arial" w:hAnsi="Arial" w:cs="Arial"/>
          <w:b/>
          <w:bCs/>
          <w:i/>
          <w:iCs/>
          <w:sz w:val="22"/>
          <w:szCs w:val="22"/>
        </w:rPr>
        <w:t> </w:t>
      </w:r>
      <w:r w:rsidRPr="007923C2">
        <w:rPr>
          <w:rFonts w:ascii="Arial" w:hAnsi="Arial" w:cs="Arial"/>
          <w:b/>
          <w:bCs/>
          <w:sz w:val="22"/>
          <w:szCs w:val="22"/>
        </w:rPr>
        <w:t>el</w:t>
      </w:r>
      <w:r w:rsidRPr="007923C2">
        <w:rPr>
          <w:rFonts w:ascii="Arial" w:hAnsi="Arial" w:cs="Arial"/>
          <w:b/>
          <w:bCs/>
          <w:i/>
          <w:iCs/>
          <w:sz w:val="22"/>
          <w:szCs w:val="22"/>
        </w:rPr>
        <w:t> </w:t>
      </w:r>
      <w:r w:rsidRPr="007923C2">
        <w:rPr>
          <w:rFonts w:ascii="Arial" w:hAnsi="Arial" w:cs="Arial"/>
          <w:b/>
          <w:bCs/>
          <w:sz w:val="22"/>
          <w:szCs w:val="22"/>
        </w:rPr>
        <w:t>acceso a</w:t>
      </w:r>
      <w:r w:rsidRPr="007923C2">
        <w:rPr>
          <w:rFonts w:ascii="Arial" w:hAnsi="Arial" w:cs="Arial"/>
          <w:b/>
          <w:bCs/>
          <w:i/>
          <w:iCs/>
          <w:sz w:val="22"/>
          <w:szCs w:val="22"/>
        </w:rPr>
        <w:t> </w:t>
      </w:r>
      <w:r w:rsidRPr="007923C2">
        <w:rPr>
          <w:rFonts w:ascii="Arial" w:hAnsi="Arial" w:cs="Arial"/>
          <w:b/>
          <w:bCs/>
          <w:sz w:val="22"/>
          <w:szCs w:val="22"/>
        </w:rPr>
        <w:t>la</w:t>
      </w:r>
      <w:r w:rsidRPr="007923C2">
        <w:rPr>
          <w:rFonts w:ascii="Arial" w:hAnsi="Arial" w:cs="Arial"/>
          <w:b/>
          <w:bCs/>
          <w:i/>
          <w:iCs/>
          <w:sz w:val="22"/>
          <w:szCs w:val="22"/>
        </w:rPr>
        <w:t> </w:t>
      </w:r>
      <w:r w:rsidRPr="007923C2">
        <w:rPr>
          <w:rFonts w:ascii="Arial" w:hAnsi="Arial" w:cs="Arial"/>
          <w:b/>
          <w:bCs/>
          <w:sz w:val="22"/>
          <w:szCs w:val="22"/>
        </w:rPr>
        <w:t>seguridad</w:t>
      </w:r>
      <w:r w:rsidRPr="007923C2">
        <w:rPr>
          <w:rFonts w:ascii="Arial" w:hAnsi="Arial" w:cs="Arial"/>
          <w:b/>
          <w:bCs/>
          <w:i/>
          <w:iCs/>
          <w:sz w:val="22"/>
          <w:szCs w:val="22"/>
        </w:rPr>
        <w:t> </w:t>
      </w:r>
      <w:r w:rsidRPr="007923C2">
        <w:rPr>
          <w:rFonts w:ascii="Arial" w:hAnsi="Arial" w:cs="Arial"/>
          <w:b/>
          <w:bCs/>
          <w:sz w:val="22"/>
          <w:szCs w:val="22"/>
        </w:rPr>
        <w:t>social</w:t>
      </w:r>
      <w:r w:rsidRPr="007923C2">
        <w:rPr>
          <w:rFonts w:ascii="Arial" w:hAnsi="Arial" w:cs="Arial"/>
          <w:i/>
          <w:iCs/>
          <w:sz w:val="22"/>
          <w:szCs w:val="22"/>
        </w:rPr>
        <w:t> </w:t>
      </w: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evitar</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problemas</w:t>
      </w:r>
      <w:r w:rsidRPr="007923C2">
        <w:rPr>
          <w:rFonts w:ascii="Arial" w:hAnsi="Arial" w:cs="Arial"/>
          <w:i/>
          <w:iCs/>
          <w:sz w:val="22"/>
          <w:szCs w:val="22"/>
        </w:rPr>
        <w:t> </w:t>
      </w:r>
      <w:r w:rsidRPr="007923C2">
        <w:rPr>
          <w:rFonts w:ascii="Arial" w:hAnsi="Arial" w:cs="Arial"/>
          <w:sz w:val="22"/>
          <w:szCs w:val="22"/>
        </w:rPr>
        <w:t>inesperados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salud</w:t>
      </w:r>
      <w:r w:rsidRPr="007923C2">
        <w:rPr>
          <w:rFonts w:ascii="Arial" w:hAnsi="Arial" w:cs="Arial"/>
          <w:i/>
          <w:iCs/>
          <w:sz w:val="22"/>
          <w:szCs w:val="22"/>
        </w:rPr>
        <w:t> </w:t>
      </w:r>
      <w:r w:rsidRPr="007923C2">
        <w:rPr>
          <w:rFonts w:ascii="Arial" w:hAnsi="Arial" w:cs="Arial"/>
          <w:sz w:val="22"/>
          <w:szCs w:val="22"/>
        </w:rPr>
        <w:t>o</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movimientos de la economía puedan interrumpir historias de desarrollo personal. Una seguridad social incluyente permitirá que la ciudadanía viva tranquila y enfoque sus esfuerzos al desarrollo personal y a la construcción de un México más productivo. Al mismo</w:t>
      </w:r>
      <w:r w:rsidRPr="007923C2">
        <w:rPr>
          <w:rFonts w:ascii="Arial" w:hAnsi="Arial" w:cs="Arial"/>
          <w:i/>
          <w:iCs/>
          <w:sz w:val="22"/>
          <w:szCs w:val="22"/>
        </w:rPr>
        <w:t> </w:t>
      </w:r>
      <w:r w:rsidRPr="007923C2">
        <w:rPr>
          <w:rFonts w:ascii="Arial" w:hAnsi="Arial" w:cs="Arial"/>
          <w:sz w:val="22"/>
          <w:szCs w:val="22"/>
        </w:rPr>
        <w:t>tiempo,</w:t>
      </w:r>
      <w:r w:rsidRPr="007923C2">
        <w:rPr>
          <w:rFonts w:ascii="Arial" w:hAnsi="Arial" w:cs="Arial"/>
          <w:i/>
          <w:iCs/>
          <w:sz w:val="22"/>
          <w:szCs w:val="22"/>
        </w:rPr>
        <w:t> </w:t>
      </w:r>
      <w:r w:rsidRPr="007923C2">
        <w:rPr>
          <w:rFonts w:ascii="Arial" w:hAnsi="Arial" w:cs="Arial"/>
          <w:sz w:val="22"/>
          <w:szCs w:val="22"/>
        </w:rPr>
        <w:t>un</w:t>
      </w:r>
      <w:r w:rsidRPr="007923C2">
        <w:rPr>
          <w:rFonts w:ascii="Arial" w:hAnsi="Arial" w:cs="Arial"/>
          <w:i/>
          <w:iCs/>
          <w:sz w:val="22"/>
          <w:szCs w:val="22"/>
        </w:rPr>
        <w:t> </w:t>
      </w:r>
      <w:r w:rsidRPr="007923C2">
        <w:rPr>
          <w:rFonts w:ascii="Arial" w:hAnsi="Arial" w:cs="Arial"/>
          <w:sz w:val="22"/>
          <w:szCs w:val="22"/>
        </w:rPr>
        <w:t>Sistema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Seguridad</w:t>
      </w:r>
      <w:r w:rsidRPr="007923C2">
        <w:rPr>
          <w:rFonts w:ascii="Arial" w:hAnsi="Arial" w:cs="Arial"/>
          <w:i/>
          <w:iCs/>
          <w:sz w:val="22"/>
          <w:szCs w:val="22"/>
        </w:rPr>
        <w:t> </w:t>
      </w:r>
      <w:r w:rsidRPr="007923C2">
        <w:rPr>
          <w:rFonts w:ascii="Arial" w:hAnsi="Arial" w:cs="Arial"/>
          <w:sz w:val="22"/>
          <w:szCs w:val="22"/>
        </w:rPr>
        <w:t>Social más incluyente deberá incrementar los incentivos de las empresas para contratar trabajadores formales, ya que disminuirá el costo relativo del empleo</w:t>
      </w:r>
      <w:r w:rsidRPr="007923C2">
        <w:rPr>
          <w:rFonts w:ascii="Arial" w:hAnsi="Arial" w:cs="Arial"/>
          <w:i/>
          <w:iCs/>
          <w:sz w:val="22"/>
          <w:szCs w:val="22"/>
        </w:rPr>
        <w:t> </w:t>
      </w:r>
      <w:r w:rsidRPr="007923C2">
        <w:rPr>
          <w:rFonts w:ascii="Arial" w:hAnsi="Arial" w:cs="Arial"/>
          <w:sz w:val="22"/>
          <w:szCs w:val="22"/>
        </w:rPr>
        <w:t>formal.</w:t>
      </w:r>
      <w:r w:rsidRPr="007923C2">
        <w:rPr>
          <w:rFonts w:ascii="Arial" w:hAnsi="Arial" w:cs="Arial"/>
          <w:i/>
          <w:iCs/>
          <w:sz w:val="22"/>
          <w:szCs w:val="22"/>
        </w:rPr>
        <w:t> </w:t>
      </w:r>
      <w:r w:rsidRPr="007923C2">
        <w:rPr>
          <w:rFonts w:ascii="Arial" w:hAnsi="Arial" w:cs="Arial"/>
          <w:sz w:val="22"/>
          <w:szCs w:val="22"/>
        </w:rPr>
        <w:t>Por</w:t>
      </w:r>
      <w:r w:rsidRPr="007923C2">
        <w:rPr>
          <w:rFonts w:ascii="Arial" w:hAnsi="Arial" w:cs="Arial"/>
          <w:i/>
          <w:iCs/>
          <w:sz w:val="22"/>
          <w:szCs w:val="22"/>
        </w:rPr>
        <w:t> </w:t>
      </w:r>
      <w:r w:rsidRPr="007923C2">
        <w:rPr>
          <w:rFonts w:ascii="Arial" w:hAnsi="Arial" w:cs="Arial"/>
          <w:sz w:val="22"/>
          <w:szCs w:val="22"/>
        </w:rPr>
        <w:t>tanto,</w:t>
      </w:r>
      <w:r w:rsidRPr="007923C2">
        <w:rPr>
          <w:rFonts w:ascii="Arial" w:hAnsi="Arial" w:cs="Arial"/>
          <w:i/>
          <w:iCs/>
          <w:sz w:val="22"/>
          <w:szCs w:val="22"/>
        </w:rPr>
        <w:t> </w:t>
      </w:r>
      <w:r w:rsidRPr="007923C2">
        <w:rPr>
          <w:rFonts w:ascii="Arial" w:hAnsi="Arial" w:cs="Arial"/>
          <w:sz w:val="22"/>
          <w:szCs w:val="22"/>
        </w:rPr>
        <w:t>las</w:t>
      </w:r>
      <w:r w:rsidRPr="007923C2">
        <w:rPr>
          <w:rFonts w:ascii="Arial" w:hAnsi="Arial" w:cs="Arial"/>
          <w:i/>
          <w:iCs/>
          <w:sz w:val="22"/>
          <w:szCs w:val="22"/>
        </w:rPr>
        <w:t> </w:t>
      </w:r>
      <w:r w:rsidRPr="007923C2">
        <w:rPr>
          <w:rFonts w:ascii="Arial" w:hAnsi="Arial" w:cs="Arial"/>
          <w:sz w:val="22"/>
          <w:szCs w:val="22"/>
        </w:rPr>
        <w:t>políticas</w:t>
      </w:r>
      <w:r w:rsidRPr="007923C2">
        <w:rPr>
          <w:rFonts w:ascii="Arial" w:hAnsi="Arial" w:cs="Arial"/>
          <w:i/>
          <w:iCs/>
          <w:sz w:val="22"/>
          <w:szCs w:val="22"/>
        </w:rPr>
        <w:t> </w:t>
      </w:r>
      <w:r w:rsidRPr="007923C2">
        <w:rPr>
          <w:rFonts w:ascii="Arial" w:hAnsi="Arial" w:cs="Arial"/>
          <w:sz w:val="22"/>
          <w:szCs w:val="22"/>
        </w:rPr>
        <w:t>públicas en este rubro están enfocadas a promover la portabilidad de derechos, ofrecer un soporte universal a las personas adultas mayores y proveer respaldo</w:t>
      </w:r>
      <w:r w:rsidRPr="007923C2">
        <w:rPr>
          <w:rFonts w:ascii="Arial" w:hAnsi="Arial" w:cs="Arial"/>
          <w:i/>
          <w:iCs/>
          <w:sz w:val="22"/>
          <w:szCs w:val="22"/>
        </w:rPr>
        <w:t> </w:t>
      </w:r>
      <w:r w:rsidRPr="007923C2">
        <w:rPr>
          <w:rFonts w:ascii="Arial" w:hAnsi="Arial" w:cs="Arial"/>
          <w:sz w:val="22"/>
          <w:szCs w:val="22"/>
        </w:rPr>
        <w:t>ante</w:t>
      </w:r>
      <w:r w:rsidRPr="007923C2">
        <w:rPr>
          <w:rFonts w:ascii="Arial" w:hAnsi="Arial" w:cs="Arial"/>
          <w:i/>
          <w:iCs/>
          <w:sz w:val="22"/>
          <w:szCs w:val="22"/>
        </w:rPr>
        <w:t> </w:t>
      </w:r>
      <w:r w:rsidRPr="007923C2">
        <w:rPr>
          <w:rFonts w:ascii="Arial" w:hAnsi="Arial" w:cs="Arial"/>
          <w:sz w:val="22"/>
          <w:szCs w:val="22"/>
        </w:rPr>
        <w:t>pérdidas</w:t>
      </w:r>
      <w:r w:rsidRPr="007923C2">
        <w:rPr>
          <w:rFonts w:ascii="Arial" w:hAnsi="Arial" w:cs="Arial"/>
          <w:i/>
          <w:iCs/>
          <w:sz w:val="22"/>
          <w:szCs w:val="22"/>
        </w:rPr>
        <w:t> </w:t>
      </w:r>
      <w:r w:rsidRPr="007923C2">
        <w:rPr>
          <w:rFonts w:ascii="Arial" w:hAnsi="Arial" w:cs="Arial"/>
          <w:sz w:val="22"/>
          <w:szCs w:val="22"/>
        </w:rPr>
        <w:t>importantes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fuentes del ingreso, así como a ampliar esquemas de protección</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manera</w:t>
      </w:r>
      <w:r w:rsidRPr="007923C2">
        <w:rPr>
          <w:rFonts w:ascii="Arial" w:hAnsi="Arial" w:cs="Arial"/>
          <w:i/>
          <w:iCs/>
          <w:sz w:val="22"/>
          <w:szCs w:val="22"/>
        </w:rPr>
        <w:t> </w:t>
      </w:r>
      <w:r w:rsidRPr="007923C2">
        <w:rPr>
          <w:rFonts w:ascii="Arial" w:hAnsi="Arial" w:cs="Arial"/>
          <w:sz w:val="22"/>
          <w:szCs w:val="22"/>
        </w:rPr>
        <w:t>temporal</w:t>
      </w:r>
      <w:r w:rsidRPr="007923C2">
        <w:rPr>
          <w:rFonts w:ascii="Arial" w:hAnsi="Arial" w:cs="Arial"/>
          <w:i/>
          <w:iCs/>
          <w:sz w:val="22"/>
          <w:szCs w:val="22"/>
        </w:rPr>
        <w:t> </w:t>
      </w: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evitar</w:t>
      </w:r>
      <w:r w:rsidRPr="007923C2">
        <w:rPr>
          <w:rFonts w:ascii="Arial" w:hAnsi="Arial" w:cs="Arial"/>
          <w:i/>
          <w:iCs/>
          <w:sz w:val="22"/>
          <w:szCs w:val="22"/>
        </w:rPr>
        <w:t> </w:t>
      </w:r>
      <w:r w:rsidRPr="007923C2">
        <w:rPr>
          <w:rFonts w:ascii="Arial" w:hAnsi="Arial" w:cs="Arial"/>
          <w:sz w:val="22"/>
          <w:szCs w:val="22"/>
        </w:rPr>
        <w:t>que los hogares caigan en la pobreza, fomentando la corresponsabilidad y la incorporación a los procesos productivos formales de la economía.</w:t>
      </w:r>
    </w:p>
    <w:p w14:paraId="15C49495"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Se buscará diseñar esquemas para que el Sistema de Seguridad Social contribuya a resarcir la exclusión de las mujeres. Un Sistema de Seguridad incluyente debe contemplar, por ejemplo, mecanismos que impidan que la maternidad limite su desarrollo profesional.</w:t>
      </w:r>
    </w:p>
    <w:p w14:paraId="3184D4F9"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Los esfuerzos para lograr un Sistema de Seguridad Social</w:t>
      </w:r>
      <w:r w:rsidRPr="007923C2">
        <w:rPr>
          <w:rFonts w:ascii="Arial" w:hAnsi="Arial" w:cs="Arial"/>
          <w:i/>
          <w:iCs/>
          <w:sz w:val="22"/>
          <w:szCs w:val="22"/>
        </w:rPr>
        <w:t> </w:t>
      </w:r>
      <w:r w:rsidRPr="007923C2">
        <w:rPr>
          <w:rFonts w:ascii="Arial" w:hAnsi="Arial" w:cs="Arial"/>
          <w:sz w:val="22"/>
          <w:szCs w:val="22"/>
        </w:rPr>
        <w:t>más</w:t>
      </w:r>
      <w:r w:rsidRPr="007923C2">
        <w:rPr>
          <w:rFonts w:ascii="Arial" w:hAnsi="Arial" w:cs="Arial"/>
          <w:i/>
          <w:iCs/>
          <w:sz w:val="22"/>
          <w:szCs w:val="22"/>
        </w:rPr>
        <w:t> </w:t>
      </w:r>
      <w:r w:rsidRPr="007923C2">
        <w:rPr>
          <w:rFonts w:ascii="Arial" w:hAnsi="Arial" w:cs="Arial"/>
          <w:sz w:val="22"/>
          <w:szCs w:val="22"/>
        </w:rPr>
        <w:t>incluyente</w:t>
      </w:r>
      <w:r w:rsidRPr="007923C2">
        <w:rPr>
          <w:rFonts w:ascii="Arial" w:hAnsi="Arial" w:cs="Arial"/>
          <w:i/>
          <w:iCs/>
          <w:sz w:val="22"/>
          <w:szCs w:val="22"/>
        </w:rPr>
        <w:t> </w:t>
      </w:r>
      <w:r w:rsidRPr="007923C2">
        <w:rPr>
          <w:rFonts w:ascii="Arial" w:hAnsi="Arial" w:cs="Arial"/>
          <w:sz w:val="22"/>
          <w:szCs w:val="22"/>
        </w:rPr>
        <w:t>también</w:t>
      </w:r>
      <w:r w:rsidRPr="007923C2">
        <w:rPr>
          <w:rFonts w:ascii="Arial" w:hAnsi="Arial" w:cs="Arial"/>
          <w:i/>
          <w:iCs/>
          <w:sz w:val="22"/>
          <w:szCs w:val="22"/>
        </w:rPr>
        <w:t> </w:t>
      </w:r>
      <w:r w:rsidRPr="007923C2">
        <w:rPr>
          <w:rFonts w:ascii="Arial" w:hAnsi="Arial" w:cs="Arial"/>
          <w:sz w:val="22"/>
          <w:szCs w:val="22"/>
        </w:rPr>
        <w:t>requieren</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un uso eficiente de los recursos para garantizar la sustentabilidad de dicho Sistema en el mediano y largo plazos. Lo anterior, considerando la dinámica poblacional</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epidemiológica.</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estesentido, se busca la corresponsabilidad con los usuarios y reorientar las labores de planeación y operación para obtener mejores márgenes financieros a lo largo de la cadena de atención del Sistema.</w:t>
      </w:r>
    </w:p>
    <w:p w14:paraId="4FEB1AD0"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otro lado, un México Incluyente tendrá como objetivo </w:t>
      </w:r>
      <w:r w:rsidRPr="007923C2">
        <w:rPr>
          <w:rFonts w:ascii="Arial" w:hAnsi="Arial" w:cs="Arial"/>
          <w:b/>
          <w:bCs/>
          <w:sz w:val="22"/>
          <w:szCs w:val="22"/>
        </w:rPr>
        <w:t>proveer un entorno adecuado para el desarrollo de una vida digna</w:t>
      </w:r>
      <w:r w:rsidRPr="007923C2">
        <w:rPr>
          <w:rFonts w:ascii="Arial" w:hAnsi="Arial" w:cs="Arial"/>
          <w:sz w:val="22"/>
          <w:szCs w:val="22"/>
        </w:rPr>
        <w:t>. Para ello, se plantea dar impulso a soluciones de vivienda dignas, así como al mejoramiento de espacios públicos. En específico, la Política Nacional de Vivienda consiste en un nuevo modelo enfocado a promover el desarrollo ordenado y sustentable del sector; a mejorar y regularizar la vivienda urbana, así como a construir y mejorar la vivienda rural. Esta Política implica: i) lograr una mayor y mejor coordinación interinstitucional;</w:t>
      </w:r>
      <w:r w:rsidRPr="007923C2">
        <w:rPr>
          <w:rFonts w:ascii="Arial" w:hAnsi="Arial" w:cs="Arial"/>
          <w:i/>
          <w:iCs/>
          <w:sz w:val="22"/>
          <w:szCs w:val="22"/>
        </w:rPr>
        <w:t> </w:t>
      </w:r>
      <w:r w:rsidRPr="007923C2">
        <w:rPr>
          <w:rFonts w:ascii="Arial" w:hAnsi="Arial" w:cs="Arial"/>
          <w:sz w:val="22"/>
          <w:szCs w:val="22"/>
        </w:rPr>
        <w:t>ii)transitar</w:t>
      </w:r>
      <w:r w:rsidRPr="007923C2">
        <w:rPr>
          <w:rFonts w:ascii="Arial" w:hAnsi="Arial" w:cs="Arial"/>
          <w:i/>
          <w:iCs/>
          <w:sz w:val="22"/>
          <w:szCs w:val="22"/>
        </w:rPr>
        <w:t> </w:t>
      </w:r>
      <w:r w:rsidRPr="007923C2">
        <w:rPr>
          <w:rFonts w:ascii="Arial" w:hAnsi="Arial" w:cs="Arial"/>
          <w:sz w:val="22"/>
          <w:szCs w:val="22"/>
        </w:rPr>
        <w:t>hacia</w:t>
      </w:r>
      <w:r w:rsidRPr="007923C2">
        <w:rPr>
          <w:rFonts w:ascii="Arial" w:hAnsi="Arial" w:cs="Arial"/>
          <w:i/>
          <w:iCs/>
          <w:sz w:val="22"/>
          <w:szCs w:val="22"/>
        </w:rPr>
        <w:t> </w:t>
      </w:r>
      <w:r w:rsidRPr="007923C2">
        <w:rPr>
          <w:rFonts w:ascii="Arial" w:hAnsi="Arial" w:cs="Arial"/>
          <w:sz w:val="22"/>
          <w:szCs w:val="22"/>
        </w:rPr>
        <w:t>un</w:t>
      </w:r>
      <w:r w:rsidRPr="007923C2">
        <w:rPr>
          <w:rFonts w:ascii="Arial" w:hAnsi="Arial" w:cs="Arial"/>
          <w:i/>
          <w:iCs/>
          <w:sz w:val="22"/>
          <w:szCs w:val="22"/>
        </w:rPr>
        <w:t> </w:t>
      </w:r>
      <w:r w:rsidRPr="007923C2">
        <w:rPr>
          <w:rFonts w:ascii="Arial" w:hAnsi="Arial" w:cs="Arial"/>
          <w:sz w:val="22"/>
          <w:szCs w:val="22"/>
        </w:rPr>
        <w:t>modelo de</w:t>
      </w:r>
      <w:r w:rsidRPr="007923C2">
        <w:rPr>
          <w:rFonts w:ascii="Arial" w:hAnsi="Arial" w:cs="Arial"/>
          <w:i/>
          <w:iCs/>
          <w:sz w:val="22"/>
          <w:szCs w:val="22"/>
        </w:rPr>
        <w:t> </w:t>
      </w:r>
      <w:r w:rsidRPr="007923C2">
        <w:rPr>
          <w:rFonts w:ascii="Arial" w:hAnsi="Arial" w:cs="Arial"/>
          <w:sz w:val="22"/>
          <w:szCs w:val="22"/>
        </w:rPr>
        <w:t>desarrollo</w:t>
      </w:r>
      <w:r w:rsidRPr="007923C2">
        <w:rPr>
          <w:rFonts w:ascii="Arial" w:hAnsi="Arial" w:cs="Arial"/>
          <w:i/>
          <w:iCs/>
          <w:sz w:val="22"/>
          <w:szCs w:val="22"/>
        </w:rPr>
        <w:t> </w:t>
      </w:r>
      <w:r w:rsidRPr="007923C2">
        <w:rPr>
          <w:rFonts w:ascii="Arial" w:hAnsi="Arial" w:cs="Arial"/>
          <w:sz w:val="22"/>
          <w:szCs w:val="22"/>
        </w:rPr>
        <w:t>urbano</w:t>
      </w:r>
      <w:r w:rsidRPr="007923C2">
        <w:rPr>
          <w:rFonts w:ascii="Arial" w:hAnsi="Arial" w:cs="Arial"/>
          <w:i/>
          <w:iCs/>
          <w:sz w:val="22"/>
          <w:szCs w:val="22"/>
        </w:rPr>
        <w:t> </w:t>
      </w:r>
      <w:r w:rsidRPr="007923C2">
        <w:rPr>
          <w:rFonts w:ascii="Arial" w:hAnsi="Arial" w:cs="Arial"/>
          <w:sz w:val="22"/>
          <w:szCs w:val="22"/>
        </w:rPr>
        <w:t>sustentable</w:t>
      </w:r>
      <w:r w:rsidRPr="007923C2">
        <w:rPr>
          <w:rFonts w:ascii="Arial" w:hAnsi="Arial" w:cs="Arial"/>
          <w:i/>
          <w:iCs/>
          <w:sz w:val="22"/>
          <w:szCs w:val="22"/>
        </w:rPr>
        <w:t> </w:t>
      </w:r>
      <w:r w:rsidRPr="007923C2">
        <w:rPr>
          <w:rFonts w:ascii="Arial" w:hAnsi="Arial" w:cs="Arial"/>
          <w:sz w:val="22"/>
          <w:szCs w:val="22"/>
        </w:rPr>
        <w:t>e</w:t>
      </w:r>
      <w:r w:rsidRPr="007923C2">
        <w:rPr>
          <w:rFonts w:ascii="Arial" w:hAnsi="Arial" w:cs="Arial"/>
          <w:i/>
          <w:iCs/>
          <w:sz w:val="22"/>
          <w:szCs w:val="22"/>
        </w:rPr>
        <w:t> </w:t>
      </w:r>
      <w:r w:rsidRPr="007923C2">
        <w:rPr>
          <w:rFonts w:ascii="Arial" w:hAnsi="Arial" w:cs="Arial"/>
          <w:sz w:val="22"/>
          <w:szCs w:val="22"/>
        </w:rPr>
        <w:t>inteligente; iii) reducir de manera responsable el rezago en vivienda; y iv) procurar una vivienda digna para los mexicanos. Por tanto, se plantea impulsar acciones de lotificación, construcción, ampliación y mejora de</w:t>
      </w:r>
      <w:r w:rsidRPr="007923C2">
        <w:rPr>
          <w:rFonts w:ascii="Arial" w:hAnsi="Arial" w:cs="Arial"/>
          <w:i/>
          <w:iCs/>
          <w:sz w:val="22"/>
          <w:szCs w:val="22"/>
        </w:rPr>
        <w:t> </w:t>
      </w:r>
      <w:r w:rsidRPr="007923C2">
        <w:rPr>
          <w:rFonts w:ascii="Arial" w:hAnsi="Arial" w:cs="Arial"/>
          <w:sz w:val="22"/>
          <w:szCs w:val="22"/>
        </w:rPr>
        <w:t>hogares,</w:t>
      </w:r>
      <w:r w:rsidRPr="007923C2">
        <w:rPr>
          <w:rFonts w:ascii="Arial" w:hAnsi="Arial" w:cs="Arial"/>
          <w:i/>
          <w:iCs/>
          <w:sz w:val="22"/>
          <w:szCs w:val="22"/>
        </w:rPr>
        <w:t> </w:t>
      </w:r>
      <w:r w:rsidRPr="007923C2">
        <w:rPr>
          <w:rFonts w:ascii="Arial" w:hAnsi="Arial" w:cs="Arial"/>
          <w:sz w:val="22"/>
          <w:szCs w:val="22"/>
        </w:rPr>
        <w:t>yse</w:t>
      </w:r>
      <w:r w:rsidRPr="007923C2">
        <w:rPr>
          <w:rFonts w:ascii="Arial" w:hAnsi="Arial" w:cs="Arial"/>
          <w:i/>
          <w:iCs/>
          <w:sz w:val="22"/>
          <w:szCs w:val="22"/>
        </w:rPr>
        <w:t> </w:t>
      </w:r>
      <w:r w:rsidRPr="007923C2">
        <w:rPr>
          <w:rFonts w:ascii="Arial" w:hAnsi="Arial" w:cs="Arial"/>
          <w:sz w:val="22"/>
          <w:szCs w:val="22"/>
        </w:rPr>
        <w:t>propone</w:t>
      </w:r>
      <w:r w:rsidRPr="007923C2">
        <w:rPr>
          <w:rFonts w:ascii="Arial" w:hAnsi="Arial" w:cs="Arial"/>
          <w:i/>
          <w:iCs/>
          <w:sz w:val="22"/>
          <w:szCs w:val="22"/>
        </w:rPr>
        <w:t> </w:t>
      </w:r>
      <w:r w:rsidRPr="007923C2">
        <w:rPr>
          <w:rFonts w:ascii="Arial" w:hAnsi="Arial" w:cs="Arial"/>
          <w:sz w:val="22"/>
          <w:szCs w:val="22"/>
        </w:rPr>
        <w:t>orientar</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créditos y subsidios del Gobierno de la República hacia proyectos que fomenten el crecimiento urbano ordenado.</w:t>
      </w:r>
    </w:p>
    <w:p w14:paraId="09708CE9"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xml:space="preserve">En términos de igualdad de género, un México Incluyente también plantea reducir la brecha entre mujeres y hombres en materia de acceso y permanencia laboral, así como desarrollar y fortalecer </w:t>
      </w:r>
      <w:r w:rsidRPr="007923C2">
        <w:rPr>
          <w:rFonts w:ascii="Arial" w:hAnsi="Arial" w:cs="Arial"/>
          <w:sz w:val="22"/>
          <w:szCs w:val="22"/>
        </w:rPr>
        <w:lastRenderedPageBreak/>
        <w:t>esquemas de apoyo y atención que ayuden a las mujeres a mejorar sus condiciones de acceso a la seguridad social además de su bienestar y autonomía económica. En este sentido, una demanda recurrente en el proceso de consultas del </w:t>
      </w:r>
      <w:r w:rsidRPr="007923C2">
        <w:rPr>
          <w:rFonts w:ascii="Arial" w:hAnsi="Arial" w:cs="Arial"/>
          <w:i/>
          <w:iCs/>
          <w:sz w:val="22"/>
          <w:szCs w:val="22"/>
        </w:rPr>
        <w:t>Plan Nacional de Desarrollo</w:t>
      </w:r>
      <w:r w:rsidRPr="007923C2">
        <w:rPr>
          <w:rFonts w:ascii="Arial" w:hAnsi="Arial" w:cs="Arial"/>
          <w:sz w:val="22"/>
          <w:szCs w:val="22"/>
        </w:rPr>
        <w:t> fue el impulsar políticas tendientes a incrementar la colaboración de los hombres en el cuidado de su descendencia y de las personas adultas mayores.</w:t>
      </w:r>
    </w:p>
    <w:p w14:paraId="3DDA76F9"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Un</w:t>
      </w:r>
      <w:r w:rsidRPr="007923C2">
        <w:rPr>
          <w:rFonts w:ascii="Arial" w:hAnsi="Arial" w:cs="Arial"/>
          <w:i/>
          <w:iCs/>
          <w:sz w:val="22"/>
          <w:szCs w:val="22"/>
        </w:rPr>
        <w:t> </w:t>
      </w:r>
      <w:r w:rsidRPr="007923C2">
        <w:rPr>
          <w:rFonts w:ascii="Arial" w:hAnsi="Arial" w:cs="Arial"/>
          <w:sz w:val="22"/>
          <w:szCs w:val="22"/>
        </w:rPr>
        <w:t>México</w:t>
      </w:r>
      <w:r w:rsidRPr="007923C2">
        <w:rPr>
          <w:rFonts w:ascii="Arial" w:hAnsi="Arial" w:cs="Arial"/>
          <w:i/>
          <w:iCs/>
          <w:sz w:val="22"/>
          <w:szCs w:val="22"/>
        </w:rPr>
        <w:t> </w:t>
      </w:r>
      <w:r w:rsidRPr="007923C2">
        <w:rPr>
          <w:rFonts w:ascii="Arial" w:hAnsi="Arial" w:cs="Arial"/>
          <w:sz w:val="22"/>
          <w:szCs w:val="22"/>
        </w:rPr>
        <w:t>Incluyente</w:t>
      </w:r>
      <w:r w:rsidRPr="007923C2">
        <w:rPr>
          <w:rFonts w:ascii="Arial" w:hAnsi="Arial" w:cs="Arial"/>
          <w:i/>
          <w:iCs/>
          <w:sz w:val="22"/>
          <w:szCs w:val="22"/>
        </w:rPr>
        <w:t> </w:t>
      </w:r>
      <w:r w:rsidRPr="007923C2">
        <w:rPr>
          <w:rFonts w:ascii="Arial" w:hAnsi="Arial" w:cs="Arial"/>
          <w:sz w:val="22"/>
          <w:szCs w:val="22"/>
        </w:rPr>
        <w:t>busca</w:t>
      </w:r>
      <w:r w:rsidRPr="007923C2">
        <w:rPr>
          <w:rFonts w:ascii="Arial" w:hAnsi="Arial" w:cs="Arial"/>
          <w:i/>
          <w:iCs/>
          <w:sz w:val="22"/>
          <w:szCs w:val="22"/>
        </w:rPr>
        <w:t> </w:t>
      </w:r>
      <w:r w:rsidRPr="007923C2">
        <w:rPr>
          <w:rFonts w:ascii="Arial" w:hAnsi="Arial" w:cs="Arial"/>
          <w:sz w:val="22"/>
          <w:szCs w:val="22"/>
        </w:rPr>
        <w:t>también</w:t>
      </w:r>
      <w:r w:rsidRPr="007923C2">
        <w:rPr>
          <w:rFonts w:ascii="Arial" w:hAnsi="Arial" w:cs="Arial"/>
          <w:i/>
          <w:iCs/>
          <w:sz w:val="22"/>
          <w:szCs w:val="22"/>
        </w:rPr>
        <w:t> </w:t>
      </w:r>
      <w:r w:rsidRPr="007923C2">
        <w:rPr>
          <w:rFonts w:ascii="Arial" w:hAnsi="Arial" w:cs="Arial"/>
          <w:sz w:val="22"/>
          <w:szCs w:val="22"/>
        </w:rPr>
        <w:t>promover una mayor productividad mediante políticas que faciliten un uso social y económicamente óptimo del territorio nacional. Se impulsarán programas que otorguen certidumbre jurídica a la tenencia de la tierra, reduzcan la fragmentación de los predios agrícolas y promuevan el ordenamiento territorial en zonas urbanas, así como el desarrollo de ciudades sustentables y competitivas.</w:t>
      </w:r>
    </w:p>
    <w:p w14:paraId="01130E5F"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otro lado, se propone reducir la informalidad y</w:t>
      </w:r>
      <w:r w:rsidRPr="007923C2">
        <w:rPr>
          <w:rFonts w:ascii="Arial" w:hAnsi="Arial" w:cs="Arial"/>
          <w:i/>
          <w:iCs/>
          <w:sz w:val="22"/>
          <w:szCs w:val="22"/>
        </w:rPr>
        <w:t> </w:t>
      </w:r>
      <w:r w:rsidRPr="007923C2">
        <w:rPr>
          <w:rFonts w:ascii="Arial" w:hAnsi="Arial" w:cs="Arial"/>
          <w:sz w:val="22"/>
          <w:szCs w:val="22"/>
        </w:rPr>
        <w:t>generar</w:t>
      </w:r>
      <w:r w:rsidRPr="007923C2">
        <w:rPr>
          <w:rFonts w:ascii="Arial" w:hAnsi="Arial" w:cs="Arial"/>
          <w:i/>
          <w:iCs/>
          <w:sz w:val="22"/>
          <w:szCs w:val="22"/>
        </w:rPr>
        <w:t> </w:t>
      </w:r>
      <w:r w:rsidRPr="007923C2">
        <w:rPr>
          <w:rFonts w:ascii="Arial" w:hAnsi="Arial" w:cs="Arial"/>
          <w:sz w:val="22"/>
          <w:szCs w:val="22"/>
        </w:rPr>
        <w:t>empleos</w:t>
      </w:r>
      <w:r w:rsidRPr="007923C2">
        <w:rPr>
          <w:rFonts w:ascii="Arial" w:hAnsi="Arial" w:cs="Arial"/>
          <w:i/>
          <w:iCs/>
          <w:sz w:val="22"/>
          <w:szCs w:val="22"/>
        </w:rPr>
        <w:t> </w:t>
      </w:r>
      <w:r w:rsidRPr="007923C2">
        <w:rPr>
          <w:rFonts w:ascii="Arial" w:hAnsi="Arial" w:cs="Arial"/>
          <w:sz w:val="22"/>
          <w:szCs w:val="22"/>
        </w:rPr>
        <w:t>mejor</w:t>
      </w:r>
      <w:r w:rsidRPr="007923C2">
        <w:rPr>
          <w:rFonts w:ascii="Arial" w:hAnsi="Arial" w:cs="Arial"/>
          <w:i/>
          <w:iCs/>
          <w:sz w:val="22"/>
          <w:szCs w:val="22"/>
        </w:rPr>
        <w:t> </w:t>
      </w:r>
      <w:r w:rsidRPr="007923C2">
        <w:rPr>
          <w:rFonts w:ascii="Arial" w:hAnsi="Arial" w:cs="Arial"/>
          <w:sz w:val="22"/>
          <w:szCs w:val="22"/>
        </w:rPr>
        <w:t>remunerados</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través de una legislación laboral y políticas de seguridad social que disminuyan los costos que enfrentan las empresas al contratar a trabajadores formales.</w:t>
      </w:r>
    </w:p>
    <w:p w14:paraId="531AF2CE"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Asimismo, la idea de un Gobierno Cercano y Moderno permea en un México Incluyente, principalmente a través de políticas sociales que promueven la transparencia, la rendición de cuentas y la participación ciudadana. Esto incluye desarrollar políticas públicas con base en evidencia estadística, cuya planeación utilice los mejores insumos de información y evaluación, así como las mejores prácticas a nivel internacional. Asimismo, la visión de gobierno de la presente Administración implica optimizar el gasto y rendir cuentas de los programas y recursos públicos invertidos, mediante la</w:t>
      </w:r>
      <w:r w:rsidRPr="007923C2">
        <w:rPr>
          <w:rFonts w:ascii="Arial" w:hAnsi="Arial" w:cs="Arial"/>
          <w:i/>
          <w:iCs/>
          <w:sz w:val="22"/>
          <w:szCs w:val="22"/>
        </w:rPr>
        <w:t> </w:t>
      </w:r>
      <w:r w:rsidRPr="007923C2">
        <w:rPr>
          <w:rFonts w:ascii="Arial" w:hAnsi="Arial" w:cs="Arial"/>
          <w:sz w:val="22"/>
          <w:szCs w:val="22"/>
        </w:rPr>
        <w:t>participación</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instituciones</w:t>
      </w:r>
      <w:r w:rsidRPr="007923C2">
        <w:rPr>
          <w:rFonts w:ascii="Arial" w:hAnsi="Arial" w:cs="Arial"/>
          <w:i/>
          <w:iCs/>
          <w:sz w:val="22"/>
          <w:szCs w:val="22"/>
        </w:rPr>
        <w:t> </w:t>
      </w:r>
      <w:r w:rsidRPr="007923C2">
        <w:rPr>
          <w:rFonts w:ascii="Arial" w:hAnsi="Arial" w:cs="Arial"/>
          <w:sz w:val="22"/>
          <w:szCs w:val="22"/>
        </w:rPr>
        <w:t>académicas</w:t>
      </w:r>
      <w:r w:rsidRPr="007923C2">
        <w:rPr>
          <w:rFonts w:ascii="Arial" w:hAnsi="Arial" w:cs="Arial"/>
          <w:i/>
          <w:iCs/>
          <w:sz w:val="22"/>
          <w:szCs w:val="22"/>
        </w:rPr>
        <w:t> </w:t>
      </w:r>
      <w:r w:rsidRPr="007923C2">
        <w:rPr>
          <w:rFonts w:ascii="Arial" w:hAnsi="Arial" w:cs="Arial"/>
          <w:sz w:val="22"/>
          <w:szCs w:val="22"/>
        </w:rPr>
        <w:t>y de investigación, además del fortalecimiento de contralorías sociales comunitarias. Esta visión también</w:t>
      </w:r>
      <w:r w:rsidRPr="007923C2">
        <w:rPr>
          <w:rFonts w:ascii="Arial" w:hAnsi="Arial" w:cs="Arial"/>
          <w:i/>
          <w:iCs/>
          <w:sz w:val="22"/>
          <w:szCs w:val="22"/>
        </w:rPr>
        <w:t> </w:t>
      </w:r>
      <w:r w:rsidRPr="007923C2">
        <w:rPr>
          <w:rFonts w:ascii="Arial" w:hAnsi="Arial" w:cs="Arial"/>
          <w:sz w:val="22"/>
          <w:szCs w:val="22"/>
        </w:rPr>
        <w:t>se</w:t>
      </w:r>
      <w:r w:rsidRPr="007923C2">
        <w:rPr>
          <w:rFonts w:ascii="Arial" w:hAnsi="Arial" w:cs="Arial"/>
          <w:i/>
          <w:iCs/>
          <w:sz w:val="22"/>
          <w:szCs w:val="22"/>
        </w:rPr>
        <w:t> </w:t>
      </w:r>
      <w:r w:rsidRPr="007923C2">
        <w:rPr>
          <w:rFonts w:ascii="Arial" w:hAnsi="Arial" w:cs="Arial"/>
          <w:sz w:val="22"/>
          <w:szCs w:val="22"/>
        </w:rPr>
        <w:t>traduce</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hacer</w:t>
      </w:r>
      <w:r w:rsidRPr="007923C2">
        <w:rPr>
          <w:rFonts w:ascii="Arial" w:hAnsi="Arial" w:cs="Arial"/>
          <w:i/>
          <w:iCs/>
          <w:sz w:val="22"/>
          <w:szCs w:val="22"/>
        </w:rPr>
        <w:t> </w:t>
      </w:r>
      <w:r w:rsidRPr="007923C2">
        <w:rPr>
          <w:rFonts w:ascii="Arial" w:hAnsi="Arial" w:cs="Arial"/>
          <w:sz w:val="22"/>
          <w:szCs w:val="22"/>
        </w:rPr>
        <w:t>un</w:t>
      </w:r>
      <w:r w:rsidRPr="007923C2">
        <w:rPr>
          <w:rFonts w:ascii="Arial" w:hAnsi="Arial" w:cs="Arial"/>
          <w:i/>
          <w:iCs/>
          <w:sz w:val="22"/>
          <w:szCs w:val="22"/>
        </w:rPr>
        <w:t> </w:t>
      </w:r>
      <w:r w:rsidRPr="007923C2">
        <w:rPr>
          <w:rFonts w:ascii="Arial" w:hAnsi="Arial" w:cs="Arial"/>
          <w:sz w:val="22"/>
          <w:szCs w:val="22"/>
        </w:rPr>
        <w:t>uso</w:t>
      </w:r>
      <w:r w:rsidRPr="007923C2">
        <w:rPr>
          <w:rFonts w:ascii="Arial" w:hAnsi="Arial" w:cs="Arial"/>
          <w:i/>
          <w:iCs/>
          <w:sz w:val="22"/>
          <w:szCs w:val="22"/>
        </w:rPr>
        <w:t> </w:t>
      </w:r>
      <w:r w:rsidRPr="007923C2">
        <w:rPr>
          <w:rFonts w:ascii="Arial" w:hAnsi="Arial" w:cs="Arial"/>
          <w:sz w:val="22"/>
          <w:szCs w:val="22"/>
        </w:rPr>
        <w:t>adecuado de las nuevas tecnologías de la información y la comunicación para, porejemplo, integrar un padrón con identificación única de quienes son beneficiarios de programas sociales, para evitar duplicidades.</w:t>
      </w:r>
    </w:p>
    <w:p w14:paraId="4BE1ADB1"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materia de derecho a la identidad, la presente Administración se plantea fortalecer el Registro Nacional de Población a través del mejoramiento integral de la institución registral de actos civiles, de</w:t>
      </w:r>
      <w:r w:rsidRPr="007923C2">
        <w:rPr>
          <w:rFonts w:ascii="Arial" w:hAnsi="Arial" w:cs="Arial"/>
          <w:i/>
          <w:iCs/>
          <w:sz w:val="22"/>
          <w:szCs w:val="22"/>
        </w:rPr>
        <w:t> </w:t>
      </w:r>
      <w:r w:rsidRPr="007923C2">
        <w:rPr>
          <w:rFonts w:ascii="Arial" w:hAnsi="Arial" w:cs="Arial"/>
          <w:sz w:val="22"/>
          <w:szCs w:val="22"/>
        </w:rPr>
        <w:t>igual</w:t>
      </w:r>
      <w:r w:rsidRPr="007923C2">
        <w:rPr>
          <w:rFonts w:ascii="Arial" w:hAnsi="Arial" w:cs="Arial"/>
          <w:i/>
          <w:iCs/>
          <w:sz w:val="22"/>
          <w:szCs w:val="22"/>
        </w:rPr>
        <w:t> </w:t>
      </w:r>
      <w:r w:rsidRPr="007923C2">
        <w:rPr>
          <w:rFonts w:ascii="Arial" w:hAnsi="Arial" w:cs="Arial"/>
          <w:sz w:val="22"/>
          <w:szCs w:val="22"/>
        </w:rPr>
        <w:t>forma,</w:t>
      </w:r>
      <w:r w:rsidRPr="007923C2">
        <w:rPr>
          <w:rFonts w:ascii="Arial" w:hAnsi="Arial" w:cs="Arial"/>
          <w:i/>
          <w:iCs/>
          <w:sz w:val="22"/>
          <w:szCs w:val="22"/>
        </w:rPr>
        <w:t> </w:t>
      </w:r>
      <w:r w:rsidRPr="007923C2">
        <w:rPr>
          <w:rFonts w:ascii="Arial" w:hAnsi="Arial" w:cs="Arial"/>
          <w:sz w:val="22"/>
          <w:szCs w:val="22"/>
        </w:rPr>
        <w:t>mediante</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uso</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adopción</w:t>
      </w:r>
      <w:r w:rsidRPr="007923C2">
        <w:rPr>
          <w:rFonts w:ascii="Arial" w:hAnsi="Arial" w:cs="Arial"/>
          <w:i/>
          <w:iCs/>
          <w:sz w:val="22"/>
          <w:szCs w:val="22"/>
        </w:rPr>
        <w:t> </w:t>
      </w:r>
      <w:r w:rsidRPr="007923C2">
        <w:rPr>
          <w:rFonts w:ascii="Arial" w:hAnsi="Arial" w:cs="Arial"/>
          <w:sz w:val="22"/>
          <w:szCs w:val="22"/>
        </w:rPr>
        <w:t>de la Clave Única de Registro de Población (CURP) como el componente primario de intercambio de información entre los tres órdenes de gobierno, y mediante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emisión</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w:t>
      </w:r>
      <w:r w:rsidRPr="007923C2">
        <w:rPr>
          <w:rFonts w:ascii="Arial" w:hAnsi="Arial" w:cs="Arial"/>
          <w:sz w:val="22"/>
          <w:szCs w:val="22"/>
        </w:rPr>
        <w:t>documento</w:t>
      </w:r>
      <w:r w:rsidRPr="007923C2">
        <w:rPr>
          <w:rFonts w:ascii="Arial" w:hAnsi="Arial" w:cs="Arial"/>
          <w:i/>
          <w:iCs/>
          <w:sz w:val="22"/>
          <w:szCs w:val="22"/>
        </w:rPr>
        <w:t> </w:t>
      </w:r>
      <w:r w:rsidRPr="007923C2">
        <w:rPr>
          <w:rFonts w:ascii="Arial" w:hAnsi="Arial" w:cs="Arial"/>
          <w:sz w:val="22"/>
          <w:szCs w:val="22"/>
        </w:rPr>
        <w:t>establecido por la Ley General de Población, que garantice la unicidad de la identidad biográfica y biométrica de la población.</w:t>
      </w:r>
    </w:p>
    <w:p w14:paraId="2BD130F9" w14:textId="77777777"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Hoy,</w:t>
      </w:r>
      <w:r w:rsidRPr="007923C2">
        <w:rPr>
          <w:rFonts w:ascii="Arial" w:hAnsi="Arial" w:cs="Arial"/>
          <w:i/>
          <w:iCs/>
          <w:sz w:val="22"/>
          <w:szCs w:val="22"/>
        </w:rPr>
        <w:t> </w:t>
      </w:r>
      <w:r w:rsidRPr="007923C2">
        <w:rPr>
          <w:rFonts w:ascii="Arial" w:hAnsi="Arial" w:cs="Arial"/>
          <w:sz w:val="22"/>
          <w:szCs w:val="22"/>
        </w:rPr>
        <w:t>México</w:t>
      </w:r>
      <w:r w:rsidRPr="007923C2">
        <w:rPr>
          <w:rFonts w:ascii="Arial" w:hAnsi="Arial" w:cs="Arial"/>
          <w:i/>
          <w:iCs/>
          <w:sz w:val="22"/>
          <w:szCs w:val="22"/>
        </w:rPr>
        <w:t> </w:t>
      </w:r>
      <w:r w:rsidRPr="007923C2">
        <w:rPr>
          <w:rFonts w:ascii="Arial" w:hAnsi="Arial" w:cs="Arial"/>
          <w:sz w:val="22"/>
          <w:szCs w:val="22"/>
        </w:rPr>
        <w:t>debe</w:t>
      </w:r>
      <w:r w:rsidRPr="007923C2">
        <w:rPr>
          <w:rFonts w:ascii="Arial" w:hAnsi="Arial" w:cs="Arial"/>
          <w:i/>
          <w:iCs/>
          <w:sz w:val="22"/>
          <w:szCs w:val="22"/>
        </w:rPr>
        <w:t> </w:t>
      </w:r>
      <w:r w:rsidRPr="007923C2">
        <w:rPr>
          <w:rFonts w:ascii="Arial" w:hAnsi="Arial" w:cs="Arial"/>
          <w:sz w:val="22"/>
          <w:szCs w:val="22"/>
        </w:rPr>
        <w:t>poner</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centro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todos los esfuerzos el objetivo de lograr una sociedad más igualitaria, no sólo por motivos éticos y de congruencia con su proyecto nacional, sino también por la necesidad de contar con mejores condiciones para</w:t>
      </w:r>
      <w:r w:rsidRPr="007923C2">
        <w:rPr>
          <w:rFonts w:ascii="Arial" w:hAnsi="Arial" w:cs="Arial"/>
          <w:i/>
          <w:iCs/>
          <w:sz w:val="22"/>
          <w:szCs w:val="22"/>
        </w:rPr>
        <w:t> </w:t>
      </w:r>
      <w:r w:rsidRPr="007923C2">
        <w:rPr>
          <w:rFonts w:ascii="Arial" w:hAnsi="Arial" w:cs="Arial"/>
          <w:sz w:val="22"/>
          <w:szCs w:val="22"/>
        </w:rPr>
        <w:t>una</w:t>
      </w:r>
      <w:r w:rsidRPr="007923C2">
        <w:rPr>
          <w:rFonts w:ascii="Arial" w:hAnsi="Arial" w:cs="Arial"/>
          <w:i/>
          <w:iCs/>
          <w:sz w:val="22"/>
          <w:szCs w:val="22"/>
        </w:rPr>
        <w:t> </w:t>
      </w:r>
      <w:r w:rsidRPr="007923C2">
        <w:rPr>
          <w:rFonts w:ascii="Arial" w:hAnsi="Arial" w:cs="Arial"/>
          <w:sz w:val="22"/>
          <w:szCs w:val="22"/>
        </w:rPr>
        <w:t>convivencia</w:t>
      </w:r>
      <w:r w:rsidRPr="007923C2">
        <w:rPr>
          <w:rFonts w:ascii="Arial" w:hAnsi="Arial" w:cs="Arial"/>
          <w:i/>
          <w:iCs/>
          <w:sz w:val="22"/>
          <w:szCs w:val="22"/>
        </w:rPr>
        <w:t> </w:t>
      </w:r>
      <w:r w:rsidRPr="007923C2">
        <w:rPr>
          <w:rFonts w:ascii="Arial" w:hAnsi="Arial" w:cs="Arial"/>
          <w:sz w:val="22"/>
          <w:szCs w:val="22"/>
        </w:rPr>
        <w:t>pacífica</w:t>
      </w:r>
      <w:r w:rsidRPr="007923C2">
        <w:rPr>
          <w:rFonts w:ascii="Arial" w:hAnsi="Arial" w:cs="Arial"/>
          <w:i/>
          <w:iCs/>
          <w:sz w:val="22"/>
          <w:szCs w:val="22"/>
        </w:rPr>
        <w:t> </w:t>
      </w:r>
      <w:r w:rsidRPr="007923C2">
        <w:rPr>
          <w:rFonts w:ascii="Arial" w:hAnsi="Arial" w:cs="Arial"/>
          <w:sz w:val="22"/>
          <w:szCs w:val="22"/>
        </w:rPr>
        <w:t>ycivilizada</w:t>
      </w:r>
      <w:r w:rsidRPr="007923C2">
        <w:rPr>
          <w:rFonts w:ascii="Arial" w:hAnsi="Arial" w:cs="Arial"/>
          <w:i/>
          <w:iCs/>
          <w:sz w:val="22"/>
          <w:szCs w:val="22"/>
        </w:rPr>
        <w:t> </w:t>
      </w:r>
      <w:r w:rsidRPr="007923C2">
        <w:rPr>
          <w:rFonts w:ascii="Arial" w:hAnsi="Arial" w:cs="Arial"/>
          <w:sz w:val="22"/>
          <w:szCs w:val="22"/>
        </w:rPr>
        <w:t>que funjan como bases sólidas para un crecimiento económico sostenido y dinámico, así como para consolidar un liderazgo internacional y una inserción más competitiva en el mercado global.</w:t>
      </w:r>
    </w:p>
    <w:p w14:paraId="135099D9" w14:textId="77777777" w:rsidR="004A694A" w:rsidRPr="007923C2" w:rsidRDefault="004A694A" w:rsidP="00072704">
      <w:pPr>
        <w:widowControl w:val="0"/>
        <w:autoSpaceDE w:val="0"/>
        <w:autoSpaceDN w:val="0"/>
        <w:adjustRightInd w:val="0"/>
        <w:jc w:val="both"/>
        <w:rPr>
          <w:rFonts w:ascii="Arial" w:hAnsi="Arial" w:cs="Arial"/>
          <w:b/>
          <w:sz w:val="22"/>
          <w:szCs w:val="22"/>
        </w:rPr>
      </w:pPr>
    </w:p>
    <w:p w14:paraId="162AE80F" w14:textId="77777777" w:rsidR="00072704" w:rsidRPr="007923C2" w:rsidRDefault="00072704" w:rsidP="0007270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4.2.2.5.- ORGANIZACIONES DE PRODUCTORES</w:t>
      </w:r>
    </w:p>
    <w:p w14:paraId="07155335" w14:textId="77777777" w:rsidR="00072704" w:rsidRPr="007923C2" w:rsidRDefault="00072704" w:rsidP="00072704">
      <w:pPr>
        <w:pStyle w:val="Ttulo1"/>
        <w:rPr>
          <w:rFonts w:ascii="Arial" w:hAnsi="Arial" w:cs="Arial"/>
          <w:color w:val="auto"/>
          <w:sz w:val="22"/>
          <w:szCs w:val="22"/>
        </w:rPr>
      </w:pPr>
      <w:r w:rsidRPr="007923C2">
        <w:rPr>
          <w:rFonts w:ascii="Arial" w:hAnsi="Arial" w:cs="Arial"/>
          <w:color w:val="auto"/>
          <w:sz w:val="22"/>
          <w:szCs w:val="22"/>
        </w:rPr>
        <w:t>Organizaciones de productores que practican la agricultura orgánica: empoderar a los agricultores y promover el desarrollo rural sostenible</w:t>
      </w:r>
      <w:r w:rsidR="00936838">
        <w:rPr>
          <w:rFonts w:ascii="Arial" w:hAnsi="Arial" w:cs="Arial"/>
          <w:color w:val="auto"/>
          <w:sz w:val="22"/>
          <w:szCs w:val="22"/>
        </w:rPr>
        <w:t>.</w:t>
      </w:r>
    </w:p>
    <w:p w14:paraId="5825BDDE" w14:textId="77777777" w:rsidR="00936838" w:rsidRDefault="00072704" w:rsidP="00072704">
      <w:pPr>
        <w:pStyle w:val="Ttulo2"/>
        <w:rPr>
          <w:rStyle w:val="Textoennegrita"/>
          <w:rFonts w:ascii="Arial" w:hAnsi="Arial" w:cs="Arial"/>
          <w:b w:val="0"/>
          <w:color w:val="auto"/>
          <w:sz w:val="22"/>
          <w:szCs w:val="22"/>
        </w:rPr>
      </w:pPr>
      <w:r w:rsidRPr="007923C2">
        <w:rPr>
          <w:rStyle w:val="Textoennegrita"/>
          <w:rFonts w:ascii="Arial" w:hAnsi="Arial" w:cs="Arial"/>
          <w:b w:val="0"/>
          <w:color w:val="auto"/>
          <w:sz w:val="22"/>
          <w:szCs w:val="22"/>
        </w:rPr>
        <w:t>Los dirigentes describen casos exitosos y explican enfoques eficaces</w:t>
      </w:r>
      <w:r w:rsidR="00936838">
        <w:rPr>
          <w:rStyle w:val="Textoennegrita"/>
          <w:rFonts w:ascii="Arial" w:hAnsi="Arial" w:cs="Arial"/>
          <w:b w:val="0"/>
          <w:color w:val="auto"/>
          <w:sz w:val="22"/>
          <w:szCs w:val="22"/>
        </w:rPr>
        <w:t>.</w:t>
      </w:r>
    </w:p>
    <w:p w14:paraId="3AF1CE88" w14:textId="77777777" w:rsidR="00936838" w:rsidRDefault="00936838" w:rsidP="00936838"/>
    <w:p w14:paraId="698D0BEC" w14:textId="77777777" w:rsidR="00936838" w:rsidRDefault="00936838" w:rsidP="00936838">
      <w:r w:rsidRPr="007923C2">
        <w:rPr>
          <w:rFonts w:ascii="Arial" w:hAnsi="Arial" w:cs="Arial"/>
          <w:noProof/>
          <w:sz w:val="22"/>
          <w:szCs w:val="22"/>
        </w:rPr>
        <w:lastRenderedPageBreak/>
        <w:drawing>
          <wp:anchor distT="47625" distB="47625" distL="47625" distR="47625" simplePos="0" relativeHeight="251896320" behindDoc="0" locked="0" layoutInCell="1" allowOverlap="0" wp14:anchorId="0F72986A" wp14:editId="3A4DE656">
            <wp:simplePos x="0" y="0"/>
            <wp:positionH relativeFrom="column">
              <wp:posOffset>1504950</wp:posOffset>
            </wp:positionH>
            <wp:positionV relativeFrom="line">
              <wp:posOffset>69850</wp:posOffset>
            </wp:positionV>
            <wp:extent cx="2857500" cy="1905000"/>
            <wp:effectExtent l="0" t="0" r="0" b="0"/>
            <wp:wrapSquare wrapText="bothSides"/>
            <wp:docPr id="12" name="Imagen 12" descr="Organizaciones de productores que practican la agricultura orgánica: empoderar a los agricultores y promover el desarrollo rural soste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ganizaciones de productores que practican la agricultura orgánica: empoderar a los agricultores y promover el desarrollo rural sostenibl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anchor>
        </w:drawing>
      </w:r>
    </w:p>
    <w:p w14:paraId="630F58BD" w14:textId="77777777" w:rsidR="00936838" w:rsidRDefault="00936838" w:rsidP="00936838"/>
    <w:p w14:paraId="5ECC3C1A" w14:textId="77777777" w:rsidR="00936838" w:rsidRDefault="00936838" w:rsidP="00936838"/>
    <w:p w14:paraId="5C2A8B6F" w14:textId="77777777" w:rsidR="00936838" w:rsidRDefault="00936838" w:rsidP="00936838"/>
    <w:p w14:paraId="673400EE" w14:textId="77777777" w:rsidR="006C1563" w:rsidRDefault="006C1563" w:rsidP="00936838"/>
    <w:p w14:paraId="5114A1F9" w14:textId="77777777" w:rsidR="006C1563" w:rsidRDefault="006C1563" w:rsidP="00936838"/>
    <w:p w14:paraId="1F969C6F" w14:textId="77777777" w:rsidR="006C1563" w:rsidRDefault="006C1563" w:rsidP="00936838"/>
    <w:p w14:paraId="6FFC1308" w14:textId="77777777" w:rsidR="006C1563" w:rsidRPr="00936838" w:rsidRDefault="006C1563" w:rsidP="00936838"/>
    <w:p w14:paraId="34730967" w14:textId="77777777" w:rsidR="00072704" w:rsidRPr="007923C2" w:rsidRDefault="00072704" w:rsidP="00936838">
      <w:pPr>
        <w:pStyle w:val="Ttulo2"/>
        <w:jc w:val="both"/>
        <w:rPr>
          <w:rFonts w:ascii="Arial" w:hAnsi="Arial" w:cs="Arial"/>
          <w:color w:val="auto"/>
          <w:sz w:val="22"/>
          <w:szCs w:val="22"/>
        </w:rPr>
      </w:pPr>
      <w:r w:rsidRPr="007923C2">
        <w:rPr>
          <w:rStyle w:val="Textoennegrita"/>
          <w:rFonts w:ascii="Arial" w:hAnsi="Arial" w:cs="Arial"/>
          <w:b w:val="0"/>
          <w:color w:val="auto"/>
          <w:sz w:val="22"/>
          <w:szCs w:val="22"/>
        </w:rPr>
        <w:t>Antecedentes</w:t>
      </w:r>
      <w:r w:rsidRPr="007923C2">
        <w:rPr>
          <w:rFonts w:ascii="Arial" w:hAnsi="Arial" w:cs="Arial"/>
          <w:sz w:val="22"/>
          <w:szCs w:val="22"/>
        </w:rPr>
        <w:br/>
      </w:r>
      <w:r w:rsidRPr="007923C2">
        <w:rPr>
          <w:rFonts w:ascii="Arial" w:hAnsi="Arial" w:cs="Arial"/>
          <w:color w:val="auto"/>
          <w:sz w:val="22"/>
          <w:szCs w:val="22"/>
        </w:rPr>
        <w:t>Es ampliamente aceptado que la agricultura orgánica favorece el mejoramiento de la seguridad alimentaria y el alivio de la pobreza, mediante la creación proactiva de nuevos mercados locales y de exportación y el impulso al desarrollo rural sostenible a partir del empoderamiento de los agricultores y sus organizaciones. Los sistemas de producción orgánica son especialmente adecuados para los pequeños agricultores porque dependen del uso sostenible de los recursos locales y de los conocimientos tradicionales y las redes sociales de los productores. La transición a la agricultura orgánica también genera beneficios para la salud de los consumidores y contribuye a la conservación de la biodiversidad y la mitigación del cambio climático. La seguridad alimentaria como prioridad para este tipo de agricultura también implica posibilitar el empoderamiento de las mujeres, dado que desempeñan una función central en relación con el nivel nutricional de los hogares (IFOAM, 2009). El FIDA también reconoce los beneficios ecológicos, sociales y económicos de la agricultura orgánica.</w:t>
      </w:r>
    </w:p>
    <w:p w14:paraId="3C3C72AF" w14:textId="77777777" w:rsidR="00072704" w:rsidRPr="007923C2" w:rsidRDefault="00072704" w:rsidP="00072704">
      <w:pPr>
        <w:pStyle w:val="NormalWeb"/>
        <w:rPr>
          <w:rFonts w:ascii="Arial" w:hAnsi="Arial" w:cs="Arial"/>
          <w:color w:val="auto"/>
          <w:sz w:val="22"/>
          <w:szCs w:val="22"/>
        </w:rPr>
      </w:pPr>
      <w:r w:rsidRPr="007923C2">
        <w:rPr>
          <w:rStyle w:val="Textoennegrita"/>
          <w:rFonts w:ascii="Arial" w:eastAsia="SimSun" w:hAnsi="Arial" w:cs="Arial"/>
          <w:bCs/>
          <w:color w:val="auto"/>
          <w:sz w:val="22"/>
          <w:szCs w:val="22"/>
        </w:rPr>
        <w:t>Definición de agricultura orgánica de la IFOAM</w:t>
      </w:r>
    </w:p>
    <w:p w14:paraId="76087B3D" w14:textId="77777777" w:rsidR="00072704" w:rsidRPr="007923C2" w:rsidRDefault="00072704" w:rsidP="00295B33">
      <w:pPr>
        <w:pStyle w:val="NormalWeb"/>
        <w:jc w:val="both"/>
        <w:rPr>
          <w:rFonts w:ascii="Arial" w:hAnsi="Arial" w:cs="Arial"/>
          <w:color w:val="auto"/>
          <w:sz w:val="22"/>
          <w:szCs w:val="22"/>
        </w:rPr>
      </w:pPr>
      <w:r w:rsidRPr="007923C2">
        <w:rPr>
          <w:rFonts w:ascii="Arial" w:hAnsi="Arial" w:cs="Arial"/>
          <w:color w:val="auto"/>
          <w:sz w:val="22"/>
          <w:szCs w:val="22"/>
        </w:rPr>
        <w:t xml:space="preserve">Un </w:t>
      </w:r>
      <w:hyperlink r:id="rId108" w:history="1">
        <w:r w:rsidRPr="007923C2">
          <w:rPr>
            <w:rStyle w:val="Hipervnculo"/>
            <w:rFonts w:ascii="Arial" w:eastAsia="SimSun" w:hAnsi="Arial" w:cs="Arial"/>
            <w:color w:val="auto"/>
            <w:sz w:val="22"/>
            <w:szCs w:val="22"/>
          </w:rPr>
          <w:t>sistema de producción</w:t>
        </w:r>
      </w:hyperlink>
      <w:r w:rsidRPr="007923C2">
        <w:rPr>
          <w:rFonts w:ascii="Arial" w:hAnsi="Arial" w:cs="Arial"/>
          <w:color w:val="auto"/>
          <w:sz w:val="22"/>
          <w:szCs w:val="22"/>
        </w:rPr>
        <w:t xml:space="preserve"> que mantiene y mejora la salud de los suelos, los ecosistemas y las personas. Se basa fundamentalmente en los procesos ecológicos, la biodiversidad y los ciclos adaptados a las condiciones locales, sin usar insumos que tengan efectos adversos. La agricultura orgánica combina tradición, innovación y ciencia para favorecer el medio ambiente que compartimos y promover relaciones justas y una buena calidad de vida para todos los que participan en ella. </w:t>
      </w:r>
    </w:p>
    <w:p w14:paraId="3E6CC0EE" w14:textId="77777777" w:rsidR="00072704" w:rsidRPr="007923C2" w:rsidRDefault="00072704" w:rsidP="00295B33">
      <w:pPr>
        <w:pStyle w:val="NormalWeb"/>
        <w:jc w:val="both"/>
        <w:rPr>
          <w:rFonts w:ascii="Arial" w:hAnsi="Arial" w:cs="Arial"/>
          <w:color w:val="auto"/>
          <w:sz w:val="22"/>
          <w:szCs w:val="22"/>
        </w:rPr>
      </w:pPr>
      <w:r w:rsidRPr="007923C2">
        <w:rPr>
          <w:rFonts w:ascii="Arial" w:hAnsi="Arial" w:cs="Arial"/>
          <w:color w:val="auto"/>
          <w:sz w:val="22"/>
          <w:szCs w:val="22"/>
        </w:rPr>
        <w:t xml:space="preserve">Las organizaciones de agricultores dedicados a la agricultura orgánica constituyen la fuerza motora que impulsa el desarrollo del sector orgánico en todo el mundo. Ellas son las que conducen a los agricultores a adoptar sistemas agrícolas sostenibles que a menudo permiten recuperar suelos degradados e improductivos, les prestan servicios de asesoramiento y certificación y los ayudan a establecer vínculos con los mercados. Estas organizaciones también ofrecen una plataforma para el establecimiento de redes y el intercambio de </w:t>
      </w:r>
      <w:r w:rsidR="004E371F" w:rsidRPr="007923C2">
        <w:rPr>
          <w:rFonts w:ascii="Arial" w:hAnsi="Arial" w:cs="Arial"/>
          <w:color w:val="auto"/>
          <w:sz w:val="22"/>
          <w:szCs w:val="22"/>
        </w:rPr>
        <w:t>C</w:t>
      </w:r>
      <w:r w:rsidRPr="007923C2">
        <w:rPr>
          <w:rFonts w:ascii="Arial" w:hAnsi="Arial" w:cs="Arial"/>
          <w:color w:val="auto"/>
          <w:sz w:val="22"/>
          <w:szCs w:val="22"/>
        </w:rPr>
        <w:t xml:space="preserve">onocimientos, además de la promoción de enfoques de extensión y una investigación agrícola impulsados por los agricultores. Muchas de ellas fueron responsables de establecer las primeras normas para la agricultura orgánica y de supervisar la formulación de los reglamentos gubernamentales aplicados en esta actividad. Además, luchan por mejorar el acceso a los mercados mundiales, especialmente para los productores de los países en desarrollo. En consecuencia, muchas organizaciones de agricultores orgánicos han generado una amplia base de conocimientos de las ciencias ecológicas, en la cual se funda todo el proceso desde la producción hasta la legislación vinculada al mercado. Sus conocimientos son los que permiten que </w:t>
      </w:r>
      <w:r w:rsidRPr="007923C2">
        <w:rPr>
          <w:rFonts w:ascii="Arial" w:hAnsi="Arial" w:cs="Arial"/>
          <w:color w:val="auto"/>
          <w:sz w:val="22"/>
          <w:szCs w:val="22"/>
        </w:rPr>
        <w:lastRenderedPageBreak/>
        <w:t xml:space="preserve">los alimentos y los sistemas de producción agrícola alternativos del mundo funcionen, mejoren y se amplíen. </w:t>
      </w:r>
    </w:p>
    <w:p w14:paraId="6D324858" w14:textId="77777777" w:rsidR="00072704" w:rsidRPr="007923C2" w:rsidRDefault="00072704" w:rsidP="00295B33">
      <w:pPr>
        <w:pStyle w:val="NormalWeb"/>
        <w:jc w:val="both"/>
        <w:rPr>
          <w:rFonts w:ascii="Arial" w:hAnsi="Arial" w:cs="Arial"/>
          <w:color w:val="auto"/>
          <w:sz w:val="22"/>
          <w:szCs w:val="22"/>
        </w:rPr>
      </w:pPr>
      <w:r w:rsidRPr="007923C2">
        <w:rPr>
          <w:rFonts w:ascii="Arial" w:hAnsi="Arial" w:cs="Arial"/>
          <w:color w:val="auto"/>
          <w:sz w:val="22"/>
          <w:szCs w:val="22"/>
        </w:rPr>
        <w:t xml:space="preserve">En 2009, las organizaciones integrantes de la IFOAM establecieron su propia red profesional internacional, la </w:t>
      </w:r>
      <w:r w:rsidRPr="007923C2">
        <w:rPr>
          <w:rStyle w:val="Textoennegrita"/>
          <w:rFonts w:ascii="Arial" w:eastAsia="SimSun" w:hAnsi="Arial" w:cs="Arial"/>
          <w:bCs/>
          <w:color w:val="auto"/>
          <w:sz w:val="22"/>
          <w:szCs w:val="22"/>
        </w:rPr>
        <w:t xml:space="preserve">Red Intercontinental de Organizaciones de Agricultores Orgánicos </w:t>
      </w:r>
      <w:r w:rsidRPr="007923C2">
        <w:rPr>
          <w:rFonts w:ascii="Arial" w:hAnsi="Arial" w:cs="Arial"/>
          <w:color w:val="auto"/>
          <w:sz w:val="22"/>
          <w:szCs w:val="22"/>
        </w:rPr>
        <w:t xml:space="preserve">(INOFO), conformada por miembros procedentes de todos los continentes. La INOFO ofrece una plataforma para facilitar el intercambio de información y la realización de consultas entre las organizaciones de productores orgánicos, permitiéndoles así adoptar posturas comunes sobre las cuestiones que interesan a todos y fortalecer su capacidad para participar en las actividades de presión y de diálogo sobre políticas. El empeño de la IFOAM y la INOFO por difundir los sistemas de certificación alternativos de bajo costo —conocidos como “sistemas de garantía participativa”— han conducido al rápido aumento del número de organizaciones de base de productores orgánicos, en particular en los países en desarrollo donde miles de agricultores pobres ahora pueden obtener fácilmente la certificación orgánica. </w:t>
      </w:r>
    </w:p>
    <w:p w14:paraId="3D0E48A9" w14:textId="77777777" w:rsidR="00072704" w:rsidRPr="007923C2" w:rsidRDefault="00072704" w:rsidP="00295B33">
      <w:pPr>
        <w:pStyle w:val="NormalWeb"/>
        <w:jc w:val="both"/>
        <w:rPr>
          <w:rStyle w:val="Textoennegrita"/>
          <w:rFonts w:ascii="Arial" w:eastAsia="SimSun" w:hAnsi="Arial" w:cs="Arial"/>
          <w:bCs/>
          <w:color w:val="auto"/>
          <w:sz w:val="22"/>
          <w:szCs w:val="22"/>
        </w:rPr>
      </w:pPr>
      <w:r w:rsidRPr="007923C2">
        <w:rPr>
          <w:rFonts w:ascii="Arial" w:hAnsi="Arial" w:cs="Arial"/>
          <w:color w:val="auto"/>
          <w:sz w:val="22"/>
          <w:szCs w:val="22"/>
        </w:rPr>
        <w:t xml:space="preserve">Dados los numerosos beneficios de este tipo de agricultura, la IFOAM y la INOFO están colaborando con asociados de dentro y fuera del movimiento para poner esos beneficios al alcance de más productores, incrementar el uso de la agricultura orgánica como modelo de desarrollo, y fomentar el establecimiento de vínculos favorables a los pobres con los mercados. </w:t>
      </w:r>
    </w:p>
    <w:p w14:paraId="68065C6D" w14:textId="77777777" w:rsidR="00072704" w:rsidRPr="007923C2" w:rsidRDefault="00072704" w:rsidP="00072704">
      <w:pPr>
        <w:pStyle w:val="NormalWeb"/>
        <w:rPr>
          <w:rFonts w:ascii="Arial" w:hAnsi="Arial" w:cs="Arial"/>
          <w:color w:val="auto"/>
          <w:sz w:val="22"/>
          <w:szCs w:val="22"/>
        </w:rPr>
      </w:pPr>
      <w:r w:rsidRPr="007923C2">
        <w:rPr>
          <w:rStyle w:val="Textoennegrita"/>
          <w:rFonts w:ascii="Arial" w:eastAsia="SimSun" w:hAnsi="Arial" w:cs="Arial"/>
          <w:bCs/>
          <w:color w:val="auto"/>
          <w:sz w:val="22"/>
          <w:szCs w:val="22"/>
        </w:rPr>
        <w:t xml:space="preserve">Objetivos de la actividad </w:t>
      </w:r>
    </w:p>
    <w:p w14:paraId="5714A40D" w14:textId="77777777" w:rsidR="00072704" w:rsidRPr="007923C2" w:rsidRDefault="00072704" w:rsidP="00072704">
      <w:pPr>
        <w:pStyle w:val="NormalWeb"/>
        <w:rPr>
          <w:rFonts w:ascii="Arial" w:hAnsi="Arial" w:cs="Arial"/>
          <w:color w:val="auto"/>
          <w:sz w:val="22"/>
          <w:szCs w:val="22"/>
        </w:rPr>
      </w:pPr>
      <w:r w:rsidRPr="007923C2">
        <w:rPr>
          <w:rFonts w:ascii="Arial" w:hAnsi="Arial" w:cs="Arial"/>
          <w:color w:val="auto"/>
          <w:sz w:val="22"/>
          <w:szCs w:val="22"/>
        </w:rPr>
        <w:t>Los principales objetivos de esta actividad paralela son los siguientes:</w:t>
      </w:r>
    </w:p>
    <w:p w14:paraId="4DE67A7D" w14:textId="77777777" w:rsidR="00072704" w:rsidRPr="007923C2" w:rsidRDefault="00072704" w:rsidP="00295B33">
      <w:pPr>
        <w:spacing w:before="100" w:beforeAutospacing="1" w:after="100" w:afterAutospacing="1" w:line="240" w:lineRule="atLeast"/>
        <w:jc w:val="both"/>
        <w:rPr>
          <w:rFonts w:ascii="Arial" w:hAnsi="Arial" w:cs="Arial"/>
          <w:sz w:val="22"/>
          <w:szCs w:val="22"/>
        </w:rPr>
      </w:pPr>
      <w:r w:rsidRPr="007923C2">
        <w:rPr>
          <w:rFonts w:ascii="Arial" w:hAnsi="Arial" w:cs="Arial"/>
          <w:sz w:val="22"/>
          <w:szCs w:val="22"/>
        </w:rPr>
        <w:t>Presentar el cometido de la red INOFO impulsada por la IFOAM, y analizar las limitaciones y oportunidades que enfrenta para convertirse en una organización inclusiva y madura con capacidad para prestar apoyo a sus miembros y representar sus intereses a través de asociaciones estratégicas, actividades de presión y diálogo sobre políticas;</w:t>
      </w:r>
    </w:p>
    <w:p w14:paraId="1DF5D93D" w14:textId="77777777" w:rsidR="00072704" w:rsidRPr="007923C2" w:rsidRDefault="00072704" w:rsidP="00295B33">
      <w:pPr>
        <w:spacing w:before="100" w:beforeAutospacing="1" w:after="100" w:afterAutospacing="1" w:line="240" w:lineRule="atLeast"/>
        <w:jc w:val="both"/>
        <w:rPr>
          <w:rFonts w:ascii="Arial" w:hAnsi="Arial" w:cs="Arial"/>
          <w:sz w:val="22"/>
          <w:szCs w:val="22"/>
        </w:rPr>
      </w:pPr>
      <w:r w:rsidRPr="007923C2">
        <w:rPr>
          <w:rFonts w:ascii="Arial" w:hAnsi="Arial" w:cs="Arial"/>
          <w:sz w:val="22"/>
          <w:szCs w:val="22"/>
        </w:rPr>
        <w:t>Intercambiar conocimientos con los participantes (entre ellos, los dirigentes de organizaciones de base del Sur y del Norte, representantes del FIDA y otros asociados pertinentes) sobre los enfoques fructíferos que utilizan las organizaciones de productores orgánicos a fin de empoderar a las mujeres, los hombres y los jóvenes dedicados a la agricultura y promover el desarrollo rural sostenible.</w:t>
      </w:r>
    </w:p>
    <w:p w14:paraId="7B9BCC1A" w14:textId="77777777" w:rsidR="00072704" w:rsidRPr="007923C2" w:rsidRDefault="00072704" w:rsidP="00072704">
      <w:pPr>
        <w:pStyle w:val="NormalWeb"/>
        <w:rPr>
          <w:rFonts w:ascii="Arial" w:hAnsi="Arial" w:cs="Arial"/>
          <w:color w:val="auto"/>
          <w:sz w:val="22"/>
          <w:szCs w:val="22"/>
        </w:rPr>
      </w:pPr>
      <w:r w:rsidRPr="007923C2">
        <w:rPr>
          <w:rStyle w:val="Textoennegrita"/>
          <w:rFonts w:ascii="Arial" w:eastAsia="SimSun" w:hAnsi="Arial" w:cs="Arial"/>
          <w:bCs/>
          <w:color w:val="auto"/>
          <w:sz w:val="22"/>
          <w:szCs w:val="22"/>
        </w:rPr>
        <w:t xml:space="preserve">Resultados previstos </w:t>
      </w:r>
    </w:p>
    <w:p w14:paraId="22F20492" w14:textId="77777777" w:rsidR="00072704" w:rsidRPr="007923C2" w:rsidRDefault="00072704" w:rsidP="00295B33">
      <w:pPr>
        <w:spacing w:before="100" w:beforeAutospacing="1" w:after="100" w:afterAutospacing="1" w:line="240" w:lineRule="atLeast"/>
        <w:jc w:val="both"/>
        <w:rPr>
          <w:rFonts w:ascii="Arial" w:hAnsi="Arial" w:cs="Arial"/>
          <w:sz w:val="22"/>
          <w:szCs w:val="22"/>
        </w:rPr>
      </w:pPr>
      <w:r w:rsidRPr="007923C2">
        <w:rPr>
          <w:rFonts w:ascii="Arial" w:hAnsi="Arial" w:cs="Arial"/>
          <w:sz w:val="22"/>
          <w:szCs w:val="22"/>
        </w:rPr>
        <w:t xml:space="preserve">Mayor consciencia entre los participantes del Foro Campesino respecto al papel que desempeñan las organizaciones de agricultores orgánicos en el empoderamiento de los productores y la promoción de un desarrollo rural sostenible, que tenga el bienestar de las personas como centro y respete la biodiversidad; </w:t>
      </w:r>
    </w:p>
    <w:p w14:paraId="39A62A15" w14:textId="77777777" w:rsidR="00072704" w:rsidRPr="007923C2" w:rsidRDefault="00072704" w:rsidP="00295B33">
      <w:pPr>
        <w:spacing w:before="100" w:beforeAutospacing="1" w:after="100" w:afterAutospacing="1" w:line="240" w:lineRule="atLeast"/>
        <w:jc w:val="both"/>
        <w:rPr>
          <w:rFonts w:ascii="Arial" w:hAnsi="Arial" w:cs="Arial"/>
          <w:sz w:val="22"/>
          <w:szCs w:val="22"/>
        </w:rPr>
      </w:pPr>
      <w:r w:rsidRPr="007923C2">
        <w:rPr>
          <w:rFonts w:ascii="Arial" w:hAnsi="Arial" w:cs="Arial"/>
          <w:sz w:val="22"/>
          <w:szCs w:val="22"/>
        </w:rPr>
        <w:t xml:space="preserve">Recomendaciones sobre cómo fortalecer la capacidad de las organizaciones de agricultores orgánicos y la red INOFO respaldada por la IFOAM para: i) prestar servicios a sus miembros (por ejemplo, de control de calidad en los sistemas de certificación, para establecer vínculos con los mercados, de investigación, de extensión, para el establecimiento de redes); ii) incorporar la agricultura orgánica en las estrategias y prácticas de desarrollo rural, incluso en relación con las </w:t>
      </w:r>
      <w:r w:rsidR="004A694A" w:rsidRPr="007923C2">
        <w:rPr>
          <w:rFonts w:ascii="Arial" w:hAnsi="Arial" w:cs="Arial"/>
          <w:sz w:val="22"/>
          <w:szCs w:val="22"/>
        </w:rPr>
        <w:t>or</w:t>
      </w:r>
      <w:r w:rsidRPr="007923C2">
        <w:rPr>
          <w:rFonts w:ascii="Arial" w:hAnsi="Arial" w:cs="Arial"/>
          <w:sz w:val="22"/>
          <w:szCs w:val="22"/>
        </w:rPr>
        <w:t xml:space="preserve">ganizaciones de </w:t>
      </w:r>
      <w:r w:rsidRPr="007923C2">
        <w:rPr>
          <w:rFonts w:ascii="Arial" w:hAnsi="Arial" w:cs="Arial"/>
          <w:sz w:val="22"/>
          <w:szCs w:val="22"/>
        </w:rPr>
        <w:lastRenderedPageBreak/>
        <w:t>agricultores no orgánicos; iii) fortalecer las alianzas estratégicas con organizaciones asociadas y ampliar sus redes; Recomendaciones sobre cómo fomentar la colaboración entre las organizaciones de agricultores orgánicos y el FIDA, en proyectos de desarrollo rural.</w:t>
      </w:r>
    </w:p>
    <w:p w14:paraId="36A947B0" w14:textId="77777777" w:rsidR="00072704" w:rsidRPr="007923C2" w:rsidRDefault="00072704" w:rsidP="00936838">
      <w:pPr>
        <w:pStyle w:val="Pa1"/>
        <w:spacing w:after="160"/>
        <w:rPr>
          <w:rFonts w:ascii="Arial" w:hAnsi="Arial" w:cs="Arial"/>
          <w:sz w:val="22"/>
          <w:szCs w:val="22"/>
        </w:rPr>
      </w:pPr>
      <w:r w:rsidRPr="007923C2">
        <w:rPr>
          <w:rStyle w:val="A2"/>
          <w:rFonts w:ascii="Arial" w:hAnsi="Arial" w:cs="Arial"/>
          <w:b/>
          <w:bCs/>
          <w:sz w:val="22"/>
          <w:szCs w:val="22"/>
        </w:rPr>
        <w:t xml:space="preserve">AÑO INTERNACIONAL DE LAS COOPERATIVAS SERIE DE INFORMES TEMÁTICOS </w:t>
      </w:r>
    </w:p>
    <w:p w14:paraId="172FFF89" w14:textId="77777777" w:rsidR="00072704" w:rsidRDefault="00072704" w:rsidP="00295B33">
      <w:pPr>
        <w:pStyle w:val="Default"/>
        <w:jc w:val="both"/>
        <w:rPr>
          <w:rStyle w:val="A2"/>
          <w:rFonts w:ascii="Arial" w:hAnsi="Arial" w:cs="Arial"/>
          <w:sz w:val="22"/>
          <w:szCs w:val="22"/>
        </w:rPr>
      </w:pPr>
      <w:r w:rsidRPr="007923C2">
        <w:rPr>
          <w:rStyle w:val="A0"/>
          <w:rFonts w:ascii="Arial" w:hAnsi="Arial" w:cs="Arial"/>
          <w:color w:val="auto"/>
          <w:sz w:val="22"/>
          <w:szCs w:val="22"/>
        </w:rPr>
        <w:t xml:space="preserve">Hacia organizaciones de productores autosuficientes y orientadas al mercado </w:t>
      </w:r>
      <w:r w:rsidRPr="007923C2">
        <w:rPr>
          <w:rStyle w:val="A3"/>
          <w:rFonts w:ascii="Arial" w:hAnsi="Arial" w:cs="Arial"/>
          <w:color w:val="auto"/>
          <w:sz w:val="22"/>
          <w:szCs w:val="22"/>
        </w:rPr>
        <w:t xml:space="preserve">FAO/Jim lmes, </w:t>
      </w:r>
      <w:r w:rsidR="00102836" w:rsidRPr="007923C2">
        <w:rPr>
          <w:rStyle w:val="A3"/>
          <w:rFonts w:ascii="Arial" w:hAnsi="Arial" w:cs="Arial"/>
          <w:color w:val="auto"/>
          <w:sz w:val="22"/>
          <w:szCs w:val="22"/>
        </w:rPr>
        <w:t>F</w:t>
      </w:r>
      <w:r w:rsidRPr="007923C2">
        <w:rPr>
          <w:rStyle w:val="A3"/>
          <w:rFonts w:ascii="Arial" w:hAnsi="Arial" w:cs="Arial"/>
          <w:color w:val="auto"/>
          <w:sz w:val="22"/>
          <w:szCs w:val="22"/>
        </w:rPr>
        <w:t xml:space="preserve">AO/Ami Vitale, ©FAO/Dan White </w:t>
      </w:r>
      <w:r w:rsidRPr="007923C2">
        <w:rPr>
          <w:rStyle w:val="A2"/>
          <w:rFonts w:ascii="Arial" w:hAnsi="Arial" w:cs="Arial"/>
          <w:color w:val="auto"/>
          <w:sz w:val="22"/>
          <w:szCs w:val="22"/>
        </w:rPr>
        <w:t xml:space="preserve">Se espera que continúe el rápido crecimiento de la clase media de muchas regiones y países en desarrollo, impulsado por una mejora de la gobernanza y la política económica. Acompañado de políticas favorables a la actividad empresarial, el aumento de la población y la rápida urbanización (McKinsey Global Institute, 2011), este crecimiento sostenido de la demanda y el gasto de los consumidores significa que los mercados actuales ofrecen mejores oportunidades a los agricultores, entre ellos los pequeños agricultores. Sin embargo, a los pequeños productores les cuesta mantenerse al ritmo de las demandas de los nuevos mercados, que requieren mayor volumen, regularidad del suministro y mayor calidad, así que se encuentran en una situación de desventaja debido a sus altos costes de transacción y a su escaso poder de negociación. Las organizaciones de productores ofrecen a los pequeños productores un espacio para responder de manera colectiva a las crecientes demandas de la agricultura moderna. Las organizaciones de </w:t>
      </w:r>
      <w:r w:rsidRPr="007923C2">
        <w:rPr>
          <w:rStyle w:val="A2"/>
          <w:rFonts w:ascii="Arial" w:hAnsi="Arial" w:cs="Arial"/>
          <w:sz w:val="22"/>
          <w:szCs w:val="22"/>
        </w:rPr>
        <w:t>productores buscan de manera continuada nuevos medios de mejorar la competitividad de los pequeños productores mediante acciones conjuntas, tales como la compra de insumos al por mayor, la comercialización colectiva, la negociación del crédito y los contratos, así como la presión política a los responsables de la elaboración de políticas. En función del contexto local y la estructura del mercado y de los bienes básicos, se pueden adoptar distintos modelos organizativos de apoyo a la integración de los pequeños productores en los mercados.</w:t>
      </w:r>
    </w:p>
    <w:p w14:paraId="276AE105" w14:textId="77777777" w:rsidR="00936838" w:rsidRPr="007923C2" w:rsidRDefault="00936838" w:rsidP="00295B33">
      <w:pPr>
        <w:pStyle w:val="Default"/>
        <w:jc w:val="both"/>
        <w:rPr>
          <w:rFonts w:ascii="Arial" w:hAnsi="Arial" w:cs="Arial"/>
          <w:sz w:val="22"/>
          <w:szCs w:val="22"/>
        </w:rPr>
      </w:pPr>
    </w:p>
    <w:p w14:paraId="4A4743C6" w14:textId="77777777" w:rsidR="00072704" w:rsidRPr="007923C2" w:rsidRDefault="00072704" w:rsidP="00072704">
      <w:pPr>
        <w:pStyle w:val="Pa3"/>
        <w:spacing w:before="40"/>
        <w:jc w:val="both"/>
        <w:rPr>
          <w:rFonts w:ascii="Arial" w:hAnsi="Arial" w:cs="Arial"/>
          <w:sz w:val="22"/>
          <w:szCs w:val="22"/>
        </w:rPr>
      </w:pPr>
      <w:r w:rsidRPr="007923C2">
        <w:rPr>
          <w:rStyle w:val="A2"/>
          <w:rFonts w:ascii="Arial" w:hAnsi="Arial" w:cs="Arial"/>
          <w:sz w:val="22"/>
          <w:szCs w:val="22"/>
        </w:rPr>
        <w:t>La FAO viene trabajando con una serie de organizaciones de productores a nivel de federaciones y países en las regiones de África, el Caribe y el Pacífico (ACP)</w:t>
      </w:r>
      <w:r w:rsidRPr="007923C2">
        <w:rPr>
          <w:rStyle w:val="A4"/>
          <w:rFonts w:ascii="Arial" w:hAnsi="Arial" w:cs="Arial"/>
          <w:color w:val="auto"/>
          <w:sz w:val="22"/>
          <w:szCs w:val="22"/>
        </w:rPr>
        <w:t>3</w:t>
      </w:r>
      <w:r w:rsidRPr="007923C2">
        <w:rPr>
          <w:rStyle w:val="A2"/>
          <w:rFonts w:ascii="Arial" w:hAnsi="Arial" w:cs="Arial"/>
          <w:sz w:val="22"/>
          <w:szCs w:val="22"/>
        </w:rPr>
        <w:t xml:space="preserve">, para elaborar mecanismos institucionales que mejoren la participación equitativa de los </w:t>
      </w:r>
      <w:r w:rsidRPr="007923C2">
        <w:rPr>
          <w:rStyle w:val="A5"/>
          <w:rFonts w:ascii="Arial" w:hAnsi="Arial" w:cs="Arial"/>
          <w:b/>
          <w:bCs/>
          <w:sz w:val="22"/>
          <w:szCs w:val="22"/>
        </w:rPr>
        <w:t xml:space="preserve">1 </w:t>
      </w:r>
      <w:r w:rsidRPr="007923C2">
        <w:rPr>
          <w:rStyle w:val="A5"/>
          <w:rFonts w:ascii="Arial" w:hAnsi="Arial" w:cs="Arial"/>
          <w:sz w:val="22"/>
          <w:szCs w:val="22"/>
        </w:rPr>
        <w:t xml:space="preserve">Adaptado de FAO, 2012b. </w:t>
      </w:r>
    </w:p>
    <w:p w14:paraId="2AFFDD4B" w14:textId="77777777" w:rsidR="00072704" w:rsidRPr="007923C2" w:rsidRDefault="00072704" w:rsidP="00072704">
      <w:pPr>
        <w:pStyle w:val="Pa4"/>
        <w:spacing w:after="40"/>
        <w:rPr>
          <w:rFonts w:ascii="Arial" w:hAnsi="Arial" w:cs="Arial"/>
          <w:sz w:val="22"/>
          <w:szCs w:val="22"/>
        </w:rPr>
      </w:pPr>
      <w:r w:rsidRPr="007923C2">
        <w:rPr>
          <w:rStyle w:val="A5"/>
          <w:rFonts w:ascii="Arial" w:hAnsi="Arial" w:cs="Arial"/>
          <w:b/>
          <w:bCs/>
          <w:sz w:val="22"/>
          <w:szCs w:val="22"/>
        </w:rPr>
        <w:t xml:space="preserve">2 </w:t>
      </w:r>
      <w:r w:rsidRPr="007923C2">
        <w:rPr>
          <w:rStyle w:val="A5"/>
          <w:rFonts w:ascii="Arial" w:hAnsi="Arial" w:cs="Arial"/>
          <w:sz w:val="22"/>
          <w:szCs w:val="22"/>
        </w:rPr>
        <w:t xml:space="preserve">Ver Mangus y de Steenhuijsen Piters, 2010, capítulo 2, para obtener una visión detallada de varios modelos organizativos de mercados de pequeños productores. </w:t>
      </w:r>
    </w:p>
    <w:p w14:paraId="34D96255" w14:textId="77777777" w:rsidR="00072704" w:rsidRPr="007923C2" w:rsidRDefault="00072704" w:rsidP="00072704">
      <w:pPr>
        <w:widowControl w:val="0"/>
        <w:autoSpaceDE w:val="0"/>
        <w:autoSpaceDN w:val="0"/>
        <w:adjustRightInd w:val="0"/>
        <w:jc w:val="both"/>
        <w:rPr>
          <w:rFonts w:ascii="Arial" w:hAnsi="Arial" w:cs="Arial"/>
          <w:sz w:val="22"/>
          <w:szCs w:val="22"/>
        </w:rPr>
      </w:pPr>
      <w:r w:rsidRPr="007923C2">
        <w:rPr>
          <w:rStyle w:val="A5"/>
          <w:rFonts w:ascii="Arial" w:hAnsi="Arial" w:cs="Arial"/>
          <w:b/>
          <w:bCs/>
          <w:sz w:val="22"/>
          <w:szCs w:val="22"/>
        </w:rPr>
        <w:t xml:space="preserve">3 </w:t>
      </w:r>
      <w:r w:rsidRPr="007923C2">
        <w:rPr>
          <w:rStyle w:val="A5"/>
          <w:rFonts w:ascii="Arial" w:hAnsi="Arial" w:cs="Arial"/>
          <w:sz w:val="22"/>
          <w:szCs w:val="22"/>
        </w:rPr>
        <w:t xml:space="preserve">El conocimiento y los casos mencionados en este documento se basan en las actividades desarrolladas en el marco del Programa de productos básicos agrícolas en todos los países de la ACP, financiado por la UE, para integrar a los pequeños productores en las cadenas de valor en una serie de países de la ACP. www.euacpcommodities.eu/en y </w:t>
      </w:r>
      <w:hyperlink r:id="rId109" w:history="1">
        <w:r w:rsidRPr="007923C2">
          <w:rPr>
            <w:rStyle w:val="Hipervnculo"/>
            <w:rFonts w:ascii="Arial" w:eastAsia="SimSun" w:hAnsi="Arial" w:cs="Arial"/>
            <w:sz w:val="22"/>
            <w:szCs w:val="22"/>
          </w:rPr>
          <w:t>www.fao.org/economic/est/aaacp/en</w:t>
        </w:r>
      </w:hyperlink>
      <w:r w:rsidRPr="007923C2">
        <w:rPr>
          <w:rFonts w:ascii="Arial" w:hAnsi="Arial" w:cs="Arial"/>
          <w:sz w:val="22"/>
          <w:szCs w:val="22"/>
        </w:rPr>
        <w:t>trabajo han sido la identificación de factores clave para el éxito que refuercen modelos organizativos de pequeños productores y recomendaciones políticas que promuevan organizaciones de productores autosuficientes y orientadas al mercado.</w:t>
      </w:r>
    </w:p>
    <w:p w14:paraId="129E39CA" w14:textId="77777777" w:rsidR="00072704" w:rsidRPr="007923C2" w:rsidRDefault="00072704" w:rsidP="00072704">
      <w:pPr>
        <w:autoSpaceDE w:val="0"/>
        <w:autoSpaceDN w:val="0"/>
        <w:adjustRightInd w:val="0"/>
        <w:spacing w:before="220" w:after="160" w:line="321" w:lineRule="atLeast"/>
        <w:rPr>
          <w:rFonts w:ascii="Arial" w:hAnsi="Arial" w:cs="Arial"/>
          <w:sz w:val="22"/>
          <w:szCs w:val="22"/>
        </w:rPr>
      </w:pPr>
      <w:r w:rsidRPr="007923C2">
        <w:rPr>
          <w:rFonts w:ascii="Arial" w:hAnsi="Arial" w:cs="Arial"/>
          <w:sz w:val="22"/>
          <w:szCs w:val="22"/>
        </w:rPr>
        <w:t xml:space="preserve">Factores de éxito y casos de buenas prácticas </w:t>
      </w:r>
    </w:p>
    <w:p w14:paraId="5B1BA4DE" w14:textId="77777777" w:rsidR="00072704" w:rsidRPr="007923C2" w:rsidRDefault="00072704" w:rsidP="00936838">
      <w:pPr>
        <w:autoSpaceDE w:val="0"/>
        <w:autoSpaceDN w:val="0"/>
        <w:adjustRightInd w:val="0"/>
        <w:spacing w:after="0" w:line="240" w:lineRule="auto"/>
        <w:jc w:val="both"/>
        <w:rPr>
          <w:rFonts w:ascii="Arial" w:hAnsi="Arial" w:cs="Arial"/>
          <w:sz w:val="22"/>
          <w:szCs w:val="22"/>
        </w:rPr>
      </w:pPr>
      <w:r w:rsidRPr="007923C2">
        <w:rPr>
          <w:rFonts w:ascii="Arial" w:hAnsi="Arial" w:cs="Arial"/>
          <w:b/>
          <w:bCs/>
          <w:sz w:val="22"/>
          <w:szCs w:val="22"/>
        </w:rPr>
        <w:t xml:space="preserve">Buenos sistemas de gestión y liderazgo. </w:t>
      </w:r>
      <w:r w:rsidRPr="007923C2">
        <w:rPr>
          <w:rFonts w:ascii="Arial" w:hAnsi="Arial" w:cs="Arial"/>
          <w:sz w:val="22"/>
          <w:szCs w:val="22"/>
        </w:rPr>
        <w:t xml:space="preserve">El éxito de las organizaciones de productores depende en gran medida de un buen liderazgo, conocimiento de primera mano sobre los mercados de bienes básicos seleccionados, así como de un sistema operativo, financiero y de gestión transparente capaz de delegar tareas a personal con experiencia. Para esta buena práctica es fundamental contratar a personal profesional formado en materia de agronegocios en institutos técnicos y universidades de prestigio. El cuadro 1 describe un caso de éxito en Camerún. </w:t>
      </w:r>
    </w:p>
    <w:p w14:paraId="4E90B21D" w14:textId="77777777" w:rsidR="00072704" w:rsidRPr="007923C2" w:rsidRDefault="00072704" w:rsidP="00295B33">
      <w:pPr>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La cooperativa de agricultores del área de Konye (KONAFCOOP) en Camerún es una exitosa cooperativa de productores orientada al mercado con continuo crecimiento positivo y pago de bonificaciones a sus miembros de manera regular, debido en gran medida a su sistema de gestión </w:t>
      </w:r>
      <w:r w:rsidRPr="007923C2">
        <w:rPr>
          <w:rFonts w:ascii="Arial" w:hAnsi="Arial" w:cs="Arial"/>
          <w:sz w:val="22"/>
          <w:szCs w:val="22"/>
        </w:rPr>
        <w:lastRenderedPageBreak/>
        <w:t xml:space="preserve">eficiente y transparente. Para sostener la difusión de buenas prácticas similares entre otras cooperativas de Camerún, la FAO apoyó un programa de prácticas en la cooperativa, donde los becarios destacaron: i) los sistemas de contabilidad simples pero funcionales; ii) el personal cualificado; iii) la delegación eficaz de tareas durante la ausencia de personal directivo; y (iv) la desaprobación del nepotismo a la hora de contratar personal </w:t>
      </w:r>
    </w:p>
    <w:p w14:paraId="200DD7BB" w14:textId="77777777" w:rsidR="00072704" w:rsidRPr="007923C2" w:rsidRDefault="00072704" w:rsidP="00295B33">
      <w:pPr>
        <w:autoSpaceDE w:val="0"/>
        <w:autoSpaceDN w:val="0"/>
        <w:adjustRightInd w:val="0"/>
        <w:spacing w:after="0" w:line="240" w:lineRule="auto"/>
        <w:jc w:val="both"/>
        <w:rPr>
          <w:rFonts w:ascii="Arial" w:hAnsi="Arial" w:cs="Arial"/>
          <w:b/>
          <w:bCs/>
          <w:sz w:val="22"/>
          <w:szCs w:val="22"/>
        </w:rPr>
      </w:pPr>
      <w:r w:rsidRPr="007923C2">
        <w:rPr>
          <w:rFonts w:ascii="Arial" w:hAnsi="Arial" w:cs="Arial"/>
          <w:sz w:val="22"/>
          <w:szCs w:val="22"/>
        </w:rPr>
        <w:t xml:space="preserve">El enfoque de modelos de negocios inclusivos de la FAO promueve encuentros de negocios regulares entre organizaciones de productores y compradores, que han demostrado ser un instrumento simple, eficaz y de bajo coste. Los participantes del proyecto reconocen que estas reuniones permiten a organizaciones de productores y compradores ponerse de acuerdo en criterios de mercado importantes, mejorar el entendimiento por parte de los agricultores de los mercados seleccionados, así como el entendimiento por parte de los compradores sobre las limitaciones a las que se enfrentan los agricultores. La aplicación del enfoque de modelos de negocios inclusivos llevó a formalizar contratos con mejores condiciones comerciales para pequeños productores de 14 países de la ACP. </w:t>
      </w:r>
    </w:p>
    <w:p w14:paraId="4E19E891" w14:textId="77777777" w:rsidR="00072704" w:rsidRPr="007923C2" w:rsidRDefault="00072704" w:rsidP="00936838">
      <w:pPr>
        <w:autoSpaceDE w:val="0"/>
        <w:autoSpaceDN w:val="0"/>
        <w:adjustRightInd w:val="0"/>
        <w:spacing w:after="0" w:line="240" w:lineRule="auto"/>
        <w:jc w:val="both"/>
        <w:rPr>
          <w:rFonts w:ascii="Arial" w:hAnsi="Arial" w:cs="Arial"/>
          <w:sz w:val="22"/>
          <w:szCs w:val="22"/>
        </w:rPr>
      </w:pPr>
      <w:r w:rsidRPr="007923C2">
        <w:rPr>
          <w:rFonts w:ascii="Arial" w:hAnsi="Arial" w:cs="Arial"/>
          <w:b/>
          <w:bCs/>
          <w:sz w:val="22"/>
          <w:szCs w:val="22"/>
        </w:rPr>
        <w:t xml:space="preserve">Comprender las necesidades y los riesgos de las empresas de agronegocios. </w:t>
      </w:r>
      <w:r w:rsidRPr="007923C2">
        <w:rPr>
          <w:rFonts w:ascii="Arial" w:hAnsi="Arial" w:cs="Arial"/>
          <w:sz w:val="22"/>
          <w:szCs w:val="22"/>
        </w:rPr>
        <w:t>Los agronegocios se enfrentan a numerosos riesgos a la hora de adquirir productos de pequeños productores, que van desde la irregularidad de la calidad y la cantidad del suministro, a las ventas laterales y al riesgo para la reputación que conlleva la percepción pública de las explotaciones de pequeños productores. Como se describe en el cuadro 2, las organizaciones de productores contribuyen a minimizar estos riesgos al permanecer en continuo diálogo con los compradores y orientar a los pequeños productores para responder a las necesidades del mercado.</w:t>
      </w:r>
    </w:p>
    <w:p w14:paraId="52FBCF07" w14:textId="77777777" w:rsidR="00072704" w:rsidRPr="007923C2" w:rsidRDefault="00072704" w:rsidP="00295B33">
      <w:pPr>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Las asociaciones entre las cooperativas y las fábricas algodoneras en Kenia</w:t>
      </w:r>
    </w:p>
    <w:p w14:paraId="21421CE8" w14:textId="77777777" w:rsidR="00072704" w:rsidRPr="007923C2" w:rsidRDefault="00072704" w:rsidP="00295B33">
      <w:pPr>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se veían dificultadas por el mal funcionamiento de las cooperativas, que estaban plagadas de conflictos internos y luchas políticas. Los miembros también se veían afectados a causa del estigma político asociado al movimiento cooperativo de la época anterior a los ajustes estructurales. En consulta con los gobiernos locales, los grupos de comercialización de algodón de pequeños productores se organizaron de manera externa a estas estructuras, para evitar la asociación con grupos alineados políticamente. Los grupos elaboraron normas para los miembros acordes con sus propias necesidades y los requisitos de comercialización del algodón, con lo que contribuyeron de manera significativa a mejorar las relaciones entre pequeños productores y fabricantes. </w:t>
      </w:r>
    </w:p>
    <w:p w14:paraId="005BB033" w14:textId="77777777" w:rsidR="00072704" w:rsidRPr="007923C2" w:rsidRDefault="00072704" w:rsidP="00295B33">
      <w:pPr>
        <w:autoSpaceDE w:val="0"/>
        <w:autoSpaceDN w:val="0"/>
        <w:adjustRightInd w:val="0"/>
        <w:spacing w:after="160" w:line="240" w:lineRule="auto"/>
        <w:jc w:val="both"/>
        <w:rPr>
          <w:rFonts w:ascii="Arial" w:hAnsi="Arial" w:cs="Arial"/>
          <w:b/>
          <w:sz w:val="22"/>
          <w:szCs w:val="22"/>
        </w:rPr>
      </w:pPr>
      <w:r w:rsidRPr="007923C2">
        <w:rPr>
          <w:rFonts w:ascii="Arial" w:hAnsi="Arial" w:cs="Arial"/>
          <w:sz w:val="22"/>
          <w:szCs w:val="22"/>
        </w:rPr>
        <w:t>Las organizaciones de productores en Camerúnluchaban por competir en el área de su actividad principal: cultivar y abastecer racimos de frutas frescas de palma de aceite al mercado. En vez de eso, decidieron invertir en unidades de procesamiento de media escala para capitalizar en los elevados precios por litro de aceite en crudo y procesado durante la crisis alimentaria de 2007-2008. Sin embargo, un estudio de viabilidad apoyado por la FAO reveló que la rentabilidad de la inversión por kilo recolectado era mayor si los miembros de la organización de productores vendían sus productos crudos directamente a la industria de procesamiento. Como resultado de ello, las organizaciones de productores reorientaron su modelo de negocio para abastecer de racimos de frutas frescas a la industria e iniciar el diálogo con los compradores de fruta fresca.</w:t>
      </w:r>
    </w:p>
    <w:p w14:paraId="24490E70" w14:textId="77777777" w:rsidR="00072704" w:rsidRPr="007923C2" w:rsidRDefault="00072704" w:rsidP="0007270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4.2.2.6.- CONTAMINACIÓN DE AGUA, SUELO Y AIRE</w:t>
      </w:r>
    </w:p>
    <w:p w14:paraId="21BB9C81" w14:textId="77777777" w:rsidR="00072704" w:rsidRPr="007923C2" w:rsidRDefault="00072704" w:rsidP="00072704">
      <w:pPr>
        <w:spacing w:after="94"/>
        <w:jc w:val="both"/>
        <w:rPr>
          <w:rFonts w:ascii="Arial" w:hAnsi="Arial" w:cs="Arial"/>
          <w:sz w:val="22"/>
          <w:szCs w:val="22"/>
        </w:rPr>
      </w:pPr>
      <w:r w:rsidRPr="007923C2">
        <w:rPr>
          <w:rFonts w:ascii="Arial" w:hAnsi="Arial" w:cs="Arial"/>
          <w:b/>
          <w:bCs/>
          <w:sz w:val="22"/>
          <w:szCs w:val="22"/>
        </w:rPr>
        <w:t>Desarrollo sustentable</w:t>
      </w:r>
    </w:p>
    <w:p w14:paraId="356FD515" w14:textId="77777777" w:rsidR="00072704" w:rsidRPr="007923C2" w:rsidRDefault="00072704" w:rsidP="00295B33">
      <w:pPr>
        <w:spacing w:after="0" w:line="240" w:lineRule="auto"/>
        <w:jc w:val="both"/>
        <w:rPr>
          <w:rFonts w:ascii="Arial" w:hAnsi="Arial" w:cs="Arial"/>
          <w:sz w:val="22"/>
          <w:szCs w:val="22"/>
        </w:rPr>
      </w:pPr>
      <w:r w:rsidRPr="007923C2">
        <w:rPr>
          <w:rFonts w:ascii="Arial" w:hAnsi="Arial" w:cs="Arial"/>
          <w:sz w:val="22"/>
          <w:szCs w:val="22"/>
        </w:rPr>
        <w:t>Durante la última década, los efectos del cambio climático y la degradación ambiental se han intensificado. Las sequías, inundaciones y ciclones entre</w:t>
      </w:r>
      <w:r w:rsidRPr="007923C2">
        <w:rPr>
          <w:rFonts w:ascii="Arial" w:hAnsi="Arial" w:cs="Arial"/>
          <w:i/>
          <w:iCs/>
          <w:sz w:val="22"/>
          <w:szCs w:val="22"/>
        </w:rPr>
        <w:t> </w:t>
      </w:r>
      <w:r w:rsidRPr="007923C2">
        <w:rPr>
          <w:rFonts w:ascii="Arial" w:hAnsi="Arial" w:cs="Arial"/>
          <w:sz w:val="22"/>
          <w:szCs w:val="22"/>
        </w:rPr>
        <w:t>2000</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2010</w:t>
      </w:r>
      <w:r w:rsidRPr="007923C2">
        <w:rPr>
          <w:rFonts w:ascii="Arial" w:hAnsi="Arial" w:cs="Arial"/>
          <w:i/>
          <w:iCs/>
          <w:sz w:val="22"/>
          <w:szCs w:val="22"/>
        </w:rPr>
        <w:t> </w:t>
      </w:r>
      <w:r w:rsidRPr="007923C2">
        <w:rPr>
          <w:rFonts w:ascii="Arial" w:hAnsi="Arial" w:cs="Arial"/>
          <w:sz w:val="22"/>
          <w:szCs w:val="22"/>
        </w:rPr>
        <w:t>han</w:t>
      </w:r>
      <w:r w:rsidRPr="007923C2">
        <w:rPr>
          <w:rFonts w:ascii="Arial" w:hAnsi="Arial" w:cs="Arial"/>
          <w:i/>
          <w:iCs/>
          <w:sz w:val="22"/>
          <w:szCs w:val="22"/>
        </w:rPr>
        <w:t> </w:t>
      </w:r>
      <w:r w:rsidRPr="007923C2">
        <w:rPr>
          <w:rFonts w:ascii="Arial" w:hAnsi="Arial" w:cs="Arial"/>
          <w:sz w:val="22"/>
          <w:szCs w:val="22"/>
        </w:rPr>
        <w:t>ocasionado</w:t>
      </w:r>
      <w:r w:rsidRPr="007923C2">
        <w:rPr>
          <w:rFonts w:ascii="Arial" w:hAnsi="Arial" w:cs="Arial"/>
          <w:i/>
          <w:iCs/>
          <w:sz w:val="22"/>
          <w:szCs w:val="22"/>
        </w:rPr>
        <w:t> </w:t>
      </w:r>
      <w:r w:rsidRPr="007923C2">
        <w:rPr>
          <w:rFonts w:ascii="Arial" w:hAnsi="Arial" w:cs="Arial"/>
          <w:sz w:val="22"/>
          <w:szCs w:val="22"/>
        </w:rPr>
        <w:t>alrededor de 5,000 muertes, 13 millones de afectados y pérdidas económicas por 250,000 millones de pesos (mmp).</w:t>
      </w:r>
    </w:p>
    <w:p w14:paraId="1E4E66C4" w14:textId="77777777" w:rsidR="00072704" w:rsidRPr="007923C2" w:rsidRDefault="00072704" w:rsidP="00295B33">
      <w:pPr>
        <w:spacing w:after="0" w:line="240" w:lineRule="auto"/>
        <w:jc w:val="both"/>
        <w:rPr>
          <w:rFonts w:ascii="Arial" w:hAnsi="Arial" w:cs="Arial"/>
          <w:sz w:val="22"/>
          <w:szCs w:val="22"/>
        </w:rPr>
      </w:pPr>
      <w:r w:rsidRPr="007923C2">
        <w:rPr>
          <w:rFonts w:ascii="Arial" w:hAnsi="Arial" w:cs="Arial"/>
          <w:sz w:val="22"/>
          <w:szCs w:val="22"/>
        </w:rPr>
        <w:t>El mundo comienza a reducir la dependencia que tiene de los combustibles fósiles con el impulso del</w:t>
      </w:r>
      <w:r w:rsidRPr="007923C2">
        <w:rPr>
          <w:rFonts w:ascii="Arial" w:hAnsi="Arial" w:cs="Arial"/>
          <w:i/>
          <w:iCs/>
          <w:sz w:val="22"/>
          <w:szCs w:val="22"/>
        </w:rPr>
        <w:t> </w:t>
      </w:r>
      <w:r w:rsidRPr="007923C2">
        <w:rPr>
          <w:rFonts w:ascii="Arial" w:hAnsi="Arial" w:cs="Arial"/>
          <w:sz w:val="22"/>
          <w:szCs w:val="22"/>
        </w:rPr>
        <w:t>uso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fuentes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energía</w:t>
      </w:r>
      <w:r w:rsidRPr="007923C2">
        <w:rPr>
          <w:rFonts w:ascii="Arial" w:hAnsi="Arial" w:cs="Arial"/>
          <w:i/>
          <w:iCs/>
          <w:sz w:val="22"/>
          <w:szCs w:val="22"/>
        </w:rPr>
        <w:t> </w:t>
      </w:r>
      <w:r w:rsidRPr="007923C2">
        <w:rPr>
          <w:rFonts w:ascii="Arial" w:hAnsi="Arial" w:cs="Arial"/>
          <w:sz w:val="22"/>
          <w:szCs w:val="22"/>
        </w:rPr>
        <w:t>alternativas,</w:t>
      </w:r>
      <w:r w:rsidRPr="007923C2">
        <w:rPr>
          <w:rFonts w:ascii="Arial" w:hAnsi="Arial" w:cs="Arial"/>
          <w:i/>
          <w:iCs/>
          <w:sz w:val="22"/>
          <w:szCs w:val="22"/>
        </w:rPr>
        <w:t> </w:t>
      </w:r>
      <w:r w:rsidRPr="007923C2">
        <w:rPr>
          <w:rFonts w:ascii="Arial" w:hAnsi="Arial" w:cs="Arial"/>
          <w:sz w:val="22"/>
          <w:szCs w:val="22"/>
        </w:rPr>
        <w:t>lo que</w:t>
      </w:r>
      <w:r w:rsidRPr="007923C2">
        <w:rPr>
          <w:rFonts w:ascii="Arial" w:hAnsi="Arial" w:cs="Arial"/>
          <w:i/>
          <w:iCs/>
          <w:sz w:val="22"/>
          <w:szCs w:val="22"/>
        </w:rPr>
        <w:t> </w:t>
      </w:r>
      <w:r w:rsidRPr="007923C2">
        <w:rPr>
          <w:rFonts w:ascii="Arial" w:hAnsi="Arial" w:cs="Arial"/>
          <w:sz w:val="22"/>
          <w:szCs w:val="22"/>
        </w:rPr>
        <w:t>ha</w:t>
      </w:r>
      <w:r w:rsidRPr="007923C2">
        <w:rPr>
          <w:rFonts w:ascii="Arial" w:hAnsi="Arial" w:cs="Arial"/>
          <w:i/>
          <w:iCs/>
          <w:sz w:val="22"/>
          <w:szCs w:val="22"/>
        </w:rPr>
        <w:t> </w:t>
      </w:r>
      <w:r w:rsidRPr="007923C2">
        <w:rPr>
          <w:rFonts w:ascii="Arial" w:hAnsi="Arial" w:cs="Arial"/>
          <w:sz w:val="22"/>
          <w:szCs w:val="22"/>
        </w:rPr>
        <w:t>fomentado</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innovación</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mercado de tecnologías, tanto en el campo de la energía como en el aprovechamiento sustentable de los recursos naturales. Hoy, existe un reconocimiento por parte de la sociedad acerca de que la conservación del capital natural y sus bienes y servicios ambientales, son un elemento clave para el desarrollo de los países y el nivel de bienestar de la población.</w:t>
      </w:r>
    </w:p>
    <w:p w14:paraId="40C92267" w14:textId="77777777" w:rsidR="00072704" w:rsidRPr="007923C2" w:rsidRDefault="00072704" w:rsidP="00295B33">
      <w:pPr>
        <w:spacing w:after="0" w:line="240" w:lineRule="auto"/>
        <w:jc w:val="both"/>
        <w:rPr>
          <w:rFonts w:ascii="Arial" w:hAnsi="Arial" w:cs="Arial"/>
          <w:sz w:val="22"/>
          <w:szCs w:val="22"/>
        </w:rPr>
      </w:pPr>
      <w:r w:rsidRPr="007923C2">
        <w:rPr>
          <w:rFonts w:ascii="Arial" w:hAnsi="Arial" w:cs="Arial"/>
          <w:sz w:val="22"/>
          <w:szCs w:val="22"/>
        </w:rPr>
        <w:lastRenderedPageBreak/>
        <w:t>En este sentido, México ha demostrado un gran compromiso con la agenda internacional de medio ambiente y desarrollo sustentable, y participa en más de 90 acuerdos y protocolos vigentes, siendo</w:t>
      </w:r>
      <w:r w:rsidRPr="007923C2">
        <w:rPr>
          <w:rFonts w:ascii="Arial" w:hAnsi="Arial" w:cs="Arial"/>
          <w:i/>
          <w:iCs/>
          <w:sz w:val="22"/>
          <w:szCs w:val="22"/>
        </w:rPr>
        <w:t> </w:t>
      </w:r>
      <w:r w:rsidRPr="007923C2">
        <w:rPr>
          <w:rFonts w:ascii="Arial" w:hAnsi="Arial" w:cs="Arial"/>
          <w:sz w:val="22"/>
          <w:szCs w:val="22"/>
        </w:rPr>
        <w:t>líder</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temas</w:t>
      </w:r>
      <w:r w:rsidRPr="007923C2">
        <w:rPr>
          <w:rFonts w:ascii="Arial" w:hAnsi="Arial" w:cs="Arial"/>
          <w:i/>
          <w:iCs/>
          <w:sz w:val="22"/>
          <w:szCs w:val="22"/>
        </w:rPr>
        <w:t> </w:t>
      </w:r>
      <w:r w:rsidRPr="007923C2">
        <w:rPr>
          <w:rFonts w:ascii="Arial" w:hAnsi="Arial" w:cs="Arial"/>
          <w:sz w:val="22"/>
          <w:szCs w:val="22"/>
        </w:rPr>
        <w:t>como</w:t>
      </w:r>
      <w:r w:rsidRPr="007923C2">
        <w:rPr>
          <w:rFonts w:ascii="Arial" w:hAnsi="Arial" w:cs="Arial"/>
          <w:i/>
          <w:iCs/>
          <w:sz w:val="22"/>
          <w:szCs w:val="22"/>
        </w:rPr>
        <w:t> </w:t>
      </w:r>
      <w:r w:rsidRPr="007923C2">
        <w:rPr>
          <w:rFonts w:ascii="Arial" w:hAnsi="Arial" w:cs="Arial"/>
          <w:sz w:val="22"/>
          <w:szCs w:val="22"/>
        </w:rPr>
        <w:t>cambio</w:t>
      </w:r>
      <w:r w:rsidRPr="007923C2">
        <w:rPr>
          <w:rFonts w:ascii="Arial" w:hAnsi="Arial" w:cs="Arial"/>
          <w:i/>
          <w:iCs/>
          <w:sz w:val="22"/>
          <w:szCs w:val="22"/>
        </w:rPr>
        <w:t> </w:t>
      </w:r>
      <w:r w:rsidRPr="007923C2">
        <w:rPr>
          <w:rFonts w:ascii="Arial" w:hAnsi="Arial" w:cs="Arial"/>
          <w:sz w:val="22"/>
          <w:szCs w:val="22"/>
        </w:rPr>
        <w:t>climático y biodiversidad. No obstante, el crecimiento económico del país sigue estrechamente vinculado a la emisión de compuestos de efecto invernadero, generación excesiva de residuos sólidos, contaminantes</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atmósfera,</w:t>
      </w:r>
      <w:r w:rsidRPr="007923C2">
        <w:rPr>
          <w:rFonts w:ascii="Arial" w:hAnsi="Arial" w:cs="Arial"/>
          <w:i/>
          <w:iCs/>
          <w:sz w:val="22"/>
          <w:szCs w:val="22"/>
        </w:rPr>
        <w:t> </w:t>
      </w:r>
      <w:r w:rsidRPr="007923C2">
        <w:rPr>
          <w:rFonts w:ascii="Arial" w:hAnsi="Arial" w:cs="Arial"/>
          <w:sz w:val="22"/>
          <w:szCs w:val="22"/>
        </w:rPr>
        <w:t>aguas</w:t>
      </w:r>
      <w:r w:rsidRPr="007923C2">
        <w:rPr>
          <w:rFonts w:ascii="Arial" w:hAnsi="Arial" w:cs="Arial"/>
          <w:i/>
          <w:iCs/>
          <w:sz w:val="22"/>
          <w:szCs w:val="22"/>
        </w:rPr>
        <w:t> </w:t>
      </w:r>
      <w:r w:rsidRPr="007923C2">
        <w:rPr>
          <w:rFonts w:ascii="Arial" w:hAnsi="Arial" w:cs="Arial"/>
          <w:sz w:val="22"/>
          <w:szCs w:val="22"/>
        </w:rPr>
        <w:t>residuales no tratadas y pérdida de bosques y selvas. El costo económico del agotamiento y la degradación ambiental en México en 2011 representó 6.9% del PIB, según el Instituto Nacional de Estadística y Geografía (INEGI).</w:t>
      </w:r>
    </w:p>
    <w:p w14:paraId="7F39A1E8" w14:textId="77777777" w:rsidR="00072704" w:rsidRDefault="00072704" w:rsidP="00295B33">
      <w:pPr>
        <w:spacing w:after="0" w:line="240" w:lineRule="auto"/>
        <w:jc w:val="both"/>
        <w:rPr>
          <w:rFonts w:ascii="Arial" w:hAnsi="Arial" w:cs="Arial"/>
          <w:sz w:val="22"/>
          <w:szCs w:val="22"/>
        </w:rPr>
      </w:pPr>
      <w:r w:rsidRPr="007923C2">
        <w:rPr>
          <w:rFonts w:ascii="Arial" w:hAnsi="Arial" w:cs="Arial"/>
          <w:sz w:val="22"/>
          <w:szCs w:val="22"/>
        </w:rPr>
        <w:t>Ello implica retos importantes para propiciar el crecimiento y el desarrollo económicos, a la vez asegurar que los recursos naturales continúen proporcionando los servicios ambientales de los cuales depende nuestro bienestar: i) el 12% de la superficie nacional está designada como área protegida, sin embargo 62% de estas áreas no cuentan con programas de administración; ii) cerca de 60 millones de personas viven en localidades que se abastecen en alguno de los 101 acuíferos sobreexplotados del país; iii) se debe incrementar el tratamiento del agua residual colectada en México más allá del 47.5% actual; iv) la producción forestal maderable del país es menor al 1% del PIB; v) para proteger los ecosistemas marinos se debe promover el desarrollo turístico y la pesca de manera sustentable; y vi) se debe incentivar la separación de residuos para facilitar su aprovechamiento.</w:t>
      </w:r>
    </w:p>
    <w:p w14:paraId="61052EF9" w14:textId="77777777" w:rsidR="00936838" w:rsidRPr="007923C2" w:rsidRDefault="00936838" w:rsidP="00295B33">
      <w:pPr>
        <w:spacing w:after="0" w:line="240" w:lineRule="auto"/>
        <w:jc w:val="both"/>
        <w:rPr>
          <w:rFonts w:ascii="Arial" w:hAnsi="Arial" w:cs="Arial"/>
          <w:sz w:val="22"/>
          <w:szCs w:val="22"/>
        </w:rPr>
      </w:pPr>
    </w:p>
    <w:p w14:paraId="1EE803AA" w14:textId="77777777" w:rsidR="00072704" w:rsidRDefault="00072704"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Para </w:t>
      </w:r>
      <w:r w:rsidRPr="007923C2">
        <w:rPr>
          <w:rFonts w:ascii="Arial" w:hAnsi="Arial" w:cs="Arial"/>
          <w:b/>
          <w:bCs/>
          <w:sz w:val="22"/>
          <w:szCs w:val="22"/>
        </w:rPr>
        <w:t>impulsar y orientar un crecimiento verde incluyente y facilitador que preserve nuestro patrimonio natural al mismo tiempo que genere riqueza, competitividad y empleo</w:t>
      </w:r>
      <w:r w:rsidRPr="007923C2">
        <w:rPr>
          <w:rFonts w:ascii="Arial" w:hAnsi="Arial" w:cs="Arial"/>
          <w:sz w:val="22"/>
          <w:szCs w:val="22"/>
        </w:rPr>
        <w:t> de manera eficaz.</w:t>
      </w:r>
      <w:r w:rsidRPr="007923C2">
        <w:rPr>
          <w:rFonts w:ascii="Arial" w:hAnsi="Arial" w:cs="Arial"/>
          <w:i/>
          <w:iCs/>
          <w:sz w:val="22"/>
          <w:szCs w:val="22"/>
        </w:rPr>
        <w:t> </w:t>
      </w:r>
      <w:r w:rsidRPr="007923C2">
        <w:rPr>
          <w:rFonts w:ascii="Arial" w:hAnsi="Arial" w:cs="Arial"/>
          <w:sz w:val="22"/>
          <w:szCs w:val="22"/>
        </w:rPr>
        <w:t>Por</w:t>
      </w:r>
      <w:r w:rsidRPr="007923C2">
        <w:rPr>
          <w:rFonts w:ascii="Arial" w:hAnsi="Arial" w:cs="Arial"/>
          <w:i/>
          <w:iCs/>
          <w:sz w:val="22"/>
          <w:szCs w:val="22"/>
        </w:rPr>
        <w:t> </w:t>
      </w:r>
      <w:r w:rsidRPr="007923C2">
        <w:rPr>
          <w:rFonts w:ascii="Arial" w:hAnsi="Arial" w:cs="Arial"/>
          <w:sz w:val="22"/>
          <w:szCs w:val="22"/>
        </w:rPr>
        <w:t>ello,</w:t>
      </w:r>
      <w:r w:rsidRPr="007923C2">
        <w:rPr>
          <w:rFonts w:ascii="Arial" w:hAnsi="Arial" w:cs="Arial"/>
          <w:i/>
          <w:iCs/>
          <w:sz w:val="22"/>
          <w:szCs w:val="22"/>
        </w:rPr>
        <w:t> </w:t>
      </w:r>
      <w:r w:rsidRPr="007923C2">
        <w:rPr>
          <w:rFonts w:ascii="Arial" w:hAnsi="Arial" w:cs="Arial"/>
          <w:sz w:val="22"/>
          <w:szCs w:val="22"/>
        </w:rPr>
        <w:t>se</w:t>
      </w:r>
      <w:r w:rsidRPr="007923C2">
        <w:rPr>
          <w:rFonts w:ascii="Arial" w:hAnsi="Arial" w:cs="Arial"/>
          <w:i/>
          <w:iCs/>
          <w:sz w:val="22"/>
          <w:szCs w:val="22"/>
        </w:rPr>
        <w:t> </w:t>
      </w:r>
      <w:r w:rsidRPr="007923C2">
        <w:rPr>
          <w:rFonts w:ascii="Arial" w:hAnsi="Arial" w:cs="Arial"/>
          <w:sz w:val="22"/>
          <w:szCs w:val="22"/>
        </w:rPr>
        <w:t>necesita</w:t>
      </w:r>
      <w:r w:rsidRPr="007923C2">
        <w:rPr>
          <w:rFonts w:ascii="Arial" w:hAnsi="Arial" w:cs="Arial"/>
          <w:i/>
          <w:iCs/>
          <w:sz w:val="22"/>
          <w:szCs w:val="22"/>
        </w:rPr>
        <w:t> </w:t>
      </w:r>
      <w:r w:rsidRPr="007923C2">
        <w:rPr>
          <w:rFonts w:ascii="Arial" w:hAnsi="Arial" w:cs="Arial"/>
          <w:sz w:val="22"/>
          <w:szCs w:val="22"/>
        </w:rPr>
        <w:t>hacer</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w:t>
      </w:r>
      <w:r w:rsidRPr="007923C2">
        <w:rPr>
          <w:rFonts w:ascii="Arial" w:hAnsi="Arial" w:cs="Arial"/>
          <w:sz w:val="22"/>
          <w:szCs w:val="22"/>
        </w:rPr>
        <w:t>cuidado del medio ambiente una fuente de beneficios palpable.</w:t>
      </w:r>
      <w:r w:rsidRPr="007923C2">
        <w:rPr>
          <w:rFonts w:ascii="Arial" w:hAnsi="Arial" w:cs="Arial"/>
          <w:i/>
          <w:iCs/>
          <w:sz w:val="22"/>
          <w:szCs w:val="22"/>
        </w:rPr>
        <w:t> </w:t>
      </w:r>
      <w:r w:rsidRPr="007923C2">
        <w:rPr>
          <w:rFonts w:ascii="Arial" w:hAnsi="Arial" w:cs="Arial"/>
          <w:sz w:val="22"/>
          <w:szCs w:val="22"/>
        </w:rPr>
        <w:t>Es</w:t>
      </w:r>
      <w:r w:rsidRPr="007923C2">
        <w:rPr>
          <w:rFonts w:ascii="Arial" w:hAnsi="Arial" w:cs="Arial"/>
          <w:i/>
          <w:iCs/>
          <w:sz w:val="22"/>
          <w:szCs w:val="22"/>
        </w:rPr>
        <w:t> </w:t>
      </w:r>
      <w:r w:rsidRPr="007923C2">
        <w:rPr>
          <w:rFonts w:ascii="Arial" w:hAnsi="Arial" w:cs="Arial"/>
          <w:sz w:val="22"/>
          <w:szCs w:val="22"/>
        </w:rPr>
        <w:t>decir,</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incentivos</w:t>
      </w:r>
      <w:r w:rsidRPr="007923C2">
        <w:rPr>
          <w:rFonts w:ascii="Arial" w:hAnsi="Arial" w:cs="Arial"/>
          <w:i/>
          <w:iCs/>
          <w:sz w:val="22"/>
          <w:szCs w:val="22"/>
        </w:rPr>
        <w:t> </w:t>
      </w:r>
      <w:r w:rsidRPr="007923C2">
        <w:rPr>
          <w:rFonts w:ascii="Arial" w:hAnsi="Arial" w:cs="Arial"/>
          <w:sz w:val="22"/>
          <w:szCs w:val="22"/>
        </w:rPr>
        <w:t>económicos</w:t>
      </w:r>
      <w:r w:rsidRPr="007923C2">
        <w:rPr>
          <w:rFonts w:ascii="Arial" w:hAnsi="Arial" w:cs="Arial"/>
          <w:i/>
          <w:iCs/>
          <w:sz w:val="22"/>
          <w:szCs w:val="22"/>
        </w:rPr>
        <w:t> </w:t>
      </w:r>
      <w:r w:rsidRPr="007923C2">
        <w:rPr>
          <w:rFonts w:ascii="Arial" w:hAnsi="Arial" w:cs="Arial"/>
          <w:sz w:val="22"/>
          <w:szCs w:val="22"/>
        </w:rPr>
        <w:t>de las empresas y la sociedad deben contribuir a alcanzar un equilibrio entre la conservación de la biodiversidad, el aprovechamiento sustentable de los recursos naturales y el desarrollo de actividades productivas, así como retribuir a los propietarios o poseedores de los recursos naturales por</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beneficios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servicios</w:t>
      </w:r>
      <w:r w:rsidRPr="007923C2">
        <w:rPr>
          <w:rFonts w:ascii="Arial" w:hAnsi="Arial" w:cs="Arial"/>
          <w:i/>
          <w:iCs/>
          <w:sz w:val="22"/>
          <w:szCs w:val="22"/>
        </w:rPr>
        <w:t> </w:t>
      </w:r>
      <w:r w:rsidRPr="007923C2">
        <w:rPr>
          <w:rFonts w:ascii="Arial" w:hAnsi="Arial" w:cs="Arial"/>
          <w:sz w:val="22"/>
          <w:szCs w:val="22"/>
        </w:rPr>
        <w:t>ambientales que proporcionan. La sustentabilidad incluye el manejo responsable de los recursos hídricos, el aumento de la cobertura de los servicios de agua potable,</w:t>
      </w:r>
      <w:r w:rsidRPr="007923C2">
        <w:rPr>
          <w:rFonts w:ascii="Arial" w:hAnsi="Arial" w:cs="Arial"/>
          <w:i/>
          <w:iCs/>
          <w:sz w:val="22"/>
          <w:szCs w:val="22"/>
        </w:rPr>
        <w:t> </w:t>
      </w:r>
      <w:r w:rsidRPr="007923C2">
        <w:rPr>
          <w:rFonts w:ascii="Arial" w:hAnsi="Arial" w:cs="Arial"/>
          <w:sz w:val="22"/>
          <w:szCs w:val="22"/>
        </w:rPr>
        <w:t>alcantarillado</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saneamiento,</w:t>
      </w:r>
      <w:r w:rsidRPr="007923C2">
        <w:rPr>
          <w:rFonts w:ascii="Arial" w:hAnsi="Arial" w:cs="Arial"/>
          <w:i/>
          <w:iCs/>
          <w:sz w:val="22"/>
          <w:szCs w:val="22"/>
        </w:rPr>
        <w:t> </w:t>
      </w:r>
      <w:r w:rsidRPr="007923C2">
        <w:rPr>
          <w:rFonts w:ascii="Arial" w:hAnsi="Arial" w:cs="Arial"/>
          <w:sz w:val="22"/>
          <w:szCs w:val="22"/>
        </w:rPr>
        <w:t>así como la infraestructura hidroagrícola y de control de inundaciones</w:t>
      </w:r>
    </w:p>
    <w:p w14:paraId="45E1583D" w14:textId="77777777" w:rsidR="00936838" w:rsidRPr="007923C2" w:rsidRDefault="00936838" w:rsidP="00295B33">
      <w:pPr>
        <w:widowControl w:val="0"/>
        <w:autoSpaceDE w:val="0"/>
        <w:autoSpaceDN w:val="0"/>
        <w:adjustRightInd w:val="0"/>
        <w:spacing w:after="0" w:line="240" w:lineRule="auto"/>
        <w:jc w:val="both"/>
        <w:rPr>
          <w:rFonts w:ascii="Arial" w:hAnsi="Arial" w:cs="Arial"/>
          <w:sz w:val="22"/>
          <w:szCs w:val="22"/>
        </w:rPr>
      </w:pPr>
    </w:p>
    <w:p w14:paraId="710300F0" w14:textId="77777777" w:rsidR="00072704" w:rsidRPr="007923C2" w:rsidRDefault="00072704" w:rsidP="00295B33">
      <w:pPr>
        <w:widowControl w:val="0"/>
        <w:autoSpaceDE w:val="0"/>
        <w:autoSpaceDN w:val="0"/>
        <w:adjustRightInd w:val="0"/>
        <w:spacing w:after="0" w:line="240" w:lineRule="auto"/>
        <w:jc w:val="both"/>
        <w:rPr>
          <w:rFonts w:ascii="Arial" w:hAnsi="Arial" w:cs="Arial"/>
          <w:b/>
          <w:bCs/>
          <w:sz w:val="22"/>
          <w:szCs w:val="22"/>
        </w:rPr>
      </w:pPr>
      <w:r w:rsidRPr="007923C2">
        <w:rPr>
          <w:rFonts w:ascii="Arial" w:hAnsi="Arial" w:cs="Arial"/>
          <w:b/>
          <w:bCs/>
          <w:sz w:val="22"/>
          <w:szCs w:val="22"/>
        </w:rPr>
        <w:t>Proteger el patrimonio natural.</w:t>
      </w:r>
    </w:p>
    <w:p w14:paraId="1B47DCCB" w14:textId="77777777" w:rsidR="00072704" w:rsidRPr="007923C2" w:rsidRDefault="00072704" w:rsidP="00295B33">
      <w:pPr>
        <w:widowControl w:val="0"/>
        <w:autoSpaceDE w:val="0"/>
        <w:autoSpaceDN w:val="0"/>
        <w:adjustRightInd w:val="0"/>
        <w:spacing w:after="0" w:line="240" w:lineRule="auto"/>
        <w:jc w:val="both"/>
        <w:rPr>
          <w:rFonts w:ascii="Arial" w:hAnsi="Arial" w:cs="Arial"/>
          <w:b/>
          <w:bCs/>
          <w:sz w:val="22"/>
          <w:szCs w:val="22"/>
        </w:rPr>
      </w:pPr>
      <w:r w:rsidRPr="007923C2">
        <w:rPr>
          <w:rFonts w:ascii="Arial" w:hAnsi="Arial" w:cs="Arial"/>
          <w:b/>
          <w:bCs/>
          <w:sz w:val="22"/>
          <w:szCs w:val="22"/>
        </w:rPr>
        <w:t>Líneas de acción</w:t>
      </w:r>
    </w:p>
    <w:p w14:paraId="2EEE16E9" w14:textId="77777777" w:rsidR="00072704" w:rsidRPr="007923C2" w:rsidRDefault="00072704" w:rsidP="00295B33">
      <w:pPr>
        <w:spacing w:after="0" w:line="240" w:lineRule="auto"/>
        <w:jc w:val="both"/>
        <w:rPr>
          <w:rFonts w:ascii="Arial" w:hAnsi="Arial" w:cs="Arial"/>
          <w:sz w:val="22"/>
          <w:szCs w:val="22"/>
        </w:rPr>
      </w:pPr>
      <w:r w:rsidRPr="007923C2">
        <w:rPr>
          <w:rFonts w:ascii="Arial" w:hAnsi="Arial" w:cs="Arial"/>
          <w:sz w:val="22"/>
          <w:szCs w:val="22"/>
        </w:rPr>
        <w:t>Promover la generación de recursos y beneficios a través de la conservación, restauración y aprovechamiento del patrimonio natural, con instrumentos económicos, financieros y de política pública innovadores.</w:t>
      </w:r>
    </w:p>
    <w:p w14:paraId="7EF1C733"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Impulsar e incentivar la incorporación de superficies con aprovechamiento forestal, maderable y no maderable.</w:t>
      </w:r>
    </w:p>
    <w:p w14:paraId="1C73F893"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Promover</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consumo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bienes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servicios</w:t>
      </w:r>
      <w:r w:rsidRPr="007923C2">
        <w:rPr>
          <w:rFonts w:ascii="Arial" w:hAnsi="Arial" w:cs="Arial"/>
          <w:i/>
          <w:iCs/>
          <w:sz w:val="22"/>
          <w:szCs w:val="22"/>
        </w:rPr>
        <w:t> </w:t>
      </w:r>
      <w:r w:rsidRPr="007923C2">
        <w:rPr>
          <w:rFonts w:ascii="Arial" w:hAnsi="Arial" w:cs="Arial"/>
          <w:sz w:val="22"/>
          <w:szCs w:val="22"/>
        </w:rPr>
        <w:t>ambientales,</w:t>
      </w:r>
      <w:r w:rsidRPr="007923C2">
        <w:rPr>
          <w:rFonts w:ascii="Arial" w:hAnsi="Arial" w:cs="Arial"/>
          <w:i/>
          <w:iCs/>
          <w:sz w:val="22"/>
          <w:szCs w:val="22"/>
        </w:rPr>
        <w:t> </w:t>
      </w:r>
      <w:r w:rsidRPr="007923C2">
        <w:rPr>
          <w:rFonts w:ascii="Arial" w:hAnsi="Arial" w:cs="Arial"/>
          <w:sz w:val="22"/>
          <w:szCs w:val="22"/>
        </w:rPr>
        <w:t>aprovechando</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esquemas</w:t>
      </w:r>
      <w:r w:rsidRPr="007923C2">
        <w:rPr>
          <w:rFonts w:ascii="Arial" w:hAnsi="Arial" w:cs="Arial"/>
          <w:i/>
          <w:iCs/>
          <w:sz w:val="22"/>
          <w:szCs w:val="22"/>
        </w:rPr>
        <w:t> </w:t>
      </w:r>
      <w:r w:rsidRPr="007923C2">
        <w:rPr>
          <w:rFonts w:ascii="Arial" w:hAnsi="Arial" w:cs="Arial"/>
          <w:sz w:val="22"/>
          <w:szCs w:val="22"/>
        </w:rPr>
        <w:t>de certificación y generando la demanda para ellos, tanto a nivel gubernamental como de la población en general.</w:t>
      </w:r>
    </w:p>
    <w:p w14:paraId="2813DB6C"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Fortalecer el capital social y las capacidades de gestión de ejidos y comunidades en zonas forestales y de alto valor para la conservación de la biodiversidad.</w:t>
      </w:r>
    </w:p>
    <w:p w14:paraId="1CD584AB"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Incrementar la superficie del territorio nacional bajo modalidades de conservación, buenas prácticas productivas y manejo regulado del patrimonio natural.</w:t>
      </w:r>
    </w:p>
    <w:p w14:paraId="464F6412"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Focalizar los programas de conservación de la biodiversidad y aprovechamiento sustentable de los recursos naturales, para generar beneficios en comunidades con población de alta vulnerabilidad social y ambiental.</w:t>
      </w:r>
    </w:p>
    <w:p w14:paraId="6EBED91C"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Promover el conocimiento y la conservación de la biodiversidad, así como fomentar el trato humano a los animales.</w:t>
      </w:r>
    </w:p>
    <w:p w14:paraId="2A9BE775" w14:textId="77777777" w:rsidR="000F70C2" w:rsidRPr="007923C2" w:rsidRDefault="00936838" w:rsidP="00295B33">
      <w:pPr>
        <w:spacing w:after="0" w:line="240" w:lineRule="auto"/>
        <w:jc w:val="both"/>
        <w:rPr>
          <w:rFonts w:ascii="Arial" w:hAnsi="Arial" w:cs="Arial"/>
          <w:sz w:val="22"/>
          <w:szCs w:val="22"/>
        </w:rPr>
      </w:pPr>
      <w:r>
        <w:rPr>
          <w:rFonts w:ascii="Arial" w:hAnsi="Arial" w:cs="Arial"/>
          <w:sz w:val="22"/>
          <w:szCs w:val="22"/>
        </w:rPr>
        <w:t>       </w:t>
      </w:r>
      <w:r w:rsidR="000F70C2" w:rsidRPr="007923C2">
        <w:rPr>
          <w:rFonts w:ascii="Arial" w:hAnsi="Arial" w:cs="Arial"/>
          <w:sz w:val="22"/>
          <w:szCs w:val="22"/>
        </w:rPr>
        <w:t>Fortalecer los mecanismos e instrumentos para prevenir y controlar los incendios forestales.    </w:t>
      </w:r>
    </w:p>
    <w:p w14:paraId="3A0B36B7" w14:textId="77777777" w:rsidR="00936838" w:rsidRDefault="000F70C2" w:rsidP="00295B33">
      <w:pPr>
        <w:spacing w:after="0" w:line="240" w:lineRule="auto"/>
        <w:jc w:val="both"/>
        <w:rPr>
          <w:rFonts w:ascii="Arial" w:hAnsi="Arial" w:cs="Arial"/>
          <w:sz w:val="22"/>
          <w:szCs w:val="22"/>
        </w:rPr>
      </w:pPr>
      <w:r w:rsidRPr="007923C2">
        <w:rPr>
          <w:rFonts w:ascii="Arial" w:hAnsi="Arial" w:cs="Arial"/>
          <w:sz w:val="22"/>
          <w:szCs w:val="22"/>
        </w:rPr>
        <w:t>Mejorar los esquemas e instrumentos de reforestación, así como sus indicadores para lograr una mayor   supervivencia de plantas.       </w:t>
      </w:r>
    </w:p>
    <w:p w14:paraId="5B3EE1B2" w14:textId="77777777" w:rsidR="000F70C2" w:rsidRDefault="000F70C2" w:rsidP="00295B33">
      <w:pPr>
        <w:spacing w:after="0" w:line="240" w:lineRule="auto"/>
        <w:jc w:val="both"/>
        <w:rPr>
          <w:rFonts w:ascii="Arial" w:hAnsi="Arial" w:cs="Arial"/>
          <w:sz w:val="22"/>
          <w:szCs w:val="22"/>
        </w:rPr>
      </w:pPr>
      <w:r w:rsidRPr="007923C2">
        <w:rPr>
          <w:rFonts w:ascii="Arial" w:hAnsi="Arial" w:cs="Arial"/>
          <w:sz w:val="22"/>
          <w:szCs w:val="22"/>
        </w:rPr>
        <w:lastRenderedPageBreak/>
        <w:t>Recuperar los ecosistemas y zonas deterioradas para mejorar la calidad del ambiente y la provisión de servicios ambientales de los ecosistemas.</w:t>
      </w:r>
    </w:p>
    <w:p w14:paraId="166553FD" w14:textId="77777777" w:rsidR="00936838" w:rsidRPr="007923C2" w:rsidRDefault="00936838" w:rsidP="00295B33">
      <w:pPr>
        <w:spacing w:after="0" w:line="240" w:lineRule="auto"/>
        <w:jc w:val="both"/>
        <w:rPr>
          <w:rFonts w:ascii="Arial" w:hAnsi="Arial" w:cs="Arial"/>
          <w:sz w:val="22"/>
          <w:szCs w:val="22"/>
        </w:rPr>
      </w:pPr>
    </w:p>
    <w:p w14:paraId="4853E115"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b/>
          <w:sz w:val="22"/>
          <w:szCs w:val="22"/>
        </w:rPr>
        <w:t>MEDIO AMBIENTE EN COAHUILA</w:t>
      </w:r>
    </w:p>
    <w:p w14:paraId="54EECA1B"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Los problemas ambientales son producto de una forma de desarrollo de la sociedad basada en el uso irracional e irresponsable del entorno natural. El deterioro ambiental impacta directamente en la calidad de vida de los habitantes.</w:t>
      </w:r>
    </w:p>
    <w:p w14:paraId="67CC41BA" w14:textId="77777777" w:rsidR="000F70C2" w:rsidRPr="007923C2" w:rsidRDefault="000F70C2" w:rsidP="00295B33">
      <w:pPr>
        <w:spacing w:after="0" w:line="240" w:lineRule="auto"/>
        <w:jc w:val="both"/>
        <w:rPr>
          <w:rFonts w:ascii="Arial" w:hAnsi="Arial" w:cs="Arial"/>
          <w:b/>
          <w:sz w:val="22"/>
          <w:szCs w:val="22"/>
        </w:rPr>
      </w:pPr>
      <w:r w:rsidRPr="007923C2">
        <w:rPr>
          <w:rFonts w:ascii="Arial" w:hAnsi="Arial" w:cs="Arial"/>
          <w:b/>
          <w:sz w:val="22"/>
          <w:szCs w:val="22"/>
        </w:rPr>
        <w:t xml:space="preserve">RESIDUOS Y CONTAMINACIÓN </w:t>
      </w:r>
    </w:p>
    <w:p w14:paraId="22026732"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Los residuos sólidos generados por la población y las industrias representan un problema ambiental, ya que por su cantidad y composición requieren de una gestión integral, que permita reducir los efectos nocivos al entorno natural y a la salud. </w:t>
      </w:r>
    </w:p>
    <w:p w14:paraId="513DAED9" w14:textId="77777777" w:rsidR="004220B7"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Cada Coahuilense produce en promedio 850 gramos de basura diariamente, lo que representa 2,160 toneladas diarias. Existe un serio rezago en infraestructura para dar tratamiento y adecuada disposición final a los residuos. Hace falta construir rellenos sanitarios y fortalecer los existentes para cumplir con los requerimientos normativos ambientales y así garantizar un Coahuila limpio. Existen solo seis rellenos sanitarios que cumplen con las condiciones que aseguren el menor impacto posible, el resto de los municipios cuentan con tiraderos a cielo abierto en donde se suele quemar la basura impactando de forma importante aire, suelos y acuíferos. </w:t>
      </w:r>
    </w:p>
    <w:p w14:paraId="466991D3" w14:textId="77777777" w:rsidR="000F70C2" w:rsidRDefault="000F70C2" w:rsidP="00295B33">
      <w:pPr>
        <w:spacing w:after="0" w:line="240" w:lineRule="auto"/>
        <w:jc w:val="both"/>
        <w:rPr>
          <w:rFonts w:ascii="Arial" w:hAnsi="Arial" w:cs="Arial"/>
          <w:sz w:val="22"/>
          <w:szCs w:val="22"/>
        </w:rPr>
      </w:pPr>
      <w:r w:rsidRPr="007923C2">
        <w:rPr>
          <w:rFonts w:ascii="Arial" w:hAnsi="Arial" w:cs="Arial"/>
          <w:sz w:val="22"/>
          <w:szCs w:val="22"/>
        </w:rPr>
        <w:t>La contaminación del aire en los centros urbanos representa un problema que los coahuilenses en general perciben como serio, debido a lo evidente de este tipo de contaminación. Sin embargo, no se han hecho los estudios necesarios para determinar cuál es el problema específico y cómo afecta la salud de la gente.</w:t>
      </w:r>
    </w:p>
    <w:p w14:paraId="5B0C2112" w14:textId="77777777" w:rsidR="00936838" w:rsidRPr="007923C2" w:rsidRDefault="00936838" w:rsidP="00295B33">
      <w:pPr>
        <w:spacing w:after="0" w:line="240" w:lineRule="auto"/>
        <w:jc w:val="both"/>
        <w:rPr>
          <w:rFonts w:ascii="Arial" w:hAnsi="Arial" w:cs="Arial"/>
          <w:sz w:val="22"/>
          <w:szCs w:val="22"/>
        </w:rPr>
      </w:pPr>
    </w:p>
    <w:p w14:paraId="7B5D8C12" w14:textId="77777777" w:rsidR="000F70C2" w:rsidRPr="007923C2" w:rsidRDefault="000F70C2" w:rsidP="00295B33">
      <w:pPr>
        <w:spacing w:after="0" w:line="240" w:lineRule="auto"/>
        <w:jc w:val="both"/>
        <w:rPr>
          <w:rFonts w:ascii="Arial" w:hAnsi="Arial" w:cs="Arial"/>
          <w:b/>
          <w:sz w:val="22"/>
          <w:szCs w:val="22"/>
        </w:rPr>
      </w:pPr>
      <w:r w:rsidRPr="007923C2">
        <w:rPr>
          <w:rFonts w:ascii="Arial" w:hAnsi="Arial" w:cs="Arial"/>
          <w:b/>
          <w:sz w:val="22"/>
          <w:szCs w:val="22"/>
        </w:rPr>
        <w:t>DESARROLLO URBANO</w:t>
      </w:r>
    </w:p>
    <w:p w14:paraId="4ED39B41"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Coahuila es una entidad con un grado de urbanización elevada, ya que nueve de cada 10 habitantes viven en localidades urbanas. En 24 ciudades se asienta el 95% de la población. </w:t>
      </w:r>
    </w:p>
    <w:p w14:paraId="26F7EB40"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Por ejemplo, ciudades como Acuña, Arteaga, Frontera, Ramos Arizpe, Monclova, Piedras Negras, Saltillo y Torreón son consideradas ciudades medias del país porque en ellas habitan el 78% de los coahuilenses. </w:t>
      </w:r>
    </w:p>
    <w:p w14:paraId="1008B98A" w14:textId="77777777" w:rsidR="000F70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En este sentido se requiere de un programa de ordenamiento territorial y ecológico, ya que no se cuenta con políticas que respeten el carácter específico de cada región, lo que provoca un uso inapropiado del territorio </w:t>
      </w:r>
      <w:r w:rsidR="00286FFA">
        <w:rPr>
          <w:rFonts w:ascii="Arial" w:hAnsi="Arial" w:cs="Arial"/>
          <w:sz w:val="22"/>
          <w:szCs w:val="22"/>
        </w:rPr>
        <w:t>y</w:t>
      </w:r>
      <w:r w:rsidRPr="007923C2">
        <w:rPr>
          <w:rFonts w:ascii="Arial" w:hAnsi="Arial" w:cs="Arial"/>
          <w:sz w:val="22"/>
          <w:szCs w:val="22"/>
        </w:rPr>
        <w:t xml:space="preserve"> dañar zonas de interés ecológico, antropológico o agrícola entre otros, con es establecimiento de asentamientos humanos irregulares o actividades fuera de sus áreas de vocación.</w:t>
      </w:r>
    </w:p>
    <w:p w14:paraId="39C29AF5" w14:textId="77777777" w:rsidR="00936838" w:rsidRPr="007923C2" w:rsidRDefault="00936838" w:rsidP="00295B33">
      <w:pPr>
        <w:spacing w:after="0" w:line="240" w:lineRule="auto"/>
        <w:jc w:val="both"/>
        <w:rPr>
          <w:rFonts w:ascii="Arial" w:hAnsi="Arial" w:cs="Arial"/>
          <w:sz w:val="22"/>
          <w:szCs w:val="22"/>
        </w:rPr>
      </w:pPr>
    </w:p>
    <w:p w14:paraId="79BF68D7" w14:textId="77777777" w:rsidR="00286FFA" w:rsidRDefault="00286FFA" w:rsidP="00295B33">
      <w:pPr>
        <w:spacing w:after="0" w:line="240" w:lineRule="auto"/>
        <w:jc w:val="both"/>
        <w:rPr>
          <w:rFonts w:ascii="Arial" w:hAnsi="Arial" w:cs="Arial"/>
          <w:b/>
          <w:sz w:val="22"/>
          <w:szCs w:val="22"/>
        </w:rPr>
      </w:pPr>
    </w:p>
    <w:p w14:paraId="3F25F704" w14:textId="77777777" w:rsidR="000F70C2" w:rsidRPr="007923C2" w:rsidRDefault="000F70C2" w:rsidP="00295B33">
      <w:pPr>
        <w:spacing w:after="0" w:line="240" w:lineRule="auto"/>
        <w:jc w:val="both"/>
        <w:rPr>
          <w:rFonts w:ascii="Arial" w:hAnsi="Arial" w:cs="Arial"/>
          <w:b/>
          <w:sz w:val="22"/>
          <w:szCs w:val="22"/>
        </w:rPr>
      </w:pPr>
      <w:r w:rsidRPr="007923C2">
        <w:rPr>
          <w:rFonts w:ascii="Arial" w:hAnsi="Arial" w:cs="Arial"/>
          <w:b/>
          <w:sz w:val="22"/>
          <w:szCs w:val="22"/>
        </w:rPr>
        <w:t>RECURSOS FORESTALES</w:t>
      </w:r>
    </w:p>
    <w:p w14:paraId="2E82387C" w14:textId="77777777" w:rsidR="000F70C2" w:rsidRDefault="000F70C2" w:rsidP="00295B33">
      <w:pPr>
        <w:spacing w:after="0" w:line="240" w:lineRule="auto"/>
        <w:jc w:val="both"/>
        <w:rPr>
          <w:rFonts w:ascii="Arial" w:hAnsi="Arial" w:cs="Arial"/>
          <w:sz w:val="22"/>
          <w:szCs w:val="22"/>
        </w:rPr>
      </w:pPr>
      <w:r w:rsidRPr="007923C2">
        <w:rPr>
          <w:rFonts w:ascii="Arial" w:hAnsi="Arial" w:cs="Arial"/>
          <w:sz w:val="22"/>
          <w:szCs w:val="22"/>
        </w:rPr>
        <w:t>En el ámbito forestal se tienen áreas muy susceptibles a incendios. Si bien los incendios forestales son y han sido inevitables, la incidencia por descuido del hombre ha provocado muchos de estos siniestros. Esta situación se agrava con el cambio climático que acentúa las características propicias para estos acontecimientos. Sin embargo, en el combate que se efectúa para controlar los incendios forestales, la falta de comunicación entre las corporaciones que atienden este tipo de desastres, provoca tiempos de respuesta largos y acciones de combate desorganizadas que se traducen en mayores superficies afectadas, que tienden a reducir nuestros pastizales o bosques.</w:t>
      </w:r>
    </w:p>
    <w:p w14:paraId="54BDB354" w14:textId="77777777" w:rsidR="00936838" w:rsidRPr="007923C2" w:rsidRDefault="00936838" w:rsidP="00295B33">
      <w:pPr>
        <w:spacing w:after="0" w:line="240" w:lineRule="auto"/>
        <w:jc w:val="both"/>
        <w:rPr>
          <w:rFonts w:ascii="Arial" w:hAnsi="Arial" w:cs="Arial"/>
          <w:sz w:val="22"/>
          <w:szCs w:val="22"/>
        </w:rPr>
      </w:pPr>
    </w:p>
    <w:p w14:paraId="0C9585E5" w14:textId="77777777" w:rsidR="000F70C2" w:rsidRPr="007923C2" w:rsidRDefault="000F70C2" w:rsidP="00295B33">
      <w:pPr>
        <w:spacing w:after="0" w:line="240" w:lineRule="auto"/>
        <w:jc w:val="both"/>
        <w:rPr>
          <w:rFonts w:ascii="Arial" w:hAnsi="Arial" w:cs="Arial"/>
          <w:b/>
          <w:sz w:val="22"/>
          <w:szCs w:val="22"/>
        </w:rPr>
      </w:pPr>
      <w:r w:rsidRPr="007923C2">
        <w:rPr>
          <w:rFonts w:ascii="Arial" w:hAnsi="Arial" w:cs="Arial"/>
          <w:b/>
          <w:sz w:val="22"/>
          <w:szCs w:val="22"/>
        </w:rPr>
        <w:t>AGUA</w:t>
      </w:r>
    </w:p>
    <w:p w14:paraId="5F3E56A4" w14:textId="77777777" w:rsidR="000F70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El estado tiene un bajo potencial hidrológico, ocupa el tercer lugar nacional con menor precipitación pluvial, con una precipitación media anual de poco más de 327 mm. Cuenta con regiones áridas y semiáridas, donde la escasez de este líquido es evidente, lo cual genera una presión y </w:t>
      </w:r>
      <w:r w:rsidRPr="007923C2">
        <w:rPr>
          <w:rFonts w:ascii="Arial" w:hAnsi="Arial" w:cs="Arial"/>
          <w:sz w:val="22"/>
          <w:szCs w:val="22"/>
        </w:rPr>
        <w:lastRenderedPageBreak/>
        <w:t>sobreexplotación de los recursos hídricos. Aunado a esto, las descargas irregulares a arroyos y ríos afectan los ecosistemas y las fuentes de abastecimiento para consumo humano.</w:t>
      </w:r>
    </w:p>
    <w:p w14:paraId="758EB11C" w14:textId="77777777" w:rsidR="00936838" w:rsidRPr="007923C2" w:rsidRDefault="00936838" w:rsidP="00295B33">
      <w:pPr>
        <w:spacing w:after="0" w:line="240" w:lineRule="auto"/>
        <w:jc w:val="both"/>
        <w:rPr>
          <w:rFonts w:ascii="Arial" w:hAnsi="Arial" w:cs="Arial"/>
          <w:sz w:val="22"/>
          <w:szCs w:val="22"/>
        </w:rPr>
      </w:pPr>
    </w:p>
    <w:p w14:paraId="7E2D6FB6" w14:textId="77777777" w:rsidR="000F70C2" w:rsidRPr="007923C2" w:rsidRDefault="000F70C2" w:rsidP="00295B33">
      <w:pPr>
        <w:spacing w:after="0" w:line="240" w:lineRule="auto"/>
        <w:jc w:val="both"/>
        <w:rPr>
          <w:rFonts w:ascii="Arial" w:hAnsi="Arial" w:cs="Arial"/>
          <w:b/>
          <w:sz w:val="22"/>
          <w:szCs w:val="22"/>
        </w:rPr>
      </w:pPr>
      <w:r w:rsidRPr="007923C2">
        <w:rPr>
          <w:rFonts w:ascii="Arial" w:hAnsi="Arial" w:cs="Arial"/>
          <w:b/>
          <w:sz w:val="22"/>
          <w:szCs w:val="22"/>
        </w:rPr>
        <w:t>EDUCACIÓN AMBIENTAL</w:t>
      </w:r>
    </w:p>
    <w:p w14:paraId="302392BA"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La educación ambiental es un tema prioritario, ya que su éxito es el pilar de la preservación y desarrollo sustentable. Sin embargo, los esfuerzos que se venían haciendo en el plan el desarrollo sustentable y como instrumento, aunque significativos, estaban desvinculados del sector educativo. Por ello, generaban una desviación de recursos humanos y materiales hacia pequeños campos de acción que reducían la magnitud de su impacto. </w:t>
      </w:r>
    </w:p>
    <w:p w14:paraId="5FC0BBEA" w14:textId="77777777"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La visión en esta materia es que Coahuila sea una entidad respetuosa del medio ambiente, con una educación ambiental enfocada al uso, manejo y aprovechamiento racional de los recursos naturales y con un ordenamiento territorial sustentable. </w:t>
      </w:r>
    </w:p>
    <w:p w14:paraId="7FF5F1BF" w14:textId="77777777" w:rsidR="000F70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En general, los grandes retos de Coahuila consisten en garantizar a sus habitantes las condiciones que les permitan vivir con dignidad, equidad y calidad. De ahí que sea imperativo trabajar en la eliminación de los rezagos sociales que originan la marginación,   atender los componentes que generan un bajo desarrollo humano y abatir las desigualdades que existen entre municipios y regiones sin descuidar el desarrollo equilibrado y sustentable de la entidad. </w:t>
      </w:r>
    </w:p>
    <w:p w14:paraId="19482240" w14:textId="77777777" w:rsidR="00936838" w:rsidRPr="007923C2" w:rsidRDefault="00936838" w:rsidP="00295B33">
      <w:pPr>
        <w:spacing w:after="0" w:line="240" w:lineRule="auto"/>
        <w:jc w:val="both"/>
        <w:rPr>
          <w:rFonts w:ascii="Arial" w:hAnsi="Arial" w:cs="Arial"/>
          <w:sz w:val="22"/>
          <w:szCs w:val="22"/>
        </w:rPr>
      </w:pPr>
    </w:p>
    <w:p w14:paraId="7F56C072" w14:textId="77777777" w:rsidR="000F70C2" w:rsidRPr="00936838" w:rsidRDefault="000F70C2" w:rsidP="00295B33">
      <w:pPr>
        <w:widowControl w:val="0"/>
        <w:autoSpaceDE w:val="0"/>
        <w:autoSpaceDN w:val="0"/>
        <w:adjustRightInd w:val="0"/>
        <w:spacing w:after="0" w:line="240" w:lineRule="auto"/>
        <w:jc w:val="both"/>
        <w:rPr>
          <w:rFonts w:ascii="Arial" w:hAnsi="Arial" w:cs="Arial"/>
          <w:b/>
          <w:sz w:val="22"/>
          <w:szCs w:val="22"/>
        </w:rPr>
      </w:pPr>
      <w:r w:rsidRPr="00936838">
        <w:rPr>
          <w:rFonts w:ascii="Arial" w:hAnsi="Arial" w:cs="Arial"/>
          <w:b/>
          <w:sz w:val="22"/>
          <w:szCs w:val="22"/>
        </w:rPr>
        <w:t>REGULACIÓN AMBIENTAL</w:t>
      </w:r>
    </w:p>
    <w:p w14:paraId="3E21D564" w14:textId="77777777" w:rsidR="00936838" w:rsidRDefault="00936838" w:rsidP="00295B33">
      <w:pPr>
        <w:widowControl w:val="0"/>
        <w:autoSpaceDE w:val="0"/>
        <w:autoSpaceDN w:val="0"/>
        <w:adjustRightInd w:val="0"/>
        <w:spacing w:after="0" w:line="240" w:lineRule="auto"/>
        <w:jc w:val="both"/>
        <w:rPr>
          <w:rFonts w:ascii="Arial" w:hAnsi="Arial" w:cs="Arial"/>
          <w:sz w:val="22"/>
          <w:szCs w:val="22"/>
        </w:rPr>
      </w:pPr>
    </w:p>
    <w:p w14:paraId="33044076"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En los últimos años la problemática ambiental ha cobrado gran importancia a nivel mundial, ya que cada vez son más los problemas generados por la falta de regulación y operación de las industrias que emiten contaminantes y residuos que pueden afectar el equilibrio ecológico y dañar los ecosistemas que les rodean. La preocupación de los gobiernos ante tal circunstancia ha permitido generar mecanismos y leyes que regulen la actividad de las empresas por lo que se refiere a la cuestión ambiental siendo un tema fundamental que debe estar presente en el marco jurídico de todos los países.</w:t>
      </w:r>
    </w:p>
    <w:p w14:paraId="4529AE42"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En México existen diversos ordenamientos jurídicos derivados de la Constitución que regulan la situación ambiental de las empresas, teniendo como principio el desarrollo sustentable y como instrumento principal la evaluación del impacto ambiental.</w:t>
      </w:r>
    </w:p>
    <w:p w14:paraId="6B0EE713"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En primer término, la Ley General del Equilibrio Ecológico y Protección al Medio Ambiente (LEGEEPA), es el ordenamiento de carácter federal que señala los principales lineamientos a seguir en relación con tan importantes temas, señalando las obligaciones de las empresas para la protección ambiental en México. Esta ley regula las conductas que serán sancionadas por causar daños al medio ambiente, incluso las que son consideradas como delitos ecológicos; las actividades que conllevan algún riesgo, basadas en el uso, de materiales o residuos peligrosos; la emisión de gases, humos y polvos, descargas de aguas residuales, deshechos o contaminantes , así como la emisión de ruido, vibraciones, energía térmica o lumínica. Es importante señalar que la ley sancionará dichas conductas bajo ciertas circunstancias por ejemplo, cuando se realicen sin contar con autorización o bien, por violación a las normas de seguridad o reglamentartias aplicables.</w:t>
      </w:r>
    </w:p>
    <w:p w14:paraId="35C3C095"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Por su parte la evaluación de impacto ambiental en términos</w:t>
      </w:r>
      <w:r w:rsidR="00B42D6D" w:rsidRPr="007923C2">
        <w:rPr>
          <w:rFonts w:ascii="Arial" w:hAnsi="Arial" w:cs="Arial"/>
          <w:sz w:val="22"/>
          <w:szCs w:val="22"/>
        </w:rPr>
        <w:t xml:space="preserve"> de la</w:t>
      </w:r>
      <w:r w:rsidRPr="007923C2">
        <w:rPr>
          <w:rFonts w:ascii="Arial" w:hAnsi="Arial" w:cs="Arial"/>
          <w:sz w:val="22"/>
          <w:szCs w:val="22"/>
        </w:rPr>
        <w:t xml:space="preserve"> Ley de Equilibrio Ecológico y protección al Ambiente, es el procedimiento a través del cual la Secretaría del Medio Ambiente, Recursos Naturales y Pesca (SEMARNAT) establece las condiciones a las que se sujetará la realización de las obras y actividades que puedan causar desequilibrio ecológico o rebasar los límites y condiciones establecidos en las disposiciones aplicables para proteger el ambiente y preservar y restaurar los ecosistemas, a fin de evitar o reducir al mínimo sus efectos negativos sobre el ambiente. En este sentido en los casos que determine el reglamento que al efecto se expida, quienes pretendan llevar a cabo alguna de las siguientes obras o actividades, requerirán previamente la autorización en materia de impacto ambiental de la SEMARNAT:</w:t>
      </w:r>
    </w:p>
    <w:p w14:paraId="31BFF78F"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1.-Obras hidráulicas, vías generales de comunicación, oleoductos, gaseoductos. Y poliductos.</w:t>
      </w:r>
    </w:p>
    <w:p w14:paraId="2C890437"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lastRenderedPageBreak/>
        <w:t>2.-Industria del petróleo, química, siderurgia, papelera, azucarera, del cemento y eléctrica.</w:t>
      </w:r>
    </w:p>
    <w:p w14:paraId="1F736E9A"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3.-Exploración, explotación y beneficio de minerales y sustancias reservadas a la federación en los términos de la Ley de Minería y la Ley reglamentaria del Artículo 27 Constitucional en materia nuclear.</w:t>
      </w:r>
    </w:p>
    <w:p w14:paraId="2A66BB66"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4.-Instalaciones de tratamiento, confinamiento o eliminación de residuos peligrosos, así como residuos radioactivos.</w:t>
      </w:r>
    </w:p>
    <w:p w14:paraId="42300D66"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5.-Aprovechamientos forestales en selvas tropicales y especies de difícil regeneración.</w:t>
      </w:r>
    </w:p>
    <w:p w14:paraId="487ED79F"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6.-Cambios de uso de suelo de áreas forestales, así como en selvas y zonas áridas.</w:t>
      </w:r>
    </w:p>
    <w:p w14:paraId="4522D93C"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7.-Parques industriales donde se prevea la realización de actividades altamente peligrosas.</w:t>
      </w:r>
    </w:p>
    <w:p w14:paraId="64F4B0E8"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8.-Desarrollos inmobiliaros que afecten los ecosistemas costeros.</w:t>
      </w:r>
    </w:p>
    <w:p w14:paraId="1A339385"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9.-Obras y actividades en humedales manglares, lagunas, ríos, lagos y esteros conectados con el mar, así como sus litorales o zonas federales.</w:t>
      </w:r>
    </w:p>
    <w:p w14:paraId="47AF039F"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10.-Obras en áreas naturales protegidas de competencia de la federación.</w:t>
      </w:r>
    </w:p>
    <w:p w14:paraId="202ACE58"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11.-Actividades pesqueras , acuícolas o agropecuarias que puedan poner en peligro la preservación de una o mas especies o causar daños a los ecosistemas.</w:t>
      </w:r>
    </w:p>
    <w:p w14:paraId="253AC8CF"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12.-Obras o actividades que correspondan a asuntos de competencia federal, que pueden causar desequilibrios ecológicos graves e irreparables, daños a la salud pública o a los ecosistemas o rebasar los límites y condiciones en las disposiciones jurídicas relativas a la preservación del equilibrio ecológico   </w:t>
      </w:r>
    </w:p>
    <w:p w14:paraId="5B366193"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p>
    <w:p w14:paraId="504A1CF8" w14:textId="77777777" w:rsidR="000F70C2" w:rsidRPr="007923C2" w:rsidRDefault="000F70C2" w:rsidP="00295B33">
      <w:pPr>
        <w:widowControl w:val="0"/>
        <w:autoSpaceDE w:val="0"/>
        <w:autoSpaceDN w:val="0"/>
        <w:adjustRightInd w:val="0"/>
        <w:spacing w:after="0" w:line="240" w:lineRule="auto"/>
        <w:jc w:val="both"/>
        <w:rPr>
          <w:rFonts w:ascii="Arial" w:hAnsi="Arial" w:cs="Arial"/>
          <w:b/>
          <w:bCs/>
          <w:sz w:val="22"/>
          <w:szCs w:val="22"/>
        </w:rPr>
      </w:pPr>
      <w:r w:rsidRPr="007923C2">
        <w:rPr>
          <w:rFonts w:ascii="Arial" w:hAnsi="Arial" w:cs="Arial"/>
          <w:b/>
          <w:bCs/>
          <w:sz w:val="22"/>
          <w:szCs w:val="22"/>
        </w:rPr>
        <w:t>4.2.3.-</w:t>
      </w:r>
      <w:r w:rsidR="004E371F" w:rsidRPr="007923C2">
        <w:rPr>
          <w:rFonts w:ascii="Arial" w:hAnsi="Arial" w:cs="Arial"/>
          <w:b/>
          <w:bCs/>
          <w:sz w:val="22"/>
          <w:szCs w:val="22"/>
        </w:rPr>
        <w:t>VARIABLES</w:t>
      </w:r>
      <w:r w:rsidR="001278DD">
        <w:rPr>
          <w:rFonts w:ascii="Arial" w:hAnsi="Arial" w:cs="Arial"/>
          <w:b/>
          <w:bCs/>
          <w:sz w:val="22"/>
          <w:szCs w:val="22"/>
        </w:rPr>
        <w:t xml:space="preserve"> </w:t>
      </w:r>
      <w:r w:rsidR="004E371F" w:rsidRPr="007923C2">
        <w:rPr>
          <w:rFonts w:ascii="Arial" w:hAnsi="Arial" w:cs="Arial"/>
          <w:b/>
          <w:bCs/>
          <w:sz w:val="22"/>
          <w:szCs w:val="22"/>
        </w:rPr>
        <w:t>POLÍTICAS</w:t>
      </w:r>
      <w:r w:rsidRPr="007923C2">
        <w:rPr>
          <w:rFonts w:ascii="Arial" w:hAnsi="Arial" w:cs="Arial"/>
          <w:b/>
          <w:bCs/>
          <w:sz w:val="22"/>
          <w:szCs w:val="22"/>
        </w:rPr>
        <w:t xml:space="preserve">, </w:t>
      </w:r>
      <w:r w:rsidR="004E371F" w:rsidRPr="007923C2">
        <w:rPr>
          <w:rFonts w:ascii="Arial" w:hAnsi="Arial" w:cs="Arial"/>
          <w:b/>
          <w:bCs/>
          <w:sz w:val="22"/>
          <w:szCs w:val="22"/>
        </w:rPr>
        <w:t>GUBERNAMENTALES</w:t>
      </w:r>
      <w:r w:rsidR="001278DD">
        <w:rPr>
          <w:rFonts w:ascii="Arial" w:hAnsi="Arial" w:cs="Arial"/>
          <w:b/>
          <w:bCs/>
          <w:sz w:val="22"/>
          <w:szCs w:val="22"/>
        </w:rPr>
        <w:t xml:space="preserve"> </w:t>
      </w:r>
      <w:r w:rsidR="004E371F" w:rsidRPr="007923C2">
        <w:rPr>
          <w:rFonts w:ascii="Arial" w:hAnsi="Arial" w:cs="Arial"/>
          <w:b/>
          <w:bCs/>
          <w:sz w:val="22"/>
          <w:szCs w:val="22"/>
        </w:rPr>
        <w:t>Y</w:t>
      </w:r>
      <w:r w:rsidR="001278DD">
        <w:rPr>
          <w:rFonts w:ascii="Arial" w:hAnsi="Arial" w:cs="Arial"/>
          <w:b/>
          <w:bCs/>
          <w:sz w:val="22"/>
          <w:szCs w:val="22"/>
        </w:rPr>
        <w:t xml:space="preserve"> </w:t>
      </w:r>
      <w:r w:rsidR="004E371F" w:rsidRPr="007923C2">
        <w:rPr>
          <w:rFonts w:ascii="Arial" w:hAnsi="Arial" w:cs="Arial"/>
          <w:b/>
          <w:bCs/>
          <w:sz w:val="22"/>
          <w:szCs w:val="22"/>
        </w:rPr>
        <w:t>LEGALES</w:t>
      </w:r>
    </w:p>
    <w:p w14:paraId="46462465" w14:textId="77777777" w:rsidR="00F16DB5" w:rsidRDefault="00F16DB5" w:rsidP="00295B33">
      <w:pPr>
        <w:widowControl w:val="0"/>
        <w:autoSpaceDE w:val="0"/>
        <w:autoSpaceDN w:val="0"/>
        <w:adjustRightInd w:val="0"/>
        <w:spacing w:after="0" w:line="240" w:lineRule="auto"/>
        <w:jc w:val="both"/>
        <w:rPr>
          <w:rFonts w:ascii="Arial" w:hAnsi="Arial" w:cs="Arial"/>
          <w:b/>
          <w:bCs/>
          <w:sz w:val="22"/>
          <w:szCs w:val="22"/>
        </w:rPr>
      </w:pPr>
      <w:r w:rsidRPr="007923C2">
        <w:rPr>
          <w:rFonts w:ascii="Arial" w:hAnsi="Arial" w:cs="Arial"/>
          <w:b/>
          <w:bCs/>
          <w:sz w:val="22"/>
          <w:szCs w:val="22"/>
        </w:rPr>
        <w:t>4.2.3.1.-REGULACIONES Y DESREGULACIONES GUBERNAMENTALES (SECTOR AGROPECUARIO).</w:t>
      </w:r>
    </w:p>
    <w:p w14:paraId="3ECD9F40" w14:textId="77777777" w:rsidR="00F76242" w:rsidRPr="007923C2" w:rsidRDefault="00F76242" w:rsidP="00295B33">
      <w:pPr>
        <w:widowControl w:val="0"/>
        <w:autoSpaceDE w:val="0"/>
        <w:autoSpaceDN w:val="0"/>
        <w:adjustRightInd w:val="0"/>
        <w:spacing w:after="0" w:line="240" w:lineRule="auto"/>
        <w:jc w:val="both"/>
        <w:rPr>
          <w:rFonts w:ascii="Arial" w:hAnsi="Arial" w:cs="Arial"/>
          <w:b/>
          <w:bCs/>
          <w:sz w:val="22"/>
          <w:szCs w:val="22"/>
        </w:rPr>
      </w:pPr>
    </w:p>
    <w:p w14:paraId="0BEF096A"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actividad agronómica en México  ha tenido muchos cambios a través del tiempo, los gobiernos han tratado de sacar adelante la producción agrícola con éxitos y fracasos, se han destinado apoyos al campo que no han sido lo suficientemente viables lo que ha repercutido en un rotundo fracaso sobre todo lo referente a los pequeños propietarios.</w:t>
      </w:r>
    </w:p>
    <w:p w14:paraId="6C48EF5D"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Lo anterior sumado a los altos costos de la producción agrícola industrial (semilla, fertilizantes, pesticidas</w:t>
      </w:r>
      <w:r w:rsidR="00F15E57" w:rsidRPr="007923C2">
        <w:rPr>
          <w:rFonts w:ascii="Arial" w:hAnsi="Arial" w:cs="Arial"/>
          <w:sz w:val="22"/>
          <w:szCs w:val="22"/>
        </w:rPr>
        <w:t>, h</w:t>
      </w:r>
      <w:r w:rsidRPr="007923C2">
        <w:rPr>
          <w:rFonts w:ascii="Arial" w:hAnsi="Arial" w:cs="Arial"/>
          <w:sz w:val="22"/>
          <w:szCs w:val="22"/>
        </w:rPr>
        <w:t>erbicidas, sistemas de riego etc.) ha hecho difícil la producción agrícola, esto ha puesto en desventaja a los pequeños productores agrícolas.</w:t>
      </w:r>
    </w:p>
    <w:p w14:paraId="4513A40B"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Las políticas gubernamentales han llevado al agro mexicano a beneficiar a algunos cuantos pero la mayoríade los campesinos siguen en la pobreza, lo que los ha obligado a emigrar a las ciudades o al extranjero.</w:t>
      </w:r>
    </w:p>
    <w:p w14:paraId="1D890B25" w14:textId="77777777"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Los egresados de las Universidades Agrarias al salir se encuentran con esta serie de situaciones, por lo que éstas instituciones deben estar con</w:t>
      </w:r>
      <w:r w:rsidR="00B42D6D" w:rsidRPr="007923C2">
        <w:rPr>
          <w:rFonts w:ascii="Arial" w:hAnsi="Arial" w:cs="Arial"/>
          <w:sz w:val="22"/>
          <w:szCs w:val="22"/>
        </w:rPr>
        <w:t>s</w:t>
      </w:r>
      <w:r w:rsidRPr="007923C2">
        <w:rPr>
          <w:rFonts w:ascii="Arial" w:hAnsi="Arial" w:cs="Arial"/>
          <w:sz w:val="22"/>
          <w:szCs w:val="22"/>
        </w:rPr>
        <w:t>cientes de la situación actual de la agricultura en México y diversificar su oferta educativa dando margen a los nuevos profesionistas de que se puedan desempeñar de acuerdo a la problemática actual.</w:t>
      </w:r>
    </w:p>
    <w:p w14:paraId="2D7D596B" w14:textId="77777777" w:rsidR="00F16DB5"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carrera de Ingeniero en Agrobiología permite a los egresados no nada más desenvolverse en el ámbito de la producción  agrícola sino también en proyectos innovadores de producción y conservación que permitan manejar los recursos naturales con sostenibilidad.</w:t>
      </w:r>
    </w:p>
    <w:p w14:paraId="3CDC2295" w14:textId="77777777" w:rsidR="000F70C2" w:rsidRPr="007923C2" w:rsidRDefault="0017498D" w:rsidP="00295B33">
      <w:pPr>
        <w:shd w:val="clear" w:color="auto" w:fill="FFFFFF"/>
        <w:spacing w:after="0" w:line="240" w:lineRule="auto"/>
        <w:jc w:val="both"/>
        <w:rPr>
          <w:rFonts w:ascii="Arial" w:hAnsi="Arial" w:cs="Arial"/>
          <w:sz w:val="22"/>
          <w:szCs w:val="22"/>
        </w:rPr>
      </w:pPr>
      <w:hyperlink r:id="rId110" w:tgtFrame="_blank" w:history="1"/>
      <w:r w:rsidR="000F70C2" w:rsidRPr="007923C2">
        <w:rPr>
          <w:rFonts w:ascii="Arial" w:hAnsi="Arial" w:cs="Arial"/>
          <w:sz w:val="22"/>
          <w:szCs w:val="22"/>
        </w:rPr>
        <w:t> El maíz es aún el primer cultivo en México. En superficie, valor producido y personal ocupado, su participación es de lejos la más importante en el país. Su cultivo se expande sobre distintos contextos geográficos, ecológicos y sociales, a la vez que incorpora diversos tipos de  productores y tecnologías. Por otra parte, el grano sigue siendo el núcleo de las dietas nacionales, proporcionando la mayor parte de las calorías y proteínas consumidas por la población(1)</w:t>
      </w:r>
    </w:p>
    <w:p w14:paraId="64277742" w14:textId="77777777" w:rsidR="000F70C2" w:rsidRPr="007923C2" w:rsidRDefault="0017498D" w:rsidP="00295B33">
      <w:pPr>
        <w:shd w:val="clear" w:color="auto" w:fill="FFFFFF"/>
        <w:spacing w:after="0" w:line="240" w:lineRule="auto"/>
        <w:jc w:val="both"/>
        <w:rPr>
          <w:rFonts w:ascii="Arial" w:hAnsi="Arial" w:cs="Arial"/>
          <w:sz w:val="22"/>
          <w:szCs w:val="22"/>
        </w:rPr>
      </w:pPr>
      <w:hyperlink r:id="rId111" w:history="1"/>
      <w:r w:rsidR="000F70C2" w:rsidRPr="007923C2">
        <w:rPr>
          <w:rFonts w:ascii="Arial" w:hAnsi="Arial" w:cs="Arial"/>
          <w:sz w:val="22"/>
          <w:szCs w:val="22"/>
        </w:rPr>
        <w:t xml:space="preserve">Protegido por las políticas oficiales hasta 1994 y por el impacto devaluatorio al año siguiente, el maíz dio muestras de resistencia incluso cuando el modelo agrícola dejó de favorecerlo. A últimas fechas, sin embargo, este espectro  de fortaleza empieza a desvanecerse: en 1995 se detiene su avance productivo, situación que a partir de entonces es de retroceso. Cultivo temporalero en su mayor parte, afronta con dificultades la adversidad climatológica, particularmente aguda en fechas recientes. Sin </w:t>
      </w:r>
      <w:r w:rsidR="000F70C2" w:rsidRPr="007923C2">
        <w:rPr>
          <w:rFonts w:ascii="Arial" w:hAnsi="Arial" w:cs="Arial"/>
          <w:sz w:val="22"/>
          <w:szCs w:val="22"/>
        </w:rPr>
        <w:lastRenderedPageBreak/>
        <w:t>embargo, este factor, pese a su importancia, no es el único en la explicación del fenómeno: más bien parece entrelazado con otro, de índole menos natural, cuyo impacto es insoslayable. Se trata de su inserción en el universo de las ventajas comparativas y a las fluctuaciones internacionales. Programada su apertura para un plazo de quince años, esta situación no se cumple, pues ya hoy se importa el grano que se quiere sin restricciones ni aranceles. Ello implica que el maíz como los demás granos, ingresa a una etapa riesgosa y amenazante, dado que difícilmente puede hacer frente a los retos que impone el nuevo modelo.</w:t>
      </w:r>
    </w:p>
    <w:p w14:paraId="5917039B"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Para Magda Fritscher(2)la incorporación del maíz al TLC, pactada en 1992, fue el preámbulo de un nuevo giro en las políticas para el grano. Concebido el Tratado como un acuerdo de apertura total entre ambos países, poco margen quedaba para la continuidad de las políticas previas de protección. Así, de igual forma que los demás granos, el maíz ingresaría a partir de la puesta en marcha del Acuerdo en un periodo de abrupta transición. Las nuevas directrices contemplaban, además de su liberalización, un cambio radical en la política de subsidios, con el paso de los apoyos administrados por la vía de los precios a un sistema de pagos directos a los productores. Así, también, los sistemas estatales de comercialización tendieron a ser cancelados, transfiriéndose esta actividad a agentes privados. Las ayudas a través de los insumos y tasas de interés declinaron bruscamente, con la privatización y reestructuración de las empresas estatales.</w:t>
      </w:r>
    </w:p>
    <w:p w14:paraId="62F228F9"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Conocida la enorme brecha de costos y rendimientos entre el maíz estadounidense y el mexicano, era evidente que el último tendería a sucumbir, convirtiendo a México en una enorme plataforma importadora. Salvo un escaso margen de productores competitivos, saldría afectada por las nuevas disposiciones la mayor parte de los sectores que destinan su grano a la venta, ya sea que procedan de riego o temporal, sean empresarios o campesinos que comercialicen sus cosechas en forma total o parcial. De ello supuestamente quedaban al margen los productores de subsistencia que, al no vender el grano, tampoco se exponían a la competencia foránea. Sin embargo, de hecho, el esperado colapso de los maiceros comerciales alcanzaría también en forma indirecta al sector de subsistencia, al bajar la tasa de ocupación agrícola. Preocupado el gobierno por los efectos empobrecedores de la nueva política, diseño un proyecto de ayuda a los maiceros más pobres destinado a compensar dichos daños. Nació así el Procampo, un nuevo programa de subsidios, encaminado, según el discurso oficial, a extender el apoyo a la totalidad de los productores, no sólo a los comerciales.</w:t>
      </w:r>
    </w:p>
    <w:p w14:paraId="7F1AC639"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Según Felipe Zermeño, para México el maíz es aún más importante que para Estados Unidos, no sólo por su peso específico en  cuanto volumen y valor de la producción, sino porque aquí es la base de la alimentación popular, a diferencia de Estados Unidos, donde se destina fundamentalmente al consumo animal. La existencia del México rural depende fundamentalmente de la agricultura del maíz. El rendimiento físico y económico de este producto es el indicador clave del bienestar de la sociedad rural mexicana. El maíz, es con mucho, el cultivo más extendido del territorio nacional. De las 14.4 millones de hectáreas que se cultivaron en el país en 1988, 6.8 millones, esto es, el 47.2% correspondieron al maíz. De la superficie dedicada a los cultivos básicos-frijol, trigo, arroz y maíz- éste ocupo el 74%. Es también el cultivo con mayor participación social: 2.5 millones de campesinos se dedican a su producción, cifra que equivale al 68% de la población ocupada en todo el sector agropecuario.</w:t>
      </w:r>
    </w:p>
    <w:p w14:paraId="41337CE1"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La crisis agrícola que aqueja a México desde hace más de veinte años, se expresa primordialmente en la producción de maíz. En las últimas dos décadas disminuyeron la producción, la superficie cultivada, los rendimientos por hectáreas, incluso el consumo de maíz por persona. Lo único que experimento crecimiento fue la proporción de la superficie siniestrada y las importaciones necesarias de este grano para completar una demanda nacional también estancada.</w:t>
      </w:r>
    </w:p>
    <w:p w14:paraId="6F4AAD76"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Para definir con precisión el desigual poder competitivo de la agricultura del maíz respecto de la de Estados Unidos, debemos considerar primero las diferencias productivas en los rendimientos por hectárea y la superficie cultivada por hombre ocupado en la producción de maíz. En Estados Unidos los rendimientos promedio por hectárea son de 7.5 toneladas, y en México de sólo 1.7 toneladas. En Estados Unidos la superficie por hombre ocupado en la producción de maíz es de 9.7 hectáreas, en </w:t>
      </w:r>
      <w:r w:rsidRPr="007923C2">
        <w:rPr>
          <w:rFonts w:ascii="Arial" w:hAnsi="Arial" w:cs="Arial"/>
          <w:sz w:val="22"/>
          <w:szCs w:val="22"/>
        </w:rPr>
        <w:lastRenderedPageBreak/>
        <w:t>México es de 2.14 hectáreas. En consecuencia, el producto por hombre ocupado en la producción de maíz en Estados Unidos es 72.5 toneladas, y en México de sólo 4 toneladas. Esto es, la productividad de Estados Unidos en este cultivo es mayor a la de México en 17.8 veces. Además, Estados Unidos otorga subsidios directos a sus productores en cantidades muy superiores a las que otorga México. Allá los subsidios van directamente al ingreso de los productores, en México la mayor parte de los subsidios son al gasto; además, cada vez menores.</w:t>
      </w:r>
    </w:p>
    <w:p w14:paraId="1EED6D06"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En las condiciones anteriores, Felipe Zermeño señala en 1992 que México no tiene ninguna posibilidad competitiva. Si se libera el maíz en el Tratado de Libre Comercio, sería eliminada la mayor parte de nuestra agricultura maicera. Toda la producción comercial de maíz resultaría excluida casi de inmediato, lo que significa excluir a la mitad de la agricultura nacional. La producción maicera de autoconsumo podría sobrevivir un tiempo más, pero en un entorno económico mucho más desfavorable para los campesinos que la practican. Los costos por tonelada que enfrentan los productores comerciales de maíz en México, en más del 50% están por arriba del precio internacional del maíz, que es determinado fundamentalmente por Estados Unidos.</w:t>
      </w:r>
    </w:p>
    <w:p w14:paraId="157C3B0D"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El autor señalaba que se debían resistir las presiones de Estados Unidos y aplazar indefinidamente la liberación del maíz en el TLC. Pero, no sólo eso, señalaba también la necesidad la rectificación de la liberación unilateral que México ha hecho de la soya, el sorgo, el arroz y otros productos. Ya que ningún país acepta una disminución significativa de su agricultura, ya que ello debilita su estructura económica y la hace vulnerable ante los vaivenes del mercado y las recurrentes crisis financieras. Esas enseñanzas las han dado los países europeos, Japón e incluso Estados Unidos, los que mediante subsidios y barreras arancelarias y no arancelarias protegen sus productos agrícolas. Es más en los Tratado de Libre Comercio que se han firmado existen las llamadas cláusulas de salvaguarda, que tienen por objeto, precisamente, evitar un grave deterioro de algún sector productivo. Éstas cláusulas le conceden a la agricultura una importancia estratégica.</w:t>
      </w:r>
    </w:p>
    <w:p w14:paraId="59F21A38"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Pero no es suficiente sólo pugnar por esa política externa en defensa de nuestra agricultura. Se requiere, según Zermeño, también una vigorosa política interior de apoyo a los productores agrícolas, especialmente a los campesinos que son los que poseen un gran potencial productivo, que por la falta de recursos hasta ahora no se ha realizado. Se requiere también una política agraria que tienda a superar la gran desventaja del minifundio, sin despojar a los campesinos de al tierra que actualmente les pertenece. Lo anterior junto con un gran esfuerzo de organización de los campesinos, orientados a ocupar productivamente la frontera agrícola aún existente y a un mejor uso del suelo agrícola y del agua, para incrementar los rendimientos por hectárea. Se necesita también la acción organizada de los campesinos para participar en la comercialización e industrialización de sus productos agropecuarios. Mediante la libre asociación productiva de los campesinos, con el apoyo de las instituciones públicas, se debe pugnar por superar las evidentes desventajas del minifundio sin necesidad de entregar las tierras al gran capital nacional o extranjero, que es proyecto agrario que hoy está en marcha desde el poder del Estado.</w:t>
      </w:r>
    </w:p>
    <w:p w14:paraId="37E4AE89"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La agricultura mexicana se caracteriza por su gran polarización. Por ejemplo, en la agricultura del maíz al inicio de los noventa 3% de los productores medianos y grandes, poseen las mejores tierras de riego y temporal, el 27% de la superficie cultivada, y aportan el 50% de la producción nacional de maíz que va al mercado. En el otro polo está el 51% de los productores de maíz(cerca de un millón y medio de campesinos), que poseen apenas el 20% de la superficie cultivada, constituida por las tierras de peor calidad, repartidas, en promedio, a razón de una hectárea por cada productor. En medio está el 46% de los productores de maíz, que son los campesinos con mejores condiciones productivas: aportan al mercado nacional el 40% del maíz y poseen el 50% de la tierra de cultivos.</w:t>
      </w:r>
    </w:p>
    <w:p w14:paraId="5B088F97"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Ante la situación prevaleciente al inicio de los años noventa, Zermeño prevé dos opciones:</w:t>
      </w:r>
    </w:p>
    <w:p w14:paraId="72797B2E"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La que está en marcha, de facilitar una mayor concentración de la tierra de buena calidad, a favor del 3% de los productores que son los empresarios agrícolas. Y la otra, apoyar a este vasto sector de la agricultura mexicana, dándole prioridad en el avance sobre la frontera agrícola aún existente y en la aportación de recursos técnicos y financieros, para elevar los rendimientos por hectárea. Para ello </w:t>
      </w:r>
      <w:r w:rsidRPr="007923C2">
        <w:rPr>
          <w:rFonts w:ascii="Arial" w:hAnsi="Arial" w:cs="Arial"/>
          <w:sz w:val="22"/>
          <w:szCs w:val="22"/>
        </w:rPr>
        <w:lastRenderedPageBreak/>
        <w:t>también se debe promover la libre asociación de los campesinos para que eleven y diversifiquen su actividad, incorporando a sus actuales labores agropecuarias las de transformación y comercialización de sus productos primarios. Debemos en serio impulsar esta segunda opción(5)</w:t>
      </w:r>
    </w:p>
    <w:p w14:paraId="3977800F"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CRISIS AGRÍCOLA Y  TRATADO DE LIBRE COMERCIO.</w:t>
      </w:r>
    </w:p>
    <w:p w14:paraId="38788C1A"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De la misma forma que el conjunto de la economía mexicana, el sector agropecuario ha estado sujeto, desde 1983 a una severa política de ajuste económico que, buscando reducir la inflación y el déficit fiscal, ha significado: mantenimiento de precios adversos, reducción drástica de la inversión pública y retiro de los subsidios que existían para un conjunto de insumos estratégicos para ese sector. Lo sucedido en el campo mexicano, señala José Luis Calva(6) ha sido un proceso de regresión técnica y económica, que ante los precios adversos, desplome de la inversión pública, retiro de los subsidios y negación del crédito ha causado que México dependa crecientemente del exterior para satisfacer la demanda interna de alimentos.</w:t>
      </w:r>
    </w:p>
    <w:p w14:paraId="03A39452"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El campo mexicano representa el sector más vulnerable dentro de la modernización del país, no únicamente por la dificultades que presenta en términos económicos y técnicos, sino también políticos y sociales. Al inicio de los años noventa, congruente con la política salinista neoliberal de reducir la participación del Estado en la economía, se ha buscado que el capital nacional sea el que cubra los huecos que deja el retiro estatal. Sin embargo, el remplazo es lento e insuficiente para el conjunto de la economía y para el campo en particular. Por lo que resulta explicable el apresuramiento del gobierno mexicano por promover el Tratado de Libre Comercio con Estados Unidos y Canadá a toda costa, por considerar que el capital extranjero habrá de ser la palanca de la modernización nacional. Planteamiento que se hace extensivo al campo, donde se ha hecho más evidente la insuficiente respuesta del capital nacional para invertir internamente, por lo cual se toman medidas legales que propicien que el capital extranjero fluya libremente por todos los surcos del campo nacional para lograr su modernización y correcta ubicación en el nuevo contexto del acuerdo trilateral. En este sentido resulta congruente, desde la perspectiva oficial, la modificación del artículo 27 constitucional de noviembre de 1991, que posibilita la privatización del ejido para quitar las trabas al libre flujo  del capital extranjero hacia el campo mexicano. Esto significa que el gobierno mexicano está pensando que el TLC será la clave para lograr lo que fue incapaz de realizar durante 50 años: la modernización y la justicia social en el campo mexicano.</w:t>
      </w:r>
    </w:p>
    <w:p w14:paraId="357DBD38"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Con la firma del TLC y la nueva crisis económica mexicana de 1994-1995 se profundiza la crisis de la economía mexicana y crece la pobreza en el campesinado, sin ninguna alternativa en el propio campo, ni tampoco en los otros sectores económicos afectados por la recesión y la creciente inestabilidad financiera. Ante ello urge un nuevo tipo de política económica para el campo, que sin olvidar la necesidad de elevar la eficiencia y la competitividad, considere la especificidad de la economía campesina, el papel estratégico que juega en la economía  y en la estabilidad social y política del país.</w:t>
      </w:r>
    </w:p>
    <w:p w14:paraId="33D0E65C"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Desde la crisis económica de 1982 y el establecimiento del nuevo modelo neoliberal, el sector agropecuario mexicano que ya venía sufriendo una larga crisis desde los años setenta es afectado por las políticas de ajuste antes señaladas. Como se indicó anteriormente, en el sexenio 1988-1994 se manejó al TLC como la palanca para la modernización del país y del campo, esperando una avalancha de capital y tecnología que nunca llegaron. Por el contrario, se consolidó la apertura casi total a las exportaciones agropecuarias norteamericanas, agravando la profunda crisis agropecuaria nacional en los noventa, con una creciente polarización social y regional en el país que viene a acentuarse con la nueva crisis económica de 1994-1995.</w:t>
      </w:r>
    </w:p>
    <w:p w14:paraId="7022292B"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En mayo de 1995, Sherman Robinson y Mary Burfisher(9)planteaban que dependiendo del “aterrizaje” que hiciera la economía mexicana de su crisis, suave o brusca, serían los impactos sobre la agricultura y la migración positivos o negativos. Agregando que ante la creciente interdependencia con Estados Unidos, México debería aprovechar el cambio estructural para modificar su política hacia el agro, y Estados Unidos, por su parte, debía facilitar el aumento de las exportaciones para una rápida recuperación y disminución del flujo migratorio</w:t>
      </w:r>
      <w:r w:rsidRPr="007923C2">
        <w:rPr>
          <w:rFonts w:ascii="Arial" w:hAnsi="Arial" w:cs="Arial"/>
          <w:sz w:val="22"/>
          <w:szCs w:val="22"/>
          <w:highlight w:val="yellow"/>
        </w:rPr>
        <w:t>.</w:t>
      </w:r>
      <w:r w:rsidRPr="007923C2">
        <w:rPr>
          <w:rFonts w:ascii="Arial" w:hAnsi="Arial" w:cs="Arial"/>
          <w:sz w:val="22"/>
          <w:szCs w:val="22"/>
        </w:rPr>
        <w:t xml:space="preserve"> A finales del año anterior se constataba cómo la nueva crisis económica nacional y la devaluación, no sólo no aumentaron las exportaciones del sector, sino </w:t>
      </w:r>
      <w:r w:rsidRPr="007923C2">
        <w:rPr>
          <w:rFonts w:ascii="Arial" w:hAnsi="Arial" w:cs="Arial"/>
          <w:sz w:val="22"/>
          <w:szCs w:val="22"/>
        </w:rPr>
        <w:lastRenderedPageBreak/>
        <w:t>por el contrario, profundizaron el impacto negativo sobre su funcionamiento. Hubert Cartón de Gramont(10)señala como la política gubernamental, consecuente con el  nuevo modelo económico aperturista y desregulador, ha consolidado la polarización del campo mexicano con un 15% de los productores con capacidad productiva, que son los que pueden competir en e actual marco económico; el 35% con potencial productivo que depende del respaldo de los programas gubernamentales adecuados, y el 50% de los productores sin potencial productivo que bajo el nuevo modelo deberían abandonar el sector, sin que exista ningún sector económico emergente nacional que los pueda absorber.</w:t>
      </w:r>
    </w:p>
    <w:p w14:paraId="699236FA" w14:textId="77777777" w:rsidR="00102836" w:rsidRPr="007923C2" w:rsidRDefault="00102836" w:rsidP="00295B33">
      <w:pPr>
        <w:shd w:val="clear" w:color="auto" w:fill="FFFFFF"/>
        <w:spacing w:after="0" w:line="240" w:lineRule="auto"/>
        <w:jc w:val="both"/>
        <w:rPr>
          <w:rFonts w:ascii="Arial" w:hAnsi="Arial" w:cs="Arial"/>
          <w:b/>
          <w:sz w:val="22"/>
          <w:szCs w:val="22"/>
        </w:rPr>
      </w:pPr>
    </w:p>
    <w:p w14:paraId="29540570" w14:textId="77777777" w:rsidR="00796EB0" w:rsidRPr="007923C2" w:rsidRDefault="00555C8F" w:rsidP="00295B33">
      <w:pPr>
        <w:shd w:val="clear" w:color="auto" w:fill="FFFFFF"/>
        <w:spacing w:after="0" w:line="240" w:lineRule="auto"/>
        <w:jc w:val="both"/>
        <w:rPr>
          <w:rFonts w:ascii="Arial" w:hAnsi="Arial" w:cs="Arial"/>
          <w:b/>
          <w:sz w:val="22"/>
          <w:szCs w:val="22"/>
        </w:rPr>
      </w:pPr>
      <w:r w:rsidRPr="007923C2">
        <w:rPr>
          <w:rFonts w:ascii="Arial" w:hAnsi="Arial" w:cs="Arial"/>
          <w:b/>
          <w:sz w:val="22"/>
          <w:szCs w:val="22"/>
        </w:rPr>
        <w:t>4.2.3.2.-POLÍTICA DE COMERCIO EXTERIOR</w:t>
      </w:r>
    </w:p>
    <w:p w14:paraId="176173C1"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Para cada uno de esos grupos el gobierno mexicano ha definido políticas específicas. Se considera que los productores con “capacidad productiva”(15%) pueden competir en igualdad de condiciones en el mercado abierto. Para los productores con “potencial productivo”(35%) se contempla la necesidad de programas de fomento a la producción para elevar la eficiencia productiva(que no se dan por falta de presupuesto). Para el resto de los productores agropecuarios(50%), los pobres o marginados, se abandona la idea de fomentar su producción para plantear programas de combate a la pobreza, que hasta ahora han consistido esencialmente en otorgar servicios básicos y apoyar pequeños proyectos productivos. En realidad, para esta amplia capa de la población se espera que a futuro, la política de ajuste económico permita crear más empleos en los sectores modernos del campo y la ciudad. El mismo Cartón de Gramont indica como el gobierno mexicano es optimista ya que si bien no queda duda de que hoy en día al menos el 50% de los productores del campo no tienen cabida en el modelo neoliberal, es poco probable que los productores “con potencial” logren mantenerse en las actuales condiciones de grave abandono del campo mexicano. De acuerdo a la lógica económica actual esos productores deberán ubicarse paulatinamente en uno de los polos de la estructura social, acentuando la polarización de la estructura productiva. El aumento de la cartera vencida agropecuaria a medianos de los noventa refleja esa situación.</w:t>
      </w:r>
    </w:p>
    <w:p w14:paraId="10A27354"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En el discurso todo mundo coincide en que la agricultura campesina puede ofrecer mejores ingresos, más empleos, y ser un espacio que permita al campesino y su familia una vida digna. El problema comienza cuando se pregunta cómo se logran esos resultados, ante lo cual se presentan dos opciones según Enrique Astorga Lira(11): la campesina y la neoliberal. La primera parte de que la agricultura campesina prospere en base a su realidad y a su esfuerzo, en el marco de una nueva institucionalidad y de una relación diferente hacia adentro hacia adentro y con el mercado. Ninguna salvación vendrá de afuera, ni menos del capital extranjero, ni de los consorcios nacionales o los caciques regionales. Las instituciones que por tantos años apoyaban a los campesinos, han claudicado por el peso de la burocracia, el paternalismo, la demagogia y por el neoliberalismo que las deshizo o reestructuró. Los campesinos se enfrentan, ahora solos, a una nueva realidad que amenaza su existencia.</w:t>
      </w:r>
    </w:p>
    <w:p w14:paraId="432F2A8B"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La opción neoliberal se viene instrumentando desde el inicio de los ochenta. Consiste en modernizar la agricultura, hacerla competitiva y dejar que el mercado vaya dando las pautas para el crecimiento del sector. Para ello el gobierno impulsa cuatro lineamientos principales para el sector campesino:</w:t>
      </w:r>
    </w:p>
    <w:p w14:paraId="037FE5D9" w14:textId="77777777"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      Formar empresas rentables en áreas campesinas mediante la compactación de tierras.</w:t>
      </w:r>
    </w:p>
    <w:p w14:paraId="5CA17705" w14:textId="77777777"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      Privatizar los ejidos para que los campesinos puedan rentar, vender sus tierras  asociarse con los empresarios agropecuarios.</w:t>
      </w:r>
    </w:p>
    <w:p w14:paraId="395FD5B5" w14:textId="77777777"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      Cambiar los cultivos campesinos por otros más rentables.</w:t>
      </w:r>
    </w:p>
    <w:p w14:paraId="2C9640E5" w14:textId="77777777"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      Promover la descentralización gubernamental para realizar obras, servicios y subsidios, que dejan intacta la pobreza.</w:t>
      </w:r>
    </w:p>
    <w:p w14:paraId="1B445740"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El razonamiento del gobierno es el siguiente: el minifundio es antieconómico, no tiene salvación, la única manera de hacer producir las tierras campesinas es compactándolas, haciendo empresas mayores en tierras pobres. Para que ello sea posible tienen que deshacerse de sus tierras, es decir, tienen que rentarlas, venderlas  asociarse con los empresarios locales. ¿Quiénes van a comprar las tierras de los campesinos en las regiones? Sencillamente los núcleos adinerados de las regiones que </w:t>
      </w:r>
      <w:r w:rsidRPr="007923C2">
        <w:rPr>
          <w:rFonts w:ascii="Arial" w:hAnsi="Arial" w:cs="Arial"/>
          <w:sz w:val="22"/>
          <w:szCs w:val="22"/>
        </w:rPr>
        <w:lastRenderedPageBreak/>
        <w:t>con las reformas constitucionales tienen pavimentado el camino para apropiarse de las tierras campesinas. Estos grupos dominantes podrán compactarlas, para que nazcan explotaciones mayores, aumente la producción, se incrementen los ingresos y la importación del sector en el PIB(mediante el despoblamiento de campesinos pobres y el ingreso  de las nuevas empresas).</w:t>
      </w:r>
    </w:p>
    <w:p w14:paraId="27D405B9"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El aspecto dramático en que descansan estos propósitos es que las nuevas instituciones tienen que convencer a los campesinos para que se deshagan de sus tierras. La única manera para lograrlo es empobreciendo a la gente del campo, porque de lo contrario difícilmente venderían sus tierras, por reducidas que sean sus parcelas. Si los campesinos no se deshacen de sus tierras, sencillamente no funciona el modelo. Por ese motivo se suprimieron los apoyos productivos, se les endeudó y crearon subsidios de hambre; mientras tanto se establecieron líneas de crédito blandas para los agricultores que quisieran comprar o rentar tierras. La nueva institucionalidad neoliberal forma parte de un complot orquestado para modernizar la agricultura campesina, pero, sin los campesinos. Manteniéndolos con subsidios mientras crece la demanda laboral en otros sectores. Hasta ahora no se conocen los programas adecuados para modernizar la agricultura campesina, pero sí para que pierdan sus tierras.</w:t>
      </w:r>
    </w:p>
    <w:p w14:paraId="0BEC4B06"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En el contexto de las posibilidades del TLC como un instrumento que le dé dinamismo al campo y al conjunto de los sectores económicos del país, resulta interesante el trabajo de Alain De Janvry y Elisabeth Sadoulet, “El TLC y la agricultura: una evaluación inicial”(13), en el cual, asumiendo el corto funcionamiento del Tratado, las asimetrías entre los países y los impactos macroeconómicos de la crisis de 1995, señalan entre otros elementos, los siguientes:</w:t>
      </w:r>
    </w:p>
    <w:p w14:paraId="0306DD3B"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a) Problemas de los pequeños productores para cambiar a cultivos más rentables.</w:t>
      </w:r>
    </w:p>
    <w:p w14:paraId="3961CED1" w14:textId="71632A1F"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b)</w:t>
      </w:r>
      <w:r w:rsidR="00F76242">
        <w:rPr>
          <w:rFonts w:ascii="Arial" w:hAnsi="Arial" w:cs="Arial"/>
          <w:sz w:val="22"/>
          <w:szCs w:val="22"/>
        </w:rPr>
        <w:t xml:space="preserve">  </w:t>
      </w:r>
      <w:r w:rsidRPr="007923C2">
        <w:rPr>
          <w:rFonts w:ascii="Arial" w:hAnsi="Arial" w:cs="Arial"/>
          <w:sz w:val="22"/>
          <w:szCs w:val="22"/>
        </w:rPr>
        <w:t xml:space="preserve">El TLC presenta oportunidades limitadas para los </w:t>
      </w:r>
      <w:r w:rsidR="00796EB0" w:rsidRPr="007923C2">
        <w:rPr>
          <w:rFonts w:ascii="Arial" w:hAnsi="Arial" w:cs="Arial"/>
          <w:sz w:val="22"/>
          <w:szCs w:val="22"/>
        </w:rPr>
        <w:t>P</w:t>
      </w:r>
      <w:r w:rsidRPr="007923C2">
        <w:rPr>
          <w:rFonts w:ascii="Arial" w:hAnsi="Arial" w:cs="Arial"/>
          <w:sz w:val="22"/>
          <w:szCs w:val="22"/>
        </w:rPr>
        <w:t>obres de México y para su</w:t>
      </w:r>
      <w:r w:rsidR="00796EB0" w:rsidRPr="007923C2">
        <w:rPr>
          <w:rFonts w:ascii="Arial" w:hAnsi="Arial" w:cs="Arial"/>
          <w:sz w:val="22"/>
          <w:szCs w:val="22"/>
        </w:rPr>
        <w:t>s</w:t>
      </w:r>
      <w:r w:rsidRPr="007923C2">
        <w:rPr>
          <w:rFonts w:ascii="Arial" w:hAnsi="Arial" w:cs="Arial"/>
          <w:sz w:val="22"/>
          <w:szCs w:val="22"/>
        </w:rPr>
        <w:t xml:space="preserve"> problemas estructurales.</w:t>
      </w:r>
    </w:p>
    <w:p w14:paraId="7847EC1C" w14:textId="77777777"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c)  Actualmente se ha generado una pobreza transitoria en el campo, resultado del cambio estructural, la  cual a mediano plazo desaparecerá. Sin embargo, la pobreza estructural(la de la inmensa mayoría de los campesinos) permanecerá por largo tiempo.</w:t>
      </w:r>
    </w:p>
    <w:p w14:paraId="7A39EA40" w14:textId="77777777"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 xml:space="preserve">     d)   Necesidad de programas más amplios y reformas sociales, financiados con los ingresos del avance     del comercio y la inversión extranjera directa.</w:t>
      </w:r>
    </w:p>
    <w:p w14:paraId="1ADC91AA"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La evaluación anterior  de los investigadores de la Universidad de Berkeley, California, descarta la ilusión de que el TLC podría convertirse en la alternativa para la modernización del conjunto de los sectores económicos  sociales del país. Lo que debe llevar a una revisión sería de las políticas sectoriales, sus avances, limitaciones y las necesidades del país. Análisis bajo el cual resultan muy importantes los señalamientos de la Comisión Económica para América Latina(CEPAL) cuando señala como el campo mexicano se encuentra en una “auténtica crisis” desde 1988, a consecuencia de las políticas agropecuarias impuestas a partir de entonces, pues dieron una “variación radical” a su  antiguo rumbo. Y advierte que de no haber rectificaciones  esa crisis se puede profundizar. Para dicho organismo, con dichas políticas se abandonaron los objetivos de seguridad alimentaria y la autosuficiencia, así como la protección estatal hacia los productores que desde hace décadas regulaba las políticas agrícolas. Destaca que los principales ejes sobre los que giró esa reforma fueron la reestructuración del crédito rural, la privatización de las empresas productoras de insumos, la eliminación de los subsidios por la vía de los créditos y de los insumos, la supresión de los precios de garantía, el retiro de la Conasupo como principal instrumento de comercialización, la eliminación de los permisos de importación, con la reducción de los aranceles y la creación de Procampo</w:t>
      </w:r>
    </w:p>
    <w:p w14:paraId="1ACCD657"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Asumiendo que la profunda crisis económica y social que experimenta el campo mexicano se remonta a los años setenta, no hay duda que con el nuevo modelo neoliberal establecido desde diciembre de 1983 la crisis rural se acentúa y no se le ve salida en el marco de ese modelo. Bajo esta perspectiva resulta muy importante el análisis de Blanca Rubio(15)cuando señala que al inicio del siglo XXI la característica esencial del nuevo modelo consiste en una forma de “dominio excluyente” sobre las clases explotadas, lo cual genera una enorme marginación social, así como una concentración sin precedente del capital en pocas manos. El dominio excluyente es la forma a través de la cual el capital </w:t>
      </w:r>
      <w:r w:rsidRPr="007923C2">
        <w:rPr>
          <w:rFonts w:ascii="Arial" w:hAnsi="Arial" w:cs="Arial"/>
          <w:sz w:val="22"/>
          <w:szCs w:val="22"/>
        </w:rPr>
        <w:lastRenderedPageBreak/>
        <w:t>se apropia  la riqueza: constituye el corazón del capitalismo neoliberal, su motor  de avance a la vez que el origen de sus contradicciones.</w:t>
      </w:r>
    </w:p>
    <w:p w14:paraId="3F478832"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Por dominio excluyente Blanca Rubio entiende una forma de explotación y  subordinación que no es capaz de reproducir las clases subalternas en su condición de explotados, sino que tiende a excluirlos debido a su carácter depradatorio. En el caso de los campesinos, la imposición de precios no rentables y la sustitución de producción nacional por importada desgasta la unidad productiva, con lo cual resultan excluidos de la producción y no logran reproducirse como explotados. Ella identifica tres sectores del capital que impulsan la subordinación excluyente  comandan el nuevo modelo de desarrollo: el sector especulativo financiero, el sector industrial transnacional y el sector agroalimentario transnacional.</w:t>
      </w:r>
    </w:p>
    <w:p w14:paraId="3640AFAB"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La exclusión de los campesinos y productores de alimentos para el mercado interno deriva de tres procesos: el dominio del capital financiero sobre el productivo, el cual genera que las actividades productivas se tornen marginales y por tanto, trae consigo menor inversión privada y pública que un enorme endeudamiento de los productores que de esta forma transfieren valor al sector financiero.</w:t>
      </w:r>
    </w:p>
    <w:p w14:paraId="6AA0143A"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El dominio del capital industrial transnacional por otra parte margina a los campesinos como productores de bienes baratos para la contención salarial, al separarse el establecimiento de los salarios del precio de los alimentos, a la vez que excluye a los campesinos y productores rurales como consumidores de los productos de vanguardia  industriales.</w:t>
      </w:r>
    </w:p>
    <w:p w14:paraId="1A34DE7F"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Finalmente, el capital agroindustrial multinacional subordina a los campesinos y pequeños y medianos empresarios agrícolas imponiéndoles precios bajos sin los subsidios correspondientes, con lo cual ejerce un dominio que los reproduce en la exclusión.</w:t>
      </w:r>
    </w:p>
    <w:p w14:paraId="7948776A"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De esta forma, los campesinos han perdido en el modelo neoliberal el rol de producir alimentos baratos para contener el salario y tienen ahora el de producir materias primas baratas para el ascenso de las grandes empresas agroalimentarias y el papel residual de completar el salario. Este rol apuntala el desarrollo de una industria particular, pero está ajeno al ascenso de la industria en general, por lo cual la producción rural se encuentra desvinculada del proceso de reproducción global del capital. Mientras se fortalece el dominio agroindustrial se debilita el dominio de la industria en general y este proceso genera exclusión entre los campesinos</w:t>
      </w:r>
      <w:r w:rsidR="004B6103">
        <w:rPr>
          <w:rFonts w:ascii="Arial" w:hAnsi="Arial" w:cs="Arial"/>
          <w:sz w:val="22"/>
          <w:szCs w:val="22"/>
        </w:rPr>
        <w:t>.</w:t>
      </w:r>
    </w:p>
    <w:p w14:paraId="6C1A1012"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La exclusión de que son objeto los campesinos y pequeños y medianos empresarios en la región ha generado un enorme descontento social que se expresa en dos vertientes principales: la lucha por demandas sectoriales  que enfrentan los efectos del modelo neoliberal en el campo, y la lucha contra el modelo económico neoliberal que rebasa el plano puramente sectorial y asume un carácter nacional. La primera vertiente se refiere a los movimientos contra las importaciones de alimentos, por renegociación de deudores, por la tierra, etc. que se circunscriben al plano agropecuario. La segunda vertiente corresponde al nuevo ciclo de movilizaciones campesinas que surge en los años noventa, a través de movimientos que tienen impacto a nivel nacional y pugnan por la transformación del modelo neoliberal. Se trata de luchas como las del Ejercito Zapatista de Liberación Nacional en México, de los Sin Tierra en Brasil, los cocaleros en Bolivia y el movimiento indígena en Ecuador. Ambas vertientes expresan las contradicciones del modelo de desarrollo y de la forma de dominio del capital sobre los productores rurales. Sin embargo, la lucha sectorial expresa de manera directas las contradicciones que enfrenta la subordinación excluyente del capital agroempresarial, mientras que el nuevo ciclo de  movilizaciones, por su carácter general, expresa las contradicciones de la nueva fase de desarrollo.</w:t>
      </w:r>
    </w:p>
    <w:p w14:paraId="3EE77867"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El análisis de Rubio resalta como la crisis que experimenta el campo mexicano en particular y el latinoamericano en general no es sólo una crisis coyuntural que pueda revertirse con un simple cambio en las políticas públicas, como con frecuencia se pensó años atrás. Si no que se trata de que en la nueva etapa del capitalismo neoliberal es una fase en la cual la producción campesina  y los campesinos mismos son excluidos de la dinámica de su funcionamiento. Así la sustitución de la producción nacional por la importada, la compra de insumos externos en época de cosecha, la obtención de subsidios por parte de los gobiernos latinoamericanos como un estimulo  para comprar la producción nacional, hace aparecer como si la producción nativa de materias primas resultara </w:t>
      </w:r>
      <w:r w:rsidRPr="007923C2">
        <w:rPr>
          <w:rFonts w:ascii="Arial" w:hAnsi="Arial" w:cs="Arial"/>
          <w:sz w:val="22"/>
          <w:szCs w:val="22"/>
        </w:rPr>
        <w:lastRenderedPageBreak/>
        <w:t>prescindible para las agroempresas. El avance en los Tratados de Libre Comercio que amenaza la producción campesina de los países latinoamericanos refuerza esta apreciación, como si los campesinos, sometidos a una competencia internacional desventajosa, constituyera un sector que por su ineficiencia productiva se encontrara fuera del interés de las empresas agroalimentarias. Sin embargo, la economía campesina es capaz de producir a precios bajos y sin subsidios oficiales, hecho inaudito en el que se sustenta la obtención de elevadas ganancias por las agroindustrias multinacionales.</w:t>
      </w:r>
    </w:p>
    <w:p w14:paraId="5102D69E"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El neoliberalismo mundial, en el análisis de Blanca Rubio, ha logrado erradicar la renta de la tierra, someter a los campesinos de los países subdesarrollados a una expoliación extrema del excedente y con ello abaratar las materias primas a nivel mundial. A su vez, ha logrado imponer una visión social que identifica a los campesinos como un sector retrógrado, atrasado, premoderno, inepto, carente de visión. Este perverso modelo alimentario expolia al campesino al mismo tiempo que lo denigra. Le quita su excedente y su sentido de utilidad social. Al hacer aparecer a la producción campesina de los países subdesarrollados como ineficiente, cara, sustituible y prescindible por parte de las agroindustrias multinacionales, éstas velan el proceso de explotación sobre el que sustentan su poderío. Este es el gran triunfo  ideológico del modelo actual de desarrollo. Los campesinos han perdido la dignidad de explotados que mantuvieron en las etapas anteriores, y </w:t>
      </w:r>
      <w:r w:rsidR="00625C1A" w:rsidRPr="007923C2">
        <w:rPr>
          <w:rFonts w:ascii="Arial" w:hAnsi="Arial" w:cs="Arial"/>
          <w:sz w:val="22"/>
          <w:szCs w:val="22"/>
        </w:rPr>
        <w:t>ap</w:t>
      </w:r>
      <w:r w:rsidRPr="007923C2">
        <w:rPr>
          <w:rFonts w:ascii="Arial" w:hAnsi="Arial" w:cs="Arial"/>
          <w:sz w:val="22"/>
          <w:szCs w:val="22"/>
        </w:rPr>
        <w:t>arecen como un lastre social. Aquellos a los que se les compran sus productos por caridad.</w:t>
      </w:r>
    </w:p>
    <w:p w14:paraId="74F04503"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También desde otros ámbitos ha decaído la visión del campesino. Desde la teoría han devenido un sector invisible. Abordar hoy los problemas campesinos, los mecanismos de subordinación a que están sujetos, sus luchas y reivindicaciones, se considera irrelevante, reiterativo, poco novedoso. Después de ser el centro de atención de la sociología y la antropología en los años setenta, el campesino ingresa al nuevo siglo pasado de moda, fuera de la vanguardia teórica, ajeno a los debates de la ciencia social. Como si la exclusión de que es objeto le restara méritos para ser analizado. Además de ser excluido de los engranajes económicos del sistema, es también un excluido del saber del nuevo milenio. Ha pasado a formar parte del patio trasero de la postmodernidad. Desde diversos planos se argumenta que el término campesino ya no refleja la realidad, debido a que la heterogenidad que existe en el campo impide nombrar del mismo modo a todos los productores rurales. Desde la teoría de la Nueva Ruralidad se argumenta que el hecho de que sus ingresos ya no provengan prioritariamente de la parcela impide considerarlos como campesinos, por lo que en esta nueva etapa han perdido hasta su identidad social.</w:t>
      </w:r>
    </w:p>
    <w:p w14:paraId="40946738" w14:textId="77777777" w:rsidR="000F70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Los campesinos e indígenas que impulsan la lucha contra el neoliberalismo no se van a rendir y eso lo saben los gobiernos. Tampoco pueden ser exterminados, porque una amplia franja de la población mundial está con ellos. Por eso, esta lucha es decisiva en el futuro de nuestros pueblos. Es la lucha de la esperanza. Como dijeron los indígenas de la CONAIE cuando fueron traicionados por los militares: " Nos vamos llorando, pero volveremos. Somos como la paja del páramo, que cuando se quema, vuelve a brotar”</w:t>
      </w:r>
      <w:r w:rsidR="000832C6" w:rsidRPr="007923C2">
        <w:rPr>
          <w:rFonts w:ascii="Arial" w:hAnsi="Arial" w:cs="Arial"/>
          <w:sz w:val="22"/>
          <w:szCs w:val="22"/>
        </w:rPr>
        <w:t>.</w:t>
      </w:r>
    </w:p>
    <w:p w14:paraId="1848B52D" w14:textId="77777777" w:rsidR="003E6614" w:rsidRPr="007923C2" w:rsidRDefault="003E6614" w:rsidP="00295B33">
      <w:pPr>
        <w:shd w:val="clear" w:color="auto" w:fill="FFFFFF"/>
        <w:spacing w:after="0" w:line="240" w:lineRule="auto"/>
        <w:jc w:val="both"/>
        <w:rPr>
          <w:rFonts w:ascii="Arial" w:hAnsi="Arial" w:cs="Arial"/>
          <w:sz w:val="22"/>
          <w:szCs w:val="22"/>
        </w:rPr>
      </w:pPr>
    </w:p>
    <w:p w14:paraId="385B2D0E"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TRATADO DE LIBRE COMERCIO Y MIGRACIÓN.</w:t>
      </w:r>
    </w:p>
    <w:p w14:paraId="1CDC4449"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Al inicio de las negociaciones del TLC uno de los temas más controvertidos fue el de sus impactos posible sobre la migración tanto en la opinión pública, como en el ámbito gubernamental y académico. En este, de acuerdo con la teoría económica convencional, se planteaba que la reducción y eliminación de las barreras arancelarias y no arancelarias permitirían usar y asignar con más eficacia los recursos productivos en función de la totalidad de los mismos. En un mercado abierto y ampliado, como el que supuestamente existiría en el TLC, se obtendrían beneficios adicionales por la explotación de las economías de escala. En ese marco se esperaba que México lograra un uso más eficiente y pleno del factor trabajo. Se esperaba, además, una reducción de la brecha de los salarios e ingresos entre los países firmantes. De hecho la mayoría de los ejercicios econométricos sobre los efectos del TLC estimaban que los beneficios de la integración serían mayores para México que para los otros dos países</w:t>
      </w:r>
      <w:r w:rsidR="004B6103">
        <w:rPr>
          <w:rFonts w:ascii="Arial" w:hAnsi="Arial" w:cs="Arial"/>
          <w:sz w:val="22"/>
          <w:szCs w:val="22"/>
        </w:rPr>
        <w:t>.</w:t>
      </w:r>
    </w:p>
    <w:p w14:paraId="493461F6"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lastRenderedPageBreak/>
        <w:t>La reducción de las presiones para emigrar a Estados Unidos, como resultado del TLC, se hace depender de los incrementos esperados del empleo y de los salarios en la economía mexicana, provenientes de la mayor inversión productiva en México. En términos generales se argumentaba que el potencial de crecimiento económico  y de generación de empleos sería mayor en una economía abierta, orientada al exterior, que en una economía cerrada.</w:t>
      </w:r>
    </w:p>
    <w:p w14:paraId="799EF21B"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Dentro de los modelos econométricos empleados para medir los posibles impactos del TLC sobre la migración destaca el modelo de equilibrio general computable  elaborado por Santiago Levy y Sweder van Wijnbergen que ofrece una explicación detallada de los sectores agrícolas y de la migración del campo a las ciudades. Explícitamente se modelan las políticas de apoyo agrícola, incluso la protección para el sector del maíz y los subsidios para la alimentación de los sectores urbanos pobres. Incluyen  migración de zonas rurales a urbanas y la migración se ajusta para mantener un diferencial de los ingresos reales explicados exógenamente entre los hogares rurales y urbanos. Se exploran varios escenarios en los que se liberaliza el sector del maíz, al permitir el libre comercio, y se simulan diversas políticas compensatorias diseñadas para atenuar el efecto sobre los pobres. En su análisis, la liberación del sector maíz produce un nivel significativo de migración del campo a las ciudades entre 650 mil y 700 mil trabajadores. El empleo rural total se estimaba en 6 millones, de los cuales el 29%(1.7 millones)correspondía al sector del maíz. Sin compensación, los autores concluyen que los efectos distributivos de la liberación comercial son regresivos, pero es posible diseñar paquetes de compensación viables que equilibren en gran medida las pérdidas de ingreso de los pobres. Con base en varios escenarios simulados, argumentan que se pueden diseñar programas de ajustes específicamente dirigidos, con los que se logran ganancias sustanciales en eficiencia por la liberalización comercial y se mitiga el impacto distributivo regresivo de la eliminación de la protección a los productores de maíz de bajos ingresos</w:t>
      </w:r>
      <w:r w:rsidR="004B6103">
        <w:rPr>
          <w:rFonts w:ascii="Arial" w:hAnsi="Arial" w:cs="Arial"/>
          <w:sz w:val="22"/>
          <w:szCs w:val="22"/>
        </w:rPr>
        <w:t>.</w:t>
      </w:r>
    </w:p>
    <w:p w14:paraId="61BAEA8C"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En una versión dinámica de su modelo, los autores señalados exploran diferentes trayectorias de transición hacia el libre comercio a través de un periodo de ajuste de nueve años. Exploran el efecto de introducir la liberalización comercial y los cambios y los cambios en las políticas internas de inmediato o gradualmente, analizando el efecto de la velocidad de la reforma sobre la migración. Concluyen que si la liberalización se realiza de golpe, en el primer año los beneficios en eficiencia son elevados, pero la migración es también muy alta con 700 mil migrantes del sector rural en un solo año. Este movimiento migratorio ejercería fuertes presiones sobre el sistema social y político. En todas las perspectivas de liberalización, la migración acumulativa del campo a las ciudades durante los nueve años sería de 1.9 millones de trabajadores. No obstante, un panorama de liberalización gradual permite que la migración se distribuya con regularidad a lo largo del tiempo, con tasas anuales de aproximadamente 200 mil migrantes. En un escenario base sin liberalización, el modelo genera una migración acumulativa de 1.2 millones de trabajadores del sector rural. Su modelo incluye las  tendencias demográficas implícitas. Destacando como México enfrenta cambios estructurales importantes en sus mercados laborales con   o sin liberalización comercia</w:t>
      </w:r>
    </w:p>
    <w:p w14:paraId="5AC4D6B2"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Sherman Robinson y sus colegas estimaron la cantidad de crecimiento que requiere México para absorber la fuerza de trabajo que deja la agricultura, sin que aumente la migración a los Estados Unidos. Por ejemplo, un aumento de 25% en el acervo de capital agregado de México en relación con el de Estados Unidos, según sus cálculos, eliminaría el aumento en la emigración al país vecino inducida por la liberalización total. Este diferencial de crecimiento es coherente con la experiencia de otros países semiindustrializados que han adoptado con éxito una estrategia de desarrollo abierta. El problema político para México, destacan, es que la liberalización del comercio del maíz libera fuerza de trabajo rápidamente, mientras que el crecimiento adicional requerido para absorber es mano de obra en la industria toma tiempo. Los resultados, congruentes con los de Levy y Van Wijnbergen, indican que México requerirá un periodo de transición largo y que deberá asignar recursos a la agricultura durante la transición. La introducción inadecuadamente rápida del libre comercio en la agricultura puede no ser deseable para ninguno de los dos países, si se sopesan los costos sociales y económicos de una mayor migración con los del crecimiento comercia.</w:t>
      </w:r>
    </w:p>
    <w:p w14:paraId="4C6D62B3"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lastRenderedPageBreak/>
        <w:t>Sin embargo, Francisco Alba(23) destaca que el conocimiento de los sistemas migratorios ha apuesto en claro que los factores económicos de empleo, salario e ingreso son apenas una parte del conjunto de elementos que alientan las corrientes migratorias internacionales. En este conglomerado de fuerzas se pueden apreciar tres grupos diferentes, si bien interrelacionados. Uno se refiere a los factores económicos, incluidas las relaciones comerciales y la integración económica. Otro comprende los numerosos factores sociales que ligan al migrante con la familia, los amigos, las comunidades de origen y las de destino. El tercero lo conforman los factores políticos, entre los cuales figuran las políticas migratorias de los estados nacionales. A partir de estos elementos, Alba en 1993 presenta varios escenarios posibles sobre el futuro de los impactos del TLC y la migración:</w:t>
      </w:r>
    </w:p>
    <w:p w14:paraId="1B70466B" w14:textId="77777777"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a) Aprovechar los programas de trabajadores temporales H2A y H2B, subutilizados al inicio de los noventa, con 5000 trabajadores en 1991 para el primero y 2000 para el segundo.</w:t>
      </w:r>
    </w:p>
    <w:p w14:paraId="3D4A4519" w14:textId="77777777"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b) A partir de la intensificación de los nexos regionales se pueden considerar arreglos para el manejo del fenómeno migratorio.</w:t>
      </w:r>
    </w:p>
    <w:p w14:paraId="65499BD5" w14:textId="77777777"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c) Extender la liberalización del movimiento de personas en e TLC, aprovechando que ya existe para categorías de trabajadores altamente calificados.</w:t>
      </w:r>
    </w:p>
    <w:p w14:paraId="53EC2CB8" w14:textId="77777777"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d) Creación de fondos específicos para el desarrollo regional en México como la estrategia más adecuada para prevenir migraciones masivas como lo indica la experiencia Europea.</w:t>
      </w:r>
    </w:p>
    <w:p w14:paraId="267C6FBA" w14:textId="0453D93B"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A finales de los años noventa era evidente que los escenarios optimistas de los impactos positivos del TLC sobre el empleo e ingreso de los mexicanos no se había cumplido. Sin embargo, como se señaló en el Taller Regional sobre Migración, los Acuerdos de Libre Comercio y sus Impactos en la Migración en noviembre del 2000</w:t>
      </w:r>
      <w:r w:rsidR="00F76242">
        <w:rPr>
          <w:rFonts w:ascii="Arial" w:hAnsi="Arial" w:cs="Arial"/>
          <w:sz w:val="22"/>
          <w:szCs w:val="22"/>
        </w:rPr>
        <w:t xml:space="preserve"> </w:t>
      </w:r>
      <w:r w:rsidRPr="007923C2">
        <w:rPr>
          <w:rFonts w:ascii="Arial" w:hAnsi="Arial" w:cs="Arial"/>
          <w:sz w:val="22"/>
          <w:szCs w:val="22"/>
        </w:rPr>
        <w:t>(24) es difícil evaluar con claridad los impactos que el TLC ha provocado sobre la economía, el empleo y la migración en México, debido a que el Tratado forma solamente una parte del nuevo modelo económico instaurado desde 1982; el cual junto con el ingreso al GATT en 1986, el  crecimiento sostenido de la economía norteamericana de los últimos doce años y la crisis económica de 1994-1995, conforman la compleja red de factores que pueden explicar el aumento en la migración de mexicanos hacia el exterior.</w:t>
      </w:r>
    </w:p>
    <w:p w14:paraId="0ED70718"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En la negociación del TLC  fueron notorias las asimetrías en lo económico entre los países participantes, al igual que en cuanto a experiencia, capacidad y perspectivas de los equipos negociadores. México negoció en condiciones de desigualdad económica y política, pues en aquel momento se encontraba saliendo de la profunda crisis de la deuda externa, enfrentando un gran inflación, una fuerte caída del mercado interno y del empleo, así como una creciente dependencia del capital externo y un fuerte cuestionamiento a su sistema político vigente. El TLC desde su inicio es parcial, pues excluye los temas sociales de movilidad de mano de obra, el empleo, los mecanismos binacionales de compensación y la creación de fondos estructurales para el desarrollo regional como se hizo en la experiencia de la Europa comunitaria. Los impactos que ha tenido el TLC sobre la planta productiva y el empleo, sumados a la liberalización comercial de 1986 con la entrada al GATT, se manifiestan de manera diferencial por sectores y regiones. La pequeña y mediana empresa textil, del juguete, del calzado  el sector agropecuario en su conjunto, son los que sufren las principales impactos negativos de quiebras masivas y desempleo. Los impactos regionales positivos se dan en el Norte del país y en la frontera con Estados Unidos, beneficiando al sector maquilador y automotriz, consolidando una tendencia iniciada hace treinta años.</w:t>
      </w:r>
    </w:p>
    <w:p w14:paraId="6A37D2FF" w14:textId="77777777"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d)      Las organizaciones civiles deben promover y defender la obligación del Estado como promotor del desarrollo económico, del empleo y bienestar, diseñando y difundiendo propuestas de pequeña, mediana y gran escala que incidan a nivel microregional, regional, estatal, nacional e internacional. Estas propuestas deberán hacerse llegar a los Municipios, Congresos  locales y Nacionales, para que formen parte de los respectivos Planes de Desarrollo Municipal, Estatal y Federal, para que tengan el soporte técnico y financiero necesario y permitan la construcción de un futuro diferente en el que exista democracia, empleo y bienestar para todos.</w:t>
      </w:r>
    </w:p>
    <w:p w14:paraId="1FC16A8D" w14:textId="77777777" w:rsidR="00F76242" w:rsidRDefault="00F76242" w:rsidP="00295B33">
      <w:pPr>
        <w:shd w:val="clear" w:color="auto" w:fill="FFFFFF"/>
        <w:spacing w:after="0" w:line="240" w:lineRule="auto"/>
        <w:jc w:val="both"/>
        <w:rPr>
          <w:rFonts w:ascii="Arial" w:hAnsi="Arial" w:cs="Arial"/>
          <w:sz w:val="22"/>
          <w:szCs w:val="22"/>
        </w:rPr>
      </w:pPr>
    </w:p>
    <w:p w14:paraId="5A216CF3" w14:textId="77777777" w:rsidR="00F76242" w:rsidRDefault="00F76242" w:rsidP="00295B33">
      <w:pPr>
        <w:shd w:val="clear" w:color="auto" w:fill="FFFFFF"/>
        <w:spacing w:after="0" w:line="240" w:lineRule="auto"/>
        <w:jc w:val="both"/>
        <w:rPr>
          <w:rFonts w:ascii="Arial" w:hAnsi="Arial" w:cs="Arial"/>
          <w:sz w:val="22"/>
          <w:szCs w:val="22"/>
        </w:rPr>
      </w:pPr>
    </w:p>
    <w:p w14:paraId="7AA67213"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lastRenderedPageBreak/>
        <w:t>CONCLUSIONES.</w:t>
      </w:r>
    </w:p>
    <w:p w14:paraId="5E734341"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En el contexto anteriormente descrito siguen vigente las dos formas de lucha descritas por Blanca Rubio para los campesinos latinoamericanos en general, y los mexicanos en particular:</w:t>
      </w:r>
    </w:p>
    <w:p w14:paraId="06E7F44D" w14:textId="77777777"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1.- La lucha por las demandas sectoriales que permitan enfrentar los efectos del TLC sobre la producción del maíz y otros cultivos básicos relevantes para la población con un nuevo tipo de políticas públicas que protejan el tejido productivo y social del campo en forma equivalente como lo hace Estados Unidos y la Unión Europea, reconociendo que el campo es más que un simple espacio económico, al constituir en el caso mexicano y latinoamericano una parte importante del tejido social y político nacional, que de no conducirse con un nuevo tipo de políticas públicas pueden llevar a estallidos sociales y a la ingobernabilidad. En esta perspectiva debe ubicarse una propuesta alternativa de fortalecimiento de la producción de cultivo básicos en la región, con un enfoque de integralidad del desarrollo regional y local; de nuevas políticas estatales que apoyen y refuercen los proyectos emergentes de desarrollo local que organizaciones de campesinos y migrantes como en San Juan Mixtepec, en Oaxaca, y la Fundación para el Desarrollo del Sur de Zacatecas están planteando hoy de manera binacional para fortalecer el tejido económico y social de sus regiones.</w:t>
      </w:r>
    </w:p>
    <w:p w14:paraId="0B93DFBB" w14:textId="77777777" w:rsidR="000F70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2.- La lucha por el cambio  del modelo neoliberal actual, respondiendo al reclamo de millones de productores rurales y ciudadanos de Latinoamérica, así como al análisis contundente de Joseph Stiglitz. Por sus resultados ese modelo no es alternativa para la mayoría de la población, la recesión económica actual en Estados Unidos y otros paísesmuestra que  no se puede revertir sin la regulación estatal: ciertamente una regulación eficiente que no reproduzca los derroches del pasado, ni el subsidio a la especulación rapaz del presente. Esto significa, entre otras cosas, plantearse con toda seriedad la posibilidad de una Comunidad Económica de Norteamérica como lo propuso el presidente Fox en Bruselas el 13 de mayo pasado(30) y una política agropecuaria común en Norteamérica como planteó el Consejo Nacional Agropecuario de México el 11 de abril(31). Ello implica un cambio radical en la concepción de las relaciones entre los países del TLC, especialmente con Estados Unidos, que revierta sus políticas proteccionistas vía enormes subsidios que arruinan a los productores latinoamericanos; que se acepte la corresponsabilidad del fenómeno migratorio, y se retome la “enchilada”(la Agenda Migratoria Binacional) bajo el enfoque de una integración económica con equidad como en la Unión Europea, que tenga el soporte de los fondos estructurales para reducir las asimetrías económicas y sociales cuando la integración se lleve a cabo. </w:t>
      </w:r>
    </w:p>
    <w:p w14:paraId="42FAAD6C" w14:textId="77777777" w:rsidR="00945625" w:rsidRPr="007923C2" w:rsidRDefault="00945625" w:rsidP="00295B33">
      <w:pPr>
        <w:shd w:val="clear" w:color="auto" w:fill="FFFFFF"/>
        <w:spacing w:after="0" w:line="240" w:lineRule="auto"/>
        <w:jc w:val="both"/>
        <w:rPr>
          <w:rFonts w:ascii="Arial" w:hAnsi="Arial" w:cs="Arial"/>
          <w:sz w:val="22"/>
          <w:szCs w:val="22"/>
        </w:rPr>
      </w:pPr>
    </w:p>
    <w:p w14:paraId="25DBF3AF" w14:textId="77777777" w:rsidR="00801722" w:rsidRPr="007923C2" w:rsidRDefault="00801722" w:rsidP="00295B33">
      <w:pPr>
        <w:widowControl w:val="0"/>
        <w:autoSpaceDE w:val="0"/>
        <w:autoSpaceDN w:val="0"/>
        <w:adjustRightInd w:val="0"/>
        <w:spacing w:after="0" w:line="240" w:lineRule="auto"/>
        <w:jc w:val="both"/>
        <w:rPr>
          <w:rFonts w:ascii="Arial" w:hAnsi="Arial" w:cs="Arial"/>
          <w:b/>
          <w:sz w:val="22"/>
          <w:szCs w:val="22"/>
        </w:rPr>
      </w:pPr>
      <w:r w:rsidRPr="007923C2">
        <w:rPr>
          <w:rFonts w:ascii="Arial" w:hAnsi="Arial" w:cs="Arial"/>
          <w:b/>
          <w:sz w:val="22"/>
          <w:szCs w:val="22"/>
        </w:rPr>
        <w:t>4.2.3.3-REGLAMENTACIÓN</w:t>
      </w:r>
      <w:r w:rsidR="001278DD">
        <w:rPr>
          <w:rFonts w:ascii="Arial" w:hAnsi="Arial" w:cs="Arial"/>
          <w:b/>
          <w:sz w:val="22"/>
          <w:szCs w:val="22"/>
        </w:rPr>
        <w:t xml:space="preserve"> </w:t>
      </w:r>
      <w:r w:rsidRPr="007923C2">
        <w:rPr>
          <w:rFonts w:ascii="Arial" w:hAnsi="Arial" w:cs="Arial"/>
          <w:b/>
          <w:sz w:val="22"/>
          <w:szCs w:val="22"/>
        </w:rPr>
        <w:t>PARA IMPORTACIONES Y EXPORTACIONES</w:t>
      </w:r>
      <w:r w:rsidR="00516F67" w:rsidRPr="007923C2">
        <w:rPr>
          <w:rFonts w:ascii="Arial" w:hAnsi="Arial" w:cs="Arial"/>
          <w:b/>
          <w:sz w:val="22"/>
          <w:szCs w:val="22"/>
        </w:rPr>
        <w:t>.</w:t>
      </w:r>
    </w:p>
    <w:p w14:paraId="02204630" w14:textId="77777777" w:rsidR="00D52CD1" w:rsidRPr="007923C2" w:rsidRDefault="00D52CD1" w:rsidP="00295B33">
      <w:pPr>
        <w:widowControl w:val="0"/>
        <w:autoSpaceDE w:val="0"/>
        <w:autoSpaceDN w:val="0"/>
        <w:adjustRightInd w:val="0"/>
        <w:spacing w:after="0" w:line="240" w:lineRule="auto"/>
        <w:jc w:val="both"/>
        <w:rPr>
          <w:rFonts w:ascii="Arial" w:hAnsi="Arial" w:cs="Arial"/>
          <w:b/>
          <w:sz w:val="22"/>
          <w:szCs w:val="22"/>
        </w:rPr>
      </w:pPr>
    </w:p>
    <w:p w14:paraId="2B314919"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IMPORTACIÓN Y EXPORTACIÓN EN MÉXICO</w:t>
      </w:r>
    </w:p>
    <w:p w14:paraId="1CCE1DA0"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2A534FEE" w14:textId="77777777" w:rsidR="00D52CD1" w:rsidRPr="007923C2" w:rsidRDefault="00D52CD1" w:rsidP="00295B33">
      <w:pPr>
        <w:widowControl w:val="0"/>
        <w:tabs>
          <w:tab w:val="left" w:pos="340"/>
        </w:tabs>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1.</w:t>
      </w:r>
      <w:r w:rsidRPr="007923C2">
        <w:rPr>
          <w:rFonts w:ascii="Arial" w:hAnsi="Arial" w:cs="Arial"/>
          <w:sz w:val="22"/>
          <w:szCs w:val="22"/>
        </w:rPr>
        <w:tab/>
      </w:r>
      <w:r w:rsidRPr="007923C2">
        <w:rPr>
          <w:rFonts w:ascii="Arial" w:hAnsi="Arial" w:cs="Arial"/>
          <w:i/>
          <w:iCs/>
          <w:sz w:val="22"/>
          <w:szCs w:val="22"/>
        </w:rPr>
        <w:t>Importaciones</w:t>
      </w:r>
    </w:p>
    <w:p w14:paraId="592E17E7"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Esta actividad posee una amplia regulación jurídica, la cual tiene como objetivo dar los fundamentos de una competencia leal en relación con los productos nacionales; ahora estudiaremos los ordenamientos jurídicos que regulan de manera específica la actividad importadora.</w:t>
      </w:r>
    </w:p>
    <w:p w14:paraId="5857ECD5"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40258125"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A. </w:t>
      </w:r>
      <w:r w:rsidRPr="007923C2">
        <w:rPr>
          <w:rFonts w:ascii="Arial" w:hAnsi="Arial" w:cs="Arial"/>
          <w:i/>
          <w:iCs/>
          <w:sz w:val="22"/>
          <w:szCs w:val="22"/>
        </w:rPr>
        <w:t>Concepto</w:t>
      </w:r>
    </w:p>
    <w:p w14:paraId="79D83324"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importación es la operación mediante la cual se somete a una mercancía extranjera a la regulación y fiscalización tributaria, para poderla después libremente destinar a una función económica de uso, producción o consumo.</w:t>
      </w:r>
    </w:p>
    <w:p w14:paraId="762EEFF3"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01B8317F"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Esta operación puede recaer en distintos tipos de objetos transportables y se materializa al momento de pasar la línea aduanera (territorio aduanero) e introducirla a consumo en el interior del país.</w:t>
      </w:r>
    </w:p>
    <w:p w14:paraId="124F7E20"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0EA652D1"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Según su destino o función, se distinguen las importaciones definitivas y las temporales, conocidas también como de “perfeccionamiento industrial” o de régimen suspensivo.</w:t>
      </w:r>
    </w:p>
    <w:p w14:paraId="1DC3E775"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7F932A93"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Las diferentes legislaciones que regulan la materia de comercio exterior no nos dan un concepto, propiamente dicho, de lo que ha de entenderse por importación, limitándose tan sólo en señalar los actos o actividades que, para efectos de cada una de ellas, se entiende por importación, resultando de fundamental importancia la Ley Aduanera.</w:t>
      </w:r>
    </w:p>
    <w:p w14:paraId="4BD536A6"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4D9E51D9"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En el derecho económico mexicano, las importaciones están reguladas por los siguientes cuerpos normativos: Ley Aduanera y su Reglamento </w:t>
      </w:r>
    </w:p>
    <w:p w14:paraId="4DB6DFFA"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7BBB541B"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Tarifa del Impuesto General de Importación, la Ley de Comercio Exterior, decretos y acuerdos específicos.</w:t>
      </w:r>
    </w:p>
    <w:p w14:paraId="5C968B4A"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p>
    <w:p w14:paraId="166A7CE9"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B. </w:t>
      </w:r>
      <w:r w:rsidRPr="007923C2">
        <w:rPr>
          <w:rFonts w:ascii="Arial" w:hAnsi="Arial" w:cs="Arial"/>
          <w:i/>
          <w:iCs/>
          <w:sz w:val="22"/>
          <w:szCs w:val="22"/>
        </w:rPr>
        <w:t>Regímenes de importación</w:t>
      </w:r>
    </w:p>
    <w:p w14:paraId="0E46C71F"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4C51A6E2"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Como ya habíamos mencionado en el capítulo anterior, el título cuarto de la Ley Aduanera está determinado a los regímenes aduaneros. Por lo que respecta a las mercancías que se introduzcan al territorio nacional, éstas pueden ser destinadas a los regímenes aduaneros siguientes:</w:t>
      </w:r>
    </w:p>
    <w:p w14:paraId="737C15E6"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7A6104AC"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i/>
          <w:iCs/>
          <w:sz w:val="22"/>
          <w:szCs w:val="22"/>
        </w:rPr>
        <w:t xml:space="preserve">a)  </w:t>
      </w:r>
      <w:r w:rsidRPr="007923C2">
        <w:rPr>
          <w:rFonts w:ascii="Arial" w:hAnsi="Arial" w:cs="Arial"/>
          <w:sz w:val="22"/>
          <w:szCs w:val="22"/>
        </w:rPr>
        <w:t>Importación definitiva</w:t>
      </w:r>
    </w:p>
    <w:p w14:paraId="76FD3EE1"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6C623C71"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El artículo 96 de la Ley Aduanera señala textualmente: “Se entiende por régimen de importación definitiva la entrada de mercancía de procedencia extranjera para permanecer en el territorio nacional por tiempo ilimitado.”</w:t>
      </w:r>
    </w:p>
    <w:p w14:paraId="0FB59AE3"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4503B63B"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Dos comentarios nos merece tal definición:</w:t>
      </w:r>
    </w:p>
    <w:p w14:paraId="3A72BF04"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5F16BE2A" w14:textId="77777777" w:rsidR="00D52CD1" w:rsidRPr="007923C2" w:rsidRDefault="00D52CD1" w:rsidP="00295B33">
      <w:pPr>
        <w:widowControl w:val="0"/>
        <w:numPr>
          <w:ilvl w:val="0"/>
          <w:numId w:val="130"/>
        </w:numPr>
        <w:tabs>
          <w:tab w:val="clear" w:pos="720"/>
          <w:tab w:val="num" w:pos="600"/>
        </w:tabs>
        <w:overflowPunct w:val="0"/>
        <w:autoSpaceDE w:val="0"/>
        <w:autoSpaceDN w:val="0"/>
        <w:adjustRightInd w:val="0"/>
        <w:spacing w:after="0" w:line="240" w:lineRule="auto"/>
        <w:ind w:left="284" w:hanging="284"/>
        <w:jc w:val="both"/>
        <w:rPr>
          <w:rFonts w:ascii="Arial" w:hAnsi="Arial" w:cs="Arial"/>
          <w:sz w:val="22"/>
          <w:szCs w:val="22"/>
        </w:rPr>
      </w:pPr>
      <w:r w:rsidRPr="007923C2">
        <w:rPr>
          <w:rFonts w:ascii="Arial" w:hAnsi="Arial" w:cs="Arial"/>
          <w:sz w:val="22"/>
          <w:szCs w:val="22"/>
        </w:rPr>
        <w:t xml:space="preserve">Utiliza el concepto de procedencia, que se refiere al lugar de expedición de la mercancía, dato geográfico que no tiene valor jurídico-aduanal. </w:t>
      </w:r>
    </w:p>
    <w:p w14:paraId="068A3691" w14:textId="77777777" w:rsidR="00D52CD1" w:rsidRPr="007923C2" w:rsidRDefault="00D52CD1" w:rsidP="00295B33">
      <w:pPr>
        <w:widowControl w:val="0"/>
        <w:autoSpaceDE w:val="0"/>
        <w:autoSpaceDN w:val="0"/>
        <w:adjustRightInd w:val="0"/>
        <w:spacing w:after="0" w:line="240" w:lineRule="auto"/>
        <w:ind w:left="284" w:hanging="284"/>
        <w:jc w:val="both"/>
        <w:rPr>
          <w:rFonts w:ascii="Arial" w:hAnsi="Arial" w:cs="Arial"/>
          <w:sz w:val="22"/>
          <w:szCs w:val="22"/>
        </w:rPr>
      </w:pPr>
    </w:p>
    <w:p w14:paraId="7F5BFBF7" w14:textId="77777777" w:rsidR="00D52CD1" w:rsidRPr="007923C2" w:rsidRDefault="00D52CD1" w:rsidP="00295B33">
      <w:pPr>
        <w:widowControl w:val="0"/>
        <w:numPr>
          <w:ilvl w:val="0"/>
          <w:numId w:val="130"/>
        </w:numPr>
        <w:tabs>
          <w:tab w:val="clear" w:pos="720"/>
          <w:tab w:val="num" w:pos="600"/>
        </w:tabs>
        <w:overflowPunct w:val="0"/>
        <w:autoSpaceDE w:val="0"/>
        <w:autoSpaceDN w:val="0"/>
        <w:adjustRightInd w:val="0"/>
        <w:spacing w:after="0" w:line="240" w:lineRule="auto"/>
        <w:ind w:left="284" w:hanging="284"/>
        <w:jc w:val="both"/>
        <w:rPr>
          <w:rFonts w:ascii="Arial" w:hAnsi="Arial" w:cs="Arial"/>
          <w:sz w:val="22"/>
          <w:szCs w:val="22"/>
        </w:rPr>
      </w:pPr>
      <w:r w:rsidRPr="007923C2">
        <w:rPr>
          <w:rFonts w:ascii="Arial" w:hAnsi="Arial" w:cs="Arial"/>
          <w:sz w:val="22"/>
          <w:szCs w:val="22"/>
        </w:rPr>
        <w:t xml:space="preserve">Omite el uso o consumo, por el factor de permanencia ilimitada, con lo cual se diferencia de las importaciones temporales. </w:t>
      </w:r>
    </w:p>
    <w:p w14:paraId="06DE21C7"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12C28A44"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importación definitiva se sujeta al pago de los impuestos de importación respectivos, así como al cumplimiento de las obligaciones en materia de restricciones o regulaciones no arancelarias y de las formalidades para su despacho aduanero.</w:t>
      </w:r>
    </w:p>
    <w:p w14:paraId="4C3F044E"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2895079E"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i/>
          <w:iCs/>
          <w:sz w:val="22"/>
          <w:szCs w:val="22"/>
        </w:rPr>
        <w:t xml:space="preserve">b)  </w:t>
      </w:r>
      <w:r w:rsidRPr="007923C2">
        <w:rPr>
          <w:rFonts w:ascii="Arial" w:hAnsi="Arial" w:cs="Arial"/>
          <w:sz w:val="22"/>
          <w:szCs w:val="22"/>
        </w:rPr>
        <w:t>Importación temporal</w:t>
      </w:r>
    </w:p>
    <w:p w14:paraId="785205B9"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7DB2756D"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Por otra parte, la importación temporal consiste en la entrada al país de mercancías para permanecer en él por tiempo limitado y con una finalidad específica, pudiendo destinarse a la elaboración, transformación o reparación en programas de maquila o de exportación, siempre que retornen al extranjero después de cumplir con su finalidad y dentro del plazo determinado al momento de efectuar la importación.</w:t>
      </w:r>
    </w:p>
    <w:p w14:paraId="424FD41A"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0B88CCE1"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En las importaciones temporales de mercancías de procedencia extranjera no se pagan los impuestos al comercio exterior, ni las cuotas compensatorias, debiendo cumplir únicamente con las obligaciones de </w:t>
      </w:r>
      <w:r w:rsidRPr="007923C2">
        <w:rPr>
          <w:rFonts w:ascii="Arial" w:hAnsi="Arial" w:cs="Arial"/>
          <w:i/>
          <w:iCs/>
          <w:sz w:val="22"/>
          <w:szCs w:val="22"/>
        </w:rPr>
        <w:t xml:space="preserve">regulación y restricción no arancelaria, </w:t>
      </w:r>
      <w:r w:rsidRPr="007923C2">
        <w:rPr>
          <w:rFonts w:ascii="Arial" w:hAnsi="Arial" w:cs="Arial"/>
          <w:sz w:val="22"/>
          <w:szCs w:val="22"/>
        </w:rPr>
        <w:t>así como las formalidades del despacho de las mercancías destinadas a este régimen.</w:t>
      </w:r>
    </w:p>
    <w:p w14:paraId="1A2888A4"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Podemos hablar de dos tipos de importaciones temporales:</w:t>
      </w:r>
    </w:p>
    <w:p w14:paraId="200EB833"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6FBD2DFA"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i/>
          <w:iCs/>
          <w:sz w:val="22"/>
          <w:szCs w:val="22"/>
        </w:rPr>
        <w:lastRenderedPageBreak/>
        <w:t>1) Para retornar al extranjero en el mismo Estado</w:t>
      </w:r>
    </w:p>
    <w:p w14:paraId="4799CB87"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7221CFAF"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Es la entrada de mercancías al país, para permanecer en él por tiempo limitado y con una finalidad específica, siempre que retornen al extranjero en el mismo estado.</w:t>
      </w:r>
    </w:p>
    <w:p w14:paraId="16295E05"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4C089997" w14:textId="77777777"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Los plazos por los que pueden permanecer las mercancías en el país son los siguientes:</w:t>
      </w:r>
    </w:p>
    <w:p w14:paraId="00F92368" w14:textId="77777777"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14:paraId="70CFEF52" w14:textId="77777777" w:rsidR="00D52CD1" w:rsidRPr="007923C2" w:rsidRDefault="00D52CD1" w:rsidP="00295B33">
      <w:pPr>
        <w:widowControl w:val="0"/>
        <w:numPr>
          <w:ilvl w:val="0"/>
          <w:numId w:val="131"/>
        </w:numPr>
        <w:tabs>
          <w:tab w:val="clear" w:pos="720"/>
          <w:tab w:val="num" w:pos="620"/>
        </w:tabs>
        <w:overflowPunct w:val="0"/>
        <w:autoSpaceDE w:val="0"/>
        <w:autoSpaceDN w:val="0"/>
        <w:adjustRightInd w:val="0"/>
        <w:spacing w:after="0" w:line="240" w:lineRule="auto"/>
        <w:ind w:left="426" w:hanging="426"/>
        <w:jc w:val="both"/>
        <w:rPr>
          <w:rFonts w:ascii="Arial" w:hAnsi="Arial" w:cs="Arial"/>
          <w:sz w:val="22"/>
          <w:szCs w:val="22"/>
        </w:rPr>
      </w:pPr>
      <w:r w:rsidRPr="007923C2">
        <w:rPr>
          <w:rFonts w:ascii="Arial" w:hAnsi="Arial" w:cs="Arial"/>
          <w:sz w:val="22"/>
          <w:szCs w:val="22"/>
        </w:rPr>
        <w:t xml:space="preserve">Hasta por un mes, las de remolques y semirremolques, incluyendo las plataformas adaptadas al medio de transporte diseñadas y utilizadas exclusivamente para el transporte de contenedores, siempre que transporten en territorio nacional las mercancías que en ellos se hubieran introducido al país o las que se conduzcan para su exportación. </w:t>
      </w:r>
    </w:p>
    <w:p w14:paraId="741D12E0" w14:textId="77777777" w:rsidR="00D52CD1" w:rsidRPr="007923C2" w:rsidRDefault="00D52CD1" w:rsidP="00D52CD1">
      <w:pPr>
        <w:widowControl w:val="0"/>
        <w:autoSpaceDE w:val="0"/>
        <w:autoSpaceDN w:val="0"/>
        <w:adjustRightInd w:val="0"/>
        <w:spacing w:after="0" w:line="2" w:lineRule="exact"/>
        <w:ind w:left="426" w:hanging="426"/>
        <w:jc w:val="both"/>
        <w:rPr>
          <w:rFonts w:ascii="Arial" w:hAnsi="Arial" w:cs="Arial"/>
          <w:sz w:val="22"/>
          <w:szCs w:val="22"/>
        </w:rPr>
      </w:pPr>
    </w:p>
    <w:p w14:paraId="1A6A0AF2" w14:textId="77777777" w:rsidR="00D52CD1" w:rsidRPr="007923C2" w:rsidRDefault="00D52CD1" w:rsidP="00D52CD1">
      <w:pPr>
        <w:widowControl w:val="0"/>
        <w:numPr>
          <w:ilvl w:val="0"/>
          <w:numId w:val="131"/>
        </w:numPr>
        <w:tabs>
          <w:tab w:val="clear" w:pos="720"/>
          <w:tab w:val="num" w:pos="620"/>
        </w:tabs>
        <w:overflowPunct w:val="0"/>
        <w:autoSpaceDE w:val="0"/>
        <w:autoSpaceDN w:val="0"/>
        <w:adjustRightInd w:val="0"/>
        <w:spacing w:after="0" w:line="239" w:lineRule="auto"/>
        <w:ind w:left="426" w:hanging="426"/>
        <w:jc w:val="both"/>
        <w:rPr>
          <w:rFonts w:ascii="Arial" w:hAnsi="Arial" w:cs="Arial"/>
          <w:sz w:val="22"/>
          <w:szCs w:val="22"/>
        </w:rPr>
      </w:pPr>
      <w:r w:rsidRPr="007923C2">
        <w:rPr>
          <w:rFonts w:ascii="Arial" w:hAnsi="Arial" w:cs="Arial"/>
          <w:sz w:val="22"/>
          <w:szCs w:val="22"/>
        </w:rPr>
        <w:t xml:space="preserve">Hasta por seis meses, en los siguientes casos: </w:t>
      </w:r>
    </w:p>
    <w:p w14:paraId="7132AB38" w14:textId="77777777" w:rsidR="00D52CD1" w:rsidRPr="007923C2" w:rsidRDefault="00D52CD1" w:rsidP="00D52CD1">
      <w:pPr>
        <w:widowControl w:val="0"/>
        <w:autoSpaceDE w:val="0"/>
        <w:autoSpaceDN w:val="0"/>
        <w:adjustRightInd w:val="0"/>
        <w:spacing w:after="0" w:line="133" w:lineRule="exact"/>
        <w:ind w:left="426" w:hanging="426"/>
        <w:jc w:val="both"/>
        <w:rPr>
          <w:rFonts w:ascii="Arial" w:hAnsi="Arial" w:cs="Arial"/>
          <w:sz w:val="22"/>
          <w:szCs w:val="22"/>
        </w:rPr>
      </w:pPr>
    </w:p>
    <w:p w14:paraId="3FDF8439" w14:textId="77777777" w:rsidR="00D52CD1" w:rsidRPr="007923C2" w:rsidRDefault="00D52CD1" w:rsidP="00D52CD1">
      <w:pPr>
        <w:widowControl w:val="0"/>
        <w:numPr>
          <w:ilvl w:val="1"/>
          <w:numId w:val="131"/>
        </w:numPr>
        <w:tabs>
          <w:tab w:val="clear" w:pos="1440"/>
          <w:tab w:val="num" w:pos="900"/>
        </w:tabs>
        <w:overflowPunct w:val="0"/>
        <w:autoSpaceDE w:val="0"/>
        <w:autoSpaceDN w:val="0"/>
        <w:adjustRightInd w:val="0"/>
        <w:spacing w:after="0" w:line="234" w:lineRule="auto"/>
        <w:ind w:left="426" w:hanging="426"/>
        <w:jc w:val="both"/>
        <w:rPr>
          <w:rFonts w:ascii="Arial" w:hAnsi="Arial" w:cs="Arial"/>
          <w:sz w:val="22"/>
          <w:szCs w:val="22"/>
        </w:rPr>
      </w:pPr>
      <w:r w:rsidRPr="007923C2">
        <w:rPr>
          <w:rFonts w:ascii="Arial" w:hAnsi="Arial" w:cs="Arial"/>
          <w:sz w:val="22"/>
          <w:szCs w:val="22"/>
        </w:rPr>
        <w:t xml:space="preserve">Las que realicen los residentes en el extranjero, siempre que sean utilizadas directamente por ellos o por personas con las que tengan relación laboral, excepto tratándose de vehículos. </w:t>
      </w:r>
    </w:p>
    <w:p w14:paraId="7CE0425D" w14:textId="77777777" w:rsidR="00D52CD1" w:rsidRPr="007923C2" w:rsidRDefault="00D52CD1" w:rsidP="00D52CD1">
      <w:pPr>
        <w:widowControl w:val="0"/>
        <w:autoSpaceDE w:val="0"/>
        <w:autoSpaceDN w:val="0"/>
        <w:adjustRightInd w:val="0"/>
        <w:spacing w:after="0" w:line="14" w:lineRule="exact"/>
        <w:ind w:left="426" w:hanging="426"/>
        <w:jc w:val="both"/>
        <w:rPr>
          <w:rFonts w:ascii="Arial" w:hAnsi="Arial" w:cs="Arial"/>
          <w:sz w:val="22"/>
          <w:szCs w:val="22"/>
        </w:rPr>
      </w:pPr>
    </w:p>
    <w:p w14:paraId="425EEAD0" w14:textId="77777777" w:rsidR="00D52CD1" w:rsidRPr="007923C2" w:rsidRDefault="00D52CD1" w:rsidP="00D52CD1">
      <w:pPr>
        <w:widowControl w:val="0"/>
        <w:numPr>
          <w:ilvl w:val="1"/>
          <w:numId w:val="131"/>
        </w:numPr>
        <w:tabs>
          <w:tab w:val="clear" w:pos="1440"/>
          <w:tab w:val="num" w:pos="900"/>
        </w:tabs>
        <w:overflowPunct w:val="0"/>
        <w:autoSpaceDE w:val="0"/>
        <w:autoSpaceDN w:val="0"/>
        <w:adjustRightInd w:val="0"/>
        <w:spacing w:after="0" w:line="234" w:lineRule="auto"/>
        <w:ind w:left="426" w:hanging="426"/>
        <w:jc w:val="both"/>
        <w:rPr>
          <w:rFonts w:ascii="Arial" w:hAnsi="Arial" w:cs="Arial"/>
          <w:sz w:val="22"/>
          <w:szCs w:val="22"/>
        </w:rPr>
      </w:pPr>
      <w:r w:rsidRPr="007923C2">
        <w:rPr>
          <w:rFonts w:ascii="Arial" w:hAnsi="Arial" w:cs="Arial"/>
          <w:sz w:val="22"/>
          <w:szCs w:val="22"/>
        </w:rPr>
        <w:t xml:space="preserve">Las de envases de mercancías, siempre que contengan en territorio nacional las mercancías que se hubieran introducido al país. </w:t>
      </w:r>
    </w:p>
    <w:p w14:paraId="4E62FF4F" w14:textId="77777777" w:rsidR="00D52CD1" w:rsidRPr="007923C2" w:rsidRDefault="00D52CD1" w:rsidP="00D52CD1">
      <w:pPr>
        <w:widowControl w:val="0"/>
        <w:autoSpaceDE w:val="0"/>
        <w:autoSpaceDN w:val="0"/>
        <w:adjustRightInd w:val="0"/>
        <w:spacing w:after="0" w:line="11" w:lineRule="exact"/>
        <w:ind w:left="426" w:hanging="426"/>
        <w:jc w:val="both"/>
        <w:rPr>
          <w:rFonts w:ascii="Arial" w:hAnsi="Arial" w:cs="Arial"/>
          <w:sz w:val="22"/>
          <w:szCs w:val="22"/>
        </w:rPr>
      </w:pPr>
    </w:p>
    <w:p w14:paraId="46E95A0F" w14:textId="77777777" w:rsidR="00D52CD1" w:rsidRPr="007923C2" w:rsidRDefault="00D52CD1" w:rsidP="00D52CD1">
      <w:pPr>
        <w:widowControl w:val="0"/>
        <w:numPr>
          <w:ilvl w:val="1"/>
          <w:numId w:val="131"/>
        </w:numPr>
        <w:tabs>
          <w:tab w:val="clear" w:pos="1440"/>
          <w:tab w:val="num" w:pos="900"/>
        </w:tabs>
        <w:overflowPunct w:val="0"/>
        <w:autoSpaceDE w:val="0"/>
        <w:autoSpaceDN w:val="0"/>
        <w:adjustRightInd w:val="0"/>
        <w:spacing w:after="0" w:line="239" w:lineRule="auto"/>
        <w:ind w:left="426" w:hanging="426"/>
        <w:jc w:val="both"/>
        <w:rPr>
          <w:rFonts w:ascii="Arial" w:hAnsi="Arial" w:cs="Arial"/>
          <w:sz w:val="22"/>
          <w:szCs w:val="22"/>
        </w:rPr>
      </w:pPr>
      <w:r w:rsidRPr="007923C2">
        <w:rPr>
          <w:rFonts w:ascii="Arial" w:hAnsi="Arial" w:cs="Arial"/>
          <w:sz w:val="22"/>
          <w:szCs w:val="22"/>
        </w:rPr>
        <w:t xml:space="preserve">Las de vehículos de las misiones diplomáticas y consulares ex-tranjeras y de las oficinas de sede o representación de organismos internacionales, así como de los funcionarios y empleados del servicio exterior mexicano, para su importación en franquicia diplomática, siempre que cumplan con los requisitos que señale la Secretaría mediante reglas. </w:t>
      </w:r>
    </w:p>
    <w:p w14:paraId="0130BB8F" w14:textId="77777777" w:rsidR="00D52CD1" w:rsidRPr="007923C2" w:rsidRDefault="00D52CD1" w:rsidP="00D52CD1">
      <w:pPr>
        <w:widowControl w:val="0"/>
        <w:autoSpaceDE w:val="0"/>
        <w:autoSpaceDN w:val="0"/>
        <w:adjustRightInd w:val="0"/>
        <w:spacing w:after="0" w:line="12" w:lineRule="exact"/>
        <w:ind w:left="426" w:hanging="426"/>
        <w:jc w:val="both"/>
        <w:rPr>
          <w:rFonts w:ascii="Arial" w:hAnsi="Arial" w:cs="Arial"/>
          <w:sz w:val="22"/>
          <w:szCs w:val="22"/>
        </w:rPr>
      </w:pPr>
    </w:p>
    <w:p w14:paraId="459802B7" w14:textId="77777777" w:rsidR="00D52CD1" w:rsidRPr="007923C2" w:rsidRDefault="00D52CD1" w:rsidP="00D52CD1">
      <w:pPr>
        <w:widowControl w:val="0"/>
        <w:numPr>
          <w:ilvl w:val="1"/>
          <w:numId w:val="131"/>
        </w:numPr>
        <w:tabs>
          <w:tab w:val="clear" w:pos="1440"/>
          <w:tab w:val="num" w:pos="900"/>
        </w:tabs>
        <w:overflowPunct w:val="0"/>
        <w:autoSpaceDE w:val="0"/>
        <w:autoSpaceDN w:val="0"/>
        <w:adjustRightInd w:val="0"/>
        <w:spacing w:after="0" w:line="230" w:lineRule="auto"/>
        <w:ind w:left="426" w:hanging="426"/>
        <w:jc w:val="both"/>
        <w:rPr>
          <w:rFonts w:ascii="Arial" w:hAnsi="Arial" w:cs="Arial"/>
          <w:sz w:val="22"/>
          <w:szCs w:val="22"/>
        </w:rPr>
      </w:pPr>
      <w:r w:rsidRPr="007923C2">
        <w:rPr>
          <w:rFonts w:ascii="Arial" w:hAnsi="Arial" w:cs="Arial"/>
          <w:sz w:val="22"/>
          <w:szCs w:val="22"/>
        </w:rPr>
        <w:t xml:space="preserve">Las de muestras o muestrarios destinados a dar a conocer mer-cancías. </w:t>
      </w:r>
    </w:p>
    <w:p w14:paraId="73ACEEEF" w14:textId="77777777" w:rsidR="00D52CD1" w:rsidRPr="007923C2" w:rsidRDefault="00D52CD1" w:rsidP="00D52CD1">
      <w:pPr>
        <w:widowControl w:val="0"/>
        <w:autoSpaceDE w:val="0"/>
        <w:autoSpaceDN w:val="0"/>
        <w:adjustRightInd w:val="0"/>
        <w:spacing w:after="0" w:line="12" w:lineRule="exact"/>
        <w:ind w:left="426" w:hanging="426"/>
        <w:jc w:val="both"/>
        <w:rPr>
          <w:rFonts w:ascii="Arial" w:hAnsi="Arial" w:cs="Arial"/>
          <w:sz w:val="22"/>
          <w:szCs w:val="22"/>
        </w:rPr>
      </w:pPr>
    </w:p>
    <w:p w14:paraId="4C5744EE" w14:textId="77777777" w:rsidR="00D52CD1" w:rsidRPr="007923C2" w:rsidRDefault="00D52CD1" w:rsidP="00D15A0E">
      <w:pPr>
        <w:widowControl w:val="0"/>
        <w:numPr>
          <w:ilvl w:val="1"/>
          <w:numId w:val="131"/>
        </w:numPr>
        <w:tabs>
          <w:tab w:val="clear" w:pos="1440"/>
          <w:tab w:val="num" w:pos="900"/>
        </w:tabs>
        <w:overflowPunct w:val="0"/>
        <w:autoSpaceDE w:val="0"/>
        <w:autoSpaceDN w:val="0"/>
        <w:adjustRightInd w:val="0"/>
        <w:spacing w:after="0" w:line="240" w:lineRule="auto"/>
        <w:ind w:left="426" w:hanging="426"/>
        <w:jc w:val="both"/>
        <w:rPr>
          <w:rFonts w:ascii="Arial" w:hAnsi="Arial" w:cs="Arial"/>
          <w:sz w:val="22"/>
          <w:szCs w:val="22"/>
        </w:rPr>
      </w:pPr>
      <w:r w:rsidRPr="007923C2">
        <w:rPr>
          <w:rFonts w:ascii="Arial" w:hAnsi="Arial" w:cs="Arial"/>
          <w:sz w:val="22"/>
          <w:szCs w:val="22"/>
        </w:rPr>
        <w:t xml:space="preserve">Las de vehículos, siempre que la importación sea efectuada por mexicanos con residencia permanente en el extranjero o que acrediten estar laborando en el extranjero por más de un año, </w:t>
      </w:r>
    </w:p>
    <w:p w14:paraId="4AFC2CE9" w14:textId="77777777" w:rsidR="00D52CD1" w:rsidRPr="007923C2" w:rsidRDefault="00D52CD1" w:rsidP="00295B33">
      <w:pPr>
        <w:widowControl w:val="0"/>
        <w:overflowPunct w:val="0"/>
        <w:autoSpaceDE w:val="0"/>
        <w:autoSpaceDN w:val="0"/>
        <w:adjustRightInd w:val="0"/>
        <w:spacing w:after="0" w:line="242" w:lineRule="auto"/>
        <w:ind w:left="426"/>
        <w:jc w:val="both"/>
        <w:rPr>
          <w:rFonts w:ascii="Arial" w:hAnsi="Arial" w:cs="Arial"/>
          <w:sz w:val="22"/>
          <w:szCs w:val="22"/>
        </w:rPr>
      </w:pPr>
      <w:r w:rsidRPr="007923C2">
        <w:rPr>
          <w:rFonts w:ascii="Arial" w:hAnsi="Arial" w:cs="Arial"/>
          <w:sz w:val="22"/>
          <w:szCs w:val="22"/>
        </w:rPr>
        <w:t>siempre que comprueben mediante documentación oficial su calidad migratoria que los autorice para tal fin, se trate de un solo vehículo en cada periodo de doce meses y se cumpla con los requisitos que señale el reglamento.</w:t>
      </w:r>
    </w:p>
    <w:p w14:paraId="4753C74D" w14:textId="77777777" w:rsidR="00D52CD1" w:rsidRPr="007923C2" w:rsidRDefault="00D52CD1" w:rsidP="00D52CD1">
      <w:pPr>
        <w:widowControl w:val="0"/>
        <w:autoSpaceDE w:val="0"/>
        <w:autoSpaceDN w:val="0"/>
        <w:adjustRightInd w:val="0"/>
        <w:spacing w:after="0" w:line="121" w:lineRule="exact"/>
        <w:ind w:left="426" w:hanging="426"/>
        <w:jc w:val="both"/>
        <w:rPr>
          <w:rFonts w:ascii="Arial" w:hAnsi="Arial" w:cs="Arial"/>
          <w:sz w:val="22"/>
          <w:szCs w:val="22"/>
        </w:rPr>
      </w:pPr>
    </w:p>
    <w:p w14:paraId="7411BAF2" w14:textId="77777777" w:rsidR="00D52CD1" w:rsidRPr="007923C2" w:rsidRDefault="00D52CD1" w:rsidP="00D52CD1">
      <w:pPr>
        <w:widowControl w:val="0"/>
        <w:numPr>
          <w:ilvl w:val="0"/>
          <w:numId w:val="132"/>
        </w:numPr>
        <w:tabs>
          <w:tab w:val="clear" w:pos="720"/>
          <w:tab w:val="num" w:pos="620"/>
        </w:tabs>
        <w:overflowPunct w:val="0"/>
        <w:autoSpaceDE w:val="0"/>
        <w:autoSpaceDN w:val="0"/>
        <w:adjustRightInd w:val="0"/>
        <w:spacing w:after="0" w:line="240" w:lineRule="auto"/>
        <w:ind w:left="426" w:hanging="426"/>
        <w:jc w:val="both"/>
        <w:rPr>
          <w:rFonts w:ascii="Arial" w:hAnsi="Arial" w:cs="Arial"/>
          <w:sz w:val="22"/>
          <w:szCs w:val="22"/>
        </w:rPr>
      </w:pPr>
      <w:r w:rsidRPr="007923C2">
        <w:rPr>
          <w:rFonts w:ascii="Arial" w:hAnsi="Arial" w:cs="Arial"/>
          <w:sz w:val="22"/>
          <w:szCs w:val="22"/>
        </w:rPr>
        <w:t xml:space="preserve">Hasta por un año </w:t>
      </w:r>
    </w:p>
    <w:p w14:paraId="673DDE48" w14:textId="77777777" w:rsidR="00D52CD1" w:rsidRPr="007923C2" w:rsidRDefault="00D52CD1" w:rsidP="00D52CD1">
      <w:pPr>
        <w:widowControl w:val="0"/>
        <w:autoSpaceDE w:val="0"/>
        <w:autoSpaceDN w:val="0"/>
        <w:adjustRightInd w:val="0"/>
        <w:spacing w:after="0" w:line="107" w:lineRule="exact"/>
        <w:ind w:left="426" w:hanging="426"/>
        <w:jc w:val="both"/>
        <w:rPr>
          <w:rFonts w:ascii="Arial" w:hAnsi="Arial" w:cs="Arial"/>
          <w:sz w:val="22"/>
          <w:szCs w:val="22"/>
        </w:rPr>
      </w:pPr>
    </w:p>
    <w:p w14:paraId="4B856079" w14:textId="77777777"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39" w:lineRule="auto"/>
        <w:ind w:left="426" w:hanging="426"/>
        <w:jc w:val="both"/>
        <w:rPr>
          <w:rFonts w:ascii="Arial" w:hAnsi="Arial" w:cs="Arial"/>
          <w:sz w:val="22"/>
          <w:szCs w:val="22"/>
        </w:rPr>
      </w:pPr>
      <w:r w:rsidRPr="007923C2">
        <w:rPr>
          <w:rFonts w:ascii="Arial" w:hAnsi="Arial" w:cs="Arial"/>
          <w:sz w:val="22"/>
          <w:szCs w:val="22"/>
        </w:rPr>
        <w:t xml:space="preserve">Las destinadas a convenciones y congresos internacionales. </w:t>
      </w:r>
    </w:p>
    <w:p w14:paraId="56D2E682" w14:textId="77777777" w:rsidR="00D52CD1" w:rsidRPr="007923C2" w:rsidRDefault="00D52CD1" w:rsidP="00D52CD1">
      <w:pPr>
        <w:widowControl w:val="0"/>
        <w:autoSpaceDE w:val="0"/>
        <w:autoSpaceDN w:val="0"/>
        <w:adjustRightInd w:val="0"/>
        <w:spacing w:after="0" w:line="17" w:lineRule="exact"/>
        <w:ind w:left="426" w:hanging="426"/>
        <w:jc w:val="both"/>
        <w:rPr>
          <w:rFonts w:ascii="Arial" w:hAnsi="Arial" w:cs="Arial"/>
          <w:sz w:val="22"/>
          <w:szCs w:val="22"/>
        </w:rPr>
      </w:pPr>
    </w:p>
    <w:p w14:paraId="73E20049" w14:textId="77777777"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14" w:lineRule="auto"/>
        <w:ind w:left="426" w:hanging="426"/>
        <w:jc w:val="both"/>
        <w:rPr>
          <w:rFonts w:ascii="Arial" w:hAnsi="Arial" w:cs="Arial"/>
          <w:sz w:val="22"/>
          <w:szCs w:val="22"/>
        </w:rPr>
      </w:pPr>
      <w:r w:rsidRPr="007923C2">
        <w:rPr>
          <w:rFonts w:ascii="Arial" w:hAnsi="Arial" w:cs="Arial"/>
          <w:sz w:val="22"/>
          <w:szCs w:val="22"/>
        </w:rPr>
        <w:t xml:space="preserve">Las destinadas a eventos culturales o deportivos. </w:t>
      </w:r>
    </w:p>
    <w:p w14:paraId="4031E269" w14:textId="77777777" w:rsidR="00D52CD1" w:rsidRPr="007923C2" w:rsidRDefault="00D52CD1" w:rsidP="00D52CD1">
      <w:pPr>
        <w:widowControl w:val="0"/>
        <w:autoSpaceDE w:val="0"/>
        <w:autoSpaceDN w:val="0"/>
        <w:adjustRightInd w:val="0"/>
        <w:spacing w:after="0" w:line="16" w:lineRule="exact"/>
        <w:ind w:left="426" w:hanging="426"/>
        <w:jc w:val="both"/>
        <w:rPr>
          <w:rFonts w:ascii="Arial" w:hAnsi="Arial" w:cs="Arial"/>
          <w:sz w:val="22"/>
          <w:szCs w:val="22"/>
        </w:rPr>
      </w:pPr>
    </w:p>
    <w:p w14:paraId="54C7B394" w14:textId="77777777"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32" w:lineRule="auto"/>
        <w:ind w:left="426" w:hanging="426"/>
        <w:jc w:val="both"/>
        <w:rPr>
          <w:rFonts w:ascii="Arial" w:hAnsi="Arial" w:cs="Arial"/>
          <w:sz w:val="22"/>
          <w:szCs w:val="22"/>
        </w:rPr>
      </w:pPr>
      <w:r w:rsidRPr="007923C2">
        <w:rPr>
          <w:rFonts w:ascii="Arial" w:hAnsi="Arial" w:cs="Arial"/>
          <w:sz w:val="22"/>
          <w:szCs w:val="22"/>
        </w:rPr>
        <w:t xml:space="preserve">Las de enseres, utilería y demás equipo necesario para la filmación, siempre que se utilicen en la industria cinematográfica y su internación se efectúe por residentes en el extranjero. </w:t>
      </w:r>
    </w:p>
    <w:p w14:paraId="0C412204" w14:textId="77777777" w:rsidR="00D52CD1" w:rsidRPr="007923C2" w:rsidRDefault="00D52CD1" w:rsidP="00D52CD1">
      <w:pPr>
        <w:widowControl w:val="0"/>
        <w:autoSpaceDE w:val="0"/>
        <w:autoSpaceDN w:val="0"/>
        <w:adjustRightInd w:val="0"/>
        <w:spacing w:after="0" w:line="14" w:lineRule="exact"/>
        <w:ind w:left="426" w:hanging="426"/>
        <w:jc w:val="both"/>
        <w:rPr>
          <w:rFonts w:ascii="Arial" w:hAnsi="Arial" w:cs="Arial"/>
          <w:sz w:val="22"/>
          <w:szCs w:val="22"/>
        </w:rPr>
      </w:pPr>
    </w:p>
    <w:p w14:paraId="39C2A07C" w14:textId="77777777"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30" w:lineRule="auto"/>
        <w:ind w:left="426" w:hanging="426"/>
        <w:jc w:val="both"/>
        <w:rPr>
          <w:rFonts w:ascii="Arial" w:hAnsi="Arial" w:cs="Arial"/>
          <w:sz w:val="22"/>
          <w:szCs w:val="22"/>
        </w:rPr>
      </w:pPr>
      <w:r w:rsidRPr="007923C2">
        <w:rPr>
          <w:rFonts w:ascii="Arial" w:hAnsi="Arial" w:cs="Arial"/>
          <w:sz w:val="22"/>
          <w:szCs w:val="22"/>
        </w:rPr>
        <w:t xml:space="preserve">Las de vehículos de prueba, siempre que la importación se efectúe por un fabricante autorizado, residente en México. </w:t>
      </w:r>
    </w:p>
    <w:p w14:paraId="7A939540" w14:textId="77777777" w:rsidR="00D52CD1" w:rsidRPr="007923C2" w:rsidRDefault="00D52CD1" w:rsidP="00D52CD1">
      <w:pPr>
        <w:widowControl w:val="0"/>
        <w:autoSpaceDE w:val="0"/>
        <w:autoSpaceDN w:val="0"/>
        <w:adjustRightInd w:val="0"/>
        <w:spacing w:after="0" w:line="12" w:lineRule="exact"/>
        <w:ind w:left="426" w:hanging="426"/>
        <w:jc w:val="both"/>
        <w:rPr>
          <w:rFonts w:ascii="Arial" w:hAnsi="Arial" w:cs="Arial"/>
          <w:sz w:val="22"/>
          <w:szCs w:val="22"/>
        </w:rPr>
      </w:pPr>
    </w:p>
    <w:p w14:paraId="0AD1C126" w14:textId="77777777"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36" w:lineRule="auto"/>
        <w:ind w:left="426" w:hanging="426"/>
        <w:jc w:val="both"/>
        <w:rPr>
          <w:rFonts w:ascii="Arial" w:hAnsi="Arial" w:cs="Arial"/>
          <w:sz w:val="22"/>
          <w:szCs w:val="22"/>
        </w:rPr>
      </w:pPr>
      <w:r w:rsidRPr="007923C2">
        <w:rPr>
          <w:rFonts w:ascii="Arial" w:hAnsi="Arial" w:cs="Arial"/>
          <w:sz w:val="22"/>
          <w:szCs w:val="22"/>
        </w:rPr>
        <w:t xml:space="preserve">Las de mercancías previstas por los convenios internacionales de los que México sea parte, así como las que sean para uso oficial de las misiones diplomáticas y consulares extranjeras cuando haya reciprocidad. </w:t>
      </w:r>
    </w:p>
    <w:p w14:paraId="2BEB7CE3" w14:textId="77777777" w:rsidR="00D52CD1" w:rsidRPr="007923C2" w:rsidRDefault="00D52CD1" w:rsidP="00D52CD1">
      <w:pPr>
        <w:widowControl w:val="0"/>
        <w:autoSpaceDE w:val="0"/>
        <w:autoSpaceDN w:val="0"/>
        <w:adjustRightInd w:val="0"/>
        <w:spacing w:after="0" w:line="200" w:lineRule="exact"/>
        <w:ind w:left="426" w:hanging="426"/>
        <w:jc w:val="both"/>
        <w:rPr>
          <w:rFonts w:ascii="Arial" w:hAnsi="Arial" w:cs="Arial"/>
          <w:sz w:val="22"/>
          <w:szCs w:val="22"/>
        </w:rPr>
      </w:pPr>
    </w:p>
    <w:p w14:paraId="0422DF25" w14:textId="77777777" w:rsidR="00D52CD1" w:rsidRPr="007923C2" w:rsidRDefault="00D52CD1" w:rsidP="00D52CD1">
      <w:pPr>
        <w:widowControl w:val="0"/>
        <w:numPr>
          <w:ilvl w:val="0"/>
          <w:numId w:val="132"/>
        </w:numPr>
        <w:tabs>
          <w:tab w:val="clear" w:pos="720"/>
          <w:tab w:val="num" w:pos="620"/>
        </w:tabs>
        <w:overflowPunct w:val="0"/>
        <w:autoSpaceDE w:val="0"/>
        <w:autoSpaceDN w:val="0"/>
        <w:adjustRightInd w:val="0"/>
        <w:spacing w:after="0" w:line="237" w:lineRule="auto"/>
        <w:ind w:left="426" w:hanging="426"/>
        <w:jc w:val="both"/>
        <w:rPr>
          <w:rFonts w:ascii="Arial" w:hAnsi="Arial" w:cs="Arial"/>
          <w:sz w:val="22"/>
          <w:szCs w:val="22"/>
        </w:rPr>
      </w:pPr>
      <w:r w:rsidRPr="007923C2">
        <w:rPr>
          <w:rFonts w:ascii="Arial" w:hAnsi="Arial" w:cs="Arial"/>
          <w:sz w:val="22"/>
          <w:szCs w:val="22"/>
        </w:rPr>
        <w:t xml:space="preserve">Por el plazo que dure su calidad migratoria, incluyendo sus prórrogas, en los siguientes casos: </w:t>
      </w:r>
    </w:p>
    <w:p w14:paraId="48D73747" w14:textId="77777777" w:rsidR="00D52CD1" w:rsidRPr="007923C2" w:rsidRDefault="00D52CD1" w:rsidP="00D52CD1">
      <w:pPr>
        <w:widowControl w:val="0"/>
        <w:autoSpaceDE w:val="0"/>
        <w:autoSpaceDN w:val="0"/>
        <w:adjustRightInd w:val="0"/>
        <w:spacing w:after="0" w:line="134" w:lineRule="exact"/>
        <w:ind w:left="426" w:hanging="426"/>
        <w:jc w:val="both"/>
        <w:rPr>
          <w:rFonts w:ascii="Arial" w:hAnsi="Arial" w:cs="Arial"/>
          <w:sz w:val="22"/>
          <w:szCs w:val="22"/>
        </w:rPr>
      </w:pPr>
    </w:p>
    <w:p w14:paraId="03707869" w14:textId="77777777"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38" w:lineRule="auto"/>
        <w:ind w:left="426" w:hanging="426"/>
        <w:jc w:val="both"/>
        <w:rPr>
          <w:rFonts w:ascii="Arial" w:hAnsi="Arial" w:cs="Arial"/>
          <w:sz w:val="22"/>
          <w:szCs w:val="22"/>
        </w:rPr>
      </w:pPr>
      <w:r w:rsidRPr="007923C2">
        <w:rPr>
          <w:rFonts w:ascii="Arial" w:hAnsi="Arial" w:cs="Arial"/>
          <w:sz w:val="22"/>
          <w:szCs w:val="22"/>
        </w:rPr>
        <w:t xml:space="preserve">Las de vehículos que sean propiedad de turistas, visitantes, visitantes locales y distinguidos, estudiantes, ministros de culto o asociados religiosos, corresponsales e inmigrantes rentistas, siempre que los mismos sean de su propiedad a excepción de turistas y visitantes locales y se trate de un solo vehículo. </w:t>
      </w:r>
    </w:p>
    <w:p w14:paraId="0CC810EA" w14:textId="77777777" w:rsidR="00D52CD1" w:rsidRPr="007923C2" w:rsidRDefault="00D52CD1" w:rsidP="00D52CD1">
      <w:pPr>
        <w:widowControl w:val="0"/>
        <w:autoSpaceDE w:val="0"/>
        <w:autoSpaceDN w:val="0"/>
        <w:adjustRightInd w:val="0"/>
        <w:spacing w:after="0" w:line="10" w:lineRule="exact"/>
        <w:ind w:left="426" w:hanging="426"/>
        <w:jc w:val="both"/>
        <w:rPr>
          <w:rFonts w:ascii="Arial" w:hAnsi="Arial" w:cs="Arial"/>
          <w:sz w:val="22"/>
          <w:szCs w:val="22"/>
        </w:rPr>
      </w:pPr>
    </w:p>
    <w:p w14:paraId="723DA065" w14:textId="77777777"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30" w:lineRule="auto"/>
        <w:ind w:left="426" w:hanging="426"/>
        <w:jc w:val="both"/>
        <w:rPr>
          <w:rFonts w:ascii="Arial" w:hAnsi="Arial" w:cs="Arial"/>
          <w:sz w:val="22"/>
          <w:szCs w:val="22"/>
        </w:rPr>
      </w:pPr>
      <w:r w:rsidRPr="007923C2">
        <w:rPr>
          <w:rFonts w:ascii="Arial" w:hAnsi="Arial" w:cs="Arial"/>
          <w:sz w:val="22"/>
          <w:szCs w:val="22"/>
        </w:rPr>
        <w:t xml:space="preserve">Los menajes de casa de mercancía usada propiedad de visitantes distinguidos, estudiantes e inmigrantes. </w:t>
      </w:r>
    </w:p>
    <w:tbl>
      <w:tblPr>
        <w:tblW w:w="0" w:type="auto"/>
        <w:tblInd w:w="1580" w:type="dxa"/>
        <w:tblLayout w:type="fixed"/>
        <w:tblCellMar>
          <w:left w:w="0" w:type="dxa"/>
          <w:right w:w="0" w:type="dxa"/>
        </w:tblCellMar>
        <w:tblLook w:val="0000" w:firstRow="0" w:lastRow="0" w:firstColumn="0" w:lastColumn="0" w:noHBand="0" w:noVBand="0"/>
      </w:tblPr>
      <w:tblGrid>
        <w:gridCol w:w="3780"/>
        <w:gridCol w:w="920"/>
      </w:tblGrid>
      <w:tr w:rsidR="00D52CD1" w:rsidRPr="007923C2" w14:paraId="6BFEB221" w14:textId="77777777" w:rsidTr="00351F51">
        <w:trPr>
          <w:trHeight w:val="184"/>
        </w:trPr>
        <w:tc>
          <w:tcPr>
            <w:tcW w:w="3780" w:type="dxa"/>
            <w:tcBorders>
              <w:top w:val="nil"/>
              <w:left w:val="nil"/>
              <w:bottom w:val="nil"/>
              <w:right w:val="nil"/>
            </w:tcBorders>
            <w:vAlign w:val="bottom"/>
          </w:tcPr>
          <w:p w14:paraId="413F3628" w14:textId="77777777" w:rsidR="00D52CD1" w:rsidRPr="007923C2" w:rsidRDefault="00D52CD1" w:rsidP="00351F51">
            <w:pPr>
              <w:widowControl w:val="0"/>
              <w:autoSpaceDE w:val="0"/>
              <w:autoSpaceDN w:val="0"/>
              <w:adjustRightInd w:val="0"/>
              <w:spacing w:after="0" w:line="240" w:lineRule="auto"/>
              <w:ind w:left="426" w:hanging="426"/>
              <w:jc w:val="both"/>
              <w:rPr>
                <w:rFonts w:ascii="Arial" w:hAnsi="Arial" w:cs="Arial"/>
                <w:sz w:val="22"/>
                <w:szCs w:val="22"/>
              </w:rPr>
            </w:pPr>
            <w:bookmarkStart w:id="13" w:name="page11"/>
            <w:bookmarkEnd w:id="13"/>
          </w:p>
        </w:tc>
        <w:tc>
          <w:tcPr>
            <w:tcW w:w="920" w:type="dxa"/>
            <w:tcBorders>
              <w:top w:val="nil"/>
              <w:left w:val="nil"/>
              <w:bottom w:val="nil"/>
              <w:right w:val="nil"/>
            </w:tcBorders>
            <w:vAlign w:val="bottom"/>
          </w:tcPr>
          <w:p w14:paraId="310D72ED" w14:textId="77777777" w:rsidR="00D52CD1" w:rsidRPr="007923C2" w:rsidRDefault="00D52CD1" w:rsidP="00351F51">
            <w:pPr>
              <w:widowControl w:val="0"/>
              <w:autoSpaceDE w:val="0"/>
              <w:autoSpaceDN w:val="0"/>
              <w:adjustRightInd w:val="0"/>
              <w:spacing w:after="0" w:line="240" w:lineRule="auto"/>
              <w:ind w:left="426" w:hanging="426"/>
              <w:jc w:val="both"/>
              <w:rPr>
                <w:rFonts w:ascii="Arial" w:hAnsi="Arial" w:cs="Arial"/>
                <w:sz w:val="22"/>
                <w:szCs w:val="22"/>
              </w:rPr>
            </w:pPr>
          </w:p>
        </w:tc>
      </w:tr>
    </w:tbl>
    <w:p w14:paraId="2504997F" w14:textId="77777777" w:rsidR="00D52CD1" w:rsidRPr="007923C2" w:rsidRDefault="00D52CD1" w:rsidP="00D52CD1">
      <w:pPr>
        <w:widowControl w:val="0"/>
        <w:numPr>
          <w:ilvl w:val="0"/>
          <w:numId w:val="133"/>
        </w:numPr>
        <w:tabs>
          <w:tab w:val="clear" w:pos="720"/>
          <w:tab w:val="num" w:pos="620"/>
        </w:tabs>
        <w:overflowPunct w:val="0"/>
        <w:autoSpaceDE w:val="0"/>
        <w:autoSpaceDN w:val="0"/>
        <w:adjustRightInd w:val="0"/>
        <w:spacing w:after="0" w:line="239" w:lineRule="auto"/>
        <w:ind w:left="426" w:hanging="426"/>
        <w:jc w:val="both"/>
        <w:rPr>
          <w:rFonts w:ascii="Arial" w:hAnsi="Arial" w:cs="Arial"/>
          <w:sz w:val="22"/>
          <w:szCs w:val="22"/>
        </w:rPr>
      </w:pPr>
      <w:r w:rsidRPr="007923C2">
        <w:rPr>
          <w:rFonts w:ascii="Arial" w:hAnsi="Arial" w:cs="Arial"/>
          <w:sz w:val="22"/>
          <w:szCs w:val="22"/>
        </w:rPr>
        <w:t xml:space="preserve">Hasta por diez años: </w:t>
      </w:r>
    </w:p>
    <w:p w14:paraId="3C815A34" w14:textId="77777777" w:rsidR="00D52CD1" w:rsidRPr="007923C2" w:rsidRDefault="00D52CD1" w:rsidP="00D52CD1">
      <w:pPr>
        <w:widowControl w:val="0"/>
        <w:autoSpaceDE w:val="0"/>
        <w:autoSpaceDN w:val="0"/>
        <w:adjustRightInd w:val="0"/>
        <w:spacing w:after="0" w:line="45" w:lineRule="exact"/>
        <w:ind w:left="426" w:hanging="426"/>
        <w:jc w:val="both"/>
        <w:rPr>
          <w:rFonts w:ascii="Arial" w:hAnsi="Arial" w:cs="Arial"/>
          <w:sz w:val="22"/>
          <w:szCs w:val="22"/>
        </w:rPr>
      </w:pPr>
    </w:p>
    <w:p w14:paraId="496E5827" w14:textId="77777777" w:rsidR="00D52CD1" w:rsidRPr="007923C2" w:rsidRDefault="00D52CD1" w:rsidP="00D52CD1">
      <w:pPr>
        <w:widowControl w:val="0"/>
        <w:numPr>
          <w:ilvl w:val="1"/>
          <w:numId w:val="133"/>
        </w:numPr>
        <w:tabs>
          <w:tab w:val="clear" w:pos="1440"/>
          <w:tab w:val="num" w:pos="900"/>
        </w:tabs>
        <w:overflowPunct w:val="0"/>
        <w:autoSpaceDE w:val="0"/>
        <w:autoSpaceDN w:val="0"/>
        <w:adjustRightInd w:val="0"/>
        <w:spacing w:after="0" w:line="239" w:lineRule="auto"/>
        <w:ind w:left="426" w:hanging="426"/>
        <w:jc w:val="both"/>
        <w:rPr>
          <w:rFonts w:ascii="Arial" w:hAnsi="Arial" w:cs="Arial"/>
          <w:sz w:val="22"/>
          <w:szCs w:val="22"/>
        </w:rPr>
      </w:pPr>
      <w:r w:rsidRPr="007923C2">
        <w:rPr>
          <w:rFonts w:ascii="Arial" w:hAnsi="Arial" w:cs="Arial"/>
          <w:sz w:val="22"/>
          <w:szCs w:val="22"/>
        </w:rPr>
        <w:t xml:space="preserve">Contenedores </w:t>
      </w:r>
    </w:p>
    <w:p w14:paraId="2938B326" w14:textId="77777777" w:rsidR="00D52CD1" w:rsidRPr="007923C2" w:rsidRDefault="00D52CD1" w:rsidP="00D52CD1">
      <w:pPr>
        <w:widowControl w:val="0"/>
        <w:autoSpaceDE w:val="0"/>
        <w:autoSpaceDN w:val="0"/>
        <w:adjustRightInd w:val="0"/>
        <w:spacing w:after="0" w:line="17" w:lineRule="exact"/>
        <w:ind w:left="426" w:hanging="426"/>
        <w:jc w:val="both"/>
        <w:rPr>
          <w:rFonts w:ascii="Arial" w:hAnsi="Arial" w:cs="Arial"/>
          <w:sz w:val="22"/>
          <w:szCs w:val="22"/>
        </w:rPr>
      </w:pPr>
    </w:p>
    <w:p w14:paraId="7F3D909E" w14:textId="77777777" w:rsidR="00D52CD1" w:rsidRPr="007923C2" w:rsidRDefault="00D52CD1" w:rsidP="00D52CD1">
      <w:pPr>
        <w:widowControl w:val="0"/>
        <w:numPr>
          <w:ilvl w:val="1"/>
          <w:numId w:val="133"/>
        </w:numPr>
        <w:tabs>
          <w:tab w:val="clear" w:pos="1440"/>
          <w:tab w:val="num" w:pos="900"/>
        </w:tabs>
        <w:overflowPunct w:val="0"/>
        <w:autoSpaceDE w:val="0"/>
        <w:autoSpaceDN w:val="0"/>
        <w:adjustRightInd w:val="0"/>
        <w:spacing w:after="0" w:line="233" w:lineRule="auto"/>
        <w:ind w:left="426" w:hanging="426"/>
        <w:jc w:val="both"/>
        <w:rPr>
          <w:rFonts w:ascii="Arial" w:hAnsi="Arial" w:cs="Arial"/>
          <w:sz w:val="22"/>
          <w:szCs w:val="22"/>
        </w:rPr>
      </w:pPr>
      <w:r w:rsidRPr="007923C2">
        <w:rPr>
          <w:rFonts w:ascii="Arial" w:hAnsi="Arial" w:cs="Arial"/>
          <w:sz w:val="22"/>
          <w:szCs w:val="22"/>
        </w:rPr>
        <w:t xml:space="preserve">Aviones y helicópteros, destinados a ser utilizados en las líneas aéreas con concesión o permiso </w:t>
      </w:r>
      <w:r w:rsidRPr="007923C2">
        <w:rPr>
          <w:rFonts w:ascii="Arial" w:hAnsi="Arial" w:cs="Arial"/>
          <w:sz w:val="22"/>
          <w:szCs w:val="22"/>
        </w:rPr>
        <w:lastRenderedPageBreak/>
        <w:t xml:space="preserve">para operar en el país, así como aquellos de transporte público de pasajeros </w:t>
      </w:r>
    </w:p>
    <w:p w14:paraId="77E1F91A" w14:textId="77777777" w:rsidR="00D52CD1" w:rsidRPr="007923C2" w:rsidRDefault="00D52CD1" w:rsidP="00D52CD1">
      <w:pPr>
        <w:widowControl w:val="0"/>
        <w:autoSpaceDE w:val="0"/>
        <w:autoSpaceDN w:val="0"/>
        <w:adjustRightInd w:val="0"/>
        <w:spacing w:after="0" w:line="13" w:lineRule="exact"/>
        <w:ind w:left="426" w:hanging="426"/>
        <w:jc w:val="both"/>
        <w:rPr>
          <w:rFonts w:ascii="Arial" w:hAnsi="Arial" w:cs="Arial"/>
          <w:sz w:val="22"/>
          <w:szCs w:val="22"/>
        </w:rPr>
      </w:pPr>
    </w:p>
    <w:p w14:paraId="331E5674" w14:textId="77777777" w:rsidR="00D52CD1" w:rsidRPr="007923C2" w:rsidRDefault="00D52CD1" w:rsidP="00D52CD1">
      <w:pPr>
        <w:widowControl w:val="0"/>
        <w:numPr>
          <w:ilvl w:val="1"/>
          <w:numId w:val="133"/>
        </w:numPr>
        <w:tabs>
          <w:tab w:val="clear" w:pos="1440"/>
          <w:tab w:val="num" w:pos="900"/>
        </w:tabs>
        <w:overflowPunct w:val="0"/>
        <w:autoSpaceDE w:val="0"/>
        <w:autoSpaceDN w:val="0"/>
        <w:adjustRightInd w:val="0"/>
        <w:spacing w:after="0" w:line="231" w:lineRule="auto"/>
        <w:ind w:left="426" w:hanging="426"/>
        <w:jc w:val="both"/>
        <w:rPr>
          <w:rFonts w:ascii="Arial" w:hAnsi="Arial" w:cs="Arial"/>
          <w:sz w:val="22"/>
          <w:szCs w:val="22"/>
        </w:rPr>
      </w:pPr>
      <w:r w:rsidRPr="007923C2">
        <w:rPr>
          <w:rFonts w:ascii="Arial" w:hAnsi="Arial" w:cs="Arial"/>
          <w:sz w:val="22"/>
          <w:szCs w:val="22"/>
        </w:rPr>
        <w:t>Embarcaciones dedicadas al transporte mercante o a la pesca comercial</w:t>
      </w:r>
    </w:p>
    <w:p w14:paraId="2DE76B4C" w14:textId="77777777" w:rsidR="00D52CD1" w:rsidRPr="007923C2" w:rsidRDefault="00D52CD1" w:rsidP="00D52CD1">
      <w:pPr>
        <w:widowControl w:val="0"/>
        <w:autoSpaceDE w:val="0"/>
        <w:autoSpaceDN w:val="0"/>
        <w:adjustRightInd w:val="0"/>
        <w:spacing w:after="0" w:line="1" w:lineRule="exact"/>
        <w:ind w:left="426" w:hanging="426"/>
        <w:jc w:val="both"/>
        <w:rPr>
          <w:rFonts w:ascii="Arial" w:hAnsi="Arial" w:cs="Arial"/>
          <w:sz w:val="22"/>
          <w:szCs w:val="22"/>
        </w:rPr>
      </w:pPr>
    </w:p>
    <w:p w14:paraId="220BFD35" w14:textId="77777777" w:rsidR="00D52CD1" w:rsidRPr="007923C2" w:rsidRDefault="00D52CD1" w:rsidP="00D52CD1">
      <w:pPr>
        <w:widowControl w:val="0"/>
        <w:numPr>
          <w:ilvl w:val="1"/>
          <w:numId w:val="133"/>
        </w:numPr>
        <w:tabs>
          <w:tab w:val="clear" w:pos="1440"/>
          <w:tab w:val="num" w:pos="900"/>
        </w:tabs>
        <w:overflowPunct w:val="0"/>
        <w:autoSpaceDE w:val="0"/>
        <w:autoSpaceDN w:val="0"/>
        <w:adjustRightInd w:val="0"/>
        <w:spacing w:after="0" w:line="208" w:lineRule="auto"/>
        <w:ind w:left="426" w:hanging="426"/>
        <w:jc w:val="both"/>
        <w:rPr>
          <w:rFonts w:ascii="Arial" w:hAnsi="Arial" w:cs="Arial"/>
          <w:sz w:val="22"/>
          <w:szCs w:val="22"/>
        </w:rPr>
      </w:pPr>
      <w:r w:rsidRPr="007923C2">
        <w:rPr>
          <w:rFonts w:ascii="Arial" w:hAnsi="Arial" w:cs="Arial"/>
          <w:sz w:val="22"/>
          <w:szCs w:val="22"/>
        </w:rPr>
        <w:t xml:space="preserve">Las casas rodantes que sean propiedad de residentes en el extranjero </w:t>
      </w:r>
    </w:p>
    <w:p w14:paraId="40FD8F61" w14:textId="77777777" w:rsidR="00D52CD1" w:rsidRPr="007923C2" w:rsidRDefault="00D52CD1" w:rsidP="00D52CD1">
      <w:pPr>
        <w:widowControl w:val="0"/>
        <w:numPr>
          <w:ilvl w:val="1"/>
          <w:numId w:val="133"/>
        </w:numPr>
        <w:tabs>
          <w:tab w:val="clear" w:pos="1440"/>
          <w:tab w:val="num" w:pos="900"/>
        </w:tabs>
        <w:overflowPunct w:val="0"/>
        <w:autoSpaceDE w:val="0"/>
        <w:autoSpaceDN w:val="0"/>
        <w:adjustRightInd w:val="0"/>
        <w:spacing w:after="0" w:line="228" w:lineRule="auto"/>
        <w:ind w:left="426" w:hanging="426"/>
        <w:jc w:val="both"/>
        <w:rPr>
          <w:rFonts w:ascii="Arial" w:hAnsi="Arial" w:cs="Arial"/>
          <w:sz w:val="22"/>
          <w:szCs w:val="22"/>
        </w:rPr>
      </w:pPr>
      <w:r w:rsidRPr="007923C2">
        <w:rPr>
          <w:rFonts w:ascii="Arial" w:hAnsi="Arial" w:cs="Arial"/>
          <w:sz w:val="22"/>
          <w:szCs w:val="22"/>
        </w:rPr>
        <w:t xml:space="preserve">Carros de ferrocarril </w:t>
      </w:r>
    </w:p>
    <w:p w14:paraId="5A724DC2" w14:textId="77777777" w:rsidR="00D52CD1" w:rsidRPr="007923C2" w:rsidRDefault="00D52CD1" w:rsidP="00D52CD1">
      <w:pPr>
        <w:widowControl w:val="0"/>
        <w:autoSpaceDE w:val="0"/>
        <w:autoSpaceDN w:val="0"/>
        <w:adjustRightInd w:val="0"/>
        <w:spacing w:after="0" w:line="200" w:lineRule="exact"/>
        <w:jc w:val="both"/>
        <w:rPr>
          <w:rFonts w:ascii="Arial" w:hAnsi="Arial" w:cs="Arial"/>
          <w:sz w:val="22"/>
          <w:szCs w:val="22"/>
        </w:rPr>
      </w:pPr>
    </w:p>
    <w:p w14:paraId="6E1DFD4A" w14:textId="77777777" w:rsidR="00D52CD1" w:rsidRPr="007923C2" w:rsidRDefault="00D52CD1" w:rsidP="00D52CD1">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i/>
          <w:iCs/>
          <w:sz w:val="22"/>
          <w:szCs w:val="22"/>
        </w:rPr>
        <w:t xml:space="preserve">2) Para elaboración, transformación o reparación en programas de maquila o de exportación </w:t>
      </w:r>
    </w:p>
    <w:p w14:paraId="0F8AFCB7" w14:textId="77777777" w:rsidR="00D52CD1" w:rsidRPr="007923C2" w:rsidRDefault="00D52CD1" w:rsidP="00D52CD1">
      <w:pPr>
        <w:widowControl w:val="0"/>
        <w:autoSpaceDE w:val="0"/>
        <w:autoSpaceDN w:val="0"/>
        <w:adjustRightInd w:val="0"/>
        <w:spacing w:after="0" w:line="71" w:lineRule="exact"/>
        <w:jc w:val="both"/>
        <w:rPr>
          <w:rFonts w:ascii="Arial" w:hAnsi="Arial" w:cs="Arial"/>
          <w:sz w:val="22"/>
          <w:szCs w:val="22"/>
        </w:rPr>
      </w:pPr>
    </w:p>
    <w:p w14:paraId="620DC3A2" w14:textId="77777777" w:rsidR="00D52CD1" w:rsidRPr="007923C2" w:rsidRDefault="00D52CD1" w:rsidP="00D52CD1">
      <w:pPr>
        <w:widowControl w:val="0"/>
        <w:overflowPunct w:val="0"/>
        <w:autoSpaceDE w:val="0"/>
        <w:autoSpaceDN w:val="0"/>
        <w:adjustRightInd w:val="0"/>
        <w:spacing w:after="0" w:line="236" w:lineRule="auto"/>
        <w:jc w:val="both"/>
        <w:rPr>
          <w:rFonts w:ascii="Arial" w:hAnsi="Arial" w:cs="Arial"/>
          <w:sz w:val="22"/>
          <w:szCs w:val="22"/>
        </w:rPr>
      </w:pPr>
      <w:r w:rsidRPr="007923C2">
        <w:rPr>
          <w:rFonts w:ascii="Arial" w:hAnsi="Arial" w:cs="Arial"/>
          <w:sz w:val="22"/>
          <w:szCs w:val="22"/>
        </w:rPr>
        <w:t>Las maquiladoras y las empresas con programas de exportación, autorizados por la Secretaría de Economía, podrán efectuar la importación temporal de mercancías para retornar al extranjero después de haberse destinado a un proceso de elaboración, transformación o reparación, así como las mercancías para retornar en el mismo estado, en los términos del programa autorizado, siempre que tributen de acuerdo con lo dispuesto en el título II de la Ley del Impuesto sobre la Renta y cumplan con los requisitos que establezca la Secretaría mediante reglas.</w:t>
      </w:r>
    </w:p>
    <w:p w14:paraId="4516FECF" w14:textId="77777777" w:rsidR="00D52CD1" w:rsidRPr="007923C2" w:rsidRDefault="00D52CD1" w:rsidP="00D52CD1">
      <w:pPr>
        <w:widowControl w:val="0"/>
        <w:autoSpaceDE w:val="0"/>
        <w:autoSpaceDN w:val="0"/>
        <w:adjustRightInd w:val="0"/>
        <w:spacing w:after="0" w:line="2" w:lineRule="exact"/>
        <w:jc w:val="both"/>
        <w:rPr>
          <w:rFonts w:ascii="Arial" w:hAnsi="Arial" w:cs="Arial"/>
          <w:sz w:val="22"/>
          <w:szCs w:val="22"/>
        </w:rPr>
      </w:pPr>
    </w:p>
    <w:p w14:paraId="1E3A26B0" w14:textId="77777777" w:rsidR="00D52CD1" w:rsidRPr="007923C2" w:rsidRDefault="00D52CD1" w:rsidP="00D52CD1">
      <w:pPr>
        <w:widowControl w:val="0"/>
        <w:overflowPunct w:val="0"/>
        <w:autoSpaceDE w:val="0"/>
        <w:autoSpaceDN w:val="0"/>
        <w:adjustRightInd w:val="0"/>
        <w:spacing w:after="0" w:line="216" w:lineRule="auto"/>
        <w:jc w:val="both"/>
        <w:rPr>
          <w:rFonts w:ascii="Arial" w:hAnsi="Arial" w:cs="Arial"/>
          <w:sz w:val="22"/>
          <w:szCs w:val="22"/>
        </w:rPr>
      </w:pPr>
      <w:r w:rsidRPr="007923C2">
        <w:rPr>
          <w:rFonts w:ascii="Arial" w:hAnsi="Arial" w:cs="Arial"/>
          <w:sz w:val="22"/>
          <w:szCs w:val="22"/>
        </w:rPr>
        <w:t>Los plazos en que se autoriza este tipo de exportación son los siguientes:</w:t>
      </w:r>
    </w:p>
    <w:p w14:paraId="37EAFF76" w14:textId="77777777" w:rsidR="00D52CD1" w:rsidRPr="007923C2" w:rsidRDefault="00D52CD1" w:rsidP="00D52CD1">
      <w:pPr>
        <w:widowControl w:val="0"/>
        <w:autoSpaceDE w:val="0"/>
        <w:autoSpaceDN w:val="0"/>
        <w:adjustRightInd w:val="0"/>
        <w:spacing w:after="0" w:line="200" w:lineRule="exact"/>
        <w:ind w:left="426" w:hanging="426"/>
        <w:jc w:val="both"/>
        <w:rPr>
          <w:rFonts w:ascii="Arial" w:hAnsi="Arial" w:cs="Arial"/>
          <w:sz w:val="22"/>
          <w:szCs w:val="22"/>
        </w:rPr>
      </w:pPr>
    </w:p>
    <w:p w14:paraId="4D571D52" w14:textId="77777777" w:rsidR="00D52CD1" w:rsidRPr="007923C2" w:rsidRDefault="00D52CD1" w:rsidP="00D52CD1">
      <w:pPr>
        <w:widowControl w:val="0"/>
        <w:autoSpaceDE w:val="0"/>
        <w:autoSpaceDN w:val="0"/>
        <w:adjustRightInd w:val="0"/>
        <w:spacing w:after="0" w:line="10" w:lineRule="exact"/>
        <w:ind w:left="426" w:hanging="426"/>
        <w:jc w:val="both"/>
        <w:rPr>
          <w:rFonts w:ascii="Arial" w:hAnsi="Arial" w:cs="Arial"/>
          <w:sz w:val="22"/>
          <w:szCs w:val="22"/>
        </w:rPr>
      </w:pPr>
    </w:p>
    <w:p w14:paraId="220CA942" w14:textId="77777777" w:rsidR="00D52CD1" w:rsidRPr="007923C2" w:rsidRDefault="00D52CD1" w:rsidP="00D52CD1">
      <w:pPr>
        <w:widowControl w:val="0"/>
        <w:numPr>
          <w:ilvl w:val="0"/>
          <w:numId w:val="134"/>
        </w:numPr>
        <w:tabs>
          <w:tab w:val="clear" w:pos="720"/>
          <w:tab w:val="num" w:pos="659"/>
        </w:tabs>
        <w:overflowPunct w:val="0"/>
        <w:autoSpaceDE w:val="0"/>
        <w:autoSpaceDN w:val="0"/>
        <w:adjustRightInd w:val="0"/>
        <w:spacing w:after="0" w:line="238" w:lineRule="auto"/>
        <w:ind w:left="426" w:hanging="426"/>
        <w:jc w:val="both"/>
        <w:rPr>
          <w:rFonts w:ascii="Arial" w:hAnsi="Arial" w:cs="Arial"/>
          <w:sz w:val="22"/>
          <w:szCs w:val="22"/>
        </w:rPr>
      </w:pPr>
      <w:r w:rsidRPr="007923C2">
        <w:rPr>
          <w:rFonts w:ascii="Arial" w:hAnsi="Arial" w:cs="Arial"/>
          <w:sz w:val="22"/>
          <w:szCs w:val="22"/>
        </w:rPr>
        <w:t xml:space="preserve">Presentar ante la aduana de entrada la forma oficial aprobada por la Secretaría, por conducto del propietario, o en su nombre, el capitán de la embarcación o su representante. </w:t>
      </w:r>
    </w:p>
    <w:p w14:paraId="5AC613FA" w14:textId="77777777" w:rsidR="00D52CD1" w:rsidRPr="007923C2" w:rsidRDefault="00D52CD1" w:rsidP="00D52CD1">
      <w:pPr>
        <w:widowControl w:val="0"/>
        <w:autoSpaceDE w:val="0"/>
        <w:autoSpaceDN w:val="0"/>
        <w:adjustRightInd w:val="0"/>
        <w:spacing w:after="0" w:line="9" w:lineRule="exact"/>
        <w:ind w:left="426" w:hanging="426"/>
        <w:jc w:val="both"/>
        <w:rPr>
          <w:rFonts w:ascii="Arial" w:hAnsi="Arial" w:cs="Arial"/>
          <w:sz w:val="22"/>
          <w:szCs w:val="22"/>
        </w:rPr>
      </w:pPr>
    </w:p>
    <w:p w14:paraId="7BF95733" w14:textId="77777777" w:rsidR="00D52CD1" w:rsidRPr="007923C2" w:rsidRDefault="00D52CD1" w:rsidP="00D52CD1">
      <w:pPr>
        <w:widowControl w:val="0"/>
        <w:numPr>
          <w:ilvl w:val="0"/>
          <w:numId w:val="134"/>
        </w:numPr>
        <w:tabs>
          <w:tab w:val="clear" w:pos="720"/>
          <w:tab w:val="num" w:pos="661"/>
        </w:tabs>
        <w:overflowPunct w:val="0"/>
        <w:autoSpaceDE w:val="0"/>
        <w:autoSpaceDN w:val="0"/>
        <w:adjustRightInd w:val="0"/>
        <w:spacing w:after="0" w:line="236" w:lineRule="auto"/>
        <w:ind w:left="426" w:hanging="426"/>
        <w:jc w:val="both"/>
        <w:rPr>
          <w:rFonts w:ascii="Arial" w:hAnsi="Arial" w:cs="Arial"/>
          <w:sz w:val="22"/>
          <w:szCs w:val="22"/>
        </w:rPr>
      </w:pPr>
      <w:r w:rsidRPr="007923C2">
        <w:rPr>
          <w:rFonts w:ascii="Arial" w:hAnsi="Arial" w:cs="Arial"/>
          <w:sz w:val="22"/>
          <w:szCs w:val="22"/>
        </w:rPr>
        <w:t xml:space="preserve">Acreditar la propiedad de la embarcación y del remolque al momento de efectuar el trámite en la aduana. </w:t>
      </w:r>
    </w:p>
    <w:p w14:paraId="2793499F" w14:textId="77777777" w:rsidR="00D52CD1" w:rsidRPr="007923C2" w:rsidRDefault="00D52CD1" w:rsidP="00D52CD1">
      <w:pPr>
        <w:widowControl w:val="0"/>
        <w:autoSpaceDE w:val="0"/>
        <w:autoSpaceDN w:val="0"/>
        <w:adjustRightInd w:val="0"/>
        <w:spacing w:after="0" w:line="10" w:lineRule="exact"/>
        <w:ind w:left="426" w:hanging="426"/>
        <w:jc w:val="both"/>
        <w:rPr>
          <w:rFonts w:ascii="Arial" w:hAnsi="Arial" w:cs="Arial"/>
          <w:sz w:val="22"/>
          <w:szCs w:val="22"/>
        </w:rPr>
      </w:pPr>
    </w:p>
    <w:p w14:paraId="587C299C" w14:textId="77777777" w:rsidR="00D52CD1" w:rsidRPr="007923C2" w:rsidRDefault="00D52CD1" w:rsidP="00DB7812">
      <w:pPr>
        <w:widowControl w:val="0"/>
        <w:overflowPunct w:val="0"/>
        <w:autoSpaceDE w:val="0"/>
        <w:autoSpaceDN w:val="0"/>
        <w:adjustRightInd w:val="0"/>
        <w:spacing w:after="0" w:line="240" w:lineRule="auto"/>
        <w:ind w:left="426"/>
        <w:jc w:val="both"/>
        <w:rPr>
          <w:rFonts w:ascii="Arial" w:hAnsi="Arial" w:cs="Arial"/>
          <w:sz w:val="22"/>
          <w:szCs w:val="22"/>
        </w:rPr>
      </w:pPr>
      <w:r w:rsidRPr="007923C2">
        <w:rPr>
          <w:rFonts w:ascii="Arial" w:hAnsi="Arial" w:cs="Arial"/>
          <w:sz w:val="22"/>
          <w:szCs w:val="22"/>
        </w:rPr>
        <w:t xml:space="preserve">Respecto al plazo señalado en este artículo (20 años), cabe mencionar que fue reformada recientemente, y es a partir de este año que el plazo de este tipo de importaciones se redujo de 20 a 10 años, y el reglamento no ha sido aún adecuado a dicha reforma. </w:t>
      </w:r>
    </w:p>
    <w:p w14:paraId="2E551F23" w14:textId="77777777" w:rsidR="00D52CD1" w:rsidRPr="007923C2" w:rsidRDefault="00D52CD1" w:rsidP="00D52CD1">
      <w:pPr>
        <w:widowControl w:val="0"/>
        <w:autoSpaceDE w:val="0"/>
        <w:autoSpaceDN w:val="0"/>
        <w:adjustRightInd w:val="0"/>
        <w:spacing w:after="0" w:line="2" w:lineRule="exact"/>
        <w:jc w:val="both"/>
        <w:rPr>
          <w:rFonts w:ascii="Arial" w:hAnsi="Arial" w:cs="Arial"/>
          <w:sz w:val="22"/>
          <w:szCs w:val="22"/>
        </w:rPr>
      </w:pPr>
    </w:p>
    <w:p w14:paraId="129856E9" w14:textId="77777777" w:rsidR="00D52CD1" w:rsidRPr="007923C2" w:rsidRDefault="00D52CD1" w:rsidP="00D52CD1">
      <w:pPr>
        <w:widowControl w:val="0"/>
        <w:autoSpaceDE w:val="0"/>
        <w:autoSpaceDN w:val="0"/>
        <w:adjustRightInd w:val="0"/>
        <w:spacing w:after="0" w:line="306" w:lineRule="exact"/>
        <w:jc w:val="both"/>
        <w:rPr>
          <w:rFonts w:ascii="Arial" w:hAnsi="Arial" w:cs="Arial"/>
          <w:sz w:val="22"/>
          <w:szCs w:val="22"/>
        </w:rPr>
      </w:pPr>
      <w:bookmarkStart w:id="14" w:name="page13"/>
      <w:bookmarkEnd w:id="14"/>
    </w:p>
    <w:p w14:paraId="794AF046" w14:textId="77777777" w:rsidR="00D52CD1" w:rsidRPr="007923C2" w:rsidRDefault="00D52CD1" w:rsidP="00D52CD1">
      <w:pPr>
        <w:widowControl w:val="0"/>
        <w:numPr>
          <w:ilvl w:val="1"/>
          <w:numId w:val="135"/>
        </w:numPr>
        <w:tabs>
          <w:tab w:val="clear" w:pos="1440"/>
          <w:tab w:val="num" w:pos="622"/>
        </w:tabs>
        <w:overflowPunct w:val="0"/>
        <w:autoSpaceDE w:val="0"/>
        <w:autoSpaceDN w:val="0"/>
        <w:adjustRightInd w:val="0"/>
        <w:spacing w:after="0" w:line="240" w:lineRule="auto"/>
        <w:ind w:left="0" w:firstLine="0"/>
        <w:jc w:val="both"/>
        <w:rPr>
          <w:rFonts w:ascii="Arial" w:hAnsi="Arial" w:cs="Arial"/>
          <w:sz w:val="22"/>
          <w:szCs w:val="22"/>
        </w:rPr>
      </w:pPr>
      <w:r w:rsidRPr="007923C2">
        <w:rPr>
          <w:rFonts w:ascii="Arial" w:hAnsi="Arial" w:cs="Arial"/>
          <w:sz w:val="22"/>
          <w:szCs w:val="22"/>
        </w:rPr>
        <w:t xml:space="preserve">Hasta por dieciocho meses: </w:t>
      </w:r>
    </w:p>
    <w:p w14:paraId="4AF0A025" w14:textId="77777777" w:rsidR="00D52CD1" w:rsidRPr="007923C2" w:rsidRDefault="00D52CD1" w:rsidP="00D52CD1">
      <w:pPr>
        <w:widowControl w:val="0"/>
        <w:autoSpaceDE w:val="0"/>
        <w:autoSpaceDN w:val="0"/>
        <w:adjustRightInd w:val="0"/>
        <w:spacing w:after="0" w:line="132" w:lineRule="exact"/>
        <w:jc w:val="both"/>
        <w:rPr>
          <w:rFonts w:ascii="Arial" w:hAnsi="Arial" w:cs="Arial"/>
          <w:sz w:val="22"/>
          <w:szCs w:val="22"/>
        </w:rPr>
      </w:pPr>
    </w:p>
    <w:p w14:paraId="0C3C88E1" w14:textId="77777777"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34" w:lineRule="auto"/>
        <w:ind w:left="567" w:hanging="141"/>
        <w:jc w:val="both"/>
        <w:rPr>
          <w:rFonts w:ascii="Arial" w:hAnsi="Arial" w:cs="Arial"/>
          <w:sz w:val="22"/>
          <w:szCs w:val="22"/>
        </w:rPr>
      </w:pPr>
      <w:r w:rsidRPr="007923C2">
        <w:rPr>
          <w:rFonts w:ascii="Arial" w:hAnsi="Arial" w:cs="Arial"/>
          <w:sz w:val="22"/>
          <w:szCs w:val="22"/>
        </w:rPr>
        <w:t xml:space="preserve">Combustibles, lubricantes y otros materiales que se vayan a consumir durante el proceso productivo de la mercancía de ex-portación </w:t>
      </w:r>
    </w:p>
    <w:p w14:paraId="095BE6A0" w14:textId="77777777" w:rsidR="00D52CD1" w:rsidRPr="007923C2" w:rsidRDefault="00D52CD1" w:rsidP="00D52CD1">
      <w:pPr>
        <w:widowControl w:val="0"/>
        <w:autoSpaceDE w:val="0"/>
        <w:autoSpaceDN w:val="0"/>
        <w:adjustRightInd w:val="0"/>
        <w:spacing w:after="0" w:line="14" w:lineRule="exact"/>
        <w:ind w:left="567" w:hanging="141"/>
        <w:jc w:val="both"/>
        <w:rPr>
          <w:rFonts w:ascii="Arial" w:hAnsi="Arial" w:cs="Arial"/>
          <w:sz w:val="22"/>
          <w:szCs w:val="22"/>
        </w:rPr>
      </w:pPr>
    </w:p>
    <w:p w14:paraId="25AB3529" w14:textId="77777777"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30" w:lineRule="auto"/>
        <w:ind w:left="567" w:hanging="141"/>
        <w:jc w:val="both"/>
        <w:rPr>
          <w:rFonts w:ascii="Arial" w:hAnsi="Arial" w:cs="Arial"/>
          <w:sz w:val="22"/>
          <w:szCs w:val="22"/>
        </w:rPr>
      </w:pPr>
      <w:r w:rsidRPr="007923C2">
        <w:rPr>
          <w:rFonts w:ascii="Arial" w:hAnsi="Arial" w:cs="Arial"/>
          <w:sz w:val="22"/>
          <w:szCs w:val="22"/>
        </w:rPr>
        <w:t xml:space="preserve">Materias primas, partes y componentes que se vayan a destinar totalmente a integrar mercancías de exportación </w:t>
      </w:r>
    </w:p>
    <w:p w14:paraId="34231FBD" w14:textId="77777777"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28" w:lineRule="auto"/>
        <w:ind w:left="567" w:hanging="141"/>
        <w:jc w:val="both"/>
        <w:rPr>
          <w:rFonts w:ascii="Arial" w:hAnsi="Arial" w:cs="Arial"/>
          <w:sz w:val="22"/>
          <w:szCs w:val="22"/>
        </w:rPr>
      </w:pPr>
      <w:r w:rsidRPr="007923C2">
        <w:rPr>
          <w:rFonts w:ascii="Arial" w:hAnsi="Arial" w:cs="Arial"/>
          <w:sz w:val="22"/>
          <w:szCs w:val="22"/>
        </w:rPr>
        <w:t xml:space="preserve">Envases y empaque </w:t>
      </w:r>
    </w:p>
    <w:p w14:paraId="42857831" w14:textId="77777777" w:rsidR="00D52CD1" w:rsidRPr="007923C2" w:rsidRDefault="00D52CD1" w:rsidP="00D52CD1">
      <w:pPr>
        <w:widowControl w:val="0"/>
        <w:autoSpaceDE w:val="0"/>
        <w:autoSpaceDN w:val="0"/>
        <w:adjustRightInd w:val="0"/>
        <w:spacing w:after="0" w:line="16" w:lineRule="exact"/>
        <w:ind w:left="567" w:hanging="141"/>
        <w:jc w:val="both"/>
        <w:rPr>
          <w:rFonts w:ascii="Arial" w:hAnsi="Arial" w:cs="Arial"/>
          <w:sz w:val="22"/>
          <w:szCs w:val="22"/>
        </w:rPr>
      </w:pPr>
    </w:p>
    <w:p w14:paraId="1560C42C" w14:textId="77777777"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14" w:lineRule="auto"/>
        <w:ind w:left="567" w:hanging="141"/>
        <w:jc w:val="both"/>
        <w:rPr>
          <w:rFonts w:ascii="Arial" w:hAnsi="Arial" w:cs="Arial"/>
          <w:sz w:val="22"/>
          <w:szCs w:val="22"/>
        </w:rPr>
      </w:pPr>
      <w:r w:rsidRPr="007923C2">
        <w:rPr>
          <w:rFonts w:ascii="Arial" w:hAnsi="Arial" w:cs="Arial"/>
          <w:sz w:val="22"/>
          <w:szCs w:val="22"/>
        </w:rPr>
        <w:t xml:space="preserve">Etiquetas y folletos </w:t>
      </w:r>
    </w:p>
    <w:p w14:paraId="3C5293B1" w14:textId="77777777" w:rsidR="00D52CD1" w:rsidRPr="007923C2" w:rsidRDefault="00D52CD1" w:rsidP="00D52CD1">
      <w:pPr>
        <w:widowControl w:val="0"/>
        <w:autoSpaceDE w:val="0"/>
        <w:autoSpaceDN w:val="0"/>
        <w:adjustRightInd w:val="0"/>
        <w:spacing w:after="0" w:line="181" w:lineRule="exact"/>
        <w:jc w:val="both"/>
        <w:rPr>
          <w:rFonts w:ascii="Arial" w:hAnsi="Arial" w:cs="Arial"/>
          <w:sz w:val="22"/>
          <w:szCs w:val="22"/>
        </w:rPr>
      </w:pPr>
    </w:p>
    <w:p w14:paraId="46F8C09F" w14:textId="77777777" w:rsidR="00D52CD1" w:rsidRPr="007923C2" w:rsidRDefault="00D52CD1" w:rsidP="00D52CD1">
      <w:pPr>
        <w:widowControl w:val="0"/>
        <w:numPr>
          <w:ilvl w:val="1"/>
          <w:numId w:val="135"/>
        </w:numPr>
        <w:tabs>
          <w:tab w:val="clear" w:pos="1440"/>
          <w:tab w:val="num" w:pos="622"/>
        </w:tabs>
        <w:overflowPunct w:val="0"/>
        <w:autoSpaceDE w:val="0"/>
        <w:autoSpaceDN w:val="0"/>
        <w:adjustRightInd w:val="0"/>
        <w:spacing w:after="0" w:line="239" w:lineRule="auto"/>
        <w:ind w:left="567" w:hanging="567"/>
        <w:jc w:val="both"/>
        <w:rPr>
          <w:rFonts w:ascii="Arial" w:hAnsi="Arial" w:cs="Arial"/>
          <w:sz w:val="22"/>
          <w:szCs w:val="22"/>
        </w:rPr>
      </w:pPr>
      <w:r w:rsidRPr="007923C2">
        <w:rPr>
          <w:rFonts w:ascii="Arial" w:hAnsi="Arial" w:cs="Arial"/>
          <w:sz w:val="22"/>
          <w:szCs w:val="22"/>
        </w:rPr>
        <w:t xml:space="preserve">Hasta por dos años, tratándose se contenedores y cajas de trailers, y </w:t>
      </w:r>
    </w:p>
    <w:p w14:paraId="50026D00" w14:textId="77777777" w:rsidR="00D52CD1" w:rsidRPr="007923C2" w:rsidRDefault="00D52CD1" w:rsidP="00D52CD1">
      <w:pPr>
        <w:widowControl w:val="0"/>
        <w:autoSpaceDE w:val="0"/>
        <w:autoSpaceDN w:val="0"/>
        <w:adjustRightInd w:val="0"/>
        <w:spacing w:after="0" w:line="13" w:lineRule="exact"/>
        <w:ind w:left="567" w:hanging="567"/>
        <w:jc w:val="both"/>
        <w:rPr>
          <w:rFonts w:ascii="Arial" w:hAnsi="Arial" w:cs="Arial"/>
          <w:sz w:val="22"/>
          <w:szCs w:val="22"/>
        </w:rPr>
      </w:pPr>
    </w:p>
    <w:p w14:paraId="081C7FA8" w14:textId="77777777" w:rsidR="00D52CD1" w:rsidRPr="007923C2" w:rsidRDefault="00D52CD1" w:rsidP="00D52CD1">
      <w:pPr>
        <w:widowControl w:val="0"/>
        <w:numPr>
          <w:ilvl w:val="1"/>
          <w:numId w:val="135"/>
        </w:numPr>
        <w:tabs>
          <w:tab w:val="clear" w:pos="1440"/>
          <w:tab w:val="num" w:pos="621"/>
        </w:tabs>
        <w:overflowPunct w:val="0"/>
        <w:autoSpaceDE w:val="0"/>
        <w:autoSpaceDN w:val="0"/>
        <w:adjustRightInd w:val="0"/>
        <w:spacing w:after="0" w:line="239" w:lineRule="auto"/>
        <w:ind w:left="567" w:hanging="567"/>
        <w:jc w:val="both"/>
        <w:rPr>
          <w:rFonts w:ascii="Arial" w:hAnsi="Arial" w:cs="Arial"/>
          <w:sz w:val="22"/>
          <w:szCs w:val="22"/>
        </w:rPr>
      </w:pPr>
      <w:r w:rsidRPr="007923C2">
        <w:rPr>
          <w:rFonts w:ascii="Arial" w:hAnsi="Arial" w:cs="Arial"/>
          <w:sz w:val="22"/>
          <w:szCs w:val="22"/>
        </w:rPr>
        <w:t xml:space="preserve">Hasta por cinco años o por el plazo previsto en la Ley del Impuesto sobre la Renta para su depreciación cuando éste sea mayor, en los siguientes casos: </w:t>
      </w:r>
    </w:p>
    <w:p w14:paraId="4859FDAA" w14:textId="77777777" w:rsidR="00D52CD1" w:rsidRPr="007923C2" w:rsidRDefault="00D52CD1" w:rsidP="00D52CD1">
      <w:pPr>
        <w:widowControl w:val="0"/>
        <w:autoSpaceDE w:val="0"/>
        <w:autoSpaceDN w:val="0"/>
        <w:adjustRightInd w:val="0"/>
        <w:spacing w:after="0" w:line="134" w:lineRule="exact"/>
        <w:ind w:left="567" w:hanging="567"/>
        <w:jc w:val="both"/>
        <w:rPr>
          <w:rFonts w:ascii="Arial" w:hAnsi="Arial" w:cs="Arial"/>
          <w:sz w:val="22"/>
          <w:szCs w:val="22"/>
        </w:rPr>
      </w:pPr>
    </w:p>
    <w:p w14:paraId="3F652DFC" w14:textId="77777777"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30" w:lineRule="auto"/>
        <w:ind w:left="567" w:hanging="141"/>
        <w:jc w:val="both"/>
        <w:rPr>
          <w:rFonts w:ascii="Arial" w:hAnsi="Arial" w:cs="Arial"/>
          <w:sz w:val="22"/>
          <w:szCs w:val="22"/>
        </w:rPr>
      </w:pPr>
      <w:r w:rsidRPr="007923C2">
        <w:rPr>
          <w:rFonts w:ascii="Arial" w:hAnsi="Arial" w:cs="Arial"/>
          <w:sz w:val="22"/>
          <w:szCs w:val="22"/>
        </w:rPr>
        <w:t xml:space="preserve">Maquinaria, equipo, herramientas, instrumentos, moldes y re-facciones destinados al proceso productivo. </w:t>
      </w:r>
    </w:p>
    <w:p w14:paraId="27A20479" w14:textId="77777777" w:rsidR="00D52CD1" w:rsidRPr="007923C2" w:rsidRDefault="00D52CD1" w:rsidP="00D52CD1">
      <w:pPr>
        <w:widowControl w:val="0"/>
        <w:autoSpaceDE w:val="0"/>
        <w:autoSpaceDN w:val="0"/>
        <w:adjustRightInd w:val="0"/>
        <w:spacing w:after="0" w:line="12" w:lineRule="exact"/>
        <w:ind w:left="567" w:hanging="141"/>
        <w:jc w:val="both"/>
        <w:rPr>
          <w:rFonts w:ascii="Arial" w:hAnsi="Arial" w:cs="Arial"/>
          <w:sz w:val="22"/>
          <w:szCs w:val="22"/>
        </w:rPr>
      </w:pPr>
    </w:p>
    <w:p w14:paraId="0D926D54" w14:textId="77777777"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39" w:lineRule="auto"/>
        <w:ind w:left="567" w:hanging="141"/>
        <w:jc w:val="both"/>
        <w:rPr>
          <w:rFonts w:ascii="Arial" w:hAnsi="Arial" w:cs="Arial"/>
          <w:sz w:val="22"/>
          <w:szCs w:val="22"/>
        </w:rPr>
      </w:pPr>
      <w:r w:rsidRPr="007923C2">
        <w:rPr>
          <w:rFonts w:ascii="Arial" w:hAnsi="Arial" w:cs="Arial"/>
          <w:sz w:val="22"/>
          <w:szCs w:val="22"/>
        </w:rPr>
        <w:t xml:space="preserve">Equipos y aparatos para el control de la contaminación; para la investigación o capacitación, de seguridad industrial, de telecomunicación y cómputo de laboratorio, de medición, de prueba de productos y control de calidad; así como aquellos que intervengan en el manejo de materiales relacionados directamente con los bienes de exportación y otros vinculados con el proceso productivo, y </w:t>
      </w:r>
    </w:p>
    <w:p w14:paraId="4578DB0D" w14:textId="77777777" w:rsidR="00D52CD1" w:rsidRPr="007923C2" w:rsidRDefault="00D52CD1" w:rsidP="00D52CD1">
      <w:pPr>
        <w:widowControl w:val="0"/>
        <w:autoSpaceDE w:val="0"/>
        <w:autoSpaceDN w:val="0"/>
        <w:adjustRightInd w:val="0"/>
        <w:spacing w:after="0" w:line="5" w:lineRule="exact"/>
        <w:ind w:left="567" w:hanging="141"/>
        <w:jc w:val="both"/>
        <w:rPr>
          <w:rFonts w:ascii="Arial" w:hAnsi="Arial" w:cs="Arial"/>
          <w:sz w:val="22"/>
          <w:szCs w:val="22"/>
        </w:rPr>
      </w:pPr>
    </w:p>
    <w:p w14:paraId="487849A7" w14:textId="77777777"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28" w:lineRule="auto"/>
        <w:ind w:left="567" w:hanging="141"/>
        <w:jc w:val="both"/>
        <w:rPr>
          <w:rFonts w:ascii="Arial" w:hAnsi="Arial" w:cs="Arial"/>
          <w:sz w:val="22"/>
          <w:szCs w:val="22"/>
        </w:rPr>
      </w:pPr>
      <w:r w:rsidRPr="007923C2">
        <w:rPr>
          <w:rFonts w:ascii="Arial" w:hAnsi="Arial" w:cs="Arial"/>
          <w:sz w:val="22"/>
          <w:szCs w:val="22"/>
        </w:rPr>
        <w:t xml:space="preserve">Equipo para el desarrollo administrativo. </w:t>
      </w:r>
    </w:p>
    <w:p w14:paraId="49AE73E5" w14:textId="77777777" w:rsidR="00D52CD1" w:rsidRPr="007923C2" w:rsidRDefault="00D52CD1" w:rsidP="00D52CD1">
      <w:pPr>
        <w:widowControl w:val="0"/>
        <w:autoSpaceDE w:val="0"/>
        <w:autoSpaceDN w:val="0"/>
        <w:adjustRightInd w:val="0"/>
        <w:spacing w:after="0" w:line="193" w:lineRule="exact"/>
        <w:jc w:val="both"/>
        <w:rPr>
          <w:rFonts w:ascii="Arial" w:hAnsi="Arial" w:cs="Arial"/>
          <w:sz w:val="22"/>
          <w:szCs w:val="22"/>
        </w:rPr>
      </w:pPr>
    </w:p>
    <w:p w14:paraId="44A0E511" w14:textId="77777777" w:rsidR="00D52CD1" w:rsidRPr="007923C2" w:rsidRDefault="00D52CD1" w:rsidP="00D52CD1">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El régimen de estas importaciones puede cambiar al de importación definitiva, cumpliendo con lo siguiente:</w:t>
      </w:r>
    </w:p>
    <w:p w14:paraId="6B80A4F3" w14:textId="77777777" w:rsidR="00D52CD1" w:rsidRPr="007923C2" w:rsidRDefault="00D52CD1" w:rsidP="00D52CD1">
      <w:pPr>
        <w:widowControl w:val="0"/>
        <w:autoSpaceDE w:val="0"/>
        <w:autoSpaceDN w:val="0"/>
        <w:adjustRightInd w:val="0"/>
        <w:spacing w:after="0" w:line="134" w:lineRule="exact"/>
        <w:jc w:val="both"/>
        <w:rPr>
          <w:rFonts w:ascii="Arial" w:hAnsi="Arial" w:cs="Arial"/>
          <w:sz w:val="22"/>
          <w:szCs w:val="22"/>
        </w:rPr>
      </w:pPr>
    </w:p>
    <w:p w14:paraId="4144EE12" w14:textId="77777777" w:rsidR="00D52CD1" w:rsidRPr="007923C2" w:rsidRDefault="00D52CD1" w:rsidP="00D52CD1">
      <w:pPr>
        <w:widowControl w:val="0"/>
        <w:numPr>
          <w:ilvl w:val="0"/>
          <w:numId w:val="136"/>
        </w:numPr>
        <w:tabs>
          <w:tab w:val="clear" w:pos="720"/>
          <w:tab w:val="num" w:pos="622"/>
        </w:tabs>
        <w:overflowPunct w:val="0"/>
        <w:autoSpaceDE w:val="0"/>
        <w:autoSpaceDN w:val="0"/>
        <w:adjustRightInd w:val="0"/>
        <w:spacing w:after="0" w:line="242" w:lineRule="auto"/>
        <w:ind w:left="0" w:firstLine="0"/>
        <w:jc w:val="both"/>
        <w:rPr>
          <w:rFonts w:ascii="Arial" w:hAnsi="Arial" w:cs="Arial"/>
          <w:sz w:val="22"/>
          <w:szCs w:val="22"/>
        </w:rPr>
      </w:pPr>
      <w:r w:rsidRPr="007923C2">
        <w:rPr>
          <w:rFonts w:ascii="Arial" w:hAnsi="Arial" w:cs="Arial"/>
          <w:sz w:val="22"/>
          <w:szCs w:val="22"/>
        </w:rPr>
        <w:t xml:space="preserve">Actualizar el impuesto general de importación y cubrir los recargos que correspondan conforme al Código Fiscal de la Federación, desde la fecha de importación temporal hasta el momento en que se efectúe el cambio de régimen, pudiendo disminuir el valor de las mercancías al momento de la importación temporal, en la pro-porción que represente el número de días que el bien de que se trate permaneció en territorio nacional respecto del número de días en los que se deduce dicho bien, de conformidad con los artículos 44 y 45 de la LISR. </w:t>
      </w:r>
    </w:p>
    <w:p w14:paraId="0C6E02AE" w14:textId="77777777"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14:paraId="73699464" w14:textId="77777777" w:rsidR="00D52CD1" w:rsidRPr="007923C2" w:rsidRDefault="00D52CD1" w:rsidP="00D52CD1">
      <w:pPr>
        <w:widowControl w:val="0"/>
        <w:numPr>
          <w:ilvl w:val="0"/>
          <w:numId w:val="137"/>
        </w:numPr>
        <w:tabs>
          <w:tab w:val="clear" w:pos="720"/>
          <w:tab w:val="num" w:pos="621"/>
        </w:tabs>
        <w:overflowPunct w:val="0"/>
        <w:autoSpaceDE w:val="0"/>
        <w:autoSpaceDN w:val="0"/>
        <w:adjustRightInd w:val="0"/>
        <w:spacing w:after="0" w:line="237" w:lineRule="auto"/>
        <w:ind w:left="0" w:firstLine="0"/>
        <w:jc w:val="both"/>
        <w:rPr>
          <w:rFonts w:ascii="Arial" w:hAnsi="Arial" w:cs="Arial"/>
          <w:sz w:val="22"/>
          <w:szCs w:val="22"/>
        </w:rPr>
      </w:pPr>
      <w:r w:rsidRPr="007923C2">
        <w:rPr>
          <w:rFonts w:ascii="Arial" w:hAnsi="Arial" w:cs="Arial"/>
          <w:sz w:val="22"/>
          <w:szCs w:val="22"/>
        </w:rPr>
        <w:lastRenderedPageBreak/>
        <w:t>Pagar el impuesto general de importación que le hubiera correspondido de importar las mercancías en la fecha del cambio de régimen aduanero, tomando como valor de las mercancías el que resulte de aplicar lo dispuesto en la fracción anterior, y como arancel aduanero y tipo de cambio los vigentes a esa fecha.</w:t>
      </w:r>
    </w:p>
    <w:p w14:paraId="346EAF99" w14:textId="77777777" w:rsidR="00D52CD1" w:rsidRPr="007923C2" w:rsidRDefault="00D52CD1" w:rsidP="00D52CD1">
      <w:pPr>
        <w:widowControl w:val="0"/>
        <w:autoSpaceDE w:val="0"/>
        <w:autoSpaceDN w:val="0"/>
        <w:adjustRightInd w:val="0"/>
        <w:spacing w:after="0" w:line="175" w:lineRule="exact"/>
        <w:jc w:val="both"/>
        <w:rPr>
          <w:rFonts w:ascii="Arial" w:hAnsi="Arial" w:cs="Arial"/>
          <w:sz w:val="22"/>
          <w:szCs w:val="22"/>
        </w:rPr>
      </w:pPr>
    </w:p>
    <w:p w14:paraId="15535062" w14:textId="77777777" w:rsidR="00D52CD1" w:rsidRPr="007923C2" w:rsidRDefault="00D52CD1" w:rsidP="00D52CD1">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Los productos resultantes de los procesos de transformación, elaboración o reparación, que retornen al extranjero, darán lugar al pago del impuesto general de exportación correspondiente a las materias primas que se les hubieren incorporado conforme a la clasificación arancelaria del producto terminado.</w:t>
      </w:r>
    </w:p>
    <w:p w14:paraId="383F843D" w14:textId="77777777"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14:paraId="77C0DA52" w14:textId="77777777" w:rsidR="00D52CD1" w:rsidRPr="007923C2" w:rsidRDefault="00D52CD1" w:rsidP="00D52CD1">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Para calcular el impuesto general de exportación se determinará el porcentaje que del peso y valor del producto terminado corresponda a las citadas materias primas o mercancías que se le hubieren incorporado.</w:t>
      </w:r>
    </w:p>
    <w:p w14:paraId="3C84648A" w14:textId="77777777" w:rsidR="00D52CD1" w:rsidRPr="007923C2" w:rsidRDefault="00D52CD1" w:rsidP="00D52CD1">
      <w:pPr>
        <w:widowControl w:val="0"/>
        <w:autoSpaceDE w:val="0"/>
        <w:autoSpaceDN w:val="0"/>
        <w:adjustRightInd w:val="0"/>
        <w:spacing w:after="0" w:line="238" w:lineRule="exact"/>
        <w:jc w:val="both"/>
        <w:rPr>
          <w:rFonts w:ascii="Arial" w:hAnsi="Arial" w:cs="Arial"/>
          <w:sz w:val="22"/>
          <w:szCs w:val="22"/>
        </w:rPr>
      </w:pPr>
    </w:p>
    <w:p w14:paraId="3E11D993" w14:textId="77777777"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C. </w:t>
      </w:r>
      <w:r w:rsidRPr="007923C2">
        <w:rPr>
          <w:rFonts w:ascii="Arial" w:hAnsi="Arial" w:cs="Arial"/>
          <w:i/>
          <w:iCs/>
          <w:sz w:val="22"/>
          <w:szCs w:val="22"/>
        </w:rPr>
        <w:t>Documentos y trámites de importación</w:t>
      </w:r>
    </w:p>
    <w:p w14:paraId="4DD4B544" w14:textId="77777777" w:rsidR="00D52CD1" w:rsidRPr="007923C2" w:rsidRDefault="00D52CD1" w:rsidP="00D52CD1">
      <w:pPr>
        <w:widowControl w:val="0"/>
        <w:autoSpaceDE w:val="0"/>
        <w:autoSpaceDN w:val="0"/>
        <w:adjustRightInd w:val="0"/>
        <w:spacing w:after="0" w:line="195" w:lineRule="exact"/>
        <w:jc w:val="both"/>
        <w:rPr>
          <w:rFonts w:ascii="Arial" w:hAnsi="Arial" w:cs="Arial"/>
          <w:sz w:val="22"/>
          <w:szCs w:val="22"/>
        </w:rPr>
      </w:pPr>
    </w:p>
    <w:p w14:paraId="743ADBE0" w14:textId="77777777" w:rsidR="00D52CD1" w:rsidRPr="007923C2" w:rsidRDefault="00D52CD1" w:rsidP="00D52CD1">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Un punto importante, dentro del tema que estamos tratando, es el de los requisitos para formalizar una importación.</w:t>
      </w:r>
    </w:p>
    <w:p w14:paraId="111208FA"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7BEF282C" w14:textId="77777777" w:rsidR="00D52CD1" w:rsidRPr="007923C2" w:rsidRDefault="00D52CD1" w:rsidP="00D52CD1">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Los operadores de comercio exterior (agentes aduanales) deben cumplir con los requisitos que señala el artículo 36 de la Ley Aduanera, debiendo complementar un pedimento de importación, según formato oficial de la Secretaría de Hacienda y Crédito Público, acompañado de la siguiente documentación:</w:t>
      </w:r>
    </w:p>
    <w:p w14:paraId="20E51985" w14:textId="77777777" w:rsidR="00D52CD1" w:rsidRPr="007923C2" w:rsidRDefault="00D52CD1" w:rsidP="00D52CD1">
      <w:pPr>
        <w:widowControl w:val="0"/>
        <w:autoSpaceDE w:val="0"/>
        <w:autoSpaceDN w:val="0"/>
        <w:adjustRightInd w:val="0"/>
        <w:spacing w:after="0" w:line="131" w:lineRule="exact"/>
        <w:jc w:val="both"/>
        <w:rPr>
          <w:rFonts w:ascii="Arial" w:hAnsi="Arial" w:cs="Arial"/>
          <w:sz w:val="22"/>
          <w:szCs w:val="22"/>
        </w:rPr>
      </w:pPr>
    </w:p>
    <w:p w14:paraId="1010CEC6" w14:textId="77777777" w:rsidR="00D52CD1" w:rsidRPr="007923C2" w:rsidRDefault="00D52CD1" w:rsidP="00D52CD1">
      <w:pPr>
        <w:widowControl w:val="0"/>
        <w:numPr>
          <w:ilvl w:val="0"/>
          <w:numId w:val="138"/>
        </w:numPr>
        <w:tabs>
          <w:tab w:val="clear" w:pos="720"/>
          <w:tab w:val="num" w:pos="620"/>
        </w:tabs>
        <w:overflowPunct w:val="0"/>
        <w:autoSpaceDE w:val="0"/>
        <w:autoSpaceDN w:val="0"/>
        <w:adjustRightInd w:val="0"/>
        <w:spacing w:after="0" w:line="239" w:lineRule="auto"/>
        <w:ind w:left="284" w:hanging="284"/>
        <w:jc w:val="both"/>
        <w:rPr>
          <w:rFonts w:ascii="Arial" w:hAnsi="Arial" w:cs="Arial"/>
          <w:sz w:val="22"/>
          <w:szCs w:val="22"/>
        </w:rPr>
      </w:pPr>
      <w:r w:rsidRPr="007923C2">
        <w:rPr>
          <w:rFonts w:ascii="Arial" w:hAnsi="Arial" w:cs="Arial"/>
          <w:sz w:val="22"/>
          <w:szCs w:val="22"/>
        </w:rPr>
        <w:t xml:space="preserve">Factura comercial que reúna los requisitos y datos que mediante reglas establezca la Secretaría, si el valor de las mercancías es superior a 300 dólares.  </w:t>
      </w:r>
    </w:p>
    <w:p w14:paraId="6FD93208" w14:textId="77777777" w:rsidR="00D52CD1" w:rsidRPr="007923C2" w:rsidRDefault="00D52CD1" w:rsidP="00D52CD1">
      <w:pPr>
        <w:widowControl w:val="0"/>
        <w:autoSpaceDE w:val="0"/>
        <w:autoSpaceDN w:val="0"/>
        <w:adjustRightInd w:val="0"/>
        <w:spacing w:after="0" w:line="3" w:lineRule="exact"/>
        <w:ind w:left="284" w:hanging="284"/>
        <w:jc w:val="both"/>
        <w:rPr>
          <w:rFonts w:ascii="Arial" w:hAnsi="Arial" w:cs="Arial"/>
          <w:sz w:val="22"/>
          <w:szCs w:val="22"/>
        </w:rPr>
      </w:pPr>
    </w:p>
    <w:p w14:paraId="7A614E45" w14:textId="77777777" w:rsidR="00D52CD1" w:rsidRPr="007923C2" w:rsidRDefault="00D52CD1" w:rsidP="00D52CD1">
      <w:pPr>
        <w:widowControl w:val="0"/>
        <w:numPr>
          <w:ilvl w:val="0"/>
          <w:numId w:val="138"/>
        </w:numPr>
        <w:tabs>
          <w:tab w:val="clear" w:pos="720"/>
          <w:tab w:val="num" w:pos="620"/>
        </w:tabs>
        <w:overflowPunct w:val="0"/>
        <w:autoSpaceDE w:val="0"/>
        <w:autoSpaceDN w:val="0"/>
        <w:adjustRightInd w:val="0"/>
        <w:spacing w:after="0" w:line="225" w:lineRule="auto"/>
        <w:ind w:left="284" w:hanging="284"/>
        <w:jc w:val="both"/>
        <w:rPr>
          <w:rFonts w:ascii="Arial" w:hAnsi="Arial" w:cs="Arial"/>
          <w:sz w:val="22"/>
          <w:szCs w:val="22"/>
        </w:rPr>
      </w:pPr>
      <w:r w:rsidRPr="007923C2">
        <w:rPr>
          <w:rFonts w:ascii="Arial" w:hAnsi="Arial" w:cs="Arial"/>
          <w:sz w:val="22"/>
          <w:szCs w:val="22"/>
        </w:rPr>
        <w:t xml:space="preserve">El conocimiento de embarque en tráfico marítimo o guía en tráfico aéreo, ambos revalidados por la empresa portadora o sus agentes consignatarios. </w:t>
      </w:r>
    </w:p>
    <w:p w14:paraId="0204A687" w14:textId="77777777" w:rsidR="00D52CD1" w:rsidRPr="007923C2" w:rsidRDefault="00D52CD1" w:rsidP="00D52CD1">
      <w:pPr>
        <w:widowControl w:val="0"/>
        <w:autoSpaceDE w:val="0"/>
        <w:autoSpaceDN w:val="0"/>
        <w:adjustRightInd w:val="0"/>
        <w:spacing w:after="0" w:line="12" w:lineRule="exact"/>
        <w:ind w:left="284" w:hanging="284"/>
        <w:jc w:val="both"/>
        <w:rPr>
          <w:rFonts w:ascii="Arial" w:hAnsi="Arial" w:cs="Arial"/>
          <w:sz w:val="22"/>
          <w:szCs w:val="22"/>
        </w:rPr>
      </w:pPr>
    </w:p>
    <w:p w14:paraId="07754D75" w14:textId="77777777" w:rsidR="00D52CD1" w:rsidRPr="007923C2" w:rsidRDefault="00D52CD1" w:rsidP="00D52CD1">
      <w:pPr>
        <w:widowControl w:val="0"/>
        <w:numPr>
          <w:ilvl w:val="0"/>
          <w:numId w:val="138"/>
        </w:numPr>
        <w:tabs>
          <w:tab w:val="clear" w:pos="720"/>
          <w:tab w:val="num" w:pos="620"/>
        </w:tabs>
        <w:overflowPunct w:val="0"/>
        <w:autoSpaceDE w:val="0"/>
        <w:autoSpaceDN w:val="0"/>
        <w:adjustRightInd w:val="0"/>
        <w:spacing w:after="0" w:line="237" w:lineRule="auto"/>
        <w:ind w:left="284" w:hanging="284"/>
        <w:jc w:val="both"/>
        <w:rPr>
          <w:rFonts w:ascii="Arial" w:hAnsi="Arial" w:cs="Arial"/>
          <w:sz w:val="22"/>
          <w:szCs w:val="22"/>
        </w:rPr>
      </w:pPr>
      <w:r w:rsidRPr="007923C2">
        <w:rPr>
          <w:rFonts w:ascii="Arial" w:hAnsi="Arial" w:cs="Arial"/>
          <w:sz w:val="22"/>
          <w:szCs w:val="22"/>
        </w:rPr>
        <w:t xml:space="preserve">Los documentos que comprueben el cumplimiento de las regulaciones y restricciones no arancelarias a la importación. </w:t>
      </w:r>
    </w:p>
    <w:p w14:paraId="3A292EC3" w14:textId="77777777" w:rsidR="00D52CD1" w:rsidRPr="007923C2" w:rsidRDefault="00D52CD1" w:rsidP="00D52CD1">
      <w:pPr>
        <w:widowControl w:val="0"/>
        <w:autoSpaceDE w:val="0"/>
        <w:autoSpaceDN w:val="0"/>
        <w:adjustRightInd w:val="0"/>
        <w:spacing w:after="0" w:line="13" w:lineRule="exact"/>
        <w:ind w:left="284" w:hanging="284"/>
        <w:jc w:val="both"/>
        <w:rPr>
          <w:rFonts w:ascii="Arial" w:hAnsi="Arial" w:cs="Arial"/>
          <w:sz w:val="22"/>
          <w:szCs w:val="22"/>
        </w:rPr>
      </w:pPr>
    </w:p>
    <w:p w14:paraId="58F3D495" w14:textId="77777777" w:rsidR="00D52CD1" w:rsidRPr="007923C2" w:rsidRDefault="00D52CD1" w:rsidP="00D52CD1">
      <w:pPr>
        <w:widowControl w:val="0"/>
        <w:numPr>
          <w:ilvl w:val="0"/>
          <w:numId w:val="138"/>
        </w:numPr>
        <w:tabs>
          <w:tab w:val="clear" w:pos="720"/>
          <w:tab w:val="num" w:pos="620"/>
        </w:tabs>
        <w:overflowPunct w:val="0"/>
        <w:autoSpaceDE w:val="0"/>
        <w:autoSpaceDN w:val="0"/>
        <w:adjustRightInd w:val="0"/>
        <w:spacing w:after="0" w:line="241" w:lineRule="auto"/>
        <w:ind w:left="284" w:hanging="284"/>
        <w:jc w:val="both"/>
        <w:rPr>
          <w:rFonts w:ascii="Arial" w:hAnsi="Arial" w:cs="Arial"/>
          <w:sz w:val="22"/>
          <w:szCs w:val="22"/>
        </w:rPr>
      </w:pPr>
      <w:r w:rsidRPr="007923C2">
        <w:rPr>
          <w:rFonts w:ascii="Arial" w:hAnsi="Arial" w:cs="Arial"/>
          <w:sz w:val="22"/>
          <w:szCs w:val="22"/>
        </w:rPr>
        <w:t xml:space="preserve">El documento con base en el cual se determine la procedencia y el origen de las mercancías para efectos de la aplicación de preferencias arancelarias, cuotas compensatorias, cupos, marcado de país de origen y otras medidas que al efecto se establezcan (ALADI, TLCAN o de cualquier otro tratado comercial). </w:t>
      </w:r>
    </w:p>
    <w:p w14:paraId="1D2F3C4F" w14:textId="77777777" w:rsidR="00D52CD1" w:rsidRPr="007923C2" w:rsidRDefault="00D52CD1" w:rsidP="00D52CD1">
      <w:pPr>
        <w:widowControl w:val="0"/>
        <w:autoSpaceDE w:val="0"/>
        <w:autoSpaceDN w:val="0"/>
        <w:adjustRightInd w:val="0"/>
        <w:spacing w:after="0" w:line="240" w:lineRule="auto"/>
        <w:ind w:left="284" w:hanging="284"/>
        <w:jc w:val="both"/>
        <w:rPr>
          <w:rFonts w:ascii="Arial" w:hAnsi="Arial" w:cs="Arial"/>
          <w:sz w:val="22"/>
          <w:szCs w:val="22"/>
        </w:rPr>
      </w:pPr>
    </w:p>
    <w:p w14:paraId="382976EB" w14:textId="77777777" w:rsidR="00D52CD1" w:rsidRPr="007923C2" w:rsidRDefault="00D52CD1" w:rsidP="00D52CD1">
      <w:pPr>
        <w:widowControl w:val="0"/>
        <w:autoSpaceDE w:val="0"/>
        <w:autoSpaceDN w:val="0"/>
        <w:adjustRightInd w:val="0"/>
        <w:spacing w:after="0" w:line="10" w:lineRule="exact"/>
        <w:ind w:left="284" w:hanging="284"/>
        <w:jc w:val="both"/>
        <w:rPr>
          <w:rFonts w:ascii="Arial" w:hAnsi="Arial" w:cs="Arial"/>
          <w:sz w:val="22"/>
          <w:szCs w:val="22"/>
        </w:rPr>
      </w:pPr>
    </w:p>
    <w:p w14:paraId="29C3F581" w14:textId="77777777" w:rsidR="00D52CD1" w:rsidRPr="007923C2" w:rsidRDefault="00D52CD1" w:rsidP="00D52CD1">
      <w:pPr>
        <w:widowControl w:val="0"/>
        <w:numPr>
          <w:ilvl w:val="1"/>
          <w:numId w:val="139"/>
        </w:numPr>
        <w:tabs>
          <w:tab w:val="clear" w:pos="1440"/>
          <w:tab w:val="num" w:pos="621"/>
        </w:tabs>
        <w:overflowPunct w:val="0"/>
        <w:autoSpaceDE w:val="0"/>
        <w:autoSpaceDN w:val="0"/>
        <w:adjustRightInd w:val="0"/>
        <w:spacing w:after="0" w:line="227" w:lineRule="auto"/>
        <w:ind w:left="284" w:hanging="284"/>
        <w:jc w:val="both"/>
        <w:rPr>
          <w:rFonts w:ascii="Arial" w:hAnsi="Arial" w:cs="Arial"/>
          <w:sz w:val="22"/>
          <w:szCs w:val="22"/>
        </w:rPr>
      </w:pPr>
      <w:r w:rsidRPr="007923C2">
        <w:rPr>
          <w:rFonts w:ascii="Arial" w:hAnsi="Arial" w:cs="Arial"/>
          <w:sz w:val="22"/>
          <w:szCs w:val="22"/>
        </w:rPr>
        <w:t xml:space="preserve">El documento en el que conste la garantía otorgada mediante depósito efectuado en </w:t>
      </w:r>
      <w:r w:rsidR="00DB7812" w:rsidRPr="007923C2">
        <w:rPr>
          <w:rFonts w:ascii="Arial" w:hAnsi="Arial" w:cs="Arial"/>
          <w:sz w:val="22"/>
          <w:szCs w:val="22"/>
        </w:rPr>
        <w:t>la cuenta aduanera de garantía,</w:t>
      </w:r>
      <w:r w:rsidRPr="007923C2">
        <w:rPr>
          <w:rFonts w:ascii="Arial" w:hAnsi="Arial" w:cs="Arial"/>
          <w:sz w:val="22"/>
          <w:szCs w:val="22"/>
        </w:rPr>
        <w:t xml:space="preserve"> cuando el valor declarado sea inferior al precio estimado que establezca dicha dependencia. </w:t>
      </w:r>
    </w:p>
    <w:p w14:paraId="5DAE316D" w14:textId="77777777" w:rsidR="00D52CD1" w:rsidRPr="007923C2" w:rsidRDefault="00D52CD1" w:rsidP="00D52CD1">
      <w:pPr>
        <w:widowControl w:val="0"/>
        <w:autoSpaceDE w:val="0"/>
        <w:autoSpaceDN w:val="0"/>
        <w:adjustRightInd w:val="0"/>
        <w:spacing w:after="0" w:line="15" w:lineRule="exact"/>
        <w:ind w:left="284" w:hanging="284"/>
        <w:jc w:val="both"/>
        <w:rPr>
          <w:rFonts w:ascii="Arial" w:hAnsi="Arial" w:cs="Arial"/>
          <w:sz w:val="22"/>
          <w:szCs w:val="22"/>
        </w:rPr>
      </w:pPr>
    </w:p>
    <w:p w14:paraId="7EAAFB16" w14:textId="77777777" w:rsidR="00D52CD1" w:rsidRPr="007923C2" w:rsidRDefault="00D52CD1" w:rsidP="00D52CD1">
      <w:pPr>
        <w:widowControl w:val="0"/>
        <w:numPr>
          <w:ilvl w:val="1"/>
          <w:numId w:val="139"/>
        </w:numPr>
        <w:tabs>
          <w:tab w:val="clear" w:pos="1440"/>
          <w:tab w:val="num" w:pos="622"/>
        </w:tabs>
        <w:overflowPunct w:val="0"/>
        <w:autoSpaceDE w:val="0"/>
        <w:autoSpaceDN w:val="0"/>
        <w:adjustRightInd w:val="0"/>
        <w:spacing w:after="0" w:line="241" w:lineRule="auto"/>
        <w:ind w:left="284" w:hanging="284"/>
        <w:jc w:val="both"/>
        <w:rPr>
          <w:rFonts w:ascii="Arial" w:hAnsi="Arial" w:cs="Arial"/>
          <w:sz w:val="22"/>
          <w:szCs w:val="22"/>
        </w:rPr>
      </w:pPr>
      <w:r w:rsidRPr="007923C2">
        <w:rPr>
          <w:rFonts w:ascii="Arial" w:hAnsi="Arial" w:cs="Arial"/>
          <w:sz w:val="22"/>
          <w:szCs w:val="22"/>
        </w:rPr>
        <w:t xml:space="preserve">El certificado de peso y volumen expedido por la empresa certificadora autorizada por la SHCP, tratándose del despacho de mercancías a granel de una misma especie y a los embarques de mercancías de la misma calidad, peso y valor. </w:t>
      </w:r>
    </w:p>
    <w:p w14:paraId="006F68B1" w14:textId="77777777" w:rsidR="00D52CD1" w:rsidRPr="007923C2" w:rsidRDefault="00D52CD1" w:rsidP="00D52CD1">
      <w:pPr>
        <w:widowControl w:val="0"/>
        <w:autoSpaceDE w:val="0"/>
        <w:autoSpaceDN w:val="0"/>
        <w:adjustRightInd w:val="0"/>
        <w:spacing w:after="0" w:line="8" w:lineRule="exact"/>
        <w:ind w:left="284" w:hanging="284"/>
        <w:jc w:val="both"/>
        <w:rPr>
          <w:rFonts w:ascii="Arial" w:hAnsi="Arial" w:cs="Arial"/>
          <w:sz w:val="22"/>
          <w:szCs w:val="22"/>
        </w:rPr>
      </w:pPr>
    </w:p>
    <w:p w14:paraId="4D0FFEC7" w14:textId="77777777" w:rsidR="00D52CD1" w:rsidRPr="007923C2" w:rsidRDefault="00D52CD1" w:rsidP="00D52CD1">
      <w:pPr>
        <w:widowControl w:val="0"/>
        <w:numPr>
          <w:ilvl w:val="1"/>
          <w:numId w:val="139"/>
        </w:numPr>
        <w:tabs>
          <w:tab w:val="clear" w:pos="1440"/>
          <w:tab w:val="num" w:pos="622"/>
        </w:tabs>
        <w:overflowPunct w:val="0"/>
        <w:autoSpaceDE w:val="0"/>
        <w:autoSpaceDN w:val="0"/>
        <w:adjustRightInd w:val="0"/>
        <w:spacing w:after="0" w:line="237" w:lineRule="auto"/>
        <w:ind w:left="284" w:hanging="284"/>
        <w:jc w:val="both"/>
        <w:rPr>
          <w:rFonts w:ascii="Arial" w:hAnsi="Arial" w:cs="Arial"/>
          <w:sz w:val="22"/>
          <w:szCs w:val="22"/>
        </w:rPr>
      </w:pPr>
      <w:r w:rsidRPr="007923C2">
        <w:rPr>
          <w:rFonts w:ascii="Arial" w:hAnsi="Arial" w:cs="Arial"/>
          <w:sz w:val="22"/>
          <w:szCs w:val="22"/>
        </w:rPr>
        <w:t xml:space="preserve">La información que permita la identificación, análisis y control que señale la Secretaría mediante reglas. </w:t>
      </w:r>
    </w:p>
    <w:p w14:paraId="79AE0623" w14:textId="77777777" w:rsidR="00D52CD1" w:rsidRPr="007923C2" w:rsidRDefault="00D52CD1" w:rsidP="00D52CD1">
      <w:pPr>
        <w:widowControl w:val="0"/>
        <w:autoSpaceDE w:val="0"/>
        <w:autoSpaceDN w:val="0"/>
        <w:adjustRightInd w:val="0"/>
        <w:spacing w:after="0" w:line="136" w:lineRule="exact"/>
        <w:jc w:val="both"/>
        <w:rPr>
          <w:rFonts w:ascii="Arial" w:hAnsi="Arial" w:cs="Arial"/>
          <w:sz w:val="22"/>
          <w:szCs w:val="22"/>
        </w:rPr>
      </w:pPr>
    </w:p>
    <w:p w14:paraId="242E5CF6" w14:textId="77777777" w:rsidR="00D52CD1" w:rsidRPr="007923C2" w:rsidRDefault="00D52CD1" w:rsidP="00D52CD1">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Por lo que se refiere a la procedencia y origen de las mercancías, el lugar de cultivo, crianza, procesamiento y fabricación de una mercancía de importación tiene para efectos prácticos relevancia en una importación definitiva o temporal.</w:t>
      </w:r>
    </w:p>
    <w:p w14:paraId="21B100BE" w14:textId="77777777" w:rsidR="00D52CD1" w:rsidRPr="007923C2" w:rsidRDefault="00D52CD1" w:rsidP="00D52CD1">
      <w:pPr>
        <w:widowControl w:val="0"/>
        <w:autoSpaceDE w:val="0"/>
        <w:autoSpaceDN w:val="0"/>
        <w:adjustRightInd w:val="0"/>
        <w:spacing w:after="0" w:line="308" w:lineRule="exact"/>
        <w:jc w:val="both"/>
        <w:rPr>
          <w:rFonts w:ascii="Arial" w:hAnsi="Arial" w:cs="Arial"/>
          <w:sz w:val="22"/>
          <w:szCs w:val="22"/>
        </w:rPr>
      </w:pPr>
    </w:p>
    <w:p w14:paraId="1E76356B" w14:textId="77777777" w:rsidR="00D52CD1" w:rsidRPr="007923C2" w:rsidRDefault="00D52CD1" w:rsidP="00D52CD1">
      <w:pPr>
        <w:widowControl w:val="0"/>
        <w:overflowPunct w:val="0"/>
        <w:autoSpaceDE w:val="0"/>
        <w:autoSpaceDN w:val="0"/>
        <w:adjustRightInd w:val="0"/>
        <w:spacing w:after="0" w:line="235" w:lineRule="auto"/>
        <w:jc w:val="both"/>
        <w:rPr>
          <w:rFonts w:ascii="Arial" w:hAnsi="Arial" w:cs="Arial"/>
          <w:sz w:val="22"/>
          <w:szCs w:val="22"/>
        </w:rPr>
      </w:pPr>
      <w:r w:rsidRPr="007923C2">
        <w:rPr>
          <w:rFonts w:ascii="Arial" w:hAnsi="Arial" w:cs="Arial"/>
          <w:sz w:val="22"/>
          <w:szCs w:val="22"/>
        </w:rPr>
        <w:t>El origen de las mercancías se podrá determinar para efectos de preferencias arancelarias, marcado de país de origen, aplicación de cuotas compensatorias, cupos y otras medidas que al efecto se establezcan.</w:t>
      </w:r>
    </w:p>
    <w:p w14:paraId="37EC0CC8" w14:textId="77777777" w:rsidR="00D52CD1" w:rsidRPr="007923C2" w:rsidRDefault="00D52CD1" w:rsidP="00D52CD1">
      <w:pPr>
        <w:widowControl w:val="0"/>
        <w:autoSpaceDE w:val="0"/>
        <w:autoSpaceDN w:val="0"/>
        <w:adjustRightInd w:val="0"/>
        <w:spacing w:after="0" w:line="250" w:lineRule="exact"/>
        <w:jc w:val="both"/>
        <w:rPr>
          <w:rFonts w:ascii="Arial" w:hAnsi="Arial" w:cs="Arial"/>
          <w:sz w:val="22"/>
          <w:szCs w:val="22"/>
        </w:rPr>
      </w:pPr>
    </w:p>
    <w:p w14:paraId="75B3365C" w14:textId="77777777" w:rsidR="00D52CD1" w:rsidRPr="007923C2" w:rsidRDefault="00D52CD1" w:rsidP="00D52CD1">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En la importación de mercancías sujetas al cumplimiento de reglas de origen, el importador deberá comprobar su origen en el tiempo y forma establecidos en los ordenamientos aplicables.</w:t>
      </w:r>
    </w:p>
    <w:p w14:paraId="7739623A" w14:textId="77777777" w:rsidR="00D52CD1" w:rsidRPr="007923C2" w:rsidRDefault="00D52CD1" w:rsidP="00D52CD1">
      <w:pPr>
        <w:widowControl w:val="0"/>
        <w:autoSpaceDE w:val="0"/>
        <w:autoSpaceDN w:val="0"/>
        <w:adjustRightInd w:val="0"/>
        <w:spacing w:after="0" w:line="2" w:lineRule="exact"/>
        <w:jc w:val="both"/>
        <w:rPr>
          <w:rFonts w:ascii="Arial" w:hAnsi="Arial" w:cs="Arial"/>
          <w:sz w:val="22"/>
          <w:szCs w:val="22"/>
        </w:rPr>
      </w:pPr>
    </w:p>
    <w:p w14:paraId="6F7A402E" w14:textId="77777777" w:rsidR="00D52CD1" w:rsidRPr="007923C2" w:rsidRDefault="00D52CD1" w:rsidP="00D52CD1">
      <w:pPr>
        <w:widowControl w:val="0"/>
        <w:overflowPunct w:val="0"/>
        <w:autoSpaceDE w:val="0"/>
        <w:autoSpaceDN w:val="0"/>
        <w:adjustRightInd w:val="0"/>
        <w:spacing w:after="0" w:line="236" w:lineRule="auto"/>
        <w:jc w:val="both"/>
        <w:rPr>
          <w:rFonts w:ascii="Arial" w:hAnsi="Arial" w:cs="Arial"/>
          <w:sz w:val="22"/>
          <w:szCs w:val="22"/>
        </w:rPr>
      </w:pPr>
      <w:r w:rsidRPr="007923C2">
        <w:rPr>
          <w:rFonts w:ascii="Arial" w:hAnsi="Arial" w:cs="Arial"/>
          <w:sz w:val="22"/>
          <w:szCs w:val="22"/>
        </w:rPr>
        <w:t xml:space="preserve">A la luz de los procesos de integración regional y mundial, que estructuran preferencias aduaneras </w:t>
      </w:r>
      <w:r w:rsidRPr="007923C2">
        <w:rPr>
          <w:rFonts w:ascii="Arial" w:hAnsi="Arial" w:cs="Arial"/>
          <w:sz w:val="22"/>
          <w:szCs w:val="22"/>
        </w:rPr>
        <w:lastRenderedPageBreak/>
        <w:t>recíprocas (ALADI y la zona norteamericana), las aduanas deben controlar estrictamente el origen de las mercancías, pues se trata de apoyar los productos originarios de las zonas (fomentar la creación de comercio) y no estimular el comercio de terceros países que buscan aprovechar los espacios tarifarios comunes a través de las desviaciones de comercio.</w:t>
      </w:r>
    </w:p>
    <w:p w14:paraId="3FFD2151" w14:textId="77777777"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14:paraId="6CF3FCF6" w14:textId="77777777" w:rsidR="00D52CD1" w:rsidRPr="007923C2" w:rsidRDefault="00D52CD1" w:rsidP="00D52CD1">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Actualmente, para gozar de preferencias, las importaciones definitivas procedentes de la ALADI deben comprobar un origen de fabricación de un 35% como mínimo de valor agregado, como regla general.</w:t>
      </w:r>
    </w:p>
    <w:p w14:paraId="673C4FB8" w14:textId="77777777" w:rsidR="00D52CD1" w:rsidRPr="007923C2" w:rsidRDefault="00D52CD1" w:rsidP="00D52CD1">
      <w:pPr>
        <w:widowControl w:val="0"/>
        <w:autoSpaceDE w:val="0"/>
        <w:autoSpaceDN w:val="0"/>
        <w:adjustRightInd w:val="0"/>
        <w:spacing w:after="0" w:line="17" w:lineRule="exact"/>
        <w:jc w:val="both"/>
        <w:rPr>
          <w:rFonts w:ascii="Arial" w:hAnsi="Arial" w:cs="Arial"/>
          <w:sz w:val="22"/>
          <w:szCs w:val="22"/>
        </w:rPr>
      </w:pPr>
    </w:p>
    <w:p w14:paraId="0FCB247B" w14:textId="77777777" w:rsidR="00D52CD1" w:rsidRPr="007923C2" w:rsidRDefault="00D52CD1" w:rsidP="00D52CD1">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Existen una gran cantidad de disposiciones que persiguen regular aspectos especiales aplicables a importaciones, y que se han tratado de alinear con las normas internacionales emanadas de la OMC y del Tratado de Libre Comercio de América del Norte en materia de regulaciones no arancelarias.</w:t>
      </w:r>
    </w:p>
    <w:p w14:paraId="7F4345F7"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52E01947" w14:textId="77777777" w:rsidR="00D52CD1" w:rsidRPr="007923C2" w:rsidRDefault="00D52CD1" w:rsidP="00D52CD1">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Los aspectos más importantes de dichas disposiciones están regulados en los siguientes acuerdos:</w:t>
      </w:r>
    </w:p>
    <w:p w14:paraId="7A369F11" w14:textId="77777777" w:rsidR="00D52CD1" w:rsidRPr="007923C2" w:rsidRDefault="00D52CD1" w:rsidP="00D52CD1">
      <w:pPr>
        <w:widowControl w:val="0"/>
        <w:autoSpaceDE w:val="0"/>
        <w:autoSpaceDN w:val="0"/>
        <w:adjustRightInd w:val="0"/>
        <w:spacing w:after="0" w:line="96" w:lineRule="exact"/>
        <w:jc w:val="both"/>
        <w:rPr>
          <w:rFonts w:ascii="Arial" w:hAnsi="Arial" w:cs="Arial"/>
          <w:sz w:val="22"/>
          <w:szCs w:val="22"/>
        </w:rPr>
      </w:pPr>
    </w:p>
    <w:p w14:paraId="1C814D0F" w14:textId="77777777" w:rsidR="00D52CD1" w:rsidRPr="007923C2" w:rsidRDefault="00D52CD1" w:rsidP="00D52CD1">
      <w:pPr>
        <w:widowControl w:val="0"/>
        <w:numPr>
          <w:ilvl w:val="0"/>
          <w:numId w:val="140"/>
        </w:numPr>
        <w:tabs>
          <w:tab w:val="clear" w:pos="720"/>
          <w:tab w:val="num" w:pos="620"/>
        </w:tabs>
        <w:overflowPunct w:val="0"/>
        <w:autoSpaceDE w:val="0"/>
        <w:autoSpaceDN w:val="0"/>
        <w:adjustRightInd w:val="0"/>
        <w:spacing w:after="0" w:line="246" w:lineRule="auto"/>
        <w:ind w:left="284" w:hanging="284"/>
        <w:jc w:val="both"/>
        <w:rPr>
          <w:rFonts w:ascii="Arial" w:hAnsi="Arial" w:cs="Arial"/>
          <w:sz w:val="22"/>
          <w:szCs w:val="22"/>
        </w:rPr>
      </w:pPr>
      <w:r w:rsidRPr="007923C2">
        <w:rPr>
          <w:rFonts w:ascii="Arial" w:hAnsi="Arial" w:cs="Arial"/>
          <w:sz w:val="22"/>
          <w:szCs w:val="22"/>
        </w:rPr>
        <w:t>Acuerdo que establece la clasificación y codificación de mercancías cuya importación está sujeta a regulación ecológica por parte de la Secretaría de Desarrollo Social (</w:t>
      </w:r>
      <w:r w:rsidRPr="007923C2">
        <w:rPr>
          <w:rFonts w:ascii="Arial" w:hAnsi="Arial" w:cs="Arial"/>
          <w:i/>
          <w:iCs/>
          <w:sz w:val="22"/>
          <w:szCs w:val="22"/>
        </w:rPr>
        <w:t>DOF</w:t>
      </w:r>
      <w:r w:rsidRPr="007923C2">
        <w:rPr>
          <w:rFonts w:ascii="Arial" w:hAnsi="Arial" w:cs="Arial"/>
          <w:sz w:val="22"/>
          <w:szCs w:val="22"/>
        </w:rPr>
        <w:t xml:space="preserve"> del 29 de agosto de 1994). El Acuerdo de referencia tiene como objeto establecer las restricciones no arancelarias aplicables a la importación temporal o definitiva, incluyendo la que se realice a las regiones y franjas fronterizas del país, de residuos peligrosos y de mercancías que causan desequilibrios ecológicos y al ambiente. </w:t>
      </w:r>
    </w:p>
    <w:p w14:paraId="2775F1EC" w14:textId="77777777" w:rsidR="00D52CD1" w:rsidRPr="007923C2" w:rsidRDefault="00D52CD1" w:rsidP="00D52CD1">
      <w:pPr>
        <w:widowControl w:val="0"/>
        <w:autoSpaceDE w:val="0"/>
        <w:autoSpaceDN w:val="0"/>
        <w:adjustRightInd w:val="0"/>
        <w:spacing w:after="0" w:line="12" w:lineRule="exact"/>
        <w:ind w:left="284" w:hanging="284"/>
        <w:jc w:val="both"/>
        <w:rPr>
          <w:rFonts w:ascii="Arial" w:hAnsi="Arial" w:cs="Arial"/>
          <w:sz w:val="22"/>
          <w:szCs w:val="22"/>
        </w:rPr>
      </w:pPr>
    </w:p>
    <w:p w14:paraId="72CEAA6C" w14:textId="77777777" w:rsidR="00D52CD1" w:rsidRPr="007923C2" w:rsidRDefault="00D52CD1" w:rsidP="00D52CD1">
      <w:pPr>
        <w:widowControl w:val="0"/>
        <w:numPr>
          <w:ilvl w:val="0"/>
          <w:numId w:val="140"/>
        </w:numPr>
        <w:tabs>
          <w:tab w:val="clear" w:pos="720"/>
          <w:tab w:val="num" w:pos="620"/>
        </w:tabs>
        <w:overflowPunct w:val="0"/>
        <w:autoSpaceDE w:val="0"/>
        <w:autoSpaceDN w:val="0"/>
        <w:adjustRightInd w:val="0"/>
        <w:spacing w:after="0" w:line="255" w:lineRule="auto"/>
        <w:ind w:left="284" w:hanging="284"/>
        <w:jc w:val="both"/>
        <w:rPr>
          <w:rFonts w:ascii="Arial" w:hAnsi="Arial" w:cs="Arial"/>
          <w:sz w:val="22"/>
          <w:szCs w:val="22"/>
        </w:rPr>
      </w:pPr>
      <w:r w:rsidRPr="007923C2">
        <w:rPr>
          <w:rFonts w:ascii="Arial" w:hAnsi="Arial" w:cs="Arial"/>
          <w:sz w:val="22"/>
          <w:szCs w:val="22"/>
        </w:rPr>
        <w:t>Acuerdo que identifica las fracciones arancelarias de las tarifas de la Ley del Impuesto General de Importación y de la de Exportación, en las cuales se clasifican las mercancías sujetas al cumplimiento de las Normas Oficiales Mexicanas en el punto de su entrada al país y en el de su salida (</w:t>
      </w:r>
      <w:r w:rsidRPr="007923C2">
        <w:rPr>
          <w:rFonts w:ascii="Arial" w:hAnsi="Arial" w:cs="Arial"/>
          <w:i/>
          <w:iCs/>
          <w:sz w:val="22"/>
          <w:szCs w:val="22"/>
        </w:rPr>
        <w:t>DOF</w:t>
      </w:r>
      <w:r w:rsidRPr="007923C2">
        <w:rPr>
          <w:rFonts w:ascii="Arial" w:hAnsi="Arial" w:cs="Arial"/>
          <w:sz w:val="22"/>
          <w:szCs w:val="22"/>
        </w:rPr>
        <w:t xml:space="preserve"> del 2 de junio de 1997). </w:t>
      </w:r>
    </w:p>
    <w:p w14:paraId="7D6CDA35" w14:textId="77777777" w:rsidR="00D52CD1" w:rsidRPr="007923C2" w:rsidRDefault="00D52CD1" w:rsidP="00D52CD1">
      <w:pPr>
        <w:widowControl w:val="0"/>
        <w:autoSpaceDE w:val="0"/>
        <w:autoSpaceDN w:val="0"/>
        <w:adjustRightInd w:val="0"/>
        <w:spacing w:after="0" w:line="1" w:lineRule="exact"/>
        <w:ind w:left="284" w:hanging="284"/>
        <w:jc w:val="both"/>
        <w:rPr>
          <w:rFonts w:ascii="Arial" w:hAnsi="Arial" w:cs="Arial"/>
          <w:sz w:val="22"/>
          <w:szCs w:val="22"/>
        </w:rPr>
      </w:pPr>
    </w:p>
    <w:p w14:paraId="53FC0F86" w14:textId="77777777" w:rsidR="00D52CD1" w:rsidRPr="007923C2" w:rsidRDefault="00D52CD1" w:rsidP="00D52CD1">
      <w:pPr>
        <w:widowControl w:val="0"/>
        <w:numPr>
          <w:ilvl w:val="0"/>
          <w:numId w:val="140"/>
        </w:numPr>
        <w:tabs>
          <w:tab w:val="clear" w:pos="720"/>
          <w:tab w:val="num" w:pos="620"/>
        </w:tabs>
        <w:overflowPunct w:val="0"/>
        <w:autoSpaceDE w:val="0"/>
        <w:autoSpaceDN w:val="0"/>
        <w:adjustRightInd w:val="0"/>
        <w:spacing w:after="0" w:line="240" w:lineRule="auto"/>
        <w:ind w:left="284" w:hanging="284"/>
        <w:jc w:val="both"/>
        <w:rPr>
          <w:rFonts w:ascii="Arial" w:hAnsi="Arial" w:cs="Arial"/>
          <w:sz w:val="22"/>
          <w:szCs w:val="22"/>
        </w:rPr>
      </w:pPr>
      <w:r w:rsidRPr="007923C2">
        <w:rPr>
          <w:rFonts w:ascii="Arial" w:hAnsi="Arial" w:cs="Arial"/>
          <w:sz w:val="22"/>
          <w:szCs w:val="22"/>
        </w:rPr>
        <w:t>Acuerdo que sujeta al requisito de permiso previo de importación por parte de la Secretaría de Economía la importación o exportación de diversas mercancías, cuando se destinen a los regímenes aduaneros de importación o exportación definitiva, temporal o depósito fiscal (</w:t>
      </w:r>
      <w:r w:rsidRPr="007923C2">
        <w:rPr>
          <w:rFonts w:ascii="Arial" w:hAnsi="Arial" w:cs="Arial"/>
          <w:i/>
          <w:iCs/>
          <w:sz w:val="22"/>
          <w:szCs w:val="22"/>
        </w:rPr>
        <w:t>DOF</w:t>
      </w:r>
      <w:r w:rsidRPr="007923C2">
        <w:rPr>
          <w:rFonts w:ascii="Arial" w:hAnsi="Arial" w:cs="Arial"/>
          <w:sz w:val="22"/>
          <w:szCs w:val="22"/>
        </w:rPr>
        <w:t xml:space="preserve"> del 29 de agosto de 1997). </w:t>
      </w:r>
    </w:p>
    <w:p w14:paraId="07EC73A8" w14:textId="77777777" w:rsidR="00D52CD1" w:rsidRPr="007923C2" w:rsidRDefault="00D52CD1" w:rsidP="00D52CD1">
      <w:pPr>
        <w:widowControl w:val="0"/>
        <w:autoSpaceDE w:val="0"/>
        <w:autoSpaceDN w:val="0"/>
        <w:adjustRightInd w:val="0"/>
        <w:spacing w:after="0" w:line="5" w:lineRule="exact"/>
        <w:ind w:left="284" w:hanging="284"/>
        <w:jc w:val="both"/>
        <w:rPr>
          <w:rFonts w:ascii="Arial" w:hAnsi="Arial" w:cs="Arial"/>
          <w:sz w:val="22"/>
          <w:szCs w:val="22"/>
        </w:rPr>
      </w:pPr>
    </w:p>
    <w:p w14:paraId="151D9DB2" w14:textId="77777777" w:rsidR="00D52CD1" w:rsidRPr="007923C2" w:rsidRDefault="00D52CD1" w:rsidP="00D52CD1">
      <w:pPr>
        <w:widowControl w:val="0"/>
        <w:numPr>
          <w:ilvl w:val="0"/>
          <w:numId w:val="140"/>
        </w:numPr>
        <w:tabs>
          <w:tab w:val="clear" w:pos="720"/>
          <w:tab w:val="num" w:pos="620"/>
        </w:tabs>
        <w:overflowPunct w:val="0"/>
        <w:autoSpaceDE w:val="0"/>
        <w:autoSpaceDN w:val="0"/>
        <w:adjustRightInd w:val="0"/>
        <w:spacing w:after="0" w:line="231" w:lineRule="auto"/>
        <w:ind w:left="284" w:hanging="284"/>
        <w:jc w:val="both"/>
        <w:rPr>
          <w:rFonts w:ascii="Arial" w:hAnsi="Arial" w:cs="Arial"/>
          <w:sz w:val="22"/>
          <w:szCs w:val="22"/>
        </w:rPr>
      </w:pPr>
      <w:r w:rsidRPr="007923C2">
        <w:rPr>
          <w:rFonts w:ascii="Arial" w:hAnsi="Arial" w:cs="Arial"/>
          <w:sz w:val="22"/>
          <w:szCs w:val="22"/>
        </w:rPr>
        <w:t>Acuerdo que establece la clasificación y codificación de mercancías cuya importación y exportación está sujeta a regulación por parte de la Secretaría del Medio Ambiente y Recursos Naturales (</w:t>
      </w:r>
      <w:r w:rsidRPr="007923C2">
        <w:rPr>
          <w:rFonts w:ascii="Arial" w:hAnsi="Arial" w:cs="Arial"/>
          <w:i/>
          <w:iCs/>
          <w:sz w:val="22"/>
          <w:szCs w:val="22"/>
        </w:rPr>
        <w:t>DOF</w:t>
      </w:r>
      <w:r w:rsidRPr="007923C2">
        <w:rPr>
          <w:rFonts w:ascii="Arial" w:hAnsi="Arial" w:cs="Arial"/>
          <w:sz w:val="22"/>
          <w:szCs w:val="22"/>
        </w:rPr>
        <w:t xml:space="preserve"> del 27 de octubre de 1997). </w:t>
      </w:r>
    </w:p>
    <w:p w14:paraId="2C3768D7" w14:textId="77777777" w:rsidR="00D52CD1" w:rsidRPr="007923C2" w:rsidRDefault="00D52CD1" w:rsidP="00D52CD1">
      <w:pPr>
        <w:widowControl w:val="0"/>
        <w:autoSpaceDE w:val="0"/>
        <w:autoSpaceDN w:val="0"/>
        <w:adjustRightInd w:val="0"/>
        <w:spacing w:after="0" w:line="284" w:lineRule="exact"/>
        <w:ind w:left="284" w:hanging="284"/>
        <w:jc w:val="both"/>
        <w:rPr>
          <w:rFonts w:ascii="Arial" w:hAnsi="Arial" w:cs="Arial"/>
          <w:sz w:val="22"/>
          <w:szCs w:val="22"/>
        </w:rPr>
      </w:pPr>
    </w:p>
    <w:p w14:paraId="64BDDC44" w14:textId="77777777" w:rsidR="00D52CD1" w:rsidRPr="007923C2" w:rsidRDefault="00D52CD1" w:rsidP="00D52CD1">
      <w:pPr>
        <w:widowControl w:val="0"/>
        <w:overflowPunct w:val="0"/>
        <w:autoSpaceDE w:val="0"/>
        <w:autoSpaceDN w:val="0"/>
        <w:adjustRightInd w:val="0"/>
        <w:spacing w:after="0" w:line="255" w:lineRule="auto"/>
        <w:ind w:left="284" w:hanging="284"/>
        <w:jc w:val="both"/>
        <w:rPr>
          <w:rFonts w:ascii="Arial" w:hAnsi="Arial" w:cs="Arial"/>
          <w:sz w:val="22"/>
          <w:szCs w:val="22"/>
        </w:rPr>
      </w:pPr>
      <w:r w:rsidRPr="007923C2">
        <w:rPr>
          <w:rFonts w:ascii="Arial" w:hAnsi="Arial" w:cs="Arial"/>
          <w:sz w:val="22"/>
          <w:szCs w:val="22"/>
        </w:rPr>
        <w:t>La Secretaría de Medio Ambiente y Recursos Naturales, en coordinación con la Comisión de Comercio Exterior, revisará anualmente las listas de mercancías sujetas a la regulación de dicho acuerdo, a fin de excluir de éste las fracciones arancelarias cuya regulación se considere innecesaria, o integrar las que se consideren convenientes.</w:t>
      </w:r>
    </w:p>
    <w:p w14:paraId="62B80693" w14:textId="77777777" w:rsidR="00D52CD1" w:rsidRPr="007923C2" w:rsidRDefault="00D52CD1" w:rsidP="00D52CD1">
      <w:pPr>
        <w:widowControl w:val="0"/>
        <w:autoSpaceDE w:val="0"/>
        <w:autoSpaceDN w:val="0"/>
        <w:adjustRightInd w:val="0"/>
        <w:spacing w:after="0" w:line="1" w:lineRule="exact"/>
        <w:ind w:left="284" w:hanging="284"/>
        <w:jc w:val="both"/>
        <w:rPr>
          <w:rFonts w:ascii="Arial" w:hAnsi="Arial" w:cs="Arial"/>
          <w:sz w:val="22"/>
          <w:szCs w:val="22"/>
        </w:rPr>
      </w:pPr>
    </w:p>
    <w:p w14:paraId="48E1287E" w14:textId="77777777" w:rsidR="00D52CD1" w:rsidRPr="007923C2" w:rsidRDefault="00D52CD1" w:rsidP="00D52CD1">
      <w:pPr>
        <w:widowControl w:val="0"/>
        <w:numPr>
          <w:ilvl w:val="0"/>
          <w:numId w:val="141"/>
        </w:numPr>
        <w:tabs>
          <w:tab w:val="clear" w:pos="720"/>
          <w:tab w:val="num" w:pos="620"/>
        </w:tabs>
        <w:overflowPunct w:val="0"/>
        <w:autoSpaceDE w:val="0"/>
        <w:autoSpaceDN w:val="0"/>
        <w:adjustRightInd w:val="0"/>
        <w:spacing w:after="0" w:line="240" w:lineRule="auto"/>
        <w:ind w:left="284" w:hanging="284"/>
        <w:jc w:val="both"/>
        <w:rPr>
          <w:rFonts w:ascii="Arial" w:hAnsi="Arial" w:cs="Arial"/>
          <w:sz w:val="22"/>
          <w:szCs w:val="22"/>
        </w:rPr>
      </w:pPr>
      <w:r w:rsidRPr="007923C2">
        <w:rPr>
          <w:rFonts w:ascii="Arial" w:hAnsi="Arial" w:cs="Arial"/>
          <w:sz w:val="22"/>
          <w:szCs w:val="22"/>
        </w:rPr>
        <w:t>Acuerdo que establece la clasificación y codificación de mercancías cuya importación, exportación, internación o salida está sujeta a regulación por parte de la Secretaría de Agricultura Ganadería, Desarrollo Rural, Pesca y Alimentación (</w:t>
      </w:r>
      <w:r w:rsidRPr="007923C2">
        <w:rPr>
          <w:rFonts w:ascii="Arial" w:hAnsi="Arial" w:cs="Arial"/>
          <w:i/>
          <w:iCs/>
          <w:sz w:val="22"/>
          <w:szCs w:val="22"/>
        </w:rPr>
        <w:t>DOF</w:t>
      </w:r>
      <w:r w:rsidRPr="007923C2">
        <w:rPr>
          <w:rFonts w:ascii="Arial" w:hAnsi="Arial" w:cs="Arial"/>
          <w:sz w:val="22"/>
          <w:szCs w:val="22"/>
        </w:rPr>
        <w:t xml:space="preserve"> de 8 de diciembre de 1997). </w:t>
      </w:r>
    </w:p>
    <w:p w14:paraId="00DB439E" w14:textId="77777777" w:rsidR="00D52CD1" w:rsidRPr="007923C2" w:rsidRDefault="00D52CD1" w:rsidP="00D52CD1">
      <w:pPr>
        <w:widowControl w:val="0"/>
        <w:autoSpaceDE w:val="0"/>
        <w:autoSpaceDN w:val="0"/>
        <w:adjustRightInd w:val="0"/>
        <w:spacing w:after="0" w:line="5" w:lineRule="exact"/>
        <w:ind w:left="284" w:hanging="284"/>
        <w:jc w:val="both"/>
        <w:rPr>
          <w:rFonts w:ascii="Arial" w:hAnsi="Arial" w:cs="Arial"/>
          <w:sz w:val="22"/>
          <w:szCs w:val="22"/>
        </w:rPr>
      </w:pPr>
    </w:p>
    <w:p w14:paraId="76BDAFB4" w14:textId="77777777" w:rsidR="00D52CD1" w:rsidRPr="007923C2" w:rsidRDefault="00D52CD1" w:rsidP="00D52CD1">
      <w:pPr>
        <w:widowControl w:val="0"/>
        <w:overflowPunct w:val="0"/>
        <w:autoSpaceDE w:val="0"/>
        <w:autoSpaceDN w:val="0"/>
        <w:adjustRightInd w:val="0"/>
        <w:spacing w:after="0" w:line="235" w:lineRule="auto"/>
        <w:ind w:left="284" w:hanging="284"/>
        <w:jc w:val="both"/>
        <w:rPr>
          <w:rFonts w:ascii="Arial" w:hAnsi="Arial" w:cs="Arial"/>
          <w:sz w:val="22"/>
          <w:szCs w:val="22"/>
        </w:rPr>
      </w:pPr>
      <w:r w:rsidRPr="007923C2">
        <w:rPr>
          <w:rFonts w:ascii="Arial" w:hAnsi="Arial" w:cs="Arial"/>
          <w:sz w:val="22"/>
          <w:szCs w:val="22"/>
        </w:rPr>
        <w:t xml:space="preserve">A través de este Acuerdo se establece la clasificación y codificación de las mercancías de origen animal (excepto acuático) y/o para uso veterinario, así como de mercancías de origen vegetal, cuya introducción a territorio nacional está sujeta al cumplimiento de lo señalado en la hoja de requisitos zoosanitarios emitida por la Dirección General de Salud Animal, de la Secretaría de Agricultura, Ganadería, Desarrollo Rural, Pesca y Alimentación. </w:t>
      </w:r>
    </w:p>
    <w:p w14:paraId="660A8C24" w14:textId="77777777" w:rsidR="00D52CD1" w:rsidRPr="007923C2" w:rsidRDefault="00D52CD1" w:rsidP="00D52CD1">
      <w:pPr>
        <w:widowControl w:val="0"/>
        <w:overflowPunct w:val="0"/>
        <w:autoSpaceDE w:val="0"/>
        <w:autoSpaceDN w:val="0"/>
        <w:adjustRightInd w:val="0"/>
        <w:spacing w:after="0" w:line="235" w:lineRule="auto"/>
        <w:ind w:left="284" w:hanging="284"/>
        <w:jc w:val="both"/>
        <w:rPr>
          <w:rFonts w:ascii="Arial" w:hAnsi="Arial" w:cs="Arial"/>
          <w:sz w:val="22"/>
          <w:szCs w:val="22"/>
        </w:rPr>
      </w:pPr>
    </w:p>
    <w:p w14:paraId="3DAF4148" w14:textId="77777777" w:rsidR="00D52CD1" w:rsidRPr="007923C2" w:rsidRDefault="00D52CD1" w:rsidP="00D52CD1">
      <w:pPr>
        <w:widowControl w:val="0"/>
        <w:autoSpaceDE w:val="0"/>
        <w:autoSpaceDN w:val="0"/>
        <w:adjustRightInd w:val="0"/>
        <w:spacing w:after="0" w:line="9" w:lineRule="exact"/>
        <w:jc w:val="both"/>
        <w:rPr>
          <w:rFonts w:ascii="Arial" w:hAnsi="Arial" w:cs="Arial"/>
          <w:sz w:val="22"/>
          <w:szCs w:val="22"/>
        </w:rPr>
      </w:pPr>
    </w:p>
    <w:p w14:paraId="076838D5" w14:textId="77777777" w:rsidR="00D52CD1" w:rsidRPr="007923C2" w:rsidRDefault="00D52CD1" w:rsidP="00D52CD1">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Estas restricciones pueden tomar las siguientes modalidades: </w:t>
      </w:r>
    </w:p>
    <w:p w14:paraId="4458F668" w14:textId="77777777" w:rsidR="00D52CD1" w:rsidRPr="007923C2" w:rsidRDefault="00D52CD1" w:rsidP="00D52CD1">
      <w:pPr>
        <w:widowControl w:val="0"/>
        <w:autoSpaceDE w:val="0"/>
        <w:autoSpaceDN w:val="0"/>
        <w:adjustRightInd w:val="0"/>
        <w:spacing w:after="0" w:line="108" w:lineRule="exact"/>
        <w:jc w:val="both"/>
        <w:rPr>
          <w:rFonts w:ascii="Arial" w:hAnsi="Arial" w:cs="Arial"/>
          <w:sz w:val="22"/>
          <w:szCs w:val="22"/>
        </w:rPr>
      </w:pPr>
    </w:p>
    <w:p w14:paraId="23F1C202" w14:textId="77777777" w:rsidR="00D52CD1" w:rsidRPr="007923C2" w:rsidRDefault="00D52CD1" w:rsidP="00D52CD1">
      <w:pPr>
        <w:widowControl w:val="0"/>
        <w:numPr>
          <w:ilvl w:val="1"/>
          <w:numId w:val="141"/>
        </w:numPr>
        <w:tabs>
          <w:tab w:val="clear" w:pos="1440"/>
          <w:tab w:val="num" w:pos="900"/>
        </w:tabs>
        <w:overflowPunct w:val="0"/>
        <w:autoSpaceDE w:val="0"/>
        <w:autoSpaceDN w:val="0"/>
        <w:adjustRightInd w:val="0"/>
        <w:spacing w:after="0" w:line="240" w:lineRule="auto"/>
        <w:ind w:left="0" w:firstLine="0"/>
        <w:jc w:val="both"/>
        <w:rPr>
          <w:rFonts w:ascii="Arial" w:hAnsi="Arial" w:cs="Arial"/>
          <w:sz w:val="22"/>
          <w:szCs w:val="22"/>
        </w:rPr>
      </w:pPr>
      <w:r w:rsidRPr="007923C2">
        <w:rPr>
          <w:rFonts w:ascii="Arial" w:hAnsi="Arial" w:cs="Arial"/>
          <w:sz w:val="22"/>
          <w:szCs w:val="22"/>
        </w:rPr>
        <w:t xml:space="preserve">Autorización sanitaria. </w:t>
      </w:r>
    </w:p>
    <w:p w14:paraId="0CAC927C" w14:textId="77777777" w:rsidR="00D52CD1" w:rsidRPr="007923C2" w:rsidRDefault="00D52CD1" w:rsidP="00D52CD1">
      <w:pPr>
        <w:widowControl w:val="0"/>
        <w:autoSpaceDE w:val="0"/>
        <w:autoSpaceDN w:val="0"/>
        <w:adjustRightInd w:val="0"/>
        <w:spacing w:after="0" w:line="16" w:lineRule="exact"/>
        <w:jc w:val="both"/>
        <w:rPr>
          <w:rFonts w:ascii="Arial" w:hAnsi="Arial" w:cs="Arial"/>
          <w:sz w:val="22"/>
          <w:szCs w:val="22"/>
        </w:rPr>
      </w:pPr>
    </w:p>
    <w:p w14:paraId="537C44A9" w14:textId="77777777" w:rsidR="00D52CD1" w:rsidRPr="007923C2" w:rsidRDefault="00D52CD1" w:rsidP="00D52CD1">
      <w:pPr>
        <w:widowControl w:val="0"/>
        <w:numPr>
          <w:ilvl w:val="1"/>
          <w:numId w:val="141"/>
        </w:numPr>
        <w:tabs>
          <w:tab w:val="clear" w:pos="1440"/>
          <w:tab w:val="num" w:pos="900"/>
        </w:tabs>
        <w:overflowPunct w:val="0"/>
        <w:autoSpaceDE w:val="0"/>
        <w:autoSpaceDN w:val="0"/>
        <w:adjustRightInd w:val="0"/>
        <w:spacing w:after="0" w:line="214" w:lineRule="auto"/>
        <w:ind w:left="0" w:firstLine="0"/>
        <w:jc w:val="both"/>
        <w:rPr>
          <w:rFonts w:ascii="Arial" w:hAnsi="Arial" w:cs="Arial"/>
          <w:sz w:val="22"/>
          <w:szCs w:val="22"/>
        </w:rPr>
      </w:pPr>
      <w:r w:rsidRPr="007923C2">
        <w:rPr>
          <w:rFonts w:ascii="Arial" w:hAnsi="Arial" w:cs="Arial"/>
          <w:sz w:val="22"/>
          <w:szCs w:val="22"/>
        </w:rPr>
        <w:t xml:space="preserve">Inspección sanitaria. </w:t>
      </w:r>
    </w:p>
    <w:p w14:paraId="6162E846" w14:textId="77777777" w:rsidR="00D52CD1" w:rsidRPr="007923C2" w:rsidRDefault="00D52CD1" w:rsidP="00D52CD1">
      <w:pPr>
        <w:widowControl w:val="0"/>
        <w:autoSpaceDE w:val="0"/>
        <w:autoSpaceDN w:val="0"/>
        <w:adjustRightInd w:val="0"/>
        <w:spacing w:after="0" w:line="16" w:lineRule="exact"/>
        <w:jc w:val="both"/>
        <w:rPr>
          <w:rFonts w:ascii="Arial" w:hAnsi="Arial" w:cs="Arial"/>
          <w:sz w:val="22"/>
          <w:szCs w:val="22"/>
        </w:rPr>
      </w:pPr>
    </w:p>
    <w:p w14:paraId="2A75C050" w14:textId="77777777" w:rsidR="00D52CD1" w:rsidRPr="007923C2" w:rsidRDefault="00D52CD1" w:rsidP="00D52CD1">
      <w:pPr>
        <w:widowControl w:val="0"/>
        <w:numPr>
          <w:ilvl w:val="1"/>
          <w:numId w:val="141"/>
        </w:numPr>
        <w:tabs>
          <w:tab w:val="clear" w:pos="1440"/>
          <w:tab w:val="num" w:pos="900"/>
        </w:tabs>
        <w:overflowPunct w:val="0"/>
        <w:autoSpaceDE w:val="0"/>
        <w:autoSpaceDN w:val="0"/>
        <w:adjustRightInd w:val="0"/>
        <w:spacing w:after="0" w:line="214" w:lineRule="auto"/>
        <w:ind w:left="0" w:firstLine="0"/>
        <w:jc w:val="both"/>
        <w:rPr>
          <w:rFonts w:ascii="Arial" w:hAnsi="Arial" w:cs="Arial"/>
          <w:sz w:val="22"/>
          <w:szCs w:val="22"/>
        </w:rPr>
      </w:pPr>
      <w:r w:rsidRPr="007923C2">
        <w:rPr>
          <w:rFonts w:ascii="Arial" w:hAnsi="Arial" w:cs="Arial"/>
          <w:sz w:val="22"/>
          <w:szCs w:val="22"/>
        </w:rPr>
        <w:t xml:space="preserve">Autorización zoosanitaria. </w:t>
      </w:r>
    </w:p>
    <w:p w14:paraId="025F92B6" w14:textId="77777777" w:rsidR="00D52CD1" w:rsidRPr="007923C2" w:rsidRDefault="00D52CD1" w:rsidP="00D52CD1">
      <w:pPr>
        <w:widowControl w:val="0"/>
        <w:autoSpaceDE w:val="0"/>
        <w:autoSpaceDN w:val="0"/>
        <w:adjustRightInd w:val="0"/>
        <w:spacing w:after="0" w:line="192" w:lineRule="exact"/>
        <w:jc w:val="both"/>
        <w:rPr>
          <w:rFonts w:ascii="Arial" w:hAnsi="Arial" w:cs="Arial"/>
          <w:sz w:val="22"/>
          <w:szCs w:val="22"/>
        </w:rPr>
      </w:pPr>
    </w:p>
    <w:p w14:paraId="278BF4D5" w14:textId="77777777" w:rsidR="00D52CD1" w:rsidRPr="007923C2" w:rsidRDefault="00D52CD1" w:rsidP="00D52CD1">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Cabe señalar que al obtener los documentos que acrediten el cumplimiento de las restricciones citadas, entonces será otorgado el certificado fitozoosanitario único de importación, el cual deberá anexarse al pedimento aduanal correspondiente.</w:t>
      </w:r>
    </w:p>
    <w:p w14:paraId="3F3C695F"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0BA331C3" w14:textId="77777777" w:rsidR="00D52CD1" w:rsidRPr="007923C2" w:rsidRDefault="00D52CD1" w:rsidP="00D52CD1">
      <w:pPr>
        <w:widowControl w:val="0"/>
        <w:numPr>
          <w:ilvl w:val="0"/>
          <w:numId w:val="142"/>
        </w:numPr>
        <w:tabs>
          <w:tab w:val="clear" w:pos="720"/>
          <w:tab w:val="num" w:pos="620"/>
        </w:tabs>
        <w:overflowPunct w:val="0"/>
        <w:autoSpaceDE w:val="0"/>
        <w:autoSpaceDN w:val="0"/>
        <w:adjustRightInd w:val="0"/>
        <w:spacing w:after="0" w:line="260" w:lineRule="auto"/>
        <w:ind w:left="0" w:firstLine="0"/>
        <w:jc w:val="both"/>
        <w:rPr>
          <w:rFonts w:ascii="Arial" w:hAnsi="Arial" w:cs="Arial"/>
          <w:sz w:val="22"/>
          <w:szCs w:val="22"/>
        </w:rPr>
      </w:pPr>
      <w:r w:rsidRPr="007923C2">
        <w:rPr>
          <w:rFonts w:ascii="Arial" w:hAnsi="Arial" w:cs="Arial"/>
          <w:sz w:val="22"/>
          <w:szCs w:val="22"/>
        </w:rPr>
        <w:lastRenderedPageBreak/>
        <w:t>Acuerdo que establece la clasificación y codificación de mercancías cuya importación o exportación está sujeta a regulación sanitaria por parte de la Secretaría de Salud (</w:t>
      </w:r>
      <w:r w:rsidRPr="007923C2">
        <w:rPr>
          <w:rFonts w:ascii="Arial" w:hAnsi="Arial" w:cs="Arial"/>
          <w:i/>
          <w:iCs/>
          <w:sz w:val="22"/>
          <w:szCs w:val="22"/>
        </w:rPr>
        <w:t>DOF</w:t>
      </w:r>
      <w:r w:rsidRPr="007923C2">
        <w:rPr>
          <w:rFonts w:ascii="Arial" w:hAnsi="Arial" w:cs="Arial"/>
          <w:sz w:val="22"/>
          <w:szCs w:val="22"/>
        </w:rPr>
        <w:t xml:space="preserve"> del 21 de enero de 1998). En este Acuerdo se detallan aquellos productos sujetos a autorización sanitaria previa de importación, o autorización de internación, cuando se destinen a los regímenes de importación definitiva, temporal o de-pósito fiscal. Señala la obligación de los importadores y exportadores de las mercancías listadas en dicho Acuerdo, de presentar conjunta-mente con el pedimento aduanal, las autorizaciones sanitarias previas </w:t>
      </w:r>
      <w:bookmarkStart w:id="15" w:name="page23"/>
      <w:bookmarkEnd w:id="15"/>
      <w:r w:rsidRPr="007923C2">
        <w:rPr>
          <w:rFonts w:ascii="Arial" w:hAnsi="Arial" w:cs="Arial"/>
          <w:sz w:val="22"/>
          <w:szCs w:val="22"/>
        </w:rPr>
        <w:t>de importación o exportación o, en su caso, las autorizaciones de introducción o de salida, el aviso sanitario de importación sellado o copia del registro sanitario; o comprobar el cumplimiento de los requisitos de etiquetado, según corresponda.</w:t>
      </w:r>
    </w:p>
    <w:p w14:paraId="0EB8CDED" w14:textId="77777777"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14:paraId="62C0A688" w14:textId="77777777" w:rsidR="00D52CD1" w:rsidRPr="007923C2" w:rsidRDefault="00D52CD1" w:rsidP="00D52CD1">
      <w:pPr>
        <w:widowControl w:val="0"/>
        <w:numPr>
          <w:ilvl w:val="0"/>
          <w:numId w:val="143"/>
        </w:numPr>
        <w:tabs>
          <w:tab w:val="clear" w:pos="720"/>
          <w:tab w:val="num" w:pos="262"/>
        </w:tabs>
        <w:overflowPunct w:val="0"/>
        <w:autoSpaceDE w:val="0"/>
        <w:autoSpaceDN w:val="0"/>
        <w:adjustRightInd w:val="0"/>
        <w:spacing w:after="0" w:line="241" w:lineRule="auto"/>
        <w:ind w:left="0" w:firstLine="0"/>
        <w:jc w:val="both"/>
        <w:rPr>
          <w:rFonts w:ascii="Arial" w:hAnsi="Arial" w:cs="Arial"/>
          <w:sz w:val="22"/>
          <w:szCs w:val="22"/>
        </w:rPr>
      </w:pPr>
      <w:r w:rsidRPr="007923C2">
        <w:rPr>
          <w:rFonts w:ascii="Arial" w:hAnsi="Arial" w:cs="Arial"/>
          <w:sz w:val="22"/>
          <w:szCs w:val="22"/>
        </w:rPr>
        <w:t>Acuerdo que establece el aviso automático de importación, y al efecto adiciona el similar que establece la clasificación y codificación de mercancías, cuya importación y exportación está sujeta al requisito de permiso previo por parte de la Secretaría de Economía (</w:t>
      </w:r>
      <w:r w:rsidRPr="007923C2">
        <w:rPr>
          <w:rFonts w:ascii="Arial" w:hAnsi="Arial" w:cs="Arial"/>
          <w:i/>
          <w:iCs/>
          <w:sz w:val="22"/>
          <w:szCs w:val="22"/>
        </w:rPr>
        <w:t>DOF</w:t>
      </w:r>
      <w:r w:rsidRPr="007923C2">
        <w:rPr>
          <w:rFonts w:ascii="Arial" w:hAnsi="Arial" w:cs="Arial"/>
          <w:sz w:val="22"/>
          <w:szCs w:val="22"/>
        </w:rPr>
        <w:t xml:space="preserve"> del 27 de julio de 1998). </w:t>
      </w:r>
    </w:p>
    <w:p w14:paraId="13C19A68" w14:textId="77777777"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14:paraId="054D49F2" w14:textId="77777777" w:rsidR="00D52CD1" w:rsidRPr="007923C2" w:rsidRDefault="00D52CD1" w:rsidP="00D52CD1">
      <w:pPr>
        <w:widowControl w:val="0"/>
        <w:overflowPunct w:val="0"/>
        <w:autoSpaceDE w:val="0"/>
        <w:autoSpaceDN w:val="0"/>
        <w:adjustRightInd w:val="0"/>
        <w:spacing w:after="0" w:line="255" w:lineRule="auto"/>
        <w:jc w:val="both"/>
        <w:rPr>
          <w:rFonts w:ascii="Arial" w:hAnsi="Arial" w:cs="Arial"/>
          <w:sz w:val="22"/>
          <w:szCs w:val="22"/>
        </w:rPr>
      </w:pPr>
      <w:r w:rsidRPr="007923C2">
        <w:rPr>
          <w:rFonts w:ascii="Arial" w:hAnsi="Arial" w:cs="Arial"/>
          <w:sz w:val="22"/>
          <w:szCs w:val="22"/>
        </w:rPr>
        <w:t xml:space="preserve">Este acuerdo establece un sistema de monitoreo a efecto de evitar, en la medida de lo posible, la subfacturación de determinadas mercancías, mediante la supervisión de los precios de las mercancías de importación, previo al ingreso de las mercancías al país. </w:t>
      </w:r>
    </w:p>
    <w:p w14:paraId="011A8B4E" w14:textId="77777777" w:rsidR="00D52CD1" w:rsidRPr="007923C2" w:rsidRDefault="00D52CD1" w:rsidP="00D52CD1">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 xml:space="preserve">El documento sujeta a la presentación de un aviso automático de importación ante la Secretaría de Economía la introducción de de-terminadas mercancías (listadas en dicho acuerdo). Dicho aviso se presentará ante la Dirección General de Servicios al Comercio Exterior, delegaciones o subdelegaciones federales de la Secretaría de Economía. </w:t>
      </w:r>
    </w:p>
    <w:p w14:paraId="725EE043" w14:textId="77777777" w:rsidR="00D52CD1" w:rsidRPr="007923C2" w:rsidRDefault="00D52CD1" w:rsidP="00D52CD1">
      <w:pPr>
        <w:widowControl w:val="0"/>
        <w:autoSpaceDE w:val="0"/>
        <w:autoSpaceDN w:val="0"/>
        <w:adjustRightInd w:val="0"/>
        <w:spacing w:after="0" w:line="10" w:lineRule="exact"/>
        <w:jc w:val="both"/>
        <w:rPr>
          <w:rFonts w:ascii="Arial" w:hAnsi="Arial" w:cs="Arial"/>
          <w:sz w:val="22"/>
          <w:szCs w:val="22"/>
        </w:rPr>
      </w:pPr>
    </w:p>
    <w:p w14:paraId="3CCE5BA2" w14:textId="77777777" w:rsidR="00D52CD1" w:rsidRPr="007923C2" w:rsidRDefault="00D52CD1" w:rsidP="00D52CD1">
      <w:pPr>
        <w:widowControl w:val="0"/>
        <w:numPr>
          <w:ilvl w:val="0"/>
          <w:numId w:val="143"/>
        </w:numPr>
        <w:tabs>
          <w:tab w:val="clear" w:pos="720"/>
          <w:tab w:val="num" w:pos="262"/>
        </w:tabs>
        <w:overflowPunct w:val="0"/>
        <w:autoSpaceDE w:val="0"/>
        <w:autoSpaceDN w:val="0"/>
        <w:adjustRightInd w:val="0"/>
        <w:spacing w:after="0" w:line="240" w:lineRule="auto"/>
        <w:ind w:left="0" w:firstLine="0"/>
        <w:jc w:val="both"/>
        <w:rPr>
          <w:rFonts w:ascii="Arial" w:hAnsi="Arial" w:cs="Arial"/>
          <w:sz w:val="22"/>
          <w:szCs w:val="22"/>
        </w:rPr>
      </w:pPr>
      <w:r w:rsidRPr="007923C2">
        <w:rPr>
          <w:rFonts w:ascii="Arial" w:hAnsi="Arial" w:cs="Arial"/>
          <w:sz w:val="22"/>
          <w:szCs w:val="22"/>
        </w:rPr>
        <w:t xml:space="preserve">Acuerdo que establece la clasificación y codificación de mercancías cuya importación está sujeta a regulación por parte de las dependencias que integran la Comisión Intersecretarial para el Control del Proceso y Usos de Plaguicidas, Fertilizantes y Sustancias Tóxicas ( </w:t>
      </w:r>
      <w:r w:rsidRPr="007923C2">
        <w:rPr>
          <w:rFonts w:ascii="Arial" w:hAnsi="Arial" w:cs="Arial"/>
          <w:i/>
          <w:iCs/>
          <w:sz w:val="22"/>
          <w:szCs w:val="22"/>
        </w:rPr>
        <w:t>DOF</w:t>
      </w:r>
      <w:r w:rsidRPr="007923C2">
        <w:rPr>
          <w:rFonts w:ascii="Arial" w:hAnsi="Arial" w:cs="Arial"/>
          <w:sz w:val="22"/>
          <w:szCs w:val="22"/>
        </w:rPr>
        <w:t xml:space="preserve"> del 26 de agosto de 1998). </w:t>
      </w:r>
    </w:p>
    <w:p w14:paraId="539E2D71" w14:textId="77777777" w:rsidR="00D52CD1" w:rsidRPr="007923C2" w:rsidRDefault="00D52CD1" w:rsidP="00D52CD1">
      <w:pPr>
        <w:widowControl w:val="0"/>
        <w:autoSpaceDE w:val="0"/>
        <w:autoSpaceDN w:val="0"/>
        <w:adjustRightInd w:val="0"/>
        <w:spacing w:after="0" w:line="5" w:lineRule="exact"/>
        <w:jc w:val="both"/>
        <w:rPr>
          <w:rFonts w:ascii="Arial" w:hAnsi="Arial" w:cs="Arial"/>
          <w:sz w:val="22"/>
          <w:szCs w:val="22"/>
        </w:rPr>
      </w:pPr>
    </w:p>
    <w:p w14:paraId="76422ED9" w14:textId="77777777" w:rsidR="00D52CD1" w:rsidRPr="007923C2" w:rsidRDefault="00D52CD1" w:rsidP="00D52CD1">
      <w:pPr>
        <w:widowControl w:val="0"/>
        <w:overflowPunct w:val="0"/>
        <w:autoSpaceDE w:val="0"/>
        <w:autoSpaceDN w:val="0"/>
        <w:adjustRightInd w:val="0"/>
        <w:spacing w:after="0" w:line="232" w:lineRule="auto"/>
        <w:jc w:val="both"/>
        <w:rPr>
          <w:rFonts w:ascii="Arial" w:hAnsi="Arial" w:cs="Arial"/>
          <w:sz w:val="22"/>
          <w:szCs w:val="22"/>
        </w:rPr>
      </w:pPr>
      <w:r w:rsidRPr="007923C2">
        <w:rPr>
          <w:rFonts w:ascii="Arial" w:hAnsi="Arial" w:cs="Arial"/>
          <w:sz w:val="22"/>
          <w:szCs w:val="22"/>
        </w:rPr>
        <w:t xml:space="preserve">Derivado de dicha disposición, se ha creado la Comisión Intersecretarial para el Control del Proceso y Uso de Plaguicidas, Fertili-zantes y Sustancias Tóxicas (CICOPLAFEST), que tiene como principal función la de coordinar la regulación de la importación o exportación de dichos productos. </w:t>
      </w:r>
    </w:p>
    <w:p w14:paraId="640C4320" w14:textId="77777777"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14:paraId="45780C0D" w14:textId="77777777" w:rsidR="00D52CD1" w:rsidRPr="007923C2" w:rsidRDefault="00D52CD1" w:rsidP="00D52CD1">
      <w:pPr>
        <w:widowControl w:val="0"/>
        <w:tabs>
          <w:tab w:val="left" w:pos="9213"/>
        </w:tabs>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 xml:space="preserve">Asimismo, en cumplimiento a lo establecido por la Ley de Comercio Exterior, se ha sujetado a nivel fracción arancelaria a diversos productos para que previo a su importación obtengan en la Dirección General de Salud Ambiental de la Secretaría de Salud la autorización que deberá presentarse conjuntamente con el pedimento de importación respectivo. </w:t>
      </w:r>
    </w:p>
    <w:p w14:paraId="29731801" w14:textId="77777777" w:rsidR="00D52CD1" w:rsidRPr="007923C2" w:rsidRDefault="00D52CD1" w:rsidP="00D52CD1">
      <w:pPr>
        <w:widowControl w:val="0"/>
        <w:tabs>
          <w:tab w:val="left" w:pos="9213"/>
        </w:tabs>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Es oportuno señalar que en función de lo que dispone la Ley Federal de Metrología y Normalización, ya comentada en la parte correspondiente de esta obra, se establecen una gran cantidad de requisitos no arancelarios para importación que se encuentran contenidos en normas oficiales mexicanas, de las cuales destacan las siguientes:</w:t>
      </w:r>
    </w:p>
    <w:p w14:paraId="3F6CAA91" w14:textId="77777777" w:rsidR="00D52CD1" w:rsidRPr="007923C2" w:rsidRDefault="00D52CD1" w:rsidP="00D52CD1">
      <w:pPr>
        <w:widowControl w:val="0"/>
        <w:autoSpaceDE w:val="0"/>
        <w:autoSpaceDN w:val="0"/>
        <w:adjustRightInd w:val="0"/>
        <w:spacing w:after="0" w:line="131" w:lineRule="exact"/>
        <w:jc w:val="both"/>
        <w:rPr>
          <w:rFonts w:ascii="Arial" w:hAnsi="Arial" w:cs="Arial"/>
          <w:sz w:val="22"/>
          <w:szCs w:val="22"/>
        </w:rPr>
      </w:pPr>
    </w:p>
    <w:p w14:paraId="46D84C1A" w14:textId="77777777"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6" w:lineRule="auto"/>
        <w:ind w:left="426" w:hanging="426"/>
        <w:jc w:val="both"/>
        <w:rPr>
          <w:rFonts w:ascii="Arial" w:hAnsi="Arial" w:cs="Arial"/>
          <w:sz w:val="22"/>
          <w:szCs w:val="22"/>
        </w:rPr>
      </w:pPr>
      <w:r w:rsidRPr="007923C2">
        <w:rPr>
          <w:rFonts w:ascii="Arial" w:hAnsi="Arial" w:cs="Arial"/>
          <w:sz w:val="22"/>
          <w:szCs w:val="22"/>
        </w:rPr>
        <w:t>Norma Oficial Mexicana NOM-119-SCFI-1996, Industria automotriz-Vehículos automotores-Cinturones de seguridad-Especificaciones de seguridad y métodos de prueba (</w:t>
      </w:r>
      <w:r w:rsidRPr="007923C2">
        <w:rPr>
          <w:rFonts w:ascii="Arial" w:hAnsi="Arial" w:cs="Arial"/>
          <w:i/>
          <w:iCs/>
          <w:sz w:val="22"/>
          <w:szCs w:val="22"/>
        </w:rPr>
        <w:t>DOF</w:t>
      </w:r>
      <w:r w:rsidRPr="007923C2">
        <w:rPr>
          <w:rFonts w:ascii="Arial" w:hAnsi="Arial" w:cs="Arial"/>
          <w:sz w:val="22"/>
          <w:szCs w:val="22"/>
        </w:rPr>
        <w:t xml:space="preserve"> del 11 de agosto de 1997). </w:t>
      </w:r>
    </w:p>
    <w:p w14:paraId="72EC4999" w14:textId="77777777" w:rsidR="00D52CD1" w:rsidRPr="007923C2" w:rsidRDefault="00D52CD1" w:rsidP="00DB7812">
      <w:pPr>
        <w:widowControl w:val="0"/>
        <w:autoSpaceDE w:val="0"/>
        <w:autoSpaceDN w:val="0"/>
        <w:adjustRightInd w:val="0"/>
        <w:spacing w:after="0" w:line="15" w:lineRule="exact"/>
        <w:ind w:left="426" w:hanging="426"/>
        <w:jc w:val="both"/>
        <w:rPr>
          <w:rFonts w:ascii="Arial" w:hAnsi="Arial" w:cs="Arial"/>
          <w:sz w:val="22"/>
          <w:szCs w:val="22"/>
        </w:rPr>
      </w:pPr>
    </w:p>
    <w:p w14:paraId="6DD06FB6" w14:textId="77777777"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41" w:lineRule="auto"/>
        <w:ind w:left="426" w:hanging="426"/>
        <w:jc w:val="both"/>
        <w:rPr>
          <w:rFonts w:ascii="Arial" w:hAnsi="Arial" w:cs="Arial"/>
          <w:sz w:val="22"/>
          <w:szCs w:val="22"/>
        </w:rPr>
      </w:pPr>
      <w:r w:rsidRPr="007923C2">
        <w:rPr>
          <w:rFonts w:ascii="Arial" w:hAnsi="Arial" w:cs="Arial"/>
          <w:sz w:val="22"/>
          <w:szCs w:val="22"/>
        </w:rPr>
        <w:t>Norma Oficial Mexicana NOM-006-SCFI-1994, Bebidas alcohólicas-Tequila-Especificaciones (</w:t>
      </w:r>
      <w:r w:rsidRPr="007923C2">
        <w:rPr>
          <w:rFonts w:ascii="Arial" w:hAnsi="Arial" w:cs="Arial"/>
          <w:i/>
          <w:iCs/>
          <w:sz w:val="22"/>
          <w:szCs w:val="22"/>
        </w:rPr>
        <w:t>DOF</w:t>
      </w:r>
      <w:r w:rsidRPr="007923C2">
        <w:rPr>
          <w:rFonts w:ascii="Arial" w:hAnsi="Arial" w:cs="Arial"/>
          <w:sz w:val="22"/>
          <w:szCs w:val="22"/>
        </w:rPr>
        <w:t xml:space="preserve"> del 3 de septiembre de 1997). </w:t>
      </w:r>
    </w:p>
    <w:p w14:paraId="705A8024" w14:textId="77777777" w:rsidR="00D52CD1" w:rsidRPr="007923C2" w:rsidRDefault="00D52CD1" w:rsidP="00DB7812">
      <w:pPr>
        <w:widowControl w:val="0"/>
        <w:autoSpaceDE w:val="0"/>
        <w:autoSpaceDN w:val="0"/>
        <w:adjustRightInd w:val="0"/>
        <w:spacing w:after="0" w:line="12" w:lineRule="exact"/>
        <w:ind w:left="426" w:hanging="426"/>
        <w:jc w:val="both"/>
        <w:rPr>
          <w:rFonts w:ascii="Arial" w:hAnsi="Arial" w:cs="Arial"/>
          <w:sz w:val="22"/>
          <w:szCs w:val="22"/>
        </w:rPr>
      </w:pPr>
    </w:p>
    <w:p w14:paraId="5AF2DBFD" w14:textId="77777777"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6" w:lineRule="auto"/>
        <w:ind w:left="426" w:hanging="426"/>
        <w:jc w:val="both"/>
        <w:rPr>
          <w:rFonts w:ascii="Arial" w:hAnsi="Arial" w:cs="Arial"/>
          <w:sz w:val="22"/>
          <w:szCs w:val="22"/>
        </w:rPr>
      </w:pPr>
      <w:r w:rsidRPr="007923C2">
        <w:rPr>
          <w:rFonts w:ascii="Arial" w:hAnsi="Arial" w:cs="Arial"/>
          <w:sz w:val="22"/>
          <w:szCs w:val="22"/>
        </w:rPr>
        <w:t>Norma Oficial Mexicana NOM-005-SCFI-1994, Instrumentos de medición-Sistema para medición y despacho de gasolina y otros combustibles líquidos. (Esta Norma cancela a la NOM-005-SCFI-1993). (</w:t>
      </w:r>
      <w:r w:rsidRPr="007923C2">
        <w:rPr>
          <w:rFonts w:ascii="Arial" w:hAnsi="Arial" w:cs="Arial"/>
          <w:i/>
          <w:iCs/>
          <w:sz w:val="22"/>
          <w:szCs w:val="22"/>
        </w:rPr>
        <w:t>DOF</w:t>
      </w:r>
      <w:r w:rsidRPr="007923C2">
        <w:rPr>
          <w:rFonts w:ascii="Arial" w:hAnsi="Arial" w:cs="Arial"/>
          <w:sz w:val="22"/>
          <w:szCs w:val="22"/>
        </w:rPr>
        <w:t xml:space="preserve"> del 30 de marzo de 1998). </w:t>
      </w:r>
    </w:p>
    <w:p w14:paraId="31EE5CF1" w14:textId="77777777" w:rsidR="00D52CD1" w:rsidRPr="007923C2" w:rsidRDefault="00D52CD1" w:rsidP="00DB7812">
      <w:pPr>
        <w:widowControl w:val="0"/>
        <w:autoSpaceDE w:val="0"/>
        <w:autoSpaceDN w:val="0"/>
        <w:adjustRightInd w:val="0"/>
        <w:spacing w:after="0" w:line="15" w:lineRule="exact"/>
        <w:ind w:left="426" w:hanging="426"/>
        <w:jc w:val="both"/>
        <w:rPr>
          <w:rFonts w:ascii="Arial" w:hAnsi="Arial" w:cs="Arial"/>
          <w:sz w:val="22"/>
          <w:szCs w:val="22"/>
        </w:rPr>
      </w:pPr>
    </w:p>
    <w:p w14:paraId="20704FD6" w14:textId="77777777"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7" w:lineRule="auto"/>
        <w:ind w:left="426" w:right="40" w:hanging="426"/>
        <w:jc w:val="both"/>
        <w:rPr>
          <w:rFonts w:ascii="Arial" w:hAnsi="Arial" w:cs="Arial"/>
          <w:sz w:val="22"/>
          <w:szCs w:val="22"/>
        </w:rPr>
      </w:pPr>
      <w:r w:rsidRPr="007923C2">
        <w:rPr>
          <w:rFonts w:ascii="Arial" w:hAnsi="Arial" w:cs="Arial"/>
          <w:sz w:val="22"/>
          <w:szCs w:val="22"/>
        </w:rPr>
        <w:t>Norma Oficial Mexicana NOM-020-SCFI-1997, Información comercial-Etiquetado de cueros y pieles curtidas naturales y materiales sintéticos o artificiales con esa apariencia, calzado, marroquinería, así como los productos elaborados con dichos materiales (</w:t>
      </w:r>
      <w:r w:rsidRPr="007923C2">
        <w:rPr>
          <w:rFonts w:ascii="Arial" w:hAnsi="Arial" w:cs="Arial"/>
          <w:i/>
          <w:iCs/>
          <w:sz w:val="22"/>
          <w:szCs w:val="22"/>
        </w:rPr>
        <w:t>DOF</w:t>
      </w:r>
      <w:r w:rsidRPr="007923C2">
        <w:rPr>
          <w:rFonts w:ascii="Arial" w:hAnsi="Arial" w:cs="Arial"/>
          <w:sz w:val="22"/>
          <w:szCs w:val="22"/>
        </w:rPr>
        <w:t xml:space="preserve"> del 27 de abril de 1998). </w:t>
      </w:r>
    </w:p>
    <w:p w14:paraId="0FB386C2" w14:textId="77777777" w:rsidR="00D52CD1" w:rsidRPr="007923C2" w:rsidRDefault="00D52CD1" w:rsidP="00DB7812">
      <w:pPr>
        <w:widowControl w:val="0"/>
        <w:autoSpaceDE w:val="0"/>
        <w:autoSpaceDN w:val="0"/>
        <w:adjustRightInd w:val="0"/>
        <w:spacing w:after="0" w:line="16" w:lineRule="exact"/>
        <w:ind w:left="426" w:right="40" w:hanging="426"/>
        <w:jc w:val="both"/>
        <w:rPr>
          <w:rFonts w:ascii="Arial" w:hAnsi="Arial" w:cs="Arial"/>
          <w:sz w:val="22"/>
          <w:szCs w:val="22"/>
        </w:rPr>
      </w:pPr>
    </w:p>
    <w:p w14:paraId="754574EC" w14:textId="77777777"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4" w:lineRule="auto"/>
        <w:ind w:left="426" w:right="40" w:hanging="426"/>
        <w:jc w:val="both"/>
        <w:rPr>
          <w:rFonts w:ascii="Arial" w:hAnsi="Arial" w:cs="Arial"/>
          <w:sz w:val="22"/>
          <w:szCs w:val="22"/>
        </w:rPr>
      </w:pPr>
      <w:r w:rsidRPr="007923C2">
        <w:rPr>
          <w:rFonts w:ascii="Arial" w:hAnsi="Arial" w:cs="Arial"/>
          <w:sz w:val="22"/>
          <w:szCs w:val="22"/>
        </w:rPr>
        <w:t>Norma Oficial Mexicana NOM-116-SCFI-1997, Industria automotriz-Aceites lubricantes para motores a gasolina o a diésel Información comercial (</w:t>
      </w:r>
      <w:r w:rsidRPr="007923C2">
        <w:rPr>
          <w:rFonts w:ascii="Arial" w:hAnsi="Arial" w:cs="Arial"/>
          <w:i/>
          <w:iCs/>
          <w:sz w:val="22"/>
          <w:szCs w:val="22"/>
        </w:rPr>
        <w:t>DOF</w:t>
      </w:r>
      <w:r w:rsidRPr="007923C2">
        <w:rPr>
          <w:rFonts w:ascii="Arial" w:hAnsi="Arial" w:cs="Arial"/>
          <w:sz w:val="22"/>
          <w:szCs w:val="22"/>
        </w:rPr>
        <w:t xml:space="preserve"> del 4 de mayo de 1998). </w:t>
      </w:r>
    </w:p>
    <w:p w14:paraId="04A387A3" w14:textId="77777777" w:rsidR="00D52CD1" w:rsidRPr="007923C2" w:rsidRDefault="00D52CD1" w:rsidP="00DB7812">
      <w:pPr>
        <w:widowControl w:val="0"/>
        <w:autoSpaceDE w:val="0"/>
        <w:autoSpaceDN w:val="0"/>
        <w:adjustRightInd w:val="0"/>
        <w:spacing w:after="0" w:line="14" w:lineRule="exact"/>
        <w:ind w:left="426" w:right="40" w:hanging="426"/>
        <w:jc w:val="both"/>
        <w:rPr>
          <w:rFonts w:ascii="Arial" w:hAnsi="Arial" w:cs="Arial"/>
          <w:sz w:val="22"/>
          <w:szCs w:val="22"/>
        </w:rPr>
      </w:pPr>
    </w:p>
    <w:p w14:paraId="10971C1C" w14:textId="77777777"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4" w:lineRule="auto"/>
        <w:ind w:left="426" w:right="40" w:hanging="426"/>
        <w:jc w:val="both"/>
        <w:rPr>
          <w:rFonts w:ascii="Arial" w:hAnsi="Arial" w:cs="Arial"/>
          <w:sz w:val="22"/>
          <w:szCs w:val="22"/>
        </w:rPr>
      </w:pPr>
      <w:r w:rsidRPr="007923C2">
        <w:rPr>
          <w:rFonts w:ascii="Arial" w:hAnsi="Arial" w:cs="Arial"/>
          <w:sz w:val="22"/>
          <w:szCs w:val="22"/>
        </w:rPr>
        <w:t>Norma Oficial Mexicana NOM-122-SCFI-1997, Prácticas comerciales-Requisitos de información en la compraventa y consignación de vehículos usados (</w:t>
      </w:r>
      <w:r w:rsidRPr="007923C2">
        <w:rPr>
          <w:rFonts w:ascii="Arial" w:hAnsi="Arial" w:cs="Arial"/>
          <w:i/>
          <w:iCs/>
          <w:sz w:val="22"/>
          <w:szCs w:val="22"/>
        </w:rPr>
        <w:t>DOF</w:t>
      </w:r>
      <w:r w:rsidRPr="007923C2">
        <w:rPr>
          <w:rFonts w:ascii="Arial" w:hAnsi="Arial" w:cs="Arial"/>
          <w:sz w:val="22"/>
          <w:szCs w:val="22"/>
        </w:rPr>
        <w:t xml:space="preserve"> del 6 de mayo de 1998). </w:t>
      </w:r>
    </w:p>
    <w:p w14:paraId="101E11E0" w14:textId="77777777" w:rsidR="00D52CD1" w:rsidRPr="007923C2" w:rsidRDefault="00D52CD1" w:rsidP="00DB7812">
      <w:pPr>
        <w:widowControl w:val="0"/>
        <w:autoSpaceDE w:val="0"/>
        <w:autoSpaceDN w:val="0"/>
        <w:adjustRightInd w:val="0"/>
        <w:spacing w:after="0" w:line="14" w:lineRule="exact"/>
        <w:ind w:left="426" w:right="40" w:hanging="426"/>
        <w:jc w:val="both"/>
        <w:rPr>
          <w:rFonts w:ascii="Arial" w:hAnsi="Arial" w:cs="Arial"/>
          <w:sz w:val="22"/>
          <w:szCs w:val="22"/>
        </w:rPr>
      </w:pPr>
    </w:p>
    <w:p w14:paraId="6CA07E96" w14:textId="77777777"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4" w:lineRule="auto"/>
        <w:ind w:left="426" w:right="40" w:hanging="426"/>
        <w:jc w:val="both"/>
        <w:rPr>
          <w:rFonts w:ascii="Arial" w:hAnsi="Arial" w:cs="Arial"/>
          <w:sz w:val="22"/>
          <w:szCs w:val="22"/>
        </w:rPr>
      </w:pPr>
      <w:r w:rsidRPr="007923C2">
        <w:rPr>
          <w:rFonts w:ascii="Arial" w:hAnsi="Arial" w:cs="Arial"/>
          <w:sz w:val="22"/>
          <w:szCs w:val="22"/>
        </w:rPr>
        <w:lastRenderedPageBreak/>
        <w:t>Norma Oficial Mexicana NOM-054-SCFI-1998, Utensilios domésticos-Ollas a presión-Seguridad (</w:t>
      </w:r>
      <w:r w:rsidRPr="007923C2">
        <w:rPr>
          <w:rFonts w:ascii="Arial" w:hAnsi="Arial" w:cs="Arial"/>
          <w:i/>
          <w:iCs/>
          <w:sz w:val="22"/>
          <w:szCs w:val="22"/>
        </w:rPr>
        <w:t>DOF</w:t>
      </w:r>
      <w:r w:rsidRPr="007923C2">
        <w:rPr>
          <w:rFonts w:ascii="Arial" w:hAnsi="Arial" w:cs="Arial"/>
          <w:sz w:val="22"/>
          <w:szCs w:val="22"/>
        </w:rPr>
        <w:t xml:space="preserve"> del 4 de septiembre de1998) </w:t>
      </w:r>
    </w:p>
    <w:p w14:paraId="642533E1" w14:textId="77777777" w:rsidR="00D52CD1" w:rsidRPr="007923C2" w:rsidRDefault="00D52CD1" w:rsidP="00DB7812">
      <w:pPr>
        <w:widowControl w:val="0"/>
        <w:autoSpaceDE w:val="0"/>
        <w:autoSpaceDN w:val="0"/>
        <w:adjustRightInd w:val="0"/>
        <w:spacing w:after="0" w:line="14" w:lineRule="exact"/>
        <w:ind w:left="426" w:right="40" w:hanging="426"/>
        <w:jc w:val="both"/>
        <w:rPr>
          <w:rFonts w:ascii="Arial" w:hAnsi="Arial" w:cs="Arial"/>
          <w:sz w:val="22"/>
          <w:szCs w:val="22"/>
        </w:rPr>
      </w:pPr>
    </w:p>
    <w:p w14:paraId="02443474" w14:textId="77777777"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4" w:lineRule="auto"/>
        <w:ind w:left="426" w:right="40" w:hanging="426"/>
        <w:jc w:val="both"/>
        <w:rPr>
          <w:rFonts w:ascii="Arial" w:hAnsi="Arial" w:cs="Arial"/>
          <w:sz w:val="22"/>
          <w:szCs w:val="22"/>
        </w:rPr>
      </w:pPr>
      <w:r w:rsidRPr="007923C2">
        <w:rPr>
          <w:rFonts w:ascii="Arial" w:hAnsi="Arial" w:cs="Arial"/>
          <w:sz w:val="22"/>
          <w:szCs w:val="22"/>
        </w:rPr>
        <w:t>Norma Oficial Mexicana NOM-007-SCFI-1997, Instrumentos de medición-Taxímetros electrónicos (esta norma cancela la NOM-007-SCFI-1993) (</w:t>
      </w:r>
      <w:r w:rsidRPr="007923C2">
        <w:rPr>
          <w:rFonts w:ascii="Arial" w:hAnsi="Arial" w:cs="Arial"/>
          <w:i/>
          <w:iCs/>
          <w:sz w:val="22"/>
          <w:szCs w:val="22"/>
        </w:rPr>
        <w:t>DOF</w:t>
      </w:r>
      <w:r w:rsidRPr="007923C2">
        <w:rPr>
          <w:rFonts w:ascii="Arial" w:hAnsi="Arial" w:cs="Arial"/>
          <w:sz w:val="22"/>
          <w:szCs w:val="22"/>
        </w:rPr>
        <w:t xml:space="preserve"> del 9 de septiembre de 1998). </w:t>
      </w:r>
    </w:p>
    <w:p w14:paraId="0D9D0755" w14:textId="77777777" w:rsidR="00D52CD1" w:rsidRPr="007923C2" w:rsidRDefault="00D52CD1" w:rsidP="00D52CD1">
      <w:pPr>
        <w:widowControl w:val="0"/>
        <w:autoSpaceDE w:val="0"/>
        <w:autoSpaceDN w:val="0"/>
        <w:adjustRightInd w:val="0"/>
        <w:spacing w:after="0" w:line="194" w:lineRule="exact"/>
        <w:ind w:right="40"/>
        <w:jc w:val="both"/>
        <w:rPr>
          <w:rFonts w:ascii="Arial" w:hAnsi="Arial" w:cs="Arial"/>
          <w:sz w:val="22"/>
          <w:szCs w:val="22"/>
        </w:rPr>
      </w:pPr>
    </w:p>
    <w:p w14:paraId="5C2EFC68"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Anualmente se expide un Programa Nacional de Normalización, el cual se integra por el listado de temas y materias a normalizar durante el año que corresponda.</w:t>
      </w:r>
    </w:p>
    <w:tbl>
      <w:tblPr>
        <w:tblW w:w="0" w:type="auto"/>
        <w:tblInd w:w="1580" w:type="dxa"/>
        <w:tblLayout w:type="fixed"/>
        <w:tblCellMar>
          <w:left w:w="0" w:type="dxa"/>
          <w:right w:w="0" w:type="dxa"/>
        </w:tblCellMar>
        <w:tblLook w:val="0000" w:firstRow="0" w:lastRow="0" w:firstColumn="0" w:lastColumn="0" w:noHBand="0" w:noVBand="0"/>
      </w:tblPr>
      <w:tblGrid>
        <w:gridCol w:w="3780"/>
        <w:gridCol w:w="920"/>
      </w:tblGrid>
      <w:tr w:rsidR="00D52CD1" w:rsidRPr="007923C2" w14:paraId="34159BA7" w14:textId="77777777" w:rsidTr="00351F51">
        <w:trPr>
          <w:trHeight w:val="184"/>
        </w:trPr>
        <w:tc>
          <w:tcPr>
            <w:tcW w:w="3780" w:type="dxa"/>
            <w:tcBorders>
              <w:top w:val="nil"/>
              <w:left w:val="nil"/>
              <w:bottom w:val="nil"/>
              <w:right w:val="nil"/>
            </w:tcBorders>
            <w:vAlign w:val="bottom"/>
          </w:tcPr>
          <w:p w14:paraId="1195F8ED" w14:textId="77777777"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bookmarkStart w:id="16" w:name="page27"/>
            <w:bookmarkEnd w:id="16"/>
          </w:p>
        </w:tc>
        <w:tc>
          <w:tcPr>
            <w:tcW w:w="920" w:type="dxa"/>
            <w:tcBorders>
              <w:top w:val="nil"/>
              <w:left w:val="nil"/>
              <w:bottom w:val="nil"/>
              <w:right w:val="nil"/>
            </w:tcBorders>
            <w:vAlign w:val="bottom"/>
          </w:tcPr>
          <w:p w14:paraId="417B5917" w14:textId="77777777"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p>
        </w:tc>
      </w:tr>
    </w:tbl>
    <w:p w14:paraId="3C011668"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La importación de mercancías estará sujeta a las normas oficiales mexicanas aplicables, sin que se puedan establecer disposiciones de normalización diferentes a tales normas. Las mercancías sujetas a este requisito se identificarán en términos de sus fracciones arancelarias y de la nomenclatura que les corresponda conforme a la tarifa respectiva.</w:t>
      </w:r>
    </w:p>
    <w:p w14:paraId="10C56B3A"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00AF4294"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 xml:space="preserve">La autoridad determinará las normas oficiales mexicanas que las aduanas deban hacer cumplir en el punto de entrada de la mercancía al país. Dicha determinación se someterá a la opinión de la Comisión de Comercio Exterior y se publicará en el </w:t>
      </w:r>
      <w:r w:rsidRPr="007923C2">
        <w:rPr>
          <w:rFonts w:ascii="Arial" w:hAnsi="Arial" w:cs="Arial"/>
          <w:i/>
          <w:iCs/>
          <w:sz w:val="22"/>
          <w:szCs w:val="22"/>
        </w:rPr>
        <w:t>DOF</w:t>
      </w:r>
      <w:r w:rsidRPr="007923C2">
        <w:rPr>
          <w:rFonts w:ascii="Arial" w:hAnsi="Arial" w:cs="Arial"/>
          <w:sz w:val="22"/>
          <w:szCs w:val="22"/>
        </w:rPr>
        <w:t>.</w:t>
      </w:r>
    </w:p>
    <w:p w14:paraId="5E99C536" w14:textId="77777777" w:rsidR="00D52CD1" w:rsidRPr="007923C2" w:rsidRDefault="00D52CD1" w:rsidP="00D52CD1">
      <w:pPr>
        <w:widowControl w:val="0"/>
        <w:autoSpaceDE w:val="0"/>
        <w:autoSpaceDN w:val="0"/>
        <w:adjustRightInd w:val="0"/>
        <w:spacing w:after="0" w:line="312" w:lineRule="exact"/>
        <w:ind w:right="40"/>
        <w:jc w:val="both"/>
        <w:rPr>
          <w:rFonts w:ascii="Arial" w:hAnsi="Arial" w:cs="Arial"/>
          <w:sz w:val="22"/>
          <w:szCs w:val="22"/>
        </w:rPr>
      </w:pPr>
    </w:p>
    <w:p w14:paraId="4C2F9138"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D. </w:t>
      </w:r>
      <w:r w:rsidRPr="007923C2">
        <w:rPr>
          <w:rFonts w:ascii="Arial" w:hAnsi="Arial" w:cs="Arial"/>
          <w:i/>
          <w:iCs/>
          <w:sz w:val="22"/>
          <w:szCs w:val="22"/>
        </w:rPr>
        <w:t>Regulaciones arancelarias</w:t>
      </w:r>
    </w:p>
    <w:p w14:paraId="57E2E629"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Las barreras arancelarias son los impuestos (aranceles) que deben pagar los importadores y exportadores en las aduanas de entrada y salida de las mercancías. Los aranceles son las cuotas de las tarifas de los impuestos generales de exportación e importación, los cuales podrán ser:</w:t>
      </w:r>
    </w:p>
    <w:p w14:paraId="36A4A469" w14:textId="77777777" w:rsidR="00D52CD1" w:rsidRPr="007923C2" w:rsidRDefault="00D52CD1" w:rsidP="00D52CD1">
      <w:pPr>
        <w:widowControl w:val="0"/>
        <w:autoSpaceDE w:val="0"/>
        <w:autoSpaceDN w:val="0"/>
        <w:adjustRightInd w:val="0"/>
        <w:spacing w:after="0" w:line="134" w:lineRule="exact"/>
        <w:ind w:right="40"/>
        <w:jc w:val="both"/>
        <w:rPr>
          <w:rFonts w:ascii="Arial" w:hAnsi="Arial" w:cs="Arial"/>
          <w:sz w:val="22"/>
          <w:szCs w:val="22"/>
        </w:rPr>
      </w:pPr>
    </w:p>
    <w:p w14:paraId="6544311A" w14:textId="77777777" w:rsidR="00D52CD1" w:rsidRPr="007923C2" w:rsidRDefault="00D52CD1" w:rsidP="00D52CD1">
      <w:pPr>
        <w:widowControl w:val="0"/>
        <w:numPr>
          <w:ilvl w:val="0"/>
          <w:numId w:val="145"/>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i/>
          <w:iCs/>
          <w:sz w:val="22"/>
          <w:szCs w:val="22"/>
        </w:rPr>
        <w:t>Ad valorem</w:t>
      </w:r>
      <w:r w:rsidRPr="007923C2">
        <w:rPr>
          <w:rFonts w:ascii="Arial" w:hAnsi="Arial" w:cs="Arial"/>
          <w:sz w:val="22"/>
          <w:szCs w:val="22"/>
        </w:rPr>
        <w:t xml:space="preserve">, cuando se expresen en términos porcentuales del valor en aduana de la mercancía. </w:t>
      </w:r>
    </w:p>
    <w:p w14:paraId="041C8DF0"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567DDB58" w14:textId="77777777" w:rsidR="00D52CD1" w:rsidRPr="007923C2" w:rsidRDefault="00D52CD1" w:rsidP="00D52CD1">
      <w:pPr>
        <w:widowControl w:val="0"/>
        <w:numPr>
          <w:ilvl w:val="0"/>
          <w:numId w:val="145"/>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Específicos, cuando se expresen en términos monetarios por unidad de medida, y </w:t>
      </w:r>
    </w:p>
    <w:p w14:paraId="3554B0C9" w14:textId="77777777" w:rsidR="00D52CD1" w:rsidRPr="007923C2" w:rsidRDefault="00D52CD1" w:rsidP="00D52CD1">
      <w:pPr>
        <w:widowControl w:val="0"/>
        <w:autoSpaceDE w:val="0"/>
        <w:autoSpaceDN w:val="0"/>
        <w:adjustRightInd w:val="0"/>
        <w:spacing w:after="0" w:line="5" w:lineRule="exact"/>
        <w:ind w:right="40"/>
        <w:jc w:val="both"/>
        <w:rPr>
          <w:rFonts w:ascii="Arial" w:hAnsi="Arial" w:cs="Arial"/>
          <w:sz w:val="22"/>
          <w:szCs w:val="22"/>
        </w:rPr>
      </w:pPr>
    </w:p>
    <w:p w14:paraId="0D0EE57D" w14:textId="77777777" w:rsidR="00D52CD1" w:rsidRPr="007923C2" w:rsidRDefault="00D52CD1" w:rsidP="00D52CD1">
      <w:pPr>
        <w:widowControl w:val="0"/>
        <w:numPr>
          <w:ilvl w:val="0"/>
          <w:numId w:val="145"/>
        </w:numPr>
        <w:tabs>
          <w:tab w:val="clear" w:pos="720"/>
          <w:tab w:val="num" w:pos="620"/>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Mixtos, cuando se trate de la combinación de los dos anteriores. </w:t>
      </w:r>
    </w:p>
    <w:p w14:paraId="0F86B76B" w14:textId="77777777" w:rsidR="00D52CD1" w:rsidRPr="007923C2" w:rsidRDefault="00D52CD1" w:rsidP="00D52CD1">
      <w:pPr>
        <w:widowControl w:val="0"/>
        <w:autoSpaceDE w:val="0"/>
        <w:autoSpaceDN w:val="0"/>
        <w:adjustRightInd w:val="0"/>
        <w:spacing w:after="0" w:line="133" w:lineRule="exact"/>
        <w:ind w:right="40"/>
        <w:jc w:val="both"/>
        <w:rPr>
          <w:rFonts w:ascii="Arial" w:hAnsi="Arial" w:cs="Arial"/>
          <w:sz w:val="22"/>
          <w:szCs w:val="22"/>
        </w:rPr>
      </w:pPr>
    </w:p>
    <w:p w14:paraId="3E373087"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Según el tipo de operación comercial, los aranceles pueden ser de exportación y de importación, y según el país de que se trate, los aranceles pueden ser de tres tipos:</w:t>
      </w:r>
    </w:p>
    <w:p w14:paraId="664D8EC5" w14:textId="77777777" w:rsidR="00D52CD1" w:rsidRPr="007923C2" w:rsidRDefault="00D52CD1" w:rsidP="00D52CD1">
      <w:pPr>
        <w:widowControl w:val="0"/>
        <w:autoSpaceDE w:val="0"/>
        <w:autoSpaceDN w:val="0"/>
        <w:adjustRightInd w:val="0"/>
        <w:spacing w:after="0" w:line="112" w:lineRule="exact"/>
        <w:ind w:right="40"/>
        <w:jc w:val="both"/>
        <w:rPr>
          <w:rFonts w:ascii="Arial" w:hAnsi="Arial" w:cs="Arial"/>
          <w:sz w:val="22"/>
          <w:szCs w:val="22"/>
        </w:rPr>
      </w:pPr>
    </w:p>
    <w:p w14:paraId="486B12B4" w14:textId="77777777" w:rsidR="00D52CD1" w:rsidRPr="007923C2" w:rsidRDefault="00D52CD1" w:rsidP="00D52CD1">
      <w:pPr>
        <w:widowControl w:val="0"/>
        <w:numPr>
          <w:ilvl w:val="1"/>
          <w:numId w:val="146"/>
        </w:numPr>
        <w:tabs>
          <w:tab w:val="clear" w:pos="1440"/>
          <w:tab w:val="num" w:pos="900"/>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Preferente </w:t>
      </w:r>
    </w:p>
    <w:p w14:paraId="4EB955E3"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3720BEC8" w14:textId="77777777" w:rsidR="00D52CD1" w:rsidRPr="007923C2" w:rsidRDefault="00D52CD1" w:rsidP="00D52CD1">
      <w:pPr>
        <w:widowControl w:val="0"/>
        <w:numPr>
          <w:ilvl w:val="1"/>
          <w:numId w:val="146"/>
        </w:numPr>
        <w:tabs>
          <w:tab w:val="clear" w:pos="1440"/>
          <w:tab w:val="num" w:pos="9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Diferencial, y </w:t>
      </w:r>
    </w:p>
    <w:p w14:paraId="7E43C5E9"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090C71E3" w14:textId="77777777" w:rsidR="00D52CD1" w:rsidRPr="007923C2" w:rsidRDefault="00D52CD1" w:rsidP="00D52CD1">
      <w:pPr>
        <w:widowControl w:val="0"/>
        <w:numPr>
          <w:ilvl w:val="1"/>
          <w:numId w:val="146"/>
        </w:numPr>
        <w:tabs>
          <w:tab w:val="clear" w:pos="1440"/>
          <w:tab w:val="num" w:pos="9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General </w:t>
      </w:r>
    </w:p>
    <w:p w14:paraId="3D79B6DB" w14:textId="77777777" w:rsidR="00D52CD1" w:rsidRPr="007923C2" w:rsidRDefault="00D52CD1" w:rsidP="00D52CD1">
      <w:pPr>
        <w:widowControl w:val="0"/>
        <w:autoSpaceDE w:val="0"/>
        <w:autoSpaceDN w:val="0"/>
        <w:adjustRightInd w:val="0"/>
        <w:spacing w:after="0" w:line="256" w:lineRule="exact"/>
        <w:ind w:right="40"/>
        <w:jc w:val="both"/>
        <w:rPr>
          <w:rFonts w:ascii="Arial" w:hAnsi="Arial" w:cs="Arial"/>
          <w:sz w:val="22"/>
          <w:szCs w:val="22"/>
        </w:rPr>
      </w:pPr>
    </w:p>
    <w:p w14:paraId="0168BB8A" w14:textId="77777777" w:rsidR="00D52CD1" w:rsidRPr="007923C2" w:rsidRDefault="00D52CD1" w:rsidP="00D52CD1">
      <w:pPr>
        <w:widowControl w:val="0"/>
        <w:numPr>
          <w:ilvl w:val="0"/>
          <w:numId w:val="146"/>
        </w:numPr>
        <w:tabs>
          <w:tab w:val="clear" w:pos="720"/>
          <w:tab w:val="num" w:pos="660"/>
        </w:tabs>
        <w:overflowPunct w:val="0"/>
        <w:autoSpaceDE w:val="0"/>
        <w:autoSpaceDN w:val="0"/>
        <w:adjustRightInd w:val="0"/>
        <w:spacing w:after="0" w:line="240" w:lineRule="auto"/>
        <w:ind w:left="0" w:right="40" w:firstLine="0"/>
        <w:jc w:val="both"/>
        <w:rPr>
          <w:rFonts w:ascii="Arial" w:hAnsi="Arial" w:cs="Arial"/>
          <w:i/>
          <w:iCs/>
          <w:sz w:val="22"/>
          <w:szCs w:val="22"/>
        </w:rPr>
      </w:pPr>
      <w:r w:rsidRPr="007923C2">
        <w:rPr>
          <w:rFonts w:ascii="Arial" w:hAnsi="Arial" w:cs="Arial"/>
          <w:sz w:val="22"/>
          <w:szCs w:val="22"/>
        </w:rPr>
        <w:t xml:space="preserve">De los impuestos </w:t>
      </w:r>
      <w:r w:rsidRPr="007923C2">
        <w:rPr>
          <w:rFonts w:ascii="Arial" w:hAnsi="Arial" w:cs="Arial"/>
          <w:i/>
          <w:iCs/>
          <w:sz w:val="22"/>
          <w:szCs w:val="22"/>
        </w:rPr>
        <w:t>ad valorem</w:t>
      </w:r>
    </w:p>
    <w:p w14:paraId="29EF57A7" w14:textId="77777777" w:rsidR="00D52CD1" w:rsidRPr="007923C2" w:rsidRDefault="00D52CD1" w:rsidP="00D52CD1">
      <w:pPr>
        <w:widowControl w:val="0"/>
        <w:autoSpaceDE w:val="0"/>
        <w:autoSpaceDN w:val="0"/>
        <w:adjustRightInd w:val="0"/>
        <w:spacing w:after="0" w:line="135" w:lineRule="exact"/>
        <w:ind w:right="40"/>
        <w:jc w:val="both"/>
        <w:rPr>
          <w:rFonts w:ascii="Arial" w:hAnsi="Arial" w:cs="Arial"/>
          <w:sz w:val="22"/>
          <w:szCs w:val="22"/>
        </w:rPr>
      </w:pPr>
    </w:p>
    <w:p w14:paraId="5E027630"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La Ley de la Tarifa del Impuesto General de Importación (TIGI) es la disposición que determina la forma en que debe clasificarse una mercancía para su internación al país como el arancel que por tal concepto debe pagar.</w:t>
      </w:r>
    </w:p>
    <w:p w14:paraId="1F7CF096"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17265DE5"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La Tarifa del Impuesto General de Importación (TIGI) que está contenida en dicha ley contempla 11,300 fracciones arancelarias aproximadamente y 5 tasas impositivas, que son, 0, 5, 10, 15, 20 y 35 por ciento; casos excepcionales son algunos productos del sector alimenticio, textil y del calzado.</w:t>
      </w:r>
    </w:p>
    <w:p w14:paraId="35ECE4E5"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5C1602B3"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Asimismo, forman parte de esta ley, 6 reglas generales, 10 reglas complementarias, así como notas explicativas que persiguen interpretar y aplicar la nomenclatura de la TIGI y cuya explicación es obligatoria para efectos de clasificación arancelaria.</w:t>
      </w:r>
    </w:p>
    <w:p w14:paraId="5372813E"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6AD4F6CC" w14:textId="77777777"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La estructura de esta ley está basada en el Sistema Armonizado de Codificación y Designación de Mercancías.</w:t>
      </w:r>
    </w:p>
    <w:p w14:paraId="070CD0B2"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11AEF563"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La nueva tarifa incorpora los cambios efectuados por el Comité de Nomenclatura de la Organización Mundial Aduanera (OMA). Las modificaciones en materia de clasificación arancelaria derivan de un trabajo efectuado por la ALADI, que persigue contar con una nomenclatura uniforme, por lo que se operaron cambios en los textos de las notas de sección, capítulo o subpartida de diversos productos, entre los que destacan los químicos, textiles, maquinaria y bienes de capital y de consumo final.</w:t>
      </w:r>
    </w:p>
    <w:p w14:paraId="00089DB4" w14:textId="77777777" w:rsidR="00D52CD1" w:rsidRPr="007923C2" w:rsidRDefault="00D52CD1" w:rsidP="00D52CD1">
      <w:pPr>
        <w:widowControl w:val="0"/>
        <w:autoSpaceDE w:val="0"/>
        <w:autoSpaceDN w:val="0"/>
        <w:adjustRightInd w:val="0"/>
        <w:spacing w:after="0" w:line="9" w:lineRule="exact"/>
        <w:ind w:right="40"/>
        <w:jc w:val="both"/>
        <w:rPr>
          <w:rFonts w:ascii="Arial" w:hAnsi="Arial" w:cs="Arial"/>
          <w:sz w:val="22"/>
          <w:szCs w:val="22"/>
        </w:rPr>
      </w:pPr>
    </w:p>
    <w:p w14:paraId="6596A17C"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 xml:space="preserve">La TIGI contempla un Código o fracción arancelaria, la descripción de la mercancía a importar, la unidad de cantidad en que se mide dicha mercancía y el </w:t>
      </w:r>
      <w:r w:rsidRPr="007923C2">
        <w:rPr>
          <w:rFonts w:ascii="Arial" w:hAnsi="Arial" w:cs="Arial"/>
          <w:i/>
          <w:iCs/>
          <w:sz w:val="22"/>
          <w:szCs w:val="22"/>
        </w:rPr>
        <w:t>ad valorem</w:t>
      </w:r>
      <w:r w:rsidRPr="007923C2">
        <w:rPr>
          <w:rFonts w:ascii="Arial" w:hAnsi="Arial" w:cs="Arial"/>
          <w:sz w:val="22"/>
          <w:szCs w:val="22"/>
        </w:rPr>
        <w:t xml:space="preserve"> correspondiente.</w:t>
      </w:r>
    </w:p>
    <w:p w14:paraId="5EBDFA7F"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393FC98E"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lastRenderedPageBreak/>
        <w:t>Cabe hacer notar que la TIGI está dividida en 22 secciones cuyos títulos sólo tienen un valor indicativo, sin que sus números afecten las claves numéricas de las fracciones arancelarias; asimismo, la tarifa posee 98 capítulos en forma progresiva y cuyos títulos también son sólo indicativos, ya que la clasificación de las mercancías está determinada legalmente por los textos de las partidas y de las notas de sección o de capítulo y considerando las reglas generales de la ley.</w:t>
      </w:r>
    </w:p>
    <w:p w14:paraId="5F242A3F" w14:textId="77777777" w:rsidR="00D52CD1" w:rsidRPr="007923C2" w:rsidRDefault="00D52CD1" w:rsidP="00D52CD1">
      <w:pPr>
        <w:widowControl w:val="0"/>
        <w:autoSpaceDE w:val="0"/>
        <w:autoSpaceDN w:val="0"/>
        <w:adjustRightInd w:val="0"/>
        <w:spacing w:after="0" w:line="17" w:lineRule="exact"/>
        <w:ind w:right="40"/>
        <w:jc w:val="both"/>
        <w:rPr>
          <w:rFonts w:ascii="Arial" w:hAnsi="Arial" w:cs="Arial"/>
          <w:sz w:val="22"/>
          <w:szCs w:val="22"/>
        </w:rPr>
      </w:pPr>
    </w:p>
    <w:p w14:paraId="09758EAD"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Las partidas están constituidas por dos números correspondientes al capítulo, seguidas del tercer y cuarto dígito de la codificación; las subpartidas se significan por adicionar un quinto y sexto dígito, y se dividen en de primer nivel y de segundo nivel, siendo estas últimas el resultado de desglosar el texto de aquéllas.</w:t>
      </w:r>
    </w:p>
    <w:p w14:paraId="7DEF49E0" w14:textId="77777777" w:rsidR="00D52CD1" w:rsidRPr="007923C2" w:rsidRDefault="00D52CD1" w:rsidP="00D52CD1">
      <w:pPr>
        <w:widowControl w:val="0"/>
        <w:autoSpaceDE w:val="0"/>
        <w:autoSpaceDN w:val="0"/>
        <w:adjustRightInd w:val="0"/>
        <w:spacing w:after="0" w:line="11" w:lineRule="exact"/>
        <w:ind w:right="40"/>
        <w:jc w:val="both"/>
        <w:rPr>
          <w:rFonts w:ascii="Arial" w:hAnsi="Arial" w:cs="Arial"/>
          <w:sz w:val="22"/>
          <w:szCs w:val="22"/>
        </w:rPr>
      </w:pPr>
    </w:p>
    <w:p w14:paraId="5FF21E12" w14:textId="77777777"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Por último, las fracciones se identifican adicionando al código de las subpartidas un séptimo y octavo dígito.</w:t>
      </w:r>
    </w:p>
    <w:p w14:paraId="66787094"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3583C804"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Por otra parte, de las reglas generales para la clasificación de mercancías dentro de la TIGI destaca la que se refiere a que la partida más específica tendrá prioridad sobre la más genérica y en relación estrecha con ésta, la que indica que para clasificar productos mezclados o manufacturados compuestos de materias diferentes regirá el principio de determinación de acuerdo con aquellas que les confiera carácter esencial.</w:t>
      </w:r>
    </w:p>
    <w:p w14:paraId="1B9D0AA9" w14:textId="77777777"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p>
    <w:p w14:paraId="72AEBAA0"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bookmarkStart w:id="17" w:name="page31"/>
      <w:bookmarkEnd w:id="17"/>
      <w:r w:rsidRPr="007923C2">
        <w:rPr>
          <w:rFonts w:ascii="Arial" w:hAnsi="Arial" w:cs="Arial"/>
          <w:sz w:val="22"/>
          <w:szCs w:val="22"/>
        </w:rPr>
        <w:t>Igualmente, para clasificar mercancías en las subpartidas de una misma partida, se tendrán en consideración los textos de las subpartidas y de las notas de subpartida, así como los principios enunciados anteriormente y las notas de sección y de capítulo.</w:t>
      </w:r>
    </w:p>
    <w:p w14:paraId="343A8609"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4434CF20"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Es conveniente hacer notar la importancia de la regla octava de las complementarias de la ley, que indica que se consideran como artículos complementarios o terminados, aunque no tengan las características esenciales de los mismos, las mercancías que se importen en una o más remesas o por una o varias aduanas, empresas que cuenten con registro en programas de fomento aprobados por la Secretaría de Economía.</w:t>
      </w:r>
    </w:p>
    <w:p w14:paraId="38FADFE2" w14:textId="77777777"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14:paraId="0B6BB21A"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De igual manera, pueden importarse al amparo de la fracción designada específicamente para ello, las partes de aquellos artículos que se fabriquen o se ensamblen en México, para empresas que cuenten con programas de fomento debidamente autorizado. También pueden importarse en una o más remesas o por una o varias aduanas los artículos desmontados o que no hayan sido montados que correspondan a artículos completos o terminados.</w:t>
      </w:r>
    </w:p>
    <w:p w14:paraId="3D9C507C" w14:textId="77777777" w:rsidR="00D52CD1" w:rsidRPr="007923C2" w:rsidRDefault="00D52CD1" w:rsidP="00D52CD1">
      <w:pPr>
        <w:widowControl w:val="0"/>
        <w:autoSpaceDE w:val="0"/>
        <w:autoSpaceDN w:val="0"/>
        <w:adjustRightInd w:val="0"/>
        <w:spacing w:after="0" w:line="17" w:lineRule="exact"/>
        <w:ind w:right="40"/>
        <w:jc w:val="both"/>
        <w:rPr>
          <w:rFonts w:ascii="Arial" w:hAnsi="Arial" w:cs="Arial"/>
          <w:sz w:val="22"/>
          <w:szCs w:val="22"/>
        </w:rPr>
      </w:pPr>
    </w:p>
    <w:p w14:paraId="30C87200"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Para estos efectos, existe el capítulo 98 de la TIGI, que clasifica partes para la fabricación de máquinas, que se ajustan a los requisitos establecidos en la mencionada regla octava; debe mencionarse que las partes o piezas que se importen al amparo de dicha regla no podrán comercializarse o destinarse a refacciones. Los beneficios de esta regla pueden apreciarse desde el punto de vista de simplificación en la clasificación arancelaria.</w:t>
      </w:r>
    </w:p>
    <w:p w14:paraId="14CA3262"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2BFB9EE9" w14:textId="77777777" w:rsidR="00D52CD1" w:rsidRPr="007923C2" w:rsidRDefault="00D52CD1" w:rsidP="00D52CD1">
      <w:pPr>
        <w:widowControl w:val="0"/>
        <w:overflowPunct w:val="0"/>
        <w:autoSpaceDE w:val="0"/>
        <w:autoSpaceDN w:val="0"/>
        <w:adjustRightInd w:val="0"/>
        <w:spacing w:after="0" w:line="257" w:lineRule="auto"/>
        <w:ind w:right="40"/>
        <w:jc w:val="both"/>
        <w:rPr>
          <w:rFonts w:ascii="Arial" w:hAnsi="Arial" w:cs="Arial"/>
          <w:sz w:val="22"/>
          <w:szCs w:val="22"/>
        </w:rPr>
      </w:pPr>
      <w:r w:rsidRPr="007923C2">
        <w:rPr>
          <w:rFonts w:ascii="Arial" w:hAnsi="Arial" w:cs="Arial"/>
          <w:sz w:val="22"/>
          <w:szCs w:val="22"/>
        </w:rPr>
        <w:t>Se establece como facultad de la autoridad, la de exigir a los interesados en caso de duda o controversia en términos de clasificación arancelaria, los elementos que permitan la identificación de las mercancías, los que en un plazo de 15 días naturales deberán aportar los datos conducentes.</w:t>
      </w:r>
    </w:p>
    <w:p w14:paraId="6F0C2B28" w14:textId="77777777" w:rsidR="00D52CD1" w:rsidRPr="007923C2" w:rsidRDefault="00D52CD1" w:rsidP="00D52CD1">
      <w:pPr>
        <w:widowControl w:val="0"/>
        <w:autoSpaceDE w:val="0"/>
        <w:autoSpaceDN w:val="0"/>
        <w:adjustRightInd w:val="0"/>
        <w:spacing w:after="0" w:line="287" w:lineRule="exact"/>
        <w:ind w:right="40"/>
        <w:jc w:val="both"/>
        <w:rPr>
          <w:rFonts w:ascii="Arial" w:hAnsi="Arial" w:cs="Arial"/>
          <w:sz w:val="22"/>
          <w:szCs w:val="22"/>
        </w:rPr>
      </w:pPr>
    </w:p>
    <w:p w14:paraId="40E0878E" w14:textId="77777777"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i/>
          <w:iCs/>
          <w:sz w:val="22"/>
          <w:szCs w:val="22"/>
        </w:rPr>
        <w:t xml:space="preserve">b)  </w:t>
      </w:r>
      <w:r w:rsidRPr="007923C2">
        <w:rPr>
          <w:rFonts w:ascii="Arial" w:hAnsi="Arial" w:cs="Arial"/>
          <w:sz w:val="22"/>
          <w:szCs w:val="22"/>
        </w:rPr>
        <w:t>De la base gravable</w:t>
      </w:r>
    </w:p>
    <w:p w14:paraId="00BD2D54" w14:textId="77777777" w:rsidR="00D52CD1" w:rsidRPr="007923C2" w:rsidRDefault="00D52CD1" w:rsidP="00D52CD1">
      <w:pPr>
        <w:widowControl w:val="0"/>
        <w:autoSpaceDE w:val="0"/>
        <w:autoSpaceDN w:val="0"/>
        <w:adjustRightInd w:val="0"/>
        <w:spacing w:after="0" w:line="252" w:lineRule="exact"/>
        <w:ind w:right="40"/>
        <w:jc w:val="both"/>
        <w:rPr>
          <w:rFonts w:ascii="Arial" w:hAnsi="Arial" w:cs="Arial"/>
          <w:sz w:val="22"/>
          <w:szCs w:val="22"/>
        </w:rPr>
      </w:pPr>
    </w:p>
    <w:p w14:paraId="7480A1B7"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Un factor que debe tomarse en cuenta al analizar la Ley Aduanera es el que se refiere a los principios que rigen para determinar las cuotas, bases gravables, restricciones, requisitos especiales y prohibiciones aplicables para la importación de mercancías.</w:t>
      </w:r>
    </w:p>
    <w:p w14:paraId="05C8DE26"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05FF0FC8" w14:textId="77777777"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 xml:space="preserve">El manejo de los impuestos </w:t>
      </w:r>
      <w:r w:rsidRPr="007923C2">
        <w:rPr>
          <w:rFonts w:ascii="Arial" w:hAnsi="Arial" w:cs="Arial"/>
          <w:i/>
          <w:iCs/>
          <w:sz w:val="22"/>
          <w:szCs w:val="22"/>
        </w:rPr>
        <w:t>ad valorem</w:t>
      </w:r>
      <w:r w:rsidRPr="007923C2">
        <w:rPr>
          <w:rFonts w:ascii="Arial" w:hAnsi="Arial" w:cs="Arial"/>
          <w:sz w:val="22"/>
          <w:szCs w:val="22"/>
        </w:rPr>
        <w:t xml:space="preserve"> supone una mecánica valorativa de los productos de importación objetiva y neutra.</w:t>
      </w:r>
    </w:p>
    <w:p w14:paraId="250D1312" w14:textId="77777777"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p>
    <w:p w14:paraId="01A161D9" w14:textId="77777777" w:rsidR="00D52CD1" w:rsidRPr="007923C2" w:rsidRDefault="00D52CD1" w:rsidP="00D52CD1">
      <w:pPr>
        <w:widowControl w:val="0"/>
        <w:overflowPunct w:val="0"/>
        <w:autoSpaceDE w:val="0"/>
        <w:autoSpaceDN w:val="0"/>
        <w:adjustRightInd w:val="0"/>
        <w:spacing w:after="0" w:line="223" w:lineRule="auto"/>
        <w:ind w:right="40"/>
        <w:jc w:val="both"/>
        <w:rPr>
          <w:rFonts w:ascii="Arial" w:hAnsi="Arial" w:cs="Arial"/>
          <w:sz w:val="22"/>
          <w:szCs w:val="22"/>
        </w:rPr>
      </w:pPr>
      <w:bookmarkStart w:id="18" w:name="page33"/>
      <w:bookmarkEnd w:id="18"/>
      <w:r w:rsidRPr="007923C2">
        <w:rPr>
          <w:rFonts w:ascii="Arial" w:hAnsi="Arial" w:cs="Arial"/>
          <w:sz w:val="22"/>
          <w:szCs w:val="22"/>
        </w:rPr>
        <w:t xml:space="preserve">La Ley Aduanera contiene en el título tercero, capítulo tercero, las diversas hipótesis para establecer el valor de las mercancías importadas a fin de aplicar el respectivo impuesto </w:t>
      </w:r>
      <w:r w:rsidRPr="007923C2">
        <w:rPr>
          <w:rFonts w:ascii="Arial" w:hAnsi="Arial" w:cs="Arial"/>
          <w:i/>
          <w:iCs/>
          <w:sz w:val="22"/>
          <w:szCs w:val="22"/>
        </w:rPr>
        <w:t>ad valorem.</w:t>
      </w:r>
    </w:p>
    <w:p w14:paraId="2733802D"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7DC8F69E"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lastRenderedPageBreak/>
        <w:t>Por lo que se refiere a la base gravable en el impuesto general de importación, debe decirse que es el valor en aduanas de las mercancías a importar, el cual será el valor de transacción prácticamente en todos los casos, aunque existen ciertas excepciones.</w:t>
      </w:r>
    </w:p>
    <w:p w14:paraId="21AA008D" w14:textId="77777777" w:rsidR="00D52CD1" w:rsidRPr="007923C2" w:rsidRDefault="00D52CD1" w:rsidP="00D52CD1">
      <w:pPr>
        <w:widowControl w:val="0"/>
        <w:autoSpaceDE w:val="0"/>
        <w:autoSpaceDN w:val="0"/>
        <w:adjustRightInd w:val="0"/>
        <w:spacing w:after="0" w:line="2" w:lineRule="exact"/>
        <w:ind w:right="40"/>
        <w:jc w:val="both"/>
        <w:rPr>
          <w:rFonts w:ascii="Arial" w:hAnsi="Arial" w:cs="Arial"/>
          <w:sz w:val="22"/>
          <w:szCs w:val="22"/>
        </w:rPr>
      </w:pPr>
    </w:p>
    <w:p w14:paraId="11E3E7BC" w14:textId="77777777" w:rsidR="00D52CD1" w:rsidRPr="007923C2" w:rsidRDefault="00D52CD1" w:rsidP="00D52CD1">
      <w:pPr>
        <w:widowControl w:val="0"/>
        <w:overflowPunct w:val="0"/>
        <w:autoSpaceDE w:val="0"/>
        <w:autoSpaceDN w:val="0"/>
        <w:adjustRightInd w:val="0"/>
        <w:spacing w:after="0" w:line="235" w:lineRule="auto"/>
        <w:ind w:right="40"/>
        <w:jc w:val="both"/>
        <w:rPr>
          <w:rFonts w:ascii="Arial" w:hAnsi="Arial" w:cs="Arial"/>
          <w:sz w:val="22"/>
          <w:szCs w:val="22"/>
        </w:rPr>
      </w:pPr>
      <w:r w:rsidRPr="007923C2">
        <w:rPr>
          <w:rFonts w:ascii="Arial" w:hAnsi="Arial" w:cs="Arial"/>
          <w:sz w:val="22"/>
          <w:szCs w:val="22"/>
        </w:rPr>
        <w:t>Se entiende por valor de transacción de las mercancías a importar el precio pagado por las mismas, siempre que no existan restricciones a su enajenación o utilización, que no revierta directa ni indirectamente al vendedor parte alguna del producto de enajenación posterior y que no exista vinculación comercial, al tiempo de que dichas mercancías se vendan para ser exportadas a territorio nacional.</w:t>
      </w:r>
    </w:p>
    <w:p w14:paraId="6F3DC7D9" w14:textId="77777777" w:rsidR="00D52CD1" w:rsidRPr="007923C2" w:rsidRDefault="00D52CD1" w:rsidP="00D52CD1">
      <w:pPr>
        <w:widowControl w:val="0"/>
        <w:autoSpaceDE w:val="0"/>
        <w:autoSpaceDN w:val="0"/>
        <w:adjustRightInd w:val="0"/>
        <w:spacing w:after="0" w:line="3" w:lineRule="exact"/>
        <w:ind w:right="40"/>
        <w:jc w:val="both"/>
        <w:rPr>
          <w:rFonts w:ascii="Arial" w:hAnsi="Arial" w:cs="Arial"/>
          <w:sz w:val="22"/>
          <w:szCs w:val="22"/>
        </w:rPr>
      </w:pPr>
    </w:p>
    <w:p w14:paraId="3028C4A6" w14:textId="77777777" w:rsidR="00D52CD1" w:rsidRPr="007923C2" w:rsidRDefault="00D52CD1" w:rsidP="00D52CD1">
      <w:pPr>
        <w:widowControl w:val="0"/>
        <w:overflowPunct w:val="0"/>
        <w:autoSpaceDE w:val="0"/>
        <w:autoSpaceDN w:val="0"/>
        <w:adjustRightInd w:val="0"/>
        <w:spacing w:after="0" w:line="225" w:lineRule="auto"/>
        <w:ind w:right="40"/>
        <w:jc w:val="both"/>
        <w:rPr>
          <w:rFonts w:ascii="Arial" w:hAnsi="Arial" w:cs="Arial"/>
          <w:sz w:val="22"/>
          <w:szCs w:val="22"/>
        </w:rPr>
      </w:pPr>
      <w:r w:rsidRPr="007923C2">
        <w:rPr>
          <w:rFonts w:ascii="Arial" w:hAnsi="Arial" w:cs="Arial"/>
          <w:sz w:val="22"/>
          <w:szCs w:val="22"/>
        </w:rPr>
        <w:t>Asimismo, se entiende por precio pagado el pago total que por las mercancías importadas haya efectuado o vaya a efectuar el importador al vendedor o en beneficio de éste.</w:t>
      </w:r>
    </w:p>
    <w:p w14:paraId="270CCEAD"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3161896E"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Cabe señalar que el valor de transacción de las mercancías importadas comprenderá, además del precio pagado, el importe de comisiones y gastos de corretaje, los gastos de transportes, seguros y gastos, así como las regalías y derechos de licencia relacionados con las mercancías objeto de valoración.</w:t>
      </w:r>
    </w:p>
    <w:p w14:paraId="05E21EDA"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4EC63529"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Un aspecto importante para poder determinar el método de valoración conforme al cual se presentan las mercancías en la aduana para consignar su base gravable y por lo tanto el impuesto a pagar, es el concepto de vinculación entre importador y vendedor. Se considera que existe vinculación entre personas, en los siguientes casos: </w:t>
      </w:r>
    </w:p>
    <w:p w14:paraId="24F246EE" w14:textId="77777777" w:rsidR="00D52CD1" w:rsidRPr="007923C2" w:rsidRDefault="00D52CD1" w:rsidP="00D52CD1">
      <w:pPr>
        <w:widowControl w:val="0"/>
        <w:autoSpaceDE w:val="0"/>
        <w:autoSpaceDN w:val="0"/>
        <w:adjustRightInd w:val="0"/>
        <w:spacing w:after="0" w:line="27" w:lineRule="exact"/>
        <w:ind w:right="40"/>
        <w:jc w:val="both"/>
        <w:rPr>
          <w:rFonts w:ascii="Arial" w:hAnsi="Arial" w:cs="Arial"/>
          <w:sz w:val="22"/>
          <w:szCs w:val="22"/>
        </w:rPr>
      </w:pPr>
    </w:p>
    <w:p w14:paraId="7D97D48D" w14:textId="77777777" w:rsidR="00D52CD1" w:rsidRPr="007923C2" w:rsidRDefault="00D52CD1" w:rsidP="00D52CD1">
      <w:pPr>
        <w:widowControl w:val="0"/>
        <w:numPr>
          <w:ilvl w:val="0"/>
          <w:numId w:val="147"/>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Si una de ellas ocupa cargos de dirección o responsabilidad en una empresa de la otra. </w:t>
      </w:r>
    </w:p>
    <w:p w14:paraId="44C218FD" w14:textId="77777777" w:rsidR="00D52CD1" w:rsidRPr="007923C2" w:rsidRDefault="00D52CD1" w:rsidP="00D52CD1">
      <w:pPr>
        <w:widowControl w:val="0"/>
        <w:numPr>
          <w:ilvl w:val="0"/>
          <w:numId w:val="147"/>
        </w:numPr>
        <w:tabs>
          <w:tab w:val="clear" w:pos="720"/>
          <w:tab w:val="num" w:pos="600"/>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Si están legalmente reconocidos como asociados en negocios. </w:t>
      </w:r>
    </w:p>
    <w:p w14:paraId="65456DD0"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33929E7A" w14:textId="77777777" w:rsidR="00D52CD1" w:rsidRPr="007923C2" w:rsidRDefault="00D52CD1" w:rsidP="00D52CD1">
      <w:pPr>
        <w:widowControl w:val="0"/>
        <w:numPr>
          <w:ilvl w:val="0"/>
          <w:numId w:val="147"/>
        </w:numPr>
        <w:tabs>
          <w:tab w:val="clear" w:pos="720"/>
          <w:tab w:val="num" w:pos="6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Si tienen una relación de patrón y trabajador. </w:t>
      </w:r>
    </w:p>
    <w:p w14:paraId="1AD686F7"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330460A3" w14:textId="77777777" w:rsidR="00D52CD1" w:rsidRPr="007923C2" w:rsidRDefault="00D52CD1" w:rsidP="00D52CD1">
      <w:pPr>
        <w:widowControl w:val="0"/>
        <w:numPr>
          <w:ilvl w:val="0"/>
          <w:numId w:val="147"/>
        </w:numPr>
        <w:tabs>
          <w:tab w:val="clear" w:pos="720"/>
          <w:tab w:val="num" w:pos="600"/>
        </w:tabs>
        <w:overflowPunct w:val="0"/>
        <w:autoSpaceDE w:val="0"/>
        <w:autoSpaceDN w:val="0"/>
        <w:adjustRightInd w:val="0"/>
        <w:spacing w:after="0" w:line="244" w:lineRule="auto"/>
        <w:ind w:left="0" w:right="40" w:firstLine="0"/>
        <w:jc w:val="both"/>
        <w:rPr>
          <w:rFonts w:ascii="Arial" w:hAnsi="Arial" w:cs="Arial"/>
          <w:sz w:val="22"/>
          <w:szCs w:val="22"/>
        </w:rPr>
      </w:pPr>
      <w:r w:rsidRPr="007923C2">
        <w:rPr>
          <w:rFonts w:ascii="Arial" w:hAnsi="Arial" w:cs="Arial"/>
          <w:sz w:val="22"/>
          <w:szCs w:val="22"/>
        </w:rPr>
        <w:t xml:space="preserve">Si una persona tiene directa o indirectamente la propiedad, el control o la posesión del 5% o más de las acciones, partes sociales, aportaciones o títulos en circulación y con derecho a voto en ambas. </w:t>
      </w:r>
    </w:p>
    <w:p w14:paraId="49FC1BD0" w14:textId="77777777" w:rsidR="00D52CD1" w:rsidRPr="007923C2" w:rsidRDefault="00D52CD1" w:rsidP="00D52CD1">
      <w:pPr>
        <w:widowControl w:val="0"/>
        <w:autoSpaceDE w:val="0"/>
        <w:autoSpaceDN w:val="0"/>
        <w:adjustRightInd w:val="0"/>
        <w:spacing w:after="0" w:line="1" w:lineRule="exact"/>
        <w:ind w:right="40"/>
        <w:jc w:val="both"/>
        <w:rPr>
          <w:rFonts w:ascii="Arial" w:hAnsi="Arial" w:cs="Arial"/>
          <w:sz w:val="22"/>
          <w:szCs w:val="22"/>
        </w:rPr>
      </w:pPr>
    </w:p>
    <w:p w14:paraId="67C3E928" w14:textId="77777777" w:rsidR="00D52CD1" w:rsidRPr="007923C2" w:rsidRDefault="00D52CD1" w:rsidP="00D52CD1">
      <w:pPr>
        <w:widowControl w:val="0"/>
        <w:numPr>
          <w:ilvl w:val="0"/>
          <w:numId w:val="147"/>
        </w:numPr>
        <w:tabs>
          <w:tab w:val="clear" w:pos="720"/>
          <w:tab w:val="num" w:pos="600"/>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Si una de ellas controla directa o indirectamente a la otra. </w:t>
      </w:r>
    </w:p>
    <w:tbl>
      <w:tblPr>
        <w:tblW w:w="0" w:type="auto"/>
        <w:tblInd w:w="1580" w:type="dxa"/>
        <w:tblLayout w:type="fixed"/>
        <w:tblCellMar>
          <w:left w:w="0" w:type="dxa"/>
          <w:right w:w="0" w:type="dxa"/>
        </w:tblCellMar>
        <w:tblLook w:val="0000" w:firstRow="0" w:lastRow="0" w:firstColumn="0" w:lastColumn="0" w:noHBand="0" w:noVBand="0"/>
      </w:tblPr>
      <w:tblGrid>
        <w:gridCol w:w="3780"/>
        <w:gridCol w:w="920"/>
      </w:tblGrid>
      <w:tr w:rsidR="00D52CD1" w:rsidRPr="007923C2" w14:paraId="5168A1C7" w14:textId="77777777" w:rsidTr="00351F51">
        <w:trPr>
          <w:trHeight w:val="184"/>
        </w:trPr>
        <w:tc>
          <w:tcPr>
            <w:tcW w:w="3780" w:type="dxa"/>
            <w:tcBorders>
              <w:top w:val="nil"/>
              <w:left w:val="nil"/>
              <w:bottom w:val="nil"/>
              <w:right w:val="nil"/>
            </w:tcBorders>
            <w:vAlign w:val="bottom"/>
          </w:tcPr>
          <w:p w14:paraId="61D48144" w14:textId="77777777"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p>
        </w:tc>
        <w:tc>
          <w:tcPr>
            <w:tcW w:w="920" w:type="dxa"/>
            <w:tcBorders>
              <w:top w:val="nil"/>
              <w:left w:val="nil"/>
              <w:bottom w:val="nil"/>
              <w:right w:val="nil"/>
            </w:tcBorders>
            <w:vAlign w:val="bottom"/>
          </w:tcPr>
          <w:p w14:paraId="306FF076" w14:textId="77777777"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p>
        </w:tc>
      </w:tr>
    </w:tbl>
    <w:p w14:paraId="36133100" w14:textId="77777777" w:rsidR="00D52CD1" w:rsidRPr="007923C2" w:rsidRDefault="00D52CD1" w:rsidP="00D52CD1">
      <w:pPr>
        <w:widowControl w:val="0"/>
        <w:numPr>
          <w:ilvl w:val="0"/>
          <w:numId w:val="108"/>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Si ambas personas están controladas directa o indirectamente por una tercera persona. </w:t>
      </w:r>
    </w:p>
    <w:p w14:paraId="194BA172" w14:textId="77777777" w:rsidR="00D52CD1" w:rsidRPr="007923C2" w:rsidRDefault="00D52CD1" w:rsidP="00D52CD1">
      <w:pPr>
        <w:widowControl w:val="0"/>
        <w:numPr>
          <w:ilvl w:val="0"/>
          <w:numId w:val="108"/>
        </w:numPr>
        <w:tabs>
          <w:tab w:val="clear" w:pos="720"/>
          <w:tab w:val="num" w:pos="600"/>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Si juntas controlan directa o indirectamente a una tercera persona. </w:t>
      </w:r>
    </w:p>
    <w:p w14:paraId="057D6118"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36027E8E" w14:textId="77777777" w:rsidR="00D52CD1" w:rsidRPr="007923C2" w:rsidRDefault="00D52CD1" w:rsidP="00D52CD1">
      <w:pPr>
        <w:widowControl w:val="0"/>
        <w:numPr>
          <w:ilvl w:val="0"/>
          <w:numId w:val="108"/>
        </w:numPr>
        <w:tabs>
          <w:tab w:val="clear" w:pos="720"/>
          <w:tab w:val="num" w:pos="6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Si son de la misma familia. </w:t>
      </w:r>
    </w:p>
    <w:p w14:paraId="18BDE734" w14:textId="77777777" w:rsidR="00D52CD1" w:rsidRPr="007923C2" w:rsidRDefault="00D52CD1" w:rsidP="00D52CD1">
      <w:pPr>
        <w:widowControl w:val="0"/>
        <w:autoSpaceDE w:val="0"/>
        <w:autoSpaceDN w:val="0"/>
        <w:adjustRightInd w:val="0"/>
        <w:spacing w:after="0" w:line="209" w:lineRule="exact"/>
        <w:ind w:right="40"/>
        <w:jc w:val="both"/>
        <w:rPr>
          <w:rFonts w:ascii="Arial" w:hAnsi="Arial" w:cs="Arial"/>
          <w:sz w:val="22"/>
          <w:szCs w:val="22"/>
        </w:rPr>
      </w:pPr>
    </w:p>
    <w:p w14:paraId="485B72A8" w14:textId="77777777" w:rsidR="00D52CD1" w:rsidRPr="007923C2" w:rsidRDefault="00D52CD1" w:rsidP="00D52CD1">
      <w:pPr>
        <w:widowControl w:val="0"/>
        <w:overflowPunct w:val="0"/>
        <w:autoSpaceDE w:val="0"/>
        <w:autoSpaceDN w:val="0"/>
        <w:adjustRightInd w:val="0"/>
        <w:spacing w:after="0" w:line="238" w:lineRule="auto"/>
        <w:ind w:right="40"/>
        <w:jc w:val="both"/>
        <w:rPr>
          <w:rFonts w:ascii="Arial" w:hAnsi="Arial" w:cs="Arial"/>
          <w:sz w:val="22"/>
          <w:szCs w:val="22"/>
        </w:rPr>
      </w:pPr>
      <w:r w:rsidRPr="007923C2">
        <w:rPr>
          <w:rFonts w:ascii="Arial" w:hAnsi="Arial" w:cs="Arial"/>
          <w:sz w:val="22"/>
          <w:szCs w:val="22"/>
        </w:rPr>
        <w:t xml:space="preserve">La Ley dispone que en una venta entre personas vinculadas se examinarán las circunstancias de la venta y se aceptará el valor de transacción cuando la vinculación no haya influido en el precio. </w:t>
      </w:r>
    </w:p>
    <w:p w14:paraId="774A7CC8" w14:textId="77777777" w:rsidR="00D52CD1" w:rsidRPr="007923C2" w:rsidRDefault="00D52CD1" w:rsidP="00D52CD1">
      <w:pPr>
        <w:widowControl w:val="0"/>
        <w:autoSpaceDE w:val="0"/>
        <w:autoSpaceDN w:val="0"/>
        <w:adjustRightInd w:val="0"/>
        <w:spacing w:after="0" w:line="1" w:lineRule="exact"/>
        <w:ind w:right="40"/>
        <w:jc w:val="both"/>
        <w:rPr>
          <w:rFonts w:ascii="Arial" w:hAnsi="Arial" w:cs="Arial"/>
          <w:sz w:val="22"/>
          <w:szCs w:val="22"/>
        </w:rPr>
      </w:pPr>
    </w:p>
    <w:p w14:paraId="7FA1F81E" w14:textId="77777777" w:rsidR="00D52CD1" w:rsidRPr="007923C2" w:rsidRDefault="00D52CD1" w:rsidP="00D52CD1">
      <w:pPr>
        <w:widowControl w:val="0"/>
        <w:overflowPunct w:val="0"/>
        <w:autoSpaceDE w:val="0"/>
        <w:autoSpaceDN w:val="0"/>
        <w:adjustRightInd w:val="0"/>
        <w:spacing w:after="0" w:line="197" w:lineRule="auto"/>
        <w:ind w:right="40"/>
        <w:jc w:val="both"/>
        <w:rPr>
          <w:rFonts w:ascii="Arial" w:hAnsi="Arial" w:cs="Arial"/>
          <w:sz w:val="22"/>
          <w:szCs w:val="22"/>
        </w:rPr>
      </w:pPr>
      <w:r w:rsidRPr="007923C2">
        <w:rPr>
          <w:rFonts w:ascii="Arial" w:hAnsi="Arial" w:cs="Arial"/>
          <w:sz w:val="22"/>
          <w:szCs w:val="22"/>
        </w:rPr>
        <w:t>Se considera que la vinculación no ha influido en el precio  cuando se demuestre que:</w:t>
      </w:r>
    </w:p>
    <w:p w14:paraId="03B893A8" w14:textId="77777777" w:rsidR="00D52CD1" w:rsidRPr="007923C2" w:rsidRDefault="00D52CD1" w:rsidP="00D52CD1">
      <w:pPr>
        <w:widowControl w:val="0"/>
        <w:autoSpaceDE w:val="0"/>
        <w:autoSpaceDN w:val="0"/>
        <w:adjustRightInd w:val="0"/>
        <w:spacing w:after="0" w:line="143" w:lineRule="exact"/>
        <w:ind w:right="40"/>
        <w:jc w:val="both"/>
        <w:rPr>
          <w:rFonts w:ascii="Arial" w:hAnsi="Arial" w:cs="Arial"/>
          <w:sz w:val="22"/>
          <w:szCs w:val="22"/>
        </w:rPr>
      </w:pPr>
    </w:p>
    <w:p w14:paraId="5B055824" w14:textId="77777777" w:rsidR="00D52CD1" w:rsidRPr="007923C2" w:rsidRDefault="00D52CD1" w:rsidP="00D52CD1">
      <w:pPr>
        <w:widowControl w:val="0"/>
        <w:numPr>
          <w:ilvl w:val="0"/>
          <w:numId w:val="148"/>
        </w:numPr>
        <w:tabs>
          <w:tab w:val="clear" w:pos="720"/>
          <w:tab w:val="num" w:pos="600"/>
        </w:tabs>
        <w:overflowPunct w:val="0"/>
        <w:autoSpaceDE w:val="0"/>
        <w:autoSpaceDN w:val="0"/>
        <w:adjustRightInd w:val="0"/>
        <w:spacing w:after="0" w:line="236" w:lineRule="auto"/>
        <w:ind w:left="0" w:right="40" w:firstLine="0"/>
        <w:jc w:val="both"/>
        <w:rPr>
          <w:rFonts w:ascii="Arial" w:hAnsi="Arial" w:cs="Arial"/>
          <w:sz w:val="22"/>
          <w:szCs w:val="22"/>
        </w:rPr>
      </w:pPr>
      <w:r w:rsidRPr="007923C2">
        <w:rPr>
          <w:rFonts w:ascii="Arial" w:hAnsi="Arial" w:cs="Arial"/>
          <w:sz w:val="22"/>
          <w:szCs w:val="22"/>
        </w:rPr>
        <w:t xml:space="preserve">El precio se ajustó conforme con las prácticas normales de fijación de precios seguidos en la rama de producción de que se trate o con la manera en que el vendedor ajusta los precios de venta a compradores no vinculados con él. </w:t>
      </w:r>
    </w:p>
    <w:p w14:paraId="77133B2F" w14:textId="77777777"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14:paraId="37D27FAC" w14:textId="77777777" w:rsidR="00D52CD1" w:rsidRPr="007923C2" w:rsidRDefault="00D52CD1" w:rsidP="00D52CD1">
      <w:pPr>
        <w:widowControl w:val="0"/>
        <w:numPr>
          <w:ilvl w:val="0"/>
          <w:numId w:val="148"/>
        </w:numPr>
        <w:tabs>
          <w:tab w:val="clear" w:pos="720"/>
          <w:tab w:val="num" w:pos="600"/>
        </w:tabs>
        <w:overflowPunct w:val="0"/>
        <w:autoSpaceDE w:val="0"/>
        <w:autoSpaceDN w:val="0"/>
        <w:adjustRightInd w:val="0"/>
        <w:spacing w:after="0" w:line="236" w:lineRule="auto"/>
        <w:ind w:left="0" w:right="40" w:firstLine="0"/>
        <w:jc w:val="both"/>
        <w:rPr>
          <w:rFonts w:ascii="Arial" w:hAnsi="Arial" w:cs="Arial"/>
          <w:sz w:val="22"/>
          <w:szCs w:val="22"/>
        </w:rPr>
      </w:pPr>
      <w:r w:rsidRPr="007923C2">
        <w:rPr>
          <w:rFonts w:ascii="Arial" w:hAnsi="Arial" w:cs="Arial"/>
          <w:sz w:val="22"/>
          <w:szCs w:val="22"/>
        </w:rPr>
        <w:t xml:space="preserve">Con el precio se alcanzan a recuperar todos los costos y se logra un beneficio congruente con los beneficios globales obtenidos por la empresa en un periodo representativo en las ventas de mercancías de la misma especie o clase. </w:t>
      </w:r>
    </w:p>
    <w:p w14:paraId="2178BE3B" w14:textId="77777777" w:rsidR="00D52CD1" w:rsidRPr="007923C2" w:rsidRDefault="00D52CD1" w:rsidP="00D52CD1">
      <w:pPr>
        <w:widowControl w:val="0"/>
        <w:autoSpaceDE w:val="0"/>
        <w:autoSpaceDN w:val="0"/>
        <w:adjustRightInd w:val="0"/>
        <w:spacing w:after="0" w:line="210" w:lineRule="exact"/>
        <w:ind w:right="40"/>
        <w:jc w:val="both"/>
        <w:rPr>
          <w:rFonts w:ascii="Arial" w:hAnsi="Arial" w:cs="Arial"/>
          <w:sz w:val="22"/>
          <w:szCs w:val="22"/>
        </w:rPr>
      </w:pPr>
    </w:p>
    <w:p w14:paraId="3026A19F"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El principio general establece que cuando hay vinculación que influye en el precio no se puede utilizar el valor de transacción para la determinación del impuesto, por lo que es necesario acudir a métodos alternativos de valoración, empleándose alguno de los siguientes valores:</w:t>
      </w:r>
    </w:p>
    <w:p w14:paraId="55130F7A" w14:textId="77777777" w:rsidR="00D52CD1" w:rsidRPr="007923C2" w:rsidRDefault="00D52CD1" w:rsidP="00D52CD1">
      <w:pPr>
        <w:widowControl w:val="0"/>
        <w:autoSpaceDE w:val="0"/>
        <w:autoSpaceDN w:val="0"/>
        <w:adjustRightInd w:val="0"/>
        <w:spacing w:after="0" w:line="52" w:lineRule="exact"/>
        <w:ind w:right="40"/>
        <w:jc w:val="both"/>
        <w:rPr>
          <w:rFonts w:ascii="Arial" w:hAnsi="Arial" w:cs="Arial"/>
          <w:sz w:val="22"/>
          <w:szCs w:val="22"/>
        </w:rPr>
      </w:pPr>
    </w:p>
    <w:p w14:paraId="5745966F" w14:textId="77777777" w:rsidR="00D52CD1" w:rsidRPr="007923C2" w:rsidRDefault="00D52CD1" w:rsidP="00D52CD1">
      <w:pPr>
        <w:widowControl w:val="0"/>
        <w:numPr>
          <w:ilvl w:val="0"/>
          <w:numId w:val="149"/>
        </w:numPr>
        <w:tabs>
          <w:tab w:val="clear" w:pos="720"/>
          <w:tab w:val="num" w:pos="900"/>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Valor de transacción de mercancías idénticas. </w:t>
      </w:r>
    </w:p>
    <w:p w14:paraId="23A8F55F"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23D9F735" w14:textId="77777777" w:rsidR="00D52CD1" w:rsidRPr="007923C2" w:rsidRDefault="00D52CD1" w:rsidP="00D52CD1">
      <w:pPr>
        <w:widowControl w:val="0"/>
        <w:numPr>
          <w:ilvl w:val="0"/>
          <w:numId w:val="149"/>
        </w:numPr>
        <w:tabs>
          <w:tab w:val="clear" w:pos="720"/>
          <w:tab w:val="num" w:pos="9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Valor de transacción de mercancías similares. </w:t>
      </w:r>
    </w:p>
    <w:p w14:paraId="7BED80D8"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6174E171" w14:textId="77777777" w:rsidR="00D52CD1" w:rsidRPr="007923C2" w:rsidRDefault="00D52CD1" w:rsidP="00D52CD1">
      <w:pPr>
        <w:widowControl w:val="0"/>
        <w:numPr>
          <w:ilvl w:val="0"/>
          <w:numId w:val="149"/>
        </w:numPr>
        <w:tabs>
          <w:tab w:val="clear" w:pos="720"/>
          <w:tab w:val="num" w:pos="9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Valor de precio unitario de venta. </w:t>
      </w:r>
    </w:p>
    <w:p w14:paraId="5BF9995F"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117DABE1" w14:textId="77777777" w:rsidR="00D52CD1" w:rsidRPr="007923C2" w:rsidRDefault="00D52CD1" w:rsidP="00D52CD1">
      <w:pPr>
        <w:widowControl w:val="0"/>
        <w:numPr>
          <w:ilvl w:val="0"/>
          <w:numId w:val="149"/>
        </w:numPr>
        <w:tabs>
          <w:tab w:val="clear" w:pos="720"/>
          <w:tab w:val="num" w:pos="9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Valor reconstruido de las mercancías importadas. </w:t>
      </w:r>
    </w:p>
    <w:p w14:paraId="1D378C77"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77146DC5" w14:textId="77777777" w:rsidR="00D52CD1" w:rsidRPr="007923C2" w:rsidRDefault="00D52CD1" w:rsidP="00D52CD1">
      <w:pPr>
        <w:widowControl w:val="0"/>
        <w:numPr>
          <w:ilvl w:val="0"/>
          <w:numId w:val="149"/>
        </w:numPr>
        <w:tabs>
          <w:tab w:val="clear" w:pos="720"/>
          <w:tab w:val="num" w:pos="900"/>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Valor determinado conforme a lo establecido en el artículo 78 de esta ley. </w:t>
      </w:r>
    </w:p>
    <w:p w14:paraId="65C415C6" w14:textId="77777777" w:rsidR="00D52CD1" w:rsidRPr="007923C2" w:rsidRDefault="00D52CD1" w:rsidP="00D52CD1">
      <w:pPr>
        <w:widowControl w:val="0"/>
        <w:autoSpaceDE w:val="0"/>
        <w:autoSpaceDN w:val="0"/>
        <w:adjustRightInd w:val="0"/>
        <w:spacing w:after="0" w:line="207" w:lineRule="exact"/>
        <w:ind w:right="40"/>
        <w:jc w:val="both"/>
        <w:rPr>
          <w:rFonts w:ascii="Arial" w:hAnsi="Arial" w:cs="Arial"/>
          <w:sz w:val="22"/>
          <w:szCs w:val="22"/>
        </w:rPr>
      </w:pPr>
    </w:p>
    <w:p w14:paraId="2E844CD5"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 xml:space="preserve">Otro aspecto importante es el de las fechas que deben tomarse en consideración para la determinación de las cuotas, bases gravables, tipos de cambio de moneda, cuotas compensatorias, </w:t>
      </w:r>
      <w:r w:rsidRPr="007923C2">
        <w:rPr>
          <w:rFonts w:ascii="Arial" w:hAnsi="Arial" w:cs="Arial"/>
          <w:sz w:val="22"/>
          <w:szCs w:val="22"/>
        </w:rPr>
        <w:lastRenderedPageBreak/>
        <w:t>etcétera, en las importaciones, las cuales son:</w:t>
      </w:r>
    </w:p>
    <w:p w14:paraId="2484638B" w14:textId="77777777" w:rsidR="00D52CD1" w:rsidRPr="007923C2" w:rsidRDefault="00D52CD1" w:rsidP="00D52CD1">
      <w:pPr>
        <w:widowControl w:val="0"/>
        <w:autoSpaceDE w:val="0"/>
        <w:autoSpaceDN w:val="0"/>
        <w:adjustRightInd w:val="0"/>
        <w:spacing w:after="0" w:line="160" w:lineRule="exact"/>
        <w:ind w:right="40"/>
        <w:jc w:val="both"/>
        <w:rPr>
          <w:rFonts w:ascii="Arial" w:hAnsi="Arial" w:cs="Arial"/>
          <w:sz w:val="22"/>
          <w:szCs w:val="22"/>
        </w:rPr>
      </w:pPr>
    </w:p>
    <w:p w14:paraId="05EB8F03" w14:textId="77777777" w:rsidR="00D52CD1" w:rsidRPr="007923C2" w:rsidRDefault="00D52CD1" w:rsidP="00D52CD1">
      <w:pPr>
        <w:widowControl w:val="0"/>
        <w:numPr>
          <w:ilvl w:val="1"/>
          <w:numId w:val="150"/>
        </w:numPr>
        <w:tabs>
          <w:tab w:val="clear" w:pos="1440"/>
          <w:tab w:val="num" w:pos="602"/>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La de fondeo, y cuando éste no se realice, la de amarre, atraque de la embarcación que transporte las mercancías al puerto al que vengan destinadas. </w:t>
      </w:r>
    </w:p>
    <w:p w14:paraId="38DA0C74" w14:textId="77777777" w:rsidR="00D52CD1" w:rsidRPr="007923C2" w:rsidRDefault="00D52CD1" w:rsidP="00D52CD1">
      <w:pPr>
        <w:widowControl w:val="0"/>
        <w:autoSpaceDE w:val="0"/>
        <w:autoSpaceDN w:val="0"/>
        <w:adjustRightInd w:val="0"/>
        <w:spacing w:after="0" w:line="2" w:lineRule="exact"/>
        <w:ind w:right="40"/>
        <w:jc w:val="both"/>
        <w:rPr>
          <w:rFonts w:ascii="Arial" w:hAnsi="Arial" w:cs="Arial"/>
          <w:sz w:val="22"/>
          <w:szCs w:val="22"/>
        </w:rPr>
      </w:pPr>
    </w:p>
    <w:p w14:paraId="201C97FB" w14:textId="77777777" w:rsidR="00D52CD1" w:rsidRPr="007923C2" w:rsidRDefault="00D52CD1" w:rsidP="00D52CD1">
      <w:pPr>
        <w:widowControl w:val="0"/>
        <w:numPr>
          <w:ilvl w:val="1"/>
          <w:numId w:val="150"/>
        </w:numPr>
        <w:tabs>
          <w:tab w:val="clear" w:pos="1440"/>
          <w:tab w:val="num" w:pos="602"/>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En la que las mercancías crucen la línea divisoria internacional. </w:t>
      </w:r>
    </w:p>
    <w:p w14:paraId="03FF49DC"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73C12FF2" w14:textId="77777777" w:rsidR="00D52CD1" w:rsidRPr="007923C2" w:rsidRDefault="00D52CD1" w:rsidP="00D52CD1">
      <w:pPr>
        <w:widowControl w:val="0"/>
        <w:numPr>
          <w:ilvl w:val="1"/>
          <w:numId w:val="150"/>
        </w:numPr>
        <w:tabs>
          <w:tab w:val="clear" w:pos="1440"/>
          <w:tab w:val="num" w:pos="602"/>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La de arribo de la aeronave que las transporte al primer aeropuerto nacional. </w:t>
      </w:r>
    </w:p>
    <w:p w14:paraId="55594B80"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5DB25F9D" w14:textId="77777777" w:rsidR="00D52CD1" w:rsidRPr="007923C2" w:rsidRDefault="00D52CD1" w:rsidP="00D52CD1">
      <w:pPr>
        <w:widowControl w:val="0"/>
        <w:numPr>
          <w:ilvl w:val="1"/>
          <w:numId w:val="150"/>
        </w:numPr>
        <w:tabs>
          <w:tab w:val="clear" w:pos="1440"/>
          <w:tab w:val="num" w:pos="602"/>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En vía postal, serán las anteriores, según el medio de entrada al país de las mercancías. </w:t>
      </w:r>
    </w:p>
    <w:p w14:paraId="1F0AFC61" w14:textId="77777777"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14:paraId="0380CFC3" w14:textId="77777777" w:rsidR="00D52CD1" w:rsidRPr="007923C2" w:rsidRDefault="00D52CD1" w:rsidP="00D52CD1">
      <w:pPr>
        <w:widowControl w:val="0"/>
        <w:numPr>
          <w:ilvl w:val="1"/>
          <w:numId w:val="150"/>
        </w:numPr>
        <w:tabs>
          <w:tab w:val="clear" w:pos="1440"/>
          <w:tab w:val="num" w:pos="602"/>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En la que las mercancías pasen a ser propiedad del fisco federal, en los casos de abandono. </w:t>
      </w:r>
    </w:p>
    <w:p w14:paraId="7FAF19FE" w14:textId="77777777" w:rsidR="00D52CD1" w:rsidRPr="007923C2" w:rsidRDefault="00D52CD1" w:rsidP="00D52CD1">
      <w:pPr>
        <w:widowControl w:val="0"/>
        <w:autoSpaceDE w:val="0"/>
        <w:autoSpaceDN w:val="0"/>
        <w:adjustRightInd w:val="0"/>
        <w:spacing w:after="0" w:line="322" w:lineRule="exact"/>
        <w:ind w:right="40"/>
        <w:jc w:val="both"/>
        <w:rPr>
          <w:rFonts w:ascii="Arial" w:hAnsi="Arial" w:cs="Arial"/>
          <w:sz w:val="22"/>
          <w:szCs w:val="22"/>
        </w:rPr>
      </w:pPr>
    </w:p>
    <w:p w14:paraId="7B852147"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E.  </w:t>
      </w:r>
      <w:r w:rsidRPr="007923C2">
        <w:rPr>
          <w:rFonts w:ascii="Arial" w:hAnsi="Arial" w:cs="Arial"/>
          <w:i/>
          <w:iCs/>
          <w:sz w:val="22"/>
          <w:szCs w:val="22"/>
        </w:rPr>
        <w:t>Restricciones no arancelarias</w:t>
      </w:r>
    </w:p>
    <w:p w14:paraId="3D5A924F" w14:textId="77777777" w:rsidR="00D52CD1" w:rsidRPr="007923C2" w:rsidRDefault="00D52CD1" w:rsidP="00D52CD1">
      <w:pPr>
        <w:widowControl w:val="0"/>
        <w:autoSpaceDE w:val="0"/>
        <w:autoSpaceDN w:val="0"/>
        <w:adjustRightInd w:val="0"/>
        <w:spacing w:after="0" w:line="260" w:lineRule="exact"/>
        <w:ind w:right="40"/>
        <w:jc w:val="both"/>
        <w:rPr>
          <w:rFonts w:ascii="Arial" w:hAnsi="Arial" w:cs="Arial"/>
          <w:sz w:val="22"/>
          <w:szCs w:val="22"/>
        </w:rPr>
      </w:pPr>
    </w:p>
    <w:p w14:paraId="56ABC1BB" w14:textId="77777777"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Son medidas que entorpecen, dilatan o impiden el libre flujo de productos de un mercado a otro. Pueden ser de dos tipos:</w:t>
      </w:r>
    </w:p>
    <w:p w14:paraId="16340564" w14:textId="77777777" w:rsidR="00D52CD1" w:rsidRPr="007923C2" w:rsidRDefault="00D52CD1" w:rsidP="00D52CD1">
      <w:pPr>
        <w:widowControl w:val="0"/>
        <w:autoSpaceDE w:val="0"/>
        <w:autoSpaceDN w:val="0"/>
        <w:adjustRightInd w:val="0"/>
        <w:spacing w:after="0" w:line="139" w:lineRule="exact"/>
        <w:ind w:right="40"/>
        <w:jc w:val="both"/>
        <w:rPr>
          <w:rFonts w:ascii="Arial" w:hAnsi="Arial" w:cs="Arial"/>
          <w:sz w:val="22"/>
          <w:szCs w:val="22"/>
        </w:rPr>
      </w:pPr>
    </w:p>
    <w:p w14:paraId="64BF9ABA" w14:textId="77777777" w:rsidR="00D52CD1" w:rsidRPr="007923C2" w:rsidRDefault="00D52CD1" w:rsidP="00D52CD1">
      <w:pPr>
        <w:widowControl w:val="0"/>
        <w:numPr>
          <w:ilvl w:val="0"/>
          <w:numId w:val="151"/>
        </w:numPr>
        <w:tabs>
          <w:tab w:val="clear" w:pos="720"/>
          <w:tab w:val="num" w:pos="602"/>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Cuantitativas. Consistentes fundamentalmente en cuotas, licencias o permisos de importación, exportación, establecimiento de precios oficiales y depósitos previos. </w:t>
      </w:r>
    </w:p>
    <w:p w14:paraId="259FC3C3"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7D25E2C8" w14:textId="77777777" w:rsidR="00D52CD1" w:rsidRPr="007923C2" w:rsidRDefault="00D52CD1" w:rsidP="00D52CD1">
      <w:pPr>
        <w:widowControl w:val="0"/>
        <w:numPr>
          <w:ilvl w:val="0"/>
          <w:numId w:val="151"/>
        </w:numPr>
        <w:tabs>
          <w:tab w:val="clear" w:pos="720"/>
          <w:tab w:val="num" w:pos="602"/>
        </w:tabs>
        <w:overflowPunct w:val="0"/>
        <w:autoSpaceDE w:val="0"/>
        <w:autoSpaceDN w:val="0"/>
        <w:adjustRightInd w:val="0"/>
        <w:spacing w:after="0" w:line="233" w:lineRule="auto"/>
        <w:ind w:left="0" w:right="40" w:firstLine="0"/>
        <w:jc w:val="both"/>
        <w:rPr>
          <w:rFonts w:ascii="Arial" w:hAnsi="Arial" w:cs="Arial"/>
          <w:sz w:val="22"/>
          <w:szCs w:val="22"/>
        </w:rPr>
      </w:pPr>
      <w:r w:rsidRPr="007923C2">
        <w:rPr>
          <w:rFonts w:ascii="Arial" w:hAnsi="Arial" w:cs="Arial"/>
          <w:sz w:val="22"/>
          <w:szCs w:val="22"/>
        </w:rPr>
        <w:t xml:space="preserve">Cualitativas. Cuyas principales aplicaciones son normas sanitarias y fitosanitarias, normas técnicas, normas sobre envasado, embalaje y etiquetado y normas de calidad. </w:t>
      </w:r>
    </w:p>
    <w:p w14:paraId="317A15C8" w14:textId="77777777" w:rsidR="00D52CD1" w:rsidRPr="007923C2" w:rsidRDefault="00D52CD1" w:rsidP="00D52CD1">
      <w:pPr>
        <w:widowControl w:val="0"/>
        <w:autoSpaceDE w:val="0"/>
        <w:autoSpaceDN w:val="0"/>
        <w:adjustRightInd w:val="0"/>
        <w:spacing w:after="0" w:line="202" w:lineRule="exact"/>
        <w:ind w:right="40"/>
        <w:jc w:val="both"/>
        <w:rPr>
          <w:rFonts w:ascii="Arial" w:hAnsi="Arial" w:cs="Arial"/>
          <w:sz w:val="22"/>
          <w:szCs w:val="22"/>
        </w:rPr>
      </w:pPr>
    </w:p>
    <w:p w14:paraId="33A26EB3"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Las medidas de regulación y restricción no arancelarias en México pueden consistir en permisos previos, cupos máximos, marcado de país de origen, certificaciones o cuotas compensatorias, siendo aplicables estas últimas cuando se trate de impedir la concurrencia al mercado interno de mercancías en condiciones que impliquen prácticas desleales de comercio exterior.</w:t>
      </w:r>
    </w:p>
    <w:p w14:paraId="797DA915" w14:textId="77777777" w:rsidR="00D52CD1" w:rsidRPr="007923C2" w:rsidRDefault="00D52CD1" w:rsidP="00D52CD1">
      <w:pPr>
        <w:widowControl w:val="0"/>
        <w:autoSpaceDE w:val="0"/>
        <w:autoSpaceDN w:val="0"/>
        <w:adjustRightInd w:val="0"/>
        <w:spacing w:after="0" w:line="3" w:lineRule="exact"/>
        <w:ind w:right="40"/>
        <w:jc w:val="both"/>
        <w:rPr>
          <w:rFonts w:ascii="Arial" w:hAnsi="Arial" w:cs="Arial"/>
          <w:sz w:val="22"/>
          <w:szCs w:val="22"/>
        </w:rPr>
      </w:pPr>
    </w:p>
    <w:p w14:paraId="64CC8596" w14:textId="77777777" w:rsidR="00D52CD1" w:rsidRPr="007923C2" w:rsidRDefault="00D52CD1" w:rsidP="00D52CD1">
      <w:pPr>
        <w:widowControl w:val="0"/>
        <w:overflowPunct w:val="0"/>
        <w:autoSpaceDE w:val="0"/>
        <w:autoSpaceDN w:val="0"/>
        <w:adjustRightInd w:val="0"/>
        <w:spacing w:after="0" w:line="229" w:lineRule="auto"/>
        <w:ind w:right="40"/>
        <w:jc w:val="both"/>
        <w:rPr>
          <w:rFonts w:ascii="Arial" w:hAnsi="Arial" w:cs="Arial"/>
          <w:sz w:val="22"/>
          <w:szCs w:val="22"/>
        </w:rPr>
      </w:pPr>
      <w:r w:rsidRPr="007923C2">
        <w:rPr>
          <w:rFonts w:ascii="Arial" w:hAnsi="Arial" w:cs="Arial"/>
          <w:sz w:val="22"/>
          <w:szCs w:val="22"/>
        </w:rPr>
        <w:t>En la actual política de apertura comercial, las restricciones o regulaciones no arancelarias han adquirido una gran importancia por su manejo y aplicación debido a que resultan, en ocasiones, los únicos instrumentos a través de los cuales se controlan las importaciones respectivas.</w:t>
      </w:r>
    </w:p>
    <w:p w14:paraId="152DA82E" w14:textId="77777777" w:rsidR="00D52CD1" w:rsidRPr="007923C2" w:rsidRDefault="00D52CD1" w:rsidP="00D52CD1">
      <w:pPr>
        <w:widowControl w:val="0"/>
        <w:autoSpaceDE w:val="0"/>
        <w:autoSpaceDN w:val="0"/>
        <w:adjustRightInd w:val="0"/>
        <w:spacing w:after="0" w:line="18" w:lineRule="exact"/>
        <w:ind w:right="40"/>
        <w:jc w:val="both"/>
        <w:rPr>
          <w:rFonts w:ascii="Arial" w:hAnsi="Arial" w:cs="Arial"/>
          <w:sz w:val="22"/>
          <w:szCs w:val="22"/>
        </w:rPr>
      </w:pPr>
    </w:p>
    <w:p w14:paraId="1399BAA4"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La Ley de Comercio Exterior establece, en concordancia con el artículo 131 la Constitución general de la República, que el Ejecutivo Federal tendrá facultades para establecer medidas para regular o restringir la exportación o importación de mercancías a través de acuerdos expedidos</w:t>
      </w:r>
    </w:p>
    <w:tbl>
      <w:tblPr>
        <w:tblW w:w="0" w:type="auto"/>
        <w:tblInd w:w="1580" w:type="dxa"/>
        <w:tblLayout w:type="fixed"/>
        <w:tblCellMar>
          <w:left w:w="0" w:type="dxa"/>
          <w:right w:w="0" w:type="dxa"/>
        </w:tblCellMar>
        <w:tblLook w:val="0000" w:firstRow="0" w:lastRow="0" w:firstColumn="0" w:lastColumn="0" w:noHBand="0" w:noVBand="0"/>
      </w:tblPr>
      <w:tblGrid>
        <w:gridCol w:w="3780"/>
        <w:gridCol w:w="920"/>
      </w:tblGrid>
      <w:tr w:rsidR="00D52CD1" w:rsidRPr="007923C2" w14:paraId="111D741E" w14:textId="77777777" w:rsidTr="00351F51">
        <w:trPr>
          <w:trHeight w:val="184"/>
        </w:trPr>
        <w:tc>
          <w:tcPr>
            <w:tcW w:w="3780" w:type="dxa"/>
            <w:tcBorders>
              <w:top w:val="nil"/>
              <w:left w:val="nil"/>
              <w:bottom w:val="nil"/>
              <w:right w:val="nil"/>
            </w:tcBorders>
            <w:vAlign w:val="bottom"/>
          </w:tcPr>
          <w:p w14:paraId="0B99D576" w14:textId="77777777"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bookmarkStart w:id="19" w:name="page39"/>
            <w:bookmarkEnd w:id="19"/>
          </w:p>
        </w:tc>
        <w:tc>
          <w:tcPr>
            <w:tcW w:w="920" w:type="dxa"/>
            <w:tcBorders>
              <w:top w:val="nil"/>
              <w:left w:val="nil"/>
              <w:bottom w:val="nil"/>
              <w:right w:val="nil"/>
            </w:tcBorders>
            <w:vAlign w:val="bottom"/>
          </w:tcPr>
          <w:p w14:paraId="279EC5F8" w14:textId="77777777"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p>
        </w:tc>
      </w:tr>
    </w:tbl>
    <w:p w14:paraId="31FC5F24"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por la Secretaría de Economía, o en su caso, conjuntamente con la autoridad competente y publicados en el </w:t>
      </w:r>
      <w:r w:rsidRPr="007923C2">
        <w:rPr>
          <w:rFonts w:ascii="Arial" w:hAnsi="Arial" w:cs="Arial"/>
          <w:i/>
          <w:iCs/>
          <w:sz w:val="22"/>
          <w:szCs w:val="22"/>
        </w:rPr>
        <w:t>DOF</w:t>
      </w:r>
      <w:r w:rsidRPr="007923C2">
        <w:rPr>
          <w:rFonts w:ascii="Arial" w:hAnsi="Arial" w:cs="Arial"/>
          <w:sz w:val="22"/>
          <w:szCs w:val="22"/>
        </w:rPr>
        <w:t>.</w:t>
      </w:r>
    </w:p>
    <w:p w14:paraId="39DAC36B"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1887A376" w14:textId="77777777" w:rsidR="00D52CD1" w:rsidRPr="007923C2" w:rsidRDefault="00D52CD1" w:rsidP="00D52CD1">
      <w:pPr>
        <w:widowControl w:val="0"/>
        <w:overflowPunct w:val="0"/>
        <w:autoSpaceDE w:val="0"/>
        <w:autoSpaceDN w:val="0"/>
        <w:adjustRightInd w:val="0"/>
        <w:spacing w:after="0" w:line="259" w:lineRule="auto"/>
        <w:ind w:right="40"/>
        <w:jc w:val="both"/>
        <w:rPr>
          <w:rFonts w:ascii="Arial" w:hAnsi="Arial" w:cs="Arial"/>
          <w:sz w:val="22"/>
          <w:szCs w:val="22"/>
        </w:rPr>
      </w:pPr>
      <w:r w:rsidRPr="007923C2">
        <w:rPr>
          <w:rFonts w:ascii="Arial" w:hAnsi="Arial" w:cs="Arial"/>
          <w:sz w:val="22"/>
          <w:szCs w:val="22"/>
        </w:rPr>
        <w:t>En tal ordenamiento se dispone que las medidas de regulación o restricción a las importaciones se podrán establecer en los siguientes casos:</w:t>
      </w:r>
    </w:p>
    <w:p w14:paraId="26969333" w14:textId="77777777" w:rsidR="00D52CD1" w:rsidRPr="007923C2" w:rsidRDefault="00D52CD1" w:rsidP="00D52CD1">
      <w:pPr>
        <w:widowControl w:val="0"/>
        <w:autoSpaceDE w:val="0"/>
        <w:autoSpaceDN w:val="0"/>
        <w:adjustRightInd w:val="0"/>
        <w:spacing w:after="0" w:line="170" w:lineRule="exact"/>
        <w:ind w:right="40"/>
        <w:jc w:val="both"/>
        <w:rPr>
          <w:rFonts w:ascii="Arial" w:hAnsi="Arial" w:cs="Arial"/>
          <w:sz w:val="22"/>
          <w:szCs w:val="22"/>
        </w:rPr>
      </w:pPr>
    </w:p>
    <w:p w14:paraId="7999E13E" w14:textId="77777777" w:rsidR="00D52CD1" w:rsidRPr="007923C2" w:rsidRDefault="00D52CD1" w:rsidP="00D52CD1">
      <w:pPr>
        <w:widowControl w:val="0"/>
        <w:numPr>
          <w:ilvl w:val="0"/>
          <w:numId w:val="152"/>
        </w:numPr>
        <w:tabs>
          <w:tab w:val="clear" w:pos="720"/>
          <w:tab w:val="num" w:pos="6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Cuando se requieran de modo temporal para corregir desequilibrios en la balanza de pagos, de acuerdo con los tratados o convenios internacionales de los que México sea parte. </w:t>
      </w:r>
    </w:p>
    <w:p w14:paraId="1F62FFEF"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340149C5" w14:textId="77777777" w:rsidR="00D52CD1" w:rsidRPr="007923C2" w:rsidRDefault="00D52CD1" w:rsidP="00D52CD1">
      <w:pPr>
        <w:widowControl w:val="0"/>
        <w:numPr>
          <w:ilvl w:val="0"/>
          <w:numId w:val="152"/>
        </w:numPr>
        <w:tabs>
          <w:tab w:val="clear" w:pos="720"/>
          <w:tab w:val="num" w:pos="600"/>
        </w:tabs>
        <w:overflowPunct w:val="0"/>
        <w:autoSpaceDE w:val="0"/>
        <w:autoSpaceDN w:val="0"/>
        <w:adjustRightInd w:val="0"/>
        <w:spacing w:after="0" w:line="241" w:lineRule="auto"/>
        <w:ind w:left="0" w:right="40" w:firstLine="0"/>
        <w:jc w:val="both"/>
        <w:rPr>
          <w:rFonts w:ascii="Arial" w:hAnsi="Arial" w:cs="Arial"/>
          <w:sz w:val="22"/>
          <w:szCs w:val="22"/>
        </w:rPr>
      </w:pPr>
      <w:r w:rsidRPr="007923C2">
        <w:rPr>
          <w:rFonts w:ascii="Arial" w:hAnsi="Arial" w:cs="Arial"/>
          <w:sz w:val="22"/>
          <w:szCs w:val="22"/>
        </w:rPr>
        <w:t xml:space="preserve">Para regular la entrada de productos usados, de desecho o que carezcan de mercado sustancial en su país de origen o de procedencia. </w:t>
      </w:r>
    </w:p>
    <w:p w14:paraId="3077CB28"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7EB98708" w14:textId="77777777" w:rsidR="00D52CD1" w:rsidRPr="007923C2" w:rsidRDefault="00D52CD1" w:rsidP="00D52CD1">
      <w:pPr>
        <w:widowControl w:val="0"/>
        <w:numPr>
          <w:ilvl w:val="0"/>
          <w:numId w:val="152"/>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Conforme a lo dispuesto en tratados o convenios internacionales de los que México sea parte. </w:t>
      </w:r>
    </w:p>
    <w:p w14:paraId="2E7E4561"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3D385D4D" w14:textId="77777777" w:rsidR="00D52CD1" w:rsidRPr="007923C2" w:rsidRDefault="00D52CD1" w:rsidP="00D52CD1">
      <w:pPr>
        <w:widowControl w:val="0"/>
        <w:numPr>
          <w:ilvl w:val="0"/>
          <w:numId w:val="152"/>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Como respuesta a las restricciones a exportaciones mexicanas aplicadas unilateralmente por otros países. </w:t>
      </w:r>
    </w:p>
    <w:p w14:paraId="36601C41" w14:textId="77777777"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14:paraId="2028B5D1" w14:textId="77777777" w:rsidR="00D52CD1" w:rsidRPr="007923C2" w:rsidRDefault="00D52CD1" w:rsidP="00D52CD1">
      <w:pPr>
        <w:widowControl w:val="0"/>
        <w:numPr>
          <w:ilvl w:val="0"/>
          <w:numId w:val="152"/>
        </w:numPr>
        <w:tabs>
          <w:tab w:val="clear" w:pos="720"/>
          <w:tab w:val="num" w:pos="6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Cuando sea necesario impedir la concurrencia al mercado interno de mercancías en condiciones que impliquen prácticas desleales de comercio internacional. </w:t>
      </w:r>
    </w:p>
    <w:p w14:paraId="54D3E259"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5F9F5EDA" w14:textId="77777777" w:rsidR="00D52CD1" w:rsidRPr="007923C2" w:rsidRDefault="00D52CD1" w:rsidP="00D52CD1">
      <w:pPr>
        <w:widowControl w:val="0"/>
        <w:numPr>
          <w:ilvl w:val="0"/>
          <w:numId w:val="152"/>
        </w:numPr>
        <w:tabs>
          <w:tab w:val="clear" w:pos="720"/>
          <w:tab w:val="num" w:pos="600"/>
        </w:tabs>
        <w:overflowPunct w:val="0"/>
        <w:autoSpaceDE w:val="0"/>
        <w:autoSpaceDN w:val="0"/>
        <w:adjustRightInd w:val="0"/>
        <w:spacing w:after="0" w:line="236" w:lineRule="auto"/>
        <w:ind w:left="0" w:right="40" w:firstLine="0"/>
        <w:jc w:val="both"/>
        <w:rPr>
          <w:rFonts w:ascii="Arial" w:hAnsi="Arial" w:cs="Arial"/>
          <w:sz w:val="22"/>
          <w:szCs w:val="22"/>
        </w:rPr>
      </w:pPr>
      <w:r w:rsidRPr="007923C2">
        <w:rPr>
          <w:rFonts w:ascii="Arial" w:hAnsi="Arial" w:cs="Arial"/>
          <w:sz w:val="22"/>
          <w:szCs w:val="22"/>
        </w:rPr>
        <w:t xml:space="preserve">Cuando se trate de situaciones no previstas por las normas oficiales mexicanas en lo referente a seguridad nacional, salud pública, sanidad fitopecuaria o ecología de acuerdo con la legislación en la materia. </w:t>
      </w:r>
    </w:p>
    <w:p w14:paraId="0006A7F7" w14:textId="77777777" w:rsidR="00D52CD1" w:rsidRPr="007923C2" w:rsidRDefault="00D52CD1" w:rsidP="00D52CD1">
      <w:pPr>
        <w:widowControl w:val="0"/>
        <w:autoSpaceDE w:val="0"/>
        <w:autoSpaceDN w:val="0"/>
        <w:adjustRightInd w:val="0"/>
        <w:spacing w:after="0" w:line="316" w:lineRule="exact"/>
        <w:ind w:right="40"/>
        <w:jc w:val="both"/>
        <w:rPr>
          <w:rFonts w:ascii="Arial" w:hAnsi="Arial" w:cs="Arial"/>
          <w:sz w:val="22"/>
          <w:szCs w:val="22"/>
        </w:rPr>
      </w:pPr>
    </w:p>
    <w:p w14:paraId="1A666F3F"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 xml:space="preserve">Es importante mencionar que el establecimiento de las medidas señaladas deberá someterse previamente a la opinión de la Comisión de Comercio Exterior y publicarse en el </w:t>
      </w:r>
      <w:r w:rsidRPr="007923C2">
        <w:rPr>
          <w:rFonts w:ascii="Arial" w:hAnsi="Arial" w:cs="Arial"/>
          <w:i/>
          <w:iCs/>
          <w:sz w:val="22"/>
          <w:szCs w:val="22"/>
        </w:rPr>
        <w:t>DOF</w:t>
      </w:r>
      <w:r w:rsidRPr="007923C2">
        <w:rPr>
          <w:rFonts w:ascii="Arial" w:hAnsi="Arial" w:cs="Arial"/>
          <w:sz w:val="22"/>
          <w:szCs w:val="22"/>
        </w:rPr>
        <w:t>.</w:t>
      </w:r>
    </w:p>
    <w:p w14:paraId="66C6866C" w14:textId="77777777" w:rsidR="00D52CD1" w:rsidRPr="007923C2" w:rsidRDefault="00D52CD1" w:rsidP="00D52CD1">
      <w:pPr>
        <w:widowControl w:val="0"/>
        <w:autoSpaceDE w:val="0"/>
        <w:autoSpaceDN w:val="0"/>
        <w:adjustRightInd w:val="0"/>
        <w:spacing w:after="0" w:line="190" w:lineRule="auto"/>
        <w:ind w:right="40"/>
        <w:jc w:val="both"/>
        <w:rPr>
          <w:rFonts w:ascii="Arial" w:hAnsi="Arial" w:cs="Arial"/>
          <w:sz w:val="22"/>
          <w:szCs w:val="22"/>
        </w:rPr>
      </w:pPr>
      <w:r w:rsidRPr="007923C2">
        <w:rPr>
          <w:rFonts w:ascii="Arial" w:hAnsi="Arial" w:cs="Arial"/>
          <w:sz w:val="22"/>
          <w:szCs w:val="22"/>
        </w:rPr>
        <w:t>Las medidas de regulación y restricción no arancelarias consistirán en:</w:t>
      </w:r>
    </w:p>
    <w:p w14:paraId="691FD01E" w14:textId="77777777" w:rsidR="00D52CD1" w:rsidRPr="007923C2" w:rsidRDefault="00D52CD1" w:rsidP="00D52CD1">
      <w:pPr>
        <w:widowControl w:val="0"/>
        <w:autoSpaceDE w:val="0"/>
        <w:autoSpaceDN w:val="0"/>
        <w:adjustRightInd w:val="0"/>
        <w:spacing w:after="0" w:line="133" w:lineRule="exact"/>
        <w:ind w:right="40"/>
        <w:jc w:val="both"/>
        <w:rPr>
          <w:rFonts w:ascii="Arial" w:hAnsi="Arial" w:cs="Arial"/>
          <w:sz w:val="22"/>
          <w:szCs w:val="22"/>
        </w:rPr>
      </w:pPr>
    </w:p>
    <w:p w14:paraId="047FF255"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i/>
          <w:iCs/>
          <w:sz w:val="22"/>
          <w:szCs w:val="22"/>
        </w:rPr>
        <w:lastRenderedPageBreak/>
        <w:t>Permisos previos</w:t>
      </w:r>
      <w:r w:rsidRPr="007923C2">
        <w:rPr>
          <w:rFonts w:ascii="Arial" w:hAnsi="Arial" w:cs="Arial"/>
          <w:sz w:val="22"/>
          <w:szCs w:val="22"/>
        </w:rPr>
        <w:t>. Es el instrumento expedido por la Secretaría deEconomía para realizar la entrada o salida de mercancías al territorio nacional.</w:t>
      </w:r>
    </w:p>
    <w:p w14:paraId="3B805BC7" w14:textId="77777777" w:rsidR="00D52CD1" w:rsidRPr="007923C2" w:rsidRDefault="00D52CD1" w:rsidP="00D52CD1">
      <w:pPr>
        <w:widowControl w:val="0"/>
        <w:autoSpaceDE w:val="0"/>
        <w:autoSpaceDN w:val="0"/>
        <w:adjustRightInd w:val="0"/>
        <w:spacing w:after="0" w:line="2" w:lineRule="exact"/>
        <w:ind w:right="40"/>
        <w:jc w:val="both"/>
        <w:rPr>
          <w:rFonts w:ascii="Arial" w:hAnsi="Arial" w:cs="Arial"/>
          <w:sz w:val="22"/>
          <w:szCs w:val="22"/>
        </w:rPr>
      </w:pPr>
    </w:p>
    <w:p w14:paraId="464DC446" w14:textId="77777777" w:rsidR="00D52CD1" w:rsidRPr="007923C2" w:rsidRDefault="00D52CD1" w:rsidP="00D52CD1">
      <w:pPr>
        <w:widowControl w:val="0"/>
        <w:overflowPunct w:val="0"/>
        <w:autoSpaceDE w:val="0"/>
        <w:autoSpaceDN w:val="0"/>
        <w:adjustRightInd w:val="0"/>
        <w:spacing w:after="0" w:line="232" w:lineRule="auto"/>
        <w:ind w:right="40"/>
        <w:jc w:val="both"/>
        <w:rPr>
          <w:rFonts w:ascii="Arial" w:hAnsi="Arial" w:cs="Arial"/>
          <w:sz w:val="22"/>
          <w:szCs w:val="22"/>
        </w:rPr>
      </w:pPr>
      <w:r w:rsidRPr="007923C2">
        <w:rPr>
          <w:rFonts w:ascii="Arial" w:hAnsi="Arial" w:cs="Arial"/>
          <w:i/>
          <w:iCs/>
          <w:sz w:val="22"/>
          <w:szCs w:val="22"/>
        </w:rPr>
        <w:t>Cupos</w:t>
      </w:r>
      <w:r w:rsidRPr="007923C2">
        <w:rPr>
          <w:rFonts w:ascii="Arial" w:hAnsi="Arial" w:cs="Arial"/>
          <w:sz w:val="22"/>
          <w:szCs w:val="22"/>
        </w:rPr>
        <w:t>. Se entiende por cupo el monto de una mercancía que podráser exportado o importado, ya sea máximo o dentro de un arancel. La administración de los cupos se podrá hacer por medio de permisos previos.</w:t>
      </w:r>
    </w:p>
    <w:p w14:paraId="306F893F" w14:textId="77777777" w:rsidR="00D52CD1" w:rsidRPr="007923C2" w:rsidRDefault="00D52CD1" w:rsidP="00D52CD1">
      <w:pPr>
        <w:widowControl w:val="0"/>
        <w:autoSpaceDE w:val="0"/>
        <w:autoSpaceDN w:val="0"/>
        <w:adjustRightInd w:val="0"/>
        <w:spacing w:after="0" w:line="348" w:lineRule="exact"/>
        <w:ind w:right="40"/>
        <w:jc w:val="both"/>
        <w:rPr>
          <w:rFonts w:ascii="Arial" w:hAnsi="Arial" w:cs="Arial"/>
          <w:sz w:val="22"/>
          <w:szCs w:val="22"/>
        </w:rPr>
      </w:pPr>
    </w:p>
    <w:p w14:paraId="41F10B3B"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bookmarkStart w:id="20" w:name="page41"/>
      <w:bookmarkEnd w:id="20"/>
      <w:r w:rsidRPr="007923C2">
        <w:rPr>
          <w:rFonts w:ascii="Arial" w:hAnsi="Arial" w:cs="Arial"/>
          <w:i/>
          <w:iCs/>
          <w:sz w:val="22"/>
          <w:szCs w:val="22"/>
        </w:rPr>
        <w:t>Marcado de país de origen</w:t>
      </w:r>
      <w:r w:rsidRPr="007923C2">
        <w:rPr>
          <w:rFonts w:ascii="Arial" w:hAnsi="Arial" w:cs="Arial"/>
          <w:sz w:val="22"/>
          <w:szCs w:val="22"/>
        </w:rPr>
        <w:t>. La Secretaría de Economía, previa consulta a la Comisión de Comercio Exterior, podrá exigir que una mercancía importada al territorio nacional ostente un marcado de país de origen en donde se indique el nombre de dicho país (artículo 25, LCE).</w:t>
      </w:r>
    </w:p>
    <w:p w14:paraId="5748AC00" w14:textId="77777777" w:rsidR="00D52CD1" w:rsidRPr="007923C2" w:rsidRDefault="00D52CD1" w:rsidP="00D52CD1">
      <w:pPr>
        <w:widowControl w:val="0"/>
        <w:autoSpaceDE w:val="0"/>
        <w:autoSpaceDN w:val="0"/>
        <w:adjustRightInd w:val="0"/>
        <w:spacing w:after="0" w:line="305" w:lineRule="exact"/>
        <w:ind w:right="40"/>
        <w:jc w:val="both"/>
        <w:rPr>
          <w:rFonts w:ascii="Arial" w:hAnsi="Arial" w:cs="Arial"/>
          <w:sz w:val="22"/>
          <w:szCs w:val="22"/>
        </w:rPr>
      </w:pPr>
    </w:p>
    <w:p w14:paraId="19FB667A" w14:textId="77777777"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 xml:space="preserve">F.  </w:t>
      </w:r>
      <w:r w:rsidRPr="007923C2">
        <w:rPr>
          <w:rFonts w:ascii="Arial" w:hAnsi="Arial" w:cs="Arial"/>
          <w:i/>
          <w:iCs/>
          <w:sz w:val="22"/>
          <w:szCs w:val="22"/>
        </w:rPr>
        <w:t>Financiamiento a las importaciones</w:t>
      </w:r>
    </w:p>
    <w:p w14:paraId="5C970E11" w14:textId="77777777" w:rsidR="00D52CD1" w:rsidRPr="007923C2" w:rsidRDefault="00D52CD1" w:rsidP="00D52CD1">
      <w:pPr>
        <w:widowControl w:val="0"/>
        <w:autoSpaceDE w:val="0"/>
        <w:autoSpaceDN w:val="0"/>
        <w:adjustRightInd w:val="0"/>
        <w:spacing w:after="0" w:line="192" w:lineRule="exact"/>
        <w:ind w:right="40"/>
        <w:jc w:val="both"/>
        <w:rPr>
          <w:rFonts w:ascii="Arial" w:hAnsi="Arial" w:cs="Arial"/>
          <w:sz w:val="22"/>
          <w:szCs w:val="22"/>
        </w:rPr>
      </w:pPr>
    </w:p>
    <w:p w14:paraId="2A038169"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Como es sabido, el apoyo financiero es fundamental para llevar a cabo operaciones de comercio internacional, ya que de ello depende el incremento y fortalecimiento de las mismas y su adecuada planeación.</w:t>
      </w:r>
    </w:p>
    <w:p w14:paraId="63886DD0"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03E9A825"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El Banco Nacional de Comercio Exterior (BANCOMEXT) es la institución financiera del gobierno federal encargada de promover el comercio exterior de México, particularmente las exportaciones no petroleras y de fomentar la presencia de inversión extranjera en México y la realización de coinversiones con empresas foráneas. BANCOMEXT realiza operaciones crediticias por medio de la infraestructura del sistema financiero y además otorga servicios no financieros y de información directa a los empresarios involucrados en el comercio internacional.</w:t>
      </w:r>
    </w:p>
    <w:p w14:paraId="35E45647" w14:textId="77777777"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14:paraId="13CEBC89"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En materia de financiamiento existe una amplia gama de programas, entre los que destacan el enfocado a exportadores, proveedores de exportadores, comercializadoras, uniones de productores, empresas interesadas en llevar a cabo alianzas estratégicas con empresas extranjeras, empresas extranjeras que realizan importaciones de bienes y servicios producidos en México y de importadores de bienes de capital, materias primas y tecnología que se incorporan a las exportaciones.</w:t>
      </w:r>
    </w:p>
    <w:p w14:paraId="7D2385F8" w14:textId="77777777" w:rsidR="00D52CD1" w:rsidRPr="007923C2" w:rsidRDefault="00D52CD1" w:rsidP="00D52CD1">
      <w:pPr>
        <w:widowControl w:val="0"/>
        <w:autoSpaceDE w:val="0"/>
        <w:autoSpaceDN w:val="0"/>
        <w:adjustRightInd w:val="0"/>
        <w:spacing w:after="0" w:line="17" w:lineRule="exact"/>
        <w:ind w:right="40"/>
        <w:jc w:val="both"/>
        <w:rPr>
          <w:rFonts w:ascii="Arial" w:hAnsi="Arial" w:cs="Arial"/>
          <w:sz w:val="22"/>
          <w:szCs w:val="22"/>
        </w:rPr>
      </w:pPr>
    </w:p>
    <w:p w14:paraId="56D76FC2" w14:textId="77777777"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A continuación se exponen los aspectos más importantes de los e</w:t>
      </w:r>
      <w:r w:rsidR="00FE0FDC">
        <w:rPr>
          <w:rFonts w:ascii="Arial" w:hAnsi="Arial" w:cs="Arial"/>
          <w:sz w:val="22"/>
          <w:szCs w:val="22"/>
        </w:rPr>
        <w:t>s</w:t>
      </w:r>
      <w:r w:rsidRPr="007923C2">
        <w:rPr>
          <w:rFonts w:ascii="Arial" w:hAnsi="Arial" w:cs="Arial"/>
          <w:sz w:val="22"/>
          <w:szCs w:val="22"/>
        </w:rPr>
        <w:t>quemas de financiamiento a importadores existentes actualmente.</w:t>
      </w:r>
    </w:p>
    <w:p w14:paraId="21E73846" w14:textId="77777777" w:rsidR="00D52CD1" w:rsidRPr="007923C2" w:rsidRDefault="00D52CD1" w:rsidP="00D52CD1">
      <w:pPr>
        <w:widowControl w:val="0"/>
        <w:autoSpaceDE w:val="0"/>
        <w:autoSpaceDN w:val="0"/>
        <w:adjustRightInd w:val="0"/>
        <w:spacing w:after="0" w:line="306" w:lineRule="exact"/>
        <w:ind w:right="40"/>
        <w:jc w:val="both"/>
        <w:rPr>
          <w:rFonts w:ascii="Arial" w:hAnsi="Arial" w:cs="Arial"/>
          <w:sz w:val="22"/>
          <w:szCs w:val="22"/>
        </w:rPr>
      </w:pPr>
    </w:p>
    <w:p w14:paraId="3E66A441"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i/>
          <w:iCs/>
          <w:sz w:val="22"/>
          <w:szCs w:val="22"/>
        </w:rPr>
        <w:t xml:space="preserve">a)  </w:t>
      </w:r>
      <w:r w:rsidRPr="007923C2">
        <w:rPr>
          <w:rFonts w:ascii="Arial" w:hAnsi="Arial" w:cs="Arial"/>
          <w:sz w:val="22"/>
          <w:szCs w:val="22"/>
        </w:rPr>
        <w:t>Importación de insumos</w:t>
      </w:r>
    </w:p>
    <w:p w14:paraId="02B82EC1" w14:textId="77777777" w:rsidR="00D52CD1" w:rsidRPr="007923C2" w:rsidRDefault="00D52CD1" w:rsidP="00D52CD1">
      <w:pPr>
        <w:widowControl w:val="0"/>
        <w:autoSpaceDE w:val="0"/>
        <w:autoSpaceDN w:val="0"/>
        <w:adjustRightInd w:val="0"/>
        <w:spacing w:after="0" w:line="253" w:lineRule="exact"/>
        <w:ind w:right="40"/>
        <w:jc w:val="both"/>
        <w:rPr>
          <w:rFonts w:ascii="Arial" w:hAnsi="Arial" w:cs="Arial"/>
          <w:sz w:val="22"/>
          <w:szCs w:val="22"/>
        </w:rPr>
      </w:pPr>
    </w:p>
    <w:p w14:paraId="6EE64D1F"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Los beneficiarios de este programa son los exportadores directos o indirectos que incorporen los insumos importados a bienes de exportación directa o indirecta; los recursos se utilizan para la adquisición de insumos, materias primas, partes componentes, empaques, embalajes, refacciones y materiales auxiliares para el proceso productivo, provenientes de cualquier parte del mundo conforme a la modalidad de reembolso de facturas de compra del último mes o trimestre.</w:t>
      </w:r>
    </w:p>
    <w:p w14:paraId="14298225"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177294CB"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En este esquema se financia hasta el 100% del valor de la factura. El plazo es a 180 días contados a partir de la fecha de presentación de la operación a descuento o de la negociación del instrumento de pago en el caso de modalidad de desembolso. No se requiere garantías de BANCO-MEXT, la amortización es una sola al vencimiento, y las tasas de interés se determinan al contratarlo, ya que son cambiantes.</w:t>
      </w:r>
    </w:p>
    <w:p w14:paraId="21C2F0F0" w14:textId="77777777" w:rsidR="00D52CD1" w:rsidRPr="007923C2" w:rsidRDefault="00D52CD1" w:rsidP="00D52CD1">
      <w:pPr>
        <w:widowControl w:val="0"/>
        <w:autoSpaceDE w:val="0"/>
        <w:autoSpaceDN w:val="0"/>
        <w:adjustRightInd w:val="0"/>
        <w:spacing w:after="0" w:line="307" w:lineRule="exact"/>
        <w:ind w:right="40"/>
        <w:jc w:val="both"/>
        <w:rPr>
          <w:rFonts w:ascii="Arial" w:hAnsi="Arial" w:cs="Arial"/>
          <w:sz w:val="22"/>
          <w:szCs w:val="22"/>
        </w:rPr>
      </w:pPr>
    </w:p>
    <w:p w14:paraId="4EA1DBB6"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i/>
          <w:iCs/>
          <w:sz w:val="22"/>
          <w:szCs w:val="22"/>
        </w:rPr>
        <w:t xml:space="preserve">b)  </w:t>
      </w:r>
      <w:r w:rsidRPr="007923C2">
        <w:rPr>
          <w:rFonts w:ascii="Arial" w:hAnsi="Arial" w:cs="Arial"/>
          <w:sz w:val="22"/>
          <w:szCs w:val="22"/>
        </w:rPr>
        <w:t>Importación de productos básicos</w:t>
      </w:r>
    </w:p>
    <w:p w14:paraId="3276BB9F" w14:textId="77777777" w:rsidR="00D52CD1" w:rsidRPr="007923C2" w:rsidRDefault="00D52CD1" w:rsidP="00D52CD1">
      <w:pPr>
        <w:widowControl w:val="0"/>
        <w:autoSpaceDE w:val="0"/>
        <w:autoSpaceDN w:val="0"/>
        <w:adjustRightInd w:val="0"/>
        <w:spacing w:after="0" w:line="255" w:lineRule="exact"/>
        <w:ind w:right="40"/>
        <w:jc w:val="both"/>
        <w:rPr>
          <w:rFonts w:ascii="Arial" w:hAnsi="Arial" w:cs="Arial"/>
          <w:sz w:val="22"/>
          <w:szCs w:val="22"/>
        </w:rPr>
      </w:pPr>
    </w:p>
    <w:p w14:paraId="100888D3"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Los beneficiarios de este esquema son las empresas de los sectores apoyables por BANCOMEXT (manufacturas y servicios, minero-metalúrgico, agropecuario y agroindustrial, pesca y turismo) y los recursos se destinan a la adquisición de productos básicos de Estados Unidos y Canadá a través de las líneas de crédito de importación garantizadas por la Commodity Credit Corporation y la Export Development Corporation.</w:t>
      </w:r>
    </w:p>
    <w:p w14:paraId="3275B3C3" w14:textId="77777777"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14:paraId="687E00A7"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lastRenderedPageBreak/>
        <w:t>Se puede financiar hasta el 100% del valor libre a bordo, y el plazo es a 180 días contados a partir de la negociación de la carta de crédito comercial irrevocable, siendo la amortización una sola al vencimiento, sin que sea necesaria garantía de BANCOMEXT, existiendo primas de seguro; el esquema de comisiones y de tasas de interés se determinan al contratarlo, ya que son cambiantes.</w:t>
      </w:r>
    </w:p>
    <w:p w14:paraId="44EBE514"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28C00503"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En adición a lo anterior, existe el esquema de financiamiento para unidades de equipo importadas que sirve para adquirir maquinaria y equipo destinados a procesos productivos o para prestación de servicios, a ahorro y cogeneración de energía, para protección al ambiente y para transporte de carga y turístico.</w:t>
      </w:r>
    </w:p>
    <w:p w14:paraId="698D0846" w14:textId="77777777" w:rsidR="00D52CD1" w:rsidRPr="007923C2" w:rsidRDefault="00D52CD1" w:rsidP="00D52CD1">
      <w:pPr>
        <w:widowControl w:val="0"/>
        <w:autoSpaceDE w:val="0"/>
        <w:autoSpaceDN w:val="0"/>
        <w:adjustRightInd w:val="0"/>
        <w:spacing w:after="0" w:line="307" w:lineRule="exact"/>
        <w:ind w:right="40"/>
        <w:jc w:val="both"/>
        <w:rPr>
          <w:rFonts w:ascii="Arial" w:hAnsi="Arial" w:cs="Arial"/>
          <w:sz w:val="22"/>
          <w:szCs w:val="22"/>
        </w:rPr>
      </w:pPr>
    </w:p>
    <w:p w14:paraId="62834A82"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i/>
          <w:iCs/>
          <w:sz w:val="22"/>
          <w:szCs w:val="22"/>
        </w:rPr>
        <w:t xml:space="preserve">c)  </w:t>
      </w:r>
      <w:r w:rsidRPr="007923C2">
        <w:rPr>
          <w:rFonts w:ascii="Arial" w:hAnsi="Arial" w:cs="Arial"/>
          <w:sz w:val="22"/>
          <w:szCs w:val="22"/>
        </w:rPr>
        <w:t>Créditos al comprador</w:t>
      </w:r>
    </w:p>
    <w:p w14:paraId="61CE3856" w14:textId="77777777" w:rsidR="00D52CD1" w:rsidRPr="007923C2" w:rsidRDefault="00D52CD1" w:rsidP="00D52CD1">
      <w:pPr>
        <w:widowControl w:val="0"/>
        <w:autoSpaceDE w:val="0"/>
        <w:autoSpaceDN w:val="0"/>
        <w:adjustRightInd w:val="0"/>
        <w:spacing w:after="0" w:line="193" w:lineRule="exact"/>
        <w:ind w:right="40"/>
        <w:jc w:val="both"/>
        <w:rPr>
          <w:rFonts w:ascii="Arial" w:hAnsi="Arial" w:cs="Arial"/>
          <w:sz w:val="22"/>
          <w:szCs w:val="22"/>
        </w:rPr>
      </w:pPr>
    </w:p>
    <w:p w14:paraId="3F5436A6"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El crédito al comprador es un apoyo financiero que BANCOMEXT ofrece a los importadores de bienes y/o servicios mexicanos, a través de una institución financiera en el país del importador acreditada por BANCOMEXT.</w:t>
      </w:r>
    </w:p>
    <w:p w14:paraId="1CC15E5D"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414DEA61"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Las líneas de crédito al comprador permiten impulsar el desarrollo del sector exportador de México y mejorar la competitividad de los productos y servicios mexicanos en el extranjero, principalmente en América</w:t>
      </w:r>
    </w:p>
    <w:p w14:paraId="652567D9" w14:textId="77777777"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p>
    <w:p w14:paraId="670DDD26"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bookmarkStart w:id="21" w:name="page45"/>
      <w:bookmarkEnd w:id="21"/>
      <w:r w:rsidRPr="007923C2">
        <w:rPr>
          <w:rFonts w:ascii="Arial" w:hAnsi="Arial" w:cs="Arial"/>
          <w:sz w:val="22"/>
          <w:szCs w:val="22"/>
        </w:rPr>
        <w:t>Latina y el Caribe, contribuyendo de esta forma a fomentar la demanda por bienes y servicios mexicanos en otros mercados.</w:t>
      </w:r>
    </w:p>
    <w:p w14:paraId="19E9FB89"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40636C7E"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A través de estas líneas de crédito, los importadores pueden adquirir servicios, bienes de consumo inmediato, bienes de consumo duradero y bienes de capital de origen mexicano con un grado de integración nacional mínimo de 30%, con financiamiento a plazos otorgados por instituciones financieras en su país, mientras que el exportador recibe el pago de su venta al contado.</w:t>
      </w:r>
    </w:p>
    <w:p w14:paraId="414600AE" w14:textId="77777777" w:rsidR="00D52CD1" w:rsidRPr="007923C2" w:rsidRDefault="00D52CD1" w:rsidP="00D52CD1">
      <w:pPr>
        <w:widowControl w:val="0"/>
        <w:autoSpaceDE w:val="0"/>
        <w:autoSpaceDN w:val="0"/>
        <w:adjustRightInd w:val="0"/>
        <w:spacing w:after="0" w:line="236" w:lineRule="exact"/>
        <w:ind w:right="40"/>
        <w:jc w:val="both"/>
        <w:rPr>
          <w:rFonts w:ascii="Arial" w:hAnsi="Arial" w:cs="Arial"/>
          <w:sz w:val="22"/>
          <w:szCs w:val="22"/>
        </w:rPr>
      </w:pPr>
    </w:p>
    <w:p w14:paraId="3594E40F" w14:textId="77777777" w:rsidR="00D52CD1" w:rsidRPr="007923C2" w:rsidRDefault="00D52CD1" w:rsidP="00D52CD1">
      <w:pPr>
        <w:widowControl w:val="0"/>
        <w:tabs>
          <w:tab w:val="left" w:pos="340"/>
        </w:tabs>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2.</w:t>
      </w:r>
      <w:r w:rsidRPr="007923C2">
        <w:rPr>
          <w:rFonts w:ascii="Arial" w:hAnsi="Arial" w:cs="Arial"/>
          <w:sz w:val="22"/>
          <w:szCs w:val="22"/>
        </w:rPr>
        <w:tab/>
      </w:r>
      <w:r w:rsidRPr="007923C2">
        <w:rPr>
          <w:rFonts w:ascii="Arial" w:hAnsi="Arial" w:cs="Arial"/>
          <w:i/>
          <w:iCs/>
          <w:sz w:val="22"/>
          <w:szCs w:val="22"/>
        </w:rPr>
        <w:t>Exportaciones</w:t>
      </w:r>
    </w:p>
    <w:p w14:paraId="2BFDECEA" w14:textId="77777777" w:rsidR="00D52CD1" w:rsidRPr="007923C2" w:rsidRDefault="00D52CD1" w:rsidP="00D52CD1">
      <w:pPr>
        <w:widowControl w:val="0"/>
        <w:autoSpaceDE w:val="0"/>
        <w:autoSpaceDN w:val="0"/>
        <w:adjustRightInd w:val="0"/>
        <w:spacing w:after="0" w:line="196" w:lineRule="exact"/>
        <w:ind w:right="40"/>
        <w:jc w:val="both"/>
        <w:rPr>
          <w:rFonts w:ascii="Arial" w:hAnsi="Arial" w:cs="Arial"/>
          <w:sz w:val="22"/>
          <w:szCs w:val="22"/>
        </w:rPr>
      </w:pPr>
    </w:p>
    <w:p w14:paraId="4776A233"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La actividad exportadora constituye una importante alternativa de desarrollo para las empresas en lo particular y de manera general para el país. No podemos desvincular las importaciones de las exportaciones. En términos económicos, ambas actividades forman parte de la balanza comercial, y su saldo refleja el superávit o déficit comercial.</w:t>
      </w:r>
    </w:p>
    <w:p w14:paraId="2D396C86" w14:textId="77777777" w:rsidR="00D52CD1" w:rsidRPr="007923C2" w:rsidRDefault="00D52CD1" w:rsidP="00D52CD1">
      <w:pPr>
        <w:widowControl w:val="0"/>
        <w:autoSpaceDE w:val="0"/>
        <w:autoSpaceDN w:val="0"/>
        <w:adjustRightInd w:val="0"/>
        <w:spacing w:after="0" w:line="303" w:lineRule="exact"/>
        <w:ind w:right="40"/>
        <w:jc w:val="both"/>
        <w:rPr>
          <w:rFonts w:ascii="Arial" w:hAnsi="Arial" w:cs="Arial"/>
          <w:sz w:val="22"/>
          <w:szCs w:val="22"/>
        </w:rPr>
      </w:pPr>
    </w:p>
    <w:p w14:paraId="0F051D09"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A. </w:t>
      </w:r>
      <w:r w:rsidRPr="007923C2">
        <w:rPr>
          <w:rFonts w:ascii="Arial" w:hAnsi="Arial" w:cs="Arial"/>
          <w:i/>
          <w:iCs/>
          <w:sz w:val="22"/>
          <w:szCs w:val="22"/>
        </w:rPr>
        <w:t>Concepto</w:t>
      </w:r>
    </w:p>
    <w:p w14:paraId="52379944" w14:textId="77777777" w:rsidR="00D52CD1" w:rsidRPr="007923C2" w:rsidRDefault="00D52CD1" w:rsidP="00D52CD1">
      <w:pPr>
        <w:widowControl w:val="0"/>
        <w:autoSpaceDE w:val="0"/>
        <w:autoSpaceDN w:val="0"/>
        <w:adjustRightInd w:val="0"/>
        <w:spacing w:after="0" w:line="193" w:lineRule="exact"/>
        <w:ind w:right="40"/>
        <w:jc w:val="both"/>
        <w:rPr>
          <w:rFonts w:ascii="Arial" w:hAnsi="Arial" w:cs="Arial"/>
          <w:sz w:val="22"/>
          <w:szCs w:val="22"/>
        </w:rPr>
      </w:pPr>
    </w:p>
    <w:p w14:paraId="39FFABFB"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Este concepto puede ser analizado desde diferentes puntos de vista, tomando en cuenta que el proceso de exportación es una actividad de naturaleza comercial, con repercusiones económicas y financieras con una extensa regulación jurídica.</w:t>
      </w:r>
    </w:p>
    <w:p w14:paraId="207593B4"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59B019DC"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La exportación es el envío de mercaderías nacionales o nacionalizadas para su uso o consumo en el exterior. Jurídicamente, ello significa una venta más allá de las fronteras políticas de un país. Esta operación supone la salida de mercancías de un territorio aduanero y produce como contrapartida una entrada de divisas.</w:t>
      </w:r>
    </w:p>
    <w:p w14:paraId="53DCF2F9" w14:textId="77777777" w:rsidR="00D52CD1" w:rsidRPr="007923C2" w:rsidRDefault="00D52CD1" w:rsidP="00D52CD1">
      <w:pPr>
        <w:widowControl w:val="0"/>
        <w:autoSpaceDE w:val="0"/>
        <w:autoSpaceDN w:val="0"/>
        <w:adjustRightInd w:val="0"/>
        <w:spacing w:after="0" w:line="5" w:lineRule="exact"/>
        <w:ind w:right="40"/>
        <w:jc w:val="both"/>
        <w:rPr>
          <w:rFonts w:ascii="Arial" w:hAnsi="Arial" w:cs="Arial"/>
          <w:sz w:val="22"/>
          <w:szCs w:val="22"/>
        </w:rPr>
      </w:pPr>
    </w:p>
    <w:p w14:paraId="5E62236E"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En teoría, la exportación está vinculada a tres criterios:</w:t>
      </w:r>
    </w:p>
    <w:p w14:paraId="75F61F28" w14:textId="77777777" w:rsidR="00D52CD1" w:rsidRPr="007923C2" w:rsidRDefault="00D52CD1" w:rsidP="00D52CD1">
      <w:pPr>
        <w:widowControl w:val="0"/>
        <w:autoSpaceDE w:val="0"/>
        <w:autoSpaceDN w:val="0"/>
        <w:adjustRightInd w:val="0"/>
        <w:spacing w:after="0" w:line="84" w:lineRule="exact"/>
        <w:ind w:right="40"/>
        <w:jc w:val="both"/>
        <w:rPr>
          <w:rFonts w:ascii="Arial" w:hAnsi="Arial" w:cs="Arial"/>
          <w:sz w:val="22"/>
          <w:szCs w:val="22"/>
        </w:rPr>
      </w:pPr>
    </w:p>
    <w:p w14:paraId="7E162675" w14:textId="77777777" w:rsidR="00D52CD1" w:rsidRPr="007923C2" w:rsidRDefault="00D52CD1" w:rsidP="00D52CD1">
      <w:pPr>
        <w:widowControl w:val="0"/>
        <w:numPr>
          <w:ilvl w:val="0"/>
          <w:numId w:val="153"/>
        </w:numPr>
        <w:tabs>
          <w:tab w:val="clear" w:pos="720"/>
          <w:tab w:val="num" w:pos="620"/>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Al transporte, como simple acto material; </w:t>
      </w:r>
    </w:p>
    <w:p w14:paraId="32CE4A1F"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2EFE453B" w14:textId="77777777" w:rsidR="00D52CD1" w:rsidRPr="007923C2" w:rsidRDefault="00D52CD1" w:rsidP="00D52CD1">
      <w:pPr>
        <w:widowControl w:val="0"/>
        <w:numPr>
          <w:ilvl w:val="0"/>
          <w:numId w:val="153"/>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Al envío, como generador de relaciones jurídicas y fiscales de una operación comercial; </w:t>
      </w:r>
    </w:p>
    <w:p w14:paraId="6BB2A439"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3F531CF6" w14:textId="77777777" w:rsidR="00D52CD1" w:rsidRPr="007923C2" w:rsidRDefault="00D52CD1" w:rsidP="00D52CD1">
      <w:pPr>
        <w:widowControl w:val="0"/>
        <w:numPr>
          <w:ilvl w:val="0"/>
          <w:numId w:val="153"/>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A la venta, esto es, motivación del envío, limitándola a que toda exportación se haga por un precio o contraprestación de divisas. </w:t>
      </w:r>
    </w:p>
    <w:p w14:paraId="728AE5C0" w14:textId="77777777" w:rsidR="00D52CD1" w:rsidRPr="007923C2" w:rsidRDefault="00D52CD1" w:rsidP="00D52CD1">
      <w:pPr>
        <w:widowControl w:val="0"/>
        <w:autoSpaceDE w:val="0"/>
        <w:autoSpaceDN w:val="0"/>
        <w:adjustRightInd w:val="0"/>
        <w:spacing w:after="0" w:line="93" w:lineRule="exact"/>
        <w:ind w:right="40"/>
        <w:jc w:val="both"/>
        <w:rPr>
          <w:rFonts w:ascii="Arial" w:hAnsi="Arial" w:cs="Arial"/>
          <w:sz w:val="22"/>
          <w:szCs w:val="22"/>
        </w:rPr>
      </w:pPr>
    </w:p>
    <w:p w14:paraId="559CF587"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018422C6"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 xml:space="preserve">El auge exportador mexicano, especialmente en los últimos años, ha exigido una actualización jurídica que describiremos en seguida. Esta normatividad comprende la Ley Aduanera y su reglamento, la Tarifa del Impuesto General de Exportación (TIGE), la Ley de Comercio Exterior y disposiciones </w:t>
      </w:r>
      <w:r w:rsidRPr="007923C2">
        <w:rPr>
          <w:rFonts w:ascii="Arial" w:hAnsi="Arial" w:cs="Arial"/>
          <w:sz w:val="22"/>
          <w:szCs w:val="22"/>
        </w:rPr>
        <w:lastRenderedPageBreak/>
        <w:t>administrativas diversas que apoyan y fomentan la actividad exportadora</w:t>
      </w:r>
    </w:p>
    <w:p w14:paraId="4536BA88" w14:textId="77777777" w:rsidR="00D52CD1" w:rsidRPr="007923C2" w:rsidRDefault="00D52CD1" w:rsidP="00D52CD1">
      <w:pPr>
        <w:widowControl w:val="0"/>
        <w:autoSpaceDE w:val="0"/>
        <w:autoSpaceDN w:val="0"/>
        <w:adjustRightInd w:val="0"/>
        <w:spacing w:after="0" w:line="305" w:lineRule="exact"/>
        <w:ind w:right="40"/>
        <w:jc w:val="both"/>
        <w:rPr>
          <w:rFonts w:ascii="Arial" w:hAnsi="Arial" w:cs="Arial"/>
          <w:sz w:val="22"/>
          <w:szCs w:val="22"/>
        </w:rPr>
      </w:pPr>
    </w:p>
    <w:p w14:paraId="5F9EBA83" w14:textId="77777777"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 xml:space="preserve">B. </w:t>
      </w:r>
      <w:r w:rsidRPr="007923C2">
        <w:rPr>
          <w:rFonts w:ascii="Arial" w:hAnsi="Arial" w:cs="Arial"/>
          <w:i/>
          <w:iCs/>
          <w:sz w:val="22"/>
          <w:szCs w:val="22"/>
        </w:rPr>
        <w:t>Regímenes de exportación</w:t>
      </w:r>
    </w:p>
    <w:p w14:paraId="6766275A" w14:textId="77777777" w:rsidR="00D52CD1" w:rsidRPr="007923C2" w:rsidRDefault="00D52CD1" w:rsidP="00D52CD1">
      <w:pPr>
        <w:widowControl w:val="0"/>
        <w:autoSpaceDE w:val="0"/>
        <w:autoSpaceDN w:val="0"/>
        <w:adjustRightInd w:val="0"/>
        <w:spacing w:after="0" w:line="252" w:lineRule="exact"/>
        <w:ind w:right="40"/>
        <w:jc w:val="both"/>
        <w:rPr>
          <w:rFonts w:ascii="Arial" w:hAnsi="Arial" w:cs="Arial"/>
          <w:sz w:val="22"/>
          <w:szCs w:val="22"/>
        </w:rPr>
      </w:pPr>
    </w:p>
    <w:p w14:paraId="550099E3"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Al igual que en las importaciones, la Ley Aduanera reconoce dos tipos de exportaciones. Las definitivas, que se definen en el artículo 102, como la salida de mercancías del territorio nacional para permanecer en el extranjero por tiempo ilimitado, y las temporales, que se entienden como la salida de mercancías del territorio nacional al extranjero por tiempo limitado y para una finalidad específica.</w:t>
      </w:r>
    </w:p>
    <w:p w14:paraId="131C6C6A" w14:textId="77777777"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14:paraId="4477D4E8"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Para materializar una exportación definitiva, la Ley señala en la fracción II del artículo 36 que los operadores del comercio exterior deben presentar a la aduana de salida los siguientes documentos:</w:t>
      </w:r>
    </w:p>
    <w:p w14:paraId="442F9D2D" w14:textId="77777777" w:rsidR="00D52CD1" w:rsidRPr="007923C2" w:rsidRDefault="00D52CD1" w:rsidP="00D52CD1">
      <w:pPr>
        <w:widowControl w:val="0"/>
        <w:autoSpaceDE w:val="0"/>
        <w:autoSpaceDN w:val="0"/>
        <w:adjustRightInd w:val="0"/>
        <w:spacing w:after="0" w:line="208" w:lineRule="exact"/>
        <w:ind w:right="40"/>
        <w:jc w:val="both"/>
        <w:rPr>
          <w:rFonts w:ascii="Arial" w:hAnsi="Arial" w:cs="Arial"/>
          <w:sz w:val="22"/>
          <w:szCs w:val="22"/>
        </w:rPr>
      </w:pPr>
    </w:p>
    <w:p w14:paraId="71AD9977" w14:textId="77777777" w:rsidR="00D52CD1" w:rsidRPr="007923C2" w:rsidRDefault="00D52CD1" w:rsidP="00D52CD1">
      <w:pPr>
        <w:widowControl w:val="0"/>
        <w:numPr>
          <w:ilvl w:val="0"/>
          <w:numId w:val="154"/>
        </w:numPr>
        <w:tabs>
          <w:tab w:val="clear" w:pos="720"/>
          <w:tab w:val="num" w:pos="620"/>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El pedimento de exportación; </w:t>
      </w:r>
    </w:p>
    <w:p w14:paraId="2BE56D6E" w14:textId="77777777" w:rsidR="00D52CD1" w:rsidRPr="007923C2" w:rsidRDefault="00D52CD1" w:rsidP="00D52CD1">
      <w:pPr>
        <w:widowControl w:val="0"/>
        <w:autoSpaceDE w:val="0"/>
        <w:autoSpaceDN w:val="0"/>
        <w:adjustRightInd w:val="0"/>
        <w:spacing w:after="0" w:line="4" w:lineRule="exact"/>
        <w:ind w:right="40"/>
        <w:jc w:val="both"/>
        <w:rPr>
          <w:rFonts w:ascii="Arial" w:hAnsi="Arial" w:cs="Arial"/>
          <w:sz w:val="22"/>
          <w:szCs w:val="22"/>
        </w:rPr>
      </w:pPr>
    </w:p>
    <w:p w14:paraId="1BA3F0E7" w14:textId="77777777" w:rsidR="00D52CD1" w:rsidRPr="007923C2" w:rsidRDefault="00D52CD1" w:rsidP="00D52CD1">
      <w:pPr>
        <w:widowControl w:val="0"/>
        <w:numPr>
          <w:ilvl w:val="0"/>
          <w:numId w:val="154"/>
        </w:numPr>
        <w:tabs>
          <w:tab w:val="clear" w:pos="720"/>
          <w:tab w:val="num" w:pos="620"/>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La factura comercial que señale el valor de las mercancías; </w:t>
      </w:r>
    </w:p>
    <w:p w14:paraId="7B5D7C85" w14:textId="77777777"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14:paraId="4C7EF9C5" w14:textId="77777777" w:rsidR="00D52CD1" w:rsidRPr="007923C2" w:rsidRDefault="00D52CD1" w:rsidP="00D52CD1">
      <w:pPr>
        <w:widowControl w:val="0"/>
        <w:numPr>
          <w:ilvl w:val="0"/>
          <w:numId w:val="154"/>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Los documentos que comprueben el cumplimiento de regulaciones y restricciones no arancelarias. </w:t>
      </w:r>
    </w:p>
    <w:p w14:paraId="3E40D35B" w14:textId="77777777" w:rsidR="00D52CD1" w:rsidRPr="007923C2" w:rsidRDefault="00D52CD1" w:rsidP="00D52CD1">
      <w:pPr>
        <w:widowControl w:val="0"/>
        <w:autoSpaceDE w:val="0"/>
        <w:autoSpaceDN w:val="0"/>
        <w:adjustRightInd w:val="0"/>
        <w:spacing w:after="0" w:line="216" w:lineRule="exact"/>
        <w:ind w:right="40"/>
        <w:jc w:val="both"/>
        <w:rPr>
          <w:rFonts w:ascii="Arial" w:hAnsi="Arial" w:cs="Arial"/>
          <w:sz w:val="22"/>
          <w:szCs w:val="22"/>
        </w:rPr>
      </w:pPr>
    </w:p>
    <w:p w14:paraId="57F92D43"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El reglamento de esta ley señala los procedimientos complementarios que deben cubrirse para consumar legalmente una operación de exportación, tanto definitiva como temporal.</w:t>
      </w:r>
    </w:p>
    <w:p w14:paraId="0D4A5010"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76EE3ECA"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Para exportar, se deberá cumplir con la carga tributaria general, conforme a la tarifa de la Ley del Impuesto de Exportación (casi exento en su totalidad).</w:t>
      </w:r>
    </w:p>
    <w:p w14:paraId="2CEBC871" w14:textId="77777777" w:rsidR="00D52CD1" w:rsidRPr="007923C2" w:rsidRDefault="00D52CD1" w:rsidP="00D52CD1">
      <w:pPr>
        <w:widowControl w:val="0"/>
        <w:autoSpaceDE w:val="0"/>
        <w:autoSpaceDN w:val="0"/>
        <w:adjustRightInd w:val="0"/>
        <w:spacing w:after="0" w:line="17" w:lineRule="exact"/>
        <w:ind w:right="40"/>
        <w:jc w:val="both"/>
        <w:rPr>
          <w:rFonts w:ascii="Arial" w:hAnsi="Arial" w:cs="Arial"/>
          <w:sz w:val="22"/>
          <w:szCs w:val="22"/>
        </w:rPr>
      </w:pPr>
    </w:p>
    <w:p w14:paraId="6C7550AB" w14:textId="77777777" w:rsidR="00D52CD1" w:rsidRPr="007923C2" w:rsidRDefault="00D52CD1" w:rsidP="00D52CD1">
      <w:pPr>
        <w:widowControl w:val="0"/>
        <w:overflowPunct w:val="0"/>
        <w:autoSpaceDE w:val="0"/>
        <w:autoSpaceDN w:val="0"/>
        <w:adjustRightInd w:val="0"/>
        <w:spacing w:after="0" w:line="255" w:lineRule="auto"/>
        <w:ind w:right="40"/>
        <w:jc w:val="both"/>
        <w:rPr>
          <w:rFonts w:ascii="Arial" w:hAnsi="Arial" w:cs="Arial"/>
          <w:sz w:val="22"/>
          <w:szCs w:val="22"/>
        </w:rPr>
      </w:pPr>
      <w:r w:rsidRPr="007923C2">
        <w:rPr>
          <w:rFonts w:ascii="Arial" w:hAnsi="Arial" w:cs="Arial"/>
          <w:sz w:val="22"/>
          <w:szCs w:val="22"/>
        </w:rPr>
        <w:t>Por lo que se refiere a las fechas que rigen para determinar las cuotas, bases gravables, tipos de cambio de moneda, restricciones, requisitos especiales y prohibiciones aplicables para la exportación de mercancías, serán las de presentación de las mercancías ante la autoridad aduanera.</w:t>
      </w:r>
    </w:p>
    <w:p w14:paraId="6BA4A41C" w14:textId="77777777" w:rsidR="00D52CD1" w:rsidRPr="007923C2" w:rsidRDefault="00D52CD1" w:rsidP="00D52CD1">
      <w:pPr>
        <w:widowControl w:val="0"/>
        <w:autoSpaceDE w:val="0"/>
        <w:autoSpaceDN w:val="0"/>
        <w:adjustRightInd w:val="0"/>
        <w:spacing w:after="0" w:line="3" w:lineRule="exact"/>
        <w:ind w:right="40"/>
        <w:jc w:val="both"/>
        <w:rPr>
          <w:rFonts w:ascii="Arial" w:hAnsi="Arial" w:cs="Arial"/>
          <w:sz w:val="22"/>
          <w:szCs w:val="22"/>
        </w:rPr>
      </w:pPr>
    </w:p>
    <w:p w14:paraId="2638A6E8" w14:textId="77777777"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Como complemento a las ideas expuestas anteriormente, es oportuno agregar que en el caso del impuesto de exportación (cuando lo hay) la</w:t>
      </w:r>
      <w:bookmarkStart w:id="22" w:name="page49"/>
      <w:bookmarkEnd w:id="22"/>
      <w:r w:rsidRPr="007923C2">
        <w:rPr>
          <w:rFonts w:ascii="Arial" w:hAnsi="Arial" w:cs="Arial"/>
          <w:sz w:val="22"/>
          <w:szCs w:val="22"/>
        </w:rPr>
        <w:t xml:space="preserve"> base gravable es el valor comercial de las mercancías en el lugar de venta y debe consignarse en la factura comercial, sin inclusión de fletes y seguros.</w:t>
      </w:r>
    </w:p>
    <w:p w14:paraId="6667D8F0" w14:textId="77777777" w:rsidR="00D52CD1" w:rsidRPr="007923C2" w:rsidRDefault="00D52CD1" w:rsidP="00D52CD1">
      <w:pPr>
        <w:widowControl w:val="0"/>
        <w:autoSpaceDE w:val="0"/>
        <w:autoSpaceDN w:val="0"/>
        <w:adjustRightInd w:val="0"/>
        <w:spacing w:after="0" w:line="2" w:lineRule="exact"/>
        <w:ind w:right="40"/>
        <w:jc w:val="both"/>
        <w:rPr>
          <w:rFonts w:ascii="Arial" w:hAnsi="Arial" w:cs="Arial"/>
          <w:sz w:val="22"/>
          <w:szCs w:val="22"/>
        </w:rPr>
      </w:pPr>
    </w:p>
    <w:p w14:paraId="38FA540B" w14:textId="77777777" w:rsidR="00D52CD1" w:rsidRPr="007923C2" w:rsidRDefault="00D52CD1" w:rsidP="00D52CD1">
      <w:pPr>
        <w:widowControl w:val="0"/>
        <w:overflowPunct w:val="0"/>
        <w:autoSpaceDE w:val="0"/>
        <w:autoSpaceDN w:val="0"/>
        <w:adjustRightInd w:val="0"/>
        <w:spacing w:after="0" w:line="226" w:lineRule="auto"/>
        <w:ind w:right="40"/>
        <w:jc w:val="both"/>
        <w:rPr>
          <w:rFonts w:ascii="Arial" w:hAnsi="Arial" w:cs="Arial"/>
          <w:sz w:val="22"/>
          <w:szCs w:val="22"/>
        </w:rPr>
      </w:pPr>
      <w:r w:rsidRPr="007923C2">
        <w:rPr>
          <w:rFonts w:ascii="Arial" w:hAnsi="Arial" w:cs="Arial"/>
          <w:sz w:val="22"/>
          <w:szCs w:val="22"/>
        </w:rPr>
        <w:t>Por lo que hace a los regímenes aduaneros dentro de la exportación, es conveniente mencionar que existen el temporal y el definitivo, los que a continuación se explican:</w:t>
      </w:r>
    </w:p>
    <w:p w14:paraId="7676F033" w14:textId="77777777" w:rsidR="00D52CD1" w:rsidRPr="007923C2" w:rsidRDefault="00D52CD1" w:rsidP="00D52CD1">
      <w:pPr>
        <w:widowControl w:val="0"/>
        <w:autoSpaceDE w:val="0"/>
        <w:autoSpaceDN w:val="0"/>
        <w:adjustRightInd w:val="0"/>
        <w:spacing w:after="0" w:line="91" w:lineRule="exact"/>
        <w:ind w:right="40"/>
        <w:jc w:val="both"/>
        <w:rPr>
          <w:rFonts w:ascii="Arial" w:hAnsi="Arial" w:cs="Arial"/>
          <w:sz w:val="22"/>
          <w:szCs w:val="22"/>
        </w:rPr>
      </w:pPr>
    </w:p>
    <w:p w14:paraId="4BE9DC4C" w14:textId="77777777" w:rsidR="00D52CD1" w:rsidRPr="007923C2" w:rsidRDefault="00D52CD1" w:rsidP="00D52CD1">
      <w:pPr>
        <w:widowControl w:val="0"/>
        <w:overflowPunct w:val="0"/>
        <w:autoSpaceDE w:val="0"/>
        <w:autoSpaceDN w:val="0"/>
        <w:adjustRightInd w:val="0"/>
        <w:spacing w:after="0" w:line="231" w:lineRule="auto"/>
        <w:ind w:right="40"/>
        <w:jc w:val="both"/>
        <w:rPr>
          <w:rFonts w:ascii="Arial" w:hAnsi="Arial" w:cs="Arial"/>
          <w:sz w:val="22"/>
          <w:szCs w:val="22"/>
        </w:rPr>
      </w:pPr>
      <w:r w:rsidRPr="007923C2">
        <w:rPr>
          <w:rFonts w:ascii="Arial" w:hAnsi="Arial" w:cs="Arial"/>
          <w:i/>
          <w:iCs/>
          <w:sz w:val="22"/>
          <w:szCs w:val="22"/>
        </w:rPr>
        <w:t>Régimen definitivo de exportación</w:t>
      </w:r>
      <w:r w:rsidRPr="007923C2">
        <w:rPr>
          <w:rFonts w:ascii="Arial" w:hAnsi="Arial" w:cs="Arial"/>
          <w:sz w:val="22"/>
          <w:szCs w:val="22"/>
        </w:rPr>
        <w:t>. Consiste en la salida de mercancías del territorio nacional para permanecer en el extranjero por tiempo ilimitado. El que no señale un tipo de mercancía en especial hace suponer que ésta puede ser de cualquier origen, es decir: nacional, nacionalizada e incluso extranjera.</w:t>
      </w:r>
    </w:p>
    <w:p w14:paraId="65B52E8B"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72C769A7"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Efectuada la exportación definitiva de las mercancías nacionales o nacionalizadas, se podrá retornar al país sin el pago del impuesto general de importación, siempre que no hayan sido objeto de modificaciones en el extranjero ni transcurrido más de un año desde su salida del territorio nacional.</w:t>
      </w:r>
    </w:p>
    <w:p w14:paraId="672D1FBB" w14:textId="77777777" w:rsidR="00D52CD1" w:rsidRPr="007923C2" w:rsidRDefault="00D52CD1" w:rsidP="00D52CD1">
      <w:pPr>
        <w:widowControl w:val="0"/>
        <w:autoSpaceDE w:val="0"/>
        <w:autoSpaceDN w:val="0"/>
        <w:adjustRightInd w:val="0"/>
        <w:spacing w:after="0" w:line="1" w:lineRule="exact"/>
        <w:ind w:right="40"/>
        <w:jc w:val="both"/>
        <w:rPr>
          <w:rFonts w:ascii="Arial" w:hAnsi="Arial" w:cs="Arial"/>
          <w:sz w:val="22"/>
          <w:szCs w:val="22"/>
        </w:rPr>
      </w:pPr>
    </w:p>
    <w:p w14:paraId="492730B6" w14:textId="77777777" w:rsidR="00D52CD1" w:rsidRPr="007923C2" w:rsidRDefault="00D52CD1" w:rsidP="00D52CD1">
      <w:pPr>
        <w:widowControl w:val="0"/>
        <w:overflowPunct w:val="0"/>
        <w:autoSpaceDE w:val="0"/>
        <w:autoSpaceDN w:val="0"/>
        <w:adjustRightInd w:val="0"/>
        <w:spacing w:after="0" w:line="234" w:lineRule="auto"/>
        <w:ind w:right="40"/>
        <w:jc w:val="both"/>
        <w:rPr>
          <w:rFonts w:ascii="Arial" w:hAnsi="Arial" w:cs="Arial"/>
          <w:sz w:val="22"/>
          <w:szCs w:val="22"/>
        </w:rPr>
      </w:pPr>
      <w:r w:rsidRPr="007923C2">
        <w:rPr>
          <w:rFonts w:ascii="Arial" w:hAnsi="Arial" w:cs="Arial"/>
          <w:sz w:val="22"/>
          <w:szCs w:val="22"/>
        </w:rPr>
        <w:t>Cuando el retorno se deba a que las mercancías fueron rechazadas por alguna autoridad del país de destino o por el comprador extranjero en consideración a que resultaron defectuosas o de especificaciones distintas, se devolverá al interesado el impuesto general de exportación que hubiera pagado.</w:t>
      </w:r>
    </w:p>
    <w:p w14:paraId="7F847F8B" w14:textId="77777777" w:rsidR="00D52CD1" w:rsidRPr="007923C2" w:rsidRDefault="00D52CD1" w:rsidP="00D52CD1">
      <w:pPr>
        <w:widowControl w:val="0"/>
        <w:autoSpaceDE w:val="0"/>
        <w:autoSpaceDN w:val="0"/>
        <w:adjustRightInd w:val="0"/>
        <w:spacing w:after="0" w:line="30" w:lineRule="exact"/>
        <w:ind w:right="40"/>
        <w:jc w:val="both"/>
        <w:rPr>
          <w:rFonts w:ascii="Arial" w:hAnsi="Arial" w:cs="Arial"/>
          <w:sz w:val="22"/>
          <w:szCs w:val="22"/>
        </w:rPr>
      </w:pPr>
    </w:p>
    <w:p w14:paraId="191DF800"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i/>
          <w:iCs/>
          <w:sz w:val="22"/>
          <w:szCs w:val="22"/>
        </w:rPr>
        <w:t>Régimen temporal de exportación</w:t>
      </w:r>
      <w:r w:rsidRPr="007923C2">
        <w:rPr>
          <w:rFonts w:ascii="Arial" w:hAnsi="Arial" w:cs="Arial"/>
          <w:sz w:val="22"/>
          <w:szCs w:val="22"/>
        </w:rPr>
        <w:t>. En la exportación temporal demercancías nacionales o nacionalizadas no se pagarán los impuestos al comercio exterior y se cumplirán las obligaciones en materia de regulaciones y restricciones no arancelarias y formalidades para el despacho de las mercancías destinadas a este régimen.</w:t>
      </w:r>
    </w:p>
    <w:p w14:paraId="2DBFDF42" w14:textId="77777777" w:rsidR="00D52CD1" w:rsidRPr="007923C2" w:rsidRDefault="00D52CD1" w:rsidP="00D52CD1">
      <w:pPr>
        <w:widowControl w:val="0"/>
        <w:autoSpaceDE w:val="0"/>
        <w:autoSpaceDN w:val="0"/>
        <w:adjustRightInd w:val="0"/>
        <w:spacing w:after="0" w:line="1" w:lineRule="exact"/>
        <w:ind w:right="40"/>
        <w:jc w:val="both"/>
        <w:rPr>
          <w:rFonts w:ascii="Arial" w:hAnsi="Arial" w:cs="Arial"/>
          <w:sz w:val="22"/>
          <w:szCs w:val="22"/>
        </w:rPr>
      </w:pPr>
    </w:p>
    <w:p w14:paraId="34E4B6DA" w14:textId="77777777" w:rsidR="00D52CD1" w:rsidRPr="007923C2" w:rsidRDefault="00D52CD1" w:rsidP="00D52CD1">
      <w:pPr>
        <w:widowControl w:val="0"/>
        <w:overflowPunct w:val="0"/>
        <w:autoSpaceDE w:val="0"/>
        <w:autoSpaceDN w:val="0"/>
        <w:adjustRightInd w:val="0"/>
        <w:spacing w:after="0" w:line="225" w:lineRule="auto"/>
        <w:ind w:right="40"/>
        <w:jc w:val="both"/>
        <w:rPr>
          <w:rFonts w:ascii="Arial" w:hAnsi="Arial" w:cs="Arial"/>
          <w:sz w:val="22"/>
          <w:szCs w:val="22"/>
        </w:rPr>
      </w:pPr>
      <w:r w:rsidRPr="007923C2">
        <w:rPr>
          <w:rFonts w:ascii="Arial" w:hAnsi="Arial" w:cs="Arial"/>
          <w:sz w:val="22"/>
          <w:szCs w:val="22"/>
        </w:rPr>
        <w:t>El régimen temporal puede cambiarse a definitivo cumpliendo los requisitos establecidas por la Ley Aduanera y las reglas emitidas por la SHCP.</w:t>
      </w:r>
    </w:p>
    <w:p w14:paraId="454794CC"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66243A83" w14:textId="77777777" w:rsidR="00D52CD1" w:rsidRPr="007923C2" w:rsidRDefault="00D52CD1" w:rsidP="00D52CD1">
      <w:pPr>
        <w:widowControl w:val="0"/>
        <w:overflowPunct w:val="0"/>
        <w:autoSpaceDE w:val="0"/>
        <w:autoSpaceDN w:val="0"/>
        <w:adjustRightInd w:val="0"/>
        <w:spacing w:after="0" w:line="258" w:lineRule="auto"/>
        <w:ind w:right="40"/>
        <w:jc w:val="both"/>
        <w:rPr>
          <w:rFonts w:ascii="Arial" w:hAnsi="Arial" w:cs="Arial"/>
          <w:sz w:val="22"/>
          <w:szCs w:val="22"/>
        </w:rPr>
      </w:pPr>
      <w:r w:rsidRPr="007923C2">
        <w:rPr>
          <w:rFonts w:ascii="Arial" w:hAnsi="Arial" w:cs="Arial"/>
          <w:sz w:val="22"/>
          <w:szCs w:val="22"/>
        </w:rPr>
        <w:t>Cuando las mercancías exportadas temporalmente no retornan a territorio nacional dentro del plazo concedido, se considerará que la exportación se convierte en definitiva a partir de la fecha en que se venza el plazo y</w:t>
      </w:r>
      <w:bookmarkStart w:id="23" w:name="page51"/>
      <w:bookmarkEnd w:id="23"/>
      <w:r w:rsidRPr="007923C2">
        <w:rPr>
          <w:rFonts w:ascii="Arial" w:hAnsi="Arial" w:cs="Arial"/>
          <w:sz w:val="22"/>
          <w:szCs w:val="22"/>
        </w:rPr>
        <w:t xml:space="preserve"> se deberá pagar el impuesto general de exportación actualizado desde que se efectuó la exportación temporal y hasta que el mismo se pague. </w:t>
      </w:r>
    </w:p>
    <w:p w14:paraId="16E59CB8" w14:textId="77777777" w:rsidR="00D52CD1" w:rsidRPr="007923C2" w:rsidRDefault="00D52CD1" w:rsidP="00D52CD1">
      <w:pPr>
        <w:widowControl w:val="0"/>
        <w:autoSpaceDE w:val="0"/>
        <w:autoSpaceDN w:val="0"/>
        <w:adjustRightInd w:val="0"/>
        <w:spacing w:after="0" w:line="189" w:lineRule="auto"/>
        <w:ind w:right="40"/>
        <w:jc w:val="both"/>
        <w:rPr>
          <w:rFonts w:ascii="Arial" w:hAnsi="Arial" w:cs="Arial"/>
          <w:sz w:val="22"/>
          <w:szCs w:val="22"/>
        </w:rPr>
      </w:pPr>
      <w:r w:rsidRPr="007923C2">
        <w:rPr>
          <w:rFonts w:ascii="Arial" w:hAnsi="Arial" w:cs="Arial"/>
          <w:sz w:val="22"/>
          <w:szCs w:val="22"/>
        </w:rPr>
        <w:t>Dentro del régimen temporal de exportación existen dos modalidades:</w:t>
      </w:r>
    </w:p>
    <w:p w14:paraId="01B9EC41" w14:textId="77777777" w:rsidR="00D52CD1" w:rsidRPr="007923C2" w:rsidRDefault="00D52CD1" w:rsidP="00D52CD1">
      <w:pPr>
        <w:widowControl w:val="0"/>
        <w:autoSpaceDE w:val="0"/>
        <w:autoSpaceDN w:val="0"/>
        <w:adjustRightInd w:val="0"/>
        <w:spacing w:after="0" w:line="53" w:lineRule="exact"/>
        <w:ind w:right="40"/>
        <w:jc w:val="both"/>
        <w:rPr>
          <w:rFonts w:ascii="Arial" w:hAnsi="Arial" w:cs="Arial"/>
          <w:sz w:val="22"/>
          <w:szCs w:val="22"/>
        </w:rPr>
      </w:pPr>
    </w:p>
    <w:p w14:paraId="54A92FEF" w14:textId="77777777" w:rsidR="00D52CD1" w:rsidRPr="007923C2" w:rsidRDefault="00D52CD1" w:rsidP="00D52CD1">
      <w:pPr>
        <w:widowControl w:val="0"/>
        <w:overflowPunct w:val="0"/>
        <w:autoSpaceDE w:val="0"/>
        <w:autoSpaceDN w:val="0"/>
        <w:adjustRightInd w:val="0"/>
        <w:spacing w:after="0" w:line="238" w:lineRule="auto"/>
        <w:ind w:right="40"/>
        <w:jc w:val="both"/>
        <w:rPr>
          <w:rFonts w:ascii="Arial" w:hAnsi="Arial" w:cs="Arial"/>
          <w:sz w:val="22"/>
          <w:szCs w:val="22"/>
        </w:rPr>
      </w:pPr>
      <w:r w:rsidRPr="007923C2">
        <w:rPr>
          <w:rFonts w:ascii="Arial" w:hAnsi="Arial" w:cs="Arial"/>
          <w:i/>
          <w:iCs/>
          <w:sz w:val="22"/>
          <w:szCs w:val="22"/>
        </w:rPr>
        <w:lastRenderedPageBreak/>
        <w:t xml:space="preserve">1. Para retornar al país en el mismo estado. </w:t>
      </w:r>
      <w:r w:rsidRPr="007923C2">
        <w:rPr>
          <w:rFonts w:ascii="Arial" w:hAnsi="Arial" w:cs="Arial"/>
          <w:sz w:val="22"/>
          <w:szCs w:val="22"/>
        </w:rPr>
        <w:t>La finalidad es extraermercancías nacionales o nacionalizadas con un objetivo específico, y una vez realizado regresa a México sin modificación alguna.</w:t>
      </w:r>
    </w:p>
    <w:p w14:paraId="79A0D81D" w14:textId="77777777" w:rsidR="00D52CD1" w:rsidRPr="007923C2" w:rsidRDefault="00D52CD1" w:rsidP="00D52CD1">
      <w:pPr>
        <w:widowControl w:val="0"/>
        <w:autoSpaceDE w:val="0"/>
        <w:autoSpaceDN w:val="0"/>
        <w:adjustRightInd w:val="0"/>
        <w:spacing w:after="0" w:line="207" w:lineRule="auto"/>
        <w:ind w:right="40"/>
        <w:jc w:val="both"/>
        <w:rPr>
          <w:rFonts w:ascii="Arial" w:hAnsi="Arial" w:cs="Arial"/>
          <w:sz w:val="22"/>
          <w:szCs w:val="22"/>
        </w:rPr>
      </w:pPr>
      <w:r w:rsidRPr="007923C2">
        <w:rPr>
          <w:rFonts w:ascii="Arial" w:hAnsi="Arial" w:cs="Arial"/>
          <w:sz w:val="22"/>
          <w:szCs w:val="22"/>
        </w:rPr>
        <w:t>Se permite por los siguientes plazos:</w:t>
      </w:r>
    </w:p>
    <w:p w14:paraId="2A8FBDC8" w14:textId="77777777" w:rsidR="00D52CD1" w:rsidRPr="007923C2" w:rsidRDefault="00D52CD1" w:rsidP="00D52CD1">
      <w:pPr>
        <w:widowControl w:val="0"/>
        <w:autoSpaceDE w:val="0"/>
        <w:autoSpaceDN w:val="0"/>
        <w:adjustRightInd w:val="0"/>
        <w:spacing w:after="0" w:line="23" w:lineRule="exact"/>
        <w:ind w:right="40"/>
        <w:jc w:val="both"/>
        <w:rPr>
          <w:rFonts w:ascii="Arial" w:hAnsi="Arial" w:cs="Arial"/>
          <w:sz w:val="22"/>
          <w:szCs w:val="22"/>
        </w:rPr>
      </w:pPr>
    </w:p>
    <w:p w14:paraId="67707533" w14:textId="77777777" w:rsidR="00D52CD1" w:rsidRPr="007923C2" w:rsidRDefault="00D52CD1" w:rsidP="00D52CD1">
      <w:pPr>
        <w:widowControl w:val="0"/>
        <w:numPr>
          <w:ilvl w:val="0"/>
          <w:numId w:val="155"/>
        </w:numPr>
        <w:tabs>
          <w:tab w:val="clear" w:pos="720"/>
          <w:tab w:val="num" w:pos="620"/>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Hasta por tres meses en el caso de remolques y semirremolques. </w:t>
      </w:r>
    </w:p>
    <w:p w14:paraId="604D13AC" w14:textId="77777777" w:rsidR="00D52CD1" w:rsidRPr="007923C2" w:rsidRDefault="00D52CD1" w:rsidP="00D52CD1">
      <w:pPr>
        <w:widowControl w:val="0"/>
        <w:autoSpaceDE w:val="0"/>
        <w:autoSpaceDN w:val="0"/>
        <w:adjustRightInd w:val="0"/>
        <w:spacing w:after="0" w:line="3" w:lineRule="exact"/>
        <w:ind w:right="40"/>
        <w:jc w:val="both"/>
        <w:rPr>
          <w:rFonts w:ascii="Arial" w:hAnsi="Arial" w:cs="Arial"/>
          <w:sz w:val="22"/>
          <w:szCs w:val="22"/>
        </w:rPr>
      </w:pPr>
    </w:p>
    <w:p w14:paraId="07F887C7" w14:textId="77777777" w:rsidR="00D52CD1" w:rsidRPr="007923C2" w:rsidRDefault="00D52CD1" w:rsidP="00D52CD1">
      <w:pPr>
        <w:widowControl w:val="0"/>
        <w:numPr>
          <w:ilvl w:val="0"/>
          <w:numId w:val="155"/>
        </w:numPr>
        <w:tabs>
          <w:tab w:val="clear" w:pos="720"/>
          <w:tab w:val="num" w:pos="620"/>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Hasta por seis meses </w:t>
      </w:r>
    </w:p>
    <w:p w14:paraId="647D8C0C" w14:textId="77777777" w:rsidR="00D52CD1" w:rsidRPr="007923C2" w:rsidRDefault="00D52CD1" w:rsidP="00D52CD1">
      <w:pPr>
        <w:widowControl w:val="0"/>
        <w:autoSpaceDE w:val="0"/>
        <w:autoSpaceDN w:val="0"/>
        <w:adjustRightInd w:val="0"/>
        <w:spacing w:after="0" w:line="107" w:lineRule="exact"/>
        <w:ind w:right="40"/>
        <w:jc w:val="both"/>
        <w:rPr>
          <w:rFonts w:ascii="Arial" w:hAnsi="Arial" w:cs="Arial"/>
          <w:sz w:val="22"/>
          <w:szCs w:val="22"/>
        </w:rPr>
      </w:pPr>
    </w:p>
    <w:p w14:paraId="3F728F63" w14:textId="77777777" w:rsidR="00D52CD1" w:rsidRPr="007923C2" w:rsidRDefault="00D52CD1" w:rsidP="00D52CD1">
      <w:pPr>
        <w:widowControl w:val="0"/>
        <w:numPr>
          <w:ilvl w:val="1"/>
          <w:numId w:val="155"/>
        </w:numPr>
        <w:tabs>
          <w:tab w:val="clear" w:pos="1440"/>
          <w:tab w:val="num" w:pos="900"/>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Las de envases de mercancías; </w:t>
      </w:r>
    </w:p>
    <w:p w14:paraId="28F39971"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24523AAD" w14:textId="77777777" w:rsidR="00D52CD1" w:rsidRPr="007923C2" w:rsidRDefault="00D52CD1" w:rsidP="00D52CD1">
      <w:pPr>
        <w:widowControl w:val="0"/>
        <w:numPr>
          <w:ilvl w:val="1"/>
          <w:numId w:val="155"/>
        </w:numPr>
        <w:tabs>
          <w:tab w:val="clear" w:pos="1440"/>
          <w:tab w:val="num" w:pos="900"/>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Las que realicen los residentes en México sin establecimiento permanente en el extranjero; </w:t>
      </w:r>
    </w:p>
    <w:p w14:paraId="01A1C24A" w14:textId="77777777"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14:paraId="35A73047" w14:textId="77777777" w:rsidR="00D52CD1" w:rsidRPr="007923C2" w:rsidRDefault="00D52CD1" w:rsidP="00D52CD1">
      <w:pPr>
        <w:widowControl w:val="0"/>
        <w:numPr>
          <w:ilvl w:val="1"/>
          <w:numId w:val="155"/>
        </w:numPr>
        <w:tabs>
          <w:tab w:val="clear" w:pos="1440"/>
          <w:tab w:val="num" w:pos="9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Las de muestras o muestrarios destinados a dar a conocer mercancías; </w:t>
      </w:r>
    </w:p>
    <w:p w14:paraId="69F3F1C1"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4E8E55E0" w14:textId="77777777" w:rsidR="00D52CD1" w:rsidRPr="007923C2" w:rsidRDefault="00D52CD1" w:rsidP="00D52CD1">
      <w:pPr>
        <w:widowControl w:val="0"/>
        <w:numPr>
          <w:ilvl w:val="1"/>
          <w:numId w:val="155"/>
        </w:numPr>
        <w:tabs>
          <w:tab w:val="clear" w:pos="1440"/>
          <w:tab w:val="num" w:pos="9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Las de enseres, utilería, y demás equipo necesario para la filmación, siempre que se utilicen en la industria cinematográfica y su exportación se efectúe por residentes en el país; </w:t>
      </w:r>
    </w:p>
    <w:p w14:paraId="45814745" w14:textId="77777777" w:rsidR="00D52CD1" w:rsidRPr="007923C2" w:rsidRDefault="00D52CD1" w:rsidP="00D52CD1">
      <w:pPr>
        <w:widowControl w:val="0"/>
        <w:autoSpaceDE w:val="0"/>
        <w:autoSpaceDN w:val="0"/>
        <w:adjustRightInd w:val="0"/>
        <w:spacing w:after="0" w:line="134" w:lineRule="exact"/>
        <w:ind w:right="40"/>
        <w:jc w:val="both"/>
        <w:rPr>
          <w:rFonts w:ascii="Arial" w:hAnsi="Arial" w:cs="Arial"/>
          <w:sz w:val="22"/>
          <w:szCs w:val="22"/>
        </w:rPr>
      </w:pPr>
    </w:p>
    <w:p w14:paraId="0B97F431" w14:textId="77777777" w:rsidR="00D52CD1" w:rsidRPr="007923C2" w:rsidRDefault="00D52CD1" w:rsidP="00D52CD1">
      <w:pPr>
        <w:widowControl w:val="0"/>
        <w:numPr>
          <w:ilvl w:val="0"/>
          <w:numId w:val="155"/>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Hasta por un año, las que se destinen a exposiciones, convenciones, congresos internacionales o eventos culturales o deportivos; </w:t>
      </w:r>
    </w:p>
    <w:p w14:paraId="5F7FB246"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40E7034B" w14:textId="77777777" w:rsidR="00D52CD1" w:rsidRPr="007923C2" w:rsidRDefault="00D52CD1" w:rsidP="00D52CD1">
      <w:pPr>
        <w:widowControl w:val="0"/>
        <w:numPr>
          <w:ilvl w:val="0"/>
          <w:numId w:val="155"/>
        </w:numPr>
        <w:tabs>
          <w:tab w:val="clear" w:pos="720"/>
          <w:tab w:val="num" w:pos="620"/>
        </w:tabs>
        <w:overflowPunct w:val="0"/>
        <w:autoSpaceDE w:val="0"/>
        <w:autoSpaceDN w:val="0"/>
        <w:adjustRightInd w:val="0"/>
        <w:spacing w:after="0" w:line="242" w:lineRule="auto"/>
        <w:ind w:left="0" w:right="40" w:firstLine="0"/>
        <w:jc w:val="both"/>
        <w:rPr>
          <w:rFonts w:ascii="Arial" w:hAnsi="Arial" w:cs="Arial"/>
          <w:sz w:val="22"/>
          <w:szCs w:val="22"/>
        </w:rPr>
      </w:pPr>
      <w:r w:rsidRPr="007923C2">
        <w:rPr>
          <w:rFonts w:ascii="Arial" w:hAnsi="Arial" w:cs="Arial"/>
          <w:sz w:val="22"/>
          <w:szCs w:val="22"/>
        </w:rPr>
        <w:t xml:space="preserve">Por el periodo que mediante reglas determine la Secretaría y por las mercancías que en las mismas se señalen, cuando las circunstancias económicas así lo ameriten, previa opinión de la Secretaría de Economía. En estos casos la SHCP podrá autorizar que la obligación del retorno se cumpla con la introducción al país de mercancías que no fueron las que se exportaron temporalmente, siempre que se trate de mercancías fungibles, que no sean susceptibles de identificarse individualmente y se cumpla con las condiciones de control que establezca dicha dependencia. </w:t>
      </w:r>
    </w:p>
    <w:p w14:paraId="7976223E"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2. </w:t>
      </w:r>
      <w:r w:rsidRPr="007923C2">
        <w:rPr>
          <w:rFonts w:ascii="Arial" w:hAnsi="Arial" w:cs="Arial"/>
          <w:i/>
          <w:iCs/>
          <w:sz w:val="22"/>
          <w:szCs w:val="22"/>
        </w:rPr>
        <w:t>Para elaboración, transformación o reparación</w:t>
      </w:r>
      <w:r w:rsidRPr="007923C2">
        <w:rPr>
          <w:rFonts w:ascii="Arial" w:hAnsi="Arial" w:cs="Arial"/>
          <w:sz w:val="22"/>
          <w:szCs w:val="22"/>
        </w:rPr>
        <w:t>. El objeto es extraer mercancías para retornar al país después de haberse destinado a un proceso productivo.</w:t>
      </w:r>
    </w:p>
    <w:p w14:paraId="440CA819" w14:textId="77777777"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14:paraId="34999F6C"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La salida de dichas mercancías se autoriza hasta por dos años, plazo que podrá ampliarse hasta por un lapso igual, mediante rectificación al </w:t>
      </w:r>
      <w:bookmarkStart w:id="24" w:name="page53"/>
      <w:bookmarkEnd w:id="24"/>
      <w:r w:rsidRPr="007923C2">
        <w:rPr>
          <w:rFonts w:ascii="Arial" w:hAnsi="Arial" w:cs="Arial"/>
          <w:sz w:val="22"/>
          <w:szCs w:val="22"/>
        </w:rPr>
        <w:t>pedimento que presente el exportador por conducta de agente o apoderado aduanal.</w:t>
      </w:r>
    </w:p>
    <w:p w14:paraId="0485D1FF"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1CD5DC5C"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 xml:space="preserve">Al retorno de las mercancías se pagará el impuesto general de impor-tación que corresponda al valor de las materias primas o mercancías ex-tranjeras incorporadas, así como el precio de los servicios prestados en el extranjero para su transformación, elaboración o reparación, de conformidad con la clasificación arancelaria de la mercancía retornada. </w:t>
      </w:r>
    </w:p>
    <w:p w14:paraId="53737C27" w14:textId="77777777" w:rsidR="00D52CD1" w:rsidRPr="007923C2" w:rsidRDefault="00D52CD1" w:rsidP="00D52CD1">
      <w:pPr>
        <w:widowControl w:val="0"/>
        <w:autoSpaceDE w:val="0"/>
        <w:autoSpaceDN w:val="0"/>
        <w:adjustRightInd w:val="0"/>
        <w:spacing w:after="0" w:line="249" w:lineRule="exact"/>
        <w:ind w:right="40"/>
        <w:jc w:val="both"/>
        <w:rPr>
          <w:rFonts w:ascii="Arial" w:hAnsi="Arial" w:cs="Arial"/>
          <w:sz w:val="22"/>
          <w:szCs w:val="22"/>
        </w:rPr>
      </w:pPr>
    </w:p>
    <w:p w14:paraId="106ECFFE" w14:textId="77777777"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 xml:space="preserve">C. </w:t>
      </w:r>
      <w:r w:rsidRPr="007923C2">
        <w:rPr>
          <w:rFonts w:ascii="Arial" w:hAnsi="Arial" w:cs="Arial"/>
          <w:i/>
          <w:iCs/>
          <w:sz w:val="22"/>
          <w:szCs w:val="22"/>
        </w:rPr>
        <w:t>Regulaciones arancelarias</w:t>
      </w:r>
    </w:p>
    <w:p w14:paraId="062E055D" w14:textId="77777777" w:rsidR="00D52CD1" w:rsidRPr="007923C2" w:rsidRDefault="00D52CD1" w:rsidP="00D52CD1">
      <w:pPr>
        <w:widowControl w:val="0"/>
        <w:autoSpaceDE w:val="0"/>
        <w:autoSpaceDN w:val="0"/>
        <w:adjustRightInd w:val="0"/>
        <w:spacing w:after="0" w:line="262" w:lineRule="exact"/>
        <w:ind w:right="40"/>
        <w:jc w:val="both"/>
        <w:rPr>
          <w:rFonts w:ascii="Arial" w:hAnsi="Arial" w:cs="Arial"/>
          <w:sz w:val="22"/>
          <w:szCs w:val="22"/>
        </w:rPr>
      </w:pPr>
    </w:p>
    <w:p w14:paraId="2E907C34"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Al igual que en la tarifa del impuesto general de importación, comentada en el capítulo respectivo, en esta Ley se asimila el sistema armonizado de designación y codificación de mercancías a la nomenclatura, con lo cual es posible armonizar ambas tarifas.</w:t>
      </w:r>
    </w:p>
    <w:p w14:paraId="77F9B24D"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413A24E4"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El análisis que se hace de la tarifa de importación es igualmente válido para la de exportación, por lo que solamente vale la pena comentar que en materia arancelaria ésta no contempla prácticamente gravamen alguno, con excepción de algunas materias primas, tales como petróleo, café y algodón, entre otras.</w:t>
      </w:r>
    </w:p>
    <w:p w14:paraId="6EA60E79" w14:textId="77777777" w:rsidR="00D52CD1" w:rsidRPr="007923C2" w:rsidRDefault="00D52CD1" w:rsidP="00D52CD1">
      <w:pPr>
        <w:widowControl w:val="0"/>
        <w:autoSpaceDE w:val="0"/>
        <w:autoSpaceDN w:val="0"/>
        <w:adjustRightInd w:val="0"/>
        <w:spacing w:after="0" w:line="11" w:lineRule="exact"/>
        <w:ind w:right="40"/>
        <w:jc w:val="both"/>
        <w:rPr>
          <w:rFonts w:ascii="Arial" w:hAnsi="Arial" w:cs="Arial"/>
          <w:sz w:val="22"/>
          <w:szCs w:val="22"/>
        </w:rPr>
      </w:pPr>
    </w:p>
    <w:p w14:paraId="73863B61"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De manera que la Tarifa del Impuesto General de Exportación (TIGE) cuenta con más de 5,000 fracciones arancelarias, de las que aproximadamente 300 están sujetas al requisito de permiso previo para su exportación y únicamente 70, aproximadamente, están gravadas.</w:t>
      </w:r>
    </w:p>
    <w:p w14:paraId="7FA0E927"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5B1D732E"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 xml:space="preserve">No obstante lo anterior, es oportuno recordar que este panorama estadístico puede cambiar en virtud de disposiciones jurídicas que pueden afectar tanto a la TIGI como a la TIGE básicamente en lo que se refiere al pago de aranceles, y que necesariamente deben ser publicadas en el </w:t>
      </w:r>
      <w:r w:rsidRPr="007923C2">
        <w:rPr>
          <w:rFonts w:ascii="Arial" w:hAnsi="Arial" w:cs="Arial"/>
          <w:i/>
          <w:iCs/>
          <w:sz w:val="22"/>
          <w:szCs w:val="22"/>
        </w:rPr>
        <w:t>DOF</w:t>
      </w:r>
      <w:r w:rsidRPr="007923C2">
        <w:rPr>
          <w:rFonts w:ascii="Arial" w:hAnsi="Arial" w:cs="Arial"/>
          <w:sz w:val="22"/>
          <w:szCs w:val="22"/>
        </w:rPr>
        <w:t>.</w:t>
      </w:r>
    </w:p>
    <w:p w14:paraId="13D888DA" w14:textId="77777777" w:rsidR="00D52CD1" w:rsidRPr="007923C2" w:rsidRDefault="00D52CD1" w:rsidP="00D52CD1">
      <w:pPr>
        <w:widowControl w:val="0"/>
        <w:autoSpaceDE w:val="0"/>
        <w:autoSpaceDN w:val="0"/>
        <w:adjustRightInd w:val="0"/>
        <w:spacing w:after="0" w:line="315" w:lineRule="exact"/>
        <w:ind w:right="40"/>
        <w:jc w:val="both"/>
        <w:rPr>
          <w:rFonts w:ascii="Arial" w:hAnsi="Arial" w:cs="Arial"/>
          <w:sz w:val="22"/>
          <w:szCs w:val="22"/>
        </w:rPr>
      </w:pPr>
    </w:p>
    <w:p w14:paraId="7506BE34"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D. </w:t>
      </w:r>
      <w:r w:rsidRPr="007923C2">
        <w:rPr>
          <w:rFonts w:ascii="Arial" w:hAnsi="Arial" w:cs="Arial"/>
          <w:i/>
          <w:iCs/>
          <w:sz w:val="22"/>
          <w:szCs w:val="22"/>
        </w:rPr>
        <w:t>Regulaciones no arancelarias</w:t>
      </w:r>
    </w:p>
    <w:p w14:paraId="1EBBB4C6" w14:textId="77777777" w:rsidR="00D52CD1" w:rsidRPr="007923C2" w:rsidRDefault="00D52CD1" w:rsidP="00D52CD1">
      <w:pPr>
        <w:widowControl w:val="0"/>
        <w:autoSpaceDE w:val="0"/>
        <w:autoSpaceDN w:val="0"/>
        <w:adjustRightInd w:val="0"/>
        <w:spacing w:after="0" w:line="263" w:lineRule="exact"/>
        <w:ind w:right="40"/>
        <w:jc w:val="both"/>
        <w:rPr>
          <w:rFonts w:ascii="Arial" w:hAnsi="Arial" w:cs="Arial"/>
          <w:sz w:val="22"/>
          <w:szCs w:val="22"/>
        </w:rPr>
      </w:pPr>
    </w:p>
    <w:p w14:paraId="2212C85A" w14:textId="77777777" w:rsidR="00D52CD1" w:rsidRPr="007923C2" w:rsidRDefault="00D52CD1" w:rsidP="00D52CD1">
      <w:pPr>
        <w:widowControl w:val="0"/>
        <w:overflowPunct w:val="0"/>
        <w:autoSpaceDE w:val="0"/>
        <w:autoSpaceDN w:val="0"/>
        <w:adjustRightInd w:val="0"/>
        <w:spacing w:after="0" w:line="256" w:lineRule="auto"/>
        <w:ind w:right="40"/>
        <w:jc w:val="both"/>
        <w:rPr>
          <w:rFonts w:ascii="Arial" w:hAnsi="Arial" w:cs="Arial"/>
          <w:sz w:val="22"/>
          <w:szCs w:val="22"/>
        </w:rPr>
      </w:pPr>
      <w:r w:rsidRPr="007923C2">
        <w:rPr>
          <w:rFonts w:ascii="Arial" w:hAnsi="Arial" w:cs="Arial"/>
          <w:sz w:val="22"/>
          <w:szCs w:val="22"/>
        </w:rPr>
        <w:t xml:space="preserve">La Ley de Comercio Exterior vigente establece en su artículo 4 que el Ejecutivo Federal tiene facultades para regular, restringir o prohibir la exportación de mercancías cuando lo estime urgente, </w:t>
      </w:r>
      <w:r w:rsidRPr="007923C2">
        <w:rPr>
          <w:rFonts w:ascii="Arial" w:hAnsi="Arial" w:cs="Arial"/>
          <w:sz w:val="22"/>
          <w:szCs w:val="22"/>
        </w:rPr>
        <w:lastRenderedPageBreak/>
        <w:t xml:space="preserve">mediante decretos publicados en el </w:t>
      </w:r>
      <w:r w:rsidRPr="007923C2">
        <w:rPr>
          <w:rFonts w:ascii="Arial" w:hAnsi="Arial" w:cs="Arial"/>
          <w:i/>
          <w:iCs/>
          <w:sz w:val="22"/>
          <w:szCs w:val="22"/>
        </w:rPr>
        <w:t>DOF</w:t>
      </w:r>
      <w:r w:rsidRPr="007923C2">
        <w:rPr>
          <w:rFonts w:ascii="Arial" w:hAnsi="Arial" w:cs="Arial"/>
          <w:sz w:val="22"/>
          <w:szCs w:val="22"/>
        </w:rPr>
        <w:t>, de conformidad con el artículo 131 constitucional; asimismo, puede establecer medidas para regular o restringir la exportación de mercancías a través de acuerdos expedidos por la Secretaría de</w:t>
      </w:r>
    </w:p>
    <w:p w14:paraId="459CF5EB" w14:textId="77777777" w:rsidR="00D52CD1" w:rsidRPr="007923C2" w:rsidRDefault="00D52CD1" w:rsidP="00D52CD1">
      <w:pPr>
        <w:widowControl w:val="0"/>
        <w:autoSpaceDE w:val="0"/>
        <w:autoSpaceDN w:val="0"/>
        <w:adjustRightInd w:val="0"/>
        <w:spacing w:after="0" w:line="318" w:lineRule="exact"/>
        <w:ind w:right="40"/>
        <w:jc w:val="both"/>
        <w:rPr>
          <w:rFonts w:ascii="Arial" w:hAnsi="Arial" w:cs="Arial"/>
          <w:sz w:val="22"/>
          <w:szCs w:val="22"/>
        </w:rPr>
      </w:pPr>
      <w:bookmarkStart w:id="25" w:name="page55"/>
      <w:bookmarkEnd w:id="25"/>
    </w:p>
    <w:p w14:paraId="31930E51"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Economía o, en su caso, conjuntamente con la autoridad competente y publicarlos en el mismo </w:t>
      </w:r>
      <w:r w:rsidRPr="007923C2">
        <w:rPr>
          <w:rFonts w:ascii="Arial" w:hAnsi="Arial" w:cs="Arial"/>
          <w:i/>
          <w:iCs/>
          <w:sz w:val="22"/>
          <w:szCs w:val="22"/>
        </w:rPr>
        <w:t>DOF</w:t>
      </w:r>
      <w:r w:rsidRPr="007923C2">
        <w:rPr>
          <w:rFonts w:ascii="Arial" w:hAnsi="Arial" w:cs="Arial"/>
          <w:sz w:val="22"/>
          <w:szCs w:val="22"/>
        </w:rPr>
        <w:t>.</w:t>
      </w:r>
    </w:p>
    <w:p w14:paraId="7198FA03"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14BC34F6" w14:textId="77777777"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Las medidas de regulación y restricción no arancelarias a la exportación de mercancías se podrán establecer en los siguientes casos:</w:t>
      </w:r>
    </w:p>
    <w:p w14:paraId="13487C30" w14:textId="77777777" w:rsidR="00D52CD1" w:rsidRPr="007923C2" w:rsidRDefault="00D52CD1" w:rsidP="00D52CD1">
      <w:pPr>
        <w:widowControl w:val="0"/>
        <w:autoSpaceDE w:val="0"/>
        <w:autoSpaceDN w:val="0"/>
        <w:adjustRightInd w:val="0"/>
        <w:spacing w:after="0" w:line="134" w:lineRule="exact"/>
        <w:ind w:right="40"/>
        <w:jc w:val="both"/>
        <w:rPr>
          <w:rFonts w:ascii="Arial" w:hAnsi="Arial" w:cs="Arial"/>
          <w:sz w:val="22"/>
          <w:szCs w:val="22"/>
        </w:rPr>
      </w:pPr>
    </w:p>
    <w:p w14:paraId="5ED10777" w14:textId="77777777" w:rsidR="00D52CD1" w:rsidRPr="007923C2" w:rsidRDefault="00D52CD1" w:rsidP="00D52CD1">
      <w:pPr>
        <w:widowControl w:val="0"/>
        <w:numPr>
          <w:ilvl w:val="0"/>
          <w:numId w:val="156"/>
        </w:numPr>
        <w:tabs>
          <w:tab w:val="clear" w:pos="720"/>
          <w:tab w:val="num" w:pos="600"/>
        </w:tabs>
        <w:overflowPunct w:val="0"/>
        <w:autoSpaceDE w:val="0"/>
        <w:autoSpaceDN w:val="0"/>
        <w:adjustRightInd w:val="0"/>
        <w:spacing w:after="0" w:line="236" w:lineRule="auto"/>
        <w:ind w:left="0" w:right="40" w:firstLine="0"/>
        <w:jc w:val="both"/>
        <w:rPr>
          <w:rFonts w:ascii="Arial" w:hAnsi="Arial" w:cs="Arial"/>
          <w:sz w:val="22"/>
          <w:szCs w:val="22"/>
        </w:rPr>
      </w:pPr>
      <w:r w:rsidRPr="007923C2">
        <w:rPr>
          <w:rFonts w:ascii="Arial" w:hAnsi="Arial" w:cs="Arial"/>
          <w:sz w:val="22"/>
          <w:szCs w:val="22"/>
        </w:rPr>
        <w:t xml:space="preserve">Para asegurar el abasto de productos destinados al consumo básico de la población y el abastecimiento de materias primas a los productores nacionales o para regular o controlar recursos naturales no renovables del país; </w:t>
      </w:r>
    </w:p>
    <w:p w14:paraId="14184BC1" w14:textId="77777777"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14:paraId="031EF7B2" w14:textId="77777777" w:rsidR="00D52CD1" w:rsidRPr="007923C2" w:rsidRDefault="00D52CD1" w:rsidP="00D52CD1">
      <w:pPr>
        <w:widowControl w:val="0"/>
        <w:numPr>
          <w:ilvl w:val="0"/>
          <w:numId w:val="156"/>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Conforme a lo dispuesto en tratados o convenios internacionales de los que México sea parte; </w:t>
      </w:r>
    </w:p>
    <w:p w14:paraId="56110D34"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67345DCE" w14:textId="77777777" w:rsidR="00D52CD1" w:rsidRPr="007923C2" w:rsidRDefault="00D52CD1" w:rsidP="00D52CD1">
      <w:pPr>
        <w:widowControl w:val="0"/>
        <w:numPr>
          <w:ilvl w:val="0"/>
          <w:numId w:val="156"/>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Cuando se trate de productos cuya comercialización esté sujeta, por disposición constitucional, a restricciones específicas; </w:t>
      </w:r>
    </w:p>
    <w:p w14:paraId="5EFF977A" w14:textId="77777777"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14:paraId="0E6315E4" w14:textId="77777777" w:rsidR="00D52CD1" w:rsidRPr="007923C2" w:rsidRDefault="00D52CD1" w:rsidP="00D52CD1">
      <w:pPr>
        <w:widowControl w:val="0"/>
        <w:numPr>
          <w:ilvl w:val="0"/>
          <w:numId w:val="156"/>
        </w:numPr>
        <w:tabs>
          <w:tab w:val="clear" w:pos="720"/>
          <w:tab w:val="num" w:pos="6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Cuando se trate de preservar la fauna y la flora en riesgo o peligro de extinción o de asegurar la conservación o aprovechamiento de especies; </w:t>
      </w:r>
    </w:p>
    <w:p w14:paraId="0A4B74E4"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0BD016FD" w14:textId="77777777" w:rsidR="00D52CD1" w:rsidRPr="007923C2" w:rsidRDefault="00D52CD1" w:rsidP="00D52CD1">
      <w:pPr>
        <w:widowControl w:val="0"/>
        <w:numPr>
          <w:ilvl w:val="0"/>
          <w:numId w:val="156"/>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Cuando se requiera conservar los bienes de valor histórico, artístico o arqueológico, y </w:t>
      </w:r>
    </w:p>
    <w:p w14:paraId="490E9850"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4FF61BF0" w14:textId="77777777" w:rsidR="00D52CD1" w:rsidRPr="007923C2" w:rsidRDefault="00D52CD1" w:rsidP="00D52CD1">
      <w:pPr>
        <w:widowControl w:val="0"/>
        <w:numPr>
          <w:ilvl w:val="0"/>
          <w:numId w:val="156"/>
        </w:numPr>
        <w:tabs>
          <w:tab w:val="clear" w:pos="720"/>
          <w:tab w:val="num" w:pos="600"/>
        </w:tabs>
        <w:overflowPunct w:val="0"/>
        <w:autoSpaceDE w:val="0"/>
        <w:autoSpaceDN w:val="0"/>
        <w:adjustRightInd w:val="0"/>
        <w:spacing w:after="0" w:line="236" w:lineRule="auto"/>
        <w:ind w:left="0" w:right="40" w:firstLine="0"/>
        <w:jc w:val="both"/>
        <w:rPr>
          <w:rFonts w:ascii="Arial" w:hAnsi="Arial" w:cs="Arial"/>
          <w:sz w:val="22"/>
          <w:szCs w:val="22"/>
        </w:rPr>
      </w:pPr>
      <w:r w:rsidRPr="007923C2">
        <w:rPr>
          <w:rFonts w:ascii="Arial" w:hAnsi="Arial" w:cs="Arial"/>
          <w:sz w:val="22"/>
          <w:szCs w:val="22"/>
        </w:rPr>
        <w:t xml:space="preserve">Cuando se trate de situaciones no previstas por las normas oficiales mexicanas en lo referente a seguridad nacional, salud pública, sanidad fitopecuaria o ecología, de acuerdo con la legislación en la materia. </w:t>
      </w:r>
    </w:p>
    <w:p w14:paraId="2F9AAF17" w14:textId="77777777" w:rsidR="00D52CD1" w:rsidRPr="007923C2" w:rsidRDefault="00D52CD1" w:rsidP="00D52CD1">
      <w:pPr>
        <w:widowControl w:val="0"/>
        <w:autoSpaceDE w:val="0"/>
        <w:autoSpaceDN w:val="0"/>
        <w:adjustRightInd w:val="0"/>
        <w:spacing w:after="0" w:line="196" w:lineRule="exact"/>
        <w:ind w:right="40"/>
        <w:jc w:val="both"/>
        <w:rPr>
          <w:rFonts w:ascii="Arial" w:hAnsi="Arial" w:cs="Arial"/>
          <w:sz w:val="22"/>
          <w:szCs w:val="22"/>
        </w:rPr>
      </w:pPr>
    </w:p>
    <w:p w14:paraId="5C3BC438"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Son aplicables, en lo conducente, los comentarios expresados con anterioridad, al tratar el tema de las importaciones, relacionadas con las restricciones o regulaciones no arancelarias.</w:t>
      </w:r>
    </w:p>
    <w:p w14:paraId="7BE38164" w14:textId="77777777" w:rsidR="00D52CD1" w:rsidRPr="007923C2" w:rsidRDefault="00D52CD1" w:rsidP="00D52CD1">
      <w:pPr>
        <w:widowControl w:val="0"/>
        <w:autoSpaceDE w:val="0"/>
        <w:autoSpaceDN w:val="0"/>
        <w:adjustRightInd w:val="0"/>
        <w:spacing w:after="0" w:line="200" w:lineRule="exact"/>
        <w:ind w:right="40"/>
        <w:jc w:val="both"/>
        <w:rPr>
          <w:rFonts w:ascii="Arial" w:hAnsi="Arial" w:cs="Arial"/>
          <w:sz w:val="22"/>
          <w:szCs w:val="22"/>
        </w:rPr>
      </w:pPr>
    </w:p>
    <w:p w14:paraId="61E7CC7E" w14:textId="77777777" w:rsidR="00D52CD1" w:rsidRPr="007923C2" w:rsidRDefault="00D52CD1" w:rsidP="00D52CD1">
      <w:pPr>
        <w:widowControl w:val="0"/>
        <w:autoSpaceDE w:val="0"/>
        <w:autoSpaceDN w:val="0"/>
        <w:adjustRightInd w:val="0"/>
        <w:spacing w:after="0" w:line="226" w:lineRule="exact"/>
        <w:ind w:right="40"/>
        <w:jc w:val="both"/>
        <w:rPr>
          <w:rFonts w:ascii="Arial" w:hAnsi="Arial" w:cs="Arial"/>
          <w:sz w:val="22"/>
          <w:szCs w:val="22"/>
        </w:rPr>
      </w:pPr>
    </w:p>
    <w:p w14:paraId="149CDEA9"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E.  </w:t>
      </w:r>
      <w:r w:rsidRPr="007923C2">
        <w:rPr>
          <w:rFonts w:ascii="Arial" w:hAnsi="Arial" w:cs="Arial"/>
          <w:i/>
          <w:iCs/>
          <w:sz w:val="22"/>
          <w:szCs w:val="22"/>
        </w:rPr>
        <w:t>Promoción de exportaciones</w:t>
      </w:r>
    </w:p>
    <w:p w14:paraId="6116A78C" w14:textId="77777777" w:rsidR="00D52CD1" w:rsidRPr="007923C2" w:rsidRDefault="00D52CD1" w:rsidP="00D52CD1">
      <w:pPr>
        <w:widowControl w:val="0"/>
        <w:autoSpaceDE w:val="0"/>
        <w:autoSpaceDN w:val="0"/>
        <w:adjustRightInd w:val="0"/>
        <w:spacing w:after="0" w:line="253" w:lineRule="exact"/>
        <w:ind w:right="40"/>
        <w:jc w:val="both"/>
        <w:rPr>
          <w:rFonts w:ascii="Arial" w:hAnsi="Arial" w:cs="Arial"/>
          <w:sz w:val="22"/>
          <w:szCs w:val="22"/>
        </w:rPr>
      </w:pPr>
    </w:p>
    <w:p w14:paraId="3D26A1DE"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La promoción de las exportaciones es instrumento fundamental para inducir la rentabilidad elevada y permanente en la exportación y para ampliar y fortalecer el acceso de los productos nacionales a los mercados del exterior.</w:t>
      </w:r>
    </w:p>
    <w:p w14:paraId="0E1C8CBB"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784F958E" w14:textId="77777777"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La promoción de las exportaciones tiene como objeto incrementar la participación de los productos mexicanos en los mercados internos.</w:t>
      </w:r>
    </w:p>
    <w:p w14:paraId="20296E8F" w14:textId="77777777" w:rsidR="00D52CD1" w:rsidRPr="007923C2" w:rsidRDefault="00D52CD1" w:rsidP="00D52CD1">
      <w:pPr>
        <w:widowControl w:val="0"/>
        <w:autoSpaceDE w:val="0"/>
        <w:autoSpaceDN w:val="0"/>
        <w:adjustRightInd w:val="0"/>
        <w:spacing w:after="0" w:line="11" w:lineRule="exact"/>
        <w:ind w:right="40"/>
        <w:jc w:val="both"/>
        <w:rPr>
          <w:rFonts w:ascii="Arial" w:hAnsi="Arial" w:cs="Arial"/>
          <w:sz w:val="22"/>
          <w:szCs w:val="22"/>
        </w:rPr>
      </w:pPr>
    </w:p>
    <w:p w14:paraId="70833518"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Las actividades de promoción de exportaciones buscan:</w:t>
      </w:r>
    </w:p>
    <w:p w14:paraId="7498CF0E" w14:textId="77777777" w:rsidR="00D52CD1" w:rsidRPr="007923C2" w:rsidRDefault="00D52CD1" w:rsidP="00D52CD1">
      <w:pPr>
        <w:widowControl w:val="0"/>
        <w:numPr>
          <w:ilvl w:val="1"/>
          <w:numId w:val="157"/>
        </w:numPr>
        <w:tabs>
          <w:tab w:val="clear" w:pos="1440"/>
          <w:tab w:val="num" w:pos="602"/>
        </w:tabs>
        <w:overflowPunct w:val="0"/>
        <w:autoSpaceDE w:val="0"/>
        <w:autoSpaceDN w:val="0"/>
        <w:adjustRightInd w:val="0"/>
        <w:spacing w:after="0" w:line="230" w:lineRule="auto"/>
        <w:ind w:left="0" w:right="40" w:firstLine="0"/>
        <w:jc w:val="both"/>
        <w:rPr>
          <w:rFonts w:ascii="Arial" w:hAnsi="Arial" w:cs="Arial"/>
          <w:sz w:val="22"/>
          <w:szCs w:val="22"/>
        </w:rPr>
      </w:pPr>
      <w:bookmarkStart w:id="26" w:name="page57"/>
      <w:bookmarkEnd w:id="26"/>
      <w:r w:rsidRPr="007923C2">
        <w:rPr>
          <w:rFonts w:ascii="Arial" w:hAnsi="Arial" w:cs="Arial"/>
          <w:sz w:val="22"/>
          <w:szCs w:val="22"/>
        </w:rPr>
        <w:t xml:space="preserve">Aprovechar los logros alcanzados en negociaciones comerciales internacionales; </w:t>
      </w:r>
    </w:p>
    <w:p w14:paraId="254C374F" w14:textId="77777777" w:rsidR="00D52CD1" w:rsidRPr="007923C2" w:rsidRDefault="00D52CD1" w:rsidP="00D52CD1">
      <w:pPr>
        <w:widowControl w:val="0"/>
        <w:numPr>
          <w:ilvl w:val="1"/>
          <w:numId w:val="157"/>
        </w:numPr>
        <w:tabs>
          <w:tab w:val="clear" w:pos="1440"/>
          <w:tab w:val="num" w:pos="602"/>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Facilitar proyectos de exportación; </w:t>
      </w:r>
    </w:p>
    <w:p w14:paraId="77F2A8D6"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33442376" w14:textId="77777777" w:rsidR="00D52CD1" w:rsidRPr="007923C2" w:rsidRDefault="00D52CD1" w:rsidP="00D52CD1">
      <w:pPr>
        <w:widowControl w:val="0"/>
        <w:numPr>
          <w:ilvl w:val="1"/>
          <w:numId w:val="157"/>
        </w:numPr>
        <w:tabs>
          <w:tab w:val="clear" w:pos="1440"/>
          <w:tab w:val="num" w:pos="602"/>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Contribuir a resolver los problemas que enfrentan las empresas para concurrir a los mercados internacionales, y </w:t>
      </w:r>
    </w:p>
    <w:p w14:paraId="58113A4F" w14:textId="77777777" w:rsidR="00D52CD1" w:rsidRPr="007923C2" w:rsidRDefault="00D52CD1" w:rsidP="00D52CD1">
      <w:pPr>
        <w:widowControl w:val="0"/>
        <w:autoSpaceDE w:val="0"/>
        <w:autoSpaceDN w:val="0"/>
        <w:adjustRightInd w:val="0"/>
        <w:spacing w:after="0" w:line="1" w:lineRule="exact"/>
        <w:ind w:right="40"/>
        <w:jc w:val="both"/>
        <w:rPr>
          <w:rFonts w:ascii="Arial" w:hAnsi="Arial" w:cs="Arial"/>
          <w:sz w:val="22"/>
          <w:szCs w:val="22"/>
        </w:rPr>
      </w:pPr>
    </w:p>
    <w:p w14:paraId="27F6DDBD" w14:textId="77777777" w:rsidR="00D52CD1" w:rsidRPr="007923C2" w:rsidRDefault="00D52CD1" w:rsidP="00D52CD1">
      <w:pPr>
        <w:widowControl w:val="0"/>
        <w:numPr>
          <w:ilvl w:val="1"/>
          <w:numId w:val="157"/>
        </w:numPr>
        <w:tabs>
          <w:tab w:val="clear" w:pos="1440"/>
          <w:tab w:val="num" w:pos="602"/>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Proporcionar los servicios de apoyo al comercio exterior. </w:t>
      </w:r>
    </w:p>
    <w:p w14:paraId="44A56ADC" w14:textId="77777777" w:rsidR="00D52CD1" w:rsidRPr="007923C2" w:rsidRDefault="00D52CD1" w:rsidP="00D52CD1">
      <w:pPr>
        <w:widowControl w:val="0"/>
        <w:autoSpaceDE w:val="0"/>
        <w:autoSpaceDN w:val="0"/>
        <w:adjustRightInd w:val="0"/>
        <w:spacing w:after="0" w:line="193" w:lineRule="exact"/>
        <w:ind w:right="40"/>
        <w:jc w:val="both"/>
        <w:rPr>
          <w:rFonts w:ascii="Arial" w:hAnsi="Arial" w:cs="Arial"/>
          <w:sz w:val="22"/>
          <w:szCs w:val="22"/>
        </w:rPr>
      </w:pPr>
    </w:p>
    <w:p w14:paraId="1901538A"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Los mecanismos de promoción de exportación pueden consistir en la reducción o eliminación de determinados impuestos, así como disponibilidad de información relativa a los mercados internacionales (demanda internacional, clientes potenciales, etcétera), la realización de eventos para la promoción de los productos mexicanos (ferias, misiones de compradores o vendedores), etcétera.</w:t>
      </w:r>
    </w:p>
    <w:p w14:paraId="62EE91E6"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75600A4E"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En el marco del programa de política industrial y comercio exterior se presenta como una prioridad de la política económica la realización de actividades de promoción a las exportaciones, las cuales se dividen en dos grandes vertientes: por una parte actividades de fomento (consistentes principalmente en el otorgamiento de estímulos fiscales y facilidades administrativas), y por la otra el financiamiento; asimismo, resultan esenciales los servicios de información, asesoría y capacitación en materia de comercio exterior.</w:t>
      </w:r>
    </w:p>
    <w:p w14:paraId="007845CE" w14:textId="77777777"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14:paraId="211A9FDE"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La promoción de exportaciones en México se estructura de la siguiente forma:</w:t>
      </w:r>
    </w:p>
    <w:p w14:paraId="1573CBB0" w14:textId="77777777" w:rsidR="00D52CD1" w:rsidRPr="007923C2" w:rsidRDefault="00D52CD1" w:rsidP="00D52CD1">
      <w:pPr>
        <w:widowControl w:val="0"/>
        <w:autoSpaceDE w:val="0"/>
        <w:autoSpaceDN w:val="0"/>
        <w:adjustRightInd w:val="0"/>
        <w:spacing w:after="0" w:line="312" w:lineRule="exact"/>
        <w:ind w:right="40"/>
        <w:jc w:val="both"/>
        <w:rPr>
          <w:rFonts w:ascii="Arial" w:hAnsi="Arial" w:cs="Arial"/>
          <w:sz w:val="22"/>
          <w:szCs w:val="22"/>
        </w:rPr>
      </w:pPr>
    </w:p>
    <w:p w14:paraId="1659DB38" w14:textId="77777777" w:rsidR="00D52CD1" w:rsidRPr="007923C2" w:rsidRDefault="00D52CD1" w:rsidP="00D52CD1">
      <w:pPr>
        <w:widowControl w:val="0"/>
        <w:numPr>
          <w:ilvl w:val="0"/>
          <w:numId w:val="158"/>
        </w:numPr>
        <w:tabs>
          <w:tab w:val="clear" w:pos="720"/>
          <w:tab w:val="num" w:pos="662"/>
        </w:tabs>
        <w:overflowPunct w:val="0"/>
        <w:autoSpaceDE w:val="0"/>
        <w:autoSpaceDN w:val="0"/>
        <w:adjustRightInd w:val="0"/>
        <w:spacing w:after="0" w:line="237" w:lineRule="auto"/>
        <w:ind w:left="0" w:right="40" w:firstLine="0"/>
        <w:jc w:val="both"/>
        <w:rPr>
          <w:rFonts w:ascii="Arial" w:hAnsi="Arial" w:cs="Arial"/>
          <w:i/>
          <w:iCs/>
          <w:sz w:val="22"/>
          <w:szCs w:val="22"/>
        </w:rPr>
      </w:pPr>
      <w:r w:rsidRPr="007923C2">
        <w:rPr>
          <w:rFonts w:ascii="Arial" w:hAnsi="Arial" w:cs="Arial"/>
          <w:sz w:val="22"/>
          <w:szCs w:val="22"/>
        </w:rPr>
        <w:lastRenderedPageBreak/>
        <w:t xml:space="preserve">Servicios de información, asesoría y capacitación en materia de comercio exterior </w:t>
      </w:r>
    </w:p>
    <w:p w14:paraId="103BBEFD" w14:textId="77777777" w:rsidR="00D52CD1" w:rsidRPr="007923C2" w:rsidRDefault="00D52CD1" w:rsidP="00D52CD1">
      <w:pPr>
        <w:widowControl w:val="0"/>
        <w:autoSpaceDE w:val="0"/>
        <w:autoSpaceDN w:val="0"/>
        <w:adjustRightInd w:val="0"/>
        <w:spacing w:after="0" w:line="182" w:lineRule="exact"/>
        <w:ind w:right="40"/>
        <w:jc w:val="both"/>
        <w:rPr>
          <w:rFonts w:ascii="Arial" w:hAnsi="Arial" w:cs="Arial"/>
          <w:sz w:val="22"/>
          <w:szCs w:val="22"/>
        </w:rPr>
      </w:pPr>
    </w:p>
    <w:p w14:paraId="5F1A9E40" w14:textId="77777777" w:rsidR="00D52CD1" w:rsidRPr="007923C2" w:rsidRDefault="00D52CD1" w:rsidP="00D52CD1">
      <w:pPr>
        <w:widowControl w:val="0"/>
        <w:tabs>
          <w:tab w:val="left" w:pos="681"/>
        </w:tabs>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Centro de Servicios al Comercio Exterior</w:t>
      </w:r>
    </w:p>
    <w:p w14:paraId="1B35F780" w14:textId="77777777" w:rsidR="00D52CD1" w:rsidRPr="007923C2" w:rsidRDefault="00D52CD1" w:rsidP="00D52CD1">
      <w:pPr>
        <w:widowControl w:val="0"/>
        <w:autoSpaceDE w:val="0"/>
        <w:autoSpaceDN w:val="0"/>
        <w:adjustRightInd w:val="0"/>
        <w:spacing w:after="0" w:line="137" w:lineRule="exact"/>
        <w:ind w:right="40"/>
        <w:jc w:val="both"/>
        <w:rPr>
          <w:rFonts w:ascii="Arial" w:hAnsi="Arial" w:cs="Arial"/>
          <w:sz w:val="22"/>
          <w:szCs w:val="22"/>
        </w:rPr>
      </w:pPr>
    </w:p>
    <w:p w14:paraId="00649710" w14:textId="77777777" w:rsidR="00D52CD1" w:rsidRPr="007923C2" w:rsidRDefault="00D52CD1" w:rsidP="00444F68">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Es auspiciado por la Secretaria de Economía y BANCOMEXT. Entre los principales servicios de información que proporciona se encuentran: la Unidad de Información (biblioteca con más de 10,000 títulos); un sistema interactivo, las publicaciones de información especializada (negociaciones comerciales, sistemas de comercialización, aspectos técnicos de producción, etcétera), y diversas bases de datos y sistemas de información sobre comercio exterior.</w:t>
      </w:r>
      <w:r w:rsidR="00444F68" w:rsidRPr="007923C2">
        <w:rPr>
          <w:rFonts w:ascii="Arial" w:hAnsi="Arial" w:cs="Arial"/>
          <w:sz w:val="22"/>
          <w:szCs w:val="22"/>
        </w:rPr>
        <w:t xml:space="preserve">  En materia de asesoría, el Centro ofrece servicios de diagnóstico de comercio internacional, asesoría técnica (sistemas aduaneros, cotizaciones internacionales, empaque y embalaje, sistemas de transporte interna</w:t>
      </w:r>
      <w:bookmarkStart w:id="27" w:name="page59"/>
      <w:bookmarkEnd w:id="27"/>
      <w:r w:rsidRPr="007923C2">
        <w:rPr>
          <w:rFonts w:ascii="Arial" w:hAnsi="Arial" w:cs="Arial"/>
          <w:sz w:val="22"/>
          <w:szCs w:val="22"/>
        </w:rPr>
        <w:t>cional, niveles internacionales de demanda, métodos internacionales de pago, etcétera); comercializadoras internacionales y asesoría sobre los servicios financieros del Banco Nacional de Comercio Exterior.</w:t>
      </w:r>
    </w:p>
    <w:p w14:paraId="2E03DEB6"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6583B1CD"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 xml:space="preserve">Proporciona a los exportadores capacitación técnica y especializada a través de cursos en las siguientes materias: situación internacional de la empresa, análisis de la competitividad internacional de la empresa, metodología para realizar proyectos de negocios de comercio exterior, fijación de precios de exportación, comercialización internacional, preparación y transporte, empaque, embalaje y presentación, financiamiento y negociación internacional, entre otros. </w:t>
      </w:r>
    </w:p>
    <w:p w14:paraId="0848EADB" w14:textId="77777777" w:rsidR="00D52CD1" w:rsidRPr="007923C2" w:rsidRDefault="00D52CD1" w:rsidP="00D52CD1">
      <w:pPr>
        <w:widowControl w:val="0"/>
        <w:autoSpaceDE w:val="0"/>
        <w:autoSpaceDN w:val="0"/>
        <w:adjustRightInd w:val="0"/>
        <w:spacing w:after="0" w:line="104" w:lineRule="exact"/>
        <w:ind w:right="40"/>
        <w:jc w:val="both"/>
        <w:rPr>
          <w:rFonts w:ascii="Arial" w:hAnsi="Arial" w:cs="Arial"/>
          <w:sz w:val="22"/>
          <w:szCs w:val="22"/>
        </w:rPr>
      </w:pPr>
    </w:p>
    <w:p w14:paraId="70667DD1" w14:textId="77777777" w:rsidR="00D52CD1" w:rsidRPr="007923C2" w:rsidRDefault="00D52CD1" w:rsidP="00D52CD1">
      <w:pPr>
        <w:widowControl w:val="0"/>
        <w:tabs>
          <w:tab w:val="left" w:pos="680"/>
        </w:tabs>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 xml:space="preserve">Sistema Mexicano de Promoción Externa </w:t>
      </w:r>
      <w:r w:rsidRPr="007923C2">
        <w:rPr>
          <w:rFonts w:ascii="Arial" w:hAnsi="Arial" w:cs="Arial"/>
          <w:sz w:val="22"/>
          <w:szCs w:val="22"/>
        </w:rPr>
        <w:t>(SIMPEX)</w:t>
      </w:r>
    </w:p>
    <w:p w14:paraId="26F5A5DA" w14:textId="77777777" w:rsidR="00D52CD1" w:rsidRPr="007923C2" w:rsidRDefault="00D52CD1" w:rsidP="00D52CD1">
      <w:pPr>
        <w:widowControl w:val="0"/>
        <w:autoSpaceDE w:val="0"/>
        <w:autoSpaceDN w:val="0"/>
        <w:adjustRightInd w:val="0"/>
        <w:spacing w:after="0" w:line="133" w:lineRule="exact"/>
        <w:ind w:right="40"/>
        <w:jc w:val="both"/>
        <w:rPr>
          <w:rFonts w:ascii="Arial" w:hAnsi="Arial" w:cs="Arial"/>
          <w:sz w:val="22"/>
          <w:szCs w:val="22"/>
        </w:rPr>
      </w:pPr>
    </w:p>
    <w:p w14:paraId="38E85777" w14:textId="77777777" w:rsidR="00D52CD1" w:rsidRPr="007923C2" w:rsidRDefault="00D52CD1" w:rsidP="00D52CD1">
      <w:pPr>
        <w:widowControl w:val="0"/>
        <w:overflowPunct w:val="0"/>
        <w:autoSpaceDE w:val="0"/>
        <w:autoSpaceDN w:val="0"/>
        <w:adjustRightInd w:val="0"/>
        <w:spacing w:after="0" w:line="255" w:lineRule="auto"/>
        <w:ind w:right="40"/>
        <w:jc w:val="both"/>
        <w:rPr>
          <w:rFonts w:ascii="Arial" w:hAnsi="Arial" w:cs="Arial"/>
          <w:sz w:val="22"/>
          <w:szCs w:val="22"/>
        </w:rPr>
      </w:pPr>
      <w:r w:rsidRPr="007923C2">
        <w:rPr>
          <w:rFonts w:ascii="Arial" w:hAnsi="Arial" w:cs="Arial"/>
          <w:sz w:val="22"/>
          <w:szCs w:val="22"/>
        </w:rPr>
        <w:t>El SIMPEX es un instrumento para captar y transmitir en forma oportuna información relativa a: demandas de bienes y servicios generados en el exterior, intereses de empresas extranjeras por establecer alianzas estratégicas con empresas mexicanas y oferta exportable de estas empresas.</w:t>
      </w:r>
    </w:p>
    <w:p w14:paraId="44703DB5" w14:textId="77777777" w:rsidR="00D52CD1" w:rsidRPr="007923C2" w:rsidRDefault="00D52CD1" w:rsidP="00D52CD1">
      <w:pPr>
        <w:widowControl w:val="0"/>
        <w:autoSpaceDE w:val="0"/>
        <w:autoSpaceDN w:val="0"/>
        <w:adjustRightInd w:val="0"/>
        <w:spacing w:after="0" w:line="3" w:lineRule="exact"/>
        <w:ind w:right="40"/>
        <w:jc w:val="both"/>
        <w:rPr>
          <w:rFonts w:ascii="Arial" w:hAnsi="Arial" w:cs="Arial"/>
          <w:sz w:val="22"/>
          <w:szCs w:val="22"/>
        </w:rPr>
      </w:pPr>
    </w:p>
    <w:p w14:paraId="20FC1B8D"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 xml:space="preserve">El SIMPEX se implementó bajo la coordinación de la Secretaría de Economía, conjuntamente con el BANCOMEXT, Nacional Financiera y el Consejo Mexicano de Inversión, con los siguientes objetivos: </w:t>
      </w:r>
    </w:p>
    <w:p w14:paraId="02B9BF0D" w14:textId="77777777" w:rsidR="00D52CD1" w:rsidRPr="007923C2" w:rsidRDefault="00D52CD1" w:rsidP="00D52CD1">
      <w:pPr>
        <w:widowControl w:val="0"/>
        <w:autoSpaceDE w:val="0"/>
        <w:autoSpaceDN w:val="0"/>
        <w:adjustRightInd w:val="0"/>
        <w:spacing w:after="0" w:line="70" w:lineRule="exact"/>
        <w:ind w:right="40"/>
        <w:jc w:val="both"/>
        <w:rPr>
          <w:rFonts w:ascii="Arial" w:hAnsi="Arial" w:cs="Arial"/>
          <w:sz w:val="22"/>
          <w:szCs w:val="22"/>
        </w:rPr>
      </w:pPr>
    </w:p>
    <w:p w14:paraId="2AE30C7F" w14:textId="77777777" w:rsidR="00D52CD1" w:rsidRPr="007923C2" w:rsidRDefault="00D52CD1" w:rsidP="00D52CD1">
      <w:pPr>
        <w:widowControl w:val="0"/>
        <w:numPr>
          <w:ilvl w:val="0"/>
          <w:numId w:val="159"/>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Promover en forma oportuna y eficiente los proyectos comerciales y de inversión entre empresas mexicanas y extranjeras; </w:t>
      </w:r>
    </w:p>
    <w:p w14:paraId="63633582"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7008B71B" w14:textId="77777777" w:rsidR="00D52CD1" w:rsidRPr="007923C2" w:rsidRDefault="00D52CD1" w:rsidP="00D52CD1">
      <w:pPr>
        <w:widowControl w:val="0"/>
        <w:numPr>
          <w:ilvl w:val="0"/>
          <w:numId w:val="159"/>
        </w:numPr>
        <w:tabs>
          <w:tab w:val="clear" w:pos="720"/>
          <w:tab w:val="num" w:pos="6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concentrar para los inversionistas en un solo instrumento información suficiente, actualizada y homogénea sobre una amplia gama de temas, y </w:t>
      </w:r>
    </w:p>
    <w:p w14:paraId="196582D1"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66585714" w14:textId="77777777" w:rsidR="00D52CD1" w:rsidRPr="007923C2" w:rsidRDefault="00D52CD1" w:rsidP="00D52CD1">
      <w:pPr>
        <w:widowControl w:val="0"/>
        <w:numPr>
          <w:ilvl w:val="0"/>
          <w:numId w:val="159"/>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coordinar las actividades de promoción de las instituciones vinculadas con los negocios internacionales. </w:t>
      </w:r>
    </w:p>
    <w:p w14:paraId="66117B39" w14:textId="77777777" w:rsidR="00D52CD1" w:rsidRPr="007923C2" w:rsidRDefault="00D52CD1" w:rsidP="00D52CD1">
      <w:pPr>
        <w:widowControl w:val="0"/>
        <w:autoSpaceDE w:val="0"/>
        <w:autoSpaceDN w:val="0"/>
        <w:adjustRightInd w:val="0"/>
        <w:spacing w:after="0" w:line="200" w:lineRule="exact"/>
        <w:ind w:right="40"/>
        <w:jc w:val="both"/>
        <w:rPr>
          <w:rFonts w:ascii="Arial" w:hAnsi="Arial" w:cs="Arial"/>
          <w:sz w:val="22"/>
          <w:szCs w:val="22"/>
        </w:rPr>
      </w:pPr>
    </w:p>
    <w:p w14:paraId="47B11532" w14:textId="77777777" w:rsidR="00D52CD1" w:rsidRPr="007923C2" w:rsidRDefault="00D52CD1" w:rsidP="00D52CD1">
      <w:pPr>
        <w:widowControl w:val="0"/>
        <w:autoSpaceDE w:val="0"/>
        <w:autoSpaceDN w:val="0"/>
        <w:adjustRightInd w:val="0"/>
        <w:spacing w:after="0" w:line="237" w:lineRule="exact"/>
        <w:ind w:right="40"/>
        <w:jc w:val="both"/>
        <w:rPr>
          <w:rFonts w:ascii="Arial" w:hAnsi="Arial" w:cs="Arial"/>
          <w:sz w:val="22"/>
          <w:szCs w:val="22"/>
        </w:rPr>
      </w:pPr>
    </w:p>
    <w:p w14:paraId="6F86F0AF"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i/>
          <w:iCs/>
          <w:sz w:val="22"/>
          <w:szCs w:val="22"/>
        </w:rPr>
        <w:t xml:space="preserve">b)  </w:t>
      </w:r>
      <w:r w:rsidRPr="007923C2">
        <w:rPr>
          <w:rFonts w:ascii="Arial" w:hAnsi="Arial" w:cs="Arial"/>
          <w:sz w:val="22"/>
          <w:szCs w:val="22"/>
        </w:rPr>
        <w:t>Desarrollo de mercados</w:t>
      </w:r>
    </w:p>
    <w:p w14:paraId="26CC5B64" w14:textId="77777777" w:rsidR="00D52CD1" w:rsidRPr="007923C2" w:rsidRDefault="00D52CD1" w:rsidP="00D52CD1">
      <w:pPr>
        <w:widowControl w:val="0"/>
        <w:autoSpaceDE w:val="0"/>
        <w:autoSpaceDN w:val="0"/>
        <w:adjustRightInd w:val="0"/>
        <w:spacing w:after="0" w:line="246" w:lineRule="exact"/>
        <w:ind w:right="40"/>
        <w:jc w:val="both"/>
        <w:rPr>
          <w:rFonts w:ascii="Arial" w:hAnsi="Arial" w:cs="Arial"/>
          <w:sz w:val="22"/>
          <w:szCs w:val="22"/>
        </w:rPr>
      </w:pPr>
    </w:p>
    <w:p w14:paraId="08DAE1E0" w14:textId="77777777" w:rsidR="00D52CD1" w:rsidRPr="007923C2" w:rsidRDefault="00D52CD1" w:rsidP="00D52CD1">
      <w:pPr>
        <w:widowControl w:val="0"/>
        <w:tabs>
          <w:tab w:val="left" w:pos="680"/>
        </w:tabs>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Actividades de investigación para el desarrollo de mercados</w:t>
      </w:r>
    </w:p>
    <w:p w14:paraId="5017F9FC" w14:textId="77777777" w:rsidR="00D52CD1" w:rsidRPr="007923C2" w:rsidRDefault="00D52CD1" w:rsidP="00D52CD1">
      <w:pPr>
        <w:widowControl w:val="0"/>
        <w:autoSpaceDE w:val="0"/>
        <w:autoSpaceDN w:val="0"/>
        <w:adjustRightInd w:val="0"/>
        <w:spacing w:after="0" w:line="137" w:lineRule="exact"/>
        <w:ind w:right="40"/>
        <w:jc w:val="both"/>
        <w:rPr>
          <w:rFonts w:ascii="Arial" w:hAnsi="Arial" w:cs="Arial"/>
          <w:sz w:val="22"/>
          <w:szCs w:val="22"/>
        </w:rPr>
      </w:pPr>
    </w:p>
    <w:p w14:paraId="42DE0772"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El BANCOMEXT presta servicios de investigación para el desarrollo y promoción de mercados y productos.</w:t>
      </w:r>
    </w:p>
    <w:p w14:paraId="5AD08484" w14:textId="77777777"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p>
    <w:p w14:paraId="0C78AF92" w14:textId="77777777" w:rsidR="00D52CD1" w:rsidRPr="007923C2" w:rsidRDefault="00D52CD1" w:rsidP="00D52CD1">
      <w:pPr>
        <w:widowControl w:val="0"/>
        <w:tabs>
          <w:tab w:val="left" w:pos="680"/>
        </w:tabs>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Programa Nacional de Eventos Internacionales</w:t>
      </w:r>
    </w:p>
    <w:p w14:paraId="0CF431EF" w14:textId="77777777" w:rsidR="00D52CD1" w:rsidRPr="007923C2" w:rsidRDefault="00D52CD1" w:rsidP="00D52CD1">
      <w:pPr>
        <w:widowControl w:val="0"/>
        <w:autoSpaceDE w:val="0"/>
        <w:autoSpaceDN w:val="0"/>
        <w:adjustRightInd w:val="0"/>
        <w:spacing w:after="0" w:line="98" w:lineRule="exact"/>
        <w:ind w:right="40"/>
        <w:jc w:val="both"/>
        <w:rPr>
          <w:rFonts w:ascii="Arial" w:hAnsi="Arial" w:cs="Arial"/>
          <w:sz w:val="22"/>
          <w:szCs w:val="22"/>
        </w:rPr>
      </w:pPr>
    </w:p>
    <w:p w14:paraId="0F2C52A7" w14:textId="77777777" w:rsidR="00D52CD1" w:rsidRPr="007923C2" w:rsidRDefault="00D52CD1" w:rsidP="00D52CD1">
      <w:pPr>
        <w:widowControl w:val="0"/>
        <w:overflowPunct w:val="0"/>
        <w:autoSpaceDE w:val="0"/>
        <w:autoSpaceDN w:val="0"/>
        <w:adjustRightInd w:val="0"/>
        <w:spacing w:after="0" w:line="256" w:lineRule="auto"/>
        <w:ind w:right="40"/>
        <w:jc w:val="both"/>
        <w:rPr>
          <w:rFonts w:ascii="Arial" w:hAnsi="Arial" w:cs="Arial"/>
          <w:sz w:val="22"/>
          <w:szCs w:val="22"/>
        </w:rPr>
      </w:pPr>
      <w:r w:rsidRPr="007923C2">
        <w:rPr>
          <w:rFonts w:ascii="Arial" w:hAnsi="Arial" w:cs="Arial"/>
          <w:sz w:val="22"/>
          <w:szCs w:val="22"/>
        </w:rPr>
        <w:t>Este programa es coordinado por la Secretaría de Economía y BANCO-MEXT, es un programa anual, orientado a difundir y apoyar la participación de empresas nacionales en ferias y eventos internacionales.</w:t>
      </w:r>
    </w:p>
    <w:p w14:paraId="326B8651" w14:textId="77777777" w:rsidR="00D52CD1" w:rsidRPr="007923C2" w:rsidRDefault="00D52CD1" w:rsidP="00D52CD1">
      <w:pPr>
        <w:widowControl w:val="0"/>
        <w:autoSpaceDE w:val="0"/>
        <w:autoSpaceDN w:val="0"/>
        <w:adjustRightInd w:val="0"/>
        <w:spacing w:after="0" w:line="234" w:lineRule="exact"/>
        <w:ind w:right="40"/>
        <w:jc w:val="both"/>
        <w:rPr>
          <w:rFonts w:ascii="Arial" w:hAnsi="Arial" w:cs="Arial"/>
          <w:sz w:val="22"/>
          <w:szCs w:val="22"/>
        </w:rPr>
      </w:pPr>
    </w:p>
    <w:p w14:paraId="620CAD5C" w14:textId="77777777"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i/>
          <w:iCs/>
          <w:sz w:val="22"/>
          <w:szCs w:val="22"/>
        </w:rPr>
        <w:t xml:space="preserve">c)  </w:t>
      </w:r>
      <w:r w:rsidRPr="007923C2">
        <w:rPr>
          <w:rFonts w:ascii="Arial" w:hAnsi="Arial" w:cs="Arial"/>
          <w:sz w:val="22"/>
          <w:szCs w:val="22"/>
        </w:rPr>
        <w:t>Coordinación del fomento a la exportación</w:t>
      </w:r>
    </w:p>
    <w:p w14:paraId="1B639DC2" w14:textId="77777777" w:rsidR="00D52CD1" w:rsidRPr="007923C2" w:rsidRDefault="00D52CD1" w:rsidP="00D52CD1">
      <w:pPr>
        <w:widowControl w:val="0"/>
        <w:autoSpaceDE w:val="0"/>
        <w:autoSpaceDN w:val="0"/>
        <w:adjustRightInd w:val="0"/>
        <w:spacing w:after="0" w:line="197" w:lineRule="exact"/>
        <w:ind w:right="40"/>
        <w:jc w:val="both"/>
        <w:rPr>
          <w:rFonts w:ascii="Arial" w:hAnsi="Arial" w:cs="Arial"/>
          <w:sz w:val="22"/>
          <w:szCs w:val="22"/>
        </w:rPr>
      </w:pPr>
    </w:p>
    <w:p w14:paraId="57A7CE34" w14:textId="77777777" w:rsidR="00D52CD1" w:rsidRPr="007923C2" w:rsidRDefault="00D52CD1" w:rsidP="00D52CD1">
      <w:pPr>
        <w:widowControl w:val="0"/>
        <w:overflowPunct w:val="0"/>
        <w:autoSpaceDE w:val="0"/>
        <w:autoSpaceDN w:val="0"/>
        <w:adjustRightInd w:val="0"/>
        <w:spacing w:after="0" w:line="234" w:lineRule="auto"/>
        <w:ind w:right="40"/>
        <w:jc w:val="both"/>
        <w:rPr>
          <w:rFonts w:ascii="Arial" w:hAnsi="Arial" w:cs="Arial"/>
          <w:sz w:val="22"/>
          <w:szCs w:val="22"/>
        </w:rPr>
      </w:pPr>
      <w:r w:rsidRPr="007923C2">
        <w:rPr>
          <w:rFonts w:ascii="Arial" w:hAnsi="Arial" w:cs="Arial"/>
          <w:sz w:val="22"/>
          <w:szCs w:val="22"/>
        </w:rPr>
        <w:t>La Comisión Mixta para la Promoción de las Exportaciones (COM-PEX) es un instrumento orientado a resolver la problemática de los exportadores mediante la concertación entre el sector privado y los tres niveles de gobierno. La COMPEX coordina los esfuerzos de ambos sectores con objeto de promover y facilitar el desarrollo de proyecto de comercio exterior.</w:t>
      </w:r>
    </w:p>
    <w:p w14:paraId="5B9E799B" w14:textId="77777777" w:rsidR="00D52CD1" w:rsidRPr="007923C2" w:rsidRDefault="00D52CD1" w:rsidP="00D52CD1">
      <w:pPr>
        <w:widowControl w:val="0"/>
        <w:autoSpaceDE w:val="0"/>
        <w:autoSpaceDN w:val="0"/>
        <w:adjustRightInd w:val="0"/>
        <w:spacing w:after="0" w:line="185" w:lineRule="exact"/>
        <w:ind w:right="40"/>
        <w:jc w:val="both"/>
        <w:rPr>
          <w:rFonts w:ascii="Arial" w:hAnsi="Arial" w:cs="Arial"/>
          <w:sz w:val="22"/>
          <w:szCs w:val="22"/>
        </w:rPr>
      </w:pPr>
    </w:p>
    <w:p w14:paraId="69AC0B8B"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i/>
          <w:iCs/>
          <w:sz w:val="22"/>
          <w:szCs w:val="22"/>
        </w:rPr>
        <w:t xml:space="preserve">d)  </w:t>
      </w:r>
      <w:r w:rsidRPr="007923C2">
        <w:rPr>
          <w:rFonts w:ascii="Arial" w:hAnsi="Arial" w:cs="Arial"/>
          <w:sz w:val="22"/>
          <w:szCs w:val="22"/>
        </w:rPr>
        <w:t>Fomento a la cultura exportadora</w:t>
      </w:r>
    </w:p>
    <w:p w14:paraId="0843C458" w14:textId="77777777" w:rsidR="00D52CD1" w:rsidRPr="007923C2" w:rsidRDefault="00D52CD1" w:rsidP="00D52CD1">
      <w:pPr>
        <w:widowControl w:val="0"/>
        <w:autoSpaceDE w:val="0"/>
        <w:autoSpaceDN w:val="0"/>
        <w:adjustRightInd w:val="0"/>
        <w:spacing w:after="0" w:line="198" w:lineRule="exact"/>
        <w:ind w:right="40"/>
        <w:jc w:val="both"/>
        <w:rPr>
          <w:rFonts w:ascii="Arial" w:hAnsi="Arial" w:cs="Arial"/>
          <w:sz w:val="22"/>
          <w:szCs w:val="22"/>
        </w:rPr>
      </w:pPr>
    </w:p>
    <w:p w14:paraId="2AD00636"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El Premio Nacional de Exportación tiene por objeto premiar y reconocer anualmente el esfuerzo, la constancia y la creatividad de los exportadores nacionales y de las instituciones que apoyan la actividad exportadora. El Premio busca estimular el aumento y diversificación de las exportaciones, difundir internacionalmente la oferta exportable mexicana, arraigar una sólida cultura exportadora entre los agentes económicos del país, y fomentar el desarrollo de mecanismos que apoyen el crecimiento de las exportaciones.</w:t>
      </w:r>
    </w:p>
    <w:p w14:paraId="098B1FD6" w14:textId="77777777" w:rsidR="00D52CD1" w:rsidRPr="007923C2" w:rsidRDefault="00D52CD1" w:rsidP="00D52CD1">
      <w:pPr>
        <w:widowControl w:val="0"/>
        <w:autoSpaceDE w:val="0"/>
        <w:autoSpaceDN w:val="0"/>
        <w:adjustRightInd w:val="0"/>
        <w:spacing w:after="0" w:line="249" w:lineRule="exact"/>
        <w:ind w:right="40"/>
        <w:jc w:val="both"/>
        <w:rPr>
          <w:rFonts w:ascii="Arial" w:hAnsi="Arial" w:cs="Arial"/>
          <w:sz w:val="22"/>
          <w:szCs w:val="22"/>
        </w:rPr>
      </w:pPr>
    </w:p>
    <w:p w14:paraId="3950FC88"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F.  </w:t>
      </w:r>
      <w:r w:rsidRPr="007923C2">
        <w:rPr>
          <w:rFonts w:ascii="Arial" w:hAnsi="Arial" w:cs="Arial"/>
          <w:i/>
          <w:iCs/>
          <w:sz w:val="22"/>
          <w:szCs w:val="22"/>
        </w:rPr>
        <w:t>Programas de fomento</w:t>
      </w:r>
    </w:p>
    <w:p w14:paraId="72F4B230" w14:textId="77777777" w:rsidR="00D52CD1" w:rsidRPr="007923C2" w:rsidRDefault="00D52CD1" w:rsidP="00D52CD1">
      <w:pPr>
        <w:widowControl w:val="0"/>
        <w:autoSpaceDE w:val="0"/>
        <w:autoSpaceDN w:val="0"/>
        <w:adjustRightInd w:val="0"/>
        <w:spacing w:after="0" w:line="195" w:lineRule="exact"/>
        <w:ind w:right="40"/>
        <w:jc w:val="both"/>
        <w:rPr>
          <w:rFonts w:ascii="Arial" w:hAnsi="Arial" w:cs="Arial"/>
          <w:sz w:val="22"/>
          <w:szCs w:val="22"/>
        </w:rPr>
      </w:pPr>
    </w:p>
    <w:p w14:paraId="3064D1E7"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Siendo instituciones del derecho económico, los programas de fomento a las exportaciones encuentran su fundamento jurídico-administrativo en el Plan Nacional de Desarrollo y en el Programa de Política Industrial y Comercio Exterior, para terminar formando parte del régimen jurídico del comercio exterior de México.</w:t>
      </w:r>
    </w:p>
    <w:p w14:paraId="26D54524"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5ECA2EB9"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Los programas de fomento a las exportaciones son principalmente los siguientes:</w:t>
      </w:r>
    </w:p>
    <w:p w14:paraId="0D6F5556" w14:textId="77777777" w:rsidR="00D52CD1" w:rsidRPr="007923C2" w:rsidRDefault="00D52CD1" w:rsidP="00D52CD1">
      <w:pPr>
        <w:widowControl w:val="0"/>
        <w:autoSpaceDE w:val="0"/>
        <w:autoSpaceDN w:val="0"/>
        <w:adjustRightInd w:val="0"/>
        <w:spacing w:after="0" w:line="318" w:lineRule="exact"/>
        <w:ind w:right="40"/>
        <w:jc w:val="both"/>
        <w:rPr>
          <w:rFonts w:ascii="Arial" w:hAnsi="Arial" w:cs="Arial"/>
          <w:sz w:val="22"/>
          <w:szCs w:val="22"/>
        </w:rPr>
      </w:pPr>
    </w:p>
    <w:p w14:paraId="03298DD3" w14:textId="77777777" w:rsidR="00D52CD1" w:rsidRPr="007923C2" w:rsidRDefault="00D52CD1" w:rsidP="00D52CD1">
      <w:pPr>
        <w:widowControl w:val="0"/>
        <w:numPr>
          <w:ilvl w:val="0"/>
          <w:numId w:val="160"/>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Programa de Importación Temporal para Producir Artículos de Exportación (PITEX); </w:t>
      </w:r>
    </w:p>
    <w:p w14:paraId="6C32995D"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6C326A17" w14:textId="77777777" w:rsidR="00D52CD1" w:rsidRPr="007923C2" w:rsidRDefault="00D52CD1" w:rsidP="00D52CD1">
      <w:pPr>
        <w:widowControl w:val="0"/>
        <w:numPr>
          <w:ilvl w:val="0"/>
          <w:numId w:val="160"/>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Sistema que Regula el Establecimiento de Empresas de Comercio Exterior (ECEX); </w:t>
      </w:r>
    </w:p>
    <w:p w14:paraId="651CD516"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1E279A04" w14:textId="77777777" w:rsidR="00D52CD1" w:rsidRPr="007923C2" w:rsidRDefault="00D52CD1" w:rsidP="00D52CD1">
      <w:pPr>
        <w:widowControl w:val="0"/>
        <w:numPr>
          <w:ilvl w:val="0"/>
          <w:numId w:val="160"/>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Sistema para el Fomento y Operación de las Empresas Altamente Exportadoras (ALTEX); </w:t>
      </w:r>
    </w:p>
    <w:p w14:paraId="704C49F1"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39BD8F1F" w14:textId="77777777" w:rsidR="00D52CD1" w:rsidRPr="007923C2" w:rsidRDefault="00D52CD1" w:rsidP="00D52CD1">
      <w:pPr>
        <w:widowControl w:val="0"/>
        <w:numPr>
          <w:ilvl w:val="0"/>
          <w:numId w:val="160"/>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Mecanismo de devolución de impuestos de importación a los exportadores (</w:t>
      </w:r>
      <w:r w:rsidRPr="007923C2">
        <w:rPr>
          <w:rFonts w:ascii="Arial" w:hAnsi="Arial" w:cs="Arial"/>
          <w:i/>
          <w:iCs/>
          <w:sz w:val="22"/>
          <w:szCs w:val="22"/>
        </w:rPr>
        <w:t>Draw Back</w:t>
      </w:r>
      <w:r w:rsidRPr="007923C2">
        <w:rPr>
          <w:rFonts w:ascii="Arial" w:hAnsi="Arial" w:cs="Arial"/>
          <w:sz w:val="22"/>
          <w:szCs w:val="22"/>
        </w:rPr>
        <w:t xml:space="preserve">), y </w:t>
      </w:r>
    </w:p>
    <w:p w14:paraId="382879BF" w14:textId="77777777" w:rsidR="00D52CD1" w:rsidRPr="007923C2" w:rsidRDefault="00D52CD1" w:rsidP="00D52CD1">
      <w:pPr>
        <w:widowControl w:val="0"/>
        <w:autoSpaceDE w:val="0"/>
        <w:autoSpaceDN w:val="0"/>
        <w:adjustRightInd w:val="0"/>
        <w:spacing w:after="0" w:line="11" w:lineRule="exact"/>
        <w:ind w:right="40"/>
        <w:jc w:val="both"/>
        <w:rPr>
          <w:rFonts w:ascii="Arial" w:hAnsi="Arial" w:cs="Arial"/>
          <w:sz w:val="22"/>
          <w:szCs w:val="22"/>
        </w:rPr>
      </w:pPr>
    </w:p>
    <w:p w14:paraId="03D353EE" w14:textId="77777777" w:rsidR="00D52CD1" w:rsidRPr="007923C2" w:rsidRDefault="00D52CD1" w:rsidP="00D52CD1">
      <w:pPr>
        <w:widowControl w:val="0"/>
        <w:numPr>
          <w:ilvl w:val="0"/>
          <w:numId w:val="160"/>
        </w:numPr>
        <w:tabs>
          <w:tab w:val="clear" w:pos="720"/>
          <w:tab w:val="num" w:pos="620"/>
        </w:tabs>
        <w:overflowPunct w:val="0"/>
        <w:autoSpaceDE w:val="0"/>
        <w:autoSpaceDN w:val="0"/>
        <w:adjustRightInd w:val="0"/>
        <w:spacing w:after="0" w:line="238" w:lineRule="auto"/>
        <w:ind w:left="0" w:right="40" w:firstLine="0"/>
        <w:jc w:val="both"/>
        <w:rPr>
          <w:rFonts w:ascii="Arial" w:hAnsi="Arial" w:cs="Arial"/>
          <w:sz w:val="22"/>
          <w:szCs w:val="22"/>
        </w:rPr>
      </w:pPr>
      <w:r w:rsidRPr="007923C2">
        <w:rPr>
          <w:rFonts w:ascii="Arial" w:hAnsi="Arial" w:cs="Arial"/>
          <w:sz w:val="22"/>
          <w:szCs w:val="22"/>
        </w:rPr>
        <w:t xml:space="preserve">Régimen para el fomento y operación de la industria maquiladora de Exportación </w:t>
      </w:r>
      <w:r w:rsidRPr="007923C2">
        <w:rPr>
          <w:rFonts w:ascii="Arial" w:hAnsi="Arial" w:cs="Arial"/>
          <w:sz w:val="22"/>
          <w:szCs w:val="22"/>
          <w:vertAlign w:val="superscript"/>
        </w:rPr>
        <w:t>331</w:t>
      </w:r>
      <w:r w:rsidRPr="007923C2">
        <w:rPr>
          <w:rFonts w:ascii="Arial" w:hAnsi="Arial" w:cs="Arial"/>
          <w:sz w:val="22"/>
          <w:szCs w:val="22"/>
        </w:rPr>
        <w:t xml:space="preserve"> (FEMEX); </w:t>
      </w:r>
    </w:p>
    <w:p w14:paraId="5D478622" w14:textId="77777777" w:rsidR="00D52CD1" w:rsidRPr="007923C2" w:rsidRDefault="00D52CD1" w:rsidP="00D52CD1">
      <w:pPr>
        <w:widowControl w:val="0"/>
        <w:numPr>
          <w:ilvl w:val="0"/>
          <w:numId w:val="160"/>
        </w:numPr>
        <w:tabs>
          <w:tab w:val="clear" w:pos="720"/>
          <w:tab w:val="num" w:pos="620"/>
        </w:tabs>
        <w:overflowPunct w:val="0"/>
        <w:autoSpaceDE w:val="0"/>
        <w:autoSpaceDN w:val="0"/>
        <w:adjustRightInd w:val="0"/>
        <w:spacing w:after="0" w:line="188" w:lineRule="auto"/>
        <w:ind w:left="0" w:right="40" w:firstLine="0"/>
        <w:jc w:val="both"/>
        <w:rPr>
          <w:rFonts w:ascii="Arial" w:hAnsi="Arial" w:cs="Arial"/>
          <w:sz w:val="22"/>
          <w:szCs w:val="22"/>
        </w:rPr>
      </w:pPr>
      <w:r w:rsidRPr="007923C2">
        <w:rPr>
          <w:rFonts w:ascii="Arial" w:hAnsi="Arial" w:cs="Arial"/>
          <w:sz w:val="22"/>
          <w:szCs w:val="22"/>
        </w:rPr>
        <w:t xml:space="preserve">Programas de Promoción Sectorial (PROSEC). </w:t>
      </w:r>
    </w:p>
    <w:p w14:paraId="1BF1BACB" w14:textId="77777777" w:rsidR="00D52CD1" w:rsidRPr="007923C2" w:rsidRDefault="00D52CD1" w:rsidP="00D52CD1">
      <w:pPr>
        <w:widowControl w:val="0"/>
        <w:autoSpaceDE w:val="0"/>
        <w:autoSpaceDN w:val="0"/>
        <w:adjustRightInd w:val="0"/>
        <w:spacing w:after="0" w:line="255" w:lineRule="exact"/>
        <w:ind w:right="40"/>
        <w:jc w:val="both"/>
        <w:rPr>
          <w:rFonts w:ascii="Arial" w:hAnsi="Arial" w:cs="Arial"/>
          <w:sz w:val="22"/>
          <w:szCs w:val="22"/>
        </w:rPr>
      </w:pPr>
    </w:p>
    <w:p w14:paraId="2397BB90"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La evolución del sector exportador hizo necesario fortalecer y complementar dichos programas, a fin de mejorar el acceso de las empresas medianas y pequeñas a sus beneficios. Por esta razón, en mayo de 1995 se reformaron estos programas de fomento, con el fin de atentar la proveeduría nacional de los insumos que actualmente son importados por las empresas PITEX y las maquiladoras, así como ampliar las posibilidades de exportación de las empresas micro, pequeñas y medianas. Gracias a estas reformas, las empresas que operan como exportadores indirectos reciben facilidades equivalentes a las que reciben los exportadores directos: importar sin el pago del impuesto de importación y facturar a tasa cero del IVA.</w:t>
      </w:r>
    </w:p>
    <w:p w14:paraId="0F035789"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0E41DC8B"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Los programas de libre importación temporal para la exportación, el PITEX, el de maquila y el de empresas altamente exportadoras (ALTEX), han desempeñado un papel importante en el desarrollo de la capacidad exportadora del país. Por ello, un importante logro en la negociación del Tratado de Libre Comercio de América del Norte (TLCAN) consistió en establecer un periodo de gracia de siete años durante el cual estos programas permanecerán sin modificación alguna.</w:t>
      </w:r>
    </w:p>
    <w:p w14:paraId="0FB675B3" w14:textId="77777777" w:rsidR="00D52CD1" w:rsidRPr="007923C2" w:rsidRDefault="00D52CD1" w:rsidP="00D52CD1">
      <w:pPr>
        <w:widowControl w:val="0"/>
        <w:autoSpaceDE w:val="0"/>
        <w:autoSpaceDN w:val="0"/>
        <w:adjustRightInd w:val="0"/>
        <w:spacing w:after="0" w:line="9" w:lineRule="exact"/>
        <w:ind w:right="40"/>
        <w:jc w:val="both"/>
        <w:rPr>
          <w:rFonts w:ascii="Arial" w:hAnsi="Arial" w:cs="Arial"/>
          <w:sz w:val="22"/>
          <w:szCs w:val="22"/>
        </w:rPr>
      </w:pPr>
    </w:p>
    <w:p w14:paraId="65CE0627"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A partir del octavo año de vigencia del TLCAN, los requisitos de exportación mínima establecidos para autorizar los mencionados programas deberán eliminarse, y las ventas al mercando nacional dejarán de sujetarse a un porcentaje máximo.</w:t>
      </w:r>
    </w:p>
    <w:p w14:paraId="2BCEF3DD" w14:textId="77777777"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p>
    <w:p w14:paraId="3D6E3C21" w14:textId="77777777" w:rsidR="00D52CD1" w:rsidRPr="007923C2" w:rsidRDefault="00D52CD1" w:rsidP="00D52CD1">
      <w:pPr>
        <w:widowControl w:val="0"/>
        <w:numPr>
          <w:ilvl w:val="0"/>
          <w:numId w:val="161"/>
        </w:numPr>
        <w:tabs>
          <w:tab w:val="clear" w:pos="720"/>
          <w:tab w:val="num" w:pos="660"/>
        </w:tabs>
        <w:overflowPunct w:val="0"/>
        <w:autoSpaceDE w:val="0"/>
        <w:autoSpaceDN w:val="0"/>
        <w:adjustRightInd w:val="0"/>
        <w:spacing w:after="0" w:line="259" w:lineRule="auto"/>
        <w:ind w:left="284" w:right="40" w:hanging="284"/>
        <w:jc w:val="both"/>
        <w:rPr>
          <w:rFonts w:ascii="Arial" w:hAnsi="Arial" w:cs="Arial"/>
          <w:i/>
          <w:iCs/>
          <w:sz w:val="22"/>
          <w:szCs w:val="22"/>
        </w:rPr>
      </w:pPr>
      <w:r w:rsidRPr="007923C2">
        <w:rPr>
          <w:rFonts w:ascii="Arial" w:hAnsi="Arial" w:cs="Arial"/>
          <w:sz w:val="22"/>
          <w:szCs w:val="22"/>
        </w:rPr>
        <w:t xml:space="preserve">Programa de Importación Temporal para Producir Artículos de Exportación (PITEX) ( </w:t>
      </w:r>
      <w:r w:rsidRPr="007923C2">
        <w:rPr>
          <w:rFonts w:ascii="Arial" w:hAnsi="Arial" w:cs="Arial"/>
          <w:i/>
          <w:iCs/>
          <w:sz w:val="22"/>
          <w:szCs w:val="22"/>
        </w:rPr>
        <w:t>DOF</w:t>
      </w:r>
      <w:r w:rsidRPr="007923C2">
        <w:rPr>
          <w:rFonts w:ascii="Arial" w:hAnsi="Arial" w:cs="Arial"/>
          <w:sz w:val="22"/>
          <w:szCs w:val="22"/>
        </w:rPr>
        <w:t xml:space="preserve"> del 3 de mayo de 1990) </w:t>
      </w:r>
    </w:p>
    <w:p w14:paraId="49058578" w14:textId="77777777" w:rsidR="00D52CD1" w:rsidRPr="007923C2" w:rsidRDefault="00D52CD1" w:rsidP="00D52CD1">
      <w:pPr>
        <w:widowControl w:val="0"/>
        <w:autoSpaceDE w:val="0"/>
        <w:autoSpaceDN w:val="0"/>
        <w:adjustRightInd w:val="0"/>
        <w:spacing w:after="0" w:line="170" w:lineRule="exact"/>
        <w:ind w:right="40"/>
        <w:jc w:val="both"/>
        <w:rPr>
          <w:rFonts w:ascii="Arial" w:hAnsi="Arial" w:cs="Arial"/>
          <w:sz w:val="22"/>
          <w:szCs w:val="22"/>
        </w:rPr>
      </w:pPr>
    </w:p>
    <w:p w14:paraId="73DE315F"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PITEX es un instrumento de promoción a las exportaciones mediante el cual se permite a los productores de mercancías destinadas a la exportación, importar temporalmente diversos bienes para ser utilizados en la elaboración de productos de exportación, sin cubrir el pago de los impuestos de importación, el Impuesto al Valor Agregado, y las cuotas compensatorias en su caso.</w:t>
      </w:r>
    </w:p>
    <w:p w14:paraId="2E18EF1E" w14:textId="77777777"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14:paraId="0D9A1111" w14:textId="77777777"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Mediante decreto del 18 de mayo de 1998 se establece la incorporación del Programa en el Sistema Integral de Comercio Exterior (SICEX).</w:t>
      </w:r>
    </w:p>
    <w:p w14:paraId="6A8D715F" w14:textId="77777777" w:rsidR="00D52CD1" w:rsidRPr="007923C2" w:rsidRDefault="00D52CD1" w:rsidP="00D52CD1">
      <w:pPr>
        <w:widowControl w:val="0"/>
        <w:autoSpaceDE w:val="0"/>
        <w:autoSpaceDN w:val="0"/>
        <w:adjustRightInd w:val="0"/>
        <w:spacing w:after="0" w:line="6" w:lineRule="exact"/>
        <w:ind w:right="40"/>
        <w:jc w:val="both"/>
        <w:rPr>
          <w:rFonts w:ascii="Arial" w:hAnsi="Arial" w:cs="Arial"/>
          <w:sz w:val="22"/>
          <w:szCs w:val="22"/>
        </w:rPr>
      </w:pPr>
    </w:p>
    <w:p w14:paraId="4F432C31"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lastRenderedPageBreak/>
        <w:t>Los beneficiarios del programa PITEX son:</w:t>
      </w:r>
    </w:p>
    <w:p w14:paraId="5F03361B" w14:textId="77777777" w:rsidR="00D52CD1" w:rsidRPr="007923C2" w:rsidRDefault="00D52CD1" w:rsidP="00D52CD1">
      <w:pPr>
        <w:widowControl w:val="0"/>
        <w:autoSpaceDE w:val="0"/>
        <w:autoSpaceDN w:val="0"/>
        <w:adjustRightInd w:val="0"/>
        <w:spacing w:after="0" w:line="92" w:lineRule="exact"/>
        <w:ind w:right="40"/>
        <w:jc w:val="both"/>
        <w:rPr>
          <w:rFonts w:ascii="Arial" w:hAnsi="Arial" w:cs="Arial"/>
          <w:sz w:val="22"/>
          <w:szCs w:val="22"/>
        </w:rPr>
      </w:pPr>
    </w:p>
    <w:p w14:paraId="193F8FA4" w14:textId="77777777" w:rsidR="00D52CD1" w:rsidRPr="007923C2" w:rsidRDefault="00D52CD1" w:rsidP="00D52CD1">
      <w:pPr>
        <w:widowControl w:val="0"/>
        <w:numPr>
          <w:ilvl w:val="0"/>
          <w:numId w:val="162"/>
        </w:numPr>
        <w:tabs>
          <w:tab w:val="clear" w:pos="720"/>
          <w:tab w:val="num" w:pos="620"/>
        </w:tabs>
        <w:overflowPunct w:val="0"/>
        <w:autoSpaceDE w:val="0"/>
        <w:autoSpaceDN w:val="0"/>
        <w:adjustRightInd w:val="0"/>
        <w:spacing w:after="0" w:line="237" w:lineRule="auto"/>
        <w:ind w:left="426" w:right="40" w:hanging="426"/>
        <w:jc w:val="both"/>
        <w:rPr>
          <w:rFonts w:ascii="Arial" w:hAnsi="Arial" w:cs="Arial"/>
          <w:sz w:val="22"/>
          <w:szCs w:val="22"/>
        </w:rPr>
      </w:pPr>
      <w:r w:rsidRPr="007923C2">
        <w:rPr>
          <w:rFonts w:ascii="Arial" w:hAnsi="Arial" w:cs="Arial"/>
          <w:sz w:val="22"/>
          <w:szCs w:val="22"/>
        </w:rPr>
        <w:t xml:space="preserve">Las personas morales productoras de bienes no petroleros establecidas en el país que exporten directa o indirectamente, y </w:t>
      </w:r>
    </w:p>
    <w:p w14:paraId="36763449" w14:textId="77777777" w:rsidR="00D52CD1" w:rsidRPr="007923C2" w:rsidRDefault="00D52CD1" w:rsidP="00D52CD1">
      <w:pPr>
        <w:widowControl w:val="0"/>
        <w:autoSpaceDE w:val="0"/>
        <w:autoSpaceDN w:val="0"/>
        <w:adjustRightInd w:val="0"/>
        <w:spacing w:after="0" w:line="13" w:lineRule="exact"/>
        <w:ind w:left="426" w:right="40" w:hanging="426"/>
        <w:jc w:val="both"/>
        <w:rPr>
          <w:rFonts w:ascii="Arial" w:hAnsi="Arial" w:cs="Arial"/>
          <w:sz w:val="22"/>
          <w:szCs w:val="22"/>
        </w:rPr>
      </w:pPr>
    </w:p>
    <w:p w14:paraId="6FC0A6B7" w14:textId="77777777" w:rsidR="00D52CD1" w:rsidRPr="007923C2" w:rsidRDefault="00D52CD1" w:rsidP="00D52CD1">
      <w:pPr>
        <w:widowControl w:val="0"/>
        <w:numPr>
          <w:ilvl w:val="0"/>
          <w:numId w:val="162"/>
        </w:numPr>
        <w:tabs>
          <w:tab w:val="clear" w:pos="720"/>
          <w:tab w:val="num" w:pos="620"/>
        </w:tabs>
        <w:overflowPunct w:val="0"/>
        <w:autoSpaceDE w:val="0"/>
        <w:autoSpaceDN w:val="0"/>
        <w:adjustRightInd w:val="0"/>
        <w:spacing w:after="0" w:line="256" w:lineRule="auto"/>
        <w:ind w:left="426" w:right="40" w:hanging="426"/>
        <w:jc w:val="both"/>
        <w:rPr>
          <w:rFonts w:ascii="Arial" w:hAnsi="Arial" w:cs="Arial"/>
          <w:sz w:val="22"/>
          <w:szCs w:val="22"/>
        </w:rPr>
      </w:pPr>
      <w:r w:rsidRPr="007923C2">
        <w:rPr>
          <w:rFonts w:ascii="Arial" w:hAnsi="Arial" w:cs="Arial"/>
          <w:sz w:val="22"/>
          <w:szCs w:val="22"/>
        </w:rPr>
        <w:t xml:space="preserve">Las empresas de comercio exterior (ECEX), con registro vigente expedido por la Secretaria de Economía, mismas que podrán suscribir programas en los términos del Decreto para proyectos específicos de exportación  cuyas mercancías se exporten totalmente. </w:t>
      </w:r>
    </w:p>
    <w:p w14:paraId="4CC89E49" w14:textId="77777777" w:rsidR="00D52CD1" w:rsidRPr="007923C2" w:rsidRDefault="00D52CD1" w:rsidP="00D52CD1">
      <w:pPr>
        <w:widowControl w:val="0"/>
        <w:autoSpaceDE w:val="0"/>
        <w:autoSpaceDN w:val="0"/>
        <w:adjustRightInd w:val="0"/>
        <w:spacing w:after="0" w:line="17" w:lineRule="exact"/>
        <w:ind w:left="426" w:right="40" w:hanging="426"/>
        <w:jc w:val="both"/>
        <w:rPr>
          <w:rFonts w:ascii="Arial" w:hAnsi="Arial" w:cs="Arial"/>
          <w:sz w:val="22"/>
          <w:szCs w:val="22"/>
        </w:rPr>
      </w:pPr>
    </w:p>
    <w:p w14:paraId="476D2E43" w14:textId="77777777" w:rsidR="00D52CD1" w:rsidRPr="007923C2" w:rsidRDefault="00D52CD1" w:rsidP="00D52CD1">
      <w:pPr>
        <w:widowControl w:val="0"/>
        <w:overflowPunct w:val="0"/>
        <w:autoSpaceDE w:val="0"/>
        <w:autoSpaceDN w:val="0"/>
        <w:adjustRightInd w:val="0"/>
        <w:spacing w:after="0" w:line="240" w:lineRule="auto"/>
        <w:ind w:left="426" w:right="40" w:hanging="426"/>
        <w:jc w:val="both"/>
        <w:rPr>
          <w:rFonts w:ascii="Arial" w:hAnsi="Arial" w:cs="Arial"/>
          <w:sz w:val="22"/>
          <w:szCs w:val="22"/>
        </w:rPr>
      </w:pPr>
      <w:r w:rsidRPr="007923C2">
        <w:rPr>
          <w:rFonts w:ascii="Arial" w:hAnsi="Arial" w:cs="Arial"/>
          <w:sz w:val="22"/>
          <w:szCs w:val="22"/>
        </w:rPr>
        <w:t>El programa da derecho a sus titulares a importar temporalmente lo siguiente:</w:t>
      </w:r>
    </w:p>
    <w:p w14:paraId="42948EB7" w14:textId="77777777" w:rsidR="00D52CD1" w:rsidRPr="007923C2" w:rsidRDefault="00D52CD1" w:rsidP="00D52CD1">
      <w:pPr>
        <w:widowControl w:val="0"/>
        <w:autoSpaceDE w:val="0"/>
        <w:autoSpaceDN w:val="0"/>
        <w:adjustRightInd w:val="0"/>
        <w:spacing w:after="0" w:line="1" w:lineRule="exact"/>
        <w:ind w:left="426" w:right="40" w:hanging="426"/>
        <w:jc w:val="both"/>
        <w:rPr>
          <w:rFonts w:ascii="Arial" w:hAnsi="Arial" w:cs="Arial"/>
          <w:sz w:val="22"/>
          <w:szCs w:val="22"/>
        </w:rPr>
      </w:pPr>
    </w:p>
    <w:p w14:paraId="5833DC2B" w14:textId="77777777" w:rsidR="00D52CD1" w:rsidRPr="007923C2" w:rsidRDefault="00D52CD1" w:rsidP="00D52CD1">
      <w:pPr>
        <w:widowControl w:val="0"/>
        <w:numPr>
          <w:ilvl w:val="0"/>
          <w:numId w:val="163"/>
        </w:numPr>
        <w:tabs>
          <w:tab w:val="clear" w:pos="720"/>
          <w:tab w:val="num" w:pos="620"/>
        </w:tabs>
        <w:overflowPunct w:val="0"/>
        <w:autoSpaceDE w:val="0"/>
        <w:autoSpaceDN w:val="0"/>
        <w:adjustRightInd w:val="0"/>
        <w:spacing w:after="0" w:line="236" w:lineRule="auto"/>
        <w:ind w:left="426" w:right="40" w:hanging="426"/>
        <w:jc w:val="both"/>
        <w:rPr>
          <w:rFonts w:ascii="Arial" w:hAnsi="Arial" w:cs="Arial"/>
          <w:sz w:val="22"/>
          <w:szCs w:val="22"/>
        </w:rPr>
      </w:pPr>
      <w:r w:rsidRPr="007923C2">
        <w:rPr>
          <w:rFonts w:ascii="Arial" w:hAnsi="Arial" w:cs="Arial"/>
          <w:sz w:val="22"/>
          <w:szCs w:val="22"/>
        </w:rPr>
        <w:t xml:space="preserve">Materias primas, partes, componentes, materiales auxiliares, envases, material de empaque, combustibles y lubricantes que se utilicen en el proceso de producción de las mercancías de exportación; </w:t>
      </w:r>
    </w:p>
    <w:p w14:paraId="589247B8" w14:textId="77777777" w:rsidR="00D52CD1" w:rsidRPr="007923C2" w:rsidRDefault="00D52CD1" w:rsidP="00D52CD1">
      <w:pPr>
        <w:widowControl w:val="0"/>
        <w:autoSpaceDE w:val="0"/>
        <w:autoSpaceDN w:val="0"/>
        <w:adjustRightInd w:val="0"/>
        <w:spacing w:after="0" w:line="3" w:lineRule="exact"/>
        <w:ind w:left="426" w:right="40" w:hanging="426"/>
        <w:jc w:val="both"/>
        <w:rPr>
          <w:rFonts w:ascii="Arial" w:hAnsi="Arial" w:cs="Arial"/>
          <w:sz w:val="22"/>
          <w:szCs w:val="22"/>
        </w:rPr>
      </w:pPr>
    </w:p>
    <w:p w14:paraId="7ED63F79" w14:textId="77777777" w:rsidR="00D52CD1" w:rsidRPr="007923C2" w:rsidRDefault="00D52CD1" w:rsidP="00D52CD1">
      <w:pPr>
        <w:widowControl w:val="0"/>
        <w:numPr>
          <w:ilvl w:val="0"/>
          <w:numId w:val="163"/>
        </w:numPr>
        <w:tabs>
          <w:tab w:val="clear" w:pos="720"/>
          <w:tab w:val="num" w:pos="620"/>
        </w:tabs>
        <w:overflowPunct w:val="0"/>
        <w:autoSpaceDE w:val="0"/>
        <w:autoSpaceDN w:val="0"/>
        <w:adjustRightInd w:val="0"/>
        <w:spacing w:after="0" w:line="239" w:lineRule="auto"/>
        <w:ind w:left="426" w:right="40" w:hanging="426"/>
        <w:jc w:val="both"/>
        <w:rPr>
          <w:rFonts w:ascii="Arial" w:hAnsi="Arial" w:cs="Arial"/>
          <w:sz w:val="22"/>
          <w:szCs w:val="22"/>
        </w:rPr>
      </w:pPr>
      <w:r w:rsidRPr="007923C2">
        <w:rPr>
          <w:rFonts w:ascii="Arial" w:hAnsi="Arial" w:cs="Arial"/>
          <w:sz w:val="22"/>
          <w:szCs w:val="22"/>
        </w:rPr>
        <w:t xml:space="preserve">Contenedores y cajas de trailers; </w:t>
      </w:r>
    </w:p>
    <w:p w14:paraId="7C4DF8CB" w14:textId="77777777" w:rsidR="00D52CD1" w:rsidRPr="007923C2" w:rsidRDefault="00D52CD1" w:rsidP="00D52CD1">
      <w:pPr>
        <w:widowControl w:val="0"/>
        <w:autoSpaceDE w:val="0"/>
        <w:autoSpaceDN w:val="0"/>
        <w:adjustRightInd w:val="0"/>
        <w:spacing w:after="0" w:line="13" w:lineRule="exact"/>
        <w:ind w:left="426" w:right="40" w:hanging="426"/>
        <w:jc w:val="both"/>
        <w:rPr>
          <w:rFonts w:ascii="Arial" w:hAnsi="Arial" w:cs="Arial"/>
          <w:sz w:val="22"/>
          <w:szCs w:val="22"/>
        </w:rPr>
      </w:pPr>
    </w:p>
    <w:p w14:paraId="564E7D0E" w14:textId="77777777" w:rsidR="00D52CD1" w:rsidRPr="007923C2" w:rsidRDefault="00D52CD1" w:rsidP="00D52CD1">
      <w:pPr>
        <w:widowControl w:val="0"/>
        <w:numPr>
          <w:ilvl w:val="0"/>
          <w:numId w:val="163"/>
        </w:numPr>
        <w:tabs>
          <w:tab w:val="clear" w:pos="720"/>
          <w:tab w:val="num" w:pos="620"/>
        </w:tabs>
        <w:overflowPunct w:val="0"/>
        <w:autoSpaceDE w:val="0"/>
        <w:autoSpaceDN w:val="0"/>
        <w:adjustRightInd w:val="0"/>
        <w:spacing w:after="0" w:line="241" w:lineRule="auto"/>
        <w:ind w:left="426" w:right="40" w:hanging="426"/>
        <w:jc w:val="both"/>
        <w:rPr>
          <w:rFonts w:ascii="Arial" w:hAnsi="Arial" w:cs="Arial"/>
          <w:sz w:val="22"/>
          <w:szCs w:val="22"/>
        </w:rPr>
      </w:pPr>
      <w:r w:rsidRPr="007923C2">
        <w:rPr>
          <w:rFonts w:ascii="Arial" w:hAnsi="Arial" w:cs="Arial"/>
          <w:sz w:val="22"/>
          <w:szCs w:val="22"/>
        </w:rPr>
        <w:t xml:space="preserve">Herramientas, equipos y accesorios de investigación, de seguridad industrial y productos necesarios para la higiene, asepsia, y para la prevención y control de la contaminación ambiental de la planta productiva, manuales de trabajo y planos industriales, así como equipo de telecomunicación y cómputo, y </w:t>
      </w:r>
    </w:p>
    <w:p w14:paraId="1C205EED" w14:textId="77777777" w:rsidR="00D52CD1" w:rsidRPr="007923C2" w:rsidRDefault="00D52CD1" w:rsidP="00D52CD1">
      <w:pPr>
        <w:widowControl w:val="0"/>
        <w:autoSpaceDE w:val="0"/>
        <w:autoSpaceDN w:val="0"/>
        <w:adjustRightInd w:val="0"/>
        <w:spacing w:after="0" w:line="13" w:lineRule="exact"/>
        <w:ind w:left="426" w:right="40" w:hanging="426"/>
        <w:jc w:val="both"/>
        <w:rPr>
          <w:rFonts w:ascii="Arial" w:hAnsi="Arial" w:cs="Arial"/>
          <w:sz w:val="22"/>
          <w:szCs w:val="22"/>
        </w:rPr>
      </w:pPr>
    </w:p>
    <w:p w14:paraId="20E65F99" w14:textId="77777777" w:rsidR="00D52CD1" w:rsidRPr="007923C2" w:rsidRDefault="00D52CD1" w:rsidP="00D52CD1">
      <w:pPr>
        <w:widowControl w:val="0"/>
        <w:numPr>
          <w:ilvl w:val="0"/>
          <w:numId w:val="163"/>
        </w:numPr>
        <w:tabs>
          <w:tab w:val="clear" w:pos="720"/>
          <w:tab w:val="num" w:pos="620"/>
        </w:tabs>
        <w:overflowPunct w:val="0"/>
        <w:autoSpaceDE w:val="0"/>
        <w:autoSpaceDN w:val="0"/>
        <w:adjustRightInd w:val="0"/>
        <w:spacing w:after="0" w:line="256" w:lineRule="auto"/>
        <w:ind w:left="426" w:right="40" w:hanging="426"/>
        <w:jc w:val="both"/>
        <w:rPr>
          <w:rFonts w:ascii="Arial" w:hAnsi="Arial" w:cs="Arial"/>
          <w:sz w:val="22"/>
          <w:szCs w:val="22"/>
        </w:rPr>
      </w:pPr>
      <w:r w:rsidRPr="007923C2">
        <w:rPr>
          <w:rFonts w:ascii="Arial" w:hAnsi="Arial" w:cs="Arial"/>
          <w:sz w:val="22"/>
          <w:szCs w:val="22"/>
        </w:rPr>
        <w:t>Maquinaria, aparatos, instrumentos y refacciones para el proceso productivo, equipo de laboratorio, de medición y de prueba de sus productos y los requisitos para el control de calidad, para capacitación de su personal, así como equipo para desarrollo administrativo.</w:t>
      </w:r>
    </w:p>
    <w:p w14:paraId="40EE3E95" w14:textId="77777777" w:rsidR="00D52CD1" w:rsidRPr="007923C2" w:rsidRDefault="00D52CD1" w:rsidP="00D52CD1">
      <w:pPr>
        <w:pStyle w:val="Prrafodelista"/>
        <w:rPr>
          <w:rFonts w:ascii="Arial" w:hAnsi="Arial" w:cs="Arial"/>
          <w:sz w:val="22"/>
          <w:szCs w:val="22"/>
        </w:rPr>
      </w:pPr>
    </w:p>
    <w:p w14:paraId="0EE3B758"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Los bienes señalados que se importen temporalmente en términos del Decreto, podrán permanecer en territorio nacional por los plazos establecidos en la Ley Aduanera.</w:t>
      </w:r>
    </w:p>
    <w:p w14:paraId="50FD5CF2" w14:textId="77777777"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14:paraId="22E38FAD"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El artículo 5A señala, que quienes importen temporalmente las mercancías señaladas en las dos primeras fracciones del artículo 5, pagarán el impuesto general de importación, cuando la mercancía sea:</w:t>
      </w:r>
    </w:p>
    <w:p w14:paraId="0F0B9892"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4AE8DFC5" w14:textId="77777777" w:rsidR="00D52CD1" w:rsidRPr="007923C2" w:rsidRDefault="00D52CD1" w:rsidP="00D52CD1">
      <w:pPr>
        <w:widowControl w:val="0"/>
        <w:numPr>
          <w:ilvl w:val="0"/>
          <w:numId w:val="164"/>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Posteriormente exportada o retornada a los Estados Unidos de América o a Canadá; </w:t>
      </w:r>
    </w:p>
    <w:p w14:paraId="62DD7463"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64C6E26A" w14:textId="77777777" w:rsidR="00D52CD1" w:rsidRPr="007923C2" w:rsidRDefault="00D52CD1" w:rsidP="00D52CD1">
      <w:pPr>
        <w:widowControl w:val="0"/>
        <w:numPr>
          <w:ilvl w:val="0"/>
          <w:numId w:val="164"/>
        </w:numPr>
        <w:tabs>
          <w:tab w:val="clear" w:pos="720"/>
          <w:tab w:val="num" w:pos="620"/>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Utilizada como material en la producción de otra mercancía, posteriormente exportada o retornada a los Estados Unidos de América o a Canadá, o </w:t>
      </w:r>
    </w:p>
    <w:p w14:paraId="3CE8DE4A"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4CA4984B" w14:textId="77777777" w:rsidR="00D52CD1" w:rsidRPr="007923C2" w:rsidRDefault="00D52CD1" w:rsidP="00D52CD1">
      <w:pPr>
        <w:widowControl w:val="0"/>
        <w:numPr>
          <w:ilvl w:val="0"/>
          <w:numId w:val="164"/>
        </w:numPr>
        <w:tabs>
          <w:tab w:val="clear" w:pos="720"/>
          <w:tab w:val="num" w:pos="620"/>
        </w:tabs>
        <w:overflowPunct w:val="0"/>
        <w:autoSpaceDE w:val="0"/>
        <w:autoSpaceDN w:val="0"/>
        <w:adjustRightInd w:val="0"/>
        <w:spacing w:after="0" w:line="255" w:lineRule="auto"/>
        <w:ind w:left="0" w:right="40" w:firstLine="0"/>
        <w:jc w:val="both"/>
        <w:rPr>
          <w:rFonts w:ascii="Arial" w:hAnsi="Arial" w:cs="Arial"/>
          <w:sz w:val="22"/>
          <w:szCs w:val="22"/>
        </w:rPr>
      </w:pPr>
      <w:r w:rsidRPr="007923C2">
        <w:rPr>
          <w:rFonts w:ascii="Arial" w:hAnsi="Arial" w:cs="Arial"/>
          <w:sz w:val="22"/>
          <w:szCs w:val="22"/>
        </w:rPr>
        <w:t>Sustituida por una mercancía idéntica o similar utilizada como materia en la producción de otra mercancía, posteriormente exportada o retornada a los Estados Unidos de América o a Canadá. Para el pago del impuesto general de importación, se podrá aplicar el arancel establecido en los Programas de Promoción Sectorial, siempre que el importador cuente con autorización para operar dichos programas y cumpla con lo previsto en el decreto correspondiente.</w:t>
      </w:r>
    </w:p>
    <w:p w14:paraId="61736629"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232328D5"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Cuando una persona con programa importe temporalmente mercancías y efectúe ella misma su exportación o retorno, en los términos del artículo 5A, tendrá derecho a la exención del impuesto general de exportación, por los montos establecidos en el artículo 5B del Decreto.</w:t>
      </w:r>
    </w:p>
    <w:p w14:paraId="16E24979"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0229757C"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No se pagará el impuesto general de importación, establecido en el artículo 5A, por las importaciones temporales de mercancías señaladas en la fracción I del artículo 5 del Decreto, originarias, de conformidad con el TLCAN; de las establecidas en la fracción II del artículo 5 del Decreto; de las señaladas en la facción I del artículo 5 del Decreto, de países no miembros del TLCAN, que se incorporen a los bienes a que se refiere el apéndice 6B de dicho Tratado, que se exporten a los Estados Unidos de América, siempre que se cuente con autorización emitida por la Secretaría de Economía; de las mercancías que se exporten o retornen a los países miembros del TLCAN en la misma condición que se hayan exportado; de las procedentes de los Estados Unidos de América o de Canadá, que únicamente se sometan a procesos de reparación o alteración, y posteriormente se exporten o retornen a alguno de dichos países, en los términos del artículo 307 del TLCAN; y de las demás mercancías señaladas en el artículo 5C del Decreto.</w:t>
      </w:r>
    </w:p>
    <w:p w14:paraId="0B8CD750"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352CD38F"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 xml:space="preserve">Las empresas que cuenten con un programa podrán transferir las mercancías que hubieren importado temporalmente, a otras empresas con programa o a empresas maquiladoras que vayan a llevar a </w:t>
      </w:r>
      <w:r w:rsidRPr="007923C2">
        <w:rPr>
          <w:rFonts w:ascii="Arial" w:hAnsi="Arial" w:cs="Arial"/>
          <w:sz w:val="22"/>
          <w:szCs w:val="22"/>
        </w:rPr>
        <w:lastRenderedPageBreak/>
        <w:t>cabo los procesos de transformación, elaboración o reparación, o realizar el retorno de dichas mercancías, difiriendo el pago del impuesto general de importación siempre que cumplan con lo que señale la Secretaría de Hacienda y Crédito Público mediante reglas de carácter general.</w:t>
      </w:r>
    </w:p>
    <w:p w14:paraId="13BCE7F7" w14:textId="77777777" w:rsidR="00D52CD1" w:rsidRPr="007923C2" w:rsidRDefault="00D52CD1" w:rsidP="00D52CD1">
      <w:pPr>
        <w:widowControl w:val="0"/>
        <w:autoSpaceDE w:val="0"/>
        <w:autoSpaceDN w:val="0"/>
        <w:adjustRightInd w:val="0"/>
        <w:spacing w:after="0" w:line="211" w:lineRule="auto"/>
        <w:ind w:right="40"/>
        <w:jc w:val="both"/>
        <w:rPr>
          <w:rFonts w:ascii="Arial" w:hAnsi="Arial" w:cs="Arial"/>
          <w:sz w:val="22"/>
          <w:szCs w:val="22"/>
        </w:rPr>
      </w:pPr>
      <w:r w:rsidRPr="007923C2">
        <w:rPr>
          <w:rFonts w:ascii="Arial" w:hAnsi="Arial" w:cs="Arial"/>
          <w:sz w:val="22"/>
          <w:szCs w:val="22"/>
        </w:rPr>
        <w:t>La autorización del programa incluirá lo siguiente:</w:t>
      </w:r>
    </w:p>
    <w:p w14:paraId="511B9CD9" w14:textId="77777777" w:rsidR="00D52CD1" w:rsidRPr="007923C2" w:rsidRDefault="00D52CD1" w:rsidP="00D52CD1">
      <w:pPr>
        <w:widowControl w:val="0"/>
        <w:numPr>
          <w:ilvl w:val="0"/>
          <w:numId w:val="165"/>
        </w:numPr>
        <w:tabs>
          <w:tab w:val="clear" w:pos="720"/>
          <w:tab w:val="num" w:pos="620"/>
        </w:tabs>
        <w:overflowPunct w:val="0"/>
        <w:autoSpaceDE w:val="0"/>
        <w:autoSpaceDN w:val="0"/>
        <w:adjustRightInd w:val="0"/>
        <w:spacing w:after="0" w:line="221" w:lineRule="auto"/>
        <w:ind w:left="0" w:right="40" w:firstLine="0"/>
        <w:jc w:val="both"/>
        <w:rPr>
          <w:rFonts w:ascii="Arial" w:hAnsi="Arial" w:cs="Arial"/>
          <w:sz w:val="22"/>
          <w:szCs w:val="22"/>
        </w:rPr>
      </w:pPr>
      <w:r w:rsidRPr="007923C2">
        <w:rPr>
          <w:rFonts w:ascii="Arial" w:hAnsi="Arial" w:cs="Arial"/>
          <w:sz w:val="22"/>
          <w:szCs w:val="22"/>
        </w:rPr>
        <w:t xml:space="preserve">Campo de aplicación y vigencia del programa; </w:t>
      </w:r>
    </w:p>
    <w:p w14:paraId="2B5D162D"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2D287658" w14:textId="77777777" w:rsidR="00D52CD1" w:rsidRPr="007923C2" w:rsidRDefault="00D52CD1" w:rsidP="00D52CD1">
      <w:pPr>
        <w:widowControl w:val="0"/>
        <w:numPr>
          <w:ilvl w:val="0"/>
          <w:numId w:val="165"/>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Las mercancías de exportación e importación temporal, objeto del programa; </w:t>
      </w:r>
    </w:p>
    <w:p w14:paraId="0450D814"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2C7E1D08" w14:textId="77777777" w:rsidR="00D52CD1" w:rsidRPr="007923C2" w:rsidRDefault="00D52CD1" w:rsidP="00D52CD1">
      <w:pPr>
        <w:widowControl w:val="0"/>
        <w:numPr>
          <w:ilvl w:val="0"/>
          <w:numId w:val="165"/>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Los plazos de permanencia en el país de los bienes importados temporalmente; </w:t>
      </w:r>
    </w:p>
    <w:p w14:paraId="7D2C845C" w14:textId="77777777" w:rsidR="00D52CD1" w:rsidRPr="007923C2" w:rsidRDefault="00D52CD1" w:rsidP="00D52CD1">
      <w:pPr>
        <w:widowControl w:val="0"/>
        <w:autoSpaceDE w:val="0"/>
        <w:autoSpaceDN w:val="0"/>
        <w:adjustRightInd w:val="0"/>
        <w:spacing w:after="0" w:line="5" w:lineRule="exact"/>
        <w:ind w:right="40"/>
        <w:jc w:val="both"/>
        <w:rPr>
          <w:rFonts w:ascii="Arial" w:hAnsi="Arial" w:cs="Arial"/>
          <w:sz w:val="22"/>
          <w:szCs w:val="22"/>
        </w:rPr>
      </w:pPr>
    </w:p>
    <w:p w14:paraId="2FDEB010" w14:textId="77777777" w:rsidR="00D52CD1" w:rsidRPr="007923C2" w:rsidRDefault="00D52CD1" w:rsidP="00D52CD1">
      <w:pPr>
        <w:widowControl w:val="0"/>
        <w:numPr>
          <w:ilvl w:val="0"/>
          <w:numId w:val="165"/>
        </w:numPr>
        <w:tabs>
          <w:tab w:val="clear" w:pos="720"/>
          <w:tab w:val="num" w:pos="620"/>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Compromisos y obligaciones; </w:t>
      </w:r>
    </w:p>
    <w:p w14:paraId="0D152C5C" w14:textId="77777777" w:rsidR="00D52CD1" w:rsidRPr="007923C2" w:rsidRDefault="00D52CD1" w:rsidP="00D52CD1">
      <w:pPr>
        <w:widowControl w:val="0"/>
        <w:autoSpaceDE w:val="0"/>
        <w:autoSpaceDN w:val="0"/>
        <w:adjustRightInd w:val="0"/>
        <w:spacing w:after="0" w:line="92" w:lineRule="exact"/>
        <w:ind w:right="40"/>
        <w:jc w:val="both"/>
        <w:rPr>
          <w:rFonts w:ascii="Arial" w:hAnsi="Arial" w:cs="Arial"/>
          <w:sz w:val="22"/>
          <w:szCs w:val="22"/>
        </w:rPr>
      </w:pPr>
    </w:p>
    <w:p w14:paraId="00537109"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La vigencia de los programas es indefinida, siempre que el titular cumpla con los requisitos establecidos en el Decreto.</w:t>
      </w:r>
    </w:p>
    <w:p w14:paraId="1C240ECF"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2E58D8F1"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La Secretaría de Economía podrá autorizar que empresas que operen bajo el amparo del Decreto para el Fomento y Operación de la Industria Maquiladora de Exportación en vigor, se acojan al presente Decreto para plantas o proyectos distintos de los que se encuentren registrados bajo dicho régimen o previa renuncia expresa de la empresa a los beneficios de aquel Decreto, siempre que se cumplan con los requisitos correspondientes</w:t>
      </w:r>
    </w:p>
    <w:p w14:paraId="21877131" w14:textId="77777777" w:rsidR="00D52CD1" w:rsidRPr="007923C2" w:rsidRDefault="00D52CD1" w:rsidP="00D52CD1">
      <w:pPr>
        <w:widowControl w:val="0"/>
        <w:autoSpaceDE w:val="0"/>
        <w:autoSpaceDN w:val="0"/>
        <w:adjustRightInd w:val="0"/>
        <w:spacing w:after="0" w:line="5" w:lineRule="exact"/>
        <w:ind w:right="40"/>
        <w:jc w:val="both"/>
        <w:rPr>
          <w:rFonts w:ascii="Arial" w:hAnsi="Arial" w:cs="Arial"/>
          <w:sz w:val="22"/>
          <w:szCs w:val="22"/>
        </w:rPr>
      </w:pPr>
    </w:p>
    <w:p w14:paraId="640E1DE5" w14:textId="77777777" w:rsidR="00D52CD1" w:rsidRPr="007923C2" w:rsidRDefault="00D52CD1" w:rsidP="00D52CD1">
      <w:pPr>
        <w:widowControl w:val="0"/>
        <w:overflowPunct w:val="0"/>
        <w:autoSpaceDE w:val="0"/>
        <w:autoSpaceDN w:val="0"/>
        <w:adjustRightInd w:val="0"/>
        <w:spacing w:after="0" w:line="236" w:lineRule="auto"/>
        <w:ind w:right="40"/>
        <w:jc w:val="both"/>
        <w:rPr>
          <w:rFonts w:ascii="Arial" w:hAnsi="Arial" w:cs="Arial"/>
          <w:sz w:val="22"/>
          <w:szCs w:val="22"/>
        </w:rPr>
      </w:pPr>
      <w:r w:rsidRPr="007923C2">
        <w:rPr>
          <w:rFonts w:ascii="Arial" w:hAnsi="Arial" w:cs="Arial"/>
          <w:sz w:val="22"/>
          <w:szCs w:val="22"/>
        </w:rPr>
        <w:t>Los titulares de programas PITEX, deberán informar anualmente a la Secretaria de Economía de las operaciones de comercio exterior realizadas al amparo del programa a más tardar el último día del mes de abril, conforme al instructivo que para el efecto se establezca, de lo contrario su programa se suspenderá. En caso de que para el último día hábil del mes de julio la empresa no haya presentado dicho informe, la Secretaría iniciará el procedimiento de cancelación del programa.</w:t>
      </w:r>
    </w:p>
    <w:tbl>
      <w:tblPr>
        <w:tblW w:w="0" w:type="auto"/>
        <w:tblInd w:w="1580" w:type="dxa"/>
        <w:tblLayout w:type="fixed"/>
        <w:tblCellMar>
          <w:left w:w="0" w:type="dxa"/>
          <w:right w:w="0" w:type="dxa"/>
        </w:tblCellMar>
        <w:tblLook w:val="0000" w:firstRow="0" w:lastRow="0" w:firstColumn="0" w:lastColumn="0" w:noHBand="0" w:noVBand="0"/>
      </w:tblPr>
      <w:tblGrid>
        <w:gridCol w:w="3780"/>
        <w:gridCol w:w="920"/>
      </w:tblGrid>
      <w:tr w:rsidR="00D52CD1" w:rsidRPr="007923C2" w14:paraId="1B4BAC32" w14:textId="77777777" w:rsidTr="00351F51">
        <w:trPr>
          <w:trHeight w:val="184"/>
        </w:trPr>
        <w:tc>
          <w:tcPr>
            <w:tcW w:w="3780" w:type="dxa"/>
            <w:tcBorders>
              <w:top w:val="nil"/>
              <w:left w:val="nil"/>
              <w:bottom w:val="nil"/>
              <w:right w:val="nil"/>
            </w:tcBorders>
            <w:vAlign w:val="bottom"/>
          </w:tcPr>
          <w:p w14:paraId="0C9DC3C5" w14:textId="77777777"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bookmarkStart w:id="28" w:name="page71"/>
            <w:bookmarkEnd w:id="28"/>
          </w:p>
        </w:tc>
        <w:tc>
          <w:tcPr>
            <w:tcW w:w="920" w:type="dxa"/>
            <w:tcBorders>
              <w:top w:val="nil"/>
              <w:left w:val="nil"/>
              <w:bottom w:val="nil"/>
              <w:right w:val="nil"/>
            </w:tcBorders>
            <w:vAlign w:val="bottom"/>
          </w:tcPr>
          <w:p w14:paraId="1B6C0D6C" w14:textId="77777777"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p>
        </w:tc>
      </w:tr>
    </w:tbl>
    <w:p w14:paraId="15742CB9" w14:textId="453757A9" w:rsidR="00D52CD1" w:rsidRPr="007923C2" w:rsidRDefault="00D52CD1" w:rsidP="00D52CD1">
      <w:pPr>
        <w:widowControl w:val="0"/>
        <w:tabs>
          <w:tab w:val="left" w:pos="680"/>
        </w:tabs>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ab/>
      </w:r>
      <w:r w:rsidRPr="007923C2">
        <w:rPr>
          <w:rFonts w:ascii="Arial" w:hAnsi="Arial" w:cs="Arial"/>
          <w:i/>
          <w:iCs/>
          <w:sz w:val="22"/>
          <w:szCs w:val="22"/>
        </w:rPr>
        <w:t>Beneficios</w:t>
      </w:r>
    </w:p>
    <w:p w14:paraId="24E462C4"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Programa PITEX brinda a sus titulares la posibilidad de importar temporalmente, es decir, libre de impuestos a la importación y del IVA, diversos bienes a ser incorporados y utilizados en el proceso productivo de mercancías de exportación.</w:t>
      </w:r>
    </w:p>
    <w:p w14:paraId="68ADBD76"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6C4A43E9"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Los titulares de programas PITEX que cumplan con los compromisos de exportación podrán solicitar la autorización de nuevas importaciones temporales de bienes incluidos en cualesquiera de las categorías citadas al amparo de los mismos.</w:t>
      </w:r>
    </w:p>
    <w:p w14:paraId="781C3EFF"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6EA9B87E"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 xml:space="preserve">El 18 de mayo de 1998 se publicó en el </w:t>
      </w:r>
      <w:r w:rsidRPr="007923C2">
        <w:rPr>
          <w:rFonts w:ascii="Arial" w:hAnsi="Arial" w:cs="Arial"/>
          <w:i/>
          <w:iCs/>
          <w:sz w:val="22"/>
          <w:szCs w:val="22"/>
        </w:rPr>
        <w:t>DOF</w:t>
      </w:r>
      <w:r w:rsidRPr="007923C2">
        <w:rPr>
          <w:rFonts w:ascii="Arial" w:hAnsi="Arial" w:cs="Arial"/>
          <w:sz w:val="22"/>
          <w:szCs w:val="22"/>
        </w:rPr>
        <w:t xml:space="preserve"> el Acuerdo por el que se da a conocer el formato de solicitud del Programa de Importación Temporal para producir artículos de Exportación y los instrumentos que acreditan su expedición, en el cual se establece la incorporación del Programa al Sistema Integral de Comercio Exterior (SICEX).</w:t>
      </w:r>
    </w:p>
    <w:p w14:paraId="00179D5B" w14:textId="77777777" w:rsidR="00D52CD1" w:rsidRPr="007923C2" w:rsidRDefault="00D52CD1" w:rsidP="00D52CD1">
      <w:pPr>
        <w:widowControl w:val="0"/>
        <w:autoSpaceDE w:val="0"/>
        <w:autoSpaceDN w:val="0"/>
        <w:adjustRightInd w:val="0"/>
        <w:spacing w:after="0" w:line="110" w:lineRule="exact"/>
        <w:ind w:right="40"/>
        <w:jc w:val="both"/>
        <w:rPr>
          <w:rFonts w:ascii="Arial" w:hAnsi="Arial" w:cs="Arial"/>
          <w:sz w:val="22"/>
          <w:szCs w:val="22"/>
        </w:rPr>
      </w:pPr>
    </w:p>
    <w:p w14:paraId="24FC6EF9" w14:textId="772AC875" w:rsidR="00D52CD1" w:rsidRPr="007923C2" w:rsidRDefault="00D52CD1" w:rsidP="00D52CD1">
      <w:pPr>
        <w:widowControl w:val="0"/>
        <w:overflowPunct w:val="0"/>
        <w:autoSpaceDE w:val="0"/>
        <w:autoSpaceDN w:val="0"/>
        <w:adjustRightInd w:val="0"/>
        <w:spacing w:after="0" w:line="236" w:lineRule="auto"/>
        <w:ind w:right="40"/>
        <w:jc w:val="both"/>
        <w:rPr>
          <w:rFonts w:ascii="Arial" w:hAnsi="Arial" w:cs="Arial"/>
          <w:sz w:val="22"/>
          <w:szCs w:val="22"/>
        </w:rPr>
      </w:pPr>
      <w:r w:rsidRPr="007923C2">
        <w:rPr>
          <w:rFonts w:ascii="Arial" w:hAnsi="Arial" w:cs="Arial"/>
          <w:i/>
          <w:iCs/>
          <w:sz w:val="22"/>
          <w:szCs w:val="22"/>
        </w:rPr>
        <w:t xml:space="preserve"> - Acuerdo por el que se establecen requisitos específicos para la importación temporal de mercancías (DOF, 13 de junio de 2001)</w:t>
      </w:r>
    </w:p>
    <w:p w14:paraId="033A01CE" w14:textId="77777777" w:rsidR="00D52CD1" w:rsidRPr="007923C2" w:rsidRDefault="00D52CD1" w:rsidP="00D52CD1">
      <w:pPr>
        <w:widowControl w:val="0"/>
        <w:autoSpaceDE w:val="0"/>
        <w:autoSpaceDN w:val="0"/>
        <w:adjustRightInd w:val="0"/>
        <w:spacing w:after="0" w:line="134" w:lineRule="exact"/>
        <w:ind w:right="40"/>
        <w:jc w:val="both"/>
        <w:rPr>
          <w:rFonts w:ascii="Arial" w:hAnsi="Arial" w:cs="Arial"/>
          <w:sz w:val="22"/>
          <w:szCs w:val="22"/>
        </w:rPr>
      </w:pPr>
    </w:p>
    <w:p w14:paraId="6363F78D" w14:textId="77777777" w:rsidR="00D52CD1" w:rsidRPr="007923C2" w:rsidRDefault="00D52CD1" w:rsidP="00D52CD1">
      <w:pPr>
        <w:widowControl w:val="0"/>
        <w:overflowPunct w:val="0"/>
        <w:autoSpaceDE w:val="0"/>
        <w:autoSpaceDN w:val="0"/>
        <w:adjustRightInd w:val="0"/>
        <w:spacing w:after="0" w:line="255" w:lineRule="auto"/>
        <w:ind w:right="40"/>
        <w:jc w:val="both"/>
        <w:rPr>
          <w:rFonts w:ascii="Arial" w:hAnsi="Arial" w:cs="Arial"/>
          <w:sz w:val="22"/>
          <w:szCs w:val="22"/>
        </w:rPr>
      </w:pPr>
      <w:r w:rsidRPr="007923C2">
        <w:rPr>
          <w:rFonts w:ascii="Arial" w:hAnsi="Arial" w:cs="Arial"/>
          <w:sz w:val="22"/>
          <w:szCs w:val="22"/>
        </w:rPr>
        <w:t>El presente Acuerdo tiene por objeto eliminar la evasión fiscal y el daño a la planta productiva, así como evitar la competencia desleal en el mercado nacional, ya que muchas empresas importan al amparo del PITEX y del Programa de Registro de la Industria Maquiladora de Exportación, mercancías tales como manteca de cerdo, alcohol etílico, frijol y artículos de pedrería, sin que se retornen al extranjero, desvirtuando las finalidades de los programas antes citados y lesionando gravemente la industria nacional.</w:t>
      </w:r>
    </w:p>
    <w:p w14:paraId="0D1CD384" w14:textId="77777777" w:rsidR="00D52CD1" w:rsidRPr="007923C2" w:rsidRDefault="00D52CD1" w:rsidP="00D52CD1">
      <w:pPr>
        <w:widowControl w:val="0"/>
        <w:autoSpaceDE w:val="0"/>
        <w:autoSpaceDN w:val="0"/>
        <w:adjustRightInd w:val="0"/>
        <w:spacing w:after="0" w:line="6" w:lineRule="exact"/>
        <w:ind w:right="40"/>
        <w:jc w:val="both"/>
        <w:rPr>
          <w:rFonts w:ascii="Arial" w:hAnsi="Arial" w:cs="Arial"/>
          <w:sz w:val="22"/>
          <w:szCs w:val="22"/>
        </w:rPr>
      </w:pPr>
    </w:p>
    <w:p w14:paraId="25EB19AA"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Asimismo, reconoce la necesidad de implementar mecanismos de control más estrictos sobre bienes fungibles de fácil sustitución como la carne, las pastas de pollo y pavo, la leche en polvo, algunas variedades de café, el azúcar, la fructuosa y el triplay, a fin de permitir el desarrollo de sus respectivas industrias.</w:t>
      </w:r>
    </w:p>
    <w:p w14:paraId="474456C4" w14:textId="77777777" w:rsidR="00D52CD1" w:rsidRPr="007923C2" w:rsidRDefault="00D52CD1" w:rsidP="00D52CD1">
      <w:pPr>
        <w:widowControl w:val="0"/>
        <w:autoSpaceDE w:val="0"/>
        <w:autoSpaceDN w:val="0"/>
        <w:adjustRightInd w:val="0"/>
        <w:spacing w:after="0" w:line="11" w:lineRule="exact"/>
        <w:ind w:right="40"/>
        <w:jc w:val="both"/>
        <w:rPr>
          <w:rFonts w:ascii="Arial" w:hAnsi="Arial" w:cs="Arial"/>
          <w:sz w:val="22"/>
          <w:szCs w:val="22"/>
        </w:rPr>
      </w:pPr>
    </w:p>
    <w:p w14:paraId="23C16609" w14:textId="77777777"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Por tal razón se emite el presente Decreto, conformado de nueve artículos en donde se establece los siguientes:</w:t>
      </w:r>
    </w:p>
    <w:p w14:paraId="4D743006" w14:textId="77777777" w:rsidR="00D52CD1" w:rsidRPr="007923C2" w:rsidRDefault="00D52CD1" w:rsidP="00D52CD1">
      <w:pPr>
        <w:widowControl w:val="0"/>
        <w:autoSpaceDE w:val="0"/>
        <w:autoSpaceDN w:val="0"/>
        <w:adjustRightInd w:val="0"/>
        <w:spacing w:after="0" w:line="139" w:lineRule="exact"/>
        <w:ind w:right="40"/>
        <w:jc w:val="both"/>
        <w:rPr>
          <w:rFonts w:ascii="Arial" w:hAnsi="Arial" w:cs="Arial"/>
          <w:sz w:val="22"/>
          <w:szCs w:val="22"/>
        </w:rPr>
      </w:pPr>
    </w:p>
    <w:p w14:paraId="7D633E54" w14:textId="77777777" w:rsidR="00D52CD1" w:rsidRPr="007923C2" w:rsidRDefault="00D52CD1" w:rsidP="00D52CD1">
      <w:pPr>
        <w:widowControl w:val="0"/>
        <w:numPr>
          <w:ilvl w:val="0"/>
          <w:numId w:val="166"/>
        </w:numPr>
        <w:tabs>
          <w:tab w:val="clear" w:pos="720"/>
          <w:tab w:val="num" w:pos="9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Se aplica sólo a los programas de importación temporal para producir artículos de exportación y al registro de la industria maquiladora de exportación. </w:t>
      </w:r>
    </w:p>
    <w:p w14:paraId="635B08C9" w14:textId="77777777" w:rsidR="00D52CD1" w:rsidRPr="007923C2" w:rsidRDefault="00D52CD1" w:rsidP="00D52CD1">
      <w:pPr>
        <w:widowControl w:val="0"/>
        <w:autoSpaceDE w:val="0"/>
        <w:autoSpaceDN w:val="0"/>
        <w:adjustRightInd w:val="0"/>
        <w:spacing w:after="0" w:line="232" w:lineRule="exact"/>
        <w:ind w:right="40"/>
        <w:jc w:val="both"/>
        <w:rPr>
          <w:rFonts w:ascii="Arial" w:hAnsi="Arial" w:cs="Arial"/>
          <w:sz w:val="22"/>
          <w:szCs w:val="22"/>
        </w:rPr>
      </w:pPr>
    </w:p>
    <w:p w14:paraId="366CF2FE" w14:textId="77777777" w:rsidR="00D52CD1" w:rsidRPr="007923C2" w:rsidRDefault="00D52CD1" w:rsidP="00D52CD1">
      <w:pPr>
        <w:widowControl w:val="0"/>
        <w:autoSpaceDE w:val="0"/>
        <w:autoSpaceDN w:val="0"/>
        <w:adjustRightInd w:val="0"/>
        <w:spacing w:after="0" w:line="200" w:lineRule="exact"/>
        <w:ind w:right="40"/>
        <w:jc w:val="both"/>
        <w:rPr>
          <w:rFonts w:ascii="Arial" w:hAnsi="Arial" w:cs="Arial"/>
          <w:sz w:val="22"/>
          <w:szCs w:val="22"/>
        </w:rPr>
      </w:pPr>
      <w:bookmarkStart w:id="29" w:name="page73"/>
      <w:bookmarkEnd w:id="29"/>
    </w:p>
    <w:p w14:paraId="0CB2CA4D" w14:textId="77777777" w:rsidR="00D52CD1" w:rsidRPr="007923C2" w:rsidRDefault="00D52CD1" w:rsidP="00D52CD1">
      <w:pPr>
        <w:widowControl w:val="0"/>
        <w:numPr>
          <w:ilvl w:val="1"/>
          <w:numId w:val="167"/>
        </w:numPr>
        <w:tabs>
          <w:tab w:val="clear" w:pos="1440"/>
          <w:tab w:val="num" w:pos="902"/>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Se excluyen de ser importadas bajo los programas menciona-dos, las siguientes mercancías: grasa de cerdo, grasas, aceites, animales; alcohol etílico sin desnaturalizar con un grado alcohólico volumétrico o igual al 80% vol.; aguardientes desnaturalizados de cualquier graduación; bebidas alcohólicas y artículos de pedrería. (artículo 2o.). </w:t>
      </w:r>
    </w:p>
    <w:p w14:paraId="42079F26" w14:textId="77777777"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14:paraId="397150F8" w14:textId="77777777" w:rsidR="00D52CD1" w:rsidRPr="007923C2" w:rsidRDefault="00D52CD1" w:rsidP="00D52CD1">
      <w:pPr>
        <w:widowControl w:val="0"/>
        <w:numPr>
          <w:ilvl w:val="1"/>
          <w:numId w:val="167"/>
        </w:numPr>
        <w:tabs>
          <w:tab w:val="clear" w:pos="1440"/>
          <w:tab w:val="num" w:pos="971"/>
        </w:tabs>
        <w:overflowPunct w:val="0"/>
        <w:autoSpaceDE w:val="0"/>
        <w:autoSpaceDN w:val="0"/>
        <w:adjustRightInd w:val="0"/>
        <w:spacing w:after="0" w:line="233" w:lineRule="auto"/>
        <w:ind w:left="0" w:right="40" w:firstLine="0"/>
        <w:jc w:val="both"/>
        <w:rPr>
          <w:rFonts w:ascii="Arial" w:hAnsi="Arial" w:cs="Arial"/>
          <w:sz w:val="22"/>
          <w:szCs w:val="22"/>
        </w:rPr>
      </w:pPr>
      <w:r w:rsidRPr="007923C2">
        <w:rPr>
          <w:rFonts w:ascii="Arial" w:hAnsi="Arial" w:cs="Arial"/>
          <w:sz w:val="22"/>
          <w:szCs w:val="22"/>
        </w:rPr>
        <w:t xml:space="preserve">Se sujeta al cumplimiento de requisitos especiales la importación de ciertas mercancías tales como azúcar, leche en polvo o en pastillas, huevo fresco incluso fértil etcétera (artículo 3) </w:t>
      </w:r>
    </w:p>
    <w:p w14:paraId="4B3BFD9B" w14:textId="77777777"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14:paraId="577CF009" w14:textId="77777777" w:rsidR="00D52CD1" w:rsidRPr="007923C2" w:rsidRDefault="00D52CD1" w:rsidP="00D52CD1">
      <w:pPr>
        <w:widowControl w:val="0"/>
        <w:numPr>
          <w:ilvl w:val="1"/>
          <w:numId w:val="167"/>
        </w:numPr>
        <w:tabs>
          <w:tab w:val="clear" w:pos="1440"/>
          <w:tab w:val="num" w:pos="902"/>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Cumplidos los requisitos especiales establecidos en el artículo 4 del Acuerdo, la Secretaria de Economía emitirá la autorización de importación correspondiente previa opinión del Servicio de Administración Tributaria. Tratándose de las mercancías del artículo 3 fracciones I y II, se requerirá opinión técnica de la Dirección General de Política de Comercio Interior y Abasto de la Secretaría. Si se trata de las mercancías de la fracción III de dicho artículo, se requerirá opinión de la Dirección General de Industrias de la misma Secretaría. </w:t>
      </w:r>
    </w:p>
    <w:p w14:paraId="6F11631B" w14:textId="77777777" w:rsidR="00D52CD1" w:rsidRPr="007923C2" w:rsidRDefault="00D52CD1" w:rsidP="00D52CD1">
      <w:pPr>
        <w:widowControl w:val="0"/>
        <w:autoSpaceDE w:val="0"/>
        <w:autoSpaceDN w:val="0"/>
        <w:adjustRightInd w:val="0"/>
        <w:spacing w:after="0" w:line="17" w:lineRule="exact"/>
        <w:ind w:right="40"/>
        <w:jc w:val="both"/>
        <w:rPr>
          <w:rFonts w:ascii="Arial" w:hAnsi="Arial" w:cs="Arial"/>
          <w:sz w:val="22"/>
          <w:szCs w:val="22"/>
        </w:rPr>
      </w:pPr>
    </w:p>
    <w:p w14:paraId="0913FAD9" w14:textId="77777777" w:rsidR="00D52CD1" w:rsidRPr="007923C2" w:rsidRDefault="00D52CD1" w:rsidP="00D52CD1">
      <w:pPr>
        <w:widowControl w:val="0"/>
        <w:numPr>
          <w:ilvl w:val="1"/>
          <w:numId w:val="167"/>
        </w:numPr>
        <w:tabs>
          <w:tab w:val="clear" w:pos="1440"/>
          <w:tab w:val="num" w:pos="902"/>
        </w:tabs>
        <w:overflowPunct w:val="0"/>
        <w:autoSpaceDE w:val="0"/>
        <w:autoSpaceDN w:val="0"/>
        <w:adjustRightInd w:val="0"/>
        <w:spacing w:after="0" w:line="238" w:lineRule="auto"/>
        <w:ind w:left="0" w:right="40" w:firstLine="0"/>
        <w:jc w:val="both"/>
        <w:rPr>
          <w:rFonts w:ascii="Arial" w:hAnsi="Arial" w:cs="Arial"/>
          <w:sz w:val="22"/>
          <w:szCs w:val="22"/>
        </w:rPr>
      </w:pPr>
      <w:r w:rsidRPr="007923C2">
        <w:rPr>
          <w:rFonts w:ascii="Arial" w:hAnsi="Arial" w:cs="Arial"/>
          <w:sz w:val="22"/>
          <w:szCs w:val="22"/>
        </w:rPr>
        <w:t xml:space="preserve">La autorización tendrá una vigencia trimestral. El plazo máximo de permanencia en el país de las mercancías será de tres meses, contados a partir de la fecha de importación, plazo que podrá el proceso productivo del solicitante así lo requiera. (artículos 6 y 8) </w:t>
      </w:r>
    </w:p>
    <w:p w14:paraId="5E8B0A02" w14:textId="77777777" w:rsidR="00D52CD1" w:rsidRPr="007923C2" w:rsidRDefault="00D52CD1" w:rsidP="00D52CD1">
      <w:pPr>
        <w:widowControl w:val="0"/>
        <w:autoSpaceDE w:val="0"/>
        <w:autoSpaceDN w:val="0"/>
        <w:adjustRightInd w:val="0"/>
        <w:spacing w:after="0" w:line="253" w:lineRule="exact"/>
        <w:ind w:right="40"/>
        <w:jc w:val="both"/>
        <w:rPr>
          <w:rFonts w:ascii="Arial" w:hAnsi="Arial" w:cs="Arial"/>
          <w:sz w:val="22"/>
          <w:szCs w:val="22"/>
        </w:rPr>
      </w:pPr>
    </w:p>
    <w:p w14:paraId="170BCAE4" w14:textId="77777777" w:rsidR="00D52CD1" w:rsidRPr="007923C2" w:rsidRDefault="00D52CD1" w:rsidP="00D52CD1">
      <w:pPr>
        <w:widowControl w:val="0"/>
        <w:numPr>
          <w:ilvl w:val="0"/>
          <w:numId w:val="168"/>
        </w:numPr>
        <w:tabs>
          <w:tab w:val="clear" w:pos="720"/>
          <w:tab w:val="num" w:pos="662"/>
        </w:tabs>
        <w:overflowPunct w:val="0"/>
        <w:autoSpaceDE w:val="0"/>
        <w:autoSpaceDN w:val="0"/>
        <w:adjustRightInd w:val="0"/>
        <w:spacing w:after="0" w:line="236" w:lineRule="auto"/>
        <w:ind w:left="0" w:right="40" w:firstLine="0"/>
        <w:jc w:val="both"/>
        <w:rPr>
          <w:rFonts w:ascii="Arial" w:hAnsi="Arial" w:cs="Arial"/>
          <w:i/>
          <w:iCs/>
          <w:sz w:val="22"/>
          <w:szCs w:val="22"/>
        </w:rPr>
      </w:pPr>
      <w:r w:rsidRPr="007923C2">
        <w:rPr>
          <w:rFonts w:ascii="Arial" w:hAnsi="Arial" w:cs="Arial"/>
          <w:sz w:val="22"/>
          <w:szCs w:val="22"/>
        </w:rPr>
        <w:t>Decreto para el fomento y operación de Empresas de Comercio Exterior (ECEX) (</w:t>
      </w:r>
      <w:r w:rsidRPr="007923C2">
        <w:rPr>
          <w:rFonts w:ascii="Arial" w:hAnsi="Arial" w:cs="Arial"/>
          <w:i/>
          <w:iCs/>
          <w:sz w:val="22"/>
          <w:szCs w:val="22"/>
        </w:rPr>
        <w:t>DOF</w:t>
      </w:r>
      <w:r w:rsidRPr="007923C2">
        <w:rPr>
          <w:rFonts w:ascii="Arial" w:hAnsi="Arial" w:cs="Arial"/>
          <w:sz w:val="22"/>
          <w:szCs w:val="22"/>
        </w:rPr>
        <w:t xml:space="preserve"> del 11 de abril de 1997) </w:t>
      </w:r>
    </w:p>
    <w:p w14:paraId="3A735057" w14:textId="77777777" w:rsidR="00D52CD1" w:rsidRPr="007923C2" w:rsidRDefault="00D52CD1" w:rsidP="00D52CD1">
      <w:pPr>
        <w:widowControl w:val="0"/>
        <w:autoSpaceDE w:val="0"/>
        <w:autoSpaceDN w:val="0"/>
        <w:adjustRightInd w:val="0"/>
        <w:spacing w:after="0" w:line="136" w:lineRule="exact"/>
        <w:ind w:right="40"/>
        <w:jc w:val="both"/>
        <w:rPr>
          <w:rFonts w:ascii="Arial" w:hAnsi="Arial" w:cs="Arial"/>
          <w:sz w:val="22"/>
          <w:szCs w:val="22"/>
        </w:rPr>
      </w:pPr>
    </w:p>
    <w:p w14:paraId="74DDE654" w14:textId="77777777" w:rsidR="00D52CD1" w:rsidRPr="007923C2" w:rsidRDefault="00D52CD1" w:rsidP="00D52CD1">
      <w:pPr>
        <w:widowControl w:val="0"/>
        <w:overflowPunct w:val="0"/>
        <w:autoSpaceDE w:val="0"/>
        <w:autoSpaceDN w:val="0"/>
        <w:adjustRightInd w:val="0"/>
        <w:spacing w:after="0" w:line="231" w:lineRule="auto"/>
        <w:ind w:right="40"/>
        <w:jc w:val="both"/>
        <w:rPr>
          <w:rFonts w:ascii="Arial" w:hAnsi="Arial" w:cs="Arial"/>
          <w:sz w:val="22"/>
          <w:szCs w:val="22"/>
        </w:rPr>
      </w:pPr>
      <w:r w:rsidRPr="007923C2">
        <w:rPr>
          <w:rFonts w:ascii="Arial" w:hAnsi="Arial" w:cs="Arial"/>
          <w:sz w:val="22"/>
          <w:szCs w:val="22"/>
        </w:rPr>
        <w:t xml:space="preserve">Este decreto tiene como antecedente el decreto publicado en el </w:t>
      </w:r>
      <w:r w:rsidRPr="007923C2">
        <w:rPr>
          <w:rFonts w:ascii="Arial" w:hAnsi="Arial" w:cs="Arial"/>
          <w:i/>
          <w:iCs/>
          <w:sz w:val="22"/>
          <w:szCs w:val="22"/>
        </w:rPr>
        <w:t>DOF</w:t>
      </w:r>
      <w:r w:rsidRPr="007923C2">
        <w:rPr>
          <w:rFonts w:ascii="Arial" w:hAnsi="Arial" w:cs="Arial"/>
          <w:sz w:val="22"/>
          <w:szCs w:val="22"/>
        </w:rPr>
        <w:t xml:space="preserve"> el 3 de mayo de 1990. La modificación de este programa se llevó a cabo porque se consideró necesario actualizar y ampliar el régimen del decreto de ECEX, para que sus beneficios alcancen a las pequeñas y medianas empresas exportadoras.</w:t>
      </w:r>
    </w:p>
    <w:p w14:paraId="7FDA24B7"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6EBF7897"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El registro de Empresas de Comercio Exterior (ECEX) es un instrumento de promoción a las exportaciones, mediante el cual las empresas comercializadoras podrán accesar a los mercados internacionales con facilidades administrativas y apoyos financieros de la banca de desarrollo.</w:t>
      </w:r>
    </w:p>
    <w:tbl>
      <w:tblPr>
        <w:tblW w:w="0" w:type="auto"/>
        <w:tblInd w:w="1580" w:type="dxa"/>
        <w:tblLayout w:type="fixed"/>
        <w:tblCellMar>
          <w:left w:w="0" w:type="dxa"/>
          <w:right w:w="0" w:type="dxa"/>
        </w:tblCellMar>
        <w:tblLook w:val="0000" w:firstRow="0" w:lastRow="0" w:firstColumn="0" w:lastColumn="0" w:noHBand="0" w:noVBand="0"/>
      </w:tblPr>
      <w:tblGrid>
        <w:gridCol w:w="3780"/>
        <w:gridCol w:w="920"/>
      </w:tblGrid>
      <w:tr w:rsidR="00D52CD1" w:rsidRPr="007923C2" w14:paraId="6AC7EAE1" w14:textId="77777777" w:rsidTr="00351F51">
        <w:trPr>
          <w:trHeight w:val="184"/>
        </w:trPr>
        <w:tc>
          <w:tcPr>
            <w:tcW w:w="3780" w:type="dxa"/>
            <w:tcBorders>
              <w:top w:val="nil"/>
              <w:left w:val="nil"/>
              <w:bottom w:val="nil"/>
              <w:right w:val="nil"/>
            </w:tcBorders>
            <w:vAlign w:val="bottom"/>
          </w:tcPr>
          <w:p w14:paraId="4282194A" w14:textId="77777777"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bookmarkStart w:id="30" w:name="page75"/>
            <w:bookmarkEnd w:id="30"/>
          </w:p>
        </w:tc>
        <w:tc>
          <w:tcPr>
            <w:tcW w:w="920" w:type="dxa"/>
            <w:tcBorders>
              <w:top w:val="nil"/>
              <w:left w:val="nil"/>
              <w:bottom w:val="nil"/>
              <w:right w:val="nil"/>
            </w:tcBorders>
            <w:vAlign w:val="bottom"/>
          </w:tcPr>
          <w:p w14:paraId="1410FD08" w14:textId="77777777"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p>
        </w:tc>
      </w:tr>
    </w:tbl>
    <w:p w14:paraId="128AA4D0"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Los beneficiarios de este programa son las empresas que se dediquen a la comercialización de productos en el exterior y que obtengan su registro ECEX en cualquiera de las siguientes modalidades:</w:t>
      </w:r>
    </w:p>
    <w:p w14:paraId="6BE188C4"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4648B2CD" w14:textId="77777777" w:rsidR="00D52CD1" w:rsidRPr="007923C2" w:rsidRDefault="00D52CD1" w:rsidP="00D52CD1">
      <w:pPr>
        <w:widowControl w:val="0"/>
        <w:numPr>
          <w:ilvl w:val="0"/>
          <w:numId w:val="169"/>
        </w:numPr>
        <w:tabs>
          <w:tab w:val="clear" w:pos="720"/>
          <w:tab w:val="num" w:pos="595"/>
        </w:tabs>
        <w:overflowPunct w:val="0"/>
        <w:autoSpaceDE w:val="0"/>
        <w:autoSpaceDN w:val="0"/>
        <w:adjustRightInd w:val="0"/>
        <w:spacing w:after="0" w:line="242" w:lineRule="auto"/>
        <w:ind w:left="0" w:right="40" w:firstLine="0"/>
        <w:jc w:val="both"/>
        <w:rPr>
          <w:rFonts w:ascii="Arial" w:hAnsi="Arial" w:cs="Arial"/>
          <w:sz w:val="22"/>
          <w:szCs w:val="22"/>
        </w:rPr>
      </w:pPr>
      <w:r w:rsidRPr="007923C2">
        <w:rPr>
          <w:rFonts w:ascii="Arial" w:hAnsi="Arial" w:cs="Arial"/>
          <w:i/>
          <w:iCs/>
          <w:sz w:val="22"/>
          <w:szCs w:val="22"/>
        </w:rPr>
        <w:t>Consolidadora de exportación</w:t>
      </w:r>
      <w:r w:rsidRPr="007923C2">
        <w:rPr>
          <w:rFonts w:ascii="Arial" w:hAnsi="Arial" w:cs="Arial"/>
          <w:sz w:val="22"/>
          <w:szCs w:val="22"/>
        </w:rPr>
        <w:t xml:space="preserve">. La persona moral constituida con-forme a la Ley General de Sociedades Mercantiles, que tenga como actividad preponderante la integración y consolidación de mercancías para su exportación, que cuente con un capital social suscrito y pagado mínimo de 2,000,000 de pesos y que realice exportaciones de mercancías de cuando menos cinco empresas productoras. </w:t>
      </w:r>
    </w:p>
    <w:p w14:paraId="6E003604" w14:textId="77777777" w:rsidR="00D52CD1" w:rsidRPr="007923C2" w:rsidRDefault="00D52CD1" w:rsidP="00D52CD1">
      <w:pPr>
        <w:widowControl w:val="0"/>
        <w:autoSpaceDE w:val="0"/>
        <w:autoSpaceDN w:val="0"/>
        <w:adjustRightInd w:val="0"/>
        <w:spacing w:after="0" w:line="3" w:lineRule="exact"/>
        <w:ind w:right="40"/>
        <w:jc w:val="both"/>
        <w:rPr>
          <w:rFonts w:ascii="Arial" w:hAnsi="Arial" w:cs="Arial"/>
          <w:sz w:val="22"/>
          <w:szCs w:val="22"/>
        </w:rPr>
      </w:pPr>
    </w:p>
    <w:p w14:paraId="1925259A" w14:textId="77777777" w:rsidR="00D52CD1" w:rsidRPr="007923C2" w:rsidRDefault="00D52CD1" w:rsidP="00D52CD1">
      <w:pPr>
        <w:widowControl w:val="0"/>
        <w:numPr>
          <w:ilvl w:val="0"/>
          <w:numId w:val="169"/>
        </w:numPr>
        <w:tabs>
          <w:tab w:val="clear" w:pos="720"/>
          <w:tab w:val="num" w:pos="586"/>
        </w:tabs>
        <w:overflowPunct w:val="0"/>
        <w:autoSpaceDE w:val="0"/>
        <w:autoSpaceDN w:val="0"/>
        <w:adjustRightInd w:val="0"/>
        <w:spacing w:after="0" w:line="233" w:lineRule="auto"/>
        <w:ind w:left="0" w:right="40" w:firstLine="0"/>
        <w:jc w:val="both"/>
        <w:rPr>
          <w:rFonts w:ascii="Arial" w:hAnsi="Arial" w:cs="Arial"/>
          <w:sz w:val="22"/>
          <w:szCs w:val="22"/>
        </w:rPr>
      </w:pPr>
      <w:r w:rsidRPr="007923C2">
        <w:rPr>
          <w:rFonts w:ascii="Arial" w:hAnsi="Arial" w:cs="Arial"/>
          <w:i/>
          <w:iCs/>
          <w:sz w:val="22"/>
          <w:szCs w:val="22"/>
        </w:rPr>
        <w:t>Promotora de exportación</w:t>
      </w:r>
      <w:r w:rsidRPr="007923C2">
        <w:rPr>
          <w:rFonts w:ascii="Arial" w:hAnsi="Arial" w:cs="Arial"/>
          <w:sz w:val="22"/>
          <w:szCs w:val="22"/>
        </w:rPr>
        <w:t xml:space="preserve">. La persona moral que tenga como actividad preponderante la comercialización de mercancías en los mercados internacionales, que cuente con un capital social suscrito y pagado mínimo de 200,000 pesos y que realice exportaciones de mercancías de cuando menos tres empresas productoras. </w:t>
      </w:r>
    </w:p>
    <w:p w14:paraId="41203905" w14:textId="77777777" w:rsidR="00D52CD1" w:rsidRPr="007923C2" w:rsidRDefault="00D52CD1" w:rsidP="00D52CD1">
      <w:pPr>
        <w:widowControl w:val="0"/>
        <w:autoSpaceDE w:val="0"/>
        <w:autoSpaceDN w:val="0"/>
        <w:adjustRightInd w:val="0"/>
        <w:spacing w:after="0" w:line="2" w:lineRule="exact"/>
        <w:ind w:right="40"/>
        <w:jc w:val="both"/>
        <w:rPr>
          <w:rFonts w:ascii="Arial" w:hAnsi="Arial" w:cs="Arial"/>
          <w:sz w:val="22"/>
          <w:szCs w:val="22"/>
        </w:rPr>
      </w:pPr>
    </w:p>
    <w:p w14:paraId="0C3857E0" w14:textId="77777777" w:rsidR="00D52CD1" w:rsidRPr="007923C2" w:rsidRDefault="00D52CD1" w:rsidP="00D52CD1">
      <w:pPr>
        <w:widowControl w:val="0"/>
        <w:overflowPunct w:val="0"/>
        <w:autoSpaceDE w:val="0"/>
        <w:autoSpaceDN w:val="0"/>
        <w:adjustRightInd w:val="0"/>
        <w:spacing w:after="0" w:line="225" w:lineRule="auto"/>
        <w:ind w:right="40"/>
        <w:jc w:val="both"/>
        <w:rPr>
          <w:rFonts w:ascii="Arial" w:hAnsi="Arial" w:cs="Arial"/>
          <w:sz w:val="22"/>
          <w:szCs w:val="22"/>
        </w:rPr>
      </w:pPr>
      <w:r w:rsidRPr="007923C2">
        <w:rPr>
          <w:rFonts w:ascii="Arial" w:hAnsi="Arial" w:cs="Arial"/>
          <w:sz w:val="22"/>
          <w:szCs w:val="22"/>
        </w:rPr>
        <w:t xml:space="preserve">El registro de empresa de comercio exterior tiene una vigencia indefinida siempre que su titular cumpla con los requisitos y compromisos suscritos. </w:t>
      </w:r>
    </w:p>
    <w:p w14:paraId="688FE4CB" w14:textId="77777777" w:rsidR="00D52CD1" w:rsidRPr="007923C2" w:rsidRDefault="00D52CD1" w:rsidP="00D52CD1">
      <w:pPr>
        <w:widowControl w:val="0"/>
        <w:autoSpaceDE w:val="0"/>
        <w:autoSpaceDN w:val="0"/>
        <w:adjustRightInd w:val="0"/>
        <w:spacing w:after="0" w:line="82" w:lineRule="exact"/>
        <w:ind w:right="40"/>
        <w:jc w:val="both"/>
        <w:rPr>
          <w:rFonts w:ascii="Arial" w:hAnsi="Arial" w:cs="Arial"/>
          <w:sz w:val="22"/>
          <w:szCs w:val="22"/>
        </w:rPr>
      </w:pPr>
    </w:p>
    <w:p w14:paraId="73493754" w14:textId="77777777" w:rsidR="00D52CD1" w:rsidRPr="007923C2" w:rsidRDefault="00D52CD1" w:rsidP="00D52CD1">
      <w:pPr>
        <w:widowControl w:val="0"/>
        <w:tabs>
          <w:tab w:val="num" w:pos="680"/>
        </w:tabs>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Beneficios</w:t>
      </w:r>
    </w:p>
    <w:p w14:paraId="5ADC8DD2" w14:textId="77777777" w:rsidR="00D52CD1" w:rsidRPr="007923C2" w:rsidRDefault="00D52CD1" w:rsidP="00D52CD1">
      <w:pPr>
        <w:widowControl w:val="0"/>
        <w:autoSpaceDE w:val="0"/>
        <w:autoSpaceDN w:val="0"/>
        <w:adjustRightInd w:val="0"/>
        <w:spacing w:after="0" w:line="96" w:lineRule="exact"/>
        <w:ind w:right="40"/>
        <w:jc w:val="both"/>
        <w:rPr>
          <w:rFonts w:ascii="Arial" w:hAnsi="Arial" w:cs="Arial"/>
          <w:sz w:val="22"/>
          <w:szCs w:val="22"/>
        </w:rPr>
      </w:pPr>
    </w:p>
    <w:p w14:paraId="5A399850" w14:textId="77777777"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El registro ECEX brinda a sus titulares los siguientes beneficios:</w:t>
      </w:r>
    </w:p>
    <w:p w14:paraId="6E952BE5" w14:textId="77777777" w:rsidR="00D52CD1" w:rsidRPr="007923C2" w:rsidRDefault="00D52CD1" w:rsidP="00D52CD1">
      <w:pPr>
        <w:widowControl w:val="0"/>
        <w:autoSpaceDE w:val="0"/>
        <w:autoSpaceDN w:val="0"/>
        <w:adjustRightInd w:val="0"/>
        <w:spacing w:after="0" w:line="43" w:lineRule="exact"/>
        <w:ind w:right="40"/>
        <w:jc w:val="both"/>
        <w:rPr>
          <w:rFonts w:ascii="Arial" w:hAnsi="Arial" w:cs="Arial"/>
          <w:sz w:val="22"/>
          <w:szCs w:val="22"/>
        </w:rPr>
      </w:pPr>
    </w:p>
    <w:p w14:paraId="6BC1F38A" w14:textId="77777777" w:rsidR="00D52CD1" w:rsidRPr="007923C2" w:rsidRDefault="00D52CD1" w:rsidP="00D52CD1">
      <w:pPr>
        <w:widowControl w:val="0"/>
        <w:numPr>
          <w:ilvl w:val="0"/>
          <w:numId w:val="170"/>
        </w:numPr>
        <w:tabs>
          <w:tab w:val="clear" w:pos="720"/>
          <w:tab w:val="num" w:pos="600"/>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Obtener la constancia de Empresa Altamente Exportadora. </w:t>
      </w:r>
    </w:p>
    <w:p w14:paraId="0AA8DF03" w14:textId="77777777"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14:paraId="0B801C88" w14:textId="77777777" w:rsidR="00D52CD1" w:rsidRPr="007923C2" w:rsidRDefault="00D52CD1" w:rsidP="00D52CD1">
      <w:pPr>
        <w:widowControl w:val="0"/>
        <w:numPr>
          <w:ilvl w:val="0"/>
          <w:numId w:val="170"/>
        </w:numPr>
        <w:tabs>
          <w:tab w:val="clear" w:pos="720"/>
          <w:tab w:val="num" w:pos="600"/>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Autorización, en su caso, de un Programa de Importación Temporal para Producir Artículos de Exportación (PITEX). </w:t>
      </w:r>
    </w:p>
    <w:p w14:paraId="4CD347DA"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607843BF" w14:textId="77777777" w:rsidR="00D52CD1" w:rsidRPr="007923C2" w:rsidRDefault="00D52CD1" w:rsidP="00D52CD1">
      <w:pPr>
        <w:widowControl w:val="0"/>
        <w:numPr>
          <w:ilvl w:val="0"/>
          <w:numId w:val="170"/>
        </w:numPr>
        <w:tabs>
          <w:tab w:val="clear" w:pos="720"/>
          <w:tab w:val="num" w:pos="6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La totalidad de las mercancías adquiridas por la ECEX en el país y que se destinen a la exportación, podrán gozar del beneficio de la tasa 0% de IVA. </w:t>
      </w:r>
    </w:p>
    <w:p w14:paraId="00CBD028" w14:textId="77777777"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14:paraId="25FD32E0" w14:textId="77777777" w:rsidR="00D52CD1" w:rsidRPr="007923C2" w:rsidRDefault="00D52CD1" w:rsidP="00D52CD1">
      <w:pPr>
        <w:widowControl w:val="0"/>
        <w:numPr>
          <w:ilvl w:val="0"/>
          <w:numId w:val="170"/>
        </w:numPr>
        <w:tabs>
          <w:tab w:val="clear" w:pos="720"/>
          <w:tab w:val="num" w:pos="662"/>
        </w:tabs>
        <w:overflowPunct w:val="0"/>
        <w:autoSpaceDE w:val="0"/>
        <w:autoSpaceDN w:val="0"/>
        <w:adjustRightInd w:val="0"/>
        <w:spacing w:after="0" w:line="233" w:lineRule="auto"/>
        <w:ind w:left="0" w:right="40" w:firstLine="0"/>
        <w:jc w:val="both"/>
        <w:rPr>
          <w:rFonts w:ascii="Arial" w:hAnsi="Arial" w:cs="Arial"/>
          <w:sz w:val="22"/>
          <w:szCs w:val="22"/>
        </w:rPr>
      </w:pPr>
      <w:r w:rsidRPr="007923C2">
        <w:rPr>
          <w:rFonts w:ascii="Arial" w:hAnsi="Arial" w:cs="Arial"/>
          <w:sz w:val="22"/>
          <w:szCs w:val="22"/>
        </w:rPr>
        <w:lastRenderedPageBreak/>
        <w:t xml:space="preserve">Descuento del 50% en los productos y servicios no financieros de BANCOMEXT. </w:t>
      </w:r>
    </w:p>
    <w:p w14:paraId="7D957285" w14:textId="77777777" w:rsidR="00D52CD1" w:rsidRPr="007923C2" w:rsidRDefault="00D52CD1" w:rsidP="00D52CD1">
      <w:pPr>
        <w:widowControl w:val="0"/>
        <w:autoSpaceDE w:val="0"/>
        <w:autoSpaceDN w:val="0"/>
        <w:adjustRightInd w:val="0"/>
        <w:spacing w:after="0" w:line="131" w:lineRule="exact"/>
        <w:ind w:right="40"/>
        <w:jc w:val="both"/>
        <w:rPr>
          <w:rFonts w:ascii="Arial" w:hAnsi="Arial" w:cs="Arial"/>
          <w:sz w:val="22"/>
          <w:szCs w:val="22"/>
        </w:rPr>
      </w:pPr>
    </w:p>
    <w:p w14:paraId="69575808"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Adicionalmente a lo anterior, BANCOMEXT ha establecido un Programa de Apoyo Financiero que contempla los siguientes beneficios para las empresas consolidadoras:</w:t>
      </w:r>
    </w:p>
    <w:p w14:paraId="56D908F1" w14:textId="77777777" w:rsidR="00D52CD1" w:rsidRPr="007923C2" w:rsidRDefault="00D52CD1" w:rsidP="00D52CD1">
      <w:pPr>
        <w:widowControl w:val="0"/>
        <w:numPr>
          <w:ilvl w:val="1"/>
          <w:numId w:val="171"/>
        </w:numPr>
        <w:tabs>
          <w:tab w:val="clear" w:pos="1440"/>
          <w:tab w:val="num" w:pos="602"/>
        </w:tabs>
        <w:overflowPunct w:val="0"/>
        <w:autoSpaceDE w:val="0"/>
        <w:autoSpaceDN w:val="0"/>
        <w:adjustRightInd w:val="0"/>
        <w:spacing w:after="0" w:line="236" w:lineRule="auto"/>
        <w:ind w:left="0" w:right="40" w:firstLine="0"/>
        <w:jc w:val="both"/>
        <w:rPr>
          <w:rFonts w:ascii="Arial" w:hAnsi="Arial" w:cs="Arial"/>
          <w:sz w:val="22"/>
          <w:szCs w:val="22"/>
        </w:rPr>
      </w:pPr>
      <w:bookmarkStart w:id="31" w:name="page77"/>
      <w:bookmarkEnd w:id="31"/>
      <w:r w:rsidRPr="007923C2">
        <w:rPr>
          <w:rFonts w:ascii="Arial" w:hAnsi="Arial" w:cs="Arial"/>
          <w:sz w:val="22"/>
          <w:szCs w:val="22"/>
        </w:rPr>
        <w:t xml:space="preserve">Asistencia y apoyo financiero por parte de Nacional Financiera para la consecución de sus proyectos, así como servicios especializados de capacitación y asistencia técnica. Este beneficio se otorgará tanto a las empresas ECEX como a sus proveedores. </w:t>
      </w:r>
    </w:p>
    <w:p w14:paraId="5F38DDD1" w14:textId="77777777" w:rsidR="00D52CD1" w:rsidRPr="007923C2" w:rsidRDefault="00D52CD1" w:rsidP="00D52CD1">
      <w:pPr>
        <w:widowControl w:val="0"/>
        <w:autoSpaceDE w:val="0"/>
        <w:autoSpaceDN w:val="0"/>
        <w:adjustRightInd w:val="0"/>
        <w:spacing w:after="0" w:line="263" w:lineRule="exact"/>
        <w:ind w:right="40"/>
        <w:jc w:val="both"/>
        <w:rPr>
          <w:rFonts w:ascii="Arial" w:hAnsi="Arial" w:cs="Arial"/>
          <w:sz w:val="22"/>
          <w:szCs w:val="22"/>
        </w:rPr>
      </w:pPr>
    </w:p>
    <w:p w14:paraId="23A273B8" w14:textId="77777777" w:rsidR="00D52CD1" w:rsidRPr="007923C2" w:rsidRDefault="00D52CD1" w:rsidP="00D52CD1">
      <w:pPr>
        <w:widowControl w:val="0"/>
        <w:tabs>
          <w:tab w:val="left" w:pos="681"/>
        </w:tabs>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Requisitos</w:t>
      </w:r>
    </w:p>
    <w:p w14:paraId="2A3E16B0" w14:textId="77777777" w:rsidR="00D52CD1" w:rsidRPr="007923C2" w:rsidRDefault="00D52CD1" w:rsidP="00D52CD1">
      <w:pPr>
        <w:widowControl w:val="0"/>
        <w:autoSpaceDE w:val="0"/>
        <w:autoSpaceDN w:val="0"/>
        <w:adjustRightInd w:val="0"/>
        <w:spacing w:after="0" w:line="139" w:lineRule="exact"/>
        <w:ind w:right="40"/>
        <w:jc w:val="both"/>
        <w:rPr>
          <w:rFonts w:ascii="Arial" w:hAnsi="Arial" w:cs="Arial"/>
          <w:sz w:val="22"/>
          <w:szCs w:val="22"/>
        </w:rPr>
      </w:pPr>
    </w:p>
    <w:p w14:paraId="2AF9244C"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El artículo 7 del Decreto ECEX establece que la Secretaría Economía otorgará el registro de Empresa de Comercio Exterior Consolidadora de Exportación a las sociedades mercantiles que cumplan, a satisfacción de la propia Secretaría, los requisitos siguientes:</w:t>
      </w:r>
    </w:p>
    <w:p w14:paraId="32F24097" w14:textId="77777777" w:rsidR="00D52CD1" w:rsidRPr="007923C2" w:rsidRDefault="00D52CD1" w:rsidP="00D52CD1">
      <w:pPr>
        <w:widowControl w:val="0"/>
        <w:autoSpaceDE w:val="0"/>
        <w:autoSpaceDN w:val="0"/>
        <w:adjustRightInd w:val="0"/>
        <w:spacing w:after="0" w:line="172" w:lineRule="exact"/>
        <w:ind w:right="40"/>
        <w:jc w:val="both"/>
        <w:rPr>
          <w:rFonts w:ascii="Arial" w:hAnsi="Arial" w:cs="Arial"/>
          <w:sz w:val="22"/>
          <w:szCs w:val="22"/>
        </w:rPr>
      </w:pPr>
    </w:p>
    <w:p w14:paraId="12A4B78D" w14:textId="77777777" w:rsidR="00D52CD1" w:rsidRPr="007923C2" w:rsidRDefault="00D52CD1" w:rsidP="00D52CD1">
      <w:pPr>
        <w:widowControl w:val="0"/>
        <w:numPr>
          <w:ilvl w:val="0"/>
          <w:numId w:val="172"/>
        </w:numPr>
        <w:tabs>
          <w:tab w:val="clear" w:pos="720"/>
          <w:tab w:val="num" w:pos="622"/>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Estar constituidas conforme a la Ley General de Sociedades Mercantiles; </w:t>
      </w:r>
    </w:p>
    <w:p w14:paraId="542255C4"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44412D39" w14:textId="77777777" w:rsidR="00D52CD1" w:rsidRPr="007923C2" w:rsidRDefault="00D52CD1" w:rsidP="00D52CD1">
      <w:pPr>
        <w:widowControl w:val="0"/>
        <w:numPr>
          <w:ilvl w:val="0"/>
          <w:numId w:val="173"/>
        </w:numPr>
        <w:tabs>
          <w:tab w:val="clear" w:pos="720"/>
          <w:tab w:val="num" w:pos="621"/>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Contar con un capital social mínimo suscrito y pagado de dos millones de pesos; </w:t>
      </w:r>
    </w:p>
    <w:p w14:paraId="1370C890" w14:textId="77777777" w:rsidR="00D52CD1" w:rsidRPr="007923C2" w:rsidRDefault="00D52CD1" w:rsidP="00D52CD1">
      <w:pPr>
        <w:widowControl w:val="0"/>
        <w:autoSpaceDE w:val="0"/>
        <w:autoSpaceDN w:val="0"/>
        <w:adjustRightInd w:val="0"/>
        <w:spacing w:after="0" w:line="5" w:lineRule="exact"/>
        <w:ind w:right="40"/>
        <w:jc w:val="both"/>
        <w:rPr>
          <w:rFonts w:ascii="Arial" w:hAnsi="Arial" w:cs="Arial"/>
          <w:sz w:val="22"/>
          <w:szCs w:val="22"/>
        </w:rPr>
      </w:pPr>
    </w:p>
    <w:p w14:paraId="68CB0285" w14:textId="77777777" w:rsidR="00D52CD1" w:rsidRPr="007923C2" w:rsidRDefault="00D52CD1" w:rsidP="00D52CD1">
      <w:pPr>
        <w:widowControl w:val="0"/>
        <w:numPr>
          <w:ilvl w:val="0"/>
          <w:numId w:val="174"/>
        </w:numPr>
        <w:tabs>
          <w:tab w:val="clear" w:pos="720"/>
          <w:tab w:val="num" w:pos="622"/>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Comprender, dentro de su objeto social: </w:t>
      </w:r>
    </w:p>
    <w:p w14:paraId="4F2C89B9" w14:textId="77777777" w:rsidR="00D52CD1" w:rsidRPr="007923C2" w:rsidRDefault="00D52CD1" w:rsidP="00D52CD1">
      <w:pPr>
        <w:widowControl w:val="0"/>
        <w:autoSpaceDE w:val="0"/>
        <w:autoSpaceDN w:val="0"/>
        <w:adjustRightInd w:val="0"/>
        <w:spacing w:after="0" w:line="92" w:lineRule="exact"/>
        <w:ind w:right="40"/>
        <w:jc w:val="both"/>
        <w:rPr>
          <w:rFonts w:ascii="Arial" w:hAnsi="Arial" w:cs="Arial"/>
          <w:sz w:val="22"/>
          <w:szCs w:val="22"/>
        </w:rPr>
      </w:pPr>
    </w:p>
    <w:p w14:paraId="7AAC5D23" w14:textId="77777777" w:rsidR="00D52CD1" w:rsidRPr="007923C2" w:rsidRDefault="00D52CD1" w:rsidP="00D52CD1">
      <w:pPr>
        <w:widowControl w:val="0"/>
        <w:numPr>
          <w:ilvl w:val="2"/>
          <w:numId w:val="174"/>
        </w:numPr>
        <w:tabs>
          <w:tab w:val="clear" w:pos="2160"/>
          <w:tab w:val="num" w:pos="962"/>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La integración y consolidación, de manera preponderante, de exportaciones; </w:t>
      </w:r>
    </w:p>
    <w:p w14:paraId="417E0D3D"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1BCEAB03" w14:textId="77777777" w:rsidR="00D52CD1" w:rsidRPr="007923C2" w:rsidRDefault="00D52CD1" w:rsidP="00D52CD1">
      <w:pPr>
        <w:widowControl w:val="0"/>
        <w:numPr>
          <w:ilvl w:val="2"/>
          <w:numId w:val="174"/>
        </w:numPr>
        <w:tabs>
          <w:tab w:val="clear" w:pos="2160"/>
          <w:tab w:val="num" w:pos="962"/>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La prestación de servicios integrales para apoyar a las empresas productoras en sus operaciones de comercio exterior; </w:t>
      </w:r>
    </w:p>
    <w:p w14:paraId="6283615D"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653B0D5E" w14:textId="77777777" w:rsidR="00D52CD1" w:rsidRPr="007923C2" w:rsidRDefault="00D52CD1" w:rsidP="00D52CD1">
      <w:pPr>
        <w:widowControl w:val="0"/>
        <w:numPr>
          <w:ilvl w:val="2"/>
          <w:numId w:val="174"/>
        </w:numPr>
        <w:tabs>
          <w:tab w:val="clear" w:pos="2160"/>
          <w:tab w:val="num" w:pos="962"/>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La capacitación a empresas productoras pequeñas y medianas en el diseño, desarrollo y adecuación de sus productos conforme a la demanda del mercado internacional, y </w:t>
      </w:r>
    </w:p>
    <w:p w14:paraId="257CAE29" w14:textId="77777777" w:rsidR="00D52CD1" w:rsidRPr="007923C2" w:rsidRDefault="00D52CD1" w:rsidP="00D52CD1">
      <w:pPr>
        <w:widowControl w:val="0"/>
        <w:autoSpaceDE w:val="0"/>
        <w:autoSpaceDN w:val="0"/>
        <w:adjustRightInd w:val="0"/>
        <w:spacing w:after="0" w:line="6" w:lineRule="exact"/>
        <w:ind w:right="40"/>
        <w:jc w:val="both"/>
        <w:rPr>
          <w:rFonts w:ascii="Arial" w:hAnsi="Arial" w:cs="Arial"/>
          <w:sz w:val="22"/>
          <w:szCs w:val="22"/>
        </w:rPr>
      </w:pPr>
    </w:p>
    <w:p w14:paraId="3B321AA9" w14:textId="77777777" w:rsidR="00D52CD1" w:rsidRPr="007923C2" w:rsidRDefault="00D52CD1" w:rsidP="00D52CD1">
      <w:pPr>
        <w:widowControl w:val="0"/>
        <w:numPr>
          <w:ilvl w:val="2"/>
          <w:numId w:val="174"/>
        </w:numPr>
        <w:tabs>
          <w:tab w:val="clear" w:pos="2160"/>
          <w:tab w:val="num" w:pos="962"/>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La prestación de servicios complementarios a la  comercialización. </w:t>
      </w:r>
    </w:p>
    <w:p w14:paraId="0C358EFA"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Al solicitar su registro, bastará que realicen las actividades de los incisos a) y b) anteriores, en cuyo caso deberán incluir en el programa a que se refiere el artículo 9, los mecanismos y condiciones conforme a los cuales se comprometan a efectuar las actividades de los incisos c) y d) de esta fracción;</w:t>
      </w:r>
    </w:p>
    <w:p w14:paraId="7DBACE87" w14:textId="77777777" w:rsidR="00D52CD1" w:rsidRPr="007923C2" w:rsidRDefault="00D52CD1" w:rsidP="00D52CD1">
      <w:pPr>
        <w:widowControl w:val="0"/>
        <w:autoSpaceDE w:val="0"/>
        <w:autoSpaceDN w:val="0"/>
        <w:adjustRightInd w:val="0"/>
        <w:spacing w:after="0" w:line="55" w:lineRule="exact"/>
        <w:ind w:right="40"/>
        <w:jc w:val="both"/>
        <w:rPr>
          <w:rFonts w:ascii="Arial" w:hAnsi="Arial" w:cs="Arial"/>
          <w:sz w:val="22"/>
          <w:szCs w:val="22"/>
        </w:rPr>
      </w:pPr>
    </w:p>
    <w:p w14:paraId="02921CB7" w14:textId="77777777"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IV. Realizar exportaciones de mercancías que provengan de por lo menos cinco empresas productoras nacionales;</w:t>
      </w:r>
    </w:p>
    <w:p w14:paraId="3A643BC6" w14:textId="77777777" w:rsidR="00D52CD1" w:rsidRPr="007923C2" w:rsidRDefault="00D52CD1" w:rsidP="00D52CD1">
      <w:pPr>
        <w:widowControl w:val="0"/>
        <w:numPr>
          <w:ilvl w:val="0"/>
          <w:numId w:val="175"/>
        </w:numPr>
        <w:tabs>
          <w:tab w:val="clear" w:pos="720"/>
          <w:tab w:val="num" w:pos="622"/>
        </w:tabs>
        <w:overflowPunct w:val="0"/>
        <w:autoSpaceDE w:val="0"/>
        <w:autoSpaceDN w:val="0"/>
        <w:adjustRightInd w:val="0"/>
        <w:spacing w:after="0" w:line="237" w:lineRule="auto"/>
        <w:ind w:left="0" w:right="40" w:firstLine="0"/>
        <w:jc w:val="both"/>
        <w:rPr>
          <w:rFonts w:ascii="Arial" w:hAnsi="Arial" w:cs="Arial"/>
          <w:sz w:val="22"/>
          <w:szCs w:val="22"/>
        </w:rPr>
      </w:pPr>
      <w:bookmarkStart w:id="32" w:name="page79"/>
      <w:bookmarkEnd w:id="32"/>
      <w:r w:rsidRPr="007923C2">
        <w:rPr>
          <w:rFonts w:ascii="Arial" w:hAnsi="Arial" w:cs="Arial"/>
          <w:sz w:val="22"/>
          <w:szCs w:val="22"/>
        </w:rPr>
        <w:t xml:space="preserve">Exhibir copia de la declaración anual de impuestos de los últimos tres ejercicios fiscales, y </w:t>
      </w:r>
    </w:p>
    <w:p w14:paraId="3255E39D" w14:textId="77777777" w:rsidR="00D52CD1" w:rsidRPr="007923C2" w:rsidRDefault="00D52CD1" w:rsidP="00D52CD1">
      <w:pPr>
        <w:widowControl w:val="0"/>
        <w:autoSpaceDE w:val="0"/>
        <w:autoSpaceDN w:val="0"/>
        <w:adjustRightInd w:val="0"/>
        <w:spacing w:after="0" w:line="6" w:lineRule="exact"/>
        <w:ind w:right="40"/>
        <w:jc w:val="both"/>
        <w:rPr>
          <w:rFonts w:ascii="Arial" w:hAnsi="Arial" w:cs="Arial"/>
          <w:sz w:val="22"/>
          <w:szCs w:val="22"/>
        </w:rPr>
      </w:pPr>
    </w:p>
    <w:p w14:paraId="2409CFDC" w14:textId="77777777"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VI. Presentar el programa a que se refiere el artículo 9.</w:t>
      </w:r>
    </w:p>
    <w:p w14:paraId="2777EBE3" w14:textId="77777777" w:rsidR="00D52CD1" w:rsidRPr="007923C2" w:rsidRDefault="00D52CD1" w:rsidP="00D52CD1">
      <w:pPr>
        <w:widowControl w:val="0"/>
        <w:autoSpaceDE w:val="0"/>
        <w:autoSpaceDN w:val="0"/>
        <w:adjustRightInd w:val="0"/>
        <w:spacing w:after="0" w:line="201" w:lineRule="exact"/>
        <w:ind w:right="40"/>
        <w:jc w:val="both"/>
        <w:rPr>
          <w:rFonts w:ascii="Arial" w:hAnsi="Arial" w:cs="Arial"/>
          <w:sz w:val="22"/>
          <w:szCs w:val="22"/>
        </w:rPr>
      </w:pPr>
    </w:p>
    <w:p w14:paraId="3EA12973" w14:textId="77777777" w:rsidR="00D52CD1" w:rsidRPr="007923C2" w:rsidRDefault="00D52CD1" w:rsidP="00D52CD1">
      <w:pPr>
        <w:widowControl w:val="0"/>
        <w:tabs>
          <w:tab w:val="left" w:pos="680"/>
        </w:tabs>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Obligaciones</w:t>
      </w:r>
    </w:p>
    <w:p w14:paraId="47BFED47" w14:textId="77777777" w:rsidR="00D52CD1" w:rsidRPr="007923C2" w:rsidRDefault="00D52CD1" w:rsidP="00D52CD1">
      <w:pPr>
        <w:widowControl w:val="0"/>
        <w:autoSpaceDE w:val="0"/>
        <w:autoSpaceDN w:val="0"/>
        <w:adjustRightInd w:val="0"/>
        <w:spacing w:after="0" w:line="95" w:lineRule="exact"/>
        <w:ind w:right="40"/>
        <w:jc w:val="both"/>
        <w:rPr>
          <w:rFonts w:ascii="Arial" w:hAnsi="Arial" w:cs="Arial"/>
          <w:sz w:val="22"/>
          <w:szCs w:val="22"/>
        </w:rPr>
      </w:pPr>
    </w:p>
    <w:p w14:paraId="28FEA818" w14:textId="77777777"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Una vez obtenido su registro, los titulares deberán cumplir con los siguientes compromisos:</w:t>
      </w:r>
    </w:p>
    <w:p w14:paraId="4C835864" w14:textId="77777777" w:rsidR="00D52CD1" w:rsidRPr="007923C2" w:rsidRDefault="00D52CD1" w:rsidP="00D52CD1">
      <w:pPr>
        <w:widowControl w:val="0"/>
        <w:autoSpaceDE w:val="0"/>
        <w:autoSpaceDN w:val="0"/>
        <w:adjustRightInd w:val="0"/>
        <w:spacing w:after="0" w:line="70" w:lineRule="exact"/>
        <w:ind w:right="40"/>
        <w:jc w:val="both"/>
        <w:rPr>
          <w:rFonts w:ascii="Arial" w:hAnsi="Arial" w:cs="Arial"/>
          <w:sz w:val="22"/>
          <w:szCs w:val="22"/>
        </w:rPr>
      </w:pPr>
    </w:p>
    <w:p w14:paraId="65E2CC97" w14:textId="77777777" w:rsidR="00D52CD1" w:rsidRPr="007923C2" w:rsidRDefault="00D52CD1" w:rsidP="00D52CD1">
      <w:pPr>
        <w:widowControl w:val="0"/>
        <w:numPr>
          <w:ilvl w:val="0"/>
          <w:numId w:val="176"/>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Llevar un control de inventarios conforme a lo previsto en la Ley Aduanera. </w:t>
      </w:r>
    </w:p>
    <w:p w14:paraId="48CFBC02"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646C7BEE" w14:textId="77777777" w:rsidR="00D52CD1" w:rsidRPr="007923C2" w:rsidRDefault="00D52CD1" w:rsidP="00D52CD1">
      <w:pPr>
        <w:widowControl w:val="0"/>
        <w:numPr>
          <w:ilvl w:val="0"/>
          <w:numId w:val="176"/>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Conservar en todo momento un capital social no menor al acreditado en el momento de su registro. </w:t>
      </w:r>
    </w:p>
    <w:p w14:paraId="30DB462F"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6720420D" w14:textId="77777777" w:rsidR="00D52CD1" w:rsidRPr="007923C2" w:rsidRDefault="00D52CD1" w:rsidP="00D52CD1">
      <w:pPr>
        <w:widowControl w:val="0"/>
        <w:numPr>
          <w:ilvl w:val="0"/>
          <w:numId w:val="176"/>
        </w:numPr>
        <w:tabs>
          <w:tab w:val="clear" w:pos="720"/>
          <w:tab w:val="num" w:pos="620"/>
        </w:tabs>
        <w:overflowPunct w:val="0"/>
        <w:autoSpaceDE w:val="0"/>
        <w:autoSpaceDN w:val="0"/>
        <w:adjustRightInd w:val="0"/>
        <w:spacing w:after="0" w:line="242" w:lineRule="auto"/>
        <w:ind w:left="0" w:right="40" w:firstLine="0"/>
        <w:jc w:val="both"/>
        <w:rPr>
          <w:rFonts w:ascii="Arial" w:hAnsi="Arial" w:cs="Arial"/>
          <w:sz w:val="22"/>
          <w:szCs w:val="22"/>
        </w:rPr>
      </w:pPr>
      <w:r w:rsidRPr="007923C2">
        <w:rPr>
          <w:rFonts w:ascii="Arial" w:hAnsi="Arial" w:cs="Arial"/>
          <w:sz w:val="22"/>
          <w:szCs w:val="22"/>
        </w:rPr>
        <w:t xml:space="preserve">Realizar exportaciones anuales facturadas por cuenta propia de mercancías no petroleras, a más tardar en el primer año fiscal regular siguiente a la fecha de su registro, por un importe mínimo de doscientos mil dólares de los Estados Unidos de América para las modalidades de promotora y consolidadora de exportación, respectivamente, y </w:t>
      </w:r>
    </w:p>
    <w:p w14:paraId="5B92E9C7" w14:textId="77777777"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14:paraId="2E1F5734" w14:textId="77777777" w:rsidR="00D52CD1" w:rsidRPr="007923C2" w:rsidRDefault="00D52CD1" w:rsidP="00D52CD1">
      <w:pPr>
        <w:widowControl w:val="0"/>
        <w:numPr>
          <w:ilvl w:val="0"/>
          <w:numId w:val="176"/>
        </w:numPr>
        <w:tabs>
          <w:tab w:val="clear" w:pos="720"/>
          <w:tab w:val="num" w:pos="620"/>
        </w:tabs>
        <w:overflowPunct w:val="0"/>
        <w:autoSpaceDE w:val="0"/>
        <w:autoSpaceDN w:val="0"/>
        <w:adjustRightInd w:val="0"/>
        <w:spacing w:after="0" w:line="241" w:lineRule="auto"/>
        <w:ind w:left="0" w:right="40" w:firstLine="0"/>
        <w:jc w:val="both"/>
        <w:rPr>
          <w:rFonts w:ascii="Arial" w:hAnsi="Arial" w:cs="Arial"/>
          <w:sz w:val="22"/>
          <w:szCs w:val="22"/>
        </w:rPr>
      </w:pPr>
      <w:r w:rsidRPr="007923C2">
        <w:rPr>
          <w:rFonts w:ascii="Arial" w:hAnsi="Arial" w:cs="Arial"/>
          <w:sz w:val="22"/>
          <w:szCs w:val="22"/>
        </w:rPr>
        <w:t xml:space="preserve">Presentar a la Secretaria de Economía un reporte en medios magnéticos de las operaciones realizadas al amparo del programa a que se refiere el artículo 9o. Durante el año inmediato anterior, a más tardar el último día hábil del mes de abril, del cual se deberá entregar copia a la administración local de auditoría fiscal que corresponda. </w:t>
      </w:r>
    </w:p>
    <w:p w14:paraId="03612C8D" w14:textId="77777777" w:rsidR="00D52CD1" w:rsidRPr="007923C2" w:rsidRDefault="00D52CD1" w:rsidP="00D52CD1">
      <w:pPr>
        <w:widowControl w:val="0"/>
        <w:autoSpaceDE w:val="0"/>
        <w:autoSpaceDN w:val="0"/>
        <w:adjustRightInd w:val="0"/>
        <w:spacing w:after="0" w:line="162" w:lineRule="exact"/>
        <w:ind w:right="40"/>
        <w:jc w:val="both"/>
        <w:rPr>
          <w:rFonts w:ascii="Arial" w:hAnsi="Arial" w:cs="Arial"/>
          <w:sz w:val="22"/>
          <w:szCs w:val="22"/>
        </w:rPr>
      </w:pPr>
    </w:p>
    <w:p w14:paraId="41F6DBB7" w14:textId="77777777" w:rsidR="00D52CD1" w:rsidRPr="007923C2" w:rsidRDefault="00D52CD1" w:rsidP="00D52CD1">
      <w:pPr>
        <w:widowControl w:val="0"/>
        <w:tabs>
          <w:tab w:val="left" w:pos="680"/>
        </w:tabs>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Evaluación del Programa</w:t>
      </w:r>
    </w:p>
    <w:p w14:paraId="3657C1B0" w14:textId="77777777" w:rsidR="00D52CD1" w:rsidRPr="007923C2" w:rsidRDefault="00D52CD1" w:rsidP="00D52CD1">
      <w:pPr>
        <w:widowControl w:val="0"/>
        <w:autoSpaceDE w:val="0"/>
        <w:autoSpaceDN w:val="0"/>
        <w:adjustRightInd w:val="0"/>
        <w:spacing w:after="0" w:line="137" w:lineRule="exact"/>
        <w:ind w:right="40"/>
        <w:jc w:val="both"/>
        <w:rPr>
          <w:rFonts w:ascii="Arial" w:hAnsi="Arial" w:cs="Arial"/>
          <w:sz w:val="22"/>
          <w:szCs w:val="22"/>
        </w:rPr>
      </w:pPr>
    </w:p>
    <w:p w14:paraId="5FAE5E58"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El PPICE realiza un estudio sobre la ineficacia de las empresas de comercio exterior, y se afirma que la mayor parte de los productores nacionales carecen de los recursos y la experiencia necesarios para exportar por ellos mismos.</w:t>
      </w:r>
    </w:p>
    <w:p w14:paraId="3F6634E7" w14:textId="77777777"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14:paraId="4F086114" w14:textId="77777777"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 xml:space="preserve">La figura de empresa de comercio exterior (ECEX) fue creada en nuestro país en 1986 y modificada </w:t>
      </w:r>
      <w:r w:rsidRPr="007923C2">
        <w:rPr>
          <w:rFonts w:ascii="Arial" w:hAnsi="Arial" w:cs="Arial"/>
          <w:sz w:val="22"/>
          <w:szCs w:val="22"/>
        </w:rPr>
        <w:lastRenderedPageBreak/>
        <w:t>en 1990. Una ECEX debería cumplir una amplia gama de funciones, compartir gastos de comercialización (investigación de mercado, publicidad, transporte, seguros, financiamiento, etcétera), consolidar oferta exportable para generar una mayor capacidad de respuesta a órdenes de compra; desarrollar marcas propias, etcétera.</w:t>
      </w:r>
    </w:p>
    <w:p w14:paraId="0F8109F8" w14:textId="77777777" w:rsidR="00D52CD1" w:rsidRPr="007923C2" w:rsidRDefault="00D52CD1" w:rsidP="00D52CD1">
      <w:pPr>
        <w:widowControl w:val="0"/>
        <w:overflowPunct w:val="0"/>
        <w:autoSpaceDE w:val="0"/>
        <w:autoSpaceDN w:val="0"/>
        <w:adjustRightInd w:val="0"/>
        <w:spacing w:after="0" w:line="253" w:lineRule="auto"/>
        <w:ind w:right="20"/>
        <w:jc w:val="both"/>
        <w:rPr>
          <w:rFonts w:ascii="Arial" w:hAnsi="Arial" w:cs="Arial"/>
          <w:sz w:val="22"/>
          <w:szCs w:val="22"/>
        </w:rPr>
      </w:pPr>
      <w:bookmarkStart w:id="33" w:name="page81"/>
      <w:bookmarkEnd w:id="33"/>
      <w:r w:rsidRPr="007923C2">
        <w:rPr>
          <w:rFonts w:ascii="Arial" w:hAnsi="Arial" w:cs="Arial"/>
          <w:sz w:val="22"/>
          <w:szCs w:val="22"/>
        </w:rPr>
        <w:t>Los objetivos antes descritos no se han alcanzado a cabalidad. Actual-mente existen 128 empresas de comercio exterior registradas, a través de las cuales se canaliza apenas el 2% de las exportaciones no petroleras. La gran mayoría de estas empresas se dedican a comercializar productos de las gran-des empresas industriales y no contribuyen al propósito de consolidar la oferta de los pequeños exportadores, ya que no cuentan con la infraestructura y el capital necesarios para ofrecer servicios con valor agregado.</w:t>
      </w:r>
    </w:p>
    <w:p w14:paraId="6468306E" w14:textId="77777777" w:rsidR="00D52CD1" w:rsidRPr="007923C2" w:rsidRDefault="00D52CD1" w:rsidP="00D52CD1">
      <w:pPr>
        <w:widowControl w:val="0"/>
        <w:autoSpaceDE w:val="0"/>
        <w:autoSpaceDN w:val="0"/>
        <w:adjustRightInd w:val="0"/>
        <w:spacing w:after="0" w:line="6" w:lineRule="exact"/>
        <w:jc w:val="both"/>
        <w:rPr>
          <w:rFonts w:ascii="Arial" w:hAnsi="Arial" w:cs="Arial"/>
          <w:sz w:val="22"/>
          <w:szCs w:val="22"/>
        </w:rPr>
      </w:pPr>
    </w:p>
    <w:p w14:paraId="0C16D4CA" w14:textId="77777777" w:rsidR="00D52CD1" w:rsidRPr="007923C2" w:rsidRDefault="00D52CD1" w:rsidP="00D52CD1">
      <w:pPr>
        <w:widowControl w:val="0"/>
        <w:overflowPunct w:val="0"/>
        <w:autoSpaceDE w:val="0"/>
        <w:autoSpaceDN w:val="0"/>
        <w:adjustRightInd w:val="0"/>
        <w:spacing w:after="0" w:line="234" w:lineRule="auto"/>
        <w:ind w:right="40"/>
        <w:jc w:val="both"/>
        <w:rPr>
          <w:rFonts w:ascii="Arial" w:hAnsi="Arial" w:cs="Arial"/>
          <w:sz w:val="22"/>
          <w:szCs w:val="22"/>
        </w:rPr>
      </w:pPr>
      <w:r w:rsidRPr="007923C2">
        <w:rPr>
          <w:rFonts w:ascii="Arial" w:hAnsi="Arial" w:cs="Arial"/>
          <w:sz w:val="22"/>
          <w:szCs w:val="22"/>
        </w:rPr>
        <w:t>La experiencia internacional muestra que para que las actividades de las empresas comercializadoras adquieran la amplitud necesaria deben contar con apoyos y esquemas de financiamiento diseñados especialmente para sus actividades, para el desarrollo de sus proveedores y para complementar los recursos tecnológicos, administrativos y financieros de los exportadores micro, pequeños y medianos.</w:t>
      </w:r>
    </w:p>
    <w:p w14:paraId="62EE0147" w14:textId="77777777" w:rsidR="00D52CD1" w:rsidRPr="007923C2" w:rsidRDefault="00D52CD1" w:rsidP="00D52CD1">
      <w:pPr>
        <w:widowControl w:val="0"/>
        <w:autoSpaceDE w:val="0"/>
        <w:autoSpaceDN w:val="0"/>
        <w:adjustRightInd w:val="0"/>
        <w:spacing w:after="0" w:line="20" w:lineRule="exact"/>
        <w:jc w:val="both"/>
        <w:rPr>
          <w:rFonts w:ascii="Arial" w:hAnsi="Arial" w:cs="Arial"/>
          <w:sz w:val="22"/>
          <w:szCs w:val="22"/>
        </w:rPr>
      </w:pPr>
    </w:p>
    <w:p w14:paraId="5FB3EDF6" w14:textId="77777777"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Por ello, es necesario y urgente reformar el programa de Empresas de Comercio Exterior, a fin de convertir a esas empresas en detonadores del desarrollo de los exportadores pequeños, así como consolidar las exportaciones efectuadas por empresas con poca experiencia en los mercados internacionales</w:t>
      </w:r>
    </w:p>
    <w:p w14:paraId="14BCE929" w14:textId="77777777" w:rsidR="00D52CD1" w:rsidRPr="007923C2" w:rsidRDefault="00D52CD1" w:rsidP="00D52CD1">
      <w:pPr>
        <w:widowControl w:val="0"/>
        <w:autoSpaceDE w:val="0"/>
        <w:autoSpaceDN w:val="0"/>
        <w:adjustRightInd w:val="0"/>
        <w:spacing w:after="0" w:line="365" w:lineRule="exact"/>
        <w:jc w:val="both"/>
        <w:rPr>
          <w:rFonts w:ascii="Arial" w:hAnsi="Arial" w:cs="Arial"/>
          <w:sz w:val="22"/>
          <w:szCs w:val="22"/>
        </w:rPr>
      </w:pPr>
    </w:p>
    <w:p w14:paraId="2E4987DD" w14:textId="77777777" w:rsidR="00D52CD1" w:rsidRPr="007923C2" w:rsidRDefault="00D52CD1" w:rsidP="00D52CD1">
      <w:pPr>
        <w:widowControl w:val="0"/>
        <w:numPr>
          <w:ilvl w:val="0"/>
          <w:numId w:val="177"/>
        </w:numPr>
        <w:tabs>
          <w:tab w:val="clear" w:pos="720"/>
          <w:tab w:val="num" w:pos="660"/>
        </w:tabs>
        <w:overflowPunct w:val="0"/>
        <w:autoSpaceDE w:val="0"/>
        <w:autoSpaceDN w:val="0"/>
        <w:adjustRightInd w:val="0"/>
        <w:spacing w:after="0" w:line="240" w:lineRule="auto"/>
        <w:ind w:left="0" w:right="140" w:firstLine="0"/>
        <w:jc w:val="both"/>
        <w:rPr>
          <w:rFonts w:ascii="Arial" w:hAnsi="Arial" w:cs="Arial"/>
          <w:i/>
          <w:iCs/>
          <w:sz w:val="22"/>
          <w:szCs w:val="22"/>
        </w:rPr>
      </w:pPr>
      <w:r w:rsidRPr="007923C2">
        <w:rPr>
          <w:rFonts w:ascii="Arial" w:hAnsi="Arial" w:cs="Arial"/>
          <w:sz w:val="22"/>
          <w:szCs w:val="22"/>
        </w:rPr>
        <w:t>Decreto para el fomento y operación de las Empresas Altamente Exportadoras (ALTEX) (</w:t>
      </w:r>
      <w:r w:rsidRPr="007923C2">
        <w:rPr>
          <w:rFonts w:ascii="Arial" w:hAnsi="Arial" w:cs="Arial"/>
          <w:i/>
          <w:iCs/>
          <w:sz w:val="22"/>
          <w:szCs w:val="22"/>
        </w:rPr>
        <w:t>DOF,</w:t>
      </w:r>
      <w:r w:rsidRPr="007923C2">
        <w:rPr>
          <w:rFonts w:ascii="Arial" w:hAnsi="Arial" w:cs="Arial"/>
          <w:sz w:val="22"/>
          <w:szCs w:val="22"/>
        </w:rPr>
        <w:t xml:space="preserve"> 3 de mayo de 1990) </w:t>
      </w:r>
    </w:p>
    <w:p w14:paraId="55EDE514" w14:textId="77777777" w:rsidR="00D52CD1" w:rsidRPr="007923C2" w:rsidRDefault="00D52CD1" w:rsidP="00D52CD1">
      <w:pPr>
        <w:widowControl w:val="0"/>
        <w:autoSpaceDE w:val="0"/>
        <w:autoSpaceDN w:val="0"/>
        <w:adjustRightInd w:val="0"/>
        <w:spacing w:after="0" w:line="193" w:lineRule="exact"/>
        <w:jc w:val="both"/>
        <w:rPr>
          <w:rFonts w:ascii="Arial" w:hAnsi="Arial" w:cs="Arial"/>
          <w:sz w:val="22"/>
          <w:szCs w:val="22"/>
        </w:rPr>
      </w:pPr>
    </w:p>
    <w:p w14:paraId="227A0829" w14:textId="77777777" w:rsidR="00D52CD1" w:rsidRPr="007923C2" w:rsidRDefault="00D52CD1" w:rsidP="00D52CD1">
      <w:pPr>
        <w:widowControl w:val="0"/>
        <w:overflowPunct w:val="0"/>
        <w:autoSpaceDE w:val="0"/>
        <w:autoSpaceDN w:val="0"/>
        <w:adjustRightInd w:val="0"/>
        <w:spacing w:after="0" w:line="255" w:lineRule="auto"/>
        <w:ind w:right="80"/>
        <w:jc w:val="both"/>
        <w:rPr>
          <w:rFonts w:ascii="Arial" w:hAnsi="Arial" w:cs="Arial"/>
          <w:sz w:val="22"/>
          <w:szCs w:val="22"/>
        </w:rPr>
      </w:pPr>
      <w:r w:rsidRPr="007923C2">
        <w:rPr>
          <w:rFonts w:ascii="Arial" w:hAnsi="Arial" w:cs="Arial"/>
          <w:sz w:val="22"/>
          <w:szCs w:val="22"/>
        </w:rPr>
        <w:t>El Programa de Empresas Altamente Exportadoras (ALTEX) es un instrumento de promoción a las exportaciones de productos mexicanos destina-do a apoyar su operación mediante facilidades administrativas y fiscales.</w:t>
      </w:r>
    </w:p>
    <w:p w14:paraId="3E97C2D8" w14:textId="77777777" w:rsidR="00D52CD1" w:rsidRPr="007923C2" w:rsidRDefault="00D52CD1" w:rsidP="00D52CD1">
      <w:pPr>
        <w:widowControl w:val="0"/>
        <w:autoSpaceDE w:val="0"/>
        <w:autoSpaceDN w:val="0"/>
        <w:adjustRightInd w:val="0"/>
        <w:spacing w:after="0" w:line="1" w:lineRule="exact"/>
        <w:jc w:val="both"/>
        <w:rPr>
          <w:rFonts w:ascii="Arial" w:hAnsi="Arial" w:cs="Arial"/>
          <w:sz w:val="22"/>
          <w:szCs w:val="22"/>
        </w:rPr>
      </w:pPr>
    </w:p>
    <w:p w14:paraId="5F1AA9EA" w14:textId="77777777" w:rsidR="00D52CD1" w:rsidRPr="007923C2" w:rsidRDefault="00D52CD1" w:rsidP="00D52CD1">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Secretaría de Economía será la encargada de concertar los apoyos y facilidades que las dependencias y entidades de la administración pública federal y los gobiernos de los estados otorguen a las empresas altamente exportadoras.</w:t>
      </w:r>
    </w:p>
    <w:p w14:paraId="1CF560DC" w14:textId="77777777" w:rsidR="00D52CD1" w:rsidRPr="007923C2" w:rsidRDefault="00D52CD1" w:rsidP="00D52CD1">
      <w:pPr>
        <w:widowControl w:val="0"/>
        <w:autoSpaceDE w:val="0"/>
        <w:autoSpaceDN w:val="0"/>
        <w:adjustRightInd w:val="0"/>
        <w:spacing w:after="0" w:line="2" w:lineRule="exact"/>
        <w:jc w:val="both"/>
        <w:rPr>
          <w:rFonts w:ascii="Arial" w:hAnsi="Arial" w:cs="Arial"/>
          <w:sz w:val="22"/>
          <w:szCs w:val="22"/>
        </w:rPr>
      </w:pPr>
    </w:p>
    <w:p w14:paraId="0C918C26" w14:textId="77777777" w:rsidR="00D52CD1" w:rsidRPr="007923C2" w:rsidRDefault="00D52CD1" w:rsidP="00D52CD1">
      <w:pPr>
        <w:widowControl w:val="0"/>
        <w:overflowPunct w:val="0"/>
        <w:autoSpaceDE w:val="0"/>
        <w:autoSpaceDN w:val="0"/>
        <w:adjustRightInd w:val="0"/>
        <w:spacing w:after="0" w:line="228" w:lineRule="auto"/>
        <w:ind w:right="40"/>
        <w:jc w:val="both"/>
        <w:rPr>
          <w:rFonts w:ascii="Arial" w:hAnsi="Arial" w:cs="Arial"/>
          <w:sz w:val="22"/>
          <w:szCs w:val="22"/>
        </w:rPr>
      </w:pPr>
      <w:r w:rsidRPr="007923C2">
        <w:rPr>
          <w:rFonts w:ascii="Arial" w:hAnsi="Arial" w:cs="Arial"/>
          <w:sz w:val="22"/>
          <w:szCs w:val="22"/>
        </w:rPr>
        <w:t>Se entiende por empresa ALTEX, a las personas productoras de mercancías no petroleras de exportación que participan de manera dinámica y permanente en los mercados internacionales.</w:t>
      </w:r>
    </w:p>
    <w:p w14:paraId="46BA586F" w14:textId="77777777" w:rsidR="00D52CD1" w:rsidRPr="007923C2" w:rsidRDefault="00D52CD1" w:rsidP="00D52CD1">
      <w:pPr>
        <w:widowControl w:val="0"/>
        <w:autoSpaceDE w:val="0"/>
        <w:autoSpaceDN w:val="0"/>
        <w:adjustRightInd w:val="0"/>
        <w:spacing w:after="0" w:line="229" w:lineRule="exact"/>
        <w:jc w:val="both"/>
        <w:rPr>
          <w:rFonts w:ascii="Arial" w:hAnsi="Arial" w:cs="Arial"/>
          <w:sz w:val="22"/>
          <w:szCs w:val="22"/>
        </w:rPr>
      </w:pPr>
    </w:p>
    <w:p w14:paraId="75DF70DD" w14:textId="77777777"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bookmarkStart w:id="34" w:name="page83"/>
      <w:bookmarkEnd w:id="34"/>
      <w:r w:rsidRPr="007923C2">
        <w:rPr>
          <w:rFonts w:ascii="Arial" w:hAnsi="Arial" w:cs="Arial"/>
          <w:sz w:val="22"/>
          <w:szCs w:val="22"/>
        </w:rPr>
        <w:t>Los beneficiarios del programa ALTEX son los siguientes:</w:t>
      </w:r>
    </w:p>
    <w:p w14:paraId="17F9C69F" w14:textId="77777777" w:rsidR="00D52CD1" w:rsidRPr="007923C2" w:rsidRDefault="00D52CD1" w:rsidP="00D52CD1">
      <w:pPr>
        <w:widowControl w:val="0"/>
        <w:autoSpaceDE w:val="0"/>
        <w:autoSpaceDN w:val="0"/>
        <w:adjustRightInd w:val="0"/>
        <w:spacing w:after="0" w:line="94" w:lineRule="exact"/>
        <w:jc w:val="both"/>
        <w:rPr>
          <w:rFonts w:ascii="Arial" w:hAnsi="Arial" w:cs="Arial"/>
          <w:sz w:val="22"/>
          <w:szCs w:val="22"/>
        </w:rPr>
      </w:pPr>
    </w:p>
    <w:p w14:paraId="644590CF" w14:textId="77777777" w:rsidR="00D52CD1" w:rsidRPr="007923C2" w:rsidRDefault="00D52CD1" w:rsidP="00D52CD1">
      <w:pPr>
        <w:widowControl w:val="0"/>
        <w:numPr>
          <w:ilvl w:val="0"/>
          <w:numId w:val="178"/>
        </w:numPr>
        <w:tabs>
          <w:tab w:val="clear" w:pos="720"/>
          <w:tab w:val="num" w:pos="620"/>
        </w:tabs>
        <w:overflowPunct w:val="0"/>
        <w:autoSpaceDE w:val="0"/>
        <w:autoSpaceDN w:val="0"/>
        <w:adjustRightInd w:val="0"/>
        <w:spacing w:after="0" w:line="240" w:lineRule="auto"/>
        <w:ind w:left="0" w:right="120" w:firstLine="0"/>
        <w:jc w:val="both"/>
        <w:rPr>
          <w:rFonts w:ascii="Arial" w:hAnsi="Arial" w:cs="Arial"/>
          <w:sz w:val="22"/>
          <w:szCs w:val="22"/>
        </w:rPr>
      </w:pPr>
      <w:r w:rsidRPr="007923C2">
        <w:rPr>
          <w:rFonts w:ascii="Arial" w:hAnsi="Arial" w:cs="Arial"/>
          <w:sz w:val="22"/>
          <w:szCs w:val="22"/>
        </w:rPr>
        <w:t xml:space="preserve">Las personas físicas o morales establecidas en el país productoras de mercancías no petroleras que demuestren exportaciones directas por un valor de dos millones de dólares o equivalentes al 40% de sus ventas totales, en el periodo de un año. </w:t>
      </w:r>
    </w:p>
    <w:p w14:paraId="5BD1473D" w14:textId="77777777"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14:paraId="06A6DA89" w14:textId="77777777" w:rsidR="00D52CD1" w:rsidRPr="007923C2" w:rsidRDefault="00D52CD1" w:rsidP="00D52CD1">
      <w:pPr>
        <w:widowControl w:val="0"/>
        <w:numPr>
          <w:ilvl w:val="0"/>
          <w:numId w:val="178"/>
        </w:numPr>
        <w:tabs>
          <w:tab w:val="clear" w:pos="720"/>
          <w:tab w:val="num" w:pos="620"/>
        </w:tabs>
        <w:overflowPunct w:val="0"/>
        <w:autoSpaceDE w:val="0"/>
        <w:autoSpaceDN w:val="0"/>
        <w:adjustRightInd w:val="0"/>
        <w:spacing w:after="0" w:line="239" w:lineRule="auto"/>
        <w:ind w:left="0" w:right="120" w:firstLine="0"/>
        <w:jc w:val="both"/>
        <w:rPr>
          <w:rFonts w:ascii="Arial" w:hAnsi="Arial" w:cs="Arial"/>
          <w:sz w:val="22"/>
          <w:szCs w:val="22"/>
        </w:rPr>
      </w:pPr>
      <w:r w:rsidRPr="007923C2">
        <w:rPr>
          <w:rFonts w:ascii="Arial" w:hAnsi="Arial" w:cs="Arial"/>
          <w:sz w:val="22"/>
          <w:szCs w:val="22"/>
        </w:rPr>
        <w:t xml:space="preserve">Las personas físicas o morales establecidas en el país productoras de mercancías no petroleras que demuestren exportaciones indirectas anuales equivalentes al 50% de sus ventas totales. </w:t>
      </w:r>
    </w:p>
    <w:p w14:paraId="4A1A7869"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748A2849" w14:textId="77777777" w:rsidR="00D52CD1" w:rsidRPr="007923C2" w:rsidRDefault="00D52CD1" w:rsidP="00D52CD1">
      <w:pPr>
        <w:widowControl w:val="0"/>
        <w:numPr>
          <w:ilvl w:val="0"/>
          <w:numId w:val="178"/>
        </w:numPr>
        <w:tabs>
          <w:tab w:val="clear" w:pos="720"/>
          <w:tab w:val="num" w:pos="620"/>
        </w:tabs>
        <w:overflowPunct w:val="0"/>
        <w:autoSpaceDE w:val="0"/>
        <w:autoSpaceDN w:val="0"/>
        <w:adjustRightInd w:val="0"/>
        <w:spacing w:after="0" w:line="237" w:lineRule="auto"/>
        <w:ind w:left="0" w:right="120" w:firstLine="0"/>
        <w:jc w:val="both"/>
        <w:rPr>
          <w:rFonts w:ascii="Arial" w:hAnsi="Arial" w:cs="Arial"/>
          <w:sz w:val="22"/>
          <w:szCs w:val="22"/>
        </w:rPr>
      </w:pPr>
      <w:r w:rsidRPr="007923C2">
        <w:rPr>
          <w:rFonts w:ascii="Arial" w:hAnsi="Arial" w:cs="Arial"/>
          <w:sz w:val="22"/>
          <w:szCs w:val="22"/>
        </w:rPr>
        <w:t xml:space="preserve">Las empresas de comercio exterior (ECEX), con registro vigente expedido por la Secretaría de Economía. </w:t>
      </w:r>
    </w:p>
    <w:p w14:paraId="7338780B" w14:textId="77777777" w:rsidR="00D52CD1" w:rsidRPr="007923C2" w:rsidRDefault="00D52CD1" w:rsidP="00D52CD1">
      <w:pPr>
        <w:widowControl w:val="0"/>
        <w:autoSpaceDE w:val="0"/>
        <w:autoSpaceDN w:val="0"/>
        <w:adjustRightInd w:val="0"/>
        <w:spacing w:after="0" w:line="242" w:lineRule="exact"/>
        <w:jc w:val="both"/>
        <w:rPr>
          <w:rFonts w:ascii="Arial" w:hAnsi="Arial" w:cs="Arial"/>
          <w:sz w:val="22"/>
          <w:szCs w:val="22"/>
        </w:rPr>
      </w:pPr>
    </w:p>
    <w:p w14:paraId="58624431" w14:textId="77777777"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Beneficios</w:t>
      </w:r>
    </w:p>
    <w:p w14:paraId="4CDEF1ED" w14:textId="77777777" w:rsidR="00D52CD1" w:rsidRPr="007923C2" w:rsidRDefault="00D52CD1" w:rsidP="00D52CD1">
      <w:pPr>
        <w:widowControl w:val="0"/>
        <w:autoSpaceDE w:val="0"/>
        <w:autoSpaceDN w:val="0"/>
        <w:adjustRightInd w:val="0"/>
        <w:spacing w:after="0" w:line="170" w:lineRule="exact"/>
        <w:jc w:val="both"/>
        <w:rPr>
          <w:rFonts w:ascii="Arial" w:hAnsi="Arial" w:cs="Arial"/>
          <w:sz w:val="22"/>
          <w:szCs w:val="22"/>
        </w:rPr>
      </w:pPr>
    </w:p>
    <w:p w14:paraId="1FF4010B" w14:textId="77777777"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El programa ALTEX brinda a sus titulares los siguientes beneficios:</w:t>
      </w:r>
    </w:p>
    <w:p w14:paraId="6ED8C4B5" w14:textId="77777777" w:rsidR="00D52CD1" w:rsidRPr="007923C2" w:rsidRDefault="00D52CD1" w:rsidP="00D52CD1">
      <w:pPr>
        <w:widowControl w:val="0"/>
        <w:autoSpaceDE w:val="0"/>
        <w:autoSpaceDN w:val="0"/>
        <w:adjustRightInd w:val="0"/>
        <w:spacing w:after="0" w:line="133" w:lineRule="exact"/>
        <w:jc w:val="both"/>
        <w:rPr>
          <w:rFonts w:ascii="Arial" w:hAnsi="Arial" w:cs="Arial"/>
          <w:sz w:val="22"/>
          <w:szCs w:val="22"/>
        </w:rPr>
      </w:pPr>
    </w:p>
    <w:p w14:paraId="0CFF390F" w14:textId="77777777" w:rsidR="00D52CD1" w:rsidRPr="007923C2" w:rsidRDefault="00D52CD1" w:rsidP="00D52CD1">
      <w:pPr>
        <w:widowControl w:val="0"/>
        <w:numPr>
          <w:ilvl w:val="0"/>
          <w:numId w:val="179"/>
        </w:numPr>
        <w:tabs>
          <w:tab w:val="clear" w:pos="720"/>
          <w:tab w:val="num" w:pos="600"/>
        </w:tabs>
        <w:overflowPunct w:val="0"/>
        <w:autoSpaceDE w:val="0"/>
        <w:autoSpaceDN w:val="0"/>
        <w:adjustRightInd w:val="0"/>
        <w:spacing w:after="0" w:line="230" w:lineRule="auto"/>
        <w:ind w:left="0" w:right="180" w:firstLine="0"/>
        <w:jc w:val="both"/>
        <w:rPr>
          <w:rFonts w:ascii="Arial" w:hAnsi="Arial" w:cs="Arial"/>
          <w:sz w:val="22"/>
          <w:szCs w:val="22"/>
        </w:rPr>
      </w:pPr>
      <w:r w:rsidRPr="007923C2">
        <w:rPr>
          <w:rFonts w:ascii="Arial" w:hAnsi="Arial" w:cs="Arial"/>
          <w:sz w:val="22"/>
          <w:szCs w:val="22"/>
        </w:rPr>
        <w:t xml:space="preserve">Devolución de saldos a favor del IVA, cuando obtengan saldo a favor en sus declaraciones provisionales; </w:t>
      </w:r>
    </w:p>
    <w:p w14:paraId="363CBE1B" w14:textId="77777777"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14:paraId="5355DA7D" w14:textId="77777777" w:rsidR="00D52CD1" w:rsidRPr="007923C2" w:rsidRDefault="00D52CD1" w:rsidP="00D52CD1">
      <w:pPr>
        <w:widowControl w:val="0"/>
        <w:numPr>
          <w:ilvl w:val="0"/>
          <w:numId w:val="179"/>
        </w:numPr>
        <w:tabs>
          <w:tab w:val="clear" w:pos="720"/>
          <w:tab w:val="num" w:pos="600"/>
        </w:tabs>
        <w:overflowPunct w:val="0"/>
        <w:autoSpaceDE w:val="0"/>
        <w:autoSpaceDN w:val="0"/>
        <w:adjustRightInd w:val="0"/>
        <w:spacing w:after="0" w:line="230" w:lineRule="auto"/>
        <w:ind w:left="0" w:right="180" w:firstLine="0"/>
        <w:jc w:val="both"/>
        <w:rPr>
          <w:rFonts w:ascii="Arial" w:hAnsi="Arial" w:cs="Arial"/>
          <w:sz w:val="22"/>
          <w:szCs w:val="22"/>
        </w:rPr>
      </w:pPr>
      <w:r w:rsidRPr="007923C2">
        <w:rPr>
          <w:rFonts w:ascii="Arial" w:hAnsi="Arial" w:cs="Arial"/>
          <w:sz w:val="22"/>
          <w:szCs w:val="22"/>
        </w:rPr>
        <w:t xml:space="preserve">Acceso gratuito al Sistema de Información Comercial administrado por la Secretaría de Economía; </w:t>
      </w:r>
    </w:p>
    <w:p w14:paraId="1FABCE98" w14:textId="77777777"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14:paraId="1D216740" w14:textId="77777777" w:rsidR="00D52CD1" w:rsidRPr="007923C2" w:rsidRDefault="00D52CD1" w:rsidP="00D52CD1">
      <w:pPr>
        <w:widowControl w:val="0"/>
        <w:numPr>
          <w:ilvl w:val="0"/>
          <w:numId w:val="179"/>
        </w:numPr>
        <w:tabs>
          <w:tab w:val="clear" w:pos="720"/>
          <w:tab w:val="num" w:pos="600"/>
        </w:tabs>
        <w:overflowPunct w:val="0"/>
        <w:autoSpaceDE w:val="0"/>
        <w:autoSpaceDN w:val="0"/>
        <w:adjustRightInd w:val="0"/>
        <w:spacing w:after="0" w:line="234" w:lineRule="auto"/>
        <w:ind w:left="0" w:right="120" w:firstLine="0"/>
        <w:jc w:val="both"/>
        <w:rPr>
          <w:rFonts w:ascii="Arial" w:hAnsi="Arial" w:cs="Arial"/>
          <w:sz w:val="22"/>
          <w:szCs w:val="22"/>
        </w:rPr>
      </w:pPr>
      <w:r w:rsidRPr="007923C2">
        <w:rPr>
          <w:rFonts w:ascii="Arial" w:hAnsi="Arial" w:cs="Arial"/>
          <w:sz w:val="22"/>
          <w:szCs w:val="22"/>
        </w:rPr>
        <w:t xml:space="preserve">Exención del requisito de segunda revisión de las mercancías de exportación en la aduana de </w:t>
      </w:r>
      <w:r w:rsidRPr="007923C2">
        <w:rPr>
          <w:rFonts w:ascii="Arial" w:hAnsi="Arial" w:cs="Arial"/>
          <w:sz w:val="22"/>
          <w:szCs w:val="22"/>
        </w:rPr>
        <w:lastRenderedPageBreak/>
        <w:t xml:space="preserve">salida cuando éstas hayan sido previa-mente despachadas en una aduana interior; </w:t>
      </w:r>
    </w:p>
    <w:p w14:paraId="2582C769"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2528D3B9" w14:textId="77777777" w:rsidR="00D52CD1" w:rsidRPr="007923C2" w:rsidRDefault="00D52CD1" w:rsidP="00D52CD1">
      <w:pPr>
        <w:widowControl w:val="0"/>
        <w:numPr>
          <w:ilvl w:val="0"/>
          <w:numId w:val="179"/>
        </w:numPr>
        <w:tabs>
          <w:tab w:val="clear" w:pos="720"/>
          <w:tab w:val="num" w:pos="600"/>
        </w:tabs>
        <w:overflowPunct w:val="0"/>
        <w:autoSpaceDE w:val="0"/>
        <w:autoSpaceDN w:val="0"/>
        <w:adjustRightInd w:val="0"/>
        <w:spacing w:after="0" w:line="230" w:lineRule="auto"/>
        <w:ind w:left="0" w:right="120" w:firstLine="0"/>
        <w:jc w:val="both"/>
        <w:rPr>
          <w:rFonts w:ascii="Arial" w:hAnsi="Arial" w:cs="Arial"/>
          <w:sz w:val="22"/>
          <w:szCs w:val="22"/>
        </w:rPr>
      </w:pPr>
      <w:r w:rsidRPr="007923C2">
        <w:rPr>
          <w:rFonts w:ascii="Arial" w:hAnsi="Arial" w:cs="Arial"/>
          <w:sz w:val="22"/>
          <w:szCs w:val="22"/>
        </w:rPr>
        <w:t xml:space="preserve">Facultad para nombrar a un apoderado aduanal para varias aduanas y diversos productos; </w:t>
      </w:r>
    </w:p>
    <w:p w14:paraId="2A4F2C1C" w14:textId="77777777" w:rsidR="00D52CD1" w:rsidRPr="007923C2" w:rsidRDefault="00D52CD1" w:rsidP="00D52CD1">
      <w:pPr>
        <w:widowControl w:val="0"/>
        <w:autoSpaceDE w:val="0"/>
        <w:autoSpaceDN w:val="0"/>
        <w:adjustRightInd w:val="0"/>
        <w:spacing w:after="0" w:line="174" w:lineRule="exact"/>
        <w:jc w:val="both"/>
        <w:rPr>
          <w:rFonts w:ascii="Arial" w:hAnsi="Arial" w:cs="Arial"/>
          <w:sz w:val="22"/>
          <w:szCs w:val="22"/>
        </w:rPr>
      </w:pPr>
    </w:p>
    <w:p w14:paraId="3A5C0816" w14:textId="77777777" w:rsidR="00D52CD1" w:rsidRPr="007923C2" w:rsidRDefault="00D52CD1" w:rsidP="00D52CD1">
      <w:pPr>
        <w:widowControl w:val="0"/>
        <w:overflowPunct w:val="0"/>
        <w:autoSpaceDE w:val="0"/>
        <w:autoSpaceDN w:val="0"/>
        <w:adjustRightInd w:val="0"/>
        <w:spacing w:after="0" w:line="241" w:lineRule="auto"/>
        <w:ind w:right="20"/>
        <w:jc w:val="both"/>
        <w:rPr>
          <w:rFonts w:ascii="Arial" w:hAnsi="Arial" w:cs="Arial"/>
          <w:sz w:val="22"/>
          <w:szCs w:val="22"/>
        </w:rPr>
      </w:pPr>
      <w:r w:rsidRPr="007923C2">
        <w:rPr>
          <w:rFonts w:ascii="Arial" w:hAnsi="Arial" w:cs="Arial"/>
          <w:sz w:val="22"/>
          <w:szCs w:val="22"/>
        </w:rPr>
        <w:t>Para gozar de dichos beneficios, los usuarios de este programa deberán presentar, ante las dependencias de la administración pública federal correspondientes, una copia de la constancia ALTEX expedida por la Secretaría de Economía.</w:t>
      </w:r>
    </w:p>
    <w:p w14:paraId="77AF0CA1"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11847820" w14:textId="77777777" w:rsidR="00D52CD1" w:rsidRPr="007923C2" w:rsidRDefault="00D52CD1" w:rsidP="00D52CD1">
      <w:pPr>
        <w:widowControl w:val="0"/>
        <w:overflowPunct w:val="0"/>
        <w:autoSpaceDE w:val="0"/>
        <w:autoSpaceDN w:val="0"/>
        <w:adjustRightInd w:val="0"/>
        <w:spacing w:after="0" w:line="239" w:lineRule="auto"/>
        <w:ind w:right="120"/>
        <w:jc w:val="both"/>
        <w:rPr>
          <w:rFonts w:ascii="Arial" w:hAnsi="Arial" w:cs="Arial"/>
          <w:sz w:val="22"/>
          <w:szCs w:val="22"/>
        </w:rPr>
      </w:pPr>
      <w:r w:rsidRPr="007923C2">
        <w:rPr>
          <w:rFonts w:ascii="Arial" w:hAnsi="Arial" w:cs="Arial"/>
          <w:sz w:val="22"/>
          <w:szCs w:val="22"/>
        </w:rPr>
        <w:t>La constancia ALTEX (documento que acredita a los titulares de este programa) tiene una vigencia indefinida siempre que su titular cumpla con los requisitos y compromisos previstos.</w:t>
      </w:r>
    </w:p>
    <w:p w14:paraId="22010C03" w14:textId="77777777" w:rsidR="00D52CD1" w:rsidRPr="007923C2" w:rsidRDefault="00D52CD1" w:rsidP="00D52CD1">
      <w:pPr>
        <w:widowControl w:val="0"/>
        <w:autoSpaceDE w:val="0"/>
        <w:autoSpaceDN w:val="0"/>
        <w:adjustRightInd w:val="0"/>
        <w:spacing w:after="0" w:line="262" w:lineRule="exact"/>
        <w:jc w:val="both"/>
        <w:rPr>
          <w:rFonts w:ascii="Arial" w:hAnsi="Arial" w:cs="Arial"/>
          <w:sz w:val="22"/>
          <w:szCs w:val="22"/>
        </w:rPr>
      </w:pPr>
    </w:p>
    <w:p w14:paraId="1D36A543" w14:textId="3F591715"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Requisitos</w:t>
      </w:r>
    </w:p>
    <w:p w14:paraId="546EAA78" w14:textId="77777777" w:rsidR="00D52CD1" w:rsidRPr="007923C2" w:rsidRDefault="00D52CD1" w:rsidP="00D52CD1">
      <w:pPr>
        <w:widowControl w:val="0"/>
        <w:autoSpaceDE w:val="0"/>
        <w:autoSpaceDN w:val="0"/>
        <w:adjustRightInd w:val="0"/>
        <w:spacing w:after="0" w:line="137" w:lineRule="exact"/>
        <w:jc w:val="both"/>
        <w:rPr>
          <w:rFonts w:ascii="Arial" w:hAnsi="Arial" w:cs="Arial"/>
          <w:sz w:val="22"/>
          <w:szCs w:val="22"/>
        </w:rPr>
      </w:pPr>
    </w:p>
    <w:p w14:paraId="348EA119" w14:textId="77777777" w:rsidR="00D52CD1" w:rsidRPr="007923C2" w:rsidRDefault="00D52CD1" w:rsidP="00D52CD1">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La Secretaría de Economía, registrará como empresa altamente exportadora y expedirá la constancia correspondiente a las empresas que cumplan con los siguientes requisitos:</w:t>
      </w:r>
    </w:p>
    <w:p w14:paraId="5EC71E50" w14:textId="77777777"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p>
    <w:p w14:paraId="17E2C1ED" w14:textId="77777777" w:rsidR="00D52CD1" w:rsidRPr="007923C2" w:rsidRDefault="00D52CD1" w:rsidP="00D52CD1">
      <w:pPr>
        <w:widowControl w:val="0"/>
        <w:numPr>
          <w:ilvl w:val="0"/>
          <w:numId w:val="180"/>
        </w:numPr>
        <w:tabs>
          <w:tab w:val="clear" w:pos="720"/>
          <w:tab w:val="num" w:pos="620"/>
        </w:tabs>
        <w:overflowPunct w:val="0"/>
        <w:autoSpaceDE w:val="0"/>
        <w:autoSpaceDN w:val="0"/>
        <w:adjustRightInd w:val="0"/>
        <w:spacing w:after="0" w:line="239" w:lineRule="auto"/>
        <w:ind w:left="0" w:right="180" w:firstLine="0"/>
        <w:jc w:val="both"/>
        <w:rPr>
          <w:rFonts w:ascii="Arial" w:hAnsi="Arial" w:cs="Arial"/>
          <w:sz w:val="22"/>
          <w:szCs w:val="22"/>
        </w:rPr>
      </w:pPr>
      <w:bookmarkStart w:id="35" w:name="page85"/>
      <w:bookmarkEnd w:id="35"/>
      <w:r w:rsidRPr="007923C2">
        <w:rPr>
          <w:rFonts w:ascii="Arial" w:hAnsi="Arial" w:cs="Arial"/>
          <w:sz w:val="22"/>
          <w:szCs w:val="22"/>
        </w:rPr>
        <w:t xml:space="preserve">Las empresas exportadoras directas deberán demostrar exportaciones por valor mínimo anual de 2 millones de dólares o exportar cuando menos el 40% de sus ventas totales; </w:t>
      </w:r>
    </w:p>
    <w:p w14:paraId="713652EC" w14:textId="77777777" w:rsidR="00D52CD1" w:rsidRPr="007923C2" w:rsidRDefault="00D52CD1" w:rsidP="00D52CD1">
      <w:pPr>
        <w:widowControl w:val="0"/>
        <w:autoSpaceDE w:val="0"/>
        <w:autoSpaceDN w:val="0"/>
        <w:adjustRightInd w:val="0"/>
        <w:spacing w:after="0" w:line="3" w:lineRule="exact"/>
        <w:jc w:val="both"/>
        <w:rPr>
          <w:rFonts w:ascii="Arial" w:hAnsi="Arial" w:cs="Arial"/>
          <w:sz w:val="22"/>
          <w:szCs w:val="22"/>
        </w:rPr>
      </w:pPr>
    </w:p>
    <w:p w14:paraId="4C181FEB" w14:textId="77777777" w:rsidR="00D52CD1" w:rsidRPr="007923C2" w:rsidRDefault="00D52CD1" w:rsidP="00D52CD1">
      <w:pPr>
        <w:widowControl w:val="0"/>
        <w:numPr>
          <w:ilvl w:val="0"/>
          <w:numId w:val="181"/>
        </w:numPr>
        <w:tabs>
          <w:tab w:val="clear" w:pos="720"/>
          <w:tab w:val="num" w:pos="620"/>
        </w:tabs>
        <w:overflowPunct w:val="0"/>
        <w:autoSpaceDE w:val="0"/>
        <w:autoSpaceDN w:val="0"/>
        <w:adjustRightInd w:val="0"/>
        <w:spacing w:after="0" w:line="230" w:lineRule="auto"/>
        <w:ind w:left="0" w:right="180" w:firstLine="0"/>
        <w:jc w:val="both"/>
        <w:rPr>
          <w:rFonts w:ascii="Arial" w:hAnsi="Arial" w:cs="Arial"/>
          <w:sz w:val="22"/>
          <w:szCs w:val="22"/>
        </w:rPr>
      </w:pPr>
      <w:r w:rsidRPr="007923C2">
        <w:rPr>
          <w:rFonts w:ascii="Arial" w:hAnsi="Arial" w:cs="Arial"/>
          <w:sz w:val="22"/>
          <w:szCs w:val="22"/>
        </w:rPr>
        <w:t xml:space="preserve">Las empresas exportadoras indirectas deberán demostrar ventas anuales de mercancías incorporadas a productos de exportación o exportadas por terceros, por un valor mínimo equivalente al 50% de sus ventas totales; </w:t>
      </w:r>
    </w:p>
    <w:p w14:paraId="548D61B2" w14:textId="77777777" w:rsidR="00D52CD1" w:rsidRPr="007923C2" w:rsidRDefault="00D52CD1" w:rsidP="00D52CD1">
      <w:pPr>
        <w:widowControl w:val="0"/>
        <w:autoSpaceDE w:val="0"/>
        <w:autoSpaceDN w:val="0"/>
        <w:adjustRightInd w:val="0"/>
        <w:spacing w:after="0" w:line="2" w:lineRule="exact"/>
        <w:jc w:val="both"/>
        <w:rPr>
          <w:rFonts w:ascii="Arial" w:hAnsi="Arial" w:cs="Arial"/>
          <w:sz w:val="22"/>
          <w:szCs w:val="22"/>
        </w:rPr>
      </w:pPr>
    </w:p>
    <w:p w14:paraId="4EE9D603" w14:textId="77777777" w:rsidR="00D52CD1" w:rsidRPr="007923C2" w:rsidRDefault="00D52CD1" w:rsidP="00D52CD1">
      <w:pPr>
        <w:widowControl w:val="0"/>
        <w:numPr>
          <w:ilvl w:val="0"/>
          <w:numId w:val="182"/>
        </w:numPr>
        <w:tabs>
          <w:tab w:val="clear" w:pos="720"/>
          <w:tab w:val="num" w:pos="620"/>
        </w:tabs>
        <w:overflowPunct w:val="0"/>
        <w:autoSpaceDE w:val="0"/>
        <w:autoSpaceDN w:val="0"/>
        <w:adjustRightInd w:val="0"/>
        <w:spacing w:after="0" w:line="239" w:lineRule="auto"/>
        <w:ind w:left="0" w:right="180" w:firstLine="0"/>
        <w:jc w:val="both"/>
        <w:rPr>
          <w:rFonts w:ascii="Arial" w:hAnsi="Arial" w:cs="Arial"/>
          <w:sz w:val="22"/>
          <w:szCs w:val="22"/>
        </w:rPr>
      </w:pPr>
      <w:r w:rsidRPr="007923C2">
        <w:rPr>
          <w:rFonts w:ascii="Arial" w:hAnsi="Arial" w:cs="Arial"/>
          <w:sz w:val="22"/>
          <w:szCs w:val="22"/>
        </w:rPr>
        <w:t>Las empresas de comercio exterior deberán demostrar que cuentan con registro expedido por la Secretaría de Economía, que las acredite como tales.</w:t>
      </w:r>
    </w:p>
    <w:p w14:paraId="7BC3FD97"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28E47528" w14:textId="77777777" w:rsidR="00D52CD1" w:rsidRPr="007923C2" w:rsidRDefault="00D52CD1" w:rsidP="00D52CD1">
      <w:pPr>
        <w:widowControl w:val="0"/>
        <w:overflowPunct w:val="0"/>
        <w:autoSpaceDE w:val="0"/>
        <w:autoSpaceDN w:val="0"/>
        <w:adjustRightInd w:val="0"/>
        <w:spacing w:after="0" w:line="239" w:lineRule="auto"/>
        <w:ind w:right="180"/>
        <w:jc w:val="both"/>
        <w:rPr>
          <w:rFonts w:ascii="Arial" w:hAnsi="Arial" w:cs="Arial"/>
          <w:sz w:val="22"/>
          <w:szCs w:val="22"/>
        </w:rPr>
      </w:pPr>
      <w:r w:rsidRPr="007923C2">
        <w:rPr>
          <w:rFonts w:ascii="Arial" w:hAnsi="Arial" w:cs="Arial"/>
          <w:sz w:val="22"/>
          <w:szCs w:val="22"/>
        </w:rPr>
        <w:t>IV. Presentar solicitud por escrito en el formato único que al efecto proporcione la Secretaria de Economía, el cual contendrá la descripción de su programa de comercio exterior.</w:t>
      </w:r>
    </w:p>
    <w:p w14:paraId="5F6F3734" w14:textId="77777777" w:rsidR="00D52CD1" w:rsidRPr="007923C2" w:rsidRDefault="00D52CD1" w:rsidP="00D52CD1">
      <w:pPr>
        <w:widowControl w:val="0"/>
        <w:autoSpaceDE w:val="0"/>
        <w:autoSpaceDN w:val="0"/>
        <w:adjustRightInd w:val="0"/>
        <w:spacing w:after="0" w:line="283" w:lineRule="exact"/>
        <w:jc w:val="both"/>
        <w:rPr>
          <w:rFonts w:ascii="Arial" w:hAnsi="Arial" w:cs="Arial"/>
          <w:sz w:val="22"/>
          <w:szCs w:val="22"/>
        </w:rPr>
      </w:pPr>
    </w:p>
    <w:p w14:paraId="48A59E28" w14:textId="77777777"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ab/>
      </w:r>
      <w:r w:rsidRPr="007923C2">
        <w:rPr>
          <w:rFonts w:ascii="Arial" w:hAnsi="Arial" w:cs="Arial"/>
          <w:i/>
          <w:iCs/>
          <w:sz w:val="22"/>
          <w:szCs w:val="22"/>
        </w:rPr>
        <w:t>Obligaciones</w:t>
      </w:r>
    </w:p>
    <w:p w14:paraId="14B13D53" w14:textId="77777777" w:rsidR="00D52CD1" w:rsidRPr="007923C2" w:rsidRDefault="00D52CD1" w:rsidP="00D52CD1">
      <w:pPr>
        <w:widowControl w:val="0"/>
        <w:autoSpaceDE w:val="0"/>
        <w:autoSpaceDN w:val="0"/>
        <w:adjustRightInd w:val="0"/>
        <w:spacing w:after="0" w:line="178" w:lineRule="exact"/>
        <w:jc w:val="both"/>
        <w:rPr>
          <w:rFonts w:ascii="Arial" w:hAnsi="Arial" w:cs="Arial"/>
          <w:sz w:val="22"/>
          <w:szCs w:val="22"/>
        </w:rPr>
      </w:pPr>
    </w:p>
    <w:p w14:paraId="6E8A55FE" w14:textId="77777777" w:rsidR="00D52CD1" w:rsidRPr="007923C2" w:rsidRDefault="00D52CD1" w:rsidP="00D52CD1">
      <w:pPr>
        <w:widowControl w:val="0"/>
        <w:overflowPunct w:val="0"/>
        <w:autoSpaceDE w:val="0"/>
        <w:autoSpaceDN w:val="0"/>
        <w:adjustRightInd w:val="0"/>
        <w:spacing w:after="0" w:line="239" w:lineRule="auto"/>
        <w:ind w:right="280"/>
        <w:jc w:val="both"/>
        <w:rPr>
          <w:rFonts w:ascii="Arial" w:hAnsi="Arial" w:cs="Arial"/>
          <w:sz w:val="22"/>
          <w:szCs w:val="22"/>
        </w:rPr>
      </w:pPr>
      <w:r w:rsidRPr="007923C2">
        <w:rPr>
          <w:rFonts w:ascii="Arial" w:hAnsi="Arial" w:cs="Arial"/>
          <w:sz w:val="22"/>
          <w:szCs w:val="22"/>
        </w:rPr>
        <w:t>A fin de gozar de los beneficios del programa ALTEX, sus usuarios deben:</w:t>
      </w:r>
    </w:p>
    <w:p w14:paraId="4C11DDFE" w14:textId="77777777" w:rsidR="00D52CD1" w:rsidRPr="007923C2" w:rsidRDefault="00D52CD1" w:rsidP="00D52CD1">
      <w:pPr>
        <w:widowControl w:val="0"/>
        <w:autoSpaceDE w:val="0"/>
        <w:autoSpaceDN w:val="0"/>
        <w:adjustRightInd w:val="0"/>
        <w:spacing w:after="0" w:line="130" w:lineRule="exact"/>
        <w:jc w:val="both"/>
        <w:rPr>
          <w:rFonts w:ascii="Arial" w:hAnsi="Arial" w:cs="Arial"/>
          <w:sz w:val="22"/>
          <w:szCs w:val="22"/>
        </w:rPr>
      </w:pPr>
    </w:p>
    <w:p w14:paraId="647E48B1" w14:textId="77777777" w:rsidR="00D52CD1" w:rsidRPr="007923C2" w:rsidRDefault="00D52CD1" w:rsidP="00D52CD1">
      <w:pPr>
        <w:widowControl w:val="0"/>
        <w:numPr>
          <w:ilvl w:val="0"/>
          <w:numId w:val="183"/>
        </w:numPr>
        <w:tabs>
          <w:tab w:val="clear" w:pos="720"/>
          <w:tab w:val="num" w:pos="600"/>
        </w:tabs>
        <w:overflowPunct w:val="0"/>
        <w:autoSpaceDE w:val="0"/>
        <w:autoSpaceDN w:val="0"/>
        <w:adjustRightInd w:val="0"/>
        <w:spacing w:after="0" w:line="230" w:lineRule="auto"/>
        <w:ind w:left="0" w:right="280" w:firstLine="0"/>
        <w:jc w:val="both"/>
        <w:rPr>
          <w:rFonts w:ascii="Arial" w:hAnsi="Arial" w:cs="Arial"/>
          <w:sz w:val="22"/>
          <w:szCs w:val="22"/>
        </w:rPr>
      </w:pPr>
      <w:r w:rsidRPr="007923C2">
        <w:rPr>
          <w:rFonts w:ascii="Arial" w:hAnsi="Arial" w:cs="Arial"/>
          <w:sz w:val="22"/>
          <w:szCs w:val="22"/>
        </w:rPr>
        <w:t xml:space="preserve">Demostrar que cumplen con los requisitos mínimos de exportación, y </w:t>
      </w:r>
    </w:p>
    <w:p w14:paraId="5BB78BF6" w14:textId="77777777" w:rsidR="00D52CD1" w:rsidRPr="007923C2" w:rsidRDefault="00D52CD1" w:rsidP="00D52CD1">
      <w:pPr>
        <w:widowControl w:val="0"/>
        <w:autoSpaceDE w:val="0"/>
        <w:autoSpaceDN w:val="0"/>
        <w:adjustRightInd w:val="0"/>
        <w:spacing w:after="0" w:line="53" w:lineRule="exact"/>
        <w:jc w:val="both"/>
        <w:rPr>
          <w:rFonts w:ascii="Arial" w:hAnsi="Arial" w:cs="Arial"/>
          <w:sz w:val="22"/>
          <w:szCs w:val="22"/>
        </w:rPr>
      </w:pPr>
    </w:p>
    <w:p w14:paraId="2B813828" w14:textId="77777777" w:rsidR="00D52CD1" w:rsidRPr="007923C2" w:rsidRDefault="00D52CD1" w:rsidP="00D52CD1">
      <w:pPr>
        <w:widowControl w:val="0"/>
        <w:numPr>
          <w:ilvl w:val="0"/>
          <w:numId w:val="183"/>
        </w:numPr>
        <w:tabs>
          <w:tab w:val="clear" w:pos="720"/>
          <w:tab w:val="num" w:pos="600"/>
        </w:tabs>
        <w:overflowPunct w:val="0"/>
        <w:autoSpaceDE w:val="0"/>
        <w:autoSpaceDN w:val="0"/>
        <w:adjustRightInd w:val="0"/>
        <w:spacing w:after="0" w:line="230" w:lineRule="auto"/>
        <w:ind w:left="0" w:right="280" w:firstLine="0"/>
        <w:jc w:val="both"/>
        <w:rPr>
          <w:rFonts w:ascii="Arial" w:hAnsi="Arial" w:cs="Arial"/>
          <w:sz w:val="22"/>
          <w:szCs w:val="22"/>
        </w:rPr>
      </w:pPr>
      <w:r w:rsidRPr="007923C2">
        <w:rPr>
          <w:rFonts w:ascii="Arial" w:hAnsi="Arial" w:cs="Arial"/>
          <w:sz w:val="22"/>
          <w:szCs w:val="22"/>
        </w:rPr>
        <w:t xml:space="preserve">Presentar oportuna y puntualmente su reporte anual de operaciones de comercio exterior. </w:t>
      </w:r>
    </w:p>
    <w:p w14:paraId="17541D91" w14:textId="77777777" w:rsidR="00D52CD1" w:rsidRPr="007923C2" w:rsidRDefault="00D52CD1" w:rsidP="00D52CD1">
      <w:pPr>
        <w:widowControl w:val="0"/>
        <w:autoSpaceDE w:val="0"/>
        <w:autoSpaceDN w:val="0"/>
        <w:adjustRightInd w:val="0"/>
        <w:spacing w:after="0" w:line="53" w:lineRule="exact"/>
        <w:jc w:val="both"/>
        <w:rPr>
          <w:rFonts w:ascii="Arial" w:hAnsi="Arial" w:cs="Arial"/>
          <w:sz w:val="22"/>
          <w:szCs w:val="22"/>
        </w:rPr>
      </w:pPr>
    </w:p>
    <w:p w14:paraId="10FEFEA6" w14:textId="77777777" w:rsidR="00D52CD1" w:rsidRPr="007923C2" w:rsidRDefault="00D52CD1" w:rsidP="00D52CD1">
      <w:pPr>
        <w:widowControl w:val="0"/>
        <w:numPr>
          <w:ilvl w:val="0"/>
          <w:numId w:val="183"/>
        </w:numPr>
        <w:tabs>
          <w:tab w:val="clear" w:pos="720"/>
          <w:tab w:val="num" w:pos="600"/>
        </w:tabs>
        <w:overflowPunct w:val="0"/>
        <w:autoSpaceDE w:val="0"/>
        <w:autoSpaceDN w:val="0"/>
        <w:adjustRightInd w:val="0"/>
        <w:spacing w:after="0" w:line="230" w:lineRule="auto"/>
        <w:ind w:left="0" w:right="220" w:firstLine="0"/>
        <w:jc w:val="both"/>
        <w:rPr>
          <w:rFonts w:ascii="Arial" w:hAnsi="Arial" w:cs="Arial"/>
          <w:sz w:val="22"/>
          <w:szCs w:val="22"/>
        </w:rPr>
      </w:pPr>
      <w:r w:rsidRPr="007923C2">
        <w:rPr>
          <w:rFonts w:ascii="Arial" w:hAnsi="Arial" w:cs="Arial"/>
          <w:sz w:val="22"/>
          <w:szCs w:val="22"/>
        </w:rPr>
        <w:t xml:space="preserve">Presentar solicitud por escrito en el formato único que al efecto proporcione la Secretaría de Economía. </w:t>
      </w:r>
    </w:p>
    <w:p w14:paraId="217BD7E9" w14:textId="77777777" w:rsidR="00D52CD1" w:rsidRPr="007923C2" w:rsidRDefault="00D52CD1" w:rsidP="00D52CD1">
      <w:pPr>
        <w:widowControl w:val="0"/>
        <w:autoSpaceDE w:val="0"/>
        <w:autoSpaceDN w:val="0"/>
        <w:adjustRightInd w:val="0"/>
        <w:spacing w:after="0" w:line="51" w:lineRule="exact"/>
        <w:jc w:val="both"/>
        <w:rPr>
          <w:rFonts w:ascii="Arial" w:hAnsi="Arial" w:cs="Arial"/>
          <w:sz w:val="22"/>
          <w:szCs w:val="22"/>
        </w:rPr>
      </w:pPr>
    </w:p>
    <w:p w14:paraId="2716C290" w14:textId="77777777" w:rsidR="00D52CD1" w:rsidRPr="007923C2" w:rsidRDefault="00D52CD1" w:rsidP="00D52CD1">
      <w:pPr>
        <w:widowControl w:val="0"/>
        <w:numPr>
          <w:ilvl w:val="0"/>
          <w:numId w:val="183"/>
        </w:numPr>
        <w:tabs>
          <w:tab w:val="clear" w:pos="720"/>
          <w:tab w:val="num" w:pos="600"/>
        </w:tabs>
        <w:overflowPunct w:val="0"/>
        <w:autoSpaceDE w:val="0"/>
        <w:autoSpaceDN w:val="0"/>
        <w:adjustRightInd w:val="0"/>
        <w:spacing w:after="0" w:line="239" w:lineRule="auto"/>
        <w:ind w:left="0" w:firstLine="0"/>
        <w:jc w:val="both"/>
        <w:rPr>
          <w:rFonts w:ascii="Arial" w:hAnsi="Arial" w:cs="Arial"/>
          <w:sz w:val="22"/>
          <w:szCs w:val="22"/>
        </w:rPr>
      </w:pPr>
      <w:r w:rsidRPr="007923C2">
        <w:rPr>
          <w:rFonts w:ascii="Arial" w:hAnsi="Arial" w:cs="Arial"/>
          <w:sz w:val="22"/>
          <w:szCs w:val="22"/>
        </w:rPr>
        <w:t xml:space="preserve">Los titulares de Constancias ALTEX están obligados a presentar, a más tardar el último día hábil del mes de abril de cada año, un reporte de las operaciones de comercio exterior realizadas durante el año calendario anterior. Este reporte debe presentarse conforme al formato establecido por la Secretaría de Economía y acompañarse de la documentación comprobatoria necesaria. </w:t>
      </w:r>
    </w:p>
    <w:tbl>
      <w:tblPr>
        <w:tblW w:w="0" w:type="auto"/>
        <w:tblInd w:w="1580" w:type="dxa"/>
        <w:tblLayout w:type="fixed"/>
        <w:tblCellMar>
          <w:left w:w="0" w:type="dxa"/>
          <w:right w:w="0" w:type="dxa"/>
        </w:tblCellMar>
        <w:tblLook w:val="0000" w:firstRow="0" w:lastRow="0" w:firstColumn="0" w:lastColumn="0" w:noHBand="0" w:noVBand="0"/>
      </w:tblPr>
      <w:tblGrid>
        <w:gridCol w:w="3780"/>
        <w:gridCol w:w="920"/>
      </w:tblGrid>
      <w:tr w:rsidR="00D52CD1" w:rsidRPr="007923C2" w14:paraId="025B8AC2" w14:textId="77777777" w:rsidTr="00351F51">
        <w:trPr>
          <w:trHeight w:val="184"/>
        </w:trPr>
        <w:tc>
          <w:tcPr>
            <w:tcW w:w="3780" w:type="dxa"/>
            <w:tcBorders>
              <w:top w:val="nil"/>
              <w:left w:val="nil"/>
              <w:bottom w:val="nil"/>
              <w:right w:val="nil"/>
            </w:tcBorders>
            <w:vAlign w:val="bottom"/>
          </w:tcPr>
          <w:p w14:paraId="2F32DBA4" w14:textId="77777777" w:rsidR="00D52CD1" w:rsidRPr="007923C2" w:rsidRDefault="00D52CD1" w:rsidP="00351F51">
            <w:pPr>
              <w:widowControl w:val="0"/>
              <w:autoSpaceDE w:val="0"/>
              <w:autoSpaceDN w:val="0"/>
              <w:adjustRightInd w:val="0"/>
              <w:spacing w:after="0" w:line="240" w:lineRule="auto"/>
              <w:jc w:val="both"/>
              <w:rPr>
                <w:rFonts w:ascii="Arial" w:hAnsi="Arial" w:cs="Arial"/>
                <w:sz w:val="22"/>
                <w:szCs w:val="22"/>
              </w:rPr>
            </w:pPr>
            <w:bookmarkStart w:id="36" w:name="page87"/>
            <w:bookmarkEnd w:id="36"/>
          </w:p>
        </w:tc>
        <w:tc>
          <w:tcPr>
            <w:tcW w:w="920" w:type="dxa"/>
            <w:tcBorders>
              <w:top w:val="nil"/>
              <w:left w:val="nil"/>
              <w:bottom w:val="nil"/>
              <w:right w:val="nil"/>
            </w:tcBorders>
            <w:vAlign w:val="bottom"/>
          </w:tcPr>
          <w:p w14:paraId="4D20E770" w14:textId="77777777" w:rsidR="00D52CD1" w:rsidRPr="007923C2" w:rsidRDefault="00D52CD1" w:rsidP="00351F51">
            <w:pPr>
              <w:widowControl w:val="0"/>
              <w:autoSpaceDE w:val="0"/>
              <w:autoSpaceDN w:val="0"/>
              <w:adjustRightInd w:val="0"/>
              <w:spacing w:after="0" w:line="240" w:lineRule="auto"/>
              <w:jc w:val="both"/>
              <w:rPr>
                <w:rFonts w:ascii="Arial" w:hAnsi="Arial" w:cs="Arial"/>
                <w:sz w:val="22"/>
                <w:szCs w:val="22"/>
              </w:rPr>
            </w:pPr>
          </w:p>
        </w:tc>
      </w:tr>
    </w:tbl>
    <w:p w14:paraId="0CE6EA81" w14:textId="77777777" w:rsidR="00D52CD1" w:rsidRPr="007923C2" w:rsidRDefault="00D52CD1" w:rsidP="00D52CD1">
      <w:pPr>
        <w:widowControl w:val="0"/>
        <w:numPr>
          <w:ilvl w:val="0"/>
          <w:numId w:val="184"/>
        </w:numPr>
        <w:tabs>
          <w:tab w:val="clear" w:pos="720"/>
          <w:tab w:val="num" w:pos="660"/>
        </w:tabs>
        <w:overflowPunct w:val="0"/>
        <w:autoSpaceDE w:val="0"/>
        <w:autoSpaceDN w:val="0"/>
        <w:adjustRightInd w:val="0"/>
        <w:spacing w:after="0" w:line="291" w:lineRule="auto"/>
        <w:ind w:left="0" w:right="560" w:firstLine="0"/>
        <w:jc w:val="both"/>
        <w:rPr>
          <w:rFonts w:ascii="Arial" w:hAnsi="Arial" w:cs="Arial"/>
          <w:i/>
          <w:iCs/>
          <w:sz w:val="22"/>
          <w:szCs w:val="22"/>
        </w:rPr>
      </w:pPr>
      <w:r w:rsidRPr="007923C2">
        <w:rPr>
          <w:rFonts w:ascii="Arial" w:hAnsi="Arial" w:cs="Arial"/>
          <w:sz w:val="22"/>
          <w:szCs w:val="22"/>
        </w:rPr>
        <w:t>Decreto que establece la devolución de Impuestos de Importación a los Exportadores (</w:t>
      </w:r>
      <w:r w:rsidRPr="007923C2">
        <w:rPr>
          <w:rFonts w:ascii="Arial" w:hAnsi="Arial" w:cs="Arial"/>
          <w:i/>
          <w:iCs/>
          <w:sz w:val="22"/>
          <w:szCs w:val="22"/>
        </w:rPr>
        <w:t>Draw Back</w:t>
      </w:r>
      <w:r w:rsidRPr="007923C2">
        <w:rPr>
          <w:rFonts w:ascii="Arial" w:hAnsi="Arial" w:cs="Arial"/>
          <w:sz w:val="22"/>
          <w:szCs w:val="22"/>
        </w:rPr>
        <w:t>) (</w:t>
      </w:r>
      <w:r w:rsidRPr="007923C2">
        <w:rPr>
          <w:rFonts w:ascii="Arial" w:hAnsi="Arial" w:cs="Arial"/>
          <w:i/>
          <w:iCs/>
          <w:sz w:val="22"/>
          <w:szCs w:val="22"/>
        </w:rPr>
        <w:t>DOF</w:t>
      </w:r>
      <w:r w:rsidRPr="007923C2">
        <w:rPr>
          <w:rFonts w:ascii="Arial" w:hAnsi="Arial" w:cs="Arial"/>
          <w:sz w:val="22"/>
          <w:szCs w:val="22"/>
        </w:rPr>
        <w:t xml:space="preserve">, 11 de mayo de 1995) </w:t>
      </w:r>
    </w:p>
    <w:p w14:paraId="11BF08EC" w14:textId="77777777" w:rsidR="00D52CD1" w:rsidRPr="007923C2" w:rsidRDefault="00D52CD1" w:rsidP="00D52CD1">
      <w:pPr>
        <w:widowControl w:val="0"/>
        <w:autoSpaceDE w:val="0"/>
        <w:autoSpaceDN w:val="0"/>
        <w:adjustRightInd w:val="0"/>
        <w:spacing w:after="0" w:line="140" w:lineRule="exact"/>
        <w:jc w:val="both"/>
        <w:rPr>
          <w:rFonts w:ascii="Arial" w:hAnsi="Arial" w:cs="Arial"/>
          <w:sz w:val="22"/>
          <w:szCs w:val="22"/>
        </w:rPr>
      </w:pPr>
    </w:p>
    <w:p w14:paraId="68C5F6BA" w14:textId="77777777" w:rsidR="00D52CD1" w:rsidRPr="007923C2" w:rsidRDefault="00D52CD1" w:rsidP="00D52CD1">
      <w:pPr>
        <w:widowControl w:val="0"/>
        <w:overflowPunct w:val="0"/>
        <w:autoSpaceDE w:val="0"/>
        <w:autoSpaceDN w:val="0"/>
        <w:adjustRightInd w:val="0"/>
        <w:spacing w:after="0" w:line="256" w:lineRule="auto"/>
        <w:ind w:right="160"/>
        <w:jc w:val="both"/>
        <w:rPr>
          <w:rFonts w:ascii="Arial" w:hAnsi="Arial" w:cs="Arial"/>
          <w:sz w:val="22"/>
          <w:szCs w:val="22"/>
        </w:rPr>
      </w:pPr>
      <w:r w:rsidRPr="007923C2">
        <w:rPr>
          <w:rFonts w:ascii="Arial" w:hAnsi="Arial" w:cs="Arial"/>
          <w:sz w:val="22"/>
          <w:szCs w:val="22"/>
        </w:rPr>
        <w:t>La Devolución de Impuestos de Importación a los Exportadores (</w:t>
      </w:r>
      <w:r w:rsidRPr="007923C2">
        <w:rPr>
          <w:rFonts w:ascii="Arial" w:hAnsi="Arial" w:cs="Arial"/>
          <w:i/>
          <w:iCs/>
          <w:sz w:val="22"/>
          <w:szCs w:val="22"/>
        </w:rPr>
        <w:t>Draw Back</w:t>
      </w:r>
      <w:r w:rsidRPr="007923C2">
        <w:rPr>
          <w:rFonts w:ascii="Arial" w:hAnsi="Arial" w:cs="Arial"/>
          <w:sz w:val="22"/>
          <w:szCs w:val="22"/>
        </w:rPr>
        <w:t>) es un instrumento de promoción a las exportaciones, mediante el cual se reintegra al exportador el valor de los impuestos causados por la importación de mercancías o insumos incorporados a mercancías de exportación; o de mercancías que se retornen al extranjero en el mismo estado o que hayan sido sometidas a procesos de reparación o alteración.</w:t>
      </w:r>
    </w:p>
    <w:p w14:paraId="0D972696" w14:textId="77777777" w:rsidR="00D52CD1" w:rsidRPr="007923C2" w:rsidRDefault="00D52CD1" w:rsidP="00D52CD1">
      <w:pPr>
        <w:widowControl w:val="0"/>
        <w:overflowPunct w:val="0"/>
        <w:autoSpaceDE w:val="0"/>
        <w:autoSpaceDN w:val="0"/>
        <w:adjustRightInd w:val="0"/>
        <w:spacing w:after="0" w:line="242" w:lineRule="auto"/>
        <w:ind w:right="60"/>
        <w:jc w:val="both"/>
        <w:rPr>
          <w:rFonts w:ascii="Arial" w:hAnsi="Arial" w:cs="Arial"/>
          <w:sz w:val="22"/>
          <w:szCs w:val="22"/>
        </w:rPr>
      </w:pPr>
      <w:r w:rsidRPr="007923C2">
        <w:rPr>
          <w:rFonts w:ascii="Arial" w:hAnsi="Arial" w:cs="Arial"/>
          <w:sz w:val="22"/>
          <w:szCs w:val="22"/>
        </w:rPr>
        <w:t xml:space="preserve">Los beneficiarios de este programa son las personas morales que realicen exportaciones definitivas de mercancías. Mismas que podrán obtener el impuesto general de importación pagado por: </w:t>
      </w:r>
      <w:r w:rsidRPr="007923C2">
        <w:rPr>
          <w:rFonts w:ascii="Arial" w:hAnsi="Arial" w:cs="Arial"/>
          <w:sz w:val="22"/>
          <w:szCs w:val="22"/>
          <w:vertAlign w:val="superscript"/>
        </w:rPr>
        <w:t>355</w:t>
      </w:r>
    </w:p>
    <w:p w14:paraId="7AAFFE96" w14:textId="77777777" w:rsidR="00D52CD1" w:rsidRPr="007923C2" w:rsidRDefault="00D52CD1" w:rsidP="00D52CD1">
      <w:pPr>
        <w:widowControl w:val="0"/>
        <w:autoSpaceDE w:val="0"/>
        <w:autoSpaceDN w:val="0"/>
        <w:adjustRightInd w:val="0"/>
        <w:spacing w:after="0" w:line="67" w:lineRule="exact"/>
        <w:jc w:val="both"/>
        <w:rPr>
          <w:rFonts w:ascii="Arial" w:hAnsi="Arial" w:cs="Arial"/>
          <w:sz w:val="22"/>
          <w:szCs w:val="22"/>
        </w:rPr>
      </w:pPr>
    </w:p>
    <w:p w14:paraId="4CC6C63D" w14:textId="77777777" w:rsidR="00D52CD1" w:rsidRPr="007923C2" w:rsidRDefault="00D52CD1" w:rsidP="00D52CD1">
      <w:pPr>
        <w:widowControl w:val="0"/>
        <w:numPr>
          <w:ilvl w:val="0"/>
          <w:numId w:val="185"/>
        </w:numPr>
        <w:tabs>
          <w:tab w:val="clear" w:pos="720"/>
          <w:tab w:val="num" w:pos="620"/>
        </w:tabs>
        <w:overflowPunct w:val="0"/>
        <w:autoSpaceDE w:val="0"/>
        <w:autoSpaceDN w:val="0"/>
        <w:adjustRightInd w:val="0"/>
        <w:spacing w:after="0" w:line="239" w:lineRule="auto"/>
        <w:ind w:left="0" w:right="100" w:firstLine="0"/>
        <w:jc w:val="both"/>
        <w:rPr>
          <w:rFonts w:ascii="Arial" w:hAnsi="Arial" w:cs="Arial"/>
          <w:sz w:val="22"/>
          <w:szCs w:val="22"/>
        </w:rPr>
      </w:pPr>
      <w:r w:rsidRPr="007923C2">
        <w:rPr>
          <w:rFonts w:ascii="Arial" w:hAnsi="Arial" w:cs="Arial"/>
          <w:sz w:val="22"/>
          <w:szCs w:val="22"/>
        </w:rPr>
        <w:t xml:space="preserve">Insumos originarios de conformidad con el TLCAN, que sean incorporados a bienes exportados a los Estados Unidos de América o a Canadá. </w:t>
      </w:r>
    </w:p>
    <w:p w14:paraId="00AFF4D8"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7950BE69" w14:textId="77777777" w:rsidR="00D52CD1" w:rsidRPr="007923C2" w:rsidRDefault="00D52CD1" w:rsidP="00D52CD1">
      <w:pPr>
        <w:widowControl w:val="0"/>
        <w:numPr>
          <w:ilvl w:val="0"/>
          <w:numId w:val="185"/>
        </w:numPr>
        <w:tabs>
          <w:tab w:val="clear" w:pos="720"/>
          <w:tab w:val="num" w:pos="620"/>
        </w:tabs>
        <w:overflowPunct w:val="0"/>
        <w:autoSpaceDE w:val="0"/>
        <w:autoSpaceDN w:val="0"/>
        <w:adjustRightInd w:val="0"/>
        <w:spacing w:after="0" w:line="237" w:lineRule="auto"/>
        <w:ind w:left="0" w:right="160" w:firstLine="0"/>
        <w:jc w:val="both"/>
        <w:rPr>
          <w:rFonts w:ascii="Arial" w:hAnsi="Arial" w:cs="Arial"/>
          <w:sz w:val="22"/>
          <w:szCs w:val="22"/>
        </w:rPr>
      </w:pPr>
      <w:r w:rsidRPr="007923C2">
        <w:rPr>
          <w:rFonts w:ascii="Arial" w:hAnsi="Arial" w:cs="Arial"/>
          <w:sz w:val="22"/>
          <w:szCs w:val="22"/>
        </w:rPr>
        <w:t xml:space="preserve">Insumos que sean incorporados a bienes exportados a países distintos a los Estados Unidos de América o a Canadá. </w:t>
      </w:r>
    </w:p>
    <w:p w14:paraId="29A5A7FA"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5329DB24" w14:textId="77777777" w:rsidR="00D52CD1" w:rsidRPr="007923C2" w:rsidRDefault="00D52CD1" w:rsidP="00D52CD1">
      <w:pPr>
        <w:widowControl w:val="0"/>
        <w:numPr>
          <w:ilvl w:val="0"/>
          <w:numId w:val="185"/>
        </w:numPr>
        <w:tabs>
          <w:tab w:val="clear" w:pos="720"/>
          <w:tab w:val="num" w:pos="620"/>
        </w:tabs>
        <w:overflowPunct w:val="0"/>
        <w:autoSpaceDE w:val="0"/>
        <w:autoSpaceDN w:val="0"/>
        <w:adjustRightInd w:val="0"/>
        <w:spacing w:after="0" w:line="239" w:lineRule="auto"/>
        <w:ind w:left="0" w:right="60" w:firstLine="0"/>
        <w:jc w:val="both"/>
        <w:rPr>
          <w:rFonts w:ascii="Arial" w:hAnsi="Arial" w:cs="Arial"/>
          <w:sz w:val="22"/>
          <w:szCs w:val="22"/>
        </w:rPr>
      </w:pPr>
      <w:r w:rsidRPr="007923C2">
        <w:rPr>
          <w:rFonts w:ascii="Arial" w:hAnsi="Arial" w:cs="Arial"/>
          <w:sz w:val="22"/>
          <w:szCs w:val="22"/>
        </w:rPr>
        <w:lastRenderedPageBreak/>
        <w:t xml:space="preserve">Mercancías que hayan sido exportadas a los Estados Unidos de América o a Canadá en las mismas condiciones en que se hayan importado. </w:t>
      </w:r>
    </w:p>
    <w:p w14:paraId="07C8CC33"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3D4E6505" w14:textId="77777777" w:rsidR="00D52CD1" w:rsidRPr="007923C2" w:rsidRDefault="00D52CD1" w:rsidP="00D52CD1">
      <w:pPr>
        <w:widowControl w:val="0"/>
        <w:numPr>
          <w:ilvl w:val="0"/>
          <w:numId w:val="185"/>
        </w:numPr>
        <w:tabs>
          <w:tab w:val="clear" w:pos="720"/>
          <w:tab w:val="num" w:pos="620"/>
        </w:tabs>
        <w:overflowPunct w:val="0"/>
        <w:autoSpaceDE w:val="0"/>
        <w:autoSpaceDN w:val="0"/>
        <w:adjustRightInd w:val="0"/>
        <w:spacing w:after="0" w:line="240" w:lineRule="auto"/>
        <w:ind w:left="0" w:right="20" w:firstLine="0"/>
        <w:jc w:val="both"/>
        <w:rPr>
          <w:rFonts w:ascii="Arial" w:hAnsi="Arial" w:cs="Arial"/>
          <w:sz w:val="22"/>
          <w:szCs w:val="22"/>
        </w:rPr>
      </w:pPr>
      <w:r w:rsidRPr="007923C2">
        <w:rPr>
          <w:rFonts w:ascii="Arial" w:hAnsi="Arial" w:cs="Arial"/>
          <w:sz w:val="22"/>
          <w:szCs w:val="22"/>
        </w:rPr>
        <w:t xml:space="preserve">Mercancías procedentes de Estados Unidos de América o de Canadá, que únicamente hayan sido sometidas a procesos de reparación o alteración y sean posteriormente exportadas a alguno de dichos países, en los términos del artículo 307 del TLCAN. </w:t>
      </w:r>
    </w:p>
    <w:p w14:paraId="038635E8" w14:textId="77777777" w:rsidR="00D52CD1" w:rsidRPr="007923C2" w:rsidRDefault="00D52CD1" w:rsidP="00D52CD1">
      <w:pPr>
        <w:widowControl w:val="0"/>
        <w:autoSpaceDE w:val="0"/>
        <w:autoSpaceDN w:val="0"/>
        <w:adjustRightInd w:val="0"/>
        <w:spacing w:after="0" w:line="174" w:lineRule="exact"/>
        <w:jc w:val="both"/>
        <w:rPr>
          <w:rFonts w:ascii="Arial" w:hAnsi="Arial" w:cs="Arial"/>
          <w:sz w:val="22"/>
          <w:szCs w:val="22"/>
        </w:rPr>
      </w:pPr>
    </w:p>
    <w:p w14:paraId="4ECEA487" w14:textId="77777777" w:rsidR="00D52CD1" w:rsidRPr="007923C2" w:rsidRDefault="00D52CD1" w:rsidP="00D52CD1">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Las personas que realicen exportaciones definitivas de bienes los Estados Unidos de América o Canadá, en los que se hayan incorporado insumos no originarios conforme al TLCAN, importados definitivamente, podrán obtener la devolución del impuesto general de importación, por los montos que establece el artículo 3A del Decreto.</w:t>
      </w:r>
    </w:p>
    <w:p w14:paraId="688A9F10" w14:textId="77777777" w:rsidR="00D52CD1" w:rsidRPr="007923C2" w:rsidRDefault="00D52CD1" w:rsidP="00D52CD1">
      <w:pPr>
        <w:widowControl w:val="0"/>
        <w:autoSpaceDE w:val="0"/>
        <w:autoSpaceDN w:val="0"/>
        <w:adjustRightInd w:val="0"/>
        <w:spacing w:after="0" w:line="200" w:lineRule="exact"/>
        <w:jc w:val="both"/>
        <w:rPr>
          <w:rFonts w:ascii="Arial" w:hAnsi="Arial" w:cs="Arial"/>
          <w:sz w:val="22"/>
          <w:szCs w:val="22"/>
        </w:rPr>
      </w:pPr>
    </w:p>
    <w:p w14:paraId="290528B8" w14:textId="77777777"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ab/>
      </w:r>
      <w:r w:rsidRPr="007923C2">
        <w:rPr>
          <w:rFonts w:ascii="Arial" w:hAnsi="Arial" w:cs="Arial"/>
          <w:i/>
          <w:iCs/>
          <w:sz w:val="22"/>
          <w:szCs w:val="22"/>
        </w:rPr>
        <w:t>Beneficios</w:t>
      </w:r>
    </w:p>
    <w:p w14:paraId="45F7D0A4" w14:textId="77777777" w:rsidR="00D52CD1" w:rsidRPr="007923C2" w:rsidRDefault="00D52CD1" w:rsidP="00D52CD1">
      <w:pPr>
        <w:widowControl w:val="0"/>
        <w:autoSpaceDE w:val="0"/>
        <w:autoSpaceDN w:val="0"/>
        <w:adjustRightInd w:val="0"/>
        <w:spacing w:after="0" w:line="137" w:lineRule="exact"/>
        <w:jc w:val="both"/>
        <w:rPr>
          <w:rFonts w:ascii="Arial" w:hAnsi="Arial" w:cs="Arial"/>
          <w:sz w:val="22"/>
          <w:szCs w:val="22"/>
        </w:rPr>
      </w:pPr>
    </w:p>
    <w:p w14:paraId="4F0C0D74" w14:textId="77777777" w:rsidR="00D52CD1" w:rsidRPr="007923C2" w:rsidRDefault="00D52CD1" w:rsidP="00D52CD1">
      <w:pPr>
        <w:widowControl w:val="0"/>
        <w:overflowPunct w:val="0"/>
        <w:autoSpaceDE w:val="0"/>
        <w:autoSpaceDN w:val="0"/>
        <w:adjustRightInd w:val="0"/>
        <w:spacing w:after="0" w:line="260" w:lineRule="auto"/>
        <w:ind w:right="160"/>
        <w:jc w:val="both"/>
        <w:rPr>
          <w:rFonts w:ascii="Arial" w:hAnsi="Arial" w:cs="Arial"/>
          <w:sz w:val="22"/>
          <w:szCs w:val="22"/>
        </w:rPr>
      </w:pPr>
      <w:r w:rsidRPr="007923C2">
        <w:rPr>
          <w:rFonts w:ascii="Arial" w:hAnsi="Arial" w:cs="Arial"/>
          <w:sz w:val="22"/>
          <w:szCs w:val="22"/>
        </w:rPr>
        <w:t>Este programa brinda a sus beneficiarios la posibilidad de recuperar el impuesto general de importación pagado por los bienes que se incorporan  a mercancías de exportación o por las mercancías que se retornan en el mismo estado o que hayan sido sometidas a procesos de reparación o alteración.</w:t>
      </w:r>
    </w:p>
    <w:p w14:paraId="1C6CE7DF"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1908097D" w14:textId="77777777" w:rsidR="00D52CD1" w:rsidRPr="007923C2" w:rsidRDefault="00D52CD1" w:rsidP="00D52CD1">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El monto del impuesto general de exportación que se devolverá al exportador, será el que corresponda en los términos del Decreto, que se determinará considerando el valor de las mercancías o insumos incorporados al producto exportado, determinado en moneda extranjera aplicando el tipo de cambio en los términos del artículo 20 del Código Fiscal de la Federación, vigente en la fecha en que se autorice la devolución.</w:t>
      </w:r>
    </w:p>
    <w:p w14:paraId="6460D215" w14:textId="77777777"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14:paraId="71684904" w14:textId="77777777" w:rsidR="00D52CD1" w:rsidRPr="007923C2" w:rsidRDefault="00D52CD1" w:rsidP="00D52CD1">
      <w:pPr>
        <w:widowControl w:val="0"/>
        <w:overflowPunct w:val="0"/>
        <w:autoSpaceDE w:val="0"/>
        <w:autoSpaceDN w:val="0"/>
        <w:adjustRightInd w:val="0"/>
        <w:spacing w:after="0" w:line="242" w:lineRule="auto"/>
        <w:ind w:right="20"/>
        <w:jc w:val="both"/>
        <w:rPr>
          <w:rFonts w:ascii="Arial" w:hAnsi="Arial" w:cs="Arial"/>
          <w:sz w:val="22"/>
          <w:szCs w:val="22"/>
        </w:rPr>
      </w:pPr>
      <w:r w:rsidRPr="007923C2">
        <w:rPr>
          <w:rFonts w:ascii="Arial" w:hAnsi="Arial" w:cs="Arial"/>
          <w:sz w:val="22"/>
          <w:szCs w:val="22"/>
        </w:rPr>
        <w:t>Para los bienes que incorporen insumos no originarios conforme al TLCAN a que se refiere al artículo 3A del Decreto, el monto del impuesto general de importación que se devolverá al exportador, será el que se determine en los términos de dicho artículo.</w:t>
      </w:r>
    </w:p>
    <w:p w14:paraId="48C6130B" w14:textId="77777777" w:rsidR="00D52CD1" w:rsidRPr="007923C2" w:rsidRDefault="00D52CD1" w:rsidP="00D52CD1">
      <w:pPr>
        <w:widowControl w:val="0"/>
        <w:autoSpaceDE w:val="0"/>
        <w:autoSpaceDN w:val="0"/>
        <w:adjustRightInd w:val="0"/>
        <w:spacing w:after="0" w:line="98" w:lineRule="exact"/>
        <w:jc w:val="both"/>
        <w:rPr>
          <w:rFonts w:ascii="Arial" w:hAnsi="Arial" w:cs="Arial"/>
          <w:sz w:val="22"/>
          <w:szCs w:val="22"/>
        </w:rPr>
      </w:pPr>
    </w:p>
    <w:p w14:paraId="71D558BF" w14:textId="77777777"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ab/>
      </w:r>
      <w:r w:rsidRPr="007923C2">
        <w:rPr>
          <w:rFonts w:ascii="Arial" w:hAnsi="Arial" w:cs="Arial"/>
          <w:i/>
          <w:iCs/>
          <w:sz w:val="22"/>
          <w:szCs w:val="22"/>
        </w:rPr>
        <w:t>Requisitos</w:t>
      </w:r>
    </w:p>
    <w:p w14:paraId="20BA89BB" w14:textId="77777777" w:rsidR="00D52CD1" w:rsidRPr="007923C2" w:rsidRDefault="00D52CD1" w:rsidP="00D52CD1">
      <w:pPr>
        <w:widowControl w:val="0"/>
        <w:autoSpaceDE w:val="0"/>
        <w:autoSpaceDN w:val="0"/>
        <w:adjustRightInd w:val="0"/>
        <w:spacing w:after="0" w:line="134" w:lineRule="exact"/>
        <w:jc w:val="both"/>
        <w:rPr>
          <w:rFonts w:ascii="Arial" w:hAnsi="Arial" w:cs="Arial"/>
          <w:sz w:val="22"/>
          <w:szCs w:val="22"/>
        </w:rPr>
      </w:pPr>
    </w:p>
    <w:p w14:paraId="2F42859B" w14:textId="77777777" w:rsidR="00D52CD1" w:rsidRPr="007923C2" w:rsidRDefault="00D52CD1" w:rsidP="00D52CD1">
      <w:pPr>
        <w:widowControl w:val="0"/>
        <w:numPr>
          <w:ilvl w:val="0"/>
          <w:numId w:val="186"/>
        </w:numPr>
        <w:tabs>
          <w:tab w:val="clear" w:pos="720"/>
          <w:tab w:val="num" w:pos="620"/>
        </w:tabs>
        <w:overflowPunct w:val="0"/>
        <w:autoSpaceDE w:val="0"/>
        <w:autoSpaceDN w:val="0"/>
        <w:adjustRightInd w:val="0"/>
        <w:spacing w:after="0" w:line="239" w:lineRule="auto"/>
        <w:ind w:left="0" w:firstLine="0"/>
        <w:jc w:val="both"/>
        <w:rPr>
          <w:rFonts w:ascii="Arial" w:hAnsi="Arial" w:cs="Arial"/>
          <w:sz w:val="22"/>
          <w:szCs w:val="22"/>
        </w:rPr>
      </w:pPr>
      <w:r w:rsidRPr="007923C2">
        <w:rPr>
          <w:rFonts w:ascii="Arial" w:hAnsi="Arial" w:cs="Arial"/>
          <w:sz w:val="22"/>
          <w:szCs w:val="22"/>
        </w:rPr>
        <w:t xml:space="preserve">Para obtener la devolución los exportadores deberán: </w:t>
      </w:r>
    </w:p>
    <w:p w14:paraId="260C4767" w14:textId="77777777" w:rsidR="00D52CD1" w:rsidRPr="007923C2" w:rsidRDefault="00D52CD1" w:rsidP="00D52CD1">
      <w:pPr>
        <w:widowControl w:val="0"/>
        <w:autoSpaceDE w:val="0"/>
        <w:autoSpaceDN w:val="0"/>
        <w:adjustRightInd w:val="0"/>
        <w:spacing w:after="0" w:line="70" w:lineRule="exact"/>
        <w:jc w:val="both"/>
        <w:rPr>
          <w:rFonts w:ascii="Arial" w:hAnsi="Arial" w:cs="Arial"/>
          <w:sz w:val="22"/>
          <w:szCs w:val="22"/>
        </w:rPr>
      </w:pPr>
    </w:p>
    <w:p w14:paraId="401C07D2" w14:textId="77777777" w:rsidR="00D52CD1" w:rsidRPr="007923C2" w:rsidRDefault="00D52CD1" w:rsidP="00D52CD1">
      <w:pPr>
        <w:widowControl w:val="0"/>
        <w:numPr>
          <w:ilvl w:val="1"/>
          <w:numId w:val="186"/>
        </w:numPr>
        <w:tabs>
          <w:tab w:val="clear" w:pos="1440"/>
          <w:tab w:val="num" w:pos="900"/>
        </w:tabs>
        <w:overflowPunct w:val="0"/>
        <w:autoSpaceDE w:val="0"/>
        <w:autoSpaceDN w:val="0"/>
        <w:adjustRightInd w:val="0"/>
        <w:spacing w:after="0" w:line="230" w:lineRule="auto"/>
        <w:ind w:left="0" w:right="160" w:firstLine="0"/>
        <w:jc w:val="both"/>
        <w:rPr>
          <w:rFonts w:ascii="Arial" w:hAnsi="Arial" w:cs="Arial"/>
          <w:sz w:val="22"/>
          <w:szCs w:val="22"/>
        </w:rPr>
      </w:pPr>
      <w:r w:rsidRPr="007923C2">
        <w:rPr>
          <w:rFonts w:ascii="Arial" w:hAnsi="Arial" w:cs="Arial"/>
          <w:sz w:val="22"/>
          <w:szCs w:val="22"/>
        </w:rPr>
        <w:t xml:space="preserve">Presentar la solicitud en los formatos correspondientes, ante la Secretaría de Economía; </w:t>
      </w:r>
    </w:p>
    <w:p w14:paraId="0E64CF1F" w14:textId="77777777" w:rsidR="00D52CD1" w:rsidRPr="007923C2" w:rsidRDefault="00D52CD1" w:rsidP="00D52CD1">
      <w:pPr>
        <w:widowControl w:val="0"/>
        <w:autoSpaceDE w:val="0"/>
        <w:autoSpaceDN w:val="0"/>
        <w:adjustRightInd w:val="0"/>
        <w:spacing w:after="0" w:line="184" w:lineRule="exact"/>
        <w:jc w:val="both"/>
        <w:rPr>
          <w:rFonts w:ascii="Arial" w:hAnsi="Arial" w:cs="Arial"/>
          <w:sz w:val="22"/>
          <w:szCs w:val="22"/>
        </w:rPr>
      </w:pPr>
    </w:p>
    <w:p w14:paraId="4C6A84D8" w14:textId="77777777" w:rsidR="00D52CD1" w:rsidRPr="007923C2" w:rsidRDefault="00D52CD1" w:rsidP="00D52CD1">
      <w:pPr>
        <w:widowControl w:val="0"/>
        <w:numPr>
          <w:ilvl w:val="0"/>
          <w:numId w:val="186"/>
        </w:numPr>
        <w:tabs>
          <w:tab w:val="clear" w:pos="720"/>
          <w:tab w:val="num" w:pos="580"/>
        </w:tabs>
        <w:overflowPunct w:val="0"/>
        <w:autoSpaceDE w:val="0"/>
        <w:autoSpaceDN w:val="0"/>
        <w:adjustRightInd w:val="0"/>
        <w:spacing w:after="0" w:line="239" w:lineRule="auto"/>
        <w:ind w:left="0" w:firstLine="0"/>
        <w:jc w:val="both"/>
        <w:rPr>
          <w:rFonts w:ascii="Arial" w:hAnsi="Arial" w:cs="Arial"/>
          <w:sz w:val="22"/>
          <w:szCs w:val="22"/>
        </w:rPr>
      </w:pPr>
      <w:r w:rsidRPr="007923C2">
        <w:rPr>
          <w:rFonts w:ascii="Arial" w:hAnsi="Arial" w:cs="Arial"/>
          <w:sz w:val="22"/>
          <w:szCs w:val="22"/>
        </w:rPr>
        <w:t xml:space="preserve">Anexar a la solicitud: </w:t>
      </w:r>
    </w:p>
    <w:p w14:paraId="2D772F3B" w14:textId="77777777" w:rsidR="00D52CD1" w:rsidRPr="007923C2" w:rsidRDefault="00D52CD1" w:rsidP="00D52CD1">
      <w:pPr>
        <w:widowControl w:val="0"/>
        <w:autoSpaceDE w:val="0"/>
        <w:autoSpaceDN w:val="0"/>
        <w:adjustRightInd w:val="0"/>
        <w:spacing w:after="0" w:line="133" w:lineRule="exact"/>
        <w:jc w:val="both"/>
        <w:rPr>
          <w:rFonts w:ascii="Arial" w:hAnsi="Arial" w:cs="Arial"/>
          <w:sz w:val="22"/>
          <w:szCs w:val="22"/>
        </w:rPr>
      </w:pPr>
    </w:p>
    <w:p w14:paraId="505BBF54" w14:textId="77777777" w:rsidR="00D52CD1" w:rsidRPr="007923C2" w:rsidRDefault="00D52CD1" w:rsidP="00D52CD1">
      <w:pPr>
        <w:widowControl w:val="0"/>
        <w:numPr>
          <w:ilvl w:val="1"/>
          <w:numId w:val="186"/>
        </w:numPr>
        <w:tabs>
          <w:tab w:val="clear" w:pos="1440"/>
          <w:tab w:val="num" w:pos="900"/>
        </w:tabs>
        <w:overflowPunct w:val="0"/>
        <w:autoSpaceDE w:val="0"/>
        <w:autoSpaceDN w:val="0"/>
        <w:adjustRightInd w:val="0"/>
        <w:spacing w:after="0" w:line="236" w:lineRule="auto"/>
        <w:ind w:left="0" w:right="60" w:firstLine="0"/>
        <w:jc w:val="both"/>
        <w:rPr>
          <w:rFonts w:ascii="Arial" w:hAnsi="Arial" w:cs="Arial"/>
          <w:sz w:val="22"/>
          <w:szCs w:val="22"/>
        </w:rPr>
      </w:pPr>
      <w:r w:rsidRPr="007923C2">
        <w:rPr>
          <w:rFonts w:ascii="Arial" w:hAnsi="Arial" w:cs="Arial"/>
          <w:sz w:val="22"/>
          <w:szCs w:val="22"/>
        </w:rPr>
        <w:t xml:space="preserve">Pedimento que ampare la exportación definitiva de los insumos o mercancías, que cumpla con los requisitos establecidos por la Secretaria de Hacienda y Crédito Público mediante reglas de carácter general. </w:t>
      </w:r>
    </w:p>
    <w:p w14:paraId="6AC7CBA2" w14:textId="77777777"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14:paraId="0DDC090E" w14:textId="77777777" w:rsidR="00D52CD1" w:rsidRPr="007923C2" w:rsidRDefault="00D52CD1" w:rsidP="00D52CD1">
      <w:pPr>
        <w:widowControl w:val="0"/>
        <w:numPr>
          <w:ilvl w:val="1"/>
          <w:numId w:val="186"/>
        </w:numPr>
        <w:tabs>
          <w:tab w:val="clear" w:pos="1440"/>
          <w:tab w:val="num" w:pos="900"/>
        </w:tabs>
        <w:overflowPunct w:val="0"/>
        <w:autoSpaceDE w:val="0"/>
        <w:autoSpaceDN w:val="0"/>
        <w:adjustRightInd w:val="0"/>
        <w:spacing w:after="0" w:line="234" w:lineRule="auto"/>
        <w:ind w:left="0" w:right="160" w:firstLine="0"/>
        <w:jc w:val="both"/>
        <w:rPr>
          <w:rFonts w:ascii="Arial" w:hAnsi="Arial" w:cs="Arial"/>
          <w:sz w:val="22"/>
          <w:szCs w:val="22"/>
        </w:rPr>
      </w:pPr>
      <w:r w:rsidRPr="007923C2">
        <w:rPr>
          <w:rFonts w:ascii="Arial" w:hAnsi="Arial" w:cs="Arial"/>
          <w:sz w:val="22"/>
          <w:szCs w:val="22"/>
        </w:rPr>
        <w:t xml:space="preserve">Pedimento que ampare la exportación de las mercancías que cumpla con los requisitos establecidos por la Secretaria de Hacienda y Crédito Público mediante reglas de carácter general. </w:t>
      </w:r>
    </w:p>
    <w:p w14:paraId="4D5413A9"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2D830F5D" w14:textId="77777777" w:rsidR="00D52CD1" w:rsidRPr="007923C2" w:rsidRDefault="00D52CD1" w:rsidP="00D52CD1">
      <w:pPr>
        <w:widowControl w:val="0"/>
        <w:numPr>
          <w:ilvl w:val="1"/>
          <w:numId w:val="186"/>
        </w:numPr>
        <w:tabs>
          <w:tab w:val="clear" w:pos="1440"/>
          <w:tab w:val="num" w:pos="900"/>
        </w:tabs>
        <w:overflowPunct w:val="0"/>
        <w:autoSpaceDE w:val="0"/>
        <w:autoSpaceDN w:val="0"/>
        <w:adjustRightInd w:val="0"/>
        <w:spacing w:after="0" w:line="234" w:lineRule="auto"/>
        <w:ind w:left="0" w:right="180" w:firstLine="0"/>
        <w:jc w:val="both"/>
        <w:rPr>
          <w:rFonts w:ascii="Arial" w:hAnsi="Arial" w:cs="Arial"/>
          <w:sz w:val="22"/>
          <w:szCs w:val="22"/>
        </w:rPr>
      </w:pPr>
      <w:r w:rsidRPr="007923C2">
        <w:rPr>
          <w:rFonts w:ascii="Arial" w:hAnsi="Arial" w:cs="Arial"/>
          <w:sz w:val="22"/>
          <w:szCs w:val="22"/>
        </w:rPr>
        <w:t xml:space="preserve">Para los insumos o mercancías a que se refiere el artículo 3 fracción I del Decreto, certificado de origen del TLCAN que ampare dichos insumos o mercancías; </w:t>
      </w:r>
    </w:p>
    <w:p w14:paraId="17F13BE1"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1C92D918" w14:textId="77777777" w:rsidR="00D52CD1" w:rsidRPr="007923C2" w:rsidRDefault="00D52CD1" w:rsidP="00D52CD1">
      <w:pPr>
        <w:widowControl w:val="0"/>
        <w:numPr>
          <w:ilvl w:val="1"/>
          <w:numId w:val="186"/>
        </w:numPr>
        <w:tabs>
          <w:tab w:val="clear" w:pos="1440"/>
          <w:tab w:val="num" w:pos="900"/>
        </w:tabs>
        <w:overflowPunct w:val="0"/>
        <w:autoSpaceDE w:val="0"/>
        <w:autoSpaceDN w:val="0"/>
        <w:adjustRightInd w:val="0"/>
        <w:spacing w:after="0" w:line="238" w:lineRule="auto"/>
        <w:ind w:left="0" w:firstLine="0"/>
        <w:jc w:val="both"/>
        <w:rPr>
          <w:rFonts w:ascii="Arial" w:hAnsi="Arial" w:cs="Arial"/>
          <w:sz w:val="22"/>
          <w:szCs w:val="22"/>
        </w:rPr>
      </w:pPr>
      <w:r w:rsidRPr="007923C2">
        <w:rPr>
          <w:rFonts w:ascii="Arial" w:hAnsi="Arial" w:cs="Arial"/>
          <w:sz w:val="22"/>
          <w:szCs w:val="22"/>
        </w:rPr>
        <w:t xml:space="preserve">Para los insumos o mercancías a que se refiere el artículo 3A del Decreto, la documentación que compruebe el monto del impuesto pagado por la importación definitiva en los Estados Unidos de América o de Canadá, de los bines exportados, en los términos que establezca la SHCP mediante reglas generales. </w:t>
      </w:r>
    </w:p>
    <w:p w14:paraId="489F2398" w14:textId="77777777" w:rsidR="00D52CD1" w:rsidRPr="007923C2" w:rsidRDefault="00D52CD1" w:rsidP="00D52CD1">
      <w:pPr>
        <w:widowControl w:val="0"/>
        <w:autoSpaceDE w:val="0"/>
        <w:autoSpaceDN w:val="0"/>
        <w:adjustRightInd w:val="0"/>
        <w:spacing w:after="0" w:line="1" w:lineRule="exact"/>
        <w:jc w:val="both"/>
        <w:rPr>
          <w:rFonts w:ascii="Arial" w:hAnsi="Arial" w:cs="Arial"/>
          <w:sz w:val="22"/>
          <w:szCs w:val="22"/>
        </w:rPr>
      </w:pPr>
    </w:p>
    <w:p w14:paraId="1C2548B3" w14:textId="77777777" w:rsidR="00D52CD1" w:rsidRPr="007923C2" w:rsidRDefault="00D52CD1" w:rsidP="00D52CD1">
      <w:pPr>
        <w:widowControl w:val="0"/>
        <w:overflowPunct w:val="0"/>
        <w:autoSpaceDE w:val="0"/>
        <w:autoSpaceDN w:val="0"/>
        <w:adjustRightInd w:val="0"/>
        <w:spacing w:after="0" w:line="236" w:lineRule="auto"/>
        <w:ind w:right="100"/>
        <w:jc w:val="both"/>
        <w:rPr>
          <w:rFonts w:ascii="Arial" w:hAnsi="Arial" w:cs="Arial"/>
          <w:sz w:val="22"/>
          <w:szCs w:val="22"/>
        </w:rPr>
      </w:pPr>
      <w:r w:rsidRPr="007923C2">
        <w:rPr>
          <w:rFonts w:ascii="Arial" w:hAnsi="Arial" w:cs="Arial"/>
          <w:sz w:val="22"/>
          <w:szCs w:val="22"/>
        </w:rPr>
        <w:t>La Secretaria de Economía, dictaminará la solicitud en un plazo de diez días hábiles, a partir de su recepción. Cuando proceda la devolución del impuesto, se remitirá la resolución a la SHCP, para que ésta ponga a disposición del contribuyente el importe de la devolución. Cuando no proceda, la Secretaria comunicará al interesado en un plazo de diez días hábiles a partir de la recepción de la solicitud, una resolución fundada y motivada.</w:t>
      </w:r>
    </w:p>
    <w:p w14:paraId="5D62C3A2" w14:textId="77777777" w:rsidR="00D52CD1" w:rsidRPr="007923C2" w:rsidRDefault="00D52CD1" w:rsidP="00D52CD1">
      <w:pPr>
        <w:widowControl w:val="0"/>
        <w:autoSpaceDE w:val="0"/>
        <w:autoSpaceDN w:val="0"/>
        <w:adjustRightInd w:val="0"/>
        <w:spacing w:after="0" w:line="253" w:lineRule="exact"/>
        <w:jc w:val="both"/>
        <w:rPr>
          <w:rFonts w:ascii="Arial" w:hAnsi="Arial" w:cs="Arial"/>
          <w:sz w:val="22"/>
          <w:szCs w:val="22"/>
        </w:rPr>
      </w:pPr>
    </w:p>
    <w:p w14:paraId="30F7F811" w14:textId="77777777" w:rsidR="00D52CD1" w:rsidRPr="007923C2" w:rsidRDefault="00D52CD1" w:rsidP="00D52CD1">
      <w:pPr>
        <w:widowControl w:val="0"/>
        <w:numPr>
          <w:ilvl w:val="0"/>
          <w:numId w:val="187"/>
        </w:numPr>
        <w:tabs>
          <w:tab w:val="clear" w:pos="720"/>
          <w:tab w:val="num" w:pos="660"/>
        </w:tabs>
        <w:overflowPunct w:val="0"/>
        <w:autoSpaceDE w:val="0"/>
        <w:autoSpaceDN w:val="0"/>
        <w:adjustRightInd w:val="0"/>
        <w:spacing w:after="0" w:line="237" w:lineRule="auto"/>
        <w:ind w:left="0" w:right="720" w:firstLine="0"/>
        <w:jc w:val="both"/>
        <w:rPr>
          <w:rFonts w:ascii="Arial" w:hAnsi="Arial" w:cs="Arial"/>
          <w:i/>
          <w:iCs/>
          <w:sz w:val="22"/>
          <w:szCs w:val="22"/>
        </w:rPr>
      </w:pPr>
      <w:r w:rsidRPr="007923C2">
        <w:rPr>
          <w:rFonts w:ascii="Arial" w:hAnsi="Arial" w:cs="Arial"/>
          <w:sz w:val="22"/>
          <w:szCs w:val="22"/>
        </w:rPr>
        <w:t>Decreto para el fomento de Ferias Mexicanas de Exportación (FEMEX) (</w:t>
      </w:r>
      <w:r w:rsidRPr="007923C2">
        <w:rPr>
          <w:rFonts w:ascii="Arial" w:hAnsi="Arial" w:cs="Arial"/>
          <w:i/>
          <w:iCs/>
          <w:sz w:val="22"/>
          <w:szCs w:val="22"/>
        </w:rPr>
        <w:t>DOF,</w:t>
      </w:r>
      <w:r w:rsidRPr="007923C2">
        <w:rPr>
          <w:rFonts w:ascii="Arial" w:hAnsi="Arial" w:cs="Arial"/>
          <w:sz w:val="22"/>
          <w:szCs w:val="22"/>
        </w:rPr>
        <w:t xml:space="preserve"> 11 de abril de 1997) </w:t>
      </w:r>
    </w:p>
    <w:p w14:paraId="33F47254" w14:textId="77777777" w:rsidR="00D52CD1" w:rsidRPr="007923C2" w:rsidRDefault="00D52CD1" w:rsidP="00D52CD1">
      <w:pPr>
        <w:widowControl w:val="0"/>
        <w:autoSpaceDE w:val="0"/>
        <w:autoSpaceDN w:val="0"/>
        <w:adjustRightInd w:val="0"/>
        <w:spacing w:after="0" w:line="134" w:lineRule="exact"/>
        <w:jc w:val="both"/>
        <w:rPr>
          <w:rFonts w:ascii="Arial" w:hAnsi="Arial" w:cs="Arial"/>
          <w:sz w:val="22"/>
          <w:szCs w:val="22"/>
        </w:rPr>
      </w:pPr>
    </w:p>
    <w:p w14:paraId="43D2C54D" w14:textId="77777777" w:rsidR="00D52CD1" w:rsidRPr="007923C2" w:rsidRDefault="00D52CD1" w:rsidP="00D52CD1">
      <w:pPr>
        <w:widowControl w:val="0"/>
        <w:overflowPunct w:val="0"/>
        <w:autoSpaceDE w:val="0"/>
        <w:autoSpaceDN w:val="0"/>
        <w:adjustRightInd w:val="0"/>
        <w:spacing w:after="0" w:line="243" w:lineRule="auto"/>
        <w:ind w:right="100"/>
        <w:jc w:val="both"/>
        <w:rPr>
          <w:rFonts w:ascii="Arial" w:hAnsi="Arial" w:cs="Arial"/>
          <w:sz w:val="22"/>
          <w:szCs w:val="22"/>
        </w:rPr>
      </w:pPr>
      <w:r w:rsidRPr="007923C2">
        <w:rPr>
          <w:rFonts w:ascii="Arial" w:hAnsi="Arial" w:cs="Arial"/>
          <w:sz w:val="22"/>
          <w:szCs w:val="22"/>
        </w:rPr>
        <w:lastRenderedPageBreak/>
        <w:t xml:space="preserve">Este Decreto tiene como antecedente el Decreto para el Fomento de Exposiciones y Ferias para la promoción de Exportaciones (publicado en el </w:t>
      </w:r>
      <w:r w:rsidRPr="007923C2">
        <w:rPr>
          <w:rFonts w:ascii="Arial" w:hAnsi="Arial" w:cs="Arial"/>
          <w:i/>
          <w:iCs/>
          <w:sz w:val="22"/>
          <w:szCs w:val="22"/>
        </w:rPr>
        <w:t>DOF</w:t>
      </w:r>
      <w:r w:rsidRPr="007923C2">
        <w:rPr>
          <w:rFonts w:ascii="Arial" w:hAnsi="Arial" w:cs="Arial"/>
          <w:sz w:val="22"/>
          <w:szCs w:val="22"/>
        </w:rPr>
        <w:t xml:space="preserve"> del 18 de junio de 1991). El objetivo de este decreto es el fomento de la realización de ferias en el país que promuevan las exportaciones de mercancías mexicanas a los mercados internacionales y conformar una planta industrial competitiva a nivel internacional. Entendiendo por feria un acto de realización periódica en el que diversos expositores exhiben u ofrecen uno o más productos o servicios con la finalidad de fomentar sus relaciones comerciales internacionales y atraer a posibles compradores del exterior.</w:t>
      </w:r>
    </w:p>
    <w:p w14:paraId="07E7EB13" w14:textId="77777777" w:rsidR="00D52CD1" w:rsidRPr="007923C2" w:rsidRDefault="00D52CD1" w:rsidP="00D52CD1">
      <w:pPr>
        <w:widowControl w:val="0"/>
        <w:autoSpaceDE w:val="0"/>
        <w:autoSpaceDN w:val="0"/>
        <w:adjustRightInd w:val="0"/>
        <w:spacing w:after="0" w:line="183" w:lineRule="exact"/>
        <w:jc w:val="both"/>
        <w:rPr>
          <w:rFonts w:ascii="Arial" w:hAnsi="Arial" w:cs="Arial"/>
          <w:sz w:val="22"/>
          <w:szCs w:val="22"/>
        </w:rPr>
      </w:pPr>
    </w:p>
    <w:p w14:paraId="6731F20B" w14:textId="77777777"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ab/>
      </w:r>
      <w:r w:rsidRPr="007923C2">
        <w:rPr>
          <w:rFonts w:ascii="Arial" w:hAnsi="Arial" w:cs="Arial"/>
          <w:i/>
          <w:iCs/>
          <w:sz w:val="22"/>
          <w:szCs w:val="22"/>
        </w:rPr>
        <w:t>Beneficios</w:t>
      </w:r>
    </w:p>
    <w:p w14:paraId="021F8E67" w14:textId="77777777" w:rsidR="00D52CD1" w:rsidRPr="007923C2" w:rsidRDefault="00D52CD1" w:rsidP="00D52CD1">
      <w:pPr>
        <w:widowControl w:val="0"/>
        <w:autoSpaceDE w:val="0"/>
        <w:autoSpaceDN w:val="0"/>
        <w:adjustRightInd w:val="0"/>
        <w:spacing w:after="0" w:line="178" w:lineRule="exact"/>
        <w:jc w:val="both"/>
        <w:rPr>
          <w:rFonts w:ascii="Arial" w:hAnsi="Arial" w:cs="Arial"/>
          <w:sz w:val="22"/>
          <w:szCs w:val="22"/>
        </w:rPr>
      </w:pPr>
    </w:p>
    <w:p w14:paraId="0FA6C94E" w14:textId="77777777" w:rsidR="00D52CD1" w:rsidRPr="007923C2" w:rsidRDefault="00D52CD1" w:rsidP="00D52CD1">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 xml:space="preserve">La Secretaría de Hacienda y Crédito Público tomará las medidas necesarias para que BANCOMEXT otorgue apoyos financieros a los organizadores de ferias que hayan obtenido el Certificado de Ferias Mexicanas de Exportación, bajo un programa que contemple lo siguiente: </w:t>
      </w:r>
    </w:p>
    <w:p w14:paraId="0C857E8C" w14:textId="77777777" w:rsidR="00D52CD1" w:rsidRPr="007923C2" w:rsidRDefault="00D52CD1" w:rsidP="00D52CD1">
      <w:pPr>
        <w:widowControl w:val="0"/>
        <w:autoSpaceDE w:val="0"/>
        <w:autoSpaceDN w:val="0"/>
        <w:adjustRightInd w:val="0"/>
        <w:spacing w:after="0" w:line="200" w:lineRule="exact"/>
        <w:jc w:val="both"/>
        <w:rPr>
          <w:rFonts w:ascii="Arial" w:hAnsi="Arial" w:cs="Arial"/>
          <w:sz w:val="22"/>
          <w:szCs w:val="22"/>
        </w:rPr>
      </w:pPr>
    </w:p>
    <w:p w14:paraId="785476BB" w14:textId="77777777" w:rsidR="00D52CD1" w:rsidRPr="007923C2" w:rsidRDefault="00D52CD1" w:rsidP="00D52CD1">
      <w:pPr>
        <w:widowControl w:val="0"/>
        <w:autoSpaceDE w:val="0"/>
        <w:autoSpaceDN w:val="0"/>
        <w:adjustRightInd w:val="0"/>
        <w:spacing w:after="0" w:line="217" w:lineRule="exact"/>
        <w:jc w:val="both"/>
        <w:rPr>
          <w:rFonts w:ascii="Arial" w:hAnsi="Arial" w:cs="Arial"/>
          <w:sz w:val="22"/>
          <w:szCs w:val="22"/>
        </w:rPr>
      </w:pPr>
    </w:p>
    <w:p w14:paraId="5B5BD4C6" w14:textId="77777777" w:rsidR="00D52CD1" w:rsidRPr="007923C2" w:rsidRDefault="00D52CD1" w:rsidP="00D52CD1">
      <w:pPr>
        <w:widowControl w:val="0"/>
        <w:numPr>
          <w:ilvl w:val="1"/>
          <w:numId w:val="188"/>
        </w:numPr>
        <w:tabs>
          <w:tab w:val="clear" w:pos="1440"/>
          <w:tab w:val="num" w:pos="622"/>
        </w:tabs>
        <w:overflowPunct w:val="0"/>
        <w:autoSpaceDE w:val="0"/>
        <w:autoSpaceDN w:val="0"/>
        <w:adjustRightInd w:val="0"/>
        <w:spacing w:after="0" w:line="240" w:lineRule="auto"/>
        <w:ind w:left="0" w:firstLine="0"/>
        <w:jc w:val="both"/>
        <w:rPr>
          <w:rFonts w:ascii="Arial" w:hAnsi="Arial" w:cs="Arial"/>
          <w:sz w:val="22"/>
          <w:szCs w:val="22"/>
        </w:rPr>
      </w:pPr>
      <w:bookmarkStart w:id="37" w:name="page93"/>
      <w:bookmarkEnd w:id="37"/>
      <w:r w:rsidRPr="007923C2">
        <w:rPr>
          <w:rFonts w:ascii="Arial" w:hAnsi="Arial" w:cs="Arial"/>
          <w:sz w:val="22"/>
          <w:szCs w:val="22"/>
        </w:rPr>
        <w:t xml:space="preserve">Prestarles el servicio de banca de primer piso; </w:t>
      </w:r>
    </w:p>
    <w:p w14:paraId="6CFE9F0C" w14:textId="77777777"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14:paraId="7F287782" w14:textId="77777777" w:rsidR="00D52CD1" w:rsidRPr="007923C2" w:rsidRDefault="00D52CD1" w:rsidP="00D52CD1">
      <w:pPr>
        <w:widowControl w:val="0"/>
        <w:numPr>
          <w:ilvl w:val="0"/>
          <w:numId w:val="189"/>
        </w:numPr>
        <w:tabs>
          <w:tab w:val="clear" w:pos="720"/>
          <w:tab w:val="num" w:pos="617"/>
        </w:tabs>
        <w:overflowPunct w:val="0"/>
        <w:autoSpaceDE w:val="0"/>
        <w:autoSpaceDN w:val="0"/>
        <w:adjustRightInd w:val="0"/>
        <w:spacing w:after="0" w:line="237" w:lineRule="auto"/>
        <w:ind w:left="0" w:right="140" w:firstLine="0"/>
        <w:jc w:val="both"/>
        <w:rPr>
          <w:rFonts w:ascii="Arial" w:hAnsi="Arial" w:cs="Arial"/>
          <w:sz w:val="22"/>
          <w:szCs w:val="22"/>
        </w:rPr>
      </w:pPr>
      <w:r w:rsidRPr="007923C2">
        <w:rPr>
          <w:rFonts w:ascii="Arial" w:hAnsi="Arial" w:cs="Arial"/>
          <w:sz w:val="22"/>
          <w:szCs w:val="22"/>
        </w:rPr>
        <w:t xml:space="preserve">Otorgarles créditos conforme a los productos financieros vigentes; III. Promover sus eventos a nivel internacional, y </w:t>
      </w:r>
    </w:p>
    <w:p w14:paraId="4E7DA2A6"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44D58DDA" w14:textId="77777777" w:rsidR="00D52CD1" w:rsidRPr="007923C2" w:rsidRDefault="00D52CD1" w:rsidP="00D52CD1">
      <w:pPr>
        <w:widowControl w:val="0"/>
        <w:overflowPunct w:val="0"/>
        <w:autoSpaceDE w:val="0"/>
        <w:autoSpaceDN w:val="0"/>
        <w:adjustRightInd w:val="0"/>
        <w:spacing w:after="0" w:line="237" w:lineRule="auto"/>
        <w:ind w:right="220"/>
        <w:jc w:val="both"/>
        <w:rPr>
          <w:rFonts w:ascii="Arial" w:hAnsi="Arial" w:cs="Arial"/>
          <w:sz w:val="22"/>
          <w:szCs w:val="22"/>
        </w:rPr>
      </w:pPr>
      <w:r w:rsidRPr="007923C2">
        <w:rPr>
          <w:rFonts w:ascii="Arial" w:hAnsi="Arial" w:cs="Arial"/>
          <w:sz w:val="22"/>
          <w:szCs w:val="22"/>
        </w:rPr>
        <w:t>IV. Apoyar la participación de compradores profesionales de otros países, en las ferias que se organicen.</w:t>
      </w:r>
    </w:p>
    <w:p w14:paraId="4FAFABFA" w14:textId="77777777" w:rsidR="00D52CD1" w:rsidRPr="007923C2" w:rsidRDefault="00D52CD1" w:rsidP="00D52CD1">
      <w:pPr>
        <w:widowControl w:val="0"/>
        <w:autoSpaceDE w:val="0"/>
        <w:autoSpaceDN w:val="0"/>
        <w:adjustRightInd w:val="0"/>
        <w:spacing w:after="0" w:line="122" w:lineRule="exact"/>
        <w:jc w:val="both"/>
        <w:rPr>
          <w:rFonts w:ascii="Arial" w:hAnsi="Arial" w:cs="Arial"/>
          <w:sz w:val="22"/>
          <w:szCs w:val="22"/>
        </w:rPr>
      </w:pPr>
    </w:p>
    <w:p w14:paraId="2165701C" w14:textId="77777777" w:rsidR="00D52CD1" w:rsidRPr="007923C2" w:rsidRDefault="00D52CD1" w:rsidP="00D52CD1">
      <w:pPr>
        <w:widowControl w:val="0"/>
        <w:tabs>
          <w:tab w:val="left" w:pos="681"/>
        </w:tabs>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ab/>
      </w:r>
      <w:r w:rsidRPr="007923C2">
        <w:rPr>
          <w:rFonts w:ascii="Arial" w:hAnsi="Arial" w:cs="Arial"/>
          <w:i/>
          <w:iCs/>
          <w:sz w:val="22"/>
          <w:szCs w:val="22"/>
        </w:rPr>
        <w:t>Requisitos</w:t>
      </w:r>
    </w:p>
    <w:p w14:paraId="4B8AB74A" w14:textId="77777777" w:rsidR="00D52CD1" w:rsidRPr="007923C2" w:rsidRDefault="00D52CD1" w:rsidP="00D52CD1">
      <w:pPr>
        <w:widowControl w:val="0"/>
        <w:autoSpaceDE w:val="0"/>
        <w:autoSpaceDN w:val="0"/>
        <w:adjustRightInd w:val="0"/>
        <w:spacing w:after="0" w:line="136" w:lineRule="exact"/>
        <w:jc w:val="both"/>
        <w:rPr>
          <w:rFonts w:ascii="Arial" w:hAnsi="Arial" w:cs="Arial"/>
          <w:sz w:val="22"/>
          <w:szCs w:val="22"/>
        </w:rPr>
      </w:pPr>
    </w:p>
    <w:p w14:paraId="23A678E9" w14:textId="77777777" w:rsidR="00D52CD1" w:rsidRPr="007923C2" w:rsidRDefault="00D52CD1" w:rsidP="00D52CD1">
      <w:pPr>
        <w:widowControl w:val="0"/>
        <w:overflowPunct w:val="0"/>
        <w:autoSpaceDE w:val="0"/>
        <w:autoSpaceDN w:val="0"/>
        <w:adjustRightInd w:val="0"/>
        <w:spacing w:after="0" w:line="241" w:lineRule="auto"/>
        <w:ind w:right="60"/>
        <w:jc w:val="both"/>
        <w:rPr>
          <w:rFonts w:ascii="Arial" w:hAnsi="Arial" w:cs="Arial"/>
          <w:sz w:val="22"/>
          <w:szCs w:val="22"/>
        </w:rPr>
      </w:pPr>
      <w:r w:rsidRPr="007923C2">
        <w:rPr>
          <w:rFonts w:ascii="Arial" w:hAnsi="Arial" w:cs="Arial"/>
          <w:sz w:val="22"/>
          <w:szCs w:val="22"/>
        </w:rPr>
        <w:t xml:space="preserve">La Secretaría de Economía emitirá un certificado de Ferias Mexicanas de Exportación a: </w:t>
      </w:r>
    </w:p>
    <w:p w14:paraId="4479531E" w14:textId="77777777" w:rsidR="00D52CD1" w:rsidRPr="007923C2" w:rsidRDefault="00D52CD1" w:rsidP="00D52CD1">
      <w:pPr>
        <w:widowControl w:val="0"/>
        <w:autoSpaceDE w:val="0"/>
        <w:autoSpaceDN w:val="0"/>
        <w:adjustRightInd w:val="0"/>
        <w:spacing w:after="0" w:line="1" w:lineRule="exact"/>
        <w:jc w:val="both"/>
        <w:rPr>
          <w:rFonts w:ascii="Arial" w:hAnsi="Arial" w:cs="Arial"/>
          <w:sz w:val="22"/>
          <w:szCs w:val="22"/>
        </w:rPr>
      </w:pPr>
    </w:p>
    <w:p w14:paraId="7D7682E2" w14:textId="77777777" w:rsidR="00D52CD1" w:rsidRPr="007923C2" w:rsidRDefault="00D52CD1" w:rsidP="00D52CD1">
      <w:pPr>
        <w:widowControl w:val="0"/>
        <w:numPr>
          <w:ilvl w:val="0"/>
          <w:numId w:val="190"/>
        </w:numPr>
        <w:tabs>
          <w:tab w:val="clear" w:pos="720"/>
          <w:tab w:val="num" w:pos="622"/>
        </w:tabs>
        <w:overflowPunct w:val="0"/>
        <w:autoSpaceDE w:val="0"/>
        <w:autoSpaceDN w:val="0"/>
        <w:adjustRightInd w:val="0"/>
        <w:spacing w:after="0" w:line="231" w:lineRule="auto"/>
        <w:ind w:left="0" w:right="160" w:firstLine="0"/>
        <w:jc w:val="both"/>
        <w:rPr>
          <w:rFonts w:ascii="Arial" w:hAnsi="Arial" w:cs="Arial"/>
          <w:sz w:val="22"/>
          <w:szCs w:val="22"/>
        </w:rPr>
      </w:pPr>
      <w:r w:rsidRPr="007923C2">
        <w:rPr>
          <w:rFonts w:ascii="Arial" w:hAnsi="Arial" w:cs="Arial"/>
          <w:sz w:val="22"/>
          <w:szCs w:val="22"/>
        </w:rPr>
        <w:t xml:space="preserve">Los organizadores de ferias cuando cumplan, entre otras cosas, con lo siguiente: </w:t>
      </w:r>
    </w:p>
    <w:p w14:paraId="468801E6" w14:textId="77777777" w:rsidR="00D52CD1" w:rsidRPr="007923C2" w:rsidRDefault="00D52CD1" w:rsidP="00D52CD1">
      <w:pPr>
        <w:widowControl w:val="0"/>
        <w:autoSpaceDE w:val="0"/>
        <w:autoSpaceDN w:val="0"/>
        <w:adjustRightInd w:val="0"/>
        <w:spacing w:after="0" w:line="93" w:lineRule="exact"/>
        <w:jc w:val="both"/>
        <w:rPr>
          <w:rFonts w:ascii="Arial" w:hAnsi="Arial" w:cs="Arial"/>
          <w:sz w:val="22"/>
          <w:szCs w:val="22"/>
        </w:rPr>
      </w:pPr>
    </w:p>
    <w:p w14:paraId="6ABDC0AD" w14:textId="77777777"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37" w:lineRule="auto"/>
        <w:ind w:left="0" w:right="160" w:firstLine="0"/>
        <w:jc w:val="both"/>
        <w:rPr>
          <w:rFonts w:ascii="Arial" w:hAnsi="Arial" w:cs="Arial"/>
          <w:sz w:val="22"/>
          <w:szCs w:val="22"/>
        </w:rPr>
      </w:pPr>
      <w:r w:rsidRPr="007923C2">
        <w:rPr>
          <w:rFonts w:ascii="Arial" w:hAnsi="Arial" w:cs="Arial"/>
          <w:sz w:val="22"/>
          <w:szCs w:val="22"/>
        </w:rPr>
        <w:t xml:space="preserve">Tengan como objetivo fundamental promover las exportaciones no petroleras; </w:t>
      </w:r>
    </w:p>
    <w:p w14:paraId="0C958AD0"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5FFAF87F" w14:textId="77777777"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41" w:lineRule="auto"/>
        <w:ind w:left="0" w:right="120" w:firstLine="0"/>
        <w:jc w:val="both"/>
        <w:rPr>
          <w:rFonts w:ascii="Arial" w:hAnsi="Arial" w:cs="Arial"/>
          <w:sz w:val="22"/>
          <w:szCs w:val="22"/>
        </w:rPr>
      </w:pPr>
      <w:r w:rsidRPr="007923C2">
        <w:rPr>
          <w:rFonts w:ascii="Arial" w:hAnsi="Arial" w:cs="Arial"/>
          <w:sz w:val="22"/>
          <w:szCs w:val="22"/>
        </w:rPr>
        <w:t xml:space="preserve">Cuenten con personal que tenga una experiencia comprobada en la realización de ferias internacionales de por lo menos tres años, o bien contraten los servicios de empresas especializadas en la materia, que reúnan esta característica; </w:t>
      </w:r>
    </w:p>
    <w:p w14:paraId="3A1BFD0C" w14:textId="77777777"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14:paraId="5EC79830" w14:textId="77777777"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41" w:lineRule="auto"/>
        <w:ind w:left="0" w:right="160" w:firstLine="0"/>
        <w:jc w:val="both"/>
        <w:rPr>
          <w:rFonts w:ascii="Arial" w:hAnsi="Arial" w:cs="Arial"/>
          <w:sz w:val="22"/>
          <w:szCs w:val="22"/>
        </w:rPr>
      </w:pPr>
      <w:r w:rsidRPr="007923C2">
        <w:rPr>
          <w:rFonts w:ascii="Arial" w:hAnsi="Arial" w:cs="Arial"/>
          <w:sz w:val="22"/>
          <w:szCs w:val="22"/>
        </w:rPr>
        <w:t xml:space="preserve">Comprueben que han realizado por lo menos en tres ocasiones la feria para la cual soliciten el Certificado de Ferias Mexicanas de Exportación, y propongan la periodicidad y duración conforme a las cuales la organizarán en lo sucesivo; </w:t>
      </w:r>
    </w:p>
    <w:p w14:paraId="2A2659AF" w14:textId="77777777"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14:paraId="1C4B45CD" w14:textId="77777777"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39" w:lineRule="auto"/>
        <w:ind w:left="0" w:right="160" w:firstLine="0"/>
        <w:jc w:val="both"/>
        <w:rPr>
          <w:rFonts w:ascii="Arial" w:hAnsi="Arial" w:cs="Arial"/>
          <w:sz w:val="22"/>
          <w:szCs w:val="22"/>
        </w:rPr>
      </w:pPr>
      <w:r w:rsidRPr="007923C2">
        <w:rPr>
          <w:rFonts w:ascii="Arial" w:hAnsi="Arial" w:cs="Arial"/>
          <w:sz w:val="22"/>
          <w:szCs w:val="22"/>
        </w:rPr>
        <w:t xml:space="preserve">Se comprometan a organizar la feria por lo menos tres veces ininterrumpidamente conforme a la periodicidad y duración que hubiesen propuesto; </w:t>
      </w:r>
    </w:p>
    <w:p w14:paraId="0EC177EE"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2F22B09E" w14:textId="77777777"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37" w:lineRule="auto"/>
        <w:ind w:left="0" w:right="60" w:firstLine="0"/>
        <w:jc w:val="both"/>
        <w:rPr>
          <w:rFonts w:ascii="Arial" w:hAnsi="Arial" w:cs="Arial"/>
          <w:sz w:val="22"/>
          <w:szCs w:val="22"/>
        </w:rPr>
      </w:pPr>
      <w:r w:rsidRPr="007923C2">
        <w:rPr>
          <w:rFonts w:ascii="Arial" w:hAnsi="Arial" w:cs="Arial"/>
          <w:sz w:val="22"/>
          <w:szCs w:val="22"/>
        </w:rPr>
        <w:t xml:space="preserve">Comprueben que la feria se llevará al cabo en instalaciones apropiadas para la exhibición de los productos; </w:t>
      </w:r>
    </w:p>
    <w:p w14:paraId="60DE57FE"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4CE286C3" w14:textId="77777777"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39" w:lineRule="auto"/>
        <w:ind w:left="0" w:right="220" w:firstLine="0"/>
        <w:jc w:val="both"/>
        <w:rPr>
          <w:rFonts w:ascii="Arial" w:hAnsi="Arial" w:cs="Arial"/>
          <w:sz w:val="22"/>
          <w:szCs w:val="22"/>
        </w:rPr>
      </w:pPr>
      <w:r w:rsidRPr="007923C2">
        <w:rPr>
          <w:rFonts w:ascii="Arial" w:hAnsi="Arial" w:cs="Arial"/>
          <w:sz w:val="22"/>
          <w:szCs w:val="22"/>
        </w:rPr>
        <w:t xml:space="preserve">Se comprometan a destinar a la organización de la feria para la cual soliciten dicho Certificado, una inversión mínima de un millón doscientos mil pesos, y </w:t>
      </w:r>
    </w:p>
    <w:p w14:paraId="2958B85D" w14:textId="77777777"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14:paraId="4BA5933D" w14:textId="77777777"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42" w:lineRule="auto"/>
        <w:ind w:left="0" w:firstLine="0"/>
        <w:jc w:val="both"/>
        <w:rPr>
          <w:rFonts w:ascii="Arial" w:hAnsi="Arial" w:cs="Arial"/>
          <w:sz w:val="22"/>
          <w:szCs w:val="22"/>
        </w:rPr>
      </w:pPr>
      <w:r w:rsidRPr="007923C2">
        <w:rPr>
          <w:rFonts w:ascii="Arial" w:hAnsi="Arial" w:cs="Arial"/>
          <w:sz w:val="22"/>
          <w:szCs w:val="22"/>
        </w:rPr>
        <w:t>Garanticen la participación en la feria de por lo menos cien empresas expositoras de productos elaborados en México y de un número igual de compradores extranjeros especializados. Satisfecho lo anterior, podrán participar también empresas expositoras de productos extranjeros, siempre que su número no rebase el equivalente al treinta por ciento de los expositores de productos nacionales.</w:t>
      </w:r>
    </w:p>
    <w:p w14:paraId="2A0E61A1" w14:textId="77777777" w:rsidR="00D52CD1" w:rsidRPr="007923C2" w:rsidRDefault="00D52CD1" w:rsidP="00D52CD1">
      <w:pPr>
        <w:pStyle w:val="Prrafodelista"/>
        <w:ind w:left="0"/>
        <w:jc w:val="both"/>
        <w:rPr>
          <w:rFonts w:ascii="Arial" w:hAnsi="Arial" w:cs="Arial"/>
          <w:sz w:val="22"/>
          <w:szCs w:val="22"/>
        </w:rPr>
      </w:pPr>
    </w:p>
    <w:p w14:paraId="04C4287F" w14:textId="77777777" w:rsidR="00D52CD1" w:rsidRPr="007923C2" w:rsidRDefault="00D52CD1" w:rsidP="00D52CD1">
      <w:pPr>
        <w:widowControl w:val="0"/>
        <w:numPr>
          <w:ilvl w:val="0"/>
          <w:numId w:val="191"/>
        </w:numPr>
        <w:tabs>
          <w:tab w:val="clear" w:pos="720"/>
          <w:tab w:val="num" w:pos="620"/>
        </w:tabs>
        <w:overflowPunct w:val="0"/>
        <w:autoSpaceDE w:val="0"/>
        <w:autoSpaceDN w:val="0"/>
        <w:adjustRightInd w:val="0"/>
        <w:spacing w:after="0" w:line="241" w:lineRule="auto"/>
        <w:ind w:left="0" w:right="100" w:firstLine="0"/>
        <w:jc w:val="both"/>
        <w:rPr>
          <w:rFonts w:ascii="Arial" w:hAnsi="Arial" w:cs="Arial"/>
          <w:sz w:val="22"/>
          <w:szCs w:val="22"/>
        </w:rPr>
      </w:pPr>
      <w:r w:rsidRPr="007923C2">
        <w:rPr>
          <w:rFonts w:ascii="Arial" w:hAnsi="Arial" w:cs="Arial"/>
          <w:sz w:val="22"/>
          <w:szCs w:val="22"/>
        </w:rPr>
        <w:t xml:space="preserve">Constructores, que presenten un proyecto viable para la edificación de un recinto para la realización de una feria, el cual deberá especificar sus características de infraestructura y de servicios, así como la fecha límite para concluir la obra. </w:t>
      </w:r>
    </w:p>
    <w:p w14:paraId="74523CCB" w14:textId="77777777"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14:paraId="11F31B7B" w14:textId="77777777" w:rsidR="00D52CD1" w:rsidRPr="007923C2" w:rsidRDefault="00D52CD1" w:rsidP="00D52CD1">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 xml:space="preserve">Los titulares del certificado contarán con apoyos financieros y las facilidades administrativas y de promoción que las entidades y de-pendencias de la administración pública federal establezcan en el ámbito de su competencia. </w:t>
      </w:r>
    </w:p>
    <w:p w14:paraId="3671E82B" w14:textId="77777777" w:rsidR="00D52CD1" w:rsidRPr="007923C2" w:rsidRDefault="00D52CD1" w:rsidP="00D52CD1">
      <w:pPr>
        <w:widowControl w:val="0"/>
        <w:autoSpaceDE w:val="0"/>
        <w:autoSpaceDN w:val="0"/>
        <w:adjustRightInd w:val="0"/>
        <w:spacing w:after="0" w:line="200" w:lineRule="exact"/>
        <w:jc w:val="both"/>
        <w:rPr>
          <w:rFonts w:ascii="Arial" w:hAnsi="Arial" w:cs="Arial"/>
          <w:sz w:val="22"/>
          <w:szCs w:val="22"/>
        </w:rPr>
      </w:pPr>
    </w:p>
    <w:p w14:paraId="4AE49316" w14:textId="77777777" w:rsidR="00D52CD1" w:rsidRPr="007923C2" w:rsidRDefault="00D52CD1" w:rsidP="00D52CD1">
      <w:pPr>
        <w:widowControl w:val="0"/>
        <w:autoSpaceDE w:val="0"/>
        <w:autoSpaceDN w:val="0"/>
        <w:adjustRightInd w:val="0"/>
        <w:spacing w:after="0" w:line="233" w:lineRule="exact"/>
        <w:jc w:val="both"/>
        <w:rPr>
          <w:rFonts w:ascii="Arial" w:hAnsi="Arial" w:cs="Arial"/>
          <w:sz w:val="22"/>
          <w:szCs w:val="22"/>
        </w:rPr>
      </w:pPr>
    </w:p>
    <w:p w14:paraId="3DEB8830" w14:textId="77777777" w:rsidR="00D52CD1" w:rsidRPr="007923C2" w:rsidRDefault="00D52CD1" w:rsidP="00D52CD1">
      <w:pPr>
        <w:widowControl w:val="0"/>
        <w:numPr>
          <w:ilvl w:val="0"/>
          <w:numId w:val="192"/>
        </w:numPr>
        <w:tabs>
          <w:tab w:val="clear" w:pos="720"/>
          <w:tab w:val="num" w:pos="660"/>
        </w:tabs>
        <w:overflowPunct w:val="0"/>
        <w:autoSpaceDE w:val="0"/>
        <w:autoSpaceDN w:val="0"/>
        <w:adjustRightInd w:val="0"/>
        <w:spacing w:after="0" w:line="173" w:lineRule="exact"/>
        <w:ind w:left="0" w:right="1880" w:firstLine="0"/>
        <w:jc w:val="both"/>
        <w:rPr>
          <w:rFonts w:ascii="Arial" w:hAnsi="Arial" w:cs="Arial"/>
          <w:sz w:val="22"/>
          <w:szCs w:val="22"/>
        </w:rPr>
      </w:pPr>
      <w:r w:rsidRPr="007923C2">
        <w:rPr>
          <w:rFonts w:ascii="Arial" w:hAnsi="Arial" w:cs="Arial"/>
          <w:i/>
          <w:iCs/>
          <w:sz w:val="22"/>
          <w:szCs w:val="22"/>
        </w:rPr>
        <w:t>Programas de promoción sectorial (PROSEC) (DOF, 31 de diciembre de 2000)</w:t>
      </w:r>
    </w:p>
    <w:p w14:paraId="0FD46112" w14:textId="77777777" w:rsidR="00D52CD1" w:rsidRPr="007923C2" w:rsidRDefault="00D52CD1" w:rsidP="00D52CD1">
      <w:pPr>
        <w:widowControl w:val="0"/>
        <w:overflowPunct w:val="0"/>
        <w:autoSpaceDE w:val="0"/>
        <w:autoSpaceDN w:val="0"/>
        <w:adjustRightInd w:val="0"/>
        <w:spacing w:after="0" w:line="242" w:lineRule="auto"/>
        <w:ind w:right="100"/>
        <w:jc w:val="both"/>
        <w:rPr>
          <w:rFonts w:ascii="Arial" w:hAnsi="Arial" w:cs="Arial"/>
          <w:sz w:val="22"/>
          <w:szCs w:val="22"/>
        </w:rPr>
      </w:pPr>
      <w:r w:rsidRPr="007923C2">
        <w:rPr>
          <w:rFonts w:ascii="Arial" w:hAnsi="Arial" w:cs="Arial"/>
          <w:sz w:val="22"/>
          <w:szCs w:val="22"/>
        </w:rPr>
        <w:t xml:space="preserve">Los programas de promoción sectorial son instrumentos que permiten a las personas morales productoras de determinadas mercancías, importar con arancel </w:t>
      </w:r>
      <w:r w:rsidRPr="007923C2">
        <w:rPr>
          <w:rFonts w:ascii="Arial" w:hAnsi="Arial" w:cs="Arial"/>
          <w:i/>
          <w:iCs/>
          <w:sz w:val="22"/>
          <w:szCs w:val="22"/>
        </w:rPr>
        <w:t>advalorem</w:t>
      </w:r>
      <w:r w:rsidRPr="007923C2">
        <w:rPr>
          <w:rFonts w:ascii="Arial" w:hAnsi="Arial" w:cs="Arial"/>
          <w:sz w:val="22"/>
          <w:szCs w:val="22"/>
        </w:rPr>
        <w:t xml:space="preserve"> preferencial, distintos bienes empleados en la elaboración de productos específicos, no importando su destino (exportación o mercado nacional)</w:t>
      </w:r>
    </w:p>
    <w:p w14:paraId="619CBBE4" w14:textId="77777777" w:rsidR="00D52CD1" w:rsidRPr="007923C2" w:rsidRDefault="00D52CD1" w:rsidP="00D52CD1">
      <w:pPr>
        <w:widowControl w:val="0"/>
        <w:autoSpaceDE w:val="0"/>
        <w:autoSpaceDN w:val="0"/>
        <w:adjustRightInd w:val="0"/>
        <w:spacing w:after="0" w:line="260" w:lineRule="exact"/>
        <w:jc w:val="both"/>
        <w:rPr>
          <w:rFonts w:ascii="Arial" w:hAnsi="Arial" w:cs="Arial"/>
          <w:sz w:val="22"/>
          <w:szCs w:val="22"/>
        </w:rPr>
      </w:pPr>
    </w:p>
    <w:p w14:paraId="54E0F730" w14:textId="77777777"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i/>
          <w:iCs/>
          <w:sz w:val="22"/>
          <w:szCs w:val="22"/>
        </w:rPr>
        <w:t>— - Beneficiados</w:t>
      </w:r>
    </w:p>
    <w:p w14:paraId="5577D2B7" w14:textId="77777777" w:rsidR="00D52CD1" w:rsidRPr="007923C2" w:rsidRDefault="00D52CD1" w:rsidP="00D52CD1">
      <w:pPr>
        <w:widowControl w:val="0"/>
        <w:autoSpaceDE w:val="0"/>
        <w:autoSpaceDN w:val="0"/>
        <w:adjustRightInd w:val="0"/>
        <w:spacing w:after="0" w:line="176" w:lineRule="exact"/>
        <w:jc w:val="both"/>
        <w:rPr>
          <w:rFonts w:ascii="Arial" w:hAnsi="Arial" w:cs="Arial"/>
          <w:sz w:val="22"/>
          <w:szCs w:val="22"/>
        </w:rPr>
      </w:pPr>
    </w:p>
    <w:p w14:paraId="70DB8DFE" w14:textId="77777777" w:rsidR="00D52CD1" w:rsidRPr="007923C2" w:rsidRDefault="00D52CD1" w:rsidP="00D52CD1">
      <w:pPr>
        <w:widowControl w:val="0"/>
        <w:overflowPunct w:val="0"/>
        <w:autoSpaceDE w:val="0"/>
        <w:autoSpaceDN w:val="0"/>
        <w:adjustRightInd w:val="0"/>
        <w:spacing w:after="0" w:line="237" w:lineRule="auto"/>
        <w:ind w:right="160"/>
        <w:jc w:val="both"/>
        <w:rPr>
          <w:rFonts w:ascii="Arial" w:hAnsi="Arial" w:cs="Arial"/>
          <w:sz w:val="22"/>
          <w:szCs w:val="22"/>
        </w:rPr>
      </w:pPr>
      <w:r w:rsidRPr="007923C2">
        <w:rPr>
          <w:rFonts w:ascii="Arial" w:hAnsi="Arial" w:cs="Arial"/>
          <w:sz w:val="22"/>
          <w:szCs w:val="22"/>
        </w:rPr>
        <w:t>Son los productores que cuenten con autorización para operar en alguno de los programas indicados en el artículo 3 del Decreto.</w:t>
      </w:r>
    </w:p>
    <w:p w14:paraId="31E34F79"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786C94B8" w14:textId="77777777" w:rsidR="00D52CD1" w:rsidRPr="007923C2" w:rsidRDefault="00D52CD1" w:rsidP="00D52CD1">
      <w:pPr>
        <w:widowControl w:val="0"/>
        <w:overflowPunct w:val="0"/>
        <w:autoSpaceDE w:val="0"/>
        <w:autoSpaceDN w:val="0"/>
        <w:adjustRightInd w:val="0"/>
        <w:spacing w:after="0" w:line="240" w:lineRule="auto"/>
        <w:ind w:right="100"/>
        <w:jc w:val="both"/>
        <w:rPr>
          <w:rFonts w:ascii="Arial" w:hAnsi="Arial" w:cs="Arial"/>
          <w:sz w:val="22"/>
          <w:szCs w:val="22"/>
        </w:rPr>
      </w:pPr>
      <w:r w:rsidRPr="007923C2">
        <w:rPr>
          <w:rFonts w:ascii="Arial" w:hAnsi="Arial" w:cs="Arial"/>
          <w:sz w:val="22"/>
          <w:szCs w:val="22"/>
        </w:rPr>
        <w:t>De acuerdo con el artículo 2 del Decreto, se entiende por productores las personas morales establecidas en el país productoras de bienes, que operen al amparo del presente Decreto.</w:t>
      </w:r>
    </w:p>
    <w:p w14:paraId="789246C9" w14:textId="77777777" w:rsidR="00D52CD1" w:rsidRPr="007923C2" w:rsidRDefault="00D52CD1" w:rsidP="00D52CD1">
      <w:pPr>
        <w:widowControl w:val="0"/>
        <w:autoSpaceDE w:val="0"/>
        <w:autoSpaceDN w:val="0"/>
        <w:adjustRightInd w:val="0"/>
        <w:spacing w:after="0" w:line="258" w:lineRule="exact"/>
        <w:jc w:val="both"/>
        <w:rPr>
          <w:rFonts w:ascii="Arial" w:hAnsi="Arial" w:cs="Arial"/>
          <w:sz w:val="22"/>
          <w:szCs w:val="22"/>
        </w:rPr>
      </w:pPr>
    </w:p>
    <w:p w14:paraId="1EB2753F" w14:textId="77777777"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Beneficios</w:t>
      </w:r>
    </w:p>
    <w:p w14:paraId="3F48BED7" w14:textId="77777777" w:rsidR="00D52CD1" w:rsidRPr="007923C2" w:rsidRDefault="00D52CD1" w:rsidP="00D52CD1">
      <w:pPr>
        <w:widowControl w:val="0"/>
        <w:autoSpaceDE w:val="0"/>
        <w:autoSpaceDN w:val="0"/>
        <w:adjustRightInd w:val="0"/>
        <w:spacing w:after="0" w:line="178" w:lineRule="exact"/>
        <w:jc w:val="both"/>
        <w:rPr>
          <w:rFonts w:ascii="Arial" w:hAnsi="Arial" w:cs="Arial"/>
          <w:sz w:val="22"/>
          <w:szCs w:val="22"/>
        </w:rPr>
      </w:pPr>
    </w:p>
    <w:p w14:paraId="64CE067C" w14:textId="77777777" w:rsidR="00D52CD1" w:rsidRPr="007923C2" w:rsidRDefault="00D52CD1" w:rsidP="00D52CD1">
      <w:pPr>
        <w:widowControl w:val="0"/>
        <w:overflowPunct w:val="0"/>
        <w:autoSpaceDE w:val="0"/>
        <w:autoSpaceDN w:val="0"/>
        <w:adjustRightInd w:val="0"/>
        <w:spacing w:after="0" w:line="242" w:lineRule="auto"/>
        <w:ind w:right="100"/>
        <w:jc w:val="both"/>
        <w:rPr>
          <w:rFonts w:ascii="Arial" w:hAnsi="Arial" w:cs="Arial"/>
          <w:sz w:val="22"/>
          <w:szCs w:val="22"/>
        </w:rPr>
      </w:pPr>
      <w:r w:rsidRPr="007923C2">
        <w:rPr>
          <w:rFonts w:ascii="Arial" w:hAnsi="Arial" w:cs="Arial"/>
          <w:sz w:val="22"/>
          <w:szCs w:val="22"/>
        </w:rPr>
        <w:t>Las personas morales que fabriquen, las mercancías a que se refiere el artículo 4 del Decreto, podrán importar con arancel</w:t>
      </w:r>
      <w:r w:rsidRPr="007923C2">
        <w:rPr>
          <w:rFonts w:ascii="Arial" w:hAnsi="Arial" w:cs="Arial"/>
          <w:i/>
          <w:iCs/>
          <w:sz w:val="22"/>
          <w:szCs w:val="22"/>
        </w:rPr>
        <w:t>ad valorem</w:t>
      </w:r>
      <w:r w:rsidRPr="007923C2">
        <w:rPr>
          <w:rFonts w:ascii="Arial" w:hAnsi="Arial" w:cs="Arial"/>
          <w:sz w:val="22"/>
          <w:szCs w:val="22"/>
        </w:rPr>
        <w:t xml:space="preserve"> preferencial, especificado en el artículo 5 del mencionado Decreto, diversos bienes para ser incorporados y utilizados en el proceso productivo de las mercancías señaladas.</w:t>
      </w:r>
    </w:p>
    <w:p w14:paraId="4EDBAEB8" w14:textId="77777777"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14:paraId="5CCAA35B" w14:textId="77777777" w:rsidR="00D52CD1" w:rsidRPr="007923C2" w:rsidRDefault="00D52CD1" w:rsidP="00D52CD1">
      <w:pPr>
        <w:widowControl w:val="0"/>
        <w:overflowPunct w:val="0"/>
        <w:autoSpaceDE w:val="0"/>
        <w:autoSpaceDN w:val="0"/>
        <w:adjustRightInd w:val="0"/>
        <w:spacing w:after="0" w:line="239" w:lineRule="auto"/>
        <w:ind w:right="160"/>
        <w:jc w:val="both"/>
        <w:rPr>
          <w:rFonts w:ascii="Arial" w:hAnsi="Arial" w:cs="Arial"/>
          <w:sz w:val="22"/>
          <w:szCs w:val="22"/>
        </w:rPr>
      </w:pPr>
      <w:r w:rsidRPr="007923C2">
        <w:rPr>
          <w:rFonts w:ascii="Arial" w:hAnsi="Arial" w:cs="Arial"/>
          <w:sz w:val="22"/>
          <w:szCs w:val="22"/>
        </w:rPr>
        <w:t>De acuerdo al artículo 3, los programas de promoción sectorial que se establecen son los siguientes:</w:t>
      </w:r>
    </w:p>
    <w:p w14:paraId="64E9C415" w14:textId="77777777"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p>
    <w:p w14:paraId="7714344A" w14:textId="77777777" w:rsidR="00D52CD1" w:rsidRPr="007923C2" w:rsidRDefault="00D52CD1" w:rsidP="00D52CD1">
      <w:pPr>
        <w:widowControl w:val="0"/>
        <w:numPr>
          <w:ilvl w:val="1"/>
          <w:numId w:val="193"/>
        </w:numPr>
        <w:tabs>
          <w:tab w:val="clear" w:pos="1440"/>
          <w:tab w:val="num" w:pos="835"/>
        </w:tabs>
        <w:overflowPunct w:val="0"/>
        <w:autoSpaceDE w:val="0"/>
        <w:autoSpaceDN w:val="0"/>
        <w:adjustRightInd w:val="0"/>
        <w:spacing w:after="0" w:line="239" w:lineRule="auto"/>
        <w:ind w:left="0" w:right="3340" w:firstLine="0"/>
        <w:jc w:val="both"/>
        <w:rPr>
          <w:rFonts w:ascii="Arial" w:hAnsi="Arial" w:cs="Arial"/>
          <w:sz w:val="22"/>
          <w:szCs w:val="22"/>
        </w:rPr>
      </w:pPr>
      <w:bookmarkStart w:id="38" w:name="page97"/>
      <w:bookmarkEnd w:id="38"/>
      <w:r w:rsidRPr="007923C2">
        <w:rPr>
          <w:rFonts w:ascii="Arial" w:hAnsi="Arial" w:cs="Arial"/>
          <w:sz w:val="22"/>
          <w:szCs w:val="22"/>
        </w:rPr>
        <w:t xml:space="preserve">De la Industria Eléctrica; II. De la Industria Electrónica; III. De la Industria del Mueble; </w:t>
      </w:r>
    </w:p>
    <w:p w14:paraId="5D26F2D7" w14:textId="77777777"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14:paraId="3A3F1AF7" w14:textId="77777777" w:rsidR="00D52CD1" w:rsidRPr="007923C2" w:rsidRDefault="00D52CD1" w:rsidP="00D52CD1">
      <w:pPr>
        <w:widowControl w:val="0"/>
        <w:tabs>
          <w:tab w:val="left" w:pos="821"/>
        </w:tabs>
        <w:overflowPunct w:val="0"/>
        <w:autoSpaceDE w:val="0"/>
        <w:autoSpaceDN w:val="0"/>
        <w:adjustRightInd w:val="0"/>
        <w:spacing w:after="0" w:line="237" w:lineRule="auto"/>
        <w:ind w:right="100"/>
        <w:jc w:val="both"/>
        <w:rPr>
          <w:rFonts w:ascii="Arial" w:hAnsi="Arial" w:cs="Arial"/>
          <w:sz w:val="22"/>
          <w:szCs w:val="22"/>
        </w:rPr>
      </w:pPr>
      <w:r w:rsidRPr="007923C2">
        <w:rPr>
          <w:rFonts w:ascii="Arial" w:hAnsi="Arial" w:cs="Arial"/>
          <w:sz w:val="22"/>
          <w:szCs w:val="22"/>
        </w:rPr>
        <w:t>IV.</w:t>
      </w:r>
      <w:r w:rsidRPr="007923C2">
        <w:rPr>
          <w:rFonts w:ascii="Arial" w:hAnsi="Arial" w:cs="Arial"/>
          <w:sz w:val="22"/>
          <w:szCs w:val="22"/>
        </w:rPr>
        <w:tab/>
        <w:t>De la Industria del Juguete, Juegos de Recreo y Artículos Deportivos;</w:t>
      </w:r>
    </w:p>
    <w:p w14:paraId="21FA4F0C" w14:textId="77777777" w:rsidR="00D52CD1" w:rsidRPr="007923C2" w:rsidRDefault="00D52CD1" w:rsidP="00D52CD1">
      <w:pPr>
        <w:widowControl w:val="0"/>
        <w:autoSpaceDE w:val="0"/>
        <w:autoSpaceDN w:val="0"/>
        <w:adjustRightInd w:val="0"/>
        <w:spacing w:after="0" w:line="6" w:lineRule="exact"/>
        <w:jc w:val="both"/>
        <w:rPr>
          <w:rFonts w:ascii="Arial" w:hAnsi="Arial" w:cs="Arial"/>
          <w:sz w:val="22"/>
          <w:szCs w:val="22"/>
        </w:rPr>
      </w:pPr>
    </w:p>
    <w:p w14:paraId="1AB7469E" w14:textId="77777777"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V.  De la Industria del Calzado;</w:t>
      </w:r>
    </w:p>
    <w:p w14:paraId="041CEB47" w14:textId="77777777"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14:paraId="647AA808" w14:textId="77777777" w:rsidR="00D52CD1" w:rsidRPr="007923C2" w:rsidRDefault="00D52CD1" w:rsidP="00D52CD1">
      <w:pPr>
        <w:widowControl w:val="0"/>
        <w:overflowPunct w:val="0"/>
        <w:autoSpaceDE w:val="0"/>
        <w:autoSpaceDN w:val="0"/>
        <w:adjustRightInd w:val="0"/>
        <w:spacing w:after="0" w:line="239" w:lineRule="auto"/>
        <w:ind w:right="2360"/>
        <w:jc w:val="both"/>
        <w:rPr>
          <w:rFonts w:ascii="Arial" w:hAnsi="Arial" w:cs="Arial"/>
          <w:sz w:val="22"/>
          <w:szCs w:val="22"/>
        </w:rPr>
      </w:pPr>
      <w:r w:rsidRPr="007923C2">
        <w:rPr>
          <w:rFonts w:ascii="Arial" w:hAnsi="Arial" w:cs="Arial"/>
          <w:sz w:val="22"/>
          <w:szCs w:val="22"/>
        </w:rPr>
        <w:t>VI. De la Industria Minera y Metalúrgica; VII. De la Industria de Bienes de Capital; VIII. De la Industria Fotográfica;</w:t>
      </w:r>
    </w:p>
    <w:p w14:paraId="508D1F4F" w14:textId="77777777"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14:paraId="50F702D3" w14:textId="77777777" w:rsidR="00D52CD1" w:rsidRPr="007923C2" w:rsidRDefault="00D52CD1" w:rsidP="00D52CD1">
      <w:pPr>
        <w:widowControl w:val="0"/>
        <w:overflowPunct w:val="0"/>
        <w:autoSpaceDE w:val="0"/>
        <w:autoSpaceDN w:val="0"/>
        <w:adjustRightInd w:val="0"/>
        <w:spacing w:after="0" w:line="237" w:lineRule="auto"/>
        <w:ind w:right="2240"/>
        <w:jc w:val="both"/>
        <w:rPr>
          <w:rFonts w:ascii="Arial" w:hAnsi="Arial" w:cs="Arial"/>
          <w:sz w:val="22"/>
          <w:szCs w:val="22"/>
        </w:rPr>
      </w:pPr>
      <w:r w:rsidRPr="007923C2">
        <w:rPr>
          <w:rFonts w:ascii="Arial" w:hAnsi="Arial" w:cs="Arial"/>
          <w:sz w:val="22"/>
          <w:szCs w:val="22"/>
        </w:rPr>
        <w:t>IX. De la Industria de Maquinaria Agrícola; X. De las Industrias Diversas;</w:t>
      </w:r>
    </w:p>
    <w:p w14:paraId="2F342C6C" w14:textId="77777777" w:rsidR="00D52CD1" w:rsidRPr="007923C2" w:rsidRDefault="00D52CD1" w:rsidP="00D52CD1">
      <w:pPr>
        <w:widowControl w:val="0"/>
        <w:autoSpaceDE w:val="0"/>
        <w:autoSpaceDN w:val="0"/>
        <w:adjustRightInd w:val="0"/>
        <w:spacing w:after="0" w:line="6" w:lineRule="exact"/>
        <w:jc w:val="both"/>
        <w:rPr>
          <w:rFonts w:ascii="Arial" w:hAnsi="Arial" w:cs="Arial"/>
          <w:sz w:val="22"/>
          <w:szCs w:val="22"/>
        </w:rPr>
      </w:pPr>
    </w:p>
    <w:p w14:paraId="7F9907EB" w14:textId="77777777"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XI.  De la Industria Química;</w:t>
      </w:r>
    </w:p>
    <w:p w14:paraId="2CD1B6A9"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045947A4" w14:textId="77777777" w:rsidR="00D52CD1" w:rsidRPr="007923C2" w:rsidRDefault="00D52CD1" w:rsidP="00D52CD1">
      <w:pPr>
        <w:widowControl w:val="0"/>
        <w:overflowPunct w:val="0"/>
        <w:autoSpaceDE w:val="0"/>
        <w:autoSpaceDN w:val="0"/>
        <w:adjustRightInd w:val="0"/>
        <w:spacing w:after="0" w:line="237" w:lineRule="auto"/>
        <w:ind w:right="800"/>
        <w:jc w:val="both"/>
        <w:rPr>
          <w:rFonts w:ascii="Arial" w:hAnsi="Arial" w:cs="Arial"/>
          <w:sz w:val="22"/>
          <w:szCs w:val="22"/>
        </w:rPr>
      </w:pPr>
      <w:r w:rsidRPr="007923C2">
        <w:rPr>
          <w:rFonts w:ascii="Arial" w:hAnsi="Arial" w:cs="Arial"/>
          <w:sz w:val="22"/>
          <w:szCs w:val="22"/>
        </w:rPr>
        <w:t>XII. De la Industria de Manufacturas del Caucho y Plástico; XIII. De la Industria Siderúrgica;</w:t>
      </w:r>
    </w:p>
    <w:p w14:paraId="701E14AC"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4D0C103B" w14:textId="77777777" w:rsidR="00D52CD1" w:rsidRPr="007923C2" w:rsidRDefault="00D52CD1" w:rsidP="00D52CD1">
      <w:pPr>
        <w:widowControl w:val="0"/>
        <w:tabs>
          <w:tab w:val="left" w:pos="821"/>
        </w:tabs>
        <w:overflowPunct w:val="0"/>
        <w:autoSpaceDE w:val="0"/>
        <w:autoSpaceDN w:val="0"/>
        <w:adjustRightInd w:val="0"/>
        <w:spacing w:after="0" w:line="237" w:lineRule="auto"/>
        <w:ind w:right="100"/>
        <w:jc w:val="both"/>
        <w:rPr>
          <w:rFonts w:ascii="Arial" w:hAnsi="Arial" w:cs="Arial"/>
          <w:sz w:val="22"/>
          <w:szCs w:val="22"/>
        </w:rPr>
      </w:pPr>
      <w:r w:rsidRPr="007923C2">
        <w:rPr>
          <w:rFonts w:ascii="Arial" w:hAnsi="Arial" w:cs="Arial"/>
          <w:sz w:val="22"/>
          <w:szCs w:val="22"/>
        </w:rPr>
        <w:t>XIV.</w:t>
      </w:r>
      <w:r w:rsidRPr="007923C2">
        <w:rPr>
          <w:rFonts w:ascii="Arial" w:hAnsi="Arial" w:cs="Arial"/>
          <w:sz w:val="22"/>
          <w:szCs w:val="22"/>
        </w:rPr>
        <w:tab/>
        <w:t>De la Industria de Productos Farmoquímicos, Medicamentos y Equipo Médico;</w:t>
      </w:r>
    </w:p>
    <w:p w14:paraId="62D78A1D"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01DA5CD8" w14:textId="77777777" w:rsidR="00D52CD1" w:rsidRPr="007923C2" w:rsidRDefault="00D52CD1" w:rsidP="00D52CD1">
      <w:pPr>
        <w:widowControl w:val="0"/>
        <w:tabs>
          <w:tab w:val="left" w:pos="821"/>
        </w:tabs>
        <w:overflowPunct w:val="0"/>
        <w:autoSpaceDE w:val="0"/>
        <w:autoSpaceDN w:val="0"/>
        <w:adjustRightInd w:val="0"/>
        <w:spacing w:after="0" w:line="237" w:lineRule="auto"/>
        <w:ind w:right="100"/>
        <w:jc w:val="both"/>
        <w:rPr>
          <w:rFonts w:ascii="Arial" w:hAnsi="Arial" w:cs="Arial"/>
          <w:sz w:val="22"/>
          <w:szCs w:val="22"/>
        </w:rPr>
      </w:pPr>
      <w:r w:rsidRPr="007923C2">
        <w:rPr>
          <w:rFonts w:ascii="Arial" w:hAnsi="Arial" w:cs="Arial"/>
          <w:sz w:val="22"/>
          <w:szCs w:val="22"/>
        </w:rPr>
        <w:t>XV.</w:t>
      </w:r>
      <w:r w:rsidRPr="007923C2">
        <w:rPr>
          <w:rFonts w:ascii="Arial" w:hAnsi="Arial" w:cs="Arial"/>
          <w:sz w:val="22"/>
          <w:szCs w:val="22"/>
        </w:rPr>
        <w:tab/>
        <w:t>De la Industria del Transporte, excepto el Sector de la Industria Automotriz y de Autopartes;</w:t>
      </w:r>
    </w:p>
    <w:p w14:paraId="312889EF"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7B4069E5" w14:textId="77777777" w:rsidR="00D52CD1" w:rsidRPr="007923C2" w:rsidRDefault="00D52CD1" w:rsidP="00D52CD1">
      <w:pPr>
        <w:widowControl w:val="0"/>
        <w:overflowPunct w:val="0"/>
        <w:autoSpaceDE w:val="0"/>
        <w:autoSpaceDN w:val="0"/>
        <w:adjustRightInd w:val="0"/>
        <w:spacing w:after="0" w:line="239" w:lineRule="auto"/>
        <w:ind w:right="2720"/>
        <w:jc w:val="both"/>
        <w:rPr>
          <w:rFonts w:ascii="Arial" w:hAnsi="Arial" w:cs="Arial"/>
          <w:sz w:val="22"/>
          <w:szCs w:val="22"/>
        </w:rPr>
      </w:pPr>
      <w:r w:rsidRPr="007923C2">
        <w:rPr>
          <w:rFonts w:ascii="Arial" w:hAnsi="Arial" w:cs="Arial"/>
          <w:sz w:val="22"/>
          <w:szCs w:val="22"/>
        </w:rPr>
        <w:t>XVI. De la Industria del Papel y Cartón; XVII. De la Industria de la Madera; XVIII. De la Industria del Cuero y Pieles;</w:t>
      </w:r>
    </w:p>
    <w:p w14:paraId="712B5F63" w14:textId="77777777"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14:paraId="27F75A11" w14:textId="77777777" w:rsidR="00D52CD1" w:rsidRPr="007923C2" w:rsidRDefault="00D52CD1" w:rsidP="00D52CD1">
      <w:pPr>
        <w:widowControl w:val="0"/>
        <w:overflowPunct w:val="0"/>
        <w:autoSpaceDE w:val="0"/>
        <w:autoSpaceDN w:val="0"/>
        <w:adjustRightInd w:val="0"/>
        <w:spacing w:after="0" w:line="237" w:lineRule="auto"/>
        <w:ind w:right="1880"/>
        <w:jc w:val="both"/>
        <w:rPr>
          <w:rFonts w:ascii="Arial" w:hAnsi="Arial" w:cs="Arial"/>
          <w:sz w:val="22"/>
          <w:szCs w:val="22"/>
        </w:rPr>
      </w:pPr>
      <w:r w:rsidRPr="007923C2">
        <w:rPr>
          <w:rFonts w:ascii="Arial" w:hAnsi="Arial" w:cs="Arial"/>
          <w:sz w:val="22"/>
          <w:szCs w:val="22"/>
        </w:rPr>
        <w:t>XIX. De la Industria Automotriz y de Autopartes; XX. De la Industria Textil y de la Confección;</w:t>
      </w:r>
    </w:p>
    <w:p w14:paraId="574716D1"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5D432531" w14:textId="77777777" w:rsidR="00D52CD1" w:rsidRPr="007923C2" w:rsidRDefault="00D52CD1" w:rsidP="00D52CD1">
      <w:pPr>
        <w:widowControl w:val="0"/>
        <w:overflowPunct w:val="0"/>
        <w:autoSpaceDE w:val="0"/>
        <w:autoSpaceDN w:val="0"/>
        <w:adjustRightInd w:val="0"/>
        <w:spacing w:after="0" w:line="236" w:lineRule="auto"/>
        <w:ind w:right="1180"/>
        <w:jc w:val="both"/>
        <w:rPr>
          <w:rFonts w:ascii="Arial" w:hAnsi="Arial" w:cs="Arial"/>
          <w:sz w:val="22"/>
          <w:szCs w:val="22"/>
        </w:rPr>
      </w:pPr>
      <w:r w:rsidRPr="007923C2">
        <w:rPr>
          <w:rFonts w:ascii="Arial" w:hAnsi="Arial" w:cs="Arial"/>
          <w:sz w:val="22"/>
          <w:szCs w:val="22"/>
        </w:rPr>
        <w:t>XXI. De la Industria de Chocolates, Dulces y Similares, y XXII. De la Industria del Café.</w:t>
      </w:r>
    </w:p>
    <w:p w14:paraId="73F6BDC3" w14:textId="77777777" w:rsidR="00D52CD1" w:rsidRPr="007923C2" w:rsidRDefault="00D52CD1" w:rsidP="00D52CD1">
      <w:pPr>
        <w:widowControl w:val="0"/>
        <w:autoSpaceDE w:val="0"/>
        <w:autoSpaceDN w:val="0"/>
        <w:adjustRightInd w:val="0"/>
        <w:spacing w:after="0" w:line="265" w:lineRule="exact"/>
        <w:jc w:val="both"/>
        <w:rPr>
          <w:rFonts w:ascii="Arial" w:hAnsi="Arial" w:cs="Arial"/>
          <w:sz w:val="22"/>
          <w:szCs w:val="22"/>
        </w:rPr>
      </w:pPr>
    </w:p>
    <w:p w14:paraId="5BDAD06F" w14:textId="77777777"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Los programas de clasifican en dos:</w:t>
      </w:r>
    </w:p>
    <w:p w14:paraId="747B100E" w14:textId="77777777" w:rsidR="00D52CD1" w:rsidRPr="007923C2" w:rsidRDefault="00D52CD1" w:rsidP="00D52CD1">
      <w:pPr>
        <w:widowControl w:val="0"/>
        <w:autoSpaceDE w:val="0"/>
        <w:autoSpaceDN w:val="0"/>
        <w:adjustRightInd w:val="0"/>
        <w:spacing w:after="0" w:line="133" w:lineRule="exact"/>
        <w:jc w:val="both"/>
        <w:rPr>
          <w:rFonts w:ascii="Arial" w:hAnsi="Arial" w:cs="Arial"/>
          <w:sz w:val="22"/>
          <w:szCs w:val="22"/>
        </w:rPr>
      </w:pPr>
    </w:p>
    <w:p w14:paraId="3023F235" w14:textId="77777777" w:rsidR="00D52CD1" w:rsidRPr="007923C2" w:rsidRDefault="00D52CD1" w:rsidP="00D52CD1">
      <w:pPr>
        <w:widowControl w:val="0"/>
        <w:numPr>
          <w:ilvl w:val="0"/>
          <w:numId w:val="194"/>
        </w:numPr>
        <w:tabs>
          <w:tab w:val="clear" w:pos="720"/>
          <w:tab w:val="num" w:pos="902"/>
        </w:tabs>
        <w:overflowPunct w:val="0"/>
        <w:autoSpaceDE w:val="0"/>
        <w:autoSpaceDN w:val="0"/>
        <w:adjustRightInd w:val="0"/>
        <w:spacing w:after="0" w:line="236" w:lineRule="auto"/>
        <w:ind w:left="0" w:right="100" w:firstLine="0"/>
        <w:jc w:val="both"/>
        <w:rPr>
          <w:rFonts w:ascii="Arial" w:hAnsi="Arial" w:cs="Arial"/>
          <w:sz w:val="22"/>
          <w:szCs w:val="22"/>
        </w:rPr>
      </w:pPr>
      <w:r w:rsidRPr="007923C2">
        <w:rPr>
          <w:rFonts w:ascii="Arial" w:hAnsi="Arial" w:cs="Arial"/>
          <w:sz w:val="22"/>
          <w:szCs w:val="22"/>
        </w:rPr>
        <w:t xml:space="preserve">Productor directo, a la persona moral que manufactura las mercancías a que se refiere el artículo 4 del presente Decreto, a partir, entre otros, de los bienes mencionados en el artículo 5 del mismo, según corresponda al sector; </w:t>
      </w:r>
    </w:p>
    <w:p w14:paraId="6E0F9E50" w14:textId="77777777"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14:paraId="683952B4" w14:textId="77777777" w:rsidR="00D52CD1" w:rsidRPr="007923C2" w:rsidRDefault="00D52CD1" w:rsidP="00D52CD1">
      <w:pPr>
        <w:widowControl w:val="0"/>
        <w:numPr>
          <w:ilvl w:val="0"/>
          <w:numId w:val="194"/>
        </w:numPr>
        <w:tabs>
          <w:tab w:val="clear" w:pos="720"/>
          <w:tab w:val="num" w:pos="902"/>
        </w:tabs>
        <w:overflowPunct w:val="0"/>
        <w:autoSpaceDE w:val="0"/>
        <w:autoSpaceDN w:val="0"/>
        <w:adjustRightInd w:val="0"/>
        <w:spacing w:after="0" w:line="236" w:lineRule="auto"/>
        <w:ind w:left="0" w:firstLine="0"/>
        <w:jc w:val="both"/>
        <w:rPr>
          <w:rFonts w:ascii="Arial" w:hAnsi="Arial" w:cs="Arial"/>
          <w:sz w:val="22"/>
          <w:szCs w:val="22"/>
        </w:rPr>
      </w:pPr>
      <w:r w:rsidRPr="007923C2">
        <w:rPr>
          <w:rFonts w:ascii="Arial" w:hAnsi="Arial" w:cs="Arial"/>
          <w:sz w:val="22"/>
          <w:szCs w:val="22"/>
        </w:rPr>
        <w:t xml:space="preserve">Productor indirecto, a la persona moral que somete a un proceso industrial los bienes a que se refiere el artículo 5 del presente Decreto, transformándolos en bienes distintos, para proveerlos a los productores directos, para los sectores que corresponda. </w:t>
      </w:r>
    </w:p>
    <w:p w14:paraId="7A26B61A" w14:textId="77777777" w:rsidR="00D52CD1" w:rsidRPr="007923C2" w:rsidRDefault="00D52CD1" w:rsidP="00D52CD1">
      <w:pPr>
        <w:widowControl w:val="0"/>
        <w:autoSpaceDE w:val="0"/>
        <w:autoSpaceDN w:val="0"/>
        <w:adjustRightInd w:val="0"/>
        <w:spacing w:after="0" w:line="307" w:lineRule="exact"/>
        <w:jc w:val="both"/>
        <w:rPr>
          <w:rFonts w:ascii="Arial" w:hAnsi="Arial" w:cs="Arial"/>
          <w:sz w:val="22"/>
          <w:szCs w:val="22"/>
        </w:rPr>
      </w:pPr>
      <w:bookmarkStart w:id="39" w:name="page99"/>
      <w:bookmarkEnd w:id="39"/>
    </w:p>
    <w:p w14:paraId="3A25072C" w14:textId="77777777"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i/>
          <w:iCs/>
          <w:sz w:val="22"/>
          <w:szCs w:val="22"/>
        </w:rPr>
        <w:t>— - Obligaciones</w:t>
      </w:r>
    </w:p>
    <w:p w14:paraId="3990E30C" w14:textId="77777777" w:rsidR="00D52CD1" w:rsidRPr="007923C2" w:rsidRDefault="00D52CD1" w:rsidP="00D52CD1">
      <w:pPr>
        <w:widowControl w:val="0"/>
        <w:autoSpaceDE w:val="0"/>
        <w:autoSpaceDN w:val="0"/>
        <w:adjustRightInd w:val="0"/>
        <w:spacing w:after="0" w:line="137" w:lineRule="exact"/>
        <w:jc w:val="both"/>
        <w:rPr>
          <w:rFonts w:ascii="Arial" w:hAnsi="Arial" w:cs="Arial"/>
          <w:sz w:val="22"/>
          <w:szCs w:val="22"/>
        </w:rPr>
      </w:pPr>
    </w:p>
    <w:p w14:paraId="066328D1" w14:textId="77777777" w:rsidR="00D52CD1" w:rsidRPr="007923C2" w:rsidRDefault="00D52CD1" w:rsidP="00D52CD1">
      <w:pPr>
        <w:widowControl w:val="0"/>
        <w:overflowPunct w:val="0"/>
        <w:autoSpaceDE w:val="0"/>
        <w:autoSpaceDN w:val="0"/>
        <w:adjustRightInd w:val="0"/>
        <w:spacing w:after="0" w:line="242" w:lineRule="auto"/>
        <w:ind w:right="20"/>
        <w:jc w:val="both"/>
        <w:rPr>
          <w:rFonts w:ascii="Arial" w:hAnsi="Arial" w:cs="Arial"/>
          <w:sz w:val="22"/>
          <w:szCs w:val="22"/>
        </w:rPr>
      </w:pPr>
      <w:r w:rsidRPr="007923C2">
        <w:rPr>
          <w:rFonts w:ascii="Arial" w:hAnsi="Arial" w:cs="Arial"/>
          <w:sz w:val="22"/>
          <w:szCs w:val="22"/>
        </w:rPr>
        <w:t xml:space="preserve">Los productores deberán presentar un informe anual a la Secretaría de Economía de sus operaciones </w:t>
      </w:r>
      <w:r w:rsidRPr="007923C2">
        <w:rPr>
          <w:rFonts w:ascii="Arial" w:hAnsi="Arial" w:cs="Arial"/>
          <w:sz w:val="22"/>
          <w:szCs w:val="22"/>
        </w:rPr>
        <w:lastRenderedPageBreak/>
        <w:t>realizadas al amparo del programa correspondiente al ejercicio inmediato anterior a más tardar el último día hábil del mes de abril, conforme al formato y requisitos que al efecto establezca la Secretaría.</w:t>
      </w:r>
    </w:p>
    <w:p w14:paraId="25218B28" w14:textId="77777777"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14:paraId="12E43DF9" w14:textId="77777777" w:rsidR="00D52CD1" w:rsidRPr="007923C2" w:rsidRDefault="00D52CD1" w:rsidP="00D52CD1">
      <w:pPr>
        <w:widowControl w:val="0"/>
        <w:overflowPunct w:val="0"/>
        <w:autoSpaceDE w:val="0"/>
        <w:autoSpaceDN w:val="0"/>
        <w:adjustRightInd w:val="0"/>
        <w:spacing w:after="0" w:line="241" w:lineRule="auto"/>
        <w:ind w:right="20"/>
        <w:jc w:val="both"/>
        <w:rPr>
          <w:rFonts w:ascii="Arial" w:hAnsi="Arial" w:cs="Arial"/>
          <w:sz w:val="22"/>
          <w:szCs w:val="22"/>
        </w:rPr>
      </w:pPr>
      <w:r w:rsidRPr="007923C2">
        <w:rPr>
          <w:rFonts w:ascii="Arial" w:hAnsi="Arial" w:cs="Arial"/>
          <w:sz w:val="22"/>
          <w:szCs w:val="22"/>
        </w:rPr>
        <w:t>Cuando la empresa no presente el informe dentro del plazo establecido, su programa perderá temporalmente su vigencia. En caso de que para el último día hábil del mes de junio la empresa no haya presentado dicho informe el programa perderá definitivamente su vigencia.</w:t>
      </w:r>
    </w:p>
    <w:p w14:paraId="592A3506"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43411087" w14:textId="77777777" w:rsidR="00D52CD1" w:rsidRPr="007923C2" w:rsidRDefault="00D52CD1" w:rsidP="00D52CD1">
      <w:pPr>
        <w:widowControl w:val="0"/>
        <w:overflowPunct w:val="0"/>
        <w:autoSpaceDE w:val="0"/>
        <w:autoSpaceDN w:val="0"/>
        <w:adjustRightInd w:val="0"/>
        <w:spacing w:after="0" w:line="241" w:lineRule="auto"/>
        <w:ind w:right="120"/>
        <w:jc w:val="both"/>
        <w:rPr>
          <w:rFonts w:ascii="Arial" w:hAnsi="Arial" w:cs="Arial"/>
          <w:sz w:val="22"/>
          <w:szCs w:val="22"/>
        </w:rPr>
      </w:pPr>
      <w:r w:rsidRPr="007923C2">
        <w:rPr>
          <w:rFonts w:ascii="Arial" w:hAnsi="Arial" w:cs="Arial"/>
          <w:sz w:val="22"/>
          <w:szCs w:val="22"/>
        </w:rPr>
        <w:t>La presentación de este informe no exime a los productores de la obligación de utilizar el sistema informático de control de sus inventarios registrado en contabilidad, que cumpla los requisitos que al efecto establezca la Secretaría de Hacienda y Crédito Público.</w:t>
      </w:r>
    </w:p>
    <w:p w14:paraId="3223F3B8" w14:textId="77777777" w:rsidR="00D52CD1" w:rsidRPr="007923C2" w:rsidRDefault="00D52CD1" w:rsidP="00D52CD1">
      <w:pPr>
        <w:widowControl w:val="0"/>
        <w:autoSpaceDE w:val="0"/>
        <w:autoSpaceDN w:val="0"/>
        <w:adjustRightInd w:val="0"/>
        <w:spacing w:after="0" w:line="2" w:lineRule="exact"/>
        <w:jc w:val="both"/>
        <w:rPr>
          <w:rFonts w:ascii="Arial" w:hAnsi="Arial" w:cs="Arial"/>
          <w:sz w:val="22"/>
          <w:szCs w:val="22"/>
        </w:rPr>
      </w:pPr>
    </w:p>
    <w:p w14:paraId="2849AA2B" w14:textId="77777777" w:rsidR="00D52CD1" w:rsidRPr="007923C2" w:rsidRDefault="00D52CD1" w:rsidP="00D52CD1">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sz w:val="22"/>
          <w:szCs w:val="22"/>
        </w:rPr>
        <w:t>La Secretaría de Economía por sí o a solicitud de la Secretaría de Hacienda y Crédito Público cancelará la autorización del programa respectivo, cuando el productor:</w:t>
      </w:r>
    </w:p>
    <w:p w14:paraId="2D1202AC" w14:textId="77777777" w:rsidR="00D52CD1" w:rsidRPr="007923C2" w:rsidRDefault="00D52CD1" w:rsidP="00D52CD1">
      <w:pPr>
        <w:widowControl w:val="0"/>
        <w:autoSpaceDE w:val="0"/>
        <w:autoSpaceDN w:val="0"/>
        <w:adjustRightInd w:val="0"/>
        <w:spacing w:after="0" w:line="34" w:lineRule="exact"/>
        <w:jc w:val="both"/>
        <w:rPr>
          <w:rFonts w:ascii="Arial" w:hAnsi="Arial" w:cs="Arial"/>
          <w:sz w:val="22"/>
          <w:szCs w:val="22"/>
        </w:rPr>
      </w:pPr>
    </w:p>
    <w:p w14:paraId="26FD4C2A" w14:textId="77777777" w:rsidR="00D52CD1" w:rsidRPr="007923C2" w:rsidRDefault="00D52CD1" w:rsidP="00D52CD1">
      <w:pPr>
        <w:widowControl w:val="0"/>
        <w:numPr>
          <w:ilvl w:val="0"/>
          <w:numId w:val="195"/>
        </w:numPr>
        <w:tabs>
          <w:tab w:val="clear" w:pos="720"/>
          <w:tab w:val="num" w:pos="620"/>
        </w:tabs>
        <w:overflowPunct w:val="0"/>
        <w:autoSpaceDE w:val="0"/>
        <w:autoSpaceDN w:val="0"/>
        <w:adjustRightInd w:val="0"/>
        <w:spacing w:after="0" w:line="237" w:lineRule="auto"/>
        <w:ind w:left="0" w:right="60" w:firstLine="0"/>
        <w:jc w:val="both"/>
        <w:rPr>
          <w:rFonts w:ascii="Arial" w:hAnsi="Arial" w:cs="Arial"/>
          <w:sz w:val="22"/>
          <w:szCs w:val="22"/>
        </w:rPr>
      </w:pPr>
      <w:r w:rsidRPr="007923C2">
        <w:rPr>
          <w:rFonts w:ascii="Arial" w:hAnsi="Arial" w:cs="Arial"/>
          <w:sz w:val="22"/>
          <w:szCs w:val="22"/>
        </w:rPr>
        <w:t xml:space="preserve">Incumpla con lo dispuesto en el Decreto o demás disposiciones que de él deriven; </w:t>
      </w:r>
    </w:p>
    <w:p w14:paraId="5E5FAC44"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176091B6" w14:textId="77777777" w:rsidR="00D52CD1" w:rsidRPr="007923C2" w:rsidRDefault="00D52CD1" w:rsidP="00D52CD1">
      <w:pPr>
        <w:widowControl w:val="0"/>
        <w:numPr>
          <w:ilvl w:val="1"/>
          <w:numId w:val="196"/>
        </w:numPr>
        <w:tabs>
          <w:tab w:val="clear" w:pos="1440"/>
          <w:tab w:val="num" w:pos="620"/>
        </w:tabs>
        <w:overflowPunct w:val="0"/>
        <w:autoSpaceDE w:val="0"/>
        <w:autoSpaceDN w:val="0"/>
        <w:adjustRightInd w:val="0"/>
        <w:spacing w:after="0" w:line="254" w:lineRule="auto"/>
        <w:ind w:left="0" w:right="160" w:firstLine="0"/>
        <w:jc w:val="both"/>
        <w:rPr>
          <w:rFonts w:ascii="Arial" w:hAnsi="Arial" w:cs="Arial"/>
          <w:sz w:val="22"/>
          <w:szCs w:val="22"/>
        </w:rPr>
      </w:pPr>
      <w:r w:rsidRPr="007923C2">
        <w:rPr>
          <w:rFonts w:ascii="Arial" w:hAnsi="Arial" w:cs="Arial"/>
          <w:sz w:val="22"/>
          <w:szCs w:val="22"/>
        </w:rPr>
        <w:t xml:space="preserve">Deje de cumplir con las condiciones conforme a las cuales se otorgó la inscripción a los programas o incumplan con los términos establecidos en el programa que les hubiere sido aprobado, o </w:t>
      </w:r>
    </w:p>
    <w:p w14:paraId="6EC2A0E5" w14:textId="77777777" w:rsidR="00D52CD1" w:rsidRPr="007923C2" w:rsidRDefault="00D52CD1" w:rsidP="00D52CD1">
      <w:pPr>
        <w:widowControl w:val="0"/>
        <w:autoSpaceDE w:val="0"/>
        <w:autoSpaceDN w:val="0"/>
        <w:adjustRightInd w:val="0"/>
        <w:spacing w:after="0" w:line="1" w:lineRule="exact"/>
        <w:jc w:val="both"/>
        <w:rPr>
          <w:rFonts w:ascii="Arial" w:hAnsi="Arial" w:cs="Arial"/>
          <w:sz w:val="22"/>
          <w:szCs w:val="22"/>
        </w:rPr>
      </w:pPr>
    </w:p>
    <w:p w14:paraId="3BA370B8" w14:textId="77777777" w:rsidR="00D52CD1" w:rsidRPr="007923C2" w:rsidRDefault="00D52CD1" w:rsidP="00D52CD1">
      <w:pPr>
        <w:widowControl w:val="0"/>
        <w:numPr>
          <w:ilvl w:val="0"/>
          <w:numId w:val="197"/>
        </w:numPr>
        <w:tabs>
          <w:tab w:val="clear" w:pos="720"/>
          <w:tab w:val="num" w:pos="620"/>
        </w:tabs>
        <w:overflowPunct w:val="0"/>
        <w:autoSpaceDE w:val="0"/>
        <w:autoSpaceDN w:val="0"/>
        <w:adjustRightInd w:val="0"/>
        <w:spacing w:after="0" w:line="242" w:lineRule="auto"/>
        <w:ind w:left="0" w:right="60" w:firstLine="0"/>
        <w:jc w:val="both"/>
        <w:rPr>
          <w:rFonts w:ascii="Arial" w:hAnsi="Arial" w:cs="Arial"/>
          <w:sz w:val="22"/>
          <w:szCs w:val="22"/>
        </w:rPr>
      </w:pPr>
      <w:r w:rsidRPr="007923C2">
        <w:rPr>
          <w:rFonts w:ascii="Arial" w:hAnsi="Arial" w:cs="Arial"/>
          <w:sz w:val="22"/>
          <w:szCs w:val="22"/>
        </w:rPr>
        <w:t xml:space="preserve">Cuando no presente tres o más declaraciones de pagos provisionales o la declaración del ejercicio fiscal de Impuesto Sobre la Renta, Impuesto al Activo e Impuesto al Valor Agregado, o bien, cambie de domicilio fiscal sin presentar el aviso correspondiente a la Secretaría de Hacienda y Crédito Público, o no se encuentre al corriente de sus obligaciones fiscales. </w:t>
      </w:r>
    </w:p>
    <w:p w14:paraId="082822AE" w14:textId="77777777" w:rsidR="00D52CD1" w:rsidRPr="007923C2" w:rsidRDefault="00D52CD1" w:rsidP="00D52CD1">
      <w:pPr>
        <w:widowControl w:val="0"/>
        <w:autoSpaceDE w:val="0"/>
        <w:autoSpaceDN w:val="0"/>
        <w:adjustRightInd w:val="0"/>
        <w:spacing w:after="0" w:line="130" w:lineRule="exact"/>
        <w:jc w:val="both"/>
        <w:rPr>
          <w:rFonts w:ascii="Arial" w:hAnsi="Arial" w:cs="Arial"/>
          <w:sz w:val="22"/>
          <w:szCs w:val="22"/>
        </w:rPr>
      </w:pPr>
    </w:p>
    <w:p w14:paraId="06C72CE7" w14:textId="77777777" w:rsidR="00D52CD1" w:rsidRPr="007923C2" w:rsidRDefault="00D52CD1" w:rsidP="00D52CD1">
      <w:pPr>
        <w:widowControl w:val="0"/>
        <w:overflowPunct w:val="0"/>
        <w:autoSpaceDE w:val="0"/>
        <w:autoSpaceDN w:val="0"/>
        <w:adjustRightInd w:val="0"/>
        <w:spacing w:after="0" w:line="241" w:lineRule="auto"/>
        <w:ind w:right="60"/>
        <w:jc w:val="both"/>
        <w:rPr>
          <w:rFonts w:ascii="Arial" w:hAnsi="Arial" w:cs="Arial"/>
          <w:sz w:val="22"/>
          <w:szCs w:val="22"/>
        </w:rPr>
      </w:pPr>
      <w:r w:rsidRPr="007923C2">
        <w:rPr>
          <w:rFonts w:ascii="Arial" w:hAnsi="Arial" w:cs="Arial"/>
          <w:sz w:val="22"/>
          <w:szCs w:val="22"/>
        </w:rPr>
        <w:t>Los bienes importados al amparo de este Decreto no podrán ser des-tinados a propósitos distintos de los señalados en el artículo 4, pues de lo contrario el productor deberá pagar el impuesto general de importación correspondiente con autorizaciones y recargos.</w:t>
      </w:r>
    </w:p>
    <w:p w14:paraId="22125C88"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3574933E" w14:textId="77777777" w:rsidR="00D52CD1" w:rsidRPr="007923C2" w:rsidRDefault="00D52CD1" w:rsidP="00D52CD1">
      <w:pPr>
        <w:widowControl w:val="0"/>
        <w:overflowPunct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sz w:val="22"/>
          <w:szCs w:val="22"/>
        </w:rPr>
        <w:t xml:space="preserve">Tampoco podrán ser enajenados ni cedidos a ninguna otra persona, salvo que ésta opere al amparo del presente Decreto, se cumpla con las </w:t>
      </w:r>
      <w:bookmarkStart w:id="40" w:name="page101"/>
      <w:bookmarkEnd w:id="40"/>
      <w:r w:rsidRPr="007923C2">
        <w:rPr>
          <w:rFonts w:ascii="Arial" w:hAnsi="Arial" w:cs="Arial"/>
          <w:sz w:val="22"/>
          <w:szCs w:val="22"/>
        </w:rPr>
        <w:t>disposiciones contenidas en la Ley Aduanera y con las reglas que al efecto expida la Secretaría de Hacienda y Crédito Público, y siempre que el enajenante cuente con un programa autorizado y cumpla con lo dispuesto en este Decreto.</w:t>
      </w:r>
    </w:p>
    <w:p w14:paraId="54417016" w14:textId="77777777" w:rsidR="00D52CD1" w:rsidRPr="007923C2" w:rsidRDefault="00D52CD1" w:rsidP="00D52CD1">
      <w:pPr>
        <w:widowControl w:val="0"/>
        <w:autoSpaceDE w:val="0"/>
        <w:autoSpaceDN w:val="0"/>
        <w:adjustRightInd w:val="0"/>
        <w:spacing w:after="0" w:line="263" w:lineRule="exact"/>
        <w:jc w:val="both"/>
        <w:rPr>
          <w:rFonts w:ascii="Arial" w:hAnsi="Arial" w:cs="Arial"/>
          <w:sz w:val="22"/>
          <w:szCs w:val="22"/>
        </w:rPr>
      </w:pPr>
    </w:p>
    <w:p w14:paraId="6D75EF87" w14:textId="77777777"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i/>
          <w:iCs/>
          <w:sz w:val="22"/>
          <w:szCs w:val="22"/>
        </w:rPr>
        <w:t>— - Requisitos</w:t>
      </w:r>
    </w:p>
    <w:p w14:paraId="607311B1" w14:textId="77777777" w:rsidR="00D52CD1" w:rsidRPr="007923C2" w:rsidRDefault="00D52CD1" w:rsidP="00D52CD1">
      <w:pPr>
        <w:widowControl w:val="0"/>
        <w:autoSpaceDE w:val="0"/>
        <w:autoSpaceDN w:val="0"/>
        <w:adjustRightInd w:val="0"/>
        <w:spacing w:after="0" w:line="167" w:lineRule="exact"/>
        <w:jc w:val="both"/>
        <w:rPr>
          <w:rFonts w:ascii="Arial" w:hAnsi="Arial" w:cs="Arial"/>
          <w:sz w:val="22"/>
          <w:szCs w:val="22"/>
        </w:rPr>
      </w:pPr>
    </w:p>
    <w:p w14:paraId="397A92AF" w14:textId="77777777"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Para obtener autorización del programa los productores deberán:</w:t>
      </w:r>
    </w:p>
    <w:p w14:paraId="2E5A262E" w14:textId="77777777" w:rsidR="00D52CD1" w:rsidRPr="007923C2" w:rsidRDefault="00D52CD1" w:rsidP="00D52CD1">
      <w:pPr>
        <w:widowControl w:val="0"/>
        <w:autoSpaceDE w:val="0"/>
        <w:autoSpaceDN w:val="0"/>
        <w:adjustRightInd w:val="0"/>
        <w:spacing w:after="0" w:line="105" w:lineRule="exact"/>
        <w:jc w:val="both"/>
        <w:rPr>
          <w:rFonts w:ascii="Arial" w:hAnsi="Arial" w:cs="Arial"/>
          <w:sz w:val="22"/>
          <w:szCs w:val="22"/>
        </w:rPr>
      </w:pPr>
    </w:p>
    <w:p w14:paraId="53778E0C" w14:textId="77777777" w:rsidR="00D52CD1" w:rsidRPr="007923C2" w:rsidRDefault="00D52CD1" w:rsidP="00D52CD1">
      <w:pPr>
        <w:widowControl w:val="0"/>
        <w:numPr>
          <w:ilvl w:val="0"/>
          <w:numId w:val="198"/>
        </w:numPr>
        <w:tabs>
          <w:tab w:val="clear" w:pos="720"/>
          <w:tab w:val="num" w:pos="900"/>
        </w:tabs>
        <w:overflowPunct w:val="0"/>
        <w:autoSpaceDE w:val="0"/>
        <w:autoSpaceDN w:val="0"/>
        <w:adjustRightInd w:val="0"/>
        <w:spacing w:after="0" w:line="239" w:lineRule="auto"/>
        <w:ind w:left="0" w:firstLine="0"/>
        <w:jc w:val="both"/>
        <w:rPr>
          <w:rFonts w:ascii="Arial" w:hAnsi="Arial" w:cs="Arial"/>
          <w:sz w:val="22"/>
          <w:szCs w:val="22"/>
        </w:rPr>
      </w:pPr>
      <w:r w:rsidRPr="007923C2">
        <w:rPr>
          <w:rFonts w:ascii="Arial" w:hAnsi="Arial" w:cs="Arial"/>
          <w:sz w:val="22"/>
          <w:szCs w:val="22"/>
        </w:rPr>
        <w:t xml:space="preserve">Presentar solicitud ante la Secretaría de Economía, y </w:t>
      </w:r>
    </w:p>
    <w:p w14:paraId="2C914C4F" w14:textId="77777777" w:rsidR="00D52CD1" w:rsidRPr="007923C2" w:rsidRDefault="00D52CD1" w:rsidP="00D52CD1">
      <w:pPr>
        <w:widowControl w:val="0"/>
        <w:autoSpaceDE w:val="0"/>
        <w:autoSpaceDN w:val="0"/>
        <w:adjustRightInd w:val="0"/>
        <w:spacing w:after="0" w:line="17" w:lineRule="exact"/>
        <w:jc w:val="both"/>
        <w:rPr>
          <w:rFonts w:ascii="Arial" w:hAnsi="Arial" w:cs="Arial"/>
          <w:sz w:val="22"/>
          <w:szCs w:val="22"/>
        </w:rPr>
      </w:pPr>
    </w:p>
    <w:p w14:paraId="5D294665" w14:textId="77777777" w:rsidR="00D52CD1" w:rsidRPr="007923C2" w:rsidRDefault="00D52CD1" w:rsidP="00D52CD1">
      <w:pPr>
        <w:widowControl w:val="0"/>
        <w:numPr>
          <w:ilvl w:val="0"/>
          <w:numId w:val="198"/>
        </w:numPr>
        <w:tabs>
          <w:tab w:val="clear" w:pos="720"/>
          <w:tab w:val="num" w:pos="900"/>
        </w:tabs>
        <w:overflowPunct w:val="0"/>
        <w:autoSpaceDE w:val="0"/>
        <w:autoSpaceDN w:val="0"/>
        <w:adjustRightInd w:val="0"/>
        <w:spacing w:after="0" w:line="228" w:lineRule="auto"/>
        <w:ind w:left="0" w:right="360" w:firstLine="0"/>
        <w:jc w:val="both"/>
        <w:rPr>
          <w:rFonts w:ascii="Arial" w:hAnsi="Arial" w:cs="Arial"/>
          <w:sz w:val="22"/>
          <w:szCs w:val="22"/>
        </w:rPr>
      </w:pPr>
      <w:r w:rsidRPr="007923C2">
        <w:rPr>
          <w:rFonts w:ascii="Arial" w:hAnsi="Arial" w:cs="Arial"/>
          <w:sz w:val="22"/>
          <w:szCs w:val="22"/>
        </w:rPr>
        <w:t xml:space="preserve">Adjuntar copia del aviso de inscripción en el Registro Federal de Contribuyentes. </w:t>
      </w:r>
    </w:p>
    <w:p w14:paraId="137E666A" w14:textId="77777777" w:rsidR="00D52CD1" w:rsidRPr="007923C2" w:rsidRDefault="00D52CD1" w:rsidP="00D52CD1">
      <w:pPr>
        <w:widowControl w:val="0"/>
        <w:autoSpaceDE w:val="0"/>
        <w:autoSpaceDN w:val="0"/>
        <w:adjustRightInd w:val="0"/>
        <w:spacing w:after="0" w:line="196" w:lineRule="exact"/>
        <w:jc w:val="both"/>
        <w:rPr>
          <w:rFonts w:ascii="Arial" w:hAnsi="Arial" w:cs="Arial"/>
          <w:sz w:val="22"/>
          <w:szCs w:val="22"/>
        </w:rPr>
      </w:pPr>
    </w:p>
    <w:p w14:paraId="732B9C30" w14:textId="77777777" w:rsidR="00D52CD1" w:rsidRPr="007923C2" w:rsidRDefault="00D52CD1" w:rsidP="00D52CD1">
      <w:pPr>
        <w:widowControl w:val="0"/>
        <w:overflowPunct w:val="0"/>
        <w:autoSpaceDE w:val="0"/>
        <w:autoSpaceDN w:val="0"/>
        <w:adjustRightInd w:val="0"/>
        <w:spacing w:after="0" w:line="242" w:lineRule="auto"/>
        <w:ind w:right="200"/>
        <w:jc w:val="both"/>
        <w:rPr>
          <w:rFonts w:ascii="Arial" w:hAnsi="Arial" w:cs="Arial"/>
          <w:sz w:val="22"/>
          <w:szCs w:val="22"/>
        </w:rPr>
      </w:pPr>
      <w:r w:rsidRPr="007923C2">
        <w:rPr>
          <w:rFonts w:ascii="Arial" w:hAnsi="Arial" w:cs="Arial"/>
          <w:sz w:val="22"/>
          <w:szCs w:val="22"/>
        </w:rPr>
        <w:t>La Secretaría de Economía antes de emitir la resolución para la autorización de un programa solicitará opinión a la Secretaría de Hacienda y Crédito Público sobre la procedencia de otorgar dicha autorización a efectos de constatar que la empresa está al corriente de sus obligaciones fiscales, así como si ésta se encuentra sujeta al procedimiento administrativo de ejecución por algún crédito fiscal.</w:t>
      </w:r>
    </w:p>
    <w:p w14:paraId="6B13D9AB" w14:textId="77777777" w:rsidR="00D52CD1" w:rsidRPr="007923C2" w:rsidRDefault="00D52CD1" w:rsidP="00D52CD1">
      <w:pPr>
        <w:widowControl w:val="0"/>
        <w:autoSpaceDE w:val="0"/>
        <w:autoSpaceDN w:val="0"/>
        <w:adjustRightInd w:val="0"/>
        <w:spacing w:after="0" w:line="1" w:lineRule="exact"/>
        <w:jc w:val="both"/>
        <w:rPr>
          <w:rFonts w:ascii="Arial" w:hAnsi="Arial" w:cs="Arial"/>
          <w:sz w:val="22"/>
          <w:szCs w:val="22"/>
        </w:rPr>
      </w:pPr>
    </w:p>
    <w:p w14:paraId="73925540" w14:textId="77777777" w:rsidR="00D52CD1" w:rsidRPr="007923C2" w:rsidRDefault="00D52CD1" w:rsidP="00D52CD1">
      <w:pPr>
        <w:widowControl w:val="0"/>
        <w:overflowPunct w:val="0"/>
        <w:autoSpaceDE w:val="0"/>
        <w:autoSpaceDN w:val="0"/>
        <w:adjustRightInd w:val="0"/>
        <w:spacing w:after="0" w:line="236" w:lineRule="auto"/>
        <w:ind w:right="20"/>
        <w:jc w:val="both"/>
        <w:rPr>
          <w:rFonts w:ascii="Arial" w:hAnsi="Arial" w:cs="Arial"/>
          <w:sz w:val="22"/>
          <w:szCs w:val="22"/>
        </w:rPr>
      </w:pPr>
      <w:r w:rsidRPr="007923C2">
        <w:rPr>
          <w:rFonts w:ascii="Arial" w:hAnsi="Arial" w:cs="Arial"/>
          <w:sz w:val="22"/>
          <w:szCs w:val="22"/>
        </w:rPr>
        <w:t>La Secretaría de Economía emitirá la resolución correspondiente en un plazo máximo de 20 días hábiles; asimismo, comunicará a la Secretaría de Hacienda y Crédito Público las autorizaciones de registro en un plazo máximo de 3 días hábiles a partir de la fecha de autorización. Concluido el primero de los plazos sin que se emita resolución, se entenderá que se aprueba la solicitud respectiva, debiendo la Secretaría ya señalada expedir constancia escrita a petición del solicitante, en un plazo no mayor a 3 días hábiles de presentada dicha petición.</w:t>
      </w:r>
    </w:p>
    <w:p w14:paraId="4FDD7A40"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7EA7C8C8" w14:textId="77777777" w:rsidR="00D52CD1" w:rsidRPr="007923C2" w:rsidRDefault="00D52CD1" w:rsidP="00D52CD1">
      <w:pPr>
        <w:widowControl w:val="0"/>
        <w:overflowPunct w:val="0"/>
        <w:autoSpaceDE w:val="0"/>
        <w:autoSpaceDN w:val="0"/>
        <w:adjustRightInd w:val="0"/>
        <w:spacing w:after="0" w:line="241" w:lineRule="auto"/>
        <w:ind w:right="220"/>
        <w:jc w:val="both"/>
        <w:rPr>
          <w:rFonts w:ascii="Arial" w:hAnsi="Arial" w:cs="Arial"/>
          <w:sz w:val="22"/>
          <w:szCs w:val="22"/>
        </w:rPr>
      </w:pPr>
      <w:r w:rsidRPr="007923C2">
        <w:rPr>
          <w:rFonts w:ascii="Arial" w:hAnsi="Arial" w:cs="Arial"/>
          <w:sz w:val="22"/>
          <w:szCs w:val="22"/>
        </w:rPr>
        <w:t>La Secretaría de Economía no autorizará un programa a un productor que sea parte relacionada de otro productor que con anterioridad hubiera obtenido la autorización de un programa del mismo sector y que le hubiera sido cancelado en los términos del artículo 9 del presente Decreto.</w:t>
      </w:r>
    </w:p>
    <w:p w14:paraId="05CE9134"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60A524C5" w14:textId="77777777" w:rsidR="00D52CD1" w:rsidRPr="007923C2" w:rsidRDefault="00D52CD1" w:rsidP="00D52CD1">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 xml:space="preserve">La vigencia de los programas será anual y se renovará automáticamente, una vez que los productores presenten el informe anual de las operaciones realizadas al amparo del programa, a que se refiere el </w:t>
      </w:r>
      <w:r w:rsidRPr="007923C2">
        <w:rPr>
          <w:rFonts w:ascii="Arial" w:hAnsi="Arial" w:cs="Arial"/>
          <w:sz w:val="22"/>
          <w:szCs w:val="22"/>
        </w:rPr>
        <w:lastRenderedPageBreak/>
        <w:t>artículo 8 del presente Decreto.</w:t>
      </w:r>
    </w:p>
    <w:tbl>
      <w:tblPr>
        <w:tblW w:w="0" w:type="auto"/>
        <w:tblInd w:w="1580" w:type="dxa"/>
        <w:tblLayout w:type="fixed"/>
        <w:tblCellMar>
          <w:left w:w="0" w:type="dxa"/>
          <w:right w:w="0" w:type="dxa"/>
        </w:tblCellMar>
        <w:tblLook w:val="0000" w:firstRow="0" w:lastRow="0" w:firstColumn="0" w:lastColumn="0" w:noHBand="0" w:noVBand="0"/>
      </w:tblPr>
      <w:tblGrid>
        <w:gridCol w:w="3780"/>
        <w:gridCol w:w="920"/>
      </w:tblGrid>
      <w:tr w:rsidR="00D52CD1" w:rsidRPr="007923C2" w14:paraId="4786F298" w14:textId="77777777" w:rsidTr="00351F51">
        <w:trPr>
          <w:trHeight w:val="184"/>
        </w:trPr>
        <w:tc>
          <w:tcPr>
            <w:tcW w:w="3780" w:type="dxa"/>
            <w:tcBorders>
              <w:top w:val="nil"/>
              <w:left w:val="nil"/>
              <w:bottom w:val="nil"/>
              <w:right w:val="nil"/>
            </w:tcBorders>
            <w:vAlign w:val="bottom"/>
          </w:tcPr>
          <w:p w14:paraId="3A809234" w14:textId="77777777" w:rsidR="00D52CD1" w:rsidRPr="007923C2" w:rsidRDefault="00D52CD1" w:rsidP="00351F51">
            <w:pPr>
              <w:widowControl w:val="0"/>
              <w:autoSpaceDE w:val="0"/>
              <w:autoSpaceDN w:val="0"/>
              <w:adjustRightInd w:val="0"/>
              <w:spacing w:after="0" w:line="240" w:lineRule="auto"/>
              <w:jc w:val="both"/>
              <w:rPr>
                <w:rFonts w:ascii="Arial" w:hAnsi="Arial" w:cs="Arial"/>
                <w:sz w:val="22"/>
                <w:szCs w:val="22"/>
              </w:rPr>
            </w:pPr>
            <w:bookmarkStart w:id="41" w:name="page103"/>
            <w:bookmarkEnd w:id="41"/>
          </w:p>
        </w:tc>
        <w:tc>
          <w:tcPr>
            <w:tcW w:w="920" w:type="dxa"/>
            <w:tcBorders>
              <w:top w:val="nil"/>
              <w:left w:val="nil"/>
              <w:bottom w:val="nil"/>
              <w:right w:val="nil"/>
            </w:tcBorders>
            <w:vAlign w:val="bottom"/>
          </w:tcPr>
          <w:p w14:paraId="7175994C" w14:textId="77777777" w:rsidR="00D52CD1" w:rsidRPr="007923C2" w:rsidRDefault="00D52CD1" w:rsidP="00351F51">
            <w:pPr>
              <w:widowControl w:val="0"/>
              <w:autoSpaceDE w:val="0"/>
              <w:autoSpaceDN w:val="0"/>
              <w:adjustRightInd w:val="0"/>
              <w:spacing w:after="0" w:line="240" w:lineRule="auto"/>
              <w:jc w:val="both"/>
              <w:rPr>
                <w:rFonts w:ascii="Arial" w:hAnsi="Arial" w:cs="Arial"/>
                <w:sz w:val="22"/>
                <w:szCs w:val="22"/>
              </w:rPr>
            </w:pPr>
          </w:p>
        </w:tc>
      </w:tr>
    </w:tbl>
    <w:p w14:paraId="16DB2344" w14:textId="57D74DBB"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i/>
          <w:iCs/>
          <w:sz w:val="22"/>
          <w:szCs w:val="22"/>
        </w:rPr>
        <w:t xml:space="preserve"> - Relación con el Tratado de Libre Comercio de América del Norte</w:t>
      </w:r>
    </w:p>
    <w:p w14:paraId="6FE496D5" w14:textId="77777777" w:rsidR="00D52CD1" w:rsidRPr="007923C2" w:rsidRDefault="00D52CD1" w:rsidP="00D52CD1">
      <w:pPr>
        <w:widowControl w:val="0"/>
        <w:autoSpaceDE w:val="0"/>
        <w:autoSpaceDN w:val="0"/>
        <w:adjustRightInd w:val="0"/>
        <w:spacing w:after="0" w:line="273" w:lineRule="exact"/>
        <w:jc w:val="both"/>
        <w:rPr>
          <w:rFonts w:ascii="Arial" w:hAnsi="Arial" w:cs="Arial"/>
          <w:sz w:val="22"/>
          <w:szCs w:val="22"/>
        </w:rPr>
      </w:pPr>
    </w:p>
    <w:p w14:paraId="2F7B4CE3" w14:textId="77777777" w:rsidR="00D52CD1" w:rsidRPr="007923C2" w:rsidRDefault="00D52CD1" w:rsidP="00D52CD1">
      <w:pPr>
        <w:widowControl w:val="0"/>
        <w:overflowPunct w:val="0"/>
        <w:autoSpaceDE w:val="0"/>
        <w:autoSpaceDN w:val="0"/>
        <w:adjustRightInd w:val="0"/>
        <w:spacing w:after="0" w:line="243" w:lineRule="auto"/>
        <w:ind w:right="60"/>
        <w:jc w:val="both"/>
        <w:rPr>
          <w:rFonts w:ascii="Arial" w:hAnsi="Arial" w:cs="Arial"/>
          <w:sz w:val="22"/>
          <w:szCs w:val="22"/>
        </w:rPr>
      </w:pPr>
      <w:r w:rsidRPr="007923C2">
        <w:rPr>
          <w:rFonts w:ascii="Arial" w:hAnsi="Arial" w:cs="Arial"/>
          <w:sz w:val="22"/>
          <w:szCs w:val="22"/>
        </w:rPr>
        <w:t>De acuerdo con el artículo 303 del TLCAN “ninguna de las partes podrá reembolsar el monto de aranceles aduaneros pagados, ni eximir o reducir el monto de los aranceles aduaneros adecuados, en relación con un bien importado a su territorio...”. Este artículo entró en vigor, de acuerdo con el anexo 303.7, sección B, del propio TLCAN, el 1 de enero de 2001, por lo cual el gobierno mexicano ha tenido que hacer una serie de reformas a la legislación de la materia y a los programas de diferimiento y devolución de impuestos.</w:t>
      </w:r>
    </w:p>
    <w:p w14:paraId="28415C56" w14:textId="77777777" w:rsidR="00D52CD1" w:rsidRPr="007923C2" w:rsidRDefault="00D52CD1" w:rsidP="00D52CD1">
      <w:pPr>
        <w:widowControl w:val="0"/>
        <w:autoSpaceDE w:val="0"/>
        <w:autoSpaceDN w:val="0"/>
        <w:adjustRightInd w:val="0"/>
        <w:spacing w:after="0" w:line="10" w:lineRule="exact"/>
        <w:jc w:val="both"/>
        <w:rPr>
          <w:rFonts w:ascii="Arial" w:hAnsi="Arial" w:cs="Arial"/>
          <w:sz w:val="22"/>
          <w:szCs w:val="22"/>
        </w:rPr>
      </w:pPr>
    </w:p>
    <w:p w14:paraId="6E8007BC" w14:textId="77777777" w:rsidR="00D52CD1" w:rsidRPr="007923C2" w:rsidRDefault="00D52CD1" w:rsidP="00D52CD1">
      <w:pPr>
        <w:widowControl w:val="0"/>
        <w:overflowPunct w:val="0"/>
        <w:autoSpaceDE w:val="0"/>
        <w:autoSpaceDN w:val="0"/>
        <w:adjustRightInd w:val="0"/>
        <w:spacing w:after="0" w:line="255" w:lineRule="auto"/>
        <w:ind w:right="100"/>
        <w:jc w:val="both"/>
        <w:rPr>
          <w:rFonts w:ascii="Arial" w:hAnsi="Arial" w:cs="Arial"/>
          <w:sz w:val="22"/>
          <w:szCs w:val="22"/>
        </w:rPr>
      </w:pPr>
      <w:r w:rsidRPr="007923C2">
        <w:rPr>
          <w:rFonts w:ascii="Arial" w:hAnsi="Arial" w:cs="Arial"/>
          <w:sz w:val="22"/>
          <w:szCs w:val="22"/>
        </w:rPr>
        <w:t>El precepto en comento tiene como objetivo principal que algún país parte del Tratado sea utilizado por un país que no es parte de éste, para introducir sus mercancías o insumos “no originarios” en la región evadiendo los aranceles que estos países tienen establecidos para terceros países.</w:t>
      </w:r>
    </w:p>
    <w:p w14:paraId="40B5B5DA" w14:textId="77777777" w:rsidR="00D52CD1" w:rsidRPr="007923C2" w:rsidRDefault="00D52CD1" w:rsidP="00D52CD1">
      <w:pPr>
        <w:widowControl w:val="0"/>
        <w:autoSpaceDE w:val="0"/>
        <w:autoSpaceDN w:val="0"/>
        <w:adjustRightInd w:val="0"/>
        <w:spacing w:after="0" w:line="3" w:lineRule="exact"/>
        <w:jc w:val="both"/>
        <w:rPr>
          <w:rFonts w:ascii="Arial" w:hAnsi="Arial" w:cs="Arial"/>
          <w:sz w:val="22"/>
          <w:szCs w:val="22"/>
        </w:rPr>
      </w:pPr>
    </w:p>
    <w:p w14:paraId="160E3E18" w14:textId="77777777" w:rsidR="00D52CD1" w:rsidRPr="007923C2" w:rsidRDefault="00D52CD1" w:rsidP="00D52CD1">
      <w:pPr>
        <w:widowControl w:val="0"/>
        <w:overflowPunct w:val="0"/>
        <w:autoSpaceDE w:val="0"/>
        <w:autoSpaceDN w:val="0"/>
        <w:adjustRightInd w:val="0"/>
        <w:spacing w:after="0" w:line="242" w:lineRule="auto"/>
        <w:ind w:right="100"/>
        <w:jc w:val="both"/>
        <w:rPr>
          <w:rFonts w:ascii="Arial" w:hAnsi="Arial" w:cs="Arial"/>
          <w:sz w:val="22"/>
          <w:szCs w:val="22"/>
        </w:rPr>
      </w:pPr>
      <w:r w:rsidRPr="007923C2">
        <w:rPr>
          <w:rFonts w:ascii="Arial" w:hAnsi="Arial" w:cs="Arial"/>
          <w:sz w:val="22"/>
          <w:szCs w:val="22"/>
        </w:rPr>
        <w:t>Una de las acciones emprendidas por el gobierno, a través de la secretaria de economía, para acatar esta disposición ha sido la publicación de los PROSEC, con lo cual se pretende continuar con las ventajas de importación temporal que hasta antes de la entrada en vigor del artículo 303 venían gozando los exportadores mexicanos.</w:t>
      </w:r>
    </w:p>
    <w:p w14:paraId="3B70E6A7" w14:textId="77777777"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14:paraId="754D5687" w14:textId="77777777" w:rsidR="00D52CD1" w:rsidRPr="007923C2" w:rsidRDefault="00D52CD1" w:rsidP="00D52CD1">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A través de estos programas se reduce en la práctica el monto de los aranceles establecidos a las importaciones de insumos y maquinaria, provenientes de países no miembros, sean exportadores o no, siempre y cuando esas importaciones se destinen en forma directa a la producción de los sectores comprendidos en los PROSEC. Lo que en realidad se hace con estos programas es reducir el monto de los aranceles que se establecen en la TGI para igualar el arancel que imponen a las mercancías provenientes de terceros países los otros dos miembros del TLCAN, para que de esta forma el producto nacional pueda seguir siendo competitivo con respecto a los de nuestros socios comerciales.</w:t>
      </w:r>
    </w:p>
    <w:p w14:paraId="32FD6C49" w14:textId="77777777" w:rsidR="00D52CD1" w:rsidRPr="007923C2" w:rsidRDefault="00D52CD1" w:rsidP="00D52CD1">
      <w:pPr>
        <w:widowControl w:val="0"/>
        <w:autoSpaceDE w:val="0"/>
        <w:autoSpaceDN w:val="0"/>
        <w:adjustRightInd w:val="0"/>
        <w:spacing w:after="0" w:line="311" w:lineRule="exact"/>
        <w:jc w:val="both"/>
        <w:rPr>
          <w:rFonts w:ascii="Arial" w:hAnsi="Arial" w:cs="Arial"/>
          <w:sz w:val="22"/>
          <w:szCs w:val="22"/>
        </w:rPr>
      </w:pPr>
    </w:p>
    <w:p w14:paraId="3F2FEE15" w14:textId="77777777"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H. </w:t>
      </w:r>
      <w:r w:rsidRPr="007923C2">
        <w:rPr>
          <w:rFonts w:ascii="Arial" w:hAnsi="Arial" w:cs="Arial"/>
          <w:i/>
          <w:iCs/>
          <w:sz w:val="22"/>
          <w:szCs w:val="22"/>
        </w:rPr>
        <w:t>Apoyos financieros a los exportadores</w:t>
      </w:r>
    </w:p>
    <w:p w14:paraId="2CCD72FF" w14:textId="77777777" w:rsidR="00D52CD1" w:rsidRPr="007923C2" w:rsidRDefault="00D52CD1" w:rsidP="00D52CD1">
      <w:pPr>
        <w:widowControl w:val="0"/>
        <w:autoSpaceDE w:val="0"/>
        <w:autoSpaceDN w:val="0"/>
        <w:adjustRightInd w:val="0"/>
        <w:spacing w:after="0" w:line="182" w:lineRule="exact"/>
        <w:jc w:val="both"/>
        <w:rPr>
          <w:rFonts w:ascii="Arial" w:hAnsi="Arial" w:cs="Arial"/>
          <w:sz w:val="22"/>
          <w:szCs w:val="22"/>
        </w:rPr>
      </w:pPr>
    </w:p>
    <w:p w14:paraId="60C17288" w14:textId="77777777"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El financiamiento es la acción de proporcionar los recursos financieros necesarios para el funcionamiento de la empresa u organización, la empresa se financia con las</w:t>
      </w:r>
      <w:bookmarkStart w:id="42" w:name="page105"/>
      <w:bookmarkEnd w:id="42"/>
      <w:r w:rsidRPr="007923C2">
        <w:rPr>
          <w:rFonts w:ascii="Arial" w:hAnsi="Arial" w:cs="Arial"/>
          <w:sz w:val="22"/>
          <w:szCs w:val="22"/>
        </w:rPr>
        <w:t xml:space="preserve"> aportaciones iniciales y posteriores de sus socios o propietarios, los préstamos y créditos de entidades financieras u otros acreedores, el crédito comercial concedido por los proveedores y los beneficios no repartidos pro-cedentes de sus operaciones, la financiación también proporciona créditos al consumo, permitiendo aplazar el pago de las compras.</w:t>
      </w:r>
    </w:p>
    <w:p w14:paraId="7853B9B3" w14:textId="77777777" w:rsidR="00D52CD1" w:rsidRPr="007923C2" w:rsidRDefault="00D52CD1" w:rsidP="00D52CD1">
      <w:pPr>
        <w:widowControl w:val="0"/>
        <w:autoSpaceDE w:val="0"/>
        <w:autoSpaceDN w:val="0"/>
        <w:adjustRightInd w:val="0"/>
        <w:spacing w:after="0" w:line="192" w:lineRule="exact"/>
        <w:jc w:val="both"/>
        <w:rPr>
          <w:rFonts w:ascii="Arial" w:hAnsi="Arial" w:cs="Arial"/>
          <w:sz w:val="22"/>
          <w:szCs w:val="22"/>
        </w:rPr>
      </w:pPr>
    </w:p>
    <w:p w14:paraId="3F07F041" w14:textId="77777777" w:rsidR="00D52CD1" w:rsidRPr="007923C2" w:rsidRDefault="00D52CD1" w:rsidP="00D52CD1">
      <w:pPr>
        <w:widowControl w:val="0"/>
        <w:overflowPunct w:val="0"/>
        <w:autoSpaceDE w:val="0"/>
        <w:autoSpaceDN w:val="0"/>
        <w:adjustRightInd w:val="0"/>
        <w:spacing w:after="0" w:line="247" w:lineRule="auto"/>
        <w:ind w:right="40"/>
        <w:jc w:val="both"/>
        <w:rPr>
          <w:rFonts w:ascii="Arial" w:hAnsi="Arial" w:cs="Arial"/>
          <w:sz w:val="22"/>
          <w:szCs w:val="22"/>
        </w:rPr>
      </w:pPr>
      <w:r w:rsidRPr="007923C2">
        <w:rPr>
          <w:rFonts w:ascii="Arial" w:hAnsi="Arial" w:cs="Arial"/>
          <w:sz w:val="22"/>
          <w:szCs w:val="22"/>
        </w:rPr>
        <w:t>Son “fuentes de recursos de que dispone la empresa, tanto propios como ajenos, detallados en el pasivo y materializados como inversiones en el activo”.  Así, el financiamiento a las exportaciones podemos definirlo como el sistema, procedimiento o fórmula de obtención de los fondos o recursos necesarios para cubrir el valor monetario de un presupuesto, proyecto o actividad económica, enfocada a la exportación de mercancías, desarrollado por una persona, empresa o ente público, es decir, un mecanismo de fondo, cuyo objetivo último es la obtención de divisas.</w:t>
      </w:r>
    </w:p>
    <w:p w14:paraId="2E98BA91" w14:textId="77777777"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14:paraId="343A150F"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Independientemente de su tamaño, todas las empresas pueden llegar a requerir de financiamiento para desarrollar algún proyecto de exportación. No se requiere una gran infraestructura para exportar, hace falta una buena capacitación, finanzas sanas y proyectos viables.</w:t>
      </w:r>
    </w:p>
    <w:p w14:paraId="3346A5C2"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3851DDFE" w14:textId="77777777" w:rsidR="00D52CD1" w:rsidRPr="007923C2" w:rsidRDefault="00D52CD1" w:rsidP="00D52CD1">
      <w:pPr>
        <w:widowControl w:val="0"/>
        <w:overflowPunct w:val="0"/>
        <w:autoSpaceDE w:val="0"/>
        <w:autoSpaceDN w:val="0"/>
        <w:adjustRightInd w:val="0"/>
        <w:spacing w:after="0" w:line="256" w:lineRule="auto"/>
        <w:ind w:right="40"/>
        <w:jc w:val="both"/>
        <w:rPr>
          <w:rFonts w:ascii="Arial" w:hAnsi="Arial" w:cs="Arial"/>
          <w:sz w:val="22"/>
          <w:szCs w:val="22"/>
        </w:rPr>
      </w:pPr>
      <w:r w:rsidRPr="007923C2">
        <w:rPr>
          <w:rFonts w:ascii="Arial" w:hAnsi="Arial" w:cs="Arial"/>
          <w:sz w:val="22"/>
          <w:szCs w:val="22"/>
        </w:rPr>
        <w:t>En México, el Banco Mexicano de Comercio Exterior (BANCO-MEXT), desempeña una función muy importante en el apoyo financiero a las empresas. BANCOMEXT es una institución financiera de desarrollo orientada a fomentar la competitividad internacional de las empresas y promover el comercio exterior de México, particularmente de exportaciones no petroleras, así como a impulsar la atracción de inversión extranjera y la realización de coinversiones con empresas y organismos de otros países.</w:t>
      </w:r>
    </w:p>
    <w:p w14:paraId="37BE1CEF" w14:textId="77777777" w:rsidR="00D52CD1" w:rsidRPr="007923C2" w:rsidRDefault="00D52CD1" w:rsidP="00D52CD1">
      <w:pPr>
        <w:widowControl w:val="0"/>
        <w:autoSpaceDE w:val="0"/>
        <w:autoSpaceDN w:val="0"/>
        <w:adjustRightInd w:val="0"/>
        <w:spacing w:after="0" w:line="40" w:lineRule="exact"/>
        <w:jc w:val="both"/>
        <w:rPr>
          <w:rFonts w:ascii="Arial" w:hAnsi="Arial" w:cs="Arial"/>
          <w:sz w:val="22"/>
          <w:szCs w:val="22"/>
        </w:rPr>
      </w:pPr>
    </w:p>
    <w:p w14:paraId="1368D77E" w14:textId="77777777"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lastRenderedPageBreak/>
        <w:t>Los principales servicios financieros prestados por BANCOMEXT son:</w:t>
      </w:r>
    </w:p>
    <w:p w14:paraId="381FA802" w14:textId="77777777"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i/>
          <w:iCs/>
          <w:sz w:val="22"/>
          <w:szCs w:val="22"/>
        </w:rPr>
        <w:t xml:space="preserve">a)  </w:t>
      </w:r>
      <w:r w:rsidRPr="007923C2">
        <w:rPr>
          <w:rFonts w:ascii="Arial" w:hAnsi="Arial" w:cs="Arial"/>
          <w:sz w:val="22"/>
          <w:szCs w:val="22"/>
        </w:rPr>
        <w:t>Créditos al exportador</w:t>
      </w:r>
    </w:p>
    <w:p w14:paraId="317D2726" w14:textId="77777777" w:rsidR="00D52CD1" w:rsidRPr="007923C2" w:rsidRDefault="00D52CD1" w:rsidP="00D52CD1">
      <w:pPr>
        <w:widowControl w:val="0"/>
        <w:autoSpaceDE w:val="0"/>
        <w:autoSpaceDN w:val="0"/>
        <w:adjustRightInd w:val="0"/>
        <w:spacing w:after="0" w:line="190" w:lineRule="exact"/>
        <w:jc w:val="both"/>
        <w:rPr>
          <w:rFonts w:ascii="Arial" w:hAnsi="Arial" w:cs="Arial"/>
          <w:sz w:val="22"/>
          <w:szCs w:val="22"/>
        </w:rPr>
      </w:pPr>
    </w:p>
    <w:p w14:paraId="2953AF27" w14:textId="77777777"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Son créditos dirigidos a empresas con proyectos viables desde el punto de vista técnico, de mercado, administrativo y financiero relativo a la producción de bienes y/o servicios no petroleros que directa o indirecta-mente generen divisas, o que tengan potencial de exportación.</w:t>
      </w:r>
    </w:p>
    <w:p w14:paraId="0A73368D" w14:textId="77777777" w:rsidR="00D52CD1" w:rsidRPr="007923C2" w:rsidRDefault="00D52CD1" w:rsidP="00D52CD1">
      <w:pPr>
        <w:widowControl w:val="0"/>
        <w:autoSpaceDE w:val="0"/>
        <w:autoSpaceDN w:val="0"/>
        <w:adjustRightInd w:val="0"/>
        <w:spacing w:after="0" w:line="200" w:lineRule="exact"/>
        <w:jc w:val="both"/>
        <w:rPr>
          <w:rFonts w:ascii="Arial" w:hAnsi="Arial" w:cs="Arial"/>
          <w:sz w:val="22"/>
          <w:szCs w:val="22"/>
        </w:rPr>
      </w:pPr>
    </w:p>
    <w:p w14:paraId="0100685D" w14:textId="77777777" w:rsidR="00D52CD1" w:rsidRPr="007923C2" w:rsidRDefault="00D52CD1" w:rsidP="00D52CD1">
      <w:pPr>
        <w:widowControl w:val="0"/>
        <w:overflowPunct w:val="0"/>
        <w:autoSpaceDE w:val="0"/>
        <w:autoSpaceDN w:val="0"/>
        <w:adjustRightInd w:val="0"/>
        <w:spacing w:after="0" w:line="241" w:lineRule="auto"/>
        <w:ind w:right="60"/>
        <w:jc w:val="both"/>
        <w:rPr>
          <w:rFonts w:ascii="Arial" w:hAnsi="Arial" w:cs="Arial"/>
          <w:sz w:val="22"/>
          <w:szCs w:val="22"/>
        </w:rPr>
      </w:pPr>
      <w:r w:rsidRPr="007923C2">
        <w:rPr>
          <w:rFonts w:ascii="Arial" w:hAnsi="Arial" w:cs="Arial"/>
          <w:sz w:val="22"/>
          <w:szCs w:val="22"/>
        </w:rPr>
        <w:t>Para que una empresa sea susceptible de recibir un crédito por parte de BANCOMEXT, debe entregar la solicitud de crédito que el Banco le proporcione y acompañada de la información que en ella se establece para cada tipo de apoyo.</w:t>
      </w:r>
    </w:p>
    <w:p w14:paraId="07B0608D"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1474AD82" w14:textId="77777777" w:rsidR="00D52CD1" w:rsidRPr="007923C2" w:rsidRDefault="00D52CD1" w:rsidP="00D52CD1">
      <w:pPr>
        <w:widowControl w:val="0"/>
        <w:overflowPunct w:val="0"/>
        <w:autoSpaceDE w:val="0"/>
        <w:autoSpaceDN w:val="0"/>
        <w:adjustRightInd w:val="0"/>
        <w:spacing w:after="0" w:line="240" w:lineRule="auto"/>
        <w:ind w:right="120"/>
        <w:jc w:val="both"/>
        <w:rPr>
          <w:rFonts w:ascii="Arial" w:hAnsi="Arial" w:cs="Arial"/>
          <w:sz w:val="22"/>
          <w:szCs w:val="22"/>
        </w:rPr>
      </w:pPr>
      <w:r w:rsidRPr="007923C2">
        <w:rPr>
          <w:rFonts w:ascii="Arial" w:hAnsi="Arial" w:cs="Arial"/>
          <w:i/>
          <w:iCs/>
          <w:sz w:val="22"/>
          <w:szCs w:val="22"/>
        </w:rPr>
        <w:t>Ciclo productivo (preexportación)</w:t>
      </w:r>
      <w:r w:rsidRPr="007923C2">
        <w:rPr>
          <w:rFonts w:ascii="Arial" w:hAnsi="Arial" w:cs="Arial"/>
          <w:sz w:val="22"/>
          <w:szCs w:val="22"/>
        </w:rPr>
        <w:t>. Consiste en el apoyo al capital detrabajo en la fase de producción de bienes y servicios de exportación directa o indirecta.</w:t>
      </w:r>
    </w:p>
    <w:p w14:paraId="5B31209D" w14:textId="77777777"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14:paraId="06BD1B11" w14:textId="77777777" w:rsidR="00D52CD1" w:rsidRPr="007923C2" w:rsidRDefault="00D52CD1" w:rsidP="00D52CD1">
      <w:pPr>
        <w:widowControl w:val="0"/>
        <w:overflowPunct w:val="0"/>
        <w:autoSpaceDE w:val="0"/>
        <w:autoSpaceDN w:val="0"/>
        <w:adjustRightInd w:val="0"/>
        <w:spacing w:after="0" w:line="242" w:lineRule="auto"/>
        <w:ind w:right="60"/>
        <w:jc w:val="both"/>
        <w:rPr>
          <w:rFonts w:ascii="Arial" w:hAnsi="Arial" w:cs="Arial"/>
          <w:sz w:val="22"/>
          <w:szCs w:val="22"/>
        </w:rPr>
      </w:pPr>
      <w:r w:rsidRPr="007923C2">
        <w:rPr>
          <w:rFonts w:ascii="Arial" w:hAnsi="Arial" w:cs="Arial"/>
          <w:sz w:val="22"/>
          <w:szCs w:val="22"/>
        </w:rPr>
        <w:t>BANCOMEXT ofrece crédito a las empresas mexicanas para que cuenten con los recursos necesarios para financiar las etapas que constituyen el ciclo productivo: acopio y mantenimiento de materias primas; producción, acopio y existencias de bienes terminados; importación de insumos; pago de sueldos de la mano de obra directa, y la prestación de servicios.</w:t>
      </w:r>
    </w:p>
    <w:p w14:paraId="1FC405E3" w14:textId="77777777"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14:paraId="3E229D79" w14:textId="77777777" w:rsidR="00D52CD1" w:rsidRPr="007923C2" w:rsidRDefault="00D52CD1" w:rsidP="00D52CD1">
      <w:pPr>
        <w:widowControl w:val="0"/>
        <w:overflowPunct w:val="0"/>
        <w:autoSpaceDE w:val="0"/>
        <w:autoSpaceDN w:val="0"/>
        <w:adjustRightInd w:val="0"/>
        <w:spacing w:after="0" w:line="242" w:lineRule="auto"/>
        <w:ind w:right="120"/>
        <w:jc w:val="both"/>
        <w:rPr>
          <w:rFonts w:ascii="Arial" w:hAnsi="Arial" w:cs="Arial"/>
          <w:sz w:val="22"/>
          <w:szCs w:val="22"/>
        </w:rPr>
      </w:pPr>
      <w:r w:rsidRPr="007923C2">
        <w:rPr>
          <w:rFonts w:ascii="Arial" w:hAnsi="Arial" w:cs="Arial"/>
          <w:sz w:val="22"/>
          <w:szCs w:val="22"/>
        </w:rPr>
        <w:t>El financiamiento que el Banco proporciona puede representar hasta 70% de los valores de las facturas, pedidos y/o contratos, o hasta 100% del costo de producción dependiendo de las necesidades del cliente, y a plazos de 180 días para los sectores de manufacturas y servicios y hasta 360 días para los sectores agropecuario y pesca.</w:t>
      </w:r>
    </w:p>
    <w:p w14:paraId="50FFF3C9" w14:textId="77777777"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14:paraId="06385524" w14:textId="77777777" w:rsidR="00D52CD1" w:rsidRPr="007923C2" w:rsidRDefault="00D52CD1" w:rsidP="00D52CD1">
      <w:pPr>
        <w:widowControl w:val="0"/>
        <w:overflowPunct w:val="0"/>
        <w:autoSpaceDE w:val="0"/>
        <w:autoSpaceDN w:val="0"/>
        <w:adjustRightInd w:val="0"/>
        <w:spacing w:after="0" w:line="255" w:lineRule="auto"/>
        <w:jc w:val="both"/>
        <w:rPr>
          <w:rFonts w:ascii="Arial" w:hAnsi="Arial" w:cs="Arial"/>
          <w:sz w:val="22"/>
          <w:szCs w:val="22"/>
        </w:rPr>
      </w:pPr>
      <w:r w:rsidRPr="007923C2">
        <w:rPr>
          <w:rFonts w:ascii="Arial" w:hAnsi="Arial" w:cs="Arial"/>
          <w:i/>
          <w:iCs/>
          <w:sz w:val="22"/>
          <w:szCs w:val="22"/>
        </w:rPr>
        <w:t>Ventas de exportación</w:t>
      </w:r>
      <w:r w:rsidRPr="007923C2">
        <w:rPr>
          <w:rFonts w:ascii="Arial" w:hAnsi="Arial" w:cs="Arial"/>
          <w:sz w:val="22"/>
          <w:szCs w:val="22"/>
        </w:rPr>
        <w:t>. Este esquema es para la aportación de recursos al capital de trabajo durante el plazo de recuperación del monto facturado en exportación directa o indirecta de bienes o servicios. BANCO-MEXT presta recursos financieros a las empresas mexicanas para que éstas, a su vez, otorguen crédito a sus compradores, y de esta forma puedan ofrecer a sus clientes productos y servicios en condiciones competitivas.</w:t>
      </w:r>
    </w:p>
    <w:p w14:paraId="3A2707DE" w14:textId="77777777" w:rsidR="00D52CD1" w:rsidRPr="007923C2" w:rsidRDefault="00D52CD1" w:rsidP="00D52CD1">
      <w:pPr>
        <w:widowControl w:val="0"/>
        <w:autoSpaceDE w:val="0"/>
        <w:autoSpaceDN w:val="0"/>
        <w:adjustRightInd w:val="0"/>
        <w:spacing w:after="0" w:line="4" w:lineRule="exact"/>
        <w:jc w:val="both"/>
        <w:rPr>
          <w:rFonts w:ascii="Arial" w:hAnsi="Arial" w:cs="Arial"/>
          <w:sz w:val="22"/>
          <w:szCs w:val="22"/>
        </w:rPr>
      </w:pPr>
    </w:p>
    <w:p w14:paraId="0665958F" w14:textId="77777777" w:rsidR="00D52CD1" w:rsidRPr="007923C2" w:rsidRDefault="00D52CD1" w:rsidP="00D52CD1">
      <w:pPr>
        <w:widowControl w:val="0"/>
        <w:overflowPunct w:val="0"/>
        <w:autoSpaceDE w:val="0"/>
        <w:autoSpaceDN w:val="0"/>
        <w:adjustRightInd w:val="0"/>
        <w:spacing w:after="0" w:line="242" w:lineRule="auto"/>
        <w:ind w:right="120"/>
        <w:jc w:val="both"/>
        <w:rPr>
          <w:rFonts w:ascii="Arial" w:hAnsi="Arial" w:cs="Arial"/>
          <w:sz w:val="22"/>
          <w:szCs w:val="22"/>
        </w:rPr>
      </w:pPr>
      <w:r w:rsidRPr="007923C2">
        <w:rPr>
          <w:rFonts w:ascii="Arial" w:hAnsi="Arial" w:cs="Arial"/>
          <w:sz w:val="22"/>
          <w:szCs w:val="22"/>
        </w:rPr>
        <w:t>Dependiendo de las necesidades del cliente, BANCOMEXT puede financiar hasta 90% del valor de las facturas, pedidos y/o contratos, en el caso de ventas a corto plazo, y de hasta 85% del valor de la factura o hasta 100% del contenido nacional de producción, el que sea menor, en el caso de ventas de largo plazo.</w:t>
      </w:r>
    </w:p>
    <w:p w14:paraId="0227547D"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39E0E21A" w14:textId="77777777" w:rsidR="00D52CD1" w:rsidRPr="007923C2" w:rsidRDefault="00D52CD1" w:rsidP="00D52CD1">
      <w:pPr>
        <w:widowControl w:val="0"/>
        <w:overflowPunct w:val="0"/>
        <w:autoSpaceDE w:val="0"/>
        <w:autoSpaceDN w:val="0"/>
        <w:adjustRightInd w:val="0"/>
        <w:spacing w:after="0" w:line="242" w:lineRule="auto"/>
        <w:ind w:right="120"/>
        <w:jc w:val="both"/>
        <w:rPr>
          <w:rFonts w:ascii="Arial" w:hAnsi="Arial" w:cs="Arial"/>
          <w:sz w:val="22"/>
          <w:szCs w:val="22"/>
        </w:rPr>
      </w:pPr>
      <w:r w:rsidRPr="007923C2">
        <w:rPr>
          <w:rFonts w:ascii="Arial" w:hAnsi="Arial" w:cs="Arial"/>
          <w:i/>
          <w:iCs/>
          <w:sz w:val="22"/>
          <w:szCs w:val="22"/>
        </w:rPr>
        <w:t>Proyectos de inversión</w:t>
      </w:r>
      <w:r w:rsidRPr="007923C2">
        <w:rPr>
          <w:rFonts w:ascii="Arial" w:hAnsi="Arial" w:cs="Arial"/>
          <w:sz w:val="22"/>
          <w:szCs w:val="22"/>
        </w:rPr>
        <w:t>. El Banco financia proyectos generadores dedivisas, ya sea de nueva creación o la ampliación o modernización de empresas ya establecidas. BANCOMEXT financia hasta 50% del monto total de la inversión para proyectos de nueva creación y hasta 85% del valor del proyecto en el caso de proyectos completos, de ampliaciones y/o modernizaciones de empresas en marcha.</w:t>
      </w:r>
    </w:p>
    <w:p w14:paraId="034EDD1D" w14:textId="77777777"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14:paraId="0385479A" w14:textId="77777777" w:rsidR="00D52CD1" w:rsidRPr="007923C2" w:rsidRDefault="00D52CD1" w:rsidP="00D52CD1">
      <w:pPr>
        <w:widowControl w:val="0"/>
        <w:overflowPunct w:val="0"/>
        <w:autoSpaceDE w:val="0"/>
        <w:autoSpaceDN w:val="0"/>
        <w:adjustRightInd w:val="0"/>
        <w:spacing w:after="0" w:line="240" w:lineRule="auto"/>
        <w:ind w:right="120"/>
        <w:jc w:val="both"/>
        <w:rPr>
          <w:rFonts w:ascii="Arial" w:hAnsi="Arial" w:cs="Arial"/>
          <w:sz w:val="22"/>
          <w:szCs w:val="22"/>
        </w:rPr>
      </w:pPr>
      <w:r w:rsidRPr="007923C2">
        <w:rPr>
          <w:rFonts w:ascii="Arial" w:hAnsi="Arial" w:cs="Arial"/>
          <w:sz w:val="22"/>
          <w:szCs w:val="22"/>
        </w:rPr>
        <w:t>Los créditos se otorgan en dólares estadounidenses o en moneda nacional, de acuerdo con los requerimientos del cliente, a plazos que se de-terminan en función de los flujos de ingresos del proyecto.</w:t>
      </w:r>
    </w:p>
    <w:p w14:paraId="2B189CEA" w14:textId="77777777" w:rsidR="00D52CD1" w:rsidRPr="007923C2" w:rsidRDefault="00D52CD1" w:rsidP="00D52CD1">
      <w:pPr>
        <w:widowControl w:val="0"/>
        <w:overflowPunct w:val="0"/>
        <w:autoSpaceDE w:val="0"/>
        <w:autoSpaceDN w:val="0"/>
        <w:adjustRightInd w:val="0"/>
        <w:spacing w:after="0" w:line="243" w:lineRule="auto"/>
        <w:ind w:right="60"/>
        <w:jc w:val="both"/>
        <w:rPr>
          <w:rFonts w:ascii="Arial" w:hAnsi="Arial" w:cs="Arial"/>
          <w:sz w:val="22"/>
          <w:szCs w:val="22"/>
        </w:rPr>
      </w:pPr>
      <w:r w:rsidRPr="007923C2">
        <w:rPr>
          <w:rFonts w:ascii="Arial" w:hAnsi="Arial" w:cs="Arial"/>
          <w:i/>
          <w:iCs/>
          <w:sz w:val="22"/>
          <w:szCs w:val="22"/>
        </w:rPr>
        <w:t>Adquisición de unidades de equipo importadas</w:t>
      </w:r>
      <w:r w:rsidRPr="007923C2">
        <w:rPr>
          <w:rFonts w:ascii="Arial" w:hAnsi="Arial" w:cs="Arial"/>
          <w:sz w:val="22"/>
          <w:szCs w:val="22"/>
        </w:rPr>
        <w:t>. BANCOMEXT otorga recursos financieros a las empresas mexicanas para que compren maquinaria o equipo, preferentemente de importación, con el fin de que cuenten con la tecnología de punta que les permita estar en condiciones competitivas para participar en los mercados internacionales. El Banco financia hasta 85% del valor de la maquinaria o el equipo en dólares estadounidenses, en moneda nacional, o en la moneda del país de origen de la maquinaria o del equipo, de acuerdo con los requerimientos del cliente, a plazos de hasta cinco años.</w:t>
      </w:r>
    </w:p>
    <w:p w14:paraId="6A488FCB" w14:textId="77777777" w:rsidR="00D52CD1" w:rsidRPr="007923C2" w:rsidRDefault="00D52CD1" w:rsidP="00D52CD1">
      <w:pPr>
        <w:widowControl w:val="0"/>
        <w:autoSpaceDE w:val="0"/>
        <w:autoSpaceDN w:val="0"/>
        <w:adjustRightInd w:val="0"/>
        <w:spacing w:after="0" w:line="315" w:lineRule="exact"/>
        <w:ind w:right="60"/>
        <w:jc w:val="both"/>
        <w:rPr>
          <w:rFonts w:ascii="Arial" w:hAnsi="Arial" w:cs="Arial"/>
          <w:sz w:val="22"/>
          <w:szCs w:val="22"/>
        </w:rPr>
      </w:pPr>
    </w:p>
    <w:p w14:paraId="7CC144AF" w14:textId="77777777" w:rsidR="00D52CD1" w:rsidRPr="007923C2" w:rsidRDefault="00D52CD1" w:rsidP="00D52CD1">
      <w:pPr>
        <w:widowControl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i/>
          <w:iCs/>
          <w:sz w:val="22"/>
          <w:szCs w:val="22"/>
        </w:rPr>
        <w:t xml:space="preserve">b)  </w:t>
      </w:r>
      <w:r w:rsidRPr="007923C2">
        <w:rPr>
          <w:rFonts w:ascii="Arial" w:hAnsi="Arial" w:cs="Arial"/>
          <w:sz w:val="22"/>
          <w:szCs w:val="22"/>
        </w:rPr>
        <w:t>Cartas de crédito</w:t>
      </w:r>
    </w:p>
    <w:p w14:paraId="1D74DF51" w14:textId="77777777" w:rsidR="00D52CD1" w:rsidRPr="007923C2" w:rsidRDefault="00D52CD1" w:rsidP="00D52CD1">
      <w:pPr>
        <w:widowControl w:val="0"/>
        <w:autoSpaceDE w:val="0"/>
        <w:autoSpaceDN w:val="0"/>
        <w:adjustRightInd w:val="0"/>
        <w:spacing w:after="0" w:line="200" w:lineRule="exact"/>
        <w:ind w:right="60"/>
        <w:jc w:val="both"/>
        <w:rPr>
          <w:rFonts w:ascii="Arial" w:hAnsi="Arial" w:cs="Arial"/>
          <w:sz w:val="22"/>
          <w:szCs w:val="22"/>
        </w:rPr>
      </w:pPr>
    </w:p>
    <w:p w14:paraId="27A7F614" w14:textId="77777777" w:rsidR="00D52CD1" w:rsidRPr="007923C2" w:rsidRDefault="00D52CD1" w:rsidP="00D52CD1">
      <w:pPr>
        <w:widowControl w:val="0"/>
        <w:overflowPunct w:val="0"/>
        <w:autoSpaceDE w:val="0"/>
        <w:autoSpaceDN w:val="0"/>
        <w:adjustRightInd w:val="0"/>
        <w:spacing w:after="0" w:line="242" w:lineRule="auto"/>
        <w:ind w:right="60"/>
        <w:jc w:val="both"/>
        <w:rPr>
          <w:rFonts w:ascii="Arial" w:hAnsi="Arial" w:cs="Arial"/>
          <w:sz w:val="22"/>
          <w:szCs w:val="22"/>
        </w:rPr>
      </w:pPr>
      <w:r w:rsidRPr="007923C2">
        <w:rPr>
          <w:rFonts w:ascii="Arial" w:hAnsi="Arial" w:cs="Arial"/>
          <w:sz w:val="22"/>
          <w:szCs w:val="22"/>
        </w:rPr>
        <w:t xml:space="preserve">BANCOMEXT ofrece el servicio de cartas de crédito para brindar al exportador la certeza de recibir el pago de sus ventas por parte del importador. En este sentido, BANCOMEXT actúa como banco notificador o confirmador, recibiendo cartas de crédito de exportación provenientes del extranjero a </w:t>
      </w:r>
      <w:r w:rsidRPr="007923C2">
        <w:rPr>
          <w:rFonts w:ascii="Arial" w:hAnsi="Arial" w:cs="Arial"/>
          <w:sz w:val="22"/>
          <w:szCs w:val="22"/>
        </w:rPr>
        <w:lastRenderedPageBreak/>
        <w:t>favor de exportadores mexicanos. El pago a estas empresas se realiza puntualmente, una vez que los documentos presentados cumplan con los términos y condiciones establecidas.</w:t>
      </w:r>
    </w:p>
    <w:p w14:paraId="719813F6" w14:textId="77777777" w:rsidR="00D52CD1" w:rsidRPr="007923C2" w:rsidRDefault="00D52CD1" w:rsidP="00D52CD1">
      <w:pPr>
        <w:widowControl w:val="0"/>
        <w:autoSpaceDE w:val="0"/>
        <w:autoSpaceDN w:val="0"/>
        <w:adjustRightInd w:val="0"/>
        <w:spacing w:after="0" w:line="17" w:lineRule="exact"/>
        <w:ind w:right="60"/>
        <w:jc w:val="both"/>
        <w:rPr>
          <w:rFonts w:ascii="Arial" w:hAnsi="Arial" w:cs="Arial"/>
          <w:sz w:val="22"/>
          <w:szCs w:val="22"/>
        </w:rPr>
      </w:pPr>
    </w:p>
    <w:p w14:paraId="7242B522" w14:textId="77777777" w:rsidR="00D52CD1" w:rsidRPr="007923C2" w:rsidRDefault="00D52CD1" w:rsidP="00D52CD1">
      <w:pPr>
        <w:widowControl w:val="0"/>
        <w:overflowPunct w:val="0"/>
        <w:autoSpaceDE w:val="0"/>
        <w:autoSpaceDN w:val="0"/>
        <w:adjustRightInd w:val="0"/>
        <w:spacing w:after="0" w:line="241" w:lineRule="auto"/>
        <w:ind w:right="60"/>
        <w:jc w:val="both"/>
        <w:rPr>
          <w:rFonts w:ascii="Arial" w:hAnsi="Arial" w:cs="Arial"/>
          <w:sz w:val="22"/>
          <w:szCs w:val="22"/>
        </w:rPr>
      </w:pPr>
      <w:r w:rsidRPr="007923C2">
        <w:rPr>
          <w:rFonts w:ascii="Arial" w:hAnsi="Arial" w:cs="Arial"/>
          <w:sz w:val="22"/>
          <w:szCs w:val="22"/>
        </w:rPr>
        <w:t>Para cartas de crédito de exportación no es necesario cubrir requisito alguno, salvo que el exportador solicite al importador que la carta de crédito irrevocable, y de preferencia confirmada, sea enviada por el banco extranjero directamente a BANCOMEXT.</w:t>
      </w:r>
    </w:p>
    <w:p w14:paraId="042BC16E" w14:textId="77777777" w:rsidR="00D52CD1" w:rsidRPr="007923C2" w:rsidRDefault="00D52CD1" w:rsidP="00D52CD1">
      <w:pPr>
        <w:widowControl w:val="0"/>
        <w:autoSpaceDE w:val="0"/>
        <w:autoSpaceDN w:val="0"/>
        <w:adjustRightInd w:val="0"/>
        <w:spacing w:after="0" w:line="320" w:lineRule="exact"/>
        <w:ind w:right="60"/>
        <w:jc w:val="both"/>
        <w:rPr>
          <w:rFonts w:ascii="Arial" w:hAnsi="Arial" w:cs="Arial"/>
          <w:sz w:val="22"/>
          <w:szCs w:val="22"/>
        </w:rPr>
      </w:pPr>
    </w:p>
    <w:p w14:paraId="1DA857FA" w14:textId="77777777" w:rsidR="00D52CD1" w:rsidRPr="007923C2" w:rsidRDefault="00D52CD1" w:rsidP="00D52CD1">
      <w:pPr>
        <w:widowControl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i/>
          <w:iCs/>
          <w:sz w:val="22"/>
          <w:szCs w:val="22"/>
        </w:rPr>
        <w:t xml:space="preserve">c)  </w:t>
      </w:r>
      <w:r w:rsidRPr="007923C2">
        <w:rPr>
          <w:rFonts w:ascii="Arial" w:hAnsi="Arial" w:cs="Arial"/>
          <w:sz w:val="22"/>
          <w:szCs w:val="22"/>
        </w:rPr>
        <w:t>Garantías</w:t>
      </w:r>
    </w:p>
    <w:p w14:paraId="5E43E271" w14:textId="77777777" w:rsidR="00D52CD1" w:rsidRPr="007923C2" w:rsidRDefault="00D52CD1" w:rsidP="00D52CD1">
      <w:pPr>
        <w:widowControl w:val="0"/>
        <w:autoSpaceDE w:val="0"/>
        <w:autoSpaceDN w:val="0"/>
        <w:adjustRightInd w:val="0"/>
        <w:spacing w:after="0" w:line="137" w:lineRule="exact"/>
        <w:ind w:right="60"/>
        <w:jc w:val="both"/>
        <w:rPr>
          <w:rFonts w:ascii="Arial" w:hAnsi="Arial" w:cs="Arial"/>
          <w:sz w:val="22"/>
          <w:szCs w:val="22"/>
        </w:rPr>
      </w:pPr>
    </w:p>
    <w:p w14:paraId="6D52F3F9" w14:textId="77777777" w:rsidR="00D52CD1" w:rsidRPr="007923C2" w:rsidRDefault="00D52CD1" w:rsidP="00D52CD1">
      <w:pPr>
        <w:widowControl w:val="0"/>
        <w:overflowPunct w:val="0"/>
        <w:autoSpaceDE w:val="0"/>
        <w:autoSpaceDN w:val="0"/>
        <w:adjustRightInd w:val="0"/>
        <w:spacing w:after="0" w:line="242" w:lineRule="auto"/>
        <w:ind w:right="60"/>
        <w:jc w:val="both"/>
        <w:rPr>
          <w:rFonts w:ascii="Arial" w:hAnsi="Arial" w:cs="Arial"/>
          <w:sz w:val="22"/>
          <w:szCs w:val="22"/>
        </w:rPr>
      </w:pPr>
      <w:r w:rsidRPr="007923C2">
        <w:rPr>
          <w:rFonts w:ascii="Arial" w:hAnsi="Arial" w:cs="Arial"/>
          <w:sz w:val="22"/>
          <w:szCs w:val="22"/>
        </w:rPr>
        <w:t>BANCOMEXT ofrece esquemas complementarios al financiamiento, que permitan a los exportadores incursionar en mercados que implican riesgos, con objeto de facilitar a los exportadores mexicanos el acceso al crédito y reducir el riesgo de falta de pago de sus ventas en los mercados internacionales, contribuyendo a crear un entorno de certidumbre que fomente el desarrollo de actividades de comercio exterior.</w:t>
      </w:r>
    </w:p>
    <w:p w14:paraId="22667904" w14:textId="77777777" w:rsidR="00D52CD1" w:rsidRPr="007923C2" w:rsidRDefault="00D52CD1" w:rsidP="00D52CD1">
      <w:pPr>
        <w:widowControl w:val="0"/>
        <w:autoSpaceDE w:val="0"/>
        <w:autoSpaceDN w:val="0"/>
        <w:adjustRightInd w:val="0"/>
        <w:spacing w:after="0" w:line="7" w:lineRule="exact"/>
        <w:ind w:right="60"/>
        <w:jc w:val="both"/>
        <w:rPr>
          <w:rFonts w:ascii="Arial" w:hAnsi="Arial" w:cs="Arial"/>
          <w:sz w:val="22"/>
          <w:szCs w:val="22"/>
        </w:rPr>
      </w:pPr>
    </w:p>
    <w:p w14:paraId="503D551C" w14:textId="77777777" w:rsidR="00D52CD1" w:rsidRPr="007923C2" w:rsidRDefault="00D52CD1" w:rsidP="00D52CD1">
      <w:pPr>
        <w:widowControl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sz w:val="22"/>
          <w:szCs w:val="22"/>
        </w:rPr>
        <w:t>Las garantías que ofrece BANCOMEXT son:</w:t>
      </w:r>
    </w:p>
    <w:p w14:paraId="5BF6F806" w14:textId="77777777" w:rsidR="00D52CD1" w:rsidRPr="007923C2" w:rsidRDefault="00D52CD1" w:rsidP="00D52CD1">
      <w:pPr>
        <w:widowControl w:val="0"/>
        <w:autoSpaceDE w:val="0"/>
        <w:autoSpaceDN w:val="0"/>
        <w:adjustRightInd w:val="0"/>
        <w:spacing w:after="0" w:line="113" w:lineRule="exact"/>
        <w:ind w:right="60"/>
        <w:jc w:val="both"/>
        <w:rPr>
          <w:rFonts w:ascii="Arial" w:hAnsi="Arial" w:cs="Arial"/>
          <w:sz w:val="22"/>
          <w:szCs w:val="22"/>
        </w:rPr>
      </w:pPr>
    </w:p>
    <w:p w14:paraId="2C95EAC1" w14:textId="77777777" w:rsidR="00D52CD1" w:rsidRPr="007923C2" w:rsidRDefault="00D52CD1" w:rsidP="00D52CD1">
      <w:pPr>
        <w:widowControl w:val="0"/>
        <w:numPr>
          <w:ilvl w:val="0"/>
          <w:numId w:val="199"/>
        </w:numPr>
        <w:tabs>
          <w:tab w:val="clear" w:pos="720"/>
        </w:tabs>
        <w:overflowPunct w:val="0"/>
        <w:autoSpaceDE w:val="0"/>
        <w:autoSpaceDN w:val="0"/>
        <w:adjustRightInd w:val="0"/>
        <w:spacing w:after="0" w:line="240" w:lineRule="auto"/>
        <w:ind w:left="0" w:right="60" w:firstLine="0"/>
        <w:jc w:val="both"/>
        <w:rPr>
          <w:rFonts w:ascii="Arial" w:hAnsi="Arial" w:cs="Arial"/>
          <w:sz w:val="22"/>
          <w:szCs w:val="22"/>
        </w:rPr>
      </w:pPr>
      <w:r w:rsidRPr="007923C2">
        <w:rPr>
          <w:rFonts w:ascii="Arial" w:hAnsi="Arial" w:cs="Arial"/>
          <w:sz w:val="22"/>
          <w:szCs w:val="22"/>
        </w:rPr>
        <w:t xml:space="preserve">Garantías de preembarque </w:t>
      </w:r>
    </w:p>
    <w:p w14:paraId="0E5BA929" w14:textId="77777777" w:rsidR="00D52CD1" w:rsidRPr="007923C2" w:rsidRDefault="00D52CD1" w:rsidP="00D52CD1">
      <w:pPr>
        <w:widowControl w:val="0"/>
        <w:autoSpaceDE w:val="0"/>
        <w:autoSpaceDN w:val="0"/>
        <w:adjustRightInd w:val="0"/>
        <w:spacing w:after="0" w:line="16" w:lineRule="exact"/>
        <w:ind w:right="60"/>
        <w:jc w:val="both"/>
        <w:rPr>
          <w:rFonts w:ascii="Arial" w:hAnsi="Arial" w:cs="Arial"/>
          <w:sz w:val="22"/>
          <w:szCs w:val="22"/>
        </w:rPr>
      </w:pPr>
    </w:p>
    <w:p w14:paraId="6D754277" w14:textId="77777777" w:rsidR="00D52CD1" w:rsidRPr="007923C2" w:rsidRDefault="00D52CD1" w:rsidP="00D52CD1">
      <w:pPr>
        <w:widowControl w:val="0"/>
        <w:numPr>
          <w:ilvl w:val="0"/>
          <w:numId w:val="199"/>
        </w:numPr>
        <w:tabs>
          <w:tab w:val="clear" w:pos="720"/>
        </w:tabs>
        <w:overflowPunct w:val="0"/>
        <w:autoSpaceDE w:val="0"/>
        <w:autoSpaceDN w:val="0"/>
        <w:adjustRightInd w:val="0"/>
        <w:spacing w:after="0" w:line="214" w:lineRule="auto"/>
        <w:ind w:left="0" w:right="60" w:firstLine="0"/>
        <w:jc w:val="both"/>
        <w:rPr>
          <w:rFonts w:ascii="Arial" w:hAnsi="Arial" w:cs="Arial"/>
          <w:sz w:val="22"/>
          <w:szCs w:val="22"/>
        </w:rPr>
      </w:pPr>
      <w:r w:rsidRPr="007923C2">
        <w:rPr>
          <w:rFonts w:ascii="Arial" w:hAnsi="Arial" w:cs="Arial"/>
          <w:sz w:val="22"/>
          <w:szCs w:val="22"/>
        </w:rPr>
        <w:t xml:space="preserve">Garantía de postembarque global </w:t>
      </w:r>
    </w:p>
    <w:p w14:paraId="4683AE64" w14:textId="77777777" w:rsidR="00D52CD1" w:rsidRPr="007923C2" w:rsidRDefault="00D52CD1" w:rsidP="00D52CD1">
      <w:pPr>
        <w:widowControl w:val="0"/>
        <w:autoSpaceDE w:val="0"/>
        <w:autoSpaceDN w:val="0"/>
        <w:adjustRightInd w:val="0"/>
        <w:spacing w:after="0" w:line="16" w:lineRule="exact"/>
        <w:ind w:right="60"/>
        <w:jc w:val="both"/>
        <w:rPr>
          <w:rFonts w:ascii="Arial" w:hAnsi="Arial" w:cs="Arial"/>
          <w:sz w:val="22"/>
          <w:szCs w:val="22"/>
        </w:rPr>
      </w:pPr>
    </w:p>
    <w:p w14:paraId="44C6002E" w14:textId="77777777" w:rsidR="00D52CD1" w:rsidRPr="007923C2" w:rsidRDefault="00D52CD1" w:rsidP="00D52CD1">
      <w:pPr>
        <w:widowControl w:val="0"/>
        <w:numPr>
          <w:ilvl w:val="0"/>
          <w:numId w:val="199"/>
        </w:numPr>
        <w:tabs>
          <w:tab w:val="clear" w:pos="720"/>
        </w:tabs>
        <w:overflowPunct w:val="0"/>
        <w:autoSpaceDE w:val="0"/>
        <w:autoSpaceDN w:val="0"/>
        <w:adjustRightInd w:val="0"/>
        <w:spacing w:after="0" w:line="212" w:lineRule="auto"/>
        <w:ind w:left="0" w:right="60" w:firstLine="0"/>
        <w:jc w:val="both"/>
        <w:rPr>
          <w:rFonts w:ascii="Arial" w:hAnsi="Arial" w:cs="Arial"/>
          <w:sz w:val="22"/>
          <w:szCs w:val="22"/>
        </w:rPr>
      </w:pPr>
      <w:r w:rsidRPr="007923C2">
        <w:rPr>
          <w:rFonts w:ascii="Arial" w:hAnsi="Arial" w:cs="Arial"/>
          <w:sz w:val="22"/>
          <w:szCs w:val="22"/>
        </w:rPr>
        <w:t xml:space="preserve">Garantía de postembarque específica </w:t>
      </w:r>
    </w:p>
    <w:p w14:paraId="7B01B3FB" w14:textId="77777777" w:rsidR="00D52CD1" w:rsidRPr="007923C2" w:rsidRDefault="00D52CD1" w:rsidP="00D52CD1">
      <w:pPr>
        <w:widowControl w:val="0"/>
        <w:numPr>
          <w:ilvl w:val="0"/>
          <w:numId w:val="200"/>
        </w:numPr>
        <w:tabs>
          <w:tab w:val="clear" w:pos="720"/>
        </w:tabs>
        <w:overflowPunct w:val="0"/>
        <w:autoSpaceDE w:val="0"/>
        <w:autoSpaceDN w:val="0"/>
        <w:adjustRightInd w:val="0"/>
        <w:spacing w:after="0" w:line="239" w:lineRule="auto"/>
        <w:ind w:left="0" w:right="60" w:firstLine="0"/>
        <w:jc w:val="both"/>
        <w:rPr>
          <w:rFonts w:ascii="Arial" w:hAnsi="Arial" w:cs="Arial"/>
          <w:sz w:val="22"/>
          <w:szCs w:val="22"/>
        </w:rPr>
      </w:pPr>
      <w:r w:rsidRPr="007923C2">
        <w:rPr>
          <w:rFonts w:ascii="Arial" w:hAnsi="Arial" w:cs="Arial"/>
          <w:sz w:val="22"/>
          <w:szCs w:val="22"/>
        </w:rPr>
        <w:t xml:space="preserve">Garantía amplia de crédito </w:t>
      </w:r>
    </w:p>
    <w:p w14:paraId="0B62AB22" w14:textId="77777777" w:rsidR="00D52CD1" w:rsidRPr="007923C2" w:rsidRDefault="00D52CD1" w:rsidP="00D52CD1">
      <w:pPr>
        <w:widowControl w:val="0"/>
        <w:autoSpaceDE w:val="0"/>
        <w:autoSpaceDN w:val="0"/>
        <w:adjustRightInd w:val="0"/>
        <w:spacing w:after="0" w:line="17" w:lineRule="exact"/>
        <w:ind w:right="60"/>
        <w:jc w:val="both"/>
        <w:rPr>
          <w:rFonts w:ascii="Arial" w:hAnsi="Arial" w:cs="Arial"/>
          <w:sz w:val="22"/>
          <w:szCs w:val="22"/>
        </w:rPr>
      </w:pPr>
    </w:p>
    <w:p w14:paraId="634BF012" w14:textId="77777777" w:rsidR="00D52CD1" w:rsidRPr="007923C2" w:rsidRDefault="00D52CD1" w:rsidP="00D52CD1">
      <w:pPr>
        <w:widowControl w:val="0"/>
        <w:numPr>
          <w:ilvl w:val="0"/>
          <w:numId w:val="200"/>
        </w:numPr>
        <w:tabs>
          <w:tab w:val="clear" w:pos="720"/>
        </w:tabs>
        <w:overflowPunct w:val="0"/>
        <w:autoSpaceDE w:val="0"/>
        <w:autoSpaceDN w:val="0"/>
        <w:adjustRightInd w:val="0"/>
        <w:spacing w:after="0" w:line="214" w:lineRule="auto"/>
        <w:ind w:left="0" w:right="60" w:firstLine="0"/>
        <w:jc w:val="both"/>
        <w:rPr>
          <w:rFonts w:ascii="Arial" w:hAnsi="Arial" w:cs="Arial"/>
          <w:sz w:val="22"/>
          <w:szCs w:val="22"/>
        </w:rPr>
      </w:pPr>
      <w:r w:rsidRPr="007923C2">
        <w:rPr>
          <w:rFonts w:ascii="Arial" w:hAnsi="Arial" w:cs="Arial"/>
          <w:sz w:val="22"/>
          <w:szCs w:val="22"/>
        </w:rPr>
        <w:t xml:space="preserve">Garantías contractuales </w:t>
      </w:r>
    </w:p>
    <w:p w14:paraId="7345CFA2" w14:textId="77777777" w:rsidR="00D52CD1" w:rsidRPr="007923C2" w:rsidRDefault="00D52CD1" w:rsidP="00D52CD1">
      <w:pPr>
        <w:widowControl w:val="0"/>
        <w:autoSpaceDE w:val="0"/>
        <w:autoSpaceDN w:val="0"/>
        <w:adjustRightInd w:val="0"/>
        <w:spacing w:after="0" w:line="339" w:lineRule="exact"/>
        <w:ind w:right="60"/>
        <w:jc w:val="both"/>
        <w:rPr>
          <w:rFonts w:ascii="Arial" w:hAnsi="Arial" w:cs="Arial"/>
          <w:sz w:val="22"/>
          <w:szCs w:val="22"/>
        </w:rPr>
      </w:pPr>
    </w:p>
    <w:p w14:paraId="583B65AC" w14:textId="77777777" w:rsidR="00D52CD1" w:rsidRPr="007923C2" w:rsidRDefault="00D52CD1" w:rsidP="00D52CD1">
      <w:pPr>
        <w:widowControl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i/>
          <w:iCs/>
          <w:sz w:val="22"/>
          <w:szCs w:val="22"/>
        </w:rPr>
        <w:t xml:space="preserve">d)  </w:t>
      </w:r>
      <w:r w:rsidRPr="007923C2">
        <w:rPr>
          <w:rFonts w:ascii="Arial" w:hAnsi="Arial" w:cs="Arial"/>
          <w:sz w:val="22"/>
          <w:szCs w:val="22"/>
        </w:rPr>
        <w:t>Capital de riesgo</w:t>
      </w:r>
    </w:p>
    <w:p w14:paraId="79B86002" w14:textId="77777777" w:rsidR="00D52CD1" w:rsidRPr="007923C2" w:rsidRDefault="00D52CD1" w:rsidP="00D52CD1">
      <w:pPr>
        <w:widowControl w:val="0"/>
        <w:autoSpaceDE w:val="0"/>
        <w:autoSpaceDN w:val="0"/>
        <w:adjustRightInd w:val="0"/>
        <w:spacing w:after="0" w:line="145" w:lineRule="exact"/>
        <w:ind w:right="60"/>
        <w:jc w:val="both"/>
        <w:rPr>
          <w:rFonts w:ascii="Arial" w:hAnsi="Arial" w:cs="Arial"/>
          <w:sz w:val="22"/>
          <w:szCs w:val="22"/>
        </w:rPr>
      </w:pPr>
    </w:p>
    <w:p w14:paraId="3148157A" w14:textId="77777777" w:rsidR="00D52CD1" w:rsidRPr="007923C2" w:rsidRDefault="00D52CD1" w:rsidP="00D52CD1">
      <w:pPr>
        <w:widowControl w:val="0"/>
        <w:overflowPunct w:val="0"/>
        <w:autoSpaceDE w:val="0"/>
        <w:autoSpaceDN w:val="0"/>
        <w:adjustRightInd w:val="0"/>
        <w:spacing w:after="0" w:line="242" w:lineRule="auto"/>
        <w:ind w:right="60"/>
        <w:jc w:val="both"/>
        <w:rPr>
          <w:rFonts w:ascii="Arial" w:hAnsi="Arial" w:cs="Arial"/>
          <w:sz w:val="22"/>
          <w:szCs w:val="22"/>
        </w:rPr>
      </w:pPr>
      <w:r w:rsidRPr="007923C2">
        <w:rPr>
          <w:rFonts w:ascii="Arial" w:hAnsi="Arial" w:cs="Arial"/>
          <w:sz w:val="22"/>
          <w:szCs w:val="22"/>
        </w:rPr>
        <w:t>BANCOMEXT apoya a las empresas mexicanas mediante la participación de su capital social con el fin de fortalecer su estructura financiera, fomentar la incorporación de inversionistas nacionales o extranjeros, o desarrollar proyectos de expansión que les permitan incrementar su competitividad internacional. La participación accionaria de BANCOMEXT es temporal y minoritaria, hasta por un máximo de 25% del capital social de la empresa.</w:t>
      </w:r>
    </w:p>
    <w:p w14:paraId="356CC0C3" w14:textId="77777777" w:rsidR="00D52CD1" w:rsidRPr="007923C2" w:rsidRDefault="00D52CD1" w:rsidP="00D52CD1">
      <w:pPr>
        <w:widowControl w:val="0"/>
        <w:autoSpaceDE w:val="0"/>
        <w:autoSpaceDN w:val="0"/>
        <w:adjustRightInd w:val="0"/>
        <w:spacing w:after="0" w:line="331" w:lineRule="exact"/>
        <w:ind w:right="60"/>
        <w:jc w:val="both"/>
        <w:rPr>
          <w:rFonts w:ascii="Arial" w:hAnsi="Arial" w:cs="Arial"/>
          <w:sz w:val="22"/>
          <w:szCs w:val="22"/>
        </w:rPr>
      </w:pPr>
    </w:p>
    <w:p w14:paraId="282BD1B5" w14:textId="77777777" w:rsidR="00D52CD1" w:rsidRPr="007923C2" w:rsidRDefault="00D52CD1" w:rsidP="00D52CD1">
      <w:pPr>
        <w:widowControl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i/>
          <w:iCs/>
          <w:sz w:val="22"/>
          <w:szCs w:val="22"/>
        </w:rPr>
        <w:t xml:space="preserve">e)  </w:t>
      </w:r>
      <w:r w:rsidRPr="007923C2">
        <w:rPr>
          <w:rFonts w:ascii="Arial" w:hAnsi="Arial" w:cs="Arial"/>
          <w:sz w:val="22"/>
          <w:szCs w:val="22"/>
        </w:rPr>
        <w:t>Servicios de tesorería</w:t>
      </w:r>
    </w:p>
    <w:p w14:paraId="3418D091" w14:textId="77777777" w:rsidR="00D52CD1" w:rsidRPr="007923C2" w:rsidRDefault="00D52CD1" w:rsidP="00D52CD1">
      <w:pPr>
        <w:widowControl w:val="0"/>
        <w:autoSpaceDE w:val="0"/>
        <w:autoSpaceDN w:val="0"/>
        <w:adjustRightInd w:val="0"/>
        <w:spacing w:after="0" w:line="142" w:lineRule="exact"/>
        <w:ind w:right="60"/>
        <w:jc w:val="both"/>
        <w:rPr>
          <w:rFonts w:ascii="Arial" w:hAnsi="Arial" w:cs="Arial"/>
          <w:sz w:val="22"/>
          <w:szCs w:val="22"/>
        </w:rPr>
      </w:pPr>
    </w:p>
    <w:p w14:paraId="37060CEA" w14:textId="77777777" w:rsidR="00D52CD1" w:rsidRPr="007923C2" w:rsidRDefault="00D52CD1" w:rsidP="00D52CD1">
      <w:pPr>
        <w:widowControl w:val="0"/>
        <w:numPr>
          <w:ilvl w:val="0"/>
          <w:numId w:val="201"/>
        </w:numPr>
        <w:tabs>
          <w:tab w:val="clear" w:pos="720"/>
        </w:tabs>
        <w:overflowPunct w:val="0"/>
        <w:autoSpaceDE w:val="0"/>
        <w:autoSpaceDN w:val="0"/>
        <w:adjustRightInd w:val="0"/>
        <w:spacing w:after="0" w:line="239" w:lineRule="auto"/>
        <w:ind w:left="0" w:right="60" w:firstLine="0"/>
        <w:jc w:val="both"/>
        <w:rPr>
          <w:rFonts w:ascii="Arial" w:hAnsi="Arial" w:cs="Arial"/>
          <w:sz w:val="22"/>
          <w:szCs w:val="22"/>
        </w:rPr>
      </w:pPr>
      <w:r w:rsidRPr="007923C2">
        <w:rPr>
          <w:rFonts w:ascii="Arial" w:hAnsi="Arial" w:cs="Arial"/>
          <w:sz w:val="22"/>
          <w:szCs w:val="22"/>
        </w:rPr>
        <w:t xml:space="preserve">Compraventa de divisas </w:t>
      </w:r>
      <w:r w:rsidRPr="007923C2">
        <w:rPr>
          <w:rFonts w:ascii="Arial" w:hAnsi="Arial" w:cs="Arial"/>
          <w:i/>
          <w:iCs/>
          <w:sz w:val="22"/>
          <w:szCs w:val="22"/>
        </w:rPr>
        <w:t>spot</w:t>
      </w:r>
      <w:r w:rsidRPr="007923C2">
        <w:rPr>
          <w:rFonts w:ascii="Arial" w:hAnsi="Arial" w:cs="Arial"/>
          <w:sz w:val="22"/>
          <w:szCs w:val="22"/>
        </w:rPr>
        <w:t xml:space="preserve">. </w:t>
      </w:r>
    </w:p>
    <w:p w14:paraId="7E2A365C" w14:textId="77777777" w:rsidR="00D52CD1" w:rsidRPr="007923C2" w:rsidRDefault="00D52CD1" w:rsidP="00D52CD1">
      <w:pPr>
        <w:widowControl w:val="0"/>
        <w:autoSpaceDE w:val="0"/>
        <w:autoSpaceDN w:val="0"/>
        <w:adjustRightInd w:val="0"/>
        <w:spacing w:after="0" w:line="1" w:lineRule="exact"/>
        <w:ind w:right="60"/>
        <w:jc w:val="both"/>
        <w:rPr>
          <w:rFonts w:ascii="Arial" w:hAnsi="Arial" w:cs="Arial"/>
          <w:sz w:val="22"/>
          <w:szCs w:val="22"/>
        </w:rPr>
      </w:pPr>
    </w:p>
    <w:p w14:paraId="347460F5" w14:textId="77777777" w:rsidR="00D52CD1" w:rsidRPr="007923C2" w:rsidRDefault="00D52CD1" w:rsidP="00D52CD1">
      <w:pPr>
        <w:widowControl w:val="0"/>
        <w:numPr>
          <w:ilvl w:val="0"/>
          <w:numId w:val="201"/>
        </w:numPr>
        <w:tabs>
          <w:tab w:val="clear" w:pos="720"/>
        </w:tabs>
        <w:overflowPunct w:val="0"/>
        <w:autoSpaceDE w:val="0"/>
        <w:autoSpaceDN w:val="0"/>
        <w:adjustRightInd w:val="0"/>
        <w:spacing w:after="0" w:line="212" w:lineRule="auto"/>
        <w:ind w:left="0" w:right="60" w:firstLine="0"/>
        <w:jc w:val="both"/>
        <w:rPr>
          <w:rFonts w:ascii="Arial" w:hAnsi="Arial" w:cs="Arial"/>
          <w:sz w:val="22"/>
          <w:szCs w:val="22"/>
        </w:rPr>
      </w:pPr>
      <w:r w:rsidRPr="007923C2">
        <w:rPr>
          <w:rFonts w:ascii="Arial" w:hAnsi="Arial" w:cs="Arial"/>
          <w:sz w:val="22"/>
          <w:szCs w:val="22"/>
        </w:rPr>
        <w:t xml:space="preserve">Compraventa de dólares a futuro, conocida también como </w:t>
      </w:r>
      <w:r w:rsidRPr="007923C2">
        <w:rPr>
          <w:rFonts w:ascii="Arial" w:hAnsi="Arial" w:cs="Arial"/>
          <w:i/>
          <w:iCs/>
          <w:sz w:val="22"/>
          <w:szCs w:val="22"/>
        </w:rPr>
        <w:t>forward</w:t>
      </w:r>
      <w:r w:rsidRPr="007923C2">
        <w:rPr>
          <w:rFonts w:ascii="Arial" w:hAnsi="Arial" w:cs="Arial"/>
          <w:sz w:val="22"/>
          <w:szCs w:val="22"/>
        </w:rPr>
        <w:t xml:space="preserve"> o contrato adelantado. </w:t>
      </w:r>
    </w:p>
    <w:p w14:paraId="6FB86274" w14:textId="77777777" w:rsidR="00D52CD1" w:rsidRPr="007923C2" w:rsidRDefault="00D52CD1" w:rsidP="00D52CD1">
      <w:pPr>
        <w:widowControl w:val="0"/>
        <w:autoSpaceDE w:val="0"/>
        <w:autoSpaceDN w:val="0"/>
        <w:adjustRightInd w:val="0"/>
        <w:spacing w:after="0" w:line="1" w:lineRule="exact"/>
        <w:ind w:right="60"/>
        <w:jc w:val="both"/>
        <w:rPr>
          <w:rFonts w:ascii="Arial" w:hAnsi="Arial" w:cs="Arial"/>
          <w:sz w:val="22"/>
          <w:szCs w:val="22"/>
        </w:rPr>
      </w:pPr>
    </w:p>
    <w:p w14:paraId="0FA5F8F9" w14:textId="77777777" w:rsidR="00D52CD1" w:rsidRPr="007923C2" w:rsidRDefault="00D52CD1" w:rsidP="00D52CD1">
      <w:pPr>
        <w:widowControl w:val="0"/>
        <w:numPr>
          <w:ilvl w:val="0"/>
          <w:numId w:val="201"/>
        </w:numPr>
        <w:tabs>
          <w:tab w:val="clear" w:pos="720"/>
        </w:tabs>
        <w:overflowPunct w:val="0"/>
        <w:autoSpaceDE w:val="0"/>
        <w:autoSpaceDN w:val="0"/>
        <w:adjustRightInd w:val="0"/>
        <w:spacing w:after="0" w:line="202" w:lineRule="auto"/>
        <w:ind w:left="0" w:right="60" w:firstLine="0"/>
        <w:jc w:val="both"/>
        <w:rPr>
          <w:rFonts w:ascii="Arial" w:hAnsi="Arial" w:cs="Arial"/>
          <w:sz w:val="22"/>
          <w:szCs w:val="22"/>
        </w:rPr>
      </w:pPr>
      <w:r w:rsidRPr="007923C2">
        <w:rPr>
          <w:rFonts w:ascii="Arial" w:hAnsi="Arial" w:cs="Arial"/>
          <w:sz w:val="22"/>
          <w:szCs w:val="22"/>
        </w:rPr>
        <w:t xml:space="preserve">Mesa de dinero. </w:t>
      </w:r>
    </w:p>
    <w:p w14:paraId="6D4D339C" w14:textId="77777777" w:rsidR="00D52CD1" w:rsidRPr="007923C2" w:rsidRDefault="00D52CD1" w:rsidP="00D52CD1">
      <w:pPr>
        <w:widowControl w:val="0"/>
        <w:autoSpaceDE w:val="0"/>
        <w:autoSpaceDN w:val="0"/>
        <w:adjustRightInd w:val="0"/>
        <w:spacing w:after="0" w:line="276" w:lineRule="exact"/>
        <w:ind w:right="60"/>
        <w:jc w:val="both"/>
        <w:rPr>
          <w:rFonts w:ascii="Arial" w:hAnsi="Arial" w:cs="Arial"/>
          <w:sz w:val="22"/>
          <w:szCs w:val="22"/>
        </w:rPr>
      </w:pPr>
    </w:p>
    <w:p w14:paraId="45C1C8A1" w14:textId="77777777" w:rsidR="00D52CD1" w:rsidRPr="007923C2" w:rsidRDefault="00D52CD1" w:rsidP="00D52CD1">
      <w:pPr>
        <w:widowControl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i/>
          <w:iCs/>
          <w:sz w:val="22"/>
          <w:szCs w:val="22"/>
        </w:rPr>
        <w:t xml:space="preserve">f)  </w:t>
      </w:r>
      <w:r w:rsidRPr="007923C2">
        <w:rPr>
          <w:rFonts w:ascii="Arial" w:hAnsi="Arial" w:cs="Arial"/>
          <w:sz w:val="22"/>
          <w:szCs w:val="22"/>
        </w:rPr>
        <w:t>Banca de inversión</w:t>
      </w:r>
    </w:p>
    <w:p w14:paraId="363AA420" w14:textId="77777777" w:rsidR="00D52CD1" w:rsidRPr="007923C2" w:rsidRDefault="00D52CD1" w:rsidP="00D52CD1">
      <w:pPr>
        <w:widowControl w:val="0"/>
        <w:autoSpaceDE w:val="0"/>
        <w:autoSpaceDN w:val="0"/>
        <w:adjustRightInd w:val="0"/>
        <w:spacing w:after="0" w:line="142" w:lineRule="exact"/>
        <w:ind w:right="60"/>
        <w:jc w:val="both"/>
        <w:rPr>
          <w:rFonts w:ascii="Arial" w:hAnsi="Arial" w:cs="Arial"/>
          <w:sz w:val="22"/>
          <w:szCs w:val="22"/>
        </w:rPr>
      </w:pPr>
    </w:p>
    <w:p w14:paraId="02B73F16" w14:textId="77777777" w:rsidR="00D52CD1" w:rsidRDefault="00D52CD1" w:rsidP="00D52CD1">
      <w:pPr>
        <w:widowControl w:val="0"/>
        <w:overflowPunct w:val="0"/>
        <w:autoSpaceDE w:val="0"/>
        <w:autoSpaceDN w:val="0"/>
        <w:adjustRightInd w:val="0"/>
        <w:spacing w:after="0" w:line="242" w:lineRule="auto"/>
        <w:ind w:right="60"/>
        <w:jc w:val="both"/>
        <w:rPr>
          <w:rFonts w:ascii="Arial" w:hAnsi="Arial" w:cs="Arial"/>
          <w:sz w:val="22"/>
          <w:szCs w:val="22"/>
        </w:rPr>
      </w:pPr>
      <w:r w:rsidRPr="007923C2">
        <w:rPr>
          <w:rFonts w:ascii="Arial" w:hAnsi="Arial" w:cs="Arial"/>
          <w:sz w:val="22"/>
          <w:szCs w:val="22"/>
        </w:rPr>
        <w:t>El servicio de banca de inversión de BANCOMEXT consiste en el diseño y estructuración de esquemas innovadores de financiamiento para el desarrollo de proyectos, utilizando ingeniería financiera, productos derivados, emisiones de instrumentos de deuda, bursatilización de activos, sindicación de créditos, fusiones y adquisiciones.</w:t>
      </w:r>
    </w:p>
    <w:p w14:paraId="4AFBF234" w14:textId="77777777" w:rsidR="00FE0FDC" w:rsidRDefault="00FE0FDC" w:rsidP="00D52CD1">
      <w:pPr>
        <w:widowControl w:val="0"/>
        <w:overflowPunct w:val="0"/>
        <w:autoSpaceDE w:val="0"/>
        <w:autoSpaceDN w:val="0"/>
        <w:adjustRightInd w:val="0"/>
        <w:spacing w:after="0" w:line="242" w:lineRule="auto"/>
        <w:ind w:right="60"/>
        <w:jc w:val="both"/>
        <w:rPr>
          <w:rFonts w:ascii="Arial" w:hAnsi="Arial" w:cs="Arial"/>
          <w:sz w:val="22"/>
          <w:szCs w:val="22"/>
        </w:rPr>
      </w:pPr>
    </w:p>
    <w:p w14:paraId="3E878C1C" w14:textId="77777777" w:rsidR="001278DD" w:rsidRDefault="001278DD" w:rsidP="00D52CD1">
      <w:pPr>
        <w:widowControl w:val="0"/>
        <w:overflowPunct w:val="0"/>
        <w:autoSpaceDE w:val="0"/>
        <w:autoSpaceDN w:val="0"/>
        <w:adjustRightInd w:val="0"/>
        <w:spacing w:after="0" w:line="242" w:lineRule="auto"/>
        <w:ind w:right="60"/>
        <w:jc w:val="both"/>
        <w:rPr>
          <w:rFonts w:ascii="Arial" w:hAnsi="Arial" w:cs="Arial"/>
          <w:b/>
          <w:sz w:val="22"/>
          <w:szCs w:val="22"/>
        </w:rPr>
      </w:pPr>
    </w:p>
    <w:p w14:paraId="7116E922" w14:textId="77777777" w:rsidR="00FE0FDC" w:rsidRPr="000F7EEC" w:rsidRDefault="000F7EEC" w:rsidP="00D52CD1">
      <w:pPr>
        <w:widowControl w:val="0"/>
        <w:overflowPunct w:val="0"/>
        <w:autoSpaceDE w:val="0"/>
        <w:autoSpaceDN w:val="0"/>
        <w:adjustRightInd w:val="0"/>
        <w:spacing w:after="0" w:line="242" w:lineRule="auto"/>
        <w:ind w:right="60"/>
        <w:jc w:val="both"/>
        <w:rPr>
          <w:rFonts w:ascii="Arial" w:hAnsi="Arial" w:cs="Arial"/>
          <w:b/>
          <w:sz w:val="22"/>
          <w:szCs w:val="22"/>
        </w:rPr>
      </w:pPr>
      <w:r w:rsidRPr="000F7EEC">
        <w:rPr>
          <w:rFonts w:ascii="Arial" w:hAnsi="Arial" w:cs="Arial"/>
          <w:b/>
          <w:sz w:val="22"/>
          <w:szCs w:val="22"/>
        </w:rPr>
        <w:t>4.2.3.4.-DISPOSICIONES DE LA SEP, CIEES, ANUIES.</w:t>
      </w:r>
    </w:p>
    <w:p w14:paraId="16FAAAD3" w14:textId="77777777" w:rsidR="00FE0FDC" w:rsidRPr="000F7EEC" w:rsidRDefault="00FE0FDC" w:rsidP="00D52CD1">
      <w:pPr>
        <w:widowControl w:val="0"/>
        <w:overflowPunct w:val="0"/>
        <w:autoSpaceDE w:val="0"/>
        <w:autoSpaceDN w:val="0"/>
        <w:adjustRightInd w:val="0"/>
        <w:spacing w:after="0" w:line="242" w:lineRule="auto"/>
        <w:ind w:right="60"/>
        <w:jc w:val="both"/>
        <w:rPr>
          <w:rFonts w:ascii="Arial" w:hAnsi="Arial" w:cs="Arial"/>
          <w:b/>
          <w:sz w:val="22"/>
          <w:szCs w:val="22"/>
        </w:rPr>
      </w:pPr>
    </w:p>
    <w:p w14:paraId="297822AA" w14:textId="77777777"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CONSIDERACIONES GENERALES SOBRE EL PROCESO DE</w:t>
      </w:r>
    </w:p>
    <w:p w14:paraId="00D6AE93" w14:textId="77777777"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ACREDITACION DE LAS INSTITUCIONES DE EDUCACION SUPERIOR EN MEXICO</w:t>
      </w:r>
    </w:p>
    <w:p w14:paraId="46F3F693" w14:textId="77777777"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Secretaría General Ejecutiva de la ANUIES</w:t>
      </w:r>
    </w:p>
    <w:p w14:paraId="18472F96" w14:textId="77777777" w:rsidR="00D96D3E" w:rsidRPr="00353C2A" w:rsidRDefault="00D96D3E" w:rsidP="00D96D3E">
      <w:pPr>
        <w:autoSpaceDE w:val="0"/>
        <w:autoSpaceDN w:val="0"/>
        <w:adjustRightInd w:val="0"/>
        <w:spacing w:after="0" w:line="240" w:lineRule="auto"/>
        <w:jc w:val="both"/>
        <w:rPr>
          <w:rFonts w:ascii="Arial" w:hAnsi="Arial" w:cs="Arial"/>
          <w:sz w:val="22"/>
          <w:szCs w:val="22"/>
        </w:rPr>
      </w:pPr>
    </w:p>
    <w:p w14:paraId="7DF945AF" w14:textId="77777777"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I. CONSIDERACIONES EN TORNO AL CONCEPTO DE ACREDITACION</w:t>
      </w:r>
    </w:p>
    <w:p w14:paraId="5EF3539E" w14:textId="77777777" w:rsidR="00D96D3E"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lastRenderedPageBreak/>
        <w:t>La acreditación, en su connotación tanto institucional como individual, implica una búsqueda de reconocimiento social y de prestigio por parte de individuos e instituciones. En este sentido, los procesos de acreditación se han constituido en un requerimiento imperativo.</w:t>
      </w:r>
    </w:p>
    <w:p w14:paraId="37DBB6C8" w14:textId="77777777" w:rsidR="001D1FAE" w:rsidRPr="00353C2A" w:rsidRDefault="001D1FAE" w:rsidP="00D96D3E">
      <w:pPr>
        <w:autoSpaceDE w:val="0"/>
        <w:autoSpaceDN w:val="0"/>
        <w:adjustRightInd w:val="0"/>
        <w:spacing w:after="0" w:line="240" w:lineRule="auto"/>
        <w:jc w:val="both"/>
        <w:rPr>
          <w:rFonts w:ascii="Arial" w:hAnsi="Arial" w:cs="Arial"/>
          <w:sz w:val="22"/>
          <w:szCs w:val="22"/>
        </w:rPr>
      </w:pPr>
    </w:p>
    <w:p w14:paraId="02FFDD18" w14:textId="77777777"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En México, la importancia de abordar la problemática inherente a dichos procesos ha promovido el desarrollo de reflexiones de interés y, en algunos casos, se ha traducido en políticas educativas para el desarrollo de éste nivel, particularmente en los últimos planes propuestos para este fin. Sin embargo, este tema no ha sido estudiado sistemáticamente, ya que los trabajos concernientes han desarrollado solamente reflexiones generales que no llegan a precisar el concepto y los alcances de la acreditación (Arredondo: 1989, p. 53).</w:t>
      </w:r>
    </w:p>
    <w:p w14:paraId="2CD18B4E" w14:textId="77777777"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 xml:space="preserve">La ANUIES, a partir de </w:t>
      </w:r>
      <w:r>
        <w:rPr>
          <w:rFonts w:ascii="Arial" w:hAnsi="Arial" w:cs="Arial"/>
        </w:rPr>
        <w:t>l</w:t>
      </w:r>
      <w:r w:rsidRPr="00353C2A">
        <w:rPr>
          <w:rFonts w:ascii="Arial" w:hAnsi="Arial" w:cs="Arial"/>
          <w:sz w:val="22"/>
          <w:szCs w:val="22"/>
        </w:rPr>
        <w:t>a XIV Asamblea General, celebrada en Tepic, en 1972, recomendó dar atención al tema de la acreditación, definida como \un sistema de créditos". En este sentido, el crédito se concibe como la unidad de valor de una asignatura. Esta definición fue incorporada en algunas disposiciones internas, reglamentarias de las universidades públicas.</w:t>
      </w:r>
    </w:p>
    <w:p w14:paraId="7DDA01E8" w14:textId="77777777" w:rsidR="00D96D3E"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Con un alcance conceptual semejante, la acreditación representó, en las modalidades abiertas del sistema de educación básica y superior, un procedimiento encaminado a otorgar reconocimiento a las habilidades y destrezas adquiridas.</w:t>
      </w:r>
    </w:p>
    <w:p w14:paraId="2F881892" w14:textId="77777777" w:rsidR="00D96D3E" w:rsidRPr="00353C2A" w:rsidRDefault="00D96D3E" w:rsidP="00D96D3E">
      <w:pPr>
        <w:autoSpaceDE w:val="0"/>
        <w:autoSpaceDN w:val="0"/>
        <w:adjustRightInd w:val="0"/>
        <w:spacing w:after="0" w:line="240" w:lineRule="auto"/>
        <w:jc w:val="both"/>
        <w:rPr>
          <w:rFonts w:ascii="Arial" w:hAnsi="Arial" w:cs="Arial"/>
          <w:sz w:val="22"/>
          <w:szCs w:val="22"/>
        </w:rPr>
      </w:pPr>
    </w:p>
    <w:p w14:paraId="1323531D" w14:textId="77777777" w:rsidR="00D96D3E"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Actualmente, este significado de la acreditación persiste como reconocimiento de grados de estudio y se define como un conjunto de \mecanismos y formas mediante las cuales se obtiene evidencia de que un sujeto posee un saber en determinado campo del conocimiento" (Chapela: 1993; p. 159). Sin embargo, en los últimos años, la acreditación fue adquiriendo mayor relevancia y precisión debido a la creciente preocupación por elevar la calidad académica de las instituciones educativas. De esta manera, se han emprendido una serie de esfuerzos, entre los que cabe destacar los siguientes: la creación de los Comités Interinstitucionales para la Evaluaciónde la Educación Superior (CIEES); las acciones de evaluación institucional, promovidos por la CONAEVA; el establecimiento de criterios de clasificación de los programas de posgrado por parte del CONACYT; y los criterios para otorgar recursos a través del Fondo para la Modernización de la Educación Superior (FOMES).</w:t>
      </w:r>
    </w:p>
    <w:p w14:paraId="4D382A3E" w14:textId="77777777" w:rsidR="001D1FAE" w:rsidRPr="00353C2A" w:rsidRDefault="001D1FAE" w:rsidP="00D96D3E">
      <w:pPr>
        <w:autoSpaceDE w:val="0"/>
        <w:autoSpaceDN w:val="0"/>
        <w:adjustRightInd w:val="0"/>
        <w:spacing w:after="0" w:line="240" w:lineRule="auto"/>
        <w:jc w:val="both"/>
        <w:rPr>
          <w:rFonts w:ascii="Arial" w:hAnsi="Arial" w:cs="Arial"/>
          <w:sz w:val="22"/>
          <w:szCs w:val="22"/>
        </w:rPr>
      </w:pPr>
    </w:p>
    <w:p w14:paraId="7EB97AE4" w14:textId="77777777"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Todos estos esfuerzos parecen indicar que el sistema de educación superior nacional pretende alcanzar una mayor calidad, utilizando procedimientos de acreditación.</w:t>
      </w:r>
    </w:p>
    <w:p w14:paraId="2CAC6C06" w14:textId="77777777" w:rsidR="00D96D3E"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Los esfuerzos mencionados y las reflexiones expuestas sobre esta temática en algunos documentos de reciente publicación, han promovido una mayor especificidad conceptual. Así, aun cuando se sigue aceptando el término \acreditación" como un proceso de certificación de destrezas individuales, se ha llegado a considerar también como un proceso de reconocimiento de planes y programas educativos, y de instituciones.</w:t>
      </w:r>
    </w:p>
    <w:p w14:paraId="6DB8EAEF" w14:textId="77777777" w:rsidR="00D96D3E" w:rsidRPr="00353C2A" w:rsidRDefault="00D96D3E" w:rsidP="00D96D3E">
      <w:pPr>
        <w:autoSpaceDE w:val="0"/>
        <w:autoSpaceDN w:val="0"/>
        <w:adjustRightInd w:val="0"/>
        <w:spacing w:after="0" w:line="240" w:lineRule="auto"/>
        <w:jc w:val="both"/>
        <w:rPr>
          <w:rFonts w:ascii="Arial" w:hAnsi="Arial" w:cs="Arial"/>
          <w:sz w:val="22"/>
          <w:szCs w:val="22"/>
        </w:rPr>
      </w:pPr>
    </w:p>
    <w:p w14:paraId="6A19BAF9" w14:textId="77777777"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Como se ha mencionado anteriormente, en México, el término \acreditación" ha sido empleado con múltiples significados. Se ha referido a procesos de evaluación y regulación institucional, así como también a la certificación, revalidación o convalidación de estudios, cuando se relaciona a planes de estudio o a programas educativos. En cambio, en los pa</w:t>
      </w:r>
      <w:r>
        <w:rPr>
          <w:rFonts w:ascii="Arial" w:hAnsi="Arial" w:cs="Arial"/>
        </w:rPr>
        <w:t>í</w:t>
      </w:r>
      <w:r w:rsidRPr="00353C2A">
        <w:rPr>
          <w:rFonts w:ascii="Arial" w:hAnsi="Arial" w:cs="Arial"/>
          <w:sz w:val="22"/>
          <w:szCs w:val="22"/>
        </w:rPr>
        <w:t>ses anglosajones este término es unívoco y se emplea para dar reconocimiento a instituciones o programas. Por ejemplo, en Estados Unidos, en la reglamentación del College Board este término es utilizado para la acreditación de instituciones, así  como de planes y programas.</w:t>
      </w:r>
    </w:p>
    <w:p w14:paraId="7826CEE0" w14:textId="77777777"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 xml:space="preserve">En México, probablemente, la preocupación por precisar tanto la concepción del término como los procedimientos </w:t>
      </w:r>
      <w:r>
        <w:rPr>
          <w:rFonts w:ascii="Arial" w:hAnsi="Arial" w:cs="Arial"/>
        </w:rPr>
        <w:t>implicados en é</w:t>
      </w:r>
      <w:r w:rsidRPr="00353C2A">
        <w:rPr>
          <w:rFonts w:ascii="Arial" w:hAnsi="Arial" w:cs="Arial"/>
          <w:sz w:val="22"/>
          <w:szCs w:val="22"/>
        </w:rPr>
        <w:t xml:space="preserve">ste, se ha acentuado en función de la necesidad, cada vez más imperiosa, de legitimar externamente los resultados de las </w:t>
      </w:r>
      <w:r>
        <w:rPr>
          <w:rFonts w:ascii="Arial" w:hAnsi="Arial" w:cs="Arial"/>
        </w:rPr>
        <w:t>tareas institucionales, con el fin</w:t>
      </w:r>
      <w:r w:rsidRPr="00353C2A">
        <w:rPr>
          <w:rFonts w:ascii="Arial" w:hAnsi="Arial" w:cs="Arial"/>
          <w:sz w:val="22"/>
          <w:szCs w:val="22"/>
        </w:rPr>
        <w:t xml:space="preserve"> de garantizar a la sociedad un alto nivel de calidad de sus servicios.</w:t>
      </w:r>
    </w:p>
    <w:p w14:paraId="03DB6136" w14:textId="77777777" w:rsidR="00FE0FDC" w:rsidRDefault="00FE0FDC" w:rsidP="00D52CD1">
      <w:pPr>
        <w:widowControl w:val="0"/>
        <w:overflowPunct w:val="0"/>
        <w:autoSpaceDE w:val="0"/>
        <w:autoSpaceDN w:val="0"/>
        <w:adjustRightInd w:val="0"/>
        <w:spacing w:after="0" w:line="242" w:lineRule="auto"/>
        <w:ind w:right="60"/>
        <w:jc w:val="both"/>
        <w:rPr>
          <w:rFonts w:ascii="Arial" w:hAnsi="Arial" w:cs="Arial"/>
          <w:sz w:val="22"/>
          <w:szCs w:val="22"/>
        </w:rPr>
      </w:pPr>
    </w:p>
    <w:p w14:paraId="122D1595" w14:textId="77777777" w:rsidR="006A1D9E" w:rsidRPr="007923C2" w:rsidRDefault="006A1D9E" w:rsidP="006A1D9E">
      <w:pPr>
        <w:widowControl w:val="0"/>
        <w:overflowPunct w:val="0"/>
        <w:autoSpaceDE w:val="0"/>
        <w:autoSpaceDN w:val="0"/>
        <w:adjustRightInd w:val="0"/>
        <w:spacing w:after="0" w:line="227" w:lineRule="auto"/>
        <w:ind w:left="11"/>
        <w:rPr>
          <w:rFonts w:ascii="Arial" w:hAnsi="Arial" w:cs="Arial"/>
          <w:sz w:val="22"/>
          <w:szCs w:val="22"/>
        </w:rPr>
      </w:pPr>
      <w:r w:rsidRPr="007923C2">
        <w:rPr>
          <w:rFonts w:ascii="Arial" w:hAnsi="Arial" w:cs="Arial"/>
          <w:color w:val="000000"/>
          <w:sz w:val="22"/>
          <w:szCs w:val="22"/>
        </w:rPr>
        <w:t>Con objeto de precisar los alcances conceptuales de la</w:t>
      </w:r>
      <w:r w:rsidR="00D96D3E">
        <w:rPr>
          <w:rFonts w:ascii="Arial" w:hAnsi="Arial" w:cs="Arial"/>
          <w:color w:val="000000"/>
          <w:sz w:val="22"/>
          <w:szCs w:val="22"/>
        </w:rPr>
        <w:t xml:space="preserve">\acreditacion" y de la </w:t>
      </w:r>
      <w:r w:rsidRPr="007923C2">
        <w:rPr>
          <w:rFonts w:ascii="Arial" w:hAnsi="Arial" w:cs="Arial"/>
          <w:color w:val="000000"/>
          <w:sz w:val="22"/>
          <w:szCs w:val="22"/>
        </w:rPr>
        <w:t xml:space="preserve">evaluacion", es </w:t>
      </w:r>
      <w:r w:rsidRPr="007923C2">
        <w:rPr>
          <w:rFonts w:ascii="Arial" w:hAnsi="Arial" w:cs="Arial"/>
          <w:color w:val="000000"/>
          <w:sz w:val="22"/>
          <w:szCs w:val="22"/>
        </w:rPr>
        <w:lastRenderedPageBreak/>
        <w:t>necesario aclarar lo siguiente:</w:t>
      </w:r>
    </w:p>
    <w:p w14:paraId="66A1BB1C" w14:textId="77777777" w:rsidR="006A1D9E" w:rsidRPr="007923C2" w:rsidRDefault="006A1D9E" w:rsidP="006A1D9E">
      <w:pPr>
        <w:widowControl w:val="0"/>
        <w:autoSpaceDE w:val="0"/>
        <w:autoSpaceDN w:val="0"/>
        <w:adjustRightInd w:val="0"/>
        <w:spacing w:after="0" w:line="328" w:lineRule="exact"/>
        <w:rPr>
          <w:rFonts w:ascii="Arial" w:hAnsi="Arial" w:cs="Arial"/>
          <w:sz w:val="22"/>
          <w:szCs w:val="22"/>
        </w:rPr>
      </w:pPr>
    </w:p>
    <w:p w14:paraId="65941409" w14:textId="77777777" w:rsidR="006A1D9E" w:rsidRPr="007923C2" w:rsidRDefault="006A1D9E" w:rsidP="006A1D9E">
      <w:pPr>
        <w:widowControl w:val="0"/>
        <w:numPr>
          <w:ilvl w:val="0"/>
          <w:numId w:val="130"/>
        </w:numPr>
        <w:tabs>
          <w:tab w:val="clear" w:pos="720"/>
          <w:tab w:val="num" w:pos="291"/>
        </w:tabs>
        <w:overflowPunct w:val="0"/>
        <w:autoSpaceDE w:val="0"/>
        <w:autoSpaceDN w:val="0"/>
        <w:adjustRightInd w:val="0"/>
        <w:spacing w:after="0" w:line="256" w:lineRule="auto"/>
        <w:ind w:left="291" w:hanging="280"/>
        <w:jc w:val="both"/>
        <w:rPr>
          <w:rFonts w:ascii="Arial" w:hAnsi="Arial" w:cs="Arial"/>
          <w:color w:val="000000"/>
          <w:sz w:val="22"/>
          <w:szCs w:val="22"/>
        </w:rPr>
      </w:pPr>
      <w:r w:rsidRPr="007923C2">
        <w:rPr>
          <w:rFonts w:ascii="Arial" w:hAnsi="Arial" w:cs="Arial"/>
          <w:color w:val="000000"/>
          <w:sz w:val="22"/>
          <w:szCs w:val="22"/>
        </w:rPr>
        <w:t xml:space="preserve">La evaluacion es un proceso que, partiendo de un diagnostico de situacion, busca la optimizacion de la accion; analiza los datos para resolver problemas en una situacion dada, con el </w:t>
      </w:r>
      <w:r w:rsidR="00D31D3F">
        <w:rPr>
          <w:rFonts w:ascii="Arial" w:hAnsi="Arial" w:cs="Arial"/>
          <w:color w:val="000000"/>
          <w:sz w:val="22"/>
          <w:szCs w:val="22"/>
        </w:rPr>
        <w:t>fi</w:t>
      </w:r>
      <w:r w:rsidRPr="007923C2">
        <w:rPr>
          <w:rFonts w:ascii="Arial" w:hAnsi="Arial" w:cs="Arial"/>
          <w:color w:val="000000"/>
          <w:sz w:val="22"/>
          <w:szCs w:val="22"/>
        </w:rPr>
        <w:t>n de mejorar la funcionalidad de lo que se evalua. En cambio, la acreditacion es un procedimiento cuyo objetivo es registrar el grado de conformidad del objeto analizado, con un conjunto de normas convencionalmente de</w:t>
      </w:r>
      <w:r w:rsidR="00D31D3F">
        <w:rPr>
          <w:rFonts w:ascii="Arial" w:hAnsi="Arial" w:cs="Arial"/>
          <w:color w:val="000000"/>
          <w:sz w:val="22"/>
          <w:szCs w:val="22"/>
        </w:rPr>
        <w:t>te</w:t>
      </w:r>
      <w:r w:rsidRPr="007923C2">
        <w:rPr>
          <w:rFonts w:ascii="Arial" w:hAnsi="Arial" w:cs="Arial"/>
          <w:color w:val="000000"/>
          <w:sz w:val="22"/>
          <w:szCs w:val="22"/>
        </w:rPr>
        <w:t xml:space="preserve">nidas y aceptadas por las contrapartes involucradas: el acreditador y el acreditado. </w:t>
      </w:r>
    </w:p>
    <w:p w14:paraId="7CD18890" w14:textId="77777777" w:rsidR="006A1D9E" w:rsidRPr="007923C2" w:rsidRDefault="006A1D9E" w:rsidP="006A1D9E">
      <w:pPr>
        <w:widowControl w:val="0"/>
        <w:autoSpaceDE w:val="0"/>
        <w:autoSpaceDN w:val="0"/>
        <w:adjustRightInd w:val="0"/>
        <w:spacing w:after="0" w:line="189" w:lineRule="exact"/>
        <w:rPr>
          <w:rFonts w:ascii="Arial" w:hAnsi="Arial" w:cs="Arial"/>
          <w:color w:val="000000"/>
          <w:sz w:val="22"/>
          <w:szCs w:val="22"/>
        </w:rPr>
      </w:pPr>
    </w:p>
    <w:p w14:paraId="0D7100B7" w14:textId="77777777" w:rsidR="006A1D9E" w:rsidRPr="007923C2" w:rsidRDefault="006A1D9E" w:rsidP="006A1D9E">
      <w:pPr>
        <w:widowControl w:val="0"/>
        <w:numPr>
          <w:ilvl w:val="0"/>
          <w:numId w:val="130"/>
        </w:numPr>
        <w:tabs>
          <w:tab w:val="clear" w:pos="720"/>
          <w:tab w:val="num" w:pos="291"/>
        </w:tabs>
        <w:overflowPunct w:val="0"/>
        <w:autoSpaceDE w:val="0"/>
        <w:autoSpaceDN w:val="0"/>
        <w:adjustRightInd w:val="0"/>
        <w:spacing w:after="0" w:line="238" w:lineRule="auto"/>
        <w:ind w:left="291" w:hanging="291"/>
        <w:jc w:val="both"/>
        <w:rPr>
          <w:rFonts w:ascii="Arial" w:hAnsi="Arial" w:cs="Arial"/>
          <w:color w:val="000000"/>
          <w:sz w:val="22"/>
          <w:szCs w:val="22"/>
        </w:rPr>
      </w:pPr>
      <w:r w:rsidRPr="007923C2">
        <w:rPr>
          <w:rFonts w:ascii="Arial" w:hAnsi="Arial" w:cs="Arial"/>
          <w:color w:val="000000"/>
          <w:sz w:val="22"/>
          <w:szCs w:val="22"/>
        </w:rPr>
        <w:t>La meta de la acreditacion se efectua en funcion de los resultados de los diversos procedimientos de veri</w:t>
      </w:r>
      <w:r w:rsidR="00D31D3F">
        <w:rPr>
          <w:rFonts w:ascii="Arial" w:hAnsi="Arial" w:cs="Arial"/>
          <w:color w:val="000000"/>
          <w:sz w:val="22"/>
          <w:szCs w:val="22"/>
        </w:rPr>
        <w:t>fi</w:t>
      </w:r>
      <w:r w:rsidRPr="007923C2">
        <w:rPr>
          <w:rFonts w:ascii="Arial" w:hAnsi="Arial" w:cs="Arial"/>
          <w:color w:val="000000"/>
          <w:sz w:val="22"/>
          <w:szCs w:val="22"/>
        </w:rPr>
        <w:t xml:space="preserve">cacion utilizados. La evaluacion es un proceso que puede ser endogeno o exogeno; en cambio, la acreditacion siempre se realiza ante un organismo especializado y depende, en ultima instancia, de un juicio externo. </w:t>
      </w:r>
    </w:p>
    <w:p w14:paraId="43351E75" w14:textId="77777777" w:rsidR="006A1D9E" w:rsidRPr="007923C2" w:rsidRDefault="006A1D9E" w:rsidP="006A1D9E">
      <w:pPr>
        <w:widowControl w:val="0"/>
        <w:autoSpaceDE w:val="0"/>
        <w:autoSpaceDN w:val="0"/>
        <w:adjustRightInd w:val="0"/>
        <w:spacing w:after="0" w:line="181" w:lineRule="exact"/>
        <w:rPr>
          <w:rFonts w:ascii="Arial" w:hAnsi="Arial" w:cs="Arial"/>
          <w:color w:val="000000"/>
          <w:sz w:val="22"/>
          <w:szCs w:val="22"/>
        </w:rPr>
      </w:pPr>
    </w:p>
    <w:p w14:paraId="67DE4E43" w14:textId="77777777" w:rsidR="006A1D9E" w:rsidRPr="007923C2" w:rsidRDefault="006A1D9E" w:rsidP="006A1D9E">
      <w:pPr>
        <w:widowControl w:val="0"/>
        <w:numPr>
          <w:ilvl w:val="0"/>
          <w:numId w:val="130"/>
        </w:numPr>
        <w:tabs>
          <w:tab w:val="clear" w:pos="720"/>
          <w:tab w:val="num" w:pos="291"/>
        </w:tabs>
        <w:overflowPunct w:val="0"/>
        <w:autoSpaceDE w:val="0"/>
        <w:autoSpaceDN w:val="0"/>
        <w:adjustRightInd w:val="0"/>
        <w:spacing w:after="0" w:line="239" w:lineRule="auto"/>
        <w:ind w:left="291" w:hanging="269"/>
        <w:jc w:val="both"/>
        <w:rPr>
          <w:rFonts w:ascii="Arial" w:hAnsi="Arial" w:cs="Arial"/>
          <w:color w:val="000000"/>
          <w:sz w:val="22"/>
          <w:szCs w:val="22"/>
        </w:rPr>
      </w:pPr>
      <w:r w:rsidRPr="007923C2">
        <w:rPr>
          <w:rFonts w:ascii="Arial" w:hAnsi="Arial" w:cs="Arial"/>
          <w:color w:val="000000"/>
          <w:sz w:val="22"/>
          <w:szCs w:val="22"/>
        </w:rPr>
        <w:t xml:space="preserve">La evaluacion se asemeja mas a un diagnostico; la acreditacion constituye una constancia de credibilidad. </w:t>
      </w:r>
    </w:p>
    <w:p w14:paraId="566D3F6C" w14:textId="77777777" w:rsidR="006A1D9E" w:rsidRPr="007923C2" w:rsidRDefault="006A1D9E" w:rsidP="006A1D9E">
      <w:pPr>
        <w:widowControl w:val="0"/>
        <w:autoSpaceDE w:val="0"/>
        <w:autoSpaceDN w:val="0"/>
        <w:adjustRightInd w:val="0"/>
        <w:spacing w:after="0" w:line="203" w:lineRule="exact"/>
        <w:rPr>
          <w:rFonts w:ascii="Arial" w:hAnsi="Arial" w:cs="Arial"/>
          <w:color w:val="000000"/>
          <w:sz w:val="22"/>
          <w:szCs w:val="22"/>
        </w:rPr>
      </w:pPr>
    </w:p>
    <w:p w14:paraId="3826FF55" w14:textId="77777777" w:rsidR="006A1D9E" w:rsidRPr="007923C2" w:rsidRDefault="006A1D9E" w:rsidP="006A1D9E">
      <w:pPr>
        <w:widowControl w:val="0"/>
        <w:numPr>
          <w:ilvl w:val="0"/>
          <w:numId w:val="130"/>
        </w:numPr>
        <w:tabs>
          <w:tab w:val="clear" w:pos="720"/>
          <w:tab w:val="num" w:pos="291"/>
        </w:tabs>
        <w:overflowPunct w:val="0"/>
        <w:autoSpaceDE w:val="0"/>
        <w:autoSpaceDN w:val="0"/>
        <w:adjustRightInd w:val="0"/>
        <w:spacing w:after="0" w:line="250" w:lineRule="auto"/>
        <w:ind w:left="291" w:hanging="291"/>
        <w:jc w:val="both"/>
        <w:rPr>
          <w:rFonts w:ascii="Arial" w:hAnsi="Arial" w:cs="Arial"/>
          <w:color w:val="000000"/>
          <w:sz w:val="22"/>
          <w:szCs w:val="22"/>
        </w:rPr>
      </w:pPr>
      <w:r w:rsidRPr="007923C2">
        <w:rPr>
          <w:rFonts w:ascii="Arial" w:hAnsi="Arial" w:cs="Arial"/>
          <w:color w:val="000000"/>
          <w:sz w:val="22"/>
          <w:szCs w:val="22"/>
        </w:rPr>
        <w:t>De manera semejante, la acreditacion se diferencia de la certi</w:t>
      </w:r>
      <w:r w:rsidR="00D31D3F">
        <w:rPr>
          <w:rFonts w:ascii="Arial" w:hAnsi="Arial" w:cs="Arial"/>
          <w:color w:val="000000"/>
          <w:sz w:val="22"/>
          <w:szCs w:val="22"/>
        </w:rPr>
        <w:t>fi</w:t>
      </w:r>
      <w:r w:rsidRPr="007923C2">
        <w:rPr>
          <w:rFonts w:ascii="Arial" w:hAnsi="Arial" w:cs="Arial"/>
          <w:color w:val="000000"/>
          <w:sz w:val="22"/>
          <w:szCs w:val="22"/>
        </w:rPr>
        <w:t>cacion, de la revalidacion o de la conval</w:t>
      </w:r>
      <w:r w:rsidR="00D31D3F">
        <w:rPr>
          <w:rFonts w:ascii="Arial" w:hAnsi="Arial" w:cs="Arial"/>
          <w:color w:val="000000"/>
          <w:sz w:val="22"/>
          <w:szCs w:val="22"/>
        </w:rPr>
        <w:t>i</w:t>
      </w:r>
      <w:r w:rsidRPr="007923C2">
        <w:rPr>
          <w:rFonts w:ascii="Arial" w:hAnsi="Arial" w:cs="Arial"/>
          <w:color w:val="000000"/>
          <w:sz w:val="22"/>
          <w:szCs w:val="22"/>
        </w:rPr>
        <w:t xml:space="preserve">dacion, porque no pretende constituir equivalencias con base en similitudes, sino registrar la conformidad de una institucion o de un programa, en relacion con estandares generales de excelencia. </w:t>
      </w:r>
    </w:p>
    <w:p w14:paraId="4B1E2556" w14:textId="77777777" w:rsidR="006A1D9E" w:rsidRPr="007923C2" w:rsidRDefault="006A1D9E" w:rsidP="006A1D9E">
      <w:pPr>
        <w:widowControl w:val="0"/>
        <w:autoSpaceDE w:val="0"/>
        <w:autoSpaceDN w:val="0"/>
        <w:adjustRightInd w:val="0"/>
        <w:spacing w:after="0" w:line="320" w:lineRule="exact"/>
        <w:rPr>
          <w:rFonts w:ascii="Arial" w:hAnsi="Arial" w:cs="Arial"/>
          <w:sz w:val="22"/>
          <w:szCs w:val="22"/>
        </w:rPr>
      </w:pPr>
    </w:p>
    <w:p w14:paraId="5E8B3CB1" w14:textId="77777777" w:rsidR="006A1D9E" w:rsidRPr="007923C2" w:rsidRDefault="006A1D9E" w:rsidP="006A1D9E">
      <w:pPr>
        <w:widowControl w:val="0"/>
        <w:overflowPunct w:val="0"/>
        <w:autoSpaceDE w:val="0"/>
        <w:autoSpaceDN w:val="0"/>
        <w:adjustRightInd w:val="0"/>
        <w:spacing w:after="0" w:line="242" w:lineRule="auto"/>
        <w:ind w:left="11"/>
        <w:jc w:val="both"/>
        <w:rPr>
          <w:rFonts w:ascii="Arial" w:hAnsi="Arial" w:cs="Arial"/>
          <w:sz w:val="22"/>
          <w:szCs w:val="22"/>
        </w:rPr>
      </w:pPr>
      <w:r w:rsidRPr="007923C2">
        <w:rPr>
          <w:rFonts w:ascii="Arial" w:hAnsi="Arial" w:cs="Arial"/>
          <w:color w:val="000000"/>
          <w:sz w:val="22"/>
          <w:szCs w:val="22"/>
        </w:rPr>
        <w:t>Considerando lo anterior, se puede decir que la evaluacion, la certi</w:t>
      </w:r>
      <w:r w:rsidR="00D31D3F">
        <w:rPr>
          <w:rFonts w:ascii="Arial" w:hAnsi="Arial" w:cs="Arial"/>
          <w:color w:val="000000"/>
          <w:sz w:val="22"/>
          <w:szCs w:val="22"/>
        </w:rPr>
        <w:t>fi</w:t>
      </w:r>
      <w:r w:rsidRPr="007923C2">
        <w:rPr>
          <w:rFonts w:ascii="Arial" w:hAnsi="Arial" w:cs="Arial"/>
          <w:color w:val="000000"/>
          <w:sz w:val="22"/>
          <w:szCs w:val="22"/>
        </w:rPr>
        <w:t>cacion y la convalidacion se basan en un examen de procesos y contenidos, por una parte; y por otra, se situan en el terreno de lo operativo, es decir. de lo que se ha hecho o se pod</w:t>
      </w:r>
      <w:r w:rsidR="00F65635">
        <w:rPr>
          <w:rFonts w:ascii="Arial" w:hAnsi="Arial" w:cs="Arial"/>
          <w:color w:val="000000"/>
          <w:sz w:val="22"/>
          <w:szCs w:val="22"/>
        </w:rPr>
        <w:t>ri</w:t>
      </w:r>
      <w:r w:rsidRPr="007923C2">
        <w:rPr>
          <w:rFonts w:ascii="Arial" w:hAnsi="Arial" w:cs="Arial"/>
          <w:color w:val="000000"/>
          <w:sz w:val="22"/>
          <w:szCs w:val="22"/>
        </w:rPr>
        <w:t>a hacer. La acreditacion resulta de un conjunto de parametros prede</w:t>
      </w:r>
      <w:r w:rsidR="00F65635">
        <w:rPr>
          <w:rFonts w:ascii="Arial" w:hAnsi="Arial" w:cs="Arial"/>
          <w:color w:val="000000"/>
          <w:sz w:val="22"/>
          <w:szCs w:val="22"/>
        </w:rPr>
        <w:t>fi</w:t>
      </w:r>
      <w:r w:rsidRPr="007923C2">
        <w:rPr>
          <w:rFonts w:ascii="Arial" w:hAnsi="Arial" w:cs="Arial"/>
          <w:color w:val="000000"/>
          <w:sz w:val="22"/>
          <w:szCs w:val="22"/>
        </w:rPr>
        <w:t>nidos, como un requisito de aceptacion, y utiliza dispositivos espec</w:t>
      </w:r>
      <w:r w:rsidR="00F65635">
        <w:rPr>
          <w:rFonts w:ascii="Arial" w:hAnsi="Arial" w:cs="Arial"/>
          <w:color w:val="000000"/>
          <w:sz w:val="22"/>
          <w:szCs w:val="22"/>
        </w:rPr>
        <w:t>ífi</w:t>
      </w:r>
      <w:r w:rsidRPr="007923C2">
        <w:rPr>
          <w:rFonts w:ascii="Arial" w:hAnsi="Arial" w:cs="Arial"/>
          <w:color w:val="000000"/>
          <w:sz w:val="22"/>
          <w:szCs w:val="22"/>
        </w:rPr>
        <w:t>cos para apreciarla. No busca prioritariamente incidir en la accion, sino establecer una clasi</w:t>
      </w:r>
      <w:r w:rsidR="00F65635">
        <w:rPr>
          <w:rFonts w:ascii="Arial" w:hAnsi="Arial" w:cs="Arial"/>
          <w:color w:val="000000"/>
          <w:sz w:val="22"/>
          <w:szCs w:val="22"/>
        </w:rPr>
        <w:t>fi</w:t>
      </w:r>
      <w:r w:rsidRPr="007923C2">
        <w:rPr>
          <w:rFonts w:ascii="Arial" w:hAnsi="Arial" w:cs="Arial"/>
          <w:color w:val="000000"/>
          <w:sz w:val="22"/>
          <w:szCs w:val="22"/>
        </w:rPr>
        <w:t>cacion con base en el grado de adecuacion de lo que pretende ser acreditado, con referencia a un conjunto de reglas.</w:t>
      </w:r>
    </w:p>
    <w:p w14:paraId="1EA43416" w14:textId="77777777" w:rsidR="00945625" w:rsidRPr="007923C2" w:rsidRDefault="00945625" w:rsidP="006A1D9E">
      <w:pPr>
        <w:widowControl w:val="0"/>
        <w:autoSpaceDE w:val="0"/>
        <w:autoSpaceDN w:val="0"/>
        <w:adjustRightInd w:val="0"/>
        <w:spacing w:after="0" w:line="334" w:lineRule="exact"/>
        <w:rPr>
          <w:rFonts w:ascii="Arial" w:hAnsi="Arial" w:cs="Arial"/>
          <w:sz w:val="22"/>
          <w:szCs w:val="22"/>
        </w:rPr>
      </w:pPr>
    </w:p>
    <w:p w14:paraId="1C6EE50B" w14:textId="77777777" w:rsidR="006A1D9E" w:rsidRPr="007923C2" w:rsidRDefault="006A1D9E" w:rsidP="006A1D9E">
      <w:pPr>
        <w:widowControl w:val="0"/>
        <w:autoSpaceDE w:val="0"/>
        <w:autoSpaceDN w:val="0"/>
        <w:adjustRightInd w:val="0"/>
        <w:spacing w:after="0" w:line="239" w:lineRule="auto"/>
        <w:ind w:left="11"/>
        <w:rPr>
          <w:rFonts w:ascii="Arial" w:hAnsi="Arial" w:cs="Arial"/>
          <w:sz w:val="22"/>
          <w:szCs w:val="22"/>
        </w:rPr>
      </w:pPr>
      <w:r w:rsidRPr="007923C2">
        <w:rPr>
          <w:rFonts w:ascii="Arial" w:hAnsi="Arial" w:cs="Arial"/>
          <w:color w:val="000000"/>
          <w:sz w:val="22"/>
          <w:szCs w:val="22"/>
        </w:rPr>
        <w:t>II. LOS PROCESOS DE ACREDITACION INSTITUCIONAL EN MEXICO</w:t>
      </w:r>
    </w:p>
    <w:p w14:paraId="6555A18C" w14:textId="77777777" w:rsidR="006A1D9E" w:rsidRPr="007923C2" w:rsidRDefault="006A1D9E" w:rsidP="006A1D9E">
      <w:pPr>
        <w:widowControl w:val="0"/>
        <w:autoSpaceDE w:val="0"/>
        <w:autoSpaceDN w:val="0"/>
        <w:adjustRightInd w:val="0"/>
        <w:spacing w:after="0" w:line="44" w:lineRule="exact"/>
        <w:rPr>
          <w:rFonts w:ascii="Arial" w:hAnsi="Arial" w:cs="Arial"/>
          <w:sz w:val="22"/>
          <w:szCs w:val="22"/>
        </w:rPr>
      </w:pPr>
    </w:p>
    <w:p w14:paraId="21236DCC" w14:textId="77777777" w:rsidR="006A1D9E" w:rsidRPr="007923C2" w:rsidRDefault="006A1D9E" w:rsidP="00F5568C">
      <w:pPr>
        <w:widowControl w:val="0"/>
        <w:overflowPunct w:val="0"/>
        <w:autoSpaceDE w:val="0"/>
        <w:autoSpaceDN w:val="0"/>
        <w:adjustRightInd w:val="0"/>
        <w:spacing w:after="0" w:line="274" w:lineRule="auto"/>
        <w:ind w:left="11"/>
        <w:jc w:val="both"/>
        <w:rPr>
          <w:rFonts w:ascii="Arial" w:hAnsi="Arial" w:cs="Arial"/>
          <w:sz w:val="22"/>
          <w:szCs w:val="22"/>
        </w:rPr>
      </w:pPr>
      <w:r w:rsidRPr="007923C2">
        <w:rPr>
          <w:rFonts w:ascii="Arial" w:hAnsi="Arial" w:cs="Arial"/>
          <w:color w:val="000000"/>
          <w:sz w:val="22"/>
          <w:szCs w:val="22"/>
        </w:rPr>
        <w:t>En Mexico, hasta hace algunos anos, no se hab</w:t>
      </w:r>
      <w:r w:rsidR="00F65635">
        <w:rPr>
          <w:rFonts w:ascii="Arial" w:hAnsi="Arial" w:cs="Arial"/>
          <w:color w:val="000000"/>
          <w:sz w:val="22"/>
          <w:szCs w:val="22"/>
        </w:rPr>
        <w:t>i</w:t>
      </w:r>
      <w:r w:rsidRPr="007923C2">
        <w:rPr>
          <w:rFonts w:ascii="Arial" w:hAnsi="Arial" w:cs="Arial"/>
          <w:color w:val="000000"/>
          <w:sz w:val="22"/>
          <w:szCs w:val="22"/>
        </w:rPr>
        <w:t>an desarrollado de manera sistematica procedimientos espec</w:t>
      </w:r>
      <w:r w:rsidR="00F65635">
        <w:rPr>
          <w:rFonts w:ascii="Arial" w:hAnsi="Arial" w:cs="Arial"/>
          <w:color w:val="000000"/>
          <w:sz w:val="22"/>
          <w:szCs w:val="22"/>
        </w:rPr>
        <w:t>ífi</w:t>
      </w:r>
      <w:r w:rsidRPr="007923C2">
        <w:rPr>
          <w:rFonts w:ascii="Arial" w:hAnsi="Arial" w:cs="Arial"/>
          <w:color w:val="000000"/>
          <w:sz w:val="22"/>
          <w:szCs w:val="22"/>
        </w:rPr>
        <w:t>cos para sustentar los procesos de acreditacion institucional. No exist</w:t>
      </w:r>
      <w:r w:rsidR="00F65635">
        <w:rPr>
          <w:rFonts w:ascii="Arial" w:hAnsi="Arial" w:cs="Arial"/>
          <w:color w:val="000000"/>
          <w:sz w:val="22"/>
          <w:szCs w:val="22"/>
        </w:rPr>
        <w:t>í</w:t>
      </w:r>
      <w:r w:rsidRPr="007923C2">
        <w:rPr>
          <w:rFonts w:ascii="Arial" w:hAnsi="Arial" w:cs="Arial"/>
          <w:color w:val="000000"/>
          <w:sz w:val="22"/>
          <w:szCs w:val="22"/>
        </w:rPr>
        <w:t>an organismos especializados que cumplieran, de manera formal, con estas tareas. Se pueden considerar como esfuerzos iniciales de acreditacion institucional, las labores de los Consejos Universitarios, los cuales se reconocen como los unicos organos facultados para crear, modi</w:t>
      </w:r>
      <w:r w:rsidR="00F65635">
        <w:rPr>
          <w:rFonts w:ascii="Arial" w:hAnsi="Arial" w:cs="Arial"/>
          <w:color w:val="000000"/>
          <w:sz w:val="22"/>
          <w:szCs w:val="22"/>
        </w:rPr>
        <w:t>fi</w:t>
      </w:r>
      <w:r w:rsidRPr="007923C2">
        <w:rPr>
          <w:rFonts w:ascii="Arial" w:hAnsi="Arial" w:cs="Arial"/>
          <w:color w:val="000000"/>
          <w:sz w:val="22"/>
          <w:szCs w:val="22"/>
        </w:rPr>
        <w:t>car o rechazar planes de estudio. Esta facultad esta expresada en la Ley Organicade cada institucion.</w:t>
      </w:r>
    </w:p>
    <w:p w14:paraId="67380133" w14:textId="77777777" w:rsidR="006A1D9E" w:rsidRPr="007923C2" w:rsidRDefault="006A1D9E" w:rsidP="006A1D9E">
      <w:pPr>
        <w:widowControl w:val="0"/>
        <w:autoSpaceDE w:val="0"/>
        <w:autoSpaceDN w:val="0"/>
        <w:adjustRightInd w:val="0"/>
        <w:spacing w:after="0" w:line="129" w:lineRule="exact"/>
        <w:rPr>
          <w:rFonts w:ascii="Arial" w:hAnsi="Arial" w:cs="Arial"/>
          <w:sz w:val="22"/>
          <w:szCs w:val="22"/>
        </w:rPr>
      </w:pPr>
    </w:p>
    <w:p w14:paraId="6A92F66A" w14:textId="77777777" w:rsidR="006A1D9E" w:rsidRPr="007923C2" w:rsidRDefault="006A1D9E" w:rsidP="006A1D9E">
      <w:pPr>
        <w:widowControl w:val="0"/>
        <w:overflowPunct w:val="0"/>
        <w:autoSpaceDE w:val="0"/>
        <w:autoSpaceDN w:val="0"/>
        <w:adjustRightInd w:val="0"/>
        <w:spacing w:after="0" w:line="240" w:lineRule="auto"/>
        <w:ind w:left="11"/>
        <w:jc w:val="both"/>
        <w:rPr>
          <w:rFonts w:ascii="Arial" w:hAnsi="Arial" w:cs="Arial"/>
          <w:sz w:val="22"/>
          <w:szCs w:val="22"/>
        </w:rPr>
      </w:pPr>
      <w:r w:rsidRPr="007923C2">
        <w:rPr>
          <w:rFonts w:ascii="Arial" w:hAnsi="Arial" w:cs="Arial"/>
          <w:color w:val="000000"/>
          <w:sz w:val="22"/>
          <w:szCs w:val="22"/>
        </w:rPr>
        <w:t>En el marco de estas experiencias, se puede mencionar tambien la participacion de algunos organismos nacionales, de caracter profesional, en acciones orientadas a la acreditacion de programas institucionales; pero es preciso considerar que, en la mayor a de los casos, sus recomendaciones tienen un caracter informal, ya que estos organismos carecen de la capacidad legal para acreditar, externamente, los planes y programas de las universidades aut</w:t>
      </w:r>
      <w:r w:rsidR="00F65635">
        <w:rPr>
          <w:rFonts w:ascii="Arial" w:hAnsi="Arial" w:cs="Arial"/>
          <w:color w:val="000000"/>
          <w:sz w:val="22"/>
          <w:szCs w:val="22"/>
        </w:rPr>
        <w:t>ó</w:t>
      </w:r>
      <w:r w:rsidRPr="007923C2">
        <w:rPr>
          <w:rFonts w:ascii="Arial" w:hAnsi="Arial" w:cs="Arial"/>
          <w:color w:val="000000"/>
          <w:sz w:val="22"/>
          <w:szCs w:val="22"/>
        </w:rPr>
        <w:t>nomas.</w:t>
      </w:r>
    </w:p>
    <w:p w14:paraId="23042823" w14:textId="77777777" w:rsidR="006A1D9E" w:rsidRPr="007923C2" w:rsidRDefault="006A1D9E" w:rsidP="006A1D9E">
      <w:pPr>
        <w:widowControl w:val="0"/>
        <w:autoSpaceDE w:val="0"/>
        <w:autoSpaceDN w:val="0"/>
        <w:adjustRightInd w:val="0"/>
        <w:spacing w:after="0" w:line="131" w:lineRule="exact"/>
        <w:rPr>
          <w:rFonts w:ascii="Arial" w:hAnsi="Arial" w:cs="Arial"/>
          <w:sz w:val="22"/>
          <w:szCs w:val="22"/>
        </w:rPr>
      </w:pPr>
    </w:p>
    <w:p w14:paraId="71848235" w14:textId="77777777" w:rsidR="006A1D9E" w:rsidRPr="007923C2" w:rsidRDefault="006A1D9E" w:rsidP="006A1D9E">
      <w:pPr>
        <w:widowControl w:val="0"/>
        <w:overflowPunct w:val="0"/>
        <w:autoSpaceDE w:val="0"/>
        <w:autoSpaceDN w:val="0"/>
        <w:adjustRightInd w:val="0"/>
        <w:spacing w:after="0" w:line="275" w:lineRule="auto"/>
        <w:ind w:left="11"/>
        <w:jc w:val="both"/>
        <w:rPr>
          <w:rFonts w:ascii="Arial" w:hAnsi="Arial" w:cs="Arial"/>
          <w:sz w:val="22"/>
          <w:szCs w:val="22"/>
        </w:rPr>
      </w:pPr>
      <w:r w:rsidRPr="007923C2">
        <w:rPr>
          <w:rFonts w:ascii="Arial" w:hAnsi="Arial" w:cs="Arial"/>
          <w:color w:val="000000"/>
          <w:sz w:val="22"/>
          <w:szCs w:val="22"/>
        </w:rPr>
        <w:t>En los Estados Unidos, el problema de la acreditaci</w:t>
      </w:r>
      <w:r w:rsidR="00F65635">
        <w:rPr>
          <w:rFonts w:ascii="Arial" w:hAnsi="Arial" w:cs="Arial"/>
          <w:color w:val="000000"/>
          <w:sz w:val="22"/>
          <w:szCs w:val="22"/>
        </w:rPr>
        <w:t>ó</w:t>
      </w:r>
      <w:r w:rsidRPr="007923C2">
        <w:rPr>
          <w:rFonts w:ascii="Arial" w:hAnsi="Arial" w:cs="Arial"/>
          <w:color w:val="000000"/>
          <w:sz w:val="22"/>
          <w:szCs w:val="22"/>
        </w:rPr>
        <w:t>n institucional (\reconocimiento social" de las instituciones), se gener</w:t>
      </w:r>
      <w:r w:rsidR="00F65635">
        <w:rPr>
          <w:rFonts w:ascii="Arial" w:hAnsi="Arial" w:cs="Arial"/>
          <w:color w:val="000000"/>
          <w:sz w:val="22"/>
          <w:szCs w:val="22"/>
        </w:rPr>
        <w:t>ó</w:t>
      </w:r>
      <w:r w:rsidRPr="007923C2">
        <w:rPr>
          <w:rFonts w:ascii="Arial" w:hAnsi="Arial" w:cs="Arial"/>
          <w:color w:val="000000"/>
          <w:sz w:val="22"/>
          <w:szCs w:val="22"/>
        </w:rPr>
        <w:t xml:space="preserve"> a partir de la necesidad de de</w:t>
      </w:r>
      <w:r w:rsidR="00F65635">
        <w:rPr>
          <w:rFonts w:ascii="Arial" w:hAnsi="Arial" w:cs="Arial"/>
          <w:color w:val="000000"/>
          <w:sz w:val="22"/>
          <w:szCs w:val="22"/>
        </w:rPr>
        <w:t>fi</w:t>
      </w:r>
      <w:r w:rsidRPr="007923C2">
        <w:rPr>
          <w:rFonts w:ascii="Arial" w:hAnsi="Arial" w:cs="Arial"/>
          <w:color w:val="000000"/>
          <w:sz w:val="22"/>
          <w:szCs w:val="22"/>
        </w:rPr>
        <w:t>nir estandares de desarrollo academico que no pod</w:t>
      </w:r>
      <w:r w:rsidR="00F65635">
        <w:rPr>
          <w:rFonts w:ascii="Arial" w:hAnsi="Arial" w:cs="Arial"/>
          <w:color w:val="000000"/>
          <w:sz w:val="22"/>
          <w:szCs w:val="22"/>
        </w:rPr>
        <w:t>rí</w:t>
      </w:r>
      <w:r w:rsidRPr="007923C2">
        <w:rPr>
          <w:rFonts w:ascii="Arial" w:hAnsi="Arial" w:cs="Arial"/>
          <w:color w:val="000000"/>
          <w:sz w:val="22"/>
          <w:szCs w:val="22"/>
        </w:rPr>
        <w:t>an ser</w:t>
      </w:r>
      <w:r w:rsidR="00F65635">
        <w:rPr>
          <w:rFonts w:ascii="Arial" w:hAnsi="Arial" w:cs="Arial"/>
          <w:color w:val="000000"/>
          <w:sz w:val="22"/>
          <w:szCs w:val="22"/>
        </w:rPr>
        <w:t>fi</w:t>
      </w:r>
      <w:r w:rsidRPr="007923C2">
        <w:rPr>
          <w:rFonts w:ascii="Arial" w:hAnsi="Arial" w:cs="Arial"/>
          <w:color w:val="000000"/>
          <w:sz w:val="22"/>
          <w:szCs w:val="22"/>
        </w:rPr>
        <w:t>jados por el Estado, ya que gran n</w:t>
      </w:r>
      <w:r w:rsidR="00F65635">
        <w:rPr>
          <w:rFonts w:ascii="Arial" w:hAnsi="Arial" w:cs="Arial"/>
          <w:color w:val="000000"/>
          <w:sz w:val="22"/>
          <w:szCs w:val="22"/>
        </w:rPr>
        <w:t>ú</w:t>
      </w:r>
      <w:r w:rsidRPr="007923C2">
        <w:rPr>
          <w:rFonts w:ascii="Arial" w:hAnsi="Arial" w:cs="Arial"/>
          <w:color w:val="000000"/>
          <w:sz w:val="22"/>
          <w:szCs w:val="22"/>
        </w:rPr>
        <w:t>mero de las IES norteamericanas son privadas. As</w:t>
      </w:r>
      <w:r w:rsidR="00F65635">
        <w:rPr>
          <w:rFonts w:ascii="Arial" w:hAnsi="Arial" w:cs="Arial"/>
          <w:color w:val="000000"/>
          <w:sz w:val="22"/>
          <w:szCs w:val="22"/>
        </w:rPr>
        <w:t>í</w:t>
      </w:r>
      <w:r w:rsidRPr="007923C2">
        <w:rPr>
          <w:rFonts w:ascii="Arial" w:hAnsi="Arial" w:cs="Arial"/>
          <w:color w:val="000000"/>
          <w:sz w:val="22"/>
          <w:szCs w:val="22"/>
        </w:rPr>
        <w:t xml:space="preserve"> , se crearon algunas asociaciones ad hoc para dictaminar sobre el nivel de e</w:t>
      </w:r>
      <w:r w:rsidR="00F65635">
        <w:rPr>
          <w:rFonts w:ascii="Arial" w:hAnsi="Arial" w:cs="Arial"/>
          <w:color w:val="000000"/>
          <w:sz w:val="22"/>
          <w:szCs w:val="22"/>
        </w:rPr>
        <w:t>fi</w:t>
      </w:r>
      <w:r w:rsidRPr="007923C2">
        <w:rPr>
          <w:rFonts w:ascii="Arial" w:hAnsi="Arial" w:cs="Arial"/>
          <w:color w:val="000000"/>
          <w:sz w:val="22"/>
          <w:szCs w:val="22"/>
        </w:rPr>
        <w:t>cacia y e</w:t>
      </w:r>
      <w:r w:rsidR="00F65635">
        <w:rPr>
          <w:rFonts w:ascii="Arial" w:hAnsi="Arial" w:cs="Arial"/>
          <w:color w:val="000000"/>
          <w:sz w:val="22"/>
          <w:szCs w:val="22"/>
        </w:rPr>
        <w:t>fi</w:t>
      </w:r>
      <w:r w:rsidRPr="007923C2">
        <w:rPr>
          <w:rFonts w:ascii="Arial" w:hAnsi="Arial" w:cs="Arial"/>
          <w:color w:val="000000"/>
          <w:sz w:val="22"/>
          <w:szCs w:val="22"/>
        </w:rPr>
        <w:t>ciencia con el que las instituciones educativas cumpl</w:t>
      </w:r>
      <w:r w:rsidR="00F65635">
        <w:rPr>
          <w:rFonts w:ascii="Arial" w:hAnsi="Arial" w:cs="Arial"/>
          <w:color w:val="000000"/>
          <w:sz w:val="22"/>
          <w:szCs w:val="22"/>
        </w:rPr>
        <w:t>í</w:t>
      </w:r>
      <w:r w:rsidRPr="007923C2">
        <w:rPr>
          <w:rFonts w:ascii="Arial" w:hAnsi="Arial" w:cs="Arial"/>
          <w:color w:val="000000"/>
          <w:sz w:val="22"/>
          <w:szCs w:val="22"/>
        </w:rPr>
        <w:t xml:space="preserve">an sus propositos. El proceso de acreditacion se ha generalizado entre las instituciones educativas norteamericanas con el </w:t>
      </w:r>
      <w:r w:rsidR="00F65635">
        <w:rPr>
          <w:rFonts w:ascii="Arial" w:hAnsi="Arial" w:cs="Arial"/>
          <w:color w:val="000000"/>
          <w:sz w:val="22"/>
          <w:szCs w:val="22"/>
        </w:rPr>
        <w:t>fi</w:t>
      </w:r>
      <w:r w:rsidRPr="007923C2">
        <w:rPr>
          <w:rFonts w:ascii="Arial" w:hAnsi="Arial" w:cs="Arial"/>
          <w:color w:val="000000"/>
          <w:sz w:val="22"/>
          <w:szCs w:val="22"/>
        </w:rPr>
        <w:t xml:space="preserve">n de mejorar la relacion entre </w:t>
      </w:r>
      <w:r w:rsidRPr="007923C2">
        <w:rPr>
          <w:rFonts w:ascii="Arial" w:hAnsi="Arial" w:cs="Arial"/>
          <w:color w:val="000000"/>
          <w:sz w:val="22"/>
          <w:szCs w:val="22"/>
        </w:rPr>
        <w:lastRenderedPageBreak/>
        <w:t>los niveles educativos antecedentes y el nivel superior. y de esta manera, poder reforzar la calidad del sistema educativo. Las agencias acreditadoras norteamericanas son de tres tipos: organismos nacionales, a cargo de la acreditacion institucional; las asociaciones regionales; y, los organismos de acreditacion especializada de programas academicos espec</w:t>
      </w:r>
      <w:r w:rsidR="00F65635">
        <w:rPr>
          <w:rFonts w:ascii="Arial" w:hAnsi="Arial" w:cs="Arial"/>
          <w:color w:val="000000"/>
          <w:sz w:val="22"/>
          <w:szCs w:val="22"/>
        </w:rPr>
        <w:t>ífi</w:t>
      </w:r>
      <w:r w:rsidRPr="007923C2">
        <w:rPr>
          <w:rFonts w:ascii="Arial" w:hAnsi="Arial" w:cs="Arial"/>
          <w:color w:val="000000"/>
          <w:sz w:val="22"/>
          <w:szCs w:val="22"/>
        </w:rPr>
        <w:t>cos.</w:t>
      </w:r>
    </w:p>
    <w:p w14:paraId="03840DA4" w14:textId="77777777" w:rsidR="006A1D9E" w:rsidRPr="007923C2" w:rsidRDefault="006A1D9E" w:rsidP="006A1D9E">
      <w:pPr>
        <w:widowControl w:val="0"/>
        <w:autoSpaceDE w:val="0"/>
        <w:autoSpaceDN w:val="0"/>
        <w:adjustRightInd w:val="0"/>
        <w:spacing w:after="0" w:line="103" w:lineRule="exact"/>
        <w:rPr>
          <w:rFonts w:ascii="Arial" w:hAnsi="Arial" w:cs="Arial"/>
          <w:sz w:val="22"/>
          <w:szCs w:val="22"/>
        </w:rPr>
      </w:pPr>
    </w:p>
    <w:p w14:paraId="7C0BECB8" w14:textId="77777777" w:rsidR="006A1D9E" w:rsidRPr="007923C2" w:rsidRDefault="006A1D9E" w:rsidP="006A1D9E">
      <w:pPr>
        <w:widowControl w:val="0"/>
        <w:overflowPunct w:val="0"/>
        <w:autoSpaceDE w:val="0"/>
        <w:autoSpaceDN w:val="0"/>
        <w:adjustRightInd w:val="0"/>
        <w:spacing w:after="0" w:line="250" w:lineRule="auto"/>
        <w:ind w:left="11"/>
        <w:jc w:val="both"/>
        <w:rPr>
          <w:rFonts w:ascii="Arial" w:hAnsi="Arial" w:cs="Arial"/>
          <w:sz w:val="22"/>
          <w:szCs w:val="22"/>
        </w:rPr>
      </w:pPr>
      <w:r w:rsidRPr="007923C2">
        <w:rPr>
          <w:rFonts w:ascii="Arial" w:hAnsi="Arial" w:cs="Arial"/>
          <w:color w:val="000000"/>
          <w:sz w:val="22"/>
          <w:szCs w:val="22"/>
        </w:rPr>
        <w:t>Algunas asociaciones norteamericanas, como la \Southern Association of Colleges and Schools" (SACS), han ampliado sus acciones, ofreciendo sus servicios de evaluacion y de acreditacion institucional, hacia algunas instituciones mexicanas, centroamericanas y sudamericanas, principalmente de caracter privado.</w:t>
      </w:r>
    </w:p>
    <w:p w14:paraId="70854C1F" w14:textId="77777777" w:rsidR="006A1D9E" w:rsidRPr="007923C2" w:rsidRDefault="006A1D9E" w:rsidP="006A1D9E">
      <w:pPr>
        <w:widowControl w:val="0"/>
        <w:autoSpaceDE w:val="0"/>
        <w:autoSpaceDN w:val="0"/>
        <w:adjustRightInd w:val="0"/>
        <w:spacing w:after="0" w:line="200" w:lineRule="exact"/>
        <w:rPr>
          <w:rFonts w:ascii="Arial" w:hAnsi="Arial" w:cs="Arial"/>
          <w:sz w:val="22"/>
          <w:szCs w:val="22"/>
        </w:rPr>
      </w:pPr>
    </w:p>
    <w:p w14:paraId="44C63613" w14:textId="77777777" w:rsidR="006A1D9E" w:rsidRPr="007923C2" w:rsidRDefault="006A1D9E" w:rsidP="006A1D9E">
      <w:pPr>
        <w:widowControl w:val="0"/>
        <w:autoSpaceDE w:val="0"/>
        <w:autoSpaceDN w:val="0"/>
        <w:adjustRightInd w:val="0"/>
        <w:spacing w:after="0" w:line="205" w:lineRule="exact"/>
        <w:rPr>
          <w:rFonts w:ascii="Arial" w:hAnsi="Arial" w:cs="Arial"/>
          <w:sz w:val="22"/>
          <w:szCs w:val="22"/>
        </w:rPr>
      </w:pPr>
    </w:p>
    <w:p w14:paraId="031557A4" w14:textId="77777777" w:rsidR="006A1D9E" w:rsidRPr="007923C2" w:rsidRDefault="00703A14" w:rsidP="006A1D9E">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color w:val="000000"/>
          <w:sz w:val="22"/>
          <w:szCs w:val="22"/>
        </w:rPr>
        <w:t>En</w:t>
      </w:r>
      <w:r w:rsidR="006A1D9E" w:rsidRPr="007923C2">
        <w:rPr>
          <w:rFonts w:ascii="Arial" w:hAnsi="Arial" w:cs="Arial"/>
          <w:color w:val="000000"/>
          <w:sz w:val="22"/>
          <w:szCs w:val="22"/>
        </w:rPr>
        <w:t xml:space="preserve"> nuestro pa</w:t>
      </w:r>
      <w:r w:rsidRPr="007923C2">
        <w:rPr>
          <w:rFonts w:ascii="Arial" w:hAnsi="Arial" w:cs="Arial"/>
          <w:color w:val="000000"/>
          <w:sz w:val="22"/>
          <w:szCs w:val="22"/>
        </w:rPr>
        <w:t>i</w:t>
      </w:r>
      <w:r w:rsidR="006A1D9E" w:rsidRPr="007923C2">
        <w:rPr>
          <w:rFonts w:ascii="Arial" w:hAnsi="Arial" w:cs="Arial"/>
          <w:color w:val="000000"/>
          <w:sz w:val="22"/>
          <w:szCs w:val="22"/>
        </w:rPr>
        <w:t xml:space="preserve">s, algunas instituciones han solicitado ser miembros de ciertos organismos internacionales como la Asociacion Internacional de Universidades AIU, el Consejo Universitario Interamericano para el Desarrollo Economico y Social (CUIDES), la Organizacion Universitaria Interamericana (OUI). Estas solicitudes no se hacen con </w:t>
      </w:r>
      <w:r w:rsidR="00F65635">
        <w:rPr>
          <w:rFonts w:ascii="Arial" w:hAnsi="Arial" w:cs="Arial"/>
          <w:color w:val="000000"/>
          <w:sz w:val="22"/>
          <w:szCs w:val="22"/>
        </w:rPr>
        <w:t>fin</w:t>
      </w:r>
      <w:r w:rsidR="006A1D9E" w:rsidRPr="007923C2">
        <w:rPr>
          <w:rFonts w:ascii="Arial" w:hAnsi="Arial" w:cs="Arial"/>
          <w:color w:val="000000"/>
          <w:sz w:val="22"/>
          <w:szCs w:val="22"/>
        </w:rPr>
        <w:t>es espec</w:t>
      </w:r>
      <w:r w:rsidR="00F65635">
        <w:rPr>
          <w:rFonts w:ascii="Arial" w:hAnsi="Arial" w:cs="Arial"/>
          <w:color w:val="000000"/>
          <w:sz w:val="22"/>
          <w:szCs w:val="22"/>
        </w:rPr>
        <w:t>ífi</w:t>
      </w:r>
      <w:r w:rsidR="006A1D9E" w:rsidRPr="007923C2">
        <w:rPr>
          <w:rFonts w:ascii="Arial" w:hAnsi="Arial" w:cs="Arial"/>
          <w:color w:val="000000"/>
          <w:sz w:val="22"/>
          <w:szCs w:val="22"/>
        </w:rPr>
        <w:t>cos de acreditacion institucional.</w:t>
      </w:r>
    </w:p>
    <w:p w14:paraId="64CFCECC" w14:textId="77777777" w:rsidR="00F5568C" w:rsidRPr="007923C2" w:rsidRDefault="00F5568C" w:rsidP="006A1D9E">
      <w:pPr>
        <w:widowControl w:val="0"/>
        <w:autoSpaceDE w:val="0"/>
        <w:autoSpaceDN w:val="0"/>
        <w:adjustRightInd w:val="0"/>
        <w:spacing w:after="0" w:line="335" w:lineRule="exact"/>
        <w:rPr>
          <w:rFonts w:ascii="Arial" w:hAnsi="Arial" w:cs="Arial"/>
          <w:sz w:val="22"/>
          <w:szCs w:val="22"/>
        </w:rPr>
      </w:pPr>
    </w:p>
    <w:p w14:paraId="133D4600"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1. LA ACREDITACION DE LAS IES MEXICANAS ANTE ORGANISMOS EXTRANJEROS</w:t>
      </w:r>
    </w:p>
    <w:p w14:paraId="30B328F8" w14:textId="77777777" w:rsidR="006A1D9E" w:rsidRPr="007923C2" w:rsidRDefault="006A1D9E" w:rsidP="006A1D9E">
      <w:pPr>
        <w:widowControl w:val="0"/>
        <w:autoSpaceDE w:val="0"/>
        <w:autoSpaceDN w:val="0"/>
        <w:adjustRightInd w:val="0"/>
        <w:spacing w:after="0" w:line="369" w:lineRule="exact"/>
        <w:rPr>
          <w:rFonts w:ascii="Arial" w:hAnsi="Arial" w:cs="Arial"/>
          <w:sz w:val="22"/>
          <w:szCs w:val="22"/>
        </w:rPr>
      </w:pPr>
    </w:p>
    <w:p w14:paraId="64378A0F" w14:textId="77777777" w:rsidR="006A1D9E" w:rsidRPr="007923C2" w:rsidRDefault="006A1D9E" w:rsidP="00F5568C">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color w:val="000000"/>
          <w:sz w:val="22"/>
          <w:szCs w:val="22"/>
        </w:rPr>
        <w:t>Las IES mexicanas acreditadas ante organismos extranjeros son esencialmente instituciones privadas consolidadas. La Universidad de Las Americas, ubicada en Puebla; y la Universidad de las Americas, ubicada en la Ciudad de Mexico. as</w:t>
      </w:r>
      <w:r w:rsidR="00F65635">
        <w:rPr>
          <w:rFonts w:ascii="Arial" w:hAnsi="Arial" w:cs="Arial"/>
          <w:color w:val="000000"/>
          <w:sz w:val="22"/>
          <w:szCs w:val="22"/>
        </w:rPr>
        <w:t>í</w:t>
      </w:r>
      <w:r w:rsidRPr="007923C2">
        <w:rPr>
          <w:rFonts w:ascii="Arial" w:hAnsi="Arial" w:cs="Arial"/>
          <w:color w:val="000000"/>
          <w:sz w:val="22"/>
          <w:szCs w:val="22"/>
        </w:rPr>
        <w:t xml:space="preserve"> como el Instituto Tecnologico de Estudios Superiores de Monterrey (ITESM) estan acreditadas ante la SACS desde hace tiempo. Por otra parte, el campus Monterrey del ITESM, inicio, desde 1991, un bachillerato internacional, que organiz</w:t>
      </w:r>
      <w:r w:rsidR="00431FFF">
        <w:rPr>
          <w:rFonts w:ascii="Arial" w:hAnsi="Arial" w:cs="Arial"/>
          <w:color w:val="000000"/>
          <w:sz w:val="22"/>
          <w:szCs w:val="22"/>
        </w:rPr>
        <w:t>a</w:t>
      </w:r>
      <w:r w:rsidRPr="007923C2">
        <w:rPr>
          <w:rFonts w:ascii="Arial" w:hAnsi="Arial" w:cs="Arial"/>
          <w:color w:val="000000"/>
          <w:sz w:val="22"/>
          <w:szCs w:val="22"/>
        </w:rPr>
        <w:t xml:space="preserve"> con la asesor</w:t>
      </w:r>
      <w:r w:rsidR="00431FFF">
        <w:rPr>
          <w:rFonts w:ascii="Arial" w:hAnsi="Arial" w:cs="Arial"/>
          <w:color w:val="000000"/>
          <w:sz w:val="22"/>
          <w:szCs w:val="22"/>
        </w:rPr>
        <w:t>í</w:t>
      </w:r>
      <w:r w:rsidRPr="007923C2">
        <w:rPr>
          <w:rFonts w:ascii="Arial" w:hAnsi="Arial" w:cs="Arial"/>
          <w:color w:val="000000"/>
          <w:sz w:val="22"/>
          <w:szCs w:val="22"/>
        </w:rPr>
        <w:t>a de instituciones nacionales y norteamericanas para acreditacion internacional (Barahona 1993; p. 6).</w:t>
      </w:r>
    </w:p>
    <w:p w14:paraId="41B844BB" w14:textId="77777777" w:rsidR="006A1D9E" w:rsidRPr="007923C2" w:rsidRDefault="006A1D9E" w:rsidP="00F5568C">
      <w:pPr>
        <w:widowControl w:val="0"/>
        <w:autoSpaceDE w:val="0"/>
        <w:autoSpaceDN w:val="0"/>
        <w:adjustRightInd w:val="0"/>
        <w:spacing w:after="0" w:line="129" w:lineRule="exact"/>
        <w:jc w:val="both"/>
        <w:rPr>
          <w:rFonts w:ascii="Arial" w:hAnsi="Arial" w:cs="Arial"/>
          <w:sz w:val="22"/>
          <w:szCs w:val="22"/>
        </w:rPr>
      </w:pPr>
    </w:p>
    <w:p w14:paraId="55318742" w14:textId="77777777" w:rsidR="006A1D9E" w:rsidRPr="007923C2" w:rsidRDefault="006A1D9E" w:rsidP="00F5568C">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 xml:space="preserve">Algunas universidades nacionales han manifestado su interes por acreditarse ante organismos europeos. Sin embargo, los avances, en estos casos, son menores que los correspondientes a las solicitudes </w:t>
      </w:r>
      <w:r w:rsidR="00F5568C">
        <w:rPr>
          <w:rFonts w:ascii="Arial" w:hAnsi="Arial" w:cs="Arial"/>
          <w:color w:val="000000"/>
          <w:sz w:val="22"/>
          <w:szCs w:val="22"/>
        </w:rPr>
        <w:t>de acreditacion ante organismos N</w:t>
      </w:r>
      <w:r w:rsidRPr="007923C2">
        <w:rPr>
          <w:rFonts w:ascii="Arial" w:hAnsi="Arial" w:cs="Arial"/>
          <w:color w:val="000000"/>
          <w:sz w:val="22"/>
          <w:szCs w:val="22"/>
        </w:rPr>
        <w:t>orteamericanos.</w:t>
      </w:r>
    </w:p>
    <w:p w14:paraId="681EDA32"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02A5AD99" w14:textId="77777777" w:rsidR="006A1D9E" w:rsidRPr="007923C2" w:rsidRDefault="006A1D9E" w:rsidP="006A1D9E">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color w:val="000000"/>
          <w:sz w:val="22"/>
          <w:szCs w:val="22"/>
        </w:rPr>
        <w:t>Las universidades publicas, hasta hace poco, no hab</w:t>
      </w:r>
      <w:r w:rsidR="00431FFF">
        <w:rPr>
          <w:rFonts w:ascii="Arial" w:hAnsi="Arial" w:cs="Arial"/>
          <w:color w:val="000000"/>
          <w:sz w:val="22"/>
          <w:szCs w:val="22"/>
        </w:rPr>
        <w:t>í</w:t>
      </w:r>
      <w:r w:rsidRPr="007923C2">
        <w:rPr>
          <w:rFonts w:ascii="Arial" w:hAnsi="Arial" w:cs="Arial"/>
          <w:color w:val="000000"/>
          <w:sz w:val="22"/>
          <w:szCs w:val="22"/>
        </w:rPr>
        <w:t>an manifestado mucho interes en acreditarse ante un organismo internacional. En el nuevo contexto, algunas de ellas como la Universidad Autonoma de Puebla (UAP) la Universidad Autonoma de Yucatan y el Colegio de Bachilleres, estan emprendiendo acciones consecuentes con este objetivo. Varias universidades aplican una prueba de aptitud academica, de acuerdo con las normas de la institucion norteamericana College Board; y estan desarrollando, con base en dicha prueba, sus propios mecanismos de valoracion.</w:t>
      </w:r>
    </w:p>
    <w:p w14:paraId="29017C9B" w14:textId="77777777"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14:paraId="39161EBA" w14:textId="77777777"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2. LA ACREDITACION DE PLANES Y PROGRAMAS ACADEMICOS POR LOS ORGANISMOS PROFESIONALES</w:t>
      </w:r>
    </w:p>
    <w:p w14:paraId="20A59CF0" w14:textId="77777777"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14:paraId="0C827516" w14:textId="77777777" w:rsidR="006A1D9E" w:rsidRPr="007923C2" w:rsidRDefault="006A1D9E" w:rsidP="006A1D9E">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Los organismos profesionales acreditan a las facultades y escuelas de estudios superiores en Mexico, en funcion de normas espec cas, segun las exigencias de su campo de trabajo. Estas exigencias son diferentes en cada organismo, de acuerdo con los requerimientos de la especialidad.</w:t>
      </w:r>
    </w:p>
    <w:p w14:paraId="03D294ED"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40A809F6" w14:textId="77777777" w:rsidR="006A1D9E" w:rsidRPr="007923C2" w:rsidRDefault="006A1D9E" w:rsidP="00F5568C">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En el area de salud, la Academia Nacional de Medicina y los Consejos Profesionales de las distintas especia-lidades medicas, realizan actividades de certificacion de la capacidad profesional.</w:t>
      </w:r>
    </w:p>
    <w:p w14:paraId="0992EF3F" w14:textId="77777777" w:rsidR="006A1D9E" w:rsidRPr="007923C2" w:rsidRDefault="006A1D9E" w:rsidP="00F5568C">
      <w:pPr>
        <w:widowControl w:val="0"/>
        <w:autoSpaceDE w:val="0"/>
        <w:autoSpaceDN w:val="0"/>
        <w:adjustRightInd w:val="0"/>
        <w:spacing w:after="0" w:line="129" w:lineRule="exact"/>
        <w:jc w:val="both"/>
        <w:rPr>
          <w:rFonts w:ascii="Arial" w:hAnsi="Arial" w:cs="Arial"/>
          <w:sz w:val="22"/>
          <w:szCs w:val="22"/>
        </w:rPr>
      </w:pPr>
    </w:p>
    <w:p w14:paraId="64F1054C" w14:textId="77777777" w:rsidR="006A1D9E" w:rsidRPr="007923C2" w:rsidRDefault="006A1D9E" w:rsidP="00F5568C">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La certi</w:t>
      </w:r>
      <w:r w:rsidR="00431FFF">
        <w:rPr>
          <w:rFonts w:ascii="Arial" w:hAnsi="Arial" w:cs="Arial"/>
          <w:color w:val="000000"/>
          <w:sz w:val="22"/>
          <w:szCs w:val="22"/>
        </w:rPr>
        <w:t>fi</w:t>
      </w:r>
      <w:r w:rsidRPr="007923C2">
        <w:rPr>
          <w:rFonts w:ascii="Arial" w:hAnsi="Arial" w:cs="Arial"/>
          <w:color w:val="000000"/>
          <w:sz w:val="22"/>
          <w:szCs w:val="22"/>
        </w:rPr>
        <w:t>cacion de los egresados de las escuelas de medicina, as</w:t>
      </w:r>
      <w:r w:rsidR="00431FFF">
        <w:rPr>
          <w:rFonts w:ascii="Arial" w:hAnsi="Arial" w:cs="Arial"/>
          <w:color w:val="000000"/>
          <w:sz w:val="22"/>
          <w:szCs w:val="22"/>
        </w:rPr>
        <w:t>í</w:t>
      </w:r>
      <w:r w:rsidRPr="007923C2">
        <w:rPr>
          <w:rFonts w:ascii="Arial" w:hAnsi="Arial" w:cs="Arial"/>
          <w:color w:val="000000"/>
          <w:sz w:val="22"/>
          <w:szCs w:val="22"/>
        </w:rPr>
        <w:t xml:space="preserve"> como la actualizacion y validacion de licencias, en Mexico, es voluntaria y puede realizarse a nivel nacional.</w:t>
      </w:r>
    </w:p>
    <w:p w14:paraId="0D652468" w14:textId="77777777" w:rsidR="006A1D9E" w:rsidRPr="007923C2" w:rsidRDefault="006A1D9E" w:rsidP="00F5568C">
      <w:pPr>
        <w:widowControl w:val="0"/>
        <w:autoSpaceDE w:val="0"/>
        <w:autoSpaceDN w:val="0"/>
        <w:adjustRightInd w:val="0"/>
        <w:spacing w:after="0" w:line="129" w:lineRule="exact"/>
        <w:jc w:val="both"/>
        <w:rPr>
          <w:rFonts w:ascii="Arial" w:hAnsi="Arial" w:cs="Arial"/>
          <w:sz w:val="22"/>
          <w:szCs w:val="22"/>
        </w:rPr>
      </w:pPr>
    </w:p>
    <w:p w14:paraId="7C325D8E" w14:textId="77777777" w:rsidR="006A1D9E" w:rsidRPr="007923C2" w:rsidRDefault="006A1D9E" w:rsidP="00F5568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color w:val="000000"/>
          <w:sz w:val="22"/>
          <w:szCs w:val="22"/>
        </w:rPr>
        <w:t>Por otra parte, otro de los organismos importantes que agrupan escuelas de formacion profesional, la Asociacion Nacional de Facultades y Escuelas de Contadu</w:t>
      </w:r>
      <w:r w:rsidR="00431FFF">
        <w:rPr>
          <w:rFonts w:ascii="Arial" w:hAnsi="Arial" w:cs="Arial"/>
          <w:color w:val="000000"/>
          <w:sz w:val="22"/>
          <w:szCs w:val="22"/>
        </w:rPr>
        <w:t>í</w:t>
      </w:r>
      <w:r w:rsidRPr="007923C2">
        <w:rPr>
          <w:rFonts w:ascii="Arial" w:hAnsi="Arial" w:cs="Arial"/>
          <w:color w:val="000000"/>
          <w:sz w:val="22"/>
          <w:szCs w:val="22"/>
        </w:rPr>
        <w:t xml:space="preserve">ra y Administracion (ANFECA), reconoce en sus estatutos que sus recomendaciones tienen un caracter orientador informal. Entre sus </w:t>
      </w:r>
      <w:r w:rsidRPr="007923C2">
        <w:rPr>
          <w:rFonts w:ascii="Arial" w:hAnsi="Arial" w:cs="Arial"/>
          <w:color w:val="000000"/>
          <w:sz w:val="22"/>
          <w:szCs w:val="22"/>
        </w:rPr>
        <w:lastRenderedPageBreak/>
        <w:t>principales propositos estan: agrupar a las instituciones que imparten estudios profesionales de Contadur</w:t>
      </w:r>
      <w:r w:rsidR="00431FFF">
        <w:rPr>
          <w:rFonts w:ascii="Arial" w:hAnsi="Arial" w:cs="Arial"/>
          <w:color w:val="000000"/>
          <w:sz w:val="22"/>
          <w:szCs w:val="22"/>
        </w:rPr>
        <w:t>í</w:t>
      </w:r>
      <w:r w:rsidRPr="007923C2">
        <w:rPr>
          <w:rFonts w:ascii="Arial" w:hAnsi="Arial" w:cs="Arial"/>
          <w:color w:val="000000"/>
          <w:sz w:val="22"/>
          <w:szCs w:val="22"/>
        </w:rPr>
        <w:t>a y Administracion, para adoptar medidas que contribuyan a elevar la calidad academica: fomentar la actualizacion del profesorado; y, promover intercambios de caracter academico, docente, estudiantil y tecnico. Se de ne como una asociacion cuya nalidad es contribuir a lograr el nivel de excelencia de una disciplina, por lo que podr</w:t>
      </w:r>
      <w:r w:rsidR="00431FFF">
        <w:rPr>
          <w:rFonts w:ascii="Arial" w:hAnsi="Arial" w:cs="Arial"/>
          <w:color w:val="000000"/>
          <w:sz w:val="22"/>
          <w:szCs w:val="22"/>
        </w:rPr>
        <w:t>í</w:t>
      </w:r>
      <w:r w:rsidRPr="007923C2">
        <w:rPr>
          <w:rFonts w:ascii="Arial" w:hAnsi="Arial" w:cs="Arial"/>
          <w:color w:val="000000"/>
          <w:sz w:val="22"/>
          <w:szCs w:val="22"/>
        </w:rPr>
        <w:t>a fungir como instancia de acreditacion institucional especializada.</w:t>
      </w:r>
    </w:p>
    <w:p w14:paraId="333BFE22" w14:textId="77777777" w:rsidR="006A1D9E" w:rsidRPr="007923C2" w:rsidRDefault="006A1D9E" w:rsidP="00F5568C">
      <w:pPr>
        <w:widowControl w:val="0"/>
        <w:autoSpaceDE w:val="0"/>
        <w:autoSpaceDN w:val="0"/>
        <w:adjustRightInd w:val="0"/>
        <w:spacing w:after="0" w:line="128" w:lineRule="exact"/>
        <w:jc w:val="both"/>
        <w:rPr>
          <w:rFonts w:ascii="Arial" w:hAnsi="Arial" w:cs="Arial"/>
          <w:sz w:val="22"/>
          <w:szCs w:val="22"/>
        </w:rPr>
      </w:pPr>
    </w:p>
    <w:p w14:paraId="1F912769" w14:textId="77777777" w:rsidR="006A1D9E" w:rsidRPr="007923C2" w:rsidRDefault="006A1D9E" w:rsidP="00F5568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color w:val="000000"/>
          <w:sz w:val="22"/>
          <w:szCs w:val="22"/>
        </w:rPr>
        <w:t>Los requisitos de a</w:t>
      </w:r>
      <w:r w:rsidR="00431FFF">
        <w:rPr>
          <w:rFonts w:ascii="Arial" w:hAnsi="Arial" w:cs="Arial"/>
          <w:color w:val="000000"/>
          <w:sz w:val="22"/>
          <w:szCs w:val="22"/>
        </w:rPr>
        <w:t>fi</w:t>
      </w:r>
      <w:r w:rsidRPr="007923C2">
        <w:rPr>
          <w:rFonts w:ascii="Arial" w:hAnsi="Arial" w:cs="Arial"/>
          <w:color w:val="000000"/>
          <w:sz w:val="22"/>
          <w:szCs w:val="22"/>
        </w:rPr>
        <w:t>liacion a este organismo son los siguientes ser una institucion universitaria o de rango similar; presentar una solicitud de admision debidamente autorizada; obtener del Consejo Directivo la aprobacion provisional de la solicitud de ingreso y, posteriormente, su rati</w:t>
      </w:r>
      <w:r w:rsidR="00431FFF">
        <w:rPr>
          <w:rFonts w:ascii="Arial" w:hAnsi="Arial" w:cs="Arial"/>
          <w:color w:val="000000"/>
          <w:sz w:val="22"/>
          <w:szCs w:val="22"/>
        </w:rPr>
        <w:t>fi</w:t>
      </w:r>
      <w:r w:rsidRPr="007923C2">
        <w:rPr>
          <w:rFonts w:ascii="Arial" w:hAnsi="Arial" w:cs="Arial"/>
          <w:color w:val="000000"/>
          <w:sz w:val="22"/>
          <w:szCs w:val="22"/>
        </w:rPr>
        <w:t>cacion por parte de la Asamblea Nacional.</w:t>
      </w:r>
    </w:p>
    <w:p w14:paraId="1EA19E72" w14:textId="77777777" w:rsidR="006A1D9E" w:rsidRPr="007923C2" w:rsidRDefault="006A1D9E" w:rsidP="00F5568C">
      <w:pPr>
        <w:widowControl w:val="0"/>
        <w:autoSpaceDE w:val="0"/>
        <w:autoSpaceDN w:val="0"/>
        <w:adjustRightInd w:val="0"/>
        <w:spacing w:after="0" w:line="130" w:lineRule="exact"/>
        <w:jc w:val="both"/>
        <w:rPr>
          <w:rFonts w:ascii="Arial" w:hAnsi="Arial" w:cs="Arial"/>
          <w:sz w:val="22"/>
          <w:szCs w:val="22"/>
        </w:rPr>
      </w:pPr>
    </w:p>
    <w:p w14:paraId="394830D7" w14:textId="77777777" w:rsidR="006A1D9E" w:rsidRPr="007923C2" w:rsidRDefault="006A1D9E" w:rsidP="00F5568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color w:val="000000"/>
          <w:sz w:val="22"/>
          <w:szCs w:val="22"/>
        </w:rPr>
        <w:t>Otro de los organismos importantes, creado para agrupar a las escuelas y facultades que imparten la carrera de ingenie</w:t>
      </w:r>
      <w:r w:rsidR="00431FFF">
        <w:rPr>
          <w:rFonts w:ascii="Arial" w:hAnsi="Arial" w:cs="Arial"/>
          <w:color w:val="000000"/>
          <w:sz w:val="22"/>
          <w:szCs w:val="22"/>
        </w:rPr>
        <w:t>rí</w:t>
      </w:r>
      <w:r w:rsidRPr="007923C2">
        <w:rPr>
          <w:rFonts w:ascii="Arial" w:hAnsi="Arial" w:cs="Arial"/>
          <w:color w:val="000000"/>
          <w:sz w:val="22"/>
          <w:szCs w:val="22"/>
        </w:rPr>
        <w:t>a, la Asociacion Nacional de Facultades y Escuelas de Ingenier</w:t>
      </w:r>
      <w:r w:rsidR="00431FFF">
        <w:rPr>
          <w:rFonts w:ascii="Arial" w:hAnsi="Arial" w:cs="Arial"/>
          <w:color w:val="000000"/>
          <w:sz w:val="22"/>
          <w:szCs w:val="22"/>
        </w:rPr>
        <w:t>í</w:t>
      </w:r>
      <w:r w:rsidRPr="007923C2">
        <w:rPr>
          <w:rFonts w:ascii="Arial" w:hAnsi="Arial" w:cs="Arial"/>
          <w:color w:val="000000"/>
          <w:sz w:val="22"/>
          <w:szCs w:val="22"/>
        </w:rPr>
        <w:t>a Civil (ANFEI), tiene comoobjetivos fundamentales los siguientes: agrupar a las facultades y escuelas de Ingenier</w:t>
      </w:r>
      <w:r w:rsidR="00431FFF">
        <w:rPr>
          <w:rFonts w:ascii="Arial" w:hAnsi="Arial" w:cs="Arial"/>
          <w:color w:val="000000"/>
          <w:sz w:val="22"/>
          <w:szCs w:val="22"/>
        </w:rPr>
        <w:t>í</w:t>
      </w:r>
      <w:r w:rsidRPr="007923C2">
        <w:rPr>
          <w:rFonts w:ascii="Arial" w:hAnsi="Arial" w:cs="Arial"/>
          <w:color w:val="000000"/>
          <w:sz w:val="22"/>
          <w:szCs w:val="22"/>
        </w:rPr>
        <w:t>a que, en los terminos de las leyes relativas a la educacion, se dedican a la ense</w:t>
      </w:r>
      <w:r w:rsidR="00431FFF">
        <w:rPr>
          <w:rFonts w:ascii="Arial" w:hAnsi="Arial" w:cs="Arial"/>
          <w:color w:val="000000"/>
          <w:sz w:val="22"/>
          <w:szCs w:val="22"/>
        </w:rPr>
        <w:t>ñ</w:t>
      </w:r>
      <w:r w:rsidRPr="007923C2">
        <w:rPr>
          <w:rFonts w:ascii="Arial" w:hAnsi="Arial" w:cs="Arial"/>
          <w:color w:val="000000"/>
          <w:sz w:val="22"/>
          <w:szCs w:val="22"/>
        </w:rPr>
        <w:t>anza de la ingenier</w:t>
      </w:r>
      <w:r w:rsidR="00431FFF">
        <w:rPr>
          <w:rFonts w:ascii="Arial" w:hAnsi="Arial" w:cs="Arial"/>
          <w:color w:val="000000"/>
          <w:sz w:val="22"/>
          <w:szCs w:val="22"/>
        </w:rPr>
        <w:t>í</w:t>
      </w:r>
      <w:r w:rsidRPr="007923C2">
        <w:rPr>
          <w:rFonts w:ascii="Arial" w:hAnsi="Arial" w:cs="Arial"/>
          <w:color w:val="000000"/>
          <w:sz w:val="22"/>
          <w:szCs w:val="22"/>
        </w:rPr>
        <w:t>a en nuestro pa</w:t>
      </w:r>
      <w:r w:rsidR="00431FFF">
        <w:rPr>
          <w:rFonts w:ascii="Arial" w:hAnsi="Arial" w:cs="Arial"/>
          <w:color w:val="000000"/>
          <w:sz w:val="22"/>
          <w:szCs w:val="22"/>
        </w:rPr>
        <w:t>i</w:t>
      </w:r>
      <w:r w:rsidRPr="007923C2">
        <w:rPr>
          <w:rFonts w:ascii="Arial" w:hAnsi="Arial" w:cs="Arial"/>
          <w:color w:val="000000"/>
          <w:sz w:val="22"/>
          <w:szCs w:val="22"/>
        </w:rPr>
        <w:t>s, en cualquiera de sus ramas; coadyuvar con las autoridades de las IES en Mexico, a planear en forma integral la ense</w:t>
      </w:r>
      <w:r w:rsidR="00431FFF">
        <w:rPr>
          <w:rFonts w:ascii="Arial" w:hAnsi="Arial" w:cs="Arial"/>
          <w:color w:val="000000"/>
          <w:sz w:val="22"/>
          <w:szCs w:val="22"/>
        </w:rPr>
        <w:t>ñ</w:t>
      </w:r>
      <w:r w:rsidRPr="007923C2">
        <w:rPr>
          <w:rFonts w:ascii="Arial" w:hAnsi="Arial" w:cs="Arial"/>
          <w:color w:val="000000"/>
          <w:sz w:val="22"/>
          <w:szCs w:val="22"/>
        </w:rPr>
        <w:t>anza de la ingenier</w:t>
      </w:r>
      <w:r w:rsidR="00431FFF">
        <w:rPr>
          <w:rFonts w:ascii="Arial" w:hAnsi="Arial" w:cs="Arial"/>
          <w:color w:val="000000"/>
          <w:sz w:val="22"/>
          <w:szCs w:val="22"/>
        </w:rPr>
        <w:t>í</w:t>
      </w:r>
      <w:r w:rsidRPr="007923C2">
        <w:rPr>
          <w:rFonts w:ascii="Arial" w:hAnsi="Arial" w:cs="Arial"/>
          <w:color w:val="000000"/>
          <w:sz w:val="22"/>
          <w:szCs w:val="22"/>
        </w:rPr>
        <w:t>a; e impulsar la formacion integral del estudiante.</w:t>
      </w:r>
    </w:p>
    <w:p w14:paraId="21866F24"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3D62730C" w14:textId="77777777" w:rsidR="006A1D9E" w:rsidRPr="007923C2" w:rsidRDefault="006A1D9E" w:rsidP="006A1D9E">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color w:val="000000"/>
          <w:sz w:val="22"/>
          <w:szCs w:val="22"/>
        </w:rPr>
        <w:t>Los requisitos de ingreso a este organismo son: que la institucion aspirante est</w:t>
      </w:r>
      <w:r w:rsidR="00431FFF">
        <w:rPr>
          <w:rFonts w:ascii="Arial" w:hAnsi="Arial" w:cs="Arial"/>
          <w:color w:val="000000"/>
          <w:sz w:val="22"/>
          <w:szCs w:val="22"/>
        </w:rPr>
        <w:t>á</w:t>
      </w:r>
      <w:r w:rsidRPr="007923C2">
        <w:rPr>
          <w:rFonts w:ascii="Arial" w:hAnsi="Arial" w:cs="Arial"/>
          <w:color w:val="000000"/>
          <w:sz w:val="22"/>
          <w:szCs w:val="22"/>
        </w:rPr>
        <w:t xml:space="preserve"> organizada con base en los ordenamientos federales y estatales sobre educacion superior; que solicite su ingreso a la Asociacion, por los conductos debidos; que se admita su ingreso por la Asamblea General de la Asociacion; los asociados se clasi</w:t>
      </w:r>
      <w:r w:rsidR="00431FFF">
        <w:rPr>
          <w:rFonts w:ascii="Arial" w:hAnsi="Arial" w:cs="Arial"/>
          <w:color w:val="000000"/>
          <w:sz w:val="22"/>
          <w:szCs w:val="22"/>
        </w:rPr>
        <w:t>fi</w:t>
      </w:r>
      <w:r w:rsidRPr="007923C2">
        <w:rPr>
          <w:rFonts w:ascii="Arial" w:hAnsi="Arial" w:cs="Arial"/>
          <w:color w:val="000000"/>
          <w:sz w:val="22"/>
          <w:szCs w:val="22"/>
        </w:rPr>
        <w:t xml:space="preserve"> caran de acuerdo a tres categor</w:t>
      </w:r>
      <w:r w:rsidR="00431FFF">
        <w:rPr>
          <w:rFonts w:ascii="Arial" w:hAnsi="Arial" w:cs="Arial"/>
          <w:color w:val="000000"/>
          <w:sz w:val="22"/>
          <w:szCs w:val="22"/>
        </w:rPr>
        <w:t>í</w:t>
      </w:r>
      <w:r w:rsidRPr="007923C2">
        <w:rPr>
          <w:rFonts w:ascii="Arial" w:hAnsi="Arial" w:cs="Arial"/>
          <w:color w:val="000000"/>
          <w:sz w:val="22"/>
          <w:szCs w:val="22"/>
        </w:rPr>
        <w:t>as: fundadores, activos y honorarios.</w:t>
      </w:r>
    </w:p>
    <w:p w14:paraId="04E46B54"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49F6326F" w14:textId="77777777"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Al igual que la ANFECA, la ANFEI podr</w:t>
      </w:r>
      <w:r w:rsidR="00431FFF">
        <w:rPr>
          <w:rFonts w:ascii="Arial" w:hAnsi="Arial" w:cs="Arial"/>
          <w:color w:val="000000"/>
          <w:sz w:val="22"/>
          <w:szCs w:val="22"/>
        </w:rPr>
        <w:t>í</w:t>
      </w:r>
      <w:r w:rsidRPr="007923C2">
        <w:rPr>
          <w:rFonts w:ascii="Arial" w:hAnsi="Arial" w:cs="Arial"/>
          <w:color w:val="000000"/>
          <w:sz w:val="22"/>
          <w:szCs w:val="22"/>
        </w:rPr>
        <w:t>a constituirse en una importante instancia acreditadora de instituciones dedicadas a impulsar el desarrollo academico de la especialidad respectiva.</w:t>
      </w:r>
    </w:p>
    <w:p w14:paraId="04F999A7" w14:textId="77777777"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14:paraId="76886086" w14:textId="77777777"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3. ACREDITACION DE INSTITUCIONES DE EDUCACION SUPERIOR EN ASOCIACIONES NACIONALES</w:t>
      </w:r>
    </w:p>
    <w:p w14:paraId="68EBF21C" w14:textId="77777777"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14:paraId="3EB3F8B5" w14:textId="77777777" w:rsidR="006A1D9E" w:rsidRPr="007923C2" w:rsidRDefault="006A1D9E" w:rsidP="006A1D9E">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color w:val="000000"/>
          <w:sz w:val="22"/>
          <w:szCs w:val="22"/>
        </w:rPr>
        <w:t>Algunas asociaciones nacionales han establecido determinados requisitos para la incorporacion de</w:t>
      </w:r>
      <w:r w:rsidR="00431FFF">
        <w:rPr>
          <w:rFonts w:ascii="Arial" w:hAnsi="Arial" w:cs="Arial"/>
          <w:color w:val="000000"/>
          <w:sz w:val="22"/>
          <w:szCs w:val="22"/>
        </w:rPr>
        <w:t>I</w:t>
      </w:r>
      <w:r w:rsidRPr="007923C2">
        <w:rPr>
          <w:rFonts w:ascii="Arial" w:hAnsi="Arial" w:cs="Arial"/>
          <w:color w:val="000000"/>
          <w:sz w:val="22"/>
          <w:szCs w:val="22"/>
        </w:rPr>
        <w:t xml:space="preserve"> ES, en sus grupos de miembros. Este conjunto de requisitos puede asimilarse como un procedimiento general de reconocimiento social como institucion de calidad, dentro de un concepto amplio de acreditacion, entendido en los terminos que se explicitan en la primera parte de este documento. A continuacion, se exponen dos experiencias.</w:t>
      </w:r>
    </w:p>
    <w:p w14:paraId="19591E1C" w14:textId="77777777" w:rsidR="006A1D9E" w:rsidRPr="007923C2" w:rsidRDefault="006A1D9E" w:rsidP="006A1D9E">
      <w:pPr>
        <w:widowControl w:val="0"/>
        <w:autoSpaceDE w:val="0"/>
        <w:autoSpaceDN w:val="0"/>
        <w:adjustRightInd w:val="0"/>
        <w:spacing w:after="0" w:line="337" w:lineRule="exact"/>
        <w:rPr>
          <w:rFonts w:ascii="Arial" w:hAnsi="Arial" w:cs="Arial"/>
          <w:sz w:val="22"/>
          <w:szCs w:val="22"/>
        </w:rPr>
      </w:pPr>
    </w:p>
    <w:p w14:paraId="0AE4D04C"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a) CRITERIOS PARA EL INGRESO DE INSTITUCIONES A LA ANUIES</w:t>
      </w:r>
    </w:p>
    <w:p w14:paraId="0717A8F6" w14:textId="77777777" w:rsidR="006A1D9E" w:rsidRPr="007923C2" w:rsidRDefault="006A1D9E" w:rsidP="006A1D9E">
      <w:pPr>
        <w:widowControl w:val="0"/>
        <w:autoSpaceDE w:val="0"/>
        <w:autoSpaceDN w:val="0"/>
        <w:adjustRightInd w:val="0"/>
        <w:spacing w:after="0" w:line="369" w:lineRule="exact"/>
        <w:rPr>
          <w:rFonts w:ascii="Arial" w:hAnsi="Arial" w:cs="Arial"/>
          <w:sz w:val="22"/>
          <w:szCs w:val="22"/>
        </w:rPr>
      </w:pPr>
    </w:p>
    <w:p w14:paraId="31B9A56F" w14:textId="77777777" w:rsidR="006A1D9E" w:rsidRPr="007923C2" w:rsidRDefault="006A1D9E" w:rsidP="006A1D9E">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color w:val="000000"/>
          <w:sz w:val="22"/>
          <w:szCs w:val="22"/>
        </w:rPr>
        <w:t>El nuevo Estatuto de la ANUIES, aprobado en noviembre de 1991, abre la posibilidad de ingreso, de nuevas IES, a este organismo. Para su incorporacion se proyectaron algunos criterios que pudieran dar respuesta a los requisitos de nivel de \calidad, desarrollo y consolidacion academica", establecidos en el art</w:t>
      </w:r>
      <w:r w:rsidR="00431FFF">
        <w:rPr>
          <w:rFonts w:ascii="Arial" w:hAnsi="Arial" w:cs="Arial"/>
          <w:color w:val="000000"/>
          <w:sz w:val="22"/>
          <w:szCs w:val="22"/>
        </w:rPr>
        <w:t>í</w:t>
      </w:r>
      <w:r w:rsidRPr="007923C2">
        <w:rPr>
          <w:rFonts w:ascii="Arial" w:hAnsi="Arial" w:cs="Arial"/>
          <w:color w:val="000000"/>
          <w:sz w:val="22"/>
          <w:szCs w:val="22"/>
        </w:rPr>
        <w:t>culo 8o. del mencionado Estatuto. En este sentido, se proyectaron dos procesos evaluatorios complementarios. El primero, a traves de seis indicadores basicos que denotan cierto grado de desarrollo institucional y de recursos academicos disponibles. El segundo, consistente en la realizacion de un reporte evaluatorio efectuado por un Grupo T</w:t>
      </w:r>
      <w:r w:rsidR="003129B3">
        <w:rPr>
          <w:rFonts w:ascii="Arial" w:hAnsi="Arial" w:cs="Arial"/>
          <w:color w:val="000000"/>
          <w:sz w:val="22"/>
          <w:szCs w:val="22"/>
        </w:rPr>
        <w:t>é</w:t>
      </w:r>
      <w:r w:rsidRPr="007923C2">
        <w:rPr>
          <w:rFonts w:ascii="Arial" w:hAnsi="Arial" w:cs="Arial"/>
          <w:color w:val="000000"/>
          <w:sz w:val="22"/>
          <w:szCs w:val="22"/>
        </w:rPr>
        <w:t>cnico que visitar</w:t>
      </w:r>
      <w:r w:rsidR="003129B3">
        <w:rPr>
          <w:rFonts w:ascii="Arial" w:hAnsi="Arial" w:cs="Arial"/>
          <w:color w:val="000000"/>
          <w:sz w:val="22"/>
          <w:szCs w:val="22"/>
        </w:rPr>
        <w:t>á</w:t>
      </w:r>
      <w:r w:rsidRPr="007923C2">
        <w:rPr>
          <w:rFonts w:ascii="Arial" w:hAnsi="Arial" w:cs="Arial"/>
          <w:color w:val="000000"/>
          <w:sz w:val="22"/>
          <w:szCs w:val="22"/>
        </w:rPr>
        <w:t xml:space="preserve"> la institucion.</w:t>
      </w:r>
    </w:p>
    <w:p w14:paraId="3A0C526A"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05C2841A" w14:textId="77777777" w:rsidR="006A1D9E" w:rsidRPr="007923C2" w:rsidRDefault="006A1D9E" w:rsidP="006A1D9E">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color w:val="000000"/>
          <w:sz w:val="22"/>
          <w:szCs w:val="22"/>
        </w:rPr>
        <w:t>Los seis indicadores propuestos coinciden con categor</w:t>
      </w:r>
      <w:r w:rsidR="003129B3">
        <w:rPr>
          <w:rFonts w:ascii="Arial" w:hAnsi="Arial" w:cs="Arial"/>
          <w:color w:val="000000"/>
          <w:sz w:val="22"/>
          <w:szCs w:val="22"/>
        </w:rPr>
        <w:t>í</w:t>
      </w:r>
      <w:r w:rsidRPr="007923C2">
        <w:rPr>
          <w:rFonts w:ascii="Arial" w:hAnsi="Arial" w:cs="Arial"/>
          <w:color w:val="000000"/>
          <w:sz w:val="22"/>
          <w:szCs w:val="22"/>
        </w:rPr>
        <w:t>as e indicadores sugeridos por la CONAEVA. Estos son a) tasa de e ciencia; b) tasa que denota el nivel de formacion del personal docente c) tasa que denota la carga academica de los docentes; d) tasa que denota la proporcion de recursos academicos destinados a la investigacion; e) tasa que denota la distribuci</w:t>
      </w:r>
      <w:r w:rsidR="003129B3">
        <w:rPr>
          <w:rFonts w:ascii="Arial" w:hAnsi="Arial" w:cs="Arial"/>
          <w:color w:val="000000"/>
          <w:sz w:val="22"/>
          <w:szCs w:val="22"/>
        </w:rPr>
        <w:t>ó</w:t>
      </w:r>
      <w:r w:rsidRPr="007923C2">
        <w:rPr>
          <w:rFonts w:ascii="Arial" w:hAnsi="Arial" w:cs="Arial"/>
          <w:color w:val="000000"/>
          <w:sz w:val="22"/>
          <w:szCs w:val="22"/>
        </w:rPr>
        <w:t>n de la matr</w:t>
      </w:r>
      <w:r w:rsidR="003129B3">
        <w:rPr>
          <w:rFonts w:ascii="Arial" w:hAnsi="Arial" w:cs="Arial"/>
          <w:color w:val="000000"/>
          <w:sz w:val="22"/>
          <w:szCs w:val="22"/>
        </w:rPr>
        <w:t>í</w:t>
      </w:r>
      <w:r w:rsidRPr="007923C2">
        <w:rPr>
          <w:rFonts w:ascii="Arial" w:hAnsi="Arial" w:cs="Arial"/>
          <w:color w:val="000000"/>
          <w:sz w:val="22"/>
          <w:szCs w:val="22"/>
        </w:rPr>
        <w:t xml:space="preserve">cula en las </w:t>
      </w:r>
      <w:r w:rsidR="003129B3">
        <w:rPr>
          <w:rFonts w:ascii="Arial" w:hAnsi="Arial" w:cs="Arial"/>
          <w:color w:val="000000"/>
          <w:sz w:val="22"/>
          <w:szCs w:val="22"/>
        </w:rPr>
        <w:lastRenderedPageBreak/>
        <w:t>á</w:t>
      </w:r>
      <w:r w:rsidRPr="007923C2">
        <w:rPr>
          <w:rFonts w:ascii="Arial" w:hAnsi="Arial" w:cs="Arial"/>
          <w:color w:val="000000"/>
          <w:sz w:val="22"/>
          <w:szCs w:val="22"/>
        </w:rPr>
        <w:t>reas de conocimiento; y f) tasa de atenc</w:t>
      </w:r>
      <w:r w:rsidR="003129B3">
        <w:rPr>
          <w:rFonts w:ascii="Arial" w:hAnsi="Arial" w:cs="Arial"/>
          <w:color w:val="000000"/>
          <w:sz w:val="22"/>
          <w:szCs w:val="22"/>
        </w:rPr>
        <w:t>ió</w:t>
      </w:r>
      <w:r w:rsidRPr="007923C2">
        <w:rPr>
          <w:rFonts w:ascii="Arial" w:hAnsi="Arial" w:cs="Arial"/>
          <w:color w:val="000000"/>
          <w:sz w:val="22"/>
          <w:szCs w:val="22"/>
        </w:rPr>
        <w:t>n prioritaria a licenciatura y posgrado, en relaci</w:t>
      </w:r>
      <w:r w:rsidR="003129B3">
        <w:rPr>
          <w:rFonts w:ascii="Arial" w:hAnsi="Arial" w:cs="Arial"/>
          <w:color w:val="000000"/>
          <w:sz w:val="22"/>
          <w:szCs w:val="22"/>
        </w:rPr>
        <w:t>ó</w:t>
      </w:r>
      <w:r w:rsidRPr="007923C2">
        <w:rPr>
          <w:rFonts w:ascii="Arial" w:hAnsi="Arial" w:cs="Arial"/>
          <w:color w:val="000000"/>
          <w:sz w:val="22"/>
          <w:szCs w:val="22"/>
        </w:rPr>
        <w:t>n al nivel de preparatoria. (Vease: Coordinacion de Estudios para la Planeacion de la ANUIES. \Sugerencias para precisar la calidad, el desarrollo y la consolidaci</w:t>
      </w:r>
      <w:r w:rsidR="003129B3">
        <w:rPr>
          <w:rFonts w:ascii="Arial" w:hAnsi="Arial" w:cs="Arial"/>
          <w:color w:val="000000"/>
          <w:sz w:val="22"/>
          <w:szCs w:val="22"/>
        </w:rPr>
        <w:t>ó</w:t>
      </w:r>
      <w:r w:rsidRPr="007923C2">
        <w:rPr>
          <w:rFonts w:ascii="Arial" w:hAnsi="Arial" w:cs="Arial"/>
          <w:color w:val="000000"/>
          <w:sz w:val="22"/>
          <w:szCs w:val="22"/>
        </w:rPr>
        <w:t>n acad</w:t>
      </w:r>
      <w:r w:rsidR="003129B3">
        <w:rPr>
          <w:rFonts w:ascii="Arial" w:hAnsi="Arial" w:cs="Arial"/>
          <w:color w:val="000000"/>
          <w:sz w:val="22"/>
          <w:szCs w:val="22"/>
        </w:rPr>
        <w:t>é</w:t>
      </w:r>
      <w:r w:rsidRPr="007923C2">
        <w:rPr>
          <w:rFonts w:ascii="Arial" w:hAnsi="Arial" w:cs="Arial"/>
          <w:color w:val="000000"/>
          <w:sz w:val="22"/>
          <w:szCs w:val="22"/>
        </w:rPr>
        <w:t>mica, establecidos en el apartado 111 del art</w:t>
      </w:r>
      <w:r w:rsidR="003129B3">
        <w:rPr>
          <w:rFonts w:ascii="Arial" w:hAnsi="Arial" w:cs="Arial"/>
          <w:color w:val="000000"/>
          <w:sz w:val="22"/>
          <w:szCs w:val="22"/>
        </w:rPr>
        <w:t>í</w:t>
      </w:r>
      <w:r w:rsidRPr="007923C2">
        <w:rPr>
          <w:rFonts w:ascii="Arial" w:hAnsi="Arial" w:cs="Arial"/>
          <w:color w:val="000000"/>
          <w:sz w:val="22"/>
          <w:szCs w:val="22"/>
        </w:rPr>
        <w:t>culo 8o. del Estatuto de la ANUIES". Abril de 1993).</w:t>
      </w:r>
    </w:p>
    <w:p w14:paraId="125299E3" w14:textId="77777777" w:rsidR="006A1D9E" w:rsidRPr="007923C2" w:rsidRDefault="006A1D9E" w:rsidP="006A1D9E">
      <w:pPr>
        <w:widowControl w:val="0"/>
        <w:autoSpaceDE w:val="0"/>
        <w:autoSpaceDN w:val="0"/>
        <w:adjustRightInd w:val="0"/>
        <w:spacing w:after="0" w:line="128" w:lineRule="exact"/>
        <w:rPr>
          <w:rFonts w:ascii="Arial" w:hAnsi="Arial" w:cs="Arial"/>
          <w:sz w:val="22"/>
          <w:szCs w:val="22"/>
        </w:rPr>
      </w:pPr>
    </w:p>
    <w:p w14:paraId="05E65509" w14:textId="77777777"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A cada indicador se le da un peso espec co. El conjunto de indicadores representa el 40 % de la evaluaci</w:t>
      </w:r>
      <w:r w:rsidR="003129B3">
        <w:rPr>
          <w:rFonts w:ascii="Arial" w:hAnsi="Arial" w:cs="Arial"/>
          <w:color w:val="000000"/>
          <w:sz w:val="22"/>
          <w:szCs w:val="22"/>
        </w:rPr>
        <w:t>ó</w:t>
      </w:r>
      <w:r w:rsidRPr="007923C2">
        <w:rPr>
          <w:rFonts w:ascii="Arial" w:hAnsi="Arial" w:cs="Arial"/>
          <w:color w:val="000000"/>
          <w:sz w:val="22"/>
          <w:szCs w:val="22"/>
        </w:rPr>
        <w:t>n; el 60 % restante, corresponde a la evaluaciones efectuada por el Grupo T</w:t>
      </w:r>
      <w:r w:rsidR="003129B3">
        <w:rPr>
          <w:rFonts w:ascii="Arial" w:hAnsi="Arial" w:cs="Arial"/>
          <w:color w:val="000000"/>
          <w:sz w:val="22"/>
          <w:szCs w:val="22"/>
        </w:rPr>
        <w:t>é</w:t>
      </w:r>
      <w:r w:rsidRPr="007923C2">
        <w:rPr>
          <w:rFonts w:ascii="Arial" w:hAnsi="Arial" w:cs="Arial"/>
          <w:color w:val="000000"/>
          <w:sz w:val="22"/>
          <w:szCs w:val="22"/>
        </w:rPr>
        <w:t>cnico.</w:t>
      </w:r>
    </w:p>
    <w:p w14:paraId="7058FD41" w14:textId="77777777" w:rsidR="006A1D9E" w:rsidRPr="007923C2" w:rsidRDefault="006A1D9E" w:rsidP="006A1D9E">
      <w:pPr>
        <w:widowControl w:val="0"/>
        <w:autoSpaceDE w:val="0"/>
        <w:autoSpaceDN w:val="0"/>
        <w:adjustRightInd w:val="0"/>
        <w:spacing w:after="0" w:line="129" w:lineRule="exact"/>
        <w:rPr>
          <w:rFonts w:ascii="Arial" w:hAnsi="Arial" w:cs="Arial"/>
          <w:sz w:val="22"/>
          <w:szCs w:val="22"/>
        </w:rPr>
      </w:pPr>
    </w:p>
    <w:p w14:paraId="20F88F4A" w14:textId="77777777"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Solo las instituciones que obtuvieran mas del 60 % de la suma de ambas evaluaciones, reunir an las condiciones estipuladas por el Estatuto.</w:t>
      </w:r>
    </w:p>
    <w:p w14:paraId="7A9DDA47" w14:textId="77777777"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14:paraId="14CBD22D" w14:textId="77777777"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b) CRITERIOS PARA EL INGRESO DE INSTITUCIONES A LA FEDERACION DE INS-TITUCIONES MEXICANAS PARTICULARES DE EDUCACION SUPERIOR (FIMPES)</w:t>
      </w:r>
    </w:p>
    <w:p w14:paraId="6A4ACFE7" w14:textId="77777777"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14:paraId="5316BCAA" w14:textId="77777777" w:rsidR="006A1D9E" w:rsidRPr="007923C2" w:rsidRDefault="006A1D9E" w:rsidP="00614BDA">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color w:val="000000"/>
          <w:sz w:val="22"/>
          <w:szCs w:val="22"/>
        </w:rPr>
        <w:t xml:space="preserve">La FIMPES ha </w:t>
      </w:r>
      <w:r w:rsidR="003129B3">
        <w:rPr>
          <w:rFonts w:ascii="Arial" w:hAnsi="Arial" w:cs="Arial"/>
          <w:color w:val="000000"/>
          <w:sz w:val="22"/>
          <w:szCs w:val="22"/>
        </w:rPr>
        <w:t>fi</w:t>
      </w:r>
      <w:r w:rsidRPr="007923C2">
        <w:rPr>
          <w:rFonts w:ascii="Arial" w:hAnsi="Arial" w:cs="Arial"/>
          <w:color w:val="000000"/>
          <w:sz w:val="22"/>
          <w:szCs w:val="22"/>
        </w:rPr>
        <w:t>jado, entre sus principales objetivos, los siguientes: a) estudiar problemas educativos y proponer soluciones para mejorar la calidad de las instituciones que la conforman; b) desarrollar sistemasde evaluacion que permitan a las universidades detectar sus avances y sus limitaciones para mejorar sus servicios y lograr un alto nivel de calidad; c) fomentar la calidad de los servicios educativos de sus a liadas; d) garantizar las condiciones de calidad en el subsistema de instituciones particulares de educac</w:t>
      </w:r>
      <w:r w:rsidR="003129B3">
        <w:rPr>
          <w:rFonts w:ascii="Arial" w:hAnsi="Arial" w:cs="Arial"/>
          <w:color w:val="000000"/>
          <w:sz w:val="22"/>
          <w:szCs w:val="22"/>
        </w:rPr>
        <w:t>ió</w:t>
      </w:r>
      <w:r w:rsidRPr="007923C2">
        <w:rPr>
          <w:rFonts w:ascii="Arial" w:hAnsi="Arial" w:cs="Arial"/>
          <w:color w:val="000000"/>
          <w:sz w:val="22"/>
          <w:szCs w:val="22"/>
        </w:rPr>
        <w:t>n superior, asociadas.</w:t>
      </w:r>
    </w:p>
    <w:p w14:paraId="2A50A73E"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732CB50F" w14:textId="77777777"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Para el ingreso y permanencia de instituciones a la FIMPES, se establece un proceso de evaluacion, basado en once categor</w:t>
      </w:r>
      <w:r w:rsidR="003129B3">
        <w:rPr>
          <w:rFonts w:ascii="Arial" w:hAnsi="Arial" w:cs="Arial"/>
          <w:color w:val="000000"/>
          <w:sz w:val="22"/>
          <w:szCs w:val="22"/>
        </w:rPr>
        <w:t>í</w:t>
      </w:r>
      <w:r w:rsidRPr="007923C2">
        <w:rPr>
          <w:rFonts w:ascii="Arial" w:hAnsi="Arial" w:cs="Arial"/>
          <w:color w:val="000000"/>
          <w:sz w:val="22"/>
          <w:szCs w:val="22"/>
        </w:rPr>
        <w:t>as de analisis. Estas son:</w:t>
      </w:r>
    </w:p>
    <w:p w14:paraId="152B01DA" w14:textId="77777777" w:rsidR="006A1D9E" w:rsidRDefault="006A1D9E" w:rsidP="006A1D9E">
      <w:pPr>
        <w:widowControl w:val="0"/>
        <w:autoSpaceDE w:val="0"/>
        <w:autoSpaceDN w:val="0"/>
        <w:adjustRightInd w:val="0"/>
        <w:spacing w:after="0" w:line="267" w:lineRule="exact"/>
        <w:rPr>
          <w:rFonts w:ascii="Arial" w:hAnsi="Arial" w:cs="Arial"/>
          <w:sz w:val="22"/>
          <w:szCs w:val="22"/>
        </w:rPr>
      </w:pPr>
    </w:p>
    <w:p w14:paraId="2DF2D659" w14:textId="77777777" w:rsidR="001D1FAE" w:rsidRPr="007923C2" w:rsidRDefault="001D1FAE" w:rsidP="006A1D9E">
      <w:pPr>
        <w:widowControl w:val="0"/>
        <w:autoSpaceDE w:val="0"/>
        <w:autoSpaceDN w:val="0"/>
        <w:adjustRightInd w:val="0"/>
        <w:spacing w:after="0" w:line="267" w:lineRule="exact"/>
        <w:rPr>
          <w:rFonts w:ascii="Arial" w:hAnsi="Arial" w:cs="Arial"/>
          <w:sz w:val="22"/>
          <w:szCs w:val="22"/>
        </w:rPr>
      </w:pPr>
    </w:p>
    <w:p w14:paraId="5815D91D" w14:textId="77777777" w:rsidR="006A1D9E" w:rsidRPr="007923C2" w:rsidRDefault="00614BDA" w:rsidP="006A1D9E">
      <w:pPr>
        <w:widowControl w:val="0"/>
        <w:autoSpaceDE w:val="0"/>
        <w:autoSpaceDN w:val="0"/>
        <w:adjustRightInd w:val="0"/>
        <w:spacing w:after="0" w:line="239" w:lineRule="auto"/>
        <w:ind w:left="300"/>
        <w:rPr>
          <w:rFonts w:ascii="Arial" w:hAnsi="Arial" w:cs="Arial"/>
          <w:sz w:val="22"/>
          <w:szCs w:val="22"/>
        </w:rPr>
      </w:pPr>
      <w:r w:rsidRPr="007923C2">
        <w:rPr>
          <w:rFonts w:ascii="Arial" w:hAnsi="Arial" w:cs="Arial"/>
          <w:color w:val="000000"/>
          <w:sz w:val="22"/>
          <w:szCs w:val="22"/>
        </w:rPr>
        <w:t>I. Filosofí</w:t>
      </w:r>
      <w:r w:rsidR="006A1D9E" w:rsidRPr="007923C2">
        <w:rPr>
          <w:rFonts w:ascii="Arial" w:hAnsi="Arial" w:cs="Arial"/>
          <w:color w:val="000000"/>
          <w:sz w:val="22"/>
          <w:szCs w:val="22"/>
        </w:rPr>
        <w:t>a institucional</w:t>
      </w:r>
    </w:p>
    <w:p w14:paraId="593723FF" w14:textId="77777777"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14:paraId="336CCE25" w14:textId="77777777" w:rsidR="006A1D9E" w:rsidRPr="007923C2" w:rsidRDefault="006A1D9E" w:rsidP="006A1D9E">
      <w:pPr>
        <w:widowControl w:val="0"/>
        <w:autoSpaceDE w:val="0"/>
        <w:autoSpaceDN w:val="0"/>
        <w:adjustRightInd w:val="0"/>
        <w:spacing w:after="0" w:line="239" w:lineRule="auto"/>
        <w:ind w:left="220"/>
        <w:rPr>
          <w:rFonts w:ascii="Arial" w:hAnsi="Arial" w:cs="Arial"/>
          <w:sz w:val="22"/>
          <w:szCs w:val="22"/>
        </w:rPr>
      </w:pPr>
      <w:r w:rsidRPr="007923C2">
        <w:rPr>
          <w:rFonts w:ascii="Arial" w:hAnsi="Arial" w:cs="Arial"/>
          <w:color w:val="000000"/>
          <w:sz w:val="22"/>
          <w:szCs w:val="22"/>
        </w:rPr>
        <w:t>II. Propositos, planeacion y efectividad</w:t>
      </w:r>
    </w:p>
    <w:p w14:paraId="702D397B" w14:textId="77777777"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14:paraId="12030DEF" w14:textId="77777777" w:rsidR="006A1D9E" w:rsidRPr="007923C2" w:rsidRDefault="006A1D9E" w:rsidP="006A1D9E">
      <w:pPr>
        <w:widowControl w:val="0"/>
        <w:autoSpaceDE w:val="0"/>
        <w:autoSpaceDN w:val="0"/>
        <w:adjustRightInd w:val="0"/>
        <w:spacing w:after="0" w:line="239" w:lineRule="auto"/>
        <w:ind w:left="160"/>
        <w:rPr>
          <w:rFonts w:ascii="Arial" w:hAnsi="Arial" w:cs="Arial"/>
          <w:sz w:val="22"/>
          <w:szCs w:val="22"/>
        </w:rPr>
      </w:pPr>
      <w:r w:rsidRPr="007923C2">
        <w:rPr>
          <w:rFonts w:ascii="Arial" w:hAnsi="Arial" w:cs="Arial"/>
          <w:color w:val="000000"/>
          <w:sz w:val="22"/>
          <w:szCs w:val="22"/>
        </w:rPr>
        <w:t>III. Normatividad, gobierno y administraci</w:t>
      </w:r>
      <w:r w:rsidR="003129B3">
        <w:rPr>
          <w:rFonts w:ascii="Arial" w:hAnsi="Arial" w:cs="Arial"/>
          <w:color w:val="000000"/>
          <w:sz w:val="22"/>
          <w:szCs w:val="22"/>
        </w:rPr>
        <w:t>ó</w:t>
      </w:r>
      <w:r w:rsidRPr="007923C2">
        <w:rPr>
          <w:rFonts w:ascii="Arial" w:hAnsi="Arial" w:cs="Arial"/>
          <w:color w:val="000000"/>
          <w:sz w:val="22"/>
          <w:szCs w:val="22"/>
        </w:rPr>
        <w:t>n</w:t>
      </w:r>
    </w:p>
    <w:p w14:paraId="1A3A532F" w14:textId="77777777"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14:paraId="4A95DEE2" w14:textId="77777777" w:rsidR="006A1D9E" w:rsidRPr="007923C2" w:rsidRDefault="006A1D9E" w:rsidP="006A1D9E">
      <w:pPr>
        <w:widowControl w:val="0"/>
        <w:autoSpaceDE w:val="0"/>
        <w:autoSpaceDN w:val="0"/>
        <w:adjustRightInd w:val="0"/>
        <w:spacing w:after="0" w:line="239" w:lineRule="auto"/>
        <w:ind w:left="160"/>
        <w:rPr>
          <w:rFonts w:ascii="Arial" w:hAnsi="Arial" w:cs="Arial"/>
          <w:sz w:val="22"/>
          <w:szCs w:val="22"/>
        </w:rPr>
      </w:pPr>
      <w:r w:rsidRPr="007923C2">
        <w:rPr>
          <w:rFonts w:ascii="Arial" w:hAnsi="Arial" w:cs="Arial"/>
          <w:color w:val="000000"/>
          <w:sz w:val="22"/>
          <w:szCs w:val="22"/>
        </w:rPr>
        <w:t>IV. Programas educativos</w:t>
      </w:r>
    </w:p>
    <w:p w14:paraId="72944F67" w14:textId="77777777"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14:paraId="3EB71150" w14:textId="77777777" w:rsidR="006A1D9E" w:rsidRPr="007923C2" w:rsidRDefault="006A1D9E" w:rsidP="006A1D9E">
      <w:pPr>
        <w:widowControl w:val="0"/>
        <w:autoSpaceDE w:val="0"/>
        <w:autoSpaceDN w:val="0"/>
        <w:adjustRightInd w:val="0"/>
        <w:spacing w:after="0" w:line="239" w:lineRule="auto"/>
        <w:ind w:left="220"/>
        <w:rPr>
          <w:rFonts w:ascii="Arial" w:hAnsi="Arial" w:cs="Arial"/>
          <w:sz w:val="22"/>
          <w:szCs w:val="22"/>
        </w:rPr>
      </w:pPr>
      <w:r w:rsidRPr="007923C2">
        <w:rPr>
          <w:rFonts w:ascii="Arial" w:hAnsi="Arial" w:cs="Arial"/>
          <w:color w:val="000000"/>
          <w:sz w:val="22"/>
          <w:szCs w:val="22"/>
        </w:rPr>
        <w:t>V. Personal acad</w:t>
      </w:r>
      <w:r w:rsidR="003129B3">
        <w:rPr>
          <w:rFonts w:ascii="Arial" w:hAnsi="Arial" w:cs="Arial"/>
          <w:color w:val="000000"/>
          <w:sz w:val="22"/>
          <w:szCs w:val="22"/>
        </w:rPr>
        <w:t>é</w:t>
      </w:r>
      <w:r w:rsidRPr="007923C2">
        <w:rPr>
          <w:rFonts w:ascii="Arial" w:hAnsi="Arial" w:cs="Arial"/>
          <w:color w:val="000000"/>
          <w:sz w:val="22"/>
          <w:szCs w:val="22"/>
        </w:rPr>
        <w:t>mico</w:t>
      </w:r>
    </w:p>
    <w:p w14:paraId="101FFD50" w14:textId="77777777"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14:paraId="364591F9" w14:textId="77777777" w:rsidR="006A1D9E" w:rsidRPr="007923C2" w:rsidRDefault="006A1D9E" w:rsidP="006A1D9E">
      <w:pPr>
        <w:widowControl w:val="0"/>
        <w:autoSpaceDE w:val="0"/>
        <w:autoSpaceDN w:val="0"/>
        <w:adjustRightInd w:val="0"/>
        <w:spacing w:after="0" w:line="239" w:lineRule="auto"/>
        <w:ind w:left="160"/>
        <w:rPr>
          <w:rFonts w:ascii="Arial" w:hAnsi="Arial" w:cs="Arial"/>
          <w:sz w:val="22"/>
          <w:szCs w:val="22"/>
        </w:rPr>
      </w:pPr>
      <w:r w:rsidRPr="007923C2">
        <w:rPr>
          <w:rFonts w:ascii="Arial" w:hAnsi="Arial" w:cs="Arial"/>
          <w:color w:val="000000"/>
          <w:sz w:val="22"/>
          <w:szCs w:val="22"/>
        </w:rPr>
        <w:t>VI. Estudiantes</w:t>
      </w:r>
    </w:p>
    <w:p w14:paraId="25FDC1DE" w14:textId="77777777"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14:paraId="13033545" w14:textId="77777777" w:rsidR="006A1D9E" w:rsidRPr="007923C2" w:rsidRDefault="006A1D9E" w:rsidP="006A1D9E">
      <w:pPr>
        <w:widowControl w:val="0"/>
        <w:autoSpaceDE w:val="0"/>
        <w:autoSpaceDN w:val="0"/>
        <w:adjustRightInd w:val="0"/>
        <w:spacing w:after="0" w:line="239" w:lineRule="auto"/>
        <w:ind w:left="80"/>
        <w:rPr>
          <w:rFonts w:ascii="Arial" w:hAnsi="Arial" w:cs="Arial"/>
          <w:sz w:val="22"/>
          <w:szCs w:val="22"/>
        </w:rPr>
      </w:pPr>
      <w:r w:rsidRPr="007923C2">
        <w:rPr>
          <w:rFonts w:ascii="Arial" w:hAnsi="Arial" w:cs="Arial"/>
          <w:color w:val="000000"/>
          <w:sz w:val="22"/>
          <w:szCs w:val="22"/>
        </w:rPr>
        <w:t>VII. Personal administrativo, de servicio, tecnico y de apoyo</w:t>
      </w:r>
    </w:p>
    <w:p w14:paraId="7D1F66D0" w14:textId="77777777"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14:paraId="38B83618"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VIII. Apoyos acad</w:t>
      </w:r>
      <w:r w:rsidR="003129B3">
        <w:rPr>
          <w:rFonts w:ascii="Arial" w:hAnsi="Arial" w:cs="Arial"/>
          <w:color w:val="000000"/>
          <w:sz w:val="22"/>
          <w:szCs w:val="22"/>
        </w:rPr>
        <w:t>é</w:t>
      </w:r>
      <w:r w:rsidRPr="007923C2">
        <w:rPr>
          <w:rFonts w:ascii="Arial" w:hAnsi="Arial" w:cs="Arial"/>
          <w:color w:val="000000"/>
          <w:sz w:val="22"/>
          <w:szCs w:val="22"/>
        </w:rPr>
        <w:t>micos</w:t>
      </w:r>
    </w:p>
    <w:p w14:paraId="0E000C5D" w14:textId="77777777"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14:paraId="32E716DD" w14:textId="77777777" w:rsidR="006A1D9E" w:rsidRPr="007923C2" w:rsidRDefault="006A1D9E" w:rsidP="006A1D9E">
      <w:pPr>
        <w:widowControl w:val="0"/>
        <w:autoSpaceDE w:val="0"/>
        <w:autoSpaceDN w:val="0"/>
        <w:adjustRightInd w:val="0"/>
        <w:spacing w:after="0" w:line="239" w:lineRule="auto"/>
        <w:ind w:left="160"/>
        <w:rPr>
          <w:rFonts w:ascii="Arial" w:hAnsi="Arial" w:cs="Arial"/>
          <w:sz w:val="22"/>
          <w:szCs w:val="22"/>
        </w:rPr>
      </w:pPr>
      <w:r w:rsidRPr="007923C2">
        <w:rPr>
          <w:rFonts w:ascii="Arial" w:hAnsi="Arial" w:cs="Arial"/>
          <w:color w:val="000000"/>
          <w:sz w:val="22"/>
          <w:szCs w:val="22"/>
        </w:rPr>
        <w:t>IX. Servicios estudiantiles</w:t>
      </w:r>
    </w:p>
    <w:p w14:paraId="6664F646" w14:textId="77777777"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14:paraId="4A48BB0A" w14:textId="77777777" w:rsidR="006A1D9E" w:rsidRPr="007923C2" w:rsidRDefault="00614BDA" w:rsidP="006A1D9E">
      <w:pPr>
        <w:widowControl w:val="0"/>
        <w:autoSpaceDE w:val="0"/>
        <w:autoSpaceDN w:val="0"/>
        <w:adjustRightInd w:val="0"/>
        <w:spacing w:after="0" w:line="239" w:lineRule="auto"/>
        <w:ind w:left="220"/>
        <w:rPr>
          <w:rFonts w:ascii="Arial" w:hAnsi="Arial" w:cs="Arial"/>
          <w:sz w:val="22"/>
          <w:szCs w:val="22"/>
        </w:rPr>
      </w:pPr>
      <w:r w:rsidRPr="007923C2">
        <w:rPr>
          <w:rFonts w:ascii="Arial" w:hAnsi="Arial" w:cs="Arial"/>
          <w:color w:val="000000"/>
          <w:sz w:val="22"/>
          <w:szCs w:val="22"/>
        </w:rPr>
        <w:t>X. Recursos fí</w:t>
      </w:r>
      <w:r w:rsidR="006A1D9E" w:rsidRPr="007923C2">
        <w:rPr>
          <w:rFonts w:ascii="Arial" w:hAnsi="Arial" w:cs="Arial"/>
          <w:color w:val="000000"/>
          <w:sz w:val="22"/>
          <w:szCs w:val="22"/>
        </w:rPr>
        <w:t>sicos</w:t>
      </w:r>
    </w:p>
    <w:p w14:paraId="633C3FC7" w14:textId="77777777"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14:paraId="1967AAA2" w14:textId="77777777" w:rsidR="006A1D9E" w:rsidRDefault="006A1D9E" w:rsidP="006A1D9E">
      <w:pPr>
        <w:widowControl w:val="0"/>
        <w:autoSpaceDE w:val="0"/>
        <w:autoSpaceDN w:val="0"/>
        <w:adjustRightInd w:val="0"/>
        <w:spacing w:after="0" w:line="239" w:lineRule="auto"/>
        <w:ind w:left="160"/>
        <w:rPr>
          <w:rFonts w:ascii="Arial" w:hAnsi="Arial" w:cs="Arial"/>
          <w:color w:val="000000"/>
          <w:sz w:val="22"/>
          <w:szCs w:val="22"/>
        </w:rPr>
      </w:pPr>
      <w:r w:rsidRPr="007923C2">
        <w:rPr>
          <w:rFonts w:ascii="Arial" w:hAnsi="Arial" w:cs="Arial"/>
          <w:color w:val="000000"/>
          <w:sz w:val="22"/>
          <w:szCs w:val="22"/>
        </w:rPr>
        <w:t xml:space="preserve">XI. Recursos  </w:t>
      </w:r>
      <w:r w:rsidR="00614BDA" w:rsidRPr="007923C2">
        <w:rPr>
          <w:rFonts w:ascii="Arial" w:hAnsi="Arial" w:cs="Arial"/>
          <w:color w:val="000000"/>
          <w:sz w:val="22"/>
          <w:szCs w:val="22"/>
        </w:rPr>
        <w:t>fi</w:t>
      </w:r>
      <w:r w:rsidRPr="007923C2">
        <w:rPr>
          <w:rFonts w:ascii="Arial" w:hAnsi="Arial" w:cs="Arial"/>
          <w:color w:val="000000"/>
          <w:sz w:val="22"/>
          <w:szCs w:val="22"/>
        </w:rPr>
        <w:t>nancieros</w:t>
      </w:r>
    </w:p>
    <w:p w14:paraId="3909CD90" w14:textId="77777777" w:rsidR="001D1FAE" w:rsidRPr="007923C2" w:rsidRDefault="001D1FAE" w:rsidP="006A1D9E">
      <w:pPr>
        <w:widowControl w:val="0"/>
        <w:autoSpaceDE w:val="0"/>
        <w:autoSpaceDN w:val="0"/>
        <w:adjustRightInd w:val="0"/>
        <w:spacing w:after="0" w:line="239" w:lineRule="auto"/>
        <w:ind w:left="160"/>
        <w:rPr>
          <w:rFonts w:ascii="Arial" w:hAnsi="Arial" w:cs="Arial"/>
          <w:sz w:val="22"/>
          <w:szCs w:val="22"/>
        </w:rPr>
      </w:pPr>
    </w:p>
    <w:p w14:paraId="481FD671" w14:textId="77777777" w:rsidR="006A1D9E" w:rsidRPr="007923C2" w:rsidRDefault="006A1D9E" w:rsidP="006A1D9E">
      <w:pPr>
        <w:widowControl w:val="0"/>
        <w:autoSpaceDE w:val="0"/>
        <w:autoSpaceDN w:val="0"/>
        <w:adjustRightInd w:val="0"/>
        <w:spacing w:after="0" w:line="301" w:lineRule="exact"/>
        <w:rPr>
          <w:rFonts w:ascii="Arial" w:hAnsi="Arial" w:cs="Arial"/>
          <w:sz w:val="22"/>
          <w:szCs w:val="22"/>
        </w:rPr>
      </w:pPr>
    </w:p>
    <w:p w14:paraId="087291AF" w14:textId="77777777" w:rsidR="006A1D9E" w:rsidRPr="007923C2" w:rsidRDefault="006A1D9E" w:rsidP="006A1D9E">
      <w:pPr>
        <w:widowControl w:val="0"/>
        <w:overflowPunct w:val="0"/>
        <w:autoSpaceDE w:val="0"/>
        <w:autoSpaceDN w:val="0"/>
        <w:adjustRightInd w:val="0"/>
        <w:spacing w:after="0" w:line="234" w:lineRule="auto"/>
        <w:ind w:left="80"/>
        <w:jc w:val="both"/>
        <w:rPr>
          <w:rFonts w:ascii="Arial" w:hAnsi="Arial" w:cs="Arial"/>
          <w:sz w:val="22"/>
          <w:szCs w:val="22"/>
        </w:rPr>
      </w:pPr>
      <w:r w:rsidRPr="007923C2">
        <w:rPr>
          <w:rFonts w:ascii="Arial" w:hAnsi="Arial" w:cs="Arial"/>
          <w:color w:val="000000"/>
          <w:sz w:val="22"/>
          <w:szCs w:val="22"/>
        </w:rPr>
        <w:t>Cada una de estas categor</w:t>
      </w:r>
      <w:r w:rsidR="003129B3">
        <w:rPr>
          <w:rFonts w:ascii="Arial" w:hAnsi="Arial" w:cs="Arial"/>
          <w:color w:val="000000"/>
          <w:sz w:val="22"/>
          <w:szCs w:val="22"/>
        </w:rPr>
        <w:t>í</w:t>
      </w:r>
      <w:r w:rsidRPr="007923C2">
        <w:rPr>
          <w:rFonts w:ascii="Arial" w:hAnsi="Arial" w:cs="Arial"/>
          <w:color w:val="000000"/>
          <w:sz w:val="22"/>
          <w:szCs w:val="22"/>
        </w:rPr>
        <w:t>as tiene un determinado n</w:t>
      </w:r>
      <w:r w:rsidR="003129B3">
        <w:rPr>
          <w:rFonts w:ascii="Arial" w:hAnsi="Arial" w:cs="Arial"/>
          <w:color w:val="000000"/>
          <w:sz w:val="22"/>
          <w:szCs w:val="22"/>
        </w:rPr>
        <w:t>ú</w:t>
      </w:r>
      <w:r w:rsidRPr="007923C2">
        <w:rPr>
          <w:rFonts w:ascii="Arial" w:hAnsi="Arial" w:cs="Arial"/>
          <w:color w:val="000000"/>
          <w:sz w:val="22"/>
          <w:szCs w:val="22"/>
        </w:rPr>
        <w:t>mero de indicadores, algunos de caracter cuantitativo y otros de caracter cualitativo, que permiten derivar juicios de valor sobre la situacion institucional, en relacion a los parametros establecidos por esta asociacion.</w:t>
      </w:r>
    </w:p>
    <w:p w14:paraId="2E4B97E1"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250E5A26" w14:textId="77777777" w:rsidR="006A1D9E" w:rsidRPr="007923C2" w:rsidRDefault="006A1D9E" w:rsidP="006A1D9E">
      <w:pPr>
        <w:widowControl w:val="0"/>
        <w:overflowPunct w:val="0"/>
        <w:autoSpaceDE w:val="0"/>
        <w:autoSpaceDN w:val="0"/>
        <w:adjustRightInd w:val="0"/>
        <w:spacing w:after="0" w:line="227" w:lineRule="auto"/>
        <w:ind w:left="80"/>
        <w:jc w:val="both"/>
        <w:rPr>
          <w:rFonts w:ascii="Arial" w:hAnsi="Arial" w:cs="Arial"/>
          <w:sz w:val="22"/>
          <w:szCs w:val="22"/>
        </w:rPr>
      </w:pPr>
      <w:r w:rsidRPr="007923C2">
        <w:rPr>
          <w:rFonts w:ascii="Arial" w:hAnsi="Arial" w:cs="Arial"/>
          <w:color w:val="000000"/>
          <w:sz w:val="22"/>
          <w:szCs w:val="22"/>
        </w:rPr>
        <w:t>El proceso de evaluacion que involucra el an</w:t>
      </w:r>
      <w:r w:rsidR="003129B3">
        <w:rPr>
          <w:rFonts w:ascii="Arial" w:hAnsi="Arial" w:cs="Arial"/>
          <w:color w:val="000000"/>
          <w:sz w:val="22"/>
          <w:szCs w:val="22"/>
        </w:rPr>
        <w:t>á</w:t>
      </w:r>
      <w:r w:rsidRPr="007923C2">
        <w:rPr>
          <w:rFonts w:ascii="Arial" w:hAnsi="Arial" w:cs="Arial"/>
          <w:color w:val="000000"/>
          <w:sz w:val="22"/>
          <w:szCs w:val="22"/>
        </w:rPr>
        <w:t>lisis de estas categor</w:t>
      </w:r>
      <w:r w:rsidR="003129B3">
        <w:rPr>
          <w:rFonts w:ascii="Arial" w:hAnsi="Arial" w:cs="Arial"/>
          <w:color w:val="000000"/>
          <w:sz w:val="22"/>
          <w:szCs w:val="22"/>
        </w:rPr>
        <w:t>í</w:t>
      </w:r>
      <w:r w:rsidRPr="007923C2">
        <w:rPr>
          <w:rFonts w:ascii="Arial" w:hAnsi="Arial" w:cs="Arial"/>
          <w:color w:val="000000"/>
          <w:sz w:val="22"/>
          <w:szCs w:val="22"/>
        </w:rPr>
        <w:t>as implica la realizacion de un autoestudio, bajo la responsabilidad de cada institucion, con el apoyo de la FIMPES.</w:t>
      </w:r>
    </w:p>
    <w:p w14:paraId="32A51B41" w14:textId="77777777" w:rsidR="006A1D9E" w:rsidRPr="007923C2" w:rsidRDefault="006A1D9E" w:rsidP="006A1D9E">
      <w:pPr>
        <w:widowControl w:val="0"/>
        <w:autoSpaceDE w:val="0"/>
        <w:autoSpaceDN w:val="0"/>
        <w:adjustRightInd w:val="0"/>
        <w:spacing w:after="0" w:line="129" w:lineRule="exact"/>
        <w:rPr>
          <w:rFonts w:ascii="Arial" w:hAnsi="Arial" w:cs="Arial"/>
          <w:sz w:val="22"/>
          <w:szCs w:val="22"/>
        </w:rPr>
      </w:pPr>
    </w:p>
    <w:p w14:paraId="03134FFA" w14:textId="77777777" w:rsidR="006A1D9E" w:rsidRPr="007923C2" w:rsidRDefault="006A1D9E" w:rsidP="006A1D9E">
      <w:pPr>
        <w:widowControl w:val="0"/>
        <w:overflowPunct w:val="0"/>
        <w:autoSpaceDE w:val="0"/>
        <w:autoSpaceDN w:val="0"/>
        <w:adjustRightInd w:val="0"/>
        <w:spacing w:after="0" w:line="242" w:lineRule="auto"/>
        <w:ind w:left="80"/>
        <w:jc w:val="both"/>
        <w:rPr>
          <w:rFonts w:ascii="Arial" w:hAnsi="Arial" w:cs="Arial"/>
          <w:sz w:val="22"/>
          <w:szCs w:val="22"/>
        </w:rPr>
      </w:pPr>
      <w:r w:rsidRPr="007923C2">
        <w:rPr>
          <w:rFonts w:ascii="Arial" w:hAnsi="Arial" w:cs="Arial"/>
          <w:color w:val="000000"/>
          <w:sz w:val="22"/>
          <w:szCs w:val="22"/>
        </w:rPr>
        <w:t>Por sus caracter</w:t>
      </w:r>
      <w:r w:rsidR="003129B3">
        <w:rPr>
          <w:rFonts w:ascii="Arial" w:hAnsi="Arial" w:cs="Arial"/>
          <w:color w:val="000000"/>
          <w:sz w:val="22"/>
          <w:szCs w:val="22"/>
        </w:rPr>
        <w:t>í</w:t>
      </w:r>
      <w:r w:rsidRPr="007923C2">
        <w:rPr>
          <w:rFonts w:ascii="Arial" w:hAnsi="Arial" w:cs="Arial"/>
          <w:color w:val="000000"/>
          <w:sz w:val="22"/>
          <w:szCs w:val="22"/>
        </w:rPr>
        <w:t xml:space="preserve">sticas y naturaleza, es conveniente que esta evaluacion sea aplicada de modo </w:t>
      </w:r>
      <w:r w:rsidRPr="007923C2">
        <w:rPr>
          <w:rFonts w:ascii="Arial" w:hAnsi="Arial" w:cs="Arial"/>
          <w:color w:val="000000"/>
          <w:sz w:val="22"/>
          <w:szCs w:val="22"/>
        </w:rPr>
        <w:lastRenderedPageBreak/>
        <w:t>permanente en cada institucion. Los resultados de la evaluacion institucional pueden constituir un valioso insumo para retroalimentar el mejoramiento de la calidad de los servicios educativos y, de este modo, mantener los requisitos de membres a en la FIMPES. Como puede observarse, el establecimiento de requisitos de ingreso a estas asociaciones importa una forma de evaluacion institucional, y la pertenencia a la asociacion signi</w:t>
      </w:r>
      <w:r w:rsidR="003129B3">
        <w:rPr>
          <w:rFonts w:ascii="Arial" w:hAnsi="Arial" w:cs="Arial"/>
          <w:color w:val="000000"/>
          <w:sz w:val="22"/>
          <w:szCs w:val="22"/>
        </w:rPr>
        <w:t>fi</w:t>
      </w:r>
      <w:r w:rsidRPr="007923C2">
        <w:rPr>
          <w:rFonts w:ascii="Arial" w:hAnsi="Arial" w:cs="Arial"/>
          <w:color w:val="000000"/>
          <w:sz w:val="22"/>
          <w:szCs w:val="22"/>
        </w:rPr>
        <w:t>ca, para las instituciones aceptadas, cierto reconocimiento y prestigio.</w:t>
      </w:r>
    </w:p>
    <w:p w14:paraId="16EFE89D" w14:textId="77777777" w:rsidR="006A1D9E" w:rsidRPr="007923C2" w:rsidRDefault="006A1D9E" w:rsidP="006A1D9E">
      <w:pPr>
        <w:widowControl w:val="0"/>
        <w:autoSpaceDE w:val="0"/>
        <w:autoSpaceDN w:val="0"/>
        <w:adjustRightInd w:val="0"/>
        <w:spacing w:after="0" w:line="334" w:lineRule="exact"/>
        <w:rPr>
          <w:rFonts w:ascii="Arial" w:hAnsi="Arial" w:cs="Arial"/>
          <w:sz w:val="22"/>
          <w:szCs w:val="22"/>
        </w:rPr>
      </w:pPr>
    </w:p>
    <w:p w14:paraId="0CBB8AC2" w14:textId="77777777" w:rsidR="006A1D9E" w:rsidRPr="007923C2" w:rsidRDefault="006A1D9E" w:rsidP="006A1D9E">
      <w:pPr>
        <w:widowControl w:val="0"/>
        <w:autoSpaceDE w:val="0"/>
        <w:autoSpaceDN w:val="0"/>
        <w:adjustRightInd w:val="0"/>
        <w:spacing w:after="0" w:line="239" w:lineRule="auto"/>
        <w:ind w:left="80"/>
        <w:rPr>
          <w:rFonts w:ascii="Arial" w:hAnsi="Arial" w:cs="Arial"/>
          <w:sz w:val="22"/>
          <w:szCs w:val="22"/>
        </w:rPr>
      </w:pPr>
      <w:r w:rsidRPr="007923C2">
        <w:rPr>
          <w:rFonts w:ascii="Arial" w:hAnsi="Arial" w:cs="Arial"/>
          <w:color w:val="000000"/>
          <w:sz w:val="22"/>
          <w:szCs w:val="22"/>
        </w:rPr>
        <w:t>4. EVALUACION INSTITUCIONAL CON OBJETO DE ASIGNACION DE RECURSOS</w:t>
      </w:r>
    </w:p>
    <w:p w14:paraId="11C6F60B" w14:textId="77777777" w:rsidR="006A1D9E" w:rsidRPr="007923C2" w:rsidRDefault="006A1D9E" w:rsidP="006A1D9E">
      <w:pPr>
        <w:widowControl w:val="0"/>
        <w:autoSpaceDE w:val="0"/>
        <w:autoSpaceDN w:val="0"/>
        <w:adjustRightInd w:val="0"/>
        <w:spacing w:after="0" w:line="369" w:lineRule="exact"/>
        <w:rPr>
          <w:rFonts w:ascii="Arial" w:hAnsi="Arial" w:cs="Arial"/>
          <w:sz w:val="22"/>
          <w:szCs w:val="22"/>
        </w:rPr>
      </w:pPr>
    </w:p>
    <w:p w14:paraId="18D9B500" w14:textId="77777777" w:rsidR="006A1D9E" w:rsidRPr="007923C2" w:rsidRDefault="006A1D9E" w:rsidP="006A1D9E">
      <w:pPr>
        <w:widowControl w:val="0"/>
        <w:overflowPunct w:val="0"/>
        <w:autoSpaceDE w:val="0"/>
        <w:autoSpaceDN w:val="0"/>
        <w:adjustRightInd w:val="0"/>
        <w:spacing w:after="0" w:line="238" w:lineRule="auto"/>
        <w:ind w:left="80"/>
        <w:jc w:val="both"/>
        <w:rPr>
          <w:rFonts w:ascii="Arial" w:hAnsi="Arial" w:cs="Arial"/>
          <w:sz w:val="22"/>
          <w:szCs w:val="22"/>
        </w:rPr>
      </w:pPr>
      <w:r w:rsidRPr="007923C2">
        <w:rPr>
          <w:rFonts w:ascii="Arial" w:hAnsi="Arial" w:cs="Arial"/>
          <w:color w:val="000000"/>
          <w:sz w:val="22"/>
          <w:szCs w:val="22"/>
        </w:rPr>
        <w:t xml:space="preserve">Existe tambien un procedimiento de evaluacion de proyectos y programas institucionales que tiene como </w:t>
      </w:r>
      <w:r w:rsidR="003129B3">
        <w:rPr>
          <w:rFonts w:ascii="Arial" w:hAnsi="Arial" w:cs="Arial"/>
          <w:color w:val="000000"/>
          <w:sz w:val="22"/>
          <w:szCs w:val="22"/>
        </w:rPr>
        <w:t>fi</w:t>
      </w:r>
      <w:r w:rsidRPr="007923C2">
        <w:rPr>
          <w:rFonts w:ascii="Arial" w:hAnsi="Arial" w:cs="Arial"/>
          <w:color w:val="000000"/>
          <w:sz w:val="22"/>
          <w:szCs w:val="22"/>
        </w:rPr>
        <w:t>nalidad otorgar recursos extraordinarios para el mejoramiento de la calidad de ciertas acciones academicas. Este procedimiento se aplica en organismos gubernamentales, como SEP y CONACYT, que impulsan la transformacion academica de las IES.</w:t>
      </w:r>
    </w:p>
    <w:p w14:paraId="730192E5" w14:textId="77777777" w:rsidR="006A1D9E" w:rsidRPr="007923C2" w:rsidRDefault="006A1D9E" w:rsidP="006A1D9E">
      <w:pPr>
        <w:widowControl w:val="0"/>
        <w:autoSpaceDE w:val="0"/>
        <w:autoSpaceDN w:val="0"/>
        <w:adjustRightInd w:val="0"/>
        <w:spacing w:after="0" w:line="335" w:lineRule="exact"/>
        <w:rPr>
          <w:rFonts w:ascii="Arial" w:hAnsi="Arial" w:cs="Arial"/>
          <w:sz w:val="22"/>
          <w:szCs w:val="22"/>
        </w:rPr>
      </w:pPr>
    </w:p>
    <w:p w14:paraId="1E6D497D" w14:textId="77777777" w:rsidR="006A1D9E" w:rsidRPr="007923C2" w:rsidRDefault="006A1D9E" w:rsidP="006A1D9E">
      <w:pPr>
        <w:widowControl w:val="0"/>
        <w:autoSpaceDE w:val="0"/>
        <w:autoSpaceDN w:val="0"/>
        <w:adjustRightInd w:val="0"/>
        <w:spacing w:after="0" w:line="239" w:lineRule="auto"/>
        <w:ind w:left="80"/>
        <w:rPr>
          <w:rFonts w:ascii="Arial" w:hAnsi="Arial" w:cs="Arial"/>
          <w:sz w:val="22"/>
          <w:szCs w:val="22"/>
        </w:rPr>
      </w:pPr>
      <w:r w:rsidRPr="007923C2">
        <w:rPr>
          <w:rFonts w:ascii="Arial" w:hAnsi="Arial" w:cs="Arial"/>
          <w:color w:val="000000"/>
          <w:sz w:val="22"/>
          <w:szCs w:val="22"/>
        </w:rPr>
        <w:t>4.1. EL CONSEJO NACIONAL DE CIENCIA Y TECNOLOGIA (CONACYT)</w:t>
      </w:r>
    </w:p>
    <w:p w14:paraId="61A90245" w14:textId="77777777" w:rsidR="006A1D9E" w:rsidRPr="007923C2" w:rsidRDefault="006A1D9E" w:rsidP="006A1D9E">
      <w:pPr>
        <w:widowControl w:val="0"/>
        <w:autoSpaceDE w:val="0"/>
        <w:autoSpaceDN w:val="0"/>
        <w:adjustRightInd w:val="0"/>
        <w:spacing w:after="0" w:line="369" w:lineRule="exact"/>
        <w:rPr>
          <w:rFonts w:ascii="Arial" w:hAnsi="Arial" w:cs="Arial"/>
          <w:sz w:val="22"/>
          <w:szCs w:val="22"/>
        </w:rPr>
      </w:pPr>
    </w:p>
    <w:p w14:paraId="2BC9044F" w14:textId="77777777" w:rsidR="006A1D9E" w:rsidRPr="007923C2" w:rsidRDefault="006A1D9E" w:rsidP="006A1D9E">
      <w:pPr>
        <w:widowControl w:val="0"/>
        <w:overflowPunct w:val="0"/>
        <w:autoSpaceDE w:val="0"/>
        <w:autoSpaceDN w:val="0"/>
        <w:adjustRightInd w:val="0"/>
        <w:spacing w:after="0" w:line="234" w:lineRule="auto"/>
        <w:ind w:left="80"/>
        <w:jc w:val="both"/>
        <w:rPr>
          <w:rFonts w:ascii="Arial" w:hAnsi="Arial" w:cs="Arial"/>
          <w:sz w:val="22"/>
          <w:szCs w:val="22"/>
        </w:rPr>
      </w:pPr>
      <w:r w:rsidRPr="007923C2">
        <w:rPr>
          <w:rFonts w:ascii="Arial" w:hAnsi="Arial" w:cs="Arial"/>
          <w:color w:val="000000"/>
          <w:sz w:val="22"/>
          <w:szCs w:val="22"/>
        </w:rPr>
        <w:t>El CONACYT ha establecido criterios espec</w:t>
      </w:r>
      <w:r w:rsidR="003129B3">
        <w:rPr>
          <w:rFonts w:ascii="Arial" w:hAnsi="Arial" w:cs="Arial"/>
          <w:color w:val="000000"/>
          <w:sz w:val="22"/>
          <w:szCs w:val="22"/>
        </w:rPr>
        <w:t>ífi</w:t>
      </w:r>
      <w:r w:rsidRPr="007923C2">
        <w:rPr>
          <w:rFonts w:ascii="Arial" w:hAnsi="Arial" w:cs="Arial"/>
          <w:color w:val="000000"/>
          <w:sz w:val="22"/>
          <w:szCs w:val="22"/>
        </w:rPr>
        <w:t>cos para clasi</w:t>
      </w:r>
      <w:r w:rsidR="003129B3">
        <w:rPr>
          <w:rFonts w:ascii="Arial" w:hAnsi="Arial" w:cs="Arial"/>
          <w:color w:val="000000"/>
          <w:sz w:val="22"/>
          <w:szCs w:val="22"/>
        </w:rPr>
        <w:t>fi</w:t>
      </w:r>
      <w:r w:rsidRPr="007923C2">
        <w:rPr>
          <w:rFonts w:ascii="Arial" w:hAnsi="Arial" w:cs="Arial"/>
          <w:color w:val="000000"/>
          <w:sz w:val="22"/>
          <w:szCs w:val="22"/>
        </w:rPr>
        <w:t>car los programas de posgrado que se imparten en las IES. Esta clasi</w:t>
      </w:r>
      <w:r w:rsidR="003129B3">
        <w:rPr>
          <w:rFonts w:ascii="Arial" w:hAnsi="Arial" w:cs="Arial"/>
          <w:color w:val="000000"/>
          <w:sz w:val="22"/>
          <w:szCs w:val="22"/>
        </w:rPr>
        <w:t>fi</w:t>
      </w:r>
      <w:r w:rsidRPr="007923C2">
        <w:rPr>
          <w:rFonts w:ascii="Arial" w:hAnsi="Arial" w:cs="Arial"/>
          <w:color w:val="000000"/>
          <w:sz w:val="22"/>
          <w:szCs w:val="22"/>
        </w:rPr>
        <w:t>caci</w:t>
      </w:r>
      <w:r w:rsidR="003129B3">
        <w:rPr>
          <w:rFonts w:ascii="Arial" w:hAnsi="Arial" w:cs="Arial"/>
          <w:color w:val="000000"/>
          <w:sz w:val="22"/>
          <w:szCs w:val="22"/>
        </w:rPr>
        <w:t>ó</w:t>
      </w:r>
      <w:r w:rsidRPr="007923C2">
        <w:rPr>
          <w:rFonts w:ascii="Arial" w:hAnsi="Arial" w:cs="Arial"/>
          <w:color w:val="000000"/>
          <w:sz w:val="22"/>
          <w:szCs w:val="22"/>
        </w:rPr>
        <w:t xml:space="preserve">n se hace con el </w:t>
      </w:r>
      <w:r w:rsidR="003129B3">
        <w:rPr>
          <w:rFonts w:ascii="Arial" w:hAnsi="Arial" w:cs="Arial"/>
          <w:color w:val="000000"/>
          <w:sz w:val="22"/>
          <w:szCs w:val="22"/>
        </w:rPr>
        <w:t>fi</w:t>
      </w:r>
      <w:r w:rsidRPr="007923C2">
        <w:rPr>
          <w:rFonts w:ascii="Arial" w:hAnsi="Arial" w:cs="Arial"/>
          <w:color w:val="000000"/>
          <w:sz w:val="22"/>
          <w:szCs w:val="22"/>
        </w:rPr>
        <w:t>n de brindar apoyo economico a los programas que cubran las exigencias establecidas en dichos criterios.</w:t>
      </w:r>
    </w:p>
    <w:p w14:paraId="59B70C1C" w14:textId="77777777" w:rsidR="00614BDA" w:rsidRPr="007923C2" w:rsidRDefault="00614BDA" w:rsidP="006A1D9E">
      <w:pPr>
        <w:widowControl w:val="0"/>
        <w:overflowPunct w:val="0"/>
        <w:autoSpaceDE w:val="0"/>
        <w:autoSpaceDN w:val="0"/>
        <w:adjustRightInd w:val="0"/>
        <w:spacing w:after="0" w:line="227" w:lineRule="auto"/>
        <w:ind w:left="20"/>
        <w:rPr>
          <w:rFonts w:ascii="Arial" w:hAnsi="Arial" w:cs="Arial"/>
          <w:color w:val="000000"/>
          <w:sz w:val="22"/>
          <w:szCs w:val="22"/>
        </w:rPr>
      </w:pPr>
    </w:p>
    <w:p w14:paraId="5E587DF7" w14:textId="77777777" w:rsidR="006A1D9E" w:rsidRPr="007923C2" w:rsidRDefault="006A1D9E" w:rsidP="006A1D9E">
      <w:pPr>
        <w:widowControl w:val="0"/>
        <w:overflowPunct w:val="0"/>
        <w:autoSpaceDE w:val="0"/>
        <w:autoSpaceDN w:val="0"/>
        <w:adjustRightInd w:val="0"/>
        <w:spacing w:after="0" w:line="227" w:lineRule="auto"/>
        <w:ind w:left="20"/>
        <w:rPr>
          <w:rFonts w:ascii="Arial" w:hAnsi="Arial" w:cs="Arial"/>
          <w:sz w:val="22"/>
          <w:szCs w:val="22"/>
        </w:rPr>
      </w:pPr>
      <w:r w:rsidRPr="007923C2">
        <w:rPr>
          <w:rFonts w:ascii="Arial" w:hAnsi="Arial" w:cs="Arial"/>
          <w:color w:val="000000"/>
          <w:sz w:val="22"/>
          <w:szCs w:val="22"/>
        </w:rPr>
        <w:t>Para este prop</w:t>
      </w:r>
      <w:r w:rsidR="003129B3">
        <w:rPr>
          <w:rFonts w:ascii="Arial" w:hAnsi="Arial" w:cs="Arial"/>
          <w:color w:val="000000"/>
          <w:sz w:val="22"/>
          <w:szCs w:val="22"/>
        </w:rPr>
        <w:t>ó</w:t>
      </w:r>
      <w:r w:rsidRPr="007923C2">
        <w:rPr>
          <w:rFonts w:ascii="Arial" w:hAnsi="Arial" w:cs="Arial"/>
          <w:color w:val="000000"/>
          <w:sz w:val="22"/>
          <w:szCs w:val="22"/>
        </w:rPr>
        <w:t>sito, el CONACYT establece la valoracion de cinco criterios basicos, algunos de los cuales se subdividen a su vez en indicadores espec</w:t>
      </w:r>
      <w:r w:rsidR="003129B3">
        <w:rPr>
          <w:rFonts w:ascii="Arial" w:hAnsi="Arial" w:cs="Arial"/>
          <w:color w:val="000000"/>
          <w:sz w:val="22"/>
          <w:szCs w:val="22"/>
        </w:rPr>
        <w:t>ífi</w:t>
      </w:r>
      <w:r w:rsidRPr="007923C2">
        <w:rPr>
          <w:rFonts w:ascii="Arial" w:hAnsi="Arial" w:cs="Arial"/>
          <w:color w:val="000000"/>
          <w:sz w:val="22"/>
          <w:szCs w:val="22"/>
        </w:rPr>
        <w:t>cos. Estos criterios se des</w:t>
      </w:r>
      <w:r w:rsidR="003129B3">
        <w:rPr>
          <w:rFonts w:ascii="Arial" w:hAnsi="Arial" w:cs="Arial"/>
          <w:color w:val="000000"/>
          <w:sz w:val="22"/>
          <w:szCs w:val="22"/>
        </w:rPr>
        <w:t>c</w:t>
      </w:r>
      <w:r w:rsidR="003816DA">
        <w:rPr>
          <w:rFonts w:ascii="Arial" w:hAnsi="Arial" w:cs="Arial"/>
          <w:color w:val="000000"/>
          <w:sz w:val="22"/>
          <w:szCs w:val="22"/>
        </w:rPr>
        <w:t>r</w:t>
      </w:r>
      <w:r w:rsidRPr="007923C2">
        <w:rPr>
          <w:rFonts w:ascii="Arial" w:hAnsi="Arial" w:cs="Arial"/>
          <w:color w:val="000000"/>
          <w:sz w:val="22"/>
          <w:szCs w:val="22"/>
        </w:rPr>
        <w:t>iben a continuacion:</w:t>
      </w:r>
    </w:p>
    <w:p w14:paraId="03E546E0" w14:textId="77777777" w:rsidR="006A1D9E" w:rsidRPr="007923C2" w:rsidRDefault="006A1D9E" w:rsidP="006A1D9E">
      <w:pPr>
        <w:widowControl w:val="0"/>
        <w:autoSpaceDE w:val="0"/>
        <w:autoSpaceDN w:val="0"/>
        <w:adjustRightInd w:val="0"/>
        <w:spacing w:after="0" w:line="295" w:lineRule="exact"/>
        <w:rPr>
          <w:rFonts w:ascii="Arial" w:hAnsi="Arial" w:cs="Arial"/>
          <w:sz w:val="22"/>
          <w:szCs w:val="22"/>
        </w:rPr>
      </w:pPr>
    </w:p>
    <w:p w14:paraId="0DDCA032" w14:textId="77777777" w:rsidR="006A1D9E" w:rsidRPr="007923C2" w:rsidRDefault="006A1D9E" w:rsidP="006A1D9E">
      <w:pPr>
        <w:widowControl w:val="0"/>
        <w:autoSpaceDE w:val="0"/>
        <w:autoSpaceDN w:val="0"/>
        <w:adjustRightInd w:val="0"/>
        <w:spacing w:after="0" w:line="239" w:lineRule="auto"/>
        <w:ind w:left="20"/>
        <w:rPr>
          <w:rFonts w:ascii="Arial" w:hAnsi="Arial" w:cs="Arial"/>
          <w:sz w:val="22"/>
          <w:szCs w:val="22"/>
        </w:rPr>
      </w:pPr>
      <w:r w:rsidRPr="007923C2">
        <w:rPr>
          <w:rFonts w:ascii="Arial" w:hAnsi="Arial" w:cs="Arial"/>
          <w:color w:val="000000"/>
          <w:sz w:val="22"/>
          <w:szCs w:val="22"/>
        </w:rPr>
        <w:t>a) Situacion de la planta acad</w:t>
      </w:r>
      <w:r w:rsidR="003816DA">
        <w:rPr>
          <w:rFonts w:ascii="Arial" w:hAnsi="Arial" w:cs="Arial"/>
          <w:color w:val="000000"/>
          <w:sz w:val="22"/>
          <w:szCs w:val="22"/>
        </w:rPr>
        <w:t>é</w:t>
      </w:r>
      <w:r w:rsidRPr="007923C2">
        <w:rPr>
          <w:rFonts w:ascii="Arial" w:hAnsi="Arial" w:cs="Arial"/>
          <w:color w:val="000000"/>
          <w:sz w:val="22"/>
          <w:szCs w:val="22"/>
        </w:rPr>
        <w:t>mica</w:t>
      </w:r>
    </w:p>
    <w:p w14:paraId="63FA6711" w14:textId="77777777" w:rsidR="006A1D9E" w:rsidRPr="007923C2" w:rsidRDefault="006A1D9E" w:rsidP="006A1D9E">
      <w:pPr>
        <w:widowControl w:val="0"/>
        <w:autoSpaceDE w:val="0"/>
        <w:autoSpaceDN w:val="0"/>
        <w:adjustRightInd w:val="0"/>
        <w:spacing w:after="0" w:line="209" w:lineRule="exact"/>
        <w:rPr>
          <w:rFonts w:ascii="Arial" w:hAnsi="Arial" w:cs="Arial"/>
          <w:sz w:val="22"/>
          <w:szCs w:val="22"/>
        </w:rPr>
      </w:pPr>
    </w:p>
    <w:p w14:paraId="1850ED44"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Grados acad</w:t>
      </w:r>
      <w:r w:rsidR="003816DA">
        <w:rPr>
          <w:rFonts w:ascii="Arial" w:hAnsi="Arial" w:cs="Arial"/>
          <w:color w:val="000000"/>
          <w:sz w:val="22"/>
          <w:szCs w:val="22"/>
        </w:rPr>
        <w:t>é</w:t>
      </w:r>
      <w:r w:rsidRPr="007923C2">
        <w:rPr>
          <w:rFonts w:ascii="Arial" w:hAnsi="Arial" w:cs="Arial"/>
          <w:color w:val="000000"/>
          <w:sz w:val="22"/>
          <w:szCs w:val="22"/>
        </w:rPr>
        <w:t>micos (preferentemente posgrados)</w:t>
      </w:r>
    </w:p>
    <w:p w14:paraId="73AB075E" w14:textId="3F034364" w:rsidR="006A1D9E" w:rsidRPr="007923C2" w:rsidRDefault="001F23E0"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34880" behindDoc="1" locked="0" layoutInCell="0" allowOverlap="1" wp14:anchorId="598A4430" wp14:editId="0ACEEA68">
                <wp:simplePos x="0" y="0"/>
                <wp:positionH relativeFrom="column">
                  <wp:posOffset>351155</wp:posOffset>
                </wp:positionH>
                <wp:positionV relativeFrom="paragraph">
                  <wp:posOffset>-78740</wp:posOffset>
                </wp:positionV>
                <wp:extent cx="38735" cy="38100"/>
                <wp:effectExtent l="0" t="0" r="0" b="0"/>
                <wp:wrapNone/>
                <wp:docPr id="421" name="Rectángulo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44F0A1" id="Rectángulo 421" o:spid="_x0000_s1026" style="position:absolute;margin-left:27.65pt;margin-top:-6.2pt;width:3.05pt;height:3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" o:allowincell="f" stroked="f"/>
            </w:pict>
          </mc:Fallback>
        </mc:AlternateContent>
      </w:r>
    </w:p>
    <w:p w14:paraId="03468DCC"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Proporcion del personal acad</w:t>
      </w:r>
      <w:r w:rsidR="003816DA">
        <w:rPr>
          <w:rFonts w:ascii="Arial" w:hAnsi="Arial" w:cs="Arial"/>
          <w:color w:val="000000"/>
          <w:sz w:val="22"/>
          <w:szCs w:val="22"/>
        </w:rPr>
        <w:t>é</w:t>
      </w:r>
      <w:r w:rsidRPr="007923C2">
        <w:rPr>
          <w:rFonts w:ascii="Arial" w:hAnsi="Arial" w:cs="Arial"/>
          <w:color w:val="000000"/>
          <w:sz w:val="22"/>
          <w:szCs w:val="22"/>
        </w:rPr>
        <w:t>mico perteneciente al SNI</w:t>
      </w:r>
    </w:p>
    <w:p w14:paraId="44BA8D45" w14:textId="1C004624" w:rsidR="006A1D9E" w:rsidRPr="007923C2" w:rsidRDefault="001F23E0"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35904" behindDoc="1" locked="0" layoutInCell="0" allowOverlap="1" wp14:anchorId="2866C233" wp14:editId="074C7A66">
                <wp:simplePos x="0" y="0"/>
                <wp:positionH relativeFrom="column">
                  <wp:posOffset>351155</wp:posOffset>
                </wp:positionH>
                <wp:positionV relativeFrom="paragraph">
                  <wp:posOffset>-78740</wp:posOffset>
                </wp:positionV>
                <wp:extent cx="38735" cy="38100"/>
                <wp:effectExtent l="0" t="0" r="0" b="0"/>
                <wp:wrapNone/>
                <wp:docPr id="420" name="Rectángulo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240E96" id="Rectángulo 420" o:spid="_x0000_s1026" style="position:absolute;margin-left:27.65pt;margin-top:-6.2pt;width:3.05pt;height:3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BVYH&#10;wYQCAAD+BAAADgAAAAAAAAAAAAAAAAAuAgAAZHJzL2Uyb0RvYy54bWxQSwECLQAUAAYACAAAACEA&#10;QJxPHt0AAAAIAQAADwAAAAAAAAAAAAAAAADeBAAAZHJzL2Rvd25yZXYueG1sUEsFBgAAAAAEAAQA&#10;8wAAAOgFAAAAAA==&#10;" o:allowincell="f" stroked="f"/>
            </w:pict>
          </mc:Fallback>
        </mc:AlternateContent>
      </w:r>
    </w:p>
    <w:p w14:paraId="43CA78D2"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Planta academica,de tiempo completo, dedicada a atender programas de posgrado (mayor a)</w:t>
      </w:r>
    </w:p>
    <w:p w14:paraId="4989D838" w14:textId="080DA4D5" w:rsidR="006A1D9E" w:rsidRPr="007923C2" w:rsidRDefault="001F23E0" w:rsidP="006A1D9E">
      <w:pPr>
        <w:widowControl w:val="0"/>
        <w:autoSpaceDE w:val="0"/>
        <w:autoSpaceDN w:val="0"/>
        <w:adjustRightInd w:val="0"/>
        <w:spacing w:after="0" w:line="101"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36928" behindDoc="1" locked="0" layoutInCell="0" allowOverlap="1" wp14:anchorId="0934F36D" wp14:editId="2E18CA17">
                <wp:simplePos x="0" y="0"/>
                <wp:positionH relativeFrom="column">
                  <wp:posOffset>351155</wp:posOffset>
                </wp:positionH>
                <wp:positionV relativeFrom="paragraph">
                  <wp:posOffset>-78740</wp:posOffset>
                </wp:positionV>
                <wp:extent cx="38735" cy="38100"/>
                <wp:effectExtent l="0" t="0" r="0" b="0"/>
                <wp:wrapNone/>
                <wp:docPr id="419" name="Rectángulo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4D3A5B" id="Rectángulo 419" o:spid="_x0000_s1026" style="position:absolute;margin-left:27.65pt;margin-top:-6.2pt;width:3.05pt;height:3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q9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WYG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Fvyq&#10;vYQCAAD+BAAADgAAAAAAAAAAAAAAAAAuAgAAZHJzL2Uyb0RvYy54bWxQSwECLQAUAAYACAAAACEA&#10;QJxPHt0AAAAIAQAADwAAAAAAAAAAAAAAAADeBAAAZHJzL2Rvd25yZXYueG1sUEsFBgAAAAAEAAQA&#10;8wAAAOgFAAAAAA==&#10;" o:allowincell="f" stroked="f"/>
            </w:pict>
          </mc:Fallback>
        </mc:AlternateContent>
      </w:r>
    </w:p>
    <w:p w14:paraId="4838C492"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Produccion cient</w:t>
      </w:r>
      <w:r w:rsidR="003816DA">
        <w:rPr>
          <w:rFonts w:ascii="Arial" w:hAnsi="Arial" w:cs="Arial"/>
          <w:color w:val="000000"/>
          <w:sz w:val="22"/>
          <w:szCs w:val="22"/>
        </w:rPr>
        <w:t>ífi</w:t>
      </w:r>
      <w:r w:rsidRPr="007923C2">
        <w:rPr>
          <w:rFonts w:ascii="Arial" w:hAnsi="Arial" w:cs="Arial"/>
          <w:color w:val="000000"/>
          <w:sz w:val="22"/>
          <w:szCs w:val="22"/>
        </w:rPr>
        <w:t>ca del personal acad</w:t>
      </w:r>
      <w:r w:rsidR="003816DA">
        <w:rPr>
          <w:rFonts w:ascii="Arial" w:hAnsi="Arial" w:cs="Arial"/>
          <w:color w:val="000000"/>
          <w:sz w:val="22"/>
          <w:szCs w:val="22"/>
        </w:rPr>
        <w:t>é</w:t>
      </w:r>
      <w:r w:rsidRPr="007923C2">
        <w:rPr>
          <w:rFonts w:ascii="Arial" w:hAnsi="Arial" w:cs="Arial"/>
          <w:color w:val="000000"/>
          <w:sz w:val="22"/>
          <w:szCs w:val="22"/>
        </w:rPr>
        <w:t>mico (re</w:t>
      </w:r>
      <w:r w:rsidR="003816DA">
        <w:rPr>
          <w:rFonts w:ascii="Arial" w:hAnsi="Arial" w:cs="Arial"/>
          <w:color w:val="000000"/>
          <w:sz w:val="22"/>
          <w:szCs w:val="22"/>
        </w:rPr>
        <w:t>fl</w:t>
      </w:r>
      <w:r w:rsidRPr="007923C2">
        <w:rPr>
          <w:rFonts w:ascii="Arial" w:hAnsi="Arial" w:cs="Arial"/>
          <w:color w:val="000000"/>
          <w:sz w:val="22"/>
          <w:szCs w:val="22"/>
        </w:rPr>
        <w:t>ejada en publicaciones con arbitraje internacional)</w:t>
      </w:r>
    </w:p>
    <w:p w14:paraId="44D9E1EA" w14:textId="11F0A5A8" w:rsidR="006A1D9E" w:rsidRPr="007923C2" w:rsidRDefault="001F23E0" w:rsidP="006A1D9E">
      <w:pPr>
        <w:widowControl w:val="0"/>
        <w:autoSpaceDE w:val="0"/>
        <w:autoSpaceDN w:val="0"/>
        <w:adjustRightInd w:val="0"/>
        <w:spacing w:after="0" w:line="209"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37952" behindDoc="1" locked="0" layoutInCell="0" allowOverlap="1" wp14:anchorId="4F6B485B" wp14:editId="330640CC">
                <wp:simplePos x="0" y="0"/>
                <wp:positionH relativeFrom="column">
                  <wp:posOffset>351155</wp:posOffset>
                </wp:positionH>
                <wp:positionV relativeFrom="paragraph">
                  <wp:posOffset>-78740</wp:posOffset>
                </wp:positionV>
                <wp:extent cx="38735" cy="38100"/>
                <wp:effectExtent l="0" t="0" r="0" b="0"/>
                <wp:wrapNone/>
                <wp:docPr id="418" name="Rectángulo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41904" id="Rectángulo 418" o:spid="_x0000_s1026" style="position:absolute;margin-left:27.65pt;margin-top:-6.2pt;width:3.05pt;height:3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QT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Svs0&#10;E4QCAAD+BAAADgAAAAAAAAAAAAAAAAAuAgAAZHJzL2Uyb0RvYy54bWxQSwECLQAUAAYACAAAACEA&#10;QJxPHt0AAAAIAQAADwAAAAAAAAAAAAAAAADeBAAAZHJzL2Rvd25yZXYueG1sUEsFBgAAAAAEAAQA&#10;8wAAAOgFAAAAAA==&#10;" o:allowincell="f" stroked="f"/>
            </w:pict>
          </mc:Fallback>
        </mc:AlternateContent>
      </w:r>
    </w:p>
    <w:p w14:paraId="75BCB5C8"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b) Situacion del posgrado</w:t>
      </w:r>
    </w:p>
    <w:p w14:paraId="6396A973" w14:textId="77777777" w:rsidR="006A1D9E" w:rsidRPr="007923C2" w:rsidRDefault="006A1D9E" w:rsidP="006A1D9E">
      <w:pPr>
        <w:widowControl w:val="0"/>
        <w:autoSpaceDE w:val="0"/>
        <w:autoSpaceDN w:val="0"/>
        <w:adjustRightInd w:val="0"/>
        <w:spacing w:after="0" w:line="209" w:lineRule="exact"/>
        <w:rPr>
          <w:rFonts w:ascii="Arial" w:hAnsi="Arial" w:cs="Arial"/>
          <w:sz w:val="22"/>
          <w:szCs w:val="22"/>
        </w:rPr>
      </w:pPr>
    </w:p>
    <w:p w14:paraId="25EF7AEB"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Requisitos de:</w:t>
      </w:r>
    </w:p>
    <w:p w14:paraId="6F4B508D" w14:textId="374AA3E0" w:rsidR="006A1D9E" w:rsidRPr="007923C2" w:rsidRDefault="001F23E0" w:rsidP="006A1D9E">
      <w:pPr>
        <w:widowControl w:val="0"/>
        <w:autoSpaceDE w:val="0"/>
        <w:autoSpaceDN w:val="0"/>
        <w:adjustRightInd w:val="0"/>
        <w:spacing w:after="0" w:line="105"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38976" behindDoc="1" locked="0" layoutInCell="0" allowOverlap="1" wp14:anchorId="61C3A7E5" wp14:editId="26201176">
                <wp:simplePos x="0" y="0"/>
                <wp:positionH relativeFrom="column">
                  <wp:posOffset>351155</wp:posOffset>
                </wp:positionH>
                <wp:positionV relativeFrom="paragraph">
                  <wp:posOffset>-78740</wp:posOffset>
                </wp:positionV>
                <wp:extent cx="38735" cy="38100"/>
                <wp:effectExtent l="0" t="0" r="0" b="0"/>
                <wp:wrapNone/>
                <wp:docPr id="417" name="Rectángulo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064D57" id="Rectángulo 417" o:spid="_x0000_s1026" style="position:absolute;margin-left:27.65pt;margin-top:-6.2pt;width:3.05pt;height:3pt;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quY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e8qr&#10;mIQCAAD+BAAADgAAAAAAAAAAAAAAAAAuAgAAZHJzL2Uyb0RvYy54bWxQSwECLQAUAAYACAAAACEA&#10;QJxPHt0AAAAIAQAADwAAAAAAAAAAAAAAAADeBAAAZHJzL2Rvd25yZXYueG1sUEsFBgAAAAAEAAQA&#10;8wAAAOgFAAAAAA==&#10;" o:allowincell="f" stroked="f"/>
            </w:pict>
          </mc:Fallback>
        </mc:AlternateContent>
      </w:r>
    </w:p>
    <w:p w14:paraId="375E207E" w14:textId="77777777" w:rsidR="006A1D9E" w:rsidRPr="007923C2" w:rsidRDefault="006A1D9E" w:rsidP="006A1D9E">
      <w:pPr>
        <w:widowControl w:val="0"/>
        <w:overflowPunct w:val="0"/>
        <w:autoSpaceDE w:val="0"/>
        <w:autoSpaceDN w:val="0"/>
        <w:adjustRightInd w:val="0"/>
        <w:spacing w:after="0" w:line="239" w:lineRule="auto"/>
        <w:ind w:left="900"/>
        <w:jc w:val="both"/>
        <w:rPr>
          <w:rFonts w:ascii="Arial" w:hAnsi="Arial" w:cs="Arial"/>
          <w:sz w:val="22"/>
          <w:szCs w:val="22"/>
        </w:rPr>
      </w:pPr>
      <w:r w:rsidRPr="007923C2">
        <w:rPr>
          <w:rFonts w:ascii="Arial" w:hAnsi="Arial" w:cs="Arial"/>
          <w:color w:val="000000"/>
          <w:sz w:val="22"/>
          <w:szCs w:val="22"/>
        </w:rPr>
        <w:t xml:space="preserve">Ingreso </w:t>
      </w:r>
    </w:p>
    <w:p w14:paraId="31115193" w14:textId="77777777" w:rsidR="006A1D9E" w:rsidRPr="007923C2" w:rsidRDefault="006A1D9E" w:rsidP="006A1D9E">
      <w:pPr>
        <w:widowControl w:val="0"/>
        <w:autoSpaceDE w:val="0"/>
        <w:autoSpaceDN w:val="0"/>
        <w:adjustRightInd w:val="0"/>
        <w:spacing w:after="0" w:line="98" w:lineRule="exact"/>
        <w:rPr>
          <w:rFonts w:ascii="Arial" w:hAnsi="Arial" w:cs="Arial"/>
          <w:sz w:val="22"/>
          <w:szCs w:val="22"/>
        </w:rPr>
      </w:pPr>
    </w:p>
    <w:p w14:paraId="0073390A" w14:textId="77777777" w:rsidR="006A1D9E" w:rsidRPr="007923C2" w:rsidRDefault="006A1D9E" w:rsidP="006A1D9E">
      <w:pPr>
        <w:widowControl w:val="0"/>
        <w:overflowPunct w:val="0"/>
        <w:autoSpaceDE w:val="0"/>
        <w:autoSpaceDN w:val="0"/>
        <w:adjustRightInd w:val="0"/>
        <w:spacing w:after="0" w:line="194" w:lineRule="auto"/>
        <w:ind w:left="900"/>
        <w:jc w:val="both"/>
        <w:rPr>
          <w:rFonts w:ascii="Arial" w:hAnsi="Arial" w:cs="Arial"/>
          <w:sz w:val="22"/>
          <w:szCs w:val="22"/>
        </w:rPr>
      </w:pPr>
      <w:r w:rsidRPr="007923C2">
        <w:rPr>
          <w:rFonts w:ascii="Arial" w:hAnsi="Arial" w:cs="Arial"/>
          <w:color w:val="000000"/>
          <w:sz w:val="22"/>
          <w:szCs w:val="22"/>
        </w:rPr>
        <w:t xml:space="preserve">Permanencia </w:t>
      </w:r>
    </w:p>
    <w:p w14:paraId="5F5FF6CB" w14:textId="77777777" w:rsidR="006A1D9E" w:rsidRPr="007923C2" w:rsidRDefault="006A1D9E" w:rsidP="006A1D9E">
      <w:pPr>
        <w:widowControl w:val="0"/>
        <w:autoSpaceDE w:val="0"/>
        <w:autoSpaceDN w:val="0"/>
        <w:adjustRightInd w:val="0"/>
        <w:spacing w:after="0" w:line="93" w:lineRule="exact"/>
        <w:rPr>
          <w:rFonts w:ascii="Arial" w:hAnsi="Arial" w:cs="Arial"/>
          <w:sz w:val="22"/>
          <w:szCs w:val="22"/>
        </w:rPr>
      </w:pPr>
    </w:p>
    <w:p w14:paraId="7F8BB27E" w14:textId="77777777" w:rsidR="006A1D9E" w:rsidRPr="007923C2" w:rsidRDefault="006A1D9E" w:rsidP="006A1D9E">
      <w:pPr>
        <w:widowControl w:val="0"/>
        <w:overflowPunct w:val="0"/>
        <w:autoSpaceDE w:val="0"/>
        <w:autoSpaceDN w:val="0"/>
        <w:adjustRightInd w:val="0"/>
        <w:spacing w:after="0" w:line="194" w:lineRule="auto"/>
        <w:ind w:left="900"/>
        <w:jc w:val="both"/>
        <w:rPr>
          <w:rFonts w:ascii="Arial" w:hAnsi="Arial" w:cs="Arial"/>
          <w:sz w:val="22"/>
          <w:szCs w:val="22"/>
        </w:rPr>
      </w:pPr>
      <w:r w:rsidRPr="007923C2">
        <w:rPr>
          <w:rFonts w:ascii="Arial" w:hAnsi="Arial" w:cs="Arial"/>
          <w:color w:val="000000"/>
          <w:sz w:val="22"/>
          <w:szCs w:val="22"/>
        </w:rPr>
        <w:t xml:space="preserve">Egreso de los estudiantes de posgrado </w:t>
      </w:r>
    </w:p>
    <w:p w14:paraId="2D4B94E5" w14:textId="77777777" w:rsidR="006A1D9E" w:rsidRPr="007923C2" w:rsidRDefault="006A1D9E" w:rsidP="006A1D9E">
      <w:pPr>
        <w:widowControl w:val="0"/>
        <w:autoSpaceDE w:val="0"/>
        <w:autoSpaceDN w:val="0"/>
        <w:adjustRightInd w:val="0"/>
        <w:spacing w:after="0" w:line="242" w:lineRule="exact"/>
        <w:rPr>
          <w:rFonts w:ascii="Arial" w:hAnsi="Arial" w:cs="Arial"/>
          <w:sz w:val="22"/>
          <w:szCs w:val="22"/>
        </w:rPr>
      </w:pPr>
    </w:p>
    <w:p w14:paraId="479BD841" w14:textId="77777777" w:rsidR="006A1D9E" w:rsidRPr="007923C2" w:rsidRDefault="006A1D9E" w:rsidP="006A1D9E">
      <w:pPr>
        <w:widowControl w:val="0"/>
        <w:numPr>
          <w:ilvl w:val="0"/>
          <w:numId w:val="131"/>
        </w:numPr>
        <w:tabs>
          <w:tab w:val="clear" w:pos="720"/>
          <w:tab w:val="num" w:pos="300"/>
        </w:tabs>
        <w:overflowPunct w:val="0"/>
        <w:autoSpaceDE w:val="0"/>
        <w:autoSpaceDN w:val="0"/>
        <w:adjustRightInd w:val="0"/>
        <w:spacing w:after="0" w:line="227" w:lineRule="auto"/>
        <w:ind w:left="300" w:hanging="269"/>
        <w:jc w:val="both"/>
        <w:rPr>
          <w:rFonts w:ascii="Arial" w:hAnsi="Arial" w:cs="Arial"/>
          <w:color w:val="000000"/>
          <w:sz w:val="22"/>
          <w:szCs w:val="22"/>
        </w:rPr>
      </w:pPr>
      <w:r w:rsidRPr="007923C2">
        <w:rPr>
          <w:rFonts w:ascii="Arial" w:hAnsi="Arial" w:cs="Arial"/>
          <w:color w:val="000000"/>
          <w:sz w:val="22"/>
          <w:szCs w:val="22"/>
        </w:rPr>
        <w:t>Existencia de l</w:t>
      </w:r>
      <w:r w:rsidR="003816DA">
        <w:rPr>
          <w:rFonts w:ascii="Arial" w:hAnsi="Arial" w:cs="Arial"/>
          <w:color w:val="000000"/>
          <w:sz w:val="22"/>
          <w:szCs w:val="22"/>
        </w:rPr>
        <w:t>í</w:t>
      </w:r>
      <w:r w:rsidRPr="007923C2">
        <w:rPr>
          <w:rFonts w:ascii="Arial" w:hAnsi="Arial" w:cs="Arial"/>
          <w:color w:val="000000"/>
          <w:sz w:val="22"/>
          <w:szCs w:val="22"/>
        </w:rPr>
        <w:t xml:space="preserve">neas de investigacion y desarrollo de proyectos (que de preferencia involucren a alumnos de posgrado) </w:t>
      </w:r>
    </w:p>
    <w:p w14:paraId="40C3FEE5" w14:textId="77777777" w:rsidR="006A1D9E" w:rsidRPr="007923C2" w:rsidRDefault="006A1D9E" w:rsidP="006A1D9E">
      <w:pPr>
        <w:widowControl w:val="0"/>
        <w:autoSpaceDE w:val="0"/>
        <w:autoSpaceDN w:val="0"/>
        <w:adjustRightInd w:val="0"/>
        <w:spacing w:after="0" w:line="168" w:lineRule="exact"/>
        <w:rPr>
          <w:rFonts w:ascii="Arial" w:hAnsi="Arial" w:cs="Arial"/>
          <w:color w:val="000000"/>
          <w:sz w:val="22"/>
          <w:szCs w:val="22"/>
        </w:rPr>
      </w:pPr>
    </w:p>
    <w:p w14:paraId="3A166365" w14:textId="77777777" w:rsidR="006A1D9E" w:rsidRPr="007923C2" w:rsidRDefault="006A1D9E" w:rsidP="006A1D9E">
      <w:pPr>
        <w:widowControl w:val="0"/>
        <w:numPr>
          <w:ilvl w:val="0"/>
          <w:numId w:val="131"/>
        </w:numPr>
        <w:tabs>
          <w:tab w:val="clear" w:pos="720"/>
          <w:tab w:val="num" w:pos="300"/>
        </w:tabs>
        <w:overflowPunct w:val="0"/>
        <w:autoSpaceDE w:val="0"/>
        <w:autoSpaceDN w:val="0"/>
        <w:adjustRightInd w:val="0"/>
        <w:spacing w:after="0" w:line="239" w:lineRule="auto"/>
        <w:ind w:left="300" w:hanging="291"/>
        <w:jc w:val="both"/>
        <w:rPr>
          <w:rFonts w:ascii="Arial" w:hAnsi="Arial" w:cs="Arial"/>
          <w:color w:val="000000"/>
          <w:sz w:val="22"/>
          <w:szCs w:val="22"/>
        </w:rPr>
      </w:pPr>
      <w:r w:rsidRPr="007923C2">
        <w:rPr>
          <w:rFonts w:ascii="Arial" w:hAnsi="Arial" w:cs="Arial"/>
          <w:color w:val="000000"/>
          <w:sz w:val="22"/>
          <w:szCs w:val="22"/>
        </w:rPr>
        <w:t>Caracter</w:t>
      </w:r>
      <w:r w:rsidR="003816DA">
        <w:rPr>
          <w:rFonts w:ascii="Arial" w:hAnsi="Arial" w:cs="Arial"/>
          <w:color w:val="000000"/>
          <w:sz w:val="22"/>
          <w:szCs w:val="22"/>
        </w:rPr>
        <w:t>í</w:t>
      </w:r>
      <w:r w:rsidRPr="007923C2">
        <w:rPr>
          <w:rFonts w:ascii="Arial" w:hAnsi="Arial" w:cs="Arial"/>
          <w:color w:val="000000"/>
          <w:sz w:val="22"/>
          <w:szCs w:val="22"/>
        </w:rPr>
        <w:t xml:space="preserve">sticas generales del posgrado </w:t>
      </w:r>
    </w:p>
    <w:p w14:paraId="07EFE91F" w14:textId="77777777" w:rsidR="006A1D9E" w:rsidRPr="007923C2" w:rsidRDefault="006A1D9E" w:rsidP="006A1D9E">
      <w:pPr>
        <w:widowControl w:val="0"/>
        <w:autoSpaceDE w:val="0"/>
        <w:autoSpaceDN w:val="0"/>
        <w:adjustRightInd w:val="0"/>
        <w:spacing w:after="0" w:line="209" w:lineRule="exact"/>
        <w:rPr>
          <w:rFonts w:ascii="Arial" w:hAnsi="Arial" w:cs="Arial"/>
          <w:sz w:val="22"/>
          <w:szCs w:val="22"/>
        </w:rPr>
      </w:pPr>
    </w:p>
    <w:p w14:paraId="19CEEC0F"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Desarrollo historico</w:t>
      </w:r>
    </w:p>
    <w:p w14:paraId="3242ABDB" w14:textId="294E226C" w:rsidR="006A1D9E" w:rsidRPr="007923C2" w:rsidRDefault="001F23E0"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40000" behindDoc="1" locked="0" layoutInCell="0" allowOverlap="1" wp14:anchorId="2A0CD80E" wp14:editId="5B175614">
                <wp:simplePos x="0" y="0"/>
                <wp:positionH relativeFrom="column">
                  <wp:posOffset>351155</wp:posOffset>
                </wp:positionH>
                <wp:positionV relativeFrom="paragraph">
                  <wp:posOffset>-78740</wp:posOffset>
                </wp:positionV>
                <wp:extent cx="38735" cy="38100"/>
                <wp:effectExtent l="0" t="0" r="0" b="0"/>
                <wp:wrapNone/>
                <wp:docPr id="415" name="Rectángulo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15B6E6" id="Rectángulo 415" o:spid="_x0000_s1026" style="position:absolute;margin-left:27.65pt;margin-top:-6.2pt;width:3.05pt;height:3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uYe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gsLm&#10;HoQCAAD+BAAADgAAAAAAAAAAAAAAAAAuAgAAZHJzL2Uyb0RvYy54bWxQSwECLQAUAAYACAAAACEA&#10;QJxPHt0AAAAIAQAADwAAAAAAAAAAAAAAAADeBAAAZHJzL2Rvd25yZXYueG1sUEsFBgAAAAAEAAQA&#10;8wAAAOgFAAAAAA==&#10;" o:allowincell="f" stroked="f"/>
            </w:pict>
          </mc:Fallback>
        </mc:AlternateContent>
      </w:r>
    </w:p>
    <w:p w14:paraId="42C7B112"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Infraestructura f</w:t>
      </w:r>
      <w:r w:rsidR="00D31D3F">
        <w:rPr>
          <w:rFonts w:ascii="Arial" w:hAnsi="Arial" w:cs="Arial"/>
          <w:color w:val="000000"/>
          <w:sz w:val="22"/>
          <w:szCs w:val="22"/>
        </w:rPr>
        <w:t>í</w:t>
      </w:r>
      <w:r w:rsidRPr="007923C2">
        <w:rPr>
          <w:rFonts w:ascii="Arial" w:hAnsi="Arial" w:cs="Arial"/>
          <w:color w:val="000000"/>
          <w:sz w:val="22"/>
          <w:szCs w:val="22"/>
        </w:rPr>
        <w:t>sica</w:t>
      </w:r>
    </w:p>
    <w:p w14:paraId="01E0E871" w14:textId="568926F6" w:rsidR="006A1D9E" w:rsidRPr="007923C2" w:rsidRDefault="001F23E0"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41024" behindDoc="1" locked="0" layoutInCell="0" allowOverlap="1" wp14:anchorId="49C95F16" wp14:editId="3A2FCAF0">
                <wp:simplePos x="0" y="0"/>
                <wp:positionH relativeFrom="column">
                  <wp:posOffset>351155</wp:posOffset>
                </wp:positionH>
                <wp:positionV relativeFrom="paragraph">
                  <wp:posOffset>-78740</wp:posOffset>
                </wp:positionV>
                <wp:extent cx="38735" cy="38100"/>
                <wp:effectExtent l="0" t="0" r="0" b="0"/>
                <wp:wrapNone/>
                <wp:docPr id="414" name="Rectángulo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7620B" id="Rectángulo 414" o:spid="_x0000_s1026" style="position:absolute;margin-left:27.65pt;margin-top:-6.2pt;width:3.05pt;height:3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iw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WY6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3sV4&#10;sIQCAAD+BAAADgAAAAAAAAAAAAAAAAAuAgAAZHJzL2Uyb0RvYy54bWxQSwECLQAUAAYACAAAACEA&#10;QJxPHt0AAAAIAQAADwAAAAAAAAAAAAAAAADeBAAAZHJzL2Rvd25yZXYueG1sUEsFBgAAAAAEAAQA&#10;8wAAAOgFAAAAAA==&#10;" o:allowincell="f" stroked="f"/>
            </w:pict>
          </mc:Fallback>
        </mc:AlternateContent>
      </w:r>
    </w:p>
    <w:p w14:paraId="2C41F5EB"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Tasa de graduacion de los programas en los tiempos regularmente previstos</w:t>
      </w:r>
    </w:p>
    <w:p w14:paraId="7983FB0E" w14:textId="43153C7B" w:rsidR="006A1D9E" w:rsidRPr="007923C2" w:rsidRDefault="001F23E0"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42048" behindDoc="1" locked="0" layoutInCell="0" allowOverlap="1" wp14:anchorId="4D51AC34" wp14:editId="4C3908D9">
                <wp:simplePos x="0" y="0"/>
                <wp:positionH relativeFrom="column">
                  <wp:posOffset>351155</wp:posOffset>
                </wp:positionH>
                <wp:positionV relativeFrom="paragraph">
                  <wp:posOffset>-78740</wp:posOffset>
                </wp:positionV>
                <wp:extent cx="38735" cy="38100"/>
                <wp:effectExtent l="0" t="0" r="0" b="0"/>
                <wp:wrapNone/>
                <wp:docPr id="413" name="Rectángulo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29E675" id="Rectángulo 413" o:spid="_x0000_s1026" style="position:absolute;margin-left:27.65pt;margin-top:-6.2pt;width:3.05pt;height:3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UBP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n2QQ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yN1A&#10;T4QCAAD+BAAADgAAAAAAAAAAAAAAAAAuAgAAZHJzL2Uyb0RvYy54bWxQSwECLQAUAAYACAAAACEA&#10;QJxPHt0AAAAIAQAADwAAAAAAAAAAAAAAAADeBAAAZHJzL2Rvd25yZXYueG1sUEsFBgAAAAAEAAQA&#10;8wAAAOgFAAAAAA==&#10;" o:allowincell="f" stroked="f"/>
            </w:pict>
          </mc:Fallback>
        </mc:AlternateContent>
      </w:r>
    </w:p>
    <w:p w14:paraId="57435241"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lastRenderedPageBreak/>
        <w:t>Pol ticas y recursos de la institucion que apoyen los programas de posgrado</w:t>
      </w:r>
    </w:p>
    <w:p w14:paraId="4CB75F5B" w14:textId="5EB8788B" w:rsidR="006A1D9E" w:rsidRPr="007923C2" w:rsidRDefault="001F23E0"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43072" behindDoc="1" locked="0" layoutInCell="0" allowOverlap="1" wp14:anchorId="51481F3B" wp14:editId="165890D2">
                <wp:simplePos x="0" y="0"/>
                <wp:positionH relativeFrom="column">
                  <wp:posOffset>351155</wp:posOffset>
                </wp:positionH>
                <wp:positionV relativeFrom="paragraph">
                  <wp:posOffset>-78740</wp:posOffset>
                </wp:positionV>
                <wp:extent cx="38735" cy="38100"/>
                <wp:effectExtent l="0" t="0" r="0" b="0"/>
                <wp:wrapNone/>
                <wp:docPr id="412" name="Rectángulo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58DBC6" id="Rectángulo 412" o:spid="_x0000_s1026" style="position:absolute;margin-left:27.65pt;margin-top:-6.2pt;width:3.05pt;height:3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t7h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lNre&#10;4YQCAAD+BAAADgAAAAAAAAAAAAAAAAAuAgAAZHJzL2Uyb0RvYy54bWxQSwECLQAUAAYACAAAACEA&#10;QJxPHt0AAAAIAQAADwAAAAAAAAAAAAAAAADeBAAAZHJzL2Rvd25yZXYueG1sUEsFBgAAAAAEAAQA&#10;8wAAAOgFAAAAAA==&#10;" o:allowincell="f" stroked="f"/>
            </w:pict>
          </mc:Fallback>
        </mc:AlternateContent>
      </w:r>
    </w:p>
    <w:p w14:paraId="31D1F46F"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Situacion (acad</w:t>
      </w:r>
      <w:r w:rsidR="003816DA">
        <w:rPr>
          <w:rFonts w:ascii="Arial" w:hAnsi="Arial" w:cs="Arial"/>
          <w:color w:val="000000"/>
          <w:sz w:val="22"/>
          <w:szCs w:val="22"/>
        </w:rPr>
        <w:t>é</w:t>
      </w:r>
      <w:r w:rsidRPr="007923C2">
        <w:rPr>
          <w:rFonts w:ascii="Arial" w:hAnsi="Arial" w:cs="Arial"/>
          <w:color w:val="000000"/>
          <w:sz w:val="22"/>
          <w:szCs w:val="22"/>
        </w:rPr>
        <w:t>mica y laboral) de los egresados del programa</w:t>
      </w:r>
    </w:p>
    <w:p w14:paraId="5E9B2003" w14:textId="6D9B7686" w:rsidR="006A1D9E" w:rsidRPr="007923C2" w:rsidRDefault="001F23E0" w:rsidP="006A1D9E">
      <w:pPr>
        <w:widowControl w:val="0"/>
        <w:autoSpaceDE w:val="0"/>
        <w:autoSpaceDN w:val="0"/>
        <w:adjustRightInd w:val="0"/>
        <w:spacing w:after="0" w:line="209"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44096" behindDoc="1" locked="0" layoutInCell="0" allowOverlap="1" wp14:anchorId="56E2FA31" wp14:editId="5B51D66A">
                <wp:simplePos x="0" y="0"/>
                <wp:positionH relativeFrom="column">
                  <wp:posOffset>351155</wp:posOffset>
                </wp:positionH>
                <wp:positionV relativeFrom="paragraph">
                  <wp:posOffset>-78740</wp:posOffset>
                </wp:positionV>
                <wp:extent cx="38735" cy="38100"/>
                <wp:effectExtent l="0" t="0" r="0" b="0"/>
                <wp:wrapNone/>
                <wp:docPr id="411" name="Rectángulo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AF22FE" id="Rectángulo 411" o:spid="_x0000_s1026" style="position:absolute;margin-left:27.65pt;margin-top:-6.2pt;width:3.05pt;height:3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MdUN&#10;yYQCAAD+BAAADgAAAAAAAAAAAAAAAAAuAgAAZHJzL2Uyb0RvYy54bWxQSwECLQAUAAYACAAAACEA&#10;QJxPHt0AAAAIAQAADwAAAAAAAAAAAAAAAADeBAAAZHJzL2Rvd25yZXYueG1sUEsFBgAAAAAEAAQA&#10;8wAAAOgFAAAAAA==&#10;" o:allowincell="f" stroked="f"/>
            </w:pict>
          </mc:Fallback>
        </mc:AlternateContent>
      </w:r>
    </w:p>
    <w:p w14:paraId="0027FD31" w14:textId="77777777" w:rsidR="006A1D9E" w:rsidRPr="007923C2" w:rsidRDefault="006A1D9E" w:rsidP="006A1D9E">
      <w:pPr>
        <w:widowControl w:val="0"/>
        <w:autoSpaceDE w:val="0"/>
        <w:autoSpaceDN w:val="0"/>
        <w:adjustRightInd w:val="0"/>
        <w:spacing w:after="0" w:line="239" w:lineRule="auto"/>
        <w:ind w:left="40"/>
        <w:rPr>
          <w:rFonts w:ascii="Arial" w:hAnsi="Arial" w:cs="Arial"/>
          <w:sz w:val="22"/>
          <w:szCs w:val="22"/>
        </w:rPr>
      </w:pPr>
      <w:r w:rsidRPr="007923C2">
        <w:rPr>
          <w:rFonts w:ascii="Arial" w:hAnsi="Arial" w:cs="Arial"/>
          <w:color w:val="000000"/>
          <w:sz w:val="22"/>
          <w:szCs w:val="22"/>
        </w:rPr>
        <w:t>e) Vinculacion con el sector productivo (sobre todo para el area de ingenier</w:t>
      </w:r>
      <w:r w:rsidR="003816DA">
        <w:rPr>
          <w:rFonts w:ascii="Arial" w:hAnsi="Arial" w:cs="Arial"/>
          <w:color w:val="000000"/>
          <w:sz w:val="22"/>
          <w:szCs w:val="22"/>
        </w:rPr>
        <w:t>í</w:t>
      </w:r>
      <w:r w:rsidRPr="007923C2">
        <w:rPr>
          <w:rFonts w:ascii="Arial" w:hAnsi="Arial" w:cs="Arial"/>
          <w:color w:val="000000"/>
          <w:sz w:val="22"/>
          <w:szCs w:val="22"/>
        </w:rPr>
        <w:t>a y tecnolog</w:t>
      </w:r>
      <w:r w:rsidR="003816DA">
        <w:rPr>
          <w:rFonts w:ascii="Arial" w:hAnsi="Arial" w:cs="Arial"/>
          <w:color w:val="000000"/>
          <w:sz w:val="22"/>
          <w:szCs w:val="22"/>
        </w:rPr>
        <w:t>í</w:t>
      </w:r>
      <w:r w:rsidRPr="007923C2">
        <w:rPr>
          <w:rFonts w:ascii="Arial" w:hAnsi="Arial" w:cs="Arial"/>
          <w:color w:val="000000"/>
          <w:sz w:val="22"/>
          <w:szCs w:val="22"/>
        </w:rPr>
        <w:t>a)</w:t>
      </w:r>
    </w:p>
    <w:p w14:paraId="1928FC12" w14:textId="77777777" w:rsidR="006A1D9E" w:rsidRPr="007923C2" w:rsidRDefault="006A1D9E" w:rsidP="006A1D9E">
      <w:pPr>
        <w:widowControl w:val="0"/>
        <w:autoSpaceDE w:val="0"/>
        <w:autoSpaceDN w:val="0"/>
        <w:adjustRightInd w:val="0"/>
        <w:spacing w:after="0" w:line="243" w:lineRule="exact"/>
        <w:rPr>
          <w:rFonts w:ascii="Arial" w:hAnsi="Arial" w:cs="Arial"/>
          <w:sz w:val="22"/>
          <w:szCs w:val="22"/>
        </w:rPr>
      </w:pPr>
    </w:p>
    <w:p w14:paraId="545B0C04" w14:textId="77777777" w:rsidR="006A1D9E" w:rsidRPr="007923C2" w:rsidRDefault="006A1D9E" w:rsidP="006A1D9E">
      <w:pPr>
        <w:widowControl w:val="0"/>
        <w:overflowPunct w:val="0"/>
        <w:autoSpaceDE w:val="0"/>
        <w:autoSpaceDN w:val="0"/>
        <w:adjustRightInd w:val="0"/>
        <w:spacing w:after="0" w:line="227" w:lineRule="auto"/>
        <w:ind w:left="740"/>
        <w:rPr>
          <w:rFonts w:ascii="Arial" w:hAnsi="Arial" w:cs="Arial"/>
          <w:sz w:val="22"/>
          <w:szCs w:val="22"/>
        </w:rPr>
      </w:pPr>
      <w:r w:rsidRPr="007923C2">
        <w:rPr>
          <w:rFonts w:ascii="Arial" w:hAnsi="Arial" w:cs="Arial"/>
          <w:color w:val="000000"/>
          <w:sz w:val="22"/>
          <w:szCs w:val="22"/>
        </w:rPr>
        <w:t>Formacion de recursos humanos que respondan a la demanda actual y potencial de la planta productiva</w:t>
      </w:r>
    </w:p>
    <w:p w14:paraId="43E8D69E" w14:textId="78B6CE57" w:rsidR="006A1D9E" w:rsidRPr="007923C2" w:rsidRDefault="001F23E0" w:rsidP="006A1D9E">
      <w:pPr>
        <w:widowControl w:val="0"/>
        <w:autoSpaceDE w:val="0"/>
        <w:autoSpaceDN w:val="0"/>
        <w:adjustRightInd w:val="0"/>
        <w:spacing w:after="0" w:line="89"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45120" behindDoc="1" locked="0" layoutInCell="0" allowOverlap="1" wp14:anchorId="5CA508E2" wp14:editId="6BB42330">
                <wp:simplePos x="0" y="0"/>
                <wp:positionH relativeFrom="column">
                  <wp:posOffset>351155</wp:posOffset>
                </wp:positionH>
                <wp:positionV relativeFrom="paragraph">
                  <wp:posOffset>-230505</wp:posOffset>
                </wp:positionV>
                <wp:extent cx="38735" cy="38100"/>
                <wp:effectExtent l="0" t="0" r="0" b="0"/>
                <wp:wrapNone/>
                <wp:docPr id="410" name="Rectángulo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81A73B" id="Rectángulo 410" o:spid="_x0000_s1026" style="position:absolute;margin-left:27.65pt;margin-top:-18.15pt;width:3.05pt;height:3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pNn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bdKT&#10;Z4QCAAD+BAAADgAAAAAAAAAAAAAAAAAuAgAAZHJzL2Uyb0RvYy54bWxQSwECLQAUAAYACAAAACEA&#10;CJ6G/N0AAAAJAQAADwAAAAAAAAAAAAAAAADeBAAAZHJzL2Rvd25yZXYueG1sUEsFBgAAAAAEAAQA&#10;8wAAAOgFAAAAAA==&#10;" o:allowincell="f" stroked="f"/>
            </w:pict>
          </mc:Fallback>
        </mc:AlternateContent>
      </w:r>
    </w:p>
    <w:p w14:paraId="567E3D4B"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Relacion de la planta academica con el sector productivo</w:t>
      </w:r>
    </w:p>
    <w:p w14:paraId="4402548A" w14:textId="346D8835" w:rsidR="006A1D9E" w:rsidRPr="007923C2" w:rsidRDefault="001F23E0"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46144" behindDoc="1" locked="0" layoutInCell="0" allowOverlap="1" wp14:anchorId="4252B333" wp14:editId="0342CADF">
                <wp:simplePos x="0" y="0"/>
                <wp:positionH relativeFrom="column">
                  <wp:posOffset>351155</wp:posOffset>
                </wp:positionH>
                <wp:positionV relativeFrom="paragraph">
                  <wp:posOffset>-78740</wp:posOffset>
                </wp:positionV>
                <wp:extent cx="38735" cy="38100"/>
                <wp:effectExtent l="0" t="0" r="0" b="0"/>
                <wp:wrapNone/>
                <wp:docPr id="409" name="Rectángulo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861F9" id="Rectángulo 409" o:spid="_x0000_s1026" style="position:absolute;margin-left:27.65pt;margin-top:-6.2pt;width:3.05pt;height:3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nf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aYG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zn/Z&#10;34QCAAD+BAAADgAAAAAAAAAAAAAAAAAuAgAAZHJzL2Uyb0RvYy54bWxQSwECLQAUAAYACAAAACEA&#10;QJxPHt0AAAAIAQAADwAAAAAAAAAAAAAAAADeBAAAZHJzL2Rvd25yZXYueG1sUEsFBgAAAAAEAAQA&#10;8wAAAOgFAAAAAA==&#10;" o:allowincell="f" stroked="f"/>
            </w:pict>
          </mc:Fallback>
        </mc:AlternateContent>
      </w:r>
    </w:p>
    <w:p w14:paraId="28721A5C"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Vinculacion de lineas de investigacion del programa, con problemas del sector productivo.</w:t>
      </w:r>
    </w:p>
    <w:p w14:paraId="3C6A084D" w14:textId="15023CE7" w:rsidR="006A1D9E" w:rsidRPr="007923C2" w:rsidRDefault="001F23E0" w:rsidP="006A1D9E">
      <w:pPr>
        <w:widowControl w:val="0"/>
        <w:autoSpaceDE w:val="0"/>
        <w:autoSpaceDN w:val="0"/>
        <w:adjustRightInd w:val="0"/>
        <w:spacing w:after="0" w:line="329"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47168" behindDoc="1" locked="0" layoutInCell="0" allowOverlap="1" wp14:anchorId="79B170FC" wp14:editId="0AB9CD36">
                <wp:simplePos x="0" y="0"/>
                <wp:positionH relativeFrom="column">
                  <wp:posOffset>351155</wp:posOffset>
                </wp:positionH>
                <wp:positionV relativeFrom="paragraph">
                  <wp:posOffset>-78740</wp:posOffset>
                </wp:positionV>
                <wp:extent cx="38735" cy="38100"/>
                <wp:effectExtent l="0" t="0" r="0" b="0"/>
                <wp:wrapNone/>
                <wp:docPr id="408" name="Rectángulo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074C8" id="Rectángulo 408" o:spid="_x0000_s1026" style="position:absolute;margin-left:27.65pt;margin-top:-6.2pt;width:3.05pt;height:3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dx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knhH&#10;cYQCAAD+BAAADgAAAAAAAAAAAAAAAAAuAgAAZHJzL2Uyb0RvYy54bWxQSwECLQAUAAYACAAAACEA&#10;QJxPHt0AAAAIAQAADwAAAAAAAAAAAAAAAADeBAAAZHJzL2Rvd25yZXYueG1sUEsFBgAAAAAEAAQA&#10;8wAAAOgFAAAAAA==&#10;" o:allowincell="f" stroked="f"/>
            </w:pict>
          </mc:Fallback>
        </mc:AlternateContent>
      </w:r>
    </w:p>
    <w:p w14:paraId="4ACD3362" w14:textId="77777777" w:rsidR="006A1D9E" w:rsidRPr="007923C2" w:rsidRDefault="006A1D9E" w:rsidP="006A1D9E">
      <w:pPr>
        <w:widowControl w:val="0"/>
        <w:overflowPunct w:val="0"/>
        <w:autoSpaceDE w:val="0"/>
        <w:autoSpaceDN w:val="0"/>
        <w:adjustRightInd w:val="0"/>
        <w:spacing w:after="0" w:line="227" w:lineRule="auto"/>
        <w:ind w:left="20"/>
        <w:jc w:val="both"/>
        <w:rPr>
          <w:rFonts w:ascii="Arial" w:hAnsi="Arial" w:cs="Arial"/>
          <w:sz w:val="22"/>
          <w:szCs w:val="22"/>
        </w:rPr>
      </w:pPr>
      <w:r w:rsidRPr="007923C2">
        <w:rPr>
          <w:rFonts w:ascii="Arial" w:hAnsi="Arial" w:cs="Arial"/>
          <w:color w:val="000000"/>
          <w:sz w:val="22"/>
          <w:szCs w:val="22"/>
        </w:rPr>
        <w:t>La cali</w:t>
      </w:r>
      <w:r w:rsidR="00D31D3F">
        <w:rPr>
          <w:rFonts w:ascii="Arial" w:hAnsi="Arial" w:cs="Arial"/>
          <w:color w:val="000000"/>
          <w:sz w:val="22"/>
          <w:szCs w:val="22"/>
        </w:rPr>
        <w:t>fi</w:t>
      </w:r>
      <w:r w:rsidRPr="007923C2">
        <w:rPr>
          <w:rFonts w:ascii="Arial" w:hAnsi="Arial" w:cs="Arial"/>
          <w:color w:val="000000"/>
          <w:sz w:val="22"/>
          <w:szCs w:val="22"/>
        </w:rPr>
        <w:t>cacion que el CONACYT otorga a los programas de posgrado tiene una connotacion de acreditacion de los mismos, e indirectamente, de reconocimiento a las instituciones que los imparten.</w:t>
      </w:r>
    </w:p>
    <w:p w14:paraId="5482CAD4" w14:textId="77777777" w:rsidR="00F5568C" w:rsidRDefault="00F5568C" w:rsidP="006A1D9E">
      <w:pPr>
        <w:widowControl w:val="0"/>
        <w:autoSpaceDE w:val="0"/>
        <w:autoSpaceDN w:val="0"/>
        <w:adjustRightInd w:val="0"/>
        <w:spacing w:after="0" w:line="239" w:lineRule="auto"/>
        <w:ind w:left="20"/>
        <w:rPr>
          <w:rFonts w:ascii="Arial" w:hAnsi="Arial" w:cs="Arial"/>
          <w:color w:val="000000"/>
          <w:sz w:val="22"/>
          <w:szCs w:val="22"/>
        </w:rPr>
      </w:pPr>
    </w:p>
    <w:p w14:paraId="38AC1490" w14:textId="77777777" w:rsidR="006A1D9E" w:rsidRPr="007923C2" w:rsidRDefault="006A1D9E" w:rsidP="006A1D9E">
      <w:pPr>
        <w:widowControl w:val="0"/>
        <w:autoSpaceDE w:val="0"/>
        <w:autoSpaceDN w:val="0"/>
        <w:adjustRightInd w:val="0"/>
        <w:spacing w:after="0" w:line="239" w:lineRule="auto"/>
        <w:ind w:left="20"/>
        <w:rPr>
          <w:rFonts w:ascii="Arial" w:hAnsi="Arial" w:cs="Arial"/>
          <w:sz w:val="22"/>
          <w:szCs w:val="22"/>
        </w:rPr>
      </w:pPr>
      <w:r w:rsidRPr="007923C2">
        <w:rPr>
          <w:rFonts w:ascii="Arial" w:hAnsi="Arial" w:cs="Arial"/>
          <w:color w:val="000000"/>
          <w:sz w:val="22"/>
          <w:szCs w:val="22"/>
        </w:rPr>
        <w:t>4.2. FONDO PARA LA MODERNIZACION DE LA EDUCACION SUPERIOR (FOMES)</w:t>
      </w:r>
    </w:p>
    <w:p w14:paraId="2492E56E" w14:textId="77777777" w:rsidR="00784D2B" w:rsidRDefault="00784D2B" w:rsidP="006A1D9E">
      <w:pPr>
        <w:widowControl w:val="0"/>
        <w:overflowPunct w:val="0"/>
        <w:autoSpaceDE w:val="0"/>
        <w:autoSpaceDN w:val="0"/>
        <w:adjustRightInd w:val="0"/>
        <w:spacing w:after="0" w:line="239" w:lineRule="auto"/>
        <w:ind w:left="20"/>
        <w:jc w:val="both"/>
        <w:rPr>
          <w:rFonts w:ascii="Arial" w:hAnsi="Arial" w:cs="Arial"/>
          <w:color w:val="000000"/>
          <w:sz w:val="22"/>
          <w:szCs w:val="22"/>
        </w:rPr>
      </w:pPr>
    </w:p>
    <w:p w14:paraId="063EB112" w14:textId="77777777" w:rsidR="006A1D9E" w:rsidRPr="007923C2" w:rsidRDefault="006A1D9E" w:rsidP="006A1D9E">
      <w:pPr>
        <w:widowControl w:val="0"/>
        <w:overflowPunct w:val="0"/>
        <w:autoSpaceDE w:val="0"/>
        <w:autoSpaceDN w:val="0"/>
        <w:adjustRightInd w:val="0"/>
        <w:spacing w:after="0" w:line="239" w:lineRule="auto"/>
        <w:ind w:left="20"/>
        <w:jc w:val="both"/>
        <w:rPr>
          <w:rFonts w:ascii="Arial" w:hAnsi="Arial" w:cs="Arial"/>
          <w:sz w:val="22"/>
          <w:szCs w:val="22"/>
        </w:rPr>
      </w:pPr>
      <w:r w:rsidRPr="007923C2">
        <w:rPr>
          <w:rFonts w:ascii="Arial" w:hAnsi="Arial" w:cs="Arial"/>
          <w:color w:val="000000"/>
          <w:sz w:val="22"/>
          <w:szCs w:val="22"/>
        </w:rPr>
        <w:t>La Subsecretar</w:t>
      </w:r>
      <w:r w:rsidR="00D31D3F">
        <w:rPr>
          <w:rFonts w:ascii="Arial" w:hAnsi="Arial" w:cs="Arial"/>
          <w:color w:val="000000"/>
          <w:sz w:val="22"/>
          <w:szCs w:val="22"/>
        </w:rPr>
        <w:t>í</w:t>
      </w:r>
      <w:r w:rsidRPr="007923C2">
        <w:rPr>
          <w:rFonts w:ascii="Arial" w:hAnsi="Arial" w:cs="Arial"/>
          <w:color w:val="000000"/>
          <w:sz w:val="22"/>
          <w:szCs w:val="22"/>
        </w:rPr>
        <w:t>a de Educacion Superior e Investigacion Cient</w:t>
      </w:r>
      <w:r w:rsidR="00D31D3F">
        <w:rPr>
          <w:rFonts w:ascii="Arial" w:hAnsi="Arial" w:cs="Arial"/>
          <w:color w:val="000000"/>
          <w:sz w:val="22"/>
          <w:szCs w:val="22"/>
        </w:rPr>
        <w:t>ífi</w:t>
      </w:r>
      <w:r w:rsidRPr="007923C2">
        <w:rPr>
          <w:rFonts w:ascii="Arial" w:hAnsi="Arial" w:cs="Arial"/>
          <w:color w:val="000000"/>
          <w:sz w:val="22"/>
          <w:szCs w:val="22"/>
        </w:rPr>
        <w:t>ca, ha establecido criterios para la asignacion de recursos a los proyectos presentados por las IES publicas, mediante el llamado \Fondo de Modernizacion".</w:t>
      </w:r>
    </w:p>
    <w:p w14:paraId="2E1BBD35" w14:textId="77777777" w:rsidR="006A1D9E" w:rsidRPr="007923C2" w:rsidRDefault="006A1D9E" w:rsidP="006A1D9E">
      <w:pPr>
        <w:widowControl w:val="0"/>
        <w:autoSpaceDE w:val="0"/>
        <w:autoSpaceDN w:val="0"/>
        <w:adjustRightInd w:val="0"/>
        <w:spacing w:after="0" w:line="129" w:lineRule="exact"/>
        <w:rPr>
          <w:rFonts w:ascii="Arial" w:hAnsi="Arial" w:cs="Arial"/>
          <w:sz w:val="22"/>
          <w:szCs w:val="22"/>
        </w:rPr>
      </w:pPr>
    </w:p>
    <w:p w14:paraId="79366089" w14:textId="77777777" w:rsidR="006A1D9E" w:rsidRPr="007923C2" w:rsidRDefault="006A1D9E" w:rsidP="006A1D9E">
      <w:pPr>
        <w:widowControl w:val="0"/>
        <w:overflowPunct w:val="0"/>
        <w:autoSpaceDE w:val="0"/>
        <w:autoSpaceDN w:val="0"/>
        <w:adjustRightInd w:val="0"/>
        <w:spacing w:after="0" w:line="238" w:lineRule="auto"/>
        <w:ind w:left="20"/>
        <w:jc w:val="both"/>
        <w:rPr>
          <w:rFonts w:ascii="Arial" w:hAnsi="Arial" w:cs="Arial"/>
          <w:sz w:val="22"/>
          <w:szCs w:val="22"/>
        </w:rPr>
      </w:pPr>
      <w:r w:rsidRPr="007923C2">
        <w:rPr>
          <w:rFonts w:ascii="Arial" w:hAnsi="Arial" w:cs="Arial"/>
          <w:color w:val="000000"/>
          <w:sz w:val="22"/>
          <w:szCs w:val="22"/>
        </w:rPr>
        <w:t xml:space="preserve">Para evaluar los proyectos de desarrollo academico propuestos por las </w:t>
      </w:r>
      <w:r w:rsidR="00D31D3F">
        <w:rPr>
          <w:rFonts w:ascii="Arial" w:hAnsi="Arial" w:cs="Arial"/>
          <w:color w:val="000000"/>
          <w:sz w:val="22"/>
          <w:szCs w:val="22"/>
        </w:rPr>
        <w:t>I</w:t>
      </w:r>
      <w:r w:rsidRPr="007923C2">
        <w:rPr>
          <w:rFonts w:ascii="Arial" w:hAnsi="Arial" w:cs="Arial"/>
          <w:color w:val="000000"/>
          <w:sz w:val="22"/>
          <w:szCs w:val="22"/>
        </w:rPr>
        <w:t>ES para 1993, esta instancia evaluadora consider cinco criterios generales, con sus respectivos indicadores. Estos criterios deberan ser ponderados para obtener un juicio objetivo sobre la relevancia de dichos proyectos, el cual permitira asignar los recursos disponibles para este</w:t>
      </w:r>
      <w:r w:rsidR="00D31D3F">
        <w:rPr>
          <w:rFonts w:ascii="Arial" w:hAnsi="Arial" w:cs="Arial"/>
          <w:color w:val="000000"/>
          <w:sz w:val="22"/>
          <w:szCs w:val="22"/>
        </w:rPr>
        <w:t xml:space="preserve"> fi</w:t>
      </w:r>
      <w:r w:rsidRPr="007923C2">
        <w:rPr>
          <w:rFonts w:ascii="Arial" w:hAnsi="Arial" w:cs="Arial"/>
          <w:color w:val="000000"/>
          <w:sz w:val="22"/>
          <w:szCs w:val="22"/>
        </w:rPr>
        <w:t>n, de manera conveniente.</w:t>
      </w:r>
    </w:p>
    <w:p w14:paraId="31ED5B05" w14:textId="77777777" w:rsidR="006A1D9E" w:rsidRPr="007923C2" w:rsidRDefault="006A1D9E" w:rsidP="006A1D9E">
      <w:pPr>
        <w:widowControl w:val="0"/>
        <w:autoSpaceDE w:val="0"/>
        <w:autoSpaceDN w:val="0"/>
        <w:adjustRightInd w:val="0"/>
        <w:spacing w:after="0" w:line="17" w:lineRule="exact"/>
        <w:rPr>
          <w:rFonts w:ascii="Arial" w:hAnsi="Arial" w:cs="Arial"/>
          <w:sz w:val="22"/>
          <w:szCs w:val="22"/>
        </w:rPr>
      </w:pPr>
    </w:p>
    <w:p w14:paraId="79C994DF" w14:textId="77777777" w:rsidR="006A1D9E" w:rsidRPr="007923C2" w:rsidRDefault="006A1D9E" w:rsidP="006A1D9E">
      <w:pPr>
        <w:widowControl w:val="0"/>
        <w:autoSpaceDE w:val="0"/>
        <w:autoSpaceDN w:val="0"/>
        <w:adjustRightInd w:val="0"/>
        <w:spacing w:after="0" w:line="239" w:lineRule="auto"/>
        <w:ind w:left="20"/>
        <w:rPr>
          <w:rFonts w:ascii="Arial" w:hAnsi="Arial" w:cs="Arial"/>
          <w:sz w:val="22"/>
          <w:szCs w:val="22"/>
        </w:rPr>
      </w:pPr>
      <w:r w:rsidRPr="007923C2">
        <w:rPr>
          <w:rFonts w:ascii="Arial" w:hAnsi="Arial" w:cs="Arial"/>
          <w:color w:val="000000"/>
          <w:sz w:val="22"/>
          <w:szCs w:val="22"/>
        </w:rPr>
        <w:t>Los criterios fundamentales y los indicadores respectivos se enuncian en las siguientes l</w:t>
      </w:r>
      <w:r w:rsidR="003816DA">
        <w:rPr>
          <w:rFonts w:ascii="Arial" w:hAnsi="Arial" w:cs="Arial"/>
          <w:color w:val="000000"/>
          <w:sz w:val="22"/>
          <w:szCs w:val="22"/>
        </w:rPr>
        <w:t>í</w:t>
      </w:r>
      <w:r w:rsidRPr="007923C2">
        <w:rPr>
          <w:rFonts w:ascii="Arial" w:hAnsi="Arial" w:cs="Arial"/>
          <w:color w:val="000000"/>
          <w:sz w:val="22"/>
          <w:szCs w:val="22"/>
        </w:rPr>
        <w:t>neas:</w:t>
      </w:r>
    </w:p>
    <w:p w14:paraId="456128D8" w14:textId="77777777" w:rsidR="006A1D9E" w:rsidRPr="007923C2" w:rsidRDefault="006A1D9E" w:rsidP="006A1D9E">
      <w:pPr>
        <w:widowControl w:val="0"/>
        <w:autoSpaceDE w:val="0"/>
        <w:autoSpaceDN w:val="0"/>
        <w:adjustRightInd w:val="0"/>
        <w:spacing w:after="0" w:line="292" w:lineRule="exact"/>
        <w:rPr>
          <w:rFonts w:ascii="Arial" w:hAnsi="Arial" w:cs="Arial"/>
          <w:sz w:val="22"/>
          <w:szCs w:val="22"/>
        </w:rPr>
      </w:pPr>
    </w:p>
    <w:p w14:paraId="3B68CDCC" w14:textId="77777777" w:rsidR="006A1D9E" w:rsidRPr="007923C2" w:rsidRDefault="006A1D9E" w:rsidP="006A1D9E">
      <w:pPr>
        <w:widowControl w:val="0"/>
        <w:autoSpaceDE w:val="0"/>
        <w:autoSpaceDN w:val="0"/>
        <w:adjustRightInd w:val="0"/>
        <w:spacing w:after="0" w:line="239" w:lineRule="auto"/>
        <w:ind w:left="20"/>
        <w:rPr>
          <w:rFonts w:ascii="Arial" w:hAnsi="Arial" w:cs="Arial"/>
          <w:sz w:val="22"/>
          <w:szCs w:val="22"/>
        </w:rPr>
      </w:pPr>
      <w:r w:rsidRPr="007923C2">
        <w:rPr>
          <w:rFonts w:ascii="Arial" w:hAnsi="Arial" w:cs="Arial"/>
          <w:color w:val="000000"/>
          <w:sz w:val="22"/>
          <w:szCs w:val="22"/>
        </w:rPr>
        <w:t>a) Busqueda de la excelencia academica:</w:t>
      </w:r>
    </w:p>
    <w:p w14:paraId="3EABD118" w14:textId="77777777" w:rsidR="006A1D9E" w:rsidRPr="007923C2" w:rsidRDefault="006A1D9E" w:rsidP="006A1D9E">
      <w:pPr>
        <w:widowControl w:val="0"/>
        <w:autoSpaceDE w:val="0"/>
        <w:autoSpaceDN w:val="0"/>
        <w:adjustRightInd w:val="0"/>
        <w:spacing w:after="0" w:line="207" w:lineRule="exact"/>
        <w:rPr>
          <w:rFonts w:ascii="Arial" w:hAnsi="Arial" w:cs="Arial"/>
          <w:sz w:val="22"/>
          <w:szCs w:val="22"/>
        </w:rPr>
      </w:pPr>
    </w:p>
    <w:p w14:paraId="60815238"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Solidez y estabilidad del personal academico responsable de los proyectos.</w:t>
      </w:r>
    </w:p>
    <w:p w14:paraId="5C3C19A4" w14:textId="30A76C7F" w:rsidR="006A1D9E" w:rsidRPr="007923C2" w:rsidRDefault="001F23E0" w:rsidP="006A1D9E">
      <w:pPr>
        <w:widowControl w:val="0"/>
        <w:autoSpaceDE w:val="0"/>
        <w:autoSpaceDN w:val="0"/>
        <w:adjustRightInd w:val="0"/>
        <w:spacing w:after="0" w:line="88"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48192" behindDoc="1" locked="0" layoutInCell="0" allowOverlap="1" wp14:anchorId="27485C00" wp14:editId="7156F950">
                <wp:simplePos x="0" y="0"/>
                <wp:positionH relativeFrom="column">
                  <wp:posOffset>351155</wp:posOffset>
                </wp:positionH>
                <wp:positionV relativeFrom="paragraph">
                  <wp:posOffset>-78740</wp:posOffset>
                </wp:positionV>
                <wp:extent cx="38735" cy="38100"/>
                <wp:effectExtent l="0" t="0" r="0" b="0"/>
                <wp:wrapNone/>
                <wp:docPr id="407" name="Rectángulo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4DD42" id="Rectángulo 407" o:spid="_x0000_s1026" style="position:absolute;margin-left:27.65pt;margin-top:-6.2pt;width:3.05pt;height:3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j6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o0nY&#10;+oQCAAD+BAAADgAAAAAAAAAAAAAAAAAuAgAAZHJzL2Uyb0RvYy54bWxQSwECLQAUAAYACAAAACEA&#10;QJxPHt0AAAAIAQAADwAAAAAAAAAAAAAAAADeBAAAZHJzL2Rvd25yZXYueG1sUEsFBgAAAAAEAAQA&#10;8wAAAOgFAAAAAA==&#10;" o:allowincell="f" stroked="f"/>
            </w:pict>
          </mc:Fallback>
        </mc:AlternateContent>
      </w:r>
    </w:p>
    <w:p w14:paraId="08B0869E"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Grado de dedicacion, interes y productividad del personal academico involucrado en el proyecto.</w:t>
      </w:r>
    </w:p>
    <w:p w14:paraId="77290D4C" w14:textId="3D8F595E" w:rsidR="006A1D9E" w:rsidRPr="007923C2" w:rsidRDefault="001F23E0" w:rsidP="006A1D9E">
      <w:pPr>
        <w:widowControl w:val="0"/>
        <w:autoSpaceDE w:val="0"/>
        <w:autoSpaceDN w:val="0"/>
        <w:adjustRightInd w:val="0"/>
        <w:spacing w:after="0" w:line="88"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49216" behindDoc="1" locked="0" layoutInCell="0" allowOverlap="1" wp14:anchorId="1DFE2792" wp14:editId="29D077C4">
                <wp:simplePos x="0" y="0"/>
                <wp:positionH relativeFrom="column">
                  <wp:posOffset>351155</wp:posOffset>
                </wp:positionH>
                <wp:positionV relativeFrom="paragraph">
                  <wp:posOffset>-78740</wp:posOffset>
                </wp:positionV>
                <wp:extent cx="38735" cy="38100"/>
                <wp:effectExtent l="0" t="0" r="0" b="0"/>
                <wp:wrapNone/>
                <wp:docPr id="406" name="Rectángulo 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C28992" id="Rectángulo 406" o:spid="_x0000_s1026" style="position:absolute;margin-left:27.65pt;margin-top:-6.2pt;width:3.05pt;height:3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ZU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U4T2c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" o:allowincell="f" stroked="f"/>
            </w:pict>
          </mc:Fallback>
        </mc:AlternateContent>
      </w:r>
    </w:p>
    <w:p w14:paraId="7CF01BC2"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Potencial de los proyectos para lograr la excelencia academica.</w:t>
      </w:r>
    </w:p>
    <w:p w14:paraId="2265EB1F" w14:textId="22568366" w:rsidR="006A1D9E" w:rsidRPr="007923C2" w:rsidRDefault="001F23E0" w:rsidP="006A1D9E">
      <w:pPr>
        <w:widowControl w:val="0"/>
        <w:autoSpaceDE w:val="0"/>
        <w:autoSpaceDN w:val="0"/>
        <w:adjustRightInd w:val="0"/>
        <w:spacing w:after="0" w:line="122"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50240" behindDoc="1" locked="0" layoutInCell="0" allowOverlap="1" wp14:anchorId="3A40CF07" wp14:editId="74D4CA01">
                <wp:simplePos x="0" y="0"/>
                <wp:positionH relativeFrom="column">
                  <wp:posOffset>351155</wp:posOffset>
                </wp:positionH>
                <wp:positionV relativeFrom="paragraph">
                  <wp:posOffset>-78740</wp:posOffset>
                </wp:positionV>
                <wp:extent cx="38735" cy="38100"/>
                <wp:effectExtent l="0" t="0" r="0" b="0"/>
                <wp:wrapNone/>
                <wp:docPr id="403" name="Rectángulo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543DF4" id="Rectángulo 403" o:spid="_x0000_s1026" style="position:absolute;margin-left:27.65pt;margin-top:-6.2pt;width:3.05pt;height:3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jMt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n6QQ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EF4z&#10;LYQCAAD+BAAADgAAAAAAAAAAAAAAAAAuAgAAZHJzL2Uyb0RvYy54bWxQSwECLQAUAAYACAAAACEA&#10;QJxPHt0AAAAIAQAADwAAAAAAAAAAAAAAAADeBAAAZHJzL2Rvd25yZXYueG1sUEsFBgAAAAAEAAQA&#10;8wAAAOgFAAAAAA==&#10;" o:allowincell="f" stroked="f"/>
            </w:pict>
          </mc:Fallback>
        </mc:AlternateContent>
      </w:r>
    </w:p>
    <w:p w14:paraId="3AF9D1AA" w14:textId="77777777"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Perspectivas para producir efectos en la institucion, y en otros ambitos, como resultado de procesos de innovacion academica planteados en los proyectos.</w:t>
      </w:r>
    </w:p>
    <w:p w14:paraId="1CED3296" w14:textId="3EC35984" w:rsidR="006A1D9E" w:rsidRPr="007923C2" w:rsidRDefault="001F23E0" w:rsidP="006A1D9E">
      <w:pPr>
        <w:widowControl w:val="0"/>
        <w:autoSpaceDE w:val="0"/>
        <w:autoSpaceDN w:val="0"/>
        <w:adjustRightInd w:val="0"/>
        <w:spacing w:after="0" w:line="207"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51264" behindDoc="1" locked="0" layoutInCell="0" allowOverlap="1" wp14:anchorId="635301DA" wp14:editId="2C727A1C">
                <wp:simplePos x="0" y="0"/>
                <wp:positionH relativeFrom="column">
                  <wp:posOffset>351155</wp:posOffset>
                </wp:positionH>
                <wp:positionV relativeFrom="paragraph">
                  <wp:posOffset>-230505</wp:posOffset>
                </wp:positionV>
                <wp:extent cx="38735" cy="38100"/>
                <wp:effectExtent l="0" t="0" r="0" b="0"/>
                <wp:wrapNone/>
                <wp:docPr id="402" name="Rectángulo 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A5E91C" id="Rectángulo 402" o:spid="_x0000_s1026" style="position:absolute;margin-left:27.65pt;margin-top:-18.15pt;width:3.05pt;height:3pt;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2D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TFmt&#10;g4QCAAD+BAAADgAAAAAAAAAAAAAAAAAuAgAAZHJzL2Uyb0RvYy54bWxQSwECLQAUAAYACAAAACEA&#10;CJ6G/N0AAAAJAQAADwAAAAAAAAAAAAAAAADeBAAAZHJzL2Rvd25yZXYueG1sUEsFBgAAAAAEAAQA&#10;8wAAAOgFAAAAAA==&#10;" o:allowincell="f" stroked="f"/>
            </w:pict>
          </mc:Fallback>
        </mc:AlternateContent>
      </w:r>
    </w:p>
    <w:p w14:paraId="52BA7770"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b) Fortalecimiento de la pertinencia social:</w:t>
      </w:r>
    </w:p>
    <w:p w14:paraId="5684E073" w14:textId="77777777" w:rsidR="006A1D9E" w:rsidRPr="007923C2" w:rsidRDefault="006A1D9E" w:rsidP="006A1D9E">
      <w:pPr>
        <w:widowControl w:val="0"/>
        <w:autoSpaceDE w:val="0"/>
        <w:autoSpaceDN w:val="0"/>
        <w:adjustRightInd w:val="0"/>
        <w:spacing w:after="0" w:line="241" w:lineRule="exact"/>
        <w:rPr>
          <w:rFonts w:ascii="Arial" w:hAnsi="Arial" w:cs="Arial"/>
          <w:sz w:val="22"/>
          <w:szCs w:val="22"/>
        </w:rPr>
      </w:pPr>
    </w:p>
    <w:p w14:paraId="42A370AC" w14:textId="77777777"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Grado en que los objetivos de los proyectos re ejan un conocimiento sobre los requerimientos sociales relacionados con el contenido de los proyectos.</w:t>
      </w:r>
    </w:p>
    <w:p w14:paraId="1326489C" w14:textId="437CD76B" w:rsidR="006A1D9E" w:rsidRPr="007923C2" w:rsidRDefault="001F23E0" w:rsidP="006A1D9E">
      <w:pPr>
        <w:widowControl w:val="0"/>
        <w:autoSpaceDE w:val="0"/>
        <w:autoSpaceDN w:val="0"/>
        <w:adjustRightInd w:val="0"/>
        <w:spacing w:after="0" w:line="122"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52288" behindDoc="1" locked="0" layoutInCell="0" allowOverlap="1" wp14:anchorId="027AFEE3" wp14:editId="49FE7FE2">
                <wp:simplePos x="0" y="0"/>
                <wp:positionH relativeFrom="column">
                  <wp:posOffset>351155</wp:posOffset>
                </wp:positionH>
                <wp:positionV relativeFrom="paragraph">
                  <wp:posOffset>-230505</wp:posOffset>
                </wp:positionV>
                <wp:extent cx="38735" cy="38100"/>
                <wp:effectExtent l="0" t="0" r="0" b="0"/>
                <wp:wrapNone/>
                <wp:docPr id="401" name="Rectángulo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807B8" id="Rectángulo 401" o:spid="_x0000_s1026" style="position:absolute;margin-left:27.65pt;margin-top:-18.15pt;width:3.05pt;height:3pt;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6VZ+&#10;q4QCAAD+BAAADgAAAAAAAAAAAAAAAAAuAgAAZHJzL2Uyb0RvYy54bWxQSwECLQAUAAYACAAAACEA&#10;CJ6G/N0AAAAJAQAADwAAAAAAAAAAAAAAAADeBAAAZHJzL2Rvd25yZXYueG1sUEsFBgAAAAAEAAQA&#10;8wAAAOgFAAAAAA==&#10;" o:allowincell="f" stroked="f"/>
            </w:pict>
          </mc:Fallback>
        </mc:AlternateContent>
      </w:r>
    </w:p>
    <w:p w14:paraId="3EBC3F25" w14:textId="77777777"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Nivel de congruencia entre el contenido de los proyectos y las necesidades evidentes del entorno institucional.</w:t>
      </w:r>
    </w:p>
    <w:p w14:paraId="56CF4A4D" w14:textId="6FCC3CF1" w:rsidR="006A1D9E" w:rsidRPr="007923C2" w:rsidRDefault="001F23E0" w:rsidP="006A1D9E">
      <w:pPr>
        <w:widowControl w:val="0"/>
        <w:autoSpaceDE w:val="0"/>
        <w:autoSpaceDN w:val="0"/>
        <w:adjustRightInd w:val="0"/>
        <w:spacing w:after="0" w:line="88"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53312" behindDoc="1" locked="0" layoutInCell="0" allowOverlap="1" wp14:anchorId="4390F327" wp14:editId="7B4A6331">
                <wp:simplePos x="0" y="0"/>
                <wp:positionH relativeFrom="column">
                  <wp:posOffset>351155</wp:posOffset>
                </wp:positionH>
                <wp:positionV relativeFrom="paragraph">
                  <wp:posOffset>-230505</wp:posOffset>
                </wp:positionV>
                <wp:extent cx="38735" cy="38100"/>
                <wp:effectExtent l="0" t="0" r="0" b="0"/>
                <wp:wrapNone/>
                <wp:docPr id="400" name="Rectángulo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3AF46B" id="Rectángulo 400" o:spid="_x0000_s1026" style="position:absolute;margin-left:27.65pt;margin-top:-18.15pt;width:3.05pt;height:3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eAFgw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" o:allowincell="f" stroked="f"/>
            </w:pict>
          </mc:Fallback>
        </mc:AlternateContent>
      </w:r>
    </w:p>
    <w:p w14:paraId="69626056"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Grado de participacion de sectores externos a la institucion en el desarrollo de la misma.</w:t>
      </w:r>
    </w:p>
    <w:p w14:paraId="7E16A073" w14:textId="45F6BE6D" w:rsidR="006A1D9E" w:rsidRPr="007923C2" w:rsidRDefault="001F23E0" w:rsidP="006A1D9E">
      <w:pPr>
        <w:widowControl w:val="0"/>
        <w:autoSpaceDE w:val="0"/>
        <w:autoSpaceDN w:val="0"/>
        <w:adjustRightInd w:val="0"/>
        <w:spacing w:after="0" w:line="122"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54336" behindDoc="1" locked="0" layoutInCell="0" allowOverlap="1" wp14:anchorId="2ACCEAD9" wp14:editId="13BFF3C0">
                <wp:simplePos x="0" y="0"/>
                <wp:positionH relativeFrom="column">
                  <wp:posOffset>351155</wp:posOffset>
                </wp:positionH>
                <wp:positionV relativeFrom="paragraph">
                  <wp:posOffset>-78740</wp:posOffset>
                </wp:positionV>
                <wp:extent cx="38735" cy="38100"/>
                <wp:effectExtent l="0" t="0" r="0" b="0"/>
                <wp:wrapNone/>
                <wp:docPr id="399" name="Rectángulo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BAC3BF" id="Rectángulo 399" o:spid="_x0000_s1026" style="position:absolute;margin-left:27.65pt;margin-top:-6.2pt;width:3.05pt;height:3pt;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CAX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gI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7Twg&#10;F4QCAAD+BAAADgAAAAAAAAAAAAAAAAAuAgAAZHJzL2Uyb0RvYy54bWxQSwECLQAUAAYACAAAACEA&#10;QJxPHt0AAAAIAQAADwAAAAAAAAAAAAAAAADeBAAAZHJzL2Rvd25yZXYueG1sUEsFBgAAAAAEAAQA&#10;8wAAAOgFAAAAAA==&#10;" o:allowincell="f" stroked="f"/>
            </w:pict>
          </mc:Fallback>
        </mc:AlternateContent>
      </w:r>
    </w:p>
    <w:p w14:paraId="45165A7B" w14:textId="77777777"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Nivel de compromiso que ha asumido la universidad y los sectores externos involucrados en la operacion o nanciamiento de los proyectos.</w:t>
      </w:r>
    </w:p>
    <w:p w14:paraId="059A0085" w14:textId="5EC8EE53" w:rsidR="006A1D9E" w:rsidRPr="007923C2" w:rsidRDefault="001F23E0" w:rsidP="006A1D9E">
      <w:pPr>
        <w:widowControl w:val="0"/>
        <w:autoSpaceDE w:val="0"/>
        <w:autoSpaceDN w:val="0"/>
        <w:adjustRightInd w:val="0"/>
        <w:spacing w:after="0" w:line="207"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55360" behindDoc="1" locked="0" layoutInCell="0" allowOverlap="1" wp14:anchorId="125A62D9" wp14:editId="7E8566E2">
                <wp:simplePos x="0" y="0"/>
                <wp:positionH relativeFrom="column">
                  <wp:posOffset>351155</wp:posOffset>
                </wp:positionH>
                <wp:positionV relativeFrom="paragraph">
                  <wp:posOffset>-230505</wp:posOffset>
                </wp:positionV>
                <wp:extent cx="38735" cy="38100"/>
                <wp:effectExtent l="0" t="0" r="0" b="0"/>
                <wp:wrapNone/>
                <wp:docPr id="398" name="Rectángulo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8E914A" id="Rectángulo 398" o:spid="_x0000_s1026" style="position:absolute;margin-left:27.65pt;margin-top:-18.15pt;width:3.05pt;height:3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765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sTu+&#10;uYQCAAD+BAAADgAAAAAAAAAAAAAAAAAuAgAAZHJzL2Uyb0RvYy54bWxQSwECLQAUAAYACAAAACEA&#10;CJ6G/N0AAAAJAQAADwAAAAAAAAAAAAAAAADeBAAAZHJzL2Rvd25yZXYueG1sUEsFBgAAAAAEAAQA&#10;8wAAAOgFAAAAAA==&#10;" o:allowincell="f" stroked="f"/>
            </w:pict>
          </mc:Fallback>
        </mc:AlternateContent>
      </w:r>
    </w:p>
    <w:p w14:paraId="0012AE02" w14:textId="77777777" w:rsidR="006A1D9E" w:rsidRPr="007923C2" w:rsidRDefault="006A1D9E" w:rsidP="006A1D9E">
      <w:pPr>
        <w:widowControl w:val="0"/>
        <w:autoSpaceDE w:val="0"/>
        <w:autoSpaceDN w:val="0"/>
        <w:adjustRightInd w:val="0"/>
        <w:spacing w:after="0" w:line="239" w:lineRule="auto"/>
        <w:ind w:left="40"/>
        <w:rPr>
          <w:rFonts w:ascii="Arial" w:hAnsi="Arial" w:cs="Arial"/>
          <w:sz w:val="22"/>
          <w:szCs w:val="22"/>
        </w:rPr>
      </w:pPr>
      <w:r w:rsidRPr="007923C2">
        <w:rPr>
          <w:rFonts w:ascii="Arial" w:hAnsi="Arial" w:cs="Arial"/>
          <w:color w:val="000000"/>
          <w:sz w:val="22"/>
          <w:szCs w:val="22"/>
        </w:rPr>
        <w:t>c) Orientacion evidente hacia el mejoramiento institucional:</w:t>
      </w:r>
    </w:p>
    <w:p w14:paraId="67AA4556" w14:textId="77777777" w:rsidR="006A1D9E" w:rsidRPr="007923C2" w:rsidRDefault="006A1D9E" w:rsidP="006A1D9E">
      <w:pPr>
        <w:widowControl w:val="0"/>
        <w:autoSpaceDE w:val="0"/>
        <w:autoSpaceDN w:val="0"/>
        <w:adjustRightInd w:val="0"/>
        <w:spacing w:after="0" w:line="241" w:lineRule="exact"/>
        <w:rPr>
          <w:rFonts w:ascii="Arial" w:hAnsi="Arial" w:cs="Arial"/>
          <w:sz w:val="22"/>
          <w:szCs w:val="22"/>
        </w:rPr>
      </w:pPr>
    </w:p>
    <w:p w14:paraId="0A32E072" w14:textId="77777777"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Nivel de autocr</w:t>
      </w:r>
      <w:r w:rsidR="003816DA">
        <w:rPr>
          <w:rFonts w:ascii="Arial" w:hAnsi="Arial" w:cs="Arial"/>
          <w:color w:val="000000"/>
          <w:sz w:val="22"/>
          <w:szCs w:val="22"/>
        </w:rPr>
        <w:t>í</w:t>
      </w:r>
      <w:r w:rsidRPr="007923C2">
        <w:rPr>
          <w:rFonts w:ascii="Arial" w:hAnsi="Arial" w:cs="Arial"/>
          <w:color w:val="000000"/>
          <w:sz w:val="22"/>
          <w:szCs w:val="22"/>
        </w:rPr>
        <w:t>tica en la identi cacion de los problemas institucionales y de sus causas, tantoestructurales como de funcionamiento interno.</w:t>
      </w:r>
    </w:p>
    <w:p w14:paraId="5CD91B40" w14:textId="0A3AB30C" w:rsidR="006A1D9E" w:rsidRPr="007923C2" w:rsidRDefault="001F23E0" w:rsidP="006A1D9E">
      <w:pPr>
        <w:widowControl w:val="0"/>
        <w:autoSpaceDE w:val="0"/>
        <w:autoSpaceDN w:val="0"/>
        <w:adjustRightInd w:val="0"/>
        <w:spacing w:after="0" w:line="122"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56384" behindDoc="1" locked="0" layoutInCell="0" allowOverlap="1" wp14:anchorId="308ED468" wp14:editId="0B6058C8">
                <wp:simplePos x="0" y="0"/>
                <wp:positionH relativeFrom="column">
                  <wp:posOffset>351155</wp:posOffset>
                </wp:positionH>
                <wp:positionV relativeFrom="paragraph">
                  <wp:posOffset>-230505</wp:posOffset>
                </wp:positionV>
                <wp:extent cx="38735" cy="38100"/>
                <wp:effectExtent l="0" t="0" r="0" b="0"/>
                <wp:wrapNone/>
                <wp:docPr id="397" name="Rectángulo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284A8E" id="Rectángulo 397" o:spid="_x0000_s1026" style="position:absolute;margin-left:27.65pt;margin-top:-18.15pt;width:3.05pt;height:3pt;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Ey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h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gAoh&#10;MoQCAAD+BAAADgAAAAAAAAAAAAAAAAAuAgAAZHJzL2Uyb0RvYy54bWxQSwECLQAUAAYACAAAACEA&#10;CJ6G/N0AAAAJAQAADwAAAAAAAAAAAAAAAADeBAAAZHJzL2Rvd25yZXYueG1sUEsFBgAAAAAEAAQA&#10;8wAAAOgFAAAAAA==&#10;" o:allowincell="f" stroked="f"/>
            </w:pict>
          </mc:Fallback>
        </mc:AlternateContent>
      </w:r>
    </w:p>
    <w:p w14:paraId="0FF75C0A" w14:textId="77777777" w:rsidR="006A1D9E" w:rsidRPr="007923C2" w:rsidRDefault="006A1D9E" w:rsidP="006A1D9E">
      <w:pPr>
        <w:widowControl w:val="0"/>
        <w:overflowPunct w:val="0"/>
        <w:autoSpaceDE w:val="0"/>
        <w:autoSpaceDN w:val="0"/>
        <w:adjustRightInd w:val="0"/>
        <w:spacing w:after="0" w:line="234" w:lineRule="auto"/>
        <w:ind w:left="740"/>
        <w:jc w:val="both"/>
        <w:rPr>
          <w:rFonts w:ascii="Arial" w:hAnsi="Arial" w:cs="Arial"/>
          <w:sz w:val="22"/>
          <w:szCs w:val="22"/>
        </w:rPr>
      </w:pPr>
      <w:r w:rsidRPr="007923C2">
        <w:rPr>
          <w:rFonts w:ascii="Arial" w:hAnsi="Arial" w:cs="Arial"/>
          <w:color w:val="000000"/>
          <w:sz w:val="22"/>
          <w:szCs w:val="22"/>
        </w:rPr>
        <w:lastRenderedPageBreak/>
        <w:t>Nivel de correspondencia entre la naturaleza de los problemas detectados en la autoevaluacion anual; la evaluacion de programas por los \comites de pares" academicos; la evaluacion y los objetivos y contenidos de los proyectos.</w:t>
      </w:r>
    </w:p>
    <w:p w14:paraId="1F92B3CB" w14:textId="3F7CBEB9" w:rsidR="006A1D9E" w:rsidRPr="007923C2" w:rsidRDefault="001F23E0" w:rsidP="006A1D9E">
      <w:pPr>
        <w:widowControl w:val="0"/>
        <w:autoSpaceDE w:val="0"/>
        <w:autoSpaceDN w:val="0"/>
        <w:adjustRightInd w:val="0"/>
        <w:spacing w:after="0" w:line="123"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57408" behindDoc="1" locked="0" layoutInCell="0" allowOverlap="1" wp14:anchorId="72776EBF" wp14:editId="5356AECD">
                <wp:simplePos x="0" y="0"/>
                <wp:positionH relativeFrom="column">
                  <wp:posOffset>351155</wp:posOffset>
                </wp:positionH>
                <wp:positionV relativeFrom="paragraph">
                  <wp:posOffset>-381635</wp:posOffset>
                </wp:positionV>
                <wp:extent cx="38735" cy="38100"/>
                <wp:effectExtent l="0" t="0" r="0" b="0"/>
                <wp:wrapNone/>
                <wp:docPr id="396" name="Rectángulo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6F74B8" id="Rectángulo 396" o:spid="_x0000_s1026" style="position:absolute;margin-left:27.65pt;margin-top:-30.05pt;width:3.05pt;height:3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NwN&#10;v5yEAgAA/gQAAA4AAAAAAAAAAAAAAAAALgIAAGRycy9lMm9Eb2MueG1sUEsBAi0AFAAGAAgAAAAh&#10;AGSniKPeAAAACQEAAA8AAAAAAAAAAAAAAAAA3gQAAGRycy9kb3ducmV2LnhtbFBLBQYAAAAABAAE&#10;APMAAADpBQAAAAA=&#10;" o:allowincell="f" stroked="f"/>
            </w:pict>
          </mc:Fallback>
        </mc:AlternateContent>
      </w:r>
    </w:p>
    <w:p w14:paraId="5A082326" w14:textId="77777777"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Capacidad de organizacion institucional y nivel de participacion de los organos colegiados para emprender acciones de mejoramiento.</w:t>
      </w:r>
    </w:p>
    <w:p w14:paraId="05394FAF" w14:textId="66C77D83" w:rsidR="006A1D9E" w:rsidRPr="007923C2" w:rsidRDefault="001F23E0" w:rsidP="006A1D9E">
      <w:pPr>
        <w:widowControl w:val="0"/>
        <w:autoSpaceDE w:val="0"/>
        <w:autoSpaceDN w:val="0"/>
        <w:adjustRightInd w:val="0"/>
        <w:spacing w:after="0" w:line="122"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58432" behindDoc="1" locked="0" layoutInCell="0" allowOverlap="1" wp14:anchorId="6AE094D6" wp14:editId="62335818">
                <wp:simplePos x="0" y="0"/>
                <wp:positionH relativeFrom="column">
                  <wp:posOffset>351155</wp:posOffset>
                </wp:positionH>
                <wp:positionV relativeFrom="paragraph">
                  <wp:posOffset>-230505</wp:posOffset>
                </wp:positionV>
                <wp:extent cx="38735" cy="38100"/>
                <wp:effectExtent l="0" t="0" r="0" b="0"/>
                <wp:wrapNone/>
                <wp:docPr id="395" name="Rectángulo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82A34E" id="Rectángulo 395" o:spid="_x0000_s1026" style="position:absolute;margin-left:27.65pt;margin-top:-18.15pt;width:3.05pt;height:3pt;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my0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eQJs&#10;tIQCAAD+BAAADgAAAAAAAAAAAAAAAAAuAgAAZHJzL2Uyb0RvYy54bWxQSwECLQAUAAYACAAAACEA&#10;CJ6G/N0AAAAJAQAADwAAAAAAAAAAAAAAAADeBAAAZHJzL2Rvd25yZXYueG1sUEsFBgAAAAAEAAQA&#10;8wAAAOgFAAAAAA==&#10;" o:allowincell="f" stroked="f"/>
            </w:pict>
          </mc:Fallback>
        </mc:AlternateContent>
      </w:r>
    </w:p>
    <w:p w14:paraId="02B2AF1D" w14:textId="77777777"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Nivel de compromiso asumido por parte de las autoridades y demas sectores de la comunidad inst-tucional para emprender acciones necesarias de reordenamiento interno.</w:t>
      </w:r>
    </w:p>
    <w:p w14:paraId="1BF4AA67" w14:textId="52B697C9" w:rsidR="006A1D9E" w:rsidRPr="007923C2" w:rsidRDefault="001F23E0" w:rsidP="006A1D9E">
      <w:pPr>
        <w:widowControl w:val="0"/>
        <w:autoSpaceDE w:val="0"/>
        <w:autoSpaceDN w:val="0"/>
        <w:adjustRightInd w:val="0"/>
        <w:spacing w:after="0" w:line="207"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59456" behindDoc="1" locked="0" layoutInCell="0" allowOverlap="1" wp14:anchorId="44BAD4E5" wp14:editId="451F095A">
                <wp:simplePos x="0" y="0"/>
                <wp:positionH relativeFrom="column">
                  <wp:posOffset>351155</wp:posOffset>
                </wp:positionH>
                <wp:positionV relativeFrom="paragraph">
                  <wp:posOffset>-230505</wp:posOffset>
                </wp:positionV>
                <wp:extent cx="38735" cy="38100"/>
                <wp:effectExtent l="0" t="0" r="0" b="0"/>
                <wp:wrapNone/>
                <wp:docPr id="394" name="Rectángulo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1FD924" id="Rectángulo 394" o:spid="_x0000_s1026" style="position:absolute;margin-left:27.65pt;margin-top:-18.15pt;width:3.05pt;height:3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fIa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hw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JQXy&#10;GoQCAAD+BAAADgAAAAAAAAAAAAAAAAAuAgAAZHJzL2Uyb0RvYy54bWxQSwECLQAUAAYACAAAACEA&#10;CJ6G/N0AAAAJAQAADwAAAAAAAAAAAAAAAADeBAAAZHJzL2Rvd25yZXYueG1sUEsFBgAAAAAEAAQA&#10;8wAAAOgFAAAAAA==&#10;" o:allowincell="f" stroked="f"/>
            </w:pict>
          </mc:Fallback>
        </mc:AlternateContent>
      </w:r>
    </w:p>
    <w:p w14:paraId="1439F41C"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d) Alto nivel de calidad en el desempe</w:t>
      </w:r>
      <w:r w:rsidR="003816DA">
        <w:rPr>
          <w:rFonts w:ascii="Arial" w:hAnsi="Arial" w:cs="Arial"/>
          <w:color w:val="000000"/>
          <w:sz w:val="22"/>
          <w:szCs w:val="22"/>
        </w:rPr>
        <w:t>ñ</w:t>
      </w:r>
      <w:r w:rsidRPr="007923C2">
        <w:rPr>
          <w:rFonts w:ascii="Arial" w:hAnsi="Arial" w:cs="Arial"/>
          <w:color w:val="000000"/>
          <w:sz w:val="22"/>
          <w:szCs w:val="22"/>
        </w:rPr>
        <w:t>o institucional:</w:t>
      </w:r>
    </w:p>
    <w:p w14:paraId="0E56939E" w14:textId="77777777" w:rsidR="006A1D9E" w:rsidRPr="007923C2" w:rsidRDefault="006A1D9E" w:rsidP="006A1D9E">
      <w:pPr>
        <w:widowControl w:val="0"/>
        <w:autoSpaceDE w:val="0"/>
        <w:autoSpaceDN w:val="0"/>
        <w:adjustRightInd w:val="0"/>
        <w:spacing w:after="0" w:line="207" w:lineRule="exact"/>
        <w:rPr>
          <w:rFonts w:ascii="Arial" w:hAnsi="Arial" w:cs="Arial"/>
          <w:sz w:val="22"/>
          <w:szCs w:val="22"/>
        </w:rPr>
      </w:pPr>
    </w:p>
    <w:p w14:paraId="2A69C5C7" w14:textId="77777777"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Avances concretos logrados en materia de innovacion educativa, en los ultimos a</w:t>
      </w:r>
      <w:r w:rsidR="003816DA">
        <w:rPr>
          <w:rFonts w:ascii="Arial" w:hAnsi="Arial" w:cs="Arial"/>
          <w:color w:val="000000"/>
          <w:sz w:val="22"/>
          <w:szCs w:val="22"/>
        </w:rPr>
        <w:t>ñ</w:t>
      </w:r>
      <w:r w:rsidRPr="007923C2">
        <w:rPr>
          <w:rFonts w:ascii="Arial" w:hAnsi="Arial" w:cs="Arial"/>
          <w:color w:val="000000"/>
          <w:sz w:val="22"/>
          <w:szCs w:val="22"/>
        </w:rPr>
        <w:t>os.</w:t>
      </w:r>
    </w:p>
    <w:p w14:paraId="36D531AB" w14:textId="3E95F0DF" w:rsidR="006A1D9E" w:rsidRPr="007923C2" w:rsidRDefault="001F23E0" w:rsidP="006A1D9E">
      <w:pPr>
        <w:widowControl w:val="0"/>
        <w:autoSpaceDE w:val="0"/>
        <w:autoSpaceDN w:val="0"/>
        <w:adjustRightInd w:val="0"/>
        <w:spacing w:after="0" w:line="122"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60480" behindDoc="1" locked="0" layoutInCell="0" allowOverlap="1" wp14:anchorId="4E863879" wp14:editId="39564B5D">
                <wp:simplePos x="0" y="0"/>
                <wp:positionH relativeFrom="column">
                  <wp:posOffset>351155</wp:posOffset>
                </wp:positionH>
                <wp:positionV relativeFrom="paragraph">
                  <wp:posOffset>-78740</wp:posOffset>
                </wp:positionV>
                <wp:extent cx="38735" cy="38100"/>
                <wp:effectExtent l="0" t="0" r="0" b="0"/>
                <wp:wrapNone/>
                <wp:docPr id="393" name="Rectángulo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36496" id="Rectángulo 393" o:spid="_x0000_s1026" style="position:absolute;margin-left:27.65pt;margin-top:-6.2pt;width:3.05pt;height:3pt;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crl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g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Mx3K&#10;5YQCAAD+BAAADgAAAAAAAAAAAAAAAAAuAgAAZHJzL2Uyb0RvYy54bWxQSwECLQAUAAYACAAAACEA&#10;QJxPHt0AAAAIAQAADwAAAAAAAAAAAAAAAADeBAAAZHJzL2Rvd25yZXYueG1sUEsFBgAAAAAEAAQA&#10;8wAAAOgFAAAAAA==&#10;" o:allowincell="f" stroked="f"/>
            </w:pict>
          </mc:Fallback>
        </mc:AlternateContent>
      </w:r>
    </w:p>
    <w:p w14:paraId="2BDF46D0" w14:textId="77777777" w:rsidR="006A1D9E" w:rsidRPr="007923C2" w:rsidRDefault="006A1D9E" w:rsidP="006A1D9E">
      <w:pPr>
        <w:widowControl w:val="0"/>
        <w:overflowPunct w:val="0"/>
        <w:autoSpaceDE w:val="0"/>
        <w:autoSpaceDN w:val="0"/>
        <w:adjustRightInd w:val="0"/>
        <w:spacing w:after="0" w:line="234" w:lineRule="auto"/>
        <w:ind w:left="740"/>
        <w:jc w:val="both"/>
        <w:rPr>
          <w:rFonts w:ascii="Arial" w:hAnsi="Arial" w:cs="Arial"/>
          <w:sz w:val="22"/>
          <w:szCs w:val="22"/>
        </w:rPr>
      </w:pPr>
      <w:r w:rsidRPr="007923C2">
        <w:rPr>
          <w:rFonts w:ascii="Arial" w:hAnsi="Arial" w:cs="Arial"/>
          <w:color w:val="000000"/>
          <w:sz w:val="22"/>
          <w:szCs w:val="22"/>
        </w:rPr>
        <w:t>Medida en que los proyectos se relacionan con los procesos de autoevaluacion y planeacion institucional, de manera que las acciones de mejoramiento propuestas sean congruentes con los resultados de dichos procesos.</w:t>
      </w:r>
    </w:p>
    <w:p w14:paraId="2FAC5D4D" w14:textId="1C3209D7" w:rsidR="006A1D9E" w:rsidRPr="007923C2" w:rsidRDefault="001F23E0" w:rsidP="006A1D9E">
      <w:pPr>
        <w:widowControl w:val="0"/>
        <w:autoSpaceDE w:val="0"/>
        <w:autoSpaceDN w:val="0"/>
        <w:adjustRightInd w:val="0"/>
        <w:spacing w:after="0" w:line="123"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61504" behindDoc="1" locked="0" layoutInCell="0" allowOverlap="1" wp14:anchorId="0E314749" wp14:editId="64A800C2">
                <wp:simplePos x="0" y="0"/>
                <wp:positionH relativeFrom="column">
                  <wp:posOffset>351155</wp:posOffset>
                </wp:positionH>
                <wp:positionV relativeFrom="paragraph">
                  <wp:posOffset>-381635</wp:posOffset>
                </wp:positionV>
                <wp:extent cx="38735" cy="38100"/>
                <wp:effectExtent l="0" t="0" r="0" b="0"/>
                <wp:wrapNone/>
                <wp:docPr id="392" name="Rectángulo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AECEA6" id="Rectángulo 392" o:spid="_x0000_s1026" style="position:absolute;margin-left:27.65pt;margin-top:-30.05pt;width:3.05pt;height:3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G8a&#10;VEuEAgAA/gQAAA4AAAAAAAAAAAAAAAAALgIAAGRycy9lMm9Eb2MueG1sUEsBAi0AFAAGAAgAAAAh&#10;AGSniKPeAAAACQEAAA8AAAAAAAAAAAAAAAAA3gQAAGRycy9kb3ducmV2LnhtbFBLBQYAAAAABAAE&#10;APMAAADpBQAAAAA=&#10;" o:allowincell="f" stroked="f"/>
            </w:pict>
          </mc:Fallback>
        </mc:AlternateContent>
      </w:r>
    </w:p>
    <w:p w14:paraId="02840E3F" w14:textId="77777777" w:rsidR="006A1D9E" w:rsidRPr="007923C2" w:rsidRDefault="006A1D9E" w:rsidP="006A1D9E">
      <w:pPr>
        <w:widowControl w:val="0"/>
        <w:overflowPunct w:val="0"/>
        <w:autoSpaceDE w:val="0"/>
        <w:autoSpaceDN w:val="0"/>
        <w:adjustRightInd w:val="0"/>
        <w:spacing w:after="0" w:line="234" w:lineRule="auto"/>
        <w:ind w:left="740"/>
        <w:jc w:val="both"/>
        <w:rPr>
          <w:rFonts w:ascii="Arial" w:hAnsi="Arial" w:cs="Arial"/>
          <w:sz w:val="22"/>
          <w:szCs w:val="22"/>
        </w:rPr>
      </w:pPr>
      <w:r w:rsidRPr="007923C2">
        <w:rPr>
          <w:rFonts w:ascii="Arial" w:hAnsi="Arial" w:cs="Arial"/>
          <w:color w:val="000000"/>
          <w:sz w:val="22"/>
          <w:szCs w:val="22"/>
        </w:rPr>
        <w:t>Grado de cumplimiento, en a</w:t>
      </w:r>
      <w:r w:rsidR="003816DA">
        <w:rPr>
          <w:rFonts w:ascii="Arial" w:hAnsi="Arial" w:cs="Arial"/>
          <w:color w:val="000000"/>
          <w:sz w:val="22"/>
          <w:szCs w:val="22"/>
        </w:rPr>
        <w:t>ñ</w:t>
      </w:r>
      <w:r w:rsidRPr="007923C2">
        <w:rPr>
          <w:rFonts w:ascii="Arial" w:hAnsi="Arial" w:cs="Arial"/>
          <w:color w:val="000000"/>
          <w:sz w:val="22"/>
          <w:szCs w:val="22"/>
        </w:rPr>
        <w:t>os anteriores, de los objetivos de los \proyectos FOMES", as como de la calidad de sus resultados e impacto en la estructura, la administracion y la operacion de la institucion.</w:t>
      </w:r>
    </w:p>
    <w:p w14:paraId="1F232E00" w14:textId="1B2E1430" w:rsidR="006A1D9E" w:rsidRPr="007923C2" w:rsidRDefault="001F23E0" w:rsidP="006A1D9E">
      <w:pPr>
        <w:widowControl w:val="0"/>
        <w:autoSpaceDE w:val="0"/>
        <w:autoSpaceDN w:val="0"/>
        <w:adjustRightInd w:val="0"/>
        <w:spacing w:after="0" w:line="123"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62528" behindDoc="1" locked="0" layoutInCell="0" allowOverlap="1" wp14:anchorId="13888062" wp14:editId="4405522B">
                <wp:simplePos x="0" y="0"/>
                <wp:positionH relativeFrom="column">
                  <wp:posOffset>351155</wp:posOffset>
                </wp:positionH>
                <wp:positionV relativeFrom="paragraph">
                  <wp:posOffset>-381635</wp:posOffset>
                </wp:positionV>
                <wp:extent cx="38735" cy="38100"/>
                <wp:effectExtent l="0" t="0" r="0" b="0"/>
                <wp:wrapNone/>
                <wp:docPr id="391" name="Rectángulo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595F87" id="Rectángulo 391" o:spid="_x0000_s1026" style="position:absolute;margin-left:27.65pt;margin-top:-30.05pt;width:3.05pt;height:3pt;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MoV&#10;h2OEAgAA/gQAAA4AAAAAAAAAAAAAAAAALgIAAGRycy9lMm9Eb2MueG1sUEsBAi0AFAAGAAgAAAAh&#10;AGSniKPeAAAACQEAAA8AAAAAAAAAAAAAAAAA3gQAAGRycy9kb3ducmV2LnhtbFBLBQYAAAAABAAE&#10;APMAAADpBQAAAAA=&#10;" o:allowincell="f" stroked="f"/>
            </w:pict>
          </mc:Fallback>
        </mc:AlternateContent>
      </w:r>
    </w:p>
    <w:p w14:paraId="23A888CD" w14:textId="77777777" w:rsidR="006A1D9E" w:rsidRPr="007923C2" w:rsidRDefault="006A1D9E" w:rsidP="006A1D9E">
      <w:pPr>
        <w:widowControl w:val="0"/>
        <w:overflowPunct w:val="0"/>
        <w:autoSpaceDE w:val="0"/>
        <w:autoSpaceDN w:val="0"/>
        <w:adjustRightInd w:val="0"/>
        <w:spacing w:after="0" w:line="239" w:lineRule="auto"/>
        <w:ind w:left="740"/>
        <w:jc w:val="both"/>
        <w:rPr>
          <w:rFonts w:ascii="Arial" w:hAnsi="Arial" w:cs="Arial"/>
          <w:sz w:val="22"/>
          <w:szCs w:val="22"/>
        </w:rPr>
      </w:pPr>
      <w:r w:rsidRPr="007923C2">
        <w:rPr>
          <w:rFonts w:ascii="Arial" w:hAnsi="Arial" w:cs="Arial"/>
          <w:color w:val="000000"/>
          <w:sz w:val="22"/>
          <w:szCs w:val="22"/>
        </w:rPr>
        <w:t xml:space="preserve">Calidad y su ciencia de los reportes tecnicos y </w:t>
      </w:r>
      <w:r w:rsidR="003816DA">
        <w:rPr>
          <w:rFonts w:ascii="Arial" w:hAnsi="Arial" w:cs="Arial"/>
          <w:color w:val="000000"/>
          <w:sz w:val="22"/>
          <w:szCs w:val="22"/>
        </w:rPr>
        <w:t>fi</w:t>
      </w:r>
      <w:r w:rsidRPr="007923C2">
        <w:rPr>
          <w:rFonts w:ascii="Arial" w:hAnsi="Arial" w:cs="Arial"/>
          <w:color w:val="000000"/>
          <w:sz w:val="22"/>
          <w:szCs w:val="22"/>
        </w:rPr>
        <w:t>nancieros institucionales sobre los proyectos apoyados por el FOMES en a</w:t>
      </w:r>
      <w:r w:rsidR="003816DA">
        <w:rPr>
          <w:rFonts w:ascii="Arial" w:hAnsi="Arial" w:cs="Arial"/>
          <w:color w:val="000000"/>
          <w:sz w:val="22"/>
          <w:szCs w:val="22"/>
        </w:rPr>
        <w:t>ñ</w:t>
      </w:r>
      <w:r w:rsidRPr="007923C2">
        <w:rPr>
          <w:rFonts w:ascii="Arial" w:hAnsi="Arial" w:cs="Arial"/>
          <w:color w:val="000000"/>
          <w:sz w:val="22"/>
          <w:szCs w:val="22"/>
        </w:rPr>
        <w:t>os anteriores, as</w:t>
      </w:r>
      <w:r w:rsidR="003816DA">
        <w:rPr>
          <w:rFonts w:ascii="Arial" w:hAnsi="Arial" w:cs="Arial"/>
          <w:color w:val="000000"/>
          <w:sz w:val="22"/>
          <w:szCs w:val="22"/>
        </w:rPr>
        <w:t>í</w:t>
      </w:r>
      <w:r w:rsidRPr="007923C2">
        <w:rPr>
          <w:rFonts w:ascii="Arial" w:hAnsi="Arial" w:cs="Arial"/>
          <w:color w:val="000000"/>
          <w:sz w:val="22"/>
          <w:szCs w:val="22"/>
        </w:rPr>
        <w:t xml:space="preserve"> como la transparencia en el uso de los recursos asignados.</w:t>
      </w:r>
    </w:p>
    <w:p w14:paraId="1394DFF1" w14:textId="0DB7B89D" w:rsidR="006A1D9E" w:rsidRPr="007923C2" w:rsidRDefault="001F23E0" w:rsidP="006A1D9E">
      <w:pPr>
        <w:widowControl w:val="0"/>
        <w:autoSpaceDE w:val="0"/>
        <w:autoSpaceDN w:val="0"/>
        <w:adjustRightInd w:val="0"/>
        <w:spacing w:after="0" w:line="121"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63552" behindDoc="1" locked="0" layoutInCell="0" allowOverlap="1" wp14:anchorId="76B1E04D" wp14:editId="6889E8E0">
                <wp:simplePos x="0" y="0"/>
                <wp:positionH relativeFrom="column">
                  <wp:posOffset>351155</wp:posOffset>
                </wp:positionH>
                <wp:positionV relativeFrom="paragraph">
                  <wp:posOffset>-231140</wp:posOffset>
                </wp:positionV>
                <wp:extent cx="38735" cy="38100"/>
                <wp:effectExtent l="0" t="0" r="0" b="0"/>
                <wp:wrapNone/>
                <wp:docPr id="390" name="Rectángulo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3DBFCD" id="Rectángulo 390" o:spid="_x0000_s1026" style="position:absolute;margin-left:27.65pt;margin-top:-18.2pt;width:3.05pt;height:3pt;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hnN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" o:allowincell="f" stroked="f"/>
            </w:pict>
          </mc:Fallback>
        </mc:AlternateContent>
      </w:r>
    </w:p>
    <w:p w14:paraId="515FCE42" w14:textId="77777777"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Esfuerzo de las IES por contribuir con recursos propios, estatales y privados para el desarrollo de los proyectos.</w:t>
      </w:r>
    </w:p>
    <w:p w14:paraId="63788C2C" w14:textId="44136835" w:rsidR="006A1D9E" w:rsidRPr="007923C2" w:rsidRDefault="001F23E0" w:rsidP="006A1D9E">
      <w:pPr>
        <w:widowControl w:val="0"/>
        <w:autoSpaceDE w:val="0"/>
        <w:autoSpaceDN w:val="0"/>
        <w:adjustRightInd w:val="0"/>
        <w:spacing w:after="0" w:line="207"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64576" behindDoc="1" locked="0" layoutInCell="0" allowOverlap="1" wp14:anchorId="20F6ECBA" wp14:editId="30BC54F1">
                <wp:simplePos x="0" y="0"/>
                <wp:positionH relativeFrom="column">
                  <wp:posOffset>351155</wp:posOffset>
                </wp:positionH>
                <wp:positionV relativeFrom="paragraph">
                  <wp:posOffset>-230505</wp:posOffset>
                </wp:positionV>
                <wp:extent cx="38735" cy="38100"/>
                <wp:effectExtent l="0" t="0" r="0" b="0"/>
                <wp:wrapNone/>
                <wp:docPr id="389" name="Rectángulo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4CB24" id="Rectángulo 389" o:spid="_x0000_s1026" style="position:absolute;margin-left:27.65pt;margin-top:-18.15pt;width:3.05pt;height:3pt;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1N1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Nb9T&#10;dYQCAAD+BAAADgAAAAAAAAAAAAAAAAAuAgAAZHJzL2Uyb0RvYy54bWxQSwECLQAUAAYACAAAACEA&#10;CJ6G/N0AAAAJAQAADwAAAAAAAAAAAAAAAADeBAAAZHJzL2Rvd25yZXYueG1sUEsFBgAAAAAEAAQA&#10;8wAAAOgFAAAAAA==&#10;" o:allowincell="f" stroked="f"/>
            </w:pict>
          </mc:Fallback>
        </mc:AlternateContent>
      </w:r>
    </w:p>
    <w:p w14:paraId="22A657CA" w14:textId="77777777" w:rsidR="006A1D9E" w:rsidRPr="007923C2" w:rsidRDefault="006A1D9E" w:rsidP="006A1D9E">
      <w:pPr>
        <w:widowControl w:val="0"/>
        <w:autoSpaceDE w:val="0"/>
        <w:autoSpaceDN w:val="0"/>
        <w:adjustRightInd w:val="0"/>
        <w:spacing w:after="0" w:line="240" w:lineRule="auto"/>
        <w:ind w:left="40"/>
        <w:rPr>
          <w:rFonts w:ascii="Arial" w:hAnsi="Arial" w:cs="Arial"/>
          <w:sz w:val="22"/>
          <w:szCs w:val="22"/>
        </w:rPr>
      </w:pPr>
      <w:r w:rsidRPr="007923C2">
        <w:rPr>
          <w:rFonts w:ascii="Arial" w:hAnsi="Arial" w:cs="Arial"/>
          <w:color w:val="000000"/>
          <w:sz w:val="22"/>
          <w:szCs w:val="22"/>
        </w:rPr>
        <w:t>e) Factibilidad tecnica de los proyectos:</w:t>
      </w:r>
    </w:p>
    <w:p w14:paraId="6282B81F" w14:textId="77777777" w:rsidR="006A1D9E" w:rsidRPr="007923C2" w:rsidRDefault="006A1D9E" w:rsidP="006A1D9E">
      <w:pPr>
        <w:widowControl w:val="0"/>
        <w:autoSpaceDE w:val="0"/>
        <w:autoSpaceDN w:val="0"/>
        <w:adjustRightInd w:val="0"/>
        <w:spacing w:after="0" w:line="206" w:lineRule="exact"/>
        <w:rPr>
          <w:rFonts w:ascii="Arial" w:hAnsi="Arial" w:cs="Arial"/>
          <w:sz w:val="22"/>
          <w:szCs w:val="22"/>
        </w:rPr>
      </w:pPr>
    </w:p>
    <w:p w14:paraId="4BDE7200" w14:textId="46F8DA1B" w:rsidR="006A1D9E" w:rsidRPr="007923C2" w:rsidRDefault="006A1D9E" w:rsidP="00614BDA">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Claridad de las acciones y metas propuestas (secuencia, duracion interrelacion).</w:t>
      </w:r>
      <w:r w:rsidR="001F23E0">
        <w:rPr>
          <w:rFonts w:ascii="Arial" w:hAnsi="Arial" w:cs="Arial"/>
          <w:noProof/>
          <w:sz w:val="22"/>
          <w:szCs w:val="22"/>
        </w:rPr>
        <mc:AlternateContent>
          <mc:Choice Requires="wps">
            <w:drawing>
              <wp:anchor distT="0" distB="0" distL="114300" distR="114300" simplePos="0" relativeHeight="251865600" behindDoc="1" locked="0" layoutInCell="0" allowOverlap="1" wp14:anchorId="3BE44DB3" wp14:editId="7FD5C523">
                <wp:simplePos x="0" y="0"/>
                <wp:positionH relativeFrom="column">
                  <wp:posOffset>351155</wp:posOffset>
                </wp:positionH>
                <wp:positionV relativeFrom="paragraph">
                  <wp:posOffset>-78740</wp:posOffset>
                </wp:positionV>
                <wp:extent cx="38735" cy="38100"/>
                <wp:effectExtent l="0" t="0" r="0" b="0"/>
                <wp:wrapNone/>
                <wp:docPr id="388" name="Rectángulo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9E5CB1" id="Rectángulo 388" o:spid="_x0000_s1026" style="position:absolute;margin-left:27.65pt;margin-top:-6.2pt;width:3.05pt;height:3pt;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M3b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abjN&#10;24QCAAD+BAAADgAAAAAAAAAAAAAAAAAuAgAAZHJzL2Uyb0RvYy54bWxQSwECLQAUAAYACAAAACEA&#10;QJxPHt0AAAAIAQAADwAAAAAAAAAAAAAAAADeBAAAZHJzL2Rvd25yZXYueG1sUEsFBgAAAAAEAAQA&#10;8wAAAOgFAAAAAA==&#10;" o:allowincell="f" stroked="f"/>
            </w:pict>
          </mc:Fallback>
        </mc:AlternateContent>
      </w:r>
    </w:p>
    <w:p w14:paraId="2FC843B1" w14:textId="77777777" w:rsidR="006A1D9E" w:rsidRPr="007923C2" w:rsidRDefault="006A1D9E" w:rsidP="006A1D9E">
      <w:pPr>
        <w:widowControl w:val="0"/>
        <w:autoSpaceDE w:val="0"/>
        <w:autoSpaceDN w:val="0"/>
        <w:adjustRightInd w:val="0"/>
        <w:spacing w:after="0" w:line="202" w:lineRule="exact"/>
        <w:rPr>
          <w:rFonts w:ascii="Arial" w:hAnsi="Arial" w:cs="Arial"/>
          <w:sz w:val="22"/>
          <w:szCs w:val="22"/>
        </w:rPr>
      </w:pPr>
    </w:p>
    <w:p w14:paraId="30D9A10A" w14:textId="77777777" w:rsidR="006A1D9E" w:rsidRPr="007923C2" w:rsidRDefault="006A1D9E" w:rsidP="006A1D9E">
      <w:pPr>
        <w:widowControl w:val="0"/>
        <w:autoSpaceDE w:val="0"/>
        <w:autoSpaceDN w:val="0"/>
        <w:adjustRightInd w:val="0"/>
        <w:spacing w:after="0" w:line="51" w:lineRule="exact"/>
        <w:rPr>
          <w:rFonts w:ascii="Arial" w:hAnsi="Arial" w:cs="Arial"/>
          <w:sz w:val="22"/>
          <w:szCs w:val="22"/>
        </w:rPr>
      </w:pPr>
    </w:p>
    <w:p w14:paraId="2803B7E7" w14:textId="77777777" w:rsidR="006A1D9E" w:rsidRPr="007923C2" w:rsidRDefault="006A1D9E" w:rsidP="006A1D9E">
      <w:pPr>
        <w:widowControl w:val="0"/>
        <w:overflowPunct w:val="0"/>
        <w:autoSpaceDE w:val="0"/>
        <w:autoSpaceDN w:val="0"/>
        <w:adjustRightInd w:val="0"/>
        <w:spacing w:after="0" w:line="227" w:lineRule="auto"/>
        <w:ind w:left="720"/>
        <w:rPr>
          <w:rFonts w:ascii="Arial" w:hAnsi="Arial" w:cs="Arial"/>
          <w:sz w:val="22"/>
          <w:szCs w:val="22"/>
        </w:rPr>
      </w:pPr>
      <w:r w:rsidRPr="007923C2">
        <w:rPr>
          <w:rFonts w:ascii="Arial" w:hAnsi="Arial" w:cs="Arial"/>
          <w:color w:val="000000"/>
          <w:sz w:val="22"/>
          <w:szCs w:val="22"/>
        </w:rPr>
        <w:t>Relacion entre las acciones y las metas propuestas, as</w:t>
      </w:r>
      <w:r w:rsidR="003816DA">
        <w:rPr>
          <w:rFonts w:ascii="Arial" w:hAnsi="Arial" w:cs="Arial"/>
          <w:color w:val="000000"/>
          <w:sz w:val="22"/>
          <w:szCs w:val="22"/>
        </w:rPr>
        <w:t>í</w:t>
      </w:r>
      <w:r w:rsidRPr="007923C2">
        <w:rPr>
          <w:rFonts w:ascii="Arial" w:hAnsi="Arial" w:cs="Arial"/>
          <w:color w:val="000000"/>
          <w:sz w:val="22"/>
          <w:szCs w:val="22"/>
        </w:rPr>
        <w:t xml:space="preserve"> como entre estas y el proposito fundamental del proyecto.</w:t>
      </w:r>
    </w:p>
    <w:p w14:paraId="31B2E665" w14:textId="1FB70109" w:rsidR="006A1D9E" w:rsidRPr="007923C2" w:rsidRDefault="001F23E0" w:rsidP="006A1D9E">
      <w:pPr>
        <w:widowControl w:val="0"/>
        <w:autoSpaceDE w:val="0"/>
        <w:autoSpaceDN w:val="0"/>
        <w:adjustRightInd w:val="0"/>
        <w:spacing w:after="0" w:line="123"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66624" behindDoc="1" locked="0" layoutInCell="0" allowOverlap="1" wp14:anchorId="4085935C" wp14:editId="6EED4683">
                <wp:simplePos x="0" y="0"/>
                <wp:positionH relativeFrom="column">
                  <wp:posOffset>338455</wp:posOffset>
                </wp:positionH>
                <wp:positionV relativeFrom="paragraph">
                  <wp:posOffset>-230505</wp:posOffset>
                </wp:positionV>
                <wp:extent cx="38735" cy="38100"/>
                <wp:effectExtent l="0" t="0" r="0" b="0"/>
                <wp:wrapNone/>
                <wp:docPr id="387" name="Rectángulo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932A75" id="Rectángulo 387" o:spid="_x0000_s1026" style="position:absolute;margin-left:26.65pt;margin-top:-18.15pt;width:3.05pt;height:3pt;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VJQ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WIlS&#10;UIQCAAD+BAAADgAAAAAAAAAAAAAAAAAuAgAAZHJzL2Uyb0RvYy54bWxQSwECLQAUAAYACAAAACEA&#10;mSE/zd0AAAAJAQAADwAAAAAAAAAAAAAAAADeBAAAZHJzL2Rvd25yZXYueG1sUEsFBgAAAAAEAAQA&#10;8wAAAOgFAAAAAA==&#10;" o:allowincell="f" stroked="f"/>
            </w:pict>
          </mc:Fallback>
        </mc:AlternateContent>
      </w:r>
    </w:p>
    <w:p w14:paraId="373D837D" w14:textId="77777777" w:rsidR="006A1D9E" w:rsidRPr="007923C2" w:rsidRDefault="006A1D9E" w:rsidP="006A1D9E">
      <w:pPr>
        <w:widowControl w:val="0"/>
        <w:overflowPunct w:val="0"/>
        <w:autoSpaceDE w:val="0"/>
        <w:autoSpaceDN w:val="0"/>
        <w:adjustRightInd w:val="0"/>
        <w:spacing w:after="0" w:line="227" w:lineRule="auto"/>
        <w:ind w:left="720"/>
        <w:rPr>
          <w:rFonts w:ascii="Arial" w:hAnsi="Arial" w:cs="Arial"/>
          <w:sz w:val="22"/>
          <w:szCs w:val="22"/>
        </w:rPr>
      </w:pPr>
      <w:r w:rsidRPr="007923C2">
        <w:rPr>
          <w:rFonts w:ascii="Arial" w:hAnsi="Arial" w:cs="Arial"/>
          <w:color w:val="000000"/>
          <w:sz w:val="22"/>
          <w:szCs w:val="22"/>
        </w:rPr>
        <w:t>Viabilidad de las acciones y las metas propuestas, en relacion al calendario y a los recursos disponibles y solicitados.</w:t>
      </w:r>
    </w:p>
    <w:p w14:paraId="4DEA213C" w14:textId="009DF071" w:rsidR="006A1D9E" w:rsidRPr="007923C2" w:rsidRDefault="001F23E0" w:rsidP="006A1D9E">
      <w:pPr>
        <w:widowControl w:val="0"/>
        <w:autoSpaceDE w:val="0"/>
        <w:autoSpaceDN w:val="0"/>
        <w:adjustRightInd w:val="0"/>
        <w:spacing w:after="0" w:line="89"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67648" behindDoc="1" locked="0" layoutInCell="0" allowOverlap="1" wp14:anchorId="5F730743" wp14:editId="5B1CF2DD">
                <wp:simplePos x="0" y="0"/>
                <wp:positionH relativeFrom="column">
                  <wp:posOffset>338455</wp:posOffset>
                </wp:positionH>
                <wp:positionV relativeFrom="paragraph">
                  <wp:posOffset>-230505</wp:posOffset>
                </wp:positionV>
                <wp:extent cx="38735" cy="38100"/>
                <wp:effectExtent l="0" t="0" r="0" b="0"/>
                <wp:wrapNone/>
                <wp:docPr id="386" name="Rectángulo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DD6BF" id="Rectángulo 386" o:spid="_x0000_s1026" style="position:absolute;margin-left:26.65pt;margin-top:-18.15pt;width:3.05pt;height:3pt;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BI7M&#10;/oQCAAD+BAAADgAAAAAAAAAAAAAAAAAuAgAAZHJzL2Uyb0RvYy54bWxQSwECLQAUAAYACAAAACEA&#10;mSE/zd0AAAAJAQAADwAAAAAAAAAAAAAAAADeBAAAZHJzL2Rvd25yZXYueG1sUEsFBgAAAAAEAAQA&#10;8wAAAOgFAAAAAA==&#10;" o:allowincell="f" stroked="f"/>
            </w:pict>
          </mc:Fallback>
        </mc:AlternateContent>
      </w:r>
    </w:p>
    <w:p w14:paraId="2A09D7EF" w14:textId="77777777" w:rsidR="006A1D9E" w:rsidRPr="007923C2" w:rsidRDefault="006A1D9E" w:rsidP="006A1D9E">
      <w:pPr>
        <w:widowControl w:val="0"/>
        <w:autoSpaceDE w:val="0"/>
        <w:autoSpaceDN w:val="0"/>
        <w:adjustRightInd w:val="0"/>
        <w:spacing w:after="0" w:line="239" w:lineRule="auto"/>
        <w:ind w:left="720"/>
        <w:rPr>
          <w:rFonts w:ascii="Arial" w:hAnsi="Arial" w:cs="Arial"/>
          <w:sz w:val="22"/>
          <w:szCs w:val="22"/>
        </w:rPr>
      </w:pPr>
      <w:r w:rsidRPr="007923C2">
        <w:rPr>
          <w:rFonts w:ascii="Arial" w:hAnsi="Arial" w:cs="Arial"/>
          <w:color w:val="000000"/>
          <w:sz w:val="22"/>
          <w:szCs w:val="22"/>
        </w:rPr>
        <w:t>Veracidad y precision del analisis de costos realizado.</w:t>
      </w:r>
    </w:p>
    <w:p w14:paraId="56ADBD32" w14:textId="6D650206" w:rsidR="006A1D9E" w:rsidRPr="007923C2" w:rsidRDefault="001F23E0" w:rsidP="006A1D9E">
      <w:pPr>
        <w:widowControl w:val="0"/>
        <w:autoSpaceDE w:val="0"/>
        <w:autoSpaceDN w:val="0"/>
        <w:adjustRightInd w:val="0"/>
        <w:spacing w:after="0" w:line="123"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68672" behindDoc="1" locked="0" layoutInCell="0" allowOverlap="1" wp14:anchorId="5AEA832F" wp14:editId="3A41123A">
                <wp:simplePos x="0" y="0"/>
                <wp:positionH relativeFrom="column">
                  <wp:posOffset>338455</wp:posOffset>
                </wp:positionH>
                <wp:positionV relativeFrom="paragraph">
                  <wp:posOffset>-78740</wp:posOffset>
                </wp:positionV>
                <wp:extent cx="38735" cy="38100"/>
                <wp:effectExtent l="0" t="0" r="0" b="0"/>
                <wp:wrapNone/>
                <wp:docPr id="384" name="Rectángulo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1B6F2" id="Rectángulo 384" o:spid="_x0000_s1026" style="position:absolute;margin-left:26.65pt;margin-top:-6.2pt;width:3.05pt;height:3pt;z-index:-251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oF4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" o:allowincell="f" stroked="f"/>
            </w:pict>
          </mc:Fallback>
        </mc:AlternateContent>
      </w:r>
    </w:p>
    <w:p w14:paraId="62400B0B" w14:textId="77777777" w:rsidR="006A1D9E" w:rsidRPr="007923C2" w:rsidRDefault="006A1D9E" w:rsidP="006A1D9E">
      <w:pPr>
        <w:widowControl w:val="0"/>
        <w:overflowPunct w:val="0"/>
        <w:autoSpaceDE w:val="0"/>
        <w:autoSpaceDN w:val="0"/>
        <w:adjustRightInd w:val="0"/>
        <w:spacing w:after="0" w:line="227" w:lineRule="auto"/>
        <w:ind w:left="720"/>
        <w:rPr>
          <w:rFonts w:ascii="Arial" w:hAnsi="Arial" w:cs="Arial"/>
          <w:sz w:val="22"/>
          <w:szCs w:val="22"/>
        </w:rPr>
      </w:pPr>
      <w:r w:rsidRPr="007923C2">
        <w:rPr>
          <w:rFonts w:ascii="Arial" w:hAnsi="Arial" w:cs="Arial"/>
          <w:color w:val="000000"/>
          <w:sz w:val="22"/>
          <w:szCs w:val="22"/>
        </w:rPr>
        <w:t>Relacion entre la prioridad asignada por la universidad al proyecto, y la prioridad identi cada en procesos previos de evaluacion (autoevaluacion, comites de pares, evaluacion externa, etc.).</w:t>
      </w:r>
    </w:p>
    <w:p w14:paraId="4DF483B4" w14:textId="4C2234B7" w:rsidR="006A1D9E" w:rsidRPr="007923C2" w:rsidRDefault="001F23E0" w:rsidP="006A1D9E">
      <w:pPr>
        <w:widowControl w:val="0"/>
        <w:autoSpaceDE w:val="0"/>
        <w:autoSpaceDN w:val="0"/>
        <w:adjustRightInd w:val="0"/>
        <w:spacing w:after="0" w:line="123"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69696" behindDoc="1" locked="0" layoutInCell="0" allowOverlap="1" wp14:anchorId="71B786DA" wp14:editId="72F8C172">
                <wp:simplePos x="0" y="0"/>
                <wp:positionH relativeFrom="column">
                  <wp:posOffset>338455</wp:posOffset>
                </wp:positionH>
                <wp:positionV relativeFrom="paragraph">
                  <wp:posOffset>-230505</wp:posOffset>
                </wp:positionV>
                <wp:extent cx="38735" cy="38100"/>
                <wp:effectExtent l="0" t="0" r="0" b="0"/>
                <wp:wrapNone/>
                <wp:docPr id="703" name="Rectángulo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69B861" id="Rectángulo 703" o:spid="_x0000_s1026" style="position:absolute;margin-left:26.65pt;margin-top:-18.15pt;width:3.05pt;height:3pt;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u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P0g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iP8&#10;boQCAAD+BAAADgAAAAAAAAAAAAAAAAAuAgAAZHJzL2Uyb0RvYy54bWxQSwECLQAUAAYACAAAACEA&#10;mSE/zd0AAAAJAQAADwAAAAAAAAAAAAAAAADeBAAAZHJzL2Rvd25yZXYueG1sUEsFBgAAAAAEAAQA&#10;8wAAAOgFAAAAAA==&#10;" o:allowincell="f" stroked="f"/>
            </w:pict>
          </mc:Fallback>
        </mc:AlternateContent>
      </w:r>
    </w:p>
    <w:p w14:paraId="386D8102" w14:textId="77777777" w:rsidR="006A1D9E" w:rsidRPr="007923C2" w:rsidRDefault="006A1D9E" w:rsidP="006A1D9E">
      <w:pPr>
        <w:widowControl w:val="0"/>
        <w:overflowPunct w:val="0"/>
        <w:autoSpaceDE w:val="0"/>
        <w:autoSpaceDN w:val="0"/>
        <w:adjustRightInd w:val="0"/>
        <w:spacing w:after="0" w:line="227" w:lineRule="auto"/>
        <w:ind w:left="720"/>
        <w:rPr>
          <w:rFonts w:ascii="Arial" w:hAnsi="Arial" w:cs="Arial"/>
          <w:sz w:val="22"/>
          <w:szCs w:val="22"/>
        </w:rPr>
      </w:pPr>
      <w:r w:rsidRPr="007923C2">
        <w:rPr>
          <w:rFonts w:ascii="Arial" w:hAnsi="Arial" w:cs="Arial"/>
          <w:color w:val="000000"/>
          <w:sz w:val="22"/>
          <w:szCs w:val="22"/>
        </w:rPr>
        <w:t>Grado de su encia de la infraestructura y capacidad organizativa requeridas para asegurar la ope-racion adecuada del proyecto.</w:t>
      </w:r>
    </w:p>
    <w:p w14:paraId="5BFB03CA" w14:textId="7D6719A1" w:rsidR="006A1D9E" w:rsidRPr="007923C2" w:rsidRDefault="001F23E0" w:rsidP="006A1D9E">
      <w:pPr>
        <w:widowControl w:val="0"/>
        <w:autoSpaceDE w:val="0"/>
        <w:autoSpaceDN w:val="0"/>
        <w:adjustRightInd w:val="0"/>
        <w:spacing w:after="0" w:line="89"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70720" behindDoc="1" locked="0" layoutInCell="0" allowOverlap="1" wp14:anchorId="28BD3ECD" wp14:editId="352C3E84">
                <wp:simplePos x="0" y="0"/>
                <wp:positionH relativeFrom="column">
                  <wp:posOffset>338455</wp:posOffset>
                </wp:positionH>
                <wp:positionV relativeFrom="paragraph">
                  <wp:posOffset>-230505</wp:posOffset>
                </wp:positionV>
                <wp:extent cx="38735" cy="38100"/>
                <wp:effectExtent l="0" t="0" r="0" b="0"/>
                <wp:wrapNone/>
                <wp:docPr id="702" name="Rectángulo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09CCA9" id="Rectángulo 702" o:spid="_x0000_s1026" style="position:absolute;margin-left:26.65pt;margin-top:-18.15pt;width:3.05pt;height:3pt;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LA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oiRi&#10;wIQCAAD+BAAADgAAAAAAAAAAAAAAAAAuAgAAZHJzL2Uyb0RvYy54bWxQSwECLQAUAAYACAAAACEA&#10;mSE/zd0AAAAJAQAADwAAAAAAAAAAAAAAAADeBAAAZHJzL2Rvd25yZXYueG1sUEsFBgAAAAAEAAQA&#10;8wAAAOgFAAAAAA==&#10;" o:allowincell="f" stroked="f"/>
            </w:pict>
          </mc:Fallback>
        </mc:AlternateContent>
      </w:r>
    </w:p>
    <w:p w14:paraId="47CD42F6" w14:textId="77777777" w:rsidR="006A1D9E" w:rsidRPr="007923C2" w:rsidRDefault="006A1D9E" w:rsidP="006A1D9E">
      <w:pPr>
        <w:widowControl w:val="0"/>
        <w:autoSpaceDE w:val="0"/>
        <w:autoSpaceDN w:val="0"/>
        <w:adjustRightInd w:val="0"/>
        <w:spacing w:after="0" w:line="239" w:lineRule="auto"/>
        <w:ind w:left="720"/>
        <w:rPr>
          <w:rFonts w:ascii="Arial" w:hAnsi="Arial" w:cs="Arial"/>
          <w:sz w:val="22"/>
          <w:szCs w:val="22"/>
        </w:rPr>
      </w:pPr>
      <w:r w:rsidRPr="007923C2">
        <w:rPr>
          <w:rFonts w:ascii="Arial" w:hAnsi="Arial" w:cs="Arial"/>
          <w:color w:val="000000"/>
          <w:sz w:val="22"/>
          <w:szCs w:val="22"/>
        </w:rPr>
        <w:t>Formacion y capacidad de los recursos humanos que intervienen en la operacion del proyecto.</w:t>
      </w:r>
    </w:p>
    <w:p w14:paraId="288EA465" w14:textId="3EA7015F" w:rsidR="006A1D9E" w:rsidRPr="007923C2" w:rsidRDefault="001F23E0" w:rsidP="006A1D9E">
      <w:pPr>
        <w:widowControl w:val="0"/>
        <w:autoSpaceDE w:val="0"/>
        <w:autoSpaceDN w:val="0"/>
        <w:adjustRightInd w:val="0"/>
        <w:spacing w:after="0" w:line="329"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71744" behindDoc="1" locked="0" layoutInCell="0" allowOverlap="1" wp14:anchorId="7F1EFDA2" wp14:editId="1113C631">
                <wp:simplePos x="0" y="0"/>
                <wp:positionH relativeFrom="column">
                  <wp:posOffset>338455</wp:posOffset>
                </wp:positionH>
                <wp:positionV relativeFrom="paragraph">
                  <wp:posOffset>-78740</wp:posOffset>
                </wp:positionV>
                <wp:extent cx="38735" cy="38100"/>
                <wp:effectExtent l="0" t="0" r="0" b="0"/>
                <wp:wrapNone/>
                <wp:docPr id="701" name="Rectángulo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7AFF6" id="Rectángulo 701" o:spid="_x0000_s1026" style="position:absolute;margin-left:26.65pt;margin-top:-6.2pt;width:3.05pt;height:3pt;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" o:allowincell="f" stroked="f"/>
            </w:pict>
          </mc:Fallback>
        </mc:AlternateContent>
      </w:r>
    </w:p>
    <w:p w14:paraId="0345860B" w14:textId="77777777" w:rsidR="006A1D9E" w:rsidRPr="007923C2" w:rsidRDefault="006A1D9E" w:rsidP="006A1D9E">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color w:val="000000"/>
          <w:sz w:val="22"/>
          <w:szCs w:val="22"/>
        </w:rPr>
        <w:t>Cada uno de los proyectos fue presentado por las IES publicas, en un formato especial, para ser considerado por la Subsecretar a de Educacion Superior e Investigacion Cient</w:t>
      </w:r>
      <w:r w:rsidR="003816DA">
        <w:rPr>
          <w:rFonts w:ascii="Arial" w:hAnsi="Arial" w:cs="Arial"/>
          <w:color w:val="000000"/>
          <w:sz w:val="22"/>
          <w:szCs w:val="22"/>
        </w:rPr>
        <w:t>ífi</w:t>
      </w:r>
      <w:r w:rsidRPr="007923C2">
        <w:rPr>
          <w:rFonts w:ascii="Arial" w:hAnsi="Arial" w:cs="Arial"/>
          <w:color w:val="000000"/>
          <w:sz w:val="22"/>
          <w:szCs w:val="22"/>
        </w:rPr>
        <w:t xml:space="preserve"> ca de la SEP. Un grupo externo de evaluadores realizo la tarea de an</w:t>
      </w:r>
      <w:r w:rsidR="003816DA">
        <w:rPr>
          <w:rFonts w:ascii="Arial" w:hAnsi="Arial" w:cs="Arial"/>
          <w:color w:val="000000"/>
          <w:sz w:val="22"/>
          <w:szCs w:val="22"/>
        </w:rPr>
        <w:t>á</w:t>
      </w:r>
      <w:r w:rsidRPr="007923C2">
        <w:rPr>
          <w:rFonts w:ascii="Arial" w:hAnsi="Arial" w:cs="Arial"/>
          <w:color w:val="000000"/>
          <w:sz w:val="22"/>
          <w:szCs w:val="22"/>
        </w:rPr>
        <w:t>lisis y evaluaci</w:t>
      </w:r>
      <w:r w:rsidR="003816DA">
        <w:rPr>
          <w:rFonts w:ascii="Arial" w:hAnsi="Arial" w:cs="Arial"/>
          <w:color w:val="000000"/>
          <w:sz w:val="22"/>
          <w:szCs w:val="22"/>
        </w:rPr>
        <w:t>ó</w:t>
      </w:r>
      <w:r w:rsidRPr="007923C2">
        <w:rPr>
          <w:rFonts w:ascii="Arial" w:hAnsi="Arial" w:cs="Arial"/>
          <w:color w:val="000000"/>
          <w:sz w:val="22"/>
          <w:szCs w:val="22"/>
        </w:rPr>
        <w:t>n de los proyectos, siguiendo los criterios e indicadores se</w:t>
      </w:r>
      <w:r w:rsidR="003816DA">
        <w:rPr>
          <w:rFonts w:ascii="Arial" w:hAnsi="Arial" w:cs="Arial"/>
          <w:color w:val="000000"/>
          <w:sz w:val="22"/>
          <w:szCs w:val="22"/>
        </w:rPr>
        <w:t>ñ</w:t>
      </w:r>
      <w:r w:rsidRPr="007923C2">
        <w:rPr>
          <w:rFonts w:ascii="Arial" w:hAnsi="Arial" w:cs="Arial"/>
          <w:color w:val="000000"/>
          <w:sz w:val="22"/>
          <w:szCs w:val="22"/>
        </w:rPr>
        <w:t>alados anteriormente.</w:t>
      </w:r>
    </w:p>
    <w:p w14:paraId="1D341530"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721D86F6" w14:textId="77777777"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Como puede observarse, esta tarea, si bien correspondi</w:t>
      </w:r>
      <w:r w:rsidR="003816DA">
        <w:rPr>
          <w:rFonts w:ascii="Arial" w:hAnsi="Arial" w:cs="Arial"/>
          <w:color w:val="000000"/>
          <w:sz w:val="22"/>
          <w:szCs w:val="22"/>
        </w:rPr>
        <w:t xml:space="preserve">a </w:t>
      </w:r>
      <w:r w:rsidRPr="007923C2">
        <w:rPr>
          <w:rFonts w:ascii="Arial" w:hAnsi="Arial" w:cs="Arial"/>
          <w:color w:val="000000"/>
          <w:sz w:val="22"/>
          <w:szCs w:val="22"/>
        </w:rPr>
        <w:t xml:space="preserve"> a una evaluacion de proyectos espec</w:t>
      </w:r>
      <w:r w:rsidR="003816DA">
        <w:rPr>
          <w:rFonts w:ascii="Arial" w:hAnsi="Arial" w:cs="Arial"/>
          <w:color w:val="000000"/>
          <w:sz w:val="22"/>
          <w:szCs w:val="22"/>
        </w:rPr>
        <w:t>ífi</w:t>
      </w:r>
      <w:r w:rsidRPr="007923C2">
        <w:rPr>
          <w:rFonts w:ascii="Arial" w:hAnsi="Arial" w:cs="Arial"/>
          <w:color w:val="000000"/>
          <w:sz w:val="22"/>
          <w:szCs w:val="22"/>
        </w:rPr>
        <w:t xml:space="preserve">cos con el </w:t>
      </w:r>
      <w:r w:rsidR="003816DA">
        <w:rPr>
          <w:rFonts w:ascii="Arial" w:hAnsi="Arial" w:cs="Arial"/>
          <w:color w:val="000000"/>
          <w:sz w:val="22"/>
          <w:szCs w:val="22"/>
        </w:rPr>
        <w:t>fi</w:t>
      </w:r>
      <w:r w:rsidRPr="007923C2">
        <w:rPr>
          <w:rFonts w:ascii="Arial" w:hAnsi="Arial" w:cs="Arial"/>
          <w:color w:val="000000"/>
          <w:sz w:val="22"/>
          <w:szCs w:val="22"/>
        </w:rPr>
        <w:t xml:space="preserve">n de otorgar </w:t>
      </w:r>
      <w:r w:rsidR="003816DA">
        <w:rPr>
          <w:rFonts w:ascii="Arial" w:hAnsi="Arial" w:cs="Arial"/>
          <w:color w:val="000000"/>
          <w:sz w:val="22"/>
          <w:szCs w:val="22"/>
        </w:rPr>
        <w:t>fi</w:t>
      </w:r>
      <w:r w:rsidRPr="007923C2">
        <w:rPr>
          <w:rFonts w:ascii="Arial" w:hAnsi="Arial" w:cs="Arial"/>
          <w:color w:val="000000"/>
          <w:sz w:val="22"/>
          <w:szCs w:val="22"/>
        </w:rPr>
        <w:t>nanciamiento, de manera indirecta constituye un procedimiento de acreditaci</w:t>
      </w:r>
      <w:r w:rsidR="003816DA">
        <w:rPr>
          <w:rFonts w:ascii="Arial" w:hAnsi="Arial" w:cs="Arial"/>
          <w:color w:val="000000"/>
          <w:sz w:val="22"/>
          <w:szCs w:val="22"/>
        </w:rPr>
        <w:t>ó</w:t>
      </w:r>
      <w:r w:rsidRPr="007923C2">
        <w:rPr>
          <w:rFonts w:ascii="Arial" w:hAnsi="Arial" w:cs="Arial"/>
          <w:color w:val="000000"/>
          <w:sz w:val="22"/>
          <w:szCs w:val="22"/>
        </w:rPr>
        <w:t>n.</w:t>
      </w:r>
    </w:p>
    <w:p w14:paraId="71CF88DF" w14:textId="77777777" w:rsidR="006A1D9E" w:rsidRPr="007923C2" w:rsidRDefault="006A1D9E" w:rsidP="006A1D9E">
      <w:pPr>
        <w:widowControl w:val="0"/>
        <w:autoSpaceDE w:val="0"/>
        <w:autoSpaceDN w:val="0"/>
        <w:adjustRightInd w:val="0"/>
        <w:spacing w:after="0" w:line="334" w:lineRule="exact"/>
        <w:rPr>
          <w:rFonts w:ascii="Arial" w:hAnsi="Arial" w:cs="Arial"/>
          <w:sz w:val="22"/>
          <w:szCs w:val="22"/>
        </w:rPr>
      </w:pPr>
    </w:p>
    <w:p w14:paraId="41C2B671"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5. EVALUACION INSTITUCIONAL Y DE PROGRAMAS ACADEMICOS</w:t>
      </w:r>
    </w:p>
    <w:p w14:paraId="65DDE863" w14:textId="77777777" w:rsidR="006A1D9E" w:rsidRPr="007923C2" w:rsidRDefault="006A1D9E" w:rsidP="006A1D9E">
      <w:pPr>
        <w:widowControl w:val="0"/>
        <w:autoSpaceDE w:val="0"/>
        <w:autoSpaceDN w:val="0"/>
        <w:adjustRightInd w:val="0"/>
        <w:spacing w:after="0" w:line="369" w:lineRule="exact"/>
        <w:rPr>
          <w:rFonts w:ascii="Arial" w:hAnsi="Arial" w:cs="Arial"/>
          <w:sz w:val="22"/>
          <w:szCs w:val="22"/>
        </w:rPr>
      </w:pPr>
    </w:p>
    <w:p w14:paraId="0D2907EB" w14:textId="77777777" w:rsidR="006A1D9E" w:rsidRPr="007923C2" w:rsidRDefault="006A1D9E" w:rsidP="006A1D9E">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Dentro de la pol tica de modernizacion de la educacion, el Estado promovi</w:t>
      </w:r>
      <w:r w:rsidR="006D675A">
        <w:rPr>
          <w:rFonts w:ascii="Arial" w:hAnsi="Arial" w:cs="Arial"/>
          <w:color w:val="000000"/>
          <w:sz w:val="22"/>
          <w:szCs w:val="22"/>
        </w:rPr>
        <w:t>ó</w:t>
      </w:r>
      <w:r w:rsidRPr="007923C2">
        <w:rPr>
          <w:rFonts w:ascii="Arial" w:hAnsi="Arial" w:cs="Arial"/>
          <w:color w:val="000000"/>
          <w:sz w:val="22"/>
          <w:szCs w:val="22"/>
        </w:rPr>
        <w:t xml:space="preserve"> un proceso de evaluacion de las IES p</w:t>
      </w:r>
      <w:r w:rsidR="006D675A">
        <w:rPr>
          <w:rFonts w:ascii="Arial" w:hAnsi="Arial" w:cs="Arial"/>
          <w:color w:val="000000"/>
          <w:sz w:val="22"/>
          <w:szCs w:val="22"/>
        </w:rPr>
        <w:t>ú</w:t>
      </w:r>
      <w:r w:rsidRPr="007923C2">
        <w:rPr>
          <w:rFonts w:ascii="Arial" w:hAnsi="Arial" w:cs="Arial"/>
          <w:color w:val="000000"/>
          <w:sz w:val="22"/>
          <w:szCs w:val="22"/>
        </w:rPr>
        <w:t>blicas a traves de la constitucion de la Comision Nacional para la Evaluacion de la Educacion Superior CONAEVA y su grupo t</w:t>
      </w:r>
      <w:r w:rsidR="006D675A">
        <w:rPr>
          <w:rFonts w:ascii="Arial" w:hAnsi="Arial" w:cs="Arial"/>
          <w:color w:val="000000"/>
          <w:sz w:val="22"/>
          <w:szCs w:val="22"/>
        </w:rPr>
        <w:t>é</w:t>
      </w:r>
      <w:r w:rsidRPr="007923C2">
        <w:rPr>
          <w:rFonts w:ascii="Arial" w:hAnsi="Arial" w:cs="Arial"/>
          <w:color w:val="000000"/>
          <w:sz w:val="22"/>
          <w:szCs w:val="22"/>
        </w:rPr>
        <w:t>cnico operativo. A continuacion se describe esta experiencia.</w:t>
      </w:r>
    </w:p>
    <w:p w14:paraId="7A216FB3" w14:textId="77777777" w:rsidR="006A1D9E" w:rsidRPr="007923C2" w:rsidRDefault="006A1D9E" w:rsidP="006A1D9E">
      <w:pPr>
        <w:widowControl w:val="0"/>
        <w:autoSpaceDE w:val="0"/>
        <w:autoSpaceDN w:val="0"/>
        <w:adjustRightInd w:val="0"/>
        <w:spacing w:after="0" w:line="336" w:lineRule="exact"/>
        <w:rPr>
          <w:rFonts w:ascii="Arial" w:hAnsi="Arial" w:cs="Arial"/>
          <w:sz w:val="22"/>
          <w:szCs w:val="22"/>
        </w:rPr>
      </w:pPr>
    </w:p>
    <w:p w14:paraId="6FC7221B"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5.1. EVALUACION INSTITUCIONAL</w:t>
      </w:r>
    </w:p>
    <w:p w14:paraId="45745E38" w14:textId="77777777" w:rsidR="006A1D9E" w:rsidRPr="007923C2" w:rsidRDefault="006A1D9E" w:rsidP="006A1D9E">
      <w:pPr>
        <w:widowControl w:val="0"/>
        <w:autoSpaceDE w:val="0"/>
        <w:autoSpaceDN w:val="0"/>
        <w:adjustRightInd w:val="0"/>
        <w:spacing w:after="0" w:line="369" w:lineRule="exact"/>
        <w:rPr>
          <w:rFonts w:ascii="Arial" w:hAnsi="Arial" w:cs="Arial"/>
          <w:sz w:val="22"/>
          <w:szCs w:val="22"/>
        </w:rPr>
      </w:pPr>
    </w:p>
    <w:p w14:paraId="1C4F604A" w14:textId="77777777" w:rsidR="006A1D9E" w:rsidRPr="007923C2" w:rsidRDefault="006A1D9E" w:rsidP="006A1D9E">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color w:val="000000"/>
          <w:sz w:val="22"/>
          <w:szCs w:val="22"/>
        </w:rPr>
        <w:t>A partir de 1989, la CONAEVA inicio acciones para promover un proceso de evaluaci</w:t>
      </w:r>
      <w:r w:rsidR="006D675A">
        <w:rPr>
          <w:rFonts w:ascii="Arial" w:hAnsi="Arial" w:cs="Arial"/>
          <w:color w:val="000000"/>
          <w:sz w:val="22"/>
          <w:szCs w:val="22"/>
        </w:rPr>
        <w:t>ó</w:t>
      </w:r>
      <w:r w:rsidRPr="007923C2">
        <w:rPr>
          <w:rFonts w:ascii="Arial" w:hAnsi="Arial" w:cs="Arial"/>
          <w:color w:val="000000"/>
          <w:sz w:val="22"/>
          <w:szCs w:val="22"/>
        </w:rPr>
        <w:t>n institucional, a realizarse periodicamente en las ES p</w:t>
      </w:r>
      <w:r w:rsidR="006D675A">
        <w:rPr>
          <w:rFonts w:ascii="Arial" w:hAnsi="Arial" w:cs="Arial"/>
          <w:color w:val="000000"/>
          <w:sz w:val="22"/>
          <w:szCs w:val="22"/>
        </w:rPr>
        <w:t>ú</w:t>
      </w:r>
      <w:r w:rsidRPr="007923C2">
        <w:rPr>
          <w:rFonts w:ascii="Arial" w:hAnsi="Arial" w:cs="Arial"/>
          <w:color w:val="000000"/>
          <w:sz w:val="22"/>
          <w:szCs w:val="22"/>
        </w:rPr>
        <w:t>blicas. Se elabor</w:t>
      </w:r>
      <w:r w:rsidR="006D675A">
        <w:rPr>
          <w:rFonts w:ascii="Arial" w:hAnsi="Arial" w:cs="Arial"/>
          <w:color w:val="000000"/>
          <w:sz w:val="22"/>
          <w:szCs w:val="22"/>
        </w:rPr>
        <w:t>ó</w:t>
      </w:r>
      <w:r w:rsidRPr="007923C2">
        <w:rPr>
          <w:rFonts w:ascii="Arial" w:hAnsi="Arial" w:cs="Arial"/>
          <w:color w:val="000000"/>
          <w:sz w:val="22"/>
          <w:szCs w:val="22"/>
        </w:rPr>
        <w:t xml:space="preserve"> una serie de propuestas metodol</w:t>
      </w:r>
      <w:r w:rsidR="006D675A">
        <w:rPr>
          <w:rFonts w:ascii="Arial" w:hAnsi="Arial" w:cs="Arial"/>
          <w:color w:val="000000"/>
          <w:sz w:val="22"/>
          <w:szCs w:val="22"/>
        </w:rPr>
        <w:t>ó</w:t>
      </w:r>
      <w:r w:rsidRPr="007923C2">
        <w:rPr>
          <w:rFonts w:ascii="Arial" w:hAnsi="Arial" w:cs="Arial"/>
          <w:color w:val="000000"/>
          <w:sz w:val="22"/>
          <w:szCs w:val="22"/>
        </w:rPr>
        <w:t>gicas, resultantes de las discusiones y de los acuerdos establecidos entre representantes de las IES, de la SEP y de la ANUIES. Los detalles de las diferentes propuestas metodologicas pueden ser consultados en los documentos elaborados para realizar la evaluacion institucional, en los a</w:t>
      </w:r>
      <w:r w:rsidR="006D675A">
        <w:rPr>
          <w:rFonts w:ascii="Arial" w:hAnsi="Arial" w:cs="Arial"/>
          <w:color w:val="000000"/>
          <w:sz w:val="22"/>
          <w:szCs w:val="22"/>
        </w:rPr>
        <w:t>ñ</w:t>
      </w:r>
      <w:r w:rsidRPr="007923C2">
        <w:rPr>
          <w:rFonts w:ascii="Arial" w:hAnsi="Arial" w:cs="Arial"/>
          <w:color w:val="000000"/>
          <w:sz w:val="22"/>
          <w:szCs w:val="22"/>
        </w:rPr>
        <w:t>os de 1990,1991 y 1992. Los criterios fundamentales para desarrollar las tareas de evaluacion se citan a continuaci</w:t>
      </w:r>
      <w:r w:rsidR="006D675A">
        <w:rPr>
          <w:rFonts w:ascii="Arial" w:hAnsi="Arial" w:cs="Arial"/>
          <w:color w:val="000000"/>
          <w:sz w:val="22"/>
          <w:szCs w:val="22"/>
        </w:rPr>
        <w:t>ó</w:t>
      </w:r>
      <w:r w:rsidRPr="007923C2">
        <w:rPr>
          <w:rFonts w:ascii="Arial" w:hAnsi="Arial" w:cs="Arial"/>
          <w:color w:val="000000"/>
          <w:sz w:val="22"/>
          <w:szCs w:val="22"/>
        </w:rPr>
        <w:t>n:</w:t>
      </w:r>
    </w:p>
    <w:p w14:paraId="2C2DB779" w14:textId="77777777" w:rsidR="006A1D9E" w:rsidRPr="007923C2" w:rsidRDefault="006A1D9E" w:rsidP="006A1D9E">
      <w:pPr>
        <w:widowControl w:val="0"/>
        <w:autoSpaceDE w:val="0"/>
        <w:autoSpaceDN w:val="0"/>
        <w:adjustRightInd w:val="0"/>
        <w:spacing w:after="0" w:line="295" w:lineRule="exact"/>
        <w:rPr>
          <w:rFonts w:ascii="Arial" w:hAnsi="Arial" w:cs="Arial"/>
          <w:sz w:val="22"/>
          <w:szCs w:val="22"/>
        </w:rPr>
      </w:pPr>
    </w:p>
    <w:p w14:paraId="70E46676" w14:textId="77777777" w:rsidR="006A1D9E" w:rsidRPr="007923C2" w:rsidRDefault="006A1D9E" w:rsidP="00CC3D7E">
      <w:pPr>
        <w:widowControl w:val="0"/>
        <w:numPr>
          <w:ilvl w:val="0"/>
          <w:numId w:val="202"/>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Docencia en licenciatura y posgrado </w:t>
      </w:r>
    </w:p>
    <w:p w14:paraId="053B9DFA" w14:textId="77777777" w:rsidR="006A1D9E" w:rsidRPr="007923C2" w:rsidRDefault="006A1D9E" w:rsidP="006A1D9E">
      <w:pPr>
        <w:widowControl w:val="0"/>
        <w:autoSpaceDE w:val="0"/>
        <w:autoSpaceDN w:val="0"/>
        <w:adjustRightInd w:val="0"/>
        <w:spacing w:after="0" w:line="209" w:lineRule="exact"/>
        <w:rPr>
          <w:rFonts w:ascii="Arial" w:hAnsi="Arial" w:cs="Arial"/>
          <w:color w:val="000000"/>
          <w:sz w:val="22"/>
          <w:szCs w:val="22"/>
        </w:rPr>
      </w:pPr>
    </w:p>
    <w:p w14:paraId="5B2842E1" w14:textId="77777777" w:rsidR="006A1D9E" w:rsidRPr="007923C2" w:rsidRDefault="006A1D9E" w:rsidP="00CC3D7E">
      <w:pPr>
        <w:widowControl w:val="0"/>
        <w:numPr>
          <w:ilvl w:val="1"/>
          <w:numId w:val="202"/>
        </w:numPr>
        <w:tabs>
          <w:tab w:val="clear" w:pos="1440"/>
          <w:tab w:val="num" w:pos="700"/>
        </w:tabs>
        <w:overflowPunct w:val="0"/>
        <w:autoSpaceDE w:val="0"/>
        <w:autoSpaceDN w:val="0"/>
        <w:adjustRightInd w:val="0"/>
        <w:spacing w:after="0" w:line="240"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Oferta educativa </w:t>
      </w:r>
    </w:p>
    <w:p w14:paraId="329AA162" w14:textId="77777777" w:rsidR="006A1D9E" w:rsidRPr="007923C2" w:rsidRDefault="006A1D9E" w:rsidP="006A1D9E">
      <w:pPr>
        <w:widowControl w:val="0"/>
        <w:autoSpaceDE w:val="0"/>
        <w:autoSpaceDN w:val="0"/>
        <w:adjustRightInd w:val="0"/>
        <w:spacing w:after="0" w:line="88" w:lineRule="exact"/>
        <w:rPr>
          <w:rFonts w:ascii="Arial" w:hAnsi="Arial" w:cs="Arial"/>
          <w:color w:val="000000"/>
          <w:sz w:val="22"/>
          <w:szCs w:val="22"/>
        </w:rPr>
      </w:pPr>
    </w:p>
    <w:p w14:paraId="712DF8CD" w14:textId="77777777" w:rsidR="006A1D9E" w:rsidRPr="007923C2" w:rsidRDefault="006A1D9E" w:rsidP="00CC3D7E">
      <w:pPr>
        <w:widowControl w:val="0"/>
        <w:numPr>
          <w:ilvl w:val="1"/>
          <w:numId w:val="202"/>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Planes de estudio </w:t>
      </w:r>
    </w:p>
    <w:p w14:paraId="0BAEC643"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4AF8C07F" w14:textId="77777777" w:rsidR="006A1D9E" w:rsidRPr="007923C2" w:rsidRDefault="006A1D9E" w:rsidP="00CC3D7E">
      <w:pPr>
        <w:widowControl w:val="0"/>
        <w:numPr>
          <w:ilvl w:val="1"/>
          <w:numId w:val="202"/>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Estudiantes </w:t>
      </w:r>
    </w:p>
    <w:p w14:paraId="43FD9EE7"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73C5EACB" w14:textId="77777777" w:rsidR="006A1D9E" w:rsidRPr="007923C2" w:rsidRDefault="006A1D9E" w:rsidP="00CC3D7E">
      <w:pPr>
        <w:widowControl w:val="0"/>
        <w:numPr>
          <w:ilvl w:val="1"/>
          <w:numId w:val="202"/>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Personal academico </w:t>
      </w:r>
    </w:p>
    <w:p w14:paraId="0ACD56A6"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0281DD2C" w14:textId="77777777" w:rsidR="006A1D9E" w:rsidRPr="007923C2" w:rsidRDefault="006A1D9E" w:rsidP="00CC3D7E">
      <w:pPr>
        <w:widowControl w:val="0"/>
        <w:numPr>
          <w:ilvl w:val="1"/>
          <w:numId w:val="202"/>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Procesos de ense</w:t>
      </w:r>
      <w:r w:rsidR="006D675A">
        <w:rPr>
          <w:rFonts w:ascii="Arial" w:hAnsi="Arial" w:cs="Arial"/>
          <w:color w:val="000000"/>
          <w:sz w:val="22"/>
          <w:szCs w:val="22"/>
        </w:rPr>
        <w:t>ñ</w:t>
      </w:r>
      <w:r w:rsidRPr="007923C2">
        <w:rPr>
          <w:rFonts w:ascii="Arial" w:hAnsi="Arial" w:cs="Arial"/>
          <w:color w:val="000000"/>
          <w:sz w:val="22"/>
          <w:szCs w:val="22"/>
        </w:rPr>
        <w:t xml:space="preserve">anza-aprendizaje </w:t>
      </w:r>
    </w:p>
    <w:p w14:paraId="4B0EA3AC" w14:textId="77777777" w:rsidR="006A1D9E" w:rsidRPr="007923C2" w:rsidRDefault="006A1D9E" w:rsidP="006A1D9E">
      <w:pPr>
        <w:widowControl w:val="0"/>
        <w:autoSpaceDE w:val="0"/>
        <w:autoSpaceDN w:val="0"/>
        <w:adjustRightInd w:val="0"/>
        <w:spacing w:after="0" w:line="209" w:lineRule="exact"/>
        <w:rPr>
          <w:rFonts w:ascii="Arial" w:hAnsi="Arial" w:cs="Arial"/>
          <w:color w:val="000000"/>
          <w:sz w:val="22"/>
          <w:szCs w:val="22"/>
        </w:rPr>
      </w:pPr>
    </w:p>
    <w:p w14:paraId="0BA9CA4B" w14:textId="77777777" w:rsidR="006A1D9E" w:rsidRPr="007923C2" w:rsidRDefault="006A1D9E" w:rsidP="00CC3D7E">
      <w:pPr>
        <w:widowControl w:val="0"/>
        <w:numPr>
          <w:ilvl w:val="0"/>
          <w:numId w:val="202"/>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Investigacion </w:t>
      </w:r>
    </w:p>
    <w:p w14:paraId="0BC24A55" w14:textId="77777777" w:rsidR="006A1D9E" w:rsidRPr="007923C2" w:rsidRDefault="006A1D9E" w:rsidP="006A1D9E">
      <w:pPr>
        <w:widowControl w:val="0"/>
        <w:autoSpaceDE w:val="0"/>
        <w:autoSpaceDN w:val="0"/>
        <w:adjustRightInd w:val="0"/>
        <w:spacing w:after="0" w:line="209" w:lineRule="exact"/>
        <w:rPr>
          <w:rFonts w:ascii="Arial" w:hAnsi="Arial" w:cs="Arial"/>
          <w:color w:val="000000"/>
          <w:sz w:val="22"/>
          <w:szCs w:val="22"/>
        </w:rPr>
      </w:pPr>
    </w:p>
    <w:p w14:paraId="37AA635D" w14:textId="77777777" w:rsidR="006A1D9E" w:rsidRPr="007923C2" w:rsidRDefault="006A1D9E" w:rsidP="00CC3D7E">
      <w:pPr>
        <w:widowControl w:val="0"/>
        <w:numPr>
          <w:ilvl w:val="1"/>
          <w:numId w:val="203"/>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lineas de investigaci</w:t>
      </w:r>
      <w:r w:rsidR="006D675A">
        <w:rPr>
          <w:rFonts w:ascii="Arial" w:hAnsi="Arial" w:cs="Arial"/>
          <w:color w:val="000000"/>
          <w:sz w:val="22"/>
          <w:szCs w:val="22"/>
        </w:rPr>
        <w:t>ó</w:t>
      </w:r>
      <w:r w:rsidRPr="007923C2">
        <w:rPr>
          <w:rFonts w:ascii="Arial" w:hAnsi="Arial" w:cs="Arial"/>
          <w:color w:val="000000"/>
          <w:sz w:val="22"/>
          <w:szCs w:val="22"/>
        </w:rPr>
        <w:t xml:space="preserve">n </w:t>
      </w:r>
    </w:p>
    <w:p w14:paraId="1EB2C160"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4AB14A81" w14:textId="77777777" w:rsidR="006A1D9E" w:rsidRPr="007923C2" w:rsidRDefault="006A1D9E" w:rsidP="00CC3D7E">
      <w:pPr>
        <w:widowControl w:val="0"/>
        <w:numPr>
          <w:ilvl w:val="1"/>
          <w:numId w:val="203"/>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Proyectos de investigacion </w:t>
      </w:r>
    </w:p>
    <w:p w14:paraId="0E840D69"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7B0320C0" w14:textId="77777777" w:rsidR="006A1D9E" w:rsidRPr="007923C2" w:rsidRDefault="006A1D9E" w:rsidP="00CC3D7E">
      <w:pPr>
        <w:widowControl w:val="0"/>
        <w:numPr>
          <w:ilvl w:val="1"/>
          <w:numId w:val="203"/>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Planta de investigadores </w:t>
      </w:r>
    </w:p>
    <w:p w14:paraId="420C5B03" w14:textId="77777777" w:rsidR="006A1D9E" w:rsidRPr="007923C2" w:rsidRDefault="006A1D9E" w:rsidP="006A1D9E">
      <w:pPr>
        <w:widowControl w:val="0"/>
        <w:autoSpaceDE w:val="0"/>
        <w:autoSpaceDN w:val="0"/>
        <w:adjustRightInd w:val="0"/>
        <w:spacing w:after="0" w:line="17" w:lineRule="exact"/>
        <w:rPr>
          <w:rFonts w:ascii="Arial" w:hAnsi="Arial" w:cs="Arial"/>
          <w:sz w:val="22"/>
          <w:szCs w:val="22"/>
        </w:rPr>
      </w:pPr>
    </w:p>
    <w:p w14:paraId="6F0C6644" w14:textId="77777777" w:rsidR="006A1D9E" w:rsidRPr="007923C2" w:rsidRDefault="006A1D9E" w:rsidP="00CC3D7E">
      <w:pPr>
        <w:widowControl w:val="0"/>
        <w:numPr>
          <w:ilvl w:val="1"/>
          <w:numId w:val="204"/>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Resultados de la investigaci</w:t>
      </w:r>
      <w:r w:rsidR="006D675A">
        <w:rPr>
          <w:rFonts w:ascii="Arial" w:hAnsi="Arial" w:cs="Arial"/>
          <w:color w:val="000000"/>
          <w:sz w:val="22"/>
          <w:szCs w:val="22"/>
        </w:rPr>
        <w:t>ó</w:t>
      </w:r>
      <w:r w:rsidRPr="007923C2">
        <w:rPr>
          <w:rFonts w:ascii="Arial" w:hAnsi="Arial" w:cs="Arial"/>
          <w:color w:val="000000"/>
          <w:sz w:val="22"/>
          <w:szCs w:val="22"/>
        </w:rPr>
        <w:t xml:space="preserve">n </w:t>
      </w:r>
    </w:p>
    <w:p w14:paraId="49BC3949"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54EE85A7" w14:textId="77777777" w:rsidR="006A1D9E" w:rsidRPr="007923C2" w:rsidRDefault="006A1D9E" w:rsidP="00CC3D7E">
      <w:pPr>
        <w:widowControl w:val="0"/>
        <w:numPr>
          <w:ilvl w:val="1"/>
          <w:numId w:val="204"/>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Vinculacion docencia-investigaci</w:t>
      </w:r>
      <w:r w:rsidR="006D675A">
        <w:rPr>
          <w:rFonts w:ascii="Arial" w:hAnsi="Arial" w:cs="Arial"/>
          <w:color w:val="000000"/>
          <w:sz w:val="22"/>
          <w:szCs w:val="22"/>
        </w:rPr>
        <w:t>ó</w:t>
      </w:r>
      <w:r w:rsidRPr="007923C2">
        <w:rPr>
          <w:rFonts w:ascii="Arial" w:hAnsi="Arial" w:cs="Arial"/>
          <w:color w:val="000000"/>
          <w:sz w:val="22"/>
          <w:szCs w:val="22"/>
        </w:rPr>
        <w:t xml:space="preserve">n </w:t>
      </w:r>
    </w:p>
    <w:p w14:paraId="5D8A333B"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19DC36ED" w14:textId="77777777" w:rsidR="006A1D9E" w:rsidRPr="007923C2" w:rsidRDefault="006A1D9E" w:rsidP="00CC3D7E">
      <w:pPr>
        <w:widowControl w:val="0"/>
        <w:numPr>
          <w:ilvl w:val="0"/>
          <w:numId w:val="205"/>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Difusion y extension </w:t>
      </w:r>
    </w:p>
    <w:p w14:paraId="3033E96E"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528EF7CD" w14:textId="77777777" w:rsidR="006A1D9E" w:rsidRPr="007923C2" w:rsidRDefault="006A1D9E" w:rsidP="00CC3D7E">
      <w:pPr>
        <w:widowControl w:val="0"/>
        <w:numPr>
          <w:ilvl w:val="1"/>
          <w:numId w:val="20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Normatividad de la difusion y extensi</w:t>
      </w:r>
      <w:r w:rsidR="006D675A">
        <w:rPr>
          <w:rFonts w:ascii="Arial" w:hAnsi="Arial" w:cs="Arial"/>
          <w:color w:val="000000"/>
          <w:sz w:val="22"/>
          <w:szCs w:val="22"/>
        </w:rPr>
        <w:t>ó</w:t>
      </w:r>
      <w:r w:rsidRPr="007923C2">
        <w:rPr>
          <w:rFonts w:ascii="Arial" w:hAnsi="Arial" w:cs="Arial"/>
          <w:color w:val="000000"/>
          <w:sz w:val="22"/>
          <w:szCs w:val="22"/>
        </w:rPr>
        <w:t xml:space="preserve">n </w:t>
      </w:r>
    </w:p>
    <w:p w14:paraId="51C56151"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1C334535" w14:textId="77777777" w:rsidR="006A1D9E" w:rsidRPr="007923C2" w:rsidRDefault="006A1D9E" w:rsidP="00CC3D7E">
      <w:pPr>
        <w:widowControl w:val="0"/>
        <w:numPr>
          <w:ilvl w:val="1"/>
          <w:numId w:val="20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Oferta en difusion y extensi</w:t>
      </w:r>
      <w:r w:rsidR="006D675A">
        <w:rPr>
          <w:rFonts w:ascii="Arial" w:hAnsi="Arial" w:cs="Arial"/>
          <w:color w:val="000000"/>
          <w:sz w:val="22"/>
          <w:szCs w:val="22"/>
        </w:rPr>
        <w:t>ó</w:t>
      </w:r>
      <w:r w:rsidRPr="007923C2">
        <w:rPr>
          <w:rFonts w:ascii="Arial" w:hAnsi="Arial" w:cs="Arial"/>
          <w:color w:val="000000"/>
          <w:sz w:val="22"/>
          <w:szCs w:val="22"/>
        </w:rPr>
        <w:t xml:space="preserve">n </w:t>
      </w:r>
    </w:p>
    <w:p w14:paraId="75F2C17E"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7CF5E44C" w14:textId="77777777" w:rsidR="006A1D9E" w:rsidRPr="007923C2" w:rsidRDefault="006A1D9E" w:rsidP="00CC3D7E">
      <w:pPr>
        <w:widowControl w:val="0"/>
        <w:numPr>
          <w:ilvl w:val="1"/>
          <w:numId w:val="20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Programas de difusion y extensi</w:t>
      </w:r>
      <w:r w:rsidR="006D675A">
        <w:rPr>
          <w:rFonts w:ascii="Arial" w:hAnsi="Arial" w:cs="Arial"/>
          <w:color w:val="000000"/>
          <w:sz w:val="22"/>
          <w:szCs w:val="22"/>
        </w:rPr>
        <w:t>ó</w:t>
      </w:r>
      <w:r w:rsidRPr="007923C2">
        <w:rPr>
          <w:rFonts w:ascii="Arial" w:hAnsi="Arial" w:cs="Arial"/>
          <w:color w:val="000000"/>
          <w:sz w:val="22"/>
          <w:szCs w:val="22"/>
        </w:rPr>
        <w:t xml:space="preserve">n </w:t>
      </w:r>
    </w:p>
    <w:p w14:paraId="00443C9C"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54D5F008" w14:textId="77777777" w:rsidR="006A1D9E" w:rsidRPr="007923C2" w:rsidRDefault="006A1D9E" w:rsidP="00CC3D7E">
      <w:pPr>
        <w:widowControl w:val="0"/>
        <w:numPr>
          <w:ilvl w:val="1"/>
          <w:numId w:val="20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Personal de difusion y extensi</w:t>
      </w:r>
      <w:r w:rsidR="006D675A">
        <w:rPr>
          <w:rFonts w:ascii="Arial" w:hAnsi="Arial" w:cs="Arial"/>
          <w:color w:val="000000"/>
          <w:sz w:val="22"/>
          <w:szCs w:val="22"/>
        </w:rPr>
        <w:t>ó</w:t>
      </w:r>
      <w:r w:rsidRPr="007923C2">
        <w:rPr>
          <w:rFonts w:ascii="Arial" w:hAnsi="Arial" w:cs="Arial"/>
          <w:color w:val="000000"/>
          <w:sz w:val="22"/>
          <w:szCs w:val="22"/>
        </w:rPr>
        <w:t xml:space="preserve">n </w:t>
      </w:r>
    </w:p>
    <w:p w14:paraId="2E664810"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24E757EB" w14:textId="77777777" w:rsidR="006A1D9E" w:rsidRPr="007923C2" w:rsidRDefault="006A1D9E" w:rsidP="00CC3D7E">
      <w:pPr>
        <w:widowControl w:val="0"/>
        <w:numPr>
          <w:ilvl w:val="1"/>
          <w:numId w:val="20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Publicaciones y medios de comunicaci</w:t>
      </w:r>
      <w:r w:rsidR="006D675A">
        <w:rPr>
          <w:rFonts w:ascii="Arial" w:hAnsi="Arial" w:cs="Arial"/>
          <w:color w:val="000000"/>
          <w:sz w:val="22"/>
          <w:szCs w:val="22"/>
        </w:rPr>
        <w:t>ó</w:t>
      </w:r>
      <w:r w:rsidRPr="007923C2">
        <w:rPr>
          <w:rFonts w:ascii="Arial" w:hAnsi="Arial" w:cs="Arial"/>
          <w:color w:val="000000"/>
          <w:sz w:val="22"/>
          <w:szCs w:val="22"/>
        </w:rPr>
        <w:t xml:space="preserve">n </w:t>
      </w:r>
    </w:p>
    <w:p w14:paraId="5A249E7F"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49E15CF5" w14:textId="77777777" w:rsidR="006A1D9E" w:rsidRPr="007923C2" w:rsidRDefault="006A1D9E" w:rsidP="00CC3D7E">
      <w:pPr>
        <w:widowControl w:val="0"/>
        <w:numPr>
          <w:ilvl w:val="0"/>
          <w:numId w:val="205"/>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Normatividad y Gobierno </w:t>
      </w:r>
    </w:p>
    <w:p w14:paraId="65B7EF47"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5C63738C" w14:textId="77777777" w:rsidR="006A1D9E" w:rsidRPr="007923C2" w:rsidRDefault="006A1D9E" w:rsidP="00CC3D7E">
      <w:pPr>
        <w:widowControl w:val="0"/>
        <w:numPr>
          <w:ilvl w:val="1"/>
          <w:numId w:val="206"/>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Instrumentos jur</w:t>
      </w:r>
      <w:r w:rsidR="006D675A">
        <w:rPr>
          <w:rFonts w:ascii="Arial" w:hAnsi="Arial" w:cs="Arial"/>
          <w:color w:val="000000"/>
          <w:sz w:val="22"/>
          <w:szCs w:val="22"/>
        </w:rPr>
        <w:t>í</w:t>
      </w:r>
      <w:r w:rsidRPr="007923C2">
        <w:rPr>
          <w:rFonts w:ascii="Arial" w:hAnsi="Arial" w:cs="Arial"/>
          <w:color w:val="000000"/>
          <w:sz w:val="22"/>
          <w:szCs w:val="22"/>
        </w:rPr>
        <w:t xml:space="preserve">dicos </w:t>
      </w:r>
    </w:p>
    <w:p w14:paraId="6E54AC41"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4161371E" w14:textId="77777777" w:rsidR="006A1D9E" w:rsidRPr="007923C2" w:rsidRDefault="006A1D9E" w:rsidP="00CC3D7E">
      <w:pPr>
        <w:widowControl w:val="0"/>
        <w:numPr>
          <w:ilvl w:val="1"/>
          <w:numId w:val="206"/>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Organos normativos y de gobierno </w:t>
      </w:r>
    </w:p>
    <w:p w14:paraId="498C5D54" w14:textId="77777777" w:rsidR="006A1D9E" w:rsidRPr="007923C2" w:rsidRDefault="006A1D9E" w:rsidP="006A1D9E">
      <w:pPr>
        <w:widowControl w:val="0"/>
        <w:autoSpaceDE w:val="0"/>
        <w:autoSpaceDN w:val="0"/>
        <w:adjustRightInd w:val="0"/>
        <w:spacing w:after="0" w:line="88" w:lineRule="exact"/>
        <w:rPr>
          <w:rFonts w:ascii="Arial" w:hAnsi="Arial" w:cs="Arial"/>
          <w:color w:val="000000"/>
          <w:sz w:val="22"/>
          <w:szCs w:val="22"/>
        </w:rPr>
      </w:pPr>
    </w:p>
    <w:p w14:paraId="28E53AC8" w14:textId="77777777" w:rsidR="006A1D9E" w:rsidRPr="007923C2" w:rsidRDefault="006A1D9E" w:rsidP="00CC3D7E">
      <w:pPr>
        <w:widowControl w:val="0"/>
        <w:numPr>
          <w:ilvl w:val="1"/>
          <w:numId w:val="206"/>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lastRenderedPageBreak/>
        <w:t xml:space="preserve">Participacion de la comunidad institucional </w:t>
      </w:r>
    </w:p>
    <w:p w14:paraId="7D0CC745"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6E45A03E" w14:textId="77777777" w:rsidR="006A1D9E" w:rsidRPr="007923C2" w:rsidRDefault="006A1D9E" w:rsidP="00CC3D7E">
      <w:pPr>
        <w:widowControl w:val="0"/>
        <w:numPr>
          <w:ilvl w:val="0"/>
          <w:numId w:val="207"/>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Organizacion </w:t>
      </w:r>
    </w:p>
    <w:p w14:paraId="0021663C"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1C5BBB14" w14:textId="77777777" w:rsidR="006A1D9E" w:rsidRPr="007923C2" w:rsidRDefault="006A1D9E" w:rsidP="00CC3D7E">
      <w:pPr>
        <w:widowControl w:val="0"/>
        <w:numPr>
          <w:ilvl w:val="1"/>
          <w:numId w:val="207"/>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Estructura academico-administrativa </w:t>
      </w:r>
    </w:p>
    <w:p w14:paraId="0624B959" w14:textId="77777777" w:rsidR="006A1D9E" w:rsidRPr="007923C2" w:rsidRDefault="006A1D9E" w:rsidP="006A1D9E">
      <w:pPr>
        <w:widowControl w:val="0"/>
        <w:autoSpaceDE w:val="0"/>
        <w:autoSpaceDN w:val="0"/>
        <w:adjustRightInd w:val="0"/>
        <w:spacing w:after="0" w:line="100" w:lineRule="exact"/>
        <w:rPr>
          <w:rFonts w:ascii="Arial" w:hAnsi="Arial" w:cs="Arial"/>
          <w:color w:val="000000"/>
          <w:sz w:val="22"/>
          <w:szCs w:val="22"/>
        </w:rPr>
      </w:pPr>
    </w:p>
    <w:p w14:paraId="49E74D58" w14:textId="77777777" w:rsidR="006A1D9E" w:rsidRPr="007923C2" w:rsidRDefault="006A1D9E" w:rsidP="00CC3D7E">
      <w:pPr>
        <w:widowControl w:val="0"/>
        <w:numPr>
          <w:ilvl w:val="1"/>
          <w:numId w:val="207"/>
        </w:numPr>
        <w:tabs>
          <w:tab w:val="clear" w:pos="1440"/>
          <w:tab w:val="num" w:pos="700"/>
        </w:tabs>
        <w:overflowPunct w:val="0"/>
        <w:autoSpaceDE w:val="0"/>
        <w:autoSpaceDN w:val="0"/>
        <w:adjustRightInd w:val="0"/>
        <w:spacing w:after="0" w:line="240"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Sistemas y procedimientos de organizacion </w:t>
      </w:r>
    </w:p>
    <w:p w14:paraId="498F03C8" w14:textId="77777777" w:rsidR="006A1D9E" w:rsidRPr="007923C2" w:rsidRDefault="006A1D9E" w:rsidP="006A1D9E">
      <w:pPr>
        <w:widowControl w:val="0"/>
        <w:autoSpaceDE w:val="0"/>
        <w:autoSpaceDN w:val="0"/>
        <w:adjustRightInd w:val="0"/>
        <w:spacing w:after="0" w:line="88" w:lineRule="exact"/>
        <w:rPr>
          <w:rFonts w:ascii="Arial" w:hAnsi="Arial" w:cs="Arial"/>
          <w:color w:val="000000"/>
          <w:sz w:val="22"/>
          <w:szCs w:val="22"/>
        </w:rPr>
      </w:pPr>
    </w:p>
    <w:p w14:paraId="0E90EF31" w14:textId="77777777" w:rsidR="006A1D9E" w:rsidRPr="007923C2" w:rsidRDefault="006A1D9E" w:rsidP="00CC3D7E">
      <w:pPr>
        <w:widowControl w:val="0"/>
        <w:numPr>
          <w:ilvl w:val="1"/>
          <w:numId w:val="207"/>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Servicios estudiantiles </w:t>
      </w:r>
    </w:p>
    <w:p w14:paraId="6934F4FA"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2FA71448" w14:textId="77777777" w:rsidR="006A1D9E" w:rsidRPr="007923C2" w:rsidRDefault="006A1D9E" w:rsidP="00CC3D7E">
      <w:pPr>
        <w:widowControl w:val="0"/>
        <w:numPr>
          <w:ilvl w:val="1"/>
          <w:numId w:val="207"/>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Servicios academicos </w:t>
      </w:r>
    </w:p>
    <w:p w14:paraId="37C1D27E"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21B4F86D" w14:textId="77777777" w:rsidR="006A1D9E" w:rsidRPr="007923C2" w:rsidRDefault="006A1D9E" w:rsidP="00CC3D7E">
      <w:pPr>
        <w:widowControl w:val="0"/>
        <w:numPr>
          <w:ilvl w:val="1"/>
          <w:numId w:val="207"/>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Servicios administrativos </w:t>
      </w:r>
    </w:p>
    <w:p w14:paraId="36AB4078"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62D51163" w14:textId="77777777" w:rsidR="006A1D9E" w:rsidRPr="007923C2" w:rsidRDefault="006A1D9E" w:rsidP="00CC3D7E">
      <w:pPr>
        <w:widowControl w:val="0"/>
        <w:numPr>
          <w:ilvl w:val="0"/>
          <w:numId w:val="207"/>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Planeacion y evaluacion </w:t>
      </w:r>
    </w:p>
    <w:p w14:paraId="2308DBFB"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25EBFDEF" w14:textId="77777777" w:rsidR="006A1D9E" w:rsidRPr="007923C2" w:rsidRDefault="006A1D9E" w:rsidP="00CC3D7E">
      <w:pPr>
        <w:widowControl w:val="0"/>
        <w:numPr>
          <w:ilvl w:val="1"/>
          <w:numId w:val="208"/>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Planes y programas </w:t>
      </w:r>
    </w:p>
    <w:p w14:paraId="697973D1"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735D0964" w14:textId="77777777" w:rsidR="006A1D9E" w:rsidRPr="007923C2" w:rsidRDefault="006A1D9E" w:rsidP="00CC3D7E">
      <w:pPr>
        <w:widowControl w:val="0"/>
        <w:numPr>
          <w:ilvl w:val="1"/>
          <w:numId w:val="208"/>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Sistemas de informacion </w:t>
      </w:r>
    </w:p>
    <w:p w14:paraId="533E33D1"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1456C7BF" w14:textId="77777777" w:rsidR="006A1D9E" w:rsidRPr="007923C2" w:rsidRDefault="006A1D9E" w:rsidP="00CC3D7E">
      <w:pPr>
        <w:widowControl w:val="0"/>
        <w:numPr>
          <w:ilvl w:val="1"/>
          <w:numId w:val="208"/>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Instancias de planeacion y evaluacion </w:t>
      </w:r>
    </w:p>
    <w:p w14:paraId="6039B6A9"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21216E27" w14:textId="77777777" w:rsidR="006A1D9E" w:rsidRPr="007923C2" w:rsidRDefault="006A1D9E" w:rsidP="00CC3D7E">
      <w:pPr>
        <w:widowControl w:val="0"/>
        <w:numPr>
          <w:ilvl w:val="0"/>
          <w:numId w:val="209"/>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Financiamiento </w:t>
      </w:r>
    </w:p>
    <w:p w14:paraId="1A8B9235"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7774AC07" w14:textId="77777777" w:rsidR="006A1D9E" w:rsidRPr="007923C2" w:rsidRDefault="006A1D9E" w:rsidP="00CC3D7E">
      <w:pPr>
        <w:widowControl w:val="0"/>
        <w:numPr>
          <w:ilvl w:val="1"/>
          <w:numId w:val="209"/>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Patrimonio </w:t>
      </w:r>
    </w:p>
    <w:p w14:paraId="51F89243"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480FE8C9" w14:textId="77777777" w:rsidR="006A1D9E" w:rsidRPr="007923C2" w:rsidRDefault="006A1D9E" w:rsidP="00CC3D7E">
      <w:pPr>
        <w:widowControl w:val="0"/>
        <w:numPr>
          <w:ilvl w:val="1"/>
          <w:numId w:val="209"/>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Ingresos </w:t>
      </w:r>
    </w:p>
    <w:p w14:paraId="256235B2" w14:textId="77777777" w:rsidR="006A1D9E" w:rsidRPr="007923C2" w:rsidRDefault="006A1D9E" w:rsidP="006A1D9E">
      <w:pPr>
        <w:widowControl w:val="0"/>
        <w:autoSpaceDE w:val="0"/>
        <w:autoSpaceDN w:val="0"/>
        <w:adjustRightInd w:val="0"/>
        <w:spacing w:after="0" w:line="88" w:lineRule="exact"/>
        <w:rPr>
          <w:rFonts w:ascii="Arial" w:hAnsi="Arial" w:cs="Arial"/>
          <w:color w:val="000000"/>
          <w:sz w:val="22"/>
          <w:szCs w:val="22"/>
        </w:rPr>
      </w:pPr>
    </w:p>
    <w:p w14:paraId="43B2BCDD" w14:textId="77777777" w:rsidR="006A1D9E" w:rsidRPr="007923C2" w:rsidRDefault="006A1D9E" w:rsidP="00CC3D7E">
      <w:pPr>
        <w:widowControl w:val="0"/>
        <w:numPr>
          <w:ilvl w:val="1"/>
          <w:numId w:val="209"/>
        </w:numPr>
        <w:tabs>
          <w:tab w:val="clear" w:pos="1440"/>
          <w:tab w:val="num" w:pos="700"/>
        </w:tabs>
        <w:overflowPunct w:val="0"/>
        <w:autoSpaceDE w:val="0"/>
        <w:autoSpaceDN w:val="0"/>
        <w:adjustRightInd w:val="0"/>
        <w:spacing w:after="0" w:line="240"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Ejercicio presupuestal </w:t>
      </w:r>
    </w:p>
    <w:p w14:paraId="3B0443E6" w14:textId="77777777" w:rsidR="006A1D9E" w:rsidRPr="007923C2" w:rsidRDefault="006A1D9E" w:rsidP="006A1D9E">
      <w:pPr>
        <w:widowControl w:val="0"/>
        <w:autoSpaceDE w:val="0"/>
        <w:autoSpaceDN w:val="0"/>
        <w:adjustRightInd w:val="0"/>
        <w:spacing w:after="0" w:line="88" w:lineRule="exact"/>
        <w:rPr>
          <w:rFonts w:ascii="Arial" w:hAnsi="Arial" w:cs="Arial"/>
          <w:color w:val="000000"/>
          <w:sz w:val="22"/>
          <w:szCs w:val="22"/>
        </w:rPr>
      </w:pPr>
    </w:p>
    <w:p w14:paraId="2DADB1B0" w14:textId="77777777" w:rsidR="006A1D9E" w:rsidRPr="007923C2" w:rsidRDefault="006A1D9E" w:rsidP="00CC3D7E">
      <w:pPr>
        <w:widowControl w:val="0"/>
        <w:numPr>
          <w:ilvl w:val="1"/>
          <w:numId w:val="209"/>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Control presupuestal </w:t>
      </w:r>
    </w:p>
    <w:p w14:paraId="7B866C53"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6EF69F9D" w14:textId="77777777" w:rsidR="006A1D9E" w:rsidRPr="007923C2" w:rsidRDefault="006A1D9E" w:rsidP="00CC3D7E">
      <w:pPr>
        <w:widowControl w:val="0"/>
        <w:numPr>
          <w:ilvl w:val="0"/>
          <w:numId w:val="209"/>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Relacion educacion superior-sociedad </w:t>
      </w:r>
    </w:p>
    <w:p w14:paraId="065646CB"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36E69DDB" w14:textId="77777777" w:rsidR="006A1D9E" w:rsidRPr="007923C2" w:rsidRDefault="006A1D9E" w:rsidP="006A1D9E">
      <w:pPr>
        <w:widowControl w:val="0"/>
        <w:numPr>
          <w:ilvl w:val="1"/>
          <w:numId w:val="13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Normatividad t</w:t>
      </w:r>
      <w:r w:rsidR="006D675A">
        <w:rPr>
          <w:rFonts w:ascii="Arial" w:hAnsi="Arial" w:cs="Arial"/>
          <w:color w:val="000000"/>
          <w:sz w:val="22"/>
          <w:szCs w:val="22"/>
        </w:rPr>
        <w:t>é</w:t>
      </w:r>
      <w:r w:rsidRPr="007923C2">
        <w:rPr>
          <w:rFonts w:ascii="Arial" w:hAnsi="Arial" w:cs="Arial"/>
          <w:color w:val="000000"/>
          <w:sz w:val="22"/>
          <w:szCs w:val="22"/>
        </w:rPr>
        <w:t xml:space="preserve">cnica </w:t>
      </w:r>
    </w:p>
    <w:p w14:paraId="4842B8AB"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42B3575B" w14:textId="77777777" w:rsidR="006A1D9E" w:rsidRPr="007923C2" w:rsidRDefault="006A1D9E" w:rsidP="006A1D9E">
      <w:pPr>
        <w:widowControl w:val="0"/>
        <w:numPr>
          <w:ilvl w:val="1"/>
          <w:numId w:val="13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Instancias de vinculacion </w:t>
      </w:r>
    </w:p>
    <w:p w14:paraId="752B12BA"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107A4D27" w14:textId="77777777" w:rsidR="006A1D9E" w:rsidRPr="007923C2" w:rsidRDefault="00F5568C" w:rsidP="00CC3D7E">
      <w:pPr>
        <w:widowControl w:val="0"/>
        <w:numPr>
          <w:ilvl w:val="0"/>
          <w:numId w:val="210"/>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Pr>
          <w:rFonts w:ascii="Arial" w:hAnsi="Arial" w:cs="Arial"/>
          <w:color w:val="000000"/>
          <w:sz w:val="22"/>
          <w:szCs w:val="22"/>
        </w:rPr>
        <w:t>PolÍ</w:t>
      </w:r>
      <w:r w:rsidR="006A1D9E" w:rsidRPr="007923C2">
        <w:rPr>
          <w:rFonts w:ascii="Arial" w:hAnsi="Arial" w:cs="Arial"/>
          <w:color w:val="000000"/>
          <w:sz w:val="22"/>
          <w:szCs w:val="22"/>
        </w:rPr>
        <w:t xml:space="preserve">tica educativa </w:t>
      </w:r>
    </w:p>
    <w:p w14:paraId="3EEE9414" w14:textId="77777777"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14:paraId="61B3A4F8" w14:textId="77777777" w:rsidR="006A1D9E" w:rsidRPr="007923C2" w:rsidRDefault="006A1D9E" w:rsidP="00CC3D7E">
      <w:pPr>
        <w:widowControl w:val="0"/>
        <w:numPr>
          <w:ilvl w:val="1"/>
          <w:numId w:val="210"/>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En materia de crecimiento </w:t>
      </w:r>
    </w:p>
    <w:p w14:paraId="43CCB8E7"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1FDE4498" w14:textId="77777777" w:rsidR="006A1D9E" w:rsidRPr="007923C2" w:rsidRDefault="006A1D9E" w:rsidP="00CC3D7E">
      <w:pPr>
        <w:widowControl w:val="0"/>
        <w:numPr>
          <w:ilvl w:val="1"/>
          <w:numId w:val="210"/>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En materia de  </w:t>
      </w:r>
      <w:r w:rsidR="006D675A">
        <w:rPr>
          <w:rFonts w:ascii="Arial" w:hAnsi="Arial" w:cs="Arial"/>
          <w:color w:val="000000"/>
          <w:sz w:val="22"/>
          <w:szCs w:val="22"/>
        </w:rPr>
        <w:t>fi</w:t>
      </w:r>
      <w:r w:rsidRPr="007923C2">
        <w:rPr>
          <w:rFonts w:ascii="Arial" w:hAnsi="Arial" w:cs="Arial"/>
          <w:color w:val="000000"/>
          <w:sz w:val="22"/>
          <w:szCs w:val="22"/>
        </w:rPr>
        <w:t xml:space="preserve">nanciamiento </w:t>
      </w:r>
    </w:p>
    <w:p w14:paraId="2CFA4A6B" w14:textId="77777777"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14:paraId="1905C47D" w14:textId="77777777" w:rsidR="00614BDA" w:rsidRPr="007923C2" w:rsidRDefault="006A1D9E" w:rsidP="00D15A0E">
      <w:pPr>
        <w:widowControl w:val="0"/>
        <w:numPr>
          <w:ilvl w:val="1"/>
          <w:numId w:val="210"/>
        </w:numPr>
        <w:tabs>
          <w:tab w:val="clear" w:pos="1440"/>
          <w:tab w:val="num" w:pos="700"/>
        </w:tabs>
        <w:overflowPunct w:val="0"/>
        <w:autoSpaceDE w:val="0"/>
        <w:autoSpaceDN w:val="0"/>
        <w:adjustRightInd w:val="0"/>
        <w:spacing w:after="0" w:line="239" w:lineRule="auto"/>
        <w:ind w:left="700" w:hanging="361"/>
        <w:jc w:val="both"/>
        <w:rPr>
          <w:rFonts w:ascii="Arial" w:hAnsi="Arial" w:cs="Arial"/>
          <w:sz w:val="22"/>
          <w:szCs w:val="22"/>
        </w:rPr>
      </w:pPr>
      <w:r w:rsidRPr="007923C2">
        <w:rPr>
          <w:rFonts w:ascii="Arial" w:hAnsi="Arial" w:cs="Arial"/>
          <w:color w:val="000000"/>
          <w:sz w:val="22"/>
          <w:szCs w:val="22"/>
        </w:rPr>
        <w:t xml:space="preserve">En materia salarial </w:t>
      </w:r>
    </w:p>
    <w:p w14:paraId="0D4FAC2E" w14:textId="77777777" w:rsidR="006A1D9E" w:rsidRPr="007923C2" w:rsidRDefault="006A1D9E" w:rsidP="00D15A0E">
      <w:pPr>
        <w:widowControl w:val="0"/>
        <w:numPr>
          <w:ilvl w:val="1"/>
          <w:numId w:val="210"/>
        </w:numPr>
        <w:tabs>
          <w:tab w:val="clear" w:pos="1440"/>
          <w:tab w:val="num" w:pos="700"/>
        </w:tabs>
        <w:overflowPunct w:val="0"/>
        <w:autoSpaceDE w:val="0"/>
        <w:autoSpaceDN w:val="0"/>
        <w:adjustRightInd w:val="0"/>
        <w:spacing w:after="0" w:line="239" w:lineRule="auto"/>
        <w:ind w:left="700" w:hanging="361"/>
        <w:jc w:val="both"/>
        <w:rPr>
          <w:rFonts w:ascii="Arial" w:hAnsi="Arial" w:cs="Arial"/>
          <w:sz w:val="22"/>
          <w:szCs w:val="22"/>
        </w:rPr>
      </w:pPr>
      <w:r w:rsidRPr="007923C2">
        <w:rPr>
          <w:rFonts w:ascii="Arial" w:hAnsi="Arial" w:cs="Arial"/>
          <w:color w:val="000000"/>
          <w:sz w:val="22"/>
          <w:szCs w:val="22"/>
        </w:rPr>
        <w:t>En materia de calidad academica</w:t>
      </w:r>
    </w:p>
    <w:p w14:paraId="448D201A" w14:textId="77777777" w:rsidR="006A1D9E" w:rsidRPr="007923C2" w:rsidRDefault="006A1D9E" w:rsidP="006A1D9E">
      <w:pPr>
        <w:widowControl w:val="0"/>
        <w:autoSpaceDE w:val="0"/>
        <w:autoSpaceDN w:val="0"/>
        <w:adjustRightInd w:val="0"/>
        <w:spacing w:after="0" w:line="329" w:lineRule="exact"/>
        <w:rPr>
          <w:rFonts w:ascii="Arial" w:hAnsi="Arial" w:cs="Arial"/>
          <w:sz w:val="22"/>
          <w:szCs w:val="22"/>
        </w:rPr>
      </w:pPr>
    </w:p>
    <w:p w14:paraId="7515528B" w14:textId="77777777" w:rsidR="006A1D9E" w:rsidRPr="007923C2" w:rsidRDefault="006A1D9E" w:rsidP="006A1D9E">
      <w:pPr>
        <w:widowControl w:val="0"/>
        <w:overflowPunct w:val="0"/>
        <w:autoSpaceDE w:val="0"/>
        <w:autoSpaceDN w:val="0"/>
        <w:adjustRightInd w:val="0"/>
        <w:spacing w:after="0" w:line="238" w:lineRule="auto"/>
        <w:rPr>
          <w:rFonts w:ascii="Arial" w:hAnsi="Arial" w:cs="Arial"/>
          <w:sz w:val="22"/>
          <w:szCs w:val="22"/>
        </w:rPr>
      </w:pPr>
      <w:r w:rsidRPr="007923C2">
        <w:rPr>
          <w:rFonts w:ascii="Arial" w:hAnsi="Arial" w:cs="Arial"/>
          <w:color w:val="000000"/>
          <w:sz w:val="22"/>
          <w:szCs w:val="22"/>
        </w:rPr>
        <w:t>La ultima de las propuestas metodologicas desarrollada para orientar el proceso de evaluacion institucional, en el a</w:t>
      </w:r>
      <w:r w:rsidR="006D675A">
        <w:rPr>
          <w:rFonts w:ascii="Arial" w:hAnsi="Arial" w:cs="Arial"/>
          <w:color w:val="000000"/>
          <w:sz w:val="22"/>
          <w:szCs w:val="22"/>
        </w:rPr>
        <w:t>ñ</w:t>
      </w:r>
      <w:r w:rsidRPr="007923C2">
        <w:rPr>
          <w:rFonts w:ascii="Arial" w:hAnsi="Arial" w:cs="Arial"/>
          <w:color w:val="000000"/>
          <w:sz w:val="22"/>
          <w:szCs w:val="22"/>
        </w:rPr>
        <w:t>o de 1992, redujo signi</w:t>
      </w:r>
      <w:r w:rsidR="006D675A">
        <w:rPr>
          <w:rFonts w:ascii="Arial" w:hAnsi="Arial" w:cs="Arial"/>
          <w:color w:val="000000"/>
          <w:sz w:val="22"/>
          <w:szCs w:val="22"/>
        </w:rPr>
        <w:t>fi</w:t>
      </w:r>
      <w:r w:rsidRPr="007923C2">
        <w:rPr>
          <w:rFonts w:ascii="Arial" w:hAnsi="Arial" w:cs="Arial"/>
          <w:color w:val="000000"/>
          <w:sz w:val="22"/>
          <w:szCs w:val="22"/>
        </w:rPr>
        <w:t>cativamente el n</w:t>
      </w:r>
      <w:r w:rsidR="006D675A">
        <w:rPr>
          <w:rFonts w:ascii="Arial" w:hAnsi="Arial" w:cs="Arial"/>
          <w:color w:val="000000"/>
          <w:sz w:val="22"/>
          <w:szCs w:val="22"/>
        </w:rPr>
        <w:t>ú</w:t>
      </w:r>
      <w:r w:rsidRPr="007923C2">
        <w:rPr>
          <w:rFonts w:ascii="Arial" w:hAnsi="Arial" w:cs="Arial"/>
          <w:color w:val="000000"/>
          <w:sz w:val="22"/>
          <w:szCs w:val="22"/>
        </w:rPr>
        <w:t>mero de indicadores para realizar el analisis pertinente y a</w:t>
      </w:r>
      <w:r w:rsidR="006D675A">
        <w:rPr>
          <w:rFonts w:ascii="Arial" w:hAnsi="Arial" w:cs="Arial"/>
          <w:color w:val="000000"/>
          <w:sz w:val="22"/>
          <w:szCs w:val="22"/>
        </w:rPr>
        <w:t>ñ</w:t>
      </w:r>
      <w:r w:rsidRPr="007923C2">
        <w:rPr>
          <w:rFonts w:ascii="Arial" w:hAnsi="Arial" w:cs="Arial"/>
          <w:color w:val="000000"/>
          <w:sz w:val="22"/>
          <w:szCs w:val="22"/>
        </w:rPr>
        <w:t>adio un elemento de analisis innovador que consist</w:t>
      </w:r>
      <w:r w:rsidR="006D675A">
        <w:rPr>
          <w:rFonts w:ascii="Arial" w:hAnsi="Arial" w:cs="Arial"/>
          <w:color w:val="000000"/>
          <w:sz w:val="22"/>
          <w:szCs w:val="22"/>
        </w:rPr>
        <w:t>ia</w:t>
      </w:r>
      <w:r w:rsidRPr="007923C2">
        <w:rPr>
          <w:rFonts w:ascii="Arial" w:hAnsi="Arial" w:cs="Arial"/>
          <w:color w:val="000000"/>
          <w:sz w:val="22"/>
          <w:szCs w:val="22"/>
        </w:rPr>
        <w:t xml:space="preserve"> en el planteamiento de algunas \l</w:t>
      </w:r>
      <w:r w:rsidR="006D675A">
        <w:rPr>
          <w:rFonts w:ascii="Arial" w:hAnsi="Arial" w:cs="Arial"/>
          <w:color w:val="000000"/>
          <w:sz w:val="22"/>
          <w:szCs w:val="22"/>
        </w:rPr>
        <w:t>í</w:t>
      </w:r>
      <w:r w:rsidRPr="007923C2">
        <w:rPr>
          <w:rFonts w:ascii="Arial" w:hAnsi="Arial" w:cs="Arial"/>
          <w:color w:val="000000"/>
          <w:sz w:val="22"/>
          <w:szCs w:val="22"/>
        </w:rPr>
        <w:t>neas de re</w:t>
      </w:r>
      <w:r w:rsidR="006D675A">
        <w:rPr>
          <w:rFonts w:ascii="Arial" w:hAnsi="Arial" w:cs="Arial"/>
          <w:color w:val="000000"/>
          <w:sz w:val="22"/>
          <w:szCs w:val="22"/>
        </w:rPr>
        <w:t>fl</w:t>
      </w:r>
      <w:r w:rsidRPr="007923C2">
        <w:rPr>
          <w:rFonts w:ascii="Arial" w:hAnsi="Arial" w:cs="Arial"/>
          <w:color w:val="000000"/>
          <w:sz w:val="22"/>
          <w:szCs w:val="22"/>
        </w:rPr>
        <w:t>exion" sobre la tematica a desarrollar en los criterios establecidos.</w:t>
      </w:r>
    </w:p>
    <w:p w14:paraId="4E0C9B2D"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54A9F0C7" w14:textId="77777777" w:rsidR="006A1D9E" w:rsidRPr="007923C2" w:rsidRDefault="006A1D9E" w:rsidP="006A1D9E">
      <w:pPr>
        <w:widowControl w:val="0"/>
        <w:overflowPunct w:val="0"/>
        <w:autoSpaceDE w:val="0"/>
        <w:autoSpaceDN w:val="0"/>
        <w:adjustRightInd w:val="0"/>
        <w:spacing w:after="0" w:line="240" w:lineRule="auto"/>
        <w:rPr>
          <w:rFonts w:ascii="Arial" w:hAnsi="Arial" w:cs="Arial"/>
          <w:sz w:val="22"/>
          <w:szCs w:val="22"/>
        </w:rPr>
      </w:pPr>
      <w:r w:rsidRPr="007923C2">
        <w:rPr>
          <w:rFonts w:ascii="Arial" w:hAnsi="Arial" w:cs="Arial"/>
          <w:color w:val="000000"/>
          <w:sz w:val="22"/>
          <w:szCs w:val="22"/>
        </w:rPr>
        <w:t>El Grupo Tecnico de la CONAEVA impulso acciones en el campo de la evaluacion institucional que permitieron acrecentar la experiencia de las universidades p</w:t>
      </w:r>
      <w:r w:rsidR="006D675A">
        <w:rPr>
          <w:rFonts w:ascii="Arial" w:hAnsi="Arial" w:cs="Arial"/>
          <w:color w:val="000000"/>
          <w:sz w:val="22"/>
          <w:szCs w:val="22"/>
        </w:rPr>
        <w:t>ú</w:t>
      </w:r>
      <w:r w:rsidRPr="007923C2">
        <w:rPr>
          <w:rFonts w:ascii="Arial" w:hAnsi="Arial" w:cs="Arial"/>
          <w:color w:val="000000"/>
          <w:sz w:val="22"/>
          <w:szCs w:val="22"/>
        </w:rPr>
        <w:t>blicas. Esto contribuy a lograr una redimensionalidad de la evaluacion mediante la cual se abrieron nuevas perspectivas. se generaron elementos metodologicos innovadores y se desperto un mayor interes por la evaluacion, en los diferentes aspectos de la comunidad universitaria.</w:t>
      </w:r>
    </w:p>
    <w:p w14:paraId="1686DD8F" w14:textId="77777777" w:rsidR="006A1D9E" w:rsidRPr="007923C2" w:rsidRDefault="006A1D9E" w:rsidP="006A1D9E">
      <w:pPr>
        <w:widowControl w:val="0"/>
        <w:autoSpaceDE w:val="0"/>
        <w:autoSpaceDN w:val="0"/>
        <w:adjustRightInd w:val="0"/>
        <w:spacing w:after="0" w:line="131" w:lineRule="exact"/>
        <w:rPr>
          <w:rFonts w:ascii="Arial" w:hAnsi="Arial" w:cs="Arial"/>
          <w:sz w:val="22"/>
          <w:szCs w:val="22"/>
        </w:rPr>
      </w:pPr>
    </w:p>
    <w:p w14:paraId="4EEE7391" w14:textId="77777777" w:rsidR="006A1D9E" w:rsidRPr="007923C2" w:rsidRDefault="006A1D9E" w:rsidP="006A1D9E">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color w:val="000000"/>
          <w:sz w:val="22"/>
          <w:szCs w:val="22"/>
        </w:rPr>
        <w:t>Estos avances en materia de evaluacion institucional permitieron generar actitudes de mayor apertura hacia la valoracion de las funciones universitarias y abrieron perspectivas en materia de acreditacion institucional.</w:t>
      </w:r>
    </w:p>
    <w:p w14:paraId="2CD4597E" w14:textId="77777777"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14:paraId="697A0C1D" w14:textId="77777777"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5.2. COMITES INTERINSTITUCIONALES PARA LA EVALUACION DE LA EDUCACION SUPERIOR (CIESS):</w:t>
      </w:r>
    </w:p>
    <w:p w14:paraId="6291AFB4" w14:textId="77777777" w:rsidR="006A1D9E" w:rsidRPr="007923C2" w:rsidRDefault="006A1D9E" w:rsidP="006A1D9E">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Como una de las partes esenciales de la estrategia de evaluacion propuesta por la CONPES, se acord</w:t>
      </w:r>
      <w:r w:rsidR="006D675A">
        <w:rPr>
          <w:rFonts w:ascii="Arial" w:hAnsi="Arial" w:cs="Arial"/>
          <w:color w:val="000000"/>
          <w:sz w:val="22"/>
          <w:szCs w:val="22"/>
        </w:rPr>
        <w:t>ó</w:t>
      </w:r>
      <w:r w:rsidRPr="007923C2">
        <w:rPr>
          <w:rFonts w:ascii="Arial" w:hAnsi="Arial" w:cs="Arial"/>
          <w:color w:val="000000"/>
          <w:sz w:val="22"/>
          <w:szCs w:val="22"/>
        </w:rPr>
        <w:t xml:space="preserve"> desarrollar un proceso de evaluacion interinstitucional sobre programas y proyectos academicos, por area de conocimiento y por funcion, as como sobre los servicios de apoyo.</w:t>
      </w:r>
    </w:p>
    <w:p w14:paraId="0A0E6A81"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66188FBB" w14:textId="77777777" w:rsidR="006A1D9E" w:rsidRPr="007923C2" w:rsidRDefault="006A1D9E" w:rsidP="006A1D9E">
      <w:pPr>
        <w:widowControl w:val="0"/>
        <w:overflowPunct w:val="0"/>
        <w:autoSpaceDE w:val="0"/>
        <w:autoSpaceDN w:val="0"/>
        <w:adjustRightInd w:val="0"/>
        <w:spacing w:after="0" w:line="256" w:lineRule="auto"/>
        <w:jc w:val="both"/>
        <w:rPr>
          <w:rFonts w:ascii="Arial" w:hAnsi="Arial" w:cs="Arial"/>
          <w:sz w:val="22"/>
          <w:szCs w:val="22"/>
        </w:rPr>
      </w:pPr>
      <w:r w:rsidRPr="007923C2">
        <w:rPr>
          <w:rFonts w:ascii="Arial" w:hAnsi="Arial" w:cs="Arial"/>
          <w:color w:val="000000"/>
          <w:sz w:val="22"/>
          <w:szCs w:val="22"/>
        </w:rPr>
        <w:t>Los CIESS estan integrados por ocho comites: Ciencias Naturales y Exactas, Ciencias Agropecuarias, Ingenier</w:t>
      </w:r>
      <w:r w:rsidR="006D675A">
        <w:rPr>
          <w:rFonts w:ascii="Arial" w:hAnsi="Arial" w:cs="Arial"/>
          <w:color w:val="000000"/>
          <w:sz w:val="22"/>
          <w:szCs w:val="22"/>
        </w:rPr>
        <w:t>í</w:t>
      </w:r>
      <w:r w:rsidRPr="007923C2">
        <w:rPr>
          <w:rFonts w:ascii="Arial" w:hAnsi="Arial" w:cs="Arial"/>
          <w:color w:val="000000"/>
          <w:sz w:val="22"/>
          <w:szCs w:val="22"/>
        </w:rPr>
        <w:t>a y Tecnolog</w:t>
      </w:r>
      <w:r w:rsidR="006D675A">
        <w:rPr>
          <w:rFonts w:ascii="Arial" w:hAnsi="Arial" w:cs="Arial"/>
          <w:color w:val="000000"/>
          <w:sz w:val="22"/>
          <w:szCs w:val="22"/>
        </w:rPr>
        <w:t>í</w:t>
      </w:r>
      <w:r w:rsidRPr="007923C2">
        <w:rPr>
          <w:rFonts w:ascii="Arial" w:hAnsi="Arial" w:cs="Arial"/>
          <w:color w:val="000000"/>
          <w:sz w:val="22"/>
          <w:szCs w:val="22"/>
        </w:rPr>
        <w:t>a, Administracion, Ciencias Sociales y Administrativas, Educacion y Humanidades, Ciencias de la Salud, y Difusion y Extension. Cada comite es una instancia colegiada formada por nueve miembros del personal academico \pares" y un experto en el area respectiva proveniente del sector social o productivo. Cada comite esta dirigido por un vocal, y el conjunto de comites por un Coordinador General.</w:t>
      </w:r>
    </w:p>
    <w:p w14:paraId="574EF3F7" w14:textId="77777777" w:rsidR="006A1D9E" w:rsidRPr="007923C2" w:rsidRDefault="006A1D9E" w:rsidP="006A1D9E">
      <w:pPr>
        <w:widowControl w:val="0"/>
        <w:autoSpaceDE w:val="0"/>
        <w:autoSpaceDN w:val="0"/>
        <w:adjustRightInd w:val="0"/>
        <w:spacing w:after="0" w:line="82" w:lineRule="exact"/>
        <w:rPr>
          <w:rFonts w:ascii="Arial" w:hAnsi="Arial" w:cs="Arial"/>
          <w:sz w:val="22"/>
          <w:szCs w:val="22"/>
        </w:rPr>
      </w:pPr>
    </w:p>
    <w:p w14:paraId="0AF22E50"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Las funciones basicas de los CIEES son:</w:t>
      </w:r>
    </w:p>
    <w:p w14:paraId="07E775E7" w14:textId="77777777" w:rsidR="006A1D9E" w:rsidRPr="007923C2" w:rsidRDefault="006A1D9E" w:rsidP="006A1D9E">
      <w:pPr>
        <w:widowControl w:val="0"/>
        <w:autoSpaceDE w:val="0"/>
        <w:autoSpaceDN w:val="0"/>
        <w:adjustRightInd w:val="0"/>
        <w:spacing w:after="0" w:line="295" w:lineRule="exact"/>
        <w:rPr>
          <w:rFonts w:ascii="Arial" w:hAnsi="Arial" w:cs="Arial"/>
          <w:sz w:val="22"/>
          <w:szCs w:val="22"/>
        </w:rPr>
      </w:pPr>
    </w:p>
    <w:p w14:paraId="55A2D34B" w14:textId="77777777" w:rsidR="006A1D9E" w:rsidRPr="007923C2" w:rsidRDefault="006A1D9E" w:rsidP="006A1D9E">
      <w:pPr>
        <w:widowControl w:val="0"/>
        <w:autoSpaceDE w:val="0"/>
        <w:autoSpaceDN w:val="0"/>
        <w:adjustRightInd w:val="0"/>
        <w:spacing w:after="0" w:line="239" w:lineRule="auto"/>
        <w:ind w:left="500"/>
        <w:rPr>
          <w:rFonts w:ascii="Arial" w:hAnsi="Arial" w:cs="Arial"/>
          <w:sz w:val="22"/>
          <w:szCs w:val="22"/>
        </w:rPr>
      </w:pPr>
      <w:r w:rsidRPr="007923C2">
        <w:rPr>
          <w:rFonts w:ascii="Arial" w:hAnsi="Arial" w:cs="Arial"/>
          <w:color w:val="000000"/>
          <w:sz w:val="22"/>
          <w:szCs w:val="22"/>
        </w:rPr>
        <w:t>Evaluacion diagnostica</w:t>
      </w:r>
    </w:p>
    <w:p w14:paraId="6290BCCF" w14:textId="3BFFD1E3" w:rsidR="006A1D9E" w:rsidRPr="007923C2" w:rsidRDefault="001F23E0" w:rsidP="006A1D9E">
      <w:pPr>
        <w:widowControl w:val="0"/>
        <w:autoSpaceDE w:val="0"/>
        <w:autoSpaceDN w:val="0"/>
        <w:adjustRightInd w:val="0"/>
        <w:spacing w:after="0" w:line="169"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72768" behindDoc="1" locked="0" layoutInCell="0" allowOverlap="1" wp14:anchorId="62F534C6" wp14:editId="75439032">
                <wp:simplePos x="0" y="0"/>
                <wp:positionH relativeFrom="column">
                  <wp:posOffset>200660</wp:posOffset>
                </wp:positionH>
                <wp:positionV relativeFrom="paragraph">
                  <wp:posOffset>-78740</wp:posOffset>
                </wp:positionV>
                <wp:extent cx="38735" cy="38100"/>
                <wp:effectExtent l="0" t="0" r="0" b="0"/>
                <wp:wrapNone/>
                <wp:docPr id="700" name="Rectángulo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E73277" id="Rectángulo 700" o:spid="_x0000_s1026" style="position:absolute;margin-left:15.8pt;margin-top:-6.2pt;width:3.05pt;height:3pt;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9Ggw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" o:allowincell="f" stroked="f"/>
            </w:pict>
          </mc:Fallback>
        </mc:AlternateContent>
      </w:r>
    </w:p>
    <w:p w14:paraId="65A845DC" w14:textId="77777777" w:rsidR="006A1D9E" w:rsidRPr="007923C2" w:rsidRDefault="006A1D9E" w:rsidP="006A1D9E">
      <w:pPr>
        <w:widowControl w:val="0"/>
        <w:autoSpaceDE w:val="0"/>
        <w:autoSpaceDN w:val="0"/>
        <w:adjustRightInd w:val="0"/>
        <w:spacing w:after="0" w:line="239" w:lineRule="auto"/>
        <w:ind w:left="500"/>
        <w:rPr>
          <w:rFonts w:ascii="Arial" w:hAnsi="Arial" w:cs="Arial"/>
          <w:sz w:val="22"/>
          <w:szCs w:val="22"/>
        </w:rPr>
      </w:pPr>
      <w:r w:rsidRPr="007923C2">
        <w:rPr>
          <w:rFonts w:ascii="Arial" w:hAnsi="Arial" w:cs="Arial"/>
          <w:color w:val="000000"/>
          <w:sz w:val="22"/>
          <w:szCs w:val="22"/>
        </w:rPr>
        <w:t>Acreditacion y reconocimiento</w:t>
      </w:r>
    </w:p>
    <w:p w14:paraId="038D0203" w14:textId="0E7A8A4B" w:rsidR="006A1D9E" w:rsidRPr="007923C2" w:rsidRDefault="001F23E0" w:rsidP="006A1D9E">
      <w:pPr>
        <w:widowControl w:val="0"/>
        <w:autoSpaceDE w:val="0"/>
        <w:autoSpaceDN w:val="0"/>
        <w:adjustRightInd w:val="0"/>
        <w:spacing w:after="0" w:line="169"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73792" behindDoc="1" locked="0" layoutInCell="0" allowOverlap="1" wp14:anchorId="73F672C2" wp14:editId="506A0625">
                <wp:simplePos x="0" y="0"/>
                <wp:positionH relativeFrom="column">
                  <wp:posOffset>200660</wp:posOffset>
                </wp:positionH>
                <wp:positionV relativeFrom="paragraph">
                  <wp:posOffset>-78740</wp:posOffset>
                </wp:positionV>
                <wp:extent cx="38735" cy="38100"/>
                <wp:effectExtent l="0" t="0" r="0" b="0"/>
                <wp:wrapNone/>
                <wp:docPr id="699" name="Rectángulo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9F78A3" id="Rectángulo 699" o:spid="_x0000_s1026" style="position:absolute;margin-left:15.8pt;margin-top:-6.2pt;width:3.05pt;height:3pt;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HT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hQ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" o:allowincell="f" stroked="f"/>
            </w:pict>
          </mc:Fallback>
        </mc:AlternateContent>
      </w:r>
    </w:p>
    <w:p w14:paraId="5392CE95" w14:textId="77777777" w:rsidR="006A1D9E" w:rsidRPr="007923C2" w:rsidRDefault="006A1D9E" w:rsidP="006A1D9E">
      <w:pPr>
        <w:widowControl w:val="0"/>
        <w:autoSpaceDE w:val="0"/>
        <w:autoSpaceDN w:val="0"/>
        <w:adjustRightInd w:val="0"/>
        <w:spacing w:after="0" w:line="239" w:lineRule="auto"/>
        <w:ind w:left="500"/>
        <w:rPr>
          <w:rFonts w:ascii="Arial" w:hAnsi="Arial" w:cs="Arial"/>
          <w:sz w:val="22"/>
          <w:szCs w:val="22"/>
        </w:rPr>
      </w:pPr>
      <w:r w:rsidRPr="007923C2">
        <w:rPr>
          <w:rFonts w:ascii="Arial" w:hAnsi="Arial" w:cs="Arial"/>
          <w:color w:val="000000"/>
          <w:sz w:val="22"/>
          <w:szCs w:val="22"/>
        </w:rPr>
        <w:t>Dictaminacion puntual</w:t>
      </w:r>
    </w:p>
    <w:p w14:paraId="420C0B63" w14:textId="6D44C941" w:rsidR="006A1D9E" w:rsidRPr="007923C2" w:rsidRDefault="001F23E0" w:rsidP="006A1D9E">
      <w:pPr>
        <w:widowControl w:val="0"/>
        <w:autoSpaceDE w:val="0"/>
        <w:autoSpaceDN w:val="0"/>
        <w:adjustRightInd w:val="0"/>
        <w:spacing w:after="0" w:line="170"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74816" behindDoc="1" locked="0" layoutInCell="0" allowOverlap="1" wp14:anchorId="509D6CB8" wp14:editId="1A2735B9">
                <wp:simplePos x="0" y="0"/>
                <wp:positionH relativeFrom="column">
                  <wp:posOffset>200660</wp:posOffset>
                </wp:positionH>
                <wp:positionV relativeFrom="paragraph">
                  <wp:posOffset>-78740</wp:posOffset>
                </wp:positionV>
                <wp:extent cx="38735" cy="38100"/>
                <wp:effectExtent l="0" t="0" r="0" b="0"/>
                <wp:wrapNone/>
                <wp:docPr id="698" name="Rectángulo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470E8D" id="Rectángulo 698" o:spid="_x0000_s1026" style="position:absolute;margin-left:15.8pt;margin-top:-6.2pt;width:3.05pt;height:3pt;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99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" o:allowincell="f" stroked="f"/>
            </w:pict>
          </mc:Fallback>
        </mc:AlternateContent>
      </w:r>
    </w:p>
    <w:p w14:paraId="631DA5F6" w14:textId="3B9D607E" w:rsidR="006A1D9E" w:rsidRPr="007923C2" w:rsidRDefault="001F23E0" w:rsidP="006A1D9E">
      <w:pPr>
        <w:widowControl w:val="0"/>
        <w:autoSpaceDE w:val="0"/>
        <w:autoSpaceDN w:val="0"/>
        <w:adjustRightInd w:val="0"/>
        <w:spacing w:after="0" w:line="307"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75840" behindDoc="1" locked="0" layoutInCell="0" allowOverlap="1" wp14:anchorId="4260AC94" wp14:editId="55EB36AD">
                <wp:simplePos x="0" y="0"/>
                <wp:positionH relativeFrom="column">
                  <wp:posOffset>200660</wp:posOffset>
                </wp:positionH>
                <wp:positionV relativeFrom="paragraph">
                  <wp:posOffset>-78740</wp:posOffset>
                </wp:positionV>
                <wp:extent cx="38735" cy="38100"/>
                <wp:effectExtent l="0" t="0" r="0" b="0"/>
                <wp:wrapNone/>
                <wp:docPr id="697" name="Rectángulo 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E95CCB" id="Rectángulo 697" o:spid="_x0000_s1026" style="position:absolute;margin-left:15.8pt;margin-top:-6.2pt;width:3.05pt;height:3pt;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HD2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" o:allowincell="f" stroked="f"/>
            </w:pict>
          </mc:Fallback>
        </mc:AlternateContent>
      </w:r>
    </w:p>
    <w:p w14:paraId="0374B5C6" w14:textId="77777777" w:rsidR="006A1D9E" w:rsidRPr="007923C2" w:rsidRDefault="006A1D9E" w:rsidP="006A1D9E">
      <w:pPr>
        <w:widowControl w:val="0"/>
        <w:autoSpaceDE w:val="0"/>
        <w:autoSpaceDN w:val="0"/>
        <w:adjustRightInd w:val="0"/>
        <w:spacing w:after="0" w:line="240" w:lineRule="auto"/>
        <w:rPr>
          <w:rFonts w:ascii="Arial" w:hAnsi="Arial" w:cs="Arial"/>
          <w:sz w:val="22"/>
          <w:szCs w:val="22"/>
        </w:rPr>
      </w:pPr>
      <w:r w:rsidRPr="007923C2">
        <w:rPr>
          <w:rFonts w:ascii="Arial" w:hAnsi="Arial" w:cs="Arial"/>
          <w:color w:val="000000"/>
          <w:sz w:val="22"/>
          <w:szCs w:val="22"/>
        </w:rPr>
        <w:t>El esquema de evaluacion utiliza cuatro referentes metodologicos que se complementan entre s . Estos son:</w:t>
      </w:r>
    </w:p>
    <w:p w14:paraId="2F6E1385" w14:textId="77777777" w:rsidR="006A1D9E" w:rsidRPr="007923C2" w:rsidRDefault="006A1D9E" w:rsidP="006A1D9E">
      <w:pPr>
        <w:widowControl w:val="0"/>
        <w:autoSpaceDE w:val="0"/>
        <w:autoSpaceDN w:val="0"/>
        <w:adjustRightInd w:val="0"/>
        <w:spacing w:after="0" w:line="273" w:lineRule="exact"/>
        <w:rPr>
          <w:rFonts w:ascii="Arial" w:hAnsi="Arial" w:cs="Arial"/>
          <w:sz w:val="22"/>
          <w:szCs w:val="22"/>
        </w:rPr>
      </w:pPr>
    </w:p>
    <w:p w14:paraId="2CEF9DB3"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1</w:t>
      </w:r>
      <w:r w:rsidRPr="007923C2">
        <w:rPr>
          <w:rFonts w:ascii="Arial" w:hAnsi="Arial" w:cs="Arial"/>
          <w:color w:val="000000"/>
          <w:sz w:val="22"/>
          <w:szCs w:val="22"/>
          <w:vertAlign w:val="superscript"/>
        </w:rPr>
        <w:t>o</w:t>
      </w:r>
      <w:r w:rsidRPr="007923C2">
        <w:rPr>
          <w:rFonts w:ascii="Arial" w:hAnsi="Arial" w:cs="Arial"/>
          <w:color w:val="000000"/>
          <w:sz w:val="22"/>
          <w:szCs w:val="22"/>
        </w:rPr>
        <w:t xml:space="preserve">  Evaluacion de la normatividad y de la planeacion academica del programa.</w:t>
      </w:r>
    </w:p>
    <w:p w14:paraId="7F81A155" w14:textId="77777777" w:rsidR="006A1D9E" w:rsidRPr="007923C2" w:rsidRDefault="006A1D9E" w:rsidP="006A1D9E">
      <w:pPr>
        <w:widowControl w:val="0"/>
        <w:autoSpaceDE w:val="0"/>
        <w:autoSpaceDN w:val="0"/>
        <w:adjustRightInd w:val="0"/>
        <w:spacing w:after="0" w:line="89" w:lineRule="exact"/>
        <w:rPr>
          <w:rFonts w:ascii="Arial" w:hAnsi="Arial" w:cs="Arial"/>
          <w:sz w:val="22"/>
          <w:szCs w:val="22"/>
        </w:rPr>
      </w:pPr>
    </w:p>
    <w:p w14:paraId="2B173AC2"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2</w:t>
      </w:r>
      <w:r w:rsidRPr="007923C2">
        <w:rPr>
          <w:rFonts w:ascii="Arial" w:hAnsi="Arial" w:cs="Arial"/>
          <w:color w:val="000000"/>
          <w:sz w:val="22"/>
          <w:szCs w:val="22"/>
          <w:vertAlign w:val="superscript"/>
        </w:rPr>
        <w:t>o</w:t>
      </w:r>
      <w:r w:rsidRPr="007923C2">
        <w:rPr>
          <w:rFonts w:ascii="Arial" w:hAnsi="Arial" w:cs="Arial"/>
          <w:color w:val="000000"/>
          <w:sz w:val="22"/>
          <w:szCs w:val="22"/>
        </w:rPr>
        <w:t xml:space="preserve">  Evaluacion del desarrollo y de los resultados del programa.</w:t>
      </w:r>
    </w:p>
    <w:p w14:paraId="3535E823" w14:textId="77777777" w:rsidR="006A1D9E" w:rsidRPr="007923C2" w:rsidRDefault="006A1D9E" w:rsidP="006A1D9E">
      <w:pPr>
        <w:widowControl w:val="0"/>
        <w:autoSpaceDE w:val="0"/>
        <w:autoSpaceDN w:val="0"/>
        <w:adjustRightInd w:val="0"/>
        <w:spacing w:after="0" w:line="89" w:lineRule="exact"/>
        <w:rPr>
          <w:rFonts w:ascii="Arial" w:hAnsi="Arial" w:cs="Arial"/>
          <w:sz w:val="22"/>
          <w:szCs w:val="22"/>
        </w:rPr>
      </w:pPr>
    </w:p>
    <w:p w14:paraId="70176160"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3</w:t>
      </w:r>
      <w:r w:rsidRPr="007923C2">
        <w:rPr>
          <w:rFonts w:ascii="Arial" w:hAnsi="Arial" w:cs="Arial"/>
          <w:color w:val="000000"/>
          <w:sz w:val="22"/>
          <w:szCs w:val="22"/>
          <w:vertAlign w:val="superscript"/>
        </w:rPr>
        <w:t>o</w:t>
      </w:r>
      <w:r w:rsidRPr="007923C2">
        <w:rPr>
          <w:rFonts w:ascii="Arial" w:hAnsi="Arial" w:cs="Arial"/>
          <w:color w:val="000000"/>
          <w:sz w:val="22"/>
          <w:szCs w:val="22"/>
        </w:rPr>
        <w:t xml:space="preserve">  Evaluacion del proceso academico y de sus insumos.</w:t>
      </w:r>
    </w:p>
    <w:p w14:paraId="4BFF97D6" w14:textId="77777777" w:rsidR="006A1D9E" w:rsidRPr="007923C2" w:rsidRDefault="006A1D9E" w:rsidP="006A1D9E">
      <w:pPr>
        <w:widowControl w:val="0"/>
        <w:autoSpaceDE w:val="0"/>
        <w:autoSpaceDN w:val="0"/>
        <w:adjustRightInd w:val="0"/>
        <w:spacing w:after="0" w:line="89" w:lineRule="exact"/>
        <w:rPr>
          <w:rFonts w:ascii="Arial" w:hAnsi="Arial" w:cs="Arial"/>
          <w:sz w:val="22"/>
          <w:szCs w:val="22"/>
        </w:rPr>
      </w:pPr>
    </w:p>
    <w:p w14:paraId="2770BF3D" w14:textId="77777777"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4</w:t>
      </w:r>
      <w:r w:rsidRPr="007923C2">
        <w:rPr>
          <w:rFonts w:ascii="Arial" w:hAnsi="Arial" w:cs="Arial"/>
          <w:color w:val="000000"/>
          <w:sz w:val="22"/>
          <w:szCs w:val="22"/>
          <w:vertAlign w:val="superscript"/>
        </w:rPr>
        <w:t>o</w:t>
      </w:r>
      <w:r w:rsidRPr="007923C2">
        <w:rPr>
          <w:rFonts w:ascii="Arial" w:hAnsi="Arial" w:cs="Arial"/>
          <w:color w:val="000000"/>
          <w:sz w:val="22"/>
          <w:szCs w:val="22"/>
        </w:rPr>
        <w:t xml:space="preserve">  Evaluacion de la administracion academica.</w:t>
      </w:r>
    </w:p>
    <w:p w14:paraId="2B65607A" w14:textId="77777777" w:rsidR="006A1D9E" w:rsidRPr="007923C2" w:rsidRDefault="006A1D9E" w:rsidP="006A1D9E">
      <w:pPr>
        <w:widowControl w:val="0"/>
        <w:autoSpaceDE w:val="0"/>
        <w:autoSpaceDN w:val="0"/>
        <w:adjustRightInd w:val="0"/>
        <w:spacing w:after="0" w:line="270" w:lineRule="exact"/>
        <w:rPr>
          <w:rFonts w:ascii="Arial" w:hAnsi="Arial" w:cs="Arial"/>
          <w:sz w:val="22"/>
          <w:szCs w:val="22"/>
        </w:rPr>
      </w:pPr>
    </w:p>
    <w:p w14:paraId="6B32EF93" w14:textId="77777777" w:rsidR="006A1D9E" w:rsidRPr="007923C2" w:rsidRDefault="006A1D9E" w:rsidP="006A1D9E">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Los comites han establecido marcos de referencia para la evaluacion y han</w:t>
      </w:r>
      <w:r w:rsidR="006D675A">
        <w:rPr>
          <w:rFonts w:ascii="Arial" w:hAnsi="Arial" w:cs="Arial"/>
          <w:color w:val="000000"/>
          <w:sz w:val="22"/>
          <w:szCs w:val="22"/>
        </w:rPr>
        <w:t xml:space="preserve"> fi</w:t>
      </w:r>
      <w:r w:rsidRPr="007923C2">
        <w:rPr>
          <w:rFonts w:ascii="Arial" w:hAnsi="Arial" w:cs="Arial"/>
          <w:color w:val="000000"/>
          <w:sz w:val="22"/>
          <w:szCs w:val="22"/>
        </w:rPr>
        <w:t>jado criterios para realizar sus tareas. Cada comite tiene indicadores particulares, pero casi todos ellos coinciden en el establecimiento de grandes categor</w:t>
      </w:r>
      <w:r w:rsidR="006D675A">
        <w:rPr>
          <w:rFonts w:ascii="Arial" w:hAnsi="Arial" w:cs="Arial"/>
          <w:color w:val="000000"/>
          <w:sz w:val="22"/>
          <w:szCs w:val="22"/>
        </w:rPr>
        <w:t>í</w:t>
      </w:r>
      <w:r w:rsidRPr="007923C2">
        <w:rPr>
          <w:rFonts w:ascii="Arial" w:hAnsi="Arial" w:cs="Arial"/>
          <w:color w:val="000000"/>
          <w:sz w:val="22"/>
          <w:szCs w:val="22"/>
        </w:rPr>
        <w:t>as. A continuacion se listan estas categor</w:t>
      </w:r>
      <w:r w:rsidR="006D675A">
        <w:rPr>
          <w:rFonts w:ascii="Arial" w:hAnsi="Arial" w:cs="Arial"/>
          <w:color w:val="000000"/>
          <w:sz w:val="22"/>
          <w:szCs w:val="22"/>
        </w:rPr>
        <w:t>í</w:t>
      </w:r>
      <w:r w:rsidRPr="007923C2">
        <w:rPr>
          <w:rFonts w:ascii="Arial" w:hAnsi="Arial" w:cs="Arial"/>
          <w:color w:val="000000"/>
          <w:sz w:val="22"/>
          <w:szCs w:val="22"/>
        </w:rPr>
        <w:t>as generales:</w:t>
      </w:r>
    </w:p>
    <w:p w14:paraId="1C1DD0A4" w14:textId="77777777" w:rsidR="006A1D9E" w:rsidRPr="007923C2" w:rsidRDefault="006A1D9E" w:rsidP="006A1D9E">
      <w:pPr>
        <w:widowControl w:val="0"/>
        <w:autoSpaceDE w:val="0"/>
        <w:autoSpaceDN w:val="0"/>
        <w:adjustRightInd w:val="0"/>
        <w:spacing w:after="0" w:line="296" w:lineRule="exact"/>
        <w:rPr>
          <w:rFonts w:ascii="Arial" w:hAnsi="Arial" w:cs="Arial"/>
          <w:sz w:val="22"/>
          <w:szCs w:val="22"/>
        </w:rPr>
      </w:pPr>
    </w:p>
    <w:p w14:paraId="3ED9EF55" w14:textId="5B66674D" w:rsidR="006A1D9E" w:rsidRPr="007923C2" w:rsidRDefault="006A1D9E" w:rsidP="00614BDA">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 xml:space="preserve">Insumos o factores: personal academico, alumnos, infraestructura, aspectos  </w:t>
      </w:r>
      <w:r w:rsidR="00003BDB" w:rsidRPr="007923C2">
        <w:rPr>
          <w:rFonts w:ascii="Arial" w:hAnsi="Arial" w:cs="Arial"/>
          <w:color w:val="000000"/>
          <w:sz w:val="22"/>
          <w:szCs w:val="22"/>
        </w:rPr>
        <w:t>fi</w:t>
      </w:r>
      <w:r w:rsidRPr="007923C2">
        <w:rPr>
          <w:rFonts w:ascii="Arial" w:hAnsi="Arial" w:cs="Arial"/>
          <w:color w:val="000000"/>
          <w:sz w:val="22"/>
          <w:szCs w:val="22"/>
        </w:rPr>
        <w:t>nancieros.</w:t>
      </w:r>
      <w:r w:rsidR="001F23E0">
        <w:rPr>
          <w:rFonts w:ascii="Arial" w:hAnsi="Arial" w:cs="Arial"/>
          <w:noProof/>
          <w:sz w:val="22"/>
          <w:szCs w:val="22"/>
        </w:rPr>
        <mc:AlternateContent>
          <mc:Choice Requires="wps">
            <w:drawing>
              <wp:anchor distT="0" distB="0" distL="114300" distR="114300" simplePos="0" relativeHeight="251876864" behindDoc="1" locked="0" layoutInCell="0" allowOverlap="1" wp14:anchorId="11C98C86" wp14:editId="17315A6B">
                <wp:simplePos x="0" y="0"/>
                <wp:positionH relativeFrom="column">
                  <wp:posOffset>200660</wp:posOffset>
                </wp:positionH>
                <wp:positionV relativeFrom="paragraph">
                  <wp:posOffset>-78740</wp:posOffset>
                </wp:positionV>
                <wp:extent cx="38735" cy="38100"/>
                <wp:effectExtent l="0" t="0" r="0" b="0"/>
                <wp:wrapNone/>
                <wp:docPr id="696" name="Rectángulo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E41CAC" id="Rectángulo 696" o:spid="_x0000_s1026" style="position:absolute;margin-left:15.8pt;margin-top:-6.2pt;width:3.05pt;height:3pt;z-index:-2514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5Y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" o:allowincell="f" stroked="f"/>
            </w:pict>
          </mc:Fallback>
        </mc:AlternateContent>
      </w:r>
    </w:p>
    <w:p w14:paraId="49BF5BDB" w14:textId="77777777" w:rsidR="006A1D9E" w:rsidRPr="007923C2" w:rsidRDefault="006A1D9E" w:rsidP="006A1D9E">
      <w:pPr>
        <w:widowControl w:val="0"/>
        <w:autoSpaceDE w:val="0"/>
        <w:autoSpaceDN w:val="0"/>
        <w:adjustRightInd w:val="0"/>
        <w:spacing w:after="0" w:line="51" w:lineRule="exact"/>
        <w:rPr>
          <w:rFonts w:ascii="Arial" w:hAnsi="Arial" w:cs="Arial"/>
          <w:sz w:val="22"/>
          <w:szCs w:val="22"/>
        </w:rPr>
      </w:pPr>
    </w:p>
    <w:p w14:paraId="4D33C171" w14:textId="77777777"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Procesos academicos: plan de estudios, proceso de ense</w:t>
      </w:r>
      <w:r w:rsidR="006D675A">
        <w:rPr>
          <w:rFonts w:ascii="Arial" w:hAnsi="Arial" w:cs="Arial"/>
          <w:color w:val="000000"/>
          <w:sz w:val="22"/>
          <w:szCs w:val="22"/>
        </w:rPr>
        <w:t>ñ</w:t>
      </w:r>
      <w:r w:rsidRPr="007923C2">
        <w:rPr>
          <w:rFonts w:ascii="Arial" w:hAnsi="Arial" w:cs="Arial"/>
          <w:color w:val="000000"/>
          <w:sz w:val="22"/>
          <w:szCs w:val="22"/>
        </w:rPr>
        <w:t>anza-aprendizaje, normatividad y planeacion academica, administracion academica.</w:t>
      </w:r>
    </w:p>
    <w:p w14:paraId="5590E092" w14:textId="1CD73BF6" w:rsidR="006A1D9E" w:rsidRPr="007923C2" w:rsidRDefault="001F23E0" w:rsidP="00614BDA">
      <w:pPr>
        <w:widowControl w:val="0"/>
        <w:autoSpaceDE w:val="0"/>
        <w:autoSpaceDN w:val="0"/>
        <w:adjustRightInd w:val="0"/>
        <w:spacing w:after="0" w:line="203"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77888" behindDoc="1" locked="0" layoutInCell="0" allowOverlap="1" wp14:anchorId="7C20B396" wp14:editId="731F8FA9">
                <wp:simplePos x="0" y="0"/>
                <wp:positionH relativeFrom="column">
                  <wp:posOffset>200660</wp:posOffset>
                </wp:positionH>
                <wp:positionV relativeFrom="paragraph">
                  <wp:posOffset>-230505</wp:posOffset>
                </wp:positionV>
                <wp:extent cx="38735" cy="38100"/>
                <wp:effectExtent l="0" t="0" r="0" b="0"/>
                <wp:wrapNone/>
                <wp:docPr id="695" name="Rectángulo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B1ED0C" id="Rectángulo 695" o:spid="_x0000_s1026" style="position:absolute;margin-left:15.8pt;margin-top:-18.15pt;width:3.05pt;height:3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1w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S4Q9&#10;cIQCAAD+BAAADgAAAAAAAAAAAAAAAAAuAgAAZHJzL2Uyb0RvYy54bWxQSwECLQAUAAYACAAAACEA&#10;M/C3at0AAAAJAQAADwAAAAAAAAAAAAAAAADeBAAAZHJzL2Rvd25yZXYueG1sUEsFBgAAAAAEAAQA&#10;8wAAAOgFAAAAAA==&#10;" o:allowincell="f" stroked="f"/>
            </w:pict>
          </mc:Fallback>
        </mc:AlternateContent>
      </w:r>
    </w:p>
    <w:p w14:paraId="320416AF" w14:textId="77777777"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Resultados e impacto egresados, areas del conocimiento, difusion del conocimiento, servicios a la comunidad.</w:t>
      </w:r>
    </w:p>
    <w:p w14:paraId="61E702A7" w14:textId="1BF05D99" w:rsidR="006A1D9E" w:rsidRPr="007923C2" w:rsidRDefault="001F23E0" w:rsidP="00614BDA">
      <w:pPr>
        <w:widowControl w:val="0"/>
        <w:autoSpaceDE w:val="0"/>
        <w:autoSpaceDN w:val="0"/>
        <w:adjustRightInd w:val="0"/>
        <w:spacing w:after="0" w:line="203"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78912" behindDoc="1" locked="0" layoutInCell="0" allowOverlap="1" wp14:anchorId="0D968991" wp14:editId="66B72AC3">
                <wp:simplePos x="0" y="0"/>
                <wp:positionH relativeFrom="column">
                  <wp:posOffset>200660</wp:posOffset>
                </wp:positionH>
                <wp:positionV relativeFrom="paragraph">
                  <wp:posOffset>-230505</wp:posOffset>
                </wp:positionV>
                <wp:extent cx="38735" cy="38100"/>
                <wp:effectExtent l="0" t="0" r="0" b="0"/>
                <wp:wrapNone/>
                <wp:docPr id="694" name="Rectángulo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0D4878" id="Rectángulo 694" o:spid="_x0000_s1026" style="position:absolute;margin-left:15.8pt;margin-top:-18.15pt;width:3.05pt;height:3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6Pe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uQ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" o:allowincell="f" stroked="f"/>
            </w:pict>
          </mc:Fallback>
        </mc:AlternateContent>
      </w:r>
    </w:p>
    <w:p w14:paraId="765D9AA7" w14:textId="77777777" w:rsidR="006A1D9E" w:rsidRPr="007923C2" w:rsidRDefault="006A1D9E" w:rsidP="00614BDA">
      <w:pPr>
        <w:widowControl w:val="0"/>
        <w:overflowPunct w:val="0"/>
        <w:autoSpaceDE w:val="0"/>
        <w:autoSpaceDN w:val="0"/>
        <w:adjustRightInd w:val="0"/>
        <w:spacing w:after="0" w:line="256" w:lineRule="auto"/>
        <w:jc w:val="both"/>
        <w:rPr>
          <w:rFonts w:ascii="Arial" w:hAnsi="Arial" w:cs="Arial"/>
          <w:sz w:val="22"/>
          <w:szCs w:val="22"/>
        </w:rPr>
      </w:pPr>
      <w:r w:rsidRPr="007923C2">
        <w:rPr>
          <w:rFonts w:ascii="Arial" w:hAnsi="Arial" w:cs="Arial"/>
          <w:color w:val="000000"/>
          <w:sz w:val="22"/>
          <w:szCs w:val="22"/>
        </w:rPr>
        <w:t>Personal academico: competencia, cali</w:t>
      </w:r>
      <w:r w:rsidR="006D675A">
        <w:rPr>
          <w:rFonts w:ascii="Arial" w:hAnsi="Arial" w:cs="Arial"/>
          <w:color w:val="000000"/>
          <w:sz w:val="22"/>
          <w:szCs w:val="22"/>
        </w:rPr>
        <w:t>fi</w:t>
      </w:r>
      <w:r w:rsidRPr="007923C2">
        <w:rPr>
          <w:rFonts w:ascii="Arial" w:hAnsi="Arial" w:cs="Arial"/>
          <w:color w:val="000000"/>
          <w:sz w:val="22"/>
          <w:szCs w:val="22"/>
        </w:rPr>
        <w:t>cacion, numero de profesores adscritos al programa, tiempo de dedicacion, grados academicos, pertenencia a sociedades cient</w:t>
      </w:r>
      <w:r w:rsidR="008A520F">
        <w:rPr>
          <w:rFonts w:ascii="Arial" w:hAnsi="Arial" w:cs="Arial"/>
          <w:color w:val="000000"/>
          <w:sz w:val="22"/>
          <w:szCs w:val="22"/>
        </w:rPr>
        <w:t>ífi</w:t>
      </w:r>
      <w:r w:rsidRPr="007923C2">
        <w:rPr>
          <w:rFonts w:ascii="Arial" w:hAnsi="Arial" w:cs="Arial"/>
          <w:color w:val="000000"/>
          <w:sz w:val="22"/>
          <w:szCs w:val="22"/>
        </w:rPr>
        <w:t xml:space="preserve"> cas o profesionales, premios y distinciones, numero de a</w:t>
      </w:r>
      <w:r w:rsidR="008A520F">
        <w:rPr>
          <w:rFonts w:ascii="Arial" w:hAnsi="Arial" w:cs="Arial"/>
          <w:color w:val="000000"/>
          <w:sz w:val="22"/>
          <w:szCs w:val="22"/>
        </w:rPr>
        <w:t>ñ</w:t>
      </w:r>
      <w:r w:rsidRPr="007923C2">
        <w:rPr>
          <w:rFonts w:ascii="Arial" w:hAnsi="Arial" w:cs="Arial"/>
          <w:color w:val="000000"/>
          <w:sz w:val="22"/>
          <w:szCs w:val="22"/>
        </w:rPr>
        <w:t>os de experiencia docente, numero de publicaciones en revistas de presti</w:t>
      </w:r>
      <w:r w:rsidR="00AD08B4">
        <w:rPr>
          <w:rFonts w:ascii="Arial" w:hAnsi="Arial" w:cs="Arial"/>
          <w:color w:val="000000"/>
          <w:sz w:val="22"/>
          <w:szCs w:val="22"/>
        </w:rPr>
        <w:t>gio, pertenencia al SNI, antigü</w:t>
      </w:r>
      <w:r w:rsidRPr="007923C2">
        <w:rPr>
          <w:rFonts w:ascii="Arial" w:hAnsi="Arial" w:cs="Arial"/>
          <w:color w:val="000000"/>
          <w:sz w:val="22"/>
          <w:szCs w:val="22"/>
        </w:rPr>
        <w:t>edad, produccion en material didactico, pol</w:t>
      </w:r>
      <w:r w:rsidR="008A520F">
        <w:rPr>
          <w:rFonts w:ascii="Arial" w:hAnsi="Arial" w:cs="Arial"/>
          <w:color w:val="000000"/>
          <w:sz w:val="22"/>
          <w:szCs w:val="22"/>
        </w:rPr>
        <w:t>í</w:t>
      </w:r>
      <w:r w:rsidRPr="007923C2">
        <w:rPr>
          <w:rFonts w:ascii="Arial" w:hAnsi="Arial" w:cs="Arial"/>
          <w:color w:val="000000"/>
          <w:sz w:val="22"/>
          <w:szCs w:val="22"/>
        </w:rPr>
        <w:t>ticas de ingreso, permanencia, promocion y actualizacion, mecanismos de evaluacion del desempeno y de otorgamiento de est mulos.</w:t>
      </w:r>
    </w:p>
    <w:p w14:paraId="0002FEA5" w14:textId="72F24693" w:rsidR="006A1D9E" w:rsidRPr="007923C2" w:rsidRDefault="001F23E0" w:rsidP="00614BDA">
      <w:pPr>
        <w:widowControl w:val="0"/>
        <w:autoSpaceDE w:val="0"/>
        <w:autoSpaceDN w:val="0"/>
        <w:adjustRightInd w:val="0"/>
        <w:spacing w:after="0" w:line="190"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79936" behindDoc="1" locked="0" layoutInCell="0" allowOverlap="1" wp14:anchorId="63282DC1" wp14:editId="0138967F">
                <wp:simplePos x="0" y="0"/>
                <wp:positionH relativeFrom="column">
                  <wp:posOffset>200660</wp:posOffset>
                </wp:positionH>
                <wp:positionV relativeFrom="paragraph">
                  <wp:posOffset>-694690</wp:posOffset>
                </wp:positionV>
                <wp:extent cx="38735" cy="38100"/>
                <wp:effectExtent l="0" t="0" r="0" b="0"/>
                <wp:wrapNone/>
                <wp:docPr id="693" name="Rectángulo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F3049" id="Rectángulo 693" o:spid="_x0000_s1026" style="position:absolute;margin-left:15.8pt;margin-top:-54.7pt;width:3.05pt;height:3pt;z-index:-2514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" o:allowincell="f" stroked="f"/>
            </w:pict>
          </mc:Fallback>
        </mc:AlternateContent>
      </w:r>
    </w:p>
    <w:p w14:paraId="0DEFAABB" w14:textId="77777777" w:rsidR="006A1D9E" w:rsidRPr="007923C2" w:rsidRDefault="006A1D9E" w:rsidP="00AD08B4">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Alumnos: requerimientos de seleccion, desempeno durante el programa, caracter</w:t>
      </w:r>
      <w:r w:rsidR="00003BDB" w:rsidRPr="007923C2">
        <w:rPr>
          <w:rFonts w:ascii="Arial" w:hAnsi="Arial" w:cs="Arial"/>
          <w:color w:val="000000"/>
          <w:sz w:val="22"/>
          <w:szCs w:val="22"/>
        </w:rPr>
        <w:t>i</w:t>
      </w:r>
      <w:r w:rsidRPr="007923C2">
        <w:rPr>
          <w:rFonts w:ascii="Arial" w:hAnsi="Arial" w:cs="Arial"/>
          <w:color w:val="000000"/>
          <w:sz w:val="22"/>
          <w:szCs w:val="22"/>
        </w:rPr>
        <w:t xml:space="preserve">sticas al egresar, </w:t>
      </w:r>
      <w:r w:rsidRPr="007923C2">
        <w:rPr>
          <w:rFonts w:ascii="Arial" w:hAnsi="Arial" w:cs="Arial"/>
          <w:color w:val="000000"/>
          <w:sz w:val="22"/>
          <w:szCs w:val="22"/>
        </w:rPr>
        <w:lastRenderedPageBreak/>
        <w:t>niveles de calidad desarrollados en el proceso de ense</w:t>
      </w:r>
      <w:r w:rsidR="008A520F">
        <w:rPr>
          <w:rFonts w:ascii="Arial" w:hAnsi="Arial" w:cs="Arial"/>
          <w:color w:val="000000"/>
          <w:sz w:val="22"/>
          <w:szCs w:val="22"/>
        </w:rPr>
        <w:t>ñ</w:t>
      </w:r>
      <w:r w:rsidRPr="007923C2">
        <w:rPr>
          <w:rFonts w:ascii="Arial" w:hAnsi="Arial" w:cs="Arial"/>
          <w:color w:val="000000"/>
          <w:sz w:val="22"/>
          <w:szCs w:val="22"/>
        </w:rPr>
        <w:t>anza-aprendizaje.</w:t>
      </w:r>
    </w:p>
    <w:p w14:paraId="3E75708C" w14:textId="247F4AA1" w:rsidR="006A1D9E" w:rsidRPr="007923C2" w:rsidRDefault="001F23E0" w:rsidP="00AD08B4">
      <w:pPr>
        <w:widowControl w:val="0"/>
        <w:autoSpaceDE w:val="0"/>
        <w:autoSpaceDN w:val="0"/>
        <w:adjustRightInd w:val="0"/>
        <w:spacing w:after="0" w:line="203" w:lineRule="exact"/>
        <w:jc w:val="both"/>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80960" behindDoc="1" locked="0" layoutInCell="0" allowOverlap="1" wp14:anchorId="17703A27" wp14:editId="09809275">
                <wp:simplePos x="0" y="0"/>
                <wp:positionH relativeFrom="column">
                  <wp:posOffset>200660</wp:posOffset>
                </wp:positionH>
                <wp:positionV relativeFrom="paragraph">
                  <wp:posOffset>-230505</wp:posOffset>
                </wp:positionV>
                <wp:extent cx="38735" cy="38100"/>
                <wp:effectExtent l="0" t="0" r="0" b="0"/>
                <wp:wrapNone/>
                <wp:docPr id="692" name="Rectángulo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A836A5" id="Rectángulo 692" o:spid="_x0000_s1026" style="position:absolute;margin-left:15.8pt;margin-top:-18.15pt;width:3.05pt;height:3pt;z-index:-2514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XZwF&#10;j4QCAAD+BAAADgAAAAAAAAAAAAAAAAAuAgAAZHJzL2Uyb0RvYy54bWxQSwECLQAUAAYACAAAACEA&#10;M/C3at0AAAAJAQAADwAAAAAAAAAAAAAAAADeBAAAZHJzL2Rvd25yZXYueG1sUEsFBgAAAAAEAAQA&#10;8wAAAOgFAAAAAA==&#10;" o:allowincell="f" stroked="f"/>
            </w:pict>
          </mc:Fallback>
        </mc:AlternateContent>
      </w:r>
    </w:p>
    <w:p w14:paraId="3A6B7D65" w14:textId="77777777" w:rsidR="006A1D9E" w:rsidRPr="007923C2" w:rsidRDefault="006A1D9E" w:rsidP="00AD08B4">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Infraestructura: la infraestructura debera tener las siguientes caracter</w:t>
      </w:r>
      <w:r w:rsidR="00003BDB" w:rsidRPr="007923C2">
        <w:rPr>
          <w:rFonts w:ascii="Arial" w:hAnsi="Arial" w:cs="Arial"/>
          <w:color w:val="000000"/>
          <w:sz w:val="22"/>
          <w:szCs w:val="22"/>
        </w:rPr>
        <w:t>i</w:t>
      </w:r>
      <w:r w:rsidRPr="007923C2">
        <w:rPr>
          <w:rFonts w:ascii="Arial" w:hAnsi="Arial" w:cs="Arial"/>
          <w:color w:val="000000"/>
          <w:sz w:val="22"/>
          <w:szCs w:val="22"/>
        </w:rPr>
        <w:t>sticas: su ciencia, actualidad, participacion del alumnado y mantenimiento adecuado.</w:t>
      </w:r>
    </w:p>
    <w:p w14:paraId="48B65545" w14:textId="5F29229C" w:rsidR="006A1D9E" w:rsidRPr="007923C2" w:rsidRDefault="001F23E0" w:rsidP="00AD08B4">
      <w:pPr>
        <w:widowControl w:val="0"/>
        <w:autoSpaceDE w:val="0"/>
        <w:autoSpaceDN w:val="0"/>
        <w:adjustRightInd w:val="0"/>
        <w:spacing w:after="0" w:line="203" w:lineRule="exact"/>
        <w:jc w:val="both"/>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81984" behindDoc="1" locked="0" layoutInCell="0" allowOverlap="1" wp14:anchorId="4773B95E" wp14:editId="2EAA87D1">
                <wp:simplePos x="0" y="0"/>
                <wp:positionH relativeFrom="column">
                  <wp:posOffset>200660</wp:posOffset>
                </wp:positionH>
                <wp:positionV relativeFrom="paragraph">
                  <wp:posOffset>-230505</wp:posOffset>
                </wp:positionV>
                <wp:extent cx="38735" cy="38100"/>
                <wp:effectExtent l="0" t="0" r="0" b="0"/>
                <wp:wrapNone/>
                <wp:docPr id="691" name="Rectángulo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811E3D" id="Rectángulo 691" o:spid="_x0000_s1026" style="position:absolute;margin-left:15.8pt;margin-top:-18.15pt;width:3.05pt;height:3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JPW&#10;p4QCAAD+BAAADgAAAAAAAAAAAAAAAAAuAgAAZHJzL2Uyb0RvYy54bWxQSwECLQAUAAYACAAAACEA&#10;M/C3at0AAAAJAQAADwAAAAAAAAAAAAAAAADeBAAAZHJzL2Rvd25yZXYueG1sUEsFBgAAAAAEAAQA&#10;8wAAAOgFAAAAAA==&#10;" o:allowincell="f" stroked="f"/>
            </w:pict>
          </mc:Fallback>
        </mc:AlternateContent>
      </w:r>
    </w:p>
    <w:p w14:paraId="15F22025" w14:textId="77777777" w:rsidR="006A1D9E" w:rsidRPr="007923C2" w:rsidRDefault="006A1D9E" w:rsidP="00AD08B4">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 xml:space="preserve">Aspectos </w:t>
      </w:r>
      <w:r w:rsidR="008A520F">
        <w:rPr>
          <w:rFonts w:ascii="Arial" w:hAnsi="Arial" w:cs="Arial"/>
          <w:color w:val="000000"/>
          <w:sz w:val="22"/>
          <w:szCs w:val="22"/>
        </w:rPr>
        <w:t>fi</w:t>
      </w:r>
      <w:r w:rsidRPr="007923C2">
        <w:rPr>
          <w:rFonts w:ascii="Arial" w:hAnsi="Arial" w:cs="Arial"/>
          <w:color w:val="000000"/>
          <w:sz w:val="22"/>
          <w:szCs w:val="22"/>
        </w:rPr>
        <w:t xml:space="preserve">nancieros: su ciencia en el monto del </w:t>
      </w:r>
      <w:r w:rsidR="008A520F">
        <w:rPr>
          <w:rFonts w:ascii="Arial" w:hAnsi="Arial" w:cs="Arial"/>
          <w:color w:val="000000"/>
          <w:sz w:val="22"/>
          <w:szCs w:val="22"/>
        </w:rPr>
        <w:t>fi</w:t>
      </w:r>
      <w:r w:rsidRPr="007923C2">
        <w:rPr>
          <w:rFonts w:ascii="Arial" w:hAnsi="Arial" w:cs="Arial"/>
          <w:color w:val="000000"/>
          <w:sz w:val="22"/>
          <w:szCs w:val="22"/>
        </w:rPr>
        <w:t xml:space="preserve">nanciamiento para cubrir nominas e inversiones y gastos de operacion, equilibrio en las partidas y las fuentes de donde provienen. Contar con una solida planeacion </w:t>
      </w:r>
      <w:r w:rsidR="008A520F">
        <w:rPr>
          <w:rFonts w:ascii="Arial" w:hAnsi="Arial" w:cs="Arial"/>
          <w:color w:val="000000"/>
          <w:sz w:val="22"/>
          <w:szCs w:val="22"/>
        </w:rPr>
        <w:t>fi</w:t>
      </w:r>
      <w:r w:rsidRPr="007923C2">
        <w:rPr>
          <w:rFonts w:ascii="Arial" w:hAnsi="Arial" w:cs="Arial"/>
          <w:color w:val="000000"/>
          <w:sz w:val="22"/>
          <w:szCs w:val="22"/>
        </w:rPr>
        <w:t>nanciera.</w:t>
      </w:r>
    </w:p>
    <w:p w14:paraId="04C7EA63" w14:textId="7392BDC8" w:rsidR="006A1D9E" w:rsidRPr="007923C2" w:rsidRDefault="001F23E0" w:rsidP="00AD08B4">
      <w:pPr>
        <w:widowControl w:val="0"/>
        <w:autoSpaceDE w:val="0"/>
        <w:autoSpaceDN w:val="0"/>
        <w:adjustRightInd w:val="0"/>
        <w:spacing w:after="0" w:line="204" w:lineRule="exact"/>
        <w:jc w:val="both"/>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83008" behindDoc="1" locked="0" layoutInCell="0" allowOverlap="1" wp14:anchorId="3D9B24C3" wp14:editId="64A6F1AF">
                <wp:simplePos x="0" y="0"/>
                <wp:positionH relativeFrom="column">
                  <wp:posOffset>200660</wp:posOffset>
                </wp:positionH>
                <wp:positionV relativeFrom="paragraph">
                  <wp:posOffset>-381635</wp:posOffset>
                </wp:positionV>
                <wp:extent cx="38735" cy="38100"/>
                <wp:effectExtent l="0" t="0" r="0" b="0"/>
                <wp:wrapNone/>
                <wp:docPr id="690" name="Rectángulo 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D42D45" id="Rectángulo 690" o:spid="_x0000_s1026" style="position:absolute;margin-left:15.8pt;margin-top:-30.05pt;width:3.05pt;height:3pt;z-index:-2514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EgJ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" o:allowincell="f" stroked="f"/>
            </w:pict>
          </mc:Fallback>
        </mc:AlternateContent>
      </w:r>
    </w:p>
    <w:p w14:paraId="04777B43" w14:textId="77777777" w:rsidR="006A1D9E" w:rsidRPr="007923C2" w:rsidRDefault="006A1D9E" w:rsidP="00AD08B4">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Plan de estudios: caracter</w:t>
      </w:r>
      <w:r w:rsidR="008A520F">
        <w:rPr>
          <w:rFonts w:ascii="Arial" w:hAnsi="Arial" w:cs="Arial"/>
          <w:color w:val="000000"/>
          <w:sz w:val="22"/>
          <w:szCs w:val="22"/>
        </w:rPr>
        <w:t>í</w:t>
      </w:r>
      <w:r w:rsidRPr="007923C2">
        <w:rPr>
          <w:rFonts w:ascii="Arial" w:hAnsi="Arial" w:cs="Arial"/>
          <w:color w:val="000000"/>
          <w:sz w:val="22"/>
          <w:szCs w:val="22"/>
        </w:rPr>
        <w:t>sticas, extension y profundidad con el conocimiento que se transmite al alumno; as</w:t>
      </w:r>
      <w:r w:rsidR="008A520F">
        <w:rPr>
          <w:rFonts w:ascii="Arial" w:hAnsi="Arial" w:cs="Arial"/>
          <w:color w:val="000000"/>
          <w:sz w:val="22"/>
          <w:szCs w:val="22"/>
        </w:rPr>
        <w:t>í</w:t>
      </w:r>
      <w:r w:rsidRPr="007923C2">
        <w:rPr>
          <w:rFonts w:ascii="Arial" w:hAnsi="Arial" w:cs="Arial"/>
          <w:color w:val="000000"/>
          <w:sz w:val="22"/>
          <w:szCs w:val="22"/>
        </w:rPr>
        <w:t xml:space="preserve"> como los niveles de comportamiento esperados, materiales de apoyo, estrategias, valores y habilidades que el alumno debe desarrollar.</w:t>
      </w:r>
    </w:p>
    <w:p w14:paraId="76C05BA7" w14:textId="2BFB2B3C" w:rsidR="006A1D9E" w:rsidRPr="007923C2" w:rsidRDefault="001F23E0" w:rsidP="00AD08B4">
      <w:pPr>
        <w:widowControl w:val="0"/>
        <w:autoSpaceDE w:val="0"/>
        <w:autoSpaceDN w:val="0"/>
        <w:adjustRightInd w:val="0"/>
        <w:spacing w:after="0" w:line="204" w:lineRule="exact"/>
        <w:jc w:val="both"/>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84032" behindDoc="1" locked="0" layoutInCell="0" allowOverlap="1" wp14:anchorId="03DE2FF9" wp14:editId="7185903B">
                <wp:simplePos x="0" y="0"/>
                <wp:positionH relativeFrom="column">
                  <wp:posOffset>200660</wp:posOffset>
                </wp:positionH>
                <wp:positionV relativeFrom="paragraph">
                  <wp:posOffset>-381635</wp:posOffset>
                </wp:positionV>
                <wp:extent cx="38735" cy="38100"/>
                <wp:effectExtent l="0" t="0" r="0" b="0"/>
                <wp:wrapNone/>
                <wp:docPr id="689" name="Rectángulo 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A8F7D4" id="Rectángulo 689" o:spid="_x0000_s1026" style="position:absolute;margin-left:15.8pt;margin-top:-30.05pt;width:3.05pt;height:3pt;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QKx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" o:allowincell="f" stroked="f"/>
            </w:pict>
          </mc:Fallback>
        </mc:AlternateContent>
      </w:r>
    </w:p>
    <w:p w14:paraId="4C891D36" w14:textId="77777777" w:rsidR="006A1D9E" w:rsidRPr="007923C2" w:rsidRDefault="006A1D9E" w:rsidP="00AD08B4">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Proceso de ense</w:t>
      </w:r>
      <w:r w:rsidR="008A520F">
        <w:rPr>
          <w:rFonts w:ascii="Arial" w:hAnsi="Arial" w:cs="Arial"/>
          <w:color w:val="000000"/>
          <w:sz w:val="22"/>
          <w:szCs w:val="22"/>
        </w:rPr>
        <w:t>ñ</w:t>
      </w:r>
      <w:r w:rsidRPr="007923C2">
        <w:rPr>
          <w:rFonts w:ascii="Arial" w:hAnsi="Arial" w:cs="Arial"/>
          <w:color w:val="000000"/>
          <w:sz w:val="22"/>
          <w:szCs w:val="22"/>
        </w:rPr>
        <w:t>anza-aprendizaje: tipo de metodolog as de ense~nanza empleadas; mecanismos de evaluacion del nivel de aprendizaje de los alumnos.</w:t>
      </w:r>
    </w:p>
    <w:p w14:paraId="43329116" w14:textId="423A6503" w:rsidR="006A1D9E" w:rsidRPr="007923C2" w:rsidRDefault="001F23E0" w:rsidP="00AD08B4">
      <w:pPr>
        <w:widowControl w:val="0"/>
        <w:autoSpaceDE w:val="0"/>
        <w:autoSpaceDN w:val="0"/>
        <w:adjustRightInd w:val="0"/>
        <w:spacing w:after="0" w:line="203" w:lineRule="exact"/>
        <w:jc w:val="both"/>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85056" behindDoc="1" locked="0" layoutInCell="0" allowOverlap="1" wp14:anchorId="7DE322D8" wp14:editId="2E710E32">
                <wp:simplePos x="0" y="0"/>
                <wp:positionH relativeFrom="column">
                  <wp:posOffset>200660</wp:posOffset>
                </wp:positionH>
                <wp:positionV relativeFrom="paragraph">
                  <wp:posOffset>-230505</wp:posOffset>
                </wp:positionV>
                <wp:extent cx="38735" cy="38100"/>
                <wp:effectExtent l="0" t="0" r="0" b="0"/>
                <wp:wrapNone/>
                <wp:docPr id="688" name="Rectángulo 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9A2704" id="Rectángulo 688" o:spid="_x0000_s1026" style="position:absolute;margin-left:15.8pt;margin-top:-18.15pt;width:3.05pt;height:3pt;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wf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Wz6c&#10;H4QCAAD+BAAADgAAAAAAAAAAAAAAAAAuAgAAZHJzL2Uyb0RvYy54bWxQSwECLQAUAAYACAAAACEA&#10;M/C3at0AAAAJAQAADwAAAAAAAAAAAAAAAADeBAAAZHJzL2Rvd25yZXYueG1sUEsFBgAAAAAEAAQA&#10;8wAAAOgFAAAAAA==&#10;" o:allowincell="f" stroked="f"/>
            </w:pict>
          </mc:Fallback>
        </mc:AlternateContent>
      </w:r>
    </w:p>
    <w:p w14:paraId="05F4C520" w14:textId="77777777" w:rsidR="006A1D9E" w:rsidRPr="007923C2" w:rsidRDefault="006A1D9E" w:rsidP="00AD08B4">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Normatividad y planeacion academica: su ciencia de reglamentacion y establecimiento de un plan de desarrollo academico.</w:t>
      </w:r>
    </w:p>
    <w:p w14:paraId="1A3AFEB8" w14:textId="29B54075" w:rsidR="006A1D9E" w:rsidRPr="007923C2" w:rsidRDefault="001F23E0" w:rsidP="00AD08B4">
      <w:pPr>
        <w:widowControl w:val="0"/>
        <w:autoSpaceDE w:val="0"/>
        <w:autoSpaceDN w:val="0"/>
        <w:adjustRightInd w:val="0"/>
        <w:spacing w:after="0" w:line="203" w:lineRule="exact"/>
        <w:jc w:val="both"/>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86080" behindDoc="1" locked="0" layoutInCell="0" allowOverlap="1" wp14:anchorId="0DBCABF0" wp14:editId="1D1AD6F5">
                <wp:simplePos x="0" y="0"/>
                <wp:positionH relativeFrom="column">
                  <wp:posOffset>200660</wp:posOffset>
                </wp:positionH>
                <wp:positionV relativeFrom="paragraph">
                  <wp:posOffset>-230505</wp:posOffset>
                </wp:positionV>
                <wp:extent cx="38735" cy="38100"/>
                <wp:effectExtent l="0" t="0" r="0" b="0"/>
                <wp:wrapNone/>
                <wp:docPr id="687" name="Rectángulo 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6E44AB" id="Rectángulo 687" o:spid="_x0000_s1026" style="position:absolute;margin-left:15.8pt;margin-top:-18.15pt;width:3.05pt;height:3pt;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wOU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ag8D&#10;lIQCAAD+BAAADgAAAAAAAAAAAAAAAAAuAgAAZHJzL2Uyb0RvYy54bWxQSwECLQAUAAYACAAAACEA&#10;M/C3at0AAAAJAQAADwAAAAAAAAAAAAAAAADeBAAAZHJzL2Rvd25yZXYueG1sUEsFBgAAAAAEAAQA&#10;8wAAAOgFAAAAAA==&#10;" o:allowincell="f" stroked="f"/>
            </w:pict>
          </mc:Fallback>
        </mc:AlternateContent>
      </w:r>
    </w:p>
    <w:p w14:paraId="644AA51E" w14:textId="77777777"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Administracion academica: que prevalezca lo academico sobre lo administrativo; contar con una organizacion de</w:t>
      </w:r>
      <w:r w:rsidR="008A520F">
        <w:rPr>
          <w:rFonts w:ascii="Arial" w:hAnsi="Arial" w:cs="Arial"/>
          <w:color w:val="000000"/>
          <w:sz w:val="22"/>
          <w:szCs w:val="22"/>
        </w:rPr>
        <w:t>fi</w:t>
      </w:r>
      <w:r w:rsidRPr="007923C2">
        <w:rPr>
          <w:rFonts w:ascii="Arial" w:hAnsi="Arial" w:cs="Arial"/>
          <w:color w:val="000000"/>
          <w:sz w:val="22"/>
          <w:szCs w:val="22"/>
        </w:rPr>
        <w:t>nida y adecuada.</w:t>
      </w:r>
    </w:p>
    <w:p w14:paraId="1EAD6CA8" w14:textId="165F6B06" w:rsidR="006A1D9E" w:rsidRPr="007923C2" w:rsidRDefault="001F23E0" w:rsidP="00614BDA">
      <w:pPr>
        <w:widowControl w:val="0"/>
        <w:autoSpaceDE w:val="0"/>
        <w:autoSpaceDN w:val="0"/>
        <w:adjustRightInd w:val="0"/>
        <w:spacing w:after="0" w:line="203"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87104" behindDoc="1" locked="0" layoutInCell="0" allowOverlap="1" wp14:anchorId="1A1CC638" wp14:editId="6B14C1E5">
                <wp:simplePos x="0" y="0"/>
                <wp:positionH relativeFrom="column">
                  <wp:posOffset>200660</wp:posOffset>
                </wp:positionH>
                <wp:positionV relativeFrom="paragraph">
                  <wp:posOffset>-230505</wp:posOffset>
                </wp:positionV>
                <wp:extent cx="38735" cy="38100"/>
                <wp:effectExtent l="0" t="0" r="0" b="0"/>
                <wp:wrapNone/>
                <wp:docPr id="686" name="Rectángulo 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5BDDDC" id="Rectángulo 686" o:spid="_x0000_s1026" style="position:absolute;margin-left:15.8pt;margin-top:-18.15pt;width:3.05pt;height:3pt;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J06hQ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" o:allowincell="f" stroked="f"/>
            </w:pict>
          </mc:Fallback>
        </mc:AlternateContent>
      </w:r>
    </w:p>
    <w:p w14:paraId="7E2E2D10" w14:textId="77777777"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 xml:space="preserve">Egresados: reglamentacion del proceso de titulacion, </w:t>
      </w:r>
      <w:r w:rsidR="008A520F">
        <w:rPr>
          <w:rFonts w:ascii="Arial" w:hAnsi="Arial" w:cs="Arial"/>
          <w:color w:val="000000"/>
          <w:sz w:val="22"/>
          <w:szCs w:val="22"/>
        </w:rPr>
        <w:t>í</w:t>
      </w:r>
      <w:r w:rsidRPr="007923C2">
        <w:rPr>
          <w:rFonts w:ascii="Arial" w:hAnsi="Arial" w:cs="Arial"/>
          <w:color w:val="000000"/>
          <w:sz w:val="22"/>
          <w:szCs w:val="22"/>
        </w:rPr>
        <w:t>ndice de deserci</w:t>
      </w:r>
      <w:r w:rsidR="008A520F">
        <w:rPr>
          <w:rFonts w:ascii="Arial" w:hAnsi="Arial" w:cs="Arial"/>
          <w:color w:val="000000"/>
          <w:sz w:val="22"/>
          <w:szCs w:val="22"/>
        </w:rPr>
        <w:t>ó</w:t>
      </w:r>
      <w:r w:rsidRPr="007923C2">
        <w:rPr>
          <w:rFonts w:ascii="Arial" w:hAnsi="Arial" w:cs="Arial"/>
          <w:color w:val="000000"/>
          <w:sz w:val="22"/>
          <w:szCs w:val="22"/>
        </w:rPr>
        <w:t>n, descripcion del per</w:t>
      </w:r>
      <w:r w:rsidR="008A520F">
        <w:rPr>
          <w:rFonts w:ascii="Arial" w:hAnsi="Arial" w:cs="Arial"/>
          <w:color w:val="000000"/>
          <w:sz w:val="22"/>
          <w:szCs w:val="22"/>
        </w:rPr>
        <w:t>fi</w:t>
      </w:r>
      <w:r w:rsidRPr="007923C2">
        <w:rPr>
          <w:rFonts w:ascii="Arial" w:hAnsi="Arial" w:cs="Arial"/>
          <w:color w:val="000000"/>
          <w:sz w:val="22"/>
          <w:szCs w:val="22"/>
        </w:rPr>
        <w:t>l del egresado, n</w:t>
      </w:r>
      <w:r w:rsidR="008A520F">
        <w:rPr>
          <w:rFonts w:ascii="Arial" w:hAnsi="Arial" w:cs="Arial"/>
          <w:color w:val="000000"/>
          <w:sz w:val="22"/>
          <w:szCs w:val="22"/>
        </w:rPr>
        <w:t>ú</w:t>
      </w:r>
      <w:r w:rsidRPr="007923C2">
        <w:rPr>
          <w:rFonts w:ascii="Arial" w:hAnsi="Arial" w:cs="Arial"/>
          <w:color w:val="000000"/>
          <w:sz w:val="22"/>
          <w:szCs w:val="22"/>
        </w:rPr>
        <w:t>mero de egresados y de titulados as</w:t>
      </w:r>
      <w:r w:rsidR="008A520F">
        <w:rPr>
          <w:rFonts w:ascii="Arial" w:hAnsi="Arial" w:cs="Arial"/>
          <w:color w:val="000000"/>
          <w:sz w:val="22"/>
          <w:szCs w:val="22"/>
        </w:rPr>
        <w:t>í</w:t>
      </w:r>
      <w:r w:rsidRPr="007923C2">
        <w:rPr>
          <w:rFonts w:ascii="Arial" w:hAnsi="Arial" w:cs="Arial"/>
          <w:color w:val="000000"/>
          <w:sz w:val="22"/>
          <w:szCs w:val="22"/>
        </w:rPr>
        <w:t xml:space="preserve"> como, seguimiento de egresados.</w:t>
      </w:r>
    </w:p>
    <w:p w14:paraId="4C83BC51" w14:textId="72FF2706" w:rsidR="006A1D9E" w:rsidRPr="007923C2" w:rsidRDefault="001F23E0" w:rsidP="00614BDA">
      <w:pPr>
        <w:widowControl w:val="0"/>
        <w:autoSpaceDE w:val="0"/>
        <w:autoSpaceDN w:val="0"/>
        <w:adjustRightInd w:val="0"/>
        <w:spacing w:after="0" w:line="203"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88128" behindDoc="1" locked="0" layoutInCell="0" allowOverlap="1" wp14:anchorId="5CED1661" wp14:editId="46EFA7A4">
                <wp:simplePos x="0" y="0"/>
                <wp:positionH relativeFrom="column">
                  <wp:posOffset>200660</wp:posOffset>
                </wp:positionH>
                <wp:positionV relativeFrom="paragraph">
                  <wp:posOffset>-230505</wp:posOffset>
                </wp:positionV>
                <wp:extent cx="38735" cy="38100"/>
                <wp:effectExtent l="0" t="0" r="0" b="0"/>
                <wp:wrapNone/>
                <wp:docPr id="685" name="Rectángulo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F54EE3" id="Rectángulo 685" o:spid="_x0000_s1026" style="position:absolute;margin-left:15.8pt;margin-top:-18.15pt;width:3.05pt;height:3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04S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kwdO&#10;EoQCAAD+BAAADgAAAAAAAAAAAAAAAAAuAgAAZHJzL2Uyb0RvYy54bWxQSwECLQAUAAYACAAAACEA&#10;M/C3at0AAAAJAQAADwAAAAAAAAAAAAAAAADeBAAAZHJzL2Rvd25yZXYueG1sUEsFBgAAAAAEAAQA&#10;8wAAAOgFAAAAAA==&#10;" o:allowincell="f" stroked="f"/>
            </w:pict>
          </mc:Fallback>
        </mc:AlternateContent>
      </w:r>
    </w:p>
    <w:p w14:paraId="74DC52DA" w14:textId="77777777"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Difusion del conocimiento: participacion externa en las instancias de planeacion, desarrollo y revision de planes y programas de estudio.</w:t>
      </w:r>
    </w:p>
    <w:p w14:paraId="436376D2" w14:textId="7249CC73" w:rsidR="006A1D9E" w:rsidRPr="007923C2" w:rsidRDefault="001F23E0" w:rsidP="00614BDA">
      <w:pPr>
        <w:widowControl w:val="0"/>
        <w:autoSpaceDE w:val="0"/>
        <w:autoSpaceDN w:val="0"/>
        <w:adjustRightInd w:val="0"/>
        <w:spacing w:after="0" w:line="203"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89152" behindDoc="1" locked="0" layoutInCell="0" allowOverlap="1" wp14:anchorId="0E805E62" wp14:editId="135D0307">
                <wp:simplePos x="0" y="0"/>
                <wp:positionH relativeFrom="column">
                  <wp:posOffset>200660</wp:posOffset>
                </wp:positionH>
                <wp:positionV relativeFrom="paragraph">
                  <wp:posOffset>-230505</wp:posOffset>
                </wp:positionV>
                <wp:extent cx="38735" cy="38100"/>
                <wp:effectExtent l="0" t="0" r="0" b="0"/>
                <wp:wrapNone/>
                <wp:docPr id="684" name="Rectángulo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12B90" id="Rectángulo 684" o:spid="_x0000_s1026" style="position:absolute;margin-left:15.8pt;margin-top:-18.15pt;width:3.05pt;height:3pt;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NC8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zwDQ&#10;vIQCAAD+BAAADgAAAAAAAAAAAAAAAAAuAgAAZHJzL2Uyb0RvYy54bWxQSwECLQAUAAYACAAAACEA&#10;M/C3at0AAAAJAQAADwAAAAAAAAAAAAAAAADeBAAAZHJzL2Rvd25yZXYueG1sUEsFBgAAAAAEAAQA&#10;8wAAAOgFAAAAAA==&#10;" o:allowincell="f" stroked="f"/>
            </w:pict>
          </mc:Fallback>
        </mc:AlternateContent>
      </w:r>
    </w:p>
    <w:p w14:paraId="59D2396B" w14:textId="77777777"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Servicios a la comunidad mecanismos, personas y organismos de vinculacion con los sectores cient cos, educativo, social y productivo; as como el seguimiento y la valoracion de los resultados.</w:t>
      </w:r>
    </w:p>
    <w:p w14:paraId="70F1A39F" w14:textId="708A1BD1" w:rsidR="006A1D9E" w:rsidRPr="007923C2" w:rsidRDefault="001F23E0" w:rsidP="006A1D9E">
      <w:pPr>
        <w:widowControl w:val="0"/>
        <w:autoSpaceDE w:val="0"/>
        <w:autoSpaceDN w:val="0"/>
        <w:adjustRightInd w:val="0"/>
        <w:spacing w:after="0" w:line="328" w:lineRule="exact"/>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90176" behindDoc="1" locked="0" layoutInCell="0" allowOverlap="1" wp14:anchorId="6DB19297" wp14:editId="1F2BDB55">
                <wp:simplePos x="0" y="0"/>
                <wp:positionH relativeFrom="column">
                  <wp:posOffset>200660</wp:posOffset>
                </wp:positionH>
                <wp:positionV relativeFrom="paragraph">
                  <wp:posOffset>-230505</wp:posOffset>
                </wp:positionV>
                <wp:extent cx="38735" cy="38100"/>
                <wp:effectExtent l="0" t="0" r="0" b="0"/>
                <wp:wrapNone/>
                <wp:docPr id="683" name="Rectángulo 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 cy="38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13D11" id="Rectángulo 683" o:spid="_x0000_s1026" style="position:absolute;margin-left:15.8pt;margin-top:-18.15pt;width:3.05pt;height:3pt;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2Rjo&#10;Q4QCAAD+BAAADgAAAAAAAAAAAAAAAAAuAgAAZHJzL2Uyb0RvYy54bWxQSwECLQAUAAYACAAAACEA&#10;M/C3at0AAAAJAQAADwAAAAAAAAAAAAAAAADeBAAAZHJzL2Rvd25yZXYueG1sUEsFBgAAAAAEAAQA&#10;8wAAAOgFAAAAAA==&#10;" o:allowincell="f" stroked="f"/>
            </w:pict>
          </mc:Fallback>
        </mc:AlternateContent>
      </w:r>
    </w:p>
    <w:p w14:paraId="011EFE3B" w14:textId="77777777" w:rsidR="006A1D9E" w:rsidRPr="007923C2" w:rsidRDefault="006A1D9E" w:rsidP="006A1D9E">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Desde la instalacion de los CIESS y a partir de la iniciacion de sus trabajos, en junio de 1991, hasta octubre de 1993, se elaboraron 38 reportes de evaluacion; estan por editarse 28 evaluaciones concluidas, y 73, en proceso de elaboracion. Lo que hace un total de 139 trabajos de evaluacion.</w:t>
      </w:r>
    </w:p>
    <w:p w14:paraId="1D0BCD77"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68D61244" w14:textId="77777777" w:rsidR="006A1D9E" w:rsidRPr="007923C2" w:rsidRDefault="006A1D9E" w:rsidP="006A1D9E">
      <w:pPr>
        <w:widowControl w:val="0"/>
        <w:overflowPunct w:val="0"/>
        <w:autoSpaceDE w:val="0"/>
        <w:autoSpaceDN w:val="0"/>
        <w:adjustRightInd w:val="0"/>
        <w:spacing w:after="0" w:line="264" w:lineRule="auto"/>
        <w:jc w:val="both"/>
        <w:rPr>
          <w:rFonts w:ascii="Arial" w:hAnsi="Arial" w:cs="Arial"/>
          <w:sz w:val="22"/>
          <w:szCs w:val="22"/>
        </w:rPr>
      </w:pPr>
      <w:r w:rsidRPr="007923C2">
        <w:rPr>
          <w:rFonts w:ascii="Arial" w:hAnsi="Arial" w:cs="Arial"/>
          <w:color w:val="000000"/>
          <w:sz w:val="22"/>
          <w:szCs w:val="22"/>
        </w:rPr>
        <w:t>Veintiocho instituciones de educacion superior se han bene</w:t>
      </w:r>
      <w:r w:rsidR="008A520F">
        <w:rPr>
          <w:rFonts w:ascii="Arial" w:hAnsi="Arial" w:cs="Arial"/>
          <w:color w:val="000000"/>
          <w:sz w:val="22"/>
          <w:szCs w:val="22"/>
        </w:rPr>
        <w:t>fi</w:t>
      </w:r>
      <w:r w:rsidRPr="007923C2">
        <w:rPr>
          <w:rFonts w:ascii="Arial" w:hAnsi="Arial" w:cs="Arial"/>
          <w:color w:val="000000"/>
          <w:sz w:val="22"/>
          <w:szCs w:val="22"/>
        </w:rPr>
        <w:t>ciado con evaluaciones de programas hasta septiembre de 1993 de estas, 18 son universidades p</w:t>
      </w:r>
      <w:r w:rsidR="008A520F">
        <w:rPr>
          <w:rFonts w:ascii="Arial" w:hAnsi="Arial" w:cs="Arial"/>
          <w:color w:val="000000"/>
          <w:sz w:val="22"/>
          <w:szCs w:val="22"/>
        </w:rPr>
        <w:t>ú</w:t>
      </w:r>
      <w:r w:rsidRPr="007923C2">
        <w:rPr>
          <w:rFonts w:ascii="Arial" w:hAnsi="Arial" w:cs="Arial"/>
          <w:color w:val="000000"/>
          <w:sz w:val="22"/>
          <w:szCs w:val="22"/>
        </w:rPr>
        <w:t>blicas; 8 son instituciones de educaci</w:t>
      </w:r>
      <w:r w:rsidR="008A520F">
        <w:rPr>
          <w:rFonts w:ascii="Arial" w:hAnsi="Arial" w:cs="Arial"/>
          <w:color w:val="000000"/>
          <w:sz w:val="22"/>
          <w:szCs w:val="22"/>
        </w:rPr>
        <w:t>ó</w:t>
      </w:r>
      <w:r w:rsidRPr="007923C2">
        <w:rPr>
          <w:rFonts w:ascii="Arial" w:hAnsi="Arial" w:cs="Arial"/>
          <w:color w:val="000000"/>
          <w:sz w:val="22"/>
          <w:szCs w:val="22"/>
        </w:rPr>
        <w:t>n superior tecnologica</w:t>
      </w:r>
    </w:p>
    <w:p w14:paraId="77879D58" w14:textId="77777777" w:rsidR="006A1D9E" w:rsidRPr="007923C2" w:rsidRDefault="006A1D9E" w:rsidP="006A1D9E">
      <w:pPr>
        <w:widowControl w:val="0"/>
        <w:autoSpaceDE w:val="0"/>
        <w:autoSpaceDN w:val="0"/>
        <w:adjustRightInd w:val="0"/>
        <w:spacing w:after="0" w:line="228" w:lineRule="auto"/>
        <w:rPr>
          <w:rFonts w:ascii="Arial" w:hAnsi="Arial" w:cs="Arial"/>
          <w:sz w:val="22"/>
          <w:szCs w:val="22"/>
        </w:rPr>
      </w:pPr>
      <w:r w:rsidRPr="007923C2">
        <w:rPr>
          <w:rFonts w:ascii="Arial" w:hAnsi="Arial" w:cs="Arial"/>
          <w:color w:val="000000"/>
          <w:sz w:val="22"/>
          <w:szCs w:val="22"/>
        </w:rPr>
        <w:t>y 2 de otra naturaleza.</w:t>
      </w:r>
    </w:p>
    <w:p w14:paraId="28AC2B03" w14:textId="77777777" w:rsidR="006A1D9E" w:rsidRPr="007923C2" w:rsidRDefault="006A1D9E" w:rsidP="006A1D9E">
      <w:pPr>
        <w:widowControl w:val="0"/>
        <w:autoSpaceDE w:val="0"/>
        <w:autoSpaceDN w:val="0"/>
        <w:adjustRightInd w:val="0"/>
        <w:spacing w:after="0" w:line="129" w:lineRule="exact"/>
        <w:rPr>
          <w:rFonts w:ascii="Arial" w:hAnsi="Arial" w:cs="Arial"/>
          <w:sz w:val="22"/>
          <w:szCs w:val="22"/>
        </w:rPr>
      </w:pPr>
    </w:p>
    <w:p w14:paraId="6FFAD73F" w14:textId="77777777"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Estos trabajos de los CIEES, en la l</w:t>
      </w:r>
      <w:r w:rsidR="00003BDB" w:rsidRPr="007923C2">
        <w:rPr>
          <w:rFonts w:ascii="Arial" w:hAnsi="Arial" w:cs="Arial"/>
          <w:color w:val="000000"/>
          <w:sz w:val="22"/>
          <w:szCs w:val="22"/>
        </w:rPr>
        <w:t>i</w:t>
      </w:r>
      <w:r w:rsidRPr="007923C2">
        <w:rPr>
          <w:rFonts w:ascii="Arial" w:hAnsi="Arial" w:cs="Arial"/>
          <w:color w:val="000000"/>
          <w:sz w:val="22"/>
          <w:szCs w:val="22"/>
        </w:rPr>
        <w:t>nea de la evaluacion diagnostica son un paso importante que contribuye a aportar criterios para la acreditacion institucional y para la acreditacion de programas.</w:t>
      </w:r>
    </w:p>
    <w:p w14:paraId="05207ED5" w14:textId="77777777" w:rsidR="006A1D9E" w:rsidRPr="007923C2" w:rsidRDefault="006A1D9E" w:rsidP="006A1D9E">
      <w:pPr>
        <w:widowControl w:val="0"/>
        <w:autoSpaceDE w:val="0"/>
        <w:autoSpaceDN w:val="0"/>
        <w:adjustRightInd w:val="0"/>
        <w:spacing w:after="0" w:line="200" w:lineRule="exact"/>
        <w:rPr>
          <w:rFonts w:ascii="Arial" w:hAnsi="Arial" w:cs="Arial"/>
          <w:sz w:val="22"/>
          <w:szCs w:val="22"/>
        </w:rPr>
      </w:pPr>
    </w:p>
    <w:p w14:paraId="4AAE5711" w14:textId="77777777" w:rsidR="006A1D9E" w:rsidRPr="007923C2" w:rsidRDefault="006A1D9E" w:rsidP="006A1D9E">
      <w:pPr>
        <w:widowControl w:val="0"/>
        <w:autoSpaceDE w:val="0"/>
        <w:autoSpaceDN w:val="0"/>
        <w:adjustRightInd w:val="0"/>
        <w:spacing w:after="0" w:line="290" w:lineRule="exact"/>
        <w:rPr>
          <w:rFonts w:ascii="Arial" w:hAnsi="Arial" w:cs="Arial"/>
          <w:sz w:val="22"/>
          <w:szCs w:val="22"/>
        </w:rPr>
      </w:pPr>
    </w:p>
    <w:p w14:paraId="1D4F0F07" w14:textId="77777777"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7. PROYECTO DE CREACION DEL CENTRO NACIONAL DE EVALUACION DE LA EDUCACION SUPERIOR (CNEES)</w:t>
      </w:r>
    </w:p>
    <w:p w14:paraId="7D004FF0" w14:textId="77777777"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14:paraId="1007A692" w14:textId="77777777" w:rsidR="006A1D9E" w:rsidRPr="007923C2" w:rsidRDefault="006A1D9E" w:rsidP="006A1D9E">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color w:val="000000"/>
          <w:sz w:val="22"/>
          <w:szCs w:val="22"/>
        </w:rPr>
        <w:t>En el anteproyecto de creacion del CNEES se establecen como algunas de sus principales tareas: la de</w:t>
      </w:r>
      <w:r w:rsidR="008A520F">
        <w:rPr>
          <w:rFonts w:ascii="Arial" w:hAnsi="Arial" w:cs="Arial"/>
          <w:color w:val="000000"/>
          <w:sz w:val="22"/>
          <w:szCs w:val="22"/>
        </w:rPr>
        <w:t>fi</w:t>
      </w:r>
      <w:r w:rsidRPr="007923C2">
        <w:rPr>
          <w:rFonts w:ascii="Arial" w:hAnsi="Arial" w:cs="Arial"/>
          <w:color w:val="000000"/>
          <w:sz w:val="22"/>
          <w:szCs w:val="22"/>
        </w:rPr>
        <w:t>nicion de per</w:t>
      </w:r>
      <w:r w:rsidR="008A520F">
        <w:rPr>
          <w:rFonts w:ascii="Arial" w:hAnsi="Arial" w:cs="Arial"/>
          <w:color w:val="000000"/>
          <w:sz w:val="22"/>
          <w:szCs w:val="22"/>
        </w:rPr>
        <w:t>fi</w:t>
      </w:r>
      <w:r w:rsidRPr="007923C2">
        <w:rPr>
          <w:rFonts w:ascii="Arial" w:hAnsi="Arial" w:cs="Arial"/>
          <w:color w:val="000000"/>
          <w:sz w:val="22"/>
          <w:szCs w:val="22"/>
        </w:rPr>
        <w:t>les de desempe~no o niveles de logro academico de los egresados de las IES, la cali cacion de tales logros, y la promocion de programas de evaluacion institucional. Esta labor implica producir informacion lo mas \objetiva" posible, sobre el desempeno de las IES y de sus estudiantes.</w:t>
      </w:r>
    </w:p>
    <w:p w14:paraId="108DF699"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313A10F8" w14:textId="77777777" w:rsidR="006A1D9E" w:rsidRPr="007923C2" w:rsidRDefault="006A1D9E" w:rsidP="006A1D9E">
      <w:pPr>
        <w:widowControl w:val="0"/>
        <w:overflowPunct w:val="0"/>
        <w:autoSpaceDE w:val="0"/>
        <w:autoSpaceDN w:val="0"/>
        <w:adjustRightInd w:val="0"/>
        <w:spacing w:after="0" w:line="258" w:lineRule="auto"/>
        <w:jc w:val="both"/>
        <w:rPr>
          <w:rFonts w:ascii="Arial" w:hAnsi="Arial" w:cs="Arial"/>
          <w:sz w:val="22"/>
          <w:szCs w:val="22"/>
        </w:rPr>
      </w:pPr>
      <w:r w:rsidRPr="007923C2">
        <w:rPr>
          <w:rFonts w:ascii="Arial" w:hAnsi="Arial" w:cs="Arial"/>
          <w:color w:val="000000"/>
          <w:sz w:val="22"/>
          <w:szCs w:val="22"/>
        </w:rPr>
        <w:t xml:space="preserve">El proceso de evaluacion que este organismo pretende instrumentar se apoya en los resolutivos de la XXV Asamblea General de la ANUIES (abril de 1993), en la que se destaco la necesidad de aplicar </w:t>
      </w:r>
      <w:r w:rsidRPr="007923C2">
        <w:rPr>
          <w:rFonts w:ascii="Arial" w:hAnsi="Arial" w:cs="Arial"/>
          <w:color w:val="000000"/>
          <w:sz w:val="22"/>
          <w:szCs w:val="22"/>
        </w:rPr>
        <w:lastRenderedPageBreak/>
        <w:t>un examen nacional de ingreso, previo a los estudios de licenciatura ENIPL, y un examen nacional de caracter externo, de egreso, a aquellos estudiantes que hayan concluido los requisitos de formacion en este nivel (EGCP). Este ultimo pretende evaluar los resultados del proceso educativo. Ambos examenes son de caracter individual y, por tanto, no evaluan propiamente a la institucion; sin embargo, de crearse este organismo, su labor contribuira, muy probablemente, a dise</w:t>
      </w:r>
      <w:r w:rsidR="00E8159E">
        <w:rPr>
          <w:rFonts w:ascii="Arial" w:hAnsi="Arial" w:cs="Arial"/>
          <w:color w:val="000000"/>
          <w:sz w:val="22"/>
          <w:szCs w:val="22"/>
        </w:rPr>
        <w:t>ñ</w:t>
      </w:r>
      <w:r w:rsidRPr="007923C2">
        <w:rPr>
          <w:rFonts w:ascii="Arial" w:hAnsi="Arial" w:cs="Arial"/>
          <w:color w:val="000000"/>
          <w:sz w:val="22"/>
          <w:szCs w:val="22"/>
        </w:rPr>
        <w:t>ar una solida estrategia de acreditacion institucional.</w:t>
      </w:r>
    </w:p>
    <w:p w14:paraId="1BA9B537" w14:textId="77777777" w:rsidR="006A1D9E" w:rsidRPr="007923C2" w:rsidRDefault="006A1D9E" w:rsidP="006A1D9E">
      <w:pPr>
        <w:widowControl w:val="0"/>
        <w:autoSpaceDE w:val="0"/>
        <w:autoSpaceDN w:val="0"/>
        <w:adjustRightInd w:val="0"/>
        <w:spacing w:after="0" w:line="321" w:lineRule="exact"/>
        <w:rPr>
          <w:rFonts w:ascii="Arial" w:hAnsi="Arial" w:cs="Arial"/>
          <w:sz w:val="22"/>
          <w:szCs w:val="22"/>
        </w:rPr>
      </w:pPr>
    </w:p>
    <w:p w14:paraId="5899BE85" w14:textId="77777777" w:rsidR="006A1D9E" w:rsidRPr="007923C2" w:rsidRDefault="006A1D9E" w:rsidP="006A1D9E">
      <w:pPr>
        <w:widowControl w:val="0"/>
        <w:autoSpaceDE w:val="0"/>
        <w:autoSpaceDN w:val="0"/>
        <w:adjustRightInd w:val="0"/>
        <w:spacing w:after="0" w:line="240" w:lineRule="auto"/>
        <w:rPr>
          <w:rFonts w:ascii="Arial" w:hAnsi="Arial" w:cs="Arial"/>
          <w:sz w:val="22"/>
          <w:szCs w:val="22"/>
        </w:rPr>
      </w:pPr>
      <w:r w:rsidRPr="007923C2">
        <w:rPr>
          <w:rFonts w:ascii="Arial" w:hAnsi="Arial" w:cs="Arial"/>
          <w:color w:val="000000"/>
          <w:sz w:val="22"/>
          <w:szCs w:val="22"/>
        </w:rPr>
        <w:t>III. CONSIDERACIONES FINALES</w:t>
      </w:r>
    </w:p>
    <w:p w14:paraId="1D2ECF5B" w14:textId="77777777"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14:paraId="27D5A423" w14:textId="77777777" w:rsidR="006A1D9E" w:rsidRPr="007923C2" w:rsidRDefault="006A1D9E" w:rsidP="006A1D9E">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color w:val="000000"/>
          <w:sz w:val="22"/>
          <w:szCs w:val="22"/>
        </w:rPr>
        <w:t>El papel esencial de la acreditacion institucional es establecer \estandares academicos" que garanticen la alta calidad de los servicios del sistema educativo; para lograrlo, la determinacion de los estandares debera considerar las necesidades de desarrollo de conocimientos, habilidades y destrezas requeridas para la formacion profesional-integral de los sujetos, con el</w:t>
      </w:r>
      <w:r w:rsidR="00E8159E">
        <w:rPr>
          <w:rFonts w:ascii="Arial" w:hAnsi="Arial" w:cs="Arial"/>
          <w:color w:val="000000"/>
          <w:sz w:val="22"/>
          <w:szCs w:val="22"/>
        </w:rPr>
        <w:t xml:space="preserve"> fi</w:t>
      </w:r>
      <w:r w:rsidRPr="007923C2">
        <w:rPr>
          <w:rFonts w:ascii="Arial" w:hAnsi="Arial" w:cs="Arial"/>
          <w:color w:val="000000"/>
          <w:sz w:val="22"/>
          <w:szCs w:val="22"/>
        </w:rPr>
        <w:t>n de que estos puedan ser capaces de satisfacer las exigencias de transformacion del contexto.</w:t>
      </w:r>
    </w:p>
    <w:p w14:paraId="4A069088" w14:textId="77777777" w:rsidR="006A1D9E" w:rsidRPr="007923C2" w:rsidRDefault="006A1D9E" w:rsidP="006A1D9E">
      <w:pPr>
        <w:widowControl w:val="0"/>
        <w:autoSpaceDE w:val="0"/>
        <w:autoSpaceDN w:val="0"/>
        <w:adjustRightInd w:val="0"/>
        <w:spacing w:after="0" w:line="131" w:lineRule="exact"/>
        <w:rPr>
          <w:rFonts w:ascii="Arial" w:hAnsi="Arial" w:cs="Arial"/>
          <w:sz w:val="22"/>
          <w:szCs w:val="22"/>
        </w:rPr>
      </w:pPr>
    </w:p>
    <w:p w14:paraId="78E3859F" w14:textId="77777777" w:rsidR="006A1D9E" w:rsidRPr="007923C2" w:rsidRDefault="006A1D9E" w:rsidP="006A1D9E">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color w:val="000000"/>
          <w:sz w:val="22"/>
          <w:szCs w:val="22"/>
        </w:rPr>
        <w:t>La conformacion de un sistema de acreditacion institucional de caracter nacional, debe responder a las exigencias impuestas por las circunstancias de desarrollo del sistema educativo mexicano y, en este contexto, los criterios fundamentales de \acreditacion institucional" deberan desprenderse de los lineamientos generales de la pol</w:t>
      </w:r>
      <w:r w:rsidR="00003BDB" w:rsidRPr="007923C2">
        <w:rPr>
          <w:rFonts w:ascii="Arial" w:hAnsi="Arial" w:cs="Arial"/>
          <w:color w:val="000000"/>
          <w:sz w:val="22"/>
          <w:szCs w:val="22"/>
        </w:rPr>
        <w:t>i</w:t>
      </w:r>
      <w:r w:rsidRPr="007923C2">
        <w:rPr>
          <w:rFonts w:ascii="Arial" w:hAnsi="Arial" w:cs="Arial"/>
          <w:color w:val="000000"/>
          <w:sz w:val="22"/>
          <w:szCs w:val="22"/>
        </w:rPr>
        <w:t>tica educativa nacional.</w:t>
      </w:r>
    </w:p>
    <w:p w14:paraId="4B8A2B42" w14:textId="77777777"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14:paraId="0EAA5E9E" w14:textId="77777777" w:rsidR="006A1D9E" w:rsidRPr="007923C2" w:rsidRDefault="006A1D9E" w:rsidP="00AD08B4">
      <w:pPr>
        <w:widowControl w:val="0"/>
        <w:overflowPunct w:val="0"/>
        <w:autoSpaceDE w:val="0"/>
        <w:autoSpaceDN w:val="0"/>
        <w:adjustRightInd w:val="0"/>
        <w:spacing w:after="0" w:line="273" w:lineRule="auto"/>
        <w:jc w:val="both"/>
        <w:rPr>
          <w:rFonts w:ascii="Arial" w:hAnsi="Arial" w:cs="Arial"/>
          <w:sz w:val="22"/>
          <w:szCs w:val="22"/>
        </w:rPr>
      </w:pPr>
      <w:r w:rsidRPr="007923C2">
        <w:rPr>
          <w:rFonts w:ascii="Arial" w:hAnsi="Arial" w:cs="Arial"/>
          <w:color w:val="000000"/>
          <w:sz w:val="22"/>
          <w:szCs w:val="22"/>
        </w:rPr>
        <w:t>Por consiguiente, la acreditacion de las instituciones de educacion superior en Mexico, debera establecerse mediante un sistema nacional de acreditacion en el que se determinen estandares y niveles de calidad adecuados a la realidad del pa</w:t>
      </w:r>
      <w:r w:rsidR="00E8159E">
        <w:rPr>
          <w:rFonts w:ascii="Arial" w:hAnsi="Arial" w:cs="Arial"/>
          <w:color w:val="000000"/>
          <w:sz w:val="22"/>
          <w:szCs w:val="22"/>
        </w:rPr>
        <w:t>i</w:t>
      </w:r>
      <w:r w:rsidRPr="007923C2">
        <w:rPr>
          <w:rFonts w:ascii="Arial" w:hAnsi="Arial" w:cs="Arial"/>
          <w:color w:val="000000"/>
          <w:sz w:val="22"/>
          <w:szCs w:val="22"/>
        </w:rPr>
        <w:t>s y a sus metas de desarrollo en materia de ciencia y tecnolog a. Esto, sin perjuicio de que las instituciones que quisieran acreditarse ante organismos extranjeros, pudieran proceder libremente.</w:t>
      </w:r>
    </w:p>
    <w:p w14:paraId="38FC8C7F" w14:textId="77777777" w:rsidR="006A1D9E" w:rsidRPr="007923C2" w:rsidRDefault="006A1D9E" w:rsidP="00AD08B4">
      <w:pPr>
        <w:widowControl w:val="0"/>
        <w:autoSpaceDE w:val="0"/>
        <w:autoSpaceDN w:val="0"/>
        <w:adjustRightInd w:val="0"/>
        <w:spacing w:after="0" w:line="100" w:lineRule="exact"/>
        <w:jc w:val="both"/>
        <w:rPr>
          <w:rFonts w:ascii="Arial" w:hAnsi="Arial" w:cs="Arial"/>
          <w:sz w:val="22"/>
          <w:szCs w:val="22"/>
        </w:rPr>
      </w:pPr>
    </w:p>
    <w:p w14:paraId="4BA6A759" w14:textId="77777777" w:rsidR="006A1D9E" w:rsidRPr="007923C2" w:rsidRDefault="006A1D9E" w:rsidP="00AD08B4">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La acreditacion de las IES, en el ambito nacional, debe estar inserta en un conjunto de pol</w:t>
      </w:r>
      <w:r w:rsidR="00E8159E">
        <w:rPr>
          <w:rFonts w:ascii="Arial" w:hAnsi="Arial" w:cs="Arial"/>
          <w:color w:val="000000"/>
          <w:sz w:val="22"/>
          <w:szCs w:val="22"/>
        </w:rPr>
        <w:t>í</w:t>
      </w:r>
      <w:r w:rsidRPr="007923C2">
        <w:rPr>
          <w:rFonts w:ascii="Arial" w:hAnsi="Arial" w:cs="Arial"/>
          <w:color w:val="000000"/>
          <w:sz w:val="22"/>
          <w:szCs w:val="22"/>
        </w:rPr>
        <w:t>ticas y de acciones congruentes con las necesidades de desarrollo del pa</w:t>
      </w:r>
      <w:r w:rsidR="00E8159E">
        <w:rPr>
          <w:rFonts w:ascii="Arial" w:hAnsi="Arial" w:cs="Arial"/>
          <w:color w:val="000000"/>
          <w:sz w:val="22"/>
          <w:szCs w:val="22"/>
        </w:rPr>
        <w:t>i</w:t>
      </w:r>
      <w:r w:rsidRPr="007923C2">
        <w:rPr>
          <w:rFonts w:ascii="Arial" w:hAnsi="Arial" w:cs="Arial"/>
          <w:color w:val="000000"/>
          <w:sz w:val="22"/>
          <w:szCs w:val="22"/>
        </w:rPr>
        <w:t>s; acciones que responden a una estrategia realista para el mejoramiento de la calidad de la educacion superior en Mexico.</w:t>
      </w:r>
    </w:p>
    <w:p w14:paraId="536ED88C" w14:textId="77777777" w:rsidR="006A1D9E" w:rsidRPr="007923C2" w:rsidRDefault="006A1D9E" w:rsidP="00AD08B4">
      <w:pPr>
        <w:widowControl w:val="0"/>
        <w:autoSpaceDE w:val="0"/>
        <w:autoSpaceDN w:val="0"/>
        <w:adjustRightInd w:val="0"/>
        <w:spacing w:after="0" w:line="130" w:lineRule="exact"/>
        <w:jc w:val="both"/>
        <w:rPr>
          <w:rFonts w:ascii="Arial" w:hAnsi="Arial" w:cs="Arial"/>
          <w:sz w:val="22"/>
          <w:szCs w:val="22"/>
        </w:rPr>
      </w:pPr>
    </w:p>
    <w:p w14:paraId="5E765D2E" w14:textId="77777777" w:rsidR="006A1D9E" w:rsidRPr="007923C2" w:rsidRDefault="006A1D9E" w:rsidP="00AD08B4">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El sistema de acreditacion institucional, debe tomar en cuenta las diferentes caracter sticas y objetivos de los subsistemas de educacion superior del pa</w:t>
      </w:r>
      <w:r w:rsidR="00003BDB" w:rsidRPr="007923C2">
        <w:rPr>
          <w:rFonts w:ascii="Arial" w:hAnsi="Arial" w:cs="Arial"/>
          <w:color w:val="000000"/>
          <w:sz w:val="22"/>
          <w:szCs w:val="22"/>
        </w:rPr>
        <w:t>i</w:t>
      </w:r>
      <w:r w:rsidRPr="007923C2">
        <w:rPr>
          <w:rFonts w:ascii="Arial" w:hAnsi="Arial" w:cs="Arial"/>
          <w:color w:val="000000"/>
          <w:sz w:val="22"/>
          <w:szCs w:val="22"/>
        </w:rPr>
        <w:t>s, y deberan tenerse presentes las particularidades de desarrollo institucional.</w:t>
      </w:r>
    </w:p>
    <w:p w14:paraId="7DE1A43E" w14:textId="77777777" w:rsidR="006A1D9E" w:rsidRPr="007923C2" w:rsidRDefault="006A1D9E" w:rsidP="00AD08B4">
      <w:pPr>
        <w:widowControl w:val="0"/>
        <w:autoSpaceDE w:val="0"/>
        <w:autoSpaceDN w:val="0"/>
        <w:adjustRightInd w:val="0"/>
        <w:spacing w:after="0" w:line="130" w:lineRule="exact"/>
        <w:jc w:val="both"/>
        <w:rPr>
          <w:rFonts w:ascii="Arial" w:hAnsi="Arial" w:cs="Arial"/>
          <w:sz w:val="22"/>
          <w:szCs w:val="22"/>
        </w:rPr>
      </w:pPr>
    </w:p>
    <w:p w14:paraId="5466EC5D" w14:textId="77777777" w:rsidR="006A1D9E" w:rsidRPr="007923C2" w:rsidRDefault="006A1D9E" w:rsidP="00AD08B4">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color w:val="000000"/>
          <w:sz w:val="22"/>
          <w:szCs w:val="22"/>
        </w:rPr>
        <w:t>Es importante destacar que la acreditacion \mecanica", aplicada con estandares de alta exigencia, en la que se aplican modelos ajenos a la realidad nacional, marginar</w:t>
      </w:r>
      <w:r w:rsidR="00E8159E">
        <w:rPr>
          <w:rFonts w:ascii="Arial" w:hAnsi="Arial" w:cs="Arial"/>
          <w:color w:val="000000"/>
          <w:sz w:val="22"/>
          <w:szCs w:val="22"/>
        </w:rPr>
        <w:t>l</w:t>
      </w:r>
      <w:r w:rsidRPr="007923C2">
        <w:rPr>
          <w:rFonts w:ascii="Arial" w:hAnsi="Arial" w:cs="Arial"/>
          <w:color w:val="000000"/>
          <w:sz w:val="22"/>
          <w:szCs w:val="22"/>
        </w:rPr>
        <w:t>a a una gran mayor a de IES en el pa</w:t>
      </w:r>
      <w:r w:rsidR="00E8159E">
        <w:rPr>
          <w:rFonts w:ascii="Arial" w:hAnsi="Arial" w:cs="Arial"/>
          <w:color w:val="000000"/>
          <w:sz w:val="22"/>
          <w:szCs w:val="22"/>
        </w:rPr>
        <w:t>i</w:t>
      </w:r>
      <w:r w:rsidRPr="007923C2">
        <w:rPr>
          <w:rFonts w:ascii="Arial" w:hAnsi="Arial" w:cs="Arial"/>
          <w:color w:val="000000"/>
          <w:sz w:val="22"/>
          <w:szCs w:val="22"/>
        </w:rPr>
        <w:t>s, las cuales no presentaran las condiciones idoneas para obtener el corrrespondiente reconocimiento que avalara su acreditacion como instituciones de consolidado desarrollo. Por eso, sera importante que la acreditacion est</w:t>
      </w:r>
      <w:r w:rsidR="00003BDB" w:rsidRPr="007923C2">
        <w:rPr>
          <w:rFonts w:ascii="Arial" w:hAnsi="Arial" w:cs="Arial"/>
          <w:color w:val="000000"/>
          <w:sz w:val="22"/>
          <w:szCs w:val="22"/>
        </w:rPr>
        <w:t xml:space="preserve">a </w:t>
      </w:r>
      <w:r w:rsidRPr="007923C2">
        <w:rPr>
          <w:rFonts w:ascii="Arial" w:hAnsi="Arial" w:cs="Arial"/>
          <w:color w:val="000000"/>
          <w:sz w:val="22"/>
          <w:szCs w:val="22"/>
        </w:rPr>
        <w:t xml:space="preserve"> precedida por una estrategia que contemple un sinnumero de acciones para elevar el nivel academico, particularmente de las instituciones que reportan bajos niveles de desarrollo.</w:t>
      </w:r>
    </w:p>
    <w:p w14:paraId="0B867FC9" w14:textId="77777777" w:rsidR="006A1D9E" w:rsidRPr="007923C2" w:rsidRDefault="006A1D9E" w:rsidP="00AD08B4">
      <w:pPr>
        <w:widowControl w:val="0"/>
        <w:autoSpaceDE w:val="0"/>
        <w:autoSpaceDN w:val="0"/>
        <w:adjustRightInd w:val="0"/>
        <w:spacing w:after="0" w:line="129" w:lineRule="exact"/>
        <w:jc w:val="both"/>
        <w:rPr>
          <w:rFonts w:ascii="Arial" w:hAnsi="Arial" w:cs="Arial"/>
          <w:sz w:val="22"/>
          <w:szCs w:val="22"/>
        </w:rPr>
      </w:pPr>
    </w:p>
    <w:p w14:paraId="41E0E6E2" w14:textId="77777777" w:rsidR="006A1D9E" w:rsidRPr="007923C2" w:rsidRDefault="006A1D9E" w:rsidP="00AD08B4">
      <w:pPr>
        <w:widowControl w:val="0"/>
        <w:overflowPunct w:val="0"/>
        <w:autoSpaceDE w:val="0"/>
        <w:autoSpaceDN w:val="0"/>
        <w:adjustRightInd w:val="0"/>
        <w:spacing w:after="0" w:line="254" w:lineRule="auto"/>
        <w:jc w:val="both"/>
        <w:rPr>
          <w:rFonts w:ascii="Arial" w:hAnsi="Arial" w:cs="Arial"/>
          <w:sz w:val="22"/>
          <w:szCs w:val="22"/>
        </w:rPr>
      </w:pPr>
      <w:r w:rsidRPr="007923C2">
        <w:rPr>
          <w:rFonts w:ascii="Arial" w:hAnsi="Arial" w:cs="Arial"/>
          <w:color w:val="000000"/>
          <w:sz w:val="22"/>
          <w:szCs w:val="22"/>
        </w:rPr>
        <w:t>El proceso de acreditacion nacional de las IES, dentro del sistema propuesto, debera sustentarse en multiples trabajos de investigacion profunda que analicen la realidad contextual e institucional. Al mismo tiempo, este proceso debera apoyarse en un vasto sistema de informacion computarizada, que pueda ser compartido por las instituciones y organismo interesados en conocer la situacion de las casas de estudios superiores.</w:t>
      </w:r>
    </w:p>
    <w:p w14:paraId="6C065406" w14:textId="77777777" w:rsidR="006A1D9E" w:rsidRPr="007923C2" w:rsidRDefault="006A1D9E" w:rsidP="00AD08B4">
      <w:pPr>
        <w:widowControl w:val="0"/>
        <w:autoSpaceDE w:val="0"/>
        <w:autoSpaceDN w:val="0"/>
        <w:adjustRightInd w:val="0"/>
        <w:spacing w:after="0" w:line="296" w:lineRule="exact"/>
        <w:jc w:val="both"/>
        <w:rPr>
          <w:rFonts w:ascii="Arial" w:hAnsi="Arial" w:cs="Arial"/>
          <w:sz w:val="22"/>
          <w:szCs w:val="22"/>
        </w:rPr>
      </w:pPr>
    </w:p>
    <w:p w14:paraId="49D267E9" w14:textId="77777777" w:rsidR="006A1D9E" w:rsidRPr="007923C2" w:rsidRDefault="006A1D9E" w:rsidP="00AD08B4">
      <w:pPr>
        <w:widowControl w:val="0"/>
        <w:autoSpaceDE w:val="0"/>
        <w:autoSpaceDN w:val="0"/>
        <w:adjustRightInd w:val="0"/>
        <w:spacing w:after="0" w:line="51" w:lineRule="exact"/>
        <w:jc w:val="both"/>
        <w:rPr>
          <w:rFonts w:ascii="Arial" w:hAnsi="Arial" w:cs="Arial"/>
          <w:sz w:val="22"/>
          <w:szCs w:val="22"/>
        </w:rPr>
      </w:pPr>
    </w:p>
    <w:p w14:paraId="27E927B1" w14:textId="77777777" w:rsidR="006A1D9E" w:rsidRDefault="006A1D9E" w:rsidP="00AD08B4">
      <w:pPr>
        <w:widowControl w:val="0"/>
        <w:overflowPunct w:val="0"/>
        <w:autoSpaceDE w:val="0"/>
        <w:autoSpaceDN w:val="0"/>
        <w:adjustRightInd w:val="0"/>
        <w:spacing w:after="0" w:line="240" w:lineRule="auto"/>
        <w:jc w:val="both"/>
        <w:rPr>
          <w:rFonts w:ascii="Arial" w:hAnsi="Arial" w:cs="Arial"/>
          <w:color w:val="000000"/>
          <w:sz w:val="22"/>
          <w:szCs w:val="22"/>
        </w:rPr>
      </w:pPr>
      <w:r w:rsidRPr="007923C2">
        <w:rPr>
          <w:rFonts w:ascii="Arial" w:hAnsi="Arial" w:cs="Arial"/>
          <w:color w:val="000000"/>
          <w:sz w:val="22"/>
          <w:szCs w:val="22"/>
        </w:rPr>
        <w:t>Un factor que debera tomarse en cuenta en el proceso de acreditaci</w:t>
      </w:r>
      <w:r w:rsidR="00E8159E">
        <w:rPr>
          <w:rFonts w:ascii="Arial" w:hAnsi="Arial" w:cs="Arial"/>
          <w:color w:val="000000"/>
          <w:sz w:val="22"/>
          <w:szCs w:val="22"/>
        </w:rPr>
        <w:t>ó</w:t>
      </w:r>
      <w:r w:rsidRPr="007923C2">
        <w:rPr>
          <w:rFonts w:ascii="Arial" w:hAnsi="Arial" w:cs="Arial"/>
          <w:color w:val="000000"/>
          <w:sz w:val="22"/>
          <w:szCs w:val="22"/>
        </w:rPr>
        <w:t>n institucional, efectuado por el organismo previsto, es la vinculacion de las IES con el sector social y productivo y su contribucion a la satisfaccion de las necesidades sociales. De este modo, se dar</w:t>
      </w:r>
      <w:r w:rsidR="00E8159E">
        <w:rPr>
          <w:rFonts w:ascii="Arial" w:hAnsi="Arial" w:cs="Arial"/>
          <w:color w:val="000000"/>
          <w:sz w:val="22"/>
          <w:szCs w:val="22"/>
        </w:rPr>
        <w:t>á</w:t>
      </w:r>
      <w:r w:rsidRPr="007923C2">
        <w:rPr>
          <w:rFonts w:ascii="Arial" w:hAnsi="Arial" w:cs="Arial"/>
          <w:color w:val="000000"/>
          <w:sz w:val="22"/>
          <w:szCs w:val="22"/>
        </w:rPr>
        <w:t xml:space="preserve"> mayor importancia a la naturaleza </w:t>
      </w:r>
      <w:r w:rsidRPr="007923C2">
        <w:rPr>
          <w:rFonts w:ascii="Arial" w:hAnsi="Arial" w:cs="Arial"/>
          <w:color w:val="000000"/>
          <w:sz w:val="22"/>
          <w:szCs w:val="22"/>
        </w:rPr>
        <w:lastRenderedPageBreak/>
        <w:t>de servicio social de las funciones institucionales (e</w:t>
      </w:r>
      <w:r w:rsidR="00003BDB" w:rsidRPr="007923C2">
        <w:rPr>
          <w:rFonts w:ascii="Arial" w:hAnsi="Arial" w:cs="Arial"/>
          <w:color w:val="000000"/>
          <w:sz w:val="22"/>
          <w:szCs w:val="22"/>
        </w:rPr>
        <w:t>fi</w:t>
      </w:r>
      <w:r w:rsidRPr="007923C2">
        <w:rPr>
          <w:rFonts w:ascii="Arial" w:hAnsi="Arial" w:cs="Arial"/>
          <w:color w:val="000000"/>
          <w:sz w:val="22"/>
          <w:szCs w:val="22"/>
        </w:rPr>
        <w:t>cacia externa), en lugar de privilegiar la aplicacion de criterios para valorar la e</w:t>
      </w:r>
      <w:r w:rsidR="00003BDB" w:rsidRPr="007923C2">
        <w:rPr>
          <w:rFonts w:ascii="Arial" w:hAnsi="Arial" w:cs="Arial"/>
          <w:color w:val="000000"/>
          <w:sz w:val="22"/>
          <w:szCs w:val="22"/>
        </w:rPr>
        <w:t>s</w:t>
      </w:r>
      <w:r w:rsidRPr="007923C2">
        <w:rPr>
          <w:rFonts w:ascii="Arial" w:hAnsi="Arial" w:cs="Arial"/>
          <w:color w:val="000000"/>
          <w:sz w:val="22"/>
          <w:szCs w:val="22"/>
        </w:rPr>
        <w:t>encia interna de las IES.</w:t>
      </w:r>
    </w:p>
    <w:p w14:paraId="36A4872B" w14:textId="77777777" w:rsidR="00AD08B4" w:rsidRPr="007923C2" w:rsidRDefault="00AD08B4" w:rsidP="00AD08B4">
      <w:pPr>
        <w:widowControl w:val="0"/>
        <w:overflowPunct w:val="0"/>
        <w:autoSpaceDE w:val="0"/>
        <w:autoSpaceDN w:val="0"/>
        <w:adjustRightInd w:val="0"/>
        <w:spacing w:after="0" w:line="240" w:lineRule="auto"/>
        <w:jc w:val="both"/>
        <w:rPr>
          <w:rFonts w:ascii="Arial" w:hAnsi="Arial" w:cs="Arial"/>
          <w:sz w:val="22"/>
          <w:szCs w:val="22"/>
        </w:rPr>
      </w:pPr>
    </w:p>
    <w:p w14:paraId="60E25C9A" w14:textId="77777777" w:rsidR="006A1D9E" w:rsidRPr="007923C2" w:rsidRDefault="006A1D9E" w:rsidP="006A1D9E">
      <w:pPr>
        <w:widowControl w:val="0"/>
        <w:autoSpaceDE w:val="0"/>
        <w:autoSpaceDN w:val="0"/>
        <w:adjustRightInd w:val="0"/>
        <w:spacing w:after="0" w:line="240" w:lineRule="auto"/>
        <w:rPr>
          <w:rFonts w:ascii="Arial" w:hAnsi="Arial" w:cs="Arial"/>
          <w:sz w:val="22"/>
          <w:szCs w:val="22"/>
        </w:rPr>
      </w:pPr>
      <w:r w:rsidRPr="007923C2">
        <w:rPr>
          <w:rFonts w:ascii="Arial" w:hAnsi="Arial" w:cs="Arial"/>
          <w:b/>
          <w:bCs/>
          <w:sz w:val="22"/>
          <w:szCs w:val="22"/>
        </w:rPr>
        <w:t>Las propuestas de la ANUIES y de la SEP en torno a la evaluación de la educación superior.</w:t>
      </w:r>
    </w:p>
    <w:p w14:paraId="670773EF" w14:textId="77777777" w:rsidR="006A1D9E" w:rsidRPr="007923C2" w:rsidRDefault="006A1D9E" w:rsidP="006A1D9E">
      <w:pPr>
        <w:widowControl w:val="0"/>
        <w:autoSpaceDE w:val="0"/>
        <w:autoSpaceDN w:val="0"/>
        <w:adjustRightInd w:val="0"/>
        <w:spacing w:after="0" w:line="273" w:lineRule="exact"/>
        <w:rPr>
          <w:rFonts w:ascii="Arial" w:hAnsi="Arial" w:cs="Arial"/>
          <w:sz w:val="22"/>
          <w:szCs w:val="22"/>
        </w:rPr>
      </w:pPr>
    </w:p>
    <w:p w14:paraId="23F7788F" w14:textId="77777777" w:rsidR="006A1D9E" w:rsidRPr="007923C2" w:rsidRDefault="006A1D9E" w:rsidP="006A1D9E">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En el documento al que hicimos referencia en el epígrafe de este artículo “</w:t>
      </w:r>
      <w:r w:rsidRPr="007923C2">
        <w:rPr>
          <w:rFonts w:ascii="Arial" w:hAnsi="Arial" w:cs="Arial"/>
          <w:i/>
          <w:iCs/>
          <w:sz w:val="22"/>
          <w:szCs w:val="22"/>
        </w:rPr>
        <w:t xml:space="preserve">La educación superior en elsiglo XXI” </w:t>
      </w:r>
      <w:r w:rsidRPr="007923C2">
        <w:rPr>
          <w:rFonts w:ascii="Arial" w:hAnsi="Arial" w:cs="Arial"/>
          <w:sz w:val="22"/>
          <w:szCs w:val="22"/>
        </w:rPr>
        <w:t>(ANUIES, 2000), se planteó un programa referente a la evaluación y a la acreditación de laeducación superior. De acuerdo con el diagnóstico realizado, fueron identificadas insuficiencias: los resultados de las evaluaciones están poco articulados con la toma de decisiones y tienen poco arraigo en las comunidades académicas; la evaluación de los académicos ha privilegiado la producción individual sobre el trabajo colectivo, la desvinculación entre los diversos procesos de evaluación, acreditación y certificación, y la inexistencia de un acuerdo nacional en este terreno. Esto hacía referencia al hecho de que en el caso mexicano, las acciones de evaluación se habían venido realizando sin un marco de política nacional que contara con el suficiente consenso entre los distintos actores. La ANUIES propuso impulsar esta política para “consolidar el sistema nacional de evaluación y acreditación de la educación superior, con la participación de todos los actores involucrados, que fortalezca y articule los diferentes organismos con responsabilidades en materia de evaluación, acreditación y certificación, y con el propósito último de incidir en la mejora y el aseguramiento de la calidad.” (ANUIES, 2000, 186).</w:t>
      </w:r>
    </w:p>
    <w:p w14:paraId="67D8CC88" w14:textId="77777777" w:rsidR="006A1D9E" w:rsidRPr="007923C2" w:rsidRDefault="006A1D9E" w:rsidP="006A1D9E">
      <w:pPr>
        <w:widowControl w:val="0"/>
        <w:autoSpaceDE w:val="0"/>
        <w:autoSpaceDN w:val="0"/>
        <w:adjustRightInd w:val="0"/>
        <w:spacing w:after="0" w:line="248" w:lineRule="exact"/>
        <w:rPr>
          <w:rFonts w:ascii="Arial" w:hAnsi="Arial" w:cs="Arial"/>
          <w:sz w:val="22"/>
          <w:szCs w:val="22"/>
        </w:rPr>
      </w:pPr>
    </w:p>
    <w:p w14:paraId="032B5B4C" w14:textId="77777777" w:rsidR="006A1D9E" w:rsidRPr="007923C2" w:rsidRDefault="006A1D9E" w:rsidP="005933E2">
      <w:pPr>
        <w:widowControl w:val="0"/>
        <w:overflowPunct w:val="0"/>
        <w:autoSpaceDE w:val="0"/>
        <w:autoSpaceDN w:val="0"/>
        <w:adjustRightInd w:val="0"/>
        <w:spacing w:after="0" w:line="250" w:lineRule="auto"/>
        <w:ind w:right="20"/>
        <w:jc w:val="both"/>
        <w:rPr>
          <w:rFonts w:ascii="Arial" w:hAnsi="Arial" w:cs="Arial"/>
          <w:sz w:val="22"/>
          <w:szCs w:val="22"/>
        </w:rPr>
      </w:pPr>
      <w:r w:rsidRPr="007923C2">
        <w:rPr>
          <w:rFonts w:ascii="Arial" w:hAnsi="Arial" w:cs="Arial"/>
          <w:sz w:val="22"/>
          <w:szCs w:val="22"/>
        </w:rPr>
        <w:t>La ANUIES se pronunció porque estas tareas recayeran en organismos independientes e intermedios entre las instituciones de educación superior y los poderes públicos, y no directamente en el Estado. El sistema de evaluación se consolidaría solamente con la existencia de organismos no gubernamentales con competencia técnica y con legitimidad entre la comunidad académica. Ello llevaría a que todas lasinstituciones educativas participaran en un proceso en el que se combinara la autoevaluación con la evaluación externa para rendir cuentas a la sociedad.</w:t>
      </w:r>
    </w:p>
    <w:p w14:paraId="315A1694" w14:textId="77777777" w:rsidR="006A1D9E" w:rsidRPr="007923C2" w:rsidRDefault="006A1D9E" w:rsidP="006A1D9E">
      <w:pPr>
        <w:widowControl w:val="0"/>
        <w:autoSpaceDE w:val="0"/>
        <w:autoSpaceDN w:val="0"/>
        <w:adjustRightInd w:val="0"/>
        <w:spacing w:after="0" w:line="205" w:lineRule="exact"/>
        <w:rPr>
          <w:rFonts w:ascii="Arial" w:hAnsi="Arial" w:cs="Arial"/>
          <w:sz w:val="22"/>
          <w:szCs w:val="22"/>
        </w:rPr>
      </w:pPr>
    </w:p>
    <w:p w14:paraId="6820E66F" w14:textId="77777777" w:rsidR="006A1D9E" w:rsidRPr="007923C2" w:rsidRDefault="006A1D9E" w:rsidP="006A1D9E">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Desde la perspectiva de la ANUIES la consolidación de un sistema nacional de evaluación y acreditación permitiría el logro de tres objetivos: contribuir al mejoramiento y aseguramiento de la calidad de los programas y servicios que ofrecen las universidades, reconociendo y promoviendo la diversidad institucional; garantizar a los usuarios de los servicios educativos que los programas académicos acreditados cumplen con los requisitos de calidad y cuentan con la infraestructura y con los mecanismos e instrumentos idóneos para asegurar la realización de sus proyectos, y establecer canales de comunicación e interacción entre los diversos sectores de la sociedad civil en busca de una educación de mayor calidad y pertinencia.</w:t>
      </w:r>
    </w:p>
    <w:p w14:paraId="513529C8" w14:textId="77777777" w:rsidR="006A1D9E" w:rsidRPr="007923C2" w:rsidRDefault="006A1D9E" w:rsidP="006A1D9E">
      <w:pPr>
        <w:widowControl w:val="0"/>
        <w:autoSpaceDE w:val="0"/>
        <w:autoSpaceDN w:val="0"/>
        <w:adjustRightInd w:val="0"/>
        <w:spacing w:after="0" w:line="239" w:lineRule="exact"/>
        <w:rPr>
          <w:rFonts w:ascii="Arial" w:hAnsi="Arial" w:cs="Arial"/>
          <w:sz w:val="22"/>
          <w:szCs w:val="22"/>
        </w:rPr>
      </w:pPr>
    </w:p>
    <w:p w14:paraId="7F90C85A" w14:textId="77777777" w:rsidR="006A1D9E" w:rsidRPr="007923C2" w:rsidRDefault="006A1D9E" w:rsidP="006A1D9E">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Con un horizonte de seis años, la ANUIES planteó un conjunto de metas en materia de evaluación y acreditación. Entre ellas están: la constitución de un consejo para la evaluación y la acreditación de la educación superior, como asociación civil, que tendría como funciones la normalización y el reconocimiento oficial de los organismos que realicen actividades de evaluación externa o de acreditación de programas educativos; la creación de organismos especializados de acreditación de programas académicos y su reconocimiento por este consejo; la promoción de la actualización de la legislación federal en materia de profesiones; la conformación de un padrón nacional de programas de buena calidad y el perfeccionamiento de los criterios para el otorgamiento del Reconocimiento de Validez Oficial de Estudios a las instituciones particulares de educación superior basado en los mecanismos de evaluación externa y acreditación.</w:t>
      </w:r>
    </w:p>
    <w:p w14:paraId="706317B5" w14:textId="77777777" w:rsidR="006A1D9E" w:rsidRPr="007923C2" w:rsidRDefault="006A1D9E" w:rsidP="006A1D9E">
      <w:pPr>
        <w:widowControl w:val="0"/>
        <w:autoSpaceDE w:val="0"/>
        <w:autoSpaceDN w:val="0"/>
        <w:adjustRightInd w:val="0"/>
        <w:spacing w:after="0" w:line="242" w:lineRule="exact"/>
        <w:rPr>
          <w:rFonts w:ascii="Arial" w:hAnsi="Arial" w:cs="Arial"/>
          <w:sz w:val="22"/>
          <w:szCs w:val="22"/>
        </w:rPr>
      </w:pPr>
    </w:p>
    <w:p w14:paraId="24917411" w14:textId="77777777" w:rsidR="006A1D9E" w:rsidRPr="007923C2" w:rsidRDefault="006A1D9E" w:rsidP="006A1D9E">
      <w:pPr>
        <w:widowControl w:val="0"/>
        <w:overflowPunct w:val="0"/>
        <w:autoSpaceDE w:val="0"/>
        <w:autoSpaceDN w:val="0"/>
        <w:adjustRightInd w:val="0"/>
        <w:spacing w:after="0" w:line="255" w:lineRule="auto"/>
        <w:ind w:right="20"/>
        <w:jc w:val="both"/>
        <w:rPr>
          <w:rFonts w:ascii="Arial" w:hAnsi="Arial" w:cs="Arial"/>
          <w:sz w:val="22"/>
          <w:szCs w:val="22"/>
        </w:rPr>
      </w:pPr>
      <w:r w:rsidRPr="007923C2">
        <w:rPr>
          <w:rFonts w:ascii="Arial" w:hAnsi="Arial" w:cs="Arial"/>
          <w:sz w:val="22"/>
          <w:szCs w:val="22"/>
        </w:rPr>
        <w:t>La ANUIES también solicitó al gobierno federal y a los gobiernos estatales el establecimiento de políticas y programas complementarios de apoyo a las universidades, que consideraran los resultados de estos procesos, para garantizar el desarrollo equilibrado y sostenido del sistema educativo superior.</w:t>
      </w:r>
    </w:p>
    <w:p w14:paraId="7B1E66A5" w14:textId="77777777" w:rsidR="006A1D9E" w:rsidRPr="007923C2" w:rsidRDefault="006A1D9E" w:rsidP="006A1D9E">
      <w:pPr>
        <w:widowControl w:val="0"/>
        <w:autoSpaceDE w:val="0"/>
        <w:autoSpaceDN w:val="0"/>
        <w:adjustRightInd w:val="0"/>
        <w:spacing w:after="0" w:line="224" w:lineRule="exact"/>
        <w:rPr>
          <w:rFonts w:ascii="Arial" w:hAnsi="Arial" w:cs="Arial"/>
          <w:sz w:val="22"/>
          <w:szCs w:val="22"/>
        </w:rPr>
      </w:pPr>
    </w:p>
    <w:p w14:paraId="5854CA2A" w14:textId="77777777" w:rsidR="006A1D9E" w:rsidRPr="007923C2" w:rsidRDefault="006A1D9E" w:rsidP="006A1D9E">
      <w:pPr>
        <w:widowControl w:val="0"/>
        <w:overflowPunct w:val="0"/>
        <w:autoSpaceDE w:val="0"/>
        <w:autoSpaceDN w:val="0"/>
        <w:adjustRightInd w:val="0"/>
        <w:spacing w:after="0" w:line="250" w:lineRule="auto"/>
        <w:ind w:right="20"/>
        <w:jc w:val="both"/>
        <w:rPr>
          <w:rFonts w:ascii="Arial" w:hAnsi="Arial" w:cs="Arial"/>
          <w:sz w:val="22"/>
          <w:szCs w:val="22"/>
        </w:rPr>
      </w:pPr>
      <w:r w:rsidRPr="007923C2">
        <w:rPr>
          <w:rFonts w:ascii="Arial" w:hAnsi="Arial" w:cs="Arial"/>
          <w:sz w:val="22"/>
          <w:szCs w:val="22"/>
        </w:rPr>
        <w:t>Por lo que se refiere a la política del gobierno federal, en el Programa Nacional de Educación 2001– 2006 (PRONAE) se diseñó una política para el desarrollo de la educación superior con tres objetivos estratégicos: ampliación de la cobertura con equidad; educación superior de buena calidad e integración, coordinación y gestión del sistema de educación superior.</w:t>
      </w:r>
    </w:p>
    <w:p w14:paraId="47DCA1C5" w14:textId="77777777" w:rsidR="006A1D9E" w:rsidRPr="007923C2" w:rsidRDefault="006A1D9E" w:rsidP="006A1D9E">
      <w:pPr>
        <w:widowControl w:val="0"/>
        <w:autoSpaceDE w:val="0"/>
        <w:autoSpaceDN w:val="0"/>
        <w:adjustRightInd w:val="0"/>
        <w:spacing w:after="0" w:line="230" w:lineRule="exact"/>
        <w:rPr>
          <w:rFonts w:ascii="Arial" w:hAnsi="Arial" w:cs="Arial"/>
          <w:sz w:val="22"/>
          <w:szCs w:val="22"/>
        </w:rPr>
      </w:pPr>
    </w:p>
    <w:p w14:paraId="7636EDB6" w14:textId="77777777" w:rsidR="006A1D9E" w:rsidRPr="007923C2" w:rsidRDefault="006A1D9E" w:rsidP="005933E2">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Lo referente a evaluación y acreditación quedó comprendido en el segundo objetivo estratégico. El PRONAE estableció distintas líneas de acción para la “mejora y el aseguramiento de la calidad”, teniendo como núcleo de atención a los programas educativos impartidos por las instituciones. Así se propuso, entre otras acciones, promover la evaluación diagnóstica que practican los CIEES; alentar la acreditación de programas por organismos especializados reconocidos formalmente por el COPAES; fomentar la conformación de organismos especializados de acreditación de programas educativos de carácter no gubernamental; establecer criterios y procedimientos para la conformación del Padrón Nacional de Posgrado (SEP-CONACyT); promover el reconocimiento internacional del esquema de acreditación de programas educativos; formular criterios para la evaluación y acreditación de los programas académicos que sean impartidos mediante modalidades no escolarizadas y mixtas; otorgar apoyos económicos extraordinarios a las instituciones públicas para asegurar la calidad de los programas educativos que hayan sido acreditados por organismos reconocidos por el COPAES, o que formen parte del Padrón Nacional de Posgrado; promover la evaluación externa de los estudiantes al ingreso y al egreso con fines de diagnóstico; mejorar los requisitos y procedimientos para el otorgamiento del RVOE de estudios del tipo superior y fortalecer la capacidad técnica del gobierno federal para el análisis de las solicitudes, así como para la supervisión.</w:t>
      </w:r>
    </w:p>
    <w:p w14:paraId="344A5594" w14:textId="77777777" w:rsidR="006A1D9E" w:rsidRPr="007923C2" w:rsidRDefault="006A1D9E" w:rsidP="006A1D9E">
      <w:pPr>
        <w:widowControl w:val="0"/>
        <w:autoSpaceDE w:val="0"/>
        <w:autoSpaceDN w:val="0"/>
        <w:adjustRightInd w:val="0"/>
        <w:spacing w:after="0" w:line="372" w:lineRule="exact"/>
        <w:rPr>
          <w:rFonts w:ascii="Arial" w:hAnsi="Arial" w:cs="Arial"/>
          <w:sz w:val="22"/>
          <w:szCs w:val="22"/>
        </w:rPr>
      </w:pPr>
    </w:p>
    <w:p w14:paraId="22C1EF5A" w14:textId="77777777" w:rsidR="006A1D9E" w:rsidRPr="007923C2" w:rsidRDefault="006A1D9E" w:rsidP="006A1D9E">
      <w:pPr>
        <w:widowControl w:val="0"/>
        <w:autoSpaceDE w:val="0"/>
        <w:autoSpaceDN w:val="0"/>
        <w:adjustRightInd w:val="0"/>
        <w:spacing w:after="0" w:line="240" w:lineRule="auto"/>
        <w:ind w:left="7"/>
        <w:rPr>
          <w:rFonts w:ascii="Arial" w:hAnsi="Arial" w:cs="Arial"/>
          <w:sz w:val="22"/>
          <w:szCs w:val="22"/>
        </w:rPr>
      </w:pPr>
      <w:r w:rsidRPr="007923C2">
        <w:rPr>
          <w:rFonts w:ascii="Arial" w:hAnsi="Arial" w:cs="Arial"/>
          <w:b/>
          <w:bCs/>
          <w:sz w:val="22"/>
          <w:szCs w:val="22"/>
        </w:rPr>
        <w:t>3. Resultados de la evaluación de programas académicos.</w:t>
      </w:r>
    </w:p>
    <w:p w14:paraId="05080858" w14:textId="77777777" w:rsidR="006A1D9E" w:rsidRPr="007923C2" w:rsidRDefault="006A1D9E" w:rsidP="006A1D9E">
      <w:pPr>
        <w:widowControl w:val="0"/>
        <w:overflowPunct w:val="0"/>
        <w:autoSpaceDE w:val="0"/>
        <w:autoSpaceDN w:val="0"/>
        <w:adjustRightInd w:val="0"/>
        <w:spacing w:after="0" w:line="255" w:lineRule="auto"/>
        <w:ind w:left="7" w:right="120"/>
        <w:jc w:val="both"/>
        <w:rPr>
          <w:rFonts w:ascii="Arial" w:hAnsi="Arial" w:cs="Arial"/>
          <w:sz w:val="22"/>
          <w:szCs w:val="22"/>
        </w:rPr>
      </w:pPr>
      <w:r w:rsidRPr="007923C2">
        <w:rPr>
          <w:rFonts w:ascii="Arial" w:hAnsi="Arial" w:cs="Arial"/>
          <w:sz w:val="22"/>
          <w:szCs w:val="22"/>
        </w:rPr>
        <w:t>A mediados de 2003 los distintos instrumentos de evaluación y acreditación de programas académicos habían arrojado diversos resultados que fueron dados a conocer tanto en los informes de la SEP como en los de cada uno de los organismos. A continuación señalaremos los resultados más relevantes.</w:t>
      </w:r>
    </w:p>
    <w:p w14:paraId="2034D7BC" w14:textId="77777777" w:rsidR="006A1D9E" w:rsidRPr="007923C2" w:rsidRDefault="006A1D9E" w:rsidP="006A1D9E">
      <w:pPr>
        <w:widowControl w:val="0"/>
        <w:autoSpaceDE w:val="0"/>
        <w:autoSpaceDN w:val="0"/>
        <w:adjustRightInd w:val="0"/>
        <w:spacing w:after="0" w:line="200" w:lineRule="exact"/>
        <w:rPr>
          <w:rFonts w:ascii="Arial" w:hAnsi="Arial" w:cs="Arial"/>
          <w:sz w:val="22"/>
          <w:szCs w:val="22"/>
        </w:rPr>
      </w:pPr>
    </w:p>
    <w:p w14:paraId="42A54973" w14:textId="77777777" w:rsidR="006A1D9E" w:rsidRPr="007923C2" w:rsidRDefault="006A1D9E" w:rsidP="006A1D9E">
      <w:pPr>
        <w:widowControl w:val="0"/>
        <w:autoSpaceDE w:val="0"/>
        <w:autoSpaceDN w:val="0"/>
        <w:adjustRightInd w:val="0"/>
        <w:spacing w:after="0" w:line="240" w:lineRule="auto"/>
        <w:ind w:left="7"/>
        <w:rPr>
          <w:rFonts w:ascii="Arial" w:hAnsi="Arial" w:cs="Arial"/>
          <w:sz w:val="22"/>
          <w:szCs w:val="22"/>
        </w:rPr>
      </w:pPr>
      <w:r w:rsidRPr="007923C2">
        <w:rPr>
          <w:rFonts w:ascii="Arial" w:hAnsi="Arial" w:cs="Arial"/>
          <w:b/>
          <w:bCs/>
          <w:sz w:val="22"/>
          <w:szCs w:val="22"/>
        </w:rPr>
        <w:t>3.1 Evaluación diagnóstica de programas educativos por los CIEES.</w:t>
      </w:r>
    </w:p>
    <w:p w14:paraId="59FFA614" w14:textId="77777777" w:rsidR="006A1D9E" w:rsidRPr="007923C2" w:rsidRDefault="006A1D9E" w:rsidP="006A1D9E">
      <w:pPr>
        <w:widowControl w:val="0"/>
        <w:overflowPunct w:val="0"/>
        <w:autoSpaceDE w:val="0"/>
        <w:autoSpaceDN w:val="0"/>
        <w:adjustRightInd w:val="0"/>
        <w:spacing w:after="0" w:line="242" w:lineRule="auto"/>
        <w:ind w:left="7" w:right="120"/>
        <w:jc w:val="both"/>
        <w:rPr>
          <w:rFonts w:ascii="Arial" w:hAnsi="Arial" w:cs="Arial"/>
          <w:sz w:val="22"/>
          <w:szCs w:val="22"/>
        </w:rPr>
      </w:pPr>
      <w:r w:rsidRPr="007923C2">
        <w:rPr>
          <w:rFonts w:ascii="Arial" w:hAnsi="Arial" w:cs="Arial"/>
          <w:sz w:val="22"/>
          <w:szCs w:val="22"/>
        </w:rPr>
        <w:t>De acuerdo con información proporcionada por los CIEES, hasta el mes de febrero de 2003, en 17 estados se había evaluado el 100% de los programas académicos de las universidades públicas. A lo largo de doce años se habían entregado 2,609 informes de evaluación y casi medio millar se encontraban en proceso de elaboración. Sin embargo, el universo de evaluación ha sido profundamente desequilibrado, al estar constituido casi en su totalidad (95%) por las universidades públicas, lo que es indicativo de la mínima participación de otro tipo de instituciones, como son las universidades particulares, que participan con el 3%, los institutos tecnológicos, con el 1 %, y las universidades tecnológicas, con el restante 1%.</w:t>
      </w:r>
    </w:p>
    <w:p w14:paraId="3F933D49" w14:textId="77777777" w:rsidR="006A1D9E" w:rsidRPr="007923C2" w:rsidRDefault="006A1D9E" w:rsidP="006A1D9E">
      <w:pPr>
        <w:widowControl w:val="0"/>
        <w:autoSpaceDE w:val="0"/>
        <w:autoSpaceDN w:val="0"/>
        <w:adjustRightInd w:val="0"/>
        <w:spacing w:after="0" w:line="165" w:lineRule="exact"/>
        <w:rPr>
          <w:rFonts w:ascii="Arial" w:hAnsi="Arial" w:cs="Arial"/>
          <w:sz w:val="22"/>
          <w:szCs w:val="22"/>
        </w:rPr>
      </w:pPr>
    </w:p>
    <w:p w14:paraId="0EA2E234" w14:textId="77777777" w:rsidR="006A1D9E" w:rsidRPr="007923C2" w:rsidRDefault="006A1D9E" w:rsidP="006A1D9E">
      <w:pPr>
        <w:widowControl w:val="0"/>
        <w:overflowPunct w:val="0"/>
        <w:autoSpaceDE w:val="0"/>
        <w:autoSpaceDN w:val="0"/>
        <w:adjustRightInd w:val="0"/>
        <w:spacing w:after="0" w:line="243" w:lineRule="auto"/>
        <w:ind w:left="7" w:right="100"/>
        <w:jc w:val="both"/>
        <w:rPr>
          <w:rFonts w:ascii="Arial" w:hAnsi="Arial" w:cs="Arial"/>
          <w:sz w:val="22"/>
          <w:szCs w:val="22"/>
        </w:rPr>
      </w:pPr>
      <w:r w:rsidRPr="007923C2">
        <w:rPr>
          <w:rFonts w:ascii="Arial" w:hAnsi="Arial" w:cs="Arial"/>
          <w:sz w:val="22"/>
          <w:szCs w:val="22"/>
        </w:rPr>
        <w:t>Cabe señalar que el principal producto de la evaluación de los comités se plasma en un informe con recomendaciones a las universidades y a las entidades académicas que imparten los programas evaluados, y que no se hace público. En conjunto, en doce años se han emitido más de 40 mil recomendaciones. De manera más reciente, los CIEES han venido realizando su seguimiento, y reportan que en una alta proporción las universidades han cumplido las recomendaciones recibidas como resultado de las evaluaciones, y que solamente en muy poca proporción se ha mostrado inconformidad con los reportes de la evaluación.</w:t>
      </w:r>
    </w:p>
    <w:p w14:paraId="19CC9FB6" w14:textId="77777777" w:rsidR="006A1D9E" w:rsidRPr="007923C2" w:rsidRDefault="006A1D9E" w:rsidP="006A1D9E">
      <w:pPr>
        <w:widowControl w:val="0"/>
        <w:autoSpaceDE w:val="0"/>
        <w:autoSpaceDN w:val="0"/>
        <w:adjustRightInd w:val="0"/>
        <w:spacing w:after="0" w:line="159" w:lineRule="exact"/>
        <w:rPr>
          <w:rFonts w:ascii="Arial" w:hAnsi="Arial" w:cs="Arial"/>
          <w:sz w:val="22"/>
          <w:szCs w:val="22"/>
        </w:rPr>
      </w:pPr>
    </w:p>
    <w:p w14:paraId="5A17D325" w14:textId="77777777" w:rsidR="006A1D9E" w:rsidRPr="007923C2" w:rsidRDefault="006A1D9E" w:rsidP="006A1D9E">
      <w:pPr>
        <w:widowControl w:val="0"/>
        <w:overflowPunct w:val="0"/>
        <w:autoSpaceDE w:val="0"/>
        <w:autoSpaceDN w:val="0"/>
        <w:adjustRightInd w:val="0"/>
        <w:spacing w:after="0" w:line="232" w:lineRule="auto"/>
        <w:ind w:left="7" w:right="120"/>
        <w:jc w:val="both"/>
        <w:rPr>
          <w:rFonts w:ascii="Arial" w:hAnsi="Arial" w:cs="Arial"/>
          <w:sz w:val="22"/>
          <w:szCs w:val="22"/>
        </w:rPr>
      </w:pPr>
      <w:r w:rsidRPr="007923C2">
        <w:rPr>
          <w:rFonts w:ascii="Arial" w:hAnsi="Arial" w:cs="Arial"/>
          <w:sz w:val="22"/>
          <w:szCs w:val="22"/>
        </w:rPr>
        <w:t>Otras actividades realizadas por los CIEES han sido el impulso a la formación de los académicos en el campo de la evaluación; la realización de estudios diagnósticos transversales;</w:t>
      </w:r>
      <w:r w:rsidRPr="007923C2">
        <w:rPr>
          <w:rFonts w:ascii="Arial" w:hAnsi="Arial" w:cs="Arial"/>
          <w:sz w:val="22"/>
          <w:szCs w:val="22"/>
          <w:vertAlign w:val="superscript"/>
        </w:rPr>
        <w:t>5</w:t>
      </w:r>
      <w:r w:rsidRPr="007923C2">
        <w:rPr>
          <w:rFonts w:ascii="Arial" w:hAnsi="Arial" w:cs="Arial"/>
          <w:sz w:val="22"/>
          <w:szCs w:val="22"/>
        </w:rPr>
        <w:t xml:space="preserve"> el apoyo a la autoevaluación y a la evaluación de programas académicos a solicitud de varias universidades; el </w:t>
      </w:r>
      <w:r w:rsidRPr="007923C2">
        <w:rPr>
          <w:rFonts w:ascii="Arial" w:hAnsi="Arial" w:cs="Arial"/>
          <w:sz w:val="22"/>
          <w:szCs w:val="22"/>
        </w:rPr>
        <w:lastRenderedPageBreak/>
        <w:t>apoyo a diversos organismos y a autoridades; la dictaminación de proyectos y programas de las universidades para ser apoyados por los programas de la SESIC, y el impulso a la constitución de los organismos acreditadores de programas educativos (CIEES 2003, 12-14).</w:t>
      </w:r>
    </w:p>
    <w:p w14:paraId="5F0C1DF6" w14:textId="77777777" w:rsidR="006A1D9E" w:rsidRPr="007923C2" w:rsidRDefault="006A1D9E" w:rsidP="006A1D9E">
      <w:pPr>
        <w:widowControl w:val="0"/>
        <w:autoSpaceDE w:val="0"/>
        <w:autoSpaceDN w:val="0"/>
        <w:adjustRightInd w:val="0"/>
        <w:spacing w:after="0" w:line="242" w:lineRule="exact"/>
        <w:rPr>
          <w:rFonts w:ascii="Arial" w:hAnsi="Arial" w:cs="Arial"/>
          <w:sz w:val="22"/>
          <w:szCs w:val="22"/>
        </w:rPr>
      </w:pPr>
    </w:p>
    <w:p w14:paraId="6EE6594E" w14:textId="77777777" w:rsidR="006A1D9E" w:rsidRPr="007923C2" w:rsidRDefault="006A1D9E" w:rsidP="005933E2">
      <w:pPr>
        <w:widowControl w:val="0"/>
        <w:overflowPunct w:val="0"/>
        <w:autoSpaceDE w:val="0"/>
        <w:autoSpaceDN w:val="0"/>
        <w:adjustRightInd w:val="0"/>
        <w:spacing w:after="0" w:line="255" w:lineRule="auto"/>
        <w:ind w:left="7" w:right="120"/>
        <w:jc w:val="both"/>
        <w:rPr>
          <w:rFonts w:ascii="Arial" w:hAnsi="Arial" w:cs="Arial"/>
          <w:sz w:val="22"/>
          <w:szCs w:val="22"/>
        </w:rPr>
      </w:pPr>
      <w:r w:rsidRPr="007923C2">
        <w:rPr>
          <w:rFonts w:ascii="Arial" w:hAnsi="Arial" w:cs="Arial"/>
          <w:sz w:val="22"/>
          <w:szCs w:val="22"/>
        </w:rPr>
        <w:t>La evaluación de programas que practican los CIEES, al igual que la que se realiza con fines de acreditación por parte de los organismos acreditadores, es de carácter voluntario. Como ya señalamos, no existe una ley que obligue a las instituciones de educación superior</w:t>
      </w:r>
      <w:r w:rsidR="005933E2" w:rsidRPr="007923C2">
        <w:rPr>
          <w:rFonts w:ascii="Arial" w:hAnsi="Arial" w:cs="Arial"/>
          <w:sz w:val="22"/>
          <w:szCs w:val="22"/>
        </w:rPr>
        <w:t xml:space="preserve"> a ser evaluadas externamente y </w:t>
      </w:r>
      <w:r w:rsidRPr="007923C2">
        <w:rPr>
          <w:rFonts w:ascii="Arial" w:hAnsi="Arial" w:cs="Arial"/>
          <w:sz w:val="22"/>
          <w:szCs w:val="22"/>
        </w:rPr>
        <w:t>menos aún a atender las recomendaciones que de las evaluaciones se desprendan. Sin embargo, y pese a la no obligatoriedad de estas evaluaciones externas, las políticas públicas dirigidas a las universidades estatales han inducido de manera significativa a que ellas soliciten a los CIEES la realización de evaluaciones de programas o de funciones. En el marco de las políticas impulsadas por la SESIC a partir del año 2001, sus autoridades solicitaron a los CIEES que clasificaran los programas evaluados en tres niveles, de acuerdo con su consolidación académica y su cercanía a la acreditación. De esta manera, los CIEES integraron un padrón de programas evaluados en relación con la acreditación.</w:t>
      </w:r>
    </w:p>
    <w:p w14:paraId="15FCF79B" w14:textId="77777777" w:rsidR="006A1D9E" w:rsidRPr="007923C2" w:rsidRDefault="006A1D9E" w:rsidP="006A1D9E">
      <w:pPr>
        <w:widowControl w:val="0"/>
        <w:autoSpaceDE w:val="0"/>
        <w:autoSpaceDN w:val="0"/>
        <w:adjustRightInd w:val="0"/>
        <w:spacing w:after="0" w:line="241" w:lineRule="exact"/>
        <w:rPr>
          <w:rFonts w:ascii="Arial" w:hAnsi="Arial" w:cs="Arial"/>
          <w:sz w:val="22"/>
          <w:szCs w:val="22"/>
        </w:rPr>
      </w:pPr>
    </w:p>
    <w:p w14:paraId="24B3A8F0" w14:textId="77777777" w:rsidR="006A1D9E" w:rsidRPr="007923C2" w:rsidRDefault="006A1D9E" w:rsidP="006A1D9E">
      <w:pPr>
        <w:widowControl w:val="0"/>
        <w:overflowPunct w:val="0"/>
        <w:autoSpaceDE w:val="0"/>
        <w:autoSpaceDN w:val="0"/>
        <w:adjustRightInd w:val="0"/>
        <w:spacing w:after="0" w:line="246" w:lineRule="auto"/>
        <w:ind w:left="7" w:right="20"/>
        <w:jc w:val="both"/>
        <w:rPr>
          <w:rFonts w:ascii="Arial" w:hAnsi="Arial" w:cs="Arial"/>
          <w:sz w:val="22"/>
          <w:szCs w:val="22"/>
        </w:rPr>
      </w:pPr>
      <w:r w:rsidRPr="007923C2">
        <w:rPr>
          <w:rFonts w:ascii="Arial" w:hAnsi="Arial" w:cs="Arial"/>
          <w:sz w:val="22"/>
          <w:szCs w:val="22"/>
        </w:rPr>
        <w:t>En el primer ejercicio de clasificación que hicieron los CIEES situaron, de entre 1,288 programas entonces evaluados, a 473 programas en el nivel 1 (nivel más cercano a la acreditación), 578 en el nivel 2 y 273 en el nivel 3. Para finales de 2002, reportaron, de un total de 2,071 programas evaluados, a 720 en el nivel 1, 883 en el nivel 2 y 468 en el nivel 3 (SESIC, 2003a, 4). Esto quiere decir, de acuerdo con la apreciación de los CIEES, que se está dando una carrera ascendente en el mejoramiento de la calidad de los programas.</w:t>
      </w:r>
    </w:p>
    <w:p w14:paraId="1B64B86F" w14:textId="77777777" w:rsidR="006A1D9E" w:rsidRPr="007923C2" w:rsidRDefault="006A1D9E" w:rsidP="006A1D9E">
      <w:pPr>
        <w:widowControl w:val="0"/>
        <w:autoSpaceDE w:val="0"/>
        <w:autoSpaceDN w:val="0"/>
        <w:adjustRightInd w:val="0"/>
        <w:spacing w:after="0" w:line="235" w:lineRule="exact"/>
        <w:rPr>
          <w:rFonts w:ascii="Arial" w:hAnsi="Arial" w:cs="Arial"/>
          <w:sz w:val="22"/>
          <w:szCs w:val="22"/>
        </w:rPr>
      </w:pPr>
    </w:p>
    <w:p w14:paraId="02044B7A" w14:textId="77777777" w:rsidR="006A1D9E" w:rsidRPr="007923C2" w:rsidRDefault="006A1D9E" w:rsidP="006A1D9E">
      <w:pPr>
        <w:widowControl w:val="0"/>
        <w:overflowPunct w:val="0"/>
        <w:autoSpaceDE w:val="0"/>
        <w:autoSpaceDN w:val="0"/>
        <w:adjustRightInd w:val="0"/>
        <w:spacing w:after="0" w:line="245" w:lineRule="auto"/>
        <w:ind w:left="7"/>
        <w:jc w:val="both"/>
        <w:rPr>
          <w:rFonts w:ascii="Arial" w:hAnsi="Arial" w:cs="Arial"/>
          <w:sz w:val="22"/>
          <w:szCs w:val="22"/>
        </w:rPr>
      </w:pPr>
      <w:r w:rsidRPr="007923C2">
        <w:rPr>
          <w:rFonts w:ascii="Arial" w:hAnsi="Arial" w:cs="Arial"/>
          <w:sz w:val="22"/>
          <w:szCs w:val="22"/>
        </w:rPr>
        <w:t>Si bien los resultados de evaluación, y la correspondiente clasificación de los CIEES, no están directamente asociados al otorgamiento de recursos, sí lo está el hecho de que las universidades participen en procesos de evaluación externa y de acreditación. Ello queda de manifiesto en los lineamientos para la actualización, formulación y presentación del Programa Integral de Fortalecimiento Institucional, que señala como uno de los insumos para la planeación la atención a las recomendaciones de los CIEES, así como la verificación del nivel otorgado por los CIEES a los programas educativos evaluados.</w:t>
      </w:r>
    </w:p>
    <w:p w14:paraId="79D02FEE" w14:textId="77777777" w:rsidR="006A1D9E" w:rsidRPr="007923C2" w:rsidRDefault="006A1D9E" w:rsidP="006A1D9E">
      <w:pPr>
        <w:widowControl w:val="0"/>
        <w:autoSpaceDE w:val="0"/>
        <w:autoSpaceDN w:val="0"/>
        <w:adjustRightInd w:val="0"/>
        <w:spacing w:after="0" w:line="236" w:lineRule="exact"/>
        <w:rPr>
          <w:rFonts w:ascii="Arial" w:hAnsi="Arial" w:cs="Arial"/>
          <w:sz w:val="22"/>
          <w:szCs w:val="22"/>
        </w:rPr>
      </w:pPr>
    </w:p>
    <w:p w14:paraId="42CBA889" w14:textId="77777777" w:rsidR="006A1D9E" w:rsidRPr="007923C2" w:rsidRDefault="006A1D9E" w:rsidP="006A1D9E">
      <w:pPr>
        <w:widowControl w:val="0"/>
        <w:overflowPunct w:val="0"/>
        <w:autoSpaceDE w:val="0"/>
        <w:autoSpaceDN w:val="0"/>
        <w:adjustRightInd w:val="0"/>
        <w:spacing w:after="0" w:line="244" w:lineRule="auto"/>
        <w:ind w:left="7" w:right="20"/>
        <w:jc w:val="both"/>
        <w:rPr>
          <w:rFonts w:ascii="Arial" w:hAnsi="Arial" w:cs="Arial"/>
          <w:sz w:val="22"/>
          <w:szCs w:val="22"/>
        </w:rPr>
      </w:pPr>
      <w:r w:rsidRPr="007923C2">
        <w:rPr>
          <w:rFonts w:ascii="Arial" w:hAnsi="Arial" w:cs="Arial"/>
          <w:sz w:val="22"/>
          <w:szCs w:val="22"/>
        </w:rPr>
        <w:t>El impulso a la planeación estratégica y a la evaluación en las universidades públicas estatales y universidades tecnológicas (que son las instituciones que están en el ámbito de la SESIC) por medio de los PIFI, se ha constituido en la columna vertebral de la política del gobierno federal para estos conjuntos de instituciones de educación superior. De entre los siete objetivos de los PIFI, dos se relacionan con el tema que aquí tratamos: mejorar la calidad de los programas educativos que ofrece la institución y lograr su acreditación por organismos especializados reconocidos por el COPAES o transitoriamente clasificados en el nivel 1 por los CIEES, así como asegurar la calidad (mantener la acreditación) de aquellos programas que la hayan alcanzado.</w:t>
      </w:r>
    </w:p>
    <w:p w14:paraId="1A0D6FE8" w14:textId="77777777" w:rsidR="006A1D9E" w:rsidRPr="007923C2" w:rsidRDefault="006A1D9E" w:rsidP="006A1D9E">
      <w:pPr>
        <w:widowControl w:val="0"/>
        <w:autoSpaceDE w:val="0"/>
        <w:autoSpaceDN w:val="0"/>
        <w:adjustRightInd w:val="0"/>
        <w:spacing w:after="0" w:line="239" w:lineRule="exact"/>
        <w:rPr>
          <w:rFonts w:ascii="Arial" w:hAnsi="Arial" w:cs="Arial"/>
          <w:sz w:val="22"/>
          <w:szCs w:val="22"/>
        </w:rPr>
      </w:pPr>
    </w:p>
    <w:p w14:paraId="108ACC7C" w14:textId="77777777" w:rsidR="006A1D9E" w:rsidRPr="007923C2" w:rsidRDefault="006A1D9E" w:rsidP="006A1D9E">
      <w:pPr>
        <w:widowControl w:val="0"/>
        <w:overflowPunct w:val="0"/>
        <w:autoSpaceDE w:val="0"/>
        <w:autoSpaceDN w:val="0"/>
        <w:adjustRightInd w:val="0"/>
        <w:spacing w:after="0" w:line="251" w:lineRule="auto"/>
        <w:ind w:left="367"/>
        <w:rPr>
          <w:rFonts w:ascii="Arial" w:hAnsi="Arial" w:cs="Arial"/>
          <w:sz w:val="22"/>
          <w:szCs w:val="22"/>
        </w:rPr>
      </w:pPr>
      <w:r w:rsidRPr="007923C2">
        <w:rPr>
          <w:rFonts w:ascii="Arial" w:hAnsi="Arial" w:cs="Arial"/>
          <w:sz w:val="22"/>
          <w:szCs w:val="22"/>
        </w:rPr>
        <w:t>Los lineamientos para la actualización del PIFI proponen a las universidades analizar la evolución de la calidad de los programas educativos, para lo cual plantean las siguientes preguntas:</w:t>
      </w:r>
    </w:p>
    <w:p w14:paraId="37D3632D" w14:textId="77777777" w:rsidR="006A1D9E" w:rsidRPr="007923C2" w:rsidRDefault="006A1D9E" w:rsidP="006A1D9E">
      <w:pPr>
        <w:widowControl w:val="0"/>
        <w:autoSpaceDE w:val="0"/>
        <w:autoSpaceDN w:val="0"/>
        <w:adjustRightInd w:val="0"/>
        <w:spacing w:after="0" w:line="1" w:lineRule="exact"/>
        <w:rPr>
          <w:rFonts w:ascii="Arial" w:hAnsi="Arial" w:cs="Arial"/>
          <w:sz w:val="22"/>
          <w:szCs w:val="22"/>
        </w:rPr>
      </w:pPr>
    </w:p>
    <w:p w14:paraId="43907CAE" w14:textId="77777777" w:rsidR="006A1D9E" w:rsidRPr="007923C2" w:rsidRDefault="006A1D9E" w:rsidP="006A1D9E">
      <w:pPr>
        <w:widowControl w:val="0"/>
        <w:numPr>
          <w:ilvl w:val="0"/>
          <w:numId w:val="131"/>
        </w:numPr>
        <w:tabs>
          <w:tab w:val="clear" w:pos="720"/>
          <w:tab w:val="num" w:pos="367"/>
        </w:tabs>
        <w:overflowPunct w:val="0"/>
        <w:autoSpaceDE w:val="0"/>
        <w:autoSpaceDN w:val="0"/>
        <w:adjustRightInd w:val="0"/>
        <w:spacing w:after="0" w:line="231" w:lineRule="auto"/>
        <w:ind w:left="367" w:right="20" w:hanging="367"/>
        <w:jc w:val="both"/>
        <w:rPr>
          <w:rFonts w:ascii="Arial" w:hAnsi="Arial" w:cs="Arial"/>
          <w:sz w:val="22"/>
          <w:szCs w:val="22"/>
        </w:rPr>
      </w:pPr>
      <w:r w:rsidRPr="007923C2">
        <w:rPr>
          <w:rFonts w:ascii="Arial" w:hAnsi="Arial" w:cs="Arial"/>
          <w:sz w:val="22"/>
          <w:szCs w:val="22"/>
        </w:rPr>
        <w:t xml:space="preserve">¿Cuáles programas educativos fueron evaluados por primera vez por los CIEES en el transcurso de los últimos dos años?¿Cuáles son las recomendaciones relevantes?¿Cómo fueron clasificados </w:t>
      </w:r>
    </w:p>
    <w:p w14:paraId="190BF60E" w14:textId="77777777" w:rsidR="006A1D9E" w:rsidRPr="007923C2" w:rsidRDefault="006A1D9E" w:rsidP="006A1D9E">
      <w:pPr>
        <w:widowControl w:val="0"/>
        <w:autoSpaceDE w:val="0"/>
        <w:autoSpaceDN w:val="0"/>
        <w:adjustRightInd w:val="0"/>
        <w:spacing w:after="0" w:line="1" w:lineRule="exact"/>
        <w:rPr>
          <w:rFonts w:ascii="Arial" w:hAnsi="Arial" w:cs="Arial"/>
          <w:sz w:val="22"/>
          <w:szCs w:val="22"/>
        </w:rPr>
      </w:pPr>
    </w:p>
    <w:p w14:paraId="7AEB3E90" w14:textId="77777777" w:rsidR="006A1D9E" w:rsidRPr="007923C2" w:rsidRDefault="006A1D9E" w:rsidP="006A1D9E">
      <w:pPr>
        <w:widowControl w:val="0"/>
        <w:autoSpaceDE w:val="0"/>
        <w:autoSpaceDN w:val="0"/>
        <w:adjustRightInd w:val="0"/>
        <w:spacing w:after="0" w:line="240" w:lineRule="auto"/>
        <w:ind w:left="367"/>
        <w:rPr>
          <w:rFonts w:ascii="Arial" w:hAnsi="Arial" w:cs="Arial"/>
          <w:sz w:val="22"/>
          <w:szCs w:val="22"/>
        </w:rPr>
      </w:pPr>
      <w:r w:rsidRPr="007923C2">
        <w:rPr>
          <w:rFonts w:ascii="Arial" w:hAnsi="Arial" w:cs="Arial"/>
          <w:sz w:val="22"/>
          <w:szCs w:val="22"/>
        </w:rPr>
        <w:t>(1,2,3)?</w:t>
      </w:r>
    </w:p>
    <w:p w14:paraId="2DCC2575" w14:textId="77777777" w:rsidR="006A1D9E" w:rsidRPr="007923C2" w:rsidRDefault="006A1D9E" w:rsidP="00CC3D7E">
      <w:pPr>
        <w:widowControl w:val="0"/>
        <w:numPr>
          <w:ilvl w:val="0"/>
          <w:numId w:val="211"/>
        </w:numPr>
        <w:tabs>
          <w:tab w:val="clear" w:pos="720"/>
          <w:tab w:val="num" w:pos="367"/>
        </w:tabs>
        <w:overflowPunct w:val="0"/>
        <w:autoSpaceDE w:val="0"/>
        <w:autoSpaceDN w:val="0"/>
        <w:adjustRightInd w:val="0"/>
        <w:spacing w:after="0" w:line="231" w:lineRule="auto"/>
        <w:ind w:left="367" w:hanging="367"/>
        <w:jc w:val="both"/>
        <w:rPr>
          <w:rFonts w:ascii="Arial" w:hAnsi="Arial" w:cs="Arial"/>
          <w:sz w:val="22"/>
          <w:szCs w:val="22"/>
        </w:rPr>
      </w:pPr>
      <w:r w:rsidRPr="007923C2">
        <w:rPr>
          <w:rFonts w:ascii="Arial" w:hAnsi="Arial" w:cs="Arial"/>
          <w:sz w:val="22"/>
          <w:szCs w:val="22"/>
        </w:rPr>
        <w:t xml:space="preserve">¿Cuáles de los programas educativos del nivel 3 de los CIEES lograron pasar al nivel 2 o al 1 en los últimos dos años?¿En qué consistieron las acciones de mejora? </w:t>
      </w:r>
    </w:p>
    <w:p w14:paraId="0BC5B8D2" w14:textId="77777777" w:rsidR="006A1D9E" w:rsidRPr="007923C2" w:rsidRDefault="006A1D9E" w:rsidP="006A1D9E">
      <w:pPr>
        <w:widowControl w:val="0"/>
        <w:autoSpaceDE w:val="0"/>
        <w:autoSpaceDN w:val="0"/>
        <w:adjustRightInd w:val="0"/>
        <w:spacing w:after="0" w:line="1" w:lineRule="exact"/>
        <w:rPr>
          <w:rFonts w:ascii="Arial" w:hAnsi="Arial" w:cs="Arial"/>
          <w:sz w:val="22"/>
          <w:szCs w:val="22"/>
        </w:rPr>
      </w:pPr>
    </w:p>
    <w:p w14:paraId="3B50166C" w14:textId="77777777" w:rsidR="006A1D9E" w:rsidRPr="007923C2" w:rsidRDefault="006A1D9E" w:rsidP="00CC3D7E">
      <w:pPr>
        <w:widowControl w:val="0"/>
        <w:numPr>
          <w:ilvl w:val="0"/>
          <w:numId w:val="212"/>
        </w:numPr>
        <w:tabs>
          <w:tab w:val="clear" w:pos="720"/>
          <w:tab w:val="num" w:pos="367"/>
        </w:tabs>
        <w:overflowPunct w:val="0"/>
        <w:autoSpaceDE w:val="0"/>
        <w:autoSpaceDN w:val="0"/>
        <w:adjustRightInd w:val="0"/>
        <w:spacing w:after="0" w:line="235" w:lineRule="auto"/>
        <w:ind w:left="367" w:right="20" w:hanging="367"/>
        <w:jc w:val="both"/>
        <w:rPr>
          <w:rFonts w:ascii="Arial" w:hAnsi="Arial" w:cs="Arial"/>
          <w:sz w:val="22"/>
          <w:szCs w:val="22"/>
        </w:rPr>
      </w:pPr>
      <w:r w:rsidRPr="007923C2">
        <w:rPr>
          <w:rFonts w:ascii="Arial" w:hAnsi="Arial" w:cs="Arial"/>
          <w:sz w:val="22"/>
          <w:szCs w:val="22"/>
        </w:rPr>
        <w:t xml:space="preserve">¿Cuáles programas educativos lograron su acreditación por organismos reconocidos por el COPAES en los últimos dos años? </w:t>
      </w:r>
    </w:p>
    <w:p w14:paraId="0A7907AD" w14:textId="77777777" w:rsidR="006A1D9E" w:rsidRPr="007923C2" w:rsidRDefault="006A1D9E" w:rsidP="006A1D9E">
      <w:pPr>
        <w:widowControl w:val="0"/>
        <w:autoSpaceDE w:val="0"/>
        <w:autoSpaceDN w:val="0"/>
        <w:adjustRightInd w:val="0"/>
        <w:spacing w:after="0" w:line="200" w:lineRule="exact"/>
        <w:rPr>
          <w:rFonts w:ascii="Arial" w:hAnsi="Arial" w:cs="Arial"/>
          <w:sz w:val="22"/>
          <w:szCs w:val="22"/>
        </w:rPr>
      </w:pPr>
    </w:p>
    <w:p w14:paraId="6028348A" w14:textId="77777777" w:rsidR="006A1D9E" w:rsidRPr="007923C2" w:rsidRDefault="006A1D9E" w:rsidP="006A1D9E">
      <w:pPr>
        <w:widowControl w:val="0"/>
        <w:overflowPunct w:val="0"/>
        <w:autoSpaceDE w:val="0"/>
        <w:autoSpaceDN w:val="0"/>
        <w:adjustRightInd w:val="0"/>
        <w:spacing w:after="0" w:line="247" w:lineRule="auto"/>
        <w:ind w:right="20"/>
        <w:jc w:val="both"/>
        <w:rPr>
          <w:rFonts w:ascii="Arial" w:hAnsi="Arial" w:cs="Arial"/>
          <w:sz w:val="22"/>
          <w:szCs w:val="22"/>
        </w:rPr>
      </w:pPr>
      <w:r w:rsidRPr="007923C2">
        <w:rPr>
          <w:rFonts w:ascii="Arial" w:hAnsi="Arial" w:cs="Arial"/>
          <w:sz w:val="22"/>
          <w:szCs w:val="22"/>
        </w:rPr>
        <w:t>Lo anterior conlleva a que todas las universidades públicas estatales –con independencia de su mayor o menor apertura inicial a la evaluación externa cuando no existían consecuencias más allá del mejoramiento de los programas– actualmente participen en estos procesos y no puedan quedar al margen de ella si es que quieren participar de las bolsas de recursos extraordinarios que se distribuyen en el marco de los PIFI.</w:t>
      </w:r>
    </w:p>
    <w:p w14:paraId="017470EC" w14:textId="77777777" w:rsidR="006A1D9E" w:rsidRPr="007923C2" w:rsidRDefault="006A1D9E" w:rsidP="006A1D9E">
      <w:pPr>
        <w:widowControl w:val="0"/>
        <w:autoSpaceDE w:val="0"/>
        <w:autoSpaceDN w:val="0"/>
        <w:adjustRightInd w:val="0"/>
        <w:spacing w:after="0" w:line="236" w:lineRule="exact"/>
        <w:rPr>
          <w:rFonts w:ascii="Arial" w:hAnsi="Arial" w:cs="Arial"/>
          <w:sz w:val="22"/>
          <w:szCs w:val="22"/>
        </w:rPr>
      </w:pPr>
    </w:p>
    <w:p w14:paraId="6B1CB897" w14:textId="77777777" w:rsidR="006A1D9E" w:rsidRPr="007923C2" w:rsidRDefault="006A1D9E" w:rsidP="006A1D9E">
      <w:pPr>
        <w:widowControl w:val="0"/>
        <w:overflowPunct w:val="0"/>
        <w:autoSpaceDE w:val="0"/>
        <w:autoSpaceDN w:val="0"/>
        <w:adjustRightInd w:val="0"/>
        <w:spacing w:after="0" w:line="247" w:lineRule="auto"/>
        <w:jc w:val="both"/>
        <w:rPr>
          <w:rFonts w:ascii="Arial" w:hAnsi="Arial" w:cs="Arial"/>
          <w:sz w:val="22"/>
          <w:szCs w:val="22"/>
        </w:rPr>
      </w:pPr>
      <w:r w:rsidRPr="007923C2">
        <w:rPr>
          <w:rFonts w:ascii="Arial" w:hAnsi="Arial" w:cs="Arial"/>
          <w:sz w:val="22"/>
          <w:szCs w:val="22"/>
        </w:rPr>
        <w:t>Los CIEES han establecido perfiles de universidades con base en cuatro indicadores: apertura a la evaluación externa, consolidación, seguimiento de las recomendaciones y acreditación de los programas. Sostienen que en la mayoría de las universidades públicas, a mediados de 2003, existe una cultura de evaluación que tiene un arraigo progresivo en la comunidad académica y que es creciente la disposición a ser evaluadas externamente.</w:t>
      </w:r>
    </w:p>
    <w:p w14:paraId="47E2752A" w14:textId="77777777" w:rsidR="006A1D9E" w:rsidRPr="007923C2" w:rsidRDefault="006A1D9E" w:rsidP="006A1D9E">
      <w:pPr>
        <w:widowControl w:val="0"/>
        <w:autoSpaceDE w:val="0"/>
        <w:autoSpaceDN w:val="0"/>
        <w:adjustRightInd w:val="0"/>
        <w:spacing w:after="0" w:line="236" w:lineRule="exact"/>
        <w:rPr>
          <w:rFonts w:ascii="Arial" w:hAnsi="Arial" w:cs="Arial"/>
          <w:sz w:val="22"/>
          <w:szCs w:val="22"/>
        </w:rPr>
      </w:pPr>
    </w:p>
    <w:p w14:paraId="55B59875" w14:textId="77777777" w:rsidR="006A1D9E" w:rsidRPr="007923C2" w:rsidRDefault="006A1D9E" w:rsidP="006A1D9E">
      <w:pPr>
        <w:widowControl w:val="0"/>
        <w:overflowPunct w:val="0"/>
        <w:autoSpaceDE w:val="0"/>
        <w:autoSpaceDN w:val="0"/>
        <w:adjustRightInd w:val="0"/>
        <w:spacing w:after="0" w:line="247" w:lineRule="auto"/>
        <w:ind w:right="20"/>
        <w:jc w:val="both"/>
        <w:rPr>
          <w:rFonts w:ascii="Arial" w:hAnsi="Arial" w:cs="Arial"/>
          <w:sz w:val="22"/>
          <w:szCs w:val="22"/>
        </w:rPr>
      </w:pPr>
      <w:r w:rsidRPr="007923C2">
        <w:rPr>
          <w:rFonts w:ascii="Arial" w:hAnsi="Arial" w:cs="Arial"/>
          <w:sz w:val="22"/>
          <w:szCs w:val="22"/>
        </w:rPr>
        <w:t>El hecho es que, como todas las comunidades académicas heterogéneas, la cultura de evaluación es también distinta y se escuchan voces en las universidades contrarias a la evaluación externa. Sin embargo, en doce años las universidades han visto en los CIEES un instrumento de utilidad para el mejoramiento de los programas educativos, y reconocen en los académicos evaluadores a colegas que buscan hacer su mejor aportación a la educación superior del país.</w:t>
      </w:r>
    </w:p>
    <w:p w14:paraId="32A6B64B" w14:textId="77777777" w:rsidR="006A1D9E" w:rsidRPr="007923C2" w:rsidRDefault="006A1D9E" w:rsidP="006A1D9E">
      <w:pPr>
        <w:widowControl w:val="0"/>
        <w:autoSpaceDE w:val="0"/>
        <w:autoSpaceDN w:val="0"/>
        <w:adjustRightInd w:val="0"/>
        <w:spacing w:after="0" w:line="236" w:lineRule="exact"/>
        <w:rPr>
          <w:rFonts w:ascii="Arial" w:hAnsi="Arial" w:cs="Arial"/>
          <w:sz w:val="22"/>
          <w:szCs w:val="22"/>
        </w:rPr>
      </w:pPr>
    </w:p>
    <w:p w14:paraId="40AC2367" w14:textId="77777777" w:rsidR="006A1D9E" w:rsidRPr="007923C2" w:rsidRDefault="006A1D9E" w:rsidP="006A1D9E">
      <w:pPr>
        <w:widowControl w:val="0"/>
        <w:overflowPunct w:val="0"/>
        <w:autoSpaceDE w:val="0"/>
        <w:autoSpaceDN w:val="0"/>
        <w:adjustRightInd w:val="0"/>
        <w:spacing w:after="0" w:line="250" w:lineRule="auto"/>
        <w:ind w:right="20"/>
        <w:jc w:val="both"/>
        <w:rPr>
          <w:rFonts w:ascii="Arial" w:hAnsi="Arial" w:cs="Arial"/>
          <w:sz w:val="22"/>
          <w:szCs w:val="22"/>
        </w:rPr>
      </w:pPr>
      <w:r w:rsidRPr="007923C2">
        <w:rPr>
          <w:rFonts w:ascii="Arial" w:hAnsi="Arial" w:cs="Arial"/>
          <w:sz w:val="22"/>
          <w:szCs w:val="22"/>
        </w:rPr>
        <w:t>Ahora bien, es un hecho que los CIEES están dando pasos hacia la acreditación o hacia la pre-acreditación, y esta función –al clasificar los programas y no limitarse a realizar una evaluación diagnóstica como fue la que se practicó en una década– introduce nuevos elementos que no comparten todos los actores académicos.</w:t>
      </w:r>
    </w:p>
    <w:p w14:paraId="26D6FD30" w14:textId="77777777" w:rsidR="006A1D9E" w:rsidRPr="007923C2" w:rsidRDefault="006A1D9E" w:rsidP="006A1D9E">
      <w:pPr>
        <w:widowControl w:val="0"/>
        <w:autoSpaceDE w:val="0"/>
        <w:autoSpaceDN w:val="0"/>
        <w:adjustRightInd w:val="0"/>
        <w:spacing w:after="0" w:line="229" w:lineRule="exact"/>
        <w:rPr>
          <w:rFonts w:ascii="Arial" w:hAnsi="Arial" w:cs="Arial"/>
          <w:sz w:val="22"/>
          <w:szCs w:val="22"/>
        </w:rPr>
      </w:pPr>
    </w:p>
    <w:p w14:paraId="20BBDAF4" w14:textId="77777777" w:rsidR="006A1D9E" w:rsidRPr="007923C2" w:rsidRDefault="006A1D9E" w:rsidP="006A1D9E">
      <w:pPr>
        <w:widowControl w:val="0"/>
        <w:autoSpaceDE w:val="0"/>
        <w:autoSpaceDN w:val="0"/>
        <w:adjustRightInd w:val="0"/>
        <w:spacing w:after="0" w:line="240" w:lineRule="auto"/>
        <w:rPr>
          <w:rFonts w:ascii="Arial" w:hAnsi="Arial" w:cs="Arial"/>
          <w:sz w:val="22"/>
          <w:szCs w:val="22"/>
        </w:rPr>
      </w:pPr>
      <w:r w:rsidRPr="007923C2">
        <w:rPr>
          <w:rFonts w:ascii="Arial" w:hAnsi="Arial" w:cs="Arial"/>
          <w:b/>
          <w:bCs/>
          <w:sz w:val="22"/>
          <w:szCs w:val="22"/>
        </w:rPr>
        <w:t>3. 2 La acreditación de programas por organismos reconocidos por el COPAES.</w:t>
      </w:r>
    </w:p>
    <w:p w14:paraId="61CB852D" w14:textId="77777777" w:rsidR="006A1D9E" w:rsidRPr="007923C2" w:rsidRDefault="006A1D9E" w:rsidP="006A1D9E">
      <w:pPr>
        <w:widowControl w:val="0"/>
        <w:autoSpaceDE w:val="0"/>
        <w:autoSpaceDN w:val="0"/>
        <w:adjustRightInd w:val="0"/>
        <w:spacing w:after="0" w:line="277" w:lineRule="exact"/>
        <w:rPr>
          <w:rFonts w:ascii="Arial" w:hAnsi="Arial" w:cs="Arial"/>
          <w:sz w:val="22"/>
          <w:szCs w:val="22"/>
        </w:rPr>
      </w:pPr>
    </w:p>
    <w:p w14:paraId="57C0F493" w14:textId="77777777" w:rsidR="006A1D9E" w:rsidRPr="007923C2" w:rsidRDefault="006A1D9E" w:rsidP="006A1D9E">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Como antes señalamos, desde los años noventa del siglo pasado distintas asociaciones de escuelas universitarias y colegios de profesionistas comenzaron a trabajar en el diseño de mecanismos de acreditación de los programas educativos de sus respectivos campos de competencia. De ahí surgieron algunos organismos acreditadores por acuerdo de los propios actores involucrados en el campo formativo, como fueron el Consejo de Acreditación de la Enseñanza de la Ingeniería y el Consejo Nacional de Educación de la Medicina Veterinaria y Zootecnia, que fueron los primeros que se constituyeron como asociaciones civiles. En otros campos profesionales se iniciaron procesos para conformar organismos acreditadores, como en los de contaduría y administración, arquitectura, odontología, etc.</w:t>
      </w:r>
    </w:p>
    <w:p w14:paraId="20739474" w14:textId="77777777" w:rsidR="006A1D9E" w:rsidRPr="007923C2" w:rsidRDefault="006A1D9E" w:rsidP="006A1D9E">
      <w:pPr>
        <w:widowControl w:val="0"/>
        <w:autoSpaceDE w:val="0"/>
        <w:autoSpaceDN w:val="0"/>
        <w:adjustRightInd w:val="0"/>
        <w:spacing w:after="0" w:line="245" w:lineRule="exact"/>
        <w:rPr>
          <w:rFonts w:ascii="Arial" w:hAnsi="Arial" w:cs="Arial"/>
          <w:sz w:val="22"/>
          <w:szCs w:val="22"/>
        </w:rPr>
      </w:pPr>
    </w:p>
    <w:p w14:paraId="0D12F2F2" w14:textId="77777777" w:rsidR="006A1D9E" w:rsidRPr="007923C2" w:rsidRDefault="006A1D9E" w:rsidP="006A1D9E">
      <w:pPr>
        <w:widowControl w:val="0"/>
        <w:overflowPunct w:val="0"/>
        <w:autoSpaceDE w:val="0"/>
        <w:autoSpaceDN w:val="0"/>
        <w:adjustRightInd w:val="0"/>
        <w:spacing w:after="0" w:line="246" w:lineRule="auto"/>
        <w:ind w:right="20"/>
        <w:jc w:val="both"/>
        <w:rPr>
          <w:rFonts w:ascii="Arial" w:hAnsi="Arial" w:cs="Arial"/>
          <w:sz w:val="22"/>
          <w:szCs w:val="22"/>
        </w:rPr>
      </w:pPr>
      <w:r w:rsidRPr="007923C2">
        <w:rPr>
          <w:rFonts w:ascii="Arial" w:hAnsi="Arial" w:cs="Arial"/>
          <w:sz w:val="22"/>
          <w:szCs w:val="22"/>
        </w:rPr>
        <w:t>Sin embargo, en la ANUIES se habían venido discutiendo distintas propuestas para conformar un organismo que coordinara los distintos procesos de acreditación que estaban surgiendo, con la finalidad de darles organicidad. En 1997 su Asamblea General acordó que las instituciones asociadas impulsarían la creación de una asociación civil, autofinanciable a mediano plazo, como instancia colegiada, plural, representativa y autónoma, dotada de una amplia capacidad académica y técnica, para articular los organismos con funciones de evaluación y acreditación.</w:t>
      </w:r>
    </w:p>
    <w:p w14:paraId="2AFEE85C" w14:textId="77777777" w:rsidR="006A1D9E" w:rsidRPr="007923C2" w:rsidRDefault="006A1D9E" w:rsidP="006A1D9E">
      <w:pPr>
        <w:widowControl w:val="0"/>
        <w:autoSpaceDE w:val="0"/>
        <w:autoSpaceDN w:val="0"/>
        <w:adjustRightInd w:val="0"/>
        <w:spacing w:after="0" w:line="235" w:lineRule="exact"/>
        <w:rPr>
          <w:rFonts w:ascii="Arial" w:hAnsi="Arial" w:cs="Arial"/>
          <w:sz w:val="22"/>
          <w:szCs w:val="22"/>
        </w:rPr>
      </w:pPr>
    </w:p>
    <w:p w14:paraId="1024DEFA" w14:textId="77777777" w:rsidR="006A1D9E" w:rsidRPr="007923C2" w:rsidRDefault="006A1D9E" w:rsidP="006A1D9E">
      <w:pPr>
        <w:widowControl w:val="0"/>
        <w:overflowPunct w:val="0"/>
        <w:autoSpaceDE w:val="0"/>
        <w:autoSpaceDN w:val="0"/>
        <w:adjustRightInd w:val="0"/>
        <w:spacing w:after="0" w:line="247" w:lineRule="auto"/>
        <w:ind w:right="20"/>
        <w:jc w:val="both"/>
        <w:rPr>
          <w:rFonts w:ascii="Arial" w:hAnsi="Arial" w:cs="Arial"/>
          <w:sz w:val="22"/>
          <w:szCs w:val="22"/>
        </w:rPr>
      </w:pPr>
      <w:r w:rsidRPr="007923C2">
        <w:rPr>
          <w:rFonts w:ascii="Arial" w:hAnsi="Arial" w:cs="Arial"/>
          <w:sz w:val="22"/>
          <w:szCs w:val="22"/>
        </w:rPr>
        <w:t>Después de tres años de este acuerdo de la ANUIES, a finales de 2000 fue constituido formalmente el Consejo para la Acreditación de la Educación Superior, como asociación civil (COPAES), que restringió su actuación al ámbito de la acreditación, a diferencia del acuerdo de la ANUIES, que proponía un organismo que también tuviera funciones de coordinación en materia de evaluación, tras la desaparición de la Comisión Nacional de Evaluación que se había conformado en 1990.</w:t>
      </w:r>
    </w:p>
    <w:p w14:paraId="718AD038" w14:textId="77777777" w:rsidR="006A1D9E" w:rsidRPr="007923C2" w:rsidRDefault="006A1D9E" w:rsidP="006A1D9E">
      <w:pPr>
        <w:widowControl w:val="0"/>
        <w:autoSpaceDE w:val="0"/>
        <w:autoSpaceDN w:val="0"/>
        <w:adjustRightInd w:val="0"/>
        <w:spacing w:after="0" w:line="200" w:lineRule="exact"/>
        <w:rPr>
          <w:rFonts w:ascii="Arial" w:hAnsi="Arial" w:cs="Arial"/>
          <w:sz w:val="22"/>
          <w:szCs w:val="22"/>
        </w:rPr>
      </w:pPr>
    </w:p>
    <w:p w14:paraId="7562E568" w14:textId="77777777" w:rsidR="00EA41CF" w:rsidRPr="007923C2" w:rsidRDefault="00EA41CF" w:rsidP="006A1D9E">
      <w:pPr>
        <w:widowControl w:val="0"/>
        <w:overflowPunct w:val="0"/>
        <w:autoSpaceDE w:val="0"/>
        <w:autoSpaceDN w:val="0"/>
        <w:adjustRightInd w:val="0"/>
        <w:spacing w:after="0" w:line="237" w:lineRule="auto"/>
        <w:jc w:val="both"/>
        <w:rPr>
          <w:rFonts w:ascii="Arial" w:hAnsi="Arial" w:cs="Arial"/>
          <w:sz w:val="22"/>
          <w:szCs w:val="22"/>
        </w:rPr>
      </w:pPr>
    </w:p>
    <w:p w14:paraId="6E07CABA" w14:textId="77777777" w:rsidR="006A1D9E" w:rsidRPr="007923C2" w:rsidRDefault="006A1D9E" w:rsidP="006A1D9E">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lastRenderedPageBreak/>
        <w:t>El COPAES se creó como una asociación integrada por personas morales, y no obstante ser un organismo no gubernamental, se constituyó en “la instancia capacitada y reconocida por el Gobierno Federal, a través de la Secretaría de Educación Pública, para conferir reconocimiento formal a favor de organizaciones cuyo fin sea acreditar programas académicos de educación superior que ofrezcan instituciones públicas y particulares, previa valoración de su capacidad organizativa, técnica y operativa, de sus marcos de evaluación para la acreditación de programas académicos, de la administración de sus procedimientos y de la imparcialidad del mismo”. (COPAES,2003a, 5). Para ello, la SEP suscribió un convenio mediante el cual esta dependencia del gobierno federal sólo reconoce los programas acreditados por organismos reconocidos por este consejo.</w:t>
      </w:r>
    </w:p>
    <w:p w14:paraId="3BF93CD4" w14:textId="77777777" w:rsidR="006A1D9E" w:rsidRPr="007923C2" w:rsidRDefault="006A1D9E" w:rsidP="006A1D9E">
      <w:pPr>
        <w:widowControl w:val="0"/>
        <w:autoSpaceDE w:val="0"/>
        <w:autoSpaceDN w:val="0"/>
        <w:adjustRightInd w:val="0"/>
        <w:spacing w:after="0" w:line="248" w:lineRule="exact"/>
        <w:rPr>
          <w:rFonts w:ascii="Arial" w:hAnsi="Arial" w:cs="Arial"/>
          <w:sz w:val="22"/>
          <w:szCs w:val="22"/>
        </w:rPr>
      </w:pPr>
    </w:p>
    <w:p w14:paraId="639F6336" w14:textId="77777777" w:rsidR="006A1D9E" w:rsidRPr="007923C2" w:rsidRDefault="006A1D9E" w:rsidP="006A1D9E">
      <w:pPr>
        <w:widowControl w:val="0"/>
        <w:overflowPunct w:val="0"/>
        <w:autoSpaceDE w:val="0"/>
        <w:autoSpaceDN w:val="0"/>
        <w:adjustRightInd w:val="0"/>
        <w:spacing w:after="0" w:line="247" w:lineRule="auto"/>
        <w:ind w:right="20"/>
        <w:jc w:val="both"/>
        <w:rPr>
          <w:rFonts w:ascii="Arial" w:hAnsi="Arial" w:cs="Arial"/>
          <w:sz w:val="22"/>
          <w:szCs w:val="22"/>
        </w:rPr>
      </w:pPr>
      <w:r w:rsidRPr="007923C2">
        <w:rPr>
          <w:rFonts w:ascii="Arial" w:hAnsi="Arial" w:cs="Arial"/>
          <w:sz w:val="22"/>
          <w:szCs w:val="22"/>
        </w:rPr>
        <w:t>El COPAES tiene una función reguladora de los organismos que acreditan programas educativos; por lo que no acredita directamente programas, sino que da su aval a aquellos programas acreditados por algún organismo especializado reconocido formalmente. Se busca evitar conflictos de intereses e informar a la sociedad y a los usuarios de los servicios educativos sobre la calidad de un programa de estudios de nivel superior.</w:t>
      </w:r>
    </w:p>
    <w:p w14:paraId="74ADF26B" w14:textId="77777777" w:rsidR="006A1D9E" w:rsidRPr="007923C2" w:rsidRDefault="006A1D9E" w:rsidP="006A1D9E">
      <w:pPr>
        <w:widowControl w:val="0"/>
        <w:autoSpaceDE w:val="0"/>
        <w:autoSpaceDN w:val="0"/>
        <w:adjustRightInd w:val="0"/>
        <w:spacing w:after="0" w:line="236" w:lineRule="exact"/>
        <w:rPr>
          <w:rFonts w:ascii="Arial" w:hAnsi="Arial" w:cs="Arial"/>
          <w:sz w:val="22"/>
          <w:szCs w:val="22"/>
        </w:rPr>
      </w:pPr>
    </w:p>
    <w:p w14:paraId="5039F0FA" w14:textId="77777777" w:rsidR="006A1D9E" w:rsidRPr="007923C2" w:rsidRDefault="006A1D9E" w:rsidP="006A1D9E">
      <w:pPr>
        <w:widowControl w:val="0"/>
        <w:overflowPunct w:val="0"/>
        <w:autoSpaceDE w:val="0"/>
        <w:autoSpaceDN w:val="0"/>
        <w:adjustRightInd w:val="0"/>
        <w:spacing w:after="0" w:line="243" w:lineRule="auto"/>
        <w:ind w:right="20"/>
        <w:jc w:val="both"/>
        <w:rPr>
          <w:rFonts w:ascii="Arial" w:hAnsi="Arial" w:cs="Arial"/>
          <w:sz w:val="22"/>
          <w:szCs w:val="22"/>
        </w:rPr>
      </w:pPr>
      <w:r w:rsidRPr="007923C2">
        <w:rPr>
          <w:rFonts w:ascii="Arial" w:hAnsi="Arial" w:cs="Arial"/>
          <w:sz w:val="22"/>
          <w:szCs w:val="22"/>
        </w:rPr>
        <w:t>Para cumplir con su función, el Consejo elaboró el “Marco General para los Procesos de Acreditación de Programas Académicos de Nivel Superior” y en 2001 emitió la convocatoria para que los organismos que buscan obtener su reconocimiento como organismos acreditadores se sometieran a una evaluación. A partir de ese año diversas asociaciones han presentado su solicitud y para julio de 2003 estaban reconocidos doce de ellas en las áreas de Medicina, Psicología, Odontología, Enfermería, Veterinaria y Zootecnia, Ingeniería, Informática y Computación, Arquitectura, Contaduría y Administración, Agronomía, Ciencias Sociales y Ciencias del Mar (COPAES, 2003b) y estaban acreditados 258 programas. Cabe señalar que esta información se hace pública en la página electrónica del COPAES y se publica en los diarios.</w:t>
      </w:r>
    </w:p>
    <w:p w14:paraId="59DE7545" w14:textId="77777777" w:rsidR="006A1D9E" w:rsidRPr="007923C2" w:rsidRDefault="006A1D9E" w:rsidP="006A1D9E">
      <w:pPr>
        <w:widowControl w:val="0"/>
        <w:autoSpaceDE w:val="0"/>
        <w:autoSpaceDN w:val="0"/>
        <w:adjustRightInd w:val="0"/>
        <w:spacing w:after="0" w:line="245" w:lineRule="exact"/>
        <w:rPr>
          <w:rFonts w:ascii="Arial" w:hAnsi="Arial" w:cs="Arial"/>
          <w:sz w:val="22"/>
          <w:szCs w:val="22"/>
        </w:rPr>
      </w:pPr>
    </w:p>
    <w:p w14:paraId="4645B8B9" w14:textId="77777777" w:rsidR="006A1D9E" w:rsidRPr="007923C2" w:rsidRDefault="006A1D9E" w:rsidP="006A1D9E">
      <w:pPr>
        <w:widowControl w:val="0"/>
        <w:overflowPunct w:val="0"/>
        <w:autoSpaceDE w:val="0"/>
        <w:autoSpaceDN w:val="0"/>
        <w:adjustRightInd w:val="0"/>
        <w:spacing w:after="0" w:line="243" w:lineRule="auto"/>
        <w:ind w:right="20"/>
        <w:jc w:val="both"/>
        <w:rPr>
          <w:rFonts w:ascii="Arial" w:hAnsi="Arial" w:cs="Arial"/>
          <w:sz w:val="22"/>
          <w:szCs w:val="22"/>
        </w:rPr>
      </w:pPr>
      <w:r w:rsidRPr="007923C2">
        <w:rPr>
          <w:rFonts w:ascii="Arial" w:hAnsi="Arial" w:cs="Arial"/>
          <w:sz w:val="22"/>
          <w:szCs w:val="22"/>
        </w:rPr>
        <w:t>El COPAES identifica distintas características para todo proceso de acreditación de programas académicos: voluntario; integral; objetivo, justo y transparente; externo, ético y responsable; temporal (cinco años); confiable, y producto del trabajo de personas de reconocida competencia en la materia. (COPAES, 2003c,5). El proceso de acreditación es el usualmente seguido a nivel internacional: cada organismo acreditador establece una metodología de evaluación, un marco de referencia, los indicadores y los parámetros para la acreditación. Si bien estos son propios de cada uno de los organismos, y pueden ser ejercidos con autonomía, deben apegarse a las disposiciones de orden general que establece el COPAES, en tanto organismo regulador. En el caso de México, la acreditación no es obligatoria, pero sí tiene consecuencias, sobre todo en imagen pública del programa y en materia de financiamiento por parte de la SEP y de otras instancias.</w:t>
      </w:r>
    </w:p>
    <w:p w14:paraId="7BCC772E" w14:textId="77777777" w:rsidR="006A1D9E" w:rsidRPr="007923C2" w:rsidRDefault="006A1D9E" w:rsidP="006A1D9E">
      <w:pPr>
        <w:widowControl w:val="0"/>
        <w:autoSpaceDE w:val="0"/>
        <w:autoSpaceDN w:val="0"/>
        <w:adjustRightInd w:val="0"/>
        <w:spacing w:after="0" w:line="242" w:lineRule="exact"/>
        <w:rPr>
          <w:rFonts w:ascii="Arial" w:hAnsi="Arial" w:cs="Arial"/>
          <w:sz w:val="22"/>
          <w:szCs w:val="22"/>
        </w:rPr>
      </w:pPr>
    </w:p>
    <w:p w14:paraId="6E052814" w14:textId="77777777" w:rsidR="006A1D9E" w:rsidRPr="007923C2" w:rsidRDefault="006A1D9E" w:rsidP="006A1D9E">
      <w:pPr>
        <w:widowControl w:val="0"/>
        <w:overflowPunct w:val="0"/>
        <w:autoSpaceDE w:val="0"/>
        <w:autoSpaceDN w:val="0"/>
        <w:adjustRightInd w:val="0"/>
        <w:spacing w:after="0" w:line="246" w:lineRule="auto"/>
        <w:jc w:val="both"/>
        <w:rPr>
          <w:rFonts w:ascii="Arial" w:hAnsi="Arial" w:cs="Arial"/>
          <w:sz w:val="22"/>
          <w:szCs w:val="22"/>
        </w:rPr>
      </w:pPr>
      <w:r w:rsidRPr="007923C2">
        <w:rPr>
          <w:rFonts w:ascii="Arial" w:hAnsi="Arial" w:cs="Arial"/>
          <w:sz w:val="22"/>
          <w:szCs w:val="22"/>
        </w:rPr>
        <w:t>Como vemos, la acreditación de programas educativos es sumamente reciente en México. Distintas comunidades académicas y gremiales han mostrado interés por la acreditación. Sin embargo, un campo académico en el que aún no surgen iniciativas es el relacionado con las Ciencias Exactas y Naturales y la Educación y las Humanidades. Esto se puede explicar ya que el interés en la acreditación social guarda mayor relación con las carreras de perfil profesional, y menos con las de corte netamente académico.</w:t>
      </w:r>
    </w:p>
    <w:p w14:paraId="56DF7795" w14:textId="77777777" w:rsidR="006A1D9E" w:rsidRPr="007923C2" w:rsidRDefault="006A1D9E" w:rsidP="006A1D9E">
      <w:pPr>
        <w:widowControl w:val="0"/>
        <w:autoSpaceDE w:val="0"/>
        <w:autoSpaceDN w:val="0"/>
        <w:adjustRightInd w:val="0"/>
        <w:spacing w:after="0" w:line="268" w:lineRule="exact"/>
        <w:rPr>
          <w:rFonts w:ascii="Arial" w:hAnsi="Arial" w:cs="Arial"/>
          <w:sz w:val="22"/>
          <w:szCs w:val="22"/>
        </w:rPr>
      </w:pPr>
    </w:p>
    <w:p w14:paraId="55FB73C2" w14:textId="77777777" w:rsidR="006A1D9E" w:rsidRPr="007923C2" w:rsidRDefault="006A1D9E" w:rsidP="006A1D9E">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 xml:space="preserve">Como lo señalamos más arriba, otro tipo de acreditación es la que realiza la asociación de instituciones particulares en el marco del “Sistema para el Ingreso y Permanencia en la FIMPES a través del Fortalecimiento y Desarrollo Institucional” aprobado en 1992. Para ello se consideran 169 requerimientos que las instituciones deben cumplir, agrupados en once categorías de análisis: filosofía institucional; planeación y efectividad; normatividad, gobierno y administración; programas académicos; personal académico; estudiantes; personal administrativo; apoyos académicos; recursos </w:t>
      </w:r>
      <w:r w:rsidRPr="007923C2">
        <w:rPr>
          <w:rFonts w:ascii="Arial" w:hAnsi="Arial" w:cs="Arial"/>
          <w:sz w:val="22"/>
          <w:szCs w:val="22"/>
        </w:rPr>
        <w:lastRenderedPageBreak/>
        <w:t>físicos; recursos financieros y educación a distancia. (FIMPES, 2003a). Hasta julio de 2003, la FIMPES tenía acreditadas 67 instituciones y otras 18 se encontraban en proceso de acreditación. La acreditación se otorga por siete años. Cabe señalar que en México existe alrededor de un millar de instituciones particulares de educación superior y poco más del 6% contaban con un reconocimiento de su calidad, situación que abrió un fuerte debate, en 2003, sobre la falta de regulación de la calidad de las universidades privadas.</w:t>
      </w:r>
    </w:p>
    <w:p w14:paraId="2A94B125" w14:textId="77777777" w:rsidR="00801722" w:rsidRPr="007923C2" w:rsidRDefault="00801722" w:rsidP="000F70C2">
      <w:pPr>
        <w:spacing w:before="100" w:beforeAutospacing="1" w:after="100" w:afterAutospacing="1"/>
        <w:jc w:val="center"/>
        <w:rPr>
          <w:rFonts w:ascii="Arial" w:hAnsi="Arial" w:cs="Arial"/>
          <w:b/>
          <w:spacing w:val="-1"/>
          <w:sz w:val="22"/>
          <w:szCs w:val="22"/>
        </w:rPr>
      </w:pPr>
      <w:r w:rsidRPr="007923C2">
        <w:rPr>
          <w:rFonts w:ascii="Arial" w:hAnsi="Arial" w:cs="Arial"/>
          <w:b/>
          <w:spacing w:val="-1"/>
          <w:sz w:val="22"/>
          <w:szCs w:val="22"/>
        </w:rPr>
        <w:t>4.2.3.5 LEY AGRARIA</w:t>
      </w:r>
    </w:p>
    <w:p w14:paraId="255C9FDA"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uso y manejo de las propiedades de predios para la producción agrícola está regularizada jurídicamente de acuerdo al artículo 27 constitucional, para preservar el Estado de derecho y mejorar las condiciones de vida de los hombres y mujeres del campo, con el consecuente cuidado en la preservación del medio ambiente y recursos naturales, la misión de la Secretaría es proporcionar certeza jurídica en la tenencia de la tierra a los campesinos, de acuerdo con el Artículo 27 constitucional y la Ley Agraria, a través del impulso al ordenamiento territorial y la regularización de la propiedad rural, así como elaborar políticas públicas que fomenten el acceso a la justicia y el desarrollo agrario integral, mediante la capacitación permanente y la organización de los sujetos agrarios como entes fundamentales del primer eslabón del proceso productivo nacional.</w:t>
      </w:r>
    </w:p>
    <w:p w14:paraId="6D6D25A4"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estructura orgánica de la Secretaría se conforma con catorce unidades administrativas centrales, doce representaciones regionales y dos especiales, así como un órgano desconcentrado, el Registro Agrario Nacional (RAN), responsable del otorgamiento de certeza documental y seguridad jurídica sobre la tenencia de la tierra. Adicionalmente, la Secretaría funge como coordinadora sectorial de las actividades de la Procuraduría Agraria ( PA), organismo público descentralizado encargado de la asesoría y defensa de los sujetos agrarios, y del Fondo Nacional de Fomento Ejidal (FIFONAFE), fideicomiso público encargado de captar, manejar y entregar los recursos provenientes de los fondos comunes ejidales y comunales, así como de fomentar e impulsar proyectos de desarrollo productivo o social y de promover la reversión de tierras expropiadas.</w:t>
      </w:r>
    </w:p>
    <w:p w14:paraId="0F49EE4E"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principales funciones del sector agrario son:</w:t>
      </w:r>
    </w:p>
    <w:p w14:paraId="2247E534"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Ejecución de resoluciones presidenciales y elaboración de planos definitivos;</w:t>
      </w:r>
    </w:p>
    <w:p w14:paraId="3B30BE94"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Medición, conciliación, certificación y titulación de la propiedad ejidal y comunal;</w:t>
      </w:r>
    </w:p>
    <w:p w14:paraId="580C0091"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Regularización de las colonias agrícolas y ganaderas;</w:t>
      </w:r>
    </w:p>
    <w:p w14:paraId="5F7E9B7B"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Deslinde y medición de terrenos baldíos y, en su caso, su declaración como terrenos nacionales, así como su eventual desincorporación del patrimonio de la Nación;</w:t>
      </w:r>
    </w:p>
    <w:p w14:paraId="171FB19A"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Tramite de los procesos de expropiación por causa de utilidad pública de bienes ejidales o comunales;</w:t>
      </w:r>
    </w:p>
    <w:p w14:paraId="35ED1459"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Investigación y resolución de denuncias de excedentes que rebasen los límites legales de tenencia de la tierra; y</w:t>
      </w:r>
    </w:p>
    <w:p w14:paraId="63326509"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Operación y actualización del Registro Agrario Nacional.</w:t>
      </w:r>
    </w:p>
    <w:p w14:paraId="1F5AE7C8"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Secretaría de la Reforma Agraria</w:t>
      </w:r>
    </w:p>
    <w:p w14:paraId="7D7AB181"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Programa de Regularización de Colonias Agrícolas y Ganaderas</w:t>
      </w:r>
    </w:p>
    <w:p w14:paraId="66F89780"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lastRenderedPageBreak/>
        <w:t>Proporcionar certeza y seguridad jurídica a los núcleos agrarios, ya sean ejidos o comunidades en beneficio directo del patrimonio de la familia campesina</w:t>
      </w:r>
    </w:p>
    <w:p w14:paraId="69D8EA3B"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Programa de Financiamiento a Proyectos</w:t>
      </w:r>
    </w:p>
    <w:p w14:paraId="419EC661"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Productivos de Mujeres Indígenas Campesinas</w:t>
      </w:r>
    </w:p>
    <w:p w14:paraId="032D5521"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Contribuir a crear mejores oportunidades de empleo y capacitación para las mujeres y apoyar sus iniciativas productivas.</w:t>
      </w:r>
    </w:p>
    <w:p w14:paraId="7D2776F3"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 xml:space="preserve">Programa de la Mujer en el Sector Agrario </w:t>
      </w:r>
      <w:r w:rsidRPr="007923C2">
        <w:rPr>
          <w:rFonts w:ascii="Arial" w:hAnsi="Arial" w:cs="Arial"/>
          <w:sz w:val="22"/>
          <w:szCs w:val="22"/>
        </w:rPr>
        <w:t>(PROMUSAG), la Secretaría otorga</w:t>
      </w:r>
    </w:p>
    <w:p w14:paraId="6E0B4FAC"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apoyos económicos para el desarrollo de proyectos productivos a mujeres que gozan de los derechos previstos en la legislación agraria.</w:t>
      </w:r>
    </w:p>
    <w:p w14:paraId="42FC72F1"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 xml:space="preserve">Programa de Capacitación Agraria </w:t>
      </w:r>
      <w:r w:rsidRPr="007923C2">
        <w:rPr>
          <w:rFonts w:ascii="Arial" w:hAnsi="Arial" w:cs="Arial"/>
          <w:sz w:val="22"/>
          <w:szCs w:val="22"/>
        </w:rPr>
        <w:t>(PA)</w:t>
      </w:r>
    </w:p>
    <w:p w14:paraId="69D27252"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w:t>
      </w:r>
      <w:r w:rsidRPr="007923C2">
        <w:rPr>
          <w:rFonts w:ascii="Arial" w:hAnsi="Arial" w:cs="Arial"/>
          <w:i/>
          <w:iCs/>
          <w:sz w:val="22"/>
          <w:szCs w:val="22"/>
        </w:rPr>
        <w:t xml:space="preserve">Programa de Capacitación Agraria </w:t>
      </w:r>
      <w:r w:rsidRPr="007923C2">
        <w:rPr>
          <w:rFonts w:ascii="Arial" w:hAnsi="Arial" w:cs="Arial"/>
          <w:sz w:val="22"/>
          <w:szCs w:val="22"/>
        </w:rPr>
        <w:t>ha permitido atender las demandas de información y capacitación de los sujetos agrarios respecto a los derechos que la ley agraria les reconoce, al promover su participación autogestiva en la atención de sus necesidades y demandas, propiciando el fortalecimiento de su organización social y productiva a partir de la certeza jurídica sobre la tenencia de la tierra.</w:t>
      </w:r>
    </w:p>
    <w:p w14:paraId="4978ADC6"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Mediante la organización de talleres, cursos y reuniones informativas, en el contexto de las asambleas ejidales y comunitarias, se ha buscado profundizar y fortalecer los conocimientos de los campesinos en materia legal agraria. </w:t>
      </w:r>
    </w:p>
    <w:p w14:paraId="35AF53AE"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Impulsar los esfuerzos de difusión, asesoría, y capacitación a sujetos agrarios respecto de sus derechos y obligaciones</w:t>
      </w:r>
    </w:p>
    <w:p w14:paraId="222A1061" w14:textId="77777777" w:rsidR="00583DB2" w:rsidRPr="007923C2" w:rsidRDefault="00583DB2" w:rsidP="00583DB2">
      <w:pPr>
        <w:widowControl w:val="0"/>
        <w:autoSpaceDE w:val="0"/>
        <w:autoSpaceDN w:val="0"/>
        <w:adjustRightInd w:val="0"/>
        <w:jc w:val="both"/>
        <w:rPr>
          <w:rFonts w:ascii="Arial" w:hAnsi="Arial" w:cs="Arial"/>
          <w:sz w:val="22"/>
          <w:szCs w:val="22"/>
        </w:rPr>
      </w:pPr>
    </w:p>
    <w:p w14:paraId="42C32EBB"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Informe de ejecución 2001-2003 del </w:t>
      </w:r>
      <w:r w:rsidRPr="007923C2">
        <w:rPr>
          <w:rFonts w:ascii="Arial" w:hAnsi="Arial" w:cs="Arial"/>
          <w:i/>
          <w:iCs/>
          <w:sz w:val="22"/>
          <w:szCs w:val="22"/>
        </w:rPr>
        <w:t>Programa Nacional de Población 2001-2006</w:t>
      </w:r>
    </w:p>
    <w:p w14:paraId="54E49F70"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Programa de Becarios Campesinos</w:t>
      </w:r>
    </w:p>
    <w:p w14:paraId="61C56DEB"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Desde la reforma al Artículo 27 Constitucional y la expedición de la </w:t>
      </w:r>
      <w:r w:rsidRPr="007923C2">
        <w:rPr>
          <w:rFonts w:ascii="Arial" w:hAnsi="Arial" w:cs="Arial"/>
          <w:b/>
          <w:bCs/>
          <w:sz w:val="22"/>
          <w:szCs w:val="22"/>
        </w:rPr>
        <w:t>LeyAgraria</w:t>
      </w:r>
      <w:r w:rsidRPr="007923C2">
        <w:rPr>
          <w:rFonts w:ascii="Arial" w:hAnsi="Arial" w:cs="Arial"/>
          <w:sz w:val="22"/>
          <w:szCs w:val="22"/>
        </w:rPr>
        <w:t>, el</w:t>
      </w:r>
    </w:p>
    <w:p w14:paraId="6E16AF3A"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 xml:space="preserve">Programa de Becarios Campesinos </w:t>
      </w:r>
      <w:r w:rsidRPr="007923C2">
        <w:rPr>
          <w:rFonts w:ascii="Arial" w:hAnsi="Arial" w:cs="Arial"/>
          <w:sz w:val="22"/>
          <w:szCs w:val="22"/>
        </w:rPr>
        <w:t>ha sido uno de los ejes de la capacitación de los sujetos agrarios, y ha permitido apoyar de manera significativa la operación de programas interinstitucionales, como el PROCEDE</w:t>
      </w:r>
    </w:p>
    <w:p w14:paraId="774D429F"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propósito del programa es formar y capacitar a jóvenes de origen campesino en la legislación agraria, para que funjan como agentes de enlace y propicien la autogestión de las demandas de sus núcleos.</w:t>
      </w:r>
    </w:p>
    <w:p w14:paraId="6A01C605"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programa es de servicio social remunerado mediante una beca de 1 200 pesos mensuales. La participación de los jóvenes comprende dos años mediante la firma de un convenio beca, de conformidad con el número de becas autorizado por la SHCP</w:t>
      </w:r>
    </w:p>
    <w:p w14:paraId="61169C2F"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Programa para la Regularización de la Superficie Fideicomitida en Chiapas</w:t>
      </w:r>
    </w:p>
    <w:p w14:paraId="3B72A645"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Originalmente, el universo de cobertura del programa fue de 1 212 grupos de campesinos beneficiados mediante la adquisición de tierras, pactada en los acuerdos que el gobierno federal firmó con </w:t>
      </w:r>
      <w:r w:rsidRPr="007923C2">
        <w:rPr>
          <w:rFonts w:ascii="Arial" w:hAnsi="Arial" w:cs="Arial"/>
          <w:sz w:val="22"/>
          <w:szCs w:val="22"/>
        </w:rPr>
        <w:lastRenderedPageBreak/>
        <w:t>organizaciones campesinas y grupos independientes.</w:t>
      </w:r>
    </w:p>
    <w:p w14:paraId="38616DD3"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Reforzar las políticas territoriales que eviten procesos de urbanización precarios</w:t>
      </w:r>
    </w:p>
    <w:p w14:paraId="0CBEF971"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Promover las prácticas de agricultura sostenible y la protección del medio ambiente</w:t>
      </w:r>
    </w:p>
    <w:p w14:paraId="157429F6"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Impulsar los esfuerzos de difusión, asesoría, y capacitación a sujetos agrarios respecto de sus derechos y obligaciones</w:t>
      </w:r>
    </w:p>
    <w:p w14:paraId="247A87E7"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Fortalecer la vida interna de los núcleos agrarios mediante la prestación de asesoría para la actualización de sus órganos de representación y vigilancia</w:t>
      </w:r>
    </w:p>
    <w:p w14:paraId="0BBC71FA"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FONDOS COMUNES</w:t>
      </w:r>
    </w:p>
    <w:p w14:paraId="576D3B1E"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 estrategia de  Microrregiones, mientras que en 2002, el número aumentó considerablemente a 1 334 municipios y 21 programas</w:t>
      </w:r>
    </w:p>
    <w:p w14:paraId="1481C9B0"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Apoyar las actividades productivas de las comunidades rurales y aprovechar el capital social comunitario para impulsarlas Promover la ejecución preferencial de las acciones agrarias en las 250 microrregiones de alta prioridad Contribuir a fortalecer la estructura de oportunidades y la justicia distributiva en el ámbito local</w:t>
      </w:r>
    </w:p>
    <w:p w14:paraId="52232BF8" w14:textId="77777777"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Para el presente Programa Nacional de Testamento Agrari</w:t>
      </w:r>
      <w:r w:rsidRPr="007923C2">
        <w:rPr>
          <w:rFonts w:ascii="Arial" w:hAnsi="Arial" w:cs="Arial"/>
          <w:sz w:val="22"/>
          <w:szCs w:val="22"/>
        </w:rPr>
        <w:t xml:space="preserve">o </w:t>
      </w:r>
      <w:r w:rsidRPr="007923C2">
        <w:rPr>
          <w:rFonts w:ascii="Arial" w:hAnsi="Arial" w:cs="Arial"/>
          <w:i/>
          <w:iCs/>
          <w:sz w:val="22"/>
          <w:szCs w:val="22"/>
        </w:rPr>
        <w:t>Hereda</w:t>
      </w:r>
      <w:r w:rsidRPr="007923C2">
        <w:rPr>
          <w:rFonts w:ascii="Arial" w:hAnsi="Arial" w:cs="Arial"/>
          <w:sz w:val="22"/>
          <w:szCs w:val="22"/>
        </w:rPr>
        <w:t>, tiene como reto principal abatir la apatía de los sujetos agrarios que carecen de este instrumento.</w:t>
      </w:r>
    </w:p>
    <w:p w14:paraId="2A5AAA6D" w14:textId="77777777" w:rsidR="00583DB2" w:rsidRPr="007923C2" w:rsidRDefault="00583DB2" w:rsidP="00583DB2">
      <w:pPr>
        <w:jc w:val="both"/>
        <w:rPr>
          <w:rFonts w:ascii="Arial" w:hAnsi="Arial" w:cs="Arial"/>
          <w:sz w:val="22"/>
          <w:szCs w:val="22"/>
        </w:rPr>
      </w:pPr>
      <w:r w:rsidRPr="007923C2">
        <w:rPr>
          <w:rFonts w:ascii="Arial" w:hAnsi="Arial" w:cs="Arial"/>
          <w:sz w:val="22"/>
          <w:szCs w:val="22"/>
        </w:rPr>
        <w:t>Así, se instrumentarán estrategias más agresivas de promoción, difusión y sensibilización a los sujetos agrarios que integran el universo de atención, a fin de que elaboren y  depositen su lista, con miras a proveer los elementos necesarios para el relevo generacional pacífico y ordenado e</w:t>
      </w:r>
      <w:r w:rsidR="002B2D85" w:rsidRPr="007923C2">
        <w:rPr>
          <w:rFonts w:ascii="Arial" w:hAnsi="Arial" w:cs="Arial"/>
          <w:sz w:val="22"/>
          <w:szCs w:val="22"/>
        </w:rPr>
        <w:t>s</w:t>
      </w:r>
      <w:r w:rsidRPr="007923C2">
        <w:rPr>
          <w:rFonts w:ascii="Arial" w:hAnsi="Arial" w:cs="Arial"/>
          <w:sz w:val="22"/>
          <w:szCs w:val="22"/>
        </w:rPr>
        <w:t>os titulares de derechos agrarios.</w:t>
      </w:r>
    </w:p>
    <w:p w14:paraId="6A4E19AE" w14:textId="77777777" w:rsidR="00EC452A" w:rsidRPr="00EC452A" w:rsidRDefault="00EC452A" w:rsidP="00EC452A">
      <w:pPr>
        <w:spacing w:before="100" w:beforeAutospacing="1" w:after="100" w:afterAutospacing="1" w:line="240" w:lineRule="auto"/>
        <w:jc w:val="center"/>
        <w:rPr>
          <w:rFonts w:ascii="Arial" w:eastAsia="Arial" w:hAnsi="Arial" w:cs="Arial"/>
          <w:b/>
          <w:spacing w:val="-1"/>
          <w:w w:val="102"/>
          <w:sz w:val="22"/>
          <w:szCs w:val="22"/>
        </w:rPr>
      </w:pPr>
      <w:r w:rsidRPr="00EC452A">
        <w:rPr>
          <w:rFonts w:ascii="Arial" w:eastAsia="Arial" w:hAnsi="Arial" w:cs="Arial"/>
          <w:b/>
          <w:spacing w:val="-1"/>
          <w:sz w:val="22"/>
          <w:szCs w:val="22"/>
        </w:rPr>
        <w:t>REGLAMENT</w:t>
      </w:r>
      <w:r w:rsidRPr="00EC452A">
        <w:rPr>
          <w:rFonts w:ascii="Arial" w:eastAsia="Arial" w:hAnsi="Arial" w:cs="Arial"/>
          <w:b/>
          <w:sz w:val="22"/>
          <w:szCs w:val="22"/>
        </w:rPr>
        <w:t>O</w:t>
      </w:r>
      <w:r w:rsidRPr="00EC452A">
        <w:rPr>
          <w:rFonts w:ascii="Arial" w:eastAsia="Arial" w:hAnsi="Arial" w:cs="Arial"/>
          <w:b/>
          <w:spacing w:val="33"/>
          <w:sz w:val="22"/>
          <w:szCs w:val="22"/>
        </w:rPr>
        <w:t xml:space="preserve"> </w:t>
      </w:r>
      <w:r w:rsidRPr="00EC452A">
        <w:rPr>
          <w:rFonts w:ascii="Arial" w:eastAsia="Arial" w:hAnsi="Arial" w:cs="Arial"/>
          <w:b/>
          <w:spacing w:val="-1"/>
          <w:sz w:val="22"/>
          <w:szCs w:val="22"/>
        </w:rPr>
        <w:t>D</w:t>
      </w:r>
      <w:r w:rsidRPr="00EC452A">
        <w:rPr>
          <w:rFonts w:ascii="Arial" w:eastAsia="Arial" w:hAnsi="Arial" w:cs="Arial"/>
          <w:b/>
          <w:sz w:val="22"/>
          <w:szCs w:val="22"/>
        </w:rPr>
        <w:t>E</w:t>
      </w:r>
      <w:r w:rsidRPr="00EC452A">
        <w:rPr>
          <w:rFonts w:ascii="Arial" w:eastAsia="Arial" w:hAnsi="Arial" w:cs="Arial"/>
          <w:b/>
          <w:spacing w:val="10"/>
          <w:sz w:val="22"/>
          <w:szCs w:val="22"/>
        </w:rPr>
        <w:t xml:space="preserve"> </w:t>
      </w:r>
      <w:r w:rsidRPr="00EC452A">
        <w:rPr>
          <w:rFonts w:ascii="Arial" w:eastAsia="Arial" w:hAnsi="Arial" w:cs="Arial"/>
          <w:b/>
          <w:spacing w:val="-1"/>
          <w:sz w:val="22"/>
          <w:szCs w:val="22"/>
        </w:rPr>
        <w:t>L</w:t>
      </w:r>
      <w:r w:rsidRPr="00EC452A">
        <w:rPr>
          <w:rFonts w:ascii="Arial" w:eastAsia="Arial" w:hAnsi="Arial" w:cs="Arial"/>
          <w:b/>
          <w:sz w:val="22"/>
          <w:szCs w:val="22"/>
        </w:rPr>
        <w:t>A</w:t>
      </w:r>
      <w:r w:rsidRPr="00EC452A">
        <w:rPr>
          <w:rFonts w:ascii="Arial" w:eastAsia="Arial" w:hAnsi="Arial" w:cs="Arial"/>
          <w:b/>
          <w:spacing w:val="9"/>
          <w:sz w:val="22"/>
          <w:szCs w:val="22"/>
        </w:rPr>
        <w:t xml:space="preserve"> </w:t>
      </w:r>
      <w:r w:rsidRPr="00EC452A">
        <w:rPr>
          <w:rFonts w:ascii="Arial" w:eastAsia="Arial" w:hAnsi="Arial" w:cs="Arial"/>
          <w:b/>
          <w:spacing w:val="-1"/>
          <w:sz w:val="22"/>
          <w:szCs w:val="22"/>
        </w:rPr>
        <w:t>LE</w:t>
      </w:r>
      <w:r w:rsidRPr="00EC452A">
        <w:rPr>
          <w:rFonts w:ascii="Arial" w:eastAsia="Arial" w:hAnsi="Arial" w:cs="Arial"/>
          <w:b/>
          <w:sz w:val="22"/>
          <w:szCs w:val="22"/>
        </w:rPr>
        <w:t>Y</w:t>
      </w:r>
      <w:r w:rsidRPr="00EC452A">
        <w:rPr>
          <w:rFonts w:ascii="Arial" w:eastAsia="Arial" w:hAnsi="Arial" w:cs="Arial"/>
          <w:b/>
          <w:spacing w:val="12"/>
          <w:sz w:val="22"/>
          <w:szCs w:val="22"/>
        </w:rPr>
        <w:t xml:space="preserve"> </w:t>
      </w:r>
      <w:r w:rsidRPr="00EC452A">
        <w:rPr>
          <w:rFonts w:ascii="Arial" w:eastAsia="Arial" w:hAnsi="Arial" w:cs="Arial"/>
          <w:b/>
          <w:spacing w:val="-1"/>
          <w:sz w:val="22"/>
          <w:szCs w:val="22"/>
        </w:rPr>
        <w:t>D</w:t>
      </w:r>
      <w:r w:rsidRPr="00EC452A">
        <w:rPr>
          <w:rFonts w:ascii="Arial" w:eastAsia="Arial" w:hAnsi="Arial" w:cs="Arial"/>
          <w:b/>
          <w:sz w:val="22"/>
          <w:szCs w:val="22"/>
        </w:rPr>
        <w:t>E</w:t>
      </w:r>
      <w:r w:rsidRPr="00EC452A">
        <w:rPr>
          <w:rFonts w:ascii="Arial" w:eastAsia="Arial" w:hAnsi="Arial" w:cs="Arial"/>
          <w:b/>
          <w:spacing w:val="10"/>
          <w:sz w:val="22"/>
          <w:szCs w:val="22"/>
        </w:rPr>
        <w:t xml:space="preserve"> </w:t>
      </w:r>
      <w:r w:rsidRPr="00EC452A">
        <w:rPr>
          <w:rFonts w:ascii="Arial" w:eastAsia="Arial" w:hAnsi="Arial" w:cs="Arial"/>
          <w:b/>
          <w:spacing w:val="-1"/>
          <w:sz w:val="22"/>
          <w:szCs w:val="22"/>
        </w:rPr>
        <w:t>FOMENT</w:t>
      </w:r>
      <w:r w:rsidRPr="00EC452A">
        <w:rPr>
          <w:rFonts w:ascii="Arial" w:eastAsia="Arial" w:hAnsi="Arial" w:cs="Arial"/>
          <w:b/>
          <w:sz w:val="22"/>
          <w:szCs w:val="22"/>
        </w:rPr>
        <w:t>O</w:t>
      </w:r>
      <w:r w:rsidRPr="00EC452A">
        <w:rPr>
          <w:rFonts w:ascii="Arial" w:eastAsia="Arial" w:hAnsi="Arial" w:cs="Arial"/>
          <w:b/>
          <w:spacing w:val="21"/>
          <w:sz w:val="22"/>
          <w:szCs w:val="22"/>
        </w:rPr>
        <w:t xml:space="preserve"> </w:t>
      </w:r>
      <w:r w:rsidRPr="00EC452A">
        <w:rPr>
          <w:rFonts w:ascii="Arial" w:eastAsia="Arial" w:hAnsi="Arial" w:cs="Arial"/>
          <w:b/>
          <w:spacing w:val="-1"/>
          <w:w w:val="102"/>
          <w:sz w:val="22"/>
          <w:szCs w:val="22"/>
        </w:rPr>
        <w:t>AGROPECUARIO</w:t>
      </w:r>
    </w:p>
    <w:p w14:paraId="513C221E" w14:textId="77777777" w:rsidR="00EC452A" w:rsidRPr="00EC452A" w:rsidRDefault="00EC452A" w:rsidP="00EC452A">
      <w:pPr>
        <w:spacing w:before="100" w:beforeAutospacing="1" w:after="100" w:afterAutospacing="1" w:line="240" w:lineRule="auto"/>
        <w:jc w:val="center"/>
        <w:rPr>
          <w:rFonts w:ascii="Arial" w:eastAsia="Arial" w:hAnsi="Arial" w:cs="Arial"/>
          <w:b/>
          <w:sz w:val="22"/>
          <w:szCs w:val="22"/>
        </w:rPr>
      </w:pPr>
      <w:r w:rsidRPr="00EC452A">
        <w:rPr>
          <w:rFonts w:ascii="Arial" w:eastAsia="Arial" w:hAnsi="Arial" w:cs="Arial"/>
          <w:b/>
          <w:sz w:val="22"/>
          <w:szCs w:val="22"/>
        </w:rPr>
        <w:t>www.dof.gob.mx</w:t>
      </w:r>
    </w:p>
    <w:p w14:paraId="0AF5C70C" w14:textId="77777777" w:rsidR="00EC452A" w:rsidRPr="00EC452A" w:rsidRDefault="00EC452A" w:rsidP="00EC452A">
      <w:pPr>
        <w:spacing w:before="100" w:beforeAutospacing="1" w:after="100" w:afterAutospacing="1" w:line="240" w:lineRule="auto"/>
        <w:jc w:val="right"/>
        <w:rPr>
          <w:rFonts w:ascii="Arial" w:hAnsi="Arial" w:cs="Arial"/>
          <w:sz w:val="22"/>
          <w:szCs w:val="22"/>
        </w:rPr>
      </w:pPr>
      <w:r w:rsidRPr="00EC452A">
        <w:rPr>
          <w:rFonts w:ascii="Arial" w:hAnsi="Arial" w:cs="Arial"/>
          <w:sz w:val="22"/>
          <w:szCs w:val="22"/>
        </w:rPr>
        <w:t>Publicado DOF 23 de noviembre de 1981</w:t>
      </w:r>
    </w:p>
    <w:p w14:paraId="11E1CB4A" w14:textId="77777777" w:rsidR="00EC452A" w:rsidRPr="00EC452A" w:rsidRDefault="00EC452A" w:rsidP="00EC452A">
      <w:pPr>
        <w:spacing w:before="100" w:beforeAutospacing="1" w:after="100" w:afterAutospacing="1" w:line="240" w:lineRule="auto"/>
        <w:jc w:val="right"/>
        <w:rPr>
          <w:rFonts w:ascii="Arial" w:hAnsi="Arial" w:cs="Arial"/>
          <w:sz w:val="22"/>
          <w:szCs w:val="22"/>
        </w:rPr>
      </w:pPr>
      <w:r w:rsidRPr="00EC452A">
        <w:rPr>
          <w:rFonts w:ascii="Arial" w:hAnsi="Arial" w:cs="Arial"/>
          <w:sz w:val="22"/>
          <w:szCs w:val="22"/>
        </w:rPr>
        <w:t>Fe de erratas DOF 25 de febrero de 1982</w:t>
      </w:r>
    </w:p>
    <w:p w14:paraId="1E4084A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Al</w:t>
      </w:r>
      <w:r w:rsidRPr="00EC452A">
        <w:rPr>
          <w:rFonts w:ascii="Arial" w:eastAsia="Arial" w:hAnsi="Arial" w:cs="Arial"/>
          <w:spacing w:val="33"/>
          <w:sz w:val="22"/>
          <w:szCs w:val="22"/>
        </w:rPr>
        <w:t xml:space="preserve"> </w:t>
      </w:r>
      <w:r w:rsidRPr="00EC452A">
        <w:rPr>
          <w:rFonts w:ascii="Arial" w:eastAsia="Arial" w:hAnsi="Arial" w:cs="Arial"/>
          <w:sz w:val="22"/>
          <w:szCs w:val="22"/>
        </w:rPr>
        <w:t>margen</w:t>
      </w:r>
      <w:r w:rsidRPr="00EC452A">
        <w:rPr>
          <w:rFonts w:ascii="Arial" w:eastAsia="Arial" w:hAnsi="Arial" w:cs="Arial"/>
          <w:spacing w:val="43"/>
          <w:sz w:val="22"/>
          <w:szCs w:val="22"/>
        </w:rPr>
        <w:t xml:space="preserve"> </w:t>
      </w:r>
      <w:r w:rsidRPr="00EC452A">
        <w:rPr>
          <w:rFonts w:ascii="Arial" w:eastAsia="Arial" w:hAnsi="Arial" w:cs="Arial"/>
          <w:sz w:val="22"/>
          <w:szCs w:val="22"/>
        </w:rPr>
        <w:t>un</w:t>
      </w:r>
      <w:r w:rsidRPr="00EC452A">
        <w:rPr>
          <w:rFonts w:ascii="Arial" w:eastAsia="Arial" w:hAnsi="Arial" w:cs="Arial"/>
          <w:spacing w:val="34"/>
          <w:sz w:val="22"/>
          <w:szCs w:val="22"/>
        </w:rPr>
        <w:t xml:space="preserve"> </w:t>
      </w:r>
      <w:r w:rsidRPr="00EC452A">
        <w:rPr>
          <w:rFonts w:ascii="Arial" w:eastAsia="Arial" w:hAnsi="Arial" w:cs="Arial"/>
          <w:sz w:val="22"/>
          <w:szCs w:val="22"/>
        </w:rPr>
        <w:t>sello</w:t>
      </w:r>
      <w:r w:rsidRPr="00EC452A">
        <w:rPr>
          <w:rFonts w:ascii="Arial" w:eastAsia="Arial" w:hAnsi="Arial" w:cs="Arial"/>
          <w:spacing w:val="38"/>
          <w:sz w:val="22"/>
          <w:szCs w:val="22"/>
        </w:rPr>
        <w:t xml:space="preserve"> </w:t>
      </w:r>
      <w:r w:rsidRPr="00EC452A">
        <w:rPr>
          <w:rFonts w:ascii="Arial" w:eastAsia="Arial" w:hAnsi="Arial" w:cs="Arial"/>
          <w:sz w:val="22"/>
          <w:szCs w:val="22"/>
        </w:rPr>
        <w:t>con</w:t>
      </w:r>
      <w:r w:rsidRPr="00EC452A">
        <w:rPr>
          <w:rFonts w:ascii="Arial" w:eastAsia="Arial" w:hAnsi="Arial" w:cs="Arial"/>
          <w:spacing w:val="36"/>
          <w:sz w:val="22"/>
          <w:szCs w:val="22"/>
        </w:rPr>
        <w:t xml:space="preserve"> </w:t>
      </w:r>
      <w:r w:rsidRPr="00EC452A">
        <w:rPr>
          <w:rFonts w:ascii="Arial" w:eastAsia="Arial" w:hAnsi="Arial" w:cs="Arial"/>
          <w:sz w:val="22"/>
          <w:szCs w:val="22"/>
        </w:rPr>
        <w:t>el</w:t>
      </w:r>
      <w:r w:rsidRPr="00EC452A">
        <w:rPr>
          <w:rFonts w:ascii="Arial" w:eastAsia="Arial" w:hAnsi="Arial" w:cs="Arial"/>
          <w:spacing w:val="33"/>
          <w:sz w:val="22"/>
          <w:szCs w:val="22"/>
        </w:rPr>
        <w:t xml:space="preserve"> </w:t>
      </w:r>
      <w:r w:rsidRPr="00EC452A">
        <w:rPr>
          <w:rFonts w:ascii="Arial" w:eastAsia="Arial" w:hAnsi="Arial" w:cs="Arial"/>
          <w:sz w:val="22"/>
          <w:szCs w:val="22"/>
        </w:rPr>
        <w:t>Escudo</w:t>
      </w:r>
      <w:r w:rsidRPr="00EC452A">
        <w:rPr>
          <w:rFonts w:ascii="Arial" w:eastAsia="Arial" w:hAnsi="Arial" w:cs="Arial"/>
          <w:spacing w:val="43"/>
          <w:sz w:val="22"/>
          <w:szCs w:val="22"/>
        </w:rPr>
        <w:t xml:space="preserve"> </w:t>
      </w:r>
      <w:r w:rsidRPr="00EC452A">
        <w:rPr>
          <w:rFonts w:ascii="Arial" w:eastAsia="Arial" w:hAnsi="Arial" w:cs="Arial"/>
          <w:sz w:val="22"/>
          <w:szCs w:val="22"/>
        </w:rPr>
        <w:t>Nacional,</w:t>
      </w:r>
      <w:r w:rsidRPr="00EC452A">
        <w:rPr>
          <w:rFonts w:ascii="Arial" w:eastAsia="Arial" w:hAnsi="Arial" w:cs="Arial"/>
          <w:spacing w:val="46"/>
          <w:sz w:val="22"/>
          <w:szCs w:val="22"/>
        </w:rPr>
        <w:t xml:space="preserve"> </w:t>
      </w:r>
      <w:r w:rsidRPr="00EC452A">
        <w:rPr>
          <w:rFonts w:ascii="Arial" w:eastAsia="Arial" w:hAnsi="Arial" w:cs="Arial"/>
          <w:sz w:val="22"/>
          <w:szCs w:val="22"/>
        </w:rPr>
        <w:t>que</w:t>
      </w:r>
      <w:r w:rsidRPr="00EC452A">
        <w:rPr>
          <w:rFonts w:ascii="Arial" w:eastAsia="Arial" w:hAnsi="Arial" w:cs="Arial"/>
          <w:spacing w:val="36"/>
          <w:sz w:val="22"/>
          <w:szCs w:val="22"/>
        </w:rPr>
        <w:t xml:space="preserve"> </w:t>
      </w:r>
      <w:r w:rsidRPr="00EC452A">
        <w:rPr>
          <w:rFonts w:ascii="Arial" w:eastAsia="Arial" w:hAnsi="Arial" w:cs="Arial"/>
          <w:sz w:val="22"/>
          <w:szCs w:val="22"/>
        </w:rPr>
        <w:t>dice:</w:t>
      </w:r>
      <w:r w:rsidRPr="00EC452A">
        <w:rPr>
          <w:rFonts w:ascii="Arial" w:eastAsia="Arial" w:hAnsi="Arial" w:cs="Arial"/>
          <w:spacing w:val="38"/>
          <w:sz w:val="22"/>
          <w:szCs w:val="22"/>
        </w:rPr>
        <w:t xml:space="preserve"> </w:t>
      </w:r>
      <w:r w:rsidRPr="00EC452A">
        <w:rPr>
          <w:rFonts w:ascii="Arial" w:eastAsia="Arial" w:hAnsi="Arial" w:cs="Arial"/>
          <w:sz w:val="22"/>
          <w:szCs w:val="22"/>
        </w:rPr>
        <w:t>Estados</w:t>
      </w:r>
      <w:r w:rsidRPr="00EC452A">
        <w:rPr>
          <w:rFonts w:ascii="Arial" w:eastAsia="Arial" w:hAnsi="Arial" w:cs="Arial"/>
          <w:spacing w:val="44"/>
          <w:sz w:val="22"/>
          <w:szCs w:val="22"/>
        </w:rPr>
        <w:t xml:space="preserve"> </w:t>
      </w:r>
      <w:r w:rsidRPr="00EC452A">
        <w:rPr>
          <w:rFonts w:ascii="Arial" w:eastAsia="Arial" w:hAnsi="Arial" w:cs="Arial"/>
          <w:sz w:val="22"/>
          <w:szCs w:val="22"/>
        </w:rPr>
        <w:t>Unidos</w:t>
      </w:r>
      <w:r w:rsidRPr="00EC452A">
        <w:rPr>
          <w:rFonts w:ascii="Arial" w:eastAsia="Arial" w:hAnsi="Arial" w:cs="Arial"/>
          <w:spacing w:val="42"/>
          <w:sz w:val="22"/>
          <w:szCs w:val="22"/>
        </w:rPr>
        <w:t xml:space="preserve"> </w:t>
      </w:r>
      <w:r w:rsidRPr="00EC452A">
        <w:rPr>
          <w:rFonts w:ascii="Arial" w:eastAsia="Arial" w:hAnsi="Arial" w:cs="Arial"/>
          <w:w w:val="102"/>
          <w:sz w:val="22"/>
          <w:szCs w:val="22"/>
        </w:rPr>
        <w:t>Mexicanos.</w:t>
      </w:r>
      <w:r w:rsidRPr="00EC452A">
        <w:rPr>
          <w:rFonts w:ascii="Arial" w:eastAsia="Arial" w:hAnsi="Arial" w:cs="Arial"/>
          <w:spacing w:val="-5"/>
          <w:w w:val="102"/>
          <w:sz w:val="22"/>
          <w:szCs w:val="22"/>
        </w:rPr>
        <w:t>-</w:t>
      </w:r>
      <w:r w:rsidRPr="00EC452A">
        <w:rPr>
          <w:rFonts w:ascii="Arial" w:eastAsia="Arial" w:hAnsi="Arial" w:cs="Arial"/>
          <w:w w:val="102"/>
          <w:sz w:val="22"/>
          <w:szCs w:val="22"/>
        </w:rPr>
        <w:t xml:space="preserve">Presidencia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República.</w:t>
      </w:r>
    </w:p>
    <w:p w14:paraId="2C2D483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JOSE</w:t>
      </w:r>
      <w:r w:rsidRPr="00EC452A">
        <w:rPr>
          <w:rFonts w:ascii="Arial" w:eastAsia="Arial" w:hAnsi="Arial" w:cs="Arial"/>
          <w:spacing w:val="36"/>
          <w:sz w:val="22"/>
          <w:szCs w:val="22"/>
        </w:rPr>
        <w:t xml:space="preserve"> </w:t>
      </w:r>
      <w:r w:rsidRPr="00EC452A">
        <w:rPr>
          <w:rFonts w:ascii="Arial" w:eastAsia="Arial" w:hAnsi="Arial" w:cs="Arial"/>
          <w:sz w:val="22"/>
          <w:szCs w:val="22"/>
        </w:rPr>
        <w:t>LOPEZ</w:t>
      </w:r>
      <w:r w:rsidRPr="00EC452A">
        <w:rPr>
          <w:rFonts w:ascii="Arial" w:eastAsia="Arial" w:hAnsi="Arial" w:cs="Arial"/>
          <w:spacing w:val="38"/>
          <w:sz w:val="22"/>
          <w:szCs w:val="22"/>
        </w:rPr>
        <w:t xml:space="preserve"> </w:t>
      </w:r>
      <w:r w:rsidRPr="00EC452A">
        <w:rPr>
          <w:rFonts w:ascii="Arial" w:eastAsia="Arial" w:hAnsi="Arial" w:cs="Arial"/>
          <w:sz w:val="22"/>
          <w:szCs w:val="22"/>
        </w:rPr>
        <w:t>PORTILLO,</w:t>
      </w:r>
      <w:r w:rsidRPr="00EC452A">
        <w:rPr>
          <w:rFonts w:ascii="Arial" w:eastAsia="Arial" w:hAnsi="Arial" w:cs="Arial"/>
          <w:spacing w:val="46"/>
          <w:sz w:val="22"/>
          <w:szCs w:val="22"/>
        </w:rPr>
        <w:t xml:space="preserve"> </w:t>
      </w:r>
      <w:r w:rsidRPr="00EC452A">
        <w:rPr>
          <w:rFonts w:ascii="Arial" w:eastAsia="Arial" w:hAnsi="Arial" w:cs="Arial"/>
          <w:sz w:val="22"/>
          <w:szCs w:val="22"/>
        </w:rPr>
        <w:t>Presidente</w:t>
      </w:r>
      <w:r w:rsidRPr="00EC452A">
        <w:rPr>
          <w:rFonts w:ascii="Arial" w:eastAsia="Arial" w:hAnsi="Arial" w:cs="Arial"/>
          <w:spacing w:val="44"/>
          <w:sz w:val="22"/>
          <w:szCs w:val="22"/>
        </w:rPr>
        <w:t xml:space="preserve"> </w:t>
      </w:r>
      <w:r w:rsidRPr="00EC452A">
        <w:rPr>
          <w:rFonts w:ascii="Arial" w:eastAsia="Arial" w:hAnsi="Arial" w:cs="Arial"/>
          <w:sz w:val="22"/>
          <w:szCs w:val="22"/>
        </w:rPr>
        <w:t>Constitucional</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30"/>
          <w:sz w:val="22"/>
          <w:szCs w:val="22"/>
        </w:rPr>
        <w:t xml:space="preserve"> </w:t>
      </w:r>
      <w:r w:rsidRPr="00EC452A">
        <w:rPr>
          <w:rFonts w:ascii="Arial" w:eastAsia="Arial" w:hAnsi="Arial" w:cs="Arial"/>
          <w:sz w:val="22"/>
          <w:szCs w:val="22"/>
        </w:rPr>
        <w:t>los</w:t>
      </w:r>
      <w:r w:rsidRPr="00EC452A">
        <w:rPr>
          <w:rFonts w:ascii="Arial" w:eastAsia="Arial" w:hAnsi="Arial" w:cs="Arial"/>
          <w:spacing w:val="31"/>
          <w:sz w:val="22"/>
          <w:szCs w:val="22"/>
        </w:rPr>
        <w:t xml:space="preserve"> </w:t>
      </w:r>
      <w:r w:rsidRPr="00EC452A">
        <w:rPr>
          <w:rFonts w:ascii="Arial" w:eastAsia="Arial" w:hAnsi="Arial" w:cs="Arial"/>
          <w:sz w:val="22"/>
          <w:szCs w:val="22"/>
        </w:rPr>
        <w:t>Estados</w:t>
      </w:r>
      <w:r w:rsidRPr="00EC452A">
        <w:rPr>
          <w:rFonts w:ascii="Arial" w:eastAsia="Arial" w:hAnsi="Arial" w:cs="Arial"/>
          <w:spacing w:val="40"/>
          <w:sz w:val="22"/>
          <w:szCs w:val="22"/>
        </w:rPr>
        <w:t xml:space="preserve"> </w:t>
      </w:r>
      <w:r w:rsidRPr="00EC452A">
        <w:rPr>
          <w:rFonts w:ascii="Arial" w:eastAsia="Arial" w:hAnsi="Arial" w:cs="Arial"/>
          <w:sz w:val="22"/>
          <w:szCs w:val="22"/>
        </w:rPr>
        <w:t>Unidos</w:t>
      </w:r>
      <w:r w:rsidRPr="00EC452A">
        <w:rPr>
          <w:rFonts w:ascii="Arial" w:eastAsia="Arial" w:hAnsi="Arial" w:cs="Arial"/>
          <w:spacing w:val="38"/>
          <w:sz w:val="22"/>
          <w:szCs w:val="22"/>
        </w:rPr>
        <w:t xml:space="preserve"> </w:t>
      </w:r>
      <w:r w:rsidRPr="00EC452A">
        <w:rPr>
          <w:rFonts w:ascii="Arial" w:eastAsia="Arial" w:hAnsi="Arial" w:cs="Arial"/>
          <w:sz w:val="22"/>
          <w:szCs w:val="22"/>
        </w:rPr>
        <w:t>Mexicanos,</w:t>
      </w:r>
      <w:r w:rsidRPr="00EC452A">
        <w:rPr>
          <w:rFonts w:ascii="Arial" w:eastAsia="Arial" w:hAnsi="Arial" w:cs="Arial"/>
          <w:spacing w:val="45"/>
          <w:sz w:val="22"/>
          <w:szCs w:val="22"/>
        </w:rPr>
        <w:t xml:space="preserve"> </w:t>
      </w:r>
      <w:r w:rsidRPr="00EC452A">
        <w:rPr>
          <w:rFonts w:ascii="Arial" w:eastAsia="Arial" w:hAnsi="Arial" w:cs="Arial"/>
          <w:sz w:val="22"/>
          <w:szCs w:val="22"/>
        </w:rPr>
        <w:t>en</w:t>
      </w:r>
      <w:r w:rsidRPr="00EC452A">
        <w:rPr>
          <w:rFonts w:ascii="Arial" w:eastAsia="Arial" w:hAnsi="Arial" w:cs="Arial"/>
          <w:spacing w:val="30"/>
          <w:sz w:val="22"/>
          <w:szCs w:val="22"/>
        </w:rPr>
        <w:t xml:space="preserve"> </w:t>
      </w:r>
      <w:r w:rsidRPr="00EC452A">
        <w:rPr>
          <w:rFonts w:ascii="Arial" w:eastAsia="Arial" w:hAnsi="Arial" w:cs="Arial"/>
          <w:w w:val="102"/>
          <w:sz w:val="22"/>
          <w:szCs w:val="22"/>
        </w:rPr>
        <w:t xml:space="preserve">uso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faculta</w:t>
      </w:r>
      <w:r w:rsidRPr="00EC452A">
        <w:rPr>
          <w:rFonts w:ascii="Arial" w:eastAsia="Arial" w:hAnsi="Arial" w:cs="Arial"/>
          <w:sz w:val="22"/>
          <w:szCs w:val="22"/>
        </w:rPr>
        <w:t xml:space="preserve">d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
          <w:sz w:val="22"/>
          <w:szCs w:val="22"/>
        </w:rPr>
        <w:t>m</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confier</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fracció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z w:val="22"/>
          <w:szCs w:val="22"/>
        </w:rPr>
        <w:t>I</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8</w:t>
      </w:r>
      <w:r w:rsidRPr="00EC452A">
        <w:rPr>
          <w:rFonts w:ascii="Arial" w:eastAsia="Arial" w:hAnsi="Arial" w:cs="Arial"/>
          <w:sz w:val="22"/>
          <w:szCs w:val="22"/>
        </w:rPr>
        <w:t>9</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Constitució</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Polític</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República</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h</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tenid</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bie</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expedi</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siguiente:</w:t>
      </w:r>
    </w:p>
    <w:p w14:paraId="603942FF"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Reglament</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Foment</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Agropecuario</w:t>
      </w:r>
    </w:p>
    <w:p w14:paraId="0FCC0DA0" w14:textId="77777777" w:rsidR="00EC452A" w:rsidRPr="00EC452A" w:rsidRDefault="00EC452A" w:rsidP="00EC452A">
      <w:pPr>
        <w:spacing w:before="100" w:beforeAutospacing="1" w:after="100" w:afterAutospacing="1" w:line="240" w:lineRule="auto"/>
        <w:jc w:val="center"/>
        <w:rPr>
          <w:rFonts w:ascii="Arial" w:eastAsia="Arial" w:hAnsi="Arial" w:cs="Arial"/>
          <w:spacing w:val="-4"/>
          <w:w w:val="102"/>
          <w:sz w:val="22"/>
          <w:szCs w:val="22"/>
        </w:rPr>
      </w:pPr>
      <w:r w:rsidRPr="00EC452A">
        <w:rPr>
          <w:rFonts w:ascii="Arial" w:eastAsia="Arial" w:hAnsi="Arial" w:cs="Arial"/>
          <w:spacing w:val="-4"/>
          <w:sz w:val="22"/>
          <w:szCs w:val="22"/>
        </w:rPr>
        <w:t>TITUL</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4"/>
          <w:w w:val="102"/>
          <w:sz w:val="22"/>
          <w:szCs w:val="22"/>
        </w:rPr>
        <w:t>PRIMERO</w:t>
      </w:r>
    </w:p>
    <w:p w14:paraId="22337690" w14:textId="77777777" w:rsidR="00EC452A" w:rsidRPr="00EC452A" w:rsidRDefault="00EC452A" w:rsidP="00EC452A">
      <w:pPr>
        <w:spacing w:before="100" w:beforeAutospacing="1" w:after="100" w:afterAutospacing="1" w:line="240" w:lineRule="auto"/>
        <w:jc w:val="center"/>
        <w:rPr>
          <w:rFonts w:ascii="Arial" w:eastAsia="Arial" w:hAnsi="Arial" w:cs="Arial"/>
          <w:spacing w:val="-4"/>
          <w:w w:val="102"/>
          <w:sz w:val="22"/>
          <w:szCs w:val="22"/>
        </w:rPr>
      </w:pPr>
      <w:r w:rsidRPr="00EC452A">
        <w:rPr>
          <w:rFonts w:ascii="Arial" w:eastAsia="Arial" w:hAnsi="Arial" w:cs="Arial"/>
          <w:spacing w:val="-4"/>
          <w:sz w:val="22"/>
          <w:szCs w:val="22"/>
        </w:rPr>
        <w:t>CAPITUL</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4"/>
          <w:w w:val="102"/>
          <w:sz w:val="22"/>
          <w:szCs w:val="22"/>
        </w:rPr>
        <w:t>UNICO</w:t>
      </w:r>
    </w:p>
    <w:p w14:paraId="2B583813"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lastRenderedPageBreak/>
        <w:t>Disposicione</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Generales</w:t>
      </w:r>
    </w:p>
    <w:p w14:paraId="726BE87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present</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Ordenamient</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Agricultur</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Recurso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Hidráulicos </w:t>
      </w:r>
      <w:r w:rsidRPr="00EC452A">
        <w:rPr>
          <w:rFonts w:ascii="Arial" w:eastAsia="Arial" w:hAnsi="Arial" w:cs="Arial"/>
          <w:spacing w:val="-1"/>
          <w:sz w:val="22"/>
          <w:szCs w:val="22"/>
        </w:rPr>
        <w:t>ser</w:t>
      </w:r>
      <w:r w:rsidRPr="00EC452A">
        <w:rPr>
          <w:rFonts w:ascii="Arial" w:eastAsia="Arial" w:hAnsi="Arial" w:cs="Arial"/>
          <w:sz w:val="22"/>
          <w:szCs w:val="22"/>
        </w:rPr>
        <w:t xml:space="preserve">á  </w:t>
      </w:r>
      <w:r w:rsidRPr="00EC452A">
        <w:rPr>
          <w:rFonts w:ascii="Arial" w:eastAsia="Arial" w:hAnsi="Arial" w:cs="Arial"/>
          <w:spacing w:val="-1"/>
          <w:sz w:val="22"/>
          <w:szCs w:val="22"/>
        </w:rPr>
        <w:t>designad</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Foment</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Agropecuario</w:t>
      </w:r>
      <w:r w:rsidRPr="00EC452A">
        <w:rPr>
          <w:rFonts w:ascii="Arial" w:eastAsia="Arial" w:hAnsi="Arial" w:cs="Arial"/>
          <w:sz w:val="22"/>
          <w:szCs w:val="22"/>
        </w:rPr>
        <w:t xml:space="preserv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"Le</w:t>
      </w:r>
      <w:r w:rsidRPr="00EC452A">
        <w:rPr>
          <w:rFonts w:ascii="Arial" w:eastAsia="Arial" w:hAnsi="Arial" w:cs="Arial"/>
          <w:w w:val="102"/>
          <w:sz w:val="22"/>
          <w:szCs w:val="22"/>
        </w:rPr>
        <w:t>y</w:t>
      </w:r>
      <w:r w:rsidRPr="00EC452A">
        <w:rPr>
          <w:rFonts w:ascii="Arial" w:eastAsia="Arial" w:hAnsi="Arial" w:cs="Arial"/>
          <w:spacing w:val="-38"/>
          <w:sz w:val="22"/>
          <w:szCs w:val="22"/>
        </w:rPr>
        <w:t xml:space="preserve"> </w:t>
      </w:r>
      <w:r w:rsidRPr="00EC452A">
        <w:rPr>
          <w:rFonts w:ascii="Arial" w:eastAsia="Arial" w:hAnsi="Arial" w:cs="Arial"/>
          <w:spacing w:val="3"/>
          <w:sz w:val="22"/>
          <w:szCs w:val="22"/>
        </w:rPr>
        <w:t>"</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z w:val="22"/>
          <w:szCs w:val="22"/>
        </w:rPr>
        <w:t>y</w:t>
      </w:r>
      <w:r w:rsidRPr="00EC452A">
        <w:rPr>
          <w:rFonts w:ascii="Arial" w:eastAsia="Arial" w:hAnsi="Arial" w:cs="Arial"/>
          <w:spacing w:val="33"/>
          <w:sz w:val="22"/>
          <w:szCs w:val="22"/>
        </w:rPr>
        <w:t xml:space="preserve"> </w:t>
      </w:r>
      <w:r w:rsidRPr="00EC452A">
        <w:rPr>
          <w:rFonts w:ascii="Arial" w:eastAsia="Arial" w:hAnsi="Arial" w:cs="Arial"/>
          <w:spacing w:val="3"/>
          <w:w w:val="102"/>
          <w:sz w:val="22"/>
          <w:szCs w:val="22"/>
        </w:rPr>
        <w:t xml:space="preserve">el </w:t>
      </w:r>
      <w:r w:rsidRPr="00EC452A">
        <w:rPr>
          <w:rFonts w:ascii="Arial" w:eastAsia="Arial" w:hAnsi="Arial" w:cs="Arial"/>
          <w:sz w:val="22"/>
          <w:szCs w:val="22"/>
        </w:rPr>
        <w:t>Plan</w:t>
      </w:r>
      <w:r w:rsidRPr="00EC452A">
        <w:rPr>
          <w:rFonts w:ascii="Arial" w:eastAsia="Arial" w:hAnsi="Arial" w:cs="Arial"/>
          <w:spacing w:val="15"/>
          <w:sz w:val="22"/>
          <w:szCs w:val="22"/>
        </w:rPr>
        <w:t xml:space="preserve"> </w:t>
      </w:r>
      <w:r w:rsidRPr="00EC452A">
        <w:rPr>
          <w:rFonts w:ascii="Arial" w:eastAsia="Arial" w:hAnsi="Arial" w:cs="Arial"/>
          <w:sz w:val="22"/>
          <w:szCs w:val="22"/>
        </w:rPr>
        <w:t>Nacional</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Desarrollo</w:t>
      </w:r>
      <w:r w:rsidRPr="00EC452A">
        <w:rPr>
          <w:rFonts w:ascii="Arial" w:eastAsia="Arial" w:hAnsi="Arial" w:cs="Arial"/>
          <w:spacing w:val="24"/>
          <w:sz w:val="22"/>
          <w:szCs w:val="22"/>
        </w:rPr>
        <w:t xml:space="preserve"> </w:t>
      </w:r>
      <w:r w:rsidRPr="00EC452A">
        <w:rPr>
          <w:rFonts w:ascii="Arial" w:eastAsia="Arial" w:hAnsi="Arial" w:cs="Arial"/>
          <w:sz w:val="22"/>
          <w:szCs w:val="22"/>
        </w:rPr>
        <w:t>Agropecuario</w:t>
      </w:r>
      <w:r w:rsidRPr="00EC452A">
        <w:rPr>
          <w:rFonts w:ascii="Arial" w:eastAsia="Arial" w:hAnsi="Arial" w:cs="Arial"/>
          <w:spacing w:val="3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Forestal,</w:t>
      </w:r>
      <w:r w:rsidRPr="00EC452A">
        <w:rPr>
          <w:rFonts w:ascii="Arial" w:eastAsia="Arial" w:hAnsi="Arial" w:cs="Arial"/>
          <w:spacing w:val="22"/>
          <w:sz w:val="22"/>
          <w:szCs w:val="22"/>
        </w:rPr>
        <w:t xml:space="preserve"> </w:t>
      </w:r>
      <w:r w:rsidRPr="00EC452A">
        <w:rPr>
          <w:rFonts w:ascii="Arial" w:eastAsia="Arial" w:hAnsi="Arial" w:cs="Arial"/>
          <w:sz w:val="22"/>
          <w:szCs w:val="22"/>
        </w:rPr>
        <w:t>como</w:t>
      </w:r>
      <w:r w:rsidRPr="00EC452A">
        <w:rPr>
          <w:rFonts w:ascii="Arial" w:eastAsia="Arial" w:hAnsi="Arial" w:cs="Arial"/>
          <w:spacing w:val="16"/>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"Plan".</w:t>
      </w:r>
    </w:p>
    <w:p w14:paraId="30C347C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w w:val="102"/>
          <w:sz w:val="22"/>
          <w:szCs w:val="22"/>
        </w:rPr>
        <w:t>2o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Reglamento</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entender</w:t>
      </w:r>
      <w:r w:rsidRPr="00EC452A">
        <w:rPr>
          <w:rFonts w:ascii="Arial" w:eastAsia="Arial" w:hAnsi="Arial" w:cs="Arial"/>
          <w:sz w:val="22"/>
          <w:szCs w:val="22"/>
        </w:rPr>
        <w:t>á</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por:</w:t>
      </w:r>
      <w:r w:rsidRPr="00EC452A">
        <w:rPr>
          <w:rFonts w:ascii="Arial" w:hAnsi="Arial" w:cs="Arial"/>
          <w:sz w:val="22"/>
          <w:szCs w:val="22"/>
        </w:rPr>
        <w:t xml:space="preserve"> </w:t>
      </w:r>
      <w:r w:rsidRPr="00EC452A">
        <w:rPr>
          <w:rFonts w:ascii="Arial" w:eastAsia="Arial" w:hAnsi="Arial" w:cs="Arial"/>
          <w:spacing w:val="-1"/>
          <w:w w:val="102"/>
          <w:sz w:val="22"/>
          <w:szCs w:val="22"/>
        </w:rPr>
        <w:t>www.dof.gob.mx</w:t>
      </w:r>
    </w:p>
    <w:p w14:paraId="4EA63A1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agropecuaria</w:t>
      </w:r>
      <w:r w:rsidRPr="00EC452A">
        <w:rPr>
          <w:rFonts w:ascii="Arial" w:eastAsia="Arial" w:hAnsi="Arial" w:cs="Arial"/>
          <w:sz w:val="22"/>
          <w:szCs w:val="22"/>
        </w:rPr>
        <w:t xml:space="preserv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Agrícol</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primarios</w:t>
      </w:r>
      <w:r w:rsidRPr="00EC452A">
        <w:rPr>
          <w:rFonts w:ascii="Arial" w:eastAsia="Arial" w:hAnsi="Arial" w:cs="Arial"/>
          <w:sz w:val="22"/>
          <w:szCs w:val="22"/>
        </w:rPr>
        <w:t xml:space="preserve">,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ganadera</w:t>
      </w:r>
      <w:r w:rsidRPr="00EC452A">
        <w:rPr>
          <w:rFonts w:ascii="Arial" w:eastAsia="Arial" w:hAnsi="Arial" w:cs="Arial"/>
          <w:sz w:val="22"/>
          <w:szCs w:val="22"/>
        </w:rPr>
        <w:t xml:space="preserv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 xml:space="preserve">sus </w:t>
      </w:r>
      <w:r w:rsidRPr="00EC452A">
        <w:rPr>
          <w:rFonts w:ascii="Arial" w:eastAsia="Arial" w:hAnsi="Arial" w:cs="Arial"/>
          <w:spacing w:val="1"/>
          <w:sz w:val="22"/>
          <w:szCs w:val="22"/>
        </w:rPr>
        <w:t>especie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product</w:t>
      </w:r>
      <w:r w:rsidRPr="00EC452A">
        <w:rPr>
          <w:rFonts w:ascii="Arial" w:eastAsia="Arial" w:hAnsi="Arial" w:cs="Arial"/>
          <w:spacing w:val="3"/>
          <w:w w:val="102"/>
          <w:sz w:val="22"/>
          <w:szCs w:val="22"/>
        </w:rPr>
        <w:t>os.</w:t>
      </w:r>
    </w:p>
    <w:p w14:paraId="5A0F948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9"/>
          <w:sz w:val="22"/>
          <w:szCs w:val="22"/>
        </w:rPr>
        <w:t>II</w:t>
      </w:r>
      <w:r w:rsidRPr="00EC452A">
        <w:rPr>
          <w:rFonts w:ascii="Arial" w:eastAsia="Arial" w:hAnsi="Arial" w:cs="Arial"/>
          <w:spacing w:val="6"/>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forestal</w:t>
      </w:r>
      <w:r w:rsidRPr="00EC452A">
        <w:rPr>
          <w:rFonts w:ascii="Arial" w:eastAsia="Arial" w:hAnsi="Arial" w:cs="Arial"/>
          <w:sz w:val="22"/>
          <w:szCs w:val="22"/>
        </w:rPr>
        <w:t xml:space="preserv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resultante</w:t>
      </w:r>
      <w:r w:rsidRPr="00EC452A">
        <w:rPr>
          <w:rFonts w:ascii="Arial" w:eastAsia="Arial" w:hAnsi="Arial" w:cs="Arial"/>
          <w:sz w:val="22"/>
          <w:szCs w:val="22"/>
        </w:rPr>
        <w:t xml:space="preserve">,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tant</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aprovechamient</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directo</w:t>
      </w:r>
      <w:r w:rsidRPr="00EC452A">
        <w:rPr>
          <w:rFonts w:ascii="Arial" w:eastAsia="Arial" w:hAnsi="Arial" w:cs="Arial"/>
          <w:sz w:val="22"/>
          <w:szCs w:val="22"/>
        </w:rPr>
        <w:t xml:space="preserv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primario </w:t>
      </w:r>
      <w:r w:rsidRPr="00EC452A">
        <w:rPr>
          <w:rFonts w:ascii="Arial" w:eastAsia="Arial" w:hAnsi="Arial" w:cs="Arial"/>
          <w:sz w:val="22"/>
          <w:szCs w:val="22"/>
        </w:rPr>
        <w:t>industrial</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recursos</w:t>
      </w:r>
      <w:r w:rsidRPr="00EC452A">
        <w:rPr>
          <w:rFonts w:ascii="Arial" w:eastAsia="Arial" w:hAnsi="Arial" w:cs="Arial"/>
          <w:spacing w:val="22"/>
          <w:sz w:val="22"/>
          <w:szCs w:val="22"/>
        </w:rPr>
        <w:t xml:space="preserve"> </w:t>
      </w:r>
      <w:r w:rsidRPr="00EC452A">
        <w:rPr>
          <w:rFonts w:ascii="Arial" w:eastAsia="Arial" w:hAnsi="Arial" w:cs="Arial"/>
          <w:w w:val="102"/>
          <w:sz w:val="22"/>
          <w:szCs w:val="22"/>
        </w:rPr>
        <w:t>forestales.</w:t>
      </w:r>
    </w:p>
    <w:p w14:paraId="22C17814" w14:textId="5DADE563"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3o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aplicació</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present</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Reglament</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compet</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 xml:space="preserve">coordinación </w:t>
      </w:r>
      <w:r w:rsidRPr="00EC452A">
        <w:rPr>
          <w:rFonts w:ascii="Arial" w:eastAsia="Arial" w:hAnsi="Arial" w:cs="Arial"/>
          <w:spacing w:val="-2"/>
          <w:sz w:val="22"/>
          <w:szCs w:val="22"/>
        </w:rPr>
        <w:t>co</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Re</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Agraria</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z w:val="22"/>
          <w:szCs w:val="22"/>
        </w:rPr>
        <w:t>y</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administració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intervenció</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señale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mismo </w:t>
      </w:r>
      <w:r w:rsidRPr="00EC452A">
        <w:rPr>
          <w:rFonts w:ascii="Arial" w:eastAsia="Arial" w:hAnsi="Arial" w:cs="Arial"/>
          <w:sz w:val="22"/>
          <w:szCs w:val="22"/>
        </w:rPr>
        <w:t xml:space="preserve">ordenamiento.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Las   autoridades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estatales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Ayuntamientos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auxiliarán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50"/>
          <w:sz w:val="22"/>
          <w:szCs w:val="22"/>
        </w:rPr>
        <w:t xml:space="preserve"> </w:t>
      </w:r>
      <w:r w:rsidRPr="00EC452A">
        <w:rPr>
          <w:rFonts w:ascii="Arial" w:eastAsia="Arial" w:hAnsi="Arial" w:cs="Arial"/>
          <w:w w:val="102"/>
          <w:sz w:val="22"/>
          <w:szCs w:val="22"/>
        </w:rPr>
        <w:t xml:space="preserve">Secretaría </w:t>
      </w:r>
      <w:r w:rsidRPr="00EC452A">
        <w:rPr>
          <w:rFonts w:ascii="Arial" w:eastAsia="Arial" w:hAnsi="Arial" w:cs="Arial"/>
          <w:spacing w:val="-3"/>
          <w:sz w:val="22"/>
          <w:szCs w:val="22"/>
        </w:rPr>
        <w:t>confor</w:t>
      </w:r>
      <w:r w:rsidRPr="00EC452A">
        <w:rPr>
          <w:rFonts w:ascii="Arial" w:eastAsia="Arial" w:hAnsi="Arial" w:cs="Arial"/>
          <w:spacing w:val="-1"/>
          <w:sz w:val="22"/>
          <w:szCs w:val="22"/>
        </w:rPr>
        <w:t>m</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convenio</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efect</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celebre</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dispuesto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5"/>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organizació</w:t>
      </w:r>
      <w:r w:rsidRPr="00EC452A">
        <w:rPr>
          <w:rFonts w:ascii="Arial" w:eastAsia="Arial" w:hAnsi="Arial" w:cs="Arial"/>
          <w:sz w:val="22"/>
          <w:szCs w:val="22"/>
        </w:rPr>
        <w:t>n</w:t>
      </w:r>
      <w:r w:rsidR="00616496">
        <w:rPr>
          <w:rFonts w:ascii="Arial" w:eastAsia="Arial" w:hAnsi="Arial" w:cs="Arial"/>
          <w:sz w:val="22"/>
          <w:szCs w:val="22"/>
        </w:rPr>
        <w:t>es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campesina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nacionale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participará</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previst</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Reglamento.</w:t>
      </w:r>
    </w:p>
    <w:p w14:paraId="73284ED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4o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intervenció</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aplicació</w:t>
      </w:r>
      <w:r w:rsidRPr="00EC452A">
        <w:rPr>
          <w:rFonts w:ascii="Arial" w:eastAsia="Arial" w:hAnsi="Arial" w:cs="Arial"/>
          <w:sz w:val="22"/>
          <w:szCs w:val="22"/>
        </w:rPr>
        <w:t xml:space="preserve">n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Le</w:t>
      </w:r>
      <w:r w:rsidRPr="00EC452A">
        <w:rPr>
          <w:rFonts w:ascii="Arial" w:eastAsia="Arial" w:hAnsi="Arial" w:cs="Arial"/>
          <w:sz w:val="22"/>
          <w:szCs w:val="22"/>
        </w:rPr>
        <w:t xml:space="preserve">y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 xml:space="preserve">á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medi</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2"/>
          <w:w w:val="102"/>
          <w:sz w:val="22"/>
          <w:szCs w:val="22"/>
        </w:rPr>
        <w:t xml:space="preserve">del </w:t>
      </w:r>
      <w:r w:rsidRPr="00EC452A">
        <w:rPr>
          <w:rFonts w:ascii="Arial" w:eastAsia="Arial" w:hAnsi="Arial" w:cs="Arial"/>
          <w:spacing w:val="-1"/>
          <w:sz w:val="22"/>
          <w:szCs w:val="22"/>
        </w:rPr>
        <w:t>Titula</w:t>
      </w:r>
      <w:r w:rsidRPr="00EC452A">
        <w:rPr>
          <w:rFonts w:ascii="Arial" w:eastAsia="Arial" w:hAnsi="Arial" w:cs="Arial"/>
          <w:sz w:val="22"/>
          <w:szCs w:val="22"/>
        </w:rPr>
        <w:t>r</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travé</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administrativa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propi</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atribucione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ésta</w:t>
      </w:r>
      <w:r w:rsidRPr="00EC452A">
        <w:rPr>
          <w:rFonts w:ascii="Arial" w:eastAsia="Arial" w:hAnsi="Arial" w:cs="Arial"/>
          <w:sz w:val="22"/>
          <w:szCs w:val="22"/>
        </w:rPr>
        <w:t>s</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señal</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Reglament</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Interio</w:t>
      </w:r>
      <w:r w:rsidRPr="00EC452A">
        <w:rPr>
          <w:rFonts w:ascii="Arial" w:eastAsia="Arial" w:hAnsi="Arial" w:cs="Arial"/>
          <w:sz w:val="22"/>
          <w:szCs w:val="22"/>
        </w:rPr>
        <w:t>r</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misma </w:t>
      </w:r>
      <w:r w:rsidRPr="00EC452A">
        <w:rPr>
          <w:rFonts w:ascii="Arial" w:eastAsia="Arial" w:hAnsi="Arial" w:cs="Arial"/>
          <w:spacing w:val="-2"/>
          <w:w w:val="102"/>
          <w:sz w:val="22"/>
          <w:szCs w:val="22"/>
        </w:rPr>
        <w:t>Secretaría.</w:t>
      </w:r>
    </w:p>
    <w:p w14:paraId="6C66459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5o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increment</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productivida</w:t>
      </w:r>
      <w:r w:rsidRPr="00EC452A">
        <w:rPr>
          <w:rFonts w:ascii="Arial" w:eastAsia="Arial" w:hAnsi="Arial" w:cs="Arial"/>
          <w:sz w:val="22"/>
          <w:szCs w:val="22"/>
        </w:rPr>
        <w:t xml:space="preserve">d </w:t>
      </w:r>
      <w:r w:rsidRPr="00EC452A">
        <w:rPr>
          <w:rFonts w:ascii="Arial" w:eastAsia="Arial" w:hAnsi="Arial" w:cs="Arial"/>
          <w:spacing w:val="44"/>
          <w:sz w:val="22"/>
          <w:szCs w:val="22"/>
        </w:rPr>
        <w:t xml:space="preserve"> </w:t>
      </w:r>
      <w:r w:rsidRPr="00EC452A">
        <w:rPr>
          <w:rFonts w:ascii="Arial" w:eastAsia="Arial" w:hAnsi="Arial" w:cs="Arial"/>
          <w:spacing w:val="-3"/>
          <w:sz w:val="22"/>
          <w:szCs w:val="22"/>
        </w:rPr>
        <w:t>a</w:t>
      </w:r>
      <w:r w:rsidRPr="00EC452A">
        <w:rPr>
          <w:rFonts w:ascii="Arial" w:eastAsia="Arial" w:hAnsi="Arial" w:cs="Arial"/>
          <w:spacing w:val="-1"/>
          <w:sz w:val="22"/>
          <w:szCs w:val="22"/>
        </w:rPr>
        <w:t>grícol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encontrars</w:t>
      </w:r>
      <w:r w:rsidRPr="00EC452A">
        <w:rPr>
          <w:rFonts w:ascii="Arial" w:eastAsia="Arial" w:hAnsi="Arial" w:cs="Arial"/>
          <w:sz w:val="22"/>
          <w:szCs w:val="22"/>
        </w:rPr>
        <w:t xml:space="preserve">e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 xml:space="preserve">mayores </w:t>
      </w:r>
      <w:r w:rsidRPr="00EC452A">
        <w:rPr>
          <w:rFonts w:ascii="Arial" w:eastAsia="Arial" w:hAnsi="Arial" w:cs="Arial"/>
          <w:spacing w:val="-1"/>
          <w:sz w:val="22"/>
          <w:szCs w:val="22"/>
        </w:rPr>
        <w:t>rendimiento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cualitativo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z w:val="22"/>
          <w:szCs w:val="22"/>
        </w:rPr>
        <w:t>y</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cuantitativo</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1"/>
          <w:sz w:val="22"/>
          <w:szCs w:val="22"/>
        </w:rPr>
        <w:t>unida</w:t>
      </w:r>
      <w:r w:rsidRPr="00EC452A">
        <w:rPr>
          <w:rFonts w:ascii="Arial" w:eastAsia="Arial" w:hAnsi="Arial" w:cs="Arial"/>
          <w:sz w:val="22"/>
          <w:szCs w:val="22"/>
        </w:rPr>
        <w:t xml:space="preserve">d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superfici</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explotación</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comparados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sz w:val="22"/>
          <w:szCs w:val="22"/>
        </w:rPr>
        <w:t>promedio</w:t>
      </w:r>
      <w:r w:rsidRPr="00EC452A">
        <w:rPr>
          <w:rFonts w:ascii="Arial" w:eastAsia="Arial" w:hAnsi="Arial" w:cs="Arial"/>
          <w:spacing w:val="23"/>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producción</w:t>
      </w:r>
      <w:r w:rsidRPr="00EC452A">
        <w:rPr>
          <w:rFonts w:ascii="Arial" w:eastAsia="Arial" w:hAnsi="Arial" w:cs="Arial"/>
          <w:spacing w:val="26"/>
          <w:sz w:val="22"/>
          <w:szCs w:val="22"/>
        </w:rPr>
        <w:t xml:space="preserve"> </w:t>
      </w:r>
      <w:r w:rsidRPr="00EC452A">
        <w:rPr>
          <w:rFonts w:ascii="Arial" w:eastAsia="Arial" w:hAnsi="Arial" w:cs="Arial"/>
          <w:sz w:val="22"/>
          <w:szCs w:val="22"/>
        </w:rPr>
        <w:t>similar</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últimos</w:t>
      </w:r>
      <w:r w:rsidRPr="00EC452A">
        <w:rPr>
          <w:rFonts w:ascii="Arial" w:eastAsia="Arial" w:hAnsi="Arial" w:cs="Arial"/>
          <w:spacing w:val="19"/>
          <w:sz w:val="22"/>
          <w:szCs w:val="22"/>
        </w:rPr>
        <w:t xml:space="preserve"> </w:t>
      </w:r>
      <w:r w:rsidRPr="00EC452A">
        <w:rPr>
          <w:rFonts w:ascii="Arial" w:eastAsia="Arial" w:hAnsi="Arial" w:cs="Arial"/>
          <w:sz w:val="22"/>
          <w:szCs w:val="22"/>
        </w:rPr>
        <w:t>cinco</w:t>
      </w:r>
      <w:r w:rsidRPr="00EC452A">
        <w:rPr>
          <w:rFonts w:ascii="Arial" w:eastAsia="Arial" w:hAnsi="Arial" w:cs="Arial"/>
          <w:spacing w:val="16"/>
          <w:sz w:val="22"/>
          <w:szCs w:val="22"/>
        </w:rPr>
        <w:t xml:space="preserve"> </w:t>
      </w:r>
      <w:r w:rsidRPr="00EC452A">
        <w:rPr>
          <w:rFonts w:ascii="Arial" w:eastAsia="Arial" w:hAnsi="Arial" w:cs="Arial"/>
          <w:w w:val="102"/>
          <w:sz w:val="22"/>
          <w:szCs w:val="22"/>
        </w:rPr>
        <w:t>años.</w:t>
      </w:r>
    </w:p>
    <w:p w14:paraId="2A88421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6o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propondr</w:t>
      </w:r>
      <w:r w:rsidRPr="00EC452A">
        <w:rPr>
          <w:rFonts w:ascii="Arial" w:eastAsia="Arial" w:hAnsi="Arial" w:cs="Arial"/>
          <w:sz w:val="22"/>
          <w:szCs w:val="22"/>
        </w:rPr>
        <w:t>á</w:t>
      </w:r>
      <w:r w:rsidRPr="00EC452A">
        <w:rPr>
          <w:rFonts w:ascii="Arial" w:eastAsia="Arial" w:hAnsi="Arial" w:cs="Arial"/>
          <w:spacing w:val="52"/>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depende</w:t>
      </w:r>
      <w:r w:rsidRPr="00EC452A">
        <w:rPr>
          <w:rFonts w:ascii="Arial" w:eastAsia="Arial" w:hAnsi="Arial" w:cs="Arial"/>
          <w:spacing w:val="-1"/>
          <w:sz w:val="22"/>
          <w:szCs w:val="22"/>
        </w:rPr>
        <w:t>ncia</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Ejecutiv</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z w:val="22"/>
          <w:szCs w:val="22"/>
        </w:rPr>
        <w:t>las</w:t>
      </w:r>
      <w:r w:rsidRPr="00EC452A">
        <w:rPr>
          <w:rFonts w:ascii="Arial" w:eastAsia="Arial" w:hAnsi="Arial" w:cs="Arial"/>
          <w:spacing w:val="3"/>
          <w:sz w:val="22"/>
          <w:szCs w:val="22"/>
        </w:rPr>
        <w:t xml:space="preserve"> </w:t>
      </w:r>
      <w:r w:rsidRPr="00EC452A">
        <w:rPr>
          <w:rFonts w:ascii="Arial" w:eastAsia="Arial" w:hAnsi="Arial" w:cs="Arial"/>
          <w:sz w:val="22"/>
          <w:szCs w:val="22"/>
        </w:rPr>
        <w:t>necesidades</w:t>
      </w:r>
      <w:r w:rsidRPr="00EC452A">
        <w:rPr>
          <w:rFonts w:ascii="Arial" w:eastAsia="Arial" w:hAnsi="Arial" w:cs="Arial"/>
          <w:spacing w:val="19"/>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cada</w:t>
      </w:r>
      <w:r w:rsidRPr="00EC452A">
        <w:rPr>
          <w:rFonts w:ascii="Arial" w:eastAsia="Arial" w:hAnsi="Arial" w:cs="Arial"/>
          <w:spacing w:val="6"/>
          <w:sz w:val="22"/>
          <w:szCs w:val="22"/>
        </w:rPr>
        <w:t xml:space="preserve"> </w:t>
      </w:r>
      <w:r w:rsidRPr="00EC452A">
        <w:rPr>
          <w:rFonts w:ascii="Arial" w:eastAsia="Arial" w:hAnsi="Arial" w:cs="Arial"/>
          <w:sz w:val="22"/>
          <w:szCs w:val="22"/>
        </w:rPr>
        <w:t>región,</w:t>
      </w:r>
      <w:r w:rsidRPr="00EC452A">
        <w:rPr>
          <w:rFonts w:ascii="Arial" w:eastAsia="Arial" w:hAnsi="Arial" w:cs="Arial"/>
          <w:spacing w:val="10"/>
          <w:sz w:val="22"/>
          <w:szCs w:val="22"/>
        </w:rPr>
        <w:t xml:space="preserve"> </w:t>
      </w:r>
      <w:r w:rsidRPr="00EC452A">
        <w:rPr>
          <w:rFonts w:ascii="Arial" w:eastAsia="Arial" w:hAnsi="Arial" w:cs="Arial"/>
          <w:sz w:val="22"/>
          <w:szCs w:val="22"/>
        </w:rPr>
        <w:t>la</w:t>
      </w:r>
      <w:r w:rsidRPr="00EC452A">
        <w:rPr>
          <w:rFonts w:ascii="Arial" w:eastAsia="Arial" w:hAnsi="Arial" w:cs="Arial"/>
          <w:spacing w:val="1"/>
          <w:sz w:val="22"/>
          <w:szCs w:val="22"/>
        </w:rPr>
        <w:t xml:space="preserve"> </w:t>
      </w:r>
      <w:r w:rsidRPr="00EC452A">
        <w:rPr>
          <w:rFonts w:ascii="Arial" w:eastAsia="Arial" w:hAnsi="Arial" w:cs="Arial"/>
          <w:sz w:val="22"/>
          <w:szCs w:val="22"/>
        </w:rPr>
        <w:t>concesión</w:t>
      </w:r>
      <w:r w:rsidRPr="00EC452A">
        <w:rPr>
          <w:rFonts w:ascii="Arial" w:eastAsia="Arial" w:hAnsi="Arial" w:cs="Arial"/>
          <w:spacing w:val="15"/>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estímulos</w:t>
      </w:r>
      <w:r w:rsidRPr="00EC452A">
        <w:rPr>
          <w:rFonts w:ascii="Arial" w:eastAsia="Arial" w:hAnsi="Arial" w:cs="Arial"/>
          <w:spacing w:val="14"/>
          <w:sz w:val="22"/>
          <w:szCs w:val="22"/>
        </w:rPr>
        <w:t xml:space="preserve"> </w:t>
      </w:r>
      <w:r w:rsidRPr="00EC452A">
        <w:rPr>
          <w:rFonts w:ascii="Arial" w:eastAsia="Arial" w:hAnsi="Arial" w:cs="Arial"/>
          <w:sz w:val="22"/>
          <w:szCs w:val="22"/>
        </w:rPr>
        <w:t>y apoyos</w:t>
      </w:r>
      <w:r w:rsidRPr="00EC452A">
        <w:rPr>
          <w:rFonts w:ascii="Arial" w:eastAsia="Arial" w:hAnsi="Arial" w:cs="Arial"/>
          <w:spacing w:val="10"/>
          <w:sz w:val="22"/>
          <w:szCs w:val="22"/>
        </w:rPr>
        <w:t xml:space="preserve"> </w:t>
      </w:r>
      <w:r w:rsidRPr="00EC452A">
        <w:rPr>
          <w:rFonts w:ascii="Arial" w:eastAsia="Arial" w:hAnsi="Arial" w:cs="Arial"/>
          <w:sz w:val="22"/>
          <w:szCs w:val="22"/>
        </w:rPr>
        <w:t>a los</w:t>
      </w:r>
      <w:r w:rsidRPr="00EC452A">
        <w:rPr>
          <w:rFonts w:ascii="Arial" w:eastAsia="Arial" w:hAnsi="Arial" w:cs="Arial"/>
          <w:spacing w:val="3"/>
          <w:sz w:val="22"/>
          <w:szCs w:val="22"/>
        </w:rPr>
        <w:t xml:space="preserve"> </w:t>
      </w:r>
      <w:r w:rsidRPr="00EC452A">
        <w:rPr>
          <w:rFonts w:ascii="Arial" w:eastAsia="Arial" w:hAnsi="Arial" w:cs="Arial"/>
          <w:sz w:val="22"/>
          <w:szCs w:val="22"/>
        </w:rPr>
        <w:t>productores</w:t>
      </w:r>
      <w:r w:rsidRPr="00EC452A">
        <w:rPr>
          <w:rFonts w:ascii="Arial" w:eastAsia="Arial" w:hAnsi="Arial" w:cs="Arial"/>
          <w:spacing w:val="18"/>
          <w:sz w:val="22"/>
          <w:szCs w:val="22"/>
        </w:rPr>
        <w:t xml:space="preserve"> </w:t>
      </w:r>
      <w:r w:rsidRPr="00EC452A">
        <w:rPr>
          <w:rFonts w:ascii="Arial" w:eastAsia="Arial" w:hAnsi="Arial" w:cs="Arial"/>
          <w:sz w:val="22"/>
          <w:szCs w:val="22"/>
        </w:rPr>
        <w:t>en</w:t>
      </w:r>
      <w:r w:rsidRPr="00EC452A">
        <w:rPr>
          <w:rFonts w:ascii="Arial" w:eastAsia="Arial" w:hAnsi="Arial" w:cs="Arial"/>
          <w:spacing w:val="2"/>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1"/>
          <w:sz w:val="22"/>
          <w:szCs w:val="22"/>
        </w:rPr>
        <w:t>término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previsto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autorizado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incrementa</w:t>
      </w:r>
      <w:r w:rsidRPr="00EC452A">
        <w:rPr>
          <w:rFonts w:ascii="Arial" w:eastAsia="Arial" w:hAnsi="Arial" w:cs="Arial"/>
          <w:sz w:val="22"/>
          <w:szCs w:val="22"/>
        </w:rPr>
        <w:t xml:space="preserve">r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artículos </w:t>
      </w:r>
      <w:r w:rsidRPr="00EC452A">
        <w:rPr>
          <w:rFonts w:ascii="Arial" w:eastAsia="Arial" w:hAnsi="Arial" w:cs="Arial"/>
          <w:sz w:val="22"/>
          <w:szCs w:val="22"/>
        </w:rPr>
        <w:t>básicos</w:t>
      </w:r>
      <w:r w:rsidRPr="00EC452A">
        <w:rPr>
          <w:rFonts w:ascii="Arial" w:eastAsia="Arial" w:hAnsi="Arial" w:cs="Arial"/>
          <w:spacing w:val="20"/>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alimentación.</w:t>
      </w:r>
    </w:p>
    <w:p w14:paraId="485D3C6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Asimism</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emprender</w:t>
      </w:r>
      <w:r w:rsidRPr="00EC452A">
        <w:rPr>
          <w:rFonts w:ascii="Arial" w:eastAsia="Arial" w:hAnsi="Arial" w:cs="Arial"/>
          <w:sz w:val="22"/>
          <w:szCs w:val="22"/>
        </w:rPr>
        <w:t xml:space="preserve">á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promoció</w:t>
      </w:r>
      <w:r w:rsidRPr="00EC452A">
        <w:rPr>
          <w:rFonts w:ascii="Arial" w:eastAsia="Arial" w:hAnsi="Arial" w:cs="Arial"/>
          <w:sz w:val="22"/>
          <w:szCs w:val="22"/>
        </w:rPr>
        <w:t xml:space="preserve">n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foment</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actividade</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agrícolas, </w:t>
      </w:r>
      <w:r w:rsidRPr="00EC452A">
        <w:rPr>
          <w:rFonts w:ascii="Arial" w:eastAsia="Arial" w:hAnsi="Arial" w:cs="Arial"/>
          <w:spacing w:val="-1"/>
          <w:sz w:val="22"/>
          <w:szCs w:val="22"/>
        </w:rPr>
        <w:t>pecuaria</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forestales</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vist</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rentabilida</w:t>
      </w:r>
      <w:r w:rsidRPr="00EC452A">
        <w:rPr>
          <w:rFonts w:ascii="Arial" w:eastAsia="Arial" w:hAnsi="Arial" w:cs="Arial"/>
          <w:sz w:val="22"/>
          <w:szCs w:val="22"/>
        </w:rPr>
        <w:t>d</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corto</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median</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larg</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plazo.</w:t>
      </w:r>
    </w:p>
    <w:p w14:paraId="3BE354DF" w14:textId="77777777" w:rsidR="00EC452A" w:rsidRPr="00EC452A" w:rsidRDefault="00EC452A" w:rsidP="00EC452A">
      <w:pPr>
        <w:spacing w:before="100" w:beforeAutospacing="1" w:after="100" w:afterAutospacing="1" w:line="240" w:lineRule="auto"/>
        <w:jc w:val="both"/>
        <w:rPr>
          <w:rFonts w:ascii="Arial" w:eastAsia="Arial" w:hAnsi="Arial" w:cs="Arial"/>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7o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practicar</w:t>
      </w:r>
      <w:r w:rsidRPr="00EC452A">
        <w:rPr>
          <w:rFonts w:ascii="Arial" w:eastAsia="Arial" w:hAnsi="Arial" w:cs="Arial"/>
          <w:sz w:val="22"/>
          <w:szCs w:val="22"/>
        </w:rPr>
        <w:t xml:space="preserve">á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estudio</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agroecológico</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permita</w:t>
      </w:r>
      <w:r w:rsidRPr="00EC452A">
        <w:rPr>
          <w:rFonts w:ascii="Arial" w:eastAsia="Arial" w:hAnsi="Arial" w:cs="Arial"/>
          <w:sz w:val="22"/>
          <w:szCs w:val="22"/>
        </w:rPr>
        <w:t xml:space="preserve">n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determina</w:t>
      </w:r>
      <w:r w:rsidRPr="00EC452A">
        <w:rPr>
          <w:rFonts w:ascii="Arial" w:eastAsia="Arial" w:hAnsi="Arial" w:cs="Arial"/>
          <w:sz w:val="22"/>
          <w:szCs w:val="22"/>
        </w:rPr>
        <w:t xml:space="preserve">r </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medida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deba</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adoptars</w:t>
      </w:r>
      <w:r w:rsidRPr="00EC452A">
        <w:rPr>
          <w:rFonts w:ascii="Arial" w:eastAsia="Arial" w:hAnsi="Arial" w:cs="Arial"/>
          <w:sz w:val="22"/>
          <w:szCs w:val="22"/>
        </w:rPr>
        <w:t>e</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aumenta</w:t>
      </w:r>
      <w:r w:rsidRPr="00EC452A">
        <w:rPr>
          <w:rFonts w:ascii="Arial" w:eastAsia="Arial" w:hAnsi="Arial" w:cs="Arial"/>
          <w:sz w:val="22"/>
          <w:szCs w:val="22"/>
        </w:rPr>
        <w:t>r</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potencialida</w:t>
      </w:r>
      <w:r w:rsidRPr="00EC452A">
        <w:rPr>
          <w:rFonts w:ascii="Arial" w:eastAsia="Arial" w:hAnsi="Arial" w:cs="Arial"/>
          <w:sz w:val="22"/>
          <w:szCs w:val="22"/>
        </w:rPr>
        <w:t xml:space="preserve">d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productiv</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tierras</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caso</w:t>
      </w:r>
      <w:r w:rsidRPr="00EC452A">
        <w:rPr>
          <w:rFonts w:ascii="Arial" w:eastAsia="Arial" w:hAnsi="Arial" w:cs="Arial"/>
          <w:sz w:val="22"/>
          <w:szCs w:val="22"/>
        </w:rPr>
        <w:t xml:space="preserve">s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consider</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necesari</w:t>
      </w:r>
      <w:r w:rsidRPr="00EC452A">
        <w:rPr>
          <w:rFonts w:ascii="Arial" w:eastAsia="Arial" w:hAnsi="Arial" w:cs="Arial"/>
          <w:sz w:val="22"/>
          <w:szCs w:val="22"/>
        </w:rPr>
        <w:t xml:space="preserve">o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 xml:space="preserve">s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Ley, </w:t>
      </w:r>
      <w:r w:rsidRPr="00EC452A">
        <w:rPr>
          <w:rFonts w:ascii="Arial" w:eastAsia="Arial" w:hAnsi="Arial" w:cs="Arial"/>
          <w:sz w:val="22"/>
          <w:szCs w:val="22"/>
        </w:rPr>
        <w:t>especialmente</w:t>
      </w:r>
      <w:r w:rsidRPr="00EC452A">
        <w:rPr>
          <w:rFonts w:ascii="Arial" w:eastAsia="Arial" w:hAnsi="Arial" w:cs="Arial"/>
          <w:spacing w:val="31"/>
          <w:sz w:val="22"/>
          <w:szCs w:val="22"/>
        </w:rPr>
        <w:t xml:space="preserve"> </w:t>
      </w:r>
      <w:r w:rsidRPr="00EC452A">
        <w:rPr>
          <w:rFonts w:ascii="Arial" w:eastAsia="Arial" w:hAnsi="Arial" w:cs="Arial"/>
          <w:sz w:val="22"/>
          <w:szCs w:val="22"/>
        </w:rPr>
        <w:t>cuando</w:t>
      </w:r>
      <w:r w:rsidRPr="00EC452A">
        <w:rPr>
          <w:rFonts w:ascii="Arial" w:eastAsia="Arial" w:hAnsi="Arial" w:cs="Arial"/>
          <w:spacing w:val="19"/>
          <w:sz w:val="22"/>
          <w:szCs w:val="22"/>
        </w:rPr>
        <w:t xml:space="preserve"> </w:t>
      </w:r>
      <w:r w:rsidRPr="00EC452A">
        <w:rPr>
          <w:rFonts w:ascii="Arial" w:eastAsia="Arial" w:hAnsi="Arial" w:cs="Arial"/>
          <w:sz w:val="22"/>
          <w:szCs w:val="22"/>
        </w:rPr>
        <w:t>exista</w:t>
      </w:r>
      <w:r w:rsidRPr="00EC452A">
        <w:rPr>
          <w:rFonts w:ascii="Arial" w:eastAsia="Arial" w:hAnsi="Arial" w:cs="Arial"/>
          <w:spacing w:val="17"/>
          <w:sz w:val="22"/>
          <w:szCs w:val="22"/>
        </w:rPr>
        <w:t xml:space="preserve"> </w:t>
      </w:r>
      <w:r w:rsidRPr="00EC452A">
        <w:rPr>
          <w:rFonts w:ascii="Arial" w:eastAsia="Arial" w:hAnsi="Arial" w:cs="Arial"/>
          <w:sz w:val="22"/>
          <w:szCs w:val="22"/>
        </w:rPr>
        <w:t>abatimiento</w:t>
      </w:r>
      <w:r w:rsidRPr="00EC452A">
        <w:rPr>
          <w:rFonts w:ascii="Arial" w:eastAsia="Arial" w:hAnsi="Arial" w:cs="Arial"/>
          <w:spacing w:val="27"/>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producción.</w:t>
      </w:r>
    </w:p>
    <w:p w14:paraId="1B3BC8D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Dicho</w:t>
      </w:r>
      <w:r w:rsidRPr="00EC452A">
        <w:rPr>
          <w:rFonts w:ascii="Arial" w:eastAsia="Arial" w:hAnsi="Arial" w:cs="Arial"/>
          <w:sz w:val="22"/>
          <w:szCs w:val="22"/>
        </w:rPr>
        <w:t xml:space="preserve">s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estud</w:t>
      </w:r>
      <w:r w:rsidRPr="00EC452A">
        <w:rPr>
          <w:rFonts w:ascii="Arial" w:eastAsia="Arial" w:hAnsi="Arial" w:cs="Arial"/>
          <w:sz w:val="22"/>
          <w:szCs w:val="22"/>
        </w:rPr>
        <w:t xml:space="preserve">ios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deberán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practicarse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por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áreas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técnicas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competentes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 xml:space="preserve">Secretaría, </w:t>
      </w:r>
      <w:r w:rsidRPr="00EC452A">
        <w:rPr>
          <w:rFonts w:ascii="Arial" w:eastAsia="Arial" w:hAnsi="Arial" w:cs="Arial"/>
          <w:spacing w:val="-1"/>
          <w:sz w:val="22"/>
          <w:szCs w:val="22"/>
        </w:rPr>
        <w:t>tomand</w:t>
      </w:r>
      <w:r w:rsidRPr="00EC452A">
        <w:rPr>
          <w:rFonts w:ascii="Arial" w:eastAsia="Arial" w:hAnsi="Arial" w:cs="Arial"/>
          <w:sz w:val="22"/>
          <w:szCs w:val="22"/>
        </w:rPr>
        <w:t xml:space="preserve">o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consideració</w:t>
      </w:r>
      <w:r w:rsidRPr="00EC452A">
        <w:rPr>
          <w:rFonts w:ascii="Arial" w:eastAsia="Arial" w:hAnsi="Arial" w:cs="Arial"/>
          <w:sz w:val="22"/>
          <w:szCs w:val="22"/>
        </w:rPr>
        <w:t xml:space="preserve">n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resultad</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evaluació</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respectiv</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informacione</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w w:val="102"/>
          <w:sz w:val="22"/>
          <w:szCs w:val="22"/>
        </w:rPr>
        <w:t>reciban.</w:t>
      </w:r>
    </w:p>
    <w:p w14:paraId="5F9524D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8o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Los</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productos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alimenticios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básicos </w:t>
      </w:r>
      <w:r w:rsidRPr="00EC452A">
        <w:rPr>
          <w:rFonts w:ascii="Arial" w:eastAsia="Arial" w:hAnsi="Arial" w:cs="Arial"/>
          <w:spacing w:val="3"/>
          <w:sz w:val="22"/>
          <w:szCs w:val="22"/>
        </w:rPr>
        <w:t xml:space="preserve"> </w:t>
      </w:r>
      <w:r w:rsidRPr="00EC452A">
        <w:rPr>
          <w:rFonts w:ascii="Arial" w:eastAsia="Arial" w:hAnsi="Arial" w:cs="Arial"/>
          <w:sz w:val="22"/>
          <w:szCs w:val="22"/>
        </w:rPr>
        <w:t>que</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formen </w:t>
      </w:r>
      <w:r w:rsidRPr="00EC452A">
        <w:rPr>
          <w:rFonts w:ascii="Arial" w:eastAsia="Arial" w:hAnsi="Arial" w:cs="Arial"/>
          <w:spacing w:val="2"/>
          <w:sz w:val="22"/>
          <w:szCs w:val="22"/>
        </w:rPr>
        <w:t xml:space="preserve"> </w:t>
      </w:r>
      <w:r w:rsidRPr="00EC452A">
        <w:rPr>
          <w:rFonts w:ascii="Arial" w:eastAsia="Arial" w:hAnsi="Arial" w:cs="Arial"/>
          <w:sz w:val="22"/>
          <w:szCs w:val="22"/>
        </w:rPr>
        <w:t>parte</w:t>
      </w:r>
      <w:r w:rsidRPr="00EC452A">
        <w:rPr>
          <w:rFonts w:ascii="Arial" w:eastAsia="Arial" w:hAnsi="Arial" w:cs="Arial"/>
          <w:spacing w:val="51"/>
          <w:sz w:val="22"/>
          <w:szCs w:val="22"/>
        </w:rPr>
        <w:t xml:space="preserve"> </w:t>
      </w:r>
      <w:r w:rsidRPr="00EC452A">
        <w:rPr>
          <w:rFonts w:ascii="Arial" w:eastAsia="Arial" w:hAnsi="Arial" w:cs="Arial"/>
          <w:sz w:val="22"/>
          <w:szCs w:val="22"/>
        </w:rPr>
        <w:t>de</w:t>
      </w:r>
      <w:r w:rsidRPr="00EC452A">
        <w:rPr>
          <w:rFonts w:ascii="Arial" w:eastAsia="Arial" w:hAnsi="Arial" w:cs="Arial"/>
          <w:spacing w:val="47"/>
          <w:sz w:val="22"/>
          <w:szCs w:val="22"/>
        </w:rPr>
        <w:t xml:space="preserve"> </w:t>
      </w:r>
      <w:r w:rsidRPr="00EC452A">
        <w:rPr>
          <w:rFonts w:ascii="Arial" w:eastAsia="Arial" w:hAnsi="Arial" w:cs="Arial"/>
          <w:sz w:val="22"/>
          <w:szCs w:val="22"/>
        </w:rPr>
        <w:t>la</w:t>
      </w:r>
      <w:r w:rsidRPr="00EC452A">
        <w:rPr>
          <w:rFonts w:ascii="Arial" w:eastAsia="Arial" w:hAnsi="Arial" w:cs="Arial"/>
          <w:spacing w:val="46"/>
          <w:sz w:val="22"/>
          <w:szCs w:val="22"/>
        </w:rPr>
        <w:t xml:space="preserve"> </w:t>
      </w:r>
      <w:r w:rsidRPr="00EC452A">
        <w:rPr>
          <w:rFonts w:ascii="Arial" w:eastAsia="Arial" w:hAnsi="Arial" w:cs="Arial"/>
          <w:sz w:val="22"/>
          <w:szCs w:val="22"/>
        </w:rPr>
        <w:t>dieta</w:t>
      </w:r>
      <w:r w:rsidRPr="00EC452A">
        <w:rPr>
          <w:rFonts w:ascii="Arial" w:eastAsia="Arial" w:hAnsi="Arial" w:cs="Arial"/>
          <w:spacing w:val="51"/>
          <w:sz w:val="22"/>
          <w:szCs w:val="22"/>
        </w:rPr>
        <w:t xml:space="preserve"> </w:t>
      </w:r>
      <w:r w:rsidRPr="00EC452A">
        <w:rPr>
          <w:rFonts w:ascii="Arial" w:eastAsia="Arial" w:hAnsi="Arial" w:cs="Arial"/>
          <w:spacing w:val="-45"/>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población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tomars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cuent</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maner</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prioritari</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elaboració</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estudio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formule</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motiv</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utilizació</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pata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producción.</w:t>
      </w:r>
    </w:p>
    <w:p w14:paraId="77B4320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48"/>
          <w:sz w:val="22"/>
          <w:szCs w:val="22"/>
        </w:rPr>
        <w:t xml:space="preserve"> </w:t>
      </w:r>
      <w:r w:rsidRPr="00EC452A">
        <w:rPr>
          <w:rFonts w:ascii="Arial" w:eastAsia="Arial" w:hAnsi="Arial" w:cs="Arial"/>
          <w:spacing w:val="-2"/>
          <w:w w:val="102"/>
          <w:sz w:val="22"/>
          <w:szCs w:val="22"/>
        </w:rPr>
        <w:t>9o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importació</w:t>
      </w:r>
      <w:r w:rsidRPr="00EC452A">
        <w:rPr>
          <w:rFonts w:ascii="Arial" w:eastAsia="Arial" w:hAnsi="Arial" w:cs="Arial"/>
          <w:sz w:val="22"/>
          <w:szCs w:val="22"/>
        </w:rPr>
        <w:t xml:space="preserve">n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exportació</w:t>
      </w:r>
      <w:r w:rsidRPr="00EC452A">
        <w:rPr>
          <w:rFonts w:ascii="Arial" w:eastAsia="Arial" w:hAnsi="Arial" w:cs="Arial"/>
          <w:sz w:val="22"/>
          <w:szCs w:val="22"/>
        </w:rPr>
        <w:t xml:space="preserve">n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w w:val="102"/>
          <w:sz w:val="22"/>
          <w:szCs w:val="22"/>
        </w:rPr>
        <w:t>agrope</w:t>
      </w:r>
      <w:r w:rsidRPr="00EC452A">
        <w:rPr>
          <w:rFonts w:ascii="Arial" w:eastAsia="Arial" w:hAnsi="Arial" w:cs="Arial"/>
          <w:w w:val="102"/>
          <w:sz w:val="22"/>
          <w:szCs w:val="22"/>
        </w:rPr>
        <w:t>c</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uarios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forestales, </w:t>
      </w:r>
      <w:r w:rsidRPr="00EC452A">
        <w:rPr>
          <w:rFonts w:ascii="Arial" w:eastAsia="Arial" w:hAnsi="Arial" w:cs="Arial"/>
          <w:spacing w:val="-1"/>
          <w:sz w:val="22"/>
          <w:szCs w:val="22"/>
        </w:rPr>
        <w:t>implemento</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maquinaria</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 xml:space="preserve">á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objeto</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general</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cumpli</w:t>
      </w:r>
      <w:r w:rsidRPr="00EC452A">
        <w:rPr>
          <w:rFonts w:ascii="Arial" w:eastAsia="Arial" w:hAnsi="Arial" w:cs="Arial"/>
          <w:sz w:val="22"/>
          <w:szCs w:val="22"/>
        </w:rPr>
        <w:t xml:space="preserve">r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meta</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z w:val="22"/>
          <w:szCs w:val="22"/>
        </w:rPr>
        <w:t xml:space="preserve">determine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Plan,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considerando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satisfacción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requisitos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internos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materia </w:t>
      </w:r>
      <w:r w:rsidRPr="00EC452A">
        <w:rPr>
          <w:rFonts w:ascii="Arial" w:eastAsia="Arial" w:hAnsi="Arial" w:cs="Arial"/>
          <w:spacing w:val="44"/>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z w:val="22"/>
          <w:szCs w:val="22"/>
        </w:rPr>
        <w:t xml:space="preserve">alimentación </w:t>
      </w:r>
      <w:r w:rsidRPr="00EC452A">
        <w:rPr>
          <w:rFonts w:ascii="Arial" w:eastAsia="Arial" w:hAnsi="Arial" w:cs="Arial"/>
          <w:spacing w:val="6"/>
          <w:sz w:val="22"/>
          <w:szCs w:val="22"/>
        </w:rPr>
        <w:t xml:space="preserve"> </w:t>
      </w:r>
      <w:r w:rsidRPr="00EC452A">
        <w:rPr>
          <w:rFonts w:ascii="Arial" w:eastAsia="Arial" w:hAnsi="Arial" w:cs="Arial"/>
          <w:sz w:val="22"/>
          <w:szCs w:val="22"/>
        </w:rPr>
        <w:t>y</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42"/>
          <w:sz w:val="22"/>
          <w:szCs w:val="22"/>
        </w:rPr>
        <w:t xml:space="preserve"> </w:t>
      </w:r>
      <w:r w:rsidRPr="00EC452A">
        <w:rPr>
          <w:rFonts w:ascii="Arial" w:eastAsia="Arial" w:hAnsi="Arial" w:cs="Arial"/>
          <w:sz w:val="22"/>
          <w:szCs w:val="22"/>
        </w:rPr>
        <w:t>la</w:t>
      </w:r>
      <w:r w:rsidRPr="00EC452A">
        <w:rPr>
          <w:rFonts w:ascii="Arial" w:eastAsia="Arial" w:hAnsi="Arial" w:cs="Arial"/>
          <w:spacing w:val="41"/>
          <w:sz w:val="22"/>
          <w:szCs w:val="22"/>
        </w:rPr>
        <w:t xml:space="preserve"> </w:t>
      </w:r>
      <w:r w:rsidRPr="00EC452A">
        <w:rPr>
          <w:rFonts w:ascii="Arial" w:eastAsia="Arial" w:hAnsi="Arial" w:cs="Arial"/>
          <w:sz w:val="22"/>
          <w:szCs w:val="22"/>
        </w:rPr>
        <w:t>industria,  así</w:t>
      </w:r>
      <w:r w:rsidRPr="00EC452A">
        <w:rPr>
          <w:rFonts w:ascii="Arial" w:eastAsia="Arial" w:hAnsi="Arial" w:cs="Arial"/>
          <w:spacing w:val="43"/>
          <w:sz w:val="22"/>
          <w:szCs w:val="22"/>
        </w:rPr>
        <w:t xml:space="preserve"> </w:t>
      </w:r>
      <w:r w:rsidRPr="00EC452A">
        <w:rPr>
          <w:rFonts w:ascii="Arial" w:eastAsia="Arial" w:hAnsi="Arial" w:cs="Arial"/>
          <w:sz w:val="22"/>
          <w:szCs w:val="22"/>
        </w:rPr>
        <w:t>como</w:t>
      </w:r>
      <w:r w:rsidRPr="00EC452A">
        <w:rPr>
          <w:rFonts w:ascii="Arial" w:eastAsia="Arial" w:hAnsi="Arial" w:cs="Arial"/>
          <w:spacing w:val="47"/>
          <w:sz w:val="22"/>
          <w:szCs w:val="22"/>
        </w:rPr>
        <w:t xml:space="preserve"> </w:t>
      </w:r>
      <w:r w:rsidRPr="00EC452A">
        <w:rPr>
          <w:rFonts w:ascii="Arial" w:eastAsia="Arial" w:hAnsi="Arial" w:cs="Arial"/>
          <w:sz w:val="22"/>
          <w:szCs w:val="22"/>
        </w:rPr>
        <w:t>el</w:t>
      </w:r>
      <w:r w:rsidRPr="00EC452A">
        <w:rPr>
          <w:rFonts w:ascii="Arial" w:eastAsia="Arial" w:hAnsi="Arial" w:cs="Arial"/>
          <w:spacing w:val="41"/>
          <w:sz w:val="22"/>
          <w:szCs w:val="22"/>
        </w:rPr>
        <w:t xml:space="preserve"> </w:t>
      </w:r>
      <w:r w:rsidRPr="00EC452A">
        <w:rPr>
          <w:rFonts w:ascii="Arial" w:eastAsia="Arial" w:hAnsi="Arial" w:cs="Arial"/>
          <w:sz w:val="22"/>
          <w:szCs w:val="22"/>
        </w:rPr>
        <w:t>abastecimiento</w:t>
      </w:r>
      <w:r w:rsidRPr="00EC452A">
        <w:rPr>
          <w:rFonts w:ascii="Arial" w:eastAsia="Arial" w:hAnsi="Arial" w:cs="Arial"/>
          <w:spacing w:val="45"/>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semillas</w:t>
      </w:r>
      <w:r w:rsidRPr="00EC452A">
        <w:rPr>
          <w:rFonts w:ascii="Arial" w:eastAsia="Arial" w:hAnsi="Arial" w:cs="Arial"/>
          <w:spacing w:val="33"/>
          <w:sz w:val="22"/>
          <w:szCs w:val="22"/>
        </w:rPr>
        <w:t xml:space="preserve"> </w:t>
      </w:r>
      <w:r w:rsidRPr="00EC452A">
        <w:rPr>
          <w:rFonts w:ascii="Arial" w:eastAsia="Arial" w:hAnsi="Arial" w:cs="Arial"/>
          <w:sz w:val="22"/>
          <w:szCs w:val="22"/>
        </w:rPr>
        <w:t>mejoradas,</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plaguicidas, </w:t>
      </w:r>
      <w:r w:rsidRPr="00EC452A">
        <w:rPr>
          <w:rFonts w:ascii="Arial" w:eastAsia="Arial" w:hAnsi="Arial" w:cs="Arial"/>
          <w:spacing w:val="-1"/>
          <w:sz w:val="22"/>
          <w:szCs w:val="22"/>
        </w:rPr>
        <w:t>fertilizante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insumo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requier</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forestal.</w:t>
      </w:r>
    </w:p>
    <w:p w14:paraId="56F077D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Comercio</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coordinació</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autorizará </w:t>
      </w:r>
      <w:r w:rsidRPr="00EC452A">
        <w:rPr>
          <w:rFonts w:ascii="Arial" w:eastAsia="Arial" w:hAnsi="Arial" w:cs="Arial"/>
          <w:sz w:val="22"/>
          <w:szCs w:val="22"/>
        </w:rPr>
        <w:t xml:space="preserve">conforme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disposiciones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legales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aplicables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importaciones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exportaciones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1"/>
          <w:sz w:val="22"/>
          <w:szCs w:val="22"/>
        </w:rPr>
        <w:t>producto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refier</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anterior.</w:t>
      </w:r>
    </w:p>
    <w:p w14:paraId="6232FEAC" w14:textId="77777777" w:rsidR="00EC452A" w:rsidRPr="00EC452A" w:rsidRDefault="00EC452A" w:rsidP="00EC452A">
      <w:pPr>
        <w:spacing w:before="100" w:beforeAutospacing="1" w:after="100" w:afterAutospacing="1" w:line="240" w:lineRule="auto"/>
        <w:jc w:val="center"/>
        <w:rPr>
          <w:rFonts w:ascii="Arial" w:eastAsia="Arial" w:hAnsi="Arial" w:cs="Arial"/>
          <w:spacing w:val="-5"/>
          <w:w w:val="102"/>
          <w:sz w:val="22"/>
          <w:szCs w:val="22"/>
        </w:rPr>
      </w:pPr>
      <w:r w:rsidRPr="00EC452A">
        <w:rPr>
          <w:rFonts w:ascii="Arial" w:eastAsia="Arial" w:hAnsi="Arial" w:cs="Arial"/>
          <w:spacing w:val="-5"/>
          <w:sz w:val="22"/>
          <w:szCs w:val="22"/>
        </w:rPr>
        <w:t>TITUL</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5"/>
          <w:w w:val="102"/>
          <w:sz w:val="22"/>
          <w:szCs w:val="22"/>
        </w:rPr>
        <w:t>SEGUNDO</w:t>
      </w:r>
    </w:p>
    <w:p w14:paraId="5960FED3"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Planeació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Programas</w:t>
      </w:r>
    </w:p>
    <w:p w14:paraId="791CC588" w14:textId="77777777" w:rsidR="00EC452A" w:rsidRPr="00EC452A" w:rsidRDefault="00EC452A" w:rsidP="00EC452A">
      <w:pPr>
        <w:spacing w:before="100" w:beforeAutospacing="1" w:after="100" w:afterAutospacing="1" w:line="240" w:lineRule="auto"/>
        <w:jc w:val="center"/>
        <w:rPr>
          <w:rFonts w:ascii="Arial" w:eastAsia="Arial" w:hAnsi="Arial" w:cs="Arial"/>
          <w:w w:val="102"/>
          <w:sz w:val="22"/>
          <w:szCs w:val="22"/>
        </w:rPr>
      </w:pPr>
      <w:r w:rsidRPr="00EC452A">
        <w:rPr>
          <w:rFonts w:ascii="Arial" w:eastAsia="Arial" w:hAnsi="Arial" w:cs="Arial"/>
          <w:spacing w:val="-3"/>
          <w:sz w:val="22"/>
          <w:szCs w:val="22"/>
        </w:rPr>
        <w:t>CAPITUL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I</w:t>
      </w:r>
    </w:p>
    <w:p w14:paraId="5FD2ED49"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Forestal</w:t>
      </w:r>
    </w:p>
    <w:p w14:paraId="39E6058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formular</w:t>
      </w:r>
      <w:r w:rsidRPr="00EC452A">
        <w:rPr>
          <w:rFonts w:ascii="Arial" w:eastAsia="Arial" w:hAnsi="Arial" w:cs="Arial"/>
          <w:sz w:val="22"/>
          <w:szCs w:val="22"/>
        </w:rPr>
        <w:t xml:space="preserve">á </w:t>
      </w:r>
      <w:r w:rsidRPr="00EC452A">
        <w:rPr>
          <w:rFonts w:ascii="Arial" w:eastAsia="Arial" w:hAnsi="Arial" w:cs="Arial"/>
          <w:spacing w:val="14"/>
          <w:sz w:val="22"/>
          <w:szCs w:val="22"/>
        </w:rPr>
        <w:t xml:space="preserve"> </w:t>
      </w:r>
      <w:r w:rsidRPr="00EC452A">
        <w:rPr>
          <w:rFonts w:ascii="Arial" w:eastAsia="Arial" w:hAnsi="Arial" w:cs="Arial"/>
          <w:sz w:val="22"/>
          <w:szCs w:val="22"/>
        </w:rPr>
        <w:t>y</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someter</w:t>
      </w:r>
      <w:r w:rsidRPr="00EC452A">
        <w:rPr>
          <w:rFonts w:ascii="Arial" w:eastAsia="Arial" w:hAnsi="Arial" w:cs="Arial"/>
          <w:sz w:val="22"/>
          <w:szCs w:val="22"/>
        </w:rPr>
        <w:t xml:space="preserve">á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consideració</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Ejecutiv</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fijado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Reglamento</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Agropecuario </w:t>
      </w:r>
      <w:r w:rsidRPr="00EC452A">
        <w:rPr>
          <w:rFonts w:ascii="Arial" w:eastAsia="Arial" w:hAnsi="Arial" w:cs="Arial"/>
          <w:w w:val="102"/>
          <w:sz w:val="22"/>
          <w:szCs w:val="22"/>
        </w:rPr>
        <w:t>y</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Forestal</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Dich</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contemplar</w:t>
      </w:r>
      <w:r w:rsidRPr="00EC452A">
        <w:rPr>
          <w:rFonts w:ascii="Arial" w:eastAsia="Arial" w:hAnsi="Arial" w:cs="Arial"/>
          <w:sz w:val="22"/>
          <w:szCs w:val="22"/>
        </w:rPr>
        <w:t>á</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horizont</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derivars</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anuale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completars</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z w:val="22"/>
          <w:szCs w:val="22"/>
        </w:rPr>
        <w:t>bases</w:t>
      </w:r>
      <w:r w:rsidRPr="00EC452A">
        <w:rPr>
          <w:rFonts w:ascii="Arial" w:eastAsia="Arial" w:hAnsi="Arial" w:cs="Arial"/>
          <w:spacing w:val="42"/>
          <w:sz w:val="22"/>
          <w:szCs w:val="22"/>
        </w:rPr>
        <w:t xml:space="preserve"> </w:t>
      </w:r>
      <w:r w:rsidRPr="00EC452A">
        <w:rPr>
          <w:rFonts w:ascii="Arial" w:eastAsia="Arial" w:hAnsi="Arial" w:cs="Arial"/>
          <w:sz w:val="22"/>
          <w:szCs w:val="22"/>
        </w:rPr>
        <w:t>de</w:t>
      </w:r>
      <w:r w:rsidRPr="00EC452A">
        <w:rPr>
          <w:rFonts w:ascii="Arial" w:eastAsia="Arial" w:hAnsi="Arial" w:cs="Arial"/>
          <w:spacing w:val="36"/>
          <w:sz w:val="22"/>
          <w:szCs w:val="22"/>
        </w:rPr>
        <w:t xml:space="preserve"> </w:t>
      </w:r>
      <w:r w:rsidRPr="00EC452A">
        <w:rPr>
          <w:rFonts w:ascii="Arial" w:eastAsia="Arial" w:hAnsi="Arial" w:cs="Arial"/>
          <w:sz w:val="22"/>
          <w:szCs w:val="22"/>
        </w:rPr>
        <w:t>la</w:t>
      </w:r>
      <w:r w:rsidRPr="00EC452A">
        <w:rPr>
          <w:rFonts w:ascii="Arial" w:eastAsia="Arial" w:hAnsi="Arial" w:cs="Arial"/>
          <w:spacing w:val="35"/>
          <w:sz w:val="22"/>
          <w:szCs w:val="22"/>
        </w:rPr>
        <w:t xml:space="preserve"> </w:t>
      </w:r>
      <w:r w:rsidRPr="00EC452A">
        <w:rPr>
          <w:rFonts w:ascii="Arial" w:eastAsia="Arial" w:hAnsi="Arial" w:cs="Arial"/>
          <w:sz w:val="22"/>
          <w:szCs w:val="22"/>
        </w:rPr>
        <w:t>estrategia</w:t>
      </w:r>
      <w:r w:rsidRPr="00EC452A">
        <w:rPr>
          <w:rFonts w:ascii="Arial" w:eastAsia="Arial" w:hAnsi="Arial" w:cs="Arial"/>
          <w:spacing w:val="48"/>
          <w:sz w:val="22"/>
          <w:szCs w:val="22"/>
        </w:rPr>
        <w:t xml:space="preserve"> </w:t>
      </w:r>
      <w:r w:rsidRPr="00EC452A">
        <w:rPr>
          <w:rFonts w:ascii="Arial" w:eastAsia="Arial" w:hAnsi="Arial" w:cs="Arial"/>
          <w:sz w:val="22"/>
          <w:szCs w:val="22"/>
        </w:rPr>
        <w:t>sectorial</w:t>
      </w:r>
      <w:r w:rsidRPr="00EC452A">
        <w:rPr>
          <w:rFonts w:ascii="Arial" w:eastAsia="Arial" w:hAnsi="Arial" w:cs="Arial"/>
          <w:spacing w:val="46"/>
          <w:sz w:val="22"/>
          <w:szCs w:val="22"/>
        </w:rPr>
        <w:t xml:space="preserve"> </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z w:val="22"/>
          <w:szCs w:val="22"/>
        </w:rPr>
        <w:t>largo</w:t>
      </w:r>
      <w:r w:rsidRPr="00EC452A">
        <w:rPr>
          <w:rFonts w:ascii="Arial" w:eastAsia="Arial" w:hAnsi="Arial" w:cs="Arial"/>
          <w:spacing w:val="40"/>
          <w:sz w:val="22"/>
          <w:szCs w:val="22"/>
        </w:rPr>
        <w:t xml:space="preserve"> </w:t>
      </w:r>
      <w:r w:rsidRPr="00EC452A">
        <w:rPr>
          <w:rFonts w:ascii="Arial" w:eastAsia="Arial" w:hAnsi="Arial" w:cs="Arial"/>
          <w:sz w:val="22"/>
          <w:szCs w:val="22"/>
        </w:rPr>
        <w:t>plazo,</w:t>
      </w:r>
      <w:r w:rsidRPr="00EC452A">
        <w:rPr>
          <w:rFonts w:ascii="Arial" w:eastAsia="Arial" w:hAnsi="Arial" w:cs="Arial"/>
          <w:spacing w:val="42"/>
          <w:sz w:val="22"/>
          <w:szCs w:val="22"/>
        </w:rPr>
        <w:t xml:space="preserve"> </w:t>
      </w:r>
      <w:r w:rsidRPr="00EC452A">
        <w:rPr>
          <w:rFonts w:ascii="Arial" w:eastAsia="Arial" w:hAnsi="Arial" w:cs="Arial"/>
          <w:sz w:val="22"/>
          <w:szCs w:val="22"/>
        </w:rPr>
        <w:t>revisable</w:t>
      </w:r>
      <w:r w:rsidRPr="00EC452A">
        <w:rPr>
          <w:rFonts w:ascii="Arial" w:eastAsia="Arial" w:hAnsi="Arial" w:cs="Arial"/>
          <w:spacing w:val="47"/>
          <w:sz w:val="22"/>
          <w:szCs w:val="22"/>
        </w:rPr>
        <w:t xml:space="preserve"> </w:t>
      </w:r>
      <w:r w:rsidRPr="00EC452A">
        <w:rPr>
          <w:rFonts w:ascii="Arial" w:eastAsia="Arial" w:hAnsi="Arial" w:cs="Arial"/>
          <w:sz w:val="22"/>
          <w:szCs w:val="22"/>
        </w:rPr>
        <w:t>cada</w:t>
      </w:r>
      <w:r w:rsidRPr="00EC452A">
        <w:rPr>
          <w:rFonts w:ascii="Arial" w:eastAsia="Arial" w:hAnsi="Arial" w:cs="Arial"/>
          <w:spacing w:val="40"/>
          <w:sz w:val="22"/>
          <w:szCs w:val="22"/>
        </w:rPr>
        <w:t xml:space="preserve"> </w:t>
      </w:r>
      <w:r w:rsidRPr="00EC452A">
        <w:rPr>
          <w:rFonts w:ascii="Arial" w:eastAsia="Arial" w:hAnsi="Arial" w:cs="Arial"/>
          <w:w w:val="102"/>
          <w:sz w:val="22"/>
          <w:szCs w:val="22"/>
        </w:rPr>
        <w:t xml:space="preserve">seis </w:t>
      </w:r>
      <w:r w:rsidRPr="00EC452A">
        <w:rPr>
          <w:rFonts w:ascii="Arial" w:eastAsia="Arial" w:hAnsi="Arial" w:cs="Arial"/>
          <w:spacing w:val="1"/>
          <w:w w:val="102"/>
          <w:sz w:val="22"/>
          <w:szCs w:val="22"/>
        </w:rPr>
        <w:t>años.</w:t>
      </w:r>
    </w:p>
    <w:p w14:paraId="486ED71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efecto</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est</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Reglamento</w:t>
      </w:r>
      <w:r w:rsidRPr="00EC452A">
        <w:rPr>
          <w:rFonts w:ascii="Arial" w:eastAsia="Arial" w:hAnsi="Arial" w:cs="Arial"/>
          <w:sz w:val="22"/>
          <w:szCs w:val="22"/>
        </w:rPr>
        <w:t xml:space="preserve">,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larg</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plaz</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comprender</w:t>
      </w:r>
      <w:r w:rsidRPr="00EC452A">
        <w:rPr>
          <w:rFonts w:ascii="Arial" w:eastAsia="Arial" w:hAnsi="Arial" w:cs="Arial"/>
          <w:sz w:val="22"/>
          <w:szCs w:val="22"/>
        </w:rPr>
        <w:t xml:space="preserve">á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períod</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meno</w:t>
      </w:r>
      <w:r w:rsidRPr="00EC452A">
        <w:rPr>
          <w:rFonts w:ascii="Arial" w:eastAsia="Arial" w:hAnsi="Arial" w:cs="Arial"/>
          <w:sz w:val="22"/>
          <w:szCs w:val="22"/>
        </w:rPr>
        <w:t xml:space="preserve">r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2"/>
          <w:w w:val="102"/>
          <w:sz w:val="22"/>
          <w:szCs w:val="22"/>
        </w:rPr>
        <w:t xml:space="preserve">10 </w:t>
      </w:r>
      <w:r w:rsidRPr="00EC452A">
        <w:rPr>
          <w:rFonts w:ascii="Arial" w:eastAsia="Arial" w:hAnsi="Arial" w:cs="Arial"/>
          <w:spacing w:val="-2"/>
          <w:sz w:val="22"/>
          <w:szCs w:val="22"/>
        </w:rPr>
        <w:t>años</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cort</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plaz</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períod</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igua</w:t>
      </w:r>
      <w:r w:rsidRPr="00EC452A">
        <w:rPr>
          <w:rFonts w:ascii="Arial" w:eastAsia="Arial" w:hAnsi="Arial" w:cs="Arial"/>
          <w:sz w:val="22"/>
          <w:szCs w:val="22"/>
        </w:rPr>
        <w:t>l</w:t>
      </w:r>
      <w:r w:rsidRPr="00EC452A">
        <w:rPr>
          <w:rFonts w:ascii="Arial" w:eastAsia="Arial" w:hAnsi="Arial" w:cs="Arial"/>
          <w:spacing w:val="38"/>
          <w:sz w:val="22"/>
          <w:szCs w:val="22"/>
        </w:rPr>
        <w:t xml:space="preserve"> </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meno</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añ</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median</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plaz</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períod</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igua</w:t>
      </w:r>
      <w:r w:rsidRPr="00EC452A">
        <w:rPr>
          <w:rFonts w:ascii="Arial" w:eastAsia="Arial" w:hAnsi="Arial" w:cs="Arial"/>
          <w:sz w:val="22"/>
          <w:szCs w:val="22"/>
        </w:rPr>
        <w:t>l</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pacing w:val="-1"/>
          <w:sz w:val="22"/>
          <w:szCs w:val="22"/>
        </w:rPr>
        <w:t>meno</w:t>
      </w:r>
      <w:r w:rsidRPr="00EC452A">
        <w:rPr>
          <w:rFonts w:ascii="Arial" w:eastAsia="Arial" w:hAnsi="Arial" w:cs="Arial"/>
          <w:sz w:val="22"/>
          <w:szCs w:val="22"/>
        </w:rPr>
        <w:t>r</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añ</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median</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períod</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intermedi</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señalados.</w:t>
      </w:r>
    </w:p>
    <w:p w14:paraId="5F3F9A4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Foresta</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fijará</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concordanci</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con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Pla</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Globa</w:t>
      </w:r>
      <w:r w:rsidRPr="00EC452A">
        <w:rPr>
          <w:rFonts w:ascii="Arial" w:eastAsia="Arial" w:hAnsi="Arial" w:cs="Arial"/>
          <w:sz w:val="22"/>
          <w:szCs w:val="22"/>
        </w:rPr>
        <w:t xml:space="preserve">l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Desarroll</w:t>
      </w:r>
      <w:r w:rsidRPr="00EC452A">
        <w:rPr>
          <w:rFonts w:ascii="Arial" w:eastAsia="Arial" w:hAnsi="Arial" w:cs="Arial"/>
          <w:sz w:val="22"/>
          <w:szCs w:val="22"/>
        </w:rPr>
        <w:t xml:space="preserve">o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vigente</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objetivo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específico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desarroll</w:t>
      </w:r>
      <w:r w:rsidRPr="00EC452A">
        <w:rPr>
          <w:rFonts w:ascii="Arial" w:eastAsia="Arial" w:hAnsi="Arial" w:cs="Arial"/>
          <w:sz w:val="22"/>
          <w:szCs w:val="22"/>
        </w:rPr>
        <w:t xml:space="preserve">o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2"/>
          <w:w w:val="102"/>
          <w:sz w:val="22"/>
          <w:szCs w:val="22"/>
        </w:rPr>
        <w:t xml:space="preserve">proponga </w:t>
      </w:r>
      <w:r w:rsidRPr="00EC452A">
        <w:rPr>
          <w:rFonts w:ascii="Arial" w:eastAsia="Arial" w:hAnsi="Arial" w:cs="Arial"/>
          <w:sz w:val="22"/>
          <w:szCs w:val="22"/>
        </w:rPr>
        <w:t xml:space="preserve">lograr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
          <w:sz w:val="22"/>
          <w:szCs w:val="22"/>
        </w:rPr>
        <w:t xml:space="preserve"> </w:t>
      </w:r>
      <w:r w:rsidRPr="00EC452A">
        <w:rPr>
          <w:rFonts w:ascii="Arial" w:eastAsia="Arial" w:hAnsi="Arial" w:cs="Arial"/>
          <w:sz w:val="22"/>
          <w:szCs w:val="22"/>
        </w:rPr>
        <w:t>el</w:t>
      </w:r>
      <w:r w:rsidRPr="00EC452A">
        <w:rPr>
          <w:rFonts w:ascii="Arial" w:eastAsia="Arial" w:hAnsi="Arial" w:cs="Arial"/>
          <w:spacing w:val="53"/>
          <w:sz w:val="22"/>
          <w:szCs w:val="22"/>
        </w:rPr>
        <w:t xml:space="preserve"> </w:t>
      </w:r>
      <w:r w:rsidRPr="00EC452A">
        <w:rPr>
          <w:rFonts w:ascii="Arial" w:eastAsia="Arial" w:hAnsi="Arial" w:cs="Arial"/>
          <w:sz w:val="22"/>
          <w:szCs w:val="22"/>
        </w:rPr>
        <w:t xml:space="preserve">período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contemplado,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así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como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estrategias,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políticas </w:t>
      </w:r>
      <w:r w:rsidRPr="00EC452A">
        <w:rPr>
          <w:rFonts w:ascii="Arial" w:eastAsia="Arial" w:hAnsi="Arial" w:cs="Arial"/>
          <w:spacing w:val="11"/>
          <w:sz w:val="22"/>
          <w:szCs w:val="22"/>
        </w:rPr>
        <w:t xml:space="preserve"> </w:t>
      </w:r>
      <w:r w:rsidRPr="00EC452A">
        <w:rPr>
          <w:rFonts w:ascii="Arial" w:eastAsia="Arial" w:hAnsi="Arial" w:cs="Arial"/>
          <w:sz w:val="22"/>
          <w:szCs w:val="22"/>
        </w:rPr>
        <w:t>y</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metas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intermedias </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 xml:space="preserve">finales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habrán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alcanzarse,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con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una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estimación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recursos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humanos, </w:t>
      </w:r>
      <w:r w:rsidRPr="00EC452A">
        <w:rPr>
          <w:rFonts w:ascii="Arial" w:eastAsia="Arial" w:hAnsi="Arial" w:cs="Arial"/>
          <w:spacing w:val="47"/>
          <w:sz w:val="22"/>
          <w:szCs w:val="22"/>
        </w:rPr>
        <w:t xml:space="preserve"> </w:t>
      </w:r>
      <w:r w:rsidRPr="00EC452A">
        <w:rPr>
          <w:rFonts w:ascii="Arial" w:eastAsia="Arial" w:hAnsi="Arial" w:cs="Arial"/>
          <w:w w:val="102"/>
          <w:sz w:val="22"/>
          <w:szCs w:val="22"/>
        </w:rPr>
        <w:t xml:space="preserve">físicos </w:t>
      </w:r>
      <w:r w:rsidRPr="00EC452A">
        <w:rPr>
          <w:rFonts w:ascii="Arial" w:eastAsia="Arial" w:hAnsi="Arial" w:cs="Arial"/>
          <w:sz w:val="22"/>
          <w:szCs w:val="22"/>
        </w:rPr>
        <w:t>tecnológicos</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financieros</w:t>
      </w:r>
      <w:r w:rsidRPr="00EC452A">
        <w:rPr>
          <w:rFonts w:ascii="Arial" w:eastAsia="Arial" w:hAnsi="Arial" w:cs="Arial"/>
          <w:spacing w:val="25"/>
          <w:sz w:val="22"/>
          <w:szCs w:val="22"/>
        </w:rPr>
        <w:t xml:space="preserve"> </w:t>
      </w:r>
      <w:r w:rsidRPr="00EC452A">
        <w:rPr>
          <w:rFonts w:ascii="Arial" w:eastAsia="Arial" w:hAnsi="Arial" w:cs="Arial"/>
          <w:sz w:val="22"/>
          <w:szCs w:val="22"/>
        </w:rPr>
        <w:t>necesarios</w:t>
      </w:r>
      <w:r w:rsidRPr="00EC452A">
        <w:rPr>
          <w:rFonts w:ascii="Arial" w:eastAsia="Arial" w:hAnsi="Arial" w:cs="Arial"/>
          <w:spacing w:val="25"/>
          <w:sz w:val="22"/>
          <w:szCs w:val="22"/>
        </w:rPr>
        <w:t xml:space="preserve">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realización</w:t>
      </w:r>
      <w:r w:rsidRPr="00EC452A">
        <w:rPr>
          <w:rFonts w:ascii="Arial" w:eastAsia="Arial" w:hAnsi="Arial" w:cs="Arial"/>
          <w:spacing w:val="25"/>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Pla</w:t>
      </w:r>
      <w:r w:rsidRPr="00EC452A">
        <w:rPr>
          <w:rFonts w:ascii="Arial" w:eastAsia="Arial" w:hAnsi="Arial" w:cs="Arial"/>
          <w:spacing w:val="-6"/>
          <w:w w:val="102"/>
          <w:sz w:val="22"/>
          <w:szCs w:val="22"/>
        </w:rPr>
        <w:t>n.</w:t>
      </w:r>
    </w:p>
    <w:p w14:paraId="260D68D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contendr</w:t>
      </w:r>
      <w:r w:rsidRPr="00EC452A">
        <w:rPr>
          <w:rFonts w:ascii="Arial" w:eastAsia="Arial" w:hAnsi="Arial" w:cs="Arial"/>
          <w:sz w:val="22"/>
          <w:szCs w:val="22"/>
        </w:rPr>
        <w:t>á</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Plan</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queda</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comprendido</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siguientes:</w:t>
      </w:r>
    </w:p>
    <w:p w14:paraId="6B7C9111"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I</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contribució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secto</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propósito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generale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Globa</w:t>
      </w:r>
      <w:r w:rsidRPr="00EC452A">
        <w:rPr>
          <w:rFonts w:ascii="Arial" w:eastAsia="Arial" w:hAnsi="Arial" w:cs="Arial"/>
          <w:sz w:val="22"/>
          <w:szCs w:val="22"/>
        </w:rPr>
        <w:t>l</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vigente.</w:t>
      </w:r>
    </w:p>
    <w:p w14:paraId="24D62E8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específica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materi</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forestal.</w:t>
      </w:r>
    </w:p>
    <w:p w14:paraId="47C342D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7"/>
          <w:sz w:val="22"/>
          <w:szCs w:val="22"/>
        </w:rPr>
        <w:t>L</w:t>
      </w:r>
      <w:r w:rsidRPr="00EC452A">
        <w:rPr>
          <w:rFonts w:ascii="Arial" w:eastAsia="Arial" w:hAnsi="Arial" w:cs="Arial"/>
          <w:sz w:val="22"/>
          <w:szCs w:val="22"/>
        </w:rPr>
        <w:t>as</w:t>
      </w:r>
      <w:r w:rsidRPr="00EC452A">
        <w:rPr>
          <w:rFonts w:ascii="Arial" w:eastAsia="Arial" w:hAnsi="Arial" w:cs="Arial"/>
          <w:spacing w:val="13"/>
          <w:sz w:val="22"/>
          <w:szCs w:val="22"/>
        </w:rPr>
        <w:t xml:space="preserve"> </w:t>
      </w:r>
      <w:r w:rsidRPr="00EC452A">
        <w:rPr>
          <w:rFonts w:ascii="Arial" w:eastAsia="Arial" w:hAnsi="Arial" w:cs="Arial"/>
          <w:sz w:val="22"/>
          <w:szCs w:val="22"/>
        </w:rPr>
        <w:t>acciones</w:t>
      </w:r>
      <w:r w:rsidRPr="00EC452A">
        <w:rPr>
          <w:rFonts w:ascii="Arial" w:eastAsia="Arial" w:hAnsi="Arial" w:cs="Arial"/>
          <w:spacing w:val="22"/>
          <w:sz w:val="22"/>
          <w:szCs w:val="22"/>
        </w:rPr>
        <w:t xml:space="preserve"> </w:t>
      </w:r>
      <w:r w:rsidRPr="00EC452A">
        <w:rPr>
          <w:rFonts w:ascii="Arial" w:eastAsia="Arial" w:hAnsi="Arial" w:cs="Arial"/>
          <w:sz w:val="22"/>
          <w:szCs w:val="22"/>
        </w:rPr>
        <w:t>específicas</w:t>
      </w:r>
      <w:r w:rsidRPr="00EC452A">
        <w:rPr>
          <w:rFonts w:ascii="Arial" w:eastAsia="Arial" w:hAnsi="Arial" w:cs="Arial"/>
          <w:spacing w:val="26"/>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desprendan</w:t>
      </w:r>
      <w:r w:rsidRPr="00EC452A">
        <w:rPr>
          <w:rFonts w:ascii="Arial" w:eastAsia="Arial" w:hAnsi="Arial" w:cs="Arial"/>
          <w:spacing w:val="27"/>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diagnóstico</w:t>
      </w:r>
      <w:r w:rsidRPr="00EC452A">
        <w:rPr>
          <w:rFonts w:ascii="Arial" w:eastAsia="Arial" w:hAnsi="Arial" w:cs="Arial"/>
          <w:spacing w:val="26"/>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sector.</w:t>
      </w:r>
    </w:p>
    <w:p w14:paraId="28E6FCA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elaboració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anteproyect</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Agropecuario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Forestal</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recabar</w:t>
      </w:r>
      <w:r w:rsidRPr="00EC452A">
        <w:rPr>
          <w:rFonts w:ascii="Arial" w:eastAsia="Arial" w:hAnsi="Arial" w:cs="Arial"/>
          <w:sz w:val="22"/>
          <w:szCs w:val="22"/>
        </w:rPr>
        <w:t>á</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informació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adecuad</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considerando:</w:t>
      </w:r>
    </w:p>
    <w:p w14:paraId="407688E0" w14:textId="77777777" w:rsidR="00EC452A" w:rsidRPr="00EC452A" w:rsidRDefault="00EC452A" w:rsidP="00EC452A">
      <w:pPr>
        <w:spacing w:before="100" w:beforeAutospacing="1" w:after="100" w:afterAutospacing="1" w:line="240" w:lineRule="auto"/>
        <w:jc w:val="both"/>
        <w:rPr>
          <w:rFonts w:ascii="Arial" w:eastAsia="Arial" w:hAnsi="Arial" w:cs="Arial"/>
          <w:w w:val="102"/>
          <w:sz w:val="22"/>
          <w:szCs w:val="22"/>
        </w:rPr>
      </w:pP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z w:val="22"/>
          <w:szCs w:val="22"/>
        </w:rPr>
        <w:t>Las</w:t>
      </w:r>
      <w:r w:rsidRPr="00EC452A">
        <w:rPr>
          <w:rFonts w:ascii="Arial" w:eastAsia="Arial" w:hAnsi="Arial" w:cs="Arial"/>
          <w:spacing w:val="13"/>
          <w:sz w:val="22"/>
          <w:szCs w:val="22"/>
        </w:rPr>
        <w:t xml:space="preserve"> </w:t>
      </w:r>
      <w:r w:rsidRPr="00EC452A">
        <w:rPr>
          <w:rFonts w:ascii="Arial" w:eastAsia="Arial" w:hAnsi="Arial" w:cs="Arial"/>
          <w:sz w:val="22"/>
          <w:szCs w:val="22"/>
        </w:rPr>
        <w:t>necesidades</w:t>
      </w:r>
      <w:r w:rsidRPr="00EC452A">
        <w:rPr>
          <w:rFonts w:ascii="Arial" w:eastAsia="Arial" w:hAnsi="Arial" w:cs="Arial"/>
          <w:spacing w:val="28"/>
          <w:sz w:val="22"/>
          <w:szCs w:val="22"/>
        </w:rPr>
        <w:t xml:space="preserve"> </w:t>
      </w:r>
      <w:r w:rsidRPr="00EC452A">
        <w:rPr>
          <w:rFonts w:ascii="Arial" w:eastAsia="Arial" w:hAnsi="Arial" w:cs="Arial"/>
          <w:sz w:val="22"/>
          <w:szCs w:val="22"/>
        </w:rPr>
        <w:t>alimenticias</w:t>
      </w:r>
      <w:r w:rsidRPr="00EC452A">
        <w:rPr>
          <w:rFonts w:ascii="Arial" w:eastAsia="Arial" w:hAnsi="Arial" w:cs="Arial"/>
          <w:spacing w:val="27"/>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población</w:t>
      </w:r>
      <w:r w:rsidRPr="00EC452A">
        <w:rPr>
          <w:rFonts w:ascii="Arial" w:eastAsia="Arial" w:hAnsi="Arial" w:cs="Arial"/>
          <w:spacing w:val="23"/>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país.</w:t>
      </w:r>
    </w:p>
    <w:p w14:paraId="1E6DD1C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requerimiento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industria.</w:t>
      </w:r>
    </w:p>
    <w:p w14:paraId="7616191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III</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susceptibl</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exportación.</w:t>
      </w:r>
    </w:p>
    <w:p w14:paraId="48CE222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IV.</w:t>
      </w:r>
      <w:r w:rsidRPr="00EC452A">
        <w:rPr>
          <w:rFonts w:ascii="Arial" w:eastAsia="Arial" w:hAnsi="Arial" w:cs="Arial"/>
          <w:spacing w:val="12"/>
          <w:sz w:val="22"/>
          <w:szCs w:val="22"/>
        </w:rPr>
        <w:t xml:space="preserve"> </w:t>
      </w:r>
      <w:r w:rsidRPr="00EC452A">
        <w:rPr>
          <w:rFonts w:ascii="Arial" w:eastAsia="Arial" w:hAnsi="Arial" w:cs="Arial"/>
          <w:sz w:val="22"/>
          <w:szCs w:val="22"/>
        </w:rPr>
        <w:t>La</w:t>
      </w:r>
      <w:r w:rsidRPr="00EC452A">
        <w:rPr>
          <w:rFonts w:ascii="Arial" w:eastAsia="Arial" w:hAnsi="Arial" w:cs="Arial"/>
          <w:spacing w:val="11"/>
          <w:sz w:val="22"/>
          <w:szCs w:val="22"/>
        </w:rPr>
        <w:t xml:space="preserve"> </w:t>
      </w:r>
      <w:r w:rsidRPr="00EC452A">
        <w:rPr>
          <w:rFonts w:ascii="Arial" w:eastAsia="Arial" w:hAnsi="Arial" w:cs="Arial"/>
          <w:sz w:val="22"/>
          <w:szCs w:val="22"/>
        </w:rPr>
        <w:t>disponibilidad</w:t>
      </w:r>
      <w:r w:rsidRPr="00EC452A">
        <w:rPr>
          <w:rFonts w:ascii="Arial" w:eastAsia="Arial" w:hAnsi="Arial" w:cs="Arial"/>
          <w:spacing w:val="3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recursos</w:t>
      </w:r>
      <w:r w:rsidRPr="00EC452A">
        <w:rPr>
          <w:rFonts w:ascii="Arial" w:eastAsia="Arial" w:hAnsi="Arial" w:cs="Arial"/>
          <w:spacing w:val="22"/>
          <w:sz w:val="22"/>
          <w:szCs w:val="22"/>
        </w:rPr>
        <w:t xml:space="preserve"> </w:t>
      </w:r>
      <w:r w:rsidRPr="00EC452A">
        <w:rPr>
          <w:rFonts w:ascii="Arial" w:eastAsia="Arial" w:hAnsi="Arial" w:cs="Arial"/>
          <w:sz w:val="22"/>
          <w:szCs w:val="22"/>
        </w:rPr>
        <w:t>humanos,</w:t>
      </w:r>
      <w:r w:rsidRPr="00EC452A">
        <w:rPr>
          <w:rFonts w:ascii="Arial" w:eastAsia="Arial" w:hAnsi="Arial" w:cs="Arial"/>
          <w:spacing w:val="24"/>
          <w:sz w:val="22"/>
          <w:szCs w:val="22"/>
        </w:rPr>
        <w:t xml:space="preserve"> </w:t>
      </w:r>
      <w:r w:rsidRPr="00EC452A">
        <w:rPr>
          <w:rFonts w:ascii="Arial" w:eastAsia="Arial" w:hAnsi="Arial" w:cs="Arial"/>
          <w:sz w:val="22"/>
          <w:szCs w:val="22"/>
        </w:rPr>
        <w:t>físicos,</w:t>
      </w:r>
      <w:r w:rsidRPr="00EC452A">
        <w:rPr>
          <w:rFonts w:ascii="Arial" w:eastAsia="Arial" w:hAnsi="Arial" w:cs="Arial"/>
          <w:spacing w:val="19"/>
          <w:sz w:val="22"/>
          <w:szCs w:val="22"/>
        </w:rPr>
        <w:t xml:space="preserve"> </w:t>
      </w:r>
      <w:r w:rsidRPr="00EC452A">
        <w:rPr>
          <w:rFonts w:ascii="Arial" w:eastAsia="Arial" w:hAnsi="Arial" w:cs="Arial"/>
          <w:sz w:val="22"/>
          <w:szCs w:val="22"/>
        </w:rPr>
        <w:t>tecnológicos</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 xml:space="preserve">financieros. </w:t>
      </w:r>
      <w:r w:rsidRPr="00EC452A">
        <w:rPr>
          <w:rFonts w:ascii="Arial" w:eastAsia="Arial" w:hAnsi="Arial" w:cs="Arial"/>
          <w:spacing w:val="-1"/>
          <w:sz w:val="22"/>
          <w:szCs w:val="22"/>
        </w:rPr>
        <w:t>V</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posibilidade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aprovechamient</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óptim</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z w:val="22"/>
          <w:szCs w:val="22"/>
        </w:rPr>
        <w:t>de</w:t>
      </w:r>
      <w:r w:rsidRPr="00EC452A">
        <w:rPr>
          <w:rFonts w:ascii="Arial" w:eastAsia="Arial" w:hAnsi="Arial" w:cs="Arial"/>
          <w:spacing w:val="12"/>
          <w:sz w:val="22"/>
          <w:szCs w:val="22"/>
        </w:rPr>
        <w:t xml:space="preserve"> </w:t>
      </w:r>
      <w:r w:rsidRPr="00EC452A">
        <w:rPr>
          <w:rFonts w:ascii="Arial" w:eastAsia="Arial" w:hAnsi="Arial" w:cs="Arial"/>
          <w:sz w:val="22"/>
          <w:szCs w:val="22"/>
        </w:rPr>
        <w:t>dichos</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recursos.</w:t>
      </w:r>
    </w:p>
    <w:p w14:paraId="27005FF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VI</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problema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tenenci</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tierr</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derecho</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agua</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diferente</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regione</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2"/>
          <w:w w:val="102"/>
          <w:sz w:val="22"/>
          <w:szCs w:val="22"/>
        </w:rPr>
        <w:t>distritos.</w:t>
      </w:r>
    </w:p>
    <w:p w14:paraId="546EA35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VII.</w:t>
      </w:r>
      <w:r w:rsidRPr="00EC452A">
        <w:rPr>
          <w:rFonts w:ascii="Arial" w:eastAsia="Arial" w:hAnsi="Arial" w:cs="Arial"/>
          <w:spacing w:val="13"/>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sz w:val="22"/>
          <w:szCs w:val="22"/>
        </w:rPr>
        <w:t>establecimiento,</w:t>
      </w:r>
      <w:r w:rsidRPr="00EC452A">
        <w:rPr>
          <w:rFonts w:ascii="Arial" w:eastAsia="Arial" w:hAnsi="Arial" w:cs="Arial"/>
          <w:spacing w:val="34"/>
          <w:sz w:val="22"/>
          <w:szCs w:val="22"/>
        </w:rPr>
        <w:t xml:space="preserve"> </w:t>
      </w:r>
      <w:r w:rsidRPr="00EC452A">
        <w:rPr>
          <w:rFonts w:ascii="Arial" w:eastAsia="Arial" w:hAnsi="Arial" w:cs="Arial"/>
          <w:sz w:val="22"/>
          <w:szCs w:val="22"/>
        </w:rPr>
        <w:t>complementación</w:t>
      </w:r>
      <w:r w:rsidRPr="00EC452A">
        <w:rPr>
          <w:rFonts w:ascii="Arial" w:eastAsia="Arial" w:hAnsi="Arial" w:cs="Arial"/>
          <w:spacing w:val="37"/>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z w:val="22"/>
          <w:szCs w:val="22"/>
        </w:rPr>
        <w:t>mejoría</w:t>
      </w:r>
      <w:r w:rsidRPr="00EC452A">
        <w:rPr>
          <w:rFonts w:ascii="Arial" w:eastAsia="Arial" w:hAnsi="Arial" w:cs="Arial"/>
          <w:spacing w:val="2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agroindustrias.</w:t>
      </w:r>
    </w:p>
    <w:p w14:paraId="337CBF7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VIII</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potencialida</w:t>
      </w:r>
      <w:r w:rsidRPr="00EC452A">
        <w:rPr>
          <w:rFonts w:ascii="Arial" w:eastAsia="Arial" w:hAnsi="Arial" w:cs="Arial"/>
          <w:sz w:val="22"/>
          <w:szCs w:val="22"/>
        </w:rPr>
        <w:t>d</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característica</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productiva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tierras.</w:t>
      </w:r>
    </w:p>
    <w:p w14:paraId="53CAB616" w14:textId="77777777" w:rsidR="00EC452A" w:rsidRPr="00EC452A" w:rsidRDefault="00EC452A" w:rsidP="00EC452A">
      <w:pPr>
        <w:spacing w:before="100" w:beforeAutospacing="1" w:after="100" w:afterAutospacing="1" w:line="240" w:lineRule="auto"/>
        <w:jc w:val="both"/>
        <w:rPr>
          <w:rFonts w:ascii="Arial" w:eastAsia="Arial" w:hAnsi="Arial" w:cs="Arial"/>
          <w:spacing w:val="-4"/>
          <w:w w:val="102"/>
          <w:sz w:val="22"/>
          <w:szCs w:val="22"/>
        </w:rPr>
      </w:pPr>
      <w:r w:rsidRPr="00EC452A">
        <w:rPr>
          <w:rFonts w:ascii="Arial" w:eastAsia="Arial" w:hAnsi="Arial" w:cs="Arial"/>
          <w:sz w:val="22"/>
          <w:szCs w:val="22"/>
        </w:rPr>
        <w:t>IX.</w:t>
      </w:r>
      <w:r w:rsidRPr="00EC452A">
        <w:rPr>
          <w:rFonts w:ascii="Arial" w:eastAsia="Arial" w:hAnsi="Arial" w:cs="Arial"/>
          <w:spacing w:val="23"/>
          <w:sz w:val="22"/>
          <w:szCs w:val="22"/>
        </w:rPr>
        <w:t xml:space="preserve"> </w:t>
      </w:r>
      <w:r w:rsidRPr="00EC452A">
        <w:rPr>
          <w:rFonts w:ascii="Arial" w:eastAsia="Arial" w:hAnsi="Arial" w:cs="Arial"/>
          <w:sz w:val="22"/>
          <w:szCs w:val="22"/>
        </w:rPr>
        <w:t>Las</w:t>
      </w:r>
      <w:r w:rsidRPr="00EC452A">
        <w:rPr>
          <w:rFonts w:ascii="Arial" w:eastAsia="Arial" w:hAnsi="Arial" w:cs="Arial"/>
          <w:spacing w:val="24"/>
          <w:sz w:val="22"/>
          <w:szCs w:val="22"/>
        </w:rPr>
        <w:t xml:space="preserve"> </w:t>
      </w:r>
      <w:r w:rsidRPr="00EC452A">
        <w:rPr>
          <w:rFonts w:ascii="Arial" w:eastAsia="Arial" w:hAnsi="Arial" w:cs="Arial"/>
          <w:sz w:val="22"/>
          <w:szCs w:val="22"/>
        </w:rPr>
        <w:t>condiciones</w:t>
      </w:r>
      <w:r w:rsidRPr="00EC452A">
        <w:rPr>
          <w:rFonts w:ascii="Arial" w:eastAsia="Arial" w:hAnsi="Arial" w:cs="Arial"/>
          <w:spacing w:val="38"/>
          <w:sz w:val="22"/>
          <w:szCs w:val="22"/>
        </w:rPr>
        <w:t xml:space="preserve"> </w:t>
      </w:r>
      <w:r w:rsidRPr="00EC452A">
        <w:rPr>
          <w:rFonts w:ascii="Arial" w:eastAsia="Arial" w:hAnsi="Arial" w:cs="Arial"/>
          <w:sz w:val="22"/>
          <w:szCs w:val="22"/>
        </w:rPr>
        <w:t>ecológicas</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z w:val="22"/>
          <w:szCs w:val="22"/>
        </w:rPr>
        <w:t>socioeconómicas</w:t>
      </w:r>
      <w:r w:rsidRPr="00EC452A">
        <w:rPr>
          <w:rFonts w:ascii="Arial" w:eastAsia="Arial" w:hAnsi="Arial" w:cs="Arial"/>
          <w:spacing w:val="47"/>
          <w:sz w:val="22"/>
          <w:szCs w:val="22"/>
        </w:rPr>
        <w:t xml:space="preserve"> </w:t>
      </w:r>
      <w:r w:rsidRPr="00EC452A">
        <w:rPr>
          <w:rFonts w:ascii="Arial" w:eastAsia="Arial" w:hAnsi="Arial" w:cs="Arial"/>
          <w:sz w:val="22"/>
          <w:szCs w:val="22"/>
        </w:rPr>
        <w:t>imperantes</w:t>
      </w:r>
      <w:r w:rsidRPr="00EC452A">
        <w:rPr>
          <w:rFonts w:ascii="Arial" w:eastAsia="Arial" w:hAnsi="Arial" w:cs="Arial"/>
          <w:spacing w:val="37"/>
          <w:sz w:val="22"/>
          <w:szCs w:val="22"/>
        </w:rPr>
        <w:t xml:space="preserve"> </w:t>
      </w:r>
      <w:r w:rsidRPr="00EC452A">
        <w:rPr>
          <w:rFonts w:ascii="Arial" w:eastAsia="Arial" w:hAnsi="Arial" w:cs="Arial"/>
          <w:sz w:val="22"/>
          <w:szCs w:val="22"/>
        </w:rPr>
        <w:t>en</w:t>
      </w:r>
      <w:r w:rsidRPr="00EC452A">
        <w:rPr>
          <w:rFonts w:ascii="Arial" w:eastAsia="Arial" w:hAnsi="Arial" w:cs="Arial"/>
          <w:spacing w:val="22"/>
          <w:sz w:val="22"/>
          <w:szCs w:val="22"/>
        </w:rPr>
        <w:t xml:space="preserve"> </w:t>
      </w:r>
      <w:r w:rsidRPr="00EC452A">
        <w:rPr>
          <w:rFonts w:ascii="Arial" w:eastAsia="Arial" w:hAnsi="Arial" w:cs="Arial"/>
          <w:sz w:val="22"/>
          <w:szCs w:val="22"/>
        </w:rPr>
        <w:t>cada</w:t>
      </w:r>
      <w:r w:rsidRPr="00EC452A">
        <w:rPr>
          <w:rFonts w:ascii="Arial" w:eastAsia="Arial" w:hAnsi="Arial" w:cs="Arial"/>
          <w:spacing w:val="26"/>
          <w:sz w:val="22"/>
          <w:szCs w:val="22"/>
        </w:rPr>
        <w:t xml:space="preserve"> </w:t>
      </w:r>
      <w:r w:rsidRPr="00EC452A">
        <w:rPr>
          <w:rFonts w:ascii="Arial" w:eastAsia="Arial" w:hAnsi="Arial" w:cs="Arial"/>
          <w:sz w:val="22"/>
          <w:szCs w:val="22"/>
        </w:rPr>
        <w:t>distrito</w:t>
      </w:r>
      <w:r w:rsidRPr="00EC452A">
        <w:rPr>
          <w:rFonts w:ascii="Arial" w:eastAsia="Arial" w:hAnsi="Arial" w:cs="Arial"/>
          <w:spacing w:val="29"/>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temporal</w:t>
      </w:r>
      <w:r w:rsidRPr="00EC452A">
        <w:rPr>
          <w:rFonts w:ascii="Arial" w:eastAsia="Arial" w:hAnsi="Arial" w:cs="Arial"/>
          <w:spacing w:val="33"/>
          <w:sz w:val="22"/>
          <w:szCs w:val="22"/>
        </w:rPr>
        <w:t xml:space="preserve"> </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4"/>
          <w:w w:val="102"/>
          <w:sz w:val="22"/>
          <w:szCs w:val="22"/>
        </w:rPr>
        <w:t>riego.</w:t>
      </w:r>
    </w:p>
    <w:p w14:paraId="22B8531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X</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medida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sanida</w:t>
      </w:r>
      <w:r w:rsidRPr="00EC452A">
        <w:rPr>
          <w:rFonts w:ascii="Arial" w:eastAsia="Arial" w:hAnsi="Arial" w:cs="Arial"/>
          <w:sz w:val="22"/>
          <w:szCs w:val="22"/>
        </w:rPr>
        <w:t>d</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fitopecuari</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conveng</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2"/>
          <w:w w:val="102"/>
          <w:sz w:val="22"/>
          <w:szCs w:val="22"/>
        </w:rPr>
        <w:t>adoptar.</w:t>
      </w:r>
    </w:p>
    <w:p w14:paraId="145979A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XI</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elemento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considere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adecuado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moment</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elaboració</w:t>
      </w:r>
      <w:r w:rsidRPr="00EC452A">
        <w:rPr>
          <w:rFonts w:ascii="Arial" w:eastAsia="Arial" w:hAnsi="Arial" w:cs="Arial"/>
          <w:sz w:val="22"/>
          <w:szCs w:val="22"/>
        </w:rPr>
        <w:t xml:space="preserve">n </w:t>
      </w:r>
      <w:r w:rsidRPr="00EC452A">
        <w:rPr>
          <w:rFonts w:ascii="Arial" w:eastAsia="Arial" w:hAnsi="Arial" w:cs="Arial"/>
          <w:spacing w:val="47"/>
          <w:sz w:val="22"/>
          <w:szCs w:val="22"/>
        </w:rPr>
        <w:t xml:space="preserve"> </w:t>
      </w:r>
      <w:r w:rsidRPr="00EC452A">
        <w:rPr>
          <w:rFonts w:ascii="Arial" w:eastAsia="Arial" w:hAnsi="Arial" w:cs="Arial"/>
          <w:spacing w:val="-2"/>
          <w:w w:val="102"/>
          <w:sz w:val="22"/>
          <w:szCs w:val="22"/>
        </w:rPr>
        <w:t>del Plan.</w:t>
      </w:r>
    </w:p>
    <w:p w14:paraId="479D71C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z w:val="22"/>
          <w:szCs w:val="22"/>
        </w:rPr>
        <w:t>y</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Foresta</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estructur</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z w:val="22"/>
          <w:szCs w:val="22"/>
        </w:rPr>
        <w:t>comprenda</w:t>
      </w:r>
      <w:r w:rsidRPr="00EC452A">
        <w:rPr>
          <w:rFonts w:ascii="Arial" w:eastAsia="Arial" w:hAnsi="Arial" w:cs="Arial"/>
          <w:spacing w:val="26"/>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siguientes</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elementos:</w:t>
      </w:r>
    </w:p>
    <w:p w14:paraId="7E23E01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I.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diagnóstico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sector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incluya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un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resumen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recursos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disponibles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7"/>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pacing w:val="-1"/>
          <w:sz w:val="22"/>
          <w:szCs w:val="22"/>
        </w:rPr>
        <w:t>identificació</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prin</w:t>
      </w:r>
      <w:r w:rsidRPr="00EC452A">
        <w:rPr>
          <w:rFonts w:ascii="Arial" w:eastAsia="Arial" w:hAnsi="Arial" w:cs="Arial"/>
          <w:w w:val="102"/>
          <w:sz w:val="22"/>
          <w:szCs w:val="22"/>
        </w:rPr>
        <w:t>c</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ipale</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problemas</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 xml:space="preserve">í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 xml:space="preserve">n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pronóstic</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cubr</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horizonte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Plan.</w:t>
      </w:r>
    </w:p>
    <w:p w14:paraId="415A01DE"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sectoriale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desprenda</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nacionales.</w:t>
      </w:r>
    </w:p>
    <w:p w14:paraId="35067E3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III</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derivada</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sectoriales.</w:t>
      </w:r>
    </w:p>
    <w:p w14:paraId="5523B76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 xml:space="preserv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estrategi</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aplicació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manej</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59"/>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instrumentos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sectoriales </w:t>
      </w:r>
      <w:r w:rsidRPr="00EC452A">
        <w:rPr>
          <w:rFonts w:ascii="Arial" w:eastAsia="Arial" w:hAnsi="Arial" w:cs="Arial"/>
          <w:spacing w:val="7"/>
          <w:sz w:val="22"/>
          <w:szCs w:val="22"/>
        </w:rPr>
        <w:t xml:space="preserve"> </w:t>
      </w:r>
      <w:r w:rsidRPr="00EC452A">
        <w:rPr>
          <w:rFonts w:ascii="Arial" w:eastAsia="Arial" w:hAnsi="Arial" w:cs="Arial"/>
          <w:sz w:val="22"/>
          <w:szCs w:val="22"/>
        </w:rPr>
        <w:t>de</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acuerdo </w:t>
      </w:r>
      <w:r w:rsidRPr="00EC452A">
        <w:rPr>
          <w:rFonts w:ascii="Arial" w:eastAsia="Arial" w:hAnsi="Arial" w:cs="Arial"/>
          <w:spacing w:val="3"/>
          <w:sz w:val="22"/>
          <w:szCs w:val="22"/>
        </w:rPr>
        <w:t xml:space="preserve"> </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z w:val="22"/>
          <w:szCs w:val="22"/>
        </w:rPr>
        <w:t xml:space="preserve">disposiciones </w:t>
      </w:r>
      <w:r w:rsidRPr="00EC452A">
        <w:rPr>
          <w:rFonts w:ascii="Arial" w:eastAsia="Arial" w:hAnsi="Arial" w:cs="Arial"/>
          <w:spacing w:val="2"/>
          <w:sz w:val="22"/>
          <w:szCs w:val="22"/>
        </w:rPr>
        <w:t xml:space="preserve"> </w:t>
      </w:r>
      <w:r w:rsidRPr="00EC452A">
        <w:rPr>
          <w:rFonts w:ascii="Arial" w:eastAsia="Arial" w:hAnsi="Arial" w:cs="Arial"/>
          <w:sz w:val="22"/>
          <w:szCs w:val="22"/>
        </w:rPr>
        <w:t>jurídicas</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34"/>
          <w:sz w:val="22"/>
          <w:szCs w:val="22"/>
        </w:rPr>
        <w:t xml:space="preserve"> </w:t>
      </w:r>
      <w:r w:rsidRPr="00EC452A">
        <w:rPr>
          <w:rFonts w:ascii="Arial" w:eastAsia="Arial" w:hAnsi="Arial" w:cs="Arial"/>
          <w:sz w:val="22"/>
          <w:szCs w:val="22"/>
        </w:rPr>
        <w:t>políticas</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administrativas </w:t>
      </w:r>
      <w:r w:rsidRPr="00EC452A">
        <w:rPr>
          <w:rFonts w:ascii="Arial" w:eastAsia="Arial" w:hAnsi="Arial" w:cs="Arial"/>
          <w:spacing w:val="4"/>
          <w:sz w:val="22"/>
          <w:szCs w:val="22"/>
        </w:rPr>
        <w:t xml:space="preserve"> </w:t>
      </w:r>
      <w:r w:rsidRPr="00EC452A">
        <w:rPr>
          <w:rFonts w:ascii="Arial" w:eastAsia="Arial" w:hAnsi="Arial" w:cs="Arial"/>
          <w:sz w:val="22"/>
          <w:szCs w:val="22"/>
        </w:rPr>
        <w:t>de</w:t>
      </w:r>
      <w:r w:rsidRPr="00EC452A">
        <w:rPr>
          <w:rFonts w:ascii="Arial" w:eastAsia="Arial" w:hAnsi="Arial" w:cs="Arial"/>
          <w:spacing w:val="36"/>
          <w:sz w:val="22"/>
          <w:szCs w:val="22"/>
        </w:rPr>
        <w:t xml:space="preserve"> </w:t>
      </w:r>
      <w:r w:rsidRPr="00EC452A">
        <w:rPr>
          <w:rFonts w:ascii="Arial" w:eastAsia="Arial" w:hAnsi="Arial" w:cs="Arial"/>
          <w:sz w:val="22"/>
          <w:szCs w:val="22"/>
        </w:rPr>
        <w:t>la</w:t>
      </w:r>
      <w:r w:rsidRPr="00EC452A">
        <w:rPr>
          <w:rFonts w:ascii="Arial" w:eastAsia="Arial" w:hAnsi="Arial" w:cs="Arial"/>
          <w:spacing w:val="35"/>
          <w:sz w:val="22"/>
          <w:szCs w:val="22"/>
        </w:rPr>
        <w:t xml:space="preserve"> </w:t>
      </w:r>
      <w:r w:rsidRPr="00EC452A">
        <w:rPr>
          <w:rFonts w:ascii="Arial" w:eastAsia="Arial" w:hAnsi="Arial" w:cs="Arial"/>
          <w:sz w:val="22"/>
          <w:szCs w:val="22"/>
        </w:rPr>
        <w:t>materia,</w:t>
      </w:r>
      <w:r w:rsidRPr="00EC452A">
        <w:rPr>
          <w:rFonts w:ascii="Arial" w:eastAsia="Arial" w:hAnsi="Arial" w:cs="Arial"/>
          <w:spacing w:val="46"/>
          <w:sz w:val="22"/>
          <w:szCs w:val="22"/>
        </w:rPr>
        <w:t xml:space="preserve"> </w:t>
      </w:r>
      <w:r w:rsidRPr="00EC452A">
        <w:rPr>
          <w:rFonts w:ascii="Arial" w:eastAsia="Arial" w:hAnsi="Arial" w:cs="Arial"/>
          <w:sz w:val="22"/>
          <w:szCs w:val="22"/>
        </w:rPr>
        <w:t>así</w:t>
      </w:r>
      <w:r w:rsidRPr="00EC452A">
        <w:rPr>
          <w:rFonts w:ascii="Arial" w:eastAsia="Arial" w:hAnsi="Arial" w:cs="Arial"/>
          <w:spacing w:val="37"/>
          <w:sz w:val="22"/>
          <w:szCs w:val="22"/>
        </w:rPr>
        <w:t xml:space="preserve"> </w:t>
      </w:r>
      <w:r w:rsidRPr="00EC452A">
        <w:rPr>
          <w:rFonts w:ascii="Arial" w:eastAsia="Arial" w:hAnsi="Arial" w:cs="Arial"/>
          <w:sz w:val="22"/>
          <w:szCs w:val="22"/>
        </w:rPr>
        <w:t>como</w:t>
      </w:r>
      <w:r w:rsidRPr="00EC452A">
        <w:rPr>
          <w:rFonts w:ascii="Arial" w:eastAsia="Arial" w:hAnsi="Arial" w:cs="Arial"/>
          <w:spacing w:val="41"/>
          <w:sz w:val="22"/>
          <w:szCs w:val="22"/>
        </w:rPr>
        <w:t xml:space="preserve"> </w:t>
      </w:r>
      <w:r w:rsidRPr="00EC452A">
        <w:rPr>
          <w:rFonts w:ascii="Arial" w:eastAsia="Arial" w:hAnsi="Arial" w:cs="Arial"/>
          <w:sz w:val="22"/>
          <w:szCs w:val="22"/>
        </w:rPr>
        <w:t>el</w:t>
      </w:r>
      <w:r w:rsidRPr="00EC452A">
        <w:rPr>
          <w:rFonts w:ascii="Arial" w:eastAsia="Arial" w:hAnsi="Arial" w:cs="Arial"/>
          <w:spacing w:val="35"/>
          <w:sz w:val="22"/>
          <w:szCs w:val="22"/>
        </w:rPr>
        <w:t xml:space="preserve"> </w:t>
      </w:r>
      <w:r w:rsidRPr="00EC452A">
        <w:rPr>
          <w:rFonts w:ascii="Arial" w:eastAsia="Arial" w:hAnsi="Arial" w:cs="Arial"/>
          <w:sz w:val="22"/>
          <w:szCs w:val="22"/>
        </w:rPr>
        <w:t>análisis</w:t>
      </w:r>
      <w:r w:rsidRPr="00EC452A">
        <w:rPr>
          <w:rFonts w:ascii="Arial" w:eastAsia="Arial" w:hAnsi="Arial" w:cs="Arial"/>
          <w:spacing w:val="44"/>
          <w:sz w:val="22"/>
          <w:szCs w:val="22"/>
        </w:rPr>
        <w:t xml:space="preserve"> </w:t>
      </w:r>
      <w:r w:rsidRPr="00EC452A">
        <w:rPr>
          <w:rFonts w:ascii="Arial" w:eastAsia="Arial" w:hAnsi="Arial" w:cs="Arial"/>
          <w:sz w:val="22"/>
          <w:szCs w:val="22"/>
        </w:rPr>
        <w:t>del</w:t>
      </w:r>
      <w:r w:rsidRPr="00EC452A">
        <w:rPr>
          <w:rFonts w:ascii="Arial" w:eastAsia="Arial" w:hAnsi="Arial" w:cs="Arial"/>
          <w:spacing w:val="37"/>
          <w:sz w:val="22"/>
          <w:szCs w:val="22"/>
        </w:rPr>
        <w:t xml:space="preserve"> </w:t>
      </w:r>
      <w:r w:rsidRPr="00EC452A">
        <w:rPr>
          <w:rFonts w:ascii="Arial" w:eastAsia="Arial" w:hAnsi="Arial" w:cs="Arial"/>
          <w:w w:val="102"/>
          <w:sz w:val="22"/>
          <w:szCs w:val="22"/>
        </w:rPr>
        <w:t xml:space="preserve">gasto </w:t>
      </w:r>
      <w:r w:rsidRPr="00EC452A">
        <w:rPr>
          <w:rFonts w:ascii="Arial" w:eastAsia="Arial" w:hAnsi="Arial" w:cs="Arial"/>
          <w:sz w:val="22"/>
          <w:szCs w:val="22"/>
        </w:rPr>
        <w:t>por</w:t>
      </w:r>
      <w:r w:rsidRPr="00EC452A">
        <w:rPr>
          <w:rFonts w:ascii="Arial" w:eastAsia="Arial" w:hAnsi="Arial" w:cs="Arial"/>
          <w:spacing w:val="13"/>
          <w:sz w:val="22"/>
          <w:szCs w:val="22"/>
        </w:rPr>
        <w:t xml:space="preserve"> </w:t>
      </w:r>
      <w:r w:rsidRPr="00EC452A">
        <w:rPr>
          <w:rFonts w:ascii="Arial" w:eastAsia="Arial" w:hAnsi="Arial" w:cs="Arial"/>
          <w:sz w:val="22"/>
          <w:szCs w:val="22"/>
        </w:rPr>
        <w:t>sectores</w:t>
      </w:r>
      <w:r w:rsidRPr="00EC452A">
        <w:rPr>
          <w:rFonts w:ascii="Arial" w:eastAsia="Arial" w:hAnsi="Arial" w:cs="Arial"/>
          <w:spacing w:val="22"/>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entidades.</w:t>
      </w:r>
    </w:p>
    <w:p w14:paraId="5640AF1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w:t>
      </w:r>
      <w:r w:rsidRPr="00EC452A">
        <w:rPr>
          <w:rFonts w:ascii="Arial" w:eastAsia="Arial" w:hAnsi="Arial" w:cs="Arial"/>
          <w:sz w:val="22"/>
          <w:szCs w:val="22"/>
        </w:rPr>
        <w:t>.</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análisi</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programas</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subprogramas</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acciones.</w:t>
      </w:r>
    </w:p>
    <w:p w14:paraId="0A89945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VI.</w:t>
      </w:r>
      <w:r w:rsidRPr="00EC452A">
        <w:rPr>
          <w:rFonts w:ascii="Arial" w:eastAsia="Arial" w:hAnsi="Arial" w:cs="Arial"/>
          <w:spacing w:val="27"/>
          <w:sz w:val="22"/>
          <w:szCs w:val="22"/>
        </w:rPr>
        <w:t xml:space="preserve"> </w:t>
      </w:r>
      <w:r w:rsidRPr="00EC452A">
        <w:rPr>
          <w:rFonts w:ascii="Arial" w:eastAsia="Arial" w:hAnsi="Arial" w:cs="Arial"/>
          <w:sz w:val="22"/>
          <w:szCs w:val="22"/>
        </w:rPr>
        <w:t>Las</w:t>
      </w:r>
      <w:r w:rsidRPr="00EC452A">
        <w:rPr>
          <w:rFonts w:ascii="Arial" w:eastAsia="Arial" w:hAnsi="Arial" w:cs="Arial"/>
          <w:spacing w:val="28"/>
          <w:sz w:val="22"/>
          <w:szCs w:val="22"/>
        </w:rPr>
        <w:t xml:space="preserve"> </w:t>
      </w:r>
      <w:r w:rsidRPr="00EC452A">
        <w:rPr>
          <w:rFonts w:ascii="Arial" w:eastAsia="Arial" w:hAnsi="Arial" w:cs="Arial"/>
          <w:sz w:val="22"/>
          <w:szCs w:val="22"/>
        </w:rPr>
        <w:t>relaciones</w:t>
      </w:r>
      <w:r w:rsidRPr="00EC452A">
        <w:rPr>
          <w:rFonts w:ascii="Arial" w:eastAsia="Arial" w:hAnsi="Arial" w:cs="Arial"/>
          <w:spacing w:val="39"/>
          <w:sz w:val="22"/>
          <w:szCs w:val="22"/>
        </w:rPr>
        <w:t xml:space="preserve"> </w:t>
      </w:r>
      <w:r w:rsidRPr="00EC452A">
        <w:rPr>
          <w:rFonts w:ascii="Arial" w:eastAsia="Arial" w:hAnsi="Arial" w:cs="Arial"/>
          <w:sz w:val="22"/>
          <w:szCs w:val="22"/>
        </w:rPr>
        <w:t>intra</w:t>
      </w:r>
      <w:r w:rsidRPr="00EC452A">
        <w:rPr>
          <w:rFonts w:ascii="Arial" w:eastAsia="Arial" w:hAnsi="Arial" w:cs="Arial"/>
          <w:spacing w:val="25"/>
          <w:sz w:val="22"/>
          <w:szCs w:val="22"/>
        </w:rPr>
        <w:t xml:space="preserve"> </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intersectoriales,</w:t>
      </w:r>
      <w:r w:rsidRPr="00EC452A">
        <w:rPr>
          <w:rFonts w:ascii="Arial" w:eastAsia="Arial" w:hAnsi="Arial" w:cs="Arial"/>
          <w:spacing w:val="45"/>
          <w:sz w:val="22"/>
          <w:szCs w:val="22"/>
        </w:rPr>
        <w:t xml:space="preserve"> </w:t>
      </w:r>
      <w:r w:rsidRPr="00EC452A">
        <w:rPr>
          <w:rFonts w:ascii="Arial" w:eastAsia="Arial" w:hAnsi="Arial" w:cs="Arial"/>
          <w:sz w:val="22"/>
          <w:szCs w:val="22"/>
        </w:rPr>
        <w:t>que</w:t>
      </w:r>
      <w:r w:rsidRPr="00EC452A">
        <w:rPr>
          <w:rFonts w:ascii="Arial" w:eastAsia="Arial" w:hAnsi="Arial" w:cs="Arial"/>
          <w:spacing w:val="24"/>
          <w:sz w:val="22"/>
          <w:szCs w:val="22"/>
        </w:rPr>
        <w:t xml:space="preserve"> </w:t>
      </w:r>
      <w:r w:rsidRPr="00EC452A">
        <w:rPr>
          <w:rFonts w:ascii="Arial" w:eastAsia="Arial" w:hAnsi="Arial" w:cs="Arial"/>
          <w:sz w:val="22"/>
          <w:szCs w:val="22"/>
        </w:rPr>
        <w:t>incluyan</w:t>
      </w:r>
      <w:r w:rsidRPr="00EC452A">
        <w:rPr>
          <w:rFonts w:ascii="Arial" w:eastAsia="Arial" w:hAnsi="Arial" w:cs="Arial"/>
          <w:spacing w:val="32"/>
          <w:sz w:val="22"/>
          <w:szCs w:val="22"/>
        </w:rPr>
        <w:t xml:space="preserve"> </w:t>
      </w:r>
      <w:r w:rsidRPr="00EC452A">
        <w:rPr>
          <w:rFonts w:ascii="Arial" w:eastAsia="Arial" w:hAnsi="Arial" w:cs="Arial"/>
          <w:sz w:val="22"/>
          <w:szCs w:val="22"/>
        </w:rPr>
        <w:t>los</w:t>
      </w:r>
      <w:r w:rsidRPr="00EC452A">
        <w:rPr>
          <w:rFonts w:ascii="Arial" w:eastAsia="Arial" w:hAnsi="Arial" w:cs="Arial"/>
          <w:spacing w:val="23"/>
          <w:sz w:val="22"/>
          <w:szCs w:val="22"/>
        </w:rPr>
        <w:t xml:space="preserve"> </w:t>
      </w:r>
      <w:r w:rsidRPr="00EC452A">
        <w:rPr>
          <w:rFonts w:ascii="Arial" w:eastAsia="Arial" w:hAnsi="Arial" w:cs="Arial"/>
          <w:sz w:val="22"/>
          <w:szCs w:val="22"/>
        </w:rPr>
        <w:t>requerimientos</w:t>
      </w:r>
      <w:r w:rsidRPr="00EC452A">
        <w:rPr>
          <w:rFonts w:ascii="Arial" w:eastAsia="Arial" w:hAnsi="Arial" w:cs="Arial"/>
          <w:spacing w:val="43"/>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bienes,</w:t>
      </w:r>
      <w:r w:rsidRPr="00EC452A">
        <w:rPr>
          <w:rFonts w:ascii="Arial" w:eastAsia="Arial" w:hAnsi="Arial" w:cs="Arial"/>
          <w:spacing w:val="30"/>
          <w:sz w:val="22"/>
          <w:szCs w:val="22"/>
        </w:rPr>
        <w:t xml:space="preserve"> </w:t>
      </w:r>
      <w:r w:rsidRPr="00EC452A">
        <w:rPr>
          <w:rFonts w:ascii="Arial" w:eastAsia="Arial" w:hAnsi="Arial" w:cs="Arial"/>
          <w:sz w:val="22"/>
          <w:szCs w:val="22"/>
        </w:rPr>
        <w:t>servicios</w:t>
      </w:r>
      <w:r w:rsidRPr="00EC452A">
        <w:rPr>
          <w:rFonts w:ascii="Arial" w:eastAsia="Arial" w:hAnsi="Arial" w:cs="Arial"/>
          <w:spacing w:val="33"/>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accione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específica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acuerdo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programático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operació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concertar.</w:t>
      </w:r>
    </w:p>
    <w:p w14:paraId="5B0CB408"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VII</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coordinació</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federativa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sectore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privad</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social. </w:t>
      </w:r>
    </w:p>
    <w:p w14:paraId="11637C5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Foresta</w:t>
      </w:r>
      <w:r w:rsidRPr="00EC452A">
        <w:rPr>
          <w:rFonts w:ascii="Arial" w:eastAsia="Arial" w:hAnsi="Arial" w:cs="Arial"/>
          <w:sz w:val="22"/>
          <w:szCs w:val="22"/>
        </w:rPr>
        <w:t>l</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formular</w:t>
      </w:r>
      <w:r w:rsidRPr="00EC452A">
        <w:rPr>
          <w:rFonts w:ascii="Arial" w:eastAsia="Arial" w:hAnsi="Arial" w:cs="Arial"/>
          <w:sz w:val="22"/>
          <w:szCs w:val="22"/>
        </w:rPr>
        <w:t>á</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mediant</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position w:val="1"/>
          <w:sz w:val="22"/>
          <w:szCs w:val="22"/>
        </w:rPr>
        <w:t>siguient</w:t>
      </w:r>
      <w:r w:rsidRPr="00EC452A">
        <w:rPr>
          <w:rFonts w:ascii="Arial" w:eastAsia="Arial" w:hAnsi="Arial" w:cs="Arial"/>
          <w:position w:val="1"/>
          <w:sz w:val="22"/>
          <w:szCs w:val="22"/>
        </w:rPr>
        <w:t>e</w:t>
      </w:r>
      <w:r w:rsidRPr="00EC452A">
        <w:rPr>
          <w:rFonts w:ascii="Arial" w:eastAsia="Arial" w:hAnsi="Arial" w:cs="Arial"/>
          <w:spacing w:val="21"/>
          <w:position w:val="1"/>
          <w:sz w:val="22"/>
          <w:szCs w:val="22"/>
        </w:rPr>
        <w:t xml:space="preserve"> </w:t>
      </w:r>
      <w:r w:rsidRPr="00EC452A">
        <w:rPr>
          <w:rFonts w:ascii="Arial" w:eastAsia="Arial" w:hAnsi="Arial" w:cs="Arial"/>
          <w:spacing w:val="-1"/>
          <w:w w:val="102"/>
          <w:position w:val="1"/>
          <w:sz w:val="22"/>
          <w:szCs w:val="22"/>
        </w:rPr>
        <w:t>procedimiento:</w:t>
      </w:r>
    </w:p>
    <w:p w14:paraId="30A6AD0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w:t>
      </w:r>
      <w:r w:rsidRPr="00EC452A">
        <w:rPr>
          <w:rFonts w:ascii="Arial" w:eastAsia="Arial" w:hAnsi="Arial" w:cs="Arial"/>
          <w:sz w:val="22"/>
          <w:szCs w:val="22"/>
        </w:rPr>
        <w:t xml:space="preserv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preparar</w:t>
      </w:r>
      <w:r w:rsidRPr="00EC452A">
        <w:rPr>
          <w:rFonts w:ascii="Arial" w:eastAsia="Arial" w:hAnsi="Arial" w:cs="Arial"/>
          <w:sz w:val="22"/>
          <w:szCs w:val="22"/>
        </w:rPr>
        <w:t xml:space="preserve">á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anteproyect</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Pla</w:t>
      </w:r>
      <w:r w:rsidRPr="00EC452A">
        <w:rPr>
          <w:rFonts w:ascii="Arial" w:eastAsia="Arial" w:hAnsi="Arial" w:cs="Arial"/>
          <w:sz w:val="22"/>
          <w:szCs w:val="22"/>
        </w:rPr>
        <w:t xml:space="preserve">n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Naciona</w:t>
      </w:r>
      <w:r w:rsidRPr="00EC452A">
        <w:rPr>
          <w:rFonts w:ascii="Arial" w:eastAsia="Arial" w:hAnsi="Arial" w:cs="Arial"/>
          <w:sz w:val="22"/>
          <w:szCs w:val="22"/>
        </w:rPr>
        <w:t xml:space="preserve">l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Desarroll</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Agropecuari</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Foresta</w:t>
      </w:r>
      <w:r w:rsidRPr="00EC452A">
        <w:rPr>
          <w:rFonts w:ascii="Arial" w:eastAsia="Arial" w:hAnsi="Arial" w:cs="Arial"/>
          <w:sz w:val="22"/>
          <w:szCs w:val="22"/>
        </w:rPr>
        <w:t xml:space="preserve">l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mencionad</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13</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riego</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pape</w:t>
      </w:r>
      <w:r w:rsidRPr="00EC452A">
        <w:rPr>
          <w:rFonts w:ascii="Arial" w:eastAsia="Arial" w:hAnsi="Arial" w:cs="Arial"/>
          <w:sz w:val="22"/>
          <w:szCs w:val="22"/>
        </w:rPr>
        <w:t>l</w:t>
      </w:r>
      <w:r w:rsidRPr="00EC452A">
        <w:rPr>
          <w:rFonts w:ascii="Arial" w:eastAsia="Arial" w:hAnsi="Arial" w:cs="Arial"/>
          <w:spacing w:val="51"/>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unidades</w:t>
      </w:r>
      <w:r w:rsidRPr="00EC452A">
        <w:rPr>
          <w:rFonts w:ascii="Arial" w:eastAsia="Arial" w:hAnsi="Arial" w:cs="Arial"/>
          <w:spacing w:val="52"/>
          <w:sz w:val="22"/>
          <w:szCs w:val="22"/>
        </w:rPr>
        <w:t xml:space="preserve"> </w:t>
      </w:r>
      <w:r w:rsidRPr="00EC452A">
        <w:rPr>
          <w:rFonts w:ascii="Arial" w:eastAsia="Arial" w:hAnsi="Arial" w:cs="Arial"/>
          <w:sz w:val="22"/>
          <w:szCs w:val="22"/>
        </w:rPr>
        <w:t>básicas</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programación, </w:t>
      </w:r>
      <w:r w:rsidRPr="00EC452A">
        <w:rPr>
          <w:rFonts w:ascii="Arial" w:eastAsia="Arial" w:hAnsi="Arial" w:cs="Arial"/>
          <w:spacing w:val="8"/>
          <w:sz w:val="22"/>
          <w:szCs w:val="22"/>
        </w:rPr>
        <w:t xml:space="preserve"> </w:t>
      </w:r>
      <w:r w:rsidRPr="00EC452A">
        <w:rPr>
          <w:rFonts w:ascii="Arial" w:eastAsia="Arial" w:hAnsi="Arial" w:cs="Arial"/>
          <w:sz w:val="22"/>
          <w:szCs w:val="22"/>
        </w:rPr>
        <w:t>ejecución  y</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coordinación. </w:t>
      </w:r>
      <w:r w:rsidRPr="00EC452A">
        <w:rPr>
          <w:rFonts w:ascii="Arial" w:eastAsia="Arial" w:hAnsi="Arial" w:cs="Arial"/>
          <w:spacing w:val="7"/>
          <w:sz w:val="22"/>
          <w:szCs w:val="22"/>
        </w:rPr>
        <w:t xml:space="preserve"> </w:t>
      </w:r>
      <w:r w:rsidRPr="00EC452A">
        <w:rPr>
          <w:rFonts w:ascii="Arial" w:eastAsia="Arial" w:hAnsi="Arial" w:cs="Arial"/>
          <w:sz w:val="22"/>
          <w:szCs w:val="22"/>
        </w:rPr>
        <w:t>El</w:t>
      </w:r>
      <w:r w:rsidRPr="00EC452A">
        <w:rPr>
          <w:rFonts w:ascii="Arial" w:eastAsia="Arial" w:hAnsi="Arial" w:cs="Arial"/>
          <w:spacing w:val="40"/>
          <w:sz w:val="22"/>
          <w:szCs w:val="22"/>
        </w:rPr>
        <w:t xml:space="preserve"> </w:t>
      </w:r>
      <w:r w:rsidRPr="00EC452A">
        <w:rPr>
          <w:rFonts w:ascii="Arial" w:eastAsia="Arial" w:hAnsi="Arial" w:cs="Arial"/>
          <w:sz w:val="22"/>
          <w:szCs w:val="22"/>
        </w:rPr>
        <w:t>mismo</w:t>
      </w:r>
      <w:r w:rsidRPr="00EC452A">
        <w:rPr>
          <w:rFonts w:ascii="Arial" w:eastAsia="Arial" w:hAnsi="Arial" w:cs="Arial"/>
          <w:spacing w:val="48"/>
          <w:sz w:val="22"/>
          <w:szCs w:val="22"/>
        </w:rPr>
        <w:t xml:space="preserve"> </w:t>
      </w:r>
      <w:r w:rsidRPr="00EC452A">
        <w:rPr>
          <w:rFonts w:ascii="Arial" w:eastAsia="Arial" w:hAnsi="Arial" w:cs="Arial"/>
          <w:sz w:val="22"/>
          <w:szCs w:val="22"/>
        </w:rPr>
        <w:t>tomará</w:t>
      </w:r>
      <w:r w:rsidRPr="00EC452A">
        <w:rPr>
          <w:rFonts w:ascii="Arial" w:eastAsia="Arial" w:hAnsi="Arial" w:cs="Arial"/>
          <w:spacing w:val="49"/>
          <w:sz w:val="22"/>
          <w:szCs w:val="22"/>
        </w:rPr>
        <w:t xml:space="preserve"> </w:t>
      </w:r>
      <w:r w:rsidRPr="00EC452A">
        <w:rPr>
          <w:rFonts w:ascii="Arial" w:eastAsia="Arial" w:hAnsi="Arial" w:cs="Arial"/>
          <w:sz w:val="22"/>
          <w:szCs w:val="22"/>
        </w:rPr>
        <w:t>en</w:t>
      </w:r>
      <w:r w:rsidRPr="00EC452A">
        <w:rPr>
          <w:rFonts w:ascii="Arial" w:eastAsia="Arial" w:hAnsi="Arial" w:cs="Arial"/>
          <w:spacing w:val="41"/>
          <w:sz w:val="22"/>
          <w:szCs w:val="22"/>
        </w:rPr>
        <w:t xml:space="preserve"> </w:t>
      </w:r>
      <w:r w:rsidRPr="00EC452A">
        <w:rPr>
          <w:rFonts w:ascii="Arial" w:eastAsia="Arial" w:hAnsi="Arial" w:cs="Arial"/>
          <w:sz w:val="22"/>
          <w:szCs w:val="22"/>
        </w:rPr>
        <w:t>cuenta</w:t>
      </w:r>
      <w:r w:rsidRPr="00EC452A">
        <w:rPr>
          <w:rFonts w:ascii="Arial" w:eastAsia="Arial" w:hAnsi="Arial" w:cs="Arial"/>
          <w:spacing w:val="48"/>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prioridade</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nacionale</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definida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Globa</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Desarrollo</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w w:val="102"/>
          <w:sz w:val="22"/>
          <w:szCs w:val="22"/>
        </w:rPr>
        <w:t xml:space="preserve">situación </w:t>
      </w:r>
      <w:r w:rsidRPr="00EC452A">
        <w:rPr>
          <w:rFonts w:ascii="Arial" w:eastAsia="Arial" w:hAnsi="Arial" w:cs="Arial"/>
          <w:spacing w:val="-1"/>
          <w:sz w:val="22"/>
          <w:szCs w:val="22"/>
        </w:rPr>
        <w:lastRenderedPageBreak/>
        <w:t>productiv</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actua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c</w:t>
      </w:r>
      <w:r w:rsidRPr="00EC452A">
        <w:rPr>
          <w:rFonts w:ascii="Arial" w:eastAsia="Arial" w:hAnsi="Arial" w:cs="Arial"/>
          <w:spacing w:val="-16"/>
          <w:sz w:val="22"/>
          <w:szCs w:val="22"/>
        </w:rPr>
        <w:t>a</w:t>
      </w:r>
      <w:r w:rsidRPr="00EC452A">
        <w:rPr>
          <w:rFonts w:ascii="Arial" w:eastAsia="Arial" w:hAnsi="Arial" w:cs="Arial"/>
          <w:sz w:val="22"/>
          <w:szCs w:val="22"/>
        </w:rPr>
        <w:t>da</w:t>
      </w:r>
      <w:r w:rsidRPr="00EC452A">
        <w:rPr>
          <w:rFonts w:ascii="Arial" w:eastAsia="Arial" w:hAnsi="Arial" w:cs="Arial"/>
          <w:spacing w:val="6"/>
          <w:sz w:val="22"/>
          <w:szCs w:val="22"/>
        </w:rPr>
        <w:t xml:space="preserve"> </w:t>
      </w:r>
      <w:r w:rsidRPr="00EC452A">
        <w:rPr>
          <w:rFonts w:ascii="Arial" w:eastAsia="Arial" w:hAnsi="Arial" w:cs="Arial"/>
          <w:sz w:val="22"/>
          <w:szCs w:val="22"/>
        </w:rPr>
        <w:t>distrito</w:t>
      </w:r>
      <w:r w:rsidRPr="00EC452A">
        <w:rPr>
          <w:rFonts w:ascii="Arial" w:eastAsia="Arial" w:hAnsi="Arial" w:cs="Arial"/>
          <w:spacing w:val="9"/>
          <w:sz w:val="22"/>
          <w:szCs w:val="22"/>
        </w:rPr>
        <w:t xml:space="preserve"> </w:t>
      </w:r>
      <w:r w:rsidRPr="00EC452A">
        <w:rPr>
          <w:rFonts w:ascii="Arial" w:eastAsia="Arial" w:hAnsi="Arial" w:cs="Arial"/>
          <w:sz w:val="22"/>
          <w:szCs w:val="22"/>
        </w:rPr>
        <w:t>y su</w:t>
      </w:r>
      <w:r w:rsidRPr="00EC452A">
        <w:rPr>
          <w:rFonts w:ascii="Arial" w:eastAsia="Arial" w:hAnsi="Arial" w:cs="Arial"/>
          <w:spacing w:val="2"/>
          <w:sz w:val="22"/>
          <w:szCs w:val="22"/>
        </w:rPr>
        <w:t xml:space="preserve"> </w:t>
      </w:r>
      <w:r w:rsidRPr="00EC452A">
        <w:rPr>
          <w:rFonts w:ascii="Arial" w:eastAsia="Arial" w:hAnsi="Arial" w:cs="Arial"/>
          <w:sz w:val="22"/>
          <w:szCs w:val="22"/>
        </w:rPr>
        <w:t>potencial,</w:t>
      </w:r>
      <w:r w:rsidRPr="00EC452A">
        <w:rPr>
          <w:rFonts w:ascii="Arial" w:eastAsia="Arial" w:hAnsi="Arial" w:cs="Arial"/>
          <w:spacing w:val="14"/>
          <w:sz w:val="22"/>
          <w:szCs w:val="22"/>
        </w:rPr>
        <w:t xml:space="preserve"> </w:t>
      </w:r>
      <w:r w:rsidRPr="00EC452A">
        <w:rPr>
          <w:rFonts w:ascii="Arial" w:eastAsia="Arial" w:hAnsi="Arial" w:cs="Arial"/>
          <w:sz w:val="22"/>
          <w:szCs w:val="22"/>
        </w:rPr>
        <w:t>detallando,</w:t>
      </w:r>
      <w:r w:rsidRPr="00EC452A">
        <w:rPr>
          <w:rFonts w:ascii="Arial" w:eastAsia="Arial" w:hAnsi="Arial" w:cs="Arial"/>
          <w:spacing w:val="17"/>
          <w:sz w:val="22"/>
          <w:szCs w:val="22"/>
        </w:rPr>
        <w:t xml:space="preserve"> </w:t>
      </w:r>
      <w:r w:rsidRPr="00EC452A">
        <w:rPr>
          <w:rFonts w:ascii="Arial" w:eastAsia="Arial" w:hAnsi="Arial" w:cs="Arial"/>
          <w:sz w:val="22"/>
          <w:szCs w:val="22"/>
        </w:rPr>
        <w:t>por</w:t>
      </w:r>
      <w:r w:rsidRPr="00EC452A">
        <w:rPr>
          <w:rFonts w:ascii="Arial" w:eastAsia="Arial" w:hAnsi="Arial" w:cs="Arial"/>
          <w:spacing w:val="4"/>
          <w:sz w:val="22"/>
          <w:szCs w:val="22"/>
        </w:rPr>
        <w:t xml:space="preserve"> </w:t>
      </w:r>
      <w:r w:rsidRPr="00EC452A">
        <w:rPr>
          <w:rFonts w:ascii="Arial" w:eastAsia="Arial" w:hAnsi="Arial" w:cs="Arial"/>
          <w:sz w:val="22"/>
          <w:szCs w:val="22"/>
        </w:rPr>
        <w:t>ciclos,</w:t>
      </w:r>
      <w:r w:rsidRPr="00EC452A">
        <w:rPr>
          <w:rFonts w:ascii="Arial" w:eastAsia="Arial" w:hAnsi="Arial" w:cs="Arial"/>
          <w:spacing w:val="9"/>
          <w:sz w:val="22"/>
          <w:szCs w:val="22"/>
        </w:rPr>
        <w:t xml:space="preserve"> </w:t>
      </w:r>
      <w:r w:rsidRPr="00EC452A">
        <w:rPr>
          <w:rFonts w:ascii="Arial" w:eastAsia="Arial" w:hAnsi="Arial" w:cs="Arial"/>
          <w:sz w:val="22"/>
          <w:szCs w:val="22"/>
        </w:rPr>
        <w:t>el</w:t>
      </w:r>
      <w:r w:rsidRPr="00EC452A">
        <w:rPr>
          <w:rFonts w:ascii="Arial" w:eastAsia="Arial" w:hAnsi="Arial" w:cs="Arial"/>
          <w:spacing w:val="1"/>
          <w:sz w:val="22"/>
          <w:szCs w:val="22"/>
        </w:rPr>
        <w:t xml:space="preserve"> </w:t>
      </w:r>
      <w:r w:rsidRPr="00EC452A">
        <w:rPr>
          <w:rFonts w:ascii="Arial" w:eastAsia="Arial" w:hAnsi="Arial" w:cs="Arial"/>
          <w:sz w:val="22"/>
          <w:szCs w:val="22"/>
        </w:rPr>
        <w:t>patrón</w:t>
      </w:r>
      <w:r w:rsidRPr="00EC452A">
        <w:rPr>
          <w:rFonts w:ascii="Arial" w:eastAsia="Arial" w:hAnsi="Arial" w:cs="Arial"/>
          <w:spacing w:val="9"/>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cultivos</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rendimiento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requerimiento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inversió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gast</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estim</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necesario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w w:val="102"/>
          <w:sz w:val="22"/>
          <w:szCs w:val="22"/>
        </w:rPr>
        <w:t xml:space="preserve">para </w:t>
      </w:r>
      <w:r w:rsidRPr="00EC452A">
        <w:rPr>
          <w:rFonts w:ascii="Arial" w:eastAsia="Arial" w:hAnsi="Arial" w:cs="Arial"/>
          <w:spacing w:val="-1"/>
          <w:sz w:val="22"/>
          <w:szCs w:val="22"/>
        </w:rPr>
        <w:t>logra</w:t>
      </w:r>
      <w:r w:rsidRPr="00EC452A">
        <w:rPr>
          <w:rFonts w:ascii="Arial" w:eastAsia="Arial" w:hAnsi="Arial" w:cs="Arial"/>
          <w:sz w:val="22"/>
          <w:szCs w:val="22"/>
        </w:rPr>
        <w:t>r</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aument</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propuest</w:t>
      </w:r>
      <w:r w:rsidRPr="00EC452A">
        <w:rPr>
          <w:rFonts w:ascii="Arial" w:eastAsia="Arial" w:hAnsi="Arial" w:cs="Arial"/>
          <w:sz w:val="22"/>
          <w:szCs w:val="22"/>
        </w:rPr>
        <w:t>o</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volume</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tota</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requeri</w:t>
      </w:r>
      <w:r w:rsidRPr="00EC452A">
        <w:rPr>
          <w:rFonts w:ascii="Arial" w:eastAsia="Arial" w:hAnsi="Arial" w:cs="Arial"/>
          <w:spacing w:val="1"/>
          <w:w w:val="102"/>
          <w:sz w:val="22"/>
          <w:szCs w:val="22"/>
        </w:rPr>
        <w:t xml:space="preserve">mientos </w:t>
      </w:r>
      <w:r w:rsidRPr="00EC452A">
        <w:rPr>
          <w:rFonts w:ascii="Arial" w:eastAsia="Arial" w:hAnsi="Arial" w:cs="Arial"/>
          <w:spacing w:val="-1"/>
          <w:sz w:val="22"/>
          <w:szCs w:val="22"/>
        </w:rPr>
        <w:t>estar</w:t>
      </w:r>
      <w:r w:rsidRPr="00EC452A">
        <w:rPr>
          <w:rFonts w:ascii="Arial" w:eastAsia="Arial" w:hAnsi="Arial" w:cs="Arial"/>
          <w:sz w:val="22"/>
          <w:szCs w:val="22"/>
        </w:rPr>
        <w:t>á</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acotad</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definicione</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materi</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económic</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fij</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globa</w:t>
      </w:r>
      <w:r w:rsidRPr="00EC452A">
        <w:rPr>
          <w:rFonts w:ascii="Arial" w:eastAsia="Arial" w:hAnsi="Arial" w:cs="Arial"/>
          <w:sz w:val="22"/>
          <w:szCs w:val="22"/>
        </w:rPr>
        <w:t>l</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ajuste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ejecució</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vay</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determinando.</w:t>
      </w:r>
    </w:p>
    <w:p w14:paraId="054832E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rieg</w:t>
      </w:r>
      <w:r w:rsidRPr="00EC452A">
        <w:rPr>
          <w:rFonts w:ascii="Arial" w:eastAsia="Arial" w:hAnsi="Arial" w:cs="Arial"/>
          <w:sz w:val="22"/>
          <w:szCs w:val="22"/>
        </w:rPr>
        <w:t>o</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recibirá</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conduct</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Planeació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pacing w:val="-2"/>
          <w:sz w:val="22"/>
          <w:szCs w:val="22"/>
        </w:rPr>
        <w:t>Desar</w:t>
      </w:r>
      <w:r w:rsidRPr="00EC452A">
        <w:rPr>
          <w:rFonts w:ascii="Arial" w:eastAsia="Arial" w:hAnsi="Arial" w:cs="Arial"/>
          <w:sz w:val="22"/>
          <w:szCs w:val="22"/>
        </w:rPr>
        <w:t xml:space="preserve">rollo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Estatal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correspondientes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anteproyecto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Plan,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realizarán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ajustes </w:t>
      </w:r>
      <w:r w:rsidRPr="00EC452A">
        <w:rPr>
          <w:rFonts w:ascii="Arial" w:eastAsia="Arial" w:hAnsi="Arial" w:cs="Arial"/>
          <w:spacing w:val="34"/>
          <w:sz w:val="22"/>
          <w:szCs w:val="22"/>
        </w:rPr>
        <w:t xml:space="preserve"> </w:t>
      </w:r>
      <w:r w:rsidRPr="00EC452A">
        <w:rPr>
          <w:rFonts w:ascii="Arial" w:eastAsia="Arial" w:hAnsi="Arial" w:cs="Arial"/>
          <w:w w:val="102"/>
          <w:sz w:val="22"/>
          <w:szCs w:val="22"/>
        </w:rPr>
        <w:t xml:space="preserve">que </w:t>
      </w:r>
      <w:r w:rsidRPr="00EC452A">
        <w:rPr>
          <w:rFonts w:ascii="Arial" w:eastAsia="Arial" w:hAnsi="Arial" w:cs="Arial"/>
          <w:spacing w:val="-1"/>
          <w:sz w:val="22"/>
          <w:szCs w:val="22"/>
        </w:rPr>
        <w:t>considere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necesario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requerimiento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apoyo.</w:t>
      </w:r>
    </w:p>
    <w:p w14:paraId="3DD536C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III</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Grup</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Sectoria</w:t>
      </w:r>
      <w:r w:rsidRPr="00EC452A">
        <w:rPr>
          <w:rFonts w:ascii="Arial" w:eastAsia="Arial" w:hAnsi="Arial" w:cs="Arial"/>
          <w:sz w:val="22"/>
          <w:szCs w:val="22"/>
        </w:rPr>
        <w:t xml:space="preserve">l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 xml:space="preserve">o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Comit</w:t>
      </w:r>
      <w:r w:rsidRPr="00EC452A">
        <w:rPr>
          <w:rFonts w:ascii="Arial" w:eastAsia="Arial" w:hAnsi="Arial" w:cs="Arial"/>
          <w:sz w:val="22"/>
          <w:szCs w:val="22"/>
        </w:rPr>
        <w:t xml:space="preserve">é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Planeació</w:t>
      </w:r>
      <w:r w:rsidRPr="00EC452A">
        <w:rPr>
          <w:rFonts w:ascii="Arial" w:eastAsia="Arial" w:hAnsi="Arial" w:cs="Arial"/>
          <w:sz w:val="22"/>
          <w:szCs w:val="22"/>
        </w:rPr>
        <w:t xml:space="preserve">n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 xml:space="preserve">o </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Estatal, </w:t>
      </w:r>
      <w:r w:rsidRPr="00EC452A">
        <w:rPr>
          <w:rFonts w:ascii="Arial" w:eastAsia="Arial" w:hAnsi="Arial" w:cs="Arial"/>
          <w:spacing w:val="-3"/>
          <w:sz w:val="22"/>
          <w:szCs w:val="22"/>
        </w:rPr>
        <w:t>pa</w:t>
      </w:r>
      <w:r w:rsidRPr="00EC452A">
        <w:rPr>
          <w:rFonts w:ascii="Arial" w:eastAsia="Arial" w:hAnsi="Arial" w:cs="Arial"/>
          <w:sz w:val="22"/>
          <w:szCs w:val="22"/>
        </w:rPr>
        <w:t xml:space="preserve">rticipará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en   la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elaboración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de   los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proyectos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de   Programas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Distritales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sugerirá  </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pacing w:val="-1"/>
          <w:sz w:val="22"/>
          <w:szCs w:val="22"/>
        </w:rPr>
        <w:t>modificacione</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consider</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pertinente</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sea</w:t>
      </w:r>
      <w:r w:rsidRPr="00EC452A">
        <w:rPr>
          <w:rFonts w:ascii="Arial" w:eastAsia="Arial" w:hAnsi="Arial" w:cs="Arial"/>
          <w:sz w:val="22"/>
          <w:szCs w:val="22"/>
        </w:rPr>
        <w:t xml:space="preserve">n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turnado</w:t>
      </w:r>
      <w:r w:rsidRPr="00EC452A">
        <w:rPr>
          <w:rFonts w:ascii="Arial" w:eastAsia="Arial" w:hAnsi="Arial" w:cs="Arial"/>
          <w:sz w:val="22"/>
          <w:szCs w:val="22"/>
        </w:rPr>
        <w:t xml:space="preserve">s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oportunament</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w w:val="102"/>
          <w:sz w:val="22"/>
          <w:szCs w:val="22"/>
        </w:rPr>
        <w:t>Secretaría.</w:t>
      </w:r>
    </w:p>
    <w:p w14:paraId="37A299D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agregar</w:t>
      </w:r>
      <w:r w:rsidRPr="00EC452A">
        <w:rPr>
          <w:rFonts w:ascii="Arial" w:eastAsia="Arial" w:hAnsi="Arial" w:cs="Arial"/>
          <w:sz w:val="22"/>
          <w:szCs w:val="22"/>
        </w:rPr>
        <w:t>á</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proyecto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Distritale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pre</w:t>
      </w:r>
      <w:r w:rsidRPr="00EC452A">
        <w:rPr>
          <w:rFonts w:ascii="Arial" w:eastAsia="Arial" w:hAnsi="Arial" w:cs="Arial"/>
          <w:sz w:val="22"/>
          <w:szCs w:val="22"/>
        </w:rPr>
        <w:t>vio</w:t>
      </w:r>
      <w:r w:rsidRPr="00EC452A">
        <w:rPr>
          <w:rFonts w:ascii="Arial" w:eastAsia="Arial" w:hAnsi="Arial" w:cs="Arial"/>
          <w:spacing w:val="6"/>
          <w:sz w:val="22"/>
          <w:szCs w:val="22"/>
        </w:rPr>
        <w:t xml:space="preserve"> </w:t>
      </w:r>
      <w:r w:rsidRPr="00EC452A">
        <w:rPr>
          <w:rFonts w:ascii="Arial" w:eastAsia="Arial" w:hAnsi="Arial" w:cs="Arial"/>
          <w:sz w:val="22"/>
          <w:szCs w:val="22"/>
        </w:rPr>
        <w:t>su análisis</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 xml:space="preserve">compatibilización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con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metas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nacionales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disponibilidad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recursos,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preparará </w:t>
      </w:r>
      <w:r w:rsidRPr="00EC452A">
        <w:rPr>
          <w:rFonts w:ascii="Arial" w:eastAsia="Arial" w:hAnsi="Arial" w:cs="Arial"/>
          <w:spacing w:val="47"/>
          <w:sz w:val="22"/>
          <w:szCs w:val="22"/>
        </w:rPr>
        <w:t xml:space="preserve"> </w:t>
      </w:r>
      <w:r w:rsidRPr="00EC452A">
        <w:rPr>
          <w:rFonts w:ascii="Arial" w:eastAsia="Arial" w:hAnsi="Arial" w:cs="Arial"/>
          <w:w w:val="102"/>
          <w:sz w:val="22"/>
          <w:szCs w:val="22"/>
        </w:rPr>
        <w:t xml:space="preserve">un </w:t>
      </w:r>
      <w:r w:rsidRPr="00EC452A">
        <w:rPr>
          <w:rFonts w:ascii="Arial" w:eastAsia="Arial" w:hAnsi="Arial" w:cs="Arial"/>
          <w:spacing w:val="-1"/>
          <w:sz w:val="22"/>
          <w:szCs w:val="22"/>
        </w:rPr>
        <w:t>Proyect</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 xml:space="preserve">n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presentar</w:t>
      </w:r>
      <w:r w:rsidRPr="00EC452A">
        <w:rPr>
          <w:rFonts w:ascii="Arial" w:eastAsia="Arial" w:hAnsi="Arial" w:cs="Arial"/>
          <w:sz w:val="22"/>
          <w:szCs w:val="22"/>
        </w:rPr>
        <w:t xml:space="preserve">á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consideració</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Programació</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w w:val="102"/>
          <w:sz w:val="22"/>
          <w:szCs w:val="22"/>
        </w:rPr>
        <w:t>Presupuesto.</w:t>
      </w:r>
    </w:p>
    <w:p w14:paraId="73F41C53"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5"/>
          <w:sz w:val="22"/>
          <w:szCs w:val="22"/>
        </w:rPr>
        <w:t>V.</w:t>
      </w:r>
      <w:r w:rsidRPr="00EC452A">
        <w:rPr>
          <w:rFonts w:ascii="Arial" w:eastAsia="Arial" w:hAnsi="Arial" w:cs="Arial"/>
          <w:spacing w:val="-5"/>
          <w:sz w:val="22"/>
          <w:szCs w:val="22"/>
        </w:rPr>
        <w:t>-</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Programació</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z w:val="22"/>
          <w:szCs w:val="22"/>
        </w:rPr>
        <w:t>y</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Presupuest</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analizar</w:t>
      </w:r>
      <w:r w:rsidRPr="00EC452A">
        <w:rPr>
          <w:rFonts w:ascii="Arial" w:eastAsia="Arial" w:hAnsi="Arial" w:cs="Arial"/>
          <w:sz w:val="22"/>
          <w:szCs w:val="22"/>
        </w:rPr>
        <w:t>á</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congruenci</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Foresta</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Globa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Sistem</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Planeación</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z w:val="22"/>
          <w:szCs w:val="22"/>
        </w:rPr>
        <w:t>y</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política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gast</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vigente</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tomar</w:t>
      </w:r>
      <w:r w:rsidRPr="00EC452A">
        <w:rPr>
          <w:rFonts w:ascii="Arial" w:eastAsia="Arial" w:hAnsi="Arial" w:cs="Arial"/>
          <w:sz w:val="22"/>
          <w:szCs w:val="22"/>
        </w:rPr>
        <w:t>á</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cuent</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fi</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oportunida</w:t>
      </w:r>
      <w:r w:rsidRPr="00EC452A">
        <w:rPr>
          <w:rFonts w:ascii="Arial" w:eastAsia="Arial" w:hAnsi="Arial" w:cs="Arial"/>
          <w:sz w:val="22"/>
          <w:szCs w:val="22"/>
        </w:rPr>
        <w:t>d</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se</w:t>
      </w:r>
      <w:r w:rsidRPr="00EC452A">
        <w:rPr>
          <w:rFonts w:ascii="Arial" w:eastAsia="Arial" w:hAnsi="Arial" w:cs="Arial"/>
          <w:sz w:val="22"/>
          <w:szCs w:val="22"/>
        </w:rPr>
        <w:t>a</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considerad</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anteproyect</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Presupuest</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Egreso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Federación</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requerimiento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inversió</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z w:val="22"/>
          <w:szCs w:val="22"/>
        </w:rPr>
        <w:t>y</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gast</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consecució</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propi</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Plan.</w:t>
      </w:r>
    </w:p>
    <w:p w14:paraId="76EF92D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VI</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Secretaría</w:t>
      </w:r>
      <w:r w:rsidRPr="00EC452A">
        <w:rPr>
          <w:rFonts w:ascii="Arial" w:eastAsia="Arial" w:hAnsi="Arial" w:cs="Arial"/>
          <w:sz w:val="22"/>
          <w:szCs w:val="22"/>
        </w:rPr>
        <w:t xml:space="preserve">,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ve</w:t>
      </w:r>
      <w:r w:rsidRPr="00EC452A">
        <w:rPr>
          <w:rFonts w:ascii="Arial" w:eastAsia="Arial" w:hAnsi="Arial" w:cs="Arial"/>
          <w:sz w:val="22"/>
          <w:szCs w:val="22"/>
        </w:rPr>
        <w:t xml:space="preserve">z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recibid</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dictame</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Programa</w:t>
      </w:r>
      <w:r w:rsidRPr="00EC452A">
        <w:rPr>
          <w:rFonts w:ascii="Arial" w:eastAsia="Arial" w:hAnsi="Arial" w:cs="Arial"/>
          <w:sz w:val="22"/>
          <w:szCs w:val="22"/>
        </w:rPr>
        <w:t>c</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ió</w:t>
      </w:r>
      <w:r w:rsidRPr="00EC452A">
        <w:rPr>
          <w:rFonts w:ascii="Arial" w:eastAsia="Arial" w:hAnsi="Arial" w:cs="Arial"/>
          <w:sz w:val="22"/>
          <w:szCs w:val="22"/>
        </w:rPr>
        <w:t xml:space="preserve">n </w:t>
      </w:r>
      <w:r w:rsidRPr="00EC452A">
        <w:rPr>
          <w:rFonts w:ascii="Arial" w:eastAsia="Arial" w:hAnsi="Arial" w:cs="Arial"/>
          <w:spacing w:val="5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 xml:space="preserve">Presupuesto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hechos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ajustes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correspondientes,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someterá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proyecto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Plan  </w:t>
      </w:r>
      <w:r w:rsidRPr="00EC452A">
        <w:rPr>
          <w:rFonts w:ascii="Arial" w:eastAsia="Arial" w:hAnsi="Arial" w:cs="Arial"/>
          <w:spacing w:val="8"/>
          <w:sz w:val="22"/>
          <w:szCs w:val="22"/>
        </w:rPr>
        <w:t xml:space="preserve"> </w:t>
      </w:r>
      <w:r w:rsidRPr="00EC452A">
        <w:rPr>
          <w:rFonts w:ascii="Arial" w:eastAsia="Arial" w:hAnsi="Arial" w:cs="Arial"/>
          <w:w w:val="102"/>
          <w:sz w:val="22"/>
          <w:szCs w:val="22"/>
        </w:rPr>
        <w:t xml:space="preserve">al </w:t>
      </w:r>
      <w:r w:rsidRPr="00EC452A">
        <w:rPr>
          <w:rFonts w:ascii="Arial" w:eastAsia="Arial" w:hAnsi="Arial" w:cs="Arial"/>
          <w:spacing w:val="-1"/>
          <w:sz w:val="22"/>
          <w:szCs w:val="22"/>
        </w:rPr>
        <w:t>President</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República</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aprobación.</w:t>
      </w:r>
    </w:p>
    <w:p w14:paraId="5FE1112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VII</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Aprobad</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Pla</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President</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República</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publicar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versió</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abreviad</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2"/>
          <w:w w:val="102"/>
          <w:sz w:val="22"/>
          <w:szCs w:val="22"/>
        </w:rPr>
        <w:t xml:space="preserve">el </w:t>
      </w:r>
      <w:r w:rsidRPr="00EC452A">
        <w:rPr>
          <w:rFonts w:ascii="Arial" w:eastAsia="Arial" w:hAnsi="Arial" w:cs="Arial"/>
          <w:spacing w:val="-1"/>
          <w:sz w:val="22"/>
          <w:szCs w:val="22"/>
        </w:rPr>
        <w:t>"Diari</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Oficial</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Federació</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difundir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convenientement</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50"/>
          <w:sz w:val="22"/>
          <w:szCs w:val="22"/>
        </w:rPr>
        <w:t xml:space="preserve"> </w:t>
      </w:r>
      <w:r w:rsidRPr="00EC452A">
        <w:rPr>
          <w:rFonts w:ascii="Arial" w:eastAsia="Arial" w:hAnsi="Arial" w:cs="Arial"/>
          <w:spacing w:val="-2"/>
          <w:w w:val="102"/>
          <w:sz w:val="22"/>
          <w:szCs w:val="22"/>
        </w:rPr>
        <w:t xml:space="preserve">su </w:t>
      </w:r>
      <w:r w:rsidRPr="00EC452A">
        <w:rPr>
          <w:rFonts w:ascii="Arial" w:eastAsia="Arial" w:hAnsi="Arial" w:cs="Arial"/>
          <w:spacing w:val="-3"/>
          <w:w w:val="102"/>
          <w:sz w:val="22"/>
          <w:szCs w:val="22"/>
        </w:rPr>
        <w:t>observancia,</w:t>
      </w:r>
    </w:p>
    <w:p w14:paraId="585BF74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 xml:space="preserve">l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 xml:space="preserve">o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 xml:space="preserve">o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Foresta</w:t>
      </w:r>
      <w:r w:rsidRPr="00EC452A">
        <w:rPr>
          <w:rFonts w:ascii="Arial" w:eastAsia="Arial" w:hAnsi="Arial" w:cs="Arial"/>
          <w:sz w:val="22"/>
          <w:szCs w:val="22"/>
        </w:rPr>
        <w:t xml:space="preserve">l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contene</w:t>
      </w:r>
      <w:r w:rsidRPr="00EC452A">
        <w:rPr>
          <w:rFonts w:ascii="Arial" w:eastAsia="Arial" w:hAnsi="Arial" w:cs="Arial"/>
          <w:sz w:val="22"/>
          <w:szCs w:val="22"/>
        </w:rPr>
        <w:t xml:space="preserve">r </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una </w:t>
      </w:r>
      <w:r w:rsidRPr="00EC452A">
        <w:rPr>
          <w:rFonts w:ascii="Arial" w:eastAsia="Arial" w:hAnsi="Arial" w:cs="Arial"/>
          <w:spacing w:val="-1"/>
          <w:sz w:val="22"/>
          <w:szCs w:val="22"/>
        </w:rPr>
        <w:t>estrategi</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instrumentació</w:t>
      </w:r>
      <w:r w:rsidRPr="00EC452A">
        <w:rPr>
          <w:rFonts w:ascii="Arial" w:eastAsia="Arial" w:hAnsi="Arial" w:cs="Arial"/>
          <w:sz w:val="22"/>
          <w:szCs w:val="22"/>
        </w:rPr>
        <w:t xml:space="preserve">n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apoyad</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vertiente</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obligatoria</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coordinada</w:t>
      </w:r>
      <w:r w:rsidRPr="00EC452A">
        <w:rPr>
          <w:rFonts w:ascii="Arial" w:eastAsia="Arial" w:hAnsi="Arial" w:cs="Arial"/>
          <w:sz w:val="22"/>
          <w:szCs w:val="22"/>
        </w:rPr>
        <w:t xml:space="preserve">,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con</w:t>
      </w:r>
      <w:r w:rsidRPr="00EC452A">
        <w:rPr>
          <w:rFonts w:ascii="Arial" w:eastAsia="Arial" w:hAnsi="Arial" w:cs="Arial"/>
          <w:w w:val="102"/>
          <w:sz w:val="22"/>
          <w:szCs w:val="22"/>
        </w:rPr>
        <w:t>c</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ertad</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 xml:space="preserve">e </w:t>
      </w:r>
      <w:r w:rsidRPr="00EC452A">
        <w:rPr>
          <w:rFonts w:ascii="Arial" w:eastAsia="Arial" w:hAnsi="Arial" w:cs="Arial"/>
          <w:spacing w:val="-1"/>
          <w:sz w:val="22"/>
          <w:szCs w:val="22"/>
        </w:rPr>
        <w:t>inducid</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considerada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Globa</w:t>
      </w:r>
      <w:r w:rsidRPr="00EC452A">
        <w:rPr>
          <w:rFonts w:ascii="Arial" w:eastAsia="Arial" w:hAnsi="Arial" w:cs="Arial"/>
          <w:sz w:val="22"/>
          <w:szCs w:val="22"/>
        </w:rPr>
        <w:t>l</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Sistem</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Planeación.</w:t>
      </w:r>
    </w:p>
    <w:p w14:paraId="5B2A777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etap</w:t>
      </w:r>
      <w:r w:rsidRPr="00EC452A">
        <w:rPr>
          <w:rFonts w:ascii="Arial" w:eastAsia="Arial" w:hAnsi="Arial" w:cs="Arial"/>
          <w:sz w:val="22"/>
          <w:szCs w:val="22"/>
        </w:rPr>
        <w:t xml:space="preserve">a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contro</w:t>
      </w:r>
      <w:r w:rsidRPr="00EC452A">
        <w:rPr>
          <w:rFonts w:ascii="Arial" w:eastAsia="Arial" w:hAnsi="Arial" w:cs="Arial"/>
          <w:sz w:val="22"/>
          <w:szCs w:val="22"/>
        </w:rPr>
        <w:t xml:space="preserve">l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Pla</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quedar</w:t>
      </w:r>
      <w:r w:rsidRPr="00EC452A">
        <w:rPr>
          <w:rFonts w:ascii="Arial" w:eastAsia="Arial" w:hAnsi="Arial" w:cs="Arial"/>
          <w:sz w:val="22"/>
          <w:szCs w:val="22"/>
        </w:rPr>
        <w:t xml:space="preserve">á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carg</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mediant</w:t>
      </w:r>
      <w:r w:rsidRPr="00EC452A">
        <w:rPr>
          <w:rFonts w:ascii="Arial" w:eastAsia="Arial" w:hAnsi="Arial" w:cs="Arial"/>
          <w:sz w:val="22"/>
          <w:szCs w:val="22"/>
        </w:rPr>
        <w:t xml:space="preserve">e </w:t>
      </w:r>
      <w:r w:rsidRPr="00EC452A">
        <w:rPr>
          <w:rFonts w:ascii="Arial" w:eastAsia="Arial" w:hAnsi="Arial" w:cs="Arial"/>
          <w:spacing w:val="39"/>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1"/>
          <w:sz w:val="22"/>
          <w:szCs w:val="22"/>
        </w:rPr>
        <w:t>elaboració</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inform</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anua</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í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informe</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avance</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intermedio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derivará</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disposicione</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revisar</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metas </w:t>
      </w:r>
      <w:r w:rsidRPr="00EC452A">
        <w:rPr>
          <w:rFonts w:ascii="Arial" w:eastAsia="Arial" w:hAnsi="Arial" w:cs="Arial"/>
          <w:w w:val="102"/>
          <w:sz w:val="22"/>
          <w:szCs w:val="22"/>
        </w:rPr>
        <w:t>y</w:t>
      </w:r>
      <w:r w:rsidRPr="00EC452A">
        <w:rPr>
          <w:rFonts w:ascii="Arial" w:eastAsia="Arial" w:hAnsi="Arial" w:cs="Arial"/>
          <w:sz w:val="22"/>
          <w:szCs w:val="22"/>
        </w:rPr>
        <w:t xml:space="preserv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programas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sean   necesarios,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mismos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someterán,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su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aprobación,  </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al </w:t>
      </w:r>
      <w:r w:rsidRPr="00EC452A">
        <w:rPr>
          <w:rFonts w:ascii="Arial" w:eastAsia="Arial" w:hAnsi="Arial" w:cs="Arial"/>
          <w:spacing w:val="-1"/>
          <w:sz w:val="22"/>
          <w:szCs w:val="22"/>
        </w:rPr>
        <w:t>President</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República.</w:t>
      </w:r>
    </w:p>
    <w:p w14:paraId="0737240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3"/>
          <w:sz w:val="22"/>
          <w:szCs w:val="22"/>
        </w:rPr>
        <w:t>evaluació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3"/>
          <w:sz w:val="22"/>
          <w:szCs w:val="22"/>
        </w:rPr>
        <w:t>de</w:t>
      </w:r>
      <w:r w:rsidRPr="00EC452A">
        <w:rPr>
          <w:rFonts w:ascii="Arial" w:eastAsia="Arial" w:hAnsi="Arial" w:cs="Arial"/>
          <w:sz w:val="22"/>
          <w:szCs w:val="22"/>
        </w:rPr>
        <w:t xml:space="preserve">l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realizars</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conjuntament</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z w:val="22"/>
          <w:szCs w:val="22"/>
        </w:rPr>
        <w:t>y</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2"/>
          <w:sz w:val="22"/>
          <w:szCs w:val="22"/>
        </w:rPr>
        <w:t>responsable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evaluació</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nive</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2"/>
          <w:w w:val="102"/>
          <w:sz w:val="22"/>
          <w:szCs w:val="22"/>
        </w:rPr>
        <w:t>global.</w:t>
      </w:r>
    </w:p>
    <w:p w14:paraId="696DA85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elaborar</w:t>
      </w:r>
      <w:r w:rsidRPr="00EC452A">
        <w:rPr>
          <w:rFonts w:ascii="Arial" w:eastAsia="Arial" w:hAnsi="Arial" w:cs="Arial"/>
          <w:sz w:val="22"/>
          <w:szCs w:val="22"/>
        </w:rPr>
        <w:t xml:space="preserve">á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específico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asistenci</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técnic</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2"/>
          <w:sz w:val="22"/>
          <w:szCs w:val="22"/>
        </w:rPr>
        <w:t>requiera</w:t>
      </w:r>
      <w:r w:rsidRPr="00EC452A">
        <w:rPr>
          <w:rFonts w:ascii="Arial" w:eastAsia="Arial" w:hAnsi="Arial" w:cs="Arial"/>
          <w:sz w:val="22"/>
          <w:szCs w:val="22"/>
        </w:rPr>
        <w:t>n</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cumplimient</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Plan</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mejo</w:t>
      </w:r>
      <w:r w:rsidRPr="00EC452A">
        <w:rPr>
          <w:rFonts w:ascii="Arial" w:eastAsia="Arial" w:hAnsi="Arial" w:cs="Arial"/>
          <w:sz w:val="22"/>
          <w:szCs w:val="22"/>
        </w:rPr>
        <w:t>r</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apro</w:t>
      </w:r>
      <w:r w:rsidRPr="00EC452A">
        <w:rPr>
          <w:rFonts w:ascii="Arial" w:eastAsia="Arial" w:hAnsi="Arial" w:cs="Arial"/>
          <w:spacing w:val="-17"/>
          <w:sz w:val="22"/>
          <w:szCs w:val="22"/>
        </w:rPr>
        <w:t>v</w:t>
      </w:r>
      <w:r w:rsidRPr="00EC452A">
        <w:rPr>
          <w:rFonts w:ascii="Arial" w:eastAsia="Arial" w:hAnsi="Arial" w:cs="Arial"/>
          <w:sz w:val="22"/>
          <w:szCs w:val="22"/>
        </w:rPr>
        <w:t>echamiento</w:t>
      </w:r>
      <w:r w:rsidRPr="00EC452A">
        <w:rPr>
          <w:rFonts w:ascii="Arial" w:eastAsia="Arial" w:hAnsi="Arial" w:cs="Arial"/>
          <w:spacing w:val="48"/>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los</w:t>
      </w:r>
      <w:r w:rsidRPr="00EC452A">
        <w:rPr>
          <w:rFonts w:ascii="Arial" w:eastAsia="Arial" w:hAnsi="Arial" w:cs="Arial"/>
          <w:spacing w:val="24"/>
          <w:sz w:val="22"/>
          <w:szCs w:val="22"/>
        </w:rPr>
        <w:t xml:space="preserve"> </w:t>
      </w:r>
      <w:r w:rsidRPr="00EC452A">
        <w:rPr>
          <w:rFonts w:ascii="Arial" w:eastAsia="Arial" w:hAnsi="Arial" w:cs="Arial"/>
          <w:sz w:val="22"/>
          <w:szCs w:val="22"/>
        </w:rPr>
        <w:t>recursos</w:t>
      </w:r>
      <w:r w:rsidRPr="00EC452A">
        <w:rPr>
          <w:rFonts w:ascii="Arial" w:eastAsia="Arial" w:hAnsi="Arial" w:cs="Arial"/>
          <w:spacing w:val="34"/>
          <w:sz w:val="22"/>
          <w:szCs w:val="22"/>
        </w:rPr>
        <w:t xml:space="preserve"> </w:t>
      </w:r>
      <w:r w:rsidRPr="00EC452A">
        <w:rPr>
          <w:rFonts w:ascii="Arial" w:eastAsia="Arial" w:hAnsi="Arial" w:cs="Arial"/>
          <w:w w:val="102"/>
          <w:sz w:val="22"/>
          <w:szCs w:val="22"/>
        </w:rPr>
        <w:t xml:space="preserve">destinados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producción</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as</w:t>
      </w:r>
      <w:r w:rsidRPr="00EC452A">
        <w:rPr>
          <w:rFonts w:ascii="Arial" w:eastAsia="Arial" w:hAnsi="Arial" w:cs="Arial"/>
          <w:sz w:val="22"/>
          <w:szCs w:val="22"/>
        </w:rPr>
        <w:t>í</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com</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eleva</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productividad.</w:t>
      </w:r>
    </w:p>
    <w:p w14:paraId="2EDFC0E3"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w:t>
      </w:r>
    </w:p>
    <w:p w14:paraId="58F78F8B"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Programas</w:t>
      </w:r>
    </w:p>
    <w:p w14:paraId="2C4AA17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20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fijado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Reglament</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z w:val="22"/>
          <w:szCs w:val="22"/>
        </w:rPr>
        <w:t>y</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intervenció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sz w:val="22"/>
          <w:szCs w:val="22"/>
        </w:rPr>
        <w:t>correspond</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Program</w:t>
      </w:r>
      <w:r w:rsidRPr="00EC452A">
        <w:rPr>
          <w:rFonts w:ascii="Arial" w:eastAsia="Arial" w:hAnsi="Arial" w:cs="Arial"/>
          <w:spacing w:val="-1"/>
          <w:sz w:val="22"/>
          <w:szCs w:val="22"/>
        </w:rPr>
        <w:t>ació</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Presupuesto</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formular</w:t>
      </w:r>
      <w:r w:rsidRPr="00EC452A">
        <w:rPr>
          <w:rFonts w:ascii="Arial" w:eastAsia="Arial" w:hAnsi="Arial" w:cs="Arial"/>
          <w:sz w:val="22"/>
          <w:szCs w:val="22"/>
        </w:rPr>
        <w:t xml:space="preserve">á  </w:t>
      </w:r>
      <w:r w:rsidRPr="00EC452A">
        <w:rPr>
          <w:rFonts w:ascii="Arial" w:eastAsia="Arial" w:hAnsi="Arial" w:cs="Arial"/>
          <w:spacing w:val="7"/>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someter</w:t>
      </w:r>
      <w:r w:rsidRPr="00EC452A">
        <w:rPr>
          <w:rFonts w:ascii="Arial" w:eastAsia="Arial" w:hAnsi="Arial" w:cs="Arial"/>
          <w:sz w:val="22"/>
          <w:szCs w:val="22"/>
        </w:rPr>
        <w:t xml:space="preserve">á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aprobació</w:t>
      </w:r>
      <w:r w:rsidRPr="00EC452A">
        <w:rPr>
          <w:rFonts w:ascii="Arial" w:eastAsia="Arial" w:hAnsi="Arial" w:cs="Arial"/>
          <w:sz w:val="22"/>
          <w:szCs w:val="22"/>
        </w:rPr>
        <w:t xml:space="preserve">n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Ejecutiv</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Federa</w:t>
      </w:r>
      <w:r w:rsidRPr="00EC452A">
        <w:rPr>
          <w:rFonts w:ascii="Arial" w:eastAsia="Arial" w:hAnsi="Arial" w:cs="Arial"/>
          <w:sz w:val="22"/>
          <w:szCs w:val="22"/>
        </w:rPr>
        <w:t xml:space="preserve">l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normales</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especiale</w:t>
      </w:r>
      <w:r w:rsidRPr="00EC452A">
        <w:rPr>
          <w:rFonts w:ascii="Arial" w:eastAsia="Arial" w:hAnsi="Arial" w:cs="Arial"/>
          <w:sz w:val="22"/>
          <w:szCs w:val="22"/>
        </w:rPr>
        <w:t xml:space="preserve">s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contingenci</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permita</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alcanza</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Desarrollo </w:t>
      </w:r>
      <w:r w:rsidRPr="00EC452A">
        <w:rPr>
          <w:rFonts w:ascii="Arial" w:eastAsia="Arial" w:hAnsi="Arial" w:cs="Arial"/>
          <w:sz w:val="22"/>
          <w:szCs w:val="22"/>
        </w:rPr>
        <w:t>Agropecuario</w:t>
      </w:r>
      <w:r w:rsidRPr="00EC452A">
        <w:rPr>
          <w:rFonts w:ascii="Arial" w:eastAsia="Arial" w:hAnsi="Arial" w:cs="Arial"/>
          <w:spacing w:val="3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Forestal.</w:t>
      </w:r>
    </w:p>
    <w:p w14:paraId="4621F1A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3"/>
          <w:sz w:val="22"/>
          <w:szCs w:val="22"/>
        </w:rPr>
        <w:t>Art</w:t>
      </w:r>
      <w:r w:rsidRPr="00EC452A">
        <w:rPr>
          <w:rFonts w:ascii="Arial" w:eastAsia="Arial" w:hAnsi="Arial" w:cs="Arial"/>
          <w:spacing w:val="-12"/>
          <w:sz w:val="22"/>
          <w:szCs w:val="22"/>
        </w:rPr>
        <w:t>í</w:t>
      </w:r>
      <w:r w:rsidRPr="00EC452A">
        <w:rPr>
          <w:rFonts w:ascii="Arial" w:eastAsia="Arial" w:hAnsi="Arial" w:cs="Arial"/>
          <w:spacing w:val="-2"/>
          <w:sz w:val="22"/>
          <w:szCs w:val="22"/>
        </w:rPr>
        <w:t>cul</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21</w:t>
      </w:r>
      <w:r w:rsidRPr="00EC452A">
        <w:rPr>
          <w:rFonts w:ascii="Arial" w:eastAsia="Arial" w:hAnsi="Arial" w:cs="Arial"/>
          <w:spacing w:val="13"/>
          <w:sz w:val="22"/>
          <w:szCs w:val="22"/>
        </w:rPr>
        <w:t>.</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normale</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formular</w:t>
      </w:r>
      <w:r w:rsidRPr="00EC452A">
        <w:rPr>
          <w:rFonts w:ascii="Arial" w:eastAsia="Arial" w:hAnsi="Arial" w:cs="Arial"/>
          <w:sz w:val="22"/>
          <w:szCs w:val="22"/>
        </w:rPr>
        <w:t>á</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Program</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Acción</w:t>
      </w:r>
    </w:p>
    <w:p w14:paraId="1F408B2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Sectorial</w:t>
      </w:r>
      <w:r w:rsidRPr="00EC452A">
        <w:rPr>
          <w:rFonts w:ascii="Arial" w:eastAsia="Arial" w:hAnsi="Arial" w:cs="Arial"/>
          <w:spacing w:val="22"/>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integrará</w:t>
      </w:r>
      <w:r w:rsidRPr="00EC452A">
        <w:rPr>
          <w:rFonts w:ascii="Arial" w:eastAsia="Arial" w:hAnsi="Arial" w:cs="Arial"/>
          <w:spacing w:val="22"/>
          <w:sz w:val="22"/>
          <w:szCs w:val="22"/>
        </w:rPr>
        <w:t xml:space="preserve">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siguientes</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elementos:</w:t>
      </w:r>
    </w:p>
    <w:p w14:paraId="0A2832B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a)</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Marc</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referencia;</w:t>
      </w:r>
    </w:p>
    <w:p w14:paraId="432D4EA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b)</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Objetivos;</w:t>
      </w:r>
    </w:p>
    <w:p w14:paraId="3C2EFF6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9"/>
          <w:sz w:val="22"/>
          <w:szCs w:val="22"/>
        </w:rPr>
        <w:t>c</w:t>
      </w:r>
      <w:r w:rsidRPr="00EC452A">
        <w:rPr>
          <w:rFonts w:ascii="Arial" w:eastAsia="Arial" w:hAnsi="Arial" w:cs="Arial"/>
          <w:spacing w:val="-6"/>
          <w:sz w:val="22"/>
          <w:szCs w:val="22"/>
        </w:rPr>
        <w:t>)</w:t>
      </w:r>
      <w:r w:rsidRPr="00EC452A">
        <w:rPr>
          <w:rFonts w:ascii="Arial" w:eastAsia="Arial" w:hAnsi="Arial" w:cs="Arial"/>
          <w:sz w:val="22"/>
          <w:szCs w:val="22"/>
        </w:rPr>
        <w:t>-</w:t>
      </w:r>
      <w:r w:rsidRPr="00EC452A">
        <w:rPr>
          <w:rFonts w:ascii="Arial" w:eastAsia="Arial" w:hAnsi="Arial" w:cs="Arial"/>
          <w:spacing w:val="6"/>
          <w:sz w:val="22"/>
          <w:szCs w:val="22"/>
        </w:rPr>
        <w:t xml:space="preserve"> </w:t>
      </w:r>
      <w:r w:rsidRPr="00EC452A">
        <w:rPr>
          <w:rFonts w:ascii="Arial" w:eastAsia="Arial" w:hAnsi="Arial" w:cs="Arial"/>
          <w:sz w:val="22"/>
          <w:szCs w:val="22"/>
        </w:rPr>
        <w:t>Metas</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Resultados;</w:t>
      </w:r>
    </w:p>
    <w:p w14:paraId="720A29F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d)</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2"/>
          <w:w w:val="102"/>
          <w:sz w:val="22"/>
          <w:szCs w:val="22"/>
        </w:rPr>
        <w:t>Estrategias;</w:t>
      </w:r>
    </w:p>
    <w:p w14:paraId="0AF84D4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e)</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w w:val="102"/>
          <w:sz w:val="22"/>
          <w:szCs w:val="22"/>
        </w:rPr>
        <w:t>Instrumentos;</w:t>
      </w:r>
    </w:p>
    <w:p w14:paraId="72BA974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7"/>
          <w:sz w:val="22"/>
          <w:szCs w:val="22"/>
        </w:rPr>
        <w:t>f)</w:t>
      </w:r>
      <w:r w:rsidRPr="00EC452A">
        <w:rPr>
          <w:rFonts w:ascii="Arial" w:eastAsia="Arial" w:hAnsi="Arial" w:cs="Arial"/>
          <w:sz w:val="22"/>
          <w:szCs w:val="22"/>
        </w:rPr>
        <w:t>-</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Propo</w:t>
      </w:r>
      <w:r w:rsidRPr="00EC452A">
        <w:rPr>
          <w:rFonts w:ascii="Arial" w:eastAsia="Arial" w:hAnsi="Arial" w:cs="Arial"/>
          <w:spacing w:val="-1"/>
          <w:sz w:val="22"/>
          <w:szCs w:val="22"/>
        </w:rPr>
        <w:t>sicione</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reform</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Administrativa;</w:t>
      </w:r>
    </w:p>
    <w:p w14:paraId="7B49845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g)</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z w:val="22"/>
          <w:szCs w:val="22"/>
        </w:rPr>
        <w:t>Programas,</w:t>
      </w:r>
      <w:r w:rsidRPr="00EC452A">
        <w:rPr>
          <w:rFonts w:ascii="Arial" w:eastAsia="Arial" w:hAnsi="Arial" w:cs="Arial"/>
          <w:spacing w:val="27"/>
          <w:sz w:val="22"/>
          <w:szCs w:val="22"/>
        </w:rPr>
        <w:t xml:space="preserve"> </w:t>
      </w:r>
      <w:r w:rsidRPr="00EC452A">
        <w:rPr>
          <w:rFonts w:ascii="Arial" w:eastAsia="Arial" w:hAnsi="Arial" w:cs="Arial"/>
          <w:sz w:val="22"/>
          <w:szCs w:val="22"/>
        </w:rPr>
        <w:t>subprogramas</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proyectos</w:t>
      </w:r>
      <w:r w:rsidRPr="00EC452A">
        <w:rPr>
          <w:rFonts w:ascii="Arial" w:eastAsia="Arial" w:hAnsi="Arial" w:cs="Arial"/>
          <w:spacing w:val="23"/>
          <w:sz w:val="22"/>
          <w:szCs w:val="22"/>
        </w:rPr>
        <w:t xml:space="preserve"> </w:t>
      </w:r>
      <w:r w:rsidRPr="00EC452A">
        <w:rPr>
          <w:rFonts w:ascii="Arial" w:eastAsia="Arial" w:hAnsi="Arial" w:cs="Arial"/>
          <w:sz w:val="22"/>
          <w:szCs w:val="22"/>
        </w:rPr>
        <w:t>sustantivos</w:t>
      </w:r>
      <w:r w:rsidRPr="00EC452A">
        <w:rPr>
          <w:rFonts w:ascii="Arial" w:eastAsia="Arial" w:hAnsi="Arial" w:cs="Arial"/>
          <w:spacing w:val="26"/>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sector;</w:t>
      </w:r>
    </w:p>
    <w:p w14:paraId="4E679F0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h)</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z w:val="22"/>
          <w:szCs w:val="22"/>
        </w:rPr>
        <w:t>Gasto</w:t>
      </w:r>
      <w:r w:rsidRPr="00EC452A">
        <w:rPr>
          <w:rFonts w:ascii="Arial" w:eastAsia="Arial" w:hAnsi="Arial" w:cs="Arial"/>
          <w:spacing w:val="18"/>
          <w:sz w:val="22"/>
          <w:szCs w:val="22"/>
        </w:rPr>
        <w:t xml:space="preserve"> </w:t>
      </w:r>
      <w:r w:rsidRPr="00EC452A">
        <w:rPr>
          <w:rFonts w:ascii="Arial" w:eastAsia="Arial" w:hAnsi="Arial" w:cs="Arial"/>
          <w:sz w:val="22"/>
          <w:szCs w:val="22"/>
        </w:rPr>
        <w:t>Público</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presupuestal;</w:t>
      </w:r>
    </w:p>
    <w:p w14:paraId="784DA9A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w:t>
      </w:r>
      <w:r w:rsidRPr="00EC452A">
        <w:rPr>
          <w:rFonts w:ascii="Arial" w:eastAsia="Arial" w:hAnsi="Arial" w:cs="Arial"/>
          <w:sz w:val="22"/>
          <w:szCs w:val="22"/>
        </w:rPr>
        <w:t>-</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Estimació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program</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inversione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año</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posteriores </w:t>
      </w:r>
      <w:r w:rsidRPr="00EC452A">
        <w:rPr>
          <w:rFonts w:ascii="Arial" w:eastAsia="Arial" w:hAnsi="Arial" w:cs="Arial"/>
          <w:spacing w:val="-2"/>
          <w:sz w:val="22"/>
          <w:szCs w:val="22"/>
        </w:rPr>
        <w:t>j)</w:t>
      </w:r>
      <w:r w:rsidRPr="00EC452A">
        <w:rPr>
          <w:rFonts w:ascii="Arial" w:eastAsia="Arial" w:hAnsi="Arial" w:cs="Arial"/>
          <w:sz w:val="22"/>
          <w:szCs w:val="22"/>
        </w:rPr>
        <w:t>-</w:t>
      </w:r>
      <w:r w:rsidRPr="00EC452A">
        <w:rPr>
          <w:rFonts w:ascii="Arial" w:eastAsia="Arial" w:hAnsi="Arial" w:cs="Arial"/>
          <w:spacing w:val="5"/>
          <w:sz w:val="22"/>
          <w:szCs w:val="22"/>
        </w:rPr>
        <w:t xml:space="preserve"> </w:t>
      </w:r>
      <w:r w:rsidRPr="00EC452A">
        <w:rPr>
          <w:rFonts w:ascii="Arial" w:eastAsia="Arial" w:hAnsi="Arial" w:cs="Arial"/>
          <w:sz w:val="22"/>
          <w:szCs w:val="22"/>
        </w:rPr>
        <w:t>Relaciones</w:t>
      </w:r>
      <w:r w:rsidRPr="00EC452A">
        <w:rPr>
          <w:rFonts w:ascii="Arial" w:eastAsia="Arial" w:hAnsi="Arial" w:cs="Arial"/>
          <w:spacing w:val="26"/>
          <w:sz w:val="22"/>
          <w:szCs w:val="22"/>
        </w:rPr>
        <w:t xml:space="preserve"> </w:t>
      </w:r>
      <w:r w:rsidRPr="00EC452A">
        <w:rPr>
          <w:rFonts w:ascii="Arial" w:eastAsia="Arial" w:hAnsi="Arial" w:cs="Arial"/>
          <w:sz w:val="22"/>
          <w:szCs w:val="22"/>
        </w:rPr>
        <w:t>intra</w:t>
      </w:r>
      <w:r w:rsidRPr="00EC452A">
        <w:rPr>
          <w:rFonts w:ascii="Arial" w:eastAsia="Arial" w:hAnsi="Arial" w:cs="Arial"/>
          <w:spacing w:val="14"/>
          <w:sz w:val="22"/>
          <w:szCs w:val="22"/>
        </w:rPr>
        <w:t xml:space="preserve"> </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z w:val="22"/>
          <w:szCs w:val="22"/>
        </w:rPr>
        <w:t>intersectoriales</w:t>
      </w:r>
      <w:r w:rsidRPr="00EC452A">
        <w:rPr>
          <w:rFonts w:ascii="Arial" w:eastAsia="Arial" w:hAnsi="Arial" w:cs="Arial"/>
          <w:spacing w:val="33"/>
          <w:sz w:val="22"/>
          <w:szCs w:val="22"/>
        </w:rPr>
        <w:t xml:space="preserve"> </w:t>
      </w:r>
      <w:r w:rsidRPr="00EC452A">
        <w:rPr>
          <w:rFonts w:ascii="Arial" w:eastAsia="Arial" w:hAnsi="Arial" w:cs="Arial"/>
          <w:w w:val="102"/>
          <w:sz w:val="22"/>
          <w:szCs w:val="22"/>
        </w:rPr>
        <w:t>seleccionadas;</w:t>
      </w:r>
    </w:p>
    <w:p w14:paraId="5671ABF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9"/>
          <w:sz w:val="22"/>
          <w:szCs w:val="22"/>
        </w:rPr>
        <w:t>k</w:t>
      </w:r>
      <w:r w:rsidRPr="00EC452A">
        <w:rPr>
          <w:rFonts w:ascii="Arial" w:eastAsia="Arial" w:hAnsi="Arial" w:cs="Arial"/>
          <w:spacing w:val="-6"/>
          <w:sz w:val="22"/>
          <w:szCs w:val="22"/>
        </w:rPr>
        <w:t>)</w:t>
      </w:r>
      <w:r w:rsidRPr="00EC452A">
        <w:rPr>
          <w:rFonts w:ascii="Arial" w:eastAsia="Arial" w:hAnsi="Arial" w:cs="Arial"/>
          <w:sz w:val="22"/>
          <w:szCs w:val="22"/>
        </w:rPr>
        <w:t>-</w:t>
      </w:r>
      <w:r w:rsidRPr="00EC452A">
        <w:rPr>
          <w:rFonts w:ascii="Arial" w:eastAsia="Arial" w:hAnsi="Arial" w:cs="Arial"/>
          <w:spacing w:val="6"/>
          <w:sz w:val="22"/>
          <w:szCs w:val="22"/>
        </w:rPr>
        <w:t xml:space="preserve"> </w:t>
      </w:r>
      <w:r w:rsidRPr="00EC452A">
        <w:rPr>
          <w:rFonts w:ascii="Arial" w:eastAsia="Arial" w:hAnsi="Arial" w:cs="Arial"/>
          <w:sz w:val="22"/>
          <w:szCs w:val="22"/>
        </w:rPr>
        <w:t>Concertación</w:t>
      </w:r>
      <w:r w:rsidRPr="00EC452A">
        <w:rPr>
          <w:rFonts w:ascii="Arial" w:eastAsia="Arial" w:hAnsi="Arial" w:cs="Arial"/>
          <w:spacing w:val="29"/>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acciones</w:t>
      </w:r>
      <w:r w:rsidRPr="00EC452A">
        <w:rPr>
          <w:rFonts w:ascii="Arial" w:eastAsia="Arial" w:hAnsi="Arial" w:cs="Arial"/>
          <w:spacing w:val="22"/>
          <w:sz w:val="22"/>
          <w:szCs w:val="22"/>
        </w:rPr>
        <w:t xml:space="preserve">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sectores</w:t>
      </w:r>
      <w:r w:rsidRPr="00EC452A">
        <w:rPr>
          <w:rFonts w:ascii="Arial" w:eastAsia="Arial" w:hAnsi="Arial" w:cs="Arial"/>
          <w:spacing w:val="21"/>
          <w:sz w:val="22"/>
          <w:szCs w:val="22"/>
        </w:rPr>
        <w:t xml:space="preserve"> </w:t>
      </w:r>
      <w:r w:rsidRPr="00EC452A">
        <w:rPr>
          <w:rFonts w:ascii="Arial" w:eastAsia="Arial" w:hAnsi="Arial" w:cs="Arial"/>
          <w:sz w:val="22"/>
          <w:szCs w:val="22"/>
        </w:rPr>
        <w:t>privado</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social;</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y</w:t>
      </w:r>
    </w:p>
    <w:p w14:paraId="61DF870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l)</w:t>
      </w:r>
      <w:r w:rsidRPr="00EC452A">
        <w:rPr>
          <w:rFonts w:ascii="Arial" w:eastAsia="Arial" w:hAnsi="Arial" w:cs="Arial"/>
          <w:sz w:val="22"/>
          <w:szCs w:val="22"/>
        </w:rPr>
        <w:t>-</w:t>
      </w:r>
      <w:r w:rsidRPr="00EC452A">
        <w:rPr>
          <w:rFonts w:ascii="Arial" w:eastAsia="Arial" w:hAnsi="Arial" w:cs="Arial"/>
          <w:spacing w:val="5"/>
          <w:sz w:val="22"/>
          <w:szCs w:val="22"/>
        </w:rPr>
        <w:t xml:space="preserve"> </w:t>
      </w:r>
      <w:r w:rsidRPr="00EC452A">
        <w:rPr>
          <w:rFonts w:ascii="Arial" w:eastAsia="Arial" w:hAnsi="Arial" w:cs="Arial"/>
          <w:sz w:val="22"/>
          <w:szCs w:val="22"/>
        </w:rPr>
        <w:t>Un</w:t>
      </w:r>
      <w:r w:rsidRPr="00EC452A">
        <w:rPr>
          <w:rFonts w:ascii="Arial" w:eastAsia="Arial" w:hAnsi="Arial" w:cs="Arial"/>
          <w:spacing w:val="12"/>
          <w:sz w:val="22"/>
          <w:szCs w:val="22"/>
        </w:rPr>
        <w:t xml:space="preserve"> </w:t>
      </w:r>
      <w:r w:rsidRPr="00EC452A">
        <w:rPr>
          <w:rFonts w:ascii="Arial" w:eastAsia="Arial" w:hAnsi="Arial" w:cs="Arial"/>
          <w:sz w:val="22"/>
          <w:szCs w:val="22"/>
        </w:rPr>
        <w:t>apartado</w:t>
      </w:r>
      <w:r w:rsidRPr="00EC452A">
        <w:rPr>
          <w:rFonts w:ascii="Arial" w:eastAsia="Arial" w:hAnsi="Arial" w:cs="Arial"/>
          <w:spacing w:val="22"/>
          <w:sz w:val="22"/>
          <w:szCs w:val="22"/>
        </w:rPr>
        <w:t xml:space="preserve"> </w:t>
      </w:r>
      <w:r w:rsidRPr="00EC452A">
        <w:rPr>
          <w:rFonts w:ascii="Arial" w:eastAsia="Arial" w:hAnsi="Arial" w:cs="Arial"/>
          <w:sz w:val="22"/>
          <w:szCs w:val="22"/>
        </w:rPr>
        <w:t>especial</w:t>
      </w:r>
      <w:r w:rsidRPr="00EC452A">
        <w:rPr>
          <w:rFonts w:ascii="Arial" w:eastAsia="Arial" w:hAnsi="Arial" w:cs="Arial"/>
          <w:spacing w:val="21"/>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Sistema</w:t>
      </w:r>
      <w:r w:rsidRPr="00EC452A">
        <w:rPr>
          <w:rFonts w:ascii="Arial" w:eastAsia="Arial" w:hAnsi="Arial" w:cs="Arial"/>
          <w:spacing w:val="21"/>
          <w:sz w:val="22"/>
          <w:szCs w:val="22"/>
        </w:rPr>
        <w:t xml:space="preserve"> </w:t>
      </w:r>
      <w:r w:rsidRPr="00EC452A">
        <w:rPr>
          <w:rFonts w:ascii="Arial" w:eastAsia="Arial" w:hAnsi="Arial" w:cs="Arial"/>
          <w:sz w:val="22"/>
          <w:szCs w:val="22"/>
        </w:rPr>
        <w:t>Alimentario</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Mexicano.</w:t>
      </w:r>
    </w:p>
    <w:p w14:paraId="574C4FB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elaboració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Program</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Acció</w:t>
      </w:r>
      <w:r w:rsidRPr="00EC452A">
        <w:rPr>
          <w:rFonts w:ascii="Arial" w:eastAsia="Arial" w:hAnsi="Arial" w:cs="Arial"/>
          <w:sz w:val="22"/>
          <w:szCs w:val="22"/>
        </w:rPr>
        <w:t>n</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Sectoria</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har</w:t>
      </w:r>
      <w:r w:rsidRPr="00EC452A">
        <w:rPr>
          <w:rFonts w:ascii="Arial" w:eastAsia="Arial" w:hAnsi="Arial" w:cs="Arial"/>
          <w:sz w:val="22"/>
          <w:szCs w:val="22"/>
        </w:rPr>
        <w:t>á</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w w:val="102"/>
          <w:sz w:val="22"/>
          <w:szCs w:val="22"/>
        </w:rPr>
        <w:t xml:space="preserve">metodología, </w:t>
      </w:r>
      <w:r w:rsidRPr="00EC452A">
        <w:rPr>
          <w:rFonts w:ascii="Arial" w:eastAsia="Arial" w:hAnsi="Arial" w:cs="Arial"/>
          <w:spacing w:val="-1"/>
          <w:sz w:val="22"/>
          <w:szCs w:val="22"/>
        </w:rPr>
        <w:t>normativida</w:t>
      </w:r>
      <w:r w:rsidRPr="00EC452A">
        <w:rPr>
          <w:rFonts w:ascii="Arial" w:eastAsia="Arial" w:hAnsi="Arial" w:cs="Arial"/>
          <w:sz w:val="22"/>
          <w:szCs w:val="22"/>
        </w:rPr>
        <w:t>d</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calendari</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establecido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Programació</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Presupuesto.</w:t>
      </w:r>
    </w:p>
    <w:p w14:paraId="259B0B7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22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formular</w:t>
      </w:r>
      <w:r w:rsidRPr="00EC452A">
        <w:rPr>
          <w:rFonts w:ascii="Arial" w:eastAsia="Arial" w:hAnsi="Arial" w:cs="Arial"/>
          <w:sz w:val="22"/>
          <w:szCs w:val="22"/>
        </w:rPr>
        <w:t xml:space="preserve">á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programa</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específico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producció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grupo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subproducto</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considerado</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prioritario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Plan.</w:t>
      </w:r>
    </w:p>
    <w:p w14:paraId="4813312A" w14:textId="77777777" w:rsidR="00EC452A" w:rsidRPr="00EC452A" w:rsidRDefault="00EC452A" w:rsidP="00EC452A">
      <w:pPr>
        <w:spacing w:before="100" w:beforeAutospacing="1" w:after="100" w:afterAutospacing="1" w:line="240" w:lineRule="auto"/>
        <w:jc w:val="both"/>
        <w:rPr>
          <w:rFonts w:ascii="Arial" w:eastAsia="Arial" w:hAnsi="Arial" w:cs="Arial"/>
          <w:spacing w:val="-7"/>
          <w:w w:val="102"/>
          <w:sz w:val="22"/>
          <w:szCs w:val="22"/>
        </w:rPr>
      </w:pPr>
      <w:r w:rsidRPr="00EC452A">
        <w:rPr>
          <w:rFonts w:ascii="Arial" w:eastAsia="Arial" w:hAnsi="Arial" w:cs="Arial"/>
          <w:spacing w:val="1"/>
          <w:sz w:val="22"/>
          <w:szCs w:val="22"/>
        </w:rPr>
        <w:lastRenderedPageBreak/>
        <w:t>L</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señalar</w:t>
      </w:r>
      <w:r w:rsidRPr="00EC452A">
        <w:rPr>
          <w:rFonts w:ascii="Arial" w:eastAsia="Arial" w:hAnsi="Arial" w:cs="Arial"/>
          <w:sz w:val="22"/>
          <w:szCs w:val="22"/>
        </w:rPr>
        <w:t>á</w:t>
      </w:r>
      <w:r w:rsidRPr="00EC452A">
        <w:rPr>
          <w:rFonts w:ascii="Arial" w:eastAsia="Arial" w:hAnsi="Arial" w:cs="Arial"/>
          <w:spacing w:val="31"/>
          <w:sz w:val="22"/>
          <w:szCs w:val="22"/>
        </w:rPr>
        <w:t xml:space="preserve"> </w:t>
      </w:r>
      <w:r w:rsidRPr="00EC452A">
        <w:rPr>
          <w:rFonts w:ascii="Arial" w:eastAsia="Arial" w:hAnsi="Arial" w:cs="Arial"/>
          <w:spacing w:val="-59"/>
          <w:sz w:val="22"/>
          <w:szCs w:val="22"/>
        </w:rPr>
        <w:t>a</w:t>
      </w:r>
      <w:r w:rsidRPr="00EC452A">
        <w:rPr>
          <w:rFonts w:ascii="Arial" w:eastAsia="Arial" w:hAnsi="Arial" w:cs="Arial"/>
          <w:spacing w:val="-1"/>
          <w:sz w:val="22"/>
          <w:szCs w:val="22"/>
        </w:rPr>
        <w:t>simism</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correspond</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desarrolla</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z w:val="22"/>
          <w:szCs w:val="22"/>
        </w:rPr>
        <w:t xml:space="preserve">entidades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sector,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y  de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otros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sectores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cuando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incidan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manera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directa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1"/>
          <w:sz w:val="22"/>
          <w:szCs w:val="22"/>
        </w:rPr>
        <w:t xml:space="preserve"> </w:t>
      </w:r>
      <w:r w:rsidRPr="00EC452A">
        <w:rPr>
          <w:rFonts w:ascii="Arial" w:eastAsia="Arial" w:hAnsi="Arial" w:cs="Arial"/>
          <w:w w:val="102"/>
          <w:sz w:val="22"/>
          <w:szCs w:val="22"/>
        </w:rPr>
        <w:t xml:space="preserve">proceso </w:t>
      </w:r>
      <w:r w:rsidRPr="00EC452A">
        <w:rPr>
          <w:rFonts w:ascii="Arial" w:eastAsia="Arial" w:hAnsi="Arial" w:cs="Arial"/>
          <w:spacing w:val="-1"/>
          <w:sz w:val="22"/>
          <w:szCs w:val="22"/>
        </w:rPr>
        <w:t>productiv</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agropecuario</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últim</w:t>
      </w:r>
      <w:r w:rsidRPr="00EC452A">
        <w:rPr>
          <w:rFonts w:ascii="Arial" w:eastAsia="Arial" w:hAnsi="Arial" w:cs="Arial"/>
          <w:sz w:val="22"/>
          <w:szCs w:val="22"/>
        </w:rPr>
        <w:t xml:space="preserve">o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respectiva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coordinaciones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3"/>
          <w:w w:val="102"/>
          <w:sz w:val="22"/>
          <w:szCs w:val="22"/>
        </w:rPr>
        <w:t>sect</w:t>
      </w:r>
      <w:r w:rsidRPr="00EC452A">
        <w:rPr>
          <w:rFonts w:ascii="Arial" w:eastAsia="Arial" w:hAnsi="Arial" w:cs="Arial"/>
          <w:spacing w:val="-12"/>
          <w:w w:val="102"/>
          <w:sz w:val="22"/>
          <w:szCs w:val="22"/>
        </w:rPr>
        <w:t>o</w:t>
      </w:r>
      <w:r w:rsidRPr="00EC452A">
        <w:rPr>
          <w:rFonts w:ascii="Arial" w:eastAsia="Arial" w:hAnsi="Arial" w:cs="Arial"/>
          <w:spacing w:val="-7"/>
          <w:w w:val="102"/>
          <w:sz w:val="22"/>
          <w:szCs w:val="22"/>
        </w:rPr>
        <w:t>r.</w:t>
      </w:r>
    </w:p>
    <w:p w14:paraId="2351F1C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23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elaborar</w:t>
      </w:r>
      <w:r w:rsidRPr="00EC452A">
        <w:rPr>
          <w:rFonts w:ascii="Arial" w:eastAsia="Arial" w:hAnsi="Arial" w:cs="Arial"/>
          <w:sz w:val="22"/>
          <w:szCs w:val="22"/>
        </w:rPr>
        <w:t>á</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asimism</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especiale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contemple</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w w:val="102"/>
          <w:sz w:val="22"/>
          <w:szCs w:val="22"/>
        </w:rPr>
        <w:t xml:space="preserve">objetivos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empleo</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cuale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comprender:</w:t>
      </w:r>
    </w:p>
    <w:p w14:paraId="19B5FB4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apertura</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reincorporación</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rehabilitació</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mejoramient</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43"/>
          <w:sz w:val="22"/>
          <w:szCs w:val="22"/>
        </w:rPr>
        <w:t xml:space="preserve"> </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riego</w:t>
      </w:r>
      <w:r w:rsidRPr="00EC452A">
        <w:rPr>
          <w:rFonts w:ascii="Arial" w:eastAsia="Arial" w:hAnsi="Arial" w:cs="Arial"/>
          <w:w w:val="10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superfici</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hectárea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cultivo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básicos</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increment</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rendimiento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z w:val="22"/>
          <w:szCs w:val="22"/>
        </w:rPr>
        <w:t>la producción</w:t>
      </w:r>
      <w:r w:rsidRPr="00EC452A">
        <w:rPr>
          <w:rFonts w:ascii="Arial" w:eastAsia="Arial" w:hAnsi="Arial" w:cs="Arial"/>
          <w:spacing w:val="16"/>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artículos</w:t>
      </w:r>
      <w:r w:rsidRPr="00EC452A">
        <w:rPr>
          <w:rFonts w:ascii="Arial" w:eastAsia="Arial" w:hAnsi="Arial" w:cs="Arial"/>
          <w:spacing w:val="11"/>
          <w:sz w:val="22"/>
          <w:szCs w:val="22"/>
        </w:rPr>
        <w:t xml:space="preserve"> </w:t>
      </w:r>
      <w:r w:rsidRPr="00EC452A">
        <w:rPr>
          <w:rFonts w:ascii="Arial" w:eastAsia="Arial" w:hAnsi="Arial" w:cs="Arial"/>
          <w:sz w:val="22"/>
          <w:szCs w:val="22"/>
        </w:rPr>
        <w:t>básicos</w:t>
      </w:r>
      <w:r w:rsidRPr="00EC452A">
        <w:rPr>
          <w:rFonts w:ascii="Arial" w:eastAsia="Arial" w:hAnsi="Arial" w:cs="Arial"/>
          <w:spacing w:val="10"/>
          <w:sz w:val="22"/>
          <w:szCs w:val="22"/>
        </w:rPr>
        <w:t xml:space="preserve"> </w:t>
      </w:r>
      <w:r w:rsidRPr="00EC452A">
        <w:rPr>
          <w:rFonts w:ascii="Arial" w:eastAsia="Arial" w:hAnsi="Arial" w:cs="Arial"/>
          <w:sz w:val="22"/>
          <w:szCs w:val="22"/>
        </w:rPr>
        <w:t>en</w:t>
      </w:r>
      <w:r w:rsidRPr="00EC452A">
        <w:rPr>
          <w:rFonts w:ascii="Arial" w:eastAsia="Arial" w:hAnsi="Arial" w:cs="Arial"/>
          <w:spacing w:val="1"/>
          <w:sz w:val="22"/>
          <w:szCs w:val="22"/>
        </w:rPr>
        <w:t xml:space="preserve"> </w:t>
      </w:r>
      <w:r w:rsidRPr="00EC452A">
        <w:rPr>
          <w:rFonts w:ascii="Arial" w:eastAsia="Arial" w:hAnsi="Arial" w:cs="Arial"/>
          <w:sz w:val="22"/>
          <w:szCs w:val="22"/>
        </w:rPr>
        <w:t>las</w:t>
      </w:r>
      <w:r w:rsidRPr="00EC452A">
        <w:rPr>
          <w:rFonts w:ascii="Arial" w:eastAsia="Arial" w:hAnsi="Arial" w:cs="Arial"/>
          <w:spacing w:val="2"/>
          <w:sz w:val="22"/>
          <w:szCs w:val="22"/>
        </w:rPr>
        <w:t xml:space="preserve"> </w:t>
      </w:r>
      <w:r w:rsidRPr="00EC452A">
        <w:rPr>
          <w:rFonts w:ascii="Arial" w:eastAsia="Arial" w:hAnsi="Arial" w:cs="Arial"/>
          <w:sz w:val="22"/>
          <w:szCs w:val="22"/>
        </w:rPr>
        <w:t>áreas</w:t>
      </w:r>
      <w:r w:rsidRPr="00EC452A">
        <w:rPr>
          <w:rFonts w:ascii="Arial" w:eastAsia="Arial" w:hAnsi="Arial" w:cs="Arial"/>
          <w:spacing w:val="7"/>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riego,</w:t>
      </w:r>
      <w:r w:rsidRPr="00EC452A">
        <w:rPr>
          <w:rFonts w:ascii="Arial" w:eastAsia="Arial" w:hAnsi="Arial" w:cs="Arial"/>
          <w:spacing w:val="7"/>
          <w:sz w:val="22"/>
          <w:szCs w:val="22"/>
        </w:rPr>
        <w:t xml:space="preserve"> </w:t>
      </w:r>
      <w:r w:rsidRPr="00EC452A">
        <w:rPr>
          <w:rFonts w:ascii="Arial" w:eastAsia="Arial" w:hAnsi="Arial" w:cs="Arial"/>
          <w:sz w:val="22"/>
          <w:szCs w:val="22"/>
        </w:rPr>
        <w:t>con</w:t>
      </w:r>
      <w:r w:rsidRPr="00EC452A">
        <w:rPr>
          <w:rFonts w:ascii="Arial" w:eastAsia="Arial" w:hAnsi="Arial" w:cs="Arial"/>
          <w:spacing w:val="3"/>
          <w:sz w:val="22"/>
          <w:szCs w:val="22"/>
        </w:rPr>
        <w:t xml:space="preserve"> </w:t>
      </w:r>
      <w:r w:rsidRPr="00EC452A">
        <w:rPr>
          <w:rFonts w:ascii="Arial" w:eastAsia="Arial" w:hAnsi="Arial" w:cs="Arial"/>
          <w:sz w:val="22"/>
          <w:szCs w:val="22"/>
        </w:rPr>
        <w:t>especificación</w:t>
      </w:r>
      <w:r w:rsidRPr="00EC452A">
        <w:rPr>
          <w:rFonts w:ascii="Arial" w:eastAsia="Arial" w:hAnsi="Arial" w:cs="Arial"/>
          <w:spacing w:val="21"/>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las</w:t>
      </w:r>
      <w:r w:rsidRPr="00EC452A">
        <w:rPr>
          <w:rFonts w:ascii="Arial" w:eastAsia="Arial" w:hAnsi="Arial" w:cs="Arial"/>
          <w:spacing w:val="2"/>
          <w:sz w:val="22"/>
          <w:szCs w:val="22"/>
        </w:rPr>
        <w:t xml:space="preserve"> </w:t>
      </w:r>
      <w:r w:rsidRPr="00EC452A">
        <w:rPr>
          <w:rFonts w:ascii="Arial" w:eastAsia="Arial" w:hAnsi="Arial" w:cs="Arial"/>
          <w:sz w:val="22"/>
          <w:szCs w:val="22"/>
        </w:rPr>
        <w:t>obras</w:t>
      </w:r>
      <w:r w:rsidRPr="00EC452A">
        <w:rPr>
          <w:rFonts w:ascii="Arial" w:eastAsia="Arial" w:hAnsi="Arial" w:cs="Arial"/>
          <w:spacing w:val="7"/>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z w:val="22"/>
          <w:szCs w:val="22"/>
        </w:rPr>
        <w:t>infraestructura,</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irrigación,</w:t>
      </w:r>
      <w:r w:rsidRPr="00EC452A">
        <w:rPr>
          <w:rFonts w:ascii="Arial" w:eastAsia="Arial" w:hAnsi="Arial" w:cs="Arial"/>
          <w:spacing w:val="23"/>
          <w:sz w:val="22"/>
          <w:szCs w:val="22"/>
        </w:rPr>
        <w:t xml:space="preserve"> </w:t>
      </w:r>
      <w:r w:rsidRPr="00EC452A">
        <w:rPr>
          <w:rFonts w:ascii="Arial" w:eastAsia="Arial" w:hAnsi="Arial" w:cs="Arial"/>
          <w:sz w:val="22"/>
          <w:szCs w:val="22"/>
        </w:rPr>
        <w:t>así</w:t>
      </w:r>
      <w:r w:rsidRPr="00EC452A">
        <w:rPr>
          <w:rFonts w:ascii="Arial" w:eastAsia="Arial" w:hAnsi="Arial" w:cs="Arial"/>
          <w:spacing w:val="12"/>
          <w:sz w:val="22"/>
          <w:szCs w:val="22"/>
        </w:rPr>
        <w:t xml:space="preserve"> </w:t>
      </w:r>
      <w:r w:rsidRPr="00EC452A">
        <w:rPr>
          <w:rFonts w:ascii="Arial" w:eastAsia="Arial" w:hAnsi="Arial" w:cs="Arial"/>
          <w:sz w:val="22"/>
          <w:szCs w:val="22"/>
        </w:rPr>
        <w:t>como</w:t>
      </w:r>
      <w:r w:rsidRPr="00EC452A">
        <w:rPr>
          <w:rFonts w:ascii="Arial" w:eastAsia="Arial" w:hAnsi="Arial" w:cs="Arial"/>
          <w:spacing w:val="16"/>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sz w:val="22"/>
          <w:szCs w:val="22"/>
        </w:rPr>
        <w:t>operación,</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s</w:t>
      </w:r>
      <w:r w:rsidRPr="00EC452A">
        <w:rPr>
          <w:rFonts w:ascii="Arial" w:eastAsia="Arial" w:hAnsi="Arial" w:cs="Arial"/>
          <w:spacing w:val="-15"/>
          <w:sz w:val="22"/>
          <w:szCs w:val="22"/>
        </w:rPr>
        <w:t>e</w:t>
      </w:r>
      <w:r w:rsidRPr="00EC452A">
        <w:rPr>
          <w:rFonts w:ascii="Arial" w:eastAsia="Arial" w:hAnsi="Arial" w:cs="Arial"/>
          <w:spacing w:val="-3"/>
          <w:sz w:val="22"/>
          <w:szCs w:val="22"/>
        </w:rPr>
        <w:t>rvicio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3"/>
          <w:sz w:val="22"/>
          <w:szCs w:val="22"/>
        </w:rPr>
        <w:t>apoy</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3"/>
          <w:sz w:val="22"/>
          <w:szCs w:val="22"/>
        </w:rPr>
        <w:t>qu</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3"/>
          <w:w w:val="102"/>
          <w:sz w:val="22"/>
          <w:szCs w:val="22"/>
        </w:rPr>
        <w:t>requieran.</w:t>
      </w:r>
    </w:p>
    <w:p w14:paraId="75756FF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previsió</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z w:val="22"/>
          <w:szCs w:val="22"/>
        </w:rPr>
        <w:t>y</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otorgamient</w:t>
      </w:r>
      <w:r w:rsidRPr="00EC452A">
        <w:rPr>
          <w:rFonts w:ascii="Arial" w:eastAsia="Arial" w:hAnsi="Arial" w:cs="Arial"/>
          <w:sz w:val="22"/>
          <w:szCs w:val="22"/>
        </w:rPr>
        <w:t xml:space="preserve">o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insumo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paquete</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tecnológico</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 xml:space="preserve">por </w:t>
      </w:r>
      <w:r w:rsidRPr="00EC452A">
        <w:rPr>
          <w:rFonts w:ascii="Arial" w:eastAsia="Arial" w:hAnsi="Arial" w:cs="Arial"/>
          <w:sz w:val="22"/>
          <w:szCs w:val="22"/>
        </w:rPr>
        <w:t>patrones</w:t>
      </w:r>
      <w:r w:rsidRPr="00EC452A">
        <w:rPr>
          <w:rFonts w:ascii="Arial" w:eastAsia="Arial" w:hAnsi="Arial" w:cs="Arial"/>
          <w:spacing w:val="48"/>
          <w:sz w:val="22"/>
          <w:szCs w:val="22"/>
        </w:rPr>
        <w:t xml:space="preserve"> </w:t>
      </w:r>
      <w:r w:rsidRPr="00EC452A">
        <w:rPr>
          <w:rFonts w:ascii="Arial" w:eastAsia="Arial" w:hAnsi="Arial" w:cs="Arial"/>
          <w:sz w:val="22"/>
          <w:szCs w:val="22"/>
        </w:rPr>
        <w:t>de</w:t>
      </w:r>
      <w:r w:rsidRPr="00EC452A">
        <w:rPr>
          <w:rFonts w:ascii="Arial" w:eastAsia="Arial" w:hAnsi="Arial" w:cs="Arial"/>
          <w:spacing w:val="37"/>
          <w:sz w:val="22"/>
          <w:szCs w:val="22"/>
        </w:rPr>
        <w:t xml:space="preserve"> </w:t>
      </w:r>
      <w:r w:rsidRPr="00EC452A">
        <w:rPr>
          <w:rFonts w:ascii="Arial" w:eastAsia="Arial" w:hAnsi="Arial" w:cs="Arial"/>
          <w:sz w:val="22"/>
          <w:szCs w:val="22"/>
        </w:rPr>
        <w:t>cultivos</w:t>
      </w:r>
      <w:r w:rsidRPr="00EC452A">
        <w:rPr>
          <w:rFonts w:ascii="Arial" w:eastAsia="Arial" w:hAnsi="Arial" w:cs="Arial"/>
          <w:spacing w:val="45"/>
          <w:sz w:val="22"/>
          <w:szCs w:val="22"/>
        </w:rPr>
        <w:t xml:space="preserve">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z w:val="22"/>
          <w:szCs w:val="22"/>
        </w:rPr>
        <w:t>por</w:t>
      </w:r>
      <w:r w:rsidRPr="00EC452A">
        <w:rPr>
          <w:rFonts w:ascii="Arial" w:eastAsia="Arial" w:hAnsi="Arial" w:cs="Arial"/>
          <w:spacing w:val="38"/>
          <w:sz w:val="22"/>
          <w:szCs w:val="22"/>
        </w:rPr>
        <w:t xml:space="preserve"> </w:t>
      </w:r>
      <w:r w:rsidRPr="00EC452A">
        <w:rPr>
          <w:rFonts w:ascii="Arial" w:eastAsia="Arial" w:hAnsi="Arial" w:cs="Arial"/>
          <w:sz w:val="22"/>
          <w:szCs w:val="22"/>
        </w:rPr>
        <w:t>zonas,</w:t>
      </w:r>
      <w:r w:rsidRPr="00EC452A">
        <w:rPr>
          <w:rFonts w:ascii="Arial" w:eastAsia="Arial" w:hAnsi="Arial" w:cs="Arial"/>
          <w:spacing w:val="44"/>
          <w:sz w:val="22"/>
          <w:szCs w:val="22"/>
        </w:rPr>
        <w:t xml:space="preserve"> </w:t>
      </w:r>
      <w:r w:rsidRPr="00EC452A">
        <w:rPr>
          <w:rFonts w:ascii="Arial" w:eastAsia="Arial" w:hAnsi="Arial" w:cs="Arial"/>
          <w:sz w:val="22"/>
          <w:szCs w:val="22"/>
        </w:rPr>
        <w:t>así</w:t>
      </w:r>
      <w:r w:rsidRPr="00EC452A">
        <w:rPr>
          <w:rFonts w:ascii="Arial" w:eastAsia="Arial" w:hAnsi="Arial" w:cs="Arial"/>
          <w:spacing w:val="38"/>
          <w:sz w:val="22"/>
          <w:szCs w:val="22"/>
        </w:rPr>
        <w:t xml:space="preserve"> </w:t>
      </w:r>
      <w:r w:rsidRPr="00EC452A">
        <w:rPr>
          <w:rFonts w:ascii="Arial" w:eastAsia="Arial" w:hAnsi="Arial" w:cs="Arial"/>
          <w:sz w:val="22"/>
          <w:szCs w:val="22"/>
        </w:rPr>
        <w:t>como</w:t>
      </w:r>
      <w:r w:rsidRPr="00EC452A">
        <w:rPr>
          <w:rFonts w:ascii="Arial" w:eastAsia="Arial" w:hAnsi="Arial" w:cs="Arial"/>
          <w:spacing w:val="42"/>
          <w:sz w:val="22"/>
          <w:szCs w:val="22"/>
        </w:rPr>
        <w:t xml:space="preserve"> </w:t>
      </w:r>
      <w:r w:rsidRPr="00EC452A">
        <w:rPr>
          <w:rFonts w:ascii="Arial" w:eastAsia="Arial" w:hAnsi="Arial" w:cs="Arial"/>
          <w:sz w:val="22"/>
          <w:szCs w:val="22"/>
        </w:rPr>
        <w:t>los</w:t>
      </w:r>
      <w:r w:rsidRPr="00EC452A">
        <w:rPr>
          <w:rFonts w:ascii="Arial" w:eastAsia="Arial" w:hAnsi="Arial" w:cs="Arial"/>
          <w:spacing w:val="38"/>
          <w:sz w:val="22"/>
          <w:szCs w:val="22"/>
        </w:rPr>
        <w:t xml:space="preserve"> </w:t>
      </w:r>
      <w:r w:rsidRPr="00EC452A">
        <w:rPr>
          <w:rFonts w:ascii="Arial" w:eastAsia="Arial" w:hAnsi="Arial" w:cs="Arial"/>
          <w:sz w:val="22"/>
          <w:szCs w:val="22"/>
        </w:rPr>
        <w:t>servicios</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fitosanitarios </w:t>
      </w:r>
      <w:r w:rsidRPr="00EC452A">
        <w:rPr>
          <w:rFonts w:ascii="Arial" w:eastAsia="Arial" w:hAnsi="Arial" w:cs="Arial"/>
          <w:spacing w:val="1"/>
          <w:sz w:val="22"/>
          <w:szCs w:val="22"/>
        </w:rPr>
        <w:t xml:space="preserve">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z w:val="22"/>
          <w:szCs w:val="22"/>
        </w:rPr>
        <w:t>de</w:t>
      </w:r>
      <w:r w:rsidRPr="00EC452A">
        <w:rPr>
          <w:rFonts w:ascii="Arial" w:eastAsia="Arial" w:hAnsi="Arial" w:cs="Arial"/>
          <w:spacing w:val="37"/>
          <w:sz w:val="22"/>
          <w:szCs w:val="22"/>
        </w:rPr>
        <w:t xml:space="preserve"> </w:t>
      </w:r>
      <w:r w:rsidRPr="00EC452A">
        <w:rPr>
          <w:rFonts w:ascii="Arial" w:eastAsia="Arial" w:hAnsi="Arial" w:cs="Arial"/>
          <w:sz w:val="22"/>
          <w:szCs w:val="22"/>
        </w:rPr>
        <w:t>asistencia</w:t>
      </w:r>
      <w:r w:rsidRPr="00EC452A">
        <w:rPr>
          <w:rFonts w:ascii="Arial" w:eastAsia="Arial" w:hAnsi="Arial" w:cs="Arial"/>
          <w:spacing w:val="50"/>
          <w:sz w:val="22"/>
          <w:szCs w:val="22"/>
        </w:rPr>
        <w:t xml:space="preserve"> </w:t>
      </w:r>
      <w:r w:rsidRPr="00EC452A">
        <w:rPr>
          <w:rFonts w:ascii="Arial" w:eastAsia="Arial" w:hAnsi="Arial" w:cs="Arial"/>
          <w:w w:val="102"/>
          <w:sz w:val="22"/>
          <w:szCs w:val="22"/>
        </w:rPr>
        <w:t xml:space="preserve">técnica,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sea</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2"/>
          <w:w w:val="102"/>
          <w:sz w:val="22"/>
          <w:szCs w:val="22"/>
        </w:rPr>
        <w:t>requeridos.</w:t>
      </w:r>
    </w:p>
    <w:p w14:paraId="35543D4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c)</w:t>
      </w:r>
      <w:r w:rsidRPr="00EC452A">
        <w:rPr>
          <w:rFonts w:ascii="Arial" w:eastAsia="Arial" w:hAnsi="Arial" w:cs="Arial"/>
          <w:spacing w:val="41"/>
          <w:sz w:val="22"/>
          <w:szCs w:val="22"/>
        </w:rPr>
        <w:t xml:space="preserve"> </w:t>
      </w:r>
      <w:r w:rsidRPr="00EC452A">
        <w:rPr>
          <w:rFonts w:ascii="Arial" w:eastAsia="Arial" w:hAnsi="Arial" w:cs="Arial"/>
          <w:sz w:val="22"/>
          <w:szCs w:val="22"/>
        </w:rPr>
        <w:t>Las</w:t>
      </w:r>
      <w:r w:rsidRPr="00EC452A">
        <w:rPr>
          <w:rFonts w:ascii="Arial" w:eastAsia="Arial" w:hAnsi="Arial" w:cs="Arial"/>
          <w:spacing w:val="44"/>
          <w:sz w:val="22"/>
          <w:szCs w:val="22"/>
        </w:rPr>
        <w:t xml:space="preserve"> </w:t>
      </w:r>
      <w:r w:rsidRPr="00EC452A">
        <w:rPr>
          <w:rFonts w:ascii="Arial" w:eastAsia="Arial" w:hAnsi="Arial" w:cs="Arial"/>
          <w:sz w:val="22"/>
          <w:szCs w:val="22"/>
        </w:rPr>
        <w:t>metas</w:t>
      </w:r>
      <w:r w:rsidRPr="00EC452A">
        <w:rPr>
          <w:rFonts w:ascii="Arial" w:eastAsia="Arial" w:hAnsi="Arial" w:cs="Arial"/>
          <w:spacing w:val="48"/>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semilla</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mejorada</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maíz</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frijol</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trigo</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arro</w:t>
      </w:r>
      <w:r w:rsidRPr="00EC452A">
        <w:rPr>
          <w:rFonts w:ascii="Arial" w:eastAsia="Arial" w:hAnsi="Arial" w:cs="Arial"/>
          <w:sz w:val="22"/>
          <w:szCs w:val="22"/>
        </w:rPr>
        <w:t>z</w:t>
      </w:r>
      <w:r w:rsidRPr="00EC452A">
        <w:rPr>
          <w:rFonts w:ascii="Arial" w:eastAsia="Arial" w:hAnsi="Arial" w:cs="Arial"/>
          <w:spacing w:val="33"/>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otros </w:t>
      </w:r>
      <w:r w:rsidRPr="00EC452A">
        <w:rPr>
          <w:rFonts w:ascii="Arial" w:eastAsia="Arial" w:hAnsi="Arial" w:cs="Arial"/>
          <w:sz w:val="22"/>
          <w:szCs w:val="22"/>
        </w:rPr>
        <w:t>cultivos</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específicos.</w:t>
      </w:r>
    </w:p>
    <w:p w14:paraId="7BBFA6A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otorgamient</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asistenci</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técnic</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pecuari</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superficie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programada</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w w:val="102"/>
          <w:sz w:val="22"/>
          <w:szCs w:val="22"/>
        </w:rPr>
        <w:t xml:space="preserve">atender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númer</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determinad</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cabeza</w:t>
      </w:r>
      <w:r w:rsidRPr="00EC452A">
        <w:rPr>
          <w:rFonts w:ascii="Arial" w:eastAsia="Arial" w:hAnsi="Arial" w:cs="Arial"/>
          <w:sz w:val="22"/>
          <w:szCs w:val="22"/>
        </w:rPr>
        <w:t xml:space="preserve">s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ganado</w:t>
      </w:r>
      <w:r w:rsidRPr="00EC452A">
        <w:rPr>
          <w:rFonts w:ascii="Arial" w:eastAsia="Arial" w:hAnsi="Arial" w:cs="Arial"/>
          <w:sz w:val="22"/>
          <w:szCs w:val="22"/>
        </w:rPr>
        <w:t>,</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at</w:t>
      </w:r>
      <w:r w:rsidRPr="00EC452A">
        <w:rPr>
          <w:rFonts w:ascii="Arial" w:eastAsia="Arial" w:hAnsi="Arial" w:cs="Arial"/>
          <w:spacing w:val="-16"/>
          <w:sz w:val="22"/>
          <w:szCs w:val="22"/>
        </w:rPr>
        <w:t>e</w:t>
      </w:r>
      <w:r w:rsidRPr="00EC452A">
        <w:rPr>
          <w:rFonts w:ascii="Arial" w:eastAsia="Arial" w:hAnsi="Arial" w:cs="Arial"/>
          <w:spacing w:val="-1"/>
          <w:sz w:val="22"/>
          <w:szCs w:val="22"/>
        </w:rPr>
        <w:t>nció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sanitari</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dar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animales,</w:t>
      </w:r>
      <w:r w:rsidRPr="00EC452A">
        <w:rPr>
          <w:rFonts w:ascii="Arial" w:eastAsia="Arial" w:hAnsi="Arial" w:cs="Arial"/>
          <w:spacing w:val="23"/>
          <w:sz w:val="22"/>
          <w:szCs w:val="22"/>
        </w:rPr>
        <w:t xml:space="preserve"> </w:t>
      </w:r>
      <w:r w:rsidRPr="00EC452A">
        <w:rPr>
          <w:rFonts w:ascii="Arial" w:eastAsia="Arial" w:hAnsi="Arial" w:cs="Arial"/>
          <w:sz w:val="22"/>
          <w:szCs w:val="22"/>
        </w:rPr>
        <w:t>mediante</w:t>
      </w:r>
      <w:r w:rsidRPr="00EC452A">
        <w:rPr>
          <w:rFonts w:ascii="Arial" w:eastAsia="Arial" w:hAnsi="Arial" w:cs="Arial"/>
          <w:spacing w:val="23"/>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campañas</w:t>
      </w:r>
      <w:r w:rsidRPr="00EC452A">
        <w:rPr>
          <w:rFonts w:ascii="Arial" w:eastAsia="Arial" w:hAnsi="Arial" w:cs="Arial"/>
          <w:spacing w:val="25"/>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establezca</w:t>
      </w:r>
      <w:r w:rsidRPr="00EC452A">
        <w:rPr>
          <w:rFonts w:ascii="Arial" w:eastAsia="Arial" w:hAnsi="Arial" w:cs="Arial"/>
          <w:spacing w:val="25"/>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programa.</w:t>
      </w:r>
    </w:p>
    <w:p w14:paraId="0268668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señalamient</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númer</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tonelada</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produci</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alimento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balanceado</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ganado.</w:t>
      </w:r>
    </w:p>
    <w:p w14:paraId="7A31FC3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f)</w:t>
      </w:r>
      <w:r w:rsidRPr="00EC452A">
        <w:rPr>
          <w:rFonts w:ascii="Arial" w:eastAsia="Arial" w:hAnsi="Arial" w:cs="Arial"/>
          <w:spacing w:val="24"/>
          <w:sz w:val="22"/>
          <w:szCs w:val="22"/>
        </w:rPr>
        <w:t xml:space="preserve"> </w:t>
      </w:r>
      <w:r w:rsidRPr="00EC452A">
        <w:rPr>
          <w:rFonts w:ascii="Arial" w:eastAsia="Arial" w:hAnsi="Arial" w:cs="Arial"/>
          <w:sz w:val="22"/>
          <w:szCs w:val="22"/>
        </w:rPr>
        <w:t>El</w:t>
      </w:r>
      <w:r w:rsidRPr="00EC452A">
        <w:rPr>
          <w:rFonts w:ascii="Arial" w:eastAsia="Arial" w:hAnsi="Arial" w:cs="Arial"/>
          <w:spacing w:val="25"/>
          <w:sz w:val="22"/>
          <w:szCs w:val="22"/>
        </w:rPr>
        <w:t xml:space="preserve"> </w:t>
      </w:r>
      <w:r w:rsidRPr="00EC452A">
        <w:rPr>
          <w:rFonts w:ascii="Arial" w:eastAsia="Arial" w:hAnsi="Arial" w:cs="Arial"/>
          <w:sz w:val="22"/>
          <w:szCs w:val="22"/>
        </w:rPr>
        <w:t>otorgamiento</w:t>
      </w:r>
      <w:r w:rsidRPr="00EC452A">
        <w:rPr>
          <w:rFonts w:ascii="Arial" w:eastAsia="Arial" w:hAnsi="Arial" w:cs="Arial"/>
          <w:spacing w:val="44"/>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asistencia</w:t>
      </w:r>
      <w:r w:rsidRPr="00EC452A">
        <w:rPr>
          <w:rFonts w:ascii="Arial" w:eastAsia="Arial" w:hAnsi="Arial" w:cs="Arial"/>
          <w:spacing w:val="39"/>
          <w:sz w:val="22"/>
          <w:szCs w:val="22"/>
        </w:rPr>
        <w:t xml:space="preserve"> </w:t>
      </w:r>
      <w:r w:rsidRPr="00EC452A">
        <w:rPr>
          <w:rFonts w:ascii="Arial" w:eastAsia="Arial" w:hAnsi="Arial" w:cs="Arial"/>
          <w:sz w:val="22"/>
          <w:szCs w:val="22"/>
        </w:rPr>
        <w:t>técnica</w:t>
      </w:r>
      <w:r w:rsidRPr="00EC452A">
        <w:rPr>
          <w:rFonts w:ascii="Arial" w:eastAsia="Arial" w:hAnsi="Arial" w:cs="Arial"/>
          <w:spacing w:val="34"/>
          <w:sz w:val="22"/>
          <w:szCs w:val="22"/>
        </w:rPr>
        <w:t xml:space="preserve"> </w:t>
      </w:r>
      <w:r w:rsidRPr="00EC452A">
        <w:rPr>
          <w:rFonts w:ascii="Arial" w:eastAsia="Arial" w:hAnsi="Arial" w:cs="Arial"/>
          <w:sz w:val="22"/>
          <w:szCs w:val="22"/>
        </w:rPr>
        <w:t>forestal</w:t>
      </w:r>
      <w:r w:rsidRPr="00EC452A">
        <w:rPr>
          <w:rFonts w:ascii="Arial" w:eastAsia="Arial" w:hAnsi="Arial" w:cs="Arial"/>
          <w:spacing w:val="34"/>
          <w:sz w:val="22"/>
          <w:szCs w:val="22"/>
        </w:rPr>
        <w:t xml:space="preserve"> </w:t>
      </w:r>
      <w:r w:rsidRPr="00EC452A">
        <w:rPr>
          <w:rFonts w:ascii="Arial" w:eastAsia="Arial" w:hAnsi="Arial" w:cs="Arial"/>
          <w:sz w:val="22"/>
          <w:szCs w:val="22"/>
        </w:rPr>
        <w:t>en</w:t>
      </w:r>
      <w:r w:rsidRPr="00EC452A">
        <w:rPr>
          <w:rFonts w:ascii="Arial" w:eastAsia="Arial" w:hAnsi="Arial" w:cs="Arial"/>
          <w:spacing w:val="26"/>
          <w:sz w:val="22"/>
          <w:szCs w:val="22"/>
        </w:rPr>
        <w:t xml:space="preserve"> </w:t>
      </w:r>
      <w:r w:rsidRPr="00EC452A">
        <w:rPr>
          <w:rFonts w:ascii="Arial" w:eastAsia="Arial" w:hAnsi="Arial" w:cs="Arial"/>
          <w:sz w:val="22"/>
          <w:szCs w:val="22"/>
        </w:rPr>
        <w:t>las</w:t>
      </w:r>
      <w:r w:rsidRPr="00EC452A">
        <w:rPr>
          <w:rFonts w:ascii="Arial" w:eastAsia="Arial" w:hAnsi="Arial" w:cs="Arial"/>
          <w:spacing w:val="27"/>
          <w:sz w:val="22"/>
          <w:szCs w:val="22"/>
        </w:rPr>
        <w:t xml:space="preserve"> </w:t>
      </w:r>
      <w:r w:rsidRPr="00EC452A">
        <w:rPr>
          <w:rFonts w:ascii="Arial" w:eastAsia="Arial" w:hAnsi="Arial" w:cs="Arial"/>
          <w:sz w:val="22"/>
          <w:szCs w:val="22"/>
        </w:rPr>
        <w:t>superficies</w:t>
      </w:r>
      <w:r w:rsidRPr="00EC452A">
        <w:rPr>
          <w:rFonts w:ascii="Arial" w:eastAsia="Arial" w:hAnsi="Arial" w:cs="Arial"/>
          <w:spacing w:val="40"/>
          <w:sz w:val="22"/>
          <w:szCs w:val="22"/>
        </w:rPr>
        <w:t xml:space="preserve"> </w:t>
      </w:r>
      <w:r w:rsidRPr="00EC452A">
        <w:rPr>
          <w:rFonts w:ascii="Arial" w:eastAsia="Arial" w:hAnsi="Arial" w:cs="Arial"/>
          <w:spacing w:val="-30"/>
          <w:sz w:val="22"/>
          <w:szCs w:val="22"/>
        </w:rPr>
        <w:t>q</w:t>
      </w:r>
      <w:r w:rsidRPr="00EC452A">
        <w:rPr>
          <w:rFonts w:ascii="Arial" w:eastAsia="Arial" w:hAnsi="Arial" w:cs="Arial"/>
          <w:sz w:val="22"/>
          <w:szCs w:val="22"/>
        </w:rPr>
        <w:t>ue</w:t>
      </w:r>
      <w:r w:rsidRPr="00EC452A">
        <w:rPr>
          <w:rFonts w:ascii="Arial" w:eastAsia="Arial" w:hAnsi="Arial" w:cs="Arial"/>
          <w:spacing w:val="15"/>
          <w:sz w:val="22"/>
          <w:szCs w:val="22"/>
        </w:rPr>
        <w:t xml:space="preserve"> </w:t>
      </w:r>
      <w:r w:rsidRPr="00EC452A">
        <w:rPr>
          <w:rFonts w:ascii="Arial" w:eastAsia="Arial" w:hAnsi="Arial" w:cs="Arial"/>
          <w:sz w:val="22"/>
          <w:szCs w:val="22"/>
        </w:rPr>
        <w:t>se</w:t>
      </w:r>
      <w:r w:rsidRPr="00EC452A">
        <w:rPr>
          <w:rFonts w:ascii="Arial" w:eastAsia="Arial" w:hAnsi="Arial" w:cs="Arial"/>
          <w:spacing w:val="13"/>
          <w:sz w:val="22"/>
          <w:szCs w:val="22"/>
        </w:rPr>
        <w:t xml:space="preserve"> </w:t>
      </w:r>
      <w:r w:rsidRPr="00EC452A">
        <w:rPr>
          <w:rFonts w:ascii="Arial" w:eastAsia="Arial" w:hAnsi="Arial" w:cs="Arial"/>
          <w:sz w:val="22"/>
          <w:szCs w:val="22"/>
        </w:rPr>
        <w:t>fijen,</w:t>
      </w:r>
      <w:r w:rsidRPr="00EC452A">
        <w:rPr>
          <w:rFonts w:ascii="Arial" w:eastAsia="Arial" w:hAnsi="Arial" w:cs="Arial"/>
          <w:spacing w:val="17"/>
          <w:sz w:val="22"/>
          <w:szCs w:val="22"/>
        </w:rPr>
        <w:t xml:space="preserve"> </w:t>
      </w:r>
      <w:r w:rsidRPr="00EC452A">
        <w:rPr>
          <w:rFonts w:ascii="Arial" w:eastAsia="Arial" w:hAnsi="Arial" w:cs="Arial"/>
          <w:sz w:val="22"/>
          <w:szCs w:val="22"/>
        </w:rPr>
        <w:t>con</w:t>
      </w:r>
      <w:r w:rsidRPr="00EC452A">
        <w:rPr>
          <w:rFonts w:ascii="Arial" w:eastAsia="Arial" w:hAnsi="Arial" w:cs="Arial"/>
          <w:spacing w:val="15"/>
          <w:sz w:val="22"/>
          <w:szCs w:val="22"/>
        </w:rPr>
        <w:t xml:space="preserve"> </w:t>
      </w:r>
      <w:r w:rsidRPr="00EC452A">
        <w:rPr>
          <w:rFonts w:ascii="Arial" w:eastAsia="Arial" w:hAnsi="Arial" w:cs="Arial"/>
          <w:sz w:val="22"/>
          <w:szCs w:val="22"/>
        </w:rPr>
        <w:t>la</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indicación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volúmene</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mader</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propong</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obtener</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acuerd</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capacida</w:t>
      </w:r>
      <w:r w:rsidRPr="00EC452A">
        <w:rPr>
          <w:rFonts w:ascii="Arial" w:eastAsia="Arial" w:hAnsi="Arial" w:cs="Arial"/>
          <w:sz w:val="22"/>
          <w:szCs w:val="22"/>
        </w:rPr>
        <w:t xml:space="preserve">d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 xml:space="preserve">que </w:t>
      </w:r>
      <w:r w:rsidRPr="00EC452A">
        <w:rPr>
          <w:rFonts w:ascii="Arial" w:eastAsia="Arial" w:hAnsi="Arial" w:cs="Arial"/>
          <w:spacing w:val="-2"/>
          <w:sz w:val="22"/>
          <w:szCs w:val="22"/>
        </w:rPr>
        <w:t>cuent</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ejido</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comunida</w:t>
      </w:r>
      <w:r w:rsidRPr="00EC452A">
        <w:rPr>
          <w:rFonts w:ascii="Arial" w:eastAsia="Arial" w:hAnsi="Arial" w:cs="Arial"/>
          <w:sz w:val="22"/>
          <w:szCs w:val="22"/>
        </w:rPr>
        <w:t>d</w:t>
      </w:r>
      <w:r w:rsidRPr="00EC452A">
        <w:rPr>
          <w:rFonts w:ascii="Arial" w:eastAsia="Arial" w:hAnsi="Arial" w:cs="Arial"/>
          <w:spacing w:val="24"/>
          <w:sz w:val="22"/>
          <w:szCs w:val="22"/>
        </w:rPr>
        <w:t xml:space="preserve">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pequeñ</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propiedad.</w:t>
      </w:r>
    </w:p>
    <w:p w14:paraId="6AA5CC8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24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dar</w:t>
      </w:r>
      <w:r w:rsidRPr="00EC452A">
        <w:rPr>
          <w:rFonts w:ascii="Arial" w:eastAsia="Arial" w:hAnsi="Arial" w:cs="Arial"/>
          <w:sz w:val="22"/>
          <w:szCs w:val="22"/>
        </w:rPr>
        <w:t>á</w:t>
      </w:r>
      <w:r w:rsidRPr="00EC452A">
        <w:rPr>
          <w:rFonts w:ascii="Arial" w:eastAsia="Arial" w:hAnsi="Arial" w:cs="Arial"/>
          <w:spacing w:val="31"/>
          <w:sz w:val="22"/>
          <w:szCs w:val="22"/>
        </w:rPr>
        <w:t xml:space="preserve"> </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conoce</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w w:val="102"/>
          <w:sz w:val="22"/>
          <w:szCs w:val="22"/>
        </w:rPr>
        <w:t>t</w:t>
      </w:r>
      <w:r w:rsidRPr="00EC452A">
        <w:rPr>
          <w:rFonts w:ascii="Arial" w:eastAsia="Arial" w:hAnsi="Arial" w:cs="Arial"/>
          <w:spacing w:val="-16"/>
          <w:w w:val="102"/>
          <w:sz w:val="22"/>
          <w:szCs w:val="22"/>
        </w:rPr>
        <w:t>e</w:t>
      </w:r>
      <w:r w:rsidRPr="00EC452A">
        <w:rPr>
          <w:rFonts w:ascii="Arial" w:eastAsia="Arial" w:hAnsi="Arial" w:cs="Arial"/>
          <w:spacing w:val="-2"/>
          <w:w w:val="102"/>
          <w:sz w:val="22"/>
          <w:szCs w:val="22"/>
        </w:rPr>
        <w:t xml:space="preserve">mporal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riego</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anticipació</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mínim</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tre</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mese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inici</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productivo:</w:t>
      </w:r>
    </w:p>
    <w:p w14:paraId="75A371D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cultivo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agrícola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actividade</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pecuaria</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forestale</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resulte</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prioritario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regió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encuentre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ubicados.</w:t>
      </w:r>
    </w:p>
    <w:p w14:paraId="1A52298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 xml:space="preserve">.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disponibilida</w:t>
      </w:r>
      <w:r w:rsidRPr="00EC452A">
        <w:rPr>
          <w:rFonts w:ascii="Arial" w:eastAsia="Arial" w:hAnsi="Arial" w:cs="Arial"/>
          <w:sz w:val="22"/>
          <w:szCs w:val="22"/>
        </w:rPr>
        <w:t xml:space="preserve">d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precio</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insumo</w:t>
      </w:r>
      <w:r w:rsidRPr="00EC452A">
        <w:rPr>
          <w:rFonts w:ascii="Arial" w:eastAsia="Arial" w:hAnsi="Arial" w:cs="Arial"/>
          <w:sz w:val="22"/>
          <w:szCs w:val="22"/>
        </w:rPr>
        <w:t xml:space="preserve">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 xml:space="preserve">s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 xml:space="preserve">a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 xml:space="preserve">o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cultivo</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pacing w:val="1"/>
          <w:sz w:val="22"/>
          <w:szCs w:val="22"/>
        </w:rPr>
        <w:t>actividades</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especificand</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1"/>
          <w:sz w:val="22"/>
          <w:szCs w:val="22"/>
        </w:rPr>
        <w:t xml:space="preserve"> meno</w:t>
      </w:r>
      <w:r w:rsidRPr="00EC452A">
        <w:rPr>
          <w:rFonts w:ascii="Arial" w:eastAsia="Arial" w:hAnsi="Arial" w:cs="Arial"/>
          <w:sz w:val="22"/>
          <w:szCs w:val="22"/>
        </w:rPr>
        <w:t xml:space="preserve">s </w:t>
      </w:r>
      <w:r w:rsidRPr="00EC452A">
        <w:rPr>
          <w:rFonts w:ascii="Arial" w:eastAsia="Arial" w:hAnsi="Arial" w:cs="Arial"/>
          <w:spacing w:val="1"/>
          <w:sz w:val="22"/>
          <w:szCs w:val="22"/>
        </w:rPr>
        <w:t>fertilizantes</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insecticidas</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semillas</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combustible</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posibilidade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crédito.</w:t>
      </w:r>
    </w:p>
    <w:p w14:paraId="5D11032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III</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preci</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garantí</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haya</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fijad</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producto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básico</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z w:val="22"/>
          <w:szCs w:val="22"/>
        </w:rPr>
        <w:t>en</w:t>
      </w:r>
      <w:r w:rsidRPr="00EC452A">
        <w:rPr>
          <w:rFonts w:ascii="Arial" w:eastAsia="Arial" w:hAnsi="Arial" w:cs="Arial"/>
          <w:spacing w:val="23"/>
          <w:sz w:val="22"/>
          <w:szCs w:val="22"/>
        </w:rPr>
        <w:t xml:space="preserve"> </w:t>
      </w:r>
      <w:r w:rsidRPr="00EC452A">
        <w:rPr>
          <w:rFonts w:ascii="Arial" w:eastAsia="Arial" w:hAnsi="Arial" w:cs="Arial"/>
          <w:sz w:val="22"/>
          <w:szCs w:val="22"/>
        </w:rPr>
        <w:t>la</w:t>
      </w:r>
      <w:r w:rsidRPr="00EC452A">
        <w:rPr>
          <w:rFonts w:ascii="Arial" w:eastAsia="Arial" w:hAnsi="Arial" w:cs="Arial"/>
          <w:spacing w:val="22"/>
          <w:sz w:val="22"/>
          <w:szCs w:val="22"/>
        </w:rPr>
        <w:t xml:space="preserve"> </w:t>
      </w:r>
      <w:r w:rsidRPr="00EC452A">
        <w:rPr>
          <w:rFonts w:ascii="Arial" w:eastAsia="Arial" w:hAnsi="Arial" w:cs="Arial"/>
          <w:sz w:val="22"/>
          <w:szCs w:val="22"/>
        </w:rPr>
        <w:t>alimentación</w:t>
      </w:r>
      <w:r w:rsidRPr="00EC452A">
        <w:rPr>
          <w:rFonts w:ascii="Arial" w:eastAsia="Arial" w:hAnsi="Arial" w:cs="Arial"/>
          <w:spacing w:val="4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oleaginosos,</w:t>
      </w:r>
      <w:r w:rsidRPr="00EC452A">
        <w:rPr>
          <w:rFonts w:ascii="Arial" w:eastAsia="Arial" w:hAnsi="Arial" w:cs="Arial"/>
          <w:spacing w:val="28"/>
          <w:sz w:val="22"/>
          <w:szCs w:val="22"/>
        </w:rPr>
        <w:t xml:space="preserve"> </w:t>
      </w:r>
      <w:r w:rsidRPr="00EC452A">
        <w:rPr>
          <w:rFonts w:ascii="Arial" w:eastAsia="Arial" w:hAnsi="Arial" w:cs="Arial"/>
          <w:sz w:val="22"/>
          <w:szCs w:val="22"/>
        </w:rPr>
        <w:t>según</w:t>
      </w:r>
      <w:r w:rsidRPr="00EC452A">
        <w:rPr>
          <w:rFonts w:ascii="Arial" w:eastAsia="Arial" w:hAnsi="Arial" w:cs="Arial"/>
          <w:spacing w:val="17"/>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cultivos</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zonas</w:t>
      </w:r>
      <w:r w:rsidRPr="00EC452A">
        <w:rPr>
          <w:rFonts w:ascii="Arial" w:eastAsia="Arial" w:hAnsi="Arial" w:cs="Arial"/>
          <w:spacing w:val="17"/>
          <w:sz w:val="22"/>
          <w:szCs w:val="22"/>
        </w:rPr>
        <w:t xml:space="preserve"> </w:t>
      </w:r>
      <w:r w:rsidRPr="00EC452A">
        <w:rPr>
          <w:rFonts w:ascii="Arial" w:eastAsia="Arial" w:hAnsi="Arial" w:cs="Arial"/>
          <w:sz w:val="22"/>
          <w:szCs w:val="22"/>
        </w:rPr>
        <w:t>agrícolas</w:t>
      </w:r>
      <w:r w:rsidRPr="00EC452A">
        <w:rPr>
          <w:rFonts w:ascii="Arial" w:eastAsia="Arial" w:hAnsi="Arial" w:cs="Arial"/>
          <w:spacing w:val="22"/>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país.</w:t>
      </w:r>
    </w:p>
    <w:p w14:paraId="70B1DAF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Cualquie</w:t>
      </w:r>
      <w:r w:rsidRPr="00EC452A">
        <w:rPr>
          <w:rFonts w:ascii="Arial" w:eastAsia="Arial" w:hAnsi="Arial" w:cs="Arial"/>
          <w:sz w:val="22"/>
          <w:szCs w:val="22"/>
        </w:rPr>
        <w:t xml:space="preserve">r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informació</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adiciona</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utilida</w:t>
      </w:r>
      <w:r w:rsidRPr="00EC452A">
        <w:rPr>
          <w:rFonts w:ascii="Arial" w:eastAsia="Arial" w:hAnsi="Arial" w:cs="Arial"/>
          <w:sz w:val="22"/>
          <w:szCs w:val="22"/>
        </w:rPr>
        <w:t xml:space="preserve">d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coadyuv</w:t>
      </w:r>
      <w:r w:rsidRPr="00EC452A">
        <w:rPr>
          <w:rFonts w:ascii="Arial" w:eastAsia="Arial" w:hAnsi="Arial" w:cs="Arial"/>
          <w:sz w:val="22"/>
          <w:szCs w:val="22"/>
        </w:rPr>
        <w:t xml:space="preserve">e </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 xml:space="preserve">al </w:t>
      </w:r>
      <w:r w:rsidRPr="00EC452A">
        <w:rPr>
          <w:rFonts w:ascii="Arial" w:eastAsia="Arial" w:hAnsi="Arial" w:cs="Arial"/>
          <w:spacing w:val="-1"/>
          <w:sz w:val="22"/>
          <w:szCs w:val="22"/>
        </w:rPr>
        <w:t>mejo</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productividad.</w:t>
      </w:r>
    </w:p>
    <w:p w14:paraId="7229DE4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5"/>
          <w:sz w:val="22"/>
          <w:szCs w:val="22"/>
        </w:rPr>
        <w:t>Artícul</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41"/>
          <w:sz w:val="22"/>
          <w:szCs w:val="22"/>
        </w:rPr>
        <w:t>2</w:t>
      </w:r>
      <w:r w:rsidRPr="00EC452A">
        <w:rPr>
          <w:rFonts w:ascii="Arial" w:eastAsia="Arial" w:hAnsi="Arial" w:cs="Arial"/>
          <w:spacing w:val="-6"/>
          <w:sz w:val="22"/>
          <w:szCs w:val="22"/>
        </w:rPr>
        <w:t>5</w:t>
      </w:r>
      <w:r w:rsidRPr="00EC452A">
        <w:rPr>
          <w:rFonts w:ascii="Arial" w:eastAsia="Arial" w:hAnsi="Arial" w:cs="Arial"/>
          <w:spacing w:val="9"/>
          <w:sz w:val="22"/>
          <w:szCs w:val="22"/>
        </w:rPr>
        <w:t>.</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Secretaria</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conform</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avance</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proceso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elaborará </w:t>
      </w:r>
      <w:r w:rsidRPr="00EC452A">
        <w:rPr>
          <w:rFonts w:ascii="Arial" w:eastAsia="Arial" w:hAnsi="Arial" w:cs="Arial"/>
          <w:spacing w:val="-1"/>
          <w:sz w:val="22"/>
          <w:szCs w:val="22"/>
        </w:rPr>
        <w:t>pronóstico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corregi</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afronta</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posible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desviacione</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metas.</w:t>
      </w:r>
    </w:p>
    <w:p w14:paraId="4B40BAE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26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 xml:space="preserve">á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responsabl</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vigila</w:t>
      </w:r>
      <w:r w:rsidRPr="00EC452A">
        <w:rPr>
          <w:rFonts w:ascii="Arial" w:eastAsia="Arial" w:hAnsi="Arial" w:cs="Arial"/>
          <w:sz w:val="22"/>
          <w:szCs w:val="22"/>
        </w:rPr>
        <w:t xml:space="preserve">r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ejecució</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accion</w:t>
      </w:r>
      <w:r w:rsidRPr="00EC452A">
        <w:rPr>
          <w:rFonts w:ascii="Arial" w:eastAsia="Arial" w:hAnsi="Arial" w:cs="Arial"/>
          <w:sz w:val="22"/>
          <w:szCs w:val="22"/>
        </w:rPr>
        <w:t xml:space="preserve">es,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así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como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aplicación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recursos,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insumos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servicios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requeridos,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1"/>
          <w:sz w:val="22"/>
          <w:szCs w:val="22"/>
        </w:rPr>
        <w:t xml:space="preserve"> </w:t>
      </w:r>
      <w:r w:rsidRPr="00EC452A">
        <w:rPr>
          <w:rFonts w:ascii="Arial" w:eastAsia="Arial" w:hAnsi="Arial" w:cs="Arial"/>
          <w:w w:val="102"/>
          <w:sz w:val="22"/>
          <w:szCs w:val="22"/>
        </w:rPr>
        <w:t xml:space="preserve">el </w:t>
      </w:r>
      <w:r w:rsidRPr="00EC452A">
        <w:rPr>
          <w:rFonts w:ascii="Arial" w:eastAsia="Arial" w:hAnsi="Arial" w:cs="Arial"/>
          <w:spacing w:val="-1"/>
          <w:sz w:val="22"/>
          <w:szCs w:val="22"/>
        </w:rPr>
        <w:t>cumplimient</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señalad</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anterio</w:t>
      </w:r>
      <w:r w:rsidRPr="00EC452A">
        <w:rPr>
          <w:rFonts w:ascii="Arial" w:eastAsia="Arial" w:hAnsi="Arial" w:cs="Arial"/>
          <w:sz w:val="22"/>
          <w:szCs w:val="22"/>
        </w:rPr>
        <w:t>r</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w:t>
      </w:r>
    </w:p>
    <w:p w14:paraId="0D4E446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27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contingenci</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comprenderá</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lleve</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cabo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corregir</w:t>
      </w:r>
      <w:r w:rsidRPr="00EC452A">
        <w:rPr>
          <w:rFonts w:ascii="Arial" w:eastAsia="Arial" w:hAnsi="Arial" w:cs="Arial"/>
          <w:spacing w:val="20"/>
          <w:sz w:val="22"/>
          <w:szCs w:val="22"/>
        </w:rPr>
        <w:t xml:space="preserve"> </w:t>
      </w:r>
      <w:r w:rsidRPr="00EC452A">
        <w:rPr>
          <w:rFonts w:ascii="Arial" w:eastAsia="Arial" w:hAnsi="Arial" w:cs="Arial"/>
          <w:sz w:val="22"/>
          <w:szCs w:val="22"/>
        </w:rPr>
        <w:t>insuficiencias</w:t>
      </w:r>
      <w:r w:rsidRPr="00EC452A">
        <w:rPr>
          <w:rFonts w:ascii="Arial" w:eastAsia="Arial" w:hAnsi="Arial" w:cs="Arial"/>
          <w:spacing w:val="30"/>
          <w:sz w:val="22"/>
          <w:szCs w:val="22"/>
        </w:rPr>
        <w:t xml:space="preserve"> </w:t>
      </w:r>
      <w:r w:rsidRPr="00EC452A">
        <w:rPr>
          <w:rFonts w:ascii="Arial" w:eastAsia="Arial" w:hAnsi="Arial" w:cs="Arial"/>
          <w:spacing w:val="-15"/>
          <w:sz w:val="22"/>
          <w:szCs w:val="22"/>
        </w:rPr>
        <w:t>o</w:t>
      </w:r>
      <w:r w:rsidRPr="00EC452A">
        <w:rPr>
          <w:rFonts w:ascii="Arial" w:eastAsia="Arial" w:hAnsi="Arial" w:cs="Arial"/>
          <w:spacing w:val="-1"/>
          <w:sz w:val="22"/>
          <w:szCs w:val="22"/>
        </w:rPr>
        <w:t>casionada</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w w:val="102"/>
          <w:sz w:val="22"/>
          <w:szCs w:val="22"/>
        </w:rPr>
        <w:t>por:</w:t>
      </w:r>
    </w:p>
    <w:p w14:paraId="0EA2BDC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Fenómeno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climatológico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w w:val="102"/>
          <w:sz w:val="22"/>
          <w:szCs w:val="22"/>
        </w:rPr>
        <w:t>adversos;</w:t>
      </w:r>
    </w:p>
    <w:p w14:paraId="1457EC3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b)</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Plagas;</w:t>
      </w:r>
    </w:p>
    <w:p w14:paraId="0C0CC64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Enfermedades;</w:t>
      </w:r>
    </w:p>
    <w:p w14:paraId="6120622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d)</w:t>
      </w:r>
      <w:r w:rsidRPr="00EC452A">
        <w:rPr>
          <w:rFonts w:ascii="Arial" w:eastAsia="Arial" w:hAnsi="Arial" w:cs="Arial"/>
          <w:spacing w:val="10"/>
          <w:sz w:val="22"/>
          <w:szCs w:val="22"/>
        </w:rPr>
        <w:t xml:space="preserve"> </w:t>
      </w:r>
      <w:r w:rsidRPr="00EC452A">
        <w:rPr>
          <w:rFonts w:ascii="Arial" w:eastAsia="Arial" w:hAnsi="Arial" w:cs="Arial"/>
          <w:sz w:val="22"/>
          <w:szCs w:val="22"/>
        </w:rPr>
        <w:t>Incendios</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y;</w:t>
      </w:r>
    </w:p>
    <w:p w14:paraId="32620E0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Otra</w:t>
      </w:r>
      <w:r w:rsidRPr="00EC452A">
        <w:rPr>
          <w:rFonts w:ascii="Arial" w:eastAsia="Arial" w:hAnsi="Arial" w:cs="Arial"/>
          <w:sz w:val="22"/>
          <w:szCs w:val="22"/>
        </w:rPr>
        <w:t xml:space="preserve">s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causa</w:t>
      </w:r>
      <w:r w:rsidRPr="00EC452A">
        <w:rPr>
          <w:rFonts w:ascii="Arial" w:eastAsia="Arial" w:hAnsi="Arial" w:cs="Arial"/>
          <w:sz w:val="22"/>
          <w:szCs w:val="22"/>
        </w:rPr>
        <w:t xml:space="preserve">s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fuerz</w:t>
      </w:r>
      <w:r w:rsidRPr="00EC452A">
        <w:rPr>
          <w:rFonts w:ascii="Arial" w:eastAsia="Arial" w:hAnsi="Arial" w:cs="Arial"/>
          <w:sz w:val="22"/>
          <w:szCs w:val="22"/>
        </w:rPr>
        <w:t xml:space="preserve">a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mayo</w:t>
      </w:r>
      <w:r w:rsidRPr="00EC452A">
        <w:rPr>
          <w:rFonts w:ascii="Arial" w:eastAsia="Arial" w:hAnsi="Arial" w:cs="Arial"/>
          <w:sz w:val="22"/>
          <w:szCs w:val="22"/>
        </w:rPr>
        <w:t xml:space="preserve">r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reduzca</w:t>
      </w:r>
      <w:r w:rsidRPr="00EC452A">
        <w:rPr>
          <w:rFonts w:ascii="Arial" w:eastAsia="Arial" w:hAnsi="Arial" w:cs="Arial"/>
          <w:sz w:val="22"/>
          <w:szCs w:val="22"/>
        </w:rPr>
        <w:t xml:space="preserve">n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posibilida</w:t>
      </w:r>
      <w:r w:rsidRPr="00EC452A">
        <w:rPr>
          <w:rFonts w:ascii="Arial" w:eastAsia="Arial" w:hAnsi="Arial" w:cs="Arial"/>
          <w:sz w:val="22"/>
          <w:szCs w:val="22"/>
        </w:rPr>
        <w:t xml:space="preserve">d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satisface</w:t>
      </w:r>
      <w:r w:rsidRPr="00EC452A">
        <w:rPr>
          <w:rFonts w:ascii="Arial" w:eastAsia="Arial" w:hAnsi="Arial" w:cs="Arial"/>
          <w:sz w:val="22"/>
          <w:szCs w:val="22"/>
        </w:rPr>
        <w:t xml:space="preserve">r </w:t>
      </w:r>
      <w:r w:rsidRPr="00EC452A">
        <w:rPr>
          <w:rFonts w:ascii="Arial" w:eastAsia="Arial" w:hAnsi="Arial" w:cs="Arial"/>
          <w:spacing w:val="46"/>
          <w:sz w:val="22"/>
          <w:szCs w:val="22"/>
        </w:rPr>
        <w:t xml:space="preserve"> </w:t>
      </w:r>
      <w:r w:rsidRPr="00EC452A">
        <w:rPr>
          <w:rFonts w:ascii="Arial" w:eastAsia="Arial" w:hAnsi="Arial" w:cs="Arial"/>
          <w:spacing w:val="-1"/>
          <w:w w:val="102"/>
          <w:sz w:val="22"/>
          <w:szCs w:val="22"/>
        </w:rPr>
        <w:t xml:space="preserve">necesidades </w:t>
      </w:r>
      <w:r w:rsidRPr="00EC452A">
        <w:rPr>
          <w:rFonts w:ascii="Arial" w:eastAsia="Arial" w:hAnsi="Arial" w:cs="Arial"/>
          <w:sz w:val="22"/>
          <w:szCs w:val="22"/>
        </w:rPr>
        <w:t>nacionales</w:t>
      </w:r>
      <w:r w:rsidRPr="00EC452A">
        <w:rPr>
          <w:rFonts w:ascii="Arial" w:eastAsia="Arial" w:hAnsi="Arial" w:cs="Arial"/>
          <w:spacing w:val="25"/>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productos</w:t>
      </w:r>
      <w:r w:rsidRPr="00EC452A">
        <w:rPr>
          <w:rFonts w:ascii="Arial" w:eastAsia="Arial" w:hAnsi="Arial" w:cs="Arial"/>
          <w:spacing w:val="24"/>
          <w:sz w:val="22"/>
          <w:szCs w:val="22"/>
        </w:rPr>
        <w:t xml:space="preserve"> </w:t>
      </w:r>
      <w:r w:rsidRPr="00EC452A">
        <w:rPr>
          <w:rFonts w:ascii="Arial" w:eastAsia="Arial" w:hAnsi="Arial" w:cs="Arial"/>
          <w:sz w:val="22"/>
          <w:szCs w:val="22"/>
        </w:rPr>
        <w:t>básicos,</w:t>
      </w:r>
      <w:r w:rsidRPr="00EC452A">
        <w:rPr>
          <w:rFonts w:ascii="Arial" w:eastAsia="Arial" w:hAnsi="Arial" w:cs="Arial"/>
          <w:spacing w:val="21"/>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deberán</w:t>
      </w:r>
      <w:r w:rsidRPr="00EC452A">
        <w:rPr>
          <w:rFonts w:ascii="Arial" w:eastAsia="Arial" w:hAnsi="Arial" w:cs="Arial"/>
          <w:spacing w:val="21"/>
          <w:sz w:val="22"/>
          <w:szCs w:val="22"/>
        </w:rPr>
        <w:t xml:space="preserve"> </w:t>
      </w:r>
      <w:r w:rsidRPr="00EC452A">
        <w:rPr>
          <w:rFonts w:ascii="Arial" w:eastAsia="Arial" w:hAnsi="Arial" w:cs="Arial"/>
          <w:sz w:val="22"/>
          <w:szCs w:val="22"/>
        </w:rPr>
        <w:t>ser</w:t>
      </w:r>
      <w:r w:rsidRPr="00EC452A">
        <w:rPr>
          <w:rFonts w:ascii="Arial" w:eastAsia="Arial" w:hAnsi="Arial" w:cs="Arial"/>
          <w:spacing w:val="12"/>
          <w:sz w:val="22"/>
          <w:szCs w:val="22"/>
        </w:rPr>
        <w:t xml:space="preserve"> </w:t>
      </w:r>
      <w:r w:rsidRPr="00EC452A">
        <w:rPr>
          <w:rFonts w:ascii="Arial" w:eastAsia="Arial" w:hAnsi="Arial" w:cs="Arial"/>
          <w:sz w:val="22"/>
          <w:szCs w:val="22"/>
        </w:rPr>
        <w:t>precisadas</w:t>
      </w:r>
      <w:r w:rsidRPr="00EC452A">
        <w:rPr>
          <w:rFonts w:ascii="Arial" w:eastAsia="Arial" w:hAnsi="Arial" w:cs="Arial"/>
          <w:spacing w:val="25"/>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spacing w:val="-15"/>
          <w:w w:val="102"/>
          <w:sz w:val="22"/>
          <w:szCs w:val="22"/>
        </w:rPr>
        <w:t>o</w:t>
      </w:r>
      <w:r w:rsidRPr="00EC452A">
        <w:rPr>
          <w:rFonts w:ascii="Arial" w:eastAsia="Arial" w:hAnsi="Arial" w:cs="Arial"/>
          <w:spacing w:val="-3"/>
          <w:w w:val="102"/>
          <w:sz w:val="22"/>
          <w:szCs w:val="22"/>
        </w:rPr>
        <w:t>portunidad.</w:t>
      </w:r>
    </w:p>
    <w:p w14:paraId="76C18559" w14:textId="77777777" w:rsidR="00EC452A" w:rsidRPr="00EC452A" w:rsidRDefault="00EC452A" w:rsidP="00EC452A">
      <w:pPr>
        <w:spacing w:before="100" w:beforeAutospacing="1" w:after="100" w:afterAutospacing="1" w:line="240" w:lineRule="auto"/>
        <w:jc w:val="both"/>
        <w:rPr>
          <w:rFonts w:ascii="Arial" w:eastAsia="Arial" w:hAnsi="Arial" w:cs="Arial"/>
          <w:spacing w:val="-2"/>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28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Secretaría,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una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vez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realizados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estudios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técnicos  </w:t>
      </w:r>
      <w:r w:rsidRPr="00EC452A">
        <w:rPr>
          <w:rFonts w:ascii="Arial" w:eastAsia="Arial" w:hAnsi="Arial" w:cs="Arial"/>
          <w:spacing w:val="15"/>
          <w:sz w:val="22"/>
          <w:szCs w:val="22"/>
        </w:rPr>
        <w:t xml:space="preserve"> </w:t>
      </w:r>
      <w:r w:rsidRPr="00EC452A">
        <w:rPr>
          <w:rFonts w:ascii="Arial" w:eastAsia="Arial" w:hAnsi="Arial" w:cs="Arial"/>
          <w:w w:val="102"/>
          <w:sz w:val="22"/>
          <w:szCs w:val="22"/>
        </w:rPr>
        <w:t xml:space="preserve">correspondientes, </w:t>
      </w:r>
      <w:r w:rsidRPr="00EC452A">
        <w:rPr>
          <w:rFonts w:ascii="Arial" w:eastAsia="Arial" w:hAnsi="Arial" w:cs="Arial"/>
          <w:spacing w:val="-1"/>
          <w:sz w:val="22"/>
          <w:szCs w:val="22"/>
        </w:rPr>
        <w:t>propondr</w:t>
      </w:r>
      <w:r w:rsidRPr="00EC452A">
        <w:rPr>
          <w:rFonts w:ascii="Arial" w:eastAsia="Arial" w:hAnsi="Arial" w:cs="Arial"/>
          <w:sz w:val="22"/>
          <w:szCs w:val="22"/>
        </w:rPr>
        <w:t>á</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ejecutiv</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aprobación</w:t>
      </w:r>
      <w:r w:rsidRPr="00EC452A">
        <w:rPr>
          <w:rFonts w:ascii="Arial" w:eastAsia="Arial" w:hAnsi="Arial" w:cs="Arial"/>
          <w:sz w:val="22"/>
          <w:szCs w:val="22"/>
        </w:rPr>
        <w:t>,</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contingenci</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sean </w:t>
      </w:r>
      <w:r w:rsidRPr="00EC452A">
        <w:rPr>
          <w:rFonts w:ascii="Arial" w:eastAsia="Arial" w:hAnsi="Arial" w:cs="Arial"/>
          <w:sz w:val="22"/>
          <w:szCs w:val="22"/>
        </w:rPr>
        <w:t>necesarias,</w:t>
      </w:r>
      <w:r w:rsidRPr="00EC452A">
        <w:rPr>
          <w:rFonts w:ascii="Arial" w:eastAsia="Arial" w:hAnsi="Arial" w:cs="Arial"/>
          <w:spacing w:val="16"/>
          <w:sz w:val="22"/>
          <w:szCs w:val="22"/>
        </w:rPr>
        <w:t xml:space="preserve"> </w:t>
      </w:r>
      <w:r w:rsidRPr="00EC452A">
        <w:rPr>
          <w:rFonts w:ascii="Arial" w:eastAsia="Arial" w:hAnsi="Arial" w:cs="Arial"/>
          <w:sz w:val="22"/>
          <w:szCs w:val="22"/>
        </w:rPr>
        <w:t>en</w:t>
      </w:r>
      <w:r w:rsidRPr="00EC452A">
        <w:rPr>
          <w:rFonts w:ascii="Arial" w:eastAsia="Arial" w:hAnsi="Arial" w:cs="Arial"/>
          <w:spacing w:val="1"/>
          <w:sz w:val="22"/>
          <w:szCs w:val="22"/>
        </w:rPr>
        <w:t xml:space="preserve"> </w:t>
      </w:r>
      <w:r w:rsidRPr="00EC452A">
        <w:rPr>
          <w:rFonts w:ascii="Arial" w:eastAsia="Arial" w:hAnsi="Arial" w:cs="Arial"/>
          <w:sz w:val="22"/>
          <w:szCs w:val="22"/>
        </w:rPr>
        <w:t>las</w:t>
      </w:r>
      <w:r w:rsidRPr="00EC452A">
        <w:rPr>
          <w:rFonts w:ascii="Arial" w:eastAsia="Arial" w:hAnsi="Arial" w:cs="Arial"/>
          <w:spacing w:val="2"/>
          <w:sz w:val="22"/>
          <w:szCs w:val="22"/>
        </w:rPr>
        <w:t xml:space="preserve"> </w:t>
      </w:r>
      <w:r w:rsidRPr="00EC452A">
        <w:rPr>
          <w:rFonts w:ascii="Arial" w:eastAsia="Arial" w:hAnsi="Arial" w:cs="Arial"/>
          <w:sz w:val="22"/>
          <w:szCs w:val="22"/>
        </w:rPr>
        <w:t>cuales</w:t>
      </w:r>
      <w:r w:rsidRPr="00EC452A">
        <w:rPr>
          <w:rFonts w:ascii="Arial" w:eastAsia="Arial" w:hAnsi="Arial" w:cs="Arial"/>
          <w:spacing w:val="8"/>
          <w:sz w:val="22"/>
          <w:szCs w:val="22"/>
        </w:rPr>
        <w:t xml:space="preserve"> </w:t>
      </w:r>
      <w:r w:rsidRPr="00EC452A">
        <w:rPr>
          <w:rFonts w:ascii="Arial" w:eastAsia="Arial" w:hAnsi="Arial" w:cs="Arial"/>
          <w:sz w:val="22"/>
          <w:szCs w:val="22"/>
        </w:rPr>
        <w:t>se</w:t>
      </w:r>
      <w:r w:rsidRPr="00EC452A">
        <w:rPr>
          <w:rFonts w:ascii="Arial" w:eastAsia="Arial" w:hAnsi="Arial" w:cs="Arial"/>
          <w:spacing w:val="1"/>
          <w:sz w:val="22"/>
          <w:szCs w:val="22"/>
        </w:rPr>
        <w:t xml:space="preserve"> </w:t>
      </w:r>
      <w:r w:rsidRPr="00EC452A">
        <w:rPr>
          <w:rFonts w:ascii="Arial" w:eastAsia="Arial" w:hAnsi="Arial" w:cs="Arial"/>
          <w:sz w:val="22"/>
          <w:szCs w:val="22"/>
        </w:rPr>
        <w:t>especificará</w:t>
      </w:r>
      <w:r w:rsidRPr="00EC452A">
        <w:rPr>
          <w:rFonts w:ascii="Arial" w:eastAsia="Arial" w:hAnsi="Arial" w:cs="Arial"/>
          <w:spacing w:val="17"/>
          <w:sz w:val="22"/>
          <w:szCs w:val="22"/>
        </w:rPr>
        <w:t xml:space="preserve"> </w:t>
      </w:r>
      <w:r w:rsidRPr="00EC452A">
        <w:rPr>
          <w:rFonts w:ascii="Arial" w:eastAsia="Arial" w:hAnsi="Arial" w:cs="Arial"/>
          <w:sz w:val="22"/>
          <w:szCs w:val="22"/>
        </w:rPr>
        <w:t>la superficie</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afectada </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6"/>
          <w:sz w:val="22"/>
          <w:szCs w:val="22"/>
        </w:rPr>
        <w:t xml:space="preserve"> </w:t>
      </w:r>
      <w:r w:rsidRPr="00EC452A">
        <w:rPr>
          <w:rFonts w:ascii="Arial" w:eastAsia="Arial" w:hAnsi="Arial" w:cs="Arial"/>
          <w:sz w:val="22"/>
          <w:szCs w:val="22"/>
        </w:rPr>
        <w:t>los</w:t>
      </w:r>
      <w:r w:rsidRPr="00EC452A">
        <w:rPr>
          <w:rFonts w:ascii="Arial" w:eastAsia="Arial" w:hAnsi="Arial" w:cs="Arial"/>
          <w:spacing w:val="9"/>
          <w:sz w:val="22"/>
          <w:szCs w:val="22"/>
        </w:rPr>
        <w:t xml:space="preserve"> </w:t>
      </w:r>
      <w:r w:rsidRPr="00EC452A">
        <w:rPr>
          <w:rFonts w:ascii="Arial" w:eastAsia="Arial" w:hAnsi="Arial" w:cs="Arial"/>
          <w:sz w:val="22"/>
          <w:szCs w:val="22"/>
        </w:rPr>
        <w:t>apoyos</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z w:val="22"/>
          <w:szCs w:val="22"/>
        </w:rPr>
        <w:t>cargo</w:t>
      </w:r>
      <w:r w:rsidRPr="00EC452A">
        <w:rPr>
          <w:rFonts w:ascii="Arial" w:eastAsia="Arial" w:hAnsi="Arial" w:cs="Arial"/>
          <w:spacing w:val="14"/>
          <w:sz w:val="22"/>
          <w:szCs w:val="22"/>
        </w:rPr>
        <w:t xml:space="preserve"> </w:t>
      </w:r>
      <w:r w:rsidRPr="00EC452A">
        <w:rPr>
          <w:rFonts w:ascii="Arial" w:eastAsia="Arial" w:hAnsi="Arial" w:cs="Arial"/>
          <w:sz w:val="22"/>
          <w:szCs w:val="22"/>
        </w:rPr>
        <w:t>de</w:t>
      </w:r>
      <w:r w:rsidRPr="00EC452A">
        <w:rPr>
          <w:rFonts w:ascii="Arial" w:eastAsia="Arial" w:hAnsi="Arial" w:cs="Arial"/>
          <w:spacing w:val="8"/>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pacing w:val="-1"/>
          <w:sz w:val="22"/>
          <w:szCs w:val="22"/>
        </w:rPr>
        <w:t>Administració</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contingenci</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comprender</w:t>
      </w:r>
      <w:r w:rsidRPr="00EC452A">
        <w:rPr>
          <w:rFonts w:ascii="Arial" w:eastAsia="Arial" w:hAnsi="Arial" w:cs="Arial"/>
          <w:sz w:val="22"/>
          <w:szCs w:val="22"/>
        </w:rPr>
        <w:t xml:space="preserve">á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período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 xml:space="preserve">no </w:t>
      </w:r>
      <w:r w:rsidRPr="00EC452A">
        <w:rPr>
          <w:rFonts w:ascii="Arial" w:eastAsia="Arial" w:hAnsi="Arial" w:cs="Arial"/>
          <w:sz w:val="22"/>
          <w:szCs w:val="22"/>
        </w:rPr>
        <w:t xml:space="preserve">mayores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un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año,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excepto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casos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por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su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naturaleza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características </w:t>
      </w:r>
      <w:r w:rsidRPr="00EC452A">
        <w:rPr>
          <w:rFonts w:ascii="Arial" w:eastAsia="Arial" w:hAnsi="Arial" w:cs="Arial"/>
          <w:spacing w:val="37"/>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pacing w:val="-2"/>
          <w:sz w:val="22"/>
          <w:szCs w:val="22"/>
        </w:rPr>
        <w:t>requier</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mayo</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2"/>
          <w:w w:val="102"/>
          <w:sz w:val="22"/>
          <w:szCs w:val="22"/>
        </w:rPr>
        <w:t>tiempo.</w:t>
      </w:r>
    </w:p>
    <w:p w14:paraId="7925A0D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29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3"/>
          <w:sz w:val="22"/>
          <w:szCs w:val="22"/>
        </w:rPr>
        <w:t>La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3"/>
          <w:sz w:val="22"/>
          <w:szCs w:val="22"/>
        </w:rPr>
        <w:t>accione</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27"/>
          <w:sz w:val="22"/>
          <w:szCs w:val="22"/>
        </w:rPr>
        <w:t>c</w:t>
      </w:r>
      <w:r w:rsidRPr="00EC452A">
        <w:rPr>
          <w:rFonts w:ascii="Arial" w:eastAsia="Arial" w:hAnsi="Arial" w:cs="Arial"/>
          <w:spacing w:val="-1"/>
          <w:sz w:val="22"/>
          <w:szCs w:val="22"/>
        </w:rPr>
        <w:t>ontingenci</w:t>
      </w:r>
      <w:r w:rsidRPr="00EC452A">
        <w:rPr>
          <w:rFonts w:ascii="Arial" w:eastAsia="Arial" w:hAnsi="Arial" w:cs="Arial"/>
          <w:sz w:val="22"/>
          <w:szCs w:val="22"/>
        </w:rPr>
        <w:t xml:space="preserve">a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concretars</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z w:val="22"/>
          <w:szCs w:val="22"/>
        </w:rPr>
        <w:t>y</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publicada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"Diario </w:t>
      </w:r>
      <w:r w:rsidRPr="00EC452A">
        <w:rPr>
          <w:rFonts w:ascii="Arial" w:eastAsia="Arial" w:hAnsi="Arial" w:cs="Arial"/>
          <w:spacing w:val="-1"/>
          <w:sz w:val="22"/>
          <w:szCs w:val="22"/>
        </w:rPr>
        <w:t>Oficial</w:t>
      </w:r>
      <w:r w:rsidRPr="00EC452A">
        <w:rPr>
          <w:rFonts w:ascii="Arial" w:eastAsia="Arial" w:hAnsi="Arial" w:cs="Arial"/>
          <w:sz w:val="22"/>
          <w:szCs w:val="22"/>
        </w:rPr>
        <w:t xml:space="preserve">"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Federació</w:t>
      </w:r>
      <w:r w:rsidRPr="00EC452A">
        <w:rPr>
          <w:rFonts w:ascii="Arial" w:eastAsia="Arial" w:hAnsi="Arial" w:cs="Arial"/>
          <w:sz w:val="22"/>
          <w:szCs w:val="22"/>
        </w:rPr>
        <w:t xml:space="preserve">n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 xml:space="preserve">n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obligatoria</w:t>
      </w:r>
      <w:r w:rsidRPr="00EC452A">
        <w:rPr>
          <w:rFonts w:ascii="Arial" w:eastAsia="Arial" w:hAnsi="Arial" w:cs="Arial"/>
          <w:sz w:val="22"/>
          <w:szCs w:val="22"/>
        </w:rPr>
        <w:t xml:space="preserve">s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Administració</w:t>
      </w:r>
      <w:r w:rsidRPr="00EC452A">
        <w:rPr>
          <w:rFonts w:ascii="Arial" w:eastAsia="Arial" w:hAnsi="Arial" w:cs="Arial"/>
          <w:sz w:val="22"/>
          <w:szCs w:val="22"/>
        </w:rPr>
        <w:t xml:space="preserve">n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Federa</w:t>
      </w:r>
      <w:r w:rsidRPr="00EC452A">
        <w:rPr>
          <w:rFonts w:ascii="Arial" w:eastAsia="Arial" w:hAnsi="Arial" w:cs="Arial"/>
          <w:sz w:val="22"/>
          <w:szCs w:val="22"/>
        </w:rPr>
        <w:t xml:space="preserve">l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determin</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Ejecutiv</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 xml:space="preserv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detallándos</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 xml:space="preserve">apoyos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comprenderá</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realización</w:t>
      </w:r>
      <w:r w:rsidRPr="00EC452A">
        <w:rPr>
          <w:rFonts w:ascii="Arial" w:eastAsia="Arial" w:hAnsi="Arial" w:cs="Arial"/>
          <w:spacing w:val="25"/>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propias</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acciones.</w:t>
      </w:r>
    </w:p>
    <w:p w14:paraId="3399301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30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promovera</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participació</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concertad</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inducid</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área</w:t>
      </w:r>
      <w:r w:rsidRPr="00EC452A">
        <w:rPr>
          <w:rFonts w:ascii="Arial" w:eastAsia="Arial" w:hAnsi="Arial" w:cs="Arial"/>
          <w:sz w:val="22"/>
          <w:szCs w:val="22"/>
        </w:rPr>
        <w:t xml:space="preserve">s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productora</w:t>
      </w:r>
      <w:r w:rsidRPr="00EC452A">
        <w:rPr>
          <w:rFonts w:ascii="Arial" w:eastAsia="Arial" w:hAnsi="Arial" w:cs="Arial"/>
          <w:sz w:val="22"/>
          <w:szCs w:val="22"/>
        </w:rPr>
        <w:t xml:space="preserve">s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realizació</w:t>
      </w:r>
      <w:r w:rsidRPr="00EC452A">
        <w:rPr>
          <w:rFonts w:ascii="Arial" w:eastAsia="Arial" w:hAnsi="Arial" w:cs="Arial"/>
          <w:sz w:val="22"/>
          <w:szCs w:val="22"/>
        </w:rPr>
        <w:t xml:space="preserve">n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elabore</w:t>
      </w:r>
      <w:r w:rsidRPr="00EC452A">
        <w:rPr>
          <w:rFonts w:ascii="Arial" w:eastAsia="Arial" w:hAnsi="Arial" w:cs="Arial"/>
          <w:sz w:val="22"/>
          <w:szCs w:val="22"/>
        </w:rPr>
        <w:t xml:space="preserve">n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alcanza</w:t>
      </w:r>
      <w:r w:rsidRPr="00EC452A">
        <w:rPr>
          <w:rFonts w:ascii="Arial" w:eastAsia="Arial" w:hAnsi="Arial" w:cs="Arial"/>
          <w:sz w:val="22"/>
          <w:szCs w:val="22"/>
        </w:rPr>
        <w:t xml:space="preserve">r </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z w:val="22"/>
          <w:szCs w:val="22"/>
        </w:rPr>
        <w:t xml:space="preserve">objetivos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metas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Plan,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lo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cual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hará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una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estimación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técnica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 xml:space="preserve">capacidad </w:t>
      </w:r>
      <w:r w:rsidRPr="00EC452A">
        <w:rPr>
          <w:rFonts w:ascii="Arial" w:eastAsia="Arial" w:hAnsi="Arial" w:cs="Arial"/>
          <w:spacing w:val="-1"/>
          <w:sz w:val="22"/>
          <w:szCs w:val="22"/>
        </w:rPr>
        <w:t>productiv</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misma</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área</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productora</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z w:val="22"/>
          <w:szCs w:val="22"/>
        </w:rPr>
        <w:t>y</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establecerá</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coordinació</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Secretaría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Reform</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Agraria</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catálog</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mismas</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naturaleza</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ubicació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características.</w:t>
      </w:r>
    </w:p>
    <w:p w14:paraId="16D72BF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31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llevar</w:t>
      </w:r>
      <w:r w:rsidRPr="00EC452A">
        <w:rPr>
          <w:rFonts w:ascii="Arial" w:eastAsia="Arial" w:hAnsi="Arial" w:cs="Arial"/>
          <w:sz w:val="22"/>
          <w:szCs w:val="22"/>
        </w:rPr>
        <w:t xml:space="preserve">á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cab</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evaluació</w:t>
      </w:r>
      <w:r w:rsidRPr="00EC452A">
        <w:rPr>
          <w:rFonts w:ascii="Arial" w:eastAsia="Arial" w:hAnsi="Arial" w:cs="Arial"/>
          <w:sz w:val="22"/>
          <w:szCs w:val="22"/>
        </w:rPr>
        <w:t xml:space="preserve">n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permanent</w:t>
      </w:r>
      <w:r w:rsidRPr="00EC452A">
        <w:rPr>
          <w:rFonts w:ascii="Arial" w:eastAsia="Arial" w:hAnsi="Arial" w:cs="Arial"/>
          <w:sz w:val="22"/>
          <w:szCs w:val="22"/>
        </w:rPr>
        <w:t xml:space="preserve">e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sistemátic</w:t>
      </w:r>
      <w:r w:rsidRPr="00EC452A">
        <w:rPr>
          <w:rFonts w:ascii="Arial" w:eastAsia="Arial" w:hAnsi="Arial" w:cs="Arial"/>
          <w:sz w:val="22"/>
          <w:szCs w:val="22"/>
        </w:rPr>
        <w:t xml:space="preserve">a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z w:val="22"/>
          <w:szCs w:val="22"/>
        </w:rPr>
        <w:t>y</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acciones</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z w:val="22"/>
          <w:szCs w:val="22"/>
        </w:rPr>
        <w:t>y</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 xml:space="preserve">á </w:t>
      </w:r>
      <w:r w:rsidRPr="00EC452A">
        <w:rPr>
          <w:rFonts w:ascii="Arial" w:eastAsia="Arial" w:hAnsi="Arial" w:cs="Arial"/>
          <w:spacing w:val="1"/>
          <w:sz w:val="22"/>
          <w:szCs w:val="22"/>
        </w:rPr>
        <w:t xml:space="preserve"> </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carg</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coordinació</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requier</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función </w:t>
      </w:r>
      <w:r w:rsidRPr="00EC452A">
        <w:rPr>
          <w:rFonts w:ascii="Arial" w:eastAsia="Arial" w:hAnsi="Arial" w:cs="Arial"/>
          <w:spacing w:val="-3"/>
          <w:sz w:val="22"/>
          <w:szCs w:val="22"/>
        </w:rPr>
        <w:t>par</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3"/>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3"/>
          <w:sz w:val="22"/>
          <w:szCs w:val="22"/>
        </w:rPr>
        <w:t>pued</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3"/>
          <w:sz w:val="22"/>
          <w:szCs w:val="22"/>
        </w:rPr>
        <w:t>se</w:t>
      </w:r>
      <w:r w:rsidRPr="00EC452A">
        <w:rPr>
          <w:rFonts w:ascii="Arial" w:eastAsia="Arial" w:hAnsi="Arial" w:cs="Arial"/>
          <w:sz w:val="22"/>
          <w:szCs w:val="22"/>
        </w:rPr>
        <w:t>r</w:t>
      </w:r>
      <w:r w:rsidRPr="00EC452A">
        <w:rPr>
          <w:rFonts w:ascii="Arial" w:eastAsia="Arial" w:hAnsi="Arial" w:cs="Arial"/>
          <w:spacing w:val="10"/>
          <w:sz w:val="22"/>
          <w:szCs w:val="22"/>
        </w:rPr>
        <w:t xml:space="preserve"> </w:t>
      </w:r>
      <w:r w:rsidRPr="00EC452A">
        <w:rPr>
          <w:rFonts w:ascii="Arial" w:eastAsia="Arial" w:hAnsi="Arial" w:cs="Arial"/>
          <w:spacing w:val="-3"/>
          <w:sz w:val="22"/>
          <w:szCs w:val="22"/>
        </w:rPr>
        <w:t>realizad</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maner</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3"/>
          <w:w w:val="102"/>
          <w:sz w:val="22"/>
          <w:szCs w:val="22"/>
        </w:rPr>
        <w:t>adecuada.</w:t>
      </w:r>
    </w:p>
    <w:p w14:paraId="57BF5AE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Artículo </w:t>
      </w:r>
      <w:r w:rsidRPr="00EC452A">
        <w:rPr>
          <w:rFonts w:ascii="Arial" w:eastAsia="Arial" w:hAnsi="Arial" w:cs="Arial"/>
          <w:spacing w:val="12"/>
          <w:sz w:val="22"/>
          <w:szCs w:val="22"/>
        </w:rPr>
        <w:t xml:space="preserve"> </w:t>
      </w:r>
      <w:r w:rsidRPr="00EC452A">
        <w:rPr>
          <w:rFonts w:ascii="Arial" w:eastAsia="Arial" w:hAnsi="Arial" w:cs="Arial"/>
          <w:spacing w:val="-5"/>
          <w:sz w:val="22"/>
          <w:szCs w:val="22"/>
        </w:rPr>
        <w:t>32</w:t>
      </w:r>
      <w:r w:rsidRPr="00EC452A">
        <w:rPr>
          <w:rFonts w:ascii="Arial" w:eastAsia="Arial" w:hAnsi="Arial" w:cs="Arial"/>
          <w:spacing w:val="10"/>
          <w:sz w:val="22"/>
          <w:szCs w:val="22"/>
        </w:rPr>
        <w:t>.</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Toda</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disposicione</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Reglament</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observars</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las</w:t>
      </w:r>
      <w:r w:rsidRPr="00EC452A">
        <w:rPr>
          <w:rFonts w:ascii="Arial" w:eastAsia="Arial" w:hAnsi="Arial" w:cs="Arial"/>
          <w:spacing w:val="28"/>
          <w:sz w:val="22"/>
          <w:szCs w:val="22"/>
        </w:rPr>
        <w:t xml:space="preserve"> </w:t>
      </w:r>
      <w:r w:rsidRPr="00EC452A">
        <w:rPr>
          <w:rFonts w:ascii="Arial" w:eastAsia="Arial" w:hAnsi="Arial" w:cs="Arial"/>
          <w:sz w:val="22"/>
          <w:szCs w:val="22"/>
        </w:rPr>
        <w:t>contenidas</w:t>
      </w:r>
      <w:r w:rsidRPr="00EC452A">
        <w:rPr>
          <w:rFonts w:ascii="Arial" w:eastAsia="Arial" w:hAnsi="Arial" w:cs="Arial"/>
          <w:spacing w:val="41"/>
          <w:sz w:val="22"/>
          <w:szCs w:val="22"/>
        </w:rPr>
        <w:t xml:space="preserve"> </w:t>
      </w:r>
      <w:r w:rsidRPr="00EC452A">
        <w:rPr>
          <w:rFonts w:ascii="Arial" w:eastAsia="Arial" w:hAnsi="Arial" w:cs="Arial"/>
          <w:sz w:val="22"/>
          <w:szCs w:val="22"/>
        </w:rPr>
        <w:t>en</w:t>
      </w:r>
      <w:r w:rsidRPr="00EC452A">
        <w:rPr>
          <w:rFonts w:ascii="Arial" w:eastAsia="Arial" w:hAnsi="Arial" w:cs="Arial"/>
          <w:spacing w:val="27"/>
          <w:sz w:val="22"/>
          <w:szCs w:val="22"/>
        </w:rPr>
        <w:t xml:space="preserve"> </w:t>
      </w:r>
      <w:r w:rsidRPr="00EC452A">
        <w:rPr>
          <w:rFonts w:ascii="Arial" w:eastAsia="Arial" w:hAnsi="Arial" w:cs="Arial"/>
          <w:sz w:val="22"/>
          <w:szCs w:val="22"/>
        </w:rPr>
        <w:t>la</w:t>
      </w:r>
      <w:r w:rsidRPr="00EC452A">
        <w:rPr>
          <w:rFonts w:ascii="Arial" w:eastAsia="Arial" w:hAnsi="Arial" w:cs="Arial"/>
          <w:spacing w:val="26"/>
          <w:sz w:val="22"/>
          <w:szCs w:val="22"/>
        </w:rPr>
        <w:t xml:space="preserve"> </w:t>
      </w:r>
      <w:r w:rsidRPr="00EC452A">
        <w:rPr>
          <w:rFonts w:ascii="Arial" w:eastAsia="Arial" w:hAnsi="Arial" w:cs="Arial"/>
          <w:sz w:val="22"/>
          <w:szCs w:val="22"/>
        </w:rPr>
        <w:t>Ley</w:t>
      </w:r>
      <w:r w:rsidRPr="00EC452A">
        <w:rPr>
          <w:rFonts w:ascii="Arial" w:eastAsia="Arial" w:hAnsi="Arial" w:cs="Arial"/>
          <w:spacing w:val="29"/>
          <w:sz w:val="22"/>
          <w:szCs w:val="22"/>
        </w:rPr>
        <w:t xml:space="preserve"> </w:t>
      </w:r>
      <w:r w:rsidRPr="00EC452A">
        <w:rPr>
          <w:rFonts w:ascii="Arial" w:eastAsia="Arial" w:hAnsi="Arial" w:cs="Arial"/>
          <w:sz w:val="22"/>
          <w:szCs w:val="22"/>
        </w:rPr>
        <w:t>Federal</w:t>
      </w:r>
      <w:r w:rsidRPr="00EC452A">
        <w:rPr>
          <w:rFonts w:ascii="Arial" w:eastAsia="Arial" w:hAnsi="Arial" w:cs="Arial"/>
          <w:spacing w:val="36"/>
          <w:sz w:val="22"/>
          <w:szCs w:val="22"/>
        </w:rPr>
        <w:t xml:space="preserve"> </w:t>
      </w:r>
      <w:r w:rsidRPr="00EC452A">
        <w:rPr>
          <w:rFonts w:ascii="Arial" w:eastAsia="Arial" w:hAnsi="Arial" w:cs="Arial"/>
          <w:sz w:val="22"/>
          <w:szCs w:val="22"/>
        </w:rPr>
        <w:t>de</w:t>
      </w:r>
      <w:r w:rsidRPr="00EC452A">
        <w:rPr>
          <w:rFonts w:ascii="Arial" w:eastAsia="Arial" w:hAnsi="Arial" w:cs="Arial"/>
          <w:spacing w:val="27"/>
          <w:sz w:val="22"/>
          <w:szCs w:val="22"/>
        </w:rPr>
        <w:t xml:space="preserve"> </w:t>
      </w:r>
      <w:r w:rsidRPr="00EC452A">
        <w:rPr>
          <w:rFonts w:ascii="Arial" w:eastAsia="Arial" w:hAnsi="Arial" w:cs="Arial"/>
          <w:sz w:val="22"/>
          <w:szCs w:val="22"/>
        </w:rPr>
        <w:t>Aguas</w:t>
      </w:r>
      <w:r w:rsidRPr="00EC452A">
        <w:rPr>
          <w:rFonts w:ascii="Arial" w:eastAsia="Arial" w:hAnsi="Arial" w:cs="Arial"/>
          <w:spacing w:val="34"/>
          <w:sz w:val="22"/>
          <w:szCs w:val="22"/>
        </w:rPr>
        <w:t xml:space="preserve"> </w:t>
      </w:r>
      <w:r w:rsidRPr="00EC452A">
        <w:rPr>
          <w:rFonts w:ascii="Arial" w:eastAsia="Arial" w:hAnsi="Arial" w:cs="Arial"/>
          <w:sz w:val="22"/>
          <w:szCs w:val="22"/>
        </w:rPr>
        <w:t>y</w:t>
      </w:r>
      <w:r w:rsidRPr="00EC452A">
        <w:rPr>
          <w:rFonts w:ascii="Arial" w:eastAsia="Arial" w:hAnsi="Arial" w:cs="Arial"/>
          <w:spacing w:val="25"/>
          <w:sz w:val="22"/>
          <w:szCs w:val="22"/>
        </w:rPr>
        <w:t xml:space="preserve"> </w:t>
      </w:r>
      <w:r w:rsidRPr="00EC452A">
        <w:rPr>
          <w:rFonts w:ascii="Arial" w:eastAsia="Arial" w:hAnsi="Arial" w:cs="Arial"/>
          <w:sz w:val="22"/>
          <w:szCs w:val="22"/>
        </w:rPr>
        <w:t>en</w:t>
      </w:r>
      <w:r w:rsidRPr="00EC452A">
        <w:rPr>
          <w:rFonts w:ascii="Arial" w:eastAsia="Arial" w:hAnsi="Arial" w:cs="Arial"/>
          <w:spacing w:val="27"/>
          <w:sz w:val="22"/>
          <w:szCs w:val="22"/>
        </w:rPr>
        <w:t xml:space="preserve"> </w:t>
      </w:r>
      <w:r w:rsidRPr="00EC452A">
        <w:rPr>
          <w:rFonts w:ascii="Arial" w:eastAsia="Arial" w:hAnsi="Arial" w:cs="Arial"/>
          <w:sz w:val="22"/>
          <w:szCs w:val="22"/>
        </w:rPr>
        <w:t>la</w:t>
      </w:r>
      <w:r w:rsidRPr="00EC452A">
        <w:rPr>
          <w:rFonts w:ascii="Arial" w:eastAsia="Arial" w:hAnsi="Arial" w:cs="Arial"/>
          <w:spacing w:val="26"/>
          <w:sz w:val="22"/>
          <w:szCs w:val="22"/>
        </w:rPr>
        <w:t xml:space="preserve"> </w:t>
      </w:r>
      <w:r w:rsidRPr="00EC452A">
        <w:rPr>
          <w:rFonts w:ascii="Arial" w:eastAsia="Arial" w:hAnsi="Arial" w:cs="Arial"/>
          <w:sz w:val="22"/>
          <w:szCs w:val="22"/>
        </w:rPr>
        <w:t>Ley</w:t>
      </w:r>
      <w:r w:rsidRPr="00EC452A">
        <w:rPr>
          <w:rFonts w:ascii="Arial" w:eastAsia="Arial" w:hAnsi="Arial" w:cs="Arial"/>
          <w:spacing w:val="29"/>
          <w:sz w:val="22"/>
          <w:szCs w:val="22"/>
        </w:rPr>
        <w:t xml:space="preserve"> </w:t>
      </w:r>
      <w:r w:rsidRPr="00EC452A">
        <w:rPr>
          <w:rFonts w:ascii="Arial" w:eastAsia="Arial" w:hAnsi="Arial" w:cs="Arial"/>
          <w:sz w:val="22"/>
          <w:szCs w:val="22"/>
        </w:rPr>
        <w:t>Forestal</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5"/>
          <w:sz w:val="22"/>
          <w:szCs w:val="22"/>
        </w:rPr>
        <w:t xml:space="preserve"> </w:t>
      </w:r>
      <w:r w:rsidRPr="00EC452A">
        <w:rPr>
          <w:rFonts w:ascii="Arial" w:eastAsia="Arial" w:hAnsi="Arial" w:cs="Arial"/>
          <w:sz w:val="22"/>
          <w:szCs w:val="22"/>
        </w:rPr>
        <w:t>su</w:t>
      </w:r>
      <w:r w:rsidRPr="00EC452A">
        <w:rPr>
          <w:rFonts w:ascii="Arial" w:eastAsia="Arial" w:hAnsi="Arial" w:cs="Arial"/>
          <w:spacing w:val="27"/>
          <w:sz w:val="22"/>
          <w:szCs w:val="22"/>
        </w:rPr>
        <w:t xml:space="preserve"> </w:t>
      </w:r>
      <w:r w:rsidRPr="00EC452A">
        <w:rPr>
          <w:rFonts w:ascii="Arial" w:eastAsia="Arial" w:hAnsi="Arial" w:cs="Arial"/>
          <w:sz w:val="22"/>
          <w:szCs w:val="22"/>
        </w:rPr>
        <w:t>Reglamento,</w:t>
      </w:r>
      <w:r w:rsidRPr="00EC452A">
        <w:rPr>
          <w:rFonts w:ascii="Arial" w:eastAsia="Arial" w:hAnsi="Arial" w:cs="Arial"/>
          <w:spacing w:val="45"/>
          <w:sz w:val="22"/>
          <w:szCs w:val="22"/>
        </w:rPr>
        <w:t xml:space="preserve"> </w:t>
      </w:r>
      <w:r w:rsidRPr="00EC452A">
        <w:rPr>
          <w:rFonts w:ascii="Arial" w:eastAsia="Arial" w:hAnsi="Arial" w:cs="Arial"/>
          <w:sz w:val="22"/>
          <w:szCs w:val="22"/>
        </w:rPr>
        <w:t>que</w:t>
      </w:r>
      <w:r w:rsidRPr="00EC452A">
        <w:rPr>
          <w:rFonts w:ascii="Arial" w:eastAsia="Arial" w:hAnsi="Arial" w:cs="Arial"/>
          <w:spacing w:val="29"/>
          <w:sz w:val="22"/>
          <w:szCs w:val="22"/>
        </w:rPr>
        <w:t xml:space="preserve"> </w:t>
      </w:r>
      <w:r w:rsidRPr="00EC452A">
        <w:rPr>
          <w:rFonts w:ascii="Arial" w:eastAsia="Arial" w:hAnsi="Arial" w:cs="Arial"/>
          <w:w w:val="102"/>
          <w:sz w:val="22"/>
          <w:szCs w:val="22"/>
        </w:rPr>
        <w:t xml:space="preserve">resulten </w:t>
      </w:r>
      <w:r w:rsidRPr="00EC452A">
        <w:rPr>
          <w:rFonts w:ascii="Arial" w:eastAsia="Arial" w:hAnsi="Arial" w:cs="Arial"/>
          <w:spacing w:val="1"/>
          <w:w w:val="102"/>
          <w:sz w:val="22"/>
          <w:szCs w:val="22"/>
        </w:rPr>
        <w:t>aplicables.</w:t>
      </w:r>
    </w:p>
    <w:p w14:paraId="630E5F00" w14:textId="77777777" w:rsidR="00EC452A" w:rsidRPr="00EC452A" w:rsidRDefault="00EC452A" w:rsidP="00EC452A">
      <w:pPr>
        <w:spacing w:before="100" w:beforeAutospacing="1" w:after="100" w:afterAutospacing="1" w:line="240" w:lineRule="auto"/>
        <w:jc w:val="center"/>
        <w:rPr>
          <w:rFonts w:ascii="Arial" w:eastAsia="Arial" w:hAnsi="Arial" w:cs="Arial"/>
          <w:spacing w:val="-6"/>
          <w:w w:val="102"/>
          <w:sz w:val="22"/>
          <w:szCs w:val="22"/>
        </w:rPr>
      </w:pPr>
      <w:r w:rsidRPr="00EC452A">
        <w:rPr>
          <w:rFonts w:ascii="Arial" w:eastAsia="Arial" w:hAnsi="Arial" w:cs="Arial"/>
          <w:spacing w:val="-6"/>
          <w:sz w:val="22"/>
          <w:szCs w:val="22"/>
        </w:rPr>
        <w:t>TITUL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6"/>
          <w:w w:val="102"/>
          <w:sz w:val="22"/>
          <w:szCs w:val="22"/>
        </w:rPr>
        <w:t>TERCERO</w:t>
      </w:r>
    </w:p>
    <w:p w14:paraId="395F671B"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Organizació</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Producción</w:t>
      </w:r>
    </w:p>
    <w:p w14:paraId="1C034410"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3"/>
          <w:sz w:val="22"/>
          <w:szCs w:val="22"/>
        </w:rPr>
        <w:lastRenderedPageBreak/>
        <w:t>CAPITUL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I</w:t>
      </w:r>
    </w:p>
    <w:p w14:paraId="4456D7B4"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Temporal</w:t>
      </w:r>
    </w:p>
    <w:p w14:paraId="529DEF9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33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integrar</w:t>
      </w:r>
      <w:r w:rsidRPr="00EC452A">
        <w:rPr>
          <w:rFonts w:ascii="Arial" w:eastAsia="Arial" w:hAnsi="Arial" w:cs="Arial"/>
          <w:sz w:val="22"/>
          <w:szCs w:val="22"/>
        </w:rPr>
        <w:t xml:space="preserve">á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Comit</w:t>
      </w:r>
      <w:r w:rsidRPr="00EC452A">
        <w:rPr>
          <w:rFonts w:ascii="Arial" w:eastAsia="Arial" w:hAnsi="Arial" w:cs="Arial"/>
          <w:sz w:val="22"/>
          <w:szCs w:val="22"/>
        </w:rPr>
        <w:t xml:space="preserve">é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 xml:space="preserv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presidid</w:t>
      </w:r>
      <w:r w:rsidRPr="00EC452A">
        <w:rPr>
          <w:rFonts w:ascii="Arial" w:eastAsia="Arial" w:hAnsi="Arial" w:cs="Arial"/>
          <w:sz w:val="22"/>
          <w:szCs w:val="22"/>
        </w:rPr>
        <w:t xml:space="preserve">o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representant</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representacione</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z w:val="22"/>
          <w:szCs w:val="22"/>
        </w:rPr>
        <w:t>y</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prev</w:t>
      </w:r>
      <w:r w:rsidRPr="00EC452A">
        <w:rPr>
          <w:rFonts w:ascii="Arial" w:eastAsia="Arial" w:hAnsi="Arial" w:cs="Arial"/>
          <w:sz w:val="22"/>
          <w:szCs w:val="22"/>
        </w:rPr>
        <w:t>é</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2</w:t>
      </w:r>
      <w:r w:rsidRPr="00EC452A">
        <w:rPr>
          <w:rFonts w:ascii="Arial" w:eastAsia="Arial" w:hAnsi="Arial" w:cs="Arial"/>
          <w:sz w:val="22"/>
          <w:szCs w:val="22"/>
        </w:rPr>
        <w:t>7</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31"/>
          <w:sz w:val="22"/>
          <w:szCs w:val="22"/>
        </w:rPr>
        <w:t>a</w:t>
      </w:r>
      <w:r w:rsidRPr="00EC452A">
        <w:rPr>
          <w:rFonts w:ascii="Arial" w:eastAsia="Arial" w:hAnsi="Arial" w:cs="Arial"/>
          <w:sz w:val="22"/>
          <w:szCs w:val="22"/>
        </w:rPr>
        <w:t>uxiliará</w:t>
      </w:r>
      <w:r w:rsidRPr="00EC452A">
        <w:rPr>
          <w:rFonts w:ascii="Arial" w:eastAsia="Arial" w:hAnsi="Arial" w:cs="Arial"/>
          <w:spacing w:val="28"/>
          <w:sz w:val="22"/>
          <w:szCs w:val="22"/>
        </w:rPr>
        <w:t xml:space="preserve"> </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z w:val="22"/>
          <w:szCs w:val="22"/>
        </w:rPr>
        <w:t>los</w:t>
      </w:r>
      <w:r w:rsidRPr="00EC452A">
        <w:rPr>
          <w:rFonts w:ascii="Arial" w:eastAsia="Arial" w:hAnsi="Arial" w:cs="Arial"/>
          <w:spacing w:val="19"/>
          <w:sz w:val="22"/>
          <w:szCs w:val="22"/>
        </w:rPr>
        <w:t xml:space="preserve"> </w:t>
      </w:r>
      <w:r w:rsidRPr="00EC452A">
        <w:rPr>
          <w:rFonts w:ascii="Arial" w:eastAsia="Arial" w:hAnsi="Arial" w:cs="Arial"/>
          <w:sz w:val="22"/>
          <w:szCs w:val="22"/>
        </w:rPr>
        <w:t>Comités</w:t>
      </w:r>
      <w:r w:rsidRPr="00EC452A">
        <w:rPr>
          <w:rFonts w:ascii="Arial" w:eastAsia="Arial" w:hAnsi="Arial" w:cs="Arial"/>
          <w:spacing w:val="28"/>
          <w:sz w:val="22"/>
          <w:szCs w:val="22"/>
        </w:rPr>
        <w:t xml:space="preserve"> </w:t>
      </w:r>
      <w:r w:rsidRPr="00EC452A">
        <w:rPr>
          <w:rFonts w:ascii="Arial" w:eastAsia="Arial" w:hAnsi="Arial" w:cs="Arial"/>
          <w:sz w:val="22"/>
          <w:szCs w:val="22"/>
        </w:rPr>
        <w:t>Directivos</w:t>
      </w:r>
      <w:r w:rsidRPr="00EC452A">
        <w:rPr>
          <w:rFonts w:ascii="Arial" w:eastAsia="Arial" w:hAnsi="Arial" w:cs="Arial"/>
          <w:spacing w:val="31"/>
          <w:sz w:val="22"/>
          <w:szCs w:val="22"/>
        </w:rPr>
        <w:t xml:space="preserve"> </w:t>
      </w:r>
      <w:r w:rsidRPr="00EC452A">
        <w:rPr>
          <w:rFonts w:ascii="Arial" w:eastAsia="Arial" w:hAnsi="Arial" w:cs="Arial"/>
          <w:sz w:val="22"/>
          <w:szCs w:val="22"/>
        </w:rPr>
        <w:t>de</w:t>
      </w:r>
      <w:r w:rsidRPr="00EC452A">
        <w:rPr>
          <w:rFonts w:ascii="Arial" w:eastAsia="Arial" w:hAnsi="Arial" w:cs="Arial"/>
          <w:spacing w:val="18"/>
          <w:sz w:val="22"/>
          <w:szCs w:val="22"/>
        </w:rPr>
        <w:t xml:space="preserve"> </w:t>
      </w:r>
      <w:r w:rsidRPr="00EC452A">
        <w:rPr>
          <w:rFonts w:ascii="Arial" w:eastAsia="Arial" w:hAnsi="Arial" w:cs="Arial"/>
          <w:sz w:val="22"/>
          <w:szCs w:val="22"/>
        </w:rPr>
        <w:t>los</w:t>
      </w:r>
      <w:r w:rsidRPr="00EC452A">
        <w:rPr>
          <w:rFonts w:ascii="Arial" w:eastAsia="Arial" w:hAnsi="Arial" w:cs="Arial"/>
          <w:spacing w:val="19"/>
          <w:sz w:val="22"/>
          <w:szCs w:val="22"/>
        </w:rPr>
        <w:t xml:space="preserve"> </w:t>
      </w:r>
      <w:r w:rsidRPr="00EC452A">
        <w:rPr>
          <w:rFonts w:ascii="Arial" w:eastAsia="Arial" w:hAnsi="Arial" w:cs="Arial"/>
          <w:sz w:val="22"/>
          <w:szCs w:val="22"/>
        </w:rPr>
        <w:t>distritos</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funcione</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planeación</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organización</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foment</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promoció</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producción </w:t>
      </w:r>
      <w:r w:rsidRPr="00EC452A">
        <w:rPr>
          <w:rFonts w:ascii="Arial" w:eastAsia="Arial" w:hAnsi="Arial" w:cs="Arial"/>
          <w:spacing w:val="-2"/>
          <w:sz w:val="22"/>
          <w:szCs w:val="22"/>
        </w:rPr>
        <w:t>agropecuari</w:t>
      </w:r>
      <w:r w:rsidRPr="00EC452A">
        <w:rPr>
          <w:rFonts w:ascii="Arial" w:eastAsia="Arial" w:hAnsi="Arial" w:cs="Arial"/>
          <w:sz w:val="22"/>
          <w:szCs w:val="22"/>
        </w:rPr>
        <w:t xml:space="preserve">a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forestal</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dentr</w:t>
      </w:r>
      <w:r w:rsidRPr="00EC452A">
        <w:rPr>
          <w:rFonts w:ascii="Arial" w:eastAsia="Arial" w:hAnsi="Arial" w:cs="Arial"/>
          <w:sz w:val="22"/>
          <w:szCs w:val="22"/>
        </w:rPr>
        <w:t xml:space="preserve">o </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zon</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 xml:space="preserve">o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corresponda</w:t>
      </w:r>
      <w:r w:rsidRPr="00EC452A">
        <w:rPr>
          <w:rFonts w:ascii="Arial" w:eastAsia="Arial" w:hAnsi="Arial" w:cs="Arial"/>
          <w:sz w:val="22"/>
          <w:szCs w:val="22"/>
        </w:rPr>
        <w:t xml:space="preserve">,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promover</w:t>
      </w:r>
      <w:r w:rsidRPr="00EC452A">
        <w:rPr>
          <w:rFonts w:ascii="Arial" w:eastAsia="Arial" w:hAnsi="Arial" w:cs="Arial"/>
          <w:sz w:val="22"/>
          <w:szCs w:val="22"/>
        </w:rPr>
        <w:t xml:space="preserve">á </w:t>
      </w:r>
      <w:r w:rsidRPr="00EC452A">
        <w:rPr>
          <w:rFonts w:ascii="Arial" w:eastAsia="Arial" w:hAnsi="Arial" w:cs="Arial"/>
          <w:spacing w:val="43"/>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z w:val="22"/>
          <w:szCs w:val="22"/>
        </w:rPr>
        <w:t xml:space="preserve">coordinación </w:t>
      </w:r>
      <w:r w:rsidRPr="00EC452A">
        <w:rPr>
          <w:rFonts w:ascii="Arial" w:eastAsia="Arial" w:hAnsi="Arial" w:cs="Arial"/>
          <w:spacing w:val="6"/>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sz w:val="22"/>
          <w:szCs w:val="22"/>
        </w:rPr>
        <w:t>las</w:t>
      </w:r>
      <w:r w:rsidRPr="00EC452A">
        <w:rPr>
          <w:rFonts w:ascii="Arial" w:eastAsia="Arial" w:hAnsi="Arial" w:cs="Arial"/>
          <w:spacing w:val="42"/>
          <w:sz w:val="22"/>
          <w:szCs w:val="22"/>
        </w:rPr>
        <w:t xml:space="preserve"> </w:t>
      </w:r>
      <w:r w:rsidRPr="00EC452A">
        <w:rPr>
          <w:rFonts w:ascii="Arial" w:eastAsia="Arial" w:hAnsi="Arial" w:cs="Arial"/>
          <w:sz w:val="22"/>
          <w:szCs w:val="22"/>
        </w:rPr>
        <w:t>acti</w:t>
      </w:r>
      <w:r w:rsidRPr="00EC452A">
        <w:rPr>
          <w:rFonts w:ascii="Arial" w:eastAsia="Arial" w:hAnsi="Arial" w:cs="Arial"/>
          <w:spacing w:val="-1"/>
          <w:sz w:val="22"/>
          <w:szCs w:val="22"/>
        </w:rPr>
        <w:t>vidade</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z w:val="22"/>
          <w:szCs w:val="22"/>
        </w:rPr>
        <w:t>y</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Administració</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Pública </w:t>
      </w:r>
      <w:r w:rsidRPr="00EC452A">
        <w:rPr>
          <w:rFonts w:ascii="Arial" w:eastAsia="Arial" w:hAnsi="Arial" w:cs="Arial"/>
          <w:spacing w:val="-1"/>
          <w:sz w:val="22"/>
          <w:szCs w:val="22"/>
        </w:rPr>
        <w:t>Federa</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participe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áre</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trate</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organizacione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campesinas </w:t>
      </w:r>
      <w:r w:rsidRPr="00EC452A">
        <w:rPr>
          <w:rFonts w:ascii="Arial" w:eastAsia="Arial" w:hAnsi="Arial" w:cs="Arial"/>
          <w:spacing w:val="1"/>
          <w:sz w:val="22"/>
          <w:szCs w:val="22"/>
        </w:rPr>
        <w:t>nacionale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asociacione</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distinta</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ramas.</w:t>
      </w:r>
    </w:p>
    <w:p w14:paraId="0FFCDCC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34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3"/>
          <w:sz w:val="22"/>
          <w:szCs w:val="22"/>
        </w:rPr>
        <w:t>Cuand</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3"/>
          <w:sz w:val="22"/>
          <w:szCs w:val="22"/>
        </w:rPr>
        <w:t>e</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Gobernado</w:t>
      </w:r>
      <w:r w:rsidRPr="00EC452A">
        <w:rPr>
          <w:rFonts w:ascii="Arial" w:eastAsia="Arial" w:hAnsi="Arial" w:cs="Arial"/>
          <w:sz w:val="22"/>
          <w:szCs w:val="22"/>
        </w:rPr>
        <w:t>r</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Estad</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asist</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reunione</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Directivos </w:t>
      </w:r>
      <w:r w:rsidRPr="00EC452A">
        <w:rPr>
          <w:rFonts w:ascii="Arial" w:eastAsia="Arial" w:hAnsi="Arial" w:cs="Arial"/>
          <w:sz w:val="22"/>
          <w:szCs w:val="22"/>
        </w:rPr>
        <w:t xml:space="preserve">de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distritos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temporal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asumirá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presidencia,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tal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caso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representante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2"/>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á</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carácte</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Vicepresidente.</w:t>
      </w:r>
    </w:p>
    <w:p w14:paraId="72AE9A3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35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distrit</w:t>
      </w:r>
      <w:r w:rsidRPr="00EC452A">
        <w:rPr>
          <w:rFonts w:ascii="Arial" w:eastAsia="Arial" w:hAnsi="Arial" w:cs="Arial"/>
          <w:sz w:val="22"/>
          <w:szCs w:val="22"/>
        </w:rPr>
        <w:t xml:space="preserve">o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tempora</w:t>
      </w:r>
      <w:r w:rsidRPr="00EC452A">
        <w:rPr>
          <w:rFonts w:ascii="Arial" w:eastAsia="Arial" w:hAnsi="Arial" w:cs="Arial"/>
          <w:sz w:val="22"/>
          <w:szCs w:val="22"/>
        </w:rPr>
        <w:t xml:space="preserve">l </w:t>
      </w:r>
      <w:r w:rsidRPr="00EC452A">
        <w:rPr>
          <w:rFonts w:ascii="Arial" w:eastAsia="Arial" w:hAnsi="Arial" w:cs="Arial"/>
          <w:spacing w:val="24"/>
          <w:sz w:val="22"/>
          <w:szCs w:val="22"/>
        </w:rPr>
        <w:t xml:space="preserve"> </w:t>
      </w:r>
      <w:r w:rsidRPr="00EC452A">
        <w:rPr>
          <w:rFonts w:ascii="Arial" w:eastAsia="Arial" w:hAnsi="Arial" w:cs="Arial"/>
          <w:spacing w:val="-43"/>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registrará</w:t>
      </w:r>
      <w:r w:rsidRPr="00EC452A">
        <w:rPr>
          <w:rFonts w:ascii="Arial" w:eastAsia="Arial" w:hAnsi="Arial" w:cs="Arial"/>
          <w:sz w:val="22"/>
          <w:szCs w:val="22"/>
        </w:rPr>
        <w:t xml:space="preserve">n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representante</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acreditado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integre</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Comit</w:t>
      </w:r>
      <w:r w:rsidRPr="00EC452A">
        <w:rPr>
          <w:rFonts w:ascii="Arial" w:eastAsia="Arial" w:hAnsi="Arial" w:cs="Arial"/>
          <w:sz w:val="22"/>
          <w:szCs w:val="22"/>
        </w:rPr>
        <w:t xml:space="preserve">é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Directiv</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correspondient</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tomar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not</w:t>
      </w:r>
      <w:r w:rsidRPr="00EC452A">
        <w:rPr>
          <w:rFonts w:ascii="Arial" w:eastAsia="Arial" w:hAnsi="Arial" w:cs="Arial"/>
          <w:sz w:val="22"/>
          <w:szCs w:val="22"/>
        </w:rPr>
        <w:t xml:space="preserve">a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document</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les </w:t>
      </w:r>
      <w:r w:rsidRPr="00EC452A">
        <w:rPr>
          <w:rFonts w:ascii="Arial" w:eastAsia="Arial" w:hAnsi="Arial" w:cs="Arial"/>
          <w:spacing w:val="-1"/>
          <w:sz w:val="22"/>
          <w:szCs w:val="22"/>
        </w:rPr>
        <w:t>confier</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es</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carácter.</w:t>
      </w:r>
    </w:p>
    <w:p w14:paraId="2F5F9E6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2"/>
          <w:w w:val="102"/>
          <w:sz w:val="22"/>
          <w:szCs w:val="22"/>
        </w:rPr>
        <w:t>36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z w:val="22"/>
          <w:szCs w:val="22"/>
        </w:rPr>
        <w:t>fin</w:t>
      </w:r>
      <w:r w:rsidRPr="00EC452A">
        <w:rPr>
          <w:rFonts w:ascii="Arial" w:eastAsia="Arial" w:hAnsi="Arial" w:cs="Arial"/>
          <w:spacing w:val="25"/>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facilitar</w:t>
      </w:r>
      <w:r w:rsidRPr="00EC452A">
        <w:rPr>
          <w:rFonts w:ascii="Arial" w:eastAsia="Arial" w:hAnsi="Arial" w:cs="Arial"/>
          <w:spacing w:val="33"/>
          <w:sz w:val="22"/>
          <w:szCs w:val="22"/>
        </w:rPr>
        <w:t xml:space="preserve"> </w:t>
      </w:r>
      <w:r w:rsidRPr="00EC452A">
        <w:rPr>
          <w:rFonts w:ascii="Arial" w:eastAsia="Arial" w:hAnsi="Arial" w:cs="Arial"/>
          <w:sz w:val="22"/>
          <w:szCs w:val="22"/>
        </w:rPr>
        <w:t>la</w:t>
      </w:r>
      <w:r w:rsidRPr="00EC452A">
        <w:rPr>
          <w:rFonts w:ascii="Arial" w:eastAsia="Arial" w:hAnsi="Arial" w:cs="Arial"/>
          <w:spacing w:val="24"/>
          <w:sz w:val="22"/>
          <w:szCs w:val="22"/>
        </w:rPr>
        <w:t xml:space="preserve"> </w:t>
      </w:r>
      <w:r w:rsidRPr="00EC452A">
        <w:rPr>
          <w:rFonts w:ascii="Arial" w:eastAsia="Arial" w:hAnsi="Arial" w:cs="Arial"/>
          <w:sz w:val="22"/>
          <w:szCs w:val="22"/>
        </w:rPr>
        <w:t>toma</w:t>
      </w:r>
      <w:r w:rsidRPr="00EC452A">
        <w:rPr>
          <w:rFonts w:ascii="Arial" w:eastAsia="Arial" w:hAnsi="Arial" w:cs="Arial"/>
          <w:spacing w:val="29"/>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decisiones</w:t>
      </w:r>
      <w:r w:rsidRPr="00EC452A">
        <w:rPr>
          <w:rFonts w:ascii="Arial" w:eastAsia="Arial" w:hAnsi="Arial" w:cs="Arial"/>
          <w:spacing w:val="39"/>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Comités</w:t>
      </w:r>
      <w:r w:rsidRPr="00EC452A">
        <w:rPr>
          <w:rFonts w:ascii="Arial" w:eastAsia="Arial" w:hAnsi="Arial" w:cs="Arial"/>
          <w:spacing w:val="35"/>
          <w:sz w:val="22"/>
          <w:szCs w:val="22"/>
        </w:rPr>
        <w:t xml:space="preserve"> </w:t>
      </w:r>
      <w:r w:rsidRPr="00EC452A">
        <w:rPr>
          <w:rFonts w:ascii="Arial" w:eastAsia="Arial" w:hAnsi="Arial" w:cs="Arial"/>
          <w:sz w:val="22"/>
          <w:szCs w:val="22"/>
        </w:rPr>
        <w:t>Directivos</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dist</w:t>
      </w:r>
      <w:r w:rsidRPr="00EC452A">
        <w:rPr>
          <w:rFonts w:ascii="Arial" w:eastAsia="Arial" w:hAnsi="Arial" w:cs="Arial"/>
          <w:spacing w:val="-15"/>
          <w:sz w:val="22"/>
          <w:szCs w:val="22"/>
        </w:rPr>
        <w:t>r</w:t>
      </w:r>
      <w:r w:rsidRPr="00EC452A">
        <w:rPr>
          <w:rFonts w:ascii="Arial" w:eastAsia="Arial" w:hAnsi="Arial" w:cs="Arial"/>
          <w:spacing w:val="1"/>
          <w:sz w:val="22"/>
          <w:szCs w:val="22"/>
        </w:rPr>
        <w:t>ito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temporal</w:t>
      </w:r>
      <w:r w:rsidRPr="00EC452A">
        <w:rPr>
          <w:rFonts w:ascii="Arial" w:eastAsia="Arial" w:hAnsi="Arial" w:cs="Arial"/>
          <w:sz w:val="22"/>
          <w:szCs w:val="22"/>
        </w:rPr>
        <w:t xml:space="preserve">,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integra</w:t>
      </w:r>
      <w:r w:rsidRPr="00EC452A">
        <w:rPr>
          <w:rFonts w:ascii="Arial" w:eastAsia="Arial" w:hAnsi="Arial" w:cs="Arial"/>
          <w:sz w:val="22"/>
          <w:szCs w:val="22"/>
        </w:rPr>
        <w:t xml:space="preserve">n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dota</w:t>
      </w:r>
      <w:r w:rsidRPr="00EC452A">
        <w:rPr>
          <w:rFonts w:ascii="Arial" w:eastAsia="Arial" w:hAnsi="Arial" w:cs="Arial"/>
          <w:sz w:val="22"/>
          <w:szCs w:val="22"/>
        </w:rPr>
        <w:t xml:space="preserve">r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representante</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elemento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facultade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requieran.</w:t>
      </w:r>
    </w:p>
    <w:p w14:paraId="024CAEA9"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position w:val="-1"/>
          <w:sz w:val="22"/>
          <w:szCs w:val="22"/>
        </w:rPr>
      </w:pPr>
      <w:r w:rsidRPr="00EC452A">
        <w:rPr>
          <w:rFonts w:ascii="Arial" w:eastAsia="Arial" w:hAnsi="Arial" w:cs="Arial"/>
          <w:spacing w:val="-2"/>
          <w:position w:val="-1"/>
          <w:sz w:val="22"/>
          <w:szCs w:val="22"/>
        </w:rPr>
        <w:t>Artícul</w:t>
      </w:r>
      <w:r w:rsidRPr="00EC452A">
        <w:rPr>
          <w:rFonts w:ascii="Arial" w:eastAsia="Arial" w:hAnsi="Arial" w:cs="Arial"/>
          <w:position w:val="-1"/>
          <w:sz w:val="22"/>
          <w:szCs w:val="22"/>
        </w:rPr>
        <w:t xml:space="preserve">o  </w:t>
      </w:r>
      <w:r w:rsidRPr="00EC452A">
        <w:rPr>
          <w:rFonts w:ascii="Arial" w:eastAsia="Arial" w:hAnsi="Arial" w:cs="Arial"/>
          <w:spacing w:val="48"/>
          <w:position w:val="-1"/>
          <w:sz w:val="22"/>
          <w:szCs w:val="22"/>
        </w:rPr>
        <w:t xml:space="preserve"> </w:t>
      </w:r>
      <w:r w:rsidRPr="00EC452A">
        <w:rPr>
          <w:rFonts w:ascii="Arial" w:eastAsia="Arial" w:hAnsi="Arial" w:cs="Arial"/>
          <w:spacing w:val="-2"/>
          <w:w w:val="102"/>
          <w:position w:val="-1"/>
          <w:sz w:val="22"/>
          <w:szCs w:val="22"/>
        </w:rPr>
        <w:t>37</w:t>
      </w:r>
      <w:r w:rsidRPr="00EC452A">
        <w:rPr>
          <w:rFonts w:ascii="Arial" w:eastAsia="Arial" w:hAnsi="Arial" w:cs="Arial"/>
          <w:w w:val="102"/>
          <w:position w:val="-1"/>
          <w:sz w:val="22"/>
          <w:szCs w:val="22"/>
        </w:rPr>
        <w:t>.</w:t>
      </w:r>
      <w:r w:rsidRPr="00EC452A">
        <w:rPr>
          <w:rFonts w:ascii="Arial" w:eastAsia="Arial" w:hAnsi="Arial" w:cs="Arial"/>
          <w:spacing w:val="-39"/>
          <w:position w:val="-1"/>
          <w:sz w:val="22"/>
          <w:szCs w:val="22"/>
        </w:rPr>
        <w:t xml:space="preserve"> </w:t>
      </w:r>
      <w:r w:rsidRPr="00EC452A">
        <w:rPr>
          <w:rFonts w:ascii="Arial" w:eastAsia="Arial" w:hAnsi="Arial" w:cs="Arial"/>
          <w:position w:val="-1"/>
          <w:sz w:val="22"/>
          <w:szCs w:val="22"/>
        </w:rPr>
        <w:t xml:space="preserve">-  </w:t>
      </w:r>
      <w:r w:rsidRPr="00EC452A">
        <w:rPr>
          <w:rFonts w:ascii="Arial" w:eastAsia="Arial" w:hAnsi="Arial" w:cs="Arial"/>
          <w:spacing w:val="33"/>
          <w:position w:val="-1"/>
          <w:sz w:val="22"/>
          <w:szCs w:val="22"/>
        </w:rPr>
        <w:t xml:space="preserve"> </w:t>
      </w:r>
      <w:r w:rsidRPr="00EC452A">
        <w:rPr>
          <w:rFonts w:ascii="Arial" w:eastAsia="Arial" w:hAnsi="Arial" w:cs="Arial"/>
          <w:spacing w:val="-1"/>
          <w:position w:val="-1"/>
          <w:sz w:val="22"/>
          <w:szCs w:val="22"/>
        </w:rPr>
        <w:t>Lo</w:t>
      </w:r>
      <w:r w:rsidRPr="00EC452A">
        <w:rPr>
          <w:rFonts w:ascii="Arial" w:eastAsia="Arial" w:hAnsi="Arial" w:cs="Arial"/>
          <w:position w:val="-1"/>
          <w:sz w:val="22"/>
          <w:szCs w:val="22"/>
        </w:rPr>
        <w:t xml:space="preserve">s  </w:t>
      </w:r>
      <w:r w:rsidRPr="00EC452A">
        <w:rPr>
          <w:rFonts w:ascii="Arial" w:eastAsia="Arial" w:hAnsi="Arial" w:cs="Arial"/>
          <w:spacing w:val="42"/>
          <w:position w:val="-1"/>
          <w:sz w:val="22"/>
          <w:szCs w:val="22"/>
        </w:rPr>
        <w:t xml:space="preserve"> </w:t>
      </w:r>
      <w:r w:rsidRPr="00EC452A">
        <w:rPr>
          <w:rFonts w:ascii="Arial" w:eastAsia="Arial" w:hAnsi="Arial" w:cs="Arial"/>
          <w:spacing w:val="-1"/>
          <w:position w:val="-1"/>
          <w:sz w:val="22"/>
          <w:szCs w:val="22"/>
        </w:rPr>
        <w:t>Comité</w:t>
      </w:r>
      <w:r w:rsidRPr="00EC452A">
        <w:rPr>
          <w:rFonts w:ascii="Arial" w:eastAsia="Arial" w:hAnsi="Arial" w:cs="Arial"/>
          <w:position w:val="-1"/>
          <w:sz w:val="22"/>
          <w:szCs w:val="22"/>
        </w:rPr>
        <w:t xml:space="preserve">s  </w:t>
      </w:r>
      <w:r w:rsidRPr="00EC452A">
        <w:rPr>
          <w:rFonts w:ascii="Arial" w:eastAsia="Arial" w:hAnsi="Arial" w:cs="Arial"/>
          <w:spacing w:val="50"/>
          <w:position w:val="-1"/>
          <w:sz w:val="22"/>
          <w:szCs w:val="22"/>
        </w:rPr>
        <w:t xml:space="preserve"> </w:t>
      </w:r>
      <w:r w:rsidRPr="00EC452A">
        <w:rPr>
          <w:rFonts w:ascii="Arial" w:eastAsia="Arial" w:hAnsi="Arial" w:cs="Arial"/>
          <w:spacing w:val="-1"/>
          <w:position w:val="-1"/>
          <w:sz w:val="22"/>
          <w:szCs w:val="22"/>
        </w:rPr>
        <w:t>Directivo</w:t>
      </w:r>
      <w:r w:rsidRPr="00EC452A">
        <w:rPr>
          <w:rFonts w:ascii="Arial" w:eastAsia="Arial" w:hAnsi="Arial" w:cs="Arial"/>
          <w:position w:val="-1"/>
          <w:sz w:val="22"/>
          <w:szCs w:val="22"/>
        </w:rPr>
        <w:t xml:space="preserve">s  </w:t>
      </w:r>
      <w:r w:rsidRPr="00EC452A">
        <w:rPr>
          <w:rFonts w:ascii="Arial" w:eastAsia="Arial" w:hAnsi="Arial" w:cs="Arial"/>
          <w:spacing w:val="53"/>
          <w:position w:val="-1"/>
          <w:sz w:val="22"/>
          <w:szCs w:val="22"/>
        </w:rPr>
        <w:t xml:space="preserve"> </w:t>
      </w:r>
      <w:r w:rsidRPr="00EC452A">
        <w:rPr>
          <w:rFonts w:ascii="Arial" w:eastAsia="Arial" w:hAnsi="Arial" w:cs="Arial"/>
          <w:spacing w:val="-1"/>
          <w:position w:val="-1"/>
          <w:sz w:val="22"/>
          <w:szCs w:val="22"/>
        </w:rPr>
        <w:t>d</w:t>
      </w:r>
      <w:r w:rsidRPr="00EC452A">
        <w:rPr>
          <w:rFonts w:ascii="Arial" w:eastAsia="Arial" w:hAnsi="Arial" w:cs="Arial"/>
          <w:position w:val="-1"/>
          <w:sz w:val="22"/>
          <w:szCs w:val="22"/>
        </w:rPr>
        <w:t xml:space="preserve">e  </w:t>
      </w:r>
      <w:r w:rsidRPr="00EC452A">
        <w:rPr>
          <w:rFonts w:ascii="Arial" w:eastAsia="Arial" w:hAnsi="Arial" w:cs="Arial"/>
          <w:spacing w:val="40"/>
          <w:position w:val="-1"/>
          <w:sz w:val="22"/>
          <w:szCs w:val="22"/>
        </w:rPr>
        <w:t xml:space="preserve"> </w:t>
      </w:r>
      <w:r w:rsidRPr="00EC452A">
        <w:rPr>
          <w:rFonts w:ascii="Arial" w:eastAsia="Arial" w:hAnsi="Arial" w:cs="Arial"/>
          <w:spacing w:val="-1"/>
          <w:position w:val="-1"/>
          <w:sz w:val="22"/>
          <w:szCs w:val="22"/>
        </w:rPr>
        <w:t>lo</w:t>
      </w:r>
      <w:r w:rsidRPr="00EC452A">
        <w:rPr>
          <w:rFonts w:ascii="Arial" w:eastAsia="Arial" w:hAnsi="Arial" w:cs="Arial"/>
          <w:position w:val="-1"/>
          <w:sz w:val="22"/>
          <w:szCs w:val="22"/>
        </w:rPr>
        <w:t xml:space="preserve">s  </w:t>
      </w:r>
      <w:r w:rsidRPr="00EC452A">
        <w:rPr>
          <w:rFonts w:ascii="Arial" w:eastAsia="Arial" w:hAnsi="Arial" w:cs="Arial"/>
          <w:spacing w:val="41"/>
          <w:position w:val="-1"/>
          <w:sz w:val="22"/>
          <w:szCs w:val="22"/>
        </w:rPr>
        <w:t xml:space="preserve"> </w:t>
      </w:r>
      <w:r w:rsidRPr="00EC452A">
        <w:rPr>
          <w:rFonts w:ascii="Arial" w:eastAsia="Arial" w:hAnsi="Arial" w:cs="Arial"/>
          <w:spacing w:val="-1"/>
          <w:position w:val="-1"/>
          <w:sz w:val="22"/>
          <w:szCs w:val="22"/>
        </w:rPr>
        <w:t>distrito</w:t>
      </w:r>
      <w:r w:rsidRPr="00EC452A">
        <w:rPr>
          <w:rFonts w:ascii="Arial" w:eastAsia="Arial" w:hAnsi="Arial" w:cs="Arial"/>
          <w:position w:val="-1"/>
          <w:sz w:val="22"/>
          <w:szCs w:val="22"/>
        </w:rPr>
        <w:t xml:space="preserve">s  </w:t>
      </w:r>
      <w:r w:rsidRPr="00EC452A">
        <w:rPr>
          <w:rFonts w:ascii="Arial" w:eastAsia="Arial" w:hAnsi="Arial" w:cs="Arial"/>
          <w:spacing w:val="49"/>
          <w:position w:val="-1"/>
          <w:sz w:val="22"/>
          <w:szCs w:val="22"/>
        </w:rPr>
        <w:t xml:space="preserve"> </w:t>
      </w:r>
      <w:r w:rsidRPr="00EC452A">
        <w:rPr>
          <w:rFonts w:ascii="Arial" w:eastAsia="Arial" w:hAnsi="Arial" w:cs="Arial"/>
          <w:spacing w:val="-1"/>
          <w:position w:val="-1"/>
          <w:sz w:val="22"/>
          <w:szCs w:val="22"/>
        </w:rPr>
        <w:t>d</w:t>
      </w:r>
      <w:r w:rsidRPr="00EC452A">
        <w:rPr>
          <w:rFonts w:ascii="Arial" w:eastAsia="Arial" w:hAnsi="Arial" w:cs="Arial"/>
          <w:position w:val="-1"/>
          <w:sz w:val="22"/>
          <w:szCs w:val="22"/>
        </w:rPr>
        <w:t xml:space="preserve">e  </w:t>
      </w:r>
      <w:r w:rsidRPr="00EC452A">
        <w:rPr>
          <w:rFonts w:ascii="Arial" w:eastAsia="Arial" w:hAnsi="Arial" w:cs="Arial"/>
          <w:spacing w:val="40"/>
          <w:position w:val="-1"/>
          <w:sz w:val="22"/>
          <w:szCs w:val="22"/>
        </w:rPr>
        <w:t xml:space="preserve"> </w:t>
      </w:r>
      <w:r w:rsidRPr="00EC452A">
        <w:rPr>
          <w:rFonts w:ascii="Arial" w:eastAsia="Arial" w:hAnsi="Arial" w:cs="Arial"/>
          <w:spacing w:val="-1"/>
          <w:position w:val="-1"/>
          <w:sz w:val="22"/>
          <w:szCs w:val="22"/>
        </w:rPr>
        <w:t>tempora</w:t>
      </w:r>
      <w:r w:rsidRPr="00EC452A">
        <w:rPr>
          <w:rFonts w:ascii="Arial" w:eastAsia="Arial" w:hAnsi="Arial" w:cs="Arial"/>
          <w:position w:val="-1"/>
          <w:sz w:val="22"/>
          <w:szCs w:val="22"/>
        </w:rPr>
        <w:t xml:space="preserve">l  </w:t>
      </w:r>
      <w:r w:rsidRPr="00EC452A">
        <w:rPr>
          <w:rFonts w:ascii="Arial" w:eastAsia="Arial" w:hAnsi="Arial" w:cs="Arial"/>
          <w:spacing w:val="51"/>
          <w:position w:val="-1"/>
          <w:sz w:val="22"/>
          <w:szCs w:val="22"/>
        </w:rPr>
        <w:t xml:space="preserve"> </w:t>
      </w:r>
      <w:r w:rsidRPr="00EC452A">
        <w:rPr>
          <w:rFonts w:ascii="Arial" w:eastAsia="Arial" w:hAnsi="Arial" w:cs="Arial"/>
          <w:spacing w:val="-1"/>
          <w:position w:val="-1"/>
          <w:sz w:val="22"/>
          <w:szCs w:val="22"/>
        </w:rPr>
        <w:t>deberá</w:t>
      </w:r>
      <w:r w:rsidRPr="00EC452A">
        <w:rPr>
          <w:rFonts w:ascii="Arial" w:eastAsia="Arial" w:hAnsi="Arial" w:cs="Arial"/>
          <w:position w:val="-1"/>
          <w:sz w:val="22"/>
          <w:szCs w:val="22"/>
        </w:rPr>
        <w:t xml:space="preserve">n  </w:t>
      </w:r>
      <w:r w:rsidRPr="00EC452A">
        <w:rPr>
          <w:rFonts w:ascii="Arial" w:eastAsia="Arial" w:hAnsi="Arial" w:cs="Arial"/>
          <w:spacing w:val="50"/>
          <w:position w:val="-1"/>
          <w:sz w:val="22"/>
          <w:szCs w:val="22"/>
        </w:rPr>
        <w:t xml:space="preserve"> </w:t>
      </w:r>
      <w:r w:rsidRPr="00EC452A">
        <w:rPr>
          <w:rFonts w:ascii="Arial" w:eastAsia="Arial" w:hAnsi="Arial" w:cs="Arial"/>
          <w:spacing w:val="-1"/>
          <w:w w:val="102"/>
          <w:position w:val="-1"/>
          <w:sz w:val="22"/>
          <w:szCs w:val="22"/>
        </w:rPr>
        <w:t>reunirse</w:t>
      </w:r>
      <w:r w:rsidRPr="00EC452A">
        <w:rPr>
          <w:rFonts w:ascii="Arial" w:eastAsia="Arial" w:hAnsi="Arial" w:cs="Arial"/>
          <w:spacing w:val="1"/>
          <w:position w:val="-1"/>
          <w:sz w:val="22"/>
          <w:szCs w:val="22"/>
        </w:rPr>
        <w:t xml:space="preserve"> mensualmente</w:t>
      </w:r>
      <w:r w:rsidRPr="00EC452A">
        <w:rPr>
          <w:rFonts w:ascii="Arial" w:eastAsia="Arial" w:hAnsi="Arial" w:cs="Arial"/>
          <w:position w:val="-1"/>
          <w:sz w:val="22"/>
          <w:szCs w:val="22"/>
        </w:rPr>
        <w:t xml:space="preserve">, </w:t>
      </w:r>
      <w:r w:rsidRPr="00EC452A">
        <w:rPr>
          <w:rFonts w:ascii="Arial" w:eastAsia="Arial" w:hAnsi="Arial" w:cs="Arial"/>
          <w:spacing w:val="26"/>
          <w:position w:val="-1"/>
          <w:sz w:val="22"/>
          <w:szCs w:val="22"/>
        </w:rPr>
        <w:t xml:space="preserve"> </w:t>
      </w:r>
      <w:r w:rsidRPr="00EC452A">
        <w:rPr>
          <w:rFonts w:ascii="Arial" w:eastAsia="Arial" w:hAnsi="Arial" w:cs="Arial"/>
          <w:spacing w:val="1"/>
          <w:position w:val="-1"/>
          <w:sz w:val="22"/>
          <w:szCs w:val="22"/>
        </w:rPr>
        <w:t>e</w:t>
      </w:r>
      <w:r w:rsidRPr="00EC452A">
        <w:rPr>
          <w:rFonts w:ascii="Arial" w:eastAsia="Arial" w:hAnsi="Arial" w:cs="Arial"/>
          <w:position w:val="-1"/>
          <w:sz w:val="22"/>
          <w:szCs w:val="22"/>
        </w:rPr>
        <w:t xml:space="preserve">n </w:t>
      </w:r>
      <w:r w:rsidRPr="00EC452A">
        <w:rPr>
          <w:rFonts w:ascii="Arial" w:eastAsia="Arial" w:hAnsi="Arial" w:cs="Arial"/>
          <w:spacing w:val="4"/>
          <w:position w:val="-1"/>
          <w:sz w:val="22"/>
          <w:szCs w:val="22"/>
        </w:rPr>
        <w:t xml:space="preserve"> </w:t>
      </w:r>
      <w:r w:rsidRPr="00EC452A">
        <w:rPr>
          <w:rFonts w:ascii="Arial" w:eastAsia="Arial" w:hAnsi="Arial" w:cs="Arial"/>
          <w:spacing w:val="1"/>
          <w:position w:val="-1"/>
          <w:sz w:val="22"/>
          <w:szCs w:val="22"/>
        </w:rPr>
        <w:t>e</w:t>
      </w:r>
      <w:r w:rsidRPr="00EC452A">
        <w:rPr>
          <w:rFonts w:ascii="Arial" w:eastAsia="Arial" w:hAnsi="Arial" w:cs="Arial"/>
          <w:position w:val="-1"/>
          <w:sz w:val="22"/>
          <w:szCs w:val="22"/>
        </w:rPr>
        <w:t xml:space="preserve">l </w:t>
      </w:r>
      <w:r w:rsidRPr="00EC452A">
        <w:rPr>
          <w:rFonts w:ascii="Arial" w:eastAsia="Arial" w:hAnsi="Arial" w:cs="Arial"/>
          <w:spacing w:val="3"/>
          <w:position w:val="-1"/>
          <w:sz w:val="22"/>
          <w:szCs w:val="22"/>
        </w:rPr>
        <w:t xml:space="preserve"> </w:t>
      </w:r>
      <w:r w:rsidRPr="00EC452A">
        <w:rPr>
          <w:rFonts w:ascii="Arial" w:eastAsia="Arial" w:hAnsi="Arial" w:cs="Arial"/>
          <w:spacing w:val="1"/>
          <w:position w:val="-1"/>
          <w:sz w:val="22"/>
          <w:szCs w:val="22"/>
        </w:rPr>
        <w:t>día</w:t>
      </w:r>
      <w:r w:rsidRPr="00EC452A">
        <w:rPr>
          <w:rFonts w:ascii="Arial" w:eastAsia="Arial" w:hAnsi="Arial" w:cs="Arial"/>
          <w:position w:val="-1"/>
          <w:sz w:val="22"/>
          <w:szCs w:val="22"/>
        </w:rPr>
        <w:t xml:space="preserve">, </w:t>
      </w:r>
      <w:r w:rsidRPr="00EC452A">
        <w:rPr>
          <w:rFonts w:ascii="Arial" w:eastAsia="Arial" w:hAnsi="Arial" w:cs="Arial"/>
          <w:spacing w:val="6"/>
          <w:position w:val="-1"/>
          <w:sz w:val="22"/>
          <w:szCs w:val="22"/>
        </w:rPr>
        <w:t xml:space="preserve"> </w:t>
      </w:r>
      <w:r w:rsidRPr="00EC452A">
        <w:rPr>
          <w:rFonts w:ascii="Arial" w:eastAsia="Arial" w:hAnsi="Arial" w:cs="Arial"/>
          <w:spacing w:val="1"/>
          <w:position w:val="-1"/>
          <w:sz w:val="22"/>
          <w:szCs w:val="22"/>
        </w:rPr>
        <w:t>hor</w:t>
      </w:r>
      <w:r w:rsidRPr="00EC452A">
        <w:rPr>
          <w:rFonts w:ascii="Arial" w:eastAsia="Arial" w:hAnsi="Arial" w:cs="Arial"/>
          <w:position w:val="-1"/>
          <w:sz w:val="22"/>
          <w:szCs w:val="22"/>
        </w:rPr>
        <w:t xml:space="preserve">a </w:t>
      </w:r>
      <w:r w:rsidRPr="00EC452A">
        <w:rPr>
          <w:rFonts w:ascii="Arial" w:eastAsia="Arial" w:hAnsi="Arial" w:cs="Arial"/>
          <w:spacing w:val="8"/>
          <w:position w:val="-1"/>
          <w:sz w:val="22"/>
          <w:szCs w:val="22"/>
        </w:rPr>
        <w:t xml:space="preserve"> </w:t>
      </w:r>
      <w:r w:rsidRPr="00EC452A">
        <w:rPr>
          <w:rFonts w:ascii="Arial" w:eastAsia="Arial" w:hAnsi="Arial" w:cs="Arial"/>
          <w:w w:val="102"/>
          <w:position w:val="-1"/>
          <w:sz w:val="22"/>
          <w:szCs w:val="22"/>
        </w:rPr>
        <w:t xml:space="preserve">y </w:t>
      </w:r>
      <w:r w:rsidRPr="00EC452A">
        <w:rPr>
          <w:rFonts w:ascii="Arial" w:eastAsia="Arial" w:hAnsi="Arial" w:cs="Arial"/>
          <w:spacing w:val="-108"/>
          <w:position w:val="-1"/>
          <w:sz w:val="22"/>
          <w:szCs w:val="22"/>
        </w:rPr>
        <w:t>u</w:t>
      </w:r>
      <w:r w:rsidRPr="00EC452A">
        <w:rPr>
          <w:rFonts w:ascii="Arial" w:eastAsia="Arial" w:hAnsi="Arial" w:cs="Arial"/>
          <w:position w:val="-1"/>
          <w:sz w:val="22"/>
          <w:szCs w:val="22"/>
        </w:rPr>
        <w:t>l</w:t>
      </w:r>
      <w:r w:rsidRPr="00EC452A">
        <w:rPr>
          <w:rFonts w:ascii="Arial" w:eastAsia="Arial" w:hAnsi="Arial" w:cs="Arial"/>
          <w:spacing w:val="11"/>
          <w:position w:val="-1"/>
          <w:sz w:val="22"/>
          <w:szCs w:val="22"/>
        </w:rPr>
        <w:t xml:space="preserve"> </w:t>
      </w:r>
      <w:r w:rsidRPr="00EC452A">
        <w:rPr>
          <w:rFonts w:ascii="Arial" w:eastAsia="Arial" w:hAnsi="Arial" w:cs="Arial"/>
          <w:spacing w:val="-1"/>
          <w:position w:val="-1"/>
          <w:sz w:val="22"/>
          <w:szCs w:val="22"/>
        </w:rPr>
        <w:t>ga</w:t>
      </w:r>
      <w:r w:rsidRPr="00EC452A">
        <w:rPr>
          <w:rFonts w:ascii="Arial" w:eastAsia="Arial" w:hAnsi="Arial" w:cs="Arial"/>
          <w:position w:val="-1"/>
          <w:sz w:val="22"/>
          <w:szCs w:val="22"/>
        </w:rPr>
        <w:t>r</w:t>
      </w:r>
      <w:r w:rsidRPr="00EC452A">
        <w:rPr>
          <w:rFonts w:ascii="Arial" w:eastAsia="Arial" w:hAnsi="Arial" w:cs="Arial"/>
          <w:spacing w:val="45"/>
          <w:position w:val="-1"/>
          <w:sz w:val="22"/>
          <w:szCs w:val="22"/>
        </w:rPr>
        <w:t xml:space="preserve"> </w:t>
      </w:r>
      <w:r w:rsidRPr="00EC452A">
        <w:rPr>
          <w:rFonts w:ascii="Arial" w:eastAsia="Arial" w:hAnsi="Arial" w:cs="Arial"/>
          <w:spacing w:val="-1"/>
          <w:position w:val="-1"/>
          <w:sz w:val="22"/>
          <w:szCs w:val="22"/>
        </w:rPr>
        <w:t>qu</w:t>
      </w:r>
      <w:r w:rsidRPr="00EC452A">
        <w:rPr>
          <w:rFonts w:ascii="Arial" w:eastAsia="Arial" w:hAnsi="Arial" w:cs="Arial"/>
          <w:position w:val="-1"/>
          <w:sz w:val="22"/>
          <w:szCs w:val="22"/>
        </w:rPr>
        <w:t>e</w:t>
      </w:r>
      <w:r w:rsidRPr="00EC452A">
        <w:rPr>
          <w:rFonts w:ascii="Arial" w:eastAsia="Arial" w:hAnsi="Arial" w:cs="Arial"/>
          <w:spacing w:val="46"/>
          <w:position w:val="-1"/>
          <w:sz w:val="22"/>
          <w:szCs w:val="22"/>
        </w:rPr>
        <w:t xml:space="preserve"> </w:t>
      </w:r>
      <w:r w:rsidRPr="00EC452A">
        <w:rPr>
          <w:rFonts w:ascii="Arial" w:eastAsia="Arial" w:hAnsi="Arial" w:cs="Arial"/>
          <w:spacing w:val="-1"/>
          <w:position w:val="-1"/>
          <w:sz w:val="22"/>
          <w:szCs w:val="22"/>
        </w:rPr>
        <w:t>s</w:t>
      </w:r>
      <w:r w:rsidRPr="00EC452A">
        <w:rPr>
          <w:rFonts w:ascii="Arial" w:eastAsia="Arial" w:hAnsi="Arial" w:cs="Arial"/>
          <w:position w:val="-1"/>
          <w:sz w:val="22"/>
          <w:szCs w:val="22"/>
        </w:rPr>
        <w:t>e</w:t>
      </w:r>
      <w:r w:rsidRPr="00EC452A">
        <w:rPr>
          <w:rFonts w:ascii="Arial" w:eastAsia="Arial" w:hAnsi="Arial" w:cs="Arial"/>
          <w:spacing w:val="44"/>
          <w:position w:val="-1"/>
          <w:sz w:val="22"/>
          <w:szCs w:val="22"/>
        </w:rPr>
        <w:t xml:space="preserve"> </w:t>
      </w:r>
      <w:r w:rsidRPr="00EC452A">
        <w:rPr>
          <w:rFonts w:ascii="Arial" w:eastAsia="Arial" w:hAnsi="Arial" w:cs="Arial"/>
          <w:spacing w:val="-1"/>
          <w:position w:val="-1"/>
          <w:sz w:val="22"/>
          <w:szCs w:val="22"/>
        </w:rPr>
        <w:t>señale</w:t>
      </w:r>
      <w:r w:rsidRPr="00EC452A">
        <w:rPr>
          <w:rFonts w:ascii="Arial" w:eastAsia="Arial" w:hAnsi="Arial" w:cs="Arial"/>
          <w:position w:val="-1"/>
          <w:sz w:val="22"/>
          <w:szCs w:val="22"/>
        </w:rPr>
        <w:t xml:space="preserve">n  </w:t>
      </w:r>
      <w:r w:rsidRPr="00EC452A">
        <w:rPr>
          <w:rFonts w:ascii="Arial" w:eastAsia="Arial" w:hAnsi="Arial" w:cs="Arial"/>
          <w:spacing w:val="-1"/>
          <w:position w:val="-1"/>
          <w:sz w:val="22"/>
          <w:szCs w:val="22"/>
        </w:rPr>
        <w:t>e</w:t>
      </w:r>
      <w:r w:rsidRPr="00EC452A">
        <w:rPr>
          <w:rFonts w:ascii="Arial" w:eastAsia="Arial" w:hAnsi="Arial" w:cs="Arial"/>
          <w:position w:val="-1"/>
          <w:sz w:val="22"/>
          <w:szCs w:val="22"/>
        </w:rPr>
        <w:t>n</w:t>
      </w:r>
      <w:r w:rsidRPr="00EC452A">
        <w:rPr>
          <w:rFonts w:ascii="Arial" w:eastAsia="Arial" w:hAnsi="Arial" w:cs="Arial"/>
          <w:spacing w:val="44"/>
          <w:position w:val="-1"/>
          <w:sz w:val="22"/>
          <w:szCs w:val="22"/>
        </w:rPr>
        <w:t xml:space="preserve"> </w:t>
      </w:r>
      <w:r w:rsidRPr="00EC452A">
        <w:rPr>
          <w:rFonts w:ascii="Arial" w:eastAsia="Arial" w:hAnsi="Arial" w:cs="Arial"/>
          <w:spacing w:val="-1"/>
          <w:position w:val="-1"/>
          <w:sz w:val="22"/>
          <w:szCs w:val="22"/>
        </w:rPr>
        <w:t>l</w:t>
      </w:r>
      <w:r w:rsidRPr="00EC452A">
        <w:rPr>
          <w:rFonts w:ascii="Arial" w:eastAsia="Arial" w:hAnsi="Arial" w:cs="Arial"/>
          <w:position w:val="-1"/>
          <w:sz w:val="22"/>
          <w:szCs w:val="22"/>
        </w:rPr>
        <w:t>a</w:t>
      </w:r>
      <w:r w:rsidRPr="00EC452A">
        <w:rPr>
          <w:rFonts w:ascii="Arial" w:eastAsia="Arial" w:hAnsi="Arial" w:cs="Arial"/>
          <w:spacing w:val="43"/>
          <w:position w:val="-1"/>
          <w:sz w:val="22"/>
          <w:szCs w:val="22"/>
        </w:rPr>
        <w:t xml:space="preserve"> </w:t>
      </w:r>
      <w:r w:rsidRPr="00EC452A">
        <w:rPr>
          <w:rFonts w:ascii="Arial" w:eastAsia="Arial" w:hAnsi="Arial" w:cs="Arial"/>
          <w:spacing w:val="-1"/>
          <w:position w:val="-1"/>
          <w:sz w:val="22"/>
          <w:szCs w:val="22"/>
        </w:rPr>
        <w:t>reunió</w:t>
      </w:r>
      <w:r w:rsidRPr="00EC452A">
        <w:rPr>
          <w:rFonts w:ascii="Arial" w:eastAsia="Arial" w:hAnsi="Arial" w:cs="Arial"/>
          <w:position w:val="-1"/>
          <w:sz w:val="22"/>
          <w:szCs w:val="22"/>
        </w:rPr>
        <w:t>n</w:t>
      </w:r>
      <w:r w:rsidRPr="00EC452A">
        <w:rPr>
          <w:rFonts w:ascii="Arial" w:eastAsia="Arial" w:hAnsi="Arial" w:cs="Arial"/>
          <w:spacing w:val="53"/>
          <w:position w:val="-1"/>
          <w:sz w:val="22"/>
          <w:szCs w:val="22"/>
        </w:rPr>
        <w:t xml:space="preserve"> </w:t>
      </w:r>
      <w:r w:rsidRPr="00EC452A">
        <w:rPr>
          <w:rFonts w:ascii="Arial" w:eastAsia="Arial" w:hAnsi="Arial" w:cs="Arial"/>
          <w:spacing w:val="-1"/>
          <w:position w:val="-1"/>
          <w:sz w:val="22"/>
          <w:szCs w:val="22"/>
        </w:rPr>
        <w:t>anterior</w:t>
      </w:r>
      <w:r w:rsidRPr="00EC452A">
        <w:rPr>
          <w:rFonts w:ascii="Arial" w:eastAsia="Arial" w:hAnsi="Arial" w:cs="Arial"/>
          <w:position w:val="-1"/>
          <w:sz w:val="22"/>
          <w:szCs w:val="22"/>
        </w:rPr>
        <w:t xml:space="preserve">, </w:t>
      </w:r>
      <w:r w:rsidRPr="00EC452A">
        <w:rPr>
          <w:rFonts w:ascii="Arial" w:eastAsia="Arial" w:hAnsi="Arial" w:cs="Arial"/>
          <w:spacing w:val="1"/>
          <w:position w:val="-1"/>
          <w:sz w:val="22"/>
          <w:szCs w:val="22"/>
        </w:rPr>
        <w:t xml:space="preserve"> </w:t>
      </w:r>
      <w:r w:rsidRPr="00EC452A">
        <w:rPr>
          <w:rFonts w:ascii="Arial" w:eastAsia="Arial" w:hAnsi="Arial" w:cs="Arial"/>
          <w:position w:val="-1"/>
          <w:sz w:val="22"/>
          <w:szCs w:val="22"/>
        </w:rPr>
        <w:t>o</w:t>
      </w:r>
      <w:r w:rsidRPr="00EC452A">
        <w:rPr>
          <w:rFonts w:ascii="Arial" w:eastAsia="Arial" w:hAnsi="Arial" w:cs="Arial"/>
          <w:spacing w:val="42"/>
          <w:position w:val="-1"/>
          <w:sz w:val="22"/>
          <w:szCs w:val="22"/>
        </w:rPr>
        <w:t xml:space="preserve"> </w:t>
      </w:r>
      <w:r w:rsidRPr="00EC452A">
        <w:rPr>
          <w:rFonts w:ascii="Arial" w:eastAsia="Arial" w:hAnsi="Arial" w:cs="Arial"/>
          <w:spacing w:val="-1"/>
          <w:position w:val="-1"/>
          <w:sz w:val="22"/>
          <w:szCs w:val="22"/>
        </w:rPr>
        <w:t>e</w:t>
      </w:r>
      <w:r w:rsidRPr="00EC452A">
        <w:rPr>
          <w:rFonts w:ascii="Arial" w:eastAsia="Arial" w:hAnsi="Arial" w:cs="Arial"/>
          <w:position w:val="-1"/>
          <w:sz w:val="22"/>
          <w:szCs w:val="22"/>
        </w:rPr>
        <w:t>n</w:t>
      </w:r>
      <w:r w:rsidRPr="00EC452A">
        <w:rPr>
          <w:rFonts w:ascii="Arial" w:eastAsia="Arial" w:hAnsi="Arial" w:cs="Arial"/>
          <w:spacing w:val="44"/>
          <w:position w:val="-1"/>
          <w:sz w:val="22"/>
          <w:szCs w:val="22"/>
        </w:rPr>
        <w:t xml:space="preserve"> </w:t>
      </w:r>
      <w:r w:rsidRPr="00EC452A">
        <w:rPr>
          <w:rFonts w:ascii="Arial" w:eastAsia="Arial" w:hAnsi="Arial" w:cs="Arial"/>
          <w:spacing w:val="-1"/>
          <w:position w:val="-1"/>
          <w:sz w:val="22"/>
          <w:szCs w:val="22"/>
        </w:rPr>
        <w:t>s</w:t>
      </w:r>
      <w:r w:rsidRPr="00EC452A">
        <w:rPr>
          <w:rFonts w:ascii="Arial" w:eastAsia="Arial" w:hAnsi="Arial" w:cs="Arial"/>
          <w:position w:val="-1"/>
          <w:sz w:val="22"/>
          <w:szCs w:val="22"/>
        </w:rPr>
        <w:t xml:space="preserve">u </w:t>
      </w:r>
      <w:r w:rsidRPr="00EC452A">
        <w:rPr>
          <w:rFonts w:ascii="Arial" w:eastAsia="Arial" w:hAnsi="Arial" w:cs="Arial"/>
          <w:spacing w:val="-1"/>
          <w:w w:val="102"/>
          <w:position w:val="-1"/>
          <w:sz w:val="22"/>
          <w:szCs w:val="22"/>
        </w:rPr>
        <w:t>caso,</w:t>
      </w:r>
      <w:r w:rsidRPr="00EC452A">
        <w:rPr>
          <w:rFonts w:ascii="Arial" w:eastAsia="Arial" w:hAnsi="Arial" w:cs="Arial"/>
          <w:spacing w:val="-1"/>
          <w:sz w:val="22"/>
          <w:szCs w:val="22"/>
        </w:rPr>
        <w:t xml:space="preserve"> mediant</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ofici</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cua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convoqu</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Secretari</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Comité.</w:t>
      </w:r>
    </w:p>
    <w:p w14:paraId="52D549A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quóru</w:t>
      </w:r>
      <w:r w:rsidRPr="00EC452A">
        <w:rPr>
          <w:rFonts w:ascii="Arial" w:eastAsia="Arial" w:hAnsi="Arial" w:cs="Arial"/>
          <w:sz w:val="22"/>
          <w:szCs w:val="22"/>
        </w:rPr>
        <w:t xml:space="preserve">m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sesiona</w:t>
      </w:r>
      <w:r w:rsidRPr="00EC452A">
        <w:rPr>
          <w:rFonts w:ascii="Arial" w:eastAsia="Arial" w:hAnsi="Arial" w:cs="Arial"/>
          <w:sz w:val="22"/>
          <w:szCs w:val="22"/>
        </w:rPr>
        <w:t xml:space="preserve">r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 xml:space="preserve">á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 xml:space="preserve">o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meno</w:t>
      </w:r>
      <w:r w:rsidRPr="00EC452A">
        <w:rPr>
          <w:rFonts w:ascii="Arial" w:eastAsia="Arial" w:hAnsi="Arial" w:cs="Arial"/>
          <w:sz w:val="22"/>
          <w:szCs w:val="22"/>
        </w:rPr>
        <w:t xml:space="preserve">s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cincuent</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cient</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miembros </w:t>
      </w:r>
      <w:r w:rsidRPr="00EC452A">
        <w:rPr>
          <w:rFonts w:ascii="Arial" w:eastAsia="Arial" w:hAnsi="Arial" w:cs="Arial"/>
          <w:spacing w:val="-1"/>
          <w:sz w:val="22"/>
          <w:szCs w:val="22"/>
        </w:rPr>
        <w:t>registrados</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debiend</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esta</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present</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Presiden</w:t>
      </w:r>
      <w:r w:rsidRPr="00EC452A">
        <w:rPr>
          <w:rFonts w:ascii="Arial" w:eastAsia="Arial" w:hAnsi="Arial" w:cs="Arial"/>
          <w:w w:val="102"/>
          <w:sz w:val="22"/>
          <w:szCs w:val="22"/>
        </w:rPr>
        <w:t>t</w:t>
      </w:r>
      <w:r w:rsidRPr="00EC452A">
        <w:rPr>
          <w:rFonts w:ascii="Arial" w:eastAsia="Arial" w:hAnsi="Arial" w:cs="Arial"/>
          <w:spacing w:val="-39"/>
          <w:sz w:val="22"/>
          <w:szCs w:val="22"/>
        </w:rPr>
        <w:t xml:space="preserve"> </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person</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supla.</w:t>
      </w:r>
    </w:p>
    <w:p w14:paraId="5B789292"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decisione</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votará</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mayorí</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presentes</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empate</w:t>
      </w:r>
      <w:r w:rsidRPr="00EC452A">
        <w:rPr>
          <w:rFonts w:ascii="Arial" w:eastAsia="Arial" w:hAnsi="Arial" w:cs="Arial"/>
          <w:sz w:val="22"/>
          <w:szCs w:val="22"/>
        </w:rPr>
        <w:t>,</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President</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á</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vot</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calidad.</w:t>
      </w:r>
    </w:p>
    <w:p w14:paraId="3B9BCD4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38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reunione</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Tem</w:t>
      </w:r>
      <w:r w:rsidRPr="00EC452A">
        <w:rPr>
          <w:rFonts w:ascii="Arial" w:eastAsia="Arial" w:hAnsi="Arial" w:cs="Arial"/>
          <w:sz w:val="22"/>
          <w:szCs w:val="22"/>
        </w:rPr>
        <w:t xml:space="preserve">poral, </w:t>
      </w:r>
      <w:r w:rsidRPr="00EC452A">
        <w:rPr>
          <w:rFonts w:ascii="Arial" w:eastAsia="Arial" w:hAnsi="Arial" w:cs="Arial"/>
          <w:spacing w:val="46"/>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pacing w:val="-2"/>
          <w:sz w:val="22"/>
          <w:szCs w:val="22"/>
        </w:rPr>
        <w:t>celebrará</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acuerd</w:t>
      </w:r>
      <w:r w:rsidRPr="00EC452A">
        <w:rPr>
          <w:rFonts w:ascii="Arial" w:eastAsia="Arial" w:hAnsi="Arial" w:cs="Arial"/>
          <w:sz w:val="22"/>
          <w:szCs w:val="22"/>
        </w:rPr>
        <w:t>o</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n</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orde</w:t>
      </w:r>
      <w:r w:rsidRPr="00EC452A">
        <w:rPr>
          <w:rFonts w:ascii="Arial" w:eastAsia="Arial" w:hAnsi="Arial" w:cs="Arial"/>
          <w:sz w:val="22"/>
          <w:szCs w:val="22"/>
        </w:rPr>
        <w:t>n</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dí</w:t>
      </w:r>
      <w:r w:rsidRPr="00EC452A">
        <w:rPr>
          <w:rFonts w:ascii="Arial" w:eastAsia="Arial" w:hAnsi="Arial" w:cs="Arial"/>
          <w:sz w:val="22"/>
          <w:szCs w:val="22"/>
        </w:rPr>
        <w:t>a</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elabor</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2"/>
          <w:sz w:val="22"/>
          <w:szCs w:val="22"/>
        </w:rPr>
        <w:t>Secretari</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Comité</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 xml:space="preserve">se </w:t>
      </w:r>
      <w:r w:rsidRPr="00EC452A">
        <w:rPr>
          <w:rFonts w:ascii="Arial" w:eastAsia="Arial" w:hAnsi="Arial" w:cs="Arial"/>
          <w:spacing w:val="-1"/>
          <w:sz w:val="22"/>
          <w:szCs w:val="22"/>
        </w:rPr>
        <w:t>contemple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asunto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tratarse.</w:t>
      </w:r>
    </w:p>
    <w:p w14:paraId="631EAEE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decisione</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aprobada</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firmará</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asistente</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registrará</w:t>
      </w:r>
      <w:r w:rsidRPr="00EC452A">
        <w:rPr>
          <w:rFonts w:ascii="Arial" w:eastAsia="Arial" w:hAnsi="Arial" w:cs="Arial"/>
          <w:sz w:val="22"/>
          <w:szCs w:val="22"/>
        </w:rPr>
        <w:t xml:space="preserve">n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libro </w:t>
      </w:r>
      <w:r w:rsidRPr="00EC452A">
        <w:rPr>
          <w:rFonts w:ascii="Arial" w:eastAsia="Arial" w:hAnsi="Arial" w:cs="Arial"/>
          <w:spacing w:val="-2"/>
          <w:w w:val="102"/>
          <w:sz w:val="22"/>
          <w:szCs w:val="22"/>
        </w:rPr>
        <w:t>correspondiente.</w:t>
      </w:r>
    </w:p>
    <w:p w14:paraId="2B29924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3"/>
          <w:sz w:val="22"/>
          <w:szCs w:val="22"/>
        </w:rPr>
        <w:t>Ar</w:t>
      </w:r>
      <w:r w:rsidRPr="00EC452A">
        <w:rPr>
          <w:rFonts w:ascii="Arial" w:eastAsia="Arial" w:hAnsi="Arial" w:cs="Arial"/>
          <w:spacing w:val="12"/>
          <w:sz w:val="22"/>
          <w:szCs w:val="22"/>
        </w:rPr>
        <w:t>t</w:t>
      </w:r>
      <w:r w:rsidRPr="00EC452A">
        <w:rPr>
          <w:rFonts w:ascii="Arial" w:eastAsia="Arial" w:hAnsi="Arial" w:cs="Arial"/>
          <w:spacing w:val="-3"/>
          <w:sz w:val="22"/>
          <w:szCs w:val="22"/>
        </w:rPr>
        <w:t>ícul</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39</w:t>
      </w:r>
      <w:r w:rsidRPr="00EC452A">
        <w:rPr>
          <w:rFonts w:ascii="Arial" w:eastAsia="Arial" w:hAnsi="Arial" w:cs="Arial"/>
          <w:spacing w:val="12"/>
          <w:sz w:val="22"/>
          <w:szCs w:val="22"/>
        </w:rPr>
        <w:t>.</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atenció</w:t>
      </w:r>
      <w:r w:rsidRPr="00EC452A">
        <w:rPr>
          <w:rFonts w:ascii="Arial" w:eastAsia="Arial" w:hAnsi="Arial" w:cs="Arial"/>
          <w:sz w:val="22"/>
          <w:szCs w:val="22"/>
        </w:rPr>
        <w:t xml:space="preserve">n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asunto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requieran</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podrán </w:t>
      </w:r>
      <w:r w:rsidRPr="00EC452A">
        <w:rPr>
          <w:rFonts w:ascii="Arial" w:eastAsia="Arial" w:hAnsi="Arial" w:cs="Arial"/>
          <w:sz w:val="22"/>
          <w:szCs w:val="22"/>
        </w:rPr>
        <w:t>designar</w:t>
      </w:r>
      <w:r w:rsidRPr="00EC452A">
        <w:rPr>
          <w:rFonts w:ascii="Arial" w:eastAsia="Arial" w:hAnsi="Arial" w:cs="Arial"/>
          <w:spacing w:val="38"/>
          <w:sz w:val="22"/>
          <w:szCs w:val="22"/>
        </w:rPr>
        <w:t xml:space="preserve"> </w:t>
      </w:r>
      <w:r w:rsidRPr="00EC452A">
        <w:rPr>
          <w:rFonts w:ascii="Arial" w:eastAsia="Arial" w:hAnsi="Arial" w:cs="Arial"/>
          <w:sz w:val="22"/>
          <w:szCs w:val="22"/>
        </w:rPr>
        <w:t>comisiones</w:t>
      </w:r>
      <w:r w:rsidRPr="00EC452A">
        <w:rPr>
          <w:rFonts w:ascii="Arial" w:eastAsia="Arial" w:hAnsi="Arial" w:cs="Arial"/>
          <w:spacing w:val="42"/>
          <w:sz w:val="22"/>
          <w:szCs w:val="22"/>
        </w:rPr>
        <w:t xml:space="preserve"> </w:t>
      </w:r>
      <w:r w:rsidRPr="00EC452A">
        <w:rPr>
          <w:rFonts w:ascii="Arial" w:eastAsia="Arial" w:hAnsi="Arial" w:cs="Arial"/>
          <w:sz w:val="22"/>
          <w:szCs w:val="22"/>
        </w:rPr>
        <w:t>en</w:t>
      </w:r>
      <w:r w:rsidRPr="00EC452A">
        <w:rPr>
          <w:rFonts w:ascii="Arial" w:eastAsia="Arial" w:hAnsi="Arial" w:cs="Arial"/>
          <w:spacing w:val="27"/>
          <w:sz w:val="22"/>
          <w:szCs w:val="22"/>
        </w:rPr>
        <w:t xml:space="preserve"> </w:t>
      </w:r>
      <w:r w:rsidRPr="00EC452A">
        <w:rPr>
          <w:rFonts w:ascii="Arial" w:eastAsia="Arial" w:hAnsi="Arial" w:cs="Arial"/>
          <w:sz w:val="22"/>
          <w:szCs w:val="22"/>
        </w:rPr>
        <w:t>cuya</w:t>
      </w:r>
      <w:r w:rsidRPr="00EC452A">
        <w:rPr>
          <w:rFonts w:ascii="Arial" w:eastAsia="Arial" w:hAnsi="Arial" w:cs="Arial"/>
          <w:spacing w:val="31"/>
          <w:sz w:val="22"/>
          <w:szCs w:val="22"/>
        </w:rPr>
        <w:t xml:space="preserve"> </w:t>
      </w:r>
      <w:r w:rsidRPr="00EC452A">
        <w:rPr>
          <w:rFonts w:ascii="Arial" w:eastAsia="Arial" w:hAnsi="Arial" w:cs="Arial"/>
          <w:sz w:val="22"/>
          <w:szCs w:val="22"/>
        </w:rPr>
        <w:t>integración</w:t>
      </w:r>
      <w:r w:rsidRPr="00EC452A">
        <w:rPr>
          <w:rFonts w:ascii="Arial" w:eastAsia="Arial" w:hAnsi="Arial" w:cs="Arial"/>
          <w:spacing w:val="42"/>
          <w:sz w:val="22"/>
          <w:szCs w:val="22"/>
        </w:rPr>
        <w:t xml:space="preserve"> </w:t>
      </w:r>
      <w:r w:rsidRPr="00EC452A">
        <w:rPr>
          <w:rFonts w:ascii="Arial" w:eastAsia="Arial" w:hAnsi="Arial" w:cs="Arial"/>
          <w:sz w:val="22"/>
          <w:szCs w:val="22"/>
        </w:rPr>
        <w:t>se</w:t>
      </w:r>
      <w:r w:rsidRPr="00EC452A">
        <w:rPr>
          <w:rFonts w:ascii="Arial" w:eastAsia="Arial" w:hAnsi="Arial" w:cs="Arial"/>
          <w:spacing w:val="27"/>
          <w:sz w:val="22"/>
          <w:szCs w:val="22"/>
        </w:rPr>
        <w:t xml:space="preserve"> </w:t>
      </w:r>
      <w:r w:rsidRPr="00EC452A">
        <w:rPr>
          <w:rFonts w:ascii="Arial" w:eastAsia="Arial" w:hAnsi="Arial" w:cs="Arial"/>
          <w:sz w:val="22"/>
          <w:szCs w:val="22"/>
        </w:rPr>
        <w:t>contará</w:t>
      </w:r>
      <w:r w:rsidRPr="00EC452A">
        <w:rPr>
          <w:rFonts w:ascii="Arial" w:eastAsia="Arial" w:hAnsi="Arial" w:cs="Arial"/>
          <w:spacing w:val="36"/>
          <w:sz w:val="22"/>
          <w:szCs w:val="22"/>
        </w:rPr>
        <w:t xml:space="preserve"> </w:t>
      </w:r>
      <w:r w:rsidRPr="00EC452A">
        <w:rPr>
          <w:rFonts w:ascii="Arial" w:eastAsia="Arial" w:hAnsi="Arial" w:cs="Arial"/>
          <w:sz w:val="22"/>
          <w:szCs w:val="22"/>
        </w:rPr>
        <w:t>con</w:t>
      </w:r>
      <w:r w:rsidRPr="00EC452A">
        <w:rPr>
          <w:rFonts w:ascii="Arial" w:eastAsia="Arial" w:hAnsi="Arial" w:cs="Arial"/>
          <w:spacing w:val="29"/>
          <w:sz w:val="22"/>
          <w:szCs w:val="22"/>
        </w:rPr>
        <w:t xml:space="preserve"> </w:t>
      </w:r>
      <w:r w:rsidRPr="00EC452A">
        <w:rPr>
          <w:rFonts w:ascii="Arial" w:eastAsia="Arial" w:hAnsi="Arial" w:cs="Arial"/>
          <w:sz w:val="22"/>
          <w:szCs w:val="22"/>
        </w:rPr>
        <w:t>el</w:t>
      </w:r>
      <w:r w:rsidRPr="00EC452A">
        <w:rPr>
          <w:rFonts w:ascii="Arial" w:eastAsia="Arial" w:hAnsi="Arial" w:cs="Arial"/>
          <w:spacing w:val="26"/>
          <w:sz w:val="22"/>
          <w:szCs w:val="22"/>
        </w:rPr>
        <w:t xml:space="preserve"> </w:t>
      </w:r>
      <w:r w:rsidRPr="00EC452A">
        <w:rPr>
          <w:rFonts w:ascii="Arial" w:eastAsia="Arial" w:hAnsi="Arial" w:cs="Arial"/>
          <w:sz w:val="22"/>
          <w:szCs w:val="22"/>
        </w:rPr>
        <w:t>auxilio</w:t>
      </w:r>
      <w:r w:rsidRPr="00EC452A">
        <w:rPr>
          <w:rFonts w:ascii="Arial" w:eastAsia="Arial" w:hAnsi="Arial" w:cs="Arial"/>
          <w:spacing w:val="34"/>
          <w:sz w:val="22"/>
          <w:szCs w:val="22"/>
        </w:rPr>
        <w:t xml:space="preserve"> </w:t>
      </w:r>
      <w:r w:rsidRPr="00EC452A">
        <w:rPr>
          <w:rFonts w:ascii="Arial" w:eastAsia="Arial" w:hAnsi="Arial" w:cs="Arial"/>
          <w:sz w:val="22"/>
          <w:szCs w:val="22"/>
        </w:rPr>
        <w:t>de</w:t>
      </w:r>
      <w:r w:rsidRPr="00EC452A">
        <w:rPr>
          <w:rFonts w:ascii="Arial" w:eastAsia="Arial" w:hAnsi="Arial" w:cs="Arial"/>
          <w:spacing w:val="27"/>
          <w:sz w:val="22"/>
          <w:szCs w:val="22"/>
        </w:rPr>
        <w:t xml:space="preserve"> </w:t>
      </w:r>
      <w:r w:rsidRPr="00EC452A">
        <w:rPr>
          <w:rFonts w:ascii="Arial" w:eastAsia="Arial" w:hAnsi="Arial" w:cs="Arial"/>
          <w:sz w:val="22"/>
          <w:szCs w:val="22"/>
        </w:rPr>
        <w:t>los</w:t>
      </w:r>
      <w:r w:rsidRPr="00EC452A">
        <w:rPr>
          <w:rFonts w:ascii="Arial" w:eastAsia="Arial" w:hAnsi="Arial" w:cs="Arial"/>
          <w:spacing w:val="28"/>
          <w:sz w:val="22"/>
          <w:szCs w:val="22"/>
        </w:rPr>
        <w:t xml:space="preserve"> </w:t>
      </w:r>
      <w:r w:rsidRPr="00EC452A">
        <w:rPr>
          <w:rFonts w:ascii="Arial" w:eastAsia="Arial" w:hAnsi="Arial" w:cs="Arial"/>
          <w:sz w:val="22"/>
          <w:szCs w:val="22"/>
        </w:rPr>
        <w:t>Comités</w:t>
      </w:r>
      <w:r w:rsidRPr="00EC452A">
        <w:rPr>
          <w:rFonts w:ascii="Arial" w:eastAsia="Arial" w:hAnsi="Arial" w:cs="Arial"/>
          <w:spacing w:val="37"/>
          <w:sz w:val="22"/>
          <w:szCs w:val="22"/>
        </w:rPr>
        <w:t xml:space="preserve"> </w:t>
      </w:r>
      <w:r w:rsidRPr="00EC452A">
        <w:rPr>
          <w:rFonts w:ascii="Arial" w:eastAsia="Arial" w:hAnsi="Arial" w:cs="Arial"/>
          <w:sz w:val="22"/>
          <w:szCs w:val="22"/>
        </w:rPr>
        <w:t>Técnicos,</w:t>
      </w:r>
      <w:r w:rsidRPr="00EC452A">
        <w:rPr>
          <w:rFonts w:ascii="Arial" w:eastAsia="Arial" w:hAnsi="Arial" w:cs="Arial"/>
          <w:spacing w:val="39"/>
          <w:sz w:val="22"/>
          <w:szCs w:val="22"/>
        </w:rPr>
        <w:t xml:space="preserve"> </w:t>
      </w:r>
      <w:r w:rsidRPr="00EC452A">
        <w:rPr>
          <w:rFonts w:ascii="Arial" w:eastAsia="Arial" w:hAnsi="Arial" w:cs="Arial"/>
          <w:w w:val="102"/>
          <w:sz w:val="22"/>
          <w:szCs w:val="22"/>
        </w:rPr>
        <w:t xml:space="preserve">en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medid</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consider</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necesario.</w:t>
      </w:r>
    </w:p>
    <w:p w14:paraId="74DDF2B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40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3"/>
          <w:sz w:val="22"/>
          <w:szCs w:val="22"/>
        </w:rPr>
        <w:t>Mensualmente</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42"/>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calendario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aprobados</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Directivos </w:t>
      </w:r>
      <w:r w:rsidRPr="00EC452A">
        <w:rPr>
          <w:rFonts w:ascii="Arial" w:eastAsia="Arial" w:hAnsi="Arial" w:cs="Arial"/>
          <w:spacing w:val="-2"/>
          <w:sz w:val="22"/>
          <w:szCs w:val="22"/>
        </w:rPr>
        <w:t>llevará</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cab</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evaluacione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refier</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3</w:t>
      </w:r>
      <w:r w:rsidRPr="00EC452A">
        <w:rPr>
          <w:rFonts w:ascii="Arial" w:eastAsia="Arial" w:hAnsi="Arial" w:cs="Arial"/>
          <w:sz w:val="22"/>
          <w:szCs w:val="22"/>
        </w:rPr>
        <w:t>1</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Ley</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si</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perjuici</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w w:val="102"/>
          <w:sz w:val="22"/>
          <w:szCs w:val="22"/>
        </w:rPr>
        <w:t xml:space="preserve">que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realice</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evaluacione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extraordinaria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consider</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necesario.</w:t>
      </w:r>
    </w:p>
    <w:p w14:paraId="01B4CAB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41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1"/>
          <w:sz w:val="22"/>
          <w:szCs w:val="22"/>
        </w:rPr>
        <w:t xml:space="preserve"> </w:t>
      </w:r>
      <w:r w:rsidRPr="00EC452A">
        <w:rPr>
          <w:rFonts w:ascii="Arial" w:eastAsia="Arial" w:hAnsi="Arial" w:cs="Arial"/>
          <w:spacing w:val="-3"/>
          <w:sz w:val="22"/>
          <w:szCs w:val="22"/>
        </w:rPr>
        <w:t>Toda</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3"/>
          <w:sz w:val="22"/>
          <w:szCs w:val="22"/>
        </w:rPr>
        <w:t>la</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actividade</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agropecuarias</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forestale</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infraestructur</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realic</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mejora</w:t>
      </w:r>
      <w:r w:rsidRPr="00EC452A">
        <w:rPr>
          <w:rFonts w:ascii="Arial" w:eastAsia="Arial" w:hAnsi="Arial" w:cs="Arial"/>
          <w:sz w:val="22"/>
          <w:szCs w:val="22"/>
        </w:rPr>
        <w:t>r</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productivida</w:t>
      </w:r>
      <w:r w:rsidRPr="00EC452A">
        <w:rPr>
          <w:rFonts w:ascii="Arial" w:eastAsia="Arial" w:hAnsi="Arial" w:cs="Arial"/>
          <w:sz w:val="22"/>
          <w:szCs w:val="22"/>
        </w:rPr>
        <w:t xml:space="preserve">d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zona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temporal</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tomará</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base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delimitació</w:t>
      </w:r>
      <w:r w:rsidRPr="00EC452A">
        <w:rPr>
          <w:rFonts w:ascii="Arial" w:eastAsia="Arial" w:hAnsi="Arial" w:cs="Arial"/>
          <w:sz w:val="22"/>
          <w:szCs w:val="22"/>
        </w:rPr>
        <w:t xml:space="preserve">n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quedará</w:t>
      </w:r>
      <w:r w:rsidRPr="00EC452A">
        <w:rPr>
          <w:rFonts w:ascii="Arial" w:eastAsia="Arial" w:hAnsi="Arial" w:cs="Arial"/>
          <w:sz w:val="22"/>
          <w:szCs w:val="22"/>
        </w:rPr>
        <w:t xml:space="preserve">n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baj</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supervisió</w:t>
      </w:r>
      <w:r w:rsidRPr="00EC452A">
        <w:rPr>
          <w:rFonts w:ascii="Arial" w:eastAsia="Arial" w:hAnsi="Arial" w:cs="Arial"/>
          <w:sz w:val="22"/>
          <w:szCs w:val="22"/>
        </w:rPr>
        <w:t xml:space="preserve">n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direct</w:t>
      </w:r>
      <w:r w:rsidRPr="00EC452A">
        <w:rPr>
          <w:rFonts w:ascii="Arial" w:eastAsia="Arial" w:hAnsi="Arial" w:cs="Arial"/>
          <w:sz w:val="22"/>
          <w:szCs w:val="22"/>
        </w:rPr>
        <w:t xml:space="preserve">a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respectivas </w:t>
      </w:r>
      <w:r w:rsidRPr="00EC452A">
        <w:rPr>
          <w:rFonts w:ascii="Arial" w:eastAsia="Arial" w:hAnsi="Arial" w:cs="Arial"/>
          <w:spacing w:val="-4"/>
          <w:sz w:val="22"/>
          <w:szCs w:val="22"/>
        </w:rPr>
        <w:t>jefa</w:t>
      </w:r>
      <w:r w:rsidRPr="00EC452A">
        <w:rPr>
          <w:rFonts w:ascii="Arial" w:eastAsia="Arial" w:hAnsi="Arial" w:cs="Arial"/>
          <w:spacing w:val="-2"/>
          <w:sz w:val="22"/>
          <w:szCs w:val="22"/>
        </w:rPr>
        <w:t>tura</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área</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administrativa</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dependa</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propi</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w w:val="102"/>
          <w:sz w:val="22"/>
          <w:szCs w:val="22"/>
        </w:rPr>
        <w:t>Secretaría.</w:t>
      </w:r>
    </w:p>
    <w:p w14:paraId="0FD1BAE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42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instrumento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conoce</w:t>
      </w:r>
      <w:r w:rsidRPr="00EC452A">
        <w:rPr>
          <w:rFonts w:ascii="Arial" w:eastAsia="Arial" w:hAnsi="Arial" w:cs="Arial"/>
          <w:sz w:val="22"/>
          <w:szCs w:val="22"/>
        </w:rPr>
        <w:t xml:space="preserve">r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avanc</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formulará</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z w:val="22"/>
          <w:szCs w:val="22"/>
        </w:rPr>
        <w:t>y</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utilizará</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criteri</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unitari</w:t>
      </w:r>
      <w:r w:rsidRPr="00EC452A">
        <w:rPr>
          <w:rFonts w:ascii="Arial" w:eastAsia="Arial" w:hAnsi="Arial" w:cs="Arial"/>
          <w:sz w:val="22"/>
          <w:szCs w:val="22"/>
        </w:rPr>
        <w:t>o  y</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servirá</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bas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sistem</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3"/>
          <w:w w:val="102"/>
          <w:sz w:val="22"/>
          <w:szCs w:val="22"/>
        </w:rPr>
        <w:t xml:space="preserve">de </w:t>
      </w:r>
      <w:r w:rsidRPr="00EC452A">
        <w:rPr>
          <w:rFonts w:ascii="Arial" w:eastAsia="Arial" w:hAnsi="Arial" w:cs="Arial"/>
          <w:spacing w:val="-2"/>
          <w:sz w:val="22"/>
          <w:szCs w:val="22"/>
        </w:rPr>
        <w:t>informació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secto</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general</w:t>
      </w:r>
      <w:r w:rsidRPr="00EC452A">
        <w:rPr>
          <w:rFonts w:ascii="Arial" w:eastAsia="Arial" w:hAnsi="Arial" w:cs="Arial"/>
          <w:sz w:val="22"/>
          <w:szCs w:val="22"/>
        </w:rPr>
        <w:t>,</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part</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2"/>
          <w:w w:val="102"/>
          <w:sz w:val="22"/>
          <w:szCs w:val="22"/>
        </w:rPr>
        <w:t>relativa.</w:t>
      </w:r>
    </w:p>
    <w:p w14:paraId="7BFC036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43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primaria</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 xml:space="preserve">programación, </w:t>
      </w:r>
      <w:r w:rsidRPr="00EC452A">
        <w:rPr>
          <w:rFonts w:ascii="Arial" w:eastAsia="Arial" w:hAnsi="Arial" w:cs="Arial"/>
          <w:sz w:val="22"/>
          <w:szCs w:val="22"/>
        </w:rPr>
        <w:t>coordinación</w:t>
      </w:r>
      <w:r w:rsidRPr="00EC452A">
        <w:rPr>
          <w:rFonts w:ascii="Arial" w:eastAsia="Arial" w:hAnsi="Arial" w:cs="Arial"/>
          <w:spacing w:val="40"/>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z w:val="22"/>
          <w:szCs w:val="22"/>
        </w:rPr>
        <w:t>ejecución</w:t>
      </w:r>
      <w:r w:rsidRPr="00EC452A">
        <w:rPr>
          <w:rFonts w:ascii="Arial" w:eastAsia="Arial" w:hAnsi="Arial" w:cs="Arial"/>
          <w:spacing w:val="34"/>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la</w:t>
      </w:r>
      <w:r w:rsidRPr="00EC452A">
        <w:rPr>
          <w:rFonts w:ascii="Arial" w:eastAsia="Arial" w:hAnsi="Arial" w:cs="Arial"/>
          <w:spacing w:val="21"/>
          <w:sz w:val="22"/>
          <w:szCs w:val="22"/>
        </w:rPr>
        <w:t xml:space="preserve"> </w:t>
      </w:r>
      <w:r w:rsidRPr="00EC452A">
        <w:rPr>
          <w:rFonts w:ascii="Arial" w:eastAsia="Arial" w:hAnsi="Arial" w:cs="Arial"/>
          <w:sz w:val="22"/>
          <w:szCs w:val="22"/>
        </w:rPr>
        <w:t>política</w:t>
      </w:r>
      <w:r w:rsidRPr="00EC452A">
        <w:rPr>
          <w:rFonts w:ascii="Arial" w:eastAsia="Arial" w:hAnsi="Arial" w:cs="Arial"/>
          <w:spacing w:val="30"/>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organización</w:t>
      </w:r>
      <w:r w:rsidRPr="00EC452A">
        <w:rPr>
          <w:rFonts w:ascii="Arial" w:eastAsia="Arial" w:hAnsi="Arial" w:cs="Arial"/>
          <w:spacing w:val="40"/>
          <w:sz w:val="22"/>
          <w:szCs w:val="22"/>
        </w:rPr>
        <w:t xml:space="preserve"> </w:t>
      </w:r>
      <w:r w:rsidRPr="00EC452A">
        <w:rPr>
          <w:rFonts w:ascii="Arial" w:eastAsia="Arial" w:hAnsi="Arial" w:cs="Arial"/>
          <w:sz w:val="22"/>
          <w:szCs w:val="22"/>
        </w:rPr>
        <w:t>económica</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z w:val="22"/>
          <w:szCs w:val="22"/>
        </w:rPr>
        <w:t>social</w:t>
      </w:r>
      <w:r w:rsidRPr="00EC452A">
        <w:rPr>
          <w:rFonts w:ascii="Arial" w:eastAsia="Arial" w:hAnsi="Arial" w:cs="Arial"/>
          <w:spacing w:val="28"/>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los</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produc</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tores</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vigilará</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congruenci</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materi</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realice</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diferentes </w:t>
      </w:r>
      <w:r w:rsidRPr="00EC452A">
        <w:rPr>
          <w:rFonts w:ascii="Arial" w:eastAsia="Arial" w:hAnsi="Arial" w:cs="Arial"/>
          <w:spacing w:val="-1"/>
          <w:sz w:val="22"/>
          <w:szCs w:val="22"/>
        </w:rPr>
        <w:t>dependencia</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sector.</w:t>
      </w:r>
    </w:p>
    <w:p w14:paraId="0E1AEB2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44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aproba</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aplicació</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emitirán </w:t>
      </w:r>
      <w:r w:rsidRPr="00EC452A">
        <w:rPr>
          <w:rFonts w:ascii="Arial" w:eastAsia="Arial" w:hAnsi="Arial" w:cs="Arial"/>
          <w:spacing w:val="-1"/>
          <w:sz w:val="22"/>
          <w:szCs w:val="22"/>
        </w:rPr>
        <w:t>opinió</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incentivo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establezc</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Gobiern</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Federa</w:t>
      </w:r>
      <w:r w:rsidRPr="00EC452A">
        <w:rPr>
          <w:rFonts w:ascii="Arial" w:eastAsia="Arial" w:hAnsi="Arial" w:cs="Arial"/>
          <w:sz w:val="22"/>
          <w:szCs w:val="22"/>
        </w:rPr>
        <w:t xml:space="preserve">l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apoy</w:t>
      </w:r>
      <w:r w:rsidRPr="00EC452A">
        <w:rPr>
          <w:rFonts w:ascii="Arial" w:eastAsia="Arial" w:hAnsi="Arial" w:cs="Arial"/>
          <w:sz w:val="22"/>
          <w:szCs w:val="22"/>
        </w:rPr>
        <w:t xml:space="preserve">o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especiale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contingencia.</w:t>
      </w:r>
    </w:p>
    <w:p w14:paraId="39BBBFC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w w:val="102"/>
          <w:sz w:val="22"/>
          <w:szCs w:val="22"/>
        </w:rPr>
        <w:t>45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z w:val="22"/>
          <w:szCs w:val="22"/>
        </w:rPr>
        <w:t>Estará</w:t>
      </w:r>
      <w:r w:rsidRPr="00EC452A">
        <w:rPr>
          <w:rFonts w:ascii="Arial" w:eastAsia="Arial" w:hAnsi="Arial" w:cs="Arial"/>
          <w:spacing w:val="18"/>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cargo</w:t>
      </w:r>
      <w:r w:rsidRPr="00EC452A">
        <w:rPr>
          <w:rFonts w:ascii="Arial" w:eastAsia="Arial" w:hAnsi="Arial" w:cs="Arial"/>
          <w:spacing w:val="16"/>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Comités</w:t>
      </w:r>
      <w:r w:rsidRPr="00EC452A">
        <w:rPr>
          <w:rFonts w:ascii="Arial" w:eastAsia="Arial" w:hAnsi="Arial" w:cs="Arial"/>
          <w:spacing w:val="21"/>
          <w:sz w:val="22"/>
          <w:szCs w:val="22"/>
        </w:rPr>
        <w:t xml:space="preserve"> </w:t>
      </w:r>
      <w:r w:rsidRPr="00EC452A">
        <w:rPr>
          <w:rFonts w:ascii="Arial" w:eastAsia="Arial" w:hAnsi="Arial" w:cs="Arial"/>
          <w:w w:val="102"/>
          <w:sz w:val="22"/>
          <w:szCs w:val="22"/>
        </w:rPr>
        <w:t>Directivos:</w:t>
      </w:r>
    </w:p>
    <w:p w14:paraId="72B9579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w:t>
      </w:r>
      <w:r w:rsidRPr="00EC452A">
        <w:rPr>
          <w:rFonts w:ascii="Arial" w:eastAsia="Arial" w:hAnsi="Arial" w:cs="Arial"/>
          <w:sz w:val="22"/>
          <w:szCs w:val="22"/>
        </w:rPr>
        <w:t xml:space="preserv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Aproba</w:t>
      </w:r>
      <w:r w:rsidRPr="00EC452A">
        <w:rPr>
          <w:rFonts w:ascii="Arial" w:eastAsia="Arial" w:hAnsi="Arial" w:cs="Arial"/>
          <w:sz w:val="22"/>
          <w:szCs w:val="22"/>
        </w:rPr>
        <w:t xml:space="preserve">r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agropecuario</w:t>
      </w:r>
      <w:r w:rsidRPr="00EC452A">
        <w:rPr>
          <w:rFonts w:ascii="Arial" w:eastAsia="Arial" w:hAnsi="Arial" w:cs="Arial"/>
          <w:sz w:val="22"/>
          <w:szCs w:val="22"/>
        </w:rPr>
        <w:t xml:space="preserve">s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 xml:space="preserve">o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Temporal</w:t>
      </w:r>
      <w:r w:rsidRPr="00EC452A">
        <w:rPr>
          <w:rFonts w:ascii="Arial" w:eastAsia="Arial" w:hAnsi="Arial" w:cs="Arial"/>
          <w:sz w:val="22"/>
          <w:szCs w:val="22"/>
        </w:rPr>
        <w:t xml:space="preserv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tomand</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bas</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2"/>
          <w:sz w:val="22"/>
          <w:szCs w:val="22"/>
        </w:rPr>
        <w:t>directrice</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señal</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43"/>
          <w:sz w:val="22"/>
          <w:szCs w:val="22"/>
        </w:rPr>
        <w:t>S</w:t>
      </w:r>
      <w:r w:rsidRPr="00EC452A">
        <w:rPr>
          <w:rFonts w:ascii="Arial" w:eastAsia="Arial" w:hAnsi="Arial" w:cs="Arial"/>
          <w:spacing w:val="-2"/>
          <w:sz w:val="22"/>
          <w:szCs w:val="22"/>
        </w:rPr>
        <w:t>ecretarí</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conform</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l</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Pla</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Naciona</w:t>
      </w:r>
      <w:r w:rsidRPr="00EC452A">
        <w:rPr>
          <w:rFonts w:ascii="Arial" w:eastAsia="Arial" w:hAnsi="Arial" w:cs="Arial"/>
          <w:sz w:val="22"/>
          <w:szCs w:val="22"/>
        </w:rPr>
        <w:t xml:space="preserve">l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Desarroll</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Agropecuari</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w w:val="102"/>
          <w:sz w:val="22"/>
          <w:szCs w:val="22"/>
        </w:rPr>
        <w:t>Forestal.</w:t>
      </w:r>
    </w:p>
    <w:p w14:paraId="4B61FFF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Vigila</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ejecució</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específico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autorizados.</w:t>
      </w:r>
    </w:p>
    <w:p w14:paraId="09A584E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9"/>
          <w:sz w:val="22"/>
          <w:szCs w:val="22"/>
        </w:rPr>
        <w:t>III</w:t>
      </w:r>
      <w:r w:rsidRPr="00EC452A">
        <w:rPr>
          <w:rFonts w:ascii="Arial" w:eastAsia="Arial" w:hAnsi="Arial" w:cs="Arial"/>
          <w:spacing w:val="6"/>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 xml:space="preserve">Autorizar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programas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asistencia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técnica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extensión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agropecuaria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correlativos </w:t>
      </w:r>
      <w:r w:rsidRPr="00EC452A">
        <w:rPr>
          <w:rFonts w:ascii="Arial" w:eastAsia="Arial" w:hAnsi="Arial" w:cs="Arial"/>
          <w:spacing w:val="47"/>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dis</w:t>
      </w:r>
      <w:r w:rsidRPr="00EC452A">
        <w:rPr>
          <w:rFonts w:ascii="Arial" w:eastAsia="Arial" w:hAnsi="Arial" w:cs="Arial"/>
          <w:spacing w:val="-14"/>
          <w:sz w:val="22"/>
          <w:szCs w:val="22"/>
        </w:rPr>
        <w:t>p</w:t>
      </w:r>
      <w:r w:rsidRPr="00EC452A">
        <w:rPr>
          <w:rFonts w:ascii="Arial" w:eastAsia="Arial" w:hAnsi="Arial" w:cs="Arial"/>
          <w:spacing w:val="-1"/>
          <w:sz w:val="22"/>
          <w:szCs w:val="22"/>
        </w:rPr>
        <w:t>onibilidade</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persona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equip</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Temporal.</w:t>
      </w:r>
    </w:p>
    <w:p w14:paraId="2DE8EB3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Promove</w:t>
      </w:r>
      <w:r w:rsidRPr="00EC452A">
        <w:rPr>
          <w:rFonts w:ascii="Arial" w:eastAsia="Arial" w:hAnsi="Arial" w:cs="Arial"/>
          <w:sz w:val="22"/>
          <w:szCs w:val="22"/>
        </w:rPr>
        <w:t>r</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temporalero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integre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Distrit</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aceptació</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2"/>
          <w:sz w:val="22"/>
          <w:szCs w:val="22"/>
        </w:rPr>
        <w:t>programa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2"/>
          <w:w w:val="102"/>
          <w:sz w:val="22"/>
          <w:szCs w:val="22"/>
        </w:rPr>
        <w:t>aprobados.</w:t>
      </w:r>
    </w:p>
    <w:p w14:paraId="5B94472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w:t>
      </w:r>
      <w:r w:rsidRPr="00EC452A">
        <w:rPr>
          <w:rFonts w:ascii="Arial" w:eastAsia="Arial" w:hAnsi="Arial" w:cs="Arial"/>
          <w:sz w:val="22"/>
          <w:szCs w:val="22"/>
        </w:rPr>
        <w:t xml:space="preserv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Coordina</w:t>
      </w:r>
      <w:r w:rsidRPr="00EC452A">
        <w:rPr>
          <w:rFonts w:ascii="Arial" w:eastAsia="Arial" w:hAnsi="Arial" w:cs="Arial"/>
          <w:sz w:val="22"/>
          <w:szCs w:val="22"/>
        </w:rPr>
        <w:t xml:space="preserve">r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organizació</w:t>
      </w:r>
      <w:r w:rsidRPr="00EC452A">
        <w:rPr>
          <w:rFonts w:ascii="Arial" w:eastAsia="Arial" w:hAnsi="Arial" w:cs="Arial"/>
          <w:sz w:val="22"/>
          <w:szCs w:val="22"/>
        </w:rPr>
        <w:t xml:space="preserve">n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 xml:space="preserve">s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temporalero</w:t>
      </w:r>
      <w:r w:rsidRPr="00EC452A">
        <w:rPr>
          <w:rFonts w:ascii="Arial" w:eastAsia="Arial" w:hAnsi="Arial" w:cs="Arial"/>
          <w:sz w:val="22"/>
          <w:szCs w:val="22"/>
        </w:rPr>
        <w:t xml:space="preserve">s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facilitar </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 xml:space="preserve">su </w:t>
      </w:r>
      <w:r w:rsidRPr="00EC452A">
        <w:rPr>
          <w:rFonts w:ascii="Arial" w:eastAsia="Arial" w:hAnsi="Arial" w:cs="Arial"/>
          <w:sz w:val="22"/>
          <w:szCs w:val="22"/>
        </w:rPr>
        <w:t>acceso</w:t>
      </w:r>
      <w:r w:rsidRPr="00EC452A">
        <w:rPr>
          <w:rFonts w:ascii="Arial" w:eastAsia="Arial" w:hAnsi="Arial" w:cs="Arial"/>
          <w:spacing w:val="34"/>
          <w:sz w:val="22"/>
          <w:szCs w:val="22"/>
        </w:rPr>
        <w:t xml:space="preserve"> </w:t>
      </w:r>
      <w:r w:rsidRPr="00EC452A">
        <w:rPr>
          <w:rFonts w:ascii="Arial" w:eastAsia="Arial" w:hAnsi="Arial" w:cs="Arial"/>
          <w:sz w:val="22"/>
          <w:szCs w:val="22"/>
        </w:rPr>
        <w:t>al</w:t>
      </w:r>
      <w:r w:rsidRPr="00EC452A">
        <w:rPr>
          <w:rFonts w:ascii="Arial" w:eastAsia="Arial" w:hAnsi="Arial" w:cs="Arial"/>
          <w:spacing w:val="25"/>
          <w:sz w:val="22"/>
          <w:szCs w:val="22"/>
        </w:rPr>
        <w:t xml:space="preserve"> </w:t>
      </w:r>
      <w:r w:rsidRPr="00EC452A">
        <w:rPr>
          <w:rFonts w:ascii="Arial" w:eastAsia="Arial" w:hAnsi="Arial" w:cs="Arial"/>
          <w:sz w:val="22"/>
          <w:szCs w:val="22"/>
        </w:rPr>
        <w:t>crédito</w:t>
      </w:r>
      <w:r w:rsidRPr="00EC452A">
        <w:rPr>
          <w:rFonts w:ascii="Arial" w:eastAsia="Arial" w:hAnsi="Arial" w:cs="Arial"/>
          <w:spacing w:val="33"/>
          <w:sz w:val="22"/>
          <w:szCs w:val="22"/>
        </w:rPr>
        <w:t xml:space="preserve"> </w:t>
      </w:r>
      <w:r w:rsidRPr="00EC452A">
        <w:rPr>
          <w:rFonts w:ascii="Arial" w:eastAsia="Arial" w:hAnsi="Arial" w:cs="Arial"/>
          <w:sz w:val="22"/>
          <w:szCs w:val="22"/>
        </w:rPr>
        <w:t>oficial</w:t>
      </w:r>
      <w:r w:rsidRPr="00EC452A">
        <w:rPr>
          <w:rFonts w:ascii="Arial" w:eastAsia="Arial" w:hAnsi="Arial" w:cs="Arial"/>
          <w:spacing w:val="32"/>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z w:val="22"/>
          <w:szCs w:val="22"/>
        </w:rPr>
        <w:t>privado,</w:t>
      </w:r>
      <w:r w:rsidRPr="00EC452A">
        <w:rPr>
          <w:rFonts w:ascii="Arial" w:eastAsia="Arial" w:hAnsi="Arial" w:cs="Arial"/>
          <w:spacing w:val="36"/>
          <w:sz w:val="22"/>
          <w:szCs w:val="22"/>
        </w:rPr>
        <w:t xml:space="preserve"> </w:t>
      </w:r>
      <w:r w:rsidRPr="00EC452A">
        <w:rPr>
          <w:rFonts w:ascii="Arial" w:eastAsia="Arial" w:hAnsi="Arial" w:cs="Arial"/>
          <w:sz w:val="22"/>
          <w:szCs w:val="22"/>
        </w:rPr>
        <w:t>así</w:t>
      </w:r>
      <w:r w:rsidRPr="00EC452A">
        <w:rPr>
          <w:rFonts w:ascii="Arial" w:eastAsia="Arial" w:hAnsi="Arial" w:cs="Arial"/>
          <w:spacing w:val="27"/>
          <w:sz w:val="22"/>
          <w:szCs w:val="22"/>
        </w:rPr>
        <w:t xml:space="preserve"> </w:t>
      </w:r>
      <w:r w:rsidRPr="00EC452A">
        <w:rPr>
          <w:rFonts w:ascii="Arial" w:eastAsia="Arial" w:hAnsi="Arial" w:cs="Arial"/>
          <w:sz w:val="22"/>
          <w:szCs w:val="22"/>
        </w:rPr>
        <w:t>como</w:t>
      </w:r>
      <w:r w:rsidRPr="00EC452A">
        <w:rPr>
          <w:rFonts w:ascii="Arial" w:eastAsia="Arial" w:hAnsi="Arial" w:cs="Arial"/>
          <w:spacing w:val="31"/>
          <w:sz w:val="22"/>
          <w:szCs w:val="22"/>
        </w:rPr>
        <w:t xml:space="preserve"> </w:t>
      </w:r>
      <w:r w:rsidRPr="00EC452A">
        <w:rPr>
          <w:rFonts w:ascii="Arial" w:eastAsia="Arial" w:hAnsi="Arial" w:cs="Arial"/>
          <w:sz w:val="22"/>
          <w:szCs w:val="22"/>
        </w:rPr>
        <w:t>la</w:t>
      </w:r>
      <w:r w:rsidRPr="00EC452A">
        <w:rPr>
          <w:rFonts w:ascii="Arial" w:eastAsia="Arial" w:hAnsi="Arial" w:cs="Arial"/>
          <w:spacing w:val="25"/>
          <w:sz w:val="22"/>
          <w:szCs w:val="22"/>
        </w:rPr>
        <w:t xml:space="preserve"> </w:t>
      </w:r>
      <w:r w:rsidRPr="00EC452A">
        <w:rPr>
          <w:rFonts w:ascii="Arial" w:eastAsia="Arial" w:hAnsi="Arial" w:cs="Arial"/>
          <w:sz w:val="22"/>
          <w:szCs w:val="22"/>
        </w:rPr>
        <w:t>prestación</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los</w:t>
      </w:r>
      <w:r w:rsidRPr="00EC452A">
        <w:rPr>
          <w:rFonts w:ascii="Arial" w:eastAsia="Arial" w:hAnsi="Arial" w:cs="Arial"/>
          <w:spacing w:val="27"/>
          <w:sz w:val="22"/>
          <w:szCs w:val="22"/>
        </w:rPr>
        <w:t xml:space="preserve"> </w:t>
      </w:r>
      <w:r w:rsidRPr="00EC452A">
        <w:rPr>
          <w:rFonts w:ascii="Arial" w:eastAsia="Arial" w:hAnsi="Arial" w:cs="Arial"/>
          <w:sz w:val="22"/>
          <w:szCs w:val="22"/>
        </w:rPr>
        <w:t>servicios</w:t>
      </w:r>
      <w:r w:rsidRPr="00EC452A">
        <w:rPr>
          <w:rFonts w:ascii="Arial" w:eastAsia="Arial" w:hAnsi="Arial" w:cs="Arial"/>
          <w:spacing w:val="37"/>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asistencia</w:t>
      </w:r>
      <w:r w:rsidRPr="00EC452A">
        <w:rPr>
          <w:rFonts w:ascii="Arial" w:eastAsia="Arial" w:hAnsi="Arial" w:cs="Arial"/>
          <w:spacing w:val="39"/>
          <w:sz w:val="22"/>
          <w:szCs w:val="22"/>
        </w:rPr>
        <w:t xml:space="preserve"> </w:t>
      </w:r>
      <w:r w:rsidRPr="00EC452A">
        <w:rPr>
          <w:rFonts w:ascii="Arial" w:eastAsia="Arial" w:hAnsi="Arial" w:cs="Arial"/>
          <w:w w:val="102"/>
          <w:sz w:val="22"/>
          <w:szCs w:val="22"/>
        </w:rPr>
        <w:t>técnica 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comercializació</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productos.</w:t>
      </w:r>
    </w:p>
    <w:p w14:paraId="627AFA3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VI</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Formula</w:t>
      </w:r>
      <w:r w:rsidRPr="00EC452A">
        <w:rPr>
          <w:rFonts w:ascii="Arial" w:eastAsia="Arial" w:hAnsi="Arial" w:cs="Arial"/>
          <w:sz w:val="22"/>
          <w:szCs w:val="22"/>
        </w:rPr>
        <w:t>r</w:t>
      </w:r>
      <w:r w:rsidRPr="00EC452A">
        <w:rPr>
          <w:rFonts w:ascii="Arial" w:eastAsia="Arial" w:hAnsi="Arial" w:cs="Arial"/>
          <w:spacing w:val="33"/>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propone</w:t>
      </w:r>
      <w:r w:rsidRPr="00EC452A">
        <w:rPr>
          <w:rFonts w:ascii="Arial" w:eastAsia="Arial" w:hAnsi="Arial" w:cs="Arial"/>
          <w:sz w:val="22"/>
          <w:szCs w:val="22"/>
        </w:rPr>
        <w:t>r</w:t>
      </w:r>
      <w:r w:rsidRPr="00EC452A">
        <w:rPr>
          <w:rFonts w:ascii="Arial" w:eastAsia="Arial" w:hAnsi="Arial" w:cs="Arial"/>
          <w:spacing w:val="33"/>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institucione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ram</w:t>
      </w:r>
      <w:r w:rsidRPr="00EC452A">
        <w:rPr>
          <w:rFonts w:ascii="Arial" w:eastAsia="Arial" w:hAnsi="Arial" w:cs="Arial"/>
          <w:sz w:val="22"/>
          <w:szCs w:val="22"/>
        </w:rPr>
        <w:t>o</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crédit</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aví</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refaccionario</w:t>
      </w:r>
      <w:r w:rsidRPr="00EC452A">
        <w:rPr>
          <w:rFonts w:ascii="Arial" w:eastAsia="Arial" w:hAnsi="Arial" w:cs="Arial"/>
          <w:sz w:val="22"/>
          <w:szCs w:val="22"/>
        </w:rPr>
        <w:t xml:space="preserve">,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destinado</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promoció</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Temporal</w:t>
      </w:r>
      <w:r w:rsidRPr="00EC452A">
        <w:rPr>
          <w:rFonts w:ascii="Arial" w:eastAsia="Arial" w:hAnsi="Arial" w:cs="Arial"/>
          <w:sz w:val="22"/>
          <w:szCs w:val="22"/>
        </w:rPr>
        <w:t xml:space="preserv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 xml:space="preserve">í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2"/>
          <w:sz w:val="22"/>
          <w:szCs w:val="22"/>
        </w:rPr>
        <w:t>aseguramient</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cultivo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ganado.</w:t>
      </w:r>
    </w:p>
    <w:p w14:paraId="22DDCF4C"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VII</w:t>
      </w:r>
      <w:r w:rsidRPr="00EC452A">
        <w:rPr>
          <w:rFonts w:ascii="Arial" w:eastAsia="Arial" w:hAnsi="Arial" w:cs="Arial"/>
          <w:sz w:val="22"/>
          <w:szCs w:val="22"/>
        </w:rPr>
        <w:t>.</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Supervisa</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ajuste</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imponga</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condiciones </w:t>
      </w:r>
      <w:r w:rsidRPr="00EC452A">
        <w:rPr>
          <w:rFonts w:ascii="Arial" w:eastAsia="Arial" w:hAnsi="Arial" w:cs="Arial"/>
          <w:spacing w:val="-1"/>
          <w:sz w:val="22"/>
          <w:szCs w:val="22"/>
        </w:rPr>
        <w:t>prevaleciente</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regió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propia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Dist</w:t>
      </w:r>
      <w:r w:rsidRPr="00EC452A">
        <w:rPr>
          <w:rFonts w:ascii="Arial" w:eastAsia="Arial" w:hAnsi="Arial" w:cs="Arial"/>
          <w:spacing w:val="-16"/>
          <w:w w:val="102"/>
          <w:sz w:val="22"/>
          <w:szCs w:val="22"/>
        </w:rPr>
        <w:t>r</w:t>
      </w:r>
      <w:r w:rsidRPr="00EC452A">
        <w:rPr>
          <w:rFonts w:ascii="Arial" w:eastAsia="Arial" w:hAnsi="Arial" w:cs="Arial"/>
          <w:spacing w:val="-1"/>
          <w:w w:val="102"/>
          <w:sz w:val="22"/>
          <w:szCs w:val="22"/>
        </w:rPr>
        <w:t>ito.</w:t>
      </w:r>
    </w:p>
    <w:p w14:paraId="32665CB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VIII</w:t>
      </w:r>
      <w:r w:rsidRPr="00EC452A">
        <w:rPr>
          <w:rFonts w:ascii="Arial" w:eastAsia="Arial" w:hAnsi="Arial" w:cs="Arial"/>
          <w:sz w:val="22"/>
          <w:szCs w:val="22"/>
        </w:rPr>
        <w:t>.</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formula</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Promove</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abastecimient</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insumos</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recomendacione</w:t>
      </w:r>
      <w:r w:rsidRPr="00EC452A">
        <w:rPr>
          <w:rFonts w:ascii="Arial" w:eastAsia="Arial" w:hAnsi="Arial" w:cs="Arial"/>
          <w:sz w:val="22"/>
          <w:szCs w:val="22"/>
        </w:rPr>
        <w:t xml:space="preserve">s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Centro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Investigació</w:t>
      </w:r>
      <w:r w:rsidRPr="00EC452A">
        <w:rPr>
          <w:rFonts w:ascii="Arial" w:eastAsia="Arial" w:hAnsi="Arial" w:cs="Arial"/>
          <w:sz w:val="22"/>
          <w:szCs w:val="22"/>
        </w:rPr>
        <w:t xml:space="preserve">n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 xml:space="preserve">a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localizad</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regió</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pacing w:val="1"/>
          <w:sz w:val="22"/>
          <w:szCs w:val="22"/>
        </w:rPr>
        <w:t>otra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similare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característica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ecológicas.</w:t>
      </w:r>
    </w:p>
    <w:p w14:paraId="1C00BF7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3"/>
          <w:sz w:val="22"/>
          <w:szCs w:val="22"/>
        </w:rPr>
        <w:t>IX</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3"/>
          <w:sz w:val="22"/>
          <w:szCs w:val="22"/>
        </w:rPr>
        <w:t>Conoce</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
          <w:sz w:val="22"/>
          <w:szCs w:val="22"/>
        </w:rPr>
        <w:t>evalua</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3"/>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5"/>
          <w:sz w:val="22"/>
          <w:szCs w:val="22"/>
        </w:rPr>
        <w:t>r</w:t>
      </w:r>
      <w:r w:rsidRPr="00EC452A">
        <w:rPr>
          <w:rFonts w:ascii="Arial" w:eastAsia="Arial" w:hAnsi="Arial" w:cs="Arial"/>
          <w:sz w:val="22"/>
          <w:szCs w:val="22"/>
        </w:rPr>
        <w:t>esultados</w:t>
      </w:r>
      <w:r w:rsidRPr="00EC452A">
        <w:rPr>
          <w:rFonts w:ascii="Arial" w:eastAsia="Arial" w:hAnsi="Arial" w:cs="Arial"/>
          <w:spacing w:val="16"/>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los</w:t>
      </w:r>
      <w:r w:rsidRPr="00EC452A">
        <w:rPr>
          <w:rFonts w:ascii="Arial" w:eastAsia="Arial" w:hAnsi="Arial" w:cs="Arial"/>
          <w:spacing w:val="3"/>
          <w:sz w:val="22"/>
          <w:szCs w:val="22"/>
        </w:rPr>
        <w:t xml:space="preserve"> </w:t>
      </w:r>
      <w:r w:rsidRPr="00EC452A">
        <w:rPr>
          <w:rFonts w:ascii="Arial" w:eastAsia="Arial" w:hAnsi="Arial" w:cs="Arial"/>
          <w:sz w:val="22"/>
          <w:szCs w:val="22"/>
        </w:rPr>
        <w:t>programas,</w:t>
      </w:r>
      <w:r w:rsidRPr="00EC452A">
        <w:rPr>
          <w:rFonts w:ascii="Arial" w:eastAsia="Arial" w:hAnsi="Arial" w:cs="Arial"/>
          <w:spacing w:val="17"/>
          <w:sz w:val="22"/>
          <w:szCs w:val="22"/>
        </w:rPr>
        <w:t xml:space="preserve"> </w:t>
      </w:r>
      <w:r w:rsidRPr="00EC452A">
        <w:rPr>
          <w:rFonts w:ascii="Arial" w:eastAsia="Arial" w:hAnsi="Arial" w:cs="Arial"/>
          <w:sz w:val="22"/>
          <w:szCs w:val="22"/>
        </w:rPr>
        <w:t>formulando</w:t>
      </w:r>
      <w:r w:rsidRPr="00EC452A">
        <w:rPr>
          <w:rFonts w:ascii="Arial" w:eastAsia="Arial" w:hAnsi="Arial" w:cs="Arial"/>
          <w:spacing w:val="17"/>
          <w:sz w:val="22"/>
          <w:szCs w:val="22"/>
        </w:rPr>
        <w:t xml:space="preserve"> </w:t>
      </w:r>
      <w:r w:rsidRPr="00EC452A">
        <w:rPr>
          <w:rFonts w:ascii="Arial" w:eastAsia="Arial" w:hAnsi="Arial" w:cs="Arial"/>
          <w:sz w:val="22"/>
          <w:szCs w:val="22"/>
        </w:rPr>
        <w:t>las</w:t>
      </w:r>
      <w:r w:rsidRPr="00EC452A">
        <w:rPr>
          <w:rFonts w:ascii="Arial" w:eastAsia="Arial" w:hAnsi="Arial" w:cs="Arial"/>
          <w:spacing w:val="3"/>
          <w:sz w:val="22"/>
          <w:szCs w:val="22"/>
        </w:rPr>
        <w:t xml:space="preserve"> </w:t>
      </w:r>
      <w:r w:rsidRPr="00EC452A">
        <w:rPr>
          <w:rFonts w:ascii="Arial" w:eastAsia="Arial" w:hAnsi="Arial" w:cs="Arial"/>
          <w:sz w:val="22"/>
          <w:szCs w:val="22"/>
        </w:rPr>
        <w:t>instrucciones</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2"/>
          <w:sz w:val="22"/>
          <w:szCs w:val="22"/>
        </w:rPr>
        <w:t>recomendacione</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deba</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observars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elaboració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programa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2"/>
          <w:w w:val="102"/>
          <w:sz w:val="22"/>
          <w:szCs w:val="22"/>
        </w:rPr>
        <w:t>futuros.</w:t>
      </w:r>
    </w:p>
    <w:p w14:paraId="63BDF4E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X</w:t>
      </w:r>
      <w:r w:rsidRPr="00EC452A">
        <w:rPr>
          <w:rFonts w:ascii="Arial" w:eastAsia="Arial" w:hAnsi="Arial" w:cs="Arial"/>
          <w:sz w:val="22"/>
          <w:szCs w:val="22"/>
        </w:rPr>
        <w:t xml:space="preserv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Analiza</w:t>
      </w:r>
      <w:r w:rsidRPr="00EC452A">
        <w:rPr>
          <w:rFonts w:ascii="Arial" w:eastAsia="Arial" w:hAnsi="Arial" w:cs="Arial"/>
          <w:sz w:val="22"/>
          <w:szCs w:val="22"/>
        </w:rPr>
        <w:t xml:space="preserve">r </w:t>
      </w:r>
      <w:r w:rsidRPr="00EC452A">
        <w:rPr>
          <w:rFonts w:ascii="Arial" w:eastAsia="Arial" w:hAnsi="Arial" w:cs="Arial"/>
          <w:spacing w:val="5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aproba</w:t>
      </w:r>
      <w:r w:rsidRPr="00EC452A">
        <w:rPr>
          <w:rFonts w:ascii="Arial" w:eastAsia="Arial" w:hAnsi="Arial" w:cs="Arial"/>
          <w:sz w:val="22"/>
          <w:szCs w:val="22"/>
        </w:rPr>
        <w:t xml:space="preserve">r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 xml:space="preserv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proyecto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obra</w:t>
      </w:r>
      <w:r w:rsidRPr="00EC452A">
        <w:rPr>
          <w:rFonts w:ascii="Arial" w:eastAsia="Arial" w:hAnsi="Arial" w:cs="Arial"/>
          <w:sz w:val="22"/>
          <w:szCs w:val="22"/>
        </w:rPr>
        <w:t xml:space="preserve">s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infraestructur</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comercialización,</w:t>
      </w:r>
      <w:r w:rsidRPr="00EC452A">
        <w:rPr>
          <w:rFonts w:ascii="Arial" w:eastAsia="Arial" w:hAnsi="Arial" w:cs="Arial"/>
          <w:spacing w:val="31"/>
          <w:sz w:val="22"/>
          <w:szCs w:val="22"/>
        </w:rPr>
        <w:t xml:space="preserve"> </w:t>
      </w:r>
      <w:r w:rsidRPr="00EC452A">
        <w:rPr>
          <w:rFonts w:ascii="Arial" w:eastAsia="Arial" w:hAnsi="Arial" w:cs="Arial"/>
          <w:sz w:val="22"/>
          <w:szCs w:val="22"/>
        </w:rPr>
        <w:t>teniendo</w:t>
      </w:r>
      <w:r w:rsidRPr="00EC452A">
        <w:rPr>
          <w:rFonts w:ascii="Arial" w:eastAsia="Arial" w:hAnsi="Arial" w:cs="Arial"/>
          <w:spacing w:val="17"/>
          <w:sz w:val="22"/>
          <w:szCs w:val="22"/>
        </w:rPr>
        <w:t xml:space="preserve"> </w:t>
      </w:r>
      <w:r w:rsidRPr="00EC452A">
        <w:rPr>
          <w:rFonts w:ascii="Arial" w:eastAsia="Arial" w:hAnsi="Arial" w:cs="Arial"/>
          <w:sz w:val="22"/>
          <w:szCs w:val="22"/>
        </w:rPr>
        <w:t>en</w:t>
      </w:r>
      <w:r w:rsidRPr="00EC452A">
        <w:rPr>
          <w:rFonts w:ascii="Arial" w:eastAsia="Arial" w:hAnsi="Arial" w:cs="Arial"/>
          <w:spacing w:val="21"/>
          <w:sz w:val="22"/>
          <w:szCs w:val="22"/>
        </w:rPr>
        <w:t xml:space="preserve"> </w:t>
      </w:r>
      <w:r w:rsidRPr="00EC452A">
        <w:rPr>
          <w:rFonts w:ascii="Arial" w:eastAsia="Arial" w:hAnsi="Arial" w:cs="Arial"/>
          <w:sz w:val="22"/>
          <w:szCs w:val="22"/>
        </w:rPr>
        <w:t>cuenta</w:t>
      </w:r>
      <w:r w:rsidRPr="00EC452A">
        <w:rPr>
          <w:rFonts w:ascii="Arial" w:eastAsia="Arial" w:hAnsi="Arial" w:cs="Arial"/>
          <w:spacing w:val="19"/>
          <w:sz w:val="22"/>
          <w:szCs w:val="22"/>
        </w:rPr>
        <w:t xml:space="preserve"> </w:t>
      </w:r>
      <w:r w:rsidRPr="00EC452A">
        <w:rPr>
          <w:rFonts w:ascii="Arial" w:eastAsia="Arial" w:hAnsi="Arial" w:cs="Arial"/>
          <w:sz w:val="22"/>
          <w:szCs w:val="22"/>
        </w:rPr>
        <w:t>su</w:t>
      </w:r>
      <w:r w:rsidRPr="00EC452A">
        <w:rPr>
          <w:rFonts w:ascii="Arial" w:eastAsia="Arial" w:hAnsi="Arial" w:cs="Arial"/>
          <w:spacing w:val="12"/>
          <w:sz w:val="22"/>
          <w:szCs w:val="22"/>
        </w:rPr>
        <w:t xml:space="preserve"> </w:t>
      </w:r>
      <w:r w:rsidRPr="00EC452A">
        <w:rPr>
          <w:rFonts w:ascii="Arial" w:eastAsia="Arial" w:hAnsi="Arial" w:cs="Arial"/>
          <w:sz w:val="22"/>
          <w:szCs w:val="22"/>
        </w:rPr>
        <w:t>repercusión</w:t>
      </w:r>
      <w:r w:rsidRPr="00EC452A">
        <w:rPr>
          <w:rFonts w:ascii="Arial" w:eastAsia="Arial" w:hAnsi="Arial" w:cs="Arial"/>
          <w:spacing w:val="28"/>
          <w:sz w:val="22"/>
          <w:szCs w:val="22"/>
        </w:rPr>
        <w:t xml:space="preserve"> </w:t>
      </w:r>
      <w:r w:rsidRPr="00EC452A">
        <w:rPr>
          <w:rFonts w:ascii="Arial" w:eastAsia="Arial" w:hAnsi="Arial" w:cs="Arial"/>
          <w:sz w:val="22"/>
          <w:szCs w:val="22"/>
        </w:rPr>
        <w:t>económica</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social.</w:t>
      </w:r>
    </w:p>
    <w:p w14:paraId="0969E08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XI</w:t>
      </w:r>
      <w:r w:rsidRPr="00EC452A">
        <w:rPr>
          <w:rFonts w:ascii="Arial" w:eastAsia="Arial" w:hAnsi="Arial" w:cs="Arial"/>
          <w:sz w:val="22"/>
          <w:szCs w:val="22"/>
        </w:rPr>
        <w:t xml:space="preserv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Solicita</w:t>
      </w:r>
      <w:r w:rsidRPr="00EC452A">
        <w:rPr>
          <w:rFonts w:ascii="Arial" w:eastAsia="Arial" w:hAnsi="Arial" w:cs="Arial"/>
          <w:sz w:val="22"/>
          <w:szCs w:val="22"/>
        </w:rPr>
        <w:t xml:space="preserve">r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participació</w:t>
      </w:r>
      <w:r w:rsidRPr="00EC452A">
        <w:rPr>
          <w:rFonts w:ascii="Arial" w:eastAsia="Arial" w:hAnsi="Arial" w:cs="Arial"/>
          <w:sz w:val="22"/>
          <w:szCs w:val="22"/>
        </w:rPr>
        <w:t xml:space="preserve">n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aquello</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representante</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organizacione</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deba</w:t>
      </w:r>
      <w:r w:rsidRPr="00EC452A">
        <w:rPr>
          <w:rFonts w:ascii="Arial" w:eastAsia="Arial" w:hAnsi="Arial" w:cs="Arial"/>
          <w:sz w:val="22"/>
          <w:szCs w:val="22"/>
        </w:rPr>
        <w:t xml:space="preserve">n </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ser </w:t>
      </w:r>
      <w:r w:rsidRPr="00EC452A">
        <w:rPr>
          <w:rFonts w:ascii="Arial" w:eastAsia="Arial" w:hAnsi="Arial" w:cs="Arial"/>
          <w:spacing w:val="-1"/>
          <w:sz w:val="22"/>
          <w:szCs w:val="22"/>
        </w:rPr>
        <w:t>escuchados</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esta</w:t>
      </w:r>
      <w:r w:rsidRPr="00EC452A">
        <w:rPr>
          <w:rFonts w:ascii="Arial" w:eastAsia="Arial" w:hAnsi="Arial" w:cs="Arial"/>
          <w:sz w:val="22"/>
          <w:szCs w:val="22"/>
        </w:rPr>
        <w:t xml:space="preserve">r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vinculado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proces</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productiv</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Temporal </w:t>
      </w:r>
      <w:r w:rsidRPr="00EC452A">
        <w:rPr>
          <w:rFonts w:ascii="Arial" w:eastAsia="Arial" w:hAnsi="Arial" w:cs="Arial"/>
          <w:spacing w:val="-2"/>
          <w:w w:val="102"/>
          <w:sz w:val="22"/>
          <w:szCs w:val="22"/>
        </w:rPr>
        <w:t>correspondiente.</w:t>
      </w:r>
    </w:p>
    <w:p w14:paraId="3DD71F8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46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estará</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integrado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w w:val="102"/>
          <w:sz w:val="22"/>
          <w:szCs w:val="22"/>
        </w:rPr>
        <w:t xml:space="preserve">por </w:t>
      </w:r>
      <w:r w:rsidRPr="00EC452A">
        <w:rPr>
          <w:rFonts w:ascii="Arial" w:eastAsia="Arial" w:hAnsi="Arial" w:cs="Arial"/>
          <w:sz w:val="22"/>
          <w:szCs w:val="22"/>
        </w:rPr>
        <w:t xml:space="preserve">representantes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unidades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técnicas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Secretaria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aquéllos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 xml:space="preserve">misma </w:t>
      </w:r>
      <w:r w:rsidRPr="00EC452A">
        <w:rPr>
          <w:rFonts w:ascii="Arial" w:eastAsia="Arial" w:hAnsi="Arial" w:cs="Arial"/>
          <w:spacing w:val="-1"/>
          <w:sz w:val="22"/>
          <w:szCs w:val="22"/>
        </w:rPr>
        <w:t>expresament</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determin</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y</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eventualmente</w:t>
      </w:r>
      <w:r w:rsidRPr="00EC452A">
        <w:rPr>
          <w:rFonts w:ascii="Arial" w:eastAsia="Arial" w:hAnsi="Arial" w:cs="Arial"/>
          <w:sz w:val="22"/>
          <w:szCs w:val="22"/>
        </w:rPr>
        <w:t>,</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otro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entidades </w:t>
      </w:r>
      <w:r w:rsidRPr="00EC452A">
        <w:rPr>
          <w:rFonts w:ascii="Arial" w:eastAsia="Arial" w:hAnsi="Arial" w:cs="Arial"/>
          <w:sz w:val="22"/>
          <w:szCs w:val="22"/>
        </w:rPr>
        <w:t>de</w:t>
      </w:r>
      <w:r w:rsidRPr="00EC452A">
        <w:rPr>
          <w:rFonts w:ascii="Arial" w:eastAsia="Arial" w:hAnsi="Arial" w:cs="Arial"/>
          <w:spacing w:val="6"/>
          <w:sz w:val="22"/>
          <w:szCs w:val="22"/>
        </w:rPr>
        <w:t xml:space="preserve"> </w:t>
      </w:r>
      <w:r w:rsidRPr="00EC452A">
        <w:rPr>
          <w:rFonts w:ascii="Arial" w:eastAsia="Arial" w:hAnsi="Arial" w:cs="Arial"/>
          <w:sz w:val="22"/>
          <w:szCs w:val="22"/>
        </w:rPr>
        <w:t>la</w:t>
      </w:r>
      <w:r w:rsidRPr="00EC452A">
        <w:rPr>
          <w:rFonts w:ascii="Arial" w:eastAsia="Arial" w:hAnsi="Arial" w:cs="Arial"/>
          <w:spacing w:val="5"/>
          <w:sz w:val="22"/>
          <w:szCs w:val="22"/>
        </w:rPr>
        <w:t xml:space="preserve"> </w:t>
      </w:r>
      <w:r w:rsidRPr="00EC452A">
        <w:rPr>
          <w:rFonts w:ascii="Arial" w:eastAsia="Arial" w:hAnsi="Arial" w:cs="Arial"/>
          <w:sz w:val="22"/>
          <w:szCs w:val="22"/>
        </w:rPr>
        <w:t>Administración</w:t>
      </w:r>
      <w:r w:rsidRPr="00EC452A">
        <w:rPr>
          <w:rFonts w:ascii="Arial" w:eastAsia="Arial" w:hAnsi="Arial" w:cs="Arial"/>
          <w:spacing w:val="42"/>
          <w:sz w:val="22"/>
          <w:szCs w:val="22"/>
        </w:rPr>
        <w:t xml:space="preserve"> </w:t>
      </w:r>
      <w:r w:rsidRPr="00EC452A">
        <w:rPr>
          <w:rFonts w:ascii="Arial" w:eastAsia="Arial" w:hAnsi="Arial" w:cs="Arial"/>
          <w:sz w:val="22"/>
          <w:szCs w:val="22"/>
        </w:rPr>
        <w:t>Pública</w:t>
      </w:r>
      <w:r w:rsidRPr="00EC452A">
        <w:rPr>
          <w:rFonts w:ascii="Arial" w:eastAsia="Arial" w:hAnsi="Arial" w:cs="Arial"/>
          <w:spacing w:val="19"/>
          <w:sz w:val="22"/>
          <w:szCs w:val="22"/>
        </w:rPr>
        <w:t xml:space="preserve"> </w:t>
      </w:r>
      <w:r w:rsidRPr="00EC452A">
        <w:rPr>
          <w:rFonts w:ascii="Arial" w:eastAsia="Arial" w:hAnsi="Arial" w:cs="Arial"/>
          <w:sz w:val="22"/>
          <w:szCs w:val="22"/>
        </w:rPr>
        <w:t>Federal,</w:t>
      </w:r>
      <w:r w:rsidRPr="00EC452A">
        <w:rPr>
          <w:rFonts w:ascii="Arial" w:eastAsia="Arial" w:hAnsi="Arial" w:cs="Arial"/>
          <w:spacing w:val="21"/>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sean</w:t>
      </w:r>
      <w:r w:rsidRPr="00EC452A">
        <w:rPr>
          <w:rFonts w:ascii="Arial" w:eastAsia="Arial" w:hAnsi="Arial" w:cs="Arial"/>
          <w:spacing w:val="15"/>
          <w:sz w:val="22"/>
          <w:szCs w:val="22"/>
        </w:rPr>
        <w:t xml:space="preserve"> </w:t>
      </w:r>
      <w:r w:rsidRPr="00EC452A">
        <w:rPr>
          <w:rFonts w:ascii="Arial" w:eastAsia="Arial" w:hAnsi="Arial" w:cs="Arial"/>
          <w:sz w:val="22"/>
          <w:szCs w:val="22"/>
        </w:rPr>
        <w:t>invitados</w:t>
      </w:r>
      <w:r w:rsidRPr="00EC452A">
        <w:rPr>
          <w:rFonts w:ascii="Arial" w:eastAsia="Arial" w:hAnsi="Arial" w:cs="Arial"/>
          <w:spacing w:val="22"/>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cuyo</w:t>
      </w:r>
      <w:r w:rsidRPr="00EC452A">
        <w:rPr>
          <w:rFonts w:ascii="Arial" w:eastAsia="Arial" w:hAnsi="Arial" w:cs="Arial"/>
          <w:spacing w:val="15"/>
          <w:sz w:val="22"/>
          <w:szCs w:val="22"/>
        </w:rPr>
        <w:t xml:space="preserve"> </w:t>
      </w:r>
      <w:r w:rsidRPr="00EC452A">
        <w:rPr>
          <w:rFonts w:ascii="Arial" w:eastAsia="Arial" w:hAnsi="Arial" w:cs="Arial"/>
          <w:sz w:val="22"/>
          <w:szCs w:val="22"/>
        </w:rPr>
        <w:t>concurso</w:t>
      </w:r>
      <w:r w:rsidRPr="00EC452A">
        <w:rPr>
          <w:rFonts w:ascii="Arial" w:eastAsia="Arial" w:hAnsi="Arial" w:cs="Arial"/>
          <w:spacing w:val="22"/>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estime</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necesario.</w:t>
      </w:r>
    </w:p>
    <w:p w14:paraId="00E1C71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Los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Comités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Técnicos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auxiliarán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Comités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Directivos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cuando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sean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invitados </w:t>
      </w:r>
      <w:r w:rsidRPr="00EC452A">
        <w:rPr>
          <w:rFonts w:ascii="Arial" w:eastAsia="Arial" w:hAnsi="Arial" w:cs="Arial"/>
          <w:spacing w:val="48"/>
          <w:sz w:val="22"/>
          <w:szCs w:val="22"/>
        </w:rPr>
        <w:t xml:space="preserve"> </w:t>
      </w:r>
      <w:r w:rsidRPr="00EC452A">
        <w:rPr>
          <w:rFonts w:ascii="Arial" w:eastAsia="Arial" w:hAnsi="Arial" w:cs="Arial"/>
          <w:w w:val="102"/>
          <w:sz w:val="22"/>
          <w:szCs w:val="22"/>
        </w:rPr>
        <w:t xml:space="preserve">sus </w:t>
      </w:r>
      <w:r w:rsidRPr="00EC452A">
        <w:rPr>
          <w:rFonts w:ascii="Arial" w:eastAsia="Arial" w:hAnsi="Arial" w:cs="Arial"/>
          <w:spacing w:val="-1"/>
          <w:sz w:val="22"/>
          <w:szCs w:val="22"/>
        </w:rPr>
        <w:t>integrantes</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asisti</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reunione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éstos</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vo</w:t>
      </w:r>
      <w:r w:rsidRPr="00EC452A">
        <w:rPr>
          <w:rFonts w:ascii="Arial" w:eastAsia="Arial" w:hAnsi="Arial" w:cs="Arial"/>
          <w:sz w:val="22"/>
          <w:szCs w:val="22"/>
        </w:rPr>
        <w:t>z</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voto.</w:t>
      </w:r>
    </w:p>
    <w:p w14:paraId="709F0AD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Artículo </w:t>
      </w:r>
      <w:r w:rsidRPr="00EC452A">
        <w:rPr>
          <w:rFonts w:ascii="Arial" w:eastAsia="Arial" w:hAnsi="Arial" w:cs="Arial"/>
          <w:spacing w:val="42"/>
          <w:sz w:val="22"/>
          <w:szCs w:val="22"/>
        </w:rPr>
        <w:t xml:space="preserve"> </w:t>
      </w:r>
      <w:r w:rsidRPr="00EC452A">
        <w:rPr>
          <w:rFonts w:ascii="Arial" w:eastAsia="Arial" w:hAnsi="Arial" w:cs="Arial"/>
          <w:spacing w:val="-5"/>
          <w:sz w:val="22"/>
          <w:szCs w:val="22"/>
        </w:rPr>
        <w:t>47</w:t>
      </w:r>
      <w:r w:rsidRPr="00EC452A">
        <w:rPr>
          <w:rFonts w:ascii="Arial" w:eastAsia="Arial" w:hAnsi="Arial" w:cs="Arial"/>
          <w:spacing w:val="10"/>
          <w:sz w:val="22"/>
          <w:szCs w:val="22"/>
        </w:rPr>
        <w:t>.</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Temporal</w:t>
      </w:r>
      <w:r w:rsidRPr="00EC452A">
        <w:rPr>
          <w:rFonts w:ascii="Arial" w:eastAsia="Arial" w:hAnsi="Arial" w:cs="Arial"/>
          <w:sz w:val="22"/>
          <w:szCs w:val="22"/>
        </w:rPr>
        <w:t xml:space="preserv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baj</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vigilanci</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z w:val="22"/>
          <w:szCs w:val="22"/>
        </w:rPr>
        <w:t xml:space="preserve">Comités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Directivos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respectivos,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pondrán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práctica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programas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asistencia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técnica </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extensió</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agropecuaria</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ademá</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apoy</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1"/>
          <w:sz w:val="22"/>
          <w:szCs w:val="22"/>
        </w:rPr>
        <w:t>pueda</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proporciona</w:t>
      </w:r>
      <w:r w:rsidRPr="00EC452A">
        <w:rPr>
          <w:rFonts w:ascii="Arial" w:eastAsia="Arial" w:hAnsi="Arial" w:cs="Arial"/>
          <w:sz w:val="22"/>
          <w:szCs w:val="22"/>
        </w:rPr>
        <w:t xml:space="preserve">r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dis</w:t>
      </w:r>
      <w:r w:rsidRPr="00EC452A">
        <w:rPr>
          <w:rFonts w:ascii="Arial" w:eastAsia="Arial" w:hAnsi="Arial" w:cs="Arial"/>
          <w:spacing w:val="2"/>
          <w:w w:val="102"/>
          <w:sz w:val="22"/>
          <w:szCs w:val="22"/>
        </w:rPr>
        <w:t xml:space="preserve">tintas </w:t>
      </w:r>
      <w:r w:rsidRPr="00EC452A">
        <w:rPr>
          <w:rFonts w:ascii="Arial" w:eastAsia="Arial" w:hAnsi="Arial" w:cs="Arial"/>
          <w:spacing w:val="-1"/>
          <w:sz w:val="22"/>
          <w:szCs w:val="22"/>
        </w:rPr>
        <w:t>área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administrativa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Secretaría.</w:t>
      </w:r>
    </w:p>
    <w:p w14:paraId="20703D1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48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trat</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asunto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relativo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constitució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producción,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emitirá</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opinió</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efect</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ser </w:t>
      </w:r>
      <w:r w:rsidRPr="00EC452A">
        <w:rPr>
          <w:rFonts w:ascii="Arial" w:eastAsia="Arial" w:hAnsi="Arial" w:cs="Arial"/>
          <w:spacing w:val="-1"/>
          <w:sz w:val="22"/>
          <w:szCs w:val="22"/>
        </w:rPr>
        <w:t>integrado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participació</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Reform</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Agraria</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concept</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sz w:val="22"/>
          <w:szCs w:val="22"/>
        </w:rPr>
        <w:t>cuand</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deba</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interveni</w:t>
      </w:r>
      <w:r w:rsidRPr="00EC452A">
        <w:rPr>
          <w:rFonts w:ascii="Arial" w:eastAsia="Arial" w:hAnsi="Arial" w:cs="Arial"/>
          <w:sz w:val="22"/>
          <w:szCs w:val="22"/>
        </w:rPr>
        <w:t xml:space="preserve">r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programa</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fideicomis</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riesg</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compartid</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2"/>
          <w:w w:val="102"/>
          <w:sz w:val="22"/>
          <w:szCs w:val="22"/>
        </w:rPr>
        <w:t xml:space="preserve">habrá </w:t>
      </w:r>
      <w:r w:rsidRPr="00EC452A">
        <w:rPr>
          <w:rFonts w:ascii="Arial" w:eastAsia="Arial" w:hAnsi="Arial" w:cs="Arial"/>
          <w:spacing w:val="-1"/>
          <w:sz w:val="22"/>
          <w:szCs w:val="22"/>
        </w:rPr>
        <w:t>representante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Fideicomis</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Riesg</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Compartid</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Asegurador</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Agrícol</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Ganadera</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sz w:val="22"/>
          <w:szCs w:val="22"/>
        </w:rPr>
        <w:t>se</w:t>
      </w:r>
      <w:r w:rsidRPr="00EC452A">
        <w:rPr>
          <w:rFonts w:ascii="Arial" w:eastAsia="Arial" w:hAnsi="Arial" w:cs="Arial"/>
          <w:spacing w:val="38"/>
          <w:sz w:val="22"/>
          <w:szCs w:val="22"/>
        </w:rPr>
        <w:t xml:space="preserve"> </w:t>
      </w:r>
      <w:r w:rsidRPr="00EC452A">
        <w:rPr>
          <w:rFonts w:ascii="Arial" w:eastAsia="Arial" w:hAnsi="Arial" w:cs="Arial"/>
          <w:sz w:val="22"/>
          <w:szCs w:val="22"/>
        </w:rPr>
        <w:t>recabará</w:t>
      </w:r>
      <w:r w:rsidRPr="00EC452A">
        <w:rPr>
          <w:rFonts w:ascii="Arial" w:eastAsia="Arial" w:hAnsi="Arial" w:cs="Arial"/>
          <w:spacing w:val="49"/>
          <w:sz w:val="22"/>
          <w:szCs w:val="22"/>
        </w:rPr>
        <w:t xml:space="preserve"> </w:t>
      </w:r>
      <w:r w:rsidRPr="00EC452A">
        <w:rPr>
          <w:rFonts w:ascii="Arial" w:eastAsia="Arial" w:hAnsi="Arial" w:cs="Arial"/>
          <w:sz w:val="22"/>
          <w:szCs w:val="22"/>
        </w:rPr>
        <w:t>la</w:t>
      </w:r>
      <w:r w:rsidRPr="00EC452A">
        <w:rPr>
          <w:rFonts w:ascii="Arial" w:eastAsia="Arial" w:hAnsi="Arial" w:cs="Arial"/>
          <w:spacing w:val="37"/>
          <w:sz w:val="22"/>
          <w:szCs w:val="22"/>
        </w:rPr>
        <w:t xml:space="preserve"> </w:t>
      </w:r>
      <w:r w:rsidRPr="00EC452A">
        <w:rPr>
          <w:rFonts w:ascii="Arial" w:eastAsia="Arial" w:hAnsi="Arial" w:cs="Arial"/>
          <w:sz w:val="22"/>
          <w:szCs w:val="22"/>
        </w:rPr>
        <w:t>opinión</w:t>
      </w:r>
      <w:r w:rsidRPr="00EC452A">
        <w:rPr>
          <w:rFonts w:ascii="Arial" w:eastAsia="Arial" w:hAnsi="Arial" w:cs="Arial"/>
          <w:spacing w:val="46"/>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sz w:val="22"/>
          <w:szCs w:val="22"/>
        </w:rPr>
        <w:t>las</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organizaciones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campesinas </w:t>
      </w:r>
      <w:r w:rsidRPr="00EC452A">
        <w:rPr>
          <w:rFonts w:ascii="Arial" w:eastAsia="Arial" w:hAnsi="Arial" w:cs="Arial"/>
          <w:spacing w:val="1"/>
          <w:sz w:val="22"/>
          <w:szCs w:val="22"/>
        </w:rPr>
        <w:t xml:space="preserve"> </w:t>
      </w:r>
      <w:r w:rsidRPr="00EC452A">
        <w:rPr>
          <w:rFonts w:ascii="Arial" w:eastAsia="Arial" w:hAnsi="Arial" w:cs="Arial"/>
          <w:sz w:val="22"/>
          <w:szCs w:val="22"/>
        </w:rPr>
        <w:t>nacionales</w:t>
      </w:r>
      <w:r w:rsidRPr="00EC452A">
        <w:rPr>
          <w:rFonts w:ascii="Arial" w:eastAsia="Arial" w:hAnsi="Arial" w:cs="Arial"/>
          <w:spacing w:val="52"/>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z w:val="22"/>
          <w:szCs w:val="22"/>
        </w:rPr>
        <w:t xml:space="preserve">las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asociaciones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productos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zona.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estos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casos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levantarán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minutas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 xml:space="preserve">que </w:t>
      </w:r>
      <w:r w:rsidRPr="00EC452A">
        <w:rPr>
          <w:rFonts w:ascii="Arial" w:eastAsia="Arial" w:hAnsi="Arial" w:cs="Arial"/>
          <w:sz w:val="22"/>
          <w:szCs w:val="22"/>
        </w:rPr>
        <w:t>consten</w:t>
      </w:r>
      <w:r w:rsidRPr="00EC452A">
        <w:rPr>
          <w:rFonts w:ascii="Arial" w:eastAsia="Arial" w:hAnsi="Arial" w:cs="Arial"/>
          <w:spacing w:val="20"/>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acuerdos</w:t>
      </w:r>
      <w:r w:rsidRPr="00EC452A">
        <w:rPr>
          <w:rFonts w:ascii="Arial" w:eastAsia="Arial" w:hAnsi="Arial" w:cs="Arial"/>
          <w:spacing w:val="23"/>
          <w:sz w:val="22"/>
          <w:szCs w:val="22"/>
        </w:rPr>
        <w:t xml:space="preserve"> </w:t>
      </w:r>
      <w:r w:rsidRPr="00EC452A">
        <w:rPr>
          <w:rFonts w:ascii="Arial" w:eastAsia="Arial" w:hAnsi="Arial" w:cs="Arial"/>
          <w:sz w:val="22"/>
          <w:szCs w:val="22"/>
        </w:rPr>
        <w:t>adoptados,</w:t>
      </w:r>
      <w:r w:rsidRPr="00EC452A">
        <w:rPr>
          <w:rFonts w:ascii="Arial" w:eastAsia="Arial" w:hAnsi="Arial" w:cs="Arial"/>
          <w:spacing w:val="26"/>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serán</w:t>
      </w:r>
      <w:r w:rsidRPr="00EC452A">
        <w:rPr>
          <w:rFonts w:ascii="Arial" w:eastAsia="Arial" w:hAnsi="Arial" w:cs="Arial"/>
          <w:spacing w:val="16"/>
          <w:sz w:val="22"/>
          <w:szCs w:val="22"/>
        </w:rPr>
        <w:t xml:space="preserve"> </w:t>
      </w:r>
      <w:r w:rsidRPr="00EC452A">
        <w:rPr>
          <w:rFonts w:ascii="Arial" w:eastAsia="Arial" w:hAnsi="Arial" w:cs="Arial"/>
          <w:sz w:val="22"/>
          <w:szCs w:val="22"/>
        </w:rPr>
        <w:t>firmadas</w:t>
      </w:r>
      <w:r w:rsidRPr="00EC452A">
        <w:rPr>
          <w:rFonts w:ascii="Arial" w:eastAsia="Arial" w:hAnsi="Arial" w:cs="Arial"/>
          <w:spacing w:val="22"/>
          <w:sz w:val="22"/>
          <w:szCs w:val="22"/>
        </w:rPr>
        <w:t xml:space="preserve"> </w:t>
      </w:r>
      <w:r w:rsidRPr="00EC452A">
        <w:rPr>
          <w:rFonts w:ascii="Arial" w:eastAsia="Arial" w:hAnsi="Arial" w:cs="Arial"/>
          <w:sz w:val="22"/>
          <w:szCs w:val="22"/>
        </w:rPr>
        <w:t>por</w:t>
      </w:r>
      <w:r w:rsidRPr="00EC452A">
        <w:rPr>
          <w:rFonts w:ascii="Arial" w:eastAsia="Arial" w:hAnsi="Arial" w:cs="Arial"/>
          <w:spacing w:val="12"/>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asistentes.</w:t>
      </w:r>
    </w:p>
    <w:p w14:paraId="0CE37B89"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w:t>
      </w:r>
    </w:p>
    <w:p w14:paraId="0E06FFC1"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D</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Producción</w:t>
      </w:r>
    </w:p>
    <w:p w14:paraId="3D8E3F7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49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constitució</w:t>
      </w:r>
      <w:r w:rsidRPr="00EC452A">
        <w:rPr>
          <w:rFonts w:ascii="Arial" w:eastAsia="Arial" w:hAnsi="Arial" w:cs="Arial"/>
          <w:sz w:val="22"/>
          <w:szCs w:val="22"/>
        </w:rPr>
        <w:t xml:space="preserve">n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levantará</w:t>
      </w:r>
      <w:r w:rsidRPr="00EC452A">
        <w:rPr>
          <w:rFonts w:ascii="Arial" w:eastAsia="Arial" w:hAnsi="Arial" w:cs="Arial"/>
          <w:sz w:val="22"/>
          <w:szCs w:val="22"/>
        </w:rPr>
        <w:t xml:space="preserve">,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notario </w:t>
      </w:r>
      <w:r w:rsidRPr="00EC452A">
        <w:rPr>
          <w:rFonts w:ascii="Arial" w:eastAsia="Arial" w:hAnsi="Arial" w:cs="Arial"/>
          <w:spacing w:val="-1"/>
          <w:sz w:val="22"/>
          <w:szCs w:val="22"/>
        </w:rPr>
        <w:t>públic</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 xml:space="preserve">d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federa</w:t>
      </w:r>
      <w:r w:rsidRPr="00EC452A">
        <w:rPr>
          <w:rFonts w:ascii="Arial" w:eastAsia="Arial" w:hAnsi="Arial" w:cs="Arial"/>
          <w:sz w:val="22"/>
          <w:szCs w:val="22"/>
        </w:rPr>
        <w:t xml:space="preserve">l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despach</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lugar</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constitutiv</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w w:val="102"/>
          <w:sz w:val="22"/>
          <w:szCs w:val="22"/>
        </w:rPr>
        <w:t>contendrá:</w:t>
      </w:r>
    </w:p>
    <w:p w14:paraId="1524B1F6"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2"/>
          <w:sz w:val="22"/>
          <w:szCs w:val="22"/>
        </w:rPr>
        <w:t>a</w:t>
      </w:r>
      <w:r w:rsidRPr="00EC452A">
        <w:rPr>
          <w:rFonts w:ascii="Arial" w:eastAsia="Arial" w:hAnsi="Arial" w:cs="Arial"/>
          <w:sz w:val="22"/>
          <w:szCs w:val="22"/>
        </w:rPr>
        <w:t>)</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ubicació</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d</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quiene</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integran.</w:t>
      </w:r>
    </w:p>
    <w:p w14:paraId="3BCBF10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nombr</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mism</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desea.</w:t>
      </w:r>
    </w:p>
    <w:p w14:paraId="19EA5809" w14:textId="77777777" w:rsidR="00EC452A" w:rsidRPr="00EC452A" w:rsidRDefault="00EC452A" w:rsidP="00EC452A">
      <w:pPr>
        <w:spacing w:before="100" w:beforeAutospacing="1" w:after="100" w:afterAutospacing="1" w:line="240" w:lineRule="auto"/>
        <w:jc w:val="both"/>
        <w:rPr>
          <w:rFonts w:ascii="Arial" w:eastAsia="Arial" w:hAnsi="Arial" w:cs="Arial"/>
          <w:spacing w:val="-2"/>
          <w:w w:val="102"/>
          <w:sz w:val="22"/>
          <w:szCs w:val="22"/>
        </w:rPr>
      </w:pPr>
      <w:r w:rsidRPr="00EC452A">
        <w:rPr>
          <w:rFonts w:ascii="Arial" w:eastAsia="Arial" w:hAnsi="Arial" w:cs="Arial"/>
          <w:spacing w:val="-2"/>
          <w:sz w:val="22"/>
          <w:szCs w:val="22"/>
        </w:rPr>
        <w:t>c</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objet</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d</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producción.</w:t>
      </w:r>
    </w:p>
    <w:p w14:paraId="4E40177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d</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duración.</w:t>
      </w:r>
    </w:p>
    <w:p w14:paraId="0BD184B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aportacione</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d</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especificació</w:t>
      </w:r>
      <w:r w:rsidRPr="00EC452A">
        <w:rPr>
          <w:rFonts w:ascii="Arial" w:eastAsia="Arial" w:hAnsi="Arial" w:cs="Arial"/>
          <w:sz w:val="22"/>
          <w:szCs w:val="22"/>
        </w:rPr>
        <w:t>n</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valor</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con </w:t>
      </w:r>
      <w:r w:rsidRPr="00EC452A">
        <w:rPr>
          <w:rFonts w:ascii="Arial" w:eastAsia="Arial" w:hAnsi="Arial" w:cs="Arial"/>
          <w:spacing w:val="1"/>
          <w:sz w:val="22"/>
          <w:szCs w:val="22"/>
        </w:rPr>
        <w:t>bas</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tarifa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tas</w:t>
      </w:r>
      <w:r w:rsidRPr="00EC452A">
        <w:rPr>
          <w:rFonts w:ascii="Arial" w:eastAsia="Arial" w:hAnsi="Arial" w:cs="Arial"/>
          <w:spacing w:val="-14"/>
          <w:sz w:val="22"/>
          <w:szCs w:val="22"/>
        </w:rPr>
        <w:t>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rendimient</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establezc</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Secretaría.</w:t>
      </w:r>
    </w:p>
    <w:p w14:paraId="7FDDB28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f</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gravámene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impuesto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predio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rústico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vaya</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forma</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part</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 xml:space="preserve">unidad. </w:t>
      </w:r>
      <w:r w:rsidRPr="00EC452A">
        <w:rPr>
          <w:rFonts w:ascii="Arial" w:eastAsia="Arial" w:hAnsi="Arial" w:cs="Arial"/>
          <w:spacing w:val="-1"/>
          <w:sz w:val="22"/>
          <w:szCs w:val="22"/>
        </w:rPr>
        <w:t>g</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domicili</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lega</w:t>
      </w:r>
      <w:r w:rsidRPr="00EC452A">
        <w:rPr>
          <w:rFonts w:ascii="Arial" w:eastAsia="Arial" w:hAnsi="Arial" w:cs="Arial"/>
          <w:sz w:val="22"/>
          <w:szCs w:val="22"/>
        </w:rPr>
        <w:t>l</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unidad.</w:t>
      </w:r>
    </w:p>
    <w:p w14:paraId="7715DE0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h</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maner</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conform</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cua</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v</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administra</w:t>
      </w:r>
      <w:r w:rsidRPr="00EC452A">
        <w:rPr>
          <w:rFonts w:ascii="Arial" w:eastAsia="Arial" w:hAnsi="Arial" w:cs="Arial"/>
          <w:sz w:val="22"/>
          <w:szCs w:val="22"/>
        </w:rPr>
        <w:t>r</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unidad.</w:t>
      </w:r>
    </w:p>
    <w:p w14:paraId="1CF35A0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i)</w:t>
      </w:r>
      <w:r w:rsidRPr="00EC452A">
        <w:rPr>
          <w:rFonts w:ascii="Arial" w:eastAsia="Arial" w:hAnsi="Arial" w:cs="Arial"/>
          <w:spacing w:val="10"/>
          <w:sz w:val="22"/>
          <w:szCs w:val="22"/>
        </w:rPr>
        <w:t xml:space="preserve"> </w:t>
      </w:r>
      <w:r w:rsidRPr="00EC452A">
        <w:rPr>
          <w:rFonts w:ascii="Arial" w:eastAsia="Arial" w:hAnsi="Arial" w:cs="Arial"/>
          <w:sz w:val="22"/>
          <w:szCs w:val="22"/>
        </w:rPr>
        <w:t>Los</w:t>
      </w:r>
      <w:r w:rsidRPr="00EC452A">
        <w:rPr>
          <w:rFonts w:ascii="Arial" w:eastAsia="Arial" w:hAnsi="Arial" w:cs="Arial"/>
          <w:spacing w:val="14"/>
          <w:sz w:val="22"/>
          <w:szCs w:val="22"/>
        </w:rPr>
        <w:t xml:space="preserve"> </w:t>
      </w:r>
      <w:r w:rsidRPr="00EC452A">
        <w:rPr>
          <w:rFonts w:ascii="Arial" w:eastAsia="Arial" w:hAnsi="Arial" w:cs="Arial"/>
          <w:sz w:val="22"/>
          <w:szCs w:val="22"/>
        </w:rPr>
        <w:t>casos</w:t>
      </w:r>
      <w:r w:rsidRPr="00EC452A">
        <w:rPr>
          <w:rFonts w:ascii="Arial" w:eastAsia="Arial" w:hAnsi="Arial" w:cs="Arial"/>
          <w:spacing w:val="18"/>
          <w:sz w:val="22"/>
          <w:szCs w:val="22"/>
        </w:rPr>
        <w:t xml:space="preserve"> </w:t>
      </w:r>
      <w:r w:rsidRPr="00EC452A">
        <w:rPr>
          <w:rFonts w:ascii="Arial" w:eastAsia="Arial" w:hAnsi="Arial" w:cs="Arial"/>
          <w:sz w:val="22"/>
          <w:szCs w:val="22"/>
        </w:rPr>
        <w:t>en</w:t>
      </w:r>
      <w:r w:rsidRPr="00EC452A">
        <w:rPr>
          <w:rFonts w:ascii="Arial" w:eastAsia="Arial" w:hAnsi="Arial" w:cs="Arial"/>
          <w:spacing w:val="12"/>
          <w:sz w:val="22"/>
          <w:szCs w:val="22"/>
        </w:rPr>
        <w:t xml:space="preserve"> </w:t>
      </w:r>
      <w:r w:rsidRPr="00EC452A">
        <w:rPr>
          <w:rFonts w:ascii="Arial" w:eastAsia="Arial" w:hAnsi="Arial" w:cs="Arial"/>
          <w:sz w:val="22"/>
          <w:szCs w:val="22"/>
        </w:rPr>
        <w:t>que</w:t>
      </w:r>
      <w:r w:rsidRPr="00EC452A">
        <w:rPr>
          <w:rFonts w:ascii="Arial" w:eastAsia="Arial" w:hAnsi="Arial" w:cs="Arial"/>
          <w:spacing w:val="14"/>
          <w:sz w:val="22"/>
          <w:szCs w:val="22"/>
        </w:rPr>
        <w:t xml:space="preserve"> </w:t>
      </w:r>
      <w:r w:rsidRPr="00EC452A">
        <w:rPr>
          <w:rFonts w:ascii="Arial" w:eastAsia="Arial" w:hAnsi="Arial" w:cs="Arial"/>
          <w:sz w:val="22"/>
          <w:szCs w:val="22"/>
        </w:rPr>
        <w:t>la</w:t>
      </w:r>
      <w:r w:rsidRPr="00EC452A">
        <w:rPr>
          <w:rFonts w:ascii="Arial" w:eastAsia="Arial" w:hAnsi="Arial" w:cs="Arial"/>
          <w:spacing w:val="11"/>
          <w:sz w:val="22"/>
          <w:szCs w:val="22"/>
        </w:rPr>
        <w:t xml:space="preserve"> </w:t>
      </w:r>
      <w:r w:rsidRPr="00EC452A">
        <w:rPr>
          <w:rFonts w:ascii="Arial" w:eastAsia="Arial" w:hAnsi="Arial" w:cs="Arial"/>
          <w:spacing w:val="-15"/>
          <w:sz w:val="22"/>
          <w:szCs w:val="22"/>
        </w:rPr>
        <w:t>u</w:t>
      </w:r>
      <w:r w:rsidRPr="00EC452A">
        <w:rPr>
          <w:rFonts w:ascii="Arial" w:eastAsia="Arial" w:hAnsi="Arial" w:cs="Arial"/>
          <w:spacing w:val="-2"/>
          <w:sz w:val="22"/>
          <w:szCs w:val="22"/>
        </w:rPr>
        <w:t>nida</w:t>
      </w:r>
      <w:r w:rsidRPr="00EC452A">
        <w:rPr>
          <w:rFonts w:ascii="Arial" w:eastAsia="Arial" w:hAnsi="Arial" w:cs="Arial"/>
          <w:sz w:val="22"/>
          <w:szCs w:val="22"/>
        </w:rPr>
        <w:t>d</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pued</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disolvers</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2"/>
          <w:w w:val="102"/>
          <w:sz w:val="22"/>
          <w:szCs w:val="22"/>
        </w:rPr>
        <w:t>anticipadamente.</w:t>
      </w:r>
    </w:p>
    <w:p w14:paraId="3ED1B44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j</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maner</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hace</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repartició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pérdida</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integrantes.</w:t>
      </w:r>
    </w:p>
    <w:p w14:paraId="0DFD092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k)</w:t>
      </w:r>
      <w:r w:rsidRPr="00EC452A">
        <w:rPr>
          <w:rFonts w:ascii="Arial" w:eastAsia="Arial" w:hAnsi="Arial" w:cs="Arial"/>
          <w:spacing w:val="22"/>
          <w:sz w:val="22"/>
          <w:szCs w:val="22"/>
        </w:rPr>
        <w:t xml:space="preserve"> </w:t>
      </w:r>
      <w:r w:rsidRPr="00EC452A">
        <w:rPr>
          <w:rFonts w:ascii="Arial" w:eastAsia="Arial" w:hAnsi="Arial" w:cs="Arial"/>
          <w:sz w:val="22"/>
          <w:szCs w:val="22"/>
        </w:rPr>
        <w:t>La</w:t>
      </w:r>
      <w:r w:rsidRPr="00EC452A">
        <w:rPr>
          <w:rFonts w:ascii="Arial" w:eastAsia="Arial" w:hAnsi="Arial" w:cs="Arial"/>
          <w:spacing w:val="23"/>
          <w:sz w:val="22"/>
          <w:szCs w:val="22"/>
        </w:rPr>
        <w:t xml:space="preserve"> </w:t>
      </w:r>
      <w:r w:rsidRPr="00EC452A">
        <w:rPr>
          <w:rFonts w:ascii="Arial" w:eastAsia="Arial" w:hAnsi="Arial" w:cs="Arial"/>
          <w:sz w:val="22"/>
          <w:szCs w:val="22"/>
        </w:rPr>
        <w:t>designación</w:t>
      </w:r>
      <w:r w:rsidRPr="00EC452A">
        <w:rPr>
          <w:rFonts w:ascii="Arial" w:eastAsia="Arial" w:hAnsi="Arial" w:cs="Arial"/>
          <w:spacing w:val="39"/>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los</w:t>
      </w:r>
      <w:r w:rsidRPr="00EC452A">
        <w:rPr>
          <w:rFonts w:ascii="Arial" w:eastAsia="Arial" w:hAnsi="Arial" w:cs="Arial"/>
          <w:spacing w:val="24"/>
          <w:sz w:val="22"/>
          <w:szCs w:val="22"/>
        </w:rPr>
        <w:t xml:space="preserve"> </w:t>
      </w:r>
      <w:r w:rsidRPr="00EC452A">
        <w:rPr>
          <w:rFonts w:ascii="Arial" w:eastAsia="Arial" w:hAnsi="Arial" w:cs="Arial"/>
          <w:sz w:val="22"/>
          <w:szCs w:val="22"/>
        </w:rPr>
        <w:t>integrantes</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los</w:t>
      </w:r>
      <w:r w:rsidRPr="00EC452A">
        <w:rPr>
          <w:rFonts w:ascii="Arial" w:eastAsia="Arial" w:hAnsi="Arial" w:cs="Arial"/>
          <w:spacing w:val="24"/>
          <w:sz w:val="22"/>
          <w:szCs w:val="22"/>
        </w:rPr>
        <w:t xml:space="preserve"> </w:t>
      </w:r>
      <w:r w:rsidRPr="00EC452A">
        <w:rPr>
          <w:rFonts w:ascii="Arial" w:eastAsia="Arial" w:hAnsi="Arial" w:cs="Arial"/>
          <w:sz w:val="22"/>
          <w:szCs w:val="22"/>
        </w:rPr>
        <w:t>consejos,</w:t>
      </w:r>
      <w:r w:rsidRPr="00EC452A">
        <w:rPr>
          <w:rFonts w:ascii="Arial" w:eastAsia="Arial" w:hAnsi="Arial" w:cs="Arial"/>
          <w:spacing w:val="35"/>
          <w:sz w:val="22"/>
          <w:szCs w:val="22"/>
        </w:rPr>
        <w:t xml:space="preserve"> </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z w:val="22"/>
          <w:szCs w:val="22"/>
        </w:rPr>
        <w:t>del</w:t>
      </w:r>
      <w:r w:rsidRPr="00EC452A">
        <w:rPr>
          <w:rFonts w:ascii="Arial" w:eastAsia="Arial" w:hAnsi="Arial" w:cs="Arial"/>
          <w:spacing w:val="24"/>
          <w:sz w:val="22"/>
          <w:szCs w:val="22"/>
        </w:rPr>
        <w:t xml:space="preserve"> </w:t>
      </w:r>
      <w:r w:rsidRPr="00EC452A">
        <w:rPr>
          <w:rFonts w:ascii="Arial" w:eastAsia="Arial" w:hAnsi="Arial" w:cs="Arial"/>
          <w:sz w:val="22"/>
          <w:szCs w:val="22"/>
        </w:rPr>
        <w:t>administrador</w:t>
      </w:r>
      <w:r w:rsidRPr="00EC452A">
        <w:rPr>
          <w:rFonts w:ascii="Arial" w:eastAsia="Arial" w:hAnsi="Arial" w:cs="Arial"/>
          <w:spacing w:val="42"/>
          <w:sz w:val="22"/>
          <w:szCs w:val="22"/>
        </w:rPr>
        <w:t xml:space="preserve"> </w:t>
      </w:r>
      <w:r w:rsidRPr="00EC452A">
        <w:rPr>
          <w:rFonts w:ascii="Arial" w:eastAsia="Arial" w:hAnsi="Arial" w:cs="Arial"/>
          <w:sz w:val="22"/>
          <w:szCs w:val="22"/>
        </w:rPr>
        <w:t>cuando</w:t>
      </w:r>
      <w:r w:rsidRPr="00EC452A">
        <w:rPr>
          <w:rFonts w:ascii="Arial" w:eastAsia="Arial" w:hAnsi="Arial" w:cs="Arial"/>
          <w:spacing w:val="31"/>
          <w:sz w:val="22"/>
          <w:szCs w:val="22"/>
        </w:rPr>
        <w:t xml:space="preserve"> </w:t>
      </w:r>
      <w:r w:rsidRPr="00EC452A">
        <w:rPr>
          <w:rFonts w:ascii="Arial" w:eastAsia="Arial" w:hAnsi="Arial" w:cs="Arial"/>
          <w:sz w:val="22"/>
          <w:szCs w:val="22"/>
        </w:rPr>
        <w:t>proceda,</w:t>
      </w:r>
      <w:r w:rsidRPr="00EC452A">
        <w:rPr>
          <w:rFonts w:ascii="Arial" w:eastAsia="Arial" w:hAnsi="Arial" w:cs="Arial"/>
          <w:spacing w:val="34"/>
          <w:sz w:val="22"/>
          <w:szCs w:val="22"/>
        </w:rPr>
        <w:t xml:space="preserve"> </w:t>
      </w:r>
      <w:r w:rsidRPr="00EC452A">
        <w:rPr>
          <w:rFonts w:ascii="Arial" w:eastAsia="Arial" w:hAnsi="Arial" w:cs="Arial"/>
          <w:sz w:val="22"/>
          <w:szCs w:val="22"/>
        </w:rPr>
        <w:t>y</w:t>
      </w:r>
      <w:r w:rsidRPr="00EC452A">
        <w:rPr>
          <w:rFonts w:ascii="Arial" w:eastAsia="Arial" w:hAnsi="Arial" w:cs="Arial"/>
          <w:spacing w:val="21"/>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pacing w:val="-1"/>
          <w:sz w:val="22"/>
          <w:szCs w:val="22"/>
        </w:rPr>
        <w:t>facultade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otorgue.</w:t>
      </w:r>
    </w:p>
    <w:p w14:paraId="3F556B2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agota</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 xml:space="preserve">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habl</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3</w:t>
      </w:r>
      <w:r w:rsidRPr="00EC452A">
        <w:rPr>
          <w:rFonts w:ascii="Arial" w:eastAsia="Arial" w:hAnsi="Arial" w:cs="Arial"/>
          <w:sz w:val="22"/>
          <w:szCs w:val="22"/>
        </w:rPr>
        <w:t>8</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Ley.</w:t>
      </w:r>
    </w:p>
    <w:p w14:paraId="4AFC50F1" w14:textId="77777777" w:rsidR="00EC452A" w:rsidRPr="00EC452A" w:rsidRDefault="00EC452A" w:rsidP="00EC452A">
      <w:pPr>
        <w:spacing w:before="100" w:beforeAutospacing="1" w:after="100" w:afterAutospacing="1" w:line="240" w:lineRule="auto"/>
        <w:jc w:val="both"/>
        <w:rPr>
          <w:rFonts w:ascii="Arial" w:eastAsia="Arial" w:hAnsi="Arial" w:cs="Arial"/>
          <w:spacing w:val="-4"/>
          <w:w w:val="102"/>
          <w:sz w:val="22"/>
          <w:szCs w:val="22"/>
        </w:rPr>
      </w:pPr>
      <w:r w:rsidRPr="00EC452A">
        <w:rPr>
          <w:rFonts w:ascii="Arial" w:eastAsia="Arial" w:hAnsi="Arial" w:cs="Arial"/>
          <w:spacing w:val="-2"/>
          <w:sz w:val="22"/>
          <w:szCs w:val="22"/>
        </w:rPr>
        <w:t>m</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conformida</w:t>
      </w:r>
      <w:r w:rsidRPr="00EC452A">
        <w:rPr>
          <w:rFonts w:ascii="Arial" w:eastAsia="Arial" w:hAnsi="Arial" w:cs="Arial"/>
          <w:sz w:val="22"/>
          <w:szCs w:val="22"/>
        </w:rPr>
        <w:t>d</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Agrari</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otorgad</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representant</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2"/>
          <w:w w:val="102"/>
          <w:sz w:val="22"/>
          <w:szCs w:val="22"/>
        </w:rPr>
        <w:t xml:space="preserve">el </w:t>
      </w:r>
      <w:r w:rsidRPr="00EC452A">
        <w:rPr>
          <w:rFonts w:ascii="Arial" w:eastAsia="Arial" w:hAnsi="Arial" w:cs="Arial"/>
          <w:spacing w:val="-4"/>
          <w:w w:val="102"/>
          <w:sz w:val="22"/>
          <w:szCs w:val="22"/>
        </w:rPr>
        <w:t>lugar.</w:t>
      </w:r>
    </w:p>
    <w:p w14:paraId="4CBA19F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n</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generale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quiéne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participe</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 xml:space="preserve">Unidad. </w:t>
      </w:r>
      <w:r w:rsidRPr="00EC452A">
        <w:rPr>
          <w:rFonts w:ascii="Arial" w:eastAsia="Arial" w:hAnsi="Arial" w:cs="Arial"/>
          <w:spacing w:val="-2"/>
          <w:sz w:val="22"/>
          <w:szCs w:val="22"/>
        </w:rPr>
        <w:t>o</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demá</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previsione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convengan.</w:t>
      </w:r>
    </w:p>
    <w:p w14:paraId="1A8338E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designar</w:t>
      </w:r>
      <w:r w:rsidRPr="00EC452A">
        <w:rPr>
          <w:rFonts w:ascii="Arial" w:eastAsia="Arial" w:hAnsi="Arial" w:cs="Arial"/>
          <w:sz w:val="22"/>
          <w:szCs w:val="22"/>
        </w:rPr>
        <w:t xml:space="preserve">á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supervisore</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estim</w:t>
      </w:r>
      <w:r w:rsidRPr="00EC452A">
        <w:rPr>
          <w:rFonts w:ascii="Arial" w:eastAsia="Arial" w:hAnsi="Arial" w:cs="Arial"/>
          <w:sz w:val="22"/>
          <w:szCs w:val="22"/>
        </w:rPr>
        <w:t xml:space="preserve">e </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pertinent</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coadyuva</w:t>
      </w:r>
      <w:r w:rsidRPr="00EC452A">
        <w:rPr>
          <w:rFonts w:ascii="Arial" w:eastAsia="Arial" w:hAnsi="Arial" w:cs="Arial"/>
          <w:sz w:val="22"/>
          <w:szCs w:val="22"/>
        </w:rPr>
        <w:t xml:space="preserve">r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44"/>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3"/>
          <w:sz w:val="22"/>
          <w:szCs w:val="22"/>
        </w:rPr>
        <w:t>vigilanci</w:t>
      </w:r>
      <w:r w:rsidRPr="00EC452A">
        <w:rPr>
          <w:rFonts w:ascii="Arial" w:eastAsia="Arial" w:hAnsi="Arial" w:cs="Arial"/>
          <w:sz w:val="22"/>
          <w:szCs w:val="22"/>
        </w:rPr>
        <w:t xml:space="preserve">a </w:t>
      </w:r>
      <w:r w:rsidRPr="00EC452A">
        <w:rPr>
          <w:rFonts w:ascii="Arial" w:eastAsia="Arial" w:hAnsi="Arial" w:cs="Arial"/>
          <w:spacing w:val="28"/>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3"/>
          <w:w w:val="102"/>
          <w:sz w:val="22"/>
          <w:szCs w:val="22"/>
        </w:rPr>
        <w:t>Unidad.</w:t>
      </w:r>
    </w:p>
    <w:p w14:paraId="372BC34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Si</w:t>
      </w:r>
      <w:r w:rsidRPr="00EC452A">
        <w:rPr>
          <w:rFonts w:ascii="Arial" w:eastAsia="Arial" w:hAnsi="Arial" w:cs="Arial"/>
          <w:sz w:val="22"/>
          <w:szCs w:val="22"/>
        </w:rPr>
        <w:t xml:space="preserve">n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 xml:space="preserv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integre</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ejido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comunidade</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sí</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participació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Riesg</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Compartido</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tercer </w:t>
      </w:r>
      <w:r w:rsidRPr="00EC452A">
        <w:rPr>
          <w:rFonts w:ascii="Arial" w:eastAsia="Arial" w:hAnsi="Arial" w:cs="Arial"/>
          <w:spacing w:val="-2"/>
          <w:sz w:val="22"/>
          <w:szCs w:val="22"/>
        </w:rPr>
        <w:t>párraf</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3</w:t>
      </w:r>
      <w:r w:rsidRPr="00EC452A">
        <w:rPr>
          <w:rFonts w:ascii="Arial" w:eastAsia="Arial" w:hAnsi="Arial" w:cs="Arial"/>
          <w:sz w:val="22"/>
          <w:szCs w:val="22"/>
        </w:rPr>
        <w:t xml:space="preserve">2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Ley</w:t>
      </w:r>
      <w:r w:rsidRPr="00EC452A">
        <w:rPr>
          <w:rFonts w:ascii="Arial" w:eastAsia="Arial" w:hAnsi="Arial" w:cs="Arial"/>
          <w:sz w:val="22"/>
          <w:szCs w:val="22"/>
        </w:rPr>
        <w:t xml:space="preserve">,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deberá</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regirs</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o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result</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conducente</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w w:val="102"/>
          <w:sz w:val="22"/>
          <w:szCs w:val="22"/>
        </w:rPr>
        <w:t xml:space="preserve">Ley </w:t>
      </w:r>
      <w:r w:rsidRPr="00EC452A">
        <w:rPr>
          <w:rFonts w:ascii="Arial" w:eastAsia="Arial" w:hAnsi="Arial" w:cs="Arial"/>
          <w:spacing w:val="-3"/>
          <w:sz w:val="22"/>
          <w:szCs w:val="22"/>
        </w:rPr>
        <w:t>Federa</w:t>
      </w:r>
      <w:r w:rsidRPr="00EC452A">
        <w:rPr>
          <w:rFonts w:ascii="Arial" w:eastAsia="Arial" w:hAnsi="Arial" w:cs="Arial"/>
          <w:sz w:val="22"/>
          <w:szCs w:val="22"/>
        </w:rPr>
        <w:t>l</w:t>
      </w:r>
      <w:r w:rsidRPr="00EC452A">
        <w:rPr>
          <w:rFonts w:ascii="Arial" w:eastAsia="Arial" w:hAnsi="Arial" w:cs="Arial"/>
          <w:spacing w:val="17"/>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3"/>
          <w:sz w:val="22"/>
          <w:szCs w:val="22"/>
        </w:rPr>
        <w:t>Reform</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3"/>
          <w:w w:val="102"/>
          <w:sz w:val="22"/>
          <w:szCs w:val="22"/>
        </w:rPr>
        <w:t>Agraria.</w:t>
      </w:r>
    </w:p>
    <w:p w14:paraId="24EF32D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w w:val="102"/>
          <w:sz w:val="22"/>
          <w:szCs w:val="22"/>
        </w:rPr>
        <w:t>50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documento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4"/>
          <w:sz w:val="22"/>
          <w:szCs w:val="22"/>
        </w:rPr>
        <w:t>q</w:t>
      </w:r>
      <w:r w:rsidRPr="00EC452A">
        <w:rPr>
          <w:rFonts w:ascii="Arial" w:eastAsia="Arial" w:hAnsi="Arial" w:cs="Arial"/>
          <w:spacing w:val="-1"/>
          <w:sz w:val="22"/>
          <w:szCs w:val="22"/>
        </w:rPr>
        <w:t>u</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anexará</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constitutiv</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siguientes</w:t>
      </w:r>
    </w:p>
    <w:p w14:paraId="077E36D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Ejidatario</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comunero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aprueb</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w w:val="102"/>
          <w:sz w:val="22"/>
          <w:szCs w:val="22"/>
        </w:rPr>
        <w:t xml:space="preserve">su </w:t>
      </w:r>
      <w:r w:rsidRPr="00EC452A">
        <w:rPr>
          <w:rFonts w:ascii="Arial" w:eastAsia="Arial" w:hAnsi="Arial" w:cs="Arial"/>
          <w:spacing w:val="-1"/>
          <w:sz w:val="22"/>
          <w:szCs w:val="22"/>
        </w:rPr>
        <w:t>integració</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d</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41</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fraccione</w:t>
      </w:r>
      <w:r w:rsidRPr="00EC452A">
        <w:rPr>
          <w:rFonts w:ascii="Arial" w:eastAsia="Arial" w:hAnsi="Arial" w:cs="Arial"/>
          <w:sz w:val="22"/>
          <w:szCs w:val="22"/>
        </w:rPr>
        <w:t>s  I</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I</w:t>
      </w:r>
      <w:r w:rsidRPr="00EC452A">
        <w:rPr>
          <w:rFonts w:ascii="Arial" w:eastAsia="Arial" w:hAnsi="Arial" w:cs="Arial"/>
          <w:sz w:val="22"/>
          <w:szCs w:val="22"/>
        </w:rPr>
        <w:t>I</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w w:val="102"/>
          <w:sz w:val="22"/>
          <w:szCs w:val="22"/>
        </w:rPr>
        <w:t>Ley.</w:t>
      </w:r>
    </w:p>
    <w:p w14:paraId="100B0D6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b</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acredite</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calida</w:t>
      </w:r>
      <w:r w:rsidRPr="00EC452A">
        <w:rPr>
          <w:rFonts w:ascii="Arial" w:eastAsia="Arial" w:hAnsi="Arial" w:cs="Arial"/>
          <w:sz w:val="22"/>
          <w:szCs w:val="22"/>
        </w:rPr>
        <w:t xml:space="preserve">d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propietari</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poseedo</w:t>
      </w:r>
      <w:r w:rsidRPr="00EC452A">
        <w:rPr>
          <w:rFonts w:ascii="Arial" w:eastAsia="Arial" w:hAnsi="Arial" w:cs="Arial"/>
          <w:sz w:val="22"/>
          <w:szCs w:val="22"/>
        </w:rPr>
        <w:t xml:space="preserve">r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tratándos</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w w:val="102"/>
          <w:sz w:val="22"/>
          <w:szCs w:val="22"/>
        </w:rPr>
        <w:t>particulares.</w:t>
      </w:r>
    </w:p>
    <w:p w14:paraId="130D275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c</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inventari</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aportaciones</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señaland</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númer</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voto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corresponder</w:t>
      </w:r>
      <w:r w:rsidRPr="00EC452A">
        <w:rPr>
          <w:rFonts w:ascii="Arial" w:eastAsia="Arial" w:hAnsi="Arial" w:cs="Arial"/>
          <w:sz w:val="22"/>
          <w:szCs w:val="22"/>
        </w:rPr>
        <w:t xml:space="preserve">á </w:t>
      </w:r>
      <w:r w:rsidRPr="00EC452A">
        <w:rPr>
          <w:rFonts w:ascii="Arial" w:eastAsia="Arial" w:hAnsi="Arial" w:cs="Arial"/>
          <w:spacing w:val="8"/>
          <w:sz w:val="22"/>
          <w:szCs w:val="22"/>
        </w:rPr>
        <w:t xml:space="preserve"> </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w w:val="102"/>
          <w:sz w:val="22"/>
          <w:szCs w:val="22"/>
        </w:rPr>
        <w:t xml:space="preserve">cada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reunione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asociados.</w:t>
      </w:r>
    </w:p>
    <w:p w14:paraId="7AAA298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posesió</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acreditars</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pacing w:val="-1"/>
          <w:sz w:val="22"/>
          <w:szCs w:val="22"/>
        </w:rPr>
        <w:t>Códig</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Federa</w:t>
      </w:r>
      <w:r w:rsidRPr="00EC452A">
        <w:rPr>
          <w:rFonts w:ascii="Arial" w:eastAsia="Arial" w:hAnsi="Arial" w:cs="Arial"/>
          <w:sz w:val="22"/>
          <w:szCs w:val="22"/>
        </w:rPr>
        <w:t>l</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Procedimiento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Civiles</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mediant</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constanci</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efect</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expid</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primer</w:t>
      </w:r>
      <w:r w:rsidRPr="00EC452A">
        <w:rPr>
          <w:rFonts w:ascii="Arial" w:eastAsia="Arial" w:hAnsi="Arial" w:cs="Arial"/>
          <w:sz w:val="22"/>
          <w:szCs w:val="22"/>
        </w:rPr>
        <w:t>a</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lugar</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constanci</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prejuzgará</w:t>
      </w:r>
      <w:r w:rsidRPr="00EC452A">
        <w:rPr>
          <w:rFonts w:ascii="Arial" w:eastAsia="Arial" w:hAnsi="Arial" w:cs="Arial"/>
          <w:sz w:val="22"/>
          <w:szCs w:val="22"/>
        </w:rPr>
        <w:t>n</w:t>
      </w:r>
      <w:r w:rsidRPr="00EC452A">
        <w:rPr>
          <w:rFonts w:ascii="Arial" w:eastAsia="Arial" w:hAnsi="Arial" w:cs="Arial"/>
          <w:spacing w:val="4"/>
          <w:sz w:val="22"/>
          <w:szCs w:val="22"/>
        </w:rPr>
        <w:t xml:space="preserve"> </w:t>
      </w:r>
      <w:r w:rsidRPr="00EC452A">
        <w:rPr>
          <w:rFonts w:ascii="Arial" w:eastAsia="Arial" w:hAnsi="Arial" w:cs="Arial"/>
          <w:spacing w:val="-2"/>
          <w:w w:val="102"/>
          <w:sz w:val="22"/>
          <w:szCs w:val="22"/>
        </w:rPr>
        <w:t xml:space="preserve">ni </w:t>
      </w:r>
      <w:r w:rsidRPr="00EC452A">
        <w:rPr>
          <w:rFonts w:ascii="Arial" w:eastAsia="Arial" w:hAnsi="Arial" w:cs="Arial"/>
          <w:spacing w:val="-1"/>
          <w:sz w:val="22"/>
          <w:szCs w:val="22"/>
        </w:rPr>
        <w:t>constituirá</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presunció</w:t>
      </w:r>
      <w:r w:rsidRPr="00EC452A">
        <w:rPr>
          <w:rFonts w:ascii="Arial" w:eastAsia="Arial" w:hAnsi="Arial" w:cs="Arial"/>
          <w:sz w:val="22"/>
          <w:szCs w:val="22"/>
        </w:rPr>
        <w:t xml:space="preserve">n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prueb</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algun</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relació</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asunto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naturalez</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civi</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1"/>
          <w:sz w:val="22"/>
          <w:szCs w:val="22"/>
        </w:rPr>
        <w:t>tramite</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autoridade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judiciales</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materi</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agraria.</w:t>
      </w:r>
    </w:p>
    <w:p w14:paraId="6D08682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51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z w:val="22"/>
          <w:szCs w:val="22"/>
        </w:rPr>
        <w:t>Las</w:t>
      </w:r>
      <w:r w:rsidRPr="00EC452A">
        <w:rPr>
          <w:rFonts w:ascii="Arial" w:eastAsia="Arial" w:hAnsi="Arial" w:cs="Arial"/>
          <w:spacing w:val="35"/>
          <w:sz w:val="22"/>
          <w:szCs w:val="22"/>
        </w:rPr>
        <w:t xml:space="preserve"> </w:t>
      </w:r>
      <w:r w:rsidRPr="00EC452A">
        <w:rPr>
          <w:rFonts w:ascii="Arial" w:eastAsia="Arial" w:hAnsi="Arial" w:cs="Arial"/>
          <w:sz w:val="22"/>
          <w:szCs w:val="22"/>
        </w:rPr>
        <w:t>actas</w:t>
      </w:r>
      <w:r w:rsidRPr="00EC452A">
        <w:rPr>
          <w:rFonts w:ascii="Arial" w:eastAsia="Arial" w:hAnsi="Arial" w:cs="Arial"/>
          <w:spacing w:val="38"/>
          <w:sz w:val="22"/>
          <w:szCs w:val="22"/>
        </w:rPr>
        <w:t xml:space="preserve"> </w:t>
      </w:r>
      <w:r w:rsidRPr="00EC452A">
        <w:rPr>
          <w:rFonts w:ascii="Arial" w:eastAsia="Arial" w:hAnsi="Arial" w:cs="Arial"/>
          <w:sz w:val="22"/>
          <w:szCs w:val="22"/>
        </w:rPr>
        <w:t>constitutivas</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33"/>
          <w:sz w:val="22"/>
          <w:szCs w:val="22"/>
        </w:rPr>
        <w:t xml:space="preserve"> </w:t>
      </w:r>
      <w:r w:rsidRPr="00EC452A">
        <w:rPr>
          <w:rFonts w:ascii="Arial" w:eastAsia="Arial" w:hAnsi="Arial" w:cs="Arial"/>
          <w:sz w:val="22"/>
          <w:szCs w:val="22"/>
        </w:rPr>
        <w:t>las</w:t>
      </w:r>
      <w:r w:rsidRPr="00EC452A">
        <w:rPr>
          <w:rFonts w:ascii="Arial" w:eastAsia="Arial" w:hAnsi="Arial" w:cs="Arial"/>
          <w:spacing w:val="34"/>
          <w:sz w:val="22"/>
          <w:szCs w:val="22"/>
        </w:rPr>
        <w:t xml:space="preserve"> </w:t>
      </w:r>
      <w:r w:rsidRPr="00EC452A">
        <w:rPr>
          <w:rFonts w:ascii="Arial" w:eastAsia="Arial" w:hAnsi="Arial" w:cs="Arial"/>
          <w:sz w:val="22"/>
          <w:szCs w:val="22"/>
        </w:rPr>
        <w:t>Unidades</w:t>
      </w:r>
      <w:r w:rsidRPr="00EC452A">
        <w:rPr>
          <w:rFonts w:ascii="Arial" w:eastAsia="Arial" w:hAnsi="Arial" w:cs="Arial"/>
          <w:spacing w:val="45"/>
          <w:sz w:val="22"/>
          <w:szCs w:val="22"/>
        </w:rPr>
        <w:t xml:space="preserve"> </w:t>
      </w:r>
      <w:r w:rsidRPr="00EC452A">
        <w:rPr>
          <w:rFonts w:ascii="Arial" w:eastAsia="Arial" w:hAnsi="Arial" w:cs="Arial"/>
          <w:sz w:val="22"/>
          <w:szCs w:val="22"/>
        </w:rPr>
        <w:t>de</w:t>
      </w:r>
      <w:r w:rsidRPr="00EC452A">
        <w:rPr>
          <w:rFonts w:ascii="Arial" w:eastAsia="Arial" w:hAnsi="Arial" w:cs="Arial"/>
          <w:spacing w:val="33"/>
          <w:sz w:val="22"/>
          <w:szCs w:val="22"/>
        </w:rPr>
        <w:t xml:space="preserve"> </w:t>
      </w:r>
      <w:r w:rsidRPr="00EC452A">
        <w:rPr>
          <w:rFonts w:ascii="Arial" w:eastAsia="Arial" w:hAnsi="Arial" w:cs="Arial"/>
          <w:sz w:val="22"/>
          <w:szCs w:val="22"/>
        </w:rPr>
        <w:t>Producción</w:t>
      </w:r>
      <w:r w:rsidRPr="00EC452A">
        <w:rPr>
          <w:rFonts w:ascii="Arial" w:eastAsia="Arial" w:hAnsi="Arial" w:cs="Arial"/>
          <w:spacing w:val="48"/>
          <w:sz w:val="22"/>
          <w:szCs w:val="22"/>
        </w:rPr>
        <w:t xml:space="preserve"> </w:t>
      </w:r>
      <w:r w:rsidRPr="00EC452A">
        <w:rPr>
          <w:rFonts w:ascii="Arial" w:eastAsia="Arial" w:hAnsi="Arial" w:cs="Arial"/>
          <w:sz w:val="22"/>
          <w:szCs w:val="22"/>
        </w:rPr>
        <w:t>deberán</w:t>
      </w:r>
      <w:r w:rsidRPr="00EC452A">
        <w:rPr>
          <w:rFonts w:ascii="Arial" w:eastAsia="Arial" w:hAnsi="Arial" w:cs="Arial"/>
          <w:spacing w:val="43"/>
          <w:sz w:val="22"/>
          <w:szCs w:val="22"/>
        </w:rPr>
        <w:t xml:space="preserve"> </w:t>
      </w:r>
      <w:r w:rsidRPr="00EC452A">
        <w:rPr>
          <w:rFonts w:ascii="Arial" w:eastAsia="Arial" w:hAnsi="Arial" w:cs="Arial"/>
          <w:sz w:val="22"/>
          <w:szCs w:val="22"/>
        </w:rPr>
        <w:t>ser</w:t>
      </w:r>
      <w:r w:rsidRPr="00EC452A">
        <w:rPr>
          <w:rFonts w:ascii="Arial" w:eastAsia="Arial" w:hAnsi="Arial" w:cs="Arial"/>
          <w:spacing w:val="34"/>
          <w:sz w:val="22"/>
          <w:szCs w:val="22"/>
        </w:rPr>
        <w:t xml:space="preserve"> </w:t>
      </w:r>
      <w:r w:rsidRPr="00EC452A">
        <w:rPr>
          <w:rFonts w:ascii="Arial" w:eastAsia="Arial" w:hAnsi="Arial" w:cs="Arial"/>
          <w:sz w:val="22"/>
          <w:szCs w:val="22"/>
        </w:rPr>
        <w:t>inscritas,</w:t>
      </w:r>
      <w:r w:rsidRPr="00EC452A">
        <w:rPr>
          <w:rFonts w:ascii="Arial" w:eastAsia="Arial" w:hAnsi="Arial" w:cs="Arial"/>
          <w:spacing w:val="44"/>
          <w:sz w:val="22"/>
          <w:szCs w:val="22"/>
        </w:rPr>
        <w:t xml:space="preserve"> </w:t>
      </w:r>
      <w:r w:rsidRPr="00EC452A">
        <w:rPr>
          <w:rFonts w:ascii="Arial" w:eastAsia="Arial" w:hAnsi="Arial" w:cs="Arial"/>
          <w:w w:val="102"/>
          <w:sz w:val="22"/>
          <w:szCs w:val="22"/>
        </w:rPr>
        <w:t xml:space="preserve">con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conformida</w:t>
      </w:r>
      <w:r w:rsidRPr="00EC452A">
        <w:rPr>
          <w:rFonts w:ascii="Arial" w:eastAsia="Arial" w:hAnsi="Arial" w:cs="Arial"/>
          <w:sz w:val="22"/>
          <w:szCs w:val="22"/>
        </w:rPr>
        <w:t xml:space="preserve">d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Agrari</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
          <w:sz w:val="22"/>
          <w:szCs w:val="22"/>
        </w:rPr>
        <w:t>previ</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aprobació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Titula</w:t>
      </w:r>
      <w:r w:rsidRPr="00EC452A">
        <w:rPr>
          <w:rFonts w:ascii="Arial" w:eastAsia="Arial" w:hAnsi="Arial" w:cs="Arial"/>
          <w:sz w:val="22"/>
          <w:szCs w:val="22"/>
        </w:rPr>
        <w:t xml:space="preserve">r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 xml:space="preserve">l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Regiona</w:t>
      </w:r>
      <w:r w:rsidRPr="00EC452A">
        <w:rPr>
          <w:rFonts w:ascii="Arial" w:eastAsia="Arial" w:hAnsi="Arial" w:cs="Arial"/>
          <w:sz w:val="22"/>
          <w:szCs w:val="22"/>
        </w:rPr>
        <w:t xml:space="preserve">l </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 xml:space="preserve">correspondiente,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Agrari</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términ</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quinc</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conta</w:t>
      </w:r>
      <w:r w:rsidRPr="00EC452A">
        <w:rPr>
          <w:rFonts w:ascii="Arial" w:eastAsia="Arial" w:hAnsi="Arial" w:cs="Arial"/>
          <w:sz w:val="22"/>
          <w:szCs w:val="22"/>
        </w:rPr>
        <w:t>r</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 xml:space="preserve">la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fecha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solicitud.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Realizada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inscripción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le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Registro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Nacional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Agropecuario, </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pacing w:val="-2"/>
          <w:sz w:val="22"/>
          <w:szCs w:val="22"/>
        </w:rPr>
        <w:t>unidade</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producció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podrá</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opera</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conform</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Ley.</w:t>
      </w:r>
    </w:p>
    <w:p w14:paraId="7691667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52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Unidade</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Producció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tendrá</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duració</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definida</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podr</w:t>
      </w:r>
      <w:r w:rsidRPr="00EC452A">
        <w:rPr>
          <w:rFonts w:ascii="Arial" w:eastAsia="Arial" w:hAnsi="Arial" w:cs="Arial"/>
          <w:sz w:val="22"/>
          <w:szCs w:val="22"/>
        </w:rPr>
        <w:t>á</w:t>
      </w:r>
      <w:r w:rsidRPr="00EC452A">
        <w:rPr>
          <w:rFonts w:ascii="Arial" w:eastAsia="Arial" w:hAnsi="Arial" w:cs="Arial"/>
          <w:spacing w:val="40"/>
          <w:sz w:val="22"/>
          <w:szCs w:val="22"/>
        </w:rPr>
        <w:t xml:space="preserve"> </w:t>
      </w:r>
      <w:r w:rsidRPr="00EC452A">
        <w:rPr>
          <w:rFonts w:ascii="Arial" w:eastAsia="Arial" w:hAnsi="Arial" w:cs="Arial"/>
          <w:spacing w:val="-2"/>
          <w:w w:val="102"/>
          <w:sz w:val="22"/>
          <w:szCs w:val="22"/>
        </w:rPr>
        <w:t xml:space="preserve">prorrogarse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período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tambié</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definido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volunta</w:t>
      </w:r>
      <w:r w:rsidRPr="00EC452A">
        <w:rPr>
          <w:rFonts w:ascii="Arial" w:eastAsia="Arial" w:hAnsi="Arial" w:cs="Arial"/>
          <w:sz w:val="22"/>
          <w:szCs w:val="22"/>
        </w:rPr>
        <w:t>d</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partes</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autorizació</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conformida</w:t>
      </w:r>
      <w:r w:rsidRPr="00EC452A">
        <w:rPr>
          <w:rFonts w:ascii="Arial" w:eastAsia="Arial" w:hAnsi="Arial" w:cs="Arial"/>
          <w:sz w:val="22"/>
          <w:szCs w:val="22"/>
        </w:rPr>
        <w:t>d</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Agraria.</w:t>
      </w:r>
    </w:p>
    <w:p w14:paraId="4315585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En</w:t>
      </w:r>
      <w:r w:rsidRPr="00EC452A">
        <w:rPr>
          <w:rFonts w:ascii="Arial" w:eastAsia="Arial" w:hAnsi="Arial" w:cs="Arial"/>
          <w:spacing w:val="2"/>
          <w:sz w:val="22"/>
          <w:szCs w:val="22"/>
        </w:rPr>
        <w:t xml:space="preserve"> </w:t>
      </w:r>
      <w:r w:rsidRPr="00EC452A">
        <w:rPr>
          <w:rFonts w:ascii="Arial" w:eastAsia="Arial" w:hAnsi="Arial" w:cs="Arial"/>
          <w:sz w:val="22"/>
          <w:szCs w:val="22"/>
        </w:rPr>
        <w:t>el caso</w:t>
      </w:r>
      <w:r w:rsidRPr="00EC452A">
        <w:rPr>
          <w:rFonts w:ascii="Arial" w:eastAsia="Arial" w:hAnsi="Arial" w:cs="Arial"/>
          <w:spacing w:val="5"/>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que</w:t>
      </w:r>
      <w:r w:rsidRPr="00EC452A">
        <w:rPr>
          <w:rFonts w:ascii="Arial" w:eastAsia="Arial" w:hAnsi="Arial" w:cs="Arial"/>
          <w:spacing w:val="3"/>
          <w:sz w:val="22"/>
          <w:szCs w:val="22"/>
        </w:rPr>
        <w:t xml:space="preserve"> </w:t>
      </w:r>
      <w:r w:rsidRPr="00EC452A">
        <w:rPr>
          <w:rFonts w:ascii="Arial" w:eastAsia="Arial" w:hAnsi="Arial" w:cs="Arial"/>
          <w:sz w:val="22"/>
          <w:szCs w:val="22"/>
        </w:rPr>
        <w:t>al concluir</w:t>
      </w:r>
      <w:r w:rsidRPr="00EC452A">
        <w:rPr>
          <w:rFonts w:ascii="Arial" w:eastAsia="Arial" w:hAnsi="Arial" w:cs="Arial"/>
          <w:spacing w:val="10"/>
          <w:sz w:val="22"/>
          <w:szCs w:val="22"/>
        </w:rPr>
        <w:t xml:space="preserve"> </w:t>
      </w:r>
      <w:r w:rsidRPr="00EC452A">
        <w:rPr>
          <w:rFonts w:ascii="Arial" w:eastAsia="Arial" w:hAnsi="Arial" w:cs="Arial"/>
          <w:sz w:val="22"/>
          <w:szCs w:val="22"/>
        </w:rPr>
        <w:t>el término</w:t>
      </w:r>
      <w:r w:rsidRPr="00EC452A">
        <w:rPr>
          <w:rFonts w:ascii="Arial" w:eastAsia="Arial" w:hAnsi="Arial" w:cs="Arial"/>
          <w:spacing w:val="10"/>
          <w:sz w:val="22"/>
          <w:szCs w:val="22"/>
        </w:rPr>
        <w:t xml:space="preserve"> </w:t>
      </w:r>
      <w:r w:rsidRPr="00EC452A">
        <w:rPr>
          <w:rFonts w:ascii="Arial" w:eastAsia="Arial" w:hAnsi="Arial" w:cs="Arial"/>
          <w:sz w:val="22"/>
          <w:szCs w:val="22"/>
        </w:rPr>
        <w:t>no</w:t>
      </w:r>
      <w:r w:rsidRPr="00EC452A">
        <w:rPr>
          <w:rFonts w:ascii="Arial" w:eastAsia="Arial" w:hAnsi="Arial" w:cs="Arial"/>
          <w:spacing w:val="1"/>
          <w:sz w:val="22"/>
          <w:szCs w:val="22"/>
        </w:rPr>
        <w:t xml:space="preserve"> </w:t>
      </w:r>
      <w:r w:rsidRPr="00EC452A">
        <w:rPr>
          <w:rFonts w:ascii="Arial" w:eastAsia="Arial" w:hAnsi="Arial" w:cs="Arial"/>
          <w:sz w:val="22"/>
          <w:szCs w:val="22"/>
        </w:rPr>
        <w:t>hayan</w:t>
      </w:r>
      <w:r w:rsidRPr="00EC452A">
        <w:rPr>
          <w:rFonts w:ascii="Arial" w:eastAsia="Arial" w:hAnsi="Arial" w:cs="Arial"/>
          <w:spacing w:val="7"/>
          <w:sz w:val="22"/>
          <w:szCs w:val="22"/>
        </w:rPr>
        <w:t xml:space="preserve"> </w:t>
      </w:r>
      <w:r w:rsidRPr="00EC452A">
        <w:rPr>
          <w:rFonts w:ascii="Arial" w:eastAsia="Arial" w:hAnsi="Arial" w:cs="Arial"/>
          <w:sz w:val="22"/>
          <w:szCs w:val="22"/>
        </w:rPr>
        <w:t>sido</w:t>
      </w:r>
      <w:r w:rsidRPr="00EC452A">
        <w:rPr>
          <w:rFonts w:ascii="Arial" w:eastAsia="Arial" w:hAnsi="Arial" w:cs="Arial"/>
          <w:spacing w:val="4"/>
          <w:sz w:val="22"/>
          <w:szCs w:val="22"/>
        </w:rPr>
        <w:t xml:space="preserve"> </w:t>
      </w:r>
      <w:r w:rsidRPr="00EC452A">
        <w:rPr>
          <w:rFonts w:ascii="Arial" w:eastAsia="Arial" w:hAnsi="Arial" w:cs="Arial"/>
          <w:sz w:val="22"/>
          <w:szCs w:val="22"/>
        </w:rPr>
        <w:t>liquidados</w:t>
      </w:r>
      <w:r w:rsidRPr="00EC452A">
        <w:rPr>
          <w:rFonts w:ascii="Arial" w:eastAsia="Arial" w:hAnsi="Arial" w:cs="Arial"/>
          <w:spacing w:val="14"/>
          <w:sz w:val="22"/>
          <w:szCs w:val="22"/>
        </w:rPr>
        <w:t xml:space="preserve"> </w:t>
      </w:r>
      <w:r w:rsidRPr="00EC452A">
        <w:rPr>
          <w:rFonts w:ascii="Arial" w:eastAsia="Arial" w:hAnsi="Arial" w:cs="Arial"/>
          <w:sz w:val="22"/>
          <w:szCs w:val="22"/>
        </w:rPr>
        <w:t>totalmente</w:t>
      </w:r>
      <w:r w:rsidRPr="00EC452A">
        <w:rPr>
          <w:rFonts w:ascii="Arial" w:eastAsia="Arial" w:hAnsi="Arial" w:cs="Arial"/>
          <w:spacing w:val="15"/>
          <w:sz w:val="22"/>
          <w:szCs w:val="22"/>
        </w:rPr>
        <w:t xml:space="preserve"> </w:t>
      </w:r>
      <w:r w:rsidRPr="00EC452A">
        <w:rPr>
          <w:rFonts w:ascii="Arial" w:eastAsia="Arial" w:hAnsi="Arial" w:cs="Arial"/>
          <w:sz w:val="22"/>
          <w:szCs w:val="22"/>
        </w:rPr>
        <w:t>los</w:t>
      </w:r>
      <w:r w:rsidRPr="00EC452A">
        <w:rPr>
          <w:rFonts w:ascii="Arial" w:eastAsia="Arial" w:hAnsi="Arial" w:cs="Arial"/>
          <w:spacing w:val="2"/>
          <w:sz w:val="22"/>
          <w:szCs w:val="22"/>
        </w:rPr>
        <w:t xml:space="preserve"> </w:t>
      </w:r>
      <w:r w:rsidRPr="00EC452A">
        <w:rPr>
          <w:rFonts w:ascii="Arial" w:eastAsia="Arial" w:hAnsi="Arial" w:cs="Arial"/>
          <w:sz w:val="22"/>
          <w:szCs w:val="22"/>
        </w:rPr>
        <w:t>créditos</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compr</w:t>
      </w:r>
      <w:r w:rsidRPr="00EC452A">
        <w:rPr>
          <w:rFonts w:ascii="Arial" w:eastAsia="Arial" w:hAnsi="Arial" w:cs="Arial"/>
          <w:spacing w:val="-1"/>
          <w:sz w:val="22"/>
          <w:szCs w:val="22"/>
        </w:rPr>
        <w:t>omiso</w:t>
      </w:r>
      <w:r w:rsidRPr="00EC452A">
        <w:rPr>
          <w:rFonts w:ascii="Arial" w:eastAsia="Arial" w:hAnsi="Arial" w:cs="Arial"/>
          <w:sz w:val="22"/>
          <w:szCs w:val="22"/>
        </w:rPr>
        <w:t xml:space="preserve">s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contraído</w:t>
      </w:r>
      <w:r w:rsidRPr="00EC452A">
        <w:rPr>
          <w:rFonts w:ascii="Arial" w:eastAsia="Arial" w:hAnsi="Arial" w:cs="Arial"/>
          <w:sz w:val="22"/>
          <w:szCs w:val="22"/>
        </w:rPr>
        <w:t xml:space="preserve">s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 xml:space="preserve">d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durant</w:t>
      </w:r>
      <w:r w:rsidRPr="00EC452A">
        <w:rPr>
          <w:rFonts w:ascii="Arial" w:eastAsia="Arial" w:hAnsi="Arial" w:cs="Arial"/>
          <w:sz w:val="22"/>
          <w:szCs w:val="22"/>
        </w:rPr>
        <w:t xml:space="preserve">e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ejercicio</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conceder</w:t>
      </w:r>
      <w:r w:rsidRPr="00EC452A">
        <w:rPr>
          <w:rFonts w:ascii="Arial" w:eastAsia="Arial" w:hAnsi="Arial" w:cs="Arial"/>
          <w:sz w:val="22"/>
          <w:szCs w:val="22"/>
        </w:rPr>
        <w:t xml:space="preserve">á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prórrog</w:t>
      </w:r>
      <w:r w:rsidRPr="00EC452A">
        <w:rPr>
          <w:rFonts w:ascii="Arial" w:eastAsia="Arial" w:hAnsi="Arial" w:cs="Arial"/>
          <w:sz w:val="22"/>
          <w:szCs w:val="22"/>
        </w:rPr>
        <w:t xml:space="preserve">a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z w:val="22"/>
          <w:szCs w:val="22"/>
        </w:rPr>
        <w:t xml:space="preserve">tiempo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establezca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la  Secretaría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el  cumplimiento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dichas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obligaciones, </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 xml:space="preserve">entendido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contraers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nueva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obligaciones</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meno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autoric</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Secretar</w:t>
      </w:r>
      <w:r w:rsidRPr="00EC452A">
        <w:rPr>
          <w:rFonts w:ascii="Arial" w:eastAsia="Arial" w:hAnsi="Arial" w:cs="Arial"/>
          <w:spacing w:val="-7"/>
          <w:w w:val="102"/>
          <w:sz w:val="22"/>
          <w:szCs w:val="22"/>
        </w:rPr>
        <w:t>ía.</w:t>
      </w:r>
    </w:p>
    <w:p w14:paraId="24EA215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53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encuentre</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distante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í</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integrars</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d</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producción</w:t>
      </w:r>
      <w:r w:rsidRPr="00EC452A">
        <w:rPr>
          <w:rFonts w:ascii="Arial" w:eastAsia="Arial" w:hAnsi="Arial" w:cs="Arial"/>
          <w:spacing w:val="35"/>
          <w:sz w:val="22"/>
          <w:szCs w:val="22"/>
        </w:rPr>
        <w:t xml:space="preserve"> </w:t>
      </w:r>
      <w:r w:rsidRPr="00EC452A">
        <w:rPr>
          <w:rFonts w:ascii="Arial" w:eastAsia="Arial" w:hAnsi="Arial" w:cs="Arial"/>
          <w:sz w:val="22"/>
          <w:szCs w:val="22"/>
        </w:rPr>
        <w:t>si</w:t>
      </w:r>
      <w:r w:rsidRPr="00EC452A">
        <w:rPr>
          <w:rFonts w:ascii="Arial" w:eastAsia="Arial" w:hAnsi="Arial" w:cs="Arial"/>
          <w:spacing w:val="19"/>
          <w:sz w:val="22"/>
          <w:szCs w:val="22"/>
        </w:rPr>
        <w:t xml:space="preserve"> </w:t>
      </w:r>
      <w:r w:rsidRPr="00EC452A">
        <w:rPr>
          <w:rFonts w:ascii="Arial" w:eastAsia="Arial" w:hAnsi="Arial" w:cs="Arial"/>
          <w:sz w:val="22"/>
          <w:szCs w:val="22"/>
        </w:rPr>
        <w:t>se</w:t>
      </w:r>
      <w:r w:rsidRPr="00EC452A">
        <w:rPr>
          <w:rFonts w:ascii="Arial" w:eastAsia="Arial" w:hAnsi="Arial" w:cs="Arial"/>
          <w:spacing w:val="20"/>
          <w:sz w:val="22"/>
          <w:szCs w:val="22"/>
        </w:rPr>
        <w:t xml:space="preserve"> </w:t>
      </w:r>
      <w:r w:rsidRPr="00EC452A">
        <w:rPr>
          <w:rFonts w:ascii="Arial" w:eastAsia="Arial" w:hAnsi="Arial" w:cs="Arial"/>
          <w:sz w:val="22"/>
          <w:szCs w:val="22"/>
        </w:rPr>
        <w:t>reúnen</w:t>
      </w:r>
      <w:r w:rsidRPr="00EC452A">
        <w:rPr>
          <w:rFonts w:ascii="Arial" w:eastAsia="Arial" w:hAnsi="Arial" w:cs="Arial"/>
          <w:spacing w:val="28"/>
          <w:sz w:val="22"/>
          <w:szCs w:val="22"/>
        </w:rPr>
        <w:t xml:space="preserve"> </w:t>
      </w:r>
      <w:r w:rsidRPr="00EC452A">
        <w:rPr>
          <w:rFonts w:ascii="Arial" w:eastAsia="Arial" w:hAnsi="Arial" w:cs="Arial"/>
          <w:sz w:val="22"/>
          <w:szCs w:val="22"/>
        </w:rPr>
        <w:t>todos</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1"/>
          <w:sz w:val="22"/>
          <w:szCs w:val="22"/>
        </w:rPr>
        <w:t xml:space="preserve"> </w:t>
      </w:r>
      <w:r w:rsidRPr="00EC452A">
        <w:rPr>
          <w:rFonts w:ascii="Arial" w:eastAsia="Arial" w:hAnsi="Arial" w:cs="Arial"/>
          <w:sz w:val="22"/>
          <w:szCs w:val="22"/>
        </w:rPr>
        <w:t>requisitos</w:t>
      </w:r>
      <w:r w:rsidRPr="00EC452A">
        <w:rPr>
          <w:rFonts w:ascii="Arial" w:eastAsia="Arial" w:hAnsi="Arial" w:cs="Arial"/>
          <w:spacing w:val="32"/>
          <w:sz w:val="22"/>
          <w:szCs w:val="22"/>
        </w:rPr>
        <w:t xml:space="preserve"> </w:t>
      </w:r>
      <w:r w:rsidRPr="00EC452A">
        <w:rPr>
          <w:rFonts w:ascii="Arial" w:eastAsia="Arial" w:hAnsi="Arial" w:cs="Arial"/>
          <w:sz w:val="22"/>
          <w:szCs w:val="22"/>
        </w:rPr>
        <w:t>que</w:t>
      </w:r>
      <w:r w:rsidRPr="00EC452A">
        <w:rPr>
          <w:rFonts w:ascii="Arial" w:eastAsia="Arial" w:hAnsi="Arial" w:cs="Arial"/>
          <w:spacing w:val="22"/>
          <w:sz w:val="22"/>
          <w:szCs w:val="22"/>
        </w:rPr>
        <w:t xml:space="preserve"> </w:t>
      </w:r>
      <w:r w:rsidRPr="00EC452A">
        <w:rPr>
          <w:rFonts w:ascii="Arial" w:eastAsia="Arial" w:hAnsi="Arial" w:cs="Arial"/>
          <w:sz w:val="22"/>
          <w:szCs w:val="22"/>
        </w:rPr>
        <w:t>en</w:t>
      </w:r>
      <w:r w:rsidRPr="00EC452A">
        <w:rPr>
          <w:rFonts w:ascii="Arial" w:eastAsia="Arial" w:hAnsi="Arial" w:cs="Arial"/>
          <w:spacing w:val="20"/>
          <w:sz w:val="22"/>
          <w:szCs w:val="22"/>
        </w:rPr>
        <w:t xml:space="preserve"> </w:t>
      </w:r>
      <w:r w:rsidRPr="00EC452A">
        <w:rPr>
          <w:rFonts w:ascii="Arial" w:eastAsia="Arial" w:hAnsi="Arial" w:cs="Arial"/>
          <w:sz w:val="22"/>
          <w:szCs w:val="22"/>
        </w:rPr>
        <w:t>la</w:t>
      </w:r>
      <w:r w:rsidRPr="00EC452A">
        <w:rPr>
          <w:rFonts w:ascii="Arial" w:eastAsia="Arial" w:hAnsi="Arial" w:cs="Arial"/>
          <w:spacing w:val="19"/>
          <w:sz w:val="22"/>
          <w:szCs w:val="22"/>
        </w:rPr>
        <w:t xml:space="preserve"> </w:t>
      </w:r>
      <w:r w:rsidRPr="00EC452A">
        <w:rPr>
          <w:rFonts w:ascii="Arial" w:eastAsia="Arial" w:hAnsi="Arial" w:cs="Arial"/>
          <w:sz w:val="22"/>
          <w:szCs w:val="22"/>
        </w:rPr>
        <w:t>Ley</w:t>
      </w:r>
      <w:r w:rsidRPr="00EC452A">
        <w:rPr>
          <w:rFonts w:ascii="Arial" w:eastAsia="Arial" w:hAnsi="Arial" w:cs="Arial"/>
          <w:spacing w:val="22"/>
          <w:sz w:val="22"/>
          <w:szCs w:val="22"/>
        </w:rPr>
        <w:t xml:space="preserve"> </w:t>
      </w:r>
      <w:r w:rsidRPr="00EC452A">
        <w:rPr>
          <w:rFonts w:ascii="Arial" w:eastAsia="Arial" w:hAnsi="Arial" w:cs="Arial"/>
          <w:sz w:val="22"/>
          <w:szCs w:val="22"/>
        </w:rPr>
        <w:t>y</w:t>
      </w:r>
      <w:r w:rsidRPr="00EC452A">
        <w:rPr>
          <w:rFonts w:ascii="Arial" w:eastAsia="Arial" w:hAnsi="Arial" w:cs="Arial"/>
          <w:spacing w:val="18"/>
          <w:sz w:val="22"/>
          <w:szCs w:val="22"/>
        </w:rPr>
        <w:t xml:space="preserve"> </w:t>
      </w:r>
      <w:r w:rsidRPr="00EC452A">
        <w:rPr>
          <w:rFonts w:ascii="Arial" w:eastAsia="Arial" w:hAnsi="Arial" w:cs="Arial"/>
          <w:sz w:val="22"/>
          <w:szCs w:val="22"/>
        </w:rPr>
        <w:t>en</w:t>
      </w:r>
      <w:r w:rsidRPr="00EC452A">
        <w:rPr>
          <w:rFonts w:ascii="Arial" w:eastAsia="Arial" w:hAnsi="Arial" w:cs="Arial"/>
          <w:spacing w:val="20"/>
          <w:sz w:val="22"/>
          <w:szCs w:val="22"/>
        </w:rPr>
        <w:t xml:space="preserve"> </w:t>
      </w:r>
      <w:r w:rsidRPr="00EC452A">
        <w:rPr>
          <w:rFonts w:ascii="Arial" w:eastAsia="Arial" w:hAnsi="Arial" w:cs="Arial"/>
          <w:sz w:val="22"/>
          <w:szCs w:val="22"/>
        </w:rPr>
        <w:t>este</w:t>
      </w:r>
      <w:r w:rsidRPr="00EC452A">
        <w:rPr>
          <w:rFonts w:ascii="Arial" w:eastAsia="Arial" w:hAnsi="Arial" w:cs="Arial"/>
          <w:spacing w:val="23"/>
          <w:sz w:val="22"/>
          <w:szCs w:val="22"/>
        </w:rPr>
        <w:t xml:space="preserve"> </w:t>
      </w:r>
      <w:r w:rsidRPr="00EC452A">
        <w:rPr>
          <w:rFonts w:ascii="Arial" w:eastAsia="Arial" w:hAnsi="Arial" w:cs="Arial"/>
          <w:sz w:val="22"/>
          <w:szCs w:val="22"/>
        </w:rPr>
        <w:t>Reglamento</w:t>
      </w:r>
      <w:r w:rsidRPr="00EC452A">
        <w:rPr>
          <w:rFonts w:ascii="Arial" w:eastAsia="Arial" w:hAnsi="Arial" w:cs="Arial"/>
          <w:spacing w:val="36"/>
          <w:sz w:val="22"/>
          <w:szCs w:val="22"/>
        </w:rPr>
        <w:t xml:space="preserve"> </w:t>
      </w:r>
      <w:r w:rsidRPr="00EC452A">
        <w:rPr>
          <w:rFonts w:ascii="Arial" w:eastAsia="Arial" w:hAnsi="Arial" w:cs="Arial"/>
          <w:sz w:val="22"/>
          <w:szCs w:val="22"/>
        </w:rPr>
        <w:t>se</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 xml:space="preserve">establecen,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juici</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Secretaría.</w:t>
      </w:r>
    </w:p>
    <w:p w14:paraId="450D375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54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númer</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puede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integra</w:t>
      </w:r>
      <w:r w:rsidRPr="00EC452A">
        <w:rPr>
          <w:rFonts w:ascii="Arial" w:eastAsia="Arial" w:hAnsi="Arial" w:cs="Arial"/>
          <w:sz w:val="22"/>
          <w:szCs w:val="22"/>
        </w:rPr>
        <w:t>r</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d</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á</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limitado</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salv</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2"/>
          <w:w w:val="102"/>
          <w:sz w:val="22"/>
          <w:szCs w:val="22"/>
        </w:rPr>
        <w:t xml:space="preserve">lo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estipul</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escritur</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constitutiv</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correspondiente.</w:t>
      </w:r>
    </w:p>
    <w:p w14:paraId="27108AF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55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constitució</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procurar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partes </w:t>
      </w:r>
      <w:r w:rsidRPr="00EC452A">
        <w:rPr>
          <w:rFonts w:ascii="Arial" w:eastAsia="Arial" w:hAnsi="Arial" w:cs="Arial"/>
          <w:sz w:val="22"/>
          <w:szCs w:val="22"/>
        </w:rPr>
        <w:t xml:space="preserve">tengan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características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generales </w:t>
      </w:r>
      <w:r w:rsidRPr="00EC452A">
        <w:rPr>
          <w:rFonts w:ascii="Arial" w:eastAsia="Arial" w:hAnsi="Arial" w:cs="Arial"/>
          <w:spacing w:val="16"/>
          <w:sz w:val="22"/>
          <w:szCs w:val="22"/>
        </w:rPr>
        <w:t xml:space="preserve"> </w:t>
      </w:r>
      <w:r w:rsidRPr="00EC452A">
        <w:rPr>
          <w:rFonts w:ascii="Arial" w:eastAsia="Arial" w:hAnsi="Arial" w:cs="Arial"/>
          <w:sz w:val="22"/>
          <w:szCs w:val="22"/>
        </w:rPr>
        <w:t>semejan</w:t>
      </w:r>
      <w:r w:rsidRPr="00EC452A">
        <w:rPr>
          <w:rFonts w:ascii="Arial" w:eastAsia="Arial" w:hAnsi="Arial" w:cs="Arial"/>
          <w:spacing w:val="-1"/>
          <w:sz w:val="22"/>
          <w:szCs w:val="22"/>
        </w:rPr>
        <w:t>te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z w:val="22"/>
          <w:szCs w:val="22"/>
        </w:rPr>
        <w:t>y</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grad</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simila</w:t>
      </w:r>
      <w:r w:rsidRPr="00EC452A">
        <w:rPr>
          <w:rFonts w:ascii="Arial" w:eastAsia="Arial" w:hAnsi="Arial" w:cs="Arial"/>
          <w:sz w:val="22"/>
          <w:szCs w:val="22"/>
        </w:rPr>
        <w:t>r</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desarrollo</w:t>
      </w:r>
      <w:r w:rsidRPr="00EC452A">
        <w:rPr>
          <w:rFonts w:ascii="Arial" w:eastAsia="Arial" w:hAnsi="Arial" w:cs="Arial"/>
          <w:sz w:val="22"/>
          <w:szCs w:val="22"/>
        </w:rPr>
        <w:t>,</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maner</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exist</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equilibri</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relació</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productiv</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asociados.</w:t>
      </w:r>
    </w:p>
    <w:p w14:paraId="40B05D28"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56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valo</w:t>
      </w:r>
      <w:r w:rsidRPr="00EC452A">
        <w:rPr>
          <w:rFonts w:ascii="Arial" w:eastAsia="Arial" w:hAnsi="Arial" w:cs="Arial"/>
          <w:sz w:val="22"/>
          <w:szCs w:val="22"/>
        </w:rPr>
        <w:t xml:space="preserve">r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biene</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aportado</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 xml:space="preserve">á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fijad</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mediant</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avalú</w:t>
      </w:r>
      <w:r w:rsidRPr="00EC452A">
        <w:rPr>
          <w:rFonts w:ascii="Arial" w:eastAsia="Arial" w:hAnsi="Arial" w:cs="Arial"/>
          <w:sz w:val="22"/>
          <w:szCs w:val="22"/>
        </w:rPr>
        <w:t xml:space="preserve">o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practiqu</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2"/>
          <w:sz w:val="22"/>
          <w:szCs w:val="22"/>
        </w:rPr>
        <w:t>Secretaría</w:t>
      </w:r>
      <w:r w:rsidRPr="00EC452A">
        <w:rPr>
          <w:rFonts w:ascii="Arial" w:eastAsia="Arial" w:hAnsi="Arial" w:cs="Arial"/>
          <w:sz w:val="22"/>
          <w:szCs w:val="22"/>
        </w:rPr>
        <w:t xml:space="preserve">,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servir</w:t>
      </w:r>
      <w:r w:rsidRPr="00EC452A">
        <w:rPr>
          <w:rFonts w:ascii="Arial" w:eastAsia="Arial" w:hAnsi="Arial" w:cs="Arial"/>
          <w:sz w:val="22"/>
          <w:szCs w:val="22"/>
        </w:rPr>
        <w:t xml:space="preserve">á </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bas</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repart</w:t>
      </w:r>
      <w:r w:rsidRPr="00EC452A">
        <w:rPr>
          <w:rFonts w:ascii="Arial" w:eastAsia="Arial" w:hAnsi="Arial" w:cs="Arial"/>
          <w:sz w:val="22"/>
          <w:szCs w:val="22"/>
        </w:rPr>
        <w:t xml:space="preserve">o </w:t>
      </w:r>
      <w:r w:rsidRPr="00EC452A">
        <w:rPr>
          <w:rFonts w:ascii="Arial" w:eastAsia="Arial" w:hAnsi="Arial" w:cs="Arial"/>
          <w:spacing w:val="39"/>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 xml:space="preserve">s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conform</w:t>
      </w:r>
      <w:r w:rsidRPr="00EC452A">
        <w:rPr>
          <w:rFonts w:ascii="Arial" w:eastAsia="Arial" w:hAnsi="Arial" w:cs="Arial"/>
          <w:sz w:val="22"/>
          <w:szCs w:val="22"/>
        </w:rPr>
        <w:t xml:space="preserve">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porcentaje </w:t>
      </w:r>
      <w:r w:rsidRPr="00EC452A">
        <w:rPr>
          <w:rFonts w:ascii="Arial" w:eastAsia="Arial" w:hAnsi="Arial" w:cs="Arial"/>
          <w:spacing w:val="-1"/>
          <w:sz w:val="22"/>
          <w:szCs w:val="22"/>
        </w:rPr>
        <w:t>resultant</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correspond</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partes.</w:t>
      </w:r>
    </w:p>
    <w:p w14:paraId="48F2942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57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revisar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avalúo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aportacione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trabaj</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realice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asociado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calida</w:t>
      </w:r>
      <w:r w:rsidRPr="00EC452A">
        <w:rPr>
          <w:rFonts w:ascii="Arial" w:eastAsia="Arial" w:hAnsi="Arial" w:cs="Arial"/>
          <w:sz w:val="22"/>
          <w:szCs w:val="22"/>
        </w:rPr>
        <w:t>d</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recurso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se</w:t>
      </w:r>
      <w:r w:rsidRPr="00EC452A">
        <w:rPr>
          <w:rFonts w:ascii="Arial" w:eastAsia="Arial" w:hAnsi="Arial" w:cs="Arial"/>
          <w:spacing w:val="18"/>
          <w:sz w:val="22"/>
          <w:szCs w:val="22"/>
        </w:rPr>
        <w:t xml:space="preserve"> </w:t>
      </w:r>
      <w:r w:rsidRPr="00EC452A">
        <w:rPr>
          <w:rFonts w:ascii="Arial" w:eastAsia="Arial" w:hAnsi="Arial" w:cs="Arial"/>
          <w:sz w:val="22"/>
          <w:szCs w:val="22"/>
        </w:rPr>
        <w:t>trate,</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 xml:space="preserve">considerando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valo</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pudiera</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tene</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esta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última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mercado.</w:t>
      </w:r>
    </w:p>
    <w:p w14:paraId="1D2BA1F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58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vigilar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repart</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utilidade</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guard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proporció</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2"/>
          <w:w w:val="102"/>
          <w:sz w:val="22"/>
          <w:szCs w:val="22"/>
        </w:rPr>
        <w:t xml:space="preserve">que </w:t>
      </w:r>
      <w:r w:rsidRPr="00EC452A">
        <w:rPr>
          <w:rFonts w:ascii="Arial" w:eastAsia="Arial" w:hAnsi="Arial" w:cs="Arial"/>
          <w:spacing w:val="-1"/>
          <w:sz w:val="22"/>
          <w:szCs w:val="22"/>
        </w:rPr>
        <w:t>correspond</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aportacione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z w:val="22"/>
          <w:szCs w:val="22"/>
        </w:rPr>
        <w:t>y</w:t>
      </w:r>
      <w:r w:rsidRPr="00EC452A">
        <w:rPr>
          <w:rFonts w:ascii="Arial" w:eastAsia="Arial" w:hAnsi="Arial" w:cs="Arial"/>
          <w:spacing w:val="7"/>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naturalez</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trabaj</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z w:val="22"/>
          <w:szCs w:val="22"/>
        </w:rPr>
        <w:t>realicen</w:t>
      </w:r>
      <w:r w:rsidRPr="00EC452A">
        <w:rPr>
          <w:rFonts w:ascii="Arial" w:eastAsia="Arial" w:hAnsi="Arial" w:cs="Arial"/>
          <w:spacing w:val="20"/>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partes.</w:t>
      </w:r>
    </w:p>
    <w:p w14:paraId="2DF096B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59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calida</w:t>
      </w:r>
      <w:r w:rsidRPr="00EC452A">
        <w:rPr>
          <w:rFonts w:ascii="Arial" w:eastAsia="Arial" w:hAnsi="Arial" w:cs="Arial"/>
          <w:sz w:val="22"/>
          <w:szCs w:val="22"/>
        </w:rPr>
        <w:t xml:space="preserve">d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aportació</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desempeñe</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contabilizarán</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efect</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participació</w:t>
      </w:r>
      <w:r w:rsidRPr="00EC452A">
        <w:rPr>
          <w:rFonts w:ascii="Arial" w:eastAsia="Arial" w:hAnsi="Arial" w:cs="Arial"/>
          <w:sz w:val="22"/>
          <w:szCs w:val="22"/>
        </w:rPr>
        <w:t>n</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rendimiento</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correspondan.</w:t>
      </w:r>
    </w:p>
    <w:p w14:paraId="01D276C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60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Quedar</w:t>
      </w:r>
      <w:r w:rsidRPr="00EC452A">
        <w:rPr>
          <w:rFonts w:ascii="Arial" w:eastAsia="Arial" w:hAnsi="Arial" w:cs="Arial"/>
          <w:sz w:val="22"/>
          <w:szCs w:val="22"/>
        </w:rPr>
        <w:t xml:space="preserve">á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elecció</w:t>
      </w:r>
      <w:r w:rsidRPr="00EC452A">
        <w:rPr>
          <w:rFonts w:ascii="Arial" w:eastAsia="Arial" w:hAnsi="Arial" w:cs="Arial"/>
          <w:sz w:val="22"/>
          <w:szCs w:val="22"/>
        </w:rPr>
        <w:t xml:space="preserve">n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 xml:space="preserv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sanció</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aprobatori</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Asamble</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General</w:t>
      </w:r>
      <w:r w:rsidRPr="00EC452A">
        <w:rPr>
          <w:rFonts w:ascii="Arial" w:eastAsia="Arial" w:hAnsi="Arial" w:cs="Arial"/>
          <w:sz w:val="22"/>
          <w:szCs w:val="22"/>
        </w:rPr>
        <w:t>,</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decidi</w:t>
      </w:r>
      <w:r w:rsidRPr="00EC452A">
        <w:rPr>
          <w:rFonts w:ascii="Arial" w:eastAsia="Arial" w:hAnsi="Arial" w:cs="Arial"/>
          <w:sz w:val="22"/>
          <w:szCs w:val="22"/>
        </w:rPr>
        <w:t>r</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desempeñará</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 xml:space="preserve">tendrán </w:t>
      </w:r>
      <w:r w:rsidRPr="00EC452A">
        <w:rPr>
          <w:rFonts w:ascii="Arial" w:eastAsia="Arial" w:hAnsi="Arial" w:cs="Arial"/>
          <w:spacing w:val="-1"/>
          <w:sz w:val="22"/>
          <w:szCs w:val="22"/>
        </w:rPr>
        <w:t>calida</w:t>
      </w:r>
      <w:r w:rsidRPr="00EC452A">
        <w:rPr>
          <w:rFonts w:ascii="Arial" w:eastAsia="Arial" w:hAnsi="Arial" w:cs="Arial"/>
          <w:sz w:val="22"/>
          <w:szCs w:val="22"/>
        </w:rPr>
        <w:t>d</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aportació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bie</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naturalez</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laboral.</w:t>
      </w:r>
    </w:p>
    <w:p w14:paraId="0223355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61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ejidatario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z w:val="22"/>
          <w:szCs w:val="22"/>
        </w:rPr>
        <w:t>y</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comunero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sól</w:t>
      </w:r>
      <w:r w:rsidRPr="00EC452A">
        <w:rPr>
          <w:rFonts w:ascii="Arial" w:eastAsia="Arial" w:hAnsi="Arial" w:cs="Arial"/>
          <w:sz w:val="22"/>
          <w:szCs w:val="22"/>
        </w:rPr>
        <w:t>o</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derech</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elecció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alud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anterio</w:t>
      </w:r>
      <w:r w:rsidRPr="00EC452A">
        <w:rPr>
          <w:rFonts w:ascii="Arial" w:eastAsia="Arial" w:hAnsi="Arial" w:cs="Arial"/>
          <w:sz w:val="22"/>
          <w:szCs w:val="22"/>
        </w:rPr>
        <w:t>r</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toc</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desempeñe</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adiciona</w:t>
      </w:r>
      <w:r w:rsidRPr="00EC452A">
        <w:rPr>
          <w:rFonts w:ascii="Arial" w:eastAsia="Arial" w:hAnsi="Arial" w:cs="Arial"/>
          <w:sz w:val="22"/>
          <w:szCs w:val="22"/>
        </w:rPr>
        <w:t>l</w:t>
      </w:r>
      <w:r w:rsidRPr="00EC452A">
        <w:rPr>
          <w:rFonts w:ascii="Arial" w:eastAsia="Arial" w:hAnsi="Arial" w:cs="Arial"/>
          <w:spacing w:val="53"/>
          <w:sz w:val="22"/>
          <w:szCs w:val="22"/>
        </w:rPr>
        <w:t xml:space="preserve"> </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obligació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le</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corresponde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conform</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Le</w:t>
      </w:r>
      <w:r w:rsidRPr="00EC452A">
        <w:rPr>
          <w:rFonts w:ascii="Arial" w:eastAsia="Arial" w:hAnsi="Arial" w:cs="Arial"/>
          <w:sz w:val="22"/>
          <w:szCs w:val="22"/>
        </w:rPr>
        <w:t>y</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Federa</w:t>
      </w:r>
      <w:r w:rsidRPr="00EC452A">
        <w:rPr>
          <w:rFonts w:ascii="Arial" w:eastAsia="Arial" w:hAnsi="Arial" w:cs="Arial"/>
          <w:sz w:val="22"/>
          <w:szCs w:val="22"/>
        </w:rPr>
        <w:t>l</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Agraria</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pue</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2"/>
          <w:w w:val="102"/>
          <w:sz w:val="22"/>
          <w:szCs w:val="22"/>
        </w:rPr>
        <w:t xml:space="preserve">respecto </w:t>
      </w:r>
      <w:r w:rsidRPr="00EC452A">
        <w:rPr>
          <w:rFonts w:ascii="Arial" w:eastAsia="Arial" w:hAnsi="Arial" w:cs="Arial"/>
          <w:w w:val="102"/>
          <w:sz w:val="22"/>
          <w:szCs w:val="22"/>
        </w:rPr>
        <w:t>a</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w w:val="102"/>
          <w:sz w:val="22"/>
          <w:szCs w:val="22"/>
        </w:rPr>
        <w:t>ésto</w:t>
      </w:r>
      <w:r w:rsidRPr="00EC452A">
        <w:rPr>
          <w:rFonts w:ascii="Arial" w:eastAsia="Arial" w:hAnsi="Arial" w:cs="Arial"/>
          <w:w w:val="102"/>
          <w:sz w:val="22"/>
          <w:szCs w:val="22"/>
        </w:rPr>
        <w:t>s</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z w:val="22"/>
          <w:szCs w:val="22"/>
        </w:rPr>
        <w:t>en</w:t>
      </w:r>
      <w:r w:rsidRPr="00EC452A">
        <w:rPr>
          <w:rFonts w:ascii="Arial" w:eastAsia="Arial" w:hAnsi="Arial" w:cs="Arial"/>
          <w:spacing w:val="29"/>
          <w:sz w:val="22"/>
          <w:szCs w:val="22"/>
        </w:rPr>
        <w:t xml:space="preserve"> </w:t>
      </w:r>
      <w:r w:rsidRPr="00EC452A">
        <w:rPr>
          <w:rFonts w:ascii="Arial" w:eastAsia="Arial" w:hAnsi="Arial" w:cs="Arial"/>
          <w:sz w:val="22"/>
          <w:szCs w:val="22"/>
        </w:rPr>
        <w:t>todos</w:t>
      </w:r>
      <w:r w:rsidRPr="00EC452A">
        <w:rPr>
          <w:rFonts w:ascii="Arial" w:eastAsia="Arial" w:hAnsi="Arial" w:cs="Arial"/>
          <w:spacing w:val="34"/>
          <w:sz w:val="22"/>
          <w:szCs w:val="22"/>
        </w:rPr>
        <w:t xml:space="preserve"> </w:t>
      </w:r>
      <w:r w:rsidRPr="00EC452A">
        <w:rPr>
          <w:rFonts w:ascii="Arial" w:eastAsia="Arial" w:hAnsi="Arial" w:cs="Arial"/>
          <w:sz w:val="22"/>
          <w:szCs w:val="22"/>
        </w:rPr>
        <w:t>los</w:t>
      </w:r>
      <w:r w:rsidRPr="00EC452A">
        <w:rPr>
          <w:rFonts w:ascii="Arial" w:eastAsia="Arial" w:hAnsi="Arial" w:cs="Arial"/>
          <w:spacing w:val="30"/>
          <w:sz w:val="22"/>
          <w:szCs w:val="22"/>
        </w:rPr>
        <w:t xml:space="preserve"> </w:t>
      </w:r>
      <w:r w:rsidRPr="00EC452A">
        <w:rPr>
          <w:rFonts w:ascii="Arial" w:eastAsia="Arial" w:hAnsi="Arial" w:cs="Arial"/>
          <w:sz w:val="22"/>
          <w:szCs w:val="22"/>
        </w:rPr>
        <w:t>casos</w:t>
      </w:r>
      <w:r w:rsidRPr="00EC452A">
        <w:rPr>
          <w:rFonts w:ascii="Arial" w:eastAsia="Arial" w:hAnsi="Arial" w:cs="Arial"/>
          <w:spacing w:val="35"/>
          <w:sz w:val="22"/>
          <w:szCs w:val="22"/>
        </w:rPr>
        <w:t xml:space="preserve"> </w:t>
      </w:r>
      <w:r w:rsidRPr="00EC452A">
        <w:rPr>
          <w:rFonts w:ascii="Arial" w:eastAsia="Arial" w:hAnsi="Arial" w:cs="Arial"/>
          <w:sz w:val="22"/>
          <w:szCs w:val="22"/>
        </w:rPr>
        <w:t>tendrán</w:t>
      </w:r>
      <w:r w:rsidRPr="00EC452A">
        <w:rPr>
          <w:rFonts w:ascii="Arial" w:eastAsia="Arial" w:hAnsi="Arial" w:cs="Arial"/>
          <w:spacing w:val="38"/>
          <w:sz w:val="22"/>
          <w:szCs w:val="22"/>
        </w:rPr>
        <w:t xml:space="preserve"> </w:t>
      </w:r>
      <w:r w:rsidRPr="00EC452A">
        <w:rPr>
          <w:rFonts w:ascii="Arial" w:eastAsia="Arial" w:hAnsi="Arial" w:cs="Arial"/>
          <w:sz w:val="22"/>
          <w:szCs w:val="22"/>
        </w:rPr>
        <w:t>calidad</w:t>
      </w:r>
      <w:r w:rsidRPr="00EC452A">
        <w:rPr>
          <w:rFonts w:ascii="Arial" w:eastAsia="Arial" w:hAnsi="Arial" w:cs="Arial"/>
          <w:spacing w:val="37"/>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aportaciones,</w:t>
      </w:r>
      <w:r w:rsidRPr="00EC452A">
        <w:rPr>
          <w:rFonts w:ascii="Arial" w:eastAsia="Arial" w:hAnsi="Arial" w:cs="Arial"/>
          <w:spacing w:val="48"/>
          <w:sz w:val="22"/>
          <w:szCs w:val="22"/>
        </w:rPr>
        <w:t xml:space="preserve"> </w:t>
      </w:r>
      <w:r w:rsidRPr="00EC452A">
        <w:rPr>
          <w:rFonts w:ascii="Arial" w:eastAsia="Arial" w:hAnsi="Arial" w:cs="Arial"/>
          <w:sz w:val="22"/>
          <w:szCs w:val="22"/>
        </w:rPr>
        <w:t>sin</w:t>
      </w:r>
      <w:r w:rsidRPr="00EC452A">
        <w:rPr>
          <w:rFonts w:ascii="Arial" w:eastAsia="Arial" w:hAnsi="Arial" w:cs="Arial"/>
          <w:spacing w:val="30"/>
          <w:sz w:val="22"/>
          <w:szCs w:val="22"/>
        </w:rPr>
        <w:t xml:space="preserve"> </w:t>
      </w:r>
      <w:r w:rsidRPr="00EC452A">
        <w:rPr>
          <w:rFonts w:ascii="Arial" w:eastAsia="Arial" w:hAnsi="Arial" w:cs="Arial"/>
          <w:sz w:val="22"/>
          <w:szCs w:val="22"/>
        </w:rPr>
        <w:t>perjuicio</w:t>
      </w:r>
      <w:r w:rsidRPr="00EC452A">
        <w:rPr>
          <w:rFonts w:ascii="Arial" w:eastAsia="Arial" w:hAnsi="Arial" w:cs="Arial"/>
          <w:spacing w:val="39"/>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los</w:t>
      </w:r>
      <w:r w:rsidRPr="00EC452A">
        <w:rPr>
          <w:rFonts w:ascii="Arial" w:eastAsia="Arial" w:hAnsi="Arial" w:cs="Arial"/>
          <w:spacing w:val="30"/>
          <w:sz w:val="22"/>
          <w:szCs w:val="22"/>
        </w:rPr>
        <w:t xml:space="preserve"> </w:t>
      </w:r>
      <w:r w:rsidRPr="00EC452A">
        <w:rPr>
          <w:rFonts w:ascii="Arial" w:eastAsia="Arial" w:hAnsi="Arial" w:cs="Arial"/>
          <w:sz w:val="22"/>
          <w:szCs w:val="22"/>
        </w:rPr>
        <w:t>anticipos</w:t>
      </w:r>
      <w:r w:rsidRPr="00EC452A">
        <w:rPr>
          <w:rFonts w:ascii="Arial" w:eastAsia="Arial" w:hAnsi="Arial" w:cs="Arial"/>
          <w:spacing w:val="40"/>
          <w:sz w:val="22"/>
          <w:szCs w:val="22"/>
        </w:rPr>
        <w:t xml:space="preserve"> </w:t>
      </w:r>
      <w:r w:rsidRPr="00EC452A">
        <w:rPr>
          <w:rFonts w:ascii="Arial" w:eastAsia="Arial" w:hAnsi="Arial" w:cs="Arial"/>
          <w:w w:val="102"/>
          <w:sz w:val="22"/>
          <w:szCs w:val="22"/>
        </w:rPr>
        <w:t xml:space="preserve">que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pueda</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convenidos.</w:t>
      </w:r>
    </w:p>
    <w:p w14:paraId="1BC11E6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62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z w:val="22"/>
          <w:szCs w:val="22"/>
        </w:rPr>
        <w:t>En</w:t>
      </w:r>
      <w:r w:rsidRPr="00EC452A">
        <w:rPr>
          <w:rFonts w:ascii="Arial" w:eastAsia="Arial" w:hAnsi="Arial" w:cs="Arial"/>
          <w:spacing w:val="29"/>
          <w:sz w:val="22"/>
          <w:szCs w:val="22"/>
        </w:rPr>
        <w:t xml:space="preserve"> </w:t>
      </w:r>
      <w:r w:rsidRPr="00EC452A">
        <w:rPr>
          <w:rFonts w:ascii="Arial" w:eastAsia="Arial" w:hAnsi="Arial" w:cs="Arial"/>
          <w:sz w:val="22"/>
          <w:szCs w:val="22"/>
        </w:rPr>
        <w:t>caso</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28"/>
          <w:sz w:val="22"/>
          <w:szCs w:val="22"/>
        </w:rPr>
        <w:t xml:space="preserve"> </w:t>
      </w:r>
      <w:r w:rsidRPr="00EC452A">
        <w:rPr>
          <w:rFonts w:ascii="Arial" w:eastAsia="Arial" w:hAnsi="Arial" w:cs="Arial"/>
          <w:sz w:val="22"/>
          <w:szCs w:val="22"/>
        </w:rPr>
        <w:t>que</w:t>
      </w:r>
      <w:r w:rsidRPr="00EC452A">
        <w:rPr>
          <w:rFonts w:ascii="Arial" w:eastAsia="Arial" w:hAnsi="Arial" w:cs="Arial"/>
          <w:spacing w:val="30"/>
          <w:sz w:val="22"/>
          <w:szCs w:val="22"/>
        </w:rPr>
        <w:t xml:space="preserve"> </w:t>
      </w:r>
      <w:r w:rsidRPr="00EC452A">
        <w:rPr>
          <w:rFonts w:ascii="Arial" w:eastAsia="Arial" w:hAnsi="Arial" w:cs="Arial"/>
          <w:sz w:val="22"/>
          <w:szCs w:val="22"/>
        </w:rPr>
        <w:t>los</w:t>
      </w:r>
      <w:r w:rsidRPr="00EC452A">
        <w:rPr>
          <w:rFonts w:ascii="Arial" w:eastAsia="Arial" w:hAnsi="Arial" w:cs="Arial"/>
          <w:spacing w:val="29"/>
          <w:sz w:val="22"/>
          <w:szCs w:val="22"/>
        </w:rPr>
        <w:t xml:space="preserve"> </w:t>
      </w:r>
      <w:r w:rsidRPr="00EC452A">
        <w:rPr>
          <w:rFonts w:ascii="Arial" w:eastAsia="Arial" w:hAnsi="Arial" w:cs="Arial"/>
          <w:sz w:val="22"/>
          <w:szCs w:val="22"/>
        </w:rPr>
        <w:t>ejidatarios</w:t>
      </w:r>
      <w:r w:rsidRPr="00EC452A">
        <w:rPr>
          <w:rFonts w:ascii="Arial" w:eastAsia="Arial" w:hAnsi="Arial" w:cs="Arial"/>
          <w:spacing w:val="41"/>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z w:val="22"/>
          <w:szCs w:val="22"/>
        </w:rPr>
        <w:t>comuneros,</w:t>
      </w:r>
      <w:r w:rsidRPr="00EC452A">
        <w:rPr>
          <w:rFonts w:ascii="Arial" w:eastAsia="Arial" w:hAnsi="Arial" w:cs="Arial"/>
          <w:spacing w:val="44"/>
          <w:sz w:val="22"/>
          <w:szCs w:val="22"/>
        </w:rPr>
        <w:t xml:space="preserve"> </w:t>
      </w:r>
      <w:r w:rsidRPr="00EC452A">
        <w:rPr>
          <w:rFonts w:ascii="Arial" w:eastAsia="Arial" w:hAnsi="Arial" w:cs="Arial"/>
          <w:sz w:val="22"/>
          <w:szCs w:val="22"/>
        </w:rPr>
        <w:t>desempeñen</w:t>
      </w:r>
      <w:r w:rsidRPr="00EC452A">
        <w:rPr>
          <w:rFonts w:ascii="Arial" w:eastAsia="Arial" w:hAnsi="Arial" w:cs="Arial"/>
          <w:spacing w:val="46"/>
          <w:sz w:val="22"/>
          <w:szCs w:val="22"/>
        </w:rPr>
        <w:t xml:space="preserve"> </w:t>
      </w:r>
      <w:r w:rsidRPr="00EC452A">
        <w:rPr>
          <w:rFonts w:ascii="Arial" w:eastAsia="Arial" w:hAnsi="Arial" w:cs="Arial"/>
          <w:sz w:val="22"/>
          <w:szCs w:val="22"/>
        </w:rPr>
        <w:t>los</w:t>
      </w:r>
      <w:r w:rsidRPr="00EC452A">
        <w:rPr>
          <w:rFonts w:ascii="Arial" w:eastAsia="Arial" w:hAnsi="Arial" w:cs="Arial"/>
          <w:spacing w:val="29"/>
          <w:sz w:val="22"/>
          <w:szCs w:val="22"/>
        </w:rPr>
        <w:t xml:space="preserve"> </w:t>
      </w:r>
      <w:r w:rsidRPr="00EC452A">
        <w:rPr>
          <w:rFonts w:ascii="Arial" w:eastAsia="Arial" w:hAnsi="Arial" w:cs="Arial"/>
          <w:sz w:val="22"/>
          <w:szCs w:val="22"/>
        </w:rPr>
        <w:t>trabajos</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adicionales </w:t>
      </w:r>
      <w:r w:rsidRPr="00EC452A">
        <w:rPr>
          <w:rFonts w:ascii="Arial" w:eastAsia="Arial" w:hAnsi="Arial" w:cs="Arial"/>
          <w:sz w:val="22"/>
          <w:szCs w:val="22"/>
        </w:rPr>
        <w:t xml:space="preserve">a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refier</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anterior</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excede</w:t>
      </w:r>
      <w:r w:rsidRPr="00EC452A">
        <w:rPr>
          <w:rFonts w:ascii="Arial" w:eastAsia="Arial" w:hAnsi="Arial" w:cs="Arial"/>
          <w:sz w:val="22"/>
          <w:szCs w:val="22"/>
        </w:rPr>
        <w:t xml:space="preserve">r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jornad</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máxim</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legal</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remuneración </w:t>
      </w:r>
      <w:r w:rsidRPr="00EC452A">
        <w:rPr>
          <w:rFonts w:ascii="Arial" w:eastAsia="Arial" w:hAnsi="Arial" w:cs="Arial"/>
          <w:spacing w:val="-1"/>
          <w:sz w:val="22"/>
          <w:szCs w:val="22"/>
        </w:rPr>
        <w:t>respectiv</w:t>
      </w:r>
      <w:r w:rsidRPr="00EC452A">
        <w:rPr>
          <w:rFonts w:ascii="Arial" w:eastAsia="Arial" w:hAnsi="Arial" w:cs="Arial"/>
          <w:sz w:val="22"/>
          <w:szCs w:val="22"/>
        </w:rPr>
        <w:t xml:space="preserve">a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cubrir</w:t>
      </w:r>
      <w:r w:rsidRPr="00EC452A">
        <w:rPr>
          <w:rFonts w:ascii="Arial" w:eastAsia="Arial" w:hAnsi="Arial" w:cs="Arial"/>
          <w:sz w:val="22"/>
          <w:szCs w:val="22"/>
        </w:rPr>
        <w:t xml:space="preserve">á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semanalment</w:t>
      </w:r>
      <w:r w:rsidRPr="00EC452A">
        <w:rPr>
          <w:rFonts w:ascii="Arial" w:eastAsia="Arial" w:hAnsi="Arial" w:cs="Arial"/>
          <w:sz w:val="22"/>
          <w:szCs w:val="22"/>
        </w:rPr>
        <w:t xml:space="preserve">e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 xml:space="preserve">á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proporciona</w:t>
      </w:r>
      <w:r w:rsidRPr="00EC452A">
        <w:rPr>
          <w:rFonts w:ascii="Arial" w:eastAsia="Arial" w:hAnsi="Arial" w:cs="Arial"/>
          <w:sz w:val="22"/>
          <w:szCs w:val="22"/>
        </w:rPr>
        <w:t xml:space="preserve">l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salari</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mínim</w:t>
      </w:r>
      <w:r w:rsidRPr="00EC452A">
        <w:rPr>
          <w:rFonts w:ascii="Arial" w:eastAsia="Arial" w:hAnsi="Arial" w:cs="Arial"/>
          <w:sz w:val="22"/>
          <w:szCs w:val="22"/>
        </w:rPr>
        <w:t xml:space="preserve">o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1"/>
          <w:sz w:val="22"/>
          <w:szCs w:val="22"/>
        </w:rPr>
        <w:t xml:space="preserve"> </w:t>
      </w:r>
      <w:r w:rsidRPr="00EC452A">
        <w:rPr>
          <w:rFonts w:ascii="Arial" w:eastAsia="Arial" w:hAnsi="Arial" w:cs="Arial"/>
          <w:spacing w:val="-1"/>
          <w:w w:val="102"/>
          <w:sz w:val="22"/>
          <w:szCs w:val="22"/>
        </w:rPr>
        <w:t xml:space="preserve">campo </w:t>
      </w:r>
      <w:r w:rsidRPr="00EC452A">
        <w:rPr>
          <w:rFonts w:ascii="Arial" w:eastAsia="Arial" w:hAnsi="Arial" w:cs="Arial"/>
          <w:spacing w:val="-2"/>
          <w:sz w:val="22"/>
          <w:szCs w:val="22"/>
        </w:rPr>
        <w:t>vigent</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zon</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trate.</w:t>
      </w:r>
    </w:p>
    <w:p w14:paraId="5AB8F65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E</w:t>
      </w:r>
      <w:r w:rsidRPr="00EC452A">
        <w:rPr>
          <w:rFonts w:ascii="Arial" w:eastAsia="Arial" w:hAnsi="Arial" w:cs="Arial"/>
          <w:sz w:val="22"/>
          <w:szCs w:val="22"/>
        </w:rPr>
        <w:t xml:space="preserve">n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igualda</w:t>
      </w:r>
      <w:r w:rsidRPr="00EC452A">
        <w:rPr>
          <w:rFonts w:ascii="Arial" w:eastAsia="Arial" w:hAnsi="Arial" w:cs="Arial"/>
          <w:sz w:val="22"/>
          <w:szCs w:val="22"/>
        </w:rPr>
        <w:t xml:space="preserve">d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condicione</w:t>
      </w:r>
      <w:r w:rsidRPr="00EC452A">
        <w:rPr>
          <w:rFonts w:ascii="Arial" w:eastAsia="Arial" w:hAnsi="Arial" w:cs="Arial"/>
          <w:sz w:val="22"/>
          <w:szCs w:val="22"/>
        </w:rPr>
        <w:t xml:space="preserve">s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hijo</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ejidatario</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comunero</w:t>
      </w:r>
      <w:r w:rsidRPr="00EC452A">
        <w:rPr>
          <w:rFonts w:ascii="Arial" w:eastAsia="Arial" w:hAnsi="Arial" w:cs="Arial"/>
          <w:sz w:val="22"/>
          <w:szCs w:val="22"/>
        </w:rPr>
        <w:t xml:space="preserve">s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prefe</w:t>
      </w:r>
      <w:r w:rsidRPr="00EC452A">
        <w:rPr>
          <w:rFonts w:ascii="Arial" w:eastAsia="Arial" w:hAnsi="Arial" w:cs="Arial"/>
          <w:spacing w:val="-2"/>
          <w:sz w:val="22"/>
          <w:szCs w:val="22"/>
        </w:rPr>
        <w:t>renci</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2"/>
          <w:w w:val="102"/>
          <w:sz w:val="22"/>
          <w:szCs w:val="22"/>
        </w:rPr>
        <w:t xml:space="preserve">para </w:t>
      </w:r>
      <w:r w:rsidRPr="00EC452A">
        <w:rPr>
          <w:rFonts w:ascii="Arial" w:eastAsia="Arial" w:hAnsi="Arial" w:cs="Arial"/>
          <w:spacing w:val="-1"/>
          <w:sz w:val="22"/>
          <w:szCs w:val="22"/>
        </w:rPr>
        <w:t>desempeña</w:t>
      </w:r>
      <w:r w:rsidRPr="00EC452A">
        <w:rPr>
          <w:rFonts w:ascii="Arial" w:eastAsia="Arial" w:hAnsi="Arial" w:cs="Arial"/>
          <w:sz w:val="22"/>
          <w:szCs w:val="22"/>
        </w:rPr>
        <w:t>r</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demande</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producción.</w:t>
      </w:r>
    </w:p>
    <w:p w14:paraId="04CF230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63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aportado</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valuará</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jornada</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superficie</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elaborars</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program</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liquidació</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utilidades</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finaliza</w:t>
      </w:r>
      <w:r w:rsidRPr="00EC452A">
        <w:rPr>
          <w:rFonts w:ascii="Arial" w:eastAsia="Arial" w:hAnsi="Arial" w:cs="Arial"/>
          <w:sz w:val="22"/>
          <w:szCs w:val="22"/>
        </w:rPr>
        <w:t>r</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agrícola</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segú</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ca</w:t>
      </w:r>
      <w:r w:rsidRPr="00EC452A">
        <w:rPr>
          <w:rFonts w:ascii="Arial" w:eastAsia="Arial" w:hAnsi="Arial" w:cs="Arial"/>
          <w:w w:val="102"/>
          <w:sz w:val="22"/>
          <w:szCs w:val="22"/>
        </w:rPr>
        <w:t>s</w:t>
      </w:r>
      <w:r w:rsidRPr="00EC452A">
        <w:rPr>
          <w:rFonts w:ascii="Arial" w:eastAsia="Arial" w:hAnsi="Arial" w:cs="Arial"/>
          <w:spacing w:val="-39"/>
          <w:sz w:val="22"/>
          <w:szCs w:val="22"/>
        </w:rPr>
        <w:t xml:space="preserve"> </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z w:val="22"/>
          <w:szCs w:val="22"/>
        </w:rPr>
        <w:t>sin</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 xml:space="preserve">perjuicio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3</w:t>
      </w:r>
      <w:r w:rsidRPr="00EC452A">
        <w:rPr>
          <w:rFonts w:ascii="Arial" w:eastAsia="Arial" w:hAnsi="Arial" w:cs="Arial"/>
          <w:sz w:val="22"/>
          <w:szCs w:val="22"/>
        </w:rPr>
        <w:t>6</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pag</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anticipo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salari</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mínim</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realizado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ejidatario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comuneros.</w:t>
      </w:r>
    </w:p>
    <w:p w14:paraId="197F789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64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z w:val="22"/>
          <w:szCs w:val="22"/>
        </w:rPr>
        <w:t>En</w:t>
      </w:r>
      <w:r w:rsidRPr="00EC452A">
        <w:rPr>
          <w:rFonts w:ascii="Arial" w:eastAsia="Arial" w:hAnsi="Arial" w:cs="Arial"/>
          <w:spacing w:val="27"/>
          <w:sz w:val="22"/>
          <w:szCs w:val="22"/>
        </w:rPr>
        <w:t xml:space="preserve"> </w:t>
      </w:r>
      <w:r w:rsidRPr="00EC452A">
        <w:rPr>
          <w:rFonts w:ascii="Arial" w:eastAsia="Arial" w:hAnsi="Arial" w:cs="Arial"/>
          <w:sz w:val="22"/>
          <w:szCs w:val="22"/>
        </w:rPr>
        <w:t>las</w:t>
      </w:r>
      <w:r w:rsidRPr="00EC452A">
        <w:rPr>
          <w:rFonts w:ascii="Arial" w:eastAsia="Arial" w:hAnsi="Arial" w:cs="Arial"/>
          <w:spacing w:val="27"/>
          <w:sz w:val="22"/>
          <w:szCs w:val="22"/>
        </w:rPr>
        <w:t xml:space="preserve"> </w:t>
      </w:r>
      <w:r w:rsidRPr="00EC452A">
        <w:rPr>
          <w:rFonts w:ascii="Arial" w:eastAsia="Arial" w:hAnsi="Arial" w:cs="Arial"/>
          <w:sz w:val="22"/>
          <w:szCs w:val="22"/>
        </w:rPr>
        <w:t>Unidades</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Producción,</w:t>
      </w:r>
      <w:r w:rsidRPr="00EC452A">
        <w:rPr>
          <w:rFonts w:ascii="Arial" w:eastAsia="Arial" w:hAnsi="Arial" w:cs="Arial"/>
          <w:spacing w:val="42"/>
          <w:sz w:val="22"/>
          <w:szCs w:val="22"/>
        </w:rPr>
        <w:t xml:space="preserve"> </w:t>
      </w:r>
      <w:r w:rsidRPr="00EC452A">
        <w:rPr>
          <w:rFonts w:ascii="Arial" w:eastAsia="Arial" w:hAnsi="Arial" w:cs="Arial"/>
          <w:sz w:val="22"/>
          <w:szCs w:val="22"/>
        </w:rPr>
        <w:t>los</w:t>
      </w:r>
      <w:r w:rsidRPr="00EC452A">
        <w:rPr>
          <w:rFonts w:ascii="Arial" w:eastAsia="Arial" w:hAnsi="Arial" w:cs="Arial"/>
          <w:spacing w:val="27"/>
          <w:sz w:val="22"/>
          <w:szCs w:val="22"/>
        </w:rPr>
        <w:t xml:space="preserve"> </w:t>
      </w:r>
      <w:r w:rsidRPr="00EC452A">
        <w:rPr>
          <w:rFonts w:ascii="Arial" w:eastAsia="Arial" w:hAnsi="Arial" w:cs="Arial"/>
          <w:sz w:val="22"/>
          <w:szCs w:val="22"/>
        </w:rPr>
        <w:t>votos</w:t>
      </w:r>
      <w:r w:rsidRPr="00EC452A">
        <w:rPr>
          <w:rFonts w:ascii="Arial" w:eastAsia="Arial" w:hAnsi="Arial" w:cs="Arial"/>
          <w:spacing w:val="31"/>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las</w:t>
      </w:r>
      <w:r w:rsidRPr="00EC452A">
        <w:rPr>
          <w:rFonts w:ascii="Arial" w:eastAsia="Arial" w:hAnsi="Arial" w:cs="Arial"/>
          <w:spacing w:val="27"/>
          <w:sz w:val="22"/>
          <w:szCs w:val="22"/>
        </w:rPr>
        <w:t xml:space="preserve"> </w:t>
      </w:r>
      <w:r w:rsidRPr="00EC452A">
        <w:rPr>
          <w:rFonts w:ascii="Arial" w:eastAsia="Arial" w:hAnsi="Arial" w:cs="Arial"/>
          <w:sz w:val="22"/>
          <w:szCs w:val="22"/>
        </w:rPr>
        <w:t>partes</w:t>
      </w:r>
      <w:r w:rsidRPr="00EC452A">
        <w:rPr>
          <w:rFonts w:ascii="Arial" w:eastAsia="Arial" w:hAnsi="Arial" w:cs="Arial"/>
          <w:spacing w:val="33"/>
          <w:sz w:val="22"/>
          <w:szCs w:val="22"/>
        </w:rPr>
        <w:t xml:space="preserve"> </w:t>
      </w:r>
      <w:r w:rsidRPr="00EC452A">
        <w:rPr>
          <w:rFonts w:ascii="Arial" w:eastAsia="Arial" w:hAnsi="Arial" w:cs="Arial"/>
          <w:sz w:val="22"/>
          <w:szCs w:val="22"/>
        </w:rPr>
        <w:t>integrantes</w:t>
      </w:r>
      <w:r w:rsidRPr="00EC452A">
        <w:rPr>
          <w:rFonts w:ascii="Arial" w:eastAsia="Arial" w:hAnsi="Arial" w:cs="Arial"/>
          <w:spacing w:val="31"/>
          <w:sz w:val="22"/>
          <w:szCs w:val="22"/>
        </w:rPr>
        <w:t xml:space="preserve"> </w:t>
      </w:r>
      <w:r w:rsidRPr="00EC452A">
        <w:rPr>
          <w:rFonts w:ascii="Arial" w:eastAsia="Arial" w:hAnsi="Arial" w:cs="Arial"/>
          <w:sz w:val="22"/>
          <w:szCs w:val="22"/>
        </w:rPr>
        <w:t>se</w:t>
      </w:r>
      <w:r w:rsidRPr="00EC452A">
        <w:rPr>
          <w:rFonts w:ascii="Arial" w:eastAsia="Arial" w:hAnsi="Arial" w:cs="Arial"/>
          <w:spacing w:val="16"/>
          <w:sz w:val="22"/>
          <w:szCs w:val="22"/>
        </w:rPr>
        <w:t xml:space="preserve"> </w:t>
      </w:r>
      <w:r w:rsidRPr="00EC452A">
        <w:rPr>
          <w:rFonts w:ascii="Arial" w:eastAsia="Arial" w:hAnsi="Arial" w:cs="Arial"/>
          <w:w w:val="102"/>
          <w:sz w:val="22"/>
          <w:szCs w:val="22"/>
        </w:rPr>
        <w:t xml:space="preserve">computarán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proporció</w:t>
      </w:r>
      <w:r w:rsidRPr="00EC452A">
        <w:rPr>
          <w:rFonts w:ascii="Arial" w:eastAsia="Arial" w:hAnsi="Arial" w:cs="Arial"/>
          <w:sz w:val="22"/>
          <w:szCs w:val="22"/>
        </w:rPr>
        <w:t>n</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vot</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hectáre</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terren</w:t>
      </w:r>
      <w:r w:rsidRPr="00EC452A">
        <w:rPr>
          <w:rFonts w:ascii="Arial" w:eastAsia="Arial" w:hAnsi="Arial" w:cs="Arial"/>
          <w:sz w:val="22"/>
          <w:szCs w:val="22"/>
        </w:rPr>
        <w:t>o</w:t>
      </w:r>
      <w:r w:rsidRPr="00EC452A">
        <w:rPr>
          <w:rFonts w:ascii="Arial" w:eastAsia="Arial" w:hAnsi="Arial" w:cs="Arial"/>
          <w:spacing w:val="47"/>
          <w:sz w:val="22"/>
          <w:szCs w:val="22"/>
        </w:rPr>
        <w:t xml:space="preserve"> </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fracció</w:t>
      </w:r>
      <w:r w:rsidRPr="00EC452A">
        <w:rPr>
          <w:rFonts w:ascii="Arial" w:eastAsia="Arial" w:hAnsi="Arial" w:cs="Arial"/>
          <w:sz w:val="22"/>
          <w:szCs w:val="22"/>
        </w:rPr>
        <w:t>n</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exced</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mitad</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2"/>
          <w:w w:val="102"/>
          <w:sz w:val="22"/>
          <w:szCs w:val="22"/>
        </w:rPr>
        <w:t xml:space="preserve">todo </w:t>
      </w:r>
      <w:r w:rsidRPr="00EC452A">
        <w:rPr>
          <w:rFonts w:ascii="Arial" w:eastAsia="Arial" w:hAnsi="Arial" w:cs="Arial"/>
          <w:spacing w:val="-1"/>
          <w:sz w:val="22"/>
          <w:szCs w:val="22"/>
        </w:rPr>
        <w:t>caso</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tratándos</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repart</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integrante</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Unidad</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determinacione</w:t>
      </w:r>
      <w:r w:rsidRPr="00EC452A">
        <w:rPr>
          <w:rFonts w:ascii="Arial" w:eastAsia="Arial" w:hAnsi="Arial" w:cs="Arial"/>
          <w:sz w:val="22"/>
          <w:szCs w:val="22"/>
        </w:rPr>
        <w:t xml:space="preserve">s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tome</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conform</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w w:val="102"/>
          <w:sz w:val="22"/>
          <w:szCs w:val="22"/>
        </w:rPr>
        <w:t>siguien</w:t>
      </w:r>
      <w:r w:rsidRPr="00EC452A">
        <w:rPr>
          <w:rFonts w:ascii="Arial" w:eastAsia="Arial" w:hAnsi="Arial" w:cs="Arial"/>
          <w:w w:val="102"/>
          <w:sz w:val="22"/>
          <w:szCs w:val="22"/>
        </w:rPr>
        <w:t>t</w:t>
      </w:r>
      <w:r w:rsidRPr="00EC452A">
        <w:rPr>
          <w:rFonts w:ascii="Arial" w:eastAsia="Arial" w:hAnsi="Arial" w:cs="Arial"/>
          <w:spacing w:val="-39"/>
          <w:sz w:val="22"/>
          <w:szCs w:val="22"/>
        </w:rPr>
        <w:t xml:space="preserve"> </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z w:val="22"/>
          <w:szCs w:val="22"/>
        </w:rPr>
        <w:t>se</w:t>
      </w:r>
      <w:r w:rsidRPr="00EC452A">
        <w:rPr>
          <w:rFonts w:ascii="Arial" w:eastAsia="Arial" w:hAnsi="Arial" w:cs="Arial"/>
          <w:spacing w:val="24"/>
          <w:sz w:val="22"/>
          <w:szCs w:val="22"/>
        </w:rPr>
        <w:t xml:space="preserve"> </w:t>
      </w:r>
      <w:r w:rsidRPr="00EC452A">
        <w:rPr>
          <w:rFonts w:ascii="Arial" w:eastAsia="Arial" w:hAnsi="Arial" w:cs="Arial"/>
          <w:sz w:val="22"/>
          <w:szCs w:val="22"/>
        </w:rPr>
        <w:t>ajustarán</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z w:val="22"/>
          <w:szCs w:val="22"/>
        </w:rPr>
        <w:t>lo</w:t>
      </w:r>
      <w:r w:rsidRPr="00EC452A">
        <w:rPr>
          <w:rFonts w:ascii="Arial" w:eastAsia="Arial" w:hAnsi="Arial" w:cs="Arial"/>
          <w:spacing w:val="23"/>
          <w:sz w:val="22"/>
          <w:szCs w:val="22"/>
        </w:rPr>
        <w:t xml:space="preserve"> </w:t>
      </w:r>
      <w:r w:rsidRPr="00EC452A">
        <w:rPr>
          <w:rFonts w:ascii="Arial" w:eastAsia="Arial" w:hAnsi="Arial" w:cs="Arial"/>
          <w:sz w:val="22"/>
          <w:szCs w:val="22"/>
        </w:rPr>
        <w:t>dispuesto</w:t>
      </w:r>
      <w:r w:rsidRPr="00EC452A">
        <w:rPr>
          <w:rFonts w:ascii="Arial" w:eastAsia="Arial" w:hAnsi="Arial" w:cs="Arial"/>
          <w:spacing w:val="36"/>
          <w:sz w:val="22"/>
          <w:szCs w:val="22"/>
        </w:rPr>
        <w:t xml:space="preserve"> </w:t>
      </w:r>
      <w:r w:rsidRPr="00EC452A">
        <w:rPr>
          <w:rFonts w:ascii="Arial" w:eastAsia="Arial" w:hAnsi="Arial" w:cs="Arial"/>
          <w:sz w:val="22"/>
          <w:szCs w:val="22"/>
        </w:rPr>
        <w:t>por</w:t>
      </w:r>
      <w:r w:rsidRPr="00EC452A">
        <w:rPr>
          <w:rFonts w:ascii="Arial" w:eastAsia="Arial" w:hAnsi="Arial" w:cs="Arial"/>
          <w:spacing w:val="25"/>
          <w:sz w:val="22"/>
          <w:szCs w:val="22"/>
        </w:rPr>
        <w:t xml:space="preserve"> </w:t>
      </w:r>
      <w:r w:rsidRPr="00EC452A">
        <w:rPr>
          <w:rFonts w:ascii="Arial" w:eastAsia="Arial" w:hAnsi="Arial" w:cs="Arial"/>
          <w:w w:val="102"/>
          <w:sz w:val="22"/>
          <w:szCs w:val="22"/>
        </w:rPr>
        <w:t xml:space="preserve">el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6</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Reglamento.</w:t>
      </w:r>
    </w:p>
    <w:p w14:paraId="4A4229C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65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votació</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tom</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decisione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realizar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representante</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w w:val="102"/>
          <w:sz w:val="22"/>
          <w:szCs w:val="22"/>
        </w:rPr>
        <w:t xml:space="preserve">ejidales </w:t>
      </w:r>
      <w:r w:rsidRPr="00EC452A">
        <w:rPr>
          <w:rFonts w:ascii="Arial" w:eastAsia="Arial" w:hAnsi="Arial" w:cs="Arial"/>
          <w:sz w:val="22"/>
          <w:szCs w:val="22"/>
        </w:rPr>
        <w:t>en</w:t>
      </w:r>
      <w:r w:rsidRPr="00EC452A">
        <w:rPr>
          <w:rFonts w:ascii="Arial" w:eastAsia="Arial" w:hAnsi="Arial" w:cs="Arial"/>
          <w:spacing w:val="28"/>
          <w:sz w:val="22"/>
          <w:szCs w:val="22"/>
        </w:rPr>
        <w:t xml:space="preserve"> </w:t>
      </w:r>
      <w:r w:rsidRPr="00EC452A">
        <w:rPr>
          <w:rFonts w:ascii="Arial" w:eastAsia="Arial" w:hAnsi="Arial" w:cs="Arial"/>
          <w:sz w:val="22"/>
          <w:szCs w:val="22"/>
        </w:rPr>
        <w:t>el</w:t>
      </w:r>
      <w:r w:rsidRPr="00EC452A">
        <w:rPr>
          <w:rFonts w:ascii="Arial" w:eastAsia="Arial" w:hAnsi="Arial" w:cs="Arial"/>
          <w:spacing w:val="27"/>
          <w:sz w:val="22"/>
          <w:szCs w:val="22"/>
        </w:rPr>
        <w:t xml:space="preserve"> </w:t>
      </w:r>
      <w:r w:rsidRPr="00EC452A">
        <w:rPr>
          <w:rFonts w:ascii="Arial" w:eastAsia="Arial" w:hAnsi="Arial" w:cs="Arial"/>
          <w:sz w:val="22"/>
          <w:szCs w:val="22"/>
        </w:rPr>
        <w:t>caso</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28"/>
          <w:sz w:val="22"/>
          <w:szCs w:val="22"/>
        </w:rPr>
        <w:t xml:space="preserve"> </w:t>
      </w:r>
      <w:r w:rsidRPr="00EC452A">
        <w:rPr>
          <w:rFonts w:ascii="Arial" w:eastAsia="Arial" w:hAnsi="Arial" w:cs="Arial"/>
          <w:sz w:val="22"/>
          <w:szCs w:val="22"/>
        </w:rPr>
        <w:t>ejidos,</w:t>
      </w:r>
      <w:r w:rsidRPr="00EC452A">
        <w:rPr>
          <w:rFonts w:ascii="Arial" w:eastAsia="Arial" w:hAnsi="Arial" w:cs="Arial"/>
          <w:spacing w:val="35"/>
          <w:sz w:val="22"/>
          <w:szCs w:val="22"/>
        </w:rPr>
        <w:t xml:space="preserve"> </w:t>
      </w:r>
      <w:r w:rsidRPr="00EC452A">
        <w:rPr>
          <w:rFonts w:ascii="Arial" w:eastAsia="Arial" w:hAnsi="Arial" w:cs="Arial"/>
          <w:sz w:val="22"/>
          <w:szCs w:val="22"/>
        </w:rPr>
        <w:t>por</w:t>
      </w:r>
      <w:r w:rsidRPr="00EC452A">
        <w:rPr>
          <w:rFonts w:ascii="Arial" w:eastAsia="Arial" w:hAnsi="Arial" w:cs="Arial"/>
          <w:spacing w:val="29"/>
          <w:sz w:val="22"/>
          <w:szCs w:val="22"/>
        </w:rPr>
        <w:t xml:space="preserve"> </w:t>
      </w:r>
      <w:r w:rsidRPr="00EC452A">
        <w:rPr>
          <w:rFonts w:ascii="Arial" w:eastAsia="Arial" w:hAnsi="Arial" w:cs="Arial"/>
          <w:sz w:val="22"/>
          <w:szCs w:val="22"/>
        </w:rPr>
        <w:t>los</w:t>
      </w:r>
      <w:r w:rsidRPr="00EC452A">
        <w:rPr>
          <w:rFonts w:ascii="Arial" w:eastAsia="Arial" w:hAnsi="Arial" w:cs="Arial"/>
          <w:spacing w:val="29"/>
          <w:sz w:val="22"/>
          <w:szCs w:val="22"/>
        </w:rPr>
        <w:t xml:space="preserve"> </w:t>
      </w:r>
      <w:r w:rsidRPr="00EC452A">
        <w:rPr>
          <w:rFonts w:ascii="Arial" w:eastAsia="Arial" w:hAnsi="Arial" w:cs="Arial"/>
          <w:sz w:val="22"/>
          <w:szCs w:val="22"/>
        </w:rPr>
        <w:t>de</w:t>
      </w:r>
      <w:r w:rsidRPr="00EC452A">
        <w:rPr>
          <w:rFonts w:ascii="Arial" w:eastAsia="Arial" w:hAnsi="Arial" w:cs="Arial"/>
          <w:spacing w:val="28"/>
          <w:sz w:val="22"/>
          <w:szCs w:val="22"/>
        </w:rPr>
        <w:t xml:space="preserve"> </w:t>
      </w:r>
      <w:r w:rsidRPr="00EC452A">
        <w:rPr>
          <w:rFonts w:ascii="Arial" w:eastAsia="Arial" w:hAnsi="Arial" w:cs="Arial"/>
          <w:sz w:val="22"/>
          <w:szCs w:val="22"/>
        </w:rPr>
        <w:t>la</w:t>
      </w:r>
      <w:r w:rsidRPr="00EC452A">
        <w:rPr>
          <w:rFonts w:ascii="Arial" w:eastAsia="Arial" w:hAnsi="Arial" w:cs="Arial"/>
          <w:spacing w:val="27"/>
          <w:sz w:val="22"/>
          <w:szCs w:val="22"/>
        </w:rPr>
        <w:t xml:space="preserve"> </w:t>
      </w:r>
      <w:r w:rsidRPr="00EC452A">
        <w:rPr>
          <w:rFonts w:ascii="Arial" w:eastAsia="Arial" w:hAnsi="Arial" w:cs="Arial"/>
          <w:sz w:val="22"/>
          <w:szCs w:val="22"/>
        </w:rPr>
        <w:t>comunidad</w:t>
      </w:r>
      <w:r w:rsidRPr="00EC452A">
        <w:rPr>
          <w:rFonts w:ascii="Arial" w:eastAsia="Arial" w:hAnsi="Arial" w:cs="Arial"/>
          <w:spacing w:val="43"/>
          <w:sz w:val="22"/>
          <w:szCs w:val="22"/>
        </w:rPr>
        <w:t xml:space="preserve"> </w:t>
      </w:r>
      <w:r w:rsidRPr="00EC452A">
        <w:rPr>
          <w:rFonts w:ascii="Arial" w:eastAsia="Arial" w:hAnsi="Arial" w:cs="Arial"/>
          <w:sz w:val="22"/>
          <w:szCs w:val="22"/>
        </w:rPr>
        <w:t>en</w:t>
      </w:r>
      <w:r w:rsidRPr="00EC452A">
        <w:rPr>
          <w:rFonts w:ascii="Arial" w:eastAsia="Arial" w:hAnsi="Arial" w:cs="Arial"/>
          <w:spacing w:val="28"/>
          <w:sz w:val="22"/>
          <w:szCs w:val="22"/>
        </w:rPr>
        <w:t xml:space="preserve"> </w:t>
      </w:r>
      <w:r w:rsidRPr="00EC452A">
        <w:rPr>
          <w:rFonts w:ascii="Arial" w:eastAsia="Arial" w:hAnsi="Arial" w:cs="Arial"/>
          <w:sz w:val="22"/>
          <w:szCs w:val="22"/>
        </w:rPr>
        <w:t>el</w:t>
      </w:r>
      <w:r w:rsidRPr="00EC452A">
        <w:rPr>
          <w:rFonts w:ascii="Arial" w:eastAsia="Arial" w:hAnsi="Arial" w:cs="Arial"/>
          <w:spacing w:val="27"/>
          <w:sz w:val="22"/>
          <w:szCs w:val="22"/>
        </w:rPr>
        <w:t xml:space="preserve"> </w:t>
      </w:r>
      <w:r w:rsidRPr="00EC452A">
        <w:rPr>
          <w:rFonts w:ascii="Arial" w:eastAsia="Arial" w:hAnsi="Arial" w:cs="Arial"/>
          <w:sz w:val="22"/>
          <w:szCs w:val="22"/>
        </w:rPr>
        <w:t>caso</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28"/>
          <w:sz w:val="22"/>
          <w:szCs w:val="22"/>
        </w:rPr>
        <w:t xml:space="preserve"> </w:t>
      </w:r>
      <w:r w:rsidRPr="00EC452A">
        <w:rPr>
          <w:rFonts w:ascii="Arial" w:eastAsia="Arial" w:hAnsi="Arial" w:cs="Arial"/>
          <w:sz w:val="22"/>
          <w:szCs w:val="22"/>
        </w:rPr>
        <w:t>éstas,</w:t>
      </w:r>
      <w:r w:rsidRPr="00EC452A">
        <w:rPr>
          <w:rFonts w:ascii="Arial" w:eastAsia="Arial" w:hAnsi="Arial" w:cs="Arial"/>
          <w:spacing w:val="34"/>
          <w:sz w:val="22"/>
          <w:szCs w:val="22"/>
        </w:rPr>
        <w:t xml:space="preserve"> </w:t>
      </w:r>
      <w:r w:rsidRPr="00EC452A">
        <w:rPr>
          <w:rFonts w:ascii="Arial" w:eastAsia="Arial" w:hAnsi="Arial" w:cs="Arial"/>
          <w:sz w:val="22"/>
          <w:szCs w:val="22"/>
        </w:rPr>
        <w:t>debidamente</w:t>
      </w:r>
      <w:r w:rsidRPr="00EC452A">
        <w:rPr>
          <w:rFonts w:ascii="Arial" w:eastAsia="Arial" w:hAnsi="Arial" w:cs="Arial"/>
          <w:spacing w:val="46"/>
          <w:sz w:val="22"/>
          <w:szCs w:val="22"/>
        </w:rPr>
        <w:t xml:space="preserve"> </w:t>
      </w:r>
      <w:r w:rsidRPr="00EC452A">
        <w:rPr>
          <w:rFonts w:ascii="Arial" w:eastAsia="Arial" w:hAnsi="Arial" w:cs="Arial"/>
          <w:sz w:val="22"/>
          <w:szCs w:val="22"/>
        </w:rPr>
        <w:t>registr</w:t>
      </w:r>
      <w:r w:rsidRPr="00EC452A">
        <w:rPr>
          <w:rFonts w:ascii="Arial" w:eastAsia="Arial" w:hAnsi="Arial" w:cs="Arial"/>
          <w:spacing w:val="-1"/>
          <w:sz w:val="22"/>
          <w:szCs w:val="22"/>
        </w:rPr>
        <w:t>ado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z w:val="22"/>
          <w:szCs w:val="22"/>
        </w:rPr>
        <w:t xml:space="preserve">ambos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casos, </w:t>
      </w:r>
      <w:r w:rsidRPr="00EC452A">
        <w:rPr>
          <w:rFonts w:ascii="Arial" w:eastAsia="Arial" w:hAnsi="Arial" w:cs="Arial"/>
          <w:spacing w:val="7"/>
          <w:sz w:val="22"/>
          <w:szCs w:val="22"/>
        </w:rPr>
        <w:t xml:space="preserve"> </w:t>
      </w:r>
      <w:r w:rsidRPr="00EC452A">
        <w:rPr>
          <w:rFonts w:ascii="Arial" w:eastAsia="Arial" w:hAnsi="Arial" w:cs="Arial"/>
          <w:sz w:val="22"/>
          <w:szCs w:val="22"/>
        </w:rPr>
        <w:t>y</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tratándose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de  pequeños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propietarios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será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directa </w:t>
      </w:r>
      <w:r w:rsidRPr="00EC452A">
        <w:rPr>
          <w:rFonts w:ascii="Arial" w:eastAsia="Arial" w:hAnsi="Arial" w:cs="Arial"/>
          <w:spacing w:val="7"/>
          <w:sz w:val="22"/>
          <w:szCs w:val="22"/>
        </w:rPr>
        <w:t xml:space="preserve"> </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por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sus </w:t>
      </w:r>
      <w:r w:rsidRPr="00EC452A">
        <w:rPr>
          <w:rFonts w:ascii="Arial" w:eastAsia="Arial" w:hAnsi="Arial" w:cs="Arial"/>
          <w:spacing w:val="2"/>
          <w:sz w:val="22"/>
          <w:szCs w:val="22"/>
        </w:rPr>
        <w:t xml:space="preserve"> </w:t>
      </w:r>
      <w:r w:rsidRPr="00EC452A">
        <w:rPr>
          <w:rFonts w:ascii="Arial" w:eastAsia="Arial" w:hAnsi="Arial" w:cs="Arial"/>
          <w:w w:val="102"/>
          <w:sz w:val="22"/>
          <w:szCs w:val="22"/>
        </w:rPr>
        <w:t xml:space="preserve">representantes,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acreditado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mediant</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simpl</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cart</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poder.</w:t>
      </w:r>
    </w:p>
    <w:p w14:paraId="6749608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66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suprem</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á</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General, </w:t>
      </w:r>
      <w:r w:rsidRPr="00EC452A">
        <w:rPr>
          <w:rFonts w:ascii="Arial" w:eastAsia="Arial" w:hAnsi="Arial" w:cs="Arial"/>
          <w:spacing w:val="-3"/>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3"/>
          <w:sz w:val="22"/>
          <w:szCs w:val="22"/>
        </w:rPr>
        <w:t>tendr</w:t>
      </w:r>
      <w:r w:rsidRPr="00EC452A">
        <w:rPr>
          <w:rFonts w:ascii="Arial" w:eastAsia="Arial" w:hAnsi="Arial" w:cs="Arial"/>
          <w:sz w:val="22"/>
          <w:szCs w:val="22"/>
        </w:rPr>
        <w:t>á</w:t>
      </w:r>
      <w:r w:rsidRPr="00EC452A">
        <w:rPr>
          <w:rFonts w:ascii="Arial" w:eastAsia="Arial" w:hAnsi="Arial" w:cs="Arial"/>
          <w:spacing w:val="23"/>
          <w:sz w:val="22"/>
          <w:szCs w:val="22"/>
        </w:rPr>
        <w:t xml:space="preserve"> </w:t>
      </w:r>
      <w:r w:rsidRPr="00EC452A">
        <w:rPr>
          <w:rFonts w:ascii="Arial" w:eastAsia="Arial" w:hAnsi="Arial" w:cs="Arial"/>
          <w:sz w:val="22"/>
          <w:szCs w:val="22"/>
        </w:rPr>
        <w:t>entre</w:t>
      </w:r>
      <w:r w:rsidRPr="00EC452A">
        <w:rPr>
          <w:rFonts w:ascii="Arial" w:eastAsia="Arial" w:hAnsi="Arial" w:cs="Arial"/>
          <w:spacing w:val="16"/>
          <w:sz w:val="22"/>
          <w:szCs w:val="22"/>
        </w:rPr>
        <w:t xml:space="preserve"> </w:t>
      </w:r>
      <w:r w:rsidRPr="00EC452A">
        <w:rPr>
          <w:rFonts w:ascii="Arial" w:eastAsia="Arial" w:hAnsi="Arial" w:cs="Arial"/>
          <w:sz w:val="22"/>
          <w:szCs w:val="22"/>
        </w:rPr>
        <w:t>otras</w:t>
      </w:r>
      <w:r w:rsidRPr="00EC452A">
        <w:rPr>
          <w:rFonts w:ascii="Arial" w:eastAsia="Arial" w:hAnsi="Arial" w:cs="Arial"/>
          <w:spacing w:val="15"/>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siguientes</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facultades:</w:t>
      </w:r>
    </w:p>
    <w:p w14:paraId="05080AF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Designa</w:t>
      </w:r>
      <w:r w:rsidRPr="00EC452A">
        <w:rPr>
          <w:rFonts w:ascii="Arial" w:eastAsia="Arial" w:hAnsi="Arial" w:cs="Arial"/>
          <w:sz w:val="22"/>
          <w:szCs w:val="22"/>
        </w:rPr>
        <w:t>r</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Administració</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Administrado</w:t>
      </w:r>
      <w:r w:rsidRPr="00EC452A">
        <w:rPr>
          <w:rFonts w:ascii="Arial" w:eastAsia="Arial" w:hAnsi="Arial" w:cs="Arial"/>
          <w:sz w:val="22"/>
          <w:szCs w:val="22"/>
        </w:rPr>
        <w:t>r</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Unic</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Vigilancia, </w:t>
      </w:r>
      <w:r w:rsidRPr="00EC452A">
        <w:rPr>
          <w:rFonts w:ascii="Arial" w:eastAsia="Arial" w:hAnsi="Arial" w:cs="Arial"/>
          <w:sz w:val="22"/>
          <w:szCs w:val="22"/>
        </w:rPr>
        <w:t>asignándoles</w:t>
      </w:r>
      <w:r w:rsidRPr="00EC452A">
        <w:rPr>
          <w:rFonts w:ascii="Arial" w:eastAsia="Arial" w:hAnsi="Arial" w:cs="Arial"/>
          <w:spacing w:val="29"/>
          <w:sz w:val="22"/>
          <w:szCs w:val="22"/>
        </w:rPr>
        <w:t xml:space="preserve"> </w:t>
      </w:r>
      <w:r w:rsidRPr="00EC452A">
        <w:rPr>
          <w:rFonts w:ascii="Arial" w:eastAsia="Arial" w:hAnsi="Arial" w:cs="Arial"/>
          <w:sz w:val="22"/>
          <w:szCs w:val="22"/>
        </w:rPr>
        <w:t>sus</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atribuciones.</w:t>
      </w:r>
    </w:p>
    <w:p w14:paraId="2099278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Remover</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Consejo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Administrado</w:t>
      </w:r>
      <w:r w:rsidRPr="00EC452A">
        <w:rPr>
          <w:rFonts w:ascii="Arial" w:eastAsia="Arial" w:hAnsi="Arial" w:cs="Arial"/>
          <w:sz w:val="22"/>
          <w:szCs w:val="22"/>
        </w:rPr>
        <w:t>r</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Unico.</w:t>
      </w:r>
    </w:p>
    <w:p w14:paraId="2E8E4DA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c)</w:t>
      </w:r>
      <w:r w:rsidRPr="00EC452A">
        <w:rPr>
          <w:rFonts w:ascii="Arial" w:eastAsia="Arial" w:hAnsi="Arial" w:cs="Arial"/>
          <w:spacing w:val="10"/>
          <w:sz w:val="22"/>
          <w:szCs w:val="22"/>
        </w:rPr>
        <w:t xml:space="preserve"> </w:t>
      </w:r>
      <w:r w:rsidRPr="00EC452A">
        <w:rPr>
          <w:rFonts w:ascii="Arial" w:eastAsia="Arial" w:hAnsi="Arial" w:cs="Arial"/>
          <w:sz w:val="22"/>
          <w:szCs w:val="22"/>
        </w:rPr>
        <w:t>Recibir</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cuenta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informe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periódico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part</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consejo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Administrado</w:t>
      </w:r>
      <w:r w:rsidRPr="00EC452A">
        <w:rPr>
          <w:rFonts w:ascii="Arial" w:eastAsia="Arial" w:hAnsi="Arial" w:cs="Arial"/>
          <w:sz w:val="22"/>
          <w:szCs w:val="22"/>
        </w:rPr>
        <w:t>r</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Unico. </w:t>
      </w:r>
      <w:r w:rsidRPr="00EC452A">
        <w:rPr>
          <w:rFonts w:ascii="Arial" w:eastAsia="Arial" w:hAnsi="Arial" w:cs="Arial"/>
          <w:sz w:val="22"/>
          <w:szCs w:val="22"/>
        </w:rPr>
        <w:t>d)</w:t>
      </w:r>
      <w:r w:rsidRPr="00EC452A">
        <w:rPr>
          <w:rFonts w:ascii="Arial" w:eastAsia="Arial" w:hAnsi="Arial" w:cs="Arial"/>
          <w:spacing w:val="10"/>
          <w:sz w:val="22"/>
          <w:szCs w:val="22"/>
        </w:rPr>
        <w:t xml:space="preserve"> </w:t>
      </w:r>
      <w:r w:rsidRPr="00EC452A">
        <w:rPr>
          <w:rFonts w:ascii="Arial" w:eastAsia="Arial" w:hAnsi="Arial" w:cs="Arial"/>
          <w:sz w:val="22"/>
          <w:szCs w:val="22"/>
        </w:rPr>
        <w:t>Aprobar</w:t>
      </w:r>
      <w:r w:rsidRPr="00EC452A">
        <w:rPr>
          <w:rFonts w:ascii="Arial" w:eastAsia="Arial" w:hAnsi="Arial" w:cs="Arial"/>
          <w:spacing w:val="21"/>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sz w:val="22"/>
          <w:szCs w:val="22"/>
        </w:rPr>
        <w:t>caso,</w:t>
      </w:r>
      <w:r w:rsidRPr="00EC452A">
        <w:rPr>
          <w:rFonts w:ascii="Arial" w:eastAsia="Arial" w:hAnsi="Arial" w:cs="Arial"/>
          <w:spacing w:val="16"/>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balances</w:t>
      </w:r>
      <w:r w:rsidRPr="00EC452A">
        <w:rPr>
          <w:rFonts w:ascii="Arial" w:eastAsia="Arial" w:hAnsi="Arial" w:cs="Arial"/>
          <w:spacing w:val="22"/>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ejercicio,</w:t>
      </w:r>
      <w:r w:rsidRPr="00EC452A">
        <w:rPr>
          <w:rFonts w:ascii="Arial" w:eastAsia="Arial" w:hAnsi="Arial" w:cs="Arial"/>
          <w:spacing w:val="22"/>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cada</w:t>
      </w:r>
      <w:r w:rsidRPr="00EC452A">
        <w:rPr>
          <w:rFonts w:ascii="Arial" w:eastAsia="Arial" w:hAnsi="Arial" w:cs="Arial"/>
          <w:spacing w:val="15"/>
          <w:sz w:val="22"/>
          <w:szCs w:val="22"/>
        </w:rPr>
        <w:t xml:space="preserve"> </w:t>
      </w:r>
      <w:r w:rsidRPr="00EC452A">
        <w:rPr>
          <w:rFonts w:ascii="Arial" w:eastAsia="Arial" w:hAnsi="Arial" w:cs="Arial"/>
          <w:sz w:val="22"/>
          <w:szCs w:val="22"/>
        </w:rPr>
        <w:t>ciclo</w:t>
      </w:r>
      <w:r w:rsidRPr="00EC452A">
        <w:rPr>
          <w:rFonts w:ascii="Arial" w:eastAsia="Arial" w:hAnsi="Arial" w:cs="Arial"/>
          <w:spacing w:val="15"/>
          <w:sz w:val="22"/>
          <w:szCs w:val="22"/>
        </w:rPr>
        <w:t xml:space="preserve"> </w:t>
      </w:r>
      <w:r w:rsidRPr="00EC452A">
        <w:rPr>
          <w:rFonts w:ascii="Arial" w:eastAsia="Arial" w:hAnsi="Arial" w:cs="Arial"/>
          <w:w w:val="102"/>
          <w:sz w:val="22"/>
          <w:szCs w:val="22"/>
        </w:rPr>
        <w:t>agrícola.</w:t>
      </w:r>
    </w:p>
    <w:p w14:paraId="24467AF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e</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Acorda</w:t>
      </w:r>
      <w:r w:rsidRPr="00EC452A">
        <w:rPr>
          <w:rFonts w:ascii="Arial" w:eastAsia="Arial" w:hAnsi="Arial" w:cs="Arial"/>
          <w:sz w:val="22"/>
          <w:szCs w:val="22"/>
        </w:rPr>
        <w:t>r</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disolució</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Unidad.</w:t>
      </w:r>
    </w:p>
    <w:p w14:paraId="3EE8AB3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f</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Acepta</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nuevo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miembro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 xml:space="preserve">Unidad. </w:t>
      </w:r>
      <w:r w:rsidRPr="00EC452A">
        <w:rPr>
          <w:rFonts w:ascii="Arial" w:eastAsia="Arial" w:hAnsi="Arial" w:cs="Arial"/>
          <w:spacing w:val="-2"/>
          <w:sz w:val="22"/>
          <w:szCs w:val="22"/>
        </w:rPr>
        <w:t>g</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Aproba</w:t>
      </w:r>
      <w:r w:rsidRPr="00EC452A">
        <w:rPr>
          <w:rFonts w:ascii="Arial" w:eastAsia="Arial" w:hAnsi="Arial" w:cs="Arial"/>
          <w:sz w:val="22"/>
          <w:szCs w:val="22"/>
        </w:rPr>
        <w:t>r</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estatuto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reglamentos.</w:t>
      </w:r>
    </w:p>
    <w:p w14:paraId="7EFCB05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67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General</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mediant</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votació</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aprobatori</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meno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tres </w:t>
      </w:r>
      <w:r w:rsidRPr="00EC452A">
        <w:rPr>
          <w:rFonts w:ascii="Arial" w:eastAsia="Arial" w:hAnsi="Arial" w:cs="Arial"/>
          <w:spacing w:val="-1"/>
          <w:sz w:val="22"/>
          <w:szCs w:val="22"/>
        </w:rPr>
        <w:t>cuarta</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presente</w:t>
      </w:r>
      <w:r w:rsidRPr="00EC452A">
        <w:rPr>
          <w:rFonts w:ascii="Arial" w:eastAsia="Arial" w:hAnsi="Arial" w:cs="Arial"/>
          <w:sz w:val="22"/>
          <w:szCs w:val="22"/>
        </w:rPr>
        <w:t xml:space="preserve">s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 xml:space="preserve">d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interesad</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 xml:space="preserve">á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resolver</w:t>
      </w:r>
      <w:r w:rsidRPr="00EC452A">
        <w:rPr>
          <w:rFonts w:ascii="Arial" w:eastAsia="Arial" w:hAnsi="Arial" w:cs="Arial"/>
          <w:sz w:val="22"/>
          <w:szCs w:val="22"/>
        </w:rPr>
        <w:t xml:space="preserv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 xml:space="preserve">í </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z w:val="22"/>
          <w:szCs w:val="22"/>
        </w:rPr>
        <w:t>establece  en</w:t>
      </w:r>
      <w:r w:rsidRPr="00EC452A">
        <w:rPr>
          <w:rFonts w:ascii="Arial" w:eastAsia="Arial" w:hAnsi="Arial" w:cs="Arial"/>
          <w:spacing w:val="41"/>
          <w:sz w:val="22"/>
          <w:szCs w:val="22"/>
        </w:rPr>
        <w:t xml:space="preserve"> </w:t>
      </w:r>
      <w:r w:rsidRPr="00EC452A">
        <w:rPr>
          <w:rFonts w:ascii="Arial" w:eastAsia="Arial" w:hAnsi="Arial" w:cs="Arial"/>
          <w:sz w:val="22"/>
          <w:szCs w:val="22"/>
        </w:rPr>
        <w:t>los</w:t>
      </w:r>
      <w:r w:rsidRPr="00EC452A">
        <w:rPr>
          <w:rFonts w:ascii="Arial" w:eastAsia="Arial" w:hAnsi="Arial" w:cs="Arial"/>
          <w:spacing w:val="42"/>
          <w:sz w:val="22"/>
          <w:szCs w:val="22"/>
        </w:rPr>
        <w:t xml:space="preserve"> </w:t>
      </w:r>
      <w:r w:rsidRPr="00EC452A">
        <w:rPr>
          <w:rFonts w:ascii="Arial" w:eastAsia="Arial" w:hAnsi="Arial" w:cs="Arial"/>
          <w:sz w:val="22"/>
          <w:szCs w:val="22"/>
        </w:rPr>
        <w:t>estatutos,  la</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celebración </w:t>
      </w:r>
      <w:r w:rsidRPr="00EC452A">
        <w:rPr>
          <w:rFonts w:ascii="Arial" w:eastAsia="Arial" w:hAnsi="Arial" w:cs="Arial"/>
          <w:spacing w:val="3"/>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w w:val="102"/>
          <w:sz w:val="22"/>
          <w:szCs w:val="22"/>
        </w:rPr>
        <w:t>cont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rato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constituya</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gravámenes,</w:t>
      </w:r>
      <w:r w:rsidRPr="00EC452A">
        <w:rPr>
          <w:rFonts w:ascii="Arial" w:eastAsia="Arial" w:hAnsi="Arial" w:cs="Arial"/>
          <w:spacing w:val="-1"/>
          <w:sz w:val="22"/>
          <w:szCs w:val="22"/>
        </w:rPr>
        <w:t xml:space="preserve"> qu</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beneficie</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unidad</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algun</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alguno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aportados</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distinto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tierr</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z w:val="22"/>
          <w:szCs w:val="22"/>
        </w:rPr>
        <w:t>caso</w:t>
      </w:r>
      <w:r w:rsidRPr="00EC452A">
        <w:rPr>
          <w:rFonts w:ascii="Arial" w:eastAsia="Arial" w:hAnsi="Arial" w:cs="Arial"/>
          <w:spacing w:val="23"/>
          <w:sz w:val="22"/>
          <w:szCs w:val="22"/>
        </w:rPr>
        <w:t xml:space="preserve"> </w:t>
      </w:r>
      <w:r w:rsidRPr="00EC452A">
        <w:rPr>
          <w:rFonts w:ascii="Arial" w:eastAsia="Arial" w:hAnsi="Arial" w:cs="Arial"/>
          <w:sz w:val="22"/>
          <w:szCs w:val="22"/>
        </w:rPr>
        <w:t>de</w:t>
      </w:r>
      <w:r w:rsidRPr="00EC452A">
        <w:rPr>
          <w:rFonts w:ascii="Arial" w:eastAsia="Arial" w:hAnsi="Arial" w:cs="Arial"/>
          <w:spacing w:val="19"/>
          <w:sz w:val="22"/>
          <w:szCs w:val="22"/>
        </w:rPr>
        <w:t xml:space="preserve"> </w:t>
      </w:r>
      <w:r w:rsidRPr="00EC452A">
        <w:rPr>
          <w:rFonts w:ascii="Arial" w:eastAsia="Arial" w:hAnsi="Arial" w:cs="Arial"/>
          <w:sz w:val="22"/>
          <w:szCs w:val="22"/>
        </w:rPr>
        <w:t>ejidos</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17"/>
          <w:sz w:val="22"/>
          <w:szCs w:val="22"/>
        </w:rPr>
        <w:t xml:space="preserve"> </w:t>
      </w:r>
      <w:r w:rsidRPr="00EC452A">
        <w:rPr>
          <w:rFonts w:ascii="Arial" w:eastAsia="Arial" w:hAnsi="Arial" w:cs="Arial"/>
          <w:sz w:val="22"/>
          <w:szCs w:val="22"/>
        </w:rPr>
        <w:t>comunidades,</w:t>
      </w:r>
      <w:r w:rsidRPr="00EC452A">
        <w:rPr>
          <w:rFonts w:ascii="Arial" w:eastAsia="Arial" w:hAnsi="Arial" w:cs="Arial"/>
          <w:spacing w:val="39"/>
          <w:sz w:val="22"/>
          <w:szCs w:val="22"/>
        </w:rPr>
        <w:t xml:space="preserve"> </w:t>
      </w:r>
      <w:r w:rsidRPr="00EC452A">
        <w:rPr>
          <w:rFonts w:ascii="Arial" w:eastAsia="Arial" w:hAnsi="Arial" w:cs="Arial"/>
          <w:sz w:val="22"/>
          <w:szCs w:val="22"/>
        </w:rPr>
        <w:t>para</w:t>
      </w:r>
      <w:r w:rsidRPr="00EC452A">
        <w:rPr>
          <w:rFonts w:ascii="Arial" w:eastAsia="Arial" w:hAnsi="Arial" w:cs="Arial"/>
          <w:spacing w:val="23"/>
          <w:sz w:val="22"/>
          <w:szCs w:val="22"/>
        </w:rPr>
        <w:t xml:space="preserve"> </w:t>
      </w:r>
      <w:r w:rsidRPr="00EC452A">
        <w:rPr>
          <w:rFonts w:ascii="Arial" w:eastAsia="Arial" w:hAnsi="Arial" w:cs="Arial"/>
          <w:sz w:val="22"/>
          <w:szCs w:val="22"/>
        </w:rPr>
        <w:t>responder</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19"/>
          <w:sz w:val="22"/>
          <w:szCs w:val="22"/>
        </w:rPr>
        <w:t xml:space="preserve"> </w:t>
      </w:r>
      <w:r w:rsidRPr="00EC452A">
        <w:rPr>
          <w:rFonts w:ascii="Arial" w:eastAsia="Arial" w:hAnsi="Arial" w:cs="Arial"/>
          <w:sz w:val="22"/>
          <w:szCs w:val="22"/>
        </w:rPr>
        <w:t>las</w:t>
      </w:r>
      <w:r w:rsidRPr="00EC452A">
        <w:rPr>
          <w:rFonts w:ascii="Arial" w:eastAsia="Arial" w:hAnsi="Arial" w:cs="Arial"/>
          <w:spacing w:val="20"/>
          <w:sz w:val="22"/>
          <w:szCs w:val="22"/>
        </w:rPr>
        <w:t xml:space="preserve"> </w:t>
      </w:r>
      <w:r w:rsidRPr="00EC452A">
        <w:rPr>
          <w:rFonts w:ascii="Arial" w:eastAsia="Arial" w:hAnsi="Arial" w:cs="Arial"/>
          <w:sz w:val="22"/>
          <w:szCs w:val="22"/>
        </w:rPr>
        <w:t>obligaciones</w:t>
      </w:r>
      <w:r w:rsidRPr="00EC452A">
        <w:rPr>
          <w:rFonts w:ascii="Arial" w:eastAsia="Arial" w:hAnsi="Arial" w:cs="Arial"/>
          <w:spacing w:val="36"/>
          <w:sz w:val="22"/>
          <w:szCs w:val="22"/>
        </w:rPr>
        <w:t xml:space="preserve"> </w:t>
      </w:r>
      <w:r w:rsidRPr="00EC452A">
        <w:rPr>
          <w:rFonts w:ascii="Arial" w:eastAsia="Arial" w:hAnsi="Arial" w:cs="Arial"/>
          <w:sz w:val="22"/>
          <w:szCs w:val="22"/>
        </w:rPr>
        <w:t>ante</w:t>
      </w:r>
      <w:r w:rsidRPr="00EC452A">
        <w:rPr>
          <w:rFonts w:ascii="Arial" w:eastAsia="Arial" w:hAnsi="Arial" w:cs="Arial"/>
          <w:spacing w:val="22"/>
          <w:sz w:val="22"/>
          <w:szCs w:val="22"/>
        </w:rPr>
        <w:t xml:space="preserve"> </w:t>
      </w:r>
      <w:r w:rsidRPr="00EC452A">
        <w:rPr>
          <w:rFonts w:ascii="Arial" w:eastAsia="Arial" w:hAnsi="Arial" w:cs="Arial"/>
          <w:sz w:val="22"/>
          <w:szCs w:val="22"/>
        </w:rPr>
        <w:t>terceros.</w:t>
      </w:r>
      <w:r w:rsidRPr="00EC452A">
        <w:rPr>
          <w:rFonts w:ascii="Arial" w:eastAsia="Arial" w:hAnsi="Arial" w:cs="Arial"/>
          <w:spacing w:val="30"/>
          <w:sz w:val="22"/>
          <w:szCs w:val="22"/>
        </w:rPr>
        <w:t xml:space="preserve"> </w:t>
      </w:r>
      <w:r w:rsidRPr="00EC452A">
        <w:rPr>
          <w:rFonts w:ascii="Arial" w:eastAsia="Arial" w:hAnsi="Arial" w:cs="Arial"/>
          <w:sz w:val="22"/>
          <w:szCs w:val="22"/>
        </w:rPr>
        <w:t>En</w:t>
      </w:r>
      <w:r w:rsidRPr="00EC452A">
        <w:rPr>
          <w:rFonts w:ascii="Arial" w:eastAsia="Arial" w:hAnsi="Arial" w:cs="Arial"/>
          <w:spacing w:val="20"/>
          <w:sz w:val="22"/>
          <w:szCs w:val="22"/>
        </w:rPr>
        <w:t xml:space="preserve"> </w:t>
      </w:r>
      <w:r w:rsidRPr="00EC452A">
        <w:rPr>
          <w:rFonts w:ascii="Arial" w:eastAsia="Arial" w:hAnsi="Arial" w:cs="Arial"/>
          <w:sz w:val="22"/>
          <w:szCs w:val="22"/>
        </w:rPr>
        <w:t>su</w:t>
      </w:r>
      <w:r w:rsidRPr="00EC452A">
        <w:rPr>
          <w:rFonts w:ascii="Arial" w:eastAsia="Arial" w:hAnsi="Arial" w:cs="Arial"/>
          <w:spacing w:val="19"/>
          <w:sz w:val="22"/>
          <w:szCs w:val="22"/>
        </w:rPr>
        <w:t xml:space="preserve"> </w:t>
      </w:r>
      <w:r w:rsidRPr="00EC452A">
        <w:rPr>
          <w:rFonts w:ascii="Arial" w:eastAsia="Arial" w:hAnsi="Arial" w:cs="Arial"/>
          <w:sz w:val="22"/>
          <w:szCs w:val="22"/>
        </w:rPr>
        <w:t>caso,</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z w:val="22"/>
          <w:szCs w:val="22"/>
        </w:rPr>
        <w:t xml:space="preserve">repercusión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económica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gravámene</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constituido</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afectar</w:t>
      </w:r>
      <w:r w:rsidRPr="00EC452A">
        <w:rPr>
          <w:rFonts w:ascii="Arial" w:eastAsia="Arial" w:hAnsi="Arial" w:cs="Arial"/>
          <w:sz w:val="22"/>
          <w:szCs w:val="22"/>
        </w:rPr>
        <w:t xml:space="preserve">á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mas</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producto </w:t>
      </w:r>
      <w:r w:rsidRPr="00EC452A">
        <w:rPr>
          <w:rFonts w:ascii="Arial" w:eastAsia="Arial" w:hAnsi="Arial" w:cs="Arial"/>
          <w:spacing w:val="-2"/>
          <w:sz w:val="22"/>
          <w:szCs w:val="22"/>
        </w:rPr>
        <w:t>generad</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d</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obligar</w:t>
      </w:r>
      <w:r w:rsidRPr="00EC452A">
        <w:rPr>
          <w:rFonts w:ascii="Arial" w:eastAsia="Arial" w:hAnsi="Arial" w:cs="Arial"/>
          <w:sz w:val="22"/>
          <w:szCs w:val="22"/>
        </w:rPr>
        <w:t>á</w:t>
      </w:r>
      <w:r w:rsidRPr="00EC452A">
        <w:rPr>
          <w:rFonts w:ascii="Arial" w:eastAsia="Arial" w:hAnsi="Arial" w:cs="Arial"/>
          <w:spacing w:val="48"/>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todo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miembro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d</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form</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proporciona</w:t>
      </w:r>
      <w:r w:rsidRPr="00EC452A">
        <w:rPr>
          <w:rFonts w:ascii="Arial" w:eastAsia="Arial" w:hAnsi="Arial" w:cs="Arial"/>
          <w:sz w:val="22"/>
          <w:szCs w:val="22"/>
        </w:rPr>
        <w:t xml:space="preserve">l </w:t>
      </w:r>
      <w:r w:rsidRPr="00EC452A">
        <w:rPr>
          <w:rFonts w:ascii="Arial" w:eastAsia="Arial" w:hAnsi="Arial" w:cs="Arial"/>
          <w:spacing w:val="3"/>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aportaciones.</w:t>
      </w:r>
    </w:p>
    <w:p w14:paraId="3F05301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68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z w:val="22"/>
          <w:szCs w:val="22"/>
        </w:rPr>
        <w:t>El</w:t>
      </w:r>
      <w:r w:rsidRPr="00EC452A">
        <w:rPr>
          <w:rFonts w:ascii="Arial" w:eastAsia="Arial" w:hAnsi="Arial" w:cs="Arial"/>
          <w:spacing w:val="29"/>
          <w:sz w:val="22"/>
          <w:szCs w:val="22"/>
        </w:rPr>
        <w:t xml:space="preserve"> </w:t>
      </w:r>
      <w:r w:rsidRPr="00EC452A">
        <w:rPr>
          <w:rFonts w:ascii="Arial" w:eastAsia="Arial" w:hAnsi="Arial" w:cs="Arial"/>
          <w:sz w:val="22"/>
          <w:szCs w:val="22"/>
        </w:rPr>
        <w:t>Consejo</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30"/>
          <w:sz w:val="22"/>
          <w:szCs w:val="22"/>
        </w:rPr>
        <w:t xml:space="preserve"> </w:t>
      </w:r>
      <w:r w:rsidRPr="00EC452A">
        <w:rPr>
          <w:rFonts w:ascii="Arial" w:eastAsia="Arial" w:hAnsi="Arial" w:cs="Arial"/>
          <w:sz w:val="22"/>
          <w:szCs w:val="22"/>
        </w:rPr>
        <w:t>Administración</w:t>
      </w:r>
      <w:r w:rsidRPr="00EC452A">
        <w:rPr>
          <w:rFonts w:ascii="Arial" w:eastAsia="Arial" w:hAnsi="Arial" w:cs="Arial"/>
          <w:spacing w:val="51"/>
          <w:sz w:val="22"/>
          <w:szCs w:val="22"/>
        </w:rPr>
        <w:t xml:space="preserve"> </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z w:val="22"/>
          <w:szCs w:val="22"/>
        </w:rPr>
        <w:t>el</w:t>
      </w:r>
      <w:r w:rsidRPr="00EC452A">
        <w:rPr>
          <w:rFonts w:ascii="Arial" w:eastAsia="Arial" w:hAnsi="Arial" w:cs="Arial"/>
          <w:spacing w:val="29"/>
          <w:sz w:val="22"/>
          <w:szCs w:val="22"/>
        </w:rPr>
        <w:t xml:space="preserve"> </w:t>
      </w:r>
      <w:r w:rsidRPr="00EC452A">
        <w:rPr>
          <w:rFonts w:ascii="Arial" w:eastAsia="Arial" w:hAnsi="Arial" w:cs="Arial"/>
          <w:sz w:val="22"/>
          <w:szCs w:val="22"/>
        </w:rPr>
        <w:t>Administrador</w:t>
      </w:r>
      <w:r w:rsidRPr="00EC452A">
        <w:rPr>
          <w:rFonts w:ascii="Arial" w:eastAsia="Arial" w:hAnsi="Arial" w:cs="Arial"/>
          <w:spacing w:val="49"/>
          <w:sz w:val="22"/>
          <w:szCs w:val="22"/>
        </w:rPr>
        <w:t xml:space="preserve"> </w:t>
      </w:r>
      <w:r w:rsidRPr="00EC452A">
        <w:rPr>
          <w:rFonts w:ascii="Arial" w:eastAsia="Arial" w:hAnsi="Arial" w:cs="Arial"/>
          <w:sz w:val="22"/>
          <w:szCs w:val="22"/>
        </w:rPr>
        <w:t>Unico</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28"/>
          <w:sz w:val="22"/>
          <w:szCs w:val="22"/>
        </w:rPr>
        <w:t xml:space="preserve"> </w:t>
      </w:r>
      <w:r w:rsidRPr="00EC452A">
        <w:rPr>
          <w:rFonts w:ascii="Arial" w:eastAsia="Arial" w:hAnsi="Arial" w:cs="Arial"/>
          <w:sz w:val="22"/>
          <w:szCs w:val="22"/>
        </w:rPr>
        <w:t>el</w:t>
      </w:r>
      <w:r w:rsidRPr="00EC452A">
        <w:rPr>
          <w:rFonts w:ascii="Arial" w:eastAsia="Arial" w:hAnsi="Arial" w:cs="Arial"/>
          <w:spacing w:val="29"/>
          <w:sz w:val="22"/>
          <w:szCs w:val="22"/>
        </w:rPr>
        <w:t xml:space="preserve"> </w:t>
      </w:r>
      <w:r w:rsidRPr="00EC452A">
        <w:rPr>
          <w:rFonts w:ascii="Arial" w:eastAsia="Arial" w:hAnsi="Arial" w:cs="Arial"/>
          <w:sz w:val="22"/>
          <w:szCs w:val="22"/>
        </w:rPr>
        <w:t>Consejo</w:t>
      </w:r>
      <w:r w:rsidRPr="00EC452A">
        <w:rPr>
          <w:rFonts w:ascii="Arial" w:eastAsia="Arial" w:hAnsi="Arial" w:cs="Arial"/>
          <w:spacing w:val="40"/>
          <w:sz w:val="22"/>
          <w:szCs w:val="22"/>
        </w:rPr>
        <w:t xml:space="preserve"> </w:t>
      </w:r>
      <w:r w:rsidRPr="00EC452A">
        <w:rPr>
          <w:rFonts w:ascii="Arial" w:eastAsia="Arial" w:hAnsi="Arial" w:cs="Arial"/>
          <w:spacing w:val="-30"/>
          <w:sz w:val="22"/>
          <w:szCs w:val="22"/>
        </w:rPr>
        <w:t>d</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 xml:space="preserve">Vigilancia, </w:t>
      </w:r>
      <w:r w:rsidRPr="00EC452A">
        <w:rPr>
          <w:rFonts w:ascii="Arial" w:eastAsia="Arial" w:hAnsi="Arial" w:cs="Arial"/>
          <w:spacing w:val="-1"/>
          <w:sz w:val="22"/>
          <w:szCs w:val="22"/>
        </w:rPr>
        <w:t>funcionará</w:t>
      </w:r>
      <w:r w:rsidRPr="00EC452A">
        <w:rPr>
          <w:rFonts w:ascii="Arial" w:eastAsia="Arial" w:hAnsi="Arial" w:cs="Arial"/>
          <w:sz w:val="22"/>
          <w:szCs w:val="22"/>
        </w:rPr>
        <w:t>n</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tiemp</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señale</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per</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integrante</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permanecerá</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carg</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tant</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design</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habrá</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sustituirlos.</w:t>
      </w:r>
    </w:p>
    <w:p w14:paraId="4513281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Las</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obligaciones </w:t>
      </w:r>
      <w:r w:rsidRPr="00EC452A">
        <w:rPr>
          <w:rFonts w:ascii="Arial" w:eastAsia="Arial" w:hAnsi="Arial" w:cs="Arial"/>
          <w:spacing w:val="3"/>
          <w:sz w:val="22"/>
          <w:szCs w:val="22"/>
        </w:rPr>
        <w:t xml:space="preserve"> </w:t>
      </w:r>
      <w:r w:rsidRPr="00EC452A">
        <w:rPr>
          <w:rFonts w:ascii="Arial" w:eastAsia="Arial" w:hAnsi="Arial" w:cs="Arial"/>
          <w:sz w:val="22"/>
          <w:szCs w:val="22"/>
        </w:rPr>
        <w:t>y</w:t>
      </w:r>
      <w:r w:rsidRPr="00EC452A">
        <w:rPr>
          <w:rFonts w:ascii="Arial" w:eastAsia="Arial" w:hAnsi="Arial" w:cs="Arial"/>
          <w:spacing w:val="37"/>
          <w:sz w:val="22"/>
          <w:szCs w:val="22"/>
        </w:rPr>
        <w:t xml:space="preserve"> </w:t>
      </w:r>
      <w:r w:rsidRPr="00EC452A">
        <w:rPr>
          <w:rFonts w:ascii="Arial" w:eastAsia="Arial" w:hAnsi="Arial" w:cs="Arial"/>
          <w:sz w:val="22"/>
          <w:szCs w:val="22"/>
        </w:rPr>
        <w:t>facultades</w:t>
      </w:r>
      <w:r w:rsidRPr="00EC452A">
        <w:rPr>
          <w:rFonts w:ascii="Arial" w:eastAsia="Arial" w:hAnsi="Arial" w:cs="Arial"/>
          <w:spacing w:val="52"/>
          <w:sz w:val="22"/>
          <w:szCs w:val="22"/>
        </w:rPr>
        <w:t xml:space="preserve"> </w:t>
      </w:r>
      <w:r w:rsidRPr="00EC452A">
        <w:rPr>
          <w:rFonts w:ascii="Arial" w:eastAsia="Arial" w:hAnsi="Arial" w:cs="Arial"/>
          <w:sz w:val="22"/>
          <w:szCs w:val="22"/>
        </w:rPr>
        <w:t>del</w:t>
      </w:r>
      <w:r w:rsidRPr="00EC452A">
        <w:rPr>
          <w:rFonts w:ascii="Arial" w:eastAsia="Arial" w:hAnsi="Arial" w:cs="Arial"/>
          <w:spacing w:val="40"/>
          <w:sz w:val="22"/>
          <w:szCs w:val="22"/>
        </w:rPr>
        <w:t xml:space="preserve"> </w:t>
      </w:r>
      <w:r w:rsidRPr="00EC452A">
        <w:rPr>
          <w:rFonts w:ascii="Arial" w:eastAsia="Arial" w:hAnsi="Arial" w:cs="Arial"/>
          <w:sz w:val="22"/>
          <w:szCs w:val="22"/>
        </w:rPr>
        <w:t>Consejo</w:t>
      </w:r>
      <w:r w:rsidRPr="00EC452A">
        <w:rPr>
          <w:rFonts w:ascii="Arial" w:eastAsia="Arial" w:hAnsi="Arial" w:cs="Arial"/>
          <w:spacing w:val="49"/>
          <w:sz w:val="22"/>
          <w:szCs w:val="22"/>
        </w:rPr>
        <w:t xml:space="preserve"> </w:t>
      </w:r>
      <w:r w:rsidRPr="00EC452A">
        <w:rPr>
          <w:rFonts w:ascii="Arial" w:eastAsia="Arial" w:hAnsi="Arial" w:cs="Arial"/>
          <w:sz w:val="22"/>
          <w:szCs w:val="22"/>
        </w:rPr>
        <w:t>de</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Administración </w:t>
      </w:r>
      <w:r w:rsidRPr="00EC452A">
        <w:rPr>
          <w:rFonts w:ascii="Arial" w:eastAsia="Arial" w:hAnsi="Arial" w:cs="Arial"/>
          <w:spacing w:val="7"/>
          <w:sz w:val="22"/>
          <w:szCs w:val="22"/>
        </w:rPr>
        <w:t xml:space="preserve"> </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z w:val="22"/>
          <w:szCs w:val="22"/>
        </w:rPr>
        <w:t>del</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Administrador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Unico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su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serán</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otra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continuació</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enumeran:</w:t>
      </w:r>
    </w:p>
    <w:p w14:paraId="0AF5E19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Da</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cuent</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Asamble</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Genera</w:t>
      </w:r>
      <w:r w:rsidRPr="00EC452A">
        <w:rPr>
          <w:rFonts w:ascii="Arial" w:eastAsia="Arial" w:hAnsi="Arial" w:cs="Arial"/>
          <w:sz w:val="22"/>
          <w:szCs w:val="22"/>
        </w:rPr>
        <w:t>l</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asunto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intervengan.</w:t>
      </w:r>
    </w:p>
    <w:p w14:paraId="15DCDCB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b)</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Presentar </w:t>
      </w:r>
      <w:r w:rsidRPr="00EC452A">
        <w:rPr>
          <w:rFonts w:ascii="Arial" w:eastAsia="Arial" w:hAnsi="Arial" w:cs="Arial"/>
          <w:spacing w:val="5"/>
          <w:sz w:val="22"/>
          <w:szCs w:val="22"/>
        </w:rPr>
        <w:t xml:space="preserve"> </w:t>
      </w:r>
      <w:r w:rsidRPr="00EC452A">
        <w:rPr>
          <w:rFonts w:ascii="Arial" w:eastAsia="Arial" w:hAnsi="Arial" w:cs="Arial"/>
          <w:sz w:val="22"/>
          <w:szCs w:val="22"/>
        </w:rPr>
        <w:t>los</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balances </w:t>
      </w:r>
      <w:r w:rsidRPr="00EC452A">
        <w:rPr>
          <w:rFonts w:ascii="Arial" w:eastAsia="Arial" w:hAnsi="Arial" w:cs="Arial"/>
          <w:spacing w:val="4"/>
          <w:sz w:val="22"/>
          <w:szCs w:val="22"/>
        </w:rPr>
        <w:t xml:space="preserve"> </w:t>
      </w:r>
      <w:r w:rsidRPr="00EC452A">
        <w:rPr>
          <w:rFonts w:ascii="Arial" w:eastAsia="Arial" w:hAnsi="Arial" w:cs="Arial"/>
          <w:sz w:val="22"/>
          <w:szCs w:val="22"/>
        </w:rPr>
        <w:t>y</w:t>
      </w:r>
      <w:r w:rsidRPr="00EC452A">
        <w:rPr>
          <w:rFonts w:ascii="Arial" w:eastAsia="Arial" w:hAnsi="Arial" w:cs="Arial"/>
          <w:spacing w:val="44"/>
          <w:sz w:val="22"/>
          <w:szCs w:val="22"/>
        </w:rPr>
        <w:t xml:space="preserve"> </w:t>
      </w:r>
      <w:r w:rsidRPr="00EC452A">
        <w:rPr>
          <w:rFonts w:ascii="Arial" w:eastAsia="Arial" w:hAnsi="Arial" w:cs="Arial"/>
          <w:sz w:val="22"/>
          <w:szCs w:val="22"/>
        </w:rPr>
        <w:t>las</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cuentas </w:t>
      </w:r>
      <w:r w:rsidRPr="00EC452A">
        <w:rPr>
          <w:rFonts w:ascii="Arial" w:eastAsia="Arial" w:hAnsi="Arial" w:cs="Arial"/>
          <w:spacing w:val="2"/>
          <w:sz w:val="22"/>
          <w:szCs w:val="22"/>
        </w:rPr>
        <w:t xml:space="preserve"> </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informes </w:t>
      </w:r>
      <w:r w:rsidRPr="00EC452A">
        <w:rPr>
          <w:rFonts w:ascii="Arial" w:eastAsia="Arial" w:hAnsi="Arial" w:cs="Arial"/>
          <w:spacing w:val="4"/>
          <w:sz w:val="22"/>
          <w:szCs w:val="22"/>
        </w:rPr>
        <w:t xml:space="preserve"> </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z w:val="22"/>
          <w:szCs w:val="22"/>
        </w:rPr>
        <w:t>la</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Asamblea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General, </w:t>
      </w:r>
      <w:r w:rsidRPr="00EC452A">
        <w:rPr>
          <w:rFonts w:ascii="Arial" w:eastAsia="Arial" w:hAnsi="Arial" w:cs="Arial"/>
          <w:spacing w:val="4"/>
          <w:sz w:val="22"/>
          <w:szCs w:val="22"/>
        </w:rPr>
        <w:t xml:space="preserve"> </w:t>
      </w:r>
      <w:r w:rsidRPr="00EC452A">
        <w:rPr>
          <w:rFonts w:ascii="Arial" w:eastAsia="Arial" w:hAnsi="Arial" w:cs="Arial"/>
          <w:sz w:val="22"/>
          <w:szCs w:val="22"/>
        </w:rPr>
        <w:t>al</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concluir </w:t>
      </w:r>
      <w:r w:rsidRPr="00EC452A">
        <w:rPr>
          <w:rFonts w:ascii="Arial" w:eastAsia="Arial" w:hAnsi="Arial" w:cs="Arial"/>
          <w:spacing w:val="2"/>
          <w:sz w:val="22"/>
          <w:szCs w:val="22"/>
        </w:rPr>
        <w:t xml:space="preserve"> </w:t>
      </w:r>
      <w:r w:rsidRPr="00EC452A">
        <w:rPr>
          <w:rFonts w:ascii="Arial" w:eastAsia="Arial" w:hAnsi="Arial" w:cs="Arial"/>
          <w:w w:val="102"/>
          <w:sz w:val="22"/>
          <w:szCs w:val="22"/>
        </w:rPr>
        <w:t xml:space="preserve">cada </w:t>
      </w:r>
      <w:r w:rsidRPr="00EC452A">
        <w:rPr>
          <w:rFonts w:ascii="Arial" w:eastAsia="Arial" w:hAnsi="Arial" w:cs="Arial"/>
          <w:sz w:val="22"/>
          <w:szCs w:val="22"/>
        </w:rPr>
        <w:t>ciclo</w:t>
      </w:r>
      <w:r w:rsidRPr="00EC452A">
        <w:rPr>
          <w:rFonts w:ascii="Arial" w:eastAsia="Arial" w:hAnsi="Arial" w:cs="Arial"/>
          <w:spacing w:val="30"/>
          <w:sz w:val="22"/>
          <w:szCs w:val="22"/>
        </w:rPr>
        <w:t xml:space="preserve"> </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z w:val="22"/>
          <w:szCs w:val="22"/>
        </w:rPr>
        <w:t>anualmente,</w:t>
      </w:r>
      <w:r w:rsidRPr="00EC452A">
        <w:rPr>
          <w:rFonts w:ascii="Arial" w:eastAsia="Arial" w:hAnsi="Arial" w:cs="Arial"/>
          <w:spacing w:val="43"/>
          <w:sz w:val="22"/>
          <w:szCs w:val="22"/>
        </w:rPr>
        <w:t xml:space="preserve"> </w:t>
      </w:r>
      <w:r w:rsidRPr="00EC452A">
        <w:rPr>
          <w:rFonts w:ascii="Arial" w:eastAsia="Arial" w:hAnsi="Arial" w:cs="Arial"/>
          <w:sz w:val="22"/>
          <w:szCs w:val="22"/>
        </w:rPr>
        <w:t>si</w:t>
      </w:r>
      <w:r w:rsidRPr="00EC452A">
        <w:rPr>
          <w:rFonts w:ascii="Arial" w:eastAsia="Arial" w:hAnsi="Arial" w:cs="Arial"/>
          <w:spacing w:val="25"/>
          <w:sz w:val="22"/>
          <w:szCs w:val="22"/>
        </w:rPr>
        <w:t xml:space="preserve"> </w:t>
      </w:r>
      <w:r w:rsidRPr="00EC452A">
        <w:rPr>
          <w:rFonts w:ascii="Arial" w:eastAsia="Arial" w:hAnsi="Arial" w:cs="Arial"/>
          <w:sz w:val="22"/>
          <w:szCs w:val="22"/>
        </w:rPr>
        <w:t>las</w:t>
      </w:r>
      <w:r w:rsidRPr="00EC452A">
        <w:rPr>
          <w:rFonts w:ascii="Arial" w:eastAsia="Arial" w:hAnsi="Arial" w:cs="Arial"/>
          <w:spacing w:val="36"/>
          <w:sz w:val="22"/>
          <w:szCs w:val="22"/>
        </w:rPr>
        <w:t xml:space="preserve"> </w:t>
      </w:r>
      <w:r w:rsidRPr="00EC452A">
        <w:rPr>
          <w:rFonts w:ascii="Arial" w:eastAsia="Arial" w:hAnsi="Arial" w:cs="Arial"/>
          <w:sz w:val="22"/>
          <w:szCs w:val="22"/>
        </w:rPr>
        <w:t>actividades</w:t>
      </w:r>
      <w:r w:rsidRPr="00EC452A">
        <w:rPr>
          <w:rFonts w:ascii="Arial" w:eastAsia="Arial" w:hAnsi="Arial" w:cs="Arial"/>
          <w:spacing w:val="34"/>
          <w:sz w:val="22"/>
          <w:szCs w:val="22"/>
        </w:rPr>
        <w:t xml:space="preserve"> </w:t>
      </w:r>
      <w:r w:rsidRPr="00EC452A">
        <w:rPr>
          <w:rFonts w:ascii="Arial" w:eastAsia="Arial" w:hAnsi="Arial" w:cs="Arial"/>
          <w:sz w:val="22"/>
          <w:szCs w:val="22"/>
        </w:rPr>
        <w:t>no</w:t>
      </w:r>
      <w:r w:rsidRPr="00EC452A">
        <w:rPr>
          <w:rFonts w:ascii="Arial" w:eastAsia="Arial" w:hAnsi="Arial" w:cs="Arial"/>
          <w:spacing w:val="19"/>
          <w:sz w:val="22"/>
          <w:szCs w:val="22"/>
        </w:rPr>
        <w:t xml:space="preserve"> </w:t>
      </w:r>
      <w:r w:rsidRPr="00EC452A">
        <w:rPr>
          <w:rFonts w:ascii="Arial" w:eastAsia="Arial" w:hAnsi="Arial" w:cs="Arial"/>
          <w:sz w:val="22"/>
          <w:szCs w:val="22"/>
        </w:rPr>
        <w:t>son</w:t>
      </w:r>
      <w:r w:rsidRPr="00EC452A">
        <w:rPr>
          <w:rFonts w:ascii="Arial" w:eastAsia="Arial" w:hAnsi="Arial" w:cs="Arial"/>
          <w:spacing w:val="21"/>
          <w:sz w:val="22"/>
          <w:szCs w:val="22"/>
        </w:rPr>
        <w:t xml:space="preserve"> </w:t>
      </w:r>
      <w:r w:rsidRPr="00EC452A">
        <w:rPr>
          <w:rFonts w:ascii="Arial" w:eastAsia="Arial" w:hAnsi="Arial" w:cs="Arial"/>
          <w:sz w:val="22"/>
          <w:szCs w:val="22"/>
        </w:rPr>
        <w:t>cíclicas</w:t>
      </w:r>
      <w:r w:rsidRPr="00EC452A">
        <w:rPr>
          <w:rFonts w:ascii="Arial" w:eastAsia="Arial" w:hAnsi="Arial" w:cs="Arial"/>
          <w:spacing w:val="27"/>
          <w:sz w:val="22"/>
          <w:szCs w:val="22"/>
        </w:rPr>
        <w:t xml:space="preserve"> </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z w:val="22"/>
          <w:szCs w:val="22"/>
        </w:rPr>
        <w:t>si</w:t>
      </w:r>
      <w:r w:rsidRPr="00EC452A">
        <w:rPr>
          <w:rFonts w:ascii="Arial" w:eastAsia="Arial" w:hAnsi="Arial" w:cs="Arial"/>
          <w:spacing w:val="18"/>
          <w:sz w:val="22"/>
          <w:szCs w:val="22"/>
        </w:rPr>
        <w:t xml:space="preserve"> </w:t>
      </w:r>
      <w:r w:rsidRPr="00EC452A">
        <w:rPr>
          <w:rFonts w:ascii="Arial" w:eastAsia="Arial" w:hAnsi="Arial" w:cs="Arial"/>
          <w:sz w:val="22"/>
          <w:szCs w:val="22"/>
        </w:rPr>
        <w:t>el</w:t>
      </w:r>
      <w:r w:rsidRPr="00EC452A">
        <w:rPr>
          <w:rFonts w:ascii="Arial" w:eastAsia="Arial" w:hAnsi="Arial" w:cs="Arial"/>
          <w:spacing w:val="18"/>
          <w:sz w:val="22"/>
          <w:szCs w:val="22"/>
        </w:rPr>
        <w:t xml:space="preserve"> </w:t>
      </w:r>
      <w:r w:rsidRPr="00EC452A">
        <w:rPr>
          <w:rFonts w:ascii="Arial" w:eastAsia="Arial" w:hAnsi="Arial" w:cs="Arial"/>
          <w:sz w:val="22"/>
          <w:szCs w:val="22"/>
        </w:rPr>
        <w:t>ciclo</w:t>
      </w:r>
      <w:r w:rsidRPr="00EC452A">
        <w:rPr>
          <w:rFonts w:ascii="Arial" w:eastAsia="Arial" w:hAnsi="Arial" w:cs="Arial"/>
          <w:spacing w:val="23"/>
          <w:sz w:val="22"/>
          <w:szCs w:val="22"/>
        </w:rPr>
        <w:t xml:space="preserve"> </w:t>
      </w:r>
      <w:r w:rsidRPr="00EC452A">
        <w:rPr>
          <w:rFonts w:ascii="Arial" w:eastAsia="Arial" w:hAnsi="Arial" w:cs="Arial"/>
          <w:sz w:val="22"/>
          <w:szCs w:val="22"/>
        </w:rPr>
        <w:t>correspondiente</w:t>
      </w:r>
      <w:r w:rsidRPr="00EC452A">
        <w:rPr>
          <w:rFonts w:ascii="Arial" w:eastAsia="Arial" w:hAnsi="Arial" w:cs="Arial"/>
          <w:spacing w:val="42"/>
          <w:sz w:val="22"/>
          <w:szCs w:val="22"/>
        </w:rPr>
        <w:t xml:space="preserve"> </w:t>
      </w:r>
      <w:r w:rsidRPr="00EC452A">
        <w:rPr>
          <w:rFonts w:ascii="Arial" w:eastAsia="Arial" w:hAnsi="Arial" w:cs="Arial"/>
          <w:sz w:val="22"/>
          <w:szCs w:val="22"/>
        </w:rPr>
        <w:t>excede</w:t>
      </w:r>
      <w:r w:rsidRPr="00EC452A">
        <w:rPr>
          <w:rFonts w:ascii="Arial" w:eastAsia="Arial" w:hAnsi="Arial" w:cs="Arial"/>
          <w:spacing w:val="27"/>
          <w:sz w:val="22"/>
          <w:szCs w:val="22"/>
        </w:rPr>
        <w:t xml:space="preserve"> </w:t>
      </w:r>
      <w:r w:rsidRPr="00EC452A">
        <w:rPr>
          <w:rFonts w:ascii="Arial" w:eastAsia="Arial" w:hAnsi="Arial" w:cs="Arial"/>
          <w:sz w:val="22"/>
          <w:szCs w:val="22"/>
        </w:rPr>
        <w:t>de</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 xml:space="preserve">un </w:t>
      </w:r>
      <w:r w:rsidRPr="00EC452A">
        <w:rPr>
          <w:rFonts w:ascii="Arial" w:eastAsia="Arial" w:hAnsi="Arial" w:cs="Arial"/>
          <w:spacing w:val="-5"/>
          <w:w w:val="102"/>
          <w:sz w:val="22"/>
          <w:szCs w:val="22"/>
        </w:rPr>
        <w:t>año.</w:t>
      </w:r>
    </w:p>
    <w:p w14:paraId="550B1C8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Propone</w:t>
      </w:r>
      <w:r w:rsidRPr="00EC452A">
        <w:rPr>
          <w:rFonts w:ascii="Arial" w:eastAsia="Arial" w:hAnsi="Arial" w:cs="Arial"/>
          <w:sz w:val="22"/>
          <w:szCs w:val="22"/>
        </w:rPr>
        <w:t>r</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Genera</w:t>
      </w:r>
      <w:r w:rsidRPr="00EC452A">
        <w:rPr>
          <w:rFonts w:ascii="Arial" w:eastAsia="Arial" w:hAnsi="Arial" w:cs="Arial"/>
          <w:sz w:val="22"/>
          <w:szCs w:val="22"/>
        </w:rPr>
        <w:t>l</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aprobació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plane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trabaj</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crédito.</w:t>
      </w:r>
    </w:p>
    <w:p w14:paraId="265384E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d</w:t>
      </w:r>
      <w:r w:rsidRPr="00EC452A">
        <w:rPr>
          <w:rFonts w:ascii="Arial" w:eastAsia="Arial" w:hAnsi="Arial" w:cs="Arial"/>
          <w:sz w:val="22"/>
          <w:szCs w:val="22"/>
        </w:rPr>
        <w:t xml:space="preserve">)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Convoca</w:t>
      </w:r>
      <w:r w:rsidRPr="00EC452A">
        <w:rPr>
          <w:rFonts w:ascii="Arial" w:eastAsia="Arial" w:hAnsi="Arial" w:cs="Arial"/>
          <w:sz w:val="22"/>
          <w:szCs w:val="22"/>
        </w:rPr>
        <w:t xml:space="preserve">r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reunione</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ordinaria</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 xml:space="preserve">n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periodicida</w:t>
      </w:r>
      <w:r w:rsidRPr="00EC452A">
        <w:rPr>
          <w:rFonts w:ascii="Arial" w:eastAsia="Arial" w:hAnsi="Arial" w:cs="Arial"/>
          <w:sz w:val="22"/>
          <w:szCs w:val="22"/>
        </w:rPr>
        <w:t xml:space="preserve">d </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determin</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31"/>
          <w:sz w:val="22"/>
          <w:szCs w:val="22"/>
        </w:rPr>
        <w:t xml:space="preserve"> </w:t>
      </w:r>
      <w:r w:rsidRPr="00EC452A">
        <w:rPr>
          <w:rFonts w:ascii="Arial" w:eastAsia="Arial" w:hAnsi="Arial" w:cs="Arial"/>
          <w:spacing w:val="-2"/>
          <w:w w:val="102"/>
          <w:sz w:val="22"/>
          <w:szCs w:val="22"/>
        </w:rPr>
        <w:t xml:space="preserve">acta </w:t>
      </w:r>
      <w:r w:rsidRPr="00EC452A">
        <w:rPr>
          <w:rFonts w:ascii="Arial" w:eastAsia="Arial" w:hAnsi="Arial" w:cs="Arial"/>
          <w:spacing w:val="3"/>
          <w:sz w:val="22"/>
          <w:szCs w:val="22"/>
        </w:rPr>
        <w:t>const</w:t>
      </w:r>
      <w:r w:rsidRPr="00EC452A">
        <w:rPr>
          <w:rFonts w:ascii="Arial" w:eastAsia="Arial" w:hAnsi="Arial" w:cs="Arial"/>
          <w:spacing w:val="-1"/>
          <w:sz w:val="22"/>
          <w:szCs w:val="22"/>
        </w:rPr>
        <w:t>itutiva</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extraordinaria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necesario.</w:t>
      </w:r>
    </w:p>
    <w:p w14:paraId="6D1D409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69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Administració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integrar</w:t>
      </w:r>
      <w:r w:rsidRPr="00EC452A">
        <w:rPr>
          <w:rFonts w:ascii="Arial" w:eastAsia="Arial" w:hAnsi="Arial" w:cs="Arial"/>
          <w:sz w:val="22"/>
          <w:szCs w:val="22"/>
        </w:rPr>
        <w:t xml:space="preserve">á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Presidente</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Secretario</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un </w:t>
      </w:r>
      <w:r w:rsidRPr="00EC452A">
        <w:rPr>
          <w:rFonts w:ascii="Arial" w:eastAsia="Arial" w:hAnsi="Arial" w:cs="Arial"/>
          <w:spacing w:val="-1"/>
          <w:sz w:val="22"/>
          <w:szCs w:val="22"/>
        </w:rPr>
        <w:t>Tesorer</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Vocale</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determin</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General.</w:t>
      </w:r>
    </w:p>
    <w:p w14:paraId="1642E78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70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integració</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44"/>
          <w:sz w:val="22"/>
          <w:szCs w:val="22"/>
        </w:rPr>
        <w:t>A</w:t>
      </w:r>
      <w:r w:rsidRPr="00EC452A">
        <w:rPr>
          <w:rFonts w:ascii="Arial" w:eastAsia="Arial" w:hAnsi="Arial" w:cs="Arial"/>
          <w:spacing w:val="-1"/>
          <w:sz w:val="22"/>
          <w:szCs w:val="22"/>
        </w:rPr>
        <w:t>dministració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observará</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1"/>
          <w:w w:val="102"/>
          <w:sz w:val="22"/>
          <w:szCs w:val="22"/>
        </w:rPr>
        <w:t xml:space="preserve">las </w:t>
      </w:r>
      <w:r w:rsidRPr="00EC452A">
        <w:rPr>
          <w:rFonts w:ascii="Arial" w:eastAsia="Arial" w:hAnsi="Arial" w:cs="Arial"/>
          <w:sz w:val="22"/>
          <w:szCs w:val="22"/>
        </w:rPr>
        <w:t>siguientes</w:t>
      </w:r>
      <w:r w:rsidRPr="00EC452A">
        <w:rPr>
          <w:rFonts w:ascii="Arial" w:eastAsia="Arial" w:hAnsi="Arial" w:cs="Arial"/>
          <w:spacing w:val="25"/>
          <w:sz w:val="22"/>
          <w:szCs w:val="22"/>
        </w:rPr>
        <w:t xml:space="preserve"> </w:t>
      </w:r>
      <w:r w:rsidRPr="00EC452A">
        <w:rPr>
          <w:rFonts w:ascii="Arial" w:eastAsia="Arial" w:hAnsi="Arial" w:cs="Arial"/>
          <w:w w:val="102"/>
          <w:sz w:val="22"/>
          <w:szCs w:val="22"/>
        </w:rPr>
        <w:t>reglas:</w:t>
      </w:r>
    </w:p>
    <w:p w14:paraId="1FB9BCD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mayorí</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económic</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representada</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á</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derech</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designa</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Presidente</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Secretario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Tesorero</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considerand</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decisió</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minoría.</w:t>
      </w:r>
    </w:p>
    <w:p w14:paraId="338ECC9D"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2"/>
          <w:sz w:val="22"/>
          <w:szCs w:val="22"/>
        </w:rPr>
        <w:t>II</w:t>
      </w:r>
      <w:r w:rsidRPr="00EC452A">
        <w:rPr>
          <w:rFonts w:ascii="Arial" w:eastAsia="Arial" w:hAnsi="Arial" w:cs="Arial"/>
          <w:sz w:val="22"/>
          <w:szCs w:val="22"/>
        </w:rPr>
        <w:t>.</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minorí</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económic</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tendr</w:t>
      </w:r>
      <w:r w:rsidRPr="00EC452A">
        <w:rPr>
          <w:rFonts w:ascii="Arial" w:eastAsia="Arial" w:hAnsi="Arial" w:cs="Arial"/>
          <w:sz w:val="22"/>
          <w:szCs w:val="22"/>
        </w:rPr>
        <w:t>á</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derech</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designa</w:t>
      </w:r>
      <w:r w:rsidRPr="00EC452A">
        <w:rPr>
          <w:rFonts w:ascii="Arial" w:eastAsia="Arial" w:hAnsi="Arial" w:cs="Arial"/>
          <w:sz w:val="22"/>
          <w:szCs w:val="22"/>
        </w:rPr>
        <w:t>r</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Secretari</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Tesorero</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elección.</w:t>
      </w:r>
    </w:p>
    <w:p w14:paraId="084C7F9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vocale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designará</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form</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proporcional</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secto</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integr</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 xml:space="preserve">Unidad.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entiend</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mayorí</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económic</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quiene</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represente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má</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50</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aportaciones.</w:t>
      </w:r>
    </w:p>
    <w:p w14:paraId="79C6EA6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71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5"/>
          <w:sz w:val="22"/>
          <w:szCs w:val="22"/>
        </w:rPr>
        <w:t>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Administració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Administrado</w:t>
      </w:r>
      <w:r w:rsidRPr="00EC452A">
        <w:rPr>
          <w:rFonts w:ascii="Arial" w:eastAsia="Arial" w:hAnsi="Arial" w:cs="Arial"/>
          <w:sz w:val="22"/>
          <w:szCs w:val="22"/>
        </w:rPr>
        <w:t>r</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Unic</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designa</w:t>
      </w:r>
      <w:r w:rsidRPr="00EC452A">
        <w:rPr>
          <w:rFonts w:ascii="Arial" w:eastAsia="Arial" w:hAnsi="Arial" w:cs="Arial"/>
          <w:sz w:val="22"/>
          <w:szCs w:val="22"/>
        </w:rPr>
        <w:t>r</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w w:val="102"/>
          <w:sz w:val="22"/>
          <w:szCs w:val="22"/>
        </w:rPr>
        <w:t xml:space="preserve">gerente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directo</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Unidad</w:t>
      </w:r>
      <w:r w:rsidRPr="00EC452A">
        <w:rPr>
          <w:rFonts w:ascii="Arial" w:eastAsia="Arial" w:hAnsi="Arial" w:cs="Arial"/>
          <w:sz w:val="22"/>
          <w:szCs w:val="22"/>
        </w:rPr>
        <w:t>,</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señalará</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funciones.</w:t>
      </w:r>
    </w:p>
    <w:p w14:paraId="5F1ADCD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gerente</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directore</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conferírsele</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facultade</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administración</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mandatarios </w:t>
      </w:r>
      <w:r w:rsidRPr="00EC452A">
        <w:rPr>
          <w:rFonts w:ascii="Arial" w:eastAsia="Arial" w:hAnsi="Arial" w:cs="Arial"/>
          <w:spacing w:val="-1"/>
          <w:sz w:val="22"/>
          <w:szCs w:val="22"/>
        </w:rPr>
        <w:t>generale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pleito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cobranza</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conform</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Códig</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Civil.</w:t>
      </w:r>
    </w:p>
    <w:p w14:paraId="2495F35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72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El</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Consejo </w:t>
      </w:r>
      <w:r w:rsidRPr="00EC452A">
        <w:rPr>
          <w:rFonts w:ascii="Arial" w:eastAsia="Arial" w:hAnsi="Arial" w:cs="Arial"/>
          <w:spacing w:val="5"/>
          <w:sz w:val="22"/>
          <w:szCs w:val="22"/>
        </w:rPr>
        <w:t xml:space="preserve"> </w:t>
      </w:r>
      <w:r w:rsidRPr="00EC452A">
        <w:rPr>
          <w:rFonts w:ascii="Arial" w:eastAsia="Arial" w:hAnsi="Arial" w:cs="Arial"/>
          <w:sz w:val="22"/>
          <w:szCs w:val="22"/>
        </w:rPr>
        <w:t>de</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Vigilancia </w:t>
      </w:r>
      <w:r w:rsidRPr="00EC452A">
        <w:rPr>
          <w:rFonts w:ascii="Arial" w:eastAsia="Arial" w:hAnsi="Arial" w:cs="Arial"/>
          <w:spacing w:val="7"/>
          <w:sz w:val="22"/>
          <w:szCs w:val="22"/>
        </w:rPr>
        <w:t xml:space="preserve"> </w:t>
      </w:r>
      <w:r w:rsidRPr="00EC452A">
        <w:rPr>
          <w:rFonts w:ascii="Arial" w:eastAsia="Arial" w:hAnsi="Arial" w:cs="Arial"/>
          <w:sz w:val="22"/>
          <w:szCs w:val="22"/>
        </w:rPr>
        <w:t>se</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compondrá </w:t>
      </w:r>
      <w:r w:rsidRPr="00EC452A">
        <w:rPr>
          <w:rFonts w:ascii="Arial" w:eastAsia="Arial" w:hAnsi="Arial" w:cs="Arial"/>
          <w:spacing w:val="10"/>
          <w:sz w:val="22"/>
          <w:szCs w:val="22"/>
        </w:rPr>
        <w:t xml:space="preserve"> </w:t>
      </w:r>
      <w:r w:rsidRPr="00EC452A">
        <w:rPr>
          <w:rFonts w:ascii="Arial" w:eastAsia="Arial" w:hAnsi="Arial" w:cs="Arial"/>
          <w:sz w:val="22"/>
          <w:szCs w:val="22"/>
        </w:rPr>
        <w:t>de</w:t>
      </w:r>
      <w:r w:rsidRPr="00EC452A">
        <w:rPr>
          <w:rFonts w:ascii="Arial" w:eastAsia="Arial" w:hAnsi="Arial" w:cs="Arial"/>
          <w:spacing w:val="48"/>
          <w:sz w:val="22"/>
          <w:szCs w:val="22"/>
        </w:rPr>
        <w:t xml:space="preserve"> </w:t>
      </w:r>
      <w:r w:rsidRPr="00EC452A">
        <w:rPr>
          <w:rFonts w:ascii="Arial" w:eastAsia="Arial" w:hAnsi="Arial" w:cs="Arial"/>
          <w:sz w:val="22"/>
          <w:szCs w:val="22"/>
        </w:rPr>
        <w:t>tres</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miembros: </w:t>
      </w:r>
      <w:r w:rsidRPr="00EC452A">
        <w:rPr>
          <w:rFonts w:ascii="Arial" w:eastAsia="Arial" w:hAnsi="Arial" w:cs="Arial"/>
          <w:spacing w:val="9"/>
          <w:sz w:val="22"/>
          <w:szCs w:val="22"/>
        </w:rPr>
        <w:t xml:space="preserve"> </w:t>
      </w:r>
      <w:r w:rsidRPr="00EC452A">
        <w:rPr>
          <w:rFonts w:ascii="Arial" w:eastAsia="Arial" w:hAnsi="Arial" w:cs="Arial"/>
          <w:sz w:val="22"/>
          <w:szCs w:val="22"/>
        </w:rPr>
        <w:t>un</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Presidente </w:t>
      </w:r>
      <w:r w:rsidRPr="00EC452A">
        <w:rPr>
          <w:rFonts w:ascii="Arial" w:eastAsia="Arial" w:hAnsi="Arial" w:cs="Arial"/>
          <w:spacing w:val="9"/>
          <w:sz w:val="22"/>
          <w:szCs w:val="22"/>
        </w:rPr>
        <w:t xml:space="preserve"> </w:t>
      </w:r>
      <w:r w:rsidRPr="00EC452A">
        <w:rPr>
          <w:rFonts w:ascii="Arial" w:eastAsia="Arial" w:hAnsi="Arial" w:cs="Arial"/>
          <w:sz w:val="22"/>
          <w:szCs w:val="22"/>
        </w:rPr>
        <w:t>y</w:t>
      </w:r>
      <w:r w:rsidRPr="00EC452A">
        <w:rPr>
          <w:rFonts w:ascii="Arial" w:eastAsia="Arial" w:hAnsi="Arial" w:cs="Arial"/>
          <w:spacing w:val="46"/>
          <w:sz w:val="22"/>
          <w:szCs w:val="22"/>
        </w:rPr>
        <w:t xml:space="preserve"> </w:t>
      </w:r>
      <w:r w:rsidRPr="00EC452A">
        <w:rPr>
          <w:rFonts w:ascii="Arial" w:eastAsia="Arial" w:hAnsi="Arial" w:cs="Arial"/>
          <w:w w:val="102"/>
          <w:sz w:val="22"/>
          <w:szCs w:val="22"/>
        </w:rPr>
        <w:t xml:space="preserve">dos </w:t>
      </w:r>
      <w:r w:rsidRPr="00EC452A">
        <w:rPr>
          <w:rFonts w:ascii="Arial" w:eastAsia="Arial" w:hAnsi="Arial" w:cs="Arial"/>
          <w:sz w:val="22"/>
          <w:szCs w:val="22"/>
        </w:rPr>
        <w:t xml:space="preserve">Vocales,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tendrá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a  su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cargo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comprobar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cumplimiento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Ley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y  este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Reglamento, </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 xml:space="preserve">así </w:t>
      </w:r>
      <w:r w:rsidRPr="00EC452A">
        <w:rPr>
          <w:rFonts w:ascii="Arial" w:eastAsia="Arial" w:hAnsi="Arial" w:cs="Arial"/>
          <w:sz w:val="22"/>
          <w:szCs w:val="22"/>
        </w:rPr>
        <w:t>como</w:t>
      </w:r>
      <w:r w:rsidRPr="00EC452A">
        <w:rPr>
          <w:rFonts w:ascii="Arial" w:eastAsia="Arial" w:hAnsi="Arial" w:cs="Arial"/>
          <w:spacing w:val="46"/>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sz w:val="22"/>
          <w:szCs w:val="22"/>
        </w:rPr>
        <w:t>todos</w:t>
      </w:r>
      <w:r w:rsidRPr="00EC452A">
        <w:rPr>
          <w:rFonts w:ascii="Arial" w:eastAsia="Arial" w:hAnsi="Arial" w:cs="Arial"/>
          <w:spacing w:val="46"/>
          <w:sz w:val="22"/>
          <w:szCs w:val="22"/>
        </w:rPr>
        <w:t xml:space="preserve"> </w:t>
      </w:r>
      <w:r w:rsidRPr="00EC452A">
        <w:rPr>
          <w:rFonts w:ascii="Arial" w:eastAsia="Arial" w:hAnsi="Arial" w:cs="Arial"/>
          <w:sz w:val="22"/>
          <w:szCs w:val="22"/>
        </w:rPr>
        <w:t>los</w:t>
      </w:r>
      <w:r w:rsidRPr="00EC452A">
        <w:rPr>
          <w:rFonts w:ascii="Arial" w:eastAsia="Arial" w:hAnsi="Arial" w:cs="Arial"/>
          <w:spacing w:val="42"/>
          <w:sz w:val="22"/>
          <w:szCs w:val="22"/>
        </w:rPr>
        <w:t xml:space="preserve"> </w:t>
      </w:r>
      <w:r w:rsidRPr="00EC452A">
        <w:rPr>
          <w:rFonts w:ascii="Arial" w:eastAsia="Arial" w:hAnsi="Arial" w:cs="Arial"/>
          <w:sz w:val="22"/>
          <w:szCs w:val="22"/>
        </w:rPr>
        <w:t>acuerdos</w:t>
      </w:r>
      <w:r w:rsidRPr="00EC452A">
        <w:rPr>
          <w:rFonts w:ascii="Arial" w:eastAsia="Arial" w:hAnsi="Arial" w:cs="Arial"/>
          <w:spacing w:val="52"/>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sz w:val="22"/>
          <w:szCs w:val="22"/>
        </w:rPr>
        <w:t>la</w:t>
      </w:r>
      <w:r w:rsidRPr="00EC452A">
        <w:rPr>
          <w:rFonts w:ascii="Arial" w:eastAsia="Arial" w:hAnsi="Arial" w:cs="Arial"/>
          <w:spacing w:val="40"/>
          <w:sz w:val="22"/>
          <w:szCs w:val="22"/>
        </w:rPr>
        <w:t xml:space="preserve"> </w:t>
      </w:r>
      <w:r w:rsidRPr="00EC452A">
        <w:rPr>
          <w:rFonts w:ascii="Arial" w:eastAsia="Arial" w:hAnsi="Arial" w:cs="Arial"/>
          <w:sz w:val="22"/>
          <w:szCs w:val="22"/>
        </w:rPr>
        <w:t>Asambl</w:t>
      </w:r>
      <w:r w:rsidRPr="00EC452A">
        <w:rPr>
          <w:rFonts w:ascii="Arial" w:eastAsia="Arial" w:hAnsi="Arial" w:cs="Arial"/>
          <w:spacing w:val="-1"/>
          <w:sz w:val="22"/>
          <w:szCs w:val="22"/>
        </w:rPr>
        <w:t>e</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Genera</w:t>
      </w:r>
      <w:r w:rsidRPr="00EC452A">
        <w:rPr>
          <w:rFonts w:ascii="Arial" w:eastAsia="Arial" w:hAnsi="Arial" w:cs="Arial"/>
          <w:sz w:val="22"/>
          <w:szCs w:val="22"/>
        </w:rPr>
        <w:t>l</w:t>
      </w:r>
      <w:r w:rsidRPr="00EC452A">
        <w:rPr>
          <w:rFonts w:ascii="Arial" w:eastAsia="Arial" w:hAnsi="Arial" w:cs="Arial"/>
          <w:spacing w:val="42"/>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procedimiento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requier</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3"/>
          <w:sz w:val="22"/>
          <w:szCs w:val="22"/>
        </w:rPr>
        <w:t>buen</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3"/>
          <w:sz w:val="22"/>
          <w:szCs w:val="22"/>
        </w:rPr>
        <w:t>march</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3"/>
          <w:w w:val="102"/>
          <w:sz w:val="22"/>
          <w:szCs w:val="22"/>
        </w:rPr>
        <w:t>Unidad.</w:t>
      </w:r>
    </w:p>
    <w:p w14:paraId="27A58AB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Vigilanci</w:t>
      </w:r>
      <w:r w:rsidRPr="00EC452A">
        <w:rPr>
          <w:rFonts w:ascii="Arial" w:eastAsia="Arial" w:hAnsi="Arial" w:cs="Arial"/>
          <w:sz w:val="22"/>
          <w:szCs w:val="22"/>
        </w:rPr>
        <w:t xml:space="preserve">a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cumplir</w:t>
      </w:r>
      <w:r w:rsidRPr="00EC452A">
        <w:rPr>
          <w:rFonts w:ascii="Arial" w:eastAsia="Arial" w:hAnsi="Arial" w:cs="Arial"/>
          <w:sz w:val="22"/>
          <w:szCs w:val="22"/>
        </w:rPr>
        <w:t xml:space="preserve">á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ademá</w:t>
      </w:r>
      <w:r w:rsidRPr="00EC452A">
        <w:rPr>
          <w:rFonts w:ascii="Arial" w:eastAsia="Arial" w:hAnsi="Arial" w:cs="Arial"/>
          <w:sz w:val="22"/>
          <w:szCs w:val="22"/>
        </w:rPr>
        <w:t xml:space="preserve">s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funcione</w:t>
      </w:r>
      <w:r w:rsidRPr="00EC452A">
        <w:rPr>
          <w:rFonts w:ascii="Arial" w:eastAsia="Arial" w:hAnsi="Arial" w:cs="Arial"/>
          <w:sz w:val="22"/>
          <w:szCs w:val="22"/>
        </w:rPr>
        <w:t xml:space="preserve">s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expresament</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asign</w:t>
      </w:r>
      <w:r w:rsidRPr="00EC452A">
        <w:rPr>
          <w:rFonts w:ascii="Arial" w:eastAsia="Arial" w:hAnsi="Arial" w:cs="Arial"/>
          <w:sz w:val="22"/>
          <w:szCs w:val="22"/>
        </w:rPr>
        <w:t xml:space="preserve">e </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sz w:val="22"/>
          <w:szCs w:val="22"/>
        </w:rPr>
        <w:t>Asamble</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General</w:t>
      </w:r>
      <w:r w:rsidRPr="00EC452A">
        <w:rPr>
          <w:rFonts w:ascii="Arial" w:eastAsia="Arial" w:hAnsi="Arial" w:cs="Arial"/>
          <w:sz w:val="22"/>
          <w:szCs w:val="22"/>
        </w:rPr>
        <w:t>,</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
          <w:sz w:val="22"/>
          <w:szCs w:val="22"/>
        </w:rPr>
        <w:t>quie</w:t>
      </w:r>
      <w:r w:rsidRPr="00EC452A">
        <w:rPr>
          <w:rFonts w:ascii="Arial" w:eastAsia="Arial" w:hAnsi="Arial" w:cs="Arial"/>
          <w:sz w:val="22"/>
          <w:szCs w:val="22"/>
        </w:rPr>
        <w:t>n</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deber</w:t>
      </w:r>
      <w:r w:rsidRPr="00EC452A">
        <w:rPr>
          <w:rFonts w:ascii="Arial" w:eastAsia="Arial" w:hAnsi="Arial" w:cs="Arial"/>
          <w:sz w:val="22"/>
          <w:szCs w:val="22"/>
        </w:rPr>
        <w:t>á</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presenta</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inform</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actividade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comprend</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2"/>
          <w:w w:val="102"/>
          <w:sz w:val="22"/>
          <w:szCs w:val="22"/>
        </w:rPr>
        <w:t xml:space="preserve">ciclo </w:t>
      </w:r>
      <w:r w:rsidRPr="00EC452A">
        <w:rPr>
          <w:rFonts w:ascii="Arial" w:eastAsia="Arial" w:hAnsi="Arial" w:cs="Arial"/>
          <w:spacing w:val="-1"/>
          <w:sz w:val="22"/>
          <w:szCs w:val="22"/>
        </w:rPr>
        <w:t>productivo</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informe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solicit</w:t>
      </w:r>
      <w:r w:rsidRPr="00EC452A">
        <w:rPr>
          <w:rFonts w:ascii="Arial" w:eastAsia="Arial" w:hAnsi="Arial" w:cs="Arial"/>
          <w:sz w:val="22"/>
          <w:szCs w:val="22"/>
        </w:rPr>
        <w:t>e</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propi</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Asamblea.</w:t>
      </w:r>
    </w:p>
    <w:p w14:paraId="14C7E2E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73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7"/>
          <w:sz w:val="22"/>
          <w:szCs w:val="22"/>
        </w:rPr>
        <w:t xml:space="preserve"> </w:t>
      </w:r>
      <w:r w:rsidRPr="00EC452A">
        <w:rPr>
          <w:rFonts w:ascii="Arial" w:eastAsia="Arial" w:hAnsi="Arial" w:cs="Arial"/>
          <w:sz w:val="22"/>
          <w:szCs w:val="22"/>
        </w:rPr>
        <w:t>Los</w:t>
      </w:r>
      <w:r w:rsidRPr="00EC452A">
        <w:rPr>
          <w:rFonts w:ascii="Arial" w:eastAsia="Arial" w:hAnsi="Arial" w:cs="Arial"/>
          <w:spacing w:val="27"/>
          <w:sz w:val="22"/>
          <w:szCs w:val="22"/>
        </w:rPr>
        <w:t xml:space="preserve"> </w:t>
      </w:r>
      <w:r w:rsidRPr="00EC452A">
        <w:rPr>
          <w:rFonts w:ascii="Arial" w:eastAsia="Arial" w:hAnsi="Arial" w:cs="Arial"/>
          <w:sz w:val="22"/>
          <w:szCs w:val="22"/>
        </w:rPr>
        <w:t>miembros</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Consejos</w:t>
      </w:r>
      <w:r w:rsidRPr="00EC452A">
        <w:rPr>
          <w:rFonts w:ascii="Arial" w:eastAsia="Arial" w:hAnsi="Arial" w:cs="Arial"/>
          <w:spacing w:val="37"/>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Administración</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Vigilancia,</w:t>
      </w:r>
      <w:r w:rsidRPr="00EC452A">
        <w:rPr>
          <w:rFonts w:ascii="Arial" w:eastAsia="Arial" w:hAnsi="Arial" w:cs="Arial"/>
          <w:spacing w:val="38"/>
          <w:sz w:val="22"/>
          <w:szCs w:val="22"/>
        </w:rPr>
        <w:t xml:space="preserve"> </w:t>
      </w:r>
      <w:r w:rsidRPr="00EC452A">
        <w:rPr>
          <w:rFonts w:ascii="Arial" w:eastAsia="Arial" w:hAnsi="Arial" w:cs="Arial"/>
          <w:sz w:val="22"/>
          <w:szCs w:val="22"/>
        </w:rPr>
        <w:t>el</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Administrador </w:t>
      </w:r>
      <w:r w:rsidRPr="00EC452A">
        <w:rPr>
          <w:rFonts w:ascii="Arial" w:eastAsia="Arial" w:hAnsi="Arial" w:cs="Arial"/>
          <w:sz w:val="22"/>
          <w:szCs w:val="22"/>
        </w:rPr>
        <w:t xml:space="preserve">Unico </w:t>
      </w:r>
      <w:r w:rsidRPr="00EC452A">
        <w:rPr>
          <w:rFonts w:ascii="Arial" w:eastAsia="Arial" w:hAnsi="Arial" w:cs="Arial"/>
          <w:spacing w:val="3"/>
          <w:sz w:val="22"/>
          <w:szCs w:val="22"/>
        </w:rPr>
        <w:t xml:space="preserve"> </w:t>
      </w:r>
      <w:r w:rsidRPr="00EC452A">
        <w:rPr>
          <w:rFonts w:ascii="Arial" w:eastAsia="Arial" w:hAnsi="Arial" w:cs="Arial"/>
          <w:sz w:val="22"/>
          <w:szCs w:val="22"/>
        </w:rPr>
        <w:t>y</w:t>
      </w:r>
      <w:r w:rsidRPr="00EC452A">
        <w:rPr>
          <w:rFonts w:ascii="Arial" w:eastAsia="Arial" w:hAnsi="Arial" w:cs="Arial"/>
          <w:spacing w:val="48"/>
          <w:sz w:val="22"/>
          <w:szCs w:val="22"/>
        </w:rPr>
        <w:t xml:space="preserve"> </w:t>
      </w:r>
      <w:r w:rsidRPr="00EC452A">
        <w:rPr>
          <w:rFonts w:ascii="Arial" w:eastAsia="Arial" w:hAnsi="Arial" w:cs="Arial"/>
          <w:sz w:val="22"/>
          <w:szCs w:val="22"/>
        </w:rPr>
        <w:t>los</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gerentes </w:t>
      </w:r>
      <w:r w:rsidRPr="00EC452A">
        <w:rPr>
          <w:rFonts w:ascii="Arial" w:eastAsia="Arial" w:hAnsi="Arial" w:cs="Arial"/>
          <w:spacing w:val="8"/>
          <w:sz w:val="22"/>
          <w:szCs w:val="22"/>
        </w:rPr>
        <w:t xml:space="preserve"> </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directores, </w:t>
      </w:r>
      <w:r w:rsidRPr="00EC452A">
        <w:rPr>
          <w:rFonts w:ascii="Arial" w:eastAsia="Arial" w:hAnsi="Arial" w:cs="Arial"/>
          <w:spacing w:val="11"/>
          <w:sz w:val="22"/>
          <w:szCs w:val="22"/>
        </w:rPr>
        <w:t xml:space="preserve"> </w:t>
      </w:r>
      <w:r w:rsidRPr="00EC452A">
        <w:rPr>
          <w:rFonts w:ascii="Arial" w:eastAsia="Arial" w:hAnsi="Arial" w:cs="Arial"/>
          <w:sz w:val="22"/>
          <w:szCs w:val="22"/>
        </w:rPr>
        <w:t>en</w:t>
      </w:r>
      <w:r w:rsidRPr="00EC452A">
        <w:rPr>
          <w:rFonts w:ascii="Arial" w:eastAsia="Arial" w:hAnsi="Arial" w:cs="Arial"/>
          <w:spacing w:val="50"/>
          <w:sz w:val="22"/>
          <w:szCs w:val="22"/>
        </w:rPr>
        <w:t xml:space="preserve"> </w:t>
      </w:r>
      <w:r w:rsidRPr="00EC452A">
        <w:rPr>
          <w:rFonts w:ascii="Arial" w:eastAsia="Arial" w:hAnsi="Arial" w:cs="Arial"/>
          <w:sz w:val="22"/>
          <w:szCs w:val="22"/>
        </w:rPr>
        <w:t>su</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caso,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participarán </w:t>
      </w:r>
      <w:r w:rsidRPr="00EC452A">
        <w:rPr>
          <w:rFonts w:ascii="Arial" w:eastAsia="Arial" w:hAnsi="Arial" w:cs="Arial"/>
          <w:spacing w:val="13"/>
          <w:sz w:val="22"/>
          <w:szCs w:val="22"/>
        </w:rPr>
        <w:t xml:space="preserve"> </w:t>
      </w:r>
      <w:r w:rsidRPr="00EC452A">
        <w:rPr>
          <w:rFonts w:ascii="Arial" w:eastAsia="Arial" w:hAnsi="Arial" w:cs="Arial"/>
          <w:sz w:val="22"/>
          <w:szCs w:val="22"/>
        </w:rPr>
        <w:t>de</w:t>
      </w:r>
      <w:r w:rsidRPr="00EC452A">
        <w:rPr>
          <w:rFonts w:ascii="Arial" w:eastAsia="Arial" w:hAnsi="Arial" w:cs="Arial"/>
          <w:spacing w:val="50"/>
          <w:sz w:val="22"/>
          <w:szCs w:val="22"/>
        </w:rPr>
        <w:t xml:space="preserve"> </w:t>
      </w:r>
      <w:r w:rsidRPr="00EC452A">
        <w:rPr>
          <w:rFonts w:ascii="Arial" w:eastAsia="Arial" w:hAnsi="Arial" w:cs="Arial"/>
          <w:sz w:val="22"/>
          <w:szCs w:val="22"/>
        </w:rPr>
        <w:t>los</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rendimientos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logr</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1"/>
          <w:sz w:val="22"/>
          <w:szCs w:val="22"/>
        </w:rPr>
        <w:t>Unida</w:t>
      </w:r>
      <w:r w:rsidRPr="00EC452A">
        <w:rPr>
          <w:rFonts w:ascii="Arial" w:eastAsia="Arial" w:hAnsi="Arial" w:cs="Arial"/>
          <w:sz w:val="22"/>
          <w:szCs w:val="22"/>
        </w:rPr>
        <w:t>d</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determin</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General.</w:t>
      </w:r>
    </w:p>
    <w:p w14:paraId="53588FE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74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designar</w:t>
      </w:r>
      <w:r w:rsidRPr="00EC452A">
        <w:rPr>
          <w:rFonts w:ascii="Arial" w:eastAsia="Arial" w:hAnsi="Arial" w:cs="Arial"/>
          <w:sz w:val="22"/>
          <w:szCs w:val="22"/>
        </w:rPr>
        <w:t xml:space="preserve">á </w:t>
      </w:r>
      <w:r w:rsidRPr="00EC452A">
        <w:rPr>
          <w:rFonts w:ascii="Arial" w:eastAsia="Arial" w:hAnsi="Arial" w:cs="Arial"/>
          <w:spacing w:val="4"/>
          <w:sz w:val="22"/>
          <w:szCs w:val="22"/>
        </w:rPr>
        <w:t xml:space="preserve"> </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supervisore</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requieran</w:t>
      </w:r>
      <w:r w:rsidRPr="00EC452A">
        <w:rPr>
          <w:rFonts w:ascii="Arial" w:eastAsia="Arial" w:hAnsi="Arial" w:cs="Arial"/>
          <w:sz w:val="22"/>
          <w:szCs w:val="22"/>
        </w:rPr>
        <w:t xml:space="preserve">,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quiene</w:t>
      </w:r>
      <w:r w:rsidRPr="00EC452A">
        <w:rPr>
          <w:rFonts w:ascii="Arial" w:eastAsia="Arial" w:hAnsi="Arial" w:cs="Arial"/>
          <w:sz w:val="22"/>
          <w:szCs w:val="22"/>
        </w:rPr>
        <w:t xml:space="preserve">s  </w:t>
      </w:r>
      <w:r w:rsidRPr="00EC452A">
        <w:rPr>
          <w:rFonts w:ascii="Arial" w:eastAsia="Arial" w:hAnsi="Arial" w:cs="Arial"/>
          <w:spacing w:val="-2"/>
          <w:sz w:val="22"/>
          <w:szCs w:val="22"/>
        </w:rPr>
        <w:t>tendrá</w:t>
      </w:r>
      <w:r w:rsidRPr="00EC452A">
        <w:rPr>
          <w:rFonts w:ascii="Arial" w:eastAsia="Arial" w:hAnsi="Arial" w:cs="Arial"/>
          <w:sz w:val="22"/>
          <w:szCs w:val="22"/>
        </w:rPr>
        <w:t>n</w:t>
      </w:r>
      <w:r w:rsidRPr="00EC452A">
        <w:rPr>
          <w:rFonts w:ascii="Arial" w:eastAsia="Arial" w:hAnsi="Arial" w:cs="Arial"/>
          <w:spacing w:val="53"/>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2"/>
          <w:sz w:val="22"/>
          <w:szCs w:val="22"/>
        </w:rPr>
        <w:t>obligació</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notifica</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cualquie</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anomalí</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observen.</w:t>
      </w:r>
    </w:p>
    <w:p w14:paraId="0794B463" w14:textId="77777777" w:rsidR="00EC452A" w:rsidRPr="00EC452A" w:rsidRDefault="00EC452A" w:rsidP="00EC452A">
      <w:pPr>
        <w:spacing w:before="100" w:beforeAutospacing="1" w:after="100" w:afterAutospacing="1" w:line="240" w:lineRule="auto"/>
        <w:jc w:val="both"/>
        <w:rPr>
          <w:rFonts w:ascii="Arial" w:eastAsia="Arial" w:hAnsi="Arial" w:cs="Arial"/>
          <w:spacing w:val="-3"/>
          <w:w w:val="102"/>
          <w:sz w:val="22"/>
          <w:szCs w:val="22"/>
        </w:rPr>
      </w:pPr>
      <w:r w:rsidRPr="00EC452A">
        <w:rPr>
          <w:rFonts w:ascii="Arial" w:eastAsia="Arial" w:hAnsi="Arial" w:cs="Arial"/>
          <w:sz w:val="22"/>
          <w:szCs w:val="22"/>
        </w:rPr>
        <w:t>En</w:t>
      </w:r>
      <w:r w:rsidRPr="00EC452A">
        <w:rPr>
          <w:rFonts w:ascii="Arial" w:eastAsia="Arial" w:hAnsi="Arial" w:cs="Arial"/>
          <w:spacing w:val="3"/>
          <w:sz w:val="22"/>
          <w:szCs w:val="22"/>
        </w:rPr>
        <w:t xml:space="preserve"> </w:t>
      </w:r>
      <w:r w:rsidRPr="00EC452A">
        <w:rPr>
          <w:rFonts w:ascii="Arial" w:eastAsia="Arial" w:hAnsi="Arial" w:cs="Arial"/>
          <w:sz w:val="22"/>
          <w:szCs w:val="22"/>
        </w:rPr>
        <w:t>las</w:t>
      </w:r>
      <w:r w:rsidRPr="00EC452A">
        <w:rPr>
          <w:rFonts w:ascii="Arial" w:eastAsia="Arial" w:hAnsi="Arial" w:cs="Arial"/>
          <w:spacing w:val="3"/>
          <w:sz w:val="22"/>
          <w:szCs w:val="22"/>
        </w:rPr>
        <w:t xml:space="preserve"> </w:t>
      </w:r>
      <w:r w:rsidRPr="00EC452A">
        <w:rPr>
          <w:rFonts w:ascii="Arial" w:eastAsia="Arial" w:hAnsi="Arial" w:cs="Arial"/>
          <w:sz w:val="22"/>
          <w:szCs w:val="22"/>
        </w:rPr>
        <w:t>asambleas</w:t>
      </w:r>
      <w:r w:rsidRPr="00EC452A">
        <w:rPr>
          <w:rFonts w:ascii="Arial" w:eastAsia="Arial" w:hAnsi="Arial" w:cs="Arial"/>
          <w:spacing w:val="16"/>
          <w:sz w:val="22"/>
          <w:szCs w:val="22"/>
        </w:rPr>
        <w:t xml:space="preserve"> </w:t>
      </w:r>
      <w:r w:rsidRPr="00EC452A">
        <w:rPr>
          <w:rFonts w:ascii="Arial" w:eastAsia="Arial" w:hAnsi="Arial" w:cs="Arial"/>
          <w:sz w:val="22"/>
          <w:szCs w:val="22"/>
        </w:rPr>
        <w:t>y reuniones</w:t>
      </w:r>
      <w:r w:rsidRPr="00EC452A">
        <w:rPr>
          <w:rFonts w:ascii="Arial" w:eastAsia="Arial" w:hAnsi="Arial" w:cs="Arial"/>
          <w:spacing w:val="15"/>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la</w:t>
      </w:r>
      <w:r w:rsidRPr="00EC452A">
        <w:rPr>
          <w:rFonts w:ascii="Arial" w:eastAsia="Arial" w:hAnsi="Arial" w:cs="Arial"/>
          <w:spacing w:val="1"/>
          <w:sz w:val="22"/>
          <w:szCs w:val="22"/>
        </w:rPr>
        <w:t xml:space="preserve"> </w:t>
      </w:r>
      <w:r w:rsidRPr="00EC452A">
        <w:rPr>
          <w:rFonts w:ascii="Arial" w:eastAsia="Arial" w:hAnsi="Arial" w:cs="Arial"/>
          <w:sz w:val="22"/>
          <w:szCs w:val="22"/>
        </w:rPr>
        <w:t>Asamblea</w:t>
      </w:r>
      <w:r w:rsidRPr="00EC452A">
        <w:rPr>
          <w:rFonts w:ascii="Arial" w:eastAsia="Arial" w:hAnsi="Arial" w:cs="Arial"/>
          <w:spacing w:val="15"/>
          <w:sz w:val="22"/>
          <w:szCs w:val="22"/>
        </w:rPr>
        <w:t xml:space="preserve"> </w:t>
      </w:r>
      <w:r w:rsidRPr="00EC452A">
        <w:rPr>
          <w:rFonts w:ascii="Arial" w:eastAsia="Arial" w:hAnsi="Arial" w:cs="Arial"/>
          <w:sz w:val="22"/>
          <w:szCs w:val="22"/>
        </w:rPr>
        <w:t>General</w:t>
      </w:r>
      <w:r w:rsidRPr="00EC452A">
        <w:rPr>
          <w:rFonts w:ascii="Arial" w:eastAsia="Arial" w:hAnsi="Arial" w:cs="Arial"/>
          <w:spacing w:val="12"/>
          <w:sz w:val="22"/>
          <w:szCs w:val="22"/>
        </w:rPr>
        <w:t xml:space="preserve"> </w:t>
      </w:r>
      <w:r w:rsidRPr="00EC452A">
        <w:rPr>
          <w:rFonts w:ascii="Arial" w:eastAsia="Arial" w:hAnsi="Arial" w:cs="Arial"/>
          <w:sz w:val="22"/>
          <w:szCs w:val="22"/>
        </w:rPr>
        <w:t>y del</w:t>
      </w:r>
      <w:r w:rsidRPr="00EC452A">
        <w:rPr>
          <w:rFonts w:ascii="Arial" w:eastAsia="Arial" w:hAnsi="Arial" w:cs="Arial"/>
          <w:spacing w:val="3"/>
          <w:sz w:val="22"/>
          <w:szCs w:val="22"/>
        </w:rPr>
        <w:t xml:space="preserve"> </w:t>
      </w:r>
      <w:r w:rsidRPr="00EC452A">
        <w:rPr>
          <w:rFonts w:ascii="Arial" w:eastAsia="Arial" w:hAnsi="Arial" w:cs="Arial"/>
          <w:sz w:val="22"/>
          <w:szCs w:val="22"/>
        </w:rPr>
        <w:t>Consejo</w:t>
      </w:r>
      <w:r w:rsidRPr="00EC452A">
        <w:rPr>
          <w:rFonts w:ascii="Arial" w:eastAsia="Arial" w:hAnsi="Arial" w:cs="Arial"/>
          <w:spacing w:val="12"/>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Administración,</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3"/>
          <w:sz w:val="22"/>
          <w:szCs w:val="22"/>
        </w:rPr>
        <w:t>supervisore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3"/>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3"/>
          <w:sz w:val="22"/>
          <w:szCs w:val="22"/>
        </w:rPr>
        <w:t>s</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refier</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3"/>
          <w:sz w:val="22"/>
          <w:szCs w:val="22"/>
        </w:rPr>
        <w:t>est</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3"/>
          <w:sz w:val="22"/>
          <w:szCs w:val="22"/>
        </w:rPr>
        <w:t>artícul</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3"/>
          <w:sz w:val="22"/>
          <w:szCs w:val="22"/>
        </w:rPr>
        <w:t>tendrá</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3"/>
          <w:sz w:val="22"/>
          <w:szCs w:val="22"/>
        </w:rPr>
        <w:t>derech</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3"/>
          <w:sz w:val="22"/>
          <w:szCs w:val="22"/>
        </w:rPr>
        <w:t>vo</w:t>
      </w:r>
      <w:r w:rsidRPr="00EC452A">
        <w:rPr>
          <w:rFonts w:ascii="Arial" w:eastAsia="Arial" w:hAnsi="Arial" w:cs="Arial"/>
          <w:sz w:val="22"/>
          <w:szCs w:val="22"/>
        </w:rPr>
        <w:t>z</w:t>
      </w:r>
      <w:r w:rsidRPr="00EC452A">
        <w:rPr>
          <w:rFonts w:ascii="Arial" w:eastAsia="Arial" w:hAnsi="Arial" w:cs="Arial"/>
          <w:spacing w:val="11"/>
          <w:sz w:val="22"/>
          <w:szCs w:val="22"/>
        </w:rPr>
        <w:t xml:space="preserve"> </w:t>
      </w:r>
      <w:r w:rsidRPr="00EC452A">
        <w:rPr>
          <w:rFonts w:ascii="Arial" w:eastAsia="Arial" w:hAnsi="Arial" w:cs="Arial"/>
          <w:spacing w:val="-3"/>
          <w:sz w:val="22"/>
          <w:szCs w:val="22"/>
        </w:rPr>
        <w:t>per</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3"/>
          <w:sz w:val="22"/>
          <w:szCs w:val="22"/>
        </w:rPr>
        <w:t>n</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3"/>
          <w:w w:val="102"/>
          <w:sz w:val="22"/>
          <w:szCs w:val="22"/>
        </w:rPr>
        <w:t>voto.</w:t>
      </w:r>
    </w:p>
    <w:p w14:paraId="6ED8E0E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75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fina</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ciclo</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elaborará</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bal</w:t>
      </w:r>
      <w:r w:rsidRPr="00EC452A">
        <w:rPr>
          <w:rFonts w:ascii="Arial" w:eastAsia="Arial" w:hAnsi="Arial" w:cs="Arial"/>
          <w:spacing w:val="-2"/>
          <w:sz w:val="22"/>
          <w:szCs w:val="22"/>
        </w:rPr>
        <w:t>anc</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 xml:space="preserve">general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actividade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realizadas</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especificand</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ganancia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pérdida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hubiere</w:t>
      </w:r>
      <w:r w:rsidRPr="00EC452A">
        <w:rPr>
          <w:rFonts w:ascii="Arial" w:eastAsia="Arial" w:hAnsi="Arial" w:cs="Arial"/>
          <w:sz w:val="22"/>
          <w:szCs w:val="22"/>
        </w:rPr>
        <w:t>,</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deberá </w:t>
      </w:r>
      <w:r w:rsidRPr="00EC452A">
        <w:rPr>
          <w:rFonts w:ascii="Arial" w:eastAsia="Arial" w:hAnsi="Arial" w:cs="Arial"/>
          <w:sz w:val="22"/>
          <w:szCs w:val="22"/>
        </w:rPr>
        <w:t>acompañarse</w:t>
      </w:r>
      <w:r w:rsidRPr="00EC452A">
        <w:rPr>
          <w:rFonts w:ascii="Arial" w:eastAsia="Arial" w:hAnsi="Arial" w:cs="Arial"/>
          <w:spacing w:val="20"/>
          <w:sz w:val="22"/>
          <w:szCs w:val="22"/>
        </w:rPr>
        <w:t xml:space="preserve"> </w:t>
      </w:r>
      <w:r w:rsidRPr="00EC452A">
        <w:rPr>
          <w:rFonts w:ascii="Arial" w:eastAsia="Arial" w:hAnsi="Arial" w:cs="Arial"/>
          <w:sz w:val="22"/>
          <w:szCs w:val="22"/>
        </w:rPr>
        <w:t>la justificación</w:t>
      </w:r>
      <w:r w:rsidRPr="00EC452A">
        <w:rPr>
          <w:rFonts w:ascii="Arial" w:eastAsia="Arial" w:hAnsi="Arial" w:cs="Arial"/>
          <w:spacing w:val="17"/>
          <w:sz w:val="22"/>
          <w:szCs w:val="22"/>
        </w:rPr>
        <w:t xml:space="preserve"> </w:t>
      </w:r>
      <w:r w:rsidRPr="00EC452A">
        <w:rPr>
          <w:rFonts w:ascii="Arial" w:eastAsia="Arial" w:hAnsi="Arial" w:cs="Arial"/>
          <w:sz w:val="22"/>
          <w:szCs w:val="22"/>
        </w:rPr>
        <w:t>razonada</w:t>
      </w:r>
      <w:r w:rsidRPr="00EC452A">
        <w:rPr>
          <w:rFonts w:ascii="Arial" w:eastAsia="Arial" w:hAnsi="Arial" w:cs="Arial"/>
          <w:spacing w:val="13"/>
          <w:sz w:val="22"/>
          <w:szCs w:val="22"/>
        </w:rPr>
        <w:t xml:space="preserve"> </w:t>
      </w:r>
      <w:r w:rsidRPr="00EC452A">
        <w:rPr>
          <w:rFonts w:ascii="Arial" w:eastAsia="Arial" w:hAnsi="Arial" w:cs="Arial"/>
          <w:sz w:val="22"/>
          <w:szCs w:val="22"/>
        </w:rPr>
        <w:t>para</w:t>
      </w:r>
      <w:r w:rsidRPr="00EC452A">
        <w:rPr>
          <w:rFonts w:ascii="Arial" w:eastAsia="Arial" w:hAnsi="Arial" w:cs="Arial"/>
          <w:spacing w:val="5"/>
          <w:sz w:val="22"/>
          <w:szCs w:val="22"/>
        </w:rPr>
        <w:t xml:space="preserve"> </w:t>
      </w:r>
      <w:r w:rsidRPr="00EC452A">
        <w:rPr>
          <w:rFonts w:ascii="Arial" w:eastAsia="Arial" w:hAnsi="Arial" w:cs="Arial"/>
          <w:sz w:val="22"/>
          <w:szCs w:val="22"/>
        </w:rPr>
        <w:t>conocimiento</w:t>
      </w:r>
      <w:r w:rsidRPr="00EC452A">
        <w:rPr>
          <w:rFonts w:ascii="Arial" w:eastAsia="Arial" w:hAnsi="Arial" w:cs="Arial"/>
          <w:spacing w:val="19"/>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la Secretaría,</w:t>
      </w:r>
      <w:r w:rsidRPr="00EC452A">
        <w:rPr>
          <w:rFonts w:ascii="Arial" w:eastAsia="Arial" w:hAnsi="Arial" w:cs="Arial"/>
          <w:spacing w:val="16"/>
          <w:sz w:val="22"/>
          <w:szCs w:val="22"/>
        </w:rPr>
        <w:t xml:space="preserve"> </w:t>
      </w:r>
      <w:r w:rsidRPr="00EC452A">
        <w:rPr>
          <w:rFonts w:ascii="Arial" w:eastAsia="Arial" w:hAnsi="Arial" w:cs="Arial"/>
          <w:sz w:val="22"/>
          <w:szCs w:val="22"/>
        </w:rPr>
        <w:t>la que</w:t>
      </w:r>
      <w:r w:rsidRPr="00EC452A">
        <w:rPr>
          <w:rFonts w:ascii="Arial" w:eastAsia="Arial" w:hAnsi="Arial" w:cs="Arial"/>
          <w:spacing w:val="3"/>
          <w:sz w:val="22"/>
          <w:szCs w:val="22"/>
        </w:rPr>
        <w:t xml:space="preserve"> </w:t>
      </w:r>
      <w:r w:rsidRPr="00EC452A">
        <w:rPr>
          <w:rFonts w:ascii="Arial" w:eastAsia="Arial" w:hAnsi="Arial" w:cs="Arial"/>
          <w:sz w:val="22"/>
          <w:szCs w:val="22"/>
        </w:rPr>
        <w:t>solicitará</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z w:val="22"/>
          <w:szCs w:val="22"/>
        </w:rPr>
        <w:t>comprobaciones</w:t>
      </w:r>
      <w:r w:rsidRPr="00EC452A">
        <w:rPr>
          <w:rFonts w:ascii="Arial" w:eastAsia="Arial" w:hAnsi="Arial" w:cs="Arial"/>
          <w:spacing w:val="35"/>
          <w:sz w:val="22"/>
          <w:szCs w:val="22"/>
        </w:rPr>
        <w:t xml:space="preserve"> </w:t>
      </w:r>
      <w:r w:rsidRPr="00EC452A">
        <w:rPr>
          <w:rFonts w:ascii="Arial" w:eastAsia="Arial" w:hAnsi="Arial" w:cs="Arial"/>
          <w:w w:val="102"/>
          <w:sz w:val="22"/>
          <w:szCs w:val="22"/>
        </w:rPr>
        <w:t>pertinentes.</w:t>
      </w:r>
    </w:p>
    <w:p w14:paraId="1139CF5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solicitud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alguna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 xml:space="preserve">d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proporcionar</w:t>
      </w:r>
      <w:r w:rsidRPr="00EC452A">
        <w:rPr>
          <w:rFonts w:ascii="Arial" w:eastAsia="Arial" w:hAnsi="Arial" w:cs="Arial"/>
          <w:sz w:val="22"/>
          <w:szCs w:val="22"/>
        </w:rPr>
        <w:t xml:space="preserve">á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cost</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pacing w:val="-1"/>
          <w:sz w:val="22"/>
          <w:szCs w:val="22"/>
        </w:rPr>
        <w:t>solicitante</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auditoría.</w:t>
      </w:r>
    </w:p>
    <w:p w14:paraId="71D353E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76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 xml:space="preserve">s   </w:t>
      </w:r>
      <w:r w:rsidRPr="00EC452A">
        <w:rPr>
          <w:rFonts w:ascii="Arial" w:eastAsia="Arial" w:hAnsi="Arial" w:cs="Arial"/>
          <w:spacing w:val="-1"/>
          <w:sz w:val="22"/>
          <w:szCs w:val="22"/>
        </w:rPr>
        <w:t>obtenida</w:t>
      </w:r>
      <w:r w:rsidRPr="00EC452A">
        <w:rPr>
          <w:rFonts w:ascii="Arial" w:eastAsia="Arial" w:hAnsi="Arial" w:cs="Arial"/>
          <w:sz w:val="22"/>
          <w:szCs w:val="22"/>
        </w:rPr>
        <w:t xml:space="preserve">s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 xml:space="preserve">o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balanc</w:t>
      </w:r>
      <w:r w:rsidRPr="00EC452A">
        <w:rPr>
          <w:rFonts w:ascii="Arial" w:eastAsia="Arial" w:hAnsi="Arial" w:cs="Arial"/>
          <w:sz w:val="22"/>
          <w:szCs w:val="22"/>
        </w:rPr>
        <w:t xml:space="preserve">e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aprobad</w:t>
      </w:r>
      <w:r w:rsidRPr="00EC452A">
        <w:rPr>
          <w:rFonts w:ascii="Arial" w:eastAsia="Arial" w:hAnsi="Arial" w:cs="Arial"/>
          <w:sz w:val="22"/>
          <w:szCs w:val="22"/>
        </w:rPr>
        <w:t xml:space="preserve">o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Asamblea </w:t>
      </w:r>
      <w:r w:rsidRPr="00EC452A">
        <w:rPr>
          <w:rFonts w:ascii="Arial" w:eastAsia="Arial" w:hAnsi="Arial" w:cs="Arial"/>
          <w:spacing w:val="-1"/>
          <w:sz w:val="22"/>
          <w:szCs w:val="22"/>
        </w:rPr>
        <w:t>General</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repartida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integrante</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Unidad</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proporció</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aportaciones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z w:val="22"/>
          <w:szCs w:val="22"/>
        </w:rPr>
        <w:t>y</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trabaj</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registrada</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libr</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relativ</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z w:val="22"/>
          <w:szCs w:val="22"/>
        </w:rPr>
        <w:t>y</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valo</w:t>
      </w:r>
      <w:r w:rsidRPr="00EC452A">
        <w:rPr>
          <w:rFonts w:ascii="Arial" w:eastAsia="Arial" w:hAnsi="Arial" w:cs="Arial"/>
          <w:sz w:val="22"/>
          <w:szCs w:val="22"/>
        </w:rPr>
        <w:t>r</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mismas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hay</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asignado.</w:t>
      </w:r>
    </w:p>
    <w:p w14:paraId="5347B4D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77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hace</w:t>
      </w:r>
      <w:r w:rsidRPr="00EC452A">
        <w:rPr>
          <w:rFonts w:ascii="Arial" w:eastAsia="Arial" w:hAnsi="Arial" w:cs="Arial"/>
          <w:sz w:val="22"/>
          <w:szCs w:val="22"/>
        </w:rPr>
        <w:t xml:space="preserve">r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repart</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utilidades</w:t>
      </w:r>
      <w:r w:rsidRPr="00EC452A">
        <w:rPr>
          <w:rFonts w:ascii="Arial" w:eastAsia="Arial" w:hAnsi="Arial" w:cs="Arial"/>
          <w:sz w:val="22"/>
          <w:szCs w:val="22"/>
        </w:rPr>
        <w:t xml:space="preserve">,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tomar</w:t>
      </w:r>
      <w:r w:rsidRPr="00EC452A">
        <w:rPr>
          <w:rFonts w:ascii="Arial" w:eastAsia="Arial" w:hAnsi="Arial" w:cs="Arial"/>
          <w:sz w:val="22"/>
          <w:szCs w:val="22"/>
        </w:rPr>
        <w:t xml:space="preserve">á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cuent</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part</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tengan </w:t>
      </w:r>
      <w:r w:rsidRPr="00EC452A">
        <w:rPr>
          <w:rFonts w:ascii="Arial" w:eastAsia="Arial" w:hAnsi="Arial" w:cs="Arial"/>
          <w:spacing w:val="1"/>
          <w:sz w:val="22"/>
          <w:szCs w:val="22"/>
        </w:rPr>
        <w:t>derech</w:t>
      </w:r>
      <w:r w:rsidRPr="00EC452A">
        <w:rPr>
          <w:rFonts w:ascii="Arial" w:eastAsia="Arial" w:hAnsi="Arial" w:cs="Arial"/>
          <w:sz w:val="22"/>
          <w:szCs w:val="22"/>
        </w:rPr>
        <w:t xml:space="preserve">o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socio</w:t>
      </w:r>
      <w:r w:rsidRPr="00EC452A">
        <w:rPr>
          <w:rFonts w:ascii="Arial" w:eastAsia="Arial" w:hAnsi="Arial" w:cs="Arial"/>
          <w:sz w:val="22"/>
          <w:szCs w:val="22"/>
        </w:rPr>
        <w:t xml:space="preserve">s </w:t>
      </w:r>
      <w:r w:rsidRPr="00EC452A">
        <w:rPr>
          <w:rFonts w:ascii="Arial" w:eastAsia="Arial" w:hAnsi="Arial" w:cs="Arial"/>
          <w:spacing w:val="41"/>
          <w:sz w:val="22"/>
          <w:szCs w:val="22"/>
        </w:rPr>
        <w:t xml:space="preserve"> </w:t>
      </w:r>
      <w:r w:rsidRPr="00EC452A">
        <w:rPr>
          <w:rFonts w:ascii="Arial" w:eastAsia="Arial" w:hAnsi="Arial" w:cs="Arial"/>
          <w:spacing w:val="-3"/>
          <w:sz w:val="22"/>
          <w:szCs w:val="22"/>
        </w:rPr>
        <w:t>q</w:t>
      </w:r>
      <w:r w:rsidRPr="00EC452A">
        <w:rPr>
          <w:rFonts w:ascii="Arial" w:eastAsia="Arial" w:hAnsi="Arial" w:cs="Arial"/>
          <w:spacing w:val="-1"/>
          <w:sz w:val="22"/>
          <w:szCs w:val="22"/>
        </w:rPr>
        <w:t>u</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hubiere</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retirad</w:t>
      </w:r>
      <w:r w:rsidRPr="00EC452A">
        <w:rPr>
          <w:rFonts w:ascii="Arial" w:eastAsia="Arial" w:hAnsi="Arial" w:cs="Arial"/>
          <w:sz w:val="22"/>
          <w:szCs w:val="22"/>
        </w:rPr>
        <w:t xml:space="preserve">o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ante</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finalizar</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ciclo</w:t>
      </w:r>
      <w:r w:rsidRPr="00EC452A">
        <w:rPr>
          <w:rFonts w:ascii="Arial" w:eastAsia="Arial" w:hAnsi="Arial" w:cs="Arial"/>
          <w:sz w:val="22"/>
          <w:szCs w:val="22"/>
        </w:rPr>
        <w:t xml:space="preserve">,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 xml:space="preserve">parte </w:t>
      </w:r>
      <w:r w:rsidRPr="00EC452A">
        <w:rPr>
          <w:rFonts w:ascii="Arial" w:eastAsia="Arial" w:hAnsi="Arial" w:cs="Arial"/>
          <w:spacing w:val="-2"/>
          <w:sz w:val="22"/>
          <w:szCs w:val="22"/>
        </w:rPr>
        <w:t>proporciona</w:t>
      </w:r>
      <w:r w:rsidRPr="00EC452A">
        <w:rPr>
          <w:rFonts w:ascii="Arial" w:eastAsia="Arial" w:hAnsi="Arial" w:cs="Arial"/>
          <w:sz w:val="22"/>
          <w:szCs w:val="22"/>
        </w:rPr>
        <w:t>l</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corresponda.</w:t>
      </w:r>
    </w:p>
    <w:p w14:paraId="00F08A6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78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Cuand</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algun</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miembro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 xml:space="preserve">d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pretend</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retirarse</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presentar</w:t>
      </w:r>
      <w:r w:rsidRPr="00EC452A">
        <w:rPr>
          <w:rFonts w:ascii="Arial" w:eastAsia="Arial" w:hAnsi="Arial" w:cs="Arial"/>
          <w:sz w:val="22"/>
          <w:szCs w:val="22"/>
        </w:rPr>
        <w:t xml:space="preserve">á </w:t>
      </w:r>
      <w:r w:rsidRPr="00EC452A">
        <w:rPr>
          <w:rFonts w:ascii="Arial" w:eastAsia="Arial" w:hAnsi="Arial" w:cs="Arial"/>
          <w:spacing w:val="16"/>
          <w:sz w:val="22"/>
          <w:szCs w:val="22"/>
        </w:rPr>
        <w:t xml:space="preserve"> </w:t>
      </w:r>
      <w:r w:rsidRPr="00EC452A">
        <w:rPr>
          <w:rFonts w:ascii="Arial" w:eastAsia="Arial" w:hAnsi="Arial" w:cs="Arial"/>
          <w:spacing w:val="-2"/>
          <w:w w:val="102"/>
          <w:sz w:val="22"/>
          <w:szCs w:val="22"/>
        </w:rPr>
        <w:t xml:space="preserve">su </w:t>
      </w:r>
      <w:r w:rsidRPr="00EC452A">
        <w:rPr>
          <w:rFonts w:ascii="Arial" w:eastAsia="Arial" w:hAnsi="Arial" w:cs="Arial"/>
          <w:sz w:val="22"/>
          <w:szCs w:val="22"/>
        </w:rPr>
        <w:t xml:space="preserve">solicitud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separación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ante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administradores,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cuales  </w:t>
      </w:r>
      <w:r w:rsidRPr="00EC452A">
        <w:rPr>
          <w:rFonts w:ascii="Arial" w:eastAsia="Arial" w:hAnsi="Arial" w:cs="Arial"/>
          <w:spacing w:val="3"/>
          <w:sz w:val="22"/>
          <w:szCs w:val="22"/>
        </w:rPr>
        <w:t xml:space="preserve"> </w:t>
      </w:r>
      <w:r w:rsidRPr="00EC452A">
        <w:rPr>
          <w:rFonts w:ascii="Arial" w:eastAsia="Arial" w:hAnsi="Arial" w:cs="Arial"/>
          <w:sz w:val="22"/>
          <w:szCs w:val="22"/>
        </w:rPr>
        <w:t>con</w:t>
      </w:r>
      <w:r w:rsidRPr="00EC452A">
        <w:rPr>
          <w:rFonts w:ascii="Arial" w:eastAsia="Arial" w:hAnsi="Arial" w:cs="Arial"/>
          <w:spacing w:val="-2"/>
          <w:sz w:val="22"/>
          <w:szCs w:val="22"/>
        </w:rPr>
        <w:t>vocará</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 xml:space="preserve">Asamblea </w:t>
      </w:r>
      <w:r w:rsidRPr="00EC452A">
        <w:rPr>
          <w:rFonts w:ascii="Arial" w:eastAsia="Arial" w:hAnsi="Arial" w:cs="Arial"/>
          <w:spacing w:val="-1"/>
          <w:sz w:val="22"/>
          <w:szCs w:val="22"/>
        </w:rPr>
        <w:t>General</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resolució</w:t>
      </w:r>
      <w:r w:rsidRPr="00EC452A">
        <w:rPr>
          <w:rFonts w:ascii="Arial" w:eastAsia="Arial" w:hAnsi="Arial" w:cs="Arial"/>
          <w:sz w:val="22"/>
          <w:szCs w:val="22"/>
        </w:rPr>
        <w:t>n</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fuer</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aceptándola</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aproba</w:t>
      </w:r>
      <w:r w:rsidRPr="00EC452A">
        <w:rPr>
          <w:rFonts w:ascii="Arial" w:eastAsia="Arial" w:hAnsi="Arial" w:cs="Arial"/>
          <w:sz w:val="22"/>
          <w:szCs w:val="22"/>
        </w:rPr>
        <w:t>r</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condicione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acepte</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previ</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opinió</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Agraria</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cuand</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trat</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w w:val="102"/>
          <w:sz w:val="22"/>
          <w:szCs w:val="22"/>
        </w:rPr>
        <w:t xml:space="preserve">ejidos </w:t>
      </w:r>
      <w:r w:rsidRPr="00EC452A">
        <w:rPr>
          <w:rFonts w:ascii="Arial" w:eastAsia="Arial" w:hAnsi="Arial" w:cs="Arial"/>
          <w:w w:val="102"/>
          <w:sz w:val="22"/>
          <w:szCs w:val="22"/>
        </w:rPr>
        <w:t>o</w:t>
      </w:r>
      <w:r w:rsidRPr="00EC452A">
        <w:rPr>
          <w:rFonts w:ascii="Arial" w:eastAsia="Arial" w:hAnsi="Arial" w:cs="Arial"/>
          <w:spacing w:val="7"/>
          <w:sz w:val="22"/>
          <w:szCs w:val="22"/>
        </w:rPr>
        <w:t xml:space="preserve"> </w:t>
      </w:r>
      <w:r w:rsidRPr="00EC452A">
        <w:rPr>
          <w:rFonts w:ascii="Arial" w:eastAsia="Arial" w:hAnsi="Arial" w:cs="Arial"/>
          <w:w w:val="102"/>
          <w:sz w:val="22"/>
          <w:szCs w:val="22"/>
        </w:rPr>
        <w:t>comunidades.</w:t>
      </w:r>
    </w:p>
    <w:p w14:paraId="26F92D3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79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e</w:t>
      </w:r>
      <w:r w:rsidRPr="00EC452A">
        <w:rPr>
          <w:rFonts w:ascii="Arial" w:eastAsia="Arial" w:hAnsi="Arial" w:cs="Arial"/>
          <w:w w:val="102"/>
          <w:sz w:val="22"/>
          <w:szCs w:val="22"/>
        </w:rPr>
        <w:t>x</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clusió</w:t>
      </w:r>
      <w:r w:rsidRPr="00EC452A">
        <w:rPr>
          <w:rFonts w:ascii="Arial" w:eastAsia="Arial" w:hAnsi="Arial" w:cs="Arial"/>
          <w:sz w:val="22"/>
          <w:szCs w:val="22"/>
        </w:rPr>
        <w:t>n</w:t>
      </w:r>
      <w:r w:rsidRPr="00EC452A">
        <w:rPr>
          <w:rFonts w:ascii="Arial" w:eastAsia="Arial" w:hAnsi="Arial" w:cs="Arial"/>
          <w:spacing w:val="52"/>
          <w:sz w:val="22"/>
          <w:szCs w:val="22"/>
        </w:rPr>
        <w:t xml:space="preserve"> </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retir</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má</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miembros</w:t>
      </w:r>
      <w:r w:rsidRPr="00EC452A">
        <w:rPr>
          <w:rFonts w:ascii="Arial" w:eastAsia="Arial" w:hAnsi="Arial" w:cs="Arial"/>
          <w:sz w:val="22"/>
          <w:szCs w:val="22"/>
        </w:rPr>
        <w:t xml:space="preserv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d</w:t>
      </w:r>
      <w:r w:rsidRPr="00EC452A">
        <w:rPr>
          <w:rFonts w:ascii="Arial" w:eastAsia="Arial" w:hAnsi="Arial" w:cs="Arial"/>
          <w:spacing w:val="51"/>
          <w:sz w:val="22"/>
          <w:szCs w:val="22"/>
        </w:rPr>
        <w:t xml:space="preserve"> </w:t>
      </w:r>
      <w:r w:rsidRPr="00EC452A">
        <w:rPr>
          <w:rFonts w:ascii="Arial" w:eastAsia="Arial" w:hAnsi="Arial" w:cs="Arial"/>
          <w:spacing w:val="-1"/>
          <w:w w:val="102"/>
          <w:sz w:val="22"/>
          <w:szCs w:val="22"/>
        </w:rPr>
        <w:t xml:space="preserve">podrá </w:t>
      </w:r>
      <w:r w:rsidRPr="00EC452A">
        <w:rPr>
          <w:rFonts w:ascii="Arial" w:eastAsia="Arial" w:hAnsi="Arial" w:cs="Arial"/>
          <w:spacing w:val="-1"/>
          <w:sz w:val="22"/>
          <w:szCs w:val="22"/>
        </w:rPr>
        <w:t>retene</w:t>
      </w:r>
      <w:r w:rsidRPr="00EC452A">
        <w:rPr>
          <w:rFonts w:ascii="Arial" w:eastAsia="Arial" w:hAnsi="Arial" w:cs="Arial"/>
          <w:sz w:val="22"/>
          <w:szCs w:val="22"/>
        </w:rPr>
        <w:t xml:space="preserve">r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part</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aportacione</w:t>
      </w:r>
      <w:r w:rsidRPr="00EC452A">
        <w:rPr>
          <w:rFonts w:ascii="Arial" w:eastAsia="Arial" w:hAnsi="Arial" w:cs="Arial"/>
          <w:sz w:val="22"/>
          <w:szCs w:val="22"/>
        </w:rPr>
        <w:t xml:space="preserve">s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corresponda</w:t>
      </w:r>
      <w:r w:rsidRPr="00EC452A">
        <w:rPr>
          <w:rFonts w:ascii="Arial" w:eastAsia="Arial" w:hAnsi="Arial" w:cs="Arial"/>
          <w:sz w:val="22"/>
          <w:szCs w:val="22"/>
        </w:rPr>
        <w:t xml:space="preserv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hast</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conclui</w:t>
      </w:r>
      <w:r w:rsidRPr="00EC452A">
        <w:rPr>
          <w:rFonts w:ascii="Arial" w:eastAsia="Arial" w:hAnsi="Arial" w:cs="Arial"/>
          <w:sz w:val="22"/>
          <w:szCs w:val="22"/>
        </w:rPr>
        <w:t xml:space="preserve">r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w w:val="102"/>
          <w:sz w:val="22"/>
          <w:szCs w:val="22"/>
        </w:rPr>
        <w:t xml:space="preserve">operaciones </w:t>
      </w:r>
      <w:r w:rsidRPr="00EC452A">
        <w:rPr>
          <w:rFonts w:ascii="Arial" w:eastAsia="Arial" w:hAnsi="Arial" w:cs="Arial"/>
          <w:spacing w:val="-1"/>
          <w:sz w:val="22"/>
          <w:szCs w:val="22"/>
        </w:rPr>
        <w:t>relativa</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trate</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entregándole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oportunida</w:t>
      </w:r>
      <w:r w:rsidRPr="00EC452A">
        <w:rPr>
          <w:rFonts w:ascii="Arial" w:eastAsia="Arial" w:hAnsi="Arial" w:cs="Arial"/>
          <w:sz w:val="22"/>
          <w:szCs w:val="22"/>
        </w:rPr>
        <w:t>d</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part</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cas</w:t>
      </w:r>
      <w:r w:rsidRPr="00EC452A">
        <w:rPr>
          <w:rFonts w:ascii="Arial" w:eastAsia="Arial" w:hAnsi="Arial" w:cs="Arial"/>
          <w:spacing w:val="-38"/>
          <w:sz w:val="22"/>
          <w:szCs w:val="22"/>
        </w:rPr>
        <w:t xml:space="preserve"> </w:t>
      </w:r>
      <w:r w:rsidRPr="00EC452A">
        <w:rPr>
          <w:rFonts w:ascii="Arial" w:eastAsia="Arial" w:hAnsi="Arial" w:cs="Arial"/>
          <w:sz w:val="22"/>
          <w:szCs w:val="22"/>
        </w:rPr>
        <w:t>o</w:t>
      </w:r>
      <w:r w:rsidRPr="00EC452A">
        <w:rPr>
          <w:rFonts w:ascii="Arial" w:eastAsia="Arial" w:hAnsi="Arial" w:cs="Arial"/>
          <w:spacing w:val="6"/>
          <w:sz w:val="22"/>
          <w:szCs w:val="22"/>
        </w:rPr>
        <w:t xml:space="preserve"> </w:t>
      </w:r>
      <w:r w:rsidRPr="00EC452A">
        <w:rPr>
          <w:rFonts w:ascii="Arial" w:eastAsia="Arial" w:hAnsi="Arial" w:cs="Arial"/>
          <w:spacing w:val="-3"/>
          <w:w w:val="102"/>
          <w:sz w:val="22"/>
          <w:szCs w:val="22"/>
        </w:rPr>
        <w:t>proceda.</w:t>
      </w:r>
    </w:p>
    <w:p w14:paraId="404759A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80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fina</w:t>
      </w:r>
      <w:r w:rsidRPr="00EC452A">
        <w:rPr>
          <w:rFonts w:ascii="Arial" w:eastAsia="Arial" w:hAnsi="Arial" w:cs="Arial"/>
          <w:sz w:val="22"/>
          <w:szCs w:val="22"/>
        </w:rPr>
        <w:t>l</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ciclo</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Genera</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acepta</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nuevo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acuerdo</w:t>
      </w:r>
      <w:r w:rsidRPr="00EC452A">
        <w:rPr>
          <w:rFonts w:ascii="Arial" w:eastAsia="Arial" w:hAnsi="Arial" w:cs="Arial"/>
          <w:spacing w:val="33"/>
          <w:sz w:val="22"/>
          <w:szCs w:val="22"/>
        </w:rPr>
        <w:t xml:space="preserve"> </w:t>
      </w:r>
      <w:r w:rsidRPr="00EC452A">
        <w:rPr>
          <w:rFonts w:ascii="Arial" w:eastAsia="Arial" w:hAnsi="Arial" w:cs="Arial"/>
          <w:sz w:val="22"/>
          <w:szCs w:val="22"/>
        </w:rPr>
        <w:t>con</w:t>
      </w:r>
      <w:r w:rsidRPr="00EC452A">
        <w:rPr>
          <w:rFonts w:ascii="Arial" w:eastAsia="Arial" w:hAnsi="Arial" w:cs="Arial"/>
          <w:spacing w:val="25"/>
          <w:sz w:val="22"/>
          <w:szCs w:val="22"/>
        </w:rPr>
        <w:t xml:space="preserve"> </w:t>
      </w:r>
      <w:r w:rsidRPr="00EC452A">
        <w:rPr>
          <w:rFonts w:ascii="Arial" w:eastAsia="Arial" w:hAnsi="Arial" w:cs="Arial"/>
          <w:sz w:val="22"/>
          <w:szCs w:val="22"/>
        </w:rPr>
        <w:t>sus</w:t>
      </w:r>
      <w:r w:rsidRPr="00EC452A">
        <w:rPr>
          <w:rFonts w:ascii="Arial" w:eastAsia="Arial" w:hAnsi="Arial" w:cs="Arial"/>
          <w:spacing w:val="25"/>
          <w:sz w:val="22"/>
          <w:szCs w:val="22"/>
        </w:rPr>
        <w:t xml:space="preserve"> </w:t>
      </w:r>
      <w:r w:rsidRPr="00EC452A">
        <w:rPr>
          <w:rFonts w:ascii="Arial" w:eastAsia="Arial" w:hAnsi="Arial" w:cs="Arial"/>
          <w:sz w:val="22"/>
          <w:szCs w:val="22"/>
        </w:rPr>
        <w:t>estatutos,</w:t>
      </w:r>
      <w:r w:rsidRPr="00EC452A">
        <w:rPr>
          <w:rFonts w:ascii="Arial" w:eastAsia="Arial" w:hAnsi="Arial" w:cs="Arial"/>
          <w:spacing w:val="35"/>
          <w:sz w:val="22"/>
          <w:szCs w:val="22"/>
        </w:rPr>
        <w:t xml:space="preserve"> </w:t>
      </w:r>
      <w:r w:rsidRPr="00EC452A">
        <w:rPr>
          <w:rFonts w:ascii="Arial" w:eastAsia="Arial" w:hAnsi="Arial" w:cs="Arial"/>
          <w:sz w:val="22"/>
          <w:szCs w:val="22"/>
        </w:rPr>
        <w:t>y</w:t>
      </w:r>
      <w:r w:rsidRPr="00EC452A">
        <w:rPr>
          <w:rFonts w:ascii="Arial" w:eastAsia="Arial" w:hAnsi="Arial" w:cs="Arial"/>
          <w:spacing w:val="21"/>
          <w:sz w:val="22"/>
          <w:szCs w:val="22"/>
        </w:rPr>
        <w:t xml:space="preserve"> </w:t>
      </w:r>
      <w:r w:rsidRPr="00EC452A">
        <w:rPr>
          <w:rFonts w:ascii="Arial" w:eastAsia="Arial" w:hAnsi="Arial" w:cs="Arial"/>
          <w:sz w:val="22"/>
          <w:szCs w:val="22"/>
        </w:rPr>
        <w:t>en</w:t>
      </w:r>
      <w:r w:rsidRPr="00EC452A">
        <w:rPr>
          <w:rFonts w:ascii="Arial" w:eastAsia="Arial" w:hAnsi="Arial" w:cs="Arial"/>
          <w:spacing w:val="23"/>
          <w:sz w:val="22"/>
          <w:szCs w:val="22"/>
        </w:rPr>
        <w:t xml:space="preserve"> </w:t>
      </w:r>
      <w:r w:rsidRPr="00EC452A">
        <w:rPr>
          <w:rFonts w:ascii="Arial" w:eastAsia="Arial" w:hAnsi="Arial" w:cs="Arial"/>
          <w:sz w:val="22"/>
          <w:szCs w:val="22"/>
        </w:rPr>
        <w:t>su</w:t>
      </w:r>
      <w:r w:rsidRPr="00EC452A">
        <w:rPr>
          <w:rFonts w:ascii="Arial" w:eastAsia="Arial" w:hAnsi="Arial" w:cs="Arial"/>
          <w:spacing w:val="23"/>
          <w:sz w:val="22"/>
          <w:szCs w:val="22"/>
        </w:rPr>
        <w:t xml:space="preserve"> </w:t>
      </w:r>
      <w:r w:rsidRPr="00EC452A">
        <w:rPr>
          <w:rFonts w:ascii="Arial" w:eastAsia="Arial" w:hAnsi="Arial" w:cs="Arial"/>
          <w:sz w:val="22"/>
          <w:szCs w:val="22"/>
        </w:rPr>
        <w:t>caso</w:t>
      </w:r>
      <w:r w:rsidRPr="00EC452A">
        <w:rPr>
          <w:rFonts w:ascii="Arial" w:eastAsia="Arial" w:hAnsi="Arial" w:cs="Arial"/>
          <w:spacing w:val="27"/>
          <w:sz w:val="22"/>
          <w:szCs w:val="22"/>
        </w:rPr>
        <w:t xml:space="preserve"> </w:t>
      </w:r>
      <w:r w:rsidRPr="00EC452A">
        <w:rPr>
          <w:rFonts w:ascii="Arial" w:eastAsia="Arial" w:hAnsi="Arial" w:cs="Arial"/>
          <w:sz w:val="22"/>
          <w:szCs w:val="22"/>
        </w:rPr>
        <w:t>procederá</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z w:val="22"/>
          <w:szCs w:val="22"/>
        </w:rPr>
        <w:t>registrar</w:t>
      </w:r>
      <w:r w:rsidRPr="00EC452A">
        <w:rPr>
          <w:rFonts w:ascii="Arial" w:eastAsia="Arial" w:hAnsi="Arial" w:cs="Arial"/>
          <w:spacing w:val="33"/>
          <w:sz w:val="22"/>
          <w:szCs w:val="22"/>
        </w:rPr>
        <w:t xml:space="preserve"> </w:t>
      </w:r>
      <w:r w:rsidRPr="00EC452A">
        <w:rPr>
          <w:rFonts w:ascii="Arial" w:eastAsia="Arial" w:hAnsi="Arial" w:cs="Arial"/>
          <w:sz w:val="22"/>
          <w:szCs w:val="22"/>
        </w:rPr>
        <w:t>en</w:t>
      </w:r>
      <w:r w:rsidRPr="00EC452A">
        <w:rPr>
          <w:rFonts w:ascii="Arial" w:eastAsia="Arial" w:hAnsi="Arial" w:cs="Arial"/>
          <w:spacing w:val="23"/>
          <w:sz w:val="22"/>
          <w:szCs w:val="22"/>
        </w:rPr>
        <w:t xml:space="preserve"> </w:t>
      </w:r>
      <w:r w:rsidRPr="00EC452A">
        <w:rPr>
          <w:rFonts w:ascii="Arial" w:eastAsia="Arial" w:hAnsi="Arial" w:cs="Arial"/>
          <w:sz w:val="22"/>
          <w:szCs w:val="22"/>
        </w:rPr>
        <w:t>el</w:t>
      </w:r>
      <w:r w:rsidRPr="00EC452A">
        <w:rPr>
          <w:rFonts w:ascii="Arial" w:eastAsia="Arial" w:hAnsi="Arial" w:cs="Arial"/>
          <w:spacing w:val="22"/>
          <w:sz w:val="22"/>
          <w:szCs w:val="22"/>
        </w:rPr>
        <w:t xml:space="preserve"> </w:t>
      </w:r>
      <w:r w:rsidRPr="00EC452A">
        <w:rPr>
          <w:rFonts w:ascii="Arial" w:eastAsia="Arial" w:hAnsi="Arial" w:cs="Arial"/>
          <w:sz w:val="22"/>
          <w:szCs w:val="22"/>
        </w:rPr>
        <w:t>libro</w:t>
      </w:r>
      <w:r w:rsidRPr="00EC452A">
        <w:rPr>
          <w:rFonts w:ascii="Arial" w:eastAsia="Arial" w:hAnsi="Arial" w:cs="Arial"/>
          <w:spacing w:val="26"/>
          <w:sz w:val="22"/>
          <w:szCs w:val="22"/>
        </w:rPr>
        <w:t xml:space="preserve"> </w:t>
      </w:r>
      <w:r w:rsidRPr="00EC452A">
        <w:rPr>
          <w:rFonts w:ascii="Arial" w:eastAsia="Arial" w:hAnsi="Arial" w:cs="Arial"/>
          <w:sz w:val="22"/>
          <w:szCs w:val="22"/>
        </w:rPr>
        <w:t>respectivo</w:t>
      </w:r>
      <w:r w:rsidRPr="00EC452A">
        <w:rPr>
          <w:rFonts w:ascii="Arial" w:eastAsia="Arial" w:hAnsi="Arial" w:cs="Arial"/>
          <w:spacing w:val="36"/>
          <w:sz w:val="22"/>
          <w:szCs w:val="22"/>
        </w:rPr>
        <w:t xml:space="preserve"> </w:t>
      </w:r>
      <w:r w:rsidRPr="00EC452A">
        <w:rPr>
          <w:rFonts w:ascii="Arial" w:eastAsia="Arial" w:hAnsi="Arial" w:cs="Arial"/>
          <w:sz w:val="22"/>
          <w:szCs w:val="22"/>
        </w:rPr>
        <w:t>la</w:t>
      </w:r>
      <w:r w:rsidRPr="00EC452A">
        <w:rPr>
          <w:rFonts w:ascii="Arial" w:eastAsia="Arial" w:hAnsi="Arial" w:cs="Arial"/>
          <w:spacing w:val="22"/>
          <w:sz w:val="22"/>
          <w:szCs w:val="22"/>
        </w:rPr>
        <w:t xml:space="preserve"> </w:t>
      </w:r>
      <w:r w:rsidRPr="00EC452A">
        <w:rPr>
          <w:rFonts w:ascii="Arial" w:eastAsia="Arial" w:hAnsi="Arial" w:cs="Arial"/>
          <w:sz w:val="22"/>
          <w:szCs w:val="22"/>
        </w:rPr>
        <w:t>calidad</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mont</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aportacione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realicen.</w:t>
      </w:r>
    </w:p>
    <w:p w14:paraId="0C46A75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Artículo</w:t>
      </w:r>
      <w:r w:rsidRPr="00EC452A">
        <w:rPr>
          <w:rFonts w:ascii="Arial" w:eastAsia="Arial" w:hAnsi="Arial" w:cs="Arial"/>
          <w:spacing w:val="50"/>
          <w:sz w:val="22"/>
          <w:szCs w:val="22"/>
        </w:rPr>
        <w:t xml:space="preserve"> </w:t>
      </w:r>
      <w:r w:rsidRPr="00EC452A">
        <w:rPr>
          <w:rFonts w:ascii="Arial" w:eastAsia="Arial" w:hAnsi="Arial" w:cs="Arial"/>
          <w:spacing w:val="-5"/>
          <w:sz w:val="22"/>
          <w:szCs w:val="22"/>
        </w:rPr>
        <w:t>81</w:t>
      </w:r>
      <w:r w:rsidRPr="00EC452A">
        <w:rPr>
          <w:rFonts w:ascii="Arial" w:eastAsia="Arial" w:hAnsi="Arial" w:cs="Arial"/>
          <w:spacing w:val="10"/>
          <w:sz w:val="22"/>
          <w:szCs w:val="22"/>
        </w:rPr>
        <w:t>.</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disolverá</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cancel</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autorizació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para </w:t>
      </w:r>
      <w:r w:rsidRPr="00EC452A">
        <w:rPr>
          <w:rFonts w:ascii="Arial" w:eastAsia="Arial" w:hAnsi="Arial" w:cs="Arial"/>
          <w:spacing w:val="-1"/>
          <w:sz w:val="22"/>
          <w:szCs w:val="22"/>
        </w:rPr>
        <w:t>funcionar</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decisió</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Genera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cualquier</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siguiente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causas:</w:t>
      </w:r>
    </w:p>
    <w:p w14:paraId="0D8E334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Por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voluntad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cuando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menos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dos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terceras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partes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miembros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6"/>
          <w:sz w:val="22"/>
          <w:szCs w:val="22"/>
        </w:rPr>
        <w:t xml:space="preserve"> </w:t>
      </w:r>
      <w:r w:rsidRPr="00EC452A">
        <w:rPr>
          <w:rFonts w:ascii="Arial" w:eastAsia="Arial" w:hAnsi="Arial" w:cs="Arial"/>
          <w:spacing w:val="-60"/>
          <w:w w:val="102"/>
          <w:sz w:val="22"/>
          <w:szCs w:val="22"/>
        </w:rPr>
        <w:t>u</w:t>
      </w:r>
      <w:r w:rsidRPr="00EC452A">
        <w:rPr>
          <w:rFonts w:ascii="Arial" w:eastAsia="Arial" w:hAnsi="Arial" w:cs="Arial"/>
          <w:spacing w:val="-1"/>
          <w:w w:val="102"/>
          <w:sz w:val="22"/>
          <w:szCs w:val="22"/>
        </w:rPr>
        <w:t xml:space="preserve">nidad, </w:t>
      </w:r>
      <w:r w:rsidRPr="00EC452A">
        <w:rPr>
          <w:rFonts w:ascii="Arial" w:eastAsia="Arial" w:hAnsi="Arial" w:cs="Arial"/>
          <w:spacing w:val="-1"/>
          <w:sz w:val="22"/>
          <w:szCs w:val="22"/>
        </w:rPr>
        <w:t>siempr</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afecte</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resultado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productiv</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hubier</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iniciado.</w:t>
      </w:r>
    </w:p>
    <w:p w14:paraId="23513A7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b</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Porqu</w:t>
      </w:r>
      <w:r w:rsidRPr="00EC452A">
        <w:rPr>
          <w:rFonts w:ascii="Arial" w:eastAsia="Arial" w:hAnsi="Arial" w:cs="Arial"/>
          <w:sz w:val="22"/>
          <w:szCs w:val="22"/>
        </w:rPr>
        <w:t>e</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llegu</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consumars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objet</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unidad.</w:t>
      </w:r>
    </w:p>
    <w:p w14:paraId="7E3D297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exist</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impediment</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continua</w:t>
      </w:r>
      <w:r w:rsidRPr="00EC452A">
        <w:rPr>
          <w:rFonts w:ascii="Arial" w:eastAsia="Arial" w:hAnsi="Arial" w:cs="Arial"/>
          <w:sz w:val="22"/>
          <w:szCs w:val="22"/>
        </w:rPr>
        <w:t>r</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operaciones.</w:t>
      </w:r>
    </w:p>
    <w:p w14:paraId="0B6BCD1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82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3"/>
          <w:sz w:val="22"/>
          <w:szCs w:val="22"/>
        </w:rPr>
        <w:t>Secretaría</w:t>
      </w:r>
      <w:r w:rsidRPr="00EC452A">
        <w:rPr>
          <w:rFonts w:ascii="Arial" w:eastAsia="Arial" w:hAnsi="Arial" w:cs="Arial"/>
          <w:sz w:val="22"/>
          <w:szCs w:val="22"/>
        </w:rPr>
        <w:t>,</w:t>
      </w:r>
      <w:r w:rsidRPr="00EC452A">
        <w:rPr>
          <w:rFonts w:ascii="Arial" w:eastAsia="Arial" w:hAnsi="Arial" w:cs="Arial"/>
          <w:spacing w:val="52"/>
          <w:sz w:val="22"/>
          <w:szCs w:val="22"/>
        </w:rPr>
        <w:t xml:space="preserve"> </w:t>
      </w:r>
      <w:r w:rsidRPr="00EC452A">
        <w:rPr>
          <w:rFonts w:ascii="Arial" w:eastAsia="Arial" w:hAnsi="Arial" w:cs="Arial"/>
          <w:spacing w:val="-3"/>
          <w:sz w:val="22"/>
          <w:szCs w:val="22"/>
        </w:rPr>
        <w:t>previ</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3"/>
          <w:sz w:val="22"/>
          <w:szCs w:val="22"/>
        </w:rPr>
        <w:t>avis</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Agraria</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podr</w:t>
      </w:r>
      <w:r w:rsidRPr="00EC452A">
        <w:rPr>
          <w:rFonts w:ascii="Arial" w:eastAsia="Arial" w:hAnsi="Arial" w:cs="Arial"/>
          <w:sz w:val="22"/>
          <w:szCs w:val="22"/>
        </w:rPr>
        <w:t>á</w:t>
      </w:r>
      <w:r w:rsidRPr="00EC452A">
        <w:rPr>
          <w:rFonts w:ascii="Arial" w:eastAsia="Arial" w:hAnsi="Arial" w:cs="Arial"/>
          <w:spacing w:val="40"/>
          <w:sz w:val="22"/>
          <w:szCs w:val="22"/>
        </w:rPr>
        <w:t xml:space="preserve"> </w:t>
      </w:r>
      <w:r w:rsidRPr="00EC452A">
        <w:rPr>
          <w:rFonts w:ascii="Arial" w:eastAsia="Arial" w:hAnsi="Arial" w:cs="Arial"/>
          <w:spacing w:val="-2"/>
          <w:w w:val="102"/>
          <w:sz w:val="22"/>
          <w:szCs w:val="22"/>
        </w:rPr>
        <w:t xml:space="preserve">cancelar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autorizació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otorgad</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funcionamient</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por:</w:t>
      </w:r>
    </w:p>
    <w:p w14:paraId="41A69FC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Desví</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incumplimient</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objetivo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fu</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constituida.</w:t>
      </w:r>
    </w:p>
    <w:p w14:paraId="304C5B4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b)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caso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conflicto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entre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9"/>
          <w:sz w:val="22"/>
          <w:szCs w:val="22"/>
        </w:rPr>
        <w:t xml:space="preserve"> </w:t>
      </w:r>
      <w:r w:rsidRPr="00EC452A">
        <w:rPr>
          <w:rFonts w:ascii="Arial" w:eastAsia="Arial" w:hAnsi="Arial" w:cs="Arial"/>
          <w:sz w:val="22"/>
          <w:szCs w:val="22"/>
        </w:rPr>
        <w:t>participant</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es,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haga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imposible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prosecución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2"/>
          <w:sz w:val="22"/>
          <w:szCs w:val="22"/>
        </w:rPr>
        <w:t>trabajo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Unidad.</w:t>
      </w:r>
    </w:p>
    <w:p w14:paraId="7C567F4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c</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result</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inconvenient</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funcionamiento.</w:t>
      </w:r>
    </w:p>
    <w:p w14:paraId="1D5E4B8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83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terminació</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anticipad</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llevar</w:t>
      </w:r>
      <w:r w:rsidRPr="00EC452A">
        <w:rPr>
          <w:rFonts w:ascii="Arial" w:eastAsia="Arial" w:hAnsi="Arial" w:cs="Arial"/>
          <w:sz w:val="22"/>
          <w:szCs w:val="22"/>
        </w:rPr>
        <w:t xml:space="preserve">á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cab</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acuerdo</w:t>
      </w:r>
      <w:r w:rsidRPr="00EC452A">
        <w:rPr>
          <w:rFonts w:ascii="Arial" w:eastAsia="Arial" w:hAnsi="Arial" w:cs="Arial"/>
          <w:spacing w:val="21"/>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siguientes</w:t>
      </w:r>
      <w:r w:rsidRPr="00EC452A">
        <w:rPr>
          <w:rFonts w:ascii="Arial" w:eastAsia="Arial" w:hAnsi="Arial" w:cs="Arial"/>
          <w:spacing w:val="24"/>
          <w:sz w:val="22"/>
          <w:szCs w:val="22"/>
        </w:rPr>
        <w:t xml:space="preserve"> </w:t>
      </w:r>
      <w:r w:rsidRPr="00EC452A">
        <w:rPr>
          <w:rFonts w:ascii="Arial" w:eastAsia="Arial" w:hAnsi="Arial" w:cs="Arial"/>
          <w:spacing w:val="-15"/>
          <w:w w:val="102"/>
          <w:sz w:val="22"/>
          <w:szCs w:val="22"/>
        </w:rPr>
        <w:t>r</w:t>
      </w:r>
      <w:r w:rsidRPr="00EC452A">
        <w:rPr>
          <w:rFonts w:ascii="Arial" w:eastAsia="Arial" w:hAnsi="Arial" w:cs="Arial"/>
          <w:spacing w:val="1"/>
          <w:w w:val="102"/>
          <w:sz w:val="22"/>
          <w:szCs w:val="22"/>
        </w:rPr>
        <w:t>eglas:</w:t>
      </w:r>
    </w:p>
    <w:p w14:paraId="4584F18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informar</w:t>
      </w:r>
      <w:r w:rsidRPr="00EC452A">
        <w:rPr>
          <w:rFonts w:ascii="Arial" w:eastAsia="Arial" w:hAnsi="Arial" w:cs="Arial"/>
          <w:sz w:val="22"/>
          <w:szCs w:val="22"/>
        </w:rPr>
        <w:t>á</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y a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Reform</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Agrari</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causa</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terminación </w:t>
      </w:r>
      <w:r w:rsidRPr="00EC452A">
        <w:rPr>
          <w:rFonts w:ascii="Arial" w:eastAsia="Arial" w:hAnsi="Arial" w:cs="Arial"/>
          <w:spacing w:val="-1"/>
          <w:sz w:val="22"/>
          <w:szCs w:val="22"/>
        </w:rPr>
        <w:t>anticipada</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acompañand</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propuest</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sujetar</w:t>
      </w:r>
      <w:r w:rsidRPr="00EC452A">
        <w:rPr>
          <w:rFonts w:ascii="Arial" w:eastAsia="Arial" w:hAnsi="Arial" w:cs="Arial"/>
          <w:sz w:val="22"/>
          <w:szCs w:val="22"/>
        </w:rPr>
        <w:t>á</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liquidación.</w:t>
      </w:r>
    </w:p>
    <w:p w14:paraId="1832C6A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b</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fijar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plaz</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máxim</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llev</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cab</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liquidació</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anidad</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2"/>
          <w:sz w:val="22"/>
          <w:szCs w:val="22"/>
        </w:rPr>
        <w:t>plaz</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fij</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á</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prorrogabl</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caus</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w w:val="102"/>
          <w:sz w:val="22"/>
          <w:szCs w:val="22"/>
        </w:rPr>
        <w:t>justificada.</w:t>
      </w:r>
    </w:p>
    <w:p w14:paraId="6EFC8D46"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84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disolve</w:t>
      </w:r>
      <w:r w:rsidRPr="00EC452A">
        <w:rPr>
          <w:rFonts w:ascii="Arial" w:eastAsia="Arial" w:hAnsi="Arial" w:cs="Arial"/>
          <w:sz w:val="22"/>
          <w:szCs w:val="22"/>
        </w:rPr>
        <w:t>r</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d</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Producció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levantar</w:t>
      </w:r>
      <w:r w:rsidRPr="00EC452A">
        <w:rPr>
          <w:rFonts w:ascii="Arial" w:eastAsia="Arial" w:hAnsi="Arial" w:cs="Arial"/>
          <w:sz w:val="22"/>
          <w:szCs w:val="22"/>
        </w:rPr>
        <w:t>á</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act</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presentar</w:t>
      </w:r>
      <w:r w:rsidRPr="00EC452A">
        <w:rPr>
          <w:rFonts w:ascii="Arial" w:eastAsia="Arial" w:hAnsi="Arial" w:cs="Arial"/>
          <w:sz w:val="22"/>
          <w:szCs w:val="22"/>
        </w:rPr>
        <w:t>á</w:t>
      </w:r>
      <w:r w:rsidRPr="00EC452A">
        <w:rPr>
          <w:rFonts w:ascii="Arial" w:eastAsia="Arial" w:hAnsi="Arial" w:cs="Arial"/>
          <w:spacing w:val="48"/>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2"/>
          <w:sz w:val="22"/>
          <w:szCs w:val="22"/>
        </w:rPr>
        <w:t>Secretaría</w:t>
      </w:r>
      <w:r w:rsidRPr="00EC452A">
        <w:rPr>
          <w:rFonts w:ascii="Arial" w:eastAsia="Arial" w:hAnsi="Arial" w:cs="Arial"/>
          <w:sz w:val="22"/>
          <w:szCs w:val="22"/>
        </w:rPr>
        <w:t xml:space="preserve">, </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 xml:space="preserve">n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copi</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 xml:space="preserve">a </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Agraria</w:t>
      </w:r>
      <w:r w:rsidRPr="00EC452A">
        <w:rPr>
          <w:rFonts w:ascii="Arial" w:eastAsia="Arial" w:hAnsi="Arial" w:cs="Arial"/>
          <w:sz w:val="22"/>
          <w:szCs w:val="22"/>
        </w:rPr>
        <w:t xml:space="preserve">,   y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contene</w:t>
      </w:r>
      <w:r w:rsidRPr="00EC452A">
        <w:rPr>
          <w:rFonts w:ascii="Arial" w:eastAsia="Arial" w:hAnsi="Arial" w:cs="Arial"/>
          <w:sz w:val="22"/>
          <w:szCs w:val="22"/>
        </w:rPr>
        <w:t xml:space="preserve">r </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siguiente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puntos:</w:t>
      </w:r>
    </w:p>
    <w:p w14:paraId="69C499A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Causa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terminación.</w:t>
      </w:r>
    </w:p>
    <w:p w14:paraId="3646C89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liquidación.</w:t>
      </w:r>
    </w:p>
    <w:p w14:paraId="5489786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Repart</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utilidades</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caso.</w:t>
      </w:r>
    </w:p>
    <w:p w14:paraId="38DC1E4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Asimismo</w:t>
      </w:r>
      <w:r w:rsidRPr="00EC452A">
        <w:rPr>
          <w:rFonts w:ascii="Arial" w:eastAsia="Arial" w:hAnsi="Arial" w:cs="Arial"/>
          <w:spacing w:val="44"/>
          <w:sz w:val="22"/>
          <w:szCs w:val="22"/>
        </w:rPr>
        <w:t xml:space="preserve"> </w:t>
      </w:r>
      <w:r w:rsidRPr="00EC452A">
        <w:rPr>
          <w:rFonts w:ascii="Arial" w:eastAsia="Arial" w:hAnsi="Arial" w:cs="Arial"/>
          <w:sz w:val="22"/>
          <w:szCs w:val="22"/>
        </w:rPr>
        <w:t>deberán</w:t>
      </w:r>
      <w:r w:rsidRPr="00EC452A">
        <w:rPr>
          <w:rFonts w:ascii="Arial" w:eastAsia="Arial" w:hAnsi="Arial" w:cs="Arial"/>
          <w:spacing w:val="42"/>
          <w:sz w:val="22"/>
          <w:szCs w:val="22"/>
        </w:rPr>
        <w:t xml:space="preserve"> </w:t>
      </w:r>
      <w:r w:rsidRPr="00EC452A">
        <w:rPr>
          <w:rFonts w:ascii="Arial" w:eastAsia="Arial" w:hAnsi="Arial" w:cs="Arial"/>
          <w:sz w:val="22"/>
          <w:szCs w:val="22"/>
        </w:rPr>
        <w:t>anexarse</w:t>
      </w:r>
      <w:r w:rsidRPr="00EC452A">
        <w:rPr>
          <w:rFonts w:ascii="Arial" w:eastAsia="Arial" w:hAnsi="Arial" w:cs="Arial"/>
          <w:spacing w:val="43"/>
          <w:sz w:val="22"/>
          <w:szCs w:val="22"/>
        </w:rPr>
        <w:t xml:space="preserve"> </w:t>
      </w:r>
      <w:r w:rsidRPr="00EC452A">
        <w:rPr>
          <w:rFonts w:ascii="Arial" w:eastAsia="Arial" w:hAnsi="Arial" w:cs="Arial"/>
          <w:sz w:val="22"/>
          <w:szCs w:val="22"/>
        </w:rPr>
        <w:t>al</w:t>
      </w:r>
      <w:r w:rsidRPr="00EC452A">
        <w:rPr>
          <w:rFonts w:ascii="Arial" w:eastAsia="Arial" w:hAnsi="Arial" w:cs="Arial"/>
          <w:spacing w:val="31"/>
          <w:sz w:val="22"/>
          <w:szCs w:val="22"/>
        </w:rPr>
        <w:t xml:space="preserve"> </w:t>
      </w:r>
      <w:r w:rsidRPr="00EC452A">
        <w:rPr>
          <w:rFonts w:ascii="Arial" w:eastAsia="Arial" w:hAnsi="Arial" w:cs="Arial"/>
          <w:sz w:val="22"/>
          <w:szCs w:val="22"/>
        </w:rPr>
        <w:t>acta</w:t>
      </w:r>
      <w:r w:rsidRPr="00EC452A">
        <w:rPr>
          <w:rFonts w:ascii="Arial" w:eastAsia="Arial" w:hAnsi="Arial" w:cs="Arial"/>
          <w:spacing w:val="35"/>
          <w:sz w:val="22"/>
          <w:szCs w:val="22"/>
        </w:rPr>
        <w:t xml:space="preserve"> </w:t>
      </w:r>
      <w:r w:rsidRPr="00EC452A">
        <w:rPr>
          <w:rFonts w:ascii="Arial" w:eastAsia="Arial" w:hAnsi="Arial" w:cs="Arial"/>
          <w:sz w:val="22"/>
          <w:szCs w:val="22"/>
        </w:rPr>
        <w:t>los</w:t>
      </w:r>
      <w:r w:rsidRPr="00EC452A">
        <w:rPr>
          <w:rFonts w:ascii="Arial" w:eastAsia="Arial" w:hAnsi="Arial" w:cs="Arial"/>
          <w:spacing w:val="33"/>
          <w:sz w:val="22"/>
          <w:szCs w:val="22"/>
        </w:rPr>
        <w:t xml:space="preserve"> </w:t>
      </w:r>
      <w:r w:rsidRPr="00EC452A">
        <w:rPr>
          <w:rFonts w:ascii="Arial" w:eastAsia="Arial" w:hAnsi="Arial" w:cs="Arial"/>
          <w:sz w:val="22"/>
          <w:szCs w:val="22"/>
        </w:rPr>
        <w:t>documentos</w:t>
      </w:r>
      <w:r w:rsidRPr="00EC452A">
        <w:rPr>
          <w:rFonts w:ascii="Arial" w:eastAsia="Arial" w:hAnsi="Arial" w:cs="Arial"/>
          <w:spacing w:val="49"/>
          <w:sz w:val="22"/>
          <w:szCs w:val="22"/>
        </w:rPr>
        <w:t xml:space="preserve"> </w:t>
      </w:r>
      <w:r w:rsidRPr="00EC452A">
        <w:rPr>
          <w:rFonts w:ascii="Arial" w:eastAsia="Arial" w:hAnsi="Arial" w:cs="Arial"/>
          <w:sz w:val="22"/>
          <w:szCs w:val="22"/>
        </w:rPr>
        <w:t>contable</w:t>
      </w:r>
      <w:r w:rsidRPr="00EC452A">
        <w:rPr>
          <w:rFonts w:ascii="Arial" w:eastAsia="Arial" w:hAnsi="Arial" w:cs="Arial"/>
          <w:spacing w:val="42"/>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z w:val="22"/>
          <w:szCs w:val="22"/>
        </w:rPr>
        <w:t>la</w:t>
      </w:r>
      <w:r w:rsidRPr="00EC452A">
        <w:rPr>
          <w:rFonts w:ascii="Arial" w:eastAsia="Arial" w:hAnsi="Arial" w:cs="Arial"/>
          <w:spacing w:val="31"/>
          <w:sz w:val="22"/>
          <w:szCs w:val="22"/>
        </w:rPr>
        <w:t xml:space="preserve"> </w:t>
      </w:r>
      <w:r w:rsidRPr="00EC452A">
        <w:rPr>
          <w:rFonts w:ascii="Arial" w:eastAsia="Arial" w:hAnsi="Arial" w:cs="Arial"/>
          <w:sz w:val="22"/>
          <w:szCs w:val="22"/>
        </w:rPr>
        <w:t>lista</w:t>
      </w:r>
      <w:r w:rsidRPr="00EC452A">
        <w:rPr>
          <w:rFonts w:ascii="Arial" w:eastAsia="Arial" w:hAnsi="Arial" w:cs="Arial"/>
          <w:spacing w:val="35"/>
          <w:sz w:val="22"/>
          <w:szCs w:val="22"/>
        </w:rPr>
        <w:t xml:space="preserve"> </w:t>
      </w:r>
      <w:r w:rsidRPr="00EC452A">
        <w:rPr>
          <w:rFonts w:ascii="Arial" w:eastAsia="Arial" w:hAnsi="Arial" w:cs="Arial"/>
          <w:sz w:val="22"/>
          <w:szCs w:val="22"/>
        </w:rPr>
        <w:t>de</w:t>
      </w:r>
      <w:r w:rsidRPr="00EC452A">
        <w:rPr>
          <w:rFonts w:ascii="Arial" w:eastAsia="Arial" w:hAnsi="Arial" w:cs="Arial"/>
          <w:spacing w:val="32"/>
          <w:sz w:val="22"/>
          <w:szCs w:val="22"/>
        </w:rPr>
        <w:t xml:space="preserve"> </w:t>
      </w:r>
      <w:r w:rsidRPr="00EC452A">
        <w:rPr>
          <w:rFonts w:ascii="Arial" w:eastAsia="Arial" w:hAnsi="Arial" w:cs="Arial"/>
          <w:sz w:val="22"/>
          <w:szCs w:val="22"/>
        </w:rPr>
        <w:t>las</w:t>
      </w:r>
      <w:r w:rsidRPr="00EC452A">
        <w:rPr>
          <w:rFonts w:ascii="Arial" w:eastAsia="Arial" w:hAnsi="Arial" w:cs="Arial"/>
          <w:spacing w:val="33"/>
          <w:sz w:val="22"/>
          <w:szCs w:val="22"/>
        </w:rPr>
        <w:t xml:space="preserve"> </w:t>
      </w:r>
      <w:r w:rsidRPr="00EC452A">
        <w:rPr>
          <w:rFonts w:ascii="Arial" w:eastAsia="Arial" w:hAnsi="Arial" w:cs="Arial"/>
          <w:sz w:val="22"/>
          <w:szCs w:val="22"/>
        </w:rPr>
        <w:t>aportaciones</w:t>
      </w:r>
      <w:r w:rsidRPr="00EC452A">
        <w:rPr>
          <w:rFonts w:ascii="Arial" w:eastAsia="Arial" w:hAnsi="Arial" w:cs="Arial"/>
          <w:spacing w:val="50"/>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miembros.</w:t>
      </w:r>
    </w:p>
    <w:p w14:paraId="6F83032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3"/>
          <w:sz w:val="22"/>
          <w:szCs w:val="22"/>
        </w:rPr>
        <w:t>Art</w:t>
      </w:r>
      <w:r w:rsidRPr="00EC452A">
        <w:rPr>
          <w:rFonts w:ascii="Arial" w:eastAsia="Arial" w:hAnsi="Arial" w:cs="Arial"/>
          <w:spacing w:val="-12"/>
          <w:sz w:val="22"/>
          <w:szCs w:val="22"/>
        </w:rPr>
        <w:t>í</w:t>
      </w:r>
      <w:r w:rsidRPr="00EC452A">
        <w:rPr>
          <w:rFonts w:ascii="Arial" w:eastAsia="Arial" w:hAnsi="Arial" w:cs="Arial"/>
          <w:spacing w:val="-2"/>
          <w:sz w:val="22"/>
          <w:szCs w:val="22"/>
        </w:rPr>
        <w:t>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85</w:t>
      </w:r>
      <w:r w:rsidRPr="00EC452A">
        <w:rPr>
          <w:rFonts w:ascii="Arial" w:eastAsia="Arial" w:hAnsi="Arial" w:cs="Arial"/>
          <w:spacing w:val="13"/>
          <w:sz w:val="22"/>
          <w:szCs w:val="22"/>
        </w:rPr>
        <w:t>.</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z w:val="22"/>
          <w:szCs w:val="22"/>
        </w:rPr>
        <w:t>Además</w:t>
      </w:r>
      <w:r w:rsidRPr="00EC452A">
        <w:rPr>
          <w:rFonts w:ascii="Arial" w:eastAsia="Arial" w:hAnsi="Arial" w:cs="Arial"/>
          <w:spacing w:val="33"/>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las</w:t>
      </w:r>
      <w:r w:rsidRPr="00EC452A">
        <w:rPr>
          <w:rFonts w:ascii="Arial" w:eastAsia="Arial" w:hAnsi="Arial" w:cs="Arial"/>
          <w:spacing w:val="24"/>
          <w:sz w:val="22"/>
          <w:szCs w:val="22"/>
        </w:rPr>
        <w:t xml:space="preserve"> </w:t>
      </w:r>
      <w:r w:rsidRPr="00EC452A">
        <w:rPr>
          <w:rFonts w:ascii="Arial" w:eastAsia="Arial" w:hAnsi="Arial" w:cs="Arial"/>
          <w:sz w:val="22"/>
          <w:szCs w:val="22"/>
        </w:rPr>
        <w:t>que</w:t>
      </w:r>
      <w:r w:rsidRPr="00EC452A">
        <w:rPr>
          <w:rFonts w:ascii="Arial" w:eastAsia="Arial" w:hAnsi="Arial" w:cs="Arial"/>
          <w:spacing w:val="25"/>
          <w:sz w:val="22"/>
          <w:szCs w:val="22"/>
        </w:rPr>
        <w:t xml:space="preserve"> </w:t>
      </w:r>
      <w:r w:rsidRPr="00EC452A">
        <w:rPr>
          <w:rFonts w:ascii="Arial" w:eastAsia="Arial" w:hAnsi="Arial" w:cs="Arial"/>
          <w:sz w:val="22"/>
          <w:szCs w:val="22"/>
        </w:rPr>
        <w:t>se</w:t>
      </w:r>
      <w:r w:rsidRPr="00EC452A">
        <w:rPr>
          <w:rFonts w:ascii="Arial" w:eastAsia="Arial" w:hAnsi="Arial" w:cs="Arial"/>
          <w:spacing w:val="23"/>
          <w:sz w:val="22"/>
          <w:szCs w:val="22"/>
        </w:rPr>
        <w:t xml:space="preserve"> </w:t>
      </w:r>
      <w:r w:rsidRPr="00EC452A">
        <w:rPr>
          <w:rFonts w:ascii="Arial" w:eastAsia="Arial" w:hAnsi="Arial" w:cs="Arial"/>
          <w:sz w:val="22"/>
          <w:szCs w:val="22"/>
        </w:rPr>
        <w:t>señalen</w:t>
      </w:r>
      <w:r w:rsidRPr="00EC452A">
        <w:rPr>
          <w:rFonts w:ascii="Arial" w:eastAsia="Arial" w:hAnsi="Arial" w:cs="Arial"/>
          <w:spacing w:val="32"/>
          <w:sz w:val="22"/>
          <w:szCs w:val="22"/>
        </w:rPr>
        <w:t xml:space="preserve"> </w:t>
      </w:r>
      <w:r w:rsidRPr="00EC452A">
        <w:rPr>
          <w:rFonts w:ascii="Arial" w:eastAsia="Arial" w:hAnsi="Arial" w:cs="Arial"/>
          <w:sz w:val="22"/>
          <w:szCs w:val="22"/>
        </w:rPr>
        <w:t>en</w:t>
      </w:r>
      <w:r w:rsidRPr="00EC452A">
        <w:rPr>
          <w:rFonts w:ascii="Arial" w:eastAsia="Arial" w:hAnsi="Arial" w:cs="Arial"/>
          <w:spacing w:val="23"/>
          <w:sz w:val="22"/>
          <w:szCs w:val="22"/>
        </w:rPr>
        <w:t xml:space="preserve"> </w:t>
      </w:r>
      <w:r w:rsidRPr="00EC452A">
        <w:rPr>
          <w:rFonts w:ascii="Arial" w:eastAsia="Arial" w:hAnsi="Arial" w:cs="Arial"/>
          <w:sz w:val="22"/>
          <w:szCs w:val="22"/>
        </w:rPr>
        <w:t>los</w:t>
      </w:r>
      <w:r w:rsidRPr="00EC452A">
        <w:rPr>
          <w:rFonts w:ascii="Arial" w:eastAsia="Arial" w:hAnsi="Arial" w:cs="Arial"/>
          <w:spacing w:val="24"/>
          <w:sz w:val="22"/>
          <w:szCs w:val="22"/>
        </w:rPr>
        <w:t xml:space="preserve"> </w:t>
      </w:r>
      <w:r w:rsidRPr="00EC452A">
        <w:rPr>
          <w:rFonts w:ascii="Arial" w:eastAsia="Arial" w:hAnsi="Arial" w:cs="Arial"/>
          <w:sz w:val="22"/>
          <w:szCs w:val="22"/>
        </w:rPr>
        <w:t>estatutos</w:t>
      </w:r>
      <w:r w:rsidRPr="00EC452A">
        <w:rPr>
          <w:rFonts w:ascii="Arial" w:eastAsia="Arial" w:hAnsi="Arial" w:cs="Arial"/>
          <w:spacing w:val="34"/>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las</w:t>
      </w:r>
      <w:r w:rsidRPr="00EC452A">
        <w:rPr>
          <w:rFonts w:ascii="Arial" w:eastAsia="Arial" w:hAnsi="Arial" w:cs="Arial"/>
          <w:spacing w:val="24"/>
          <w:sz w:val="22"/>
          <w:szCs w:val="22"/>
        </w:rPr>
        <w:t xml:space="preserve"> </w:t>
      </w:r>
      <w:r w:rsidRPr="00EC452A">
        <w:rPr>
          <w:rFonts w:ascii="Arial" w:eastAsia="Arial" w:hAnsi="Arial" w:cs="Arial"/>
          <w:sz w:val="22"/>
          <w:szCs w:val="22"/>
        </w:rPr>
        <w:t>unidades</w:t>
      </w:r>
      <w:r w:rsidRPr="00EC452A">
        <w:rPr>
          <w:rFonts w:ascii="Arial" w:eastAsia="Arial" w:hAnsi="Arial" w:cs="Arial"/>
          <w:spacing w:val="34"/>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producción,</w:t>
      </w:r>
      <w:r w:rsidRPr="00EC452A">
        <w:rPr>
          <w:rFonts w:ascii="Arial" w:eastAsia="Arial" w:hAnsi="Arial" w:cs="Arial"/>
          <w:spacing w:val="39"/>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pacing w:val="1"/>
          <w:sz w:val="22"/>
          <w:szCs w:val="22"/>
        </w:rPr>
        <w:t>considerará</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causa</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exclusió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miembros</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siguientes:</w:t>
      </w:r>
    </w:p>
    <w:p w14:paraId="101CDC3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existencia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vicios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ocultos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bienes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aportados,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sean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conocidos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por </w:t>
      </w:r>
      <w:r w:rsidRPr="00EC452A">
        <w:rPr>
          <w:rFonts w:ascii="Arial" w:eastAsia="Arial" w:hAnsi="Arial" w:cs="Arial"/>
          <w:spacing w:val="37"/>
          <w:sz w:val="22"/>
          <w:szCs w:val="22"/>
        </w:rPr>
        <w:t xml:space="preserve"> </w:t>
      </w:r>
      <w:r w:rsidRPr="00EC452A">
        <w:rPr>
          <w:rFonts w:ascii="Arial" w:eastAsia="Arial" w:hAnsi="Arial" w:cs="Arial"/>
          <w:w w:val="102"/>
          <w:sz w:val="22"/>
          <w:szCs w:val="22"/>
        </w:rPr>
        <w:t xml:space="preserve">el </w:t>
      </w:r>
      <w:r w:rsidRPr="00EC452A">
        <w:rPr>
          <w:rFonts w:ascii="Arial" w:eastAsia="Arial" w:hAnsi="Arial" w:cs="Arial"/>
          <w:spacing w:val="-2"/>
          <w:w w:val="102"/>
          <w:sz w:val="22"/>
          <w:szCs w:val="22"/>
        </w:rPr>
        <w:t>aportante.</w:t>
      </w:r>
    </w:p>
    <w:p w14:paraId="3E38025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b</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realizació</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acto</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afecte</w:t>
      </w:r>
      <w:r w:rsidRPr="00EC452A">
        <w:rPr>
          <w:rFonts w:ascii="Arial" w:eastAsia="Arial" w:hAnsi="Arial" w:cs="Arial"/>
          <w:sz w:val="22"/>
          <w:szCs w:val="22"/>
        </w:rPr>
        <w:t xml:space="preserve">n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trabajos</w:t>
      </w:r>
      <w:r w:rsidRPr="00EC452A">
        <w:rPr>
          <w:rFonts w:ascii="Arial" w:eastAsia="Arial" w:hAnsi="Arial" w:cs="Arial"/>
          <w:sz w:val="22"/>
          <w:szCs w:val="22"/>
        </w:rPr>
        <w:t xml:space="preserv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organizació</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4"/>
          <w:w w:val="102"/>
          <w:sz w:val="22"/>
          <w:szCs w:val="22"/>
        </w:rPr>
        <w:t>unidad.</w:t>
      </w:r>
    </w:p>
    <w:p w14:paraId="05BF9D5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oposició</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negativ</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realiza</w:t>
      </w:r>
      <w:r w:rsidRPr="00EC452A">
        <w:rPr>
          <w:rFonts w:ascii="Arial" w:eastAsia="Arial" w:hAnsi="Arial" w:cs="Arial"/>
          <w:sz w:val="22"/>
          <w:szCs w:val="22"/>
        </w:rPr>
        <w:t>r</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lleva</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cab</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producción </w:t>
      </w:r>
      <w:r w:rsidRPr="00EC452A">
        <w:rPr>
          <w:rFonts w:ascii="Arial" w:eastAsia="Arial" w:hAnsi="Arial" w:cs="Arial"/>
          <w:spacing w:val="-3"/>
          <w:sz w:val="22"/>
          <w:szCs w:val="22"/>
        </w:rPr>
        <w:t>qu</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3"/>
          <w:sz w:val="22"/>
          <w:szCs w:val="22"/>
        </w:rPr>
        <w:t>s</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3"/>
          <w:sz w:val="22"/>
          <w:szCs w:val="22"/>
        </w:rPr>
        <w:t>apruebe</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3"/>
          <w:sz w:val="22"/>
          <w:szCs w:val="22"/>
        </w:rPr>
        <w:t>po</w:t>
      </w:r>
      <w:r w:rsidRPr="00EC452A">
        <w:rPr>
          <w:rFonts w:ascii="Arial" w:eastAsia="Arial" w:hAnsi="Arial" w:cs="Arial"/>
          <w:sz w:val="22"/>
          <w:szCs w:val="22"/>
        </w:rPr>
        <w:t>r</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3"/>
          <w:w w:val="102"/>
          <w:sz w:val="22"/>
          <w:szCs w:val="22"/>
        </w:rPr>
        <w:t>unidad.</w:t>
      </w:r>
    </w:p>
    <w:p w14:paraId="2303567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86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procede</w:t>
      </w:r>
      <w:r w:rsidRPr="00EC452A">
        <w:rPr>
          <w:rFonts w:ascii="Arial" w:eastAsia="Arial" w:hAnsi="Arial" w:cs="Arial"/>
          <w:sz w:val="22"/>
          <w:szCs w:val="22"/>
        </w:rPr>
        <w:t xml:space="preserve">r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exclusió</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miembro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 xml:space="preserve">d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w w:val="102"/>
          <w:sz w:val="22"/>
          <w:szCs w:val="22"/>
        </w:rPr>
        <w:t xml:space="preserve">producción, </w:t>
      </w:r>
      <w:r w:rsidRPr="00EC452A">
        <w:rPr>
          <w:rFonts w:ascii="Arial" w:eastAsia="Arial" w:hAnsi="Arial" w:cs="Arial"/>
          <w:spacing w:val="-1"/>
          <w:sz w:val="22"/>
          <w:szCs w:val="22"/>
        </w:rPr>
        <w:t>previament</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levantars</w:t>
      </w:r>
      <w:r w:rsidRPr="00EC452A">
        <w:rPr>
          <w:rFonts w:ascii="Arial" w:eastAsia="Arial" w:hAnsi="Arial" w:cs="Arial"/>
          <w:sz w:val="22"/>
          <w:szCs w:val="22"/>
        </w:rPr>
        <w:t xml:space="preserve">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acta</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administrativa</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necesarias</w:t>
      </w:r>
      <w:r w:rsidRPr="00EC452A">
        <w:rPr>
          <w:rFonts w:ascii="Arial" w:eastAsia="Arial" w:hAnsi="Arial" w:cs="Arial"/>
          <w:sz w:val="22"/>
          <w:szCs w:val="22"/>
        </w:rPr>
        <w:t xml:space="preserve">,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presenci</w:t>
      </w:r>
      <w:r w:rsidRPr="00EC452A">
        <w:rPr>
          <w:rFonts w:ascii="Arial" w:eastAsia="Arial" w:hAnsi="Arial" w:cs="Arial"/>
          <w:sz w:val="22"/>
          <w:szCs w:val="22"/>
        </w:rPr>
        <w:t xml:space="preserve">a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dos </w:t>
      </w:r>
      <w:r w:rsidRPr="00EC452A">
        <w:rPr>
          <w:rFonts w:ascii="Arial" w:eastAsia="Arial" w:hAnsi="Arial" w:cs="Arial"/>
          <w:sz w:val="22"/>
          <w:szCs w:val="22"/>
        </w:rPr>
        <w:t>testigos</w:t>
      </w:r>
      <w:r w:rsidRPr="00EC452A">
        <w:rPr>
          <w:rFonts w:ascii="Arial" w:eastAsia="Arial" w:hAnsi="Arial" w:cs="Arial"/>
          <w:spacing w:val="41"/>
          <w:sz w:val="22"/>
          <w:szCs w:val="22"/>
        </w:rPr>
        <w:t xml:space="preserve"> </w:t>
      </w:r>
      <w:r w:rsidRPr="00EC452A">
        <w:rPr>
          <w:rFonts w:ascii="Arial" w:eastAsia="Arial" w:hAnsi="Arial" w:cs="Arial"/>
          <w:sz w:val="22"/>
          <w:szCs w:val="22"/>
        </w:rPr>
        <w:t>de</w:t>
      </w:r>
      <w:r w:rsidRPr="00EC452A">
        <w:rPr>
          <w:rFonts w:ascii="Arial" w:eastAsia="Arial" w:hAnsi="Arial" w:cs="Arial"/>
          <w:spacing w:val="32"/>
          <w:sz w:val="22"/>
          <w:szCs w:val="22"/>
        </w:rPr>
        <w:t xml:space="preserve"> </w:t>
      </w:r>
      <w:r w:rsidRPr="00EC452A">
        <w:rPr>
          <w:rFonts w:ascii="Arial" w:eastAsia="Arial" w:hAnsi="Arial" w:cs="Arial"/>
          <w:sz w:val="22"/>
          <w:szCs w:val="22"/>
        </w:rPr>
        <w:t>asistencia,</w:t>
      </w:r>
      <w:r w:rsidRPr="00EC452A">
        <w:rPr>
          <w:rFonts w:ascii="Arial" w:eastAsia="Arial" w:hAnsi="Arial" w:cs="Arial"/>
          <w:spacing w:val="46"/>
          <w:sz w:val="22"/>
          <w:szCs w:val="22"/>
        </w:rPr>
        <w:t xml:space="preserve"> </w:t>
      </w:r>
      <w:r w:rsidRPr="00EC452A">
        <w:rPr>
          <w:rFonts w:ascii="Arial" w:eastAsia="Arial" w:hAnsi="Arial" w:cs="Arial"/>
          <w:sz w:val="22"/>
          <w:szCs w:val="22"/>
        </w:rPr>
        <w:t>en</w:t>
      </w:r>
      <w:r w:rsidRPr="00EC452A">
        <w:rPr>
          <w:rFonts w:ascii="Arial" w:eastAsia="Arial" w:hAnsi="Arial" w:cs="Arial"/>
          <w:spacing w:val="32"/>
          <w:sz w:val="22"/>
          <w:szCs w:val="22"/>
        </w:rPr>
        <w:t xml:space="preserve"> </w:t>
      </w:r>
      <w:r w:rsidRPr="00EC452A">
        <w:rPr>
          <w:rFonts w:ascii="Arial" w:eastAsia="Arial" w:hAnsi="Arial" w:cs="Arial"/>
          <w:sz w:val="22"/>
          <w:szCs w:val="22"/>
        </w:rPr>
        <w:t>que</w:t>
      </w:r>
      <w:r w:rsidRPr="00EC452A">
        <w:rPr>
          <w:rFonts w:ascii="Arial" w:eastAsia="Arial" w:hAnsi="Arial" w:cs="Arial"/>
          <w:spacing w:val="34"/>
          <w:sz w:val="22"/>
          <w:szCs w:val="22"/>
        </w:rPr>
        <w:t xml:space="preserve"> </w:t>
      </w:r>
      <w:r w:rsidRPr="00EC452A">
        <w:rPr>
          <w:rFonts w:ascii="Arial" w:eastAsia="Arial" w:hAnsi="Arial" w:cs="Arial"/>
          <w:sz w:val="22"/>
          <w:szCs w:val="22"/>
        </w:rPr>
        <w:t>se</w:t>
      </w:r>
      <w:r w:rsidRPr="00EC452A">
        <w:rPr>
          <w:rFonts w:ascii="Arial" w:eastAsia="Arial" w:hAnsi="Arial" w:cs="Arial"/>
          <w:spacing w:val="32"/>
          <w:sz w:val="22"/>
          <w:szCs w:val="22"/>
        </w:rPr>
        <w:t xml:space="preserve"> </w:t>
      </w:r>
      <w:r w:rsidRPr="00EC452A">
        <w:rPr>
          <w:rFonts w:ascii="Arial" w:eastAsia="Arial" w:hAnsi="Arial" w:cs="Arial"/>
          <w:sz w:val="22"/>
          <w:szCs w:val="22"/>
        </w:rPr>
        <w:t>hagan</w:t>
      </w:r>
      <w:r w:rsidRPr="00EC452A">
        <w:rPr>
          <w:rFonts w:ascii="Arial" w:eastAsia="Arial" w:hAnsi="Arial" w:cs="Arial"/>
          <w:spacing w:val="38"/>
          <w:sz w:val="22"/>
          <w:szCs w:val="22"/>
        </w:rPr>
        <w:t xml:space="preserve"> </w:t>
      </w:r>
      <w:r w:rsidRPr="00EC452A">
        <w:rPr>
          <w:rFonts w:ascii="Arial" w:eastAsia="Arial" w:hAnsi="Arial" w:cs="Arial"/>
          <w:sz w:val="22"/>
          <w:szCs w:val="22"/>
        </w:rPr>
        <w:t>constar</w:t>
      </w:r>
      <w:r w:rsidRPr="00EC452A">
        <w:rPr>
          <w:rFonts w:ascii="Arial" w:eastAsia="Arial" w:hAnsi="Arial" w:cs="Arial"/>
          <w:spacing w:val="40"/>
          <w:sz w:val="22"/>
          <w:szCs w:val="22"/>
        </w:rPr>
        <w:t xml:space="preserve"> </w:t>
      </w:r>
      <w:r w:rsidRPr="00EC452A">
        <w:rPr>
          <w:rFonts w:ascii="Arial" w:eastAsia="Arial" w:hAnsi="Arial" w:cs="Arial"/>
          <w:sz w:val="22"/>
          <w:szCs w:val="22"/>
        </w:rPr>
        <w:t>las</w:t>
      </w:r>
      <w:r w:rsidRPr="00EC452A">
        <w:rPr>
          <w:rFonts w:ascii="Arial" w:eastAsia="Arial" w:hAnsi="Arial" w:cs="Arial"/>
          <w:spacing w:val="33"/>
          <w:sz w:val="22"/>
          <w:szCs w:val="22"/>
        </w:rPr>
        <w:t xml:space="preserve"> </w:t>
      </w:r>
      <w:r w:rsidRPr="00EC452A">
        <w:rPr>
          <w:rFonts w:ascii="Arial" w:eastAsia="Arial" w:hAnsi="Arial" w:cs="Arial"/>
          <w:sz w:val="22"/>
          <w:szCs w:val="22"/>
        </w:rPr>
        <w:t>irregularidades  de</w:t>
      </w:r>
      <w:r w:rsidRPr="00EC452A">
        <w:rPr>
          <w:rFonts w:ascii="Arial" w:eastAsia="Arial" w:hAnsi="Arial" w:cs="Arial"/>
          <w:spacing w:val="32"/>
          <w:sz w:val="22"/>
          <w:szCs w:val="22"/>
        </w:rPr>
        <w:t xml:space="preserve"> </w:t>
      </w:r>
      <w:r w:rsidRPr="00EC452A">
        <w:rPr>
          <w:rFonts w:ascii="Arial" w:eastAsia="Arial" w:hAnsi="Arial" w:cs="Arial"/>
          <w:sz w:val="22"/>
          <w:szCs w:val="22"/>
        </w:rPr>
        <w:t>que</w:t>
      </w:r>
      <w:r w:rsidRPr="00EC452A">
        <w:rPr>
          <w:rFonts w:ascii="Arial" w:eastAsia="Arial" w:hAnsi="Arial" w:cs="Arial"/>
          <w:spacing w:val="34"/>
          <w:sz w:val="22"/>
          <w:szCs w:val="22"/>
        </w:rPr>
        <w:t xml:space="preserve"> </w:t>
      </w:r>
      <w:r w:rsidRPr="00EC452A">
        <w:rPr>
          <w:rFonts w:ascii="Arial" w:eastAsia="Arial" w:hAnsi="Arial" w:cs="Arial"/>
          <w:sz w:val="22"/>
          <w:szCs w:val="22"/>
        </w:rPr>
        <w:t>se</w:t>
      </w:r>
      <w:r w:rsidRPr="00EC452A">
        <w:rPr>
          <w:rFonts w:ascii="Arial" w:eastAsia="Arial" w:hAnsi="Arial" w:cs="Arial"/>
          <w:spacing w:val="32"/>
          <w:sz w:val="22"/>
          <w:szCs w:val="22"/>
        </w:rPr>
        <w:t xml:space="preserve"> </w:t>
      </w:r>
      <w:r w:rsidRPr="00EC452A">
        <w:rPr>
          <w:rFonts w:ascii="Arial" w:eastAsia="Arial" w:hAnsi="Arial" w:cs="Arial"/>
          <w:sz w:val="22"/>
          <w:szCs w:val="22"/>
        </w:rPr>
        <w:t>trate,</w:t>
      </w:r>
      <w:r w:rsidRPr="00EC452A">
        <w:rPr>
          <w:rFonts w:ascii="Arial" w:eastAsia="Arial" w:hAnsi="Arial" w:cs="Arial"/>
          <w:spacing w:val="36"/>
          <w:sz w:val="22"/>
          <w:szCs w:val="22"/>
        </w:rPr>
        <w:t xml:space="preserve"> </w:t>
      </w:r>
      <w:r w:rsidRPr="00EC452A">
        <w:rPr>
          <w:rFonts w:ascii="Arial" w:eastAsia="Arial" w:hAnsi="Arial" w:cs="Arial"/>
          <w:sz w:val="22"/>
          <w:szCs w:val="22"/>
        </w:rPr>
        <w:t>las</w:t>
      </w:r>
      <w:r w:rsidRPr="00EC452A">
        <w:rPr>
          <w:rFonts w:ascii="Arial" w:eastAsia="Arial" w:hAnsi="Arial" w:cs="Arial"/>
          <w:spacing w:val="33"/>
          <w:sz w:val="22"/>
          <w:szCs w:val="22"/>
        </w:rPr>
        <w:t xml:space="preserve"> </w:t>
      </w:r>
      <w:r w:rsidRPr="00EC452A">
        <w:rPr>
          <w:rFonts w:ascii="Arial" w:eastAsia="Arial" w:hAnsi="Arial" w:cs="Arial"/>
          <w:w w:val="102"/>
          <w:sz w:val="22"/>
          <w:szCs w:val="22"/>
        </w:rPr>
        <w:t xml:space="preserve">cuales </w:t>
      </w:r>
      <w:r w:rsidRPr="00EC452A">
        <w:rPr>
          <w:rFonts w:ascii="Arial" w:eastAsia="Arial" w:hAnsi="Arial" w:cs="Arial"/>
          <w:sz w:val="22"/>
          <w:szCs w:val="22"/>
        </w:rPr>
        <w:t xml:space="preserve">se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someterán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consideración </w:t>
      </w:r>
      <w:r w:rsidRPr="00EC452A">
        <w:rPr>
          <w:rFonts w:ascii="Arial" w:eastAsia="Arial" w:hAnsi="Arial" w:cs="Arial"/>
          <w:spacing w:val="8"/>
          <w:sz w:val="22"/>
          <w:szCs w:val="22"/>
        </w:rPr>
        <w:t xml:space="preserve"> </w:t>
      </w:r>
      <w:r w:rsidRPr="00EC452A">
        <w:rPr>
          <w:rFonts w:ascii="Arial" w:eastAsia="Arial" w:hAnsi="Arial" w:cs="Arial"/>
          <w:sz w:val="22"/>
          <w:szCs w:val="22"/>
        </w:rPr>
        <w:t>de</w:t>
      </w:r>
      <w:r w:rsidRPr="00EC452A">
        <w:rPr>
          <w:rFonts w:ascii="Arial" w:eastAsia="Arial" w:hAnsi="Arial" w:cs="Arial"/>
          <w:spacing w:val="42"/>
          <w:sz w:val="22"/>
          <w:szCs w:val="22"/>
        </w:rPr>
        <w:t xml:space="preserve"> </w:t>
      </w:r>
      <w:r w:rsidRPr="00EC452A">
        <w:rPr>
          <w:rFonts w:ascii="Arial" w:eastAsia="Arial" w:hAnsi="Arial" w:cs="Arial"/>
          <w:sz w:val="22"/>
          <w:szCs w:val="22"/>
        </w:rPr>
        <w:t>la</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asamblea </w:t>
      </w:r>
      <w:r w:rsidRPr="00EC452A">
        <w:rPr>
          <w:rFonts w:ascii="Arial" w:eastAsia="Arial" w:hAnsi="Arial" w:cs="Arial"/>
          <w:spacing w:val="1"/>
          <w:sz w:val="22"/>
          <w:szCs w:val="22"/>
        </w:rPr>
        <w:t xml:space="preserve"> </w:t>
      </w:r>
      <w:r w:rsidRPr="00EC452A">
        <w:rPr>
          <w:rFonts w:ascii="Arial" w:eastAsia="Arial" w:hAnsi="Arial" w:cs="Arial"/>
          <w:sz w:val="22"/>
          <w:szCs w:val="22"/>
        </w:rPr>
        <w:t>general,</w:t>
      </w:r>
      <w:r w:rsidRPr="00EC452A">
        <w:rPr>
          <w:rFonts w:ascii="Arial" w:eastAsia="Arial" w:hAnsi="Arial" w:cs="Arial"/>
          <w:spacing w:val="52"/>
          <w:sz w:val="22"/>
          <w:szCs w:val="22"/>
        </w:rPr>
        <w:t xml:space="preserve"> </w:t>
      </w:r>
      <w:r w:rsidRPr="00EC452A">
        <w:rPr>
          <w:rFonts w:ascii="Arial" w:eastAsia="Arial" w:hAnsi="Arial" w:cs="Arial"/>
          <w:sz w:val="22"/>
          <w:szCs w:val="22"/>
        </w:rPr>
        <w:t>con</w:t>
      </w:r>
      <w:r w:rsidRPr="00EC452A">
        <w:rPr>
          <w:rFonts w:ascii="Arial" w:eastAsia="Arial" w:hAnsi="Arial" w:cs="Arial"/>
          <w:spacing w:val="44"/>
          <w:sz w:val="22"/>
          <w:szCs w:val="22"/>
        </w:rPr>
        <w:t xml:space="preserve"> </w:t>
      </w:r>
      <w:r w:rsidRPr="00EC452A">
        <w:rPr>
          <w:rFonts w:ascii="Arial" w:eastAsia="Arial" w:hAnsi="Arial" w:cs="Arial"/>
          <w:sz w:val="22"/>
          <w:szCs w:val="22"/>
        </w:rPr>
        <w:t>la</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presentación </w:t>
      </w:r>
      <w:r w:rsidRPr="00EC452A">
        <w:rPr>
          <w:rFonts w:ascii="Arial" w:eastAsia="Arial" w:hAnsi="Arial" w:cs="Arial"/>
          <w:spacing w:val="7"/>
          <w:sz w:val="22"/>
          <w:szCs w:val="22"/>
        </w:rPr>
        <w:t xml:space="preserve"> </w:t>
      </w:r>
      <w:r w:rsidRPr="00EC452A">
        <w:rPr>
          <w:rFonts w:ascii="Arial" w:eastAsia="Arial" w:hAnsi="Arial" w:cs="Arial"/>
          <w:sz w:val="22"/>
          <w:szCs w:val="22"/>
        </w:rPr>
        <w:t>de</w:t>
      </w:r>
      <w:r w:rsidRPr="00EC452A">
        <w:rPr>
          <w:rFonts w:ascii="Arial" w:eastAsia="Arial" w:hAnsi="Arial" w:cs="Arial"/>
          <w:spacing w:val="42"/>
          <w:sz w:val="22"/>
          <w:szCs w:val="22"/>
        </w:rPr>
        <w:t xml:space="preserve"> </w:t>
      </w:r>
      <w:r w:rsidRPr="00EC452A">
        <w:rPr>
          <w:rFonts w:ascii="Arial" w:eastAsia="Arial" w:hAnsi="Arial" w:cs="Arial"/>
          <w:sz w:val="22"/>
          <w:szCs w:val="22"/>
        </w:rPr>
        <w:t>los</w:t>
      </w:r>
      <w:r w:rsidRPr="00EC452A">
        <w:rPr>
          <w:rFonts w:ascii="Arial" w:eastAsia="Arial" w:hAnsi="Arial" w:cs="Arial"/>
          <w:spacing w:val="43"/>
          <w:sz w:val="22"/>
          <w:szCs w:val="22"/>
        </w:rPr>
        <w:t xml:space="preserve"> </w:t>
      </w:r>
      <w:r w:rsidRPr="00EC452A">
        <w:rPr>
          <w:rFonts w:ascii="Arial" w:eastAsia="Arial" w:hAnsi="Arial" w:cs="Arial"/>
          <w:sz w:val="22"/>
          <w:szCs w:val="22"/>
        </w:rPr>
        <w:t>testigos</w:t>
      </w:r>
      <w:r w:rsidRPr="00EC452A">
        <w:rPr>
          <w:rFonts w:ascii="Arial" w:eastAsia="Arial" w:hAnsi="Arial" w:cs="Arial"/>
          <w:spacing w:val="5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perito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proced</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citació</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persona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interesad</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oído.</w:t>
      </w:r>
    </w:p>
    <w:p w14:paraId="5217E5F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Un</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ve</w:t>
      </w:r>
      <w:r w:rsidRPr="00EC452A">
        <w:rPr>
          <w:rFonts w:ascii="Arial" w:eastAsia="Arial" w:hAnsi="Arial" w:cs="Arial"/>
          <w:sz w:val="22"/>
          <w:szCs w:val="22"/>
        </w:rPr>
        <w:t xml:space="preserve">z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votad</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exclusió</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genera</w:t>
      </w:r>
      <w:r w:rsidRPr="00EC452A">
        <w:rPr>
          <w:rFonts w:ascii="Arial" w:eastAsia="Arial" w:hAnsi="Arial" w:cs="Arial"/>
          <w:sz w:val="22"/>
          <w:szCs w:val="22"/>
        </w:rPr>
        <w:t xml:space="preserve">l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someter</w:t>
      </w:r>
      <w:r w:rsidRPr="00EC452A">
        <w:rPr>
          <w:rFonts w:ascii="Arial" w:eastAsia="Arial" w:hAnsi="Arial" w:cs="Arial"/>
          <w:sz w:val="22"/>
          <w:szCs w:val="22"/>
        </w:rPr>
        <w:t xml:space="preserve">á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consideració</w:t>
      </w:r>
      <w:r w:rsidRPr="00EC452A">
        <w:rPr>
          <w:rFonts w:ascii="Arial" w:eastAsia="Arial" w:hAnsi="Arial" w:cs="Arial"/>
          <w:sz w:val="22"/>
          <w:szCs w:val="22"/>
        </w:rPr>
        <w:t xml:space="preserve">n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w w:val="102"/>
          <w:sz w:val="22"/>
          <w:szCs w:val="22"/>
        </w:rPr>
        <w:t>Secretaría.</w:t>
      </w:r>
    </w:p>
    <w:p w14:paraId="79DF434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87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excluido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derech</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oportunidad</w:t>
      </w:r>
      <w:r w:rsidRPr="00EC452A">
        <w:rPr>
          <w:rFonts w:ascii="Arial" w:eastAsia="Arial" w:hAnsi="Arial" w:cs="Arial"/>
          <w:sz w:val="22"/>
          <w:szCs w:val="22"/>
        </w:rPr>
        <w:t>,</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cubran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corresponda</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embargo</w:t>
      </w:r>
      <w:r w:rsidRPr="00EC452A">
        <w:rPr>
          <w:rFonts w:ascii="Arial" w:eastAsia="Arial" w:hAnsi="Arial" w:cs="Arial"/>
          <w:sz w:val="22"/>
          <w:szCs w:val="22"/>
        </w:rPr>
        <w:t xml:space="preserv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ésta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reteners</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su </w:t>
      </w:r>
      <w:r w:rsidRPr="00EC452A">
        <w:rPr>
          <w:rFonts w:ascii="Arial" w:eastAsia="Arial" w:hAnsi="Arial" w:cs="Arial"/>
          <w:spacing w:val="-1"/>
          <w:sz w:val="22"/>
          <w:szCs w:val="22"/>
        </w:rPr>
        <w:t>aplicació</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daño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hubiera</w:t>
      </w:r>
      <w:r w:rsidRPr="00EC452A">
        <w:rPr>
          <w:rFonts w:ascii="Arial" w:eastAsia="Arial" w:hAnsi="Arial" w:cs="Arial"/>
          <w:sz w:val="22"/>
          <w:szCs w:val="22"/>
        </w:rPr>
        <w:t xml:space="preserve">n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ocasionado</w:t>
      </w:r>
      <w:r w:rsidRPr="00EC452A">
        <w:rPr>
          <w:rFonts w:ascii="Arial" w:eastAsia="Arial" w:hAnsi="Arial" w:cs="Arial"/>
          <w:sz w:val="22"/>
          <w:szCs w:val="22"/>
        </w:rPr>
        <w:t xml:space="preserv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fijará</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w w:val="102"/>
          <w:sz w:val="22"/>
          <w:szCs w:val="22"/>
        </w:rPr>
        <w:t xml:space="preserve">común </w:t>
      </w:r>
      <w:r w:rsidRPr="00EC452A">
        <w:rPr>
          <w:rFonts w:ascii="Arial" w:eastAsia="Arial" w:hAnsi="Arial" w:cs="Arial"/>
          <w:spacing w:val="-1"/>
          <w:sz w:val="22"/>
          <w:szCs w:val="22"/>
        </w:rPr>
        <w:lastRenderedPageBreak/>
        <w:t>acuerd</w:t>
      </w:r>
      <w:r w:rsidRPr="00EC452A">
        <w:rPr>
          <w:rFonts w:ascii="Arial" w:eastAsia="Arial" w:hAnsi="Arial" w:cs="Arial"/>
          <w:sz w:val="22"/>
          <w:szCs w:val="22"/>
        </w:rPr>
        <w:t xml:space="preserve">o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miembr</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excluid</w:t>
      </w:r>
      <w:r w:rsidRPr="00EC452A">
        <w:rPr>
          <w:rFonts w:ascii="Arial" w:eastAsia="Arial" w:hAnsi="Arial" w:cs="Arial"/>
          <w:sz w:val="22"/>
          <w:szCs w:val="22"/>
        </w:rPr>
        <w:t xml:space="preserve">o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administració</w:t>
      </w:r>
      <w:r w:rsidRPr="00EC452A">
        <w:rPr>
          <w:rFonts w:ascii="Arial" w:eastAsia="Arial" w:hAnsi="Arial" w:cs="Arial"/>
          <w:sz w:val="22"/>
          <w:szCs w:val="22"/>
        </w:rPr>
        <w:t xml:space="preserve">n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 xml:space="preserve">d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bien</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 xml:space="preserve">existir </w:t>
      </w:r>
      <w:r w:rsidRPr="00EC452A">
        <w:rPr>
          <w:rFonts w:ascii="Arial" w:eastAsia="Arial" w:hAnsi="Arial" w:cs="Arial"/>
          <w:spacing w:val="-1"/>
          <w:sz w:val="22"/>
          <w:szCs w:val="22"/>
        </w:rPr>
        <w:t>acuerdo</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judicial.</w:t>
      </w:r>
    </w:p>
    <w:p w14:paraId="0524B3E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88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administradore</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Administració</w:t>
      </w:r>
      <w:r w:rsidRPr="00EC452A">
        <w:rPr>
          <w:rFonts w:ascii="Arial" w:eastAsia="Arial" w:hAnsi="Arial" w:cs="Arial"/>
          <w:sz w:val="22"/>
          <w:szCs w:val="22"/>
        </w:rPr>
        <w:t xml:space="preserve">n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gestiona</w:t>
      </w:r>
      <w:r w:rsidRPr="00EC452A">
        <w:rPr>
          <w:rFonts w:ascii="Arial" w:eastAsia="Arial" w:hAnsi="Arial" w:cs="Arial"/>
          <w:sz w:val="22"/>
          <w:szCs w:val="22"/>
        </w:rPr>
        <w:t xml:space="preserve">r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autoridade</w:t>
      </w:r>
      <w:r w:rsidRPr="00EC452A">
        <w:rPr>
          <w:rFonts w:ascii="Arial" w:eastAsia="Arial" w:hAnsi="Arial" w:cs="Arial"/>
          <w:sz w:val="22"/>
          <w:szCs w:val="22"/>
        </w:rPr>
        <w:t xml:space="preserve">s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correspondientes</w:t>
      </w:r>
      <w:r w:rsidRPr="00EC452A">
        <w:rPr>
          <w:rFonts w:ascii="Arial" w:eastAsia="Arial" w:hAnsi="Arial" w:cs="Arial"/>
          <w:sz w:val="22"/>
          <w:szCs w:val="22"/>
        </w:rPr>
        <w:t xml:space="preserv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realizació</w:t>
      </w:r>
      <w:r w:rsidRPr="00EC452A">
        <w:rPr>
          <w:rFonts w:ascii="Arial" w:eastAsia="Arial" w:hAnsi="Arial" w:cs="Arial"/>
          <w:sz w:val="22"/>
          <w:szCs w:val="22"/>
        </w:rPr>
        <w:t xml:space="preserve">n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obra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prestació</w:t>
      </w:r>
      <w:r w:rsidRPr="00EC452A">
        <w:rPr>
          <w:rFonts w:ascii="Arial" w:eastAsia="Arial" w:hAnsi="Arial" w:cs="Arial"/>
          <w:sz w:val="22"/>
          <w:szCs w:val="22"/>
        </w:rPr>
        <w:t xml:space="preserve">n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z w:val="22"/>
          <w:szCs w:val="22"/>
        </w:rPr>
        <w:t>beneficien</w:t>
      </w:r>
      <w:r w:rsidRPr="00EC452A">
        <w:rPr>
          <w:rFonts w:ascii="Arial" w:eastAsia="Arial" w:hAnsi="Arial" w:cs="Arial"/>
          <w:spacing w:val="24"/>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asociados</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sus</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familias.</w:t>
      </w:r>
    </w:p>
    <w:p w14:paraId="6C15F53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2"/>
          <w:w w:val="102"/>
          <w:sz w:val="22"/>
          <w:szCs w:val="22"/>
        </w:rPr>
        <w:t>89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z w:val="22"/>
          <w:szCs w:val="22"/>
        </w:rPr>
        <w:t>Podrá</w:t>
      </w:r>
      <w:r w:rsidRPr="00EC452A">
        <w:rPr>
          <w:rFonts w:ascii="Arial" w:eastAsia="Arial" w:hAnsi="Arial" w:cs="Arial"/>
          <w:spacing w:val="28"/>
          <w:sz w:val="22"/>
          <w:szCs w:val="22"/>
        </w:rPr>
        <w:t xml:space="preserve"> </w:t>
      </w:r>
      <w:r w:rsidRPr="00EC452A">
        <w:rPr>
          <w:rFonts w:ascii="Arial" w:eastAsia="Arial" w:hAnsi="Arial" w:cs="Arial"/>
          <w:sz w:val="22"/>
          <w:szCs w:val="22"/>
        </w:rPr>
        <w:t>autorizarse</w:t>
      </w:r>
      <w:r w:rsidRPr="00EC452A">
        <w:rPr>
          <w:rFonts w:ascii="Arial" w:eastAsia="Arial" w:hAnsi="Arial" w:cs="Arial"/>
          <w:spacing w:val="37"/>
          <w:sz w:val="22"/>
          <w:szCs w:val="22"/>
        </w:rPr>
        <w:t xml:space="preserve"> </w:t>
      </w:r>
      <w:r w:rsidRPr="00EC452A">
        <w:rPr>
          <w:rFonts w:ascii="Arial" w:eastAsia="Arial" w:hAnsi="Arial" w:cs="Arial"/>
          <w:sz w:val="22"/>
          <w:szCs w:val="22"/>
        </w:rPr>
        <w:t>por</w:t>
      </w:r>
      <w:r w:rsidRPr="00EC452A">
        <w:rPr>
          <w:rFonts w:ascii="Arial" w:eastAsia="Arial" w:hAnsi="Arial" w:cs="Arial"/>
          <w:spacing w:val="23"/>
          <w:sz w:val="22"/>
          <w:szCs w:val="22"/>
        </w:rPr>
        <w:t xml:space="preserve"> </w:t>
      </w:r>
      <w:r w:rsidRPr="00EC452A">
        <w:rPr>
          <w:rFonts w:ascii="Arial" w:eastAsia="Arial" w:hAnsi="Arial" w:cs="Arial"/>
          <w:sz w:val="22"/>
          <w:szCs w:val="22"/>
        </w:rPr>
        <w:t>la</w:t>
      </w:r>
      <w:r w:rsidRPr="00EC452A">
        <w:rPr>
          <w:rFonts w:ascii="Arial" w:eastAsia="Arial" w:hAnsi="Arial" w:cs="Arial"/>
          <w:spacing w:val="21"/>
          <w:sz w:val="22"/>
          <w:szCs w:val="22"/>
        </w:rPr>
        <w:t xml:space="preserve"> </w:t>
      </w:r>
      <w:r w:rsidRPr="00EC452A">
        <w:rPr>
          <w:rFonts w:ascii="Arial" w:eastAsia="Arial" w:hAnsi="Arial" w:cs="Arial"/>
          <w:sz w:val="22"/>
          <w:szCs w:val="22"/>
        </w:rPr>
        <w:t>Secretaria</w:t>
      </w:r>
      <w:r w:rsidRPr="00EC452A">
        <w:rPr>
          <w:rFonts w:ascii="Arial" w:eastAsia="Arial" w:hAnsi="Arial" w:cs="Arial"/>
          <w:spacing w:val="35"/>
          <w:sz w:val="22"/>
          <w:szCs w:val="22"/>
        </w:rPr>
        <w:t xml:space="preserve"> </w:t>
      </w:r>
      <w:r w:rsidRPr="00EC452A">
        <w:rPr>
          <w:rFonts w:ascii="Arial" w:eastAsia="Arial" w:hAnsi="Arial" w:cs="Arial"/>
          <w:sz w:val="22"/>
          <w:szCs w:val="22"/>
        </w:rPr>
        <w:t>que</w:t>
      </w:r>
      <w:r w:rsidRPr="00EC452A">
        <w:rPr>
          <w:rFonts w:ascii="Arial" w:eastAsia="Arial" w:hAnsi="Arial" w:cs="Arial"/>
          <w:spacing w:val="24"/>
          <w:sz w:val="22"/>
          <w:szCs w:val="22"/>
        </w:rPr>
        <w:t xml:space="preserve"> </w:t>
      </w:r>
      <w:r w:rsidRPr="00EC452A">
        <w:rPr>
          <w:rFonts w:ascii="Arial" w:eastAsia="Arial" w:hAnsi="Arial" w:cs="Arial"/>
          <w:sz w:val="22"/>
          <w:szCs w:val="22"/>
        </w:rPr>
        <w:t>en</w:t>
      </w:r>
      <w:r w:rsidRPr="00EC452A">
        <w:rPr>
          <w:rFonts w:ascii="Arial" w:eastAsia="Arial" w:hAnsi="Arial" w:cs="Arial"/>
          <w:spacing w:val="22"/>
          <w:sz w:val="22"/>
          <w:szCs w:val="22"/>
        </w:rPr>
        <w:t xml:space="preserve"> </w:t>
      </w:r>
      <w:r w:rsidRPr="00EC452A">
        <w:rPr>
          <w:rFonts w:ascii="Arial" w:eastAsia="Arial" w:hAnsi="Arial" w:cs="Arial"/>
          <w:sz w:val="22"/>
          <w:szCs w:val="22"/>
        </w:rPr>
        <w:t>las</w:t>
      </w:r>
      <w:r w:rsidRPr="00EC452A">
        <w:rPr>
          <w:rFonts w:ascii="Arial" w:eastAsia="Arial" w:hAnsi="Arial" w:cs="Arial"/>
          <w:spacing w:val="23"/>
          <w:sz w:val="22"/>
          <w:szCs w:val="22"/>
        </w:rPr>
        <w:t xml:space="preserve"> </w:t>
      </w:r>
      <w:r w:rsidRPr="00EC452A">
        <w:rPr>
          <w:rFonts w:ascii="Arial" w:eastAsia="Arial" w:hAnsi="Arial" w:cs="Arial"/>
          <w:sz w:val="22"/>
          <w:szCs w:val="22"/>
        </w:rPr>
        <w:t>Unidades</w:t>
      </w:r>
      <w:r w:rsidRPr="00EC452A">
        <w:rPr>
          <w:rFonts w:ascii="Arial" w:eastAsia="Arial" w:hAnsi="Arial" w:cs="Arial"/>
          <w:spacing w:val="34"/>
          <w:sz w:val="22"/>
          <w:szCs w:val="22"/>
        </w:rPr>
        <w:t xml:space="preserve"> </w:t>
      </w:r>
      <w:r w:rsidRPr="00EC452A">
        <w:rPr>
          <w:rFonts w:ascii="Arial" w:eastAsia="Arial" w:hAnsi="Arial" w:cs="Arial"/>
          <w:sz w:val="22"/>
          <w:szCs w:val="22"/>
        </w:rPr>
        <w:t>ya</w:t>
      </w:r>
      <w:r w:rsidRPr="00EC452A">
        <w:rPr>
          <w:rFonts w:ascii="Arial" w:eastAsia="Arial" w:hAnsi="Arial" w:cs="Arial"/>
          <w:spacing w:val="22"/>
          <w:sz w:val="22"/>
          <w:szCs w:val="22"/>
        </w:rPr>
        <w:t xml:space="preserve"> </w:t>
      </w:r>
      <w:r w:rsidRPr="00EC452A">
        <w:rPr>
          <w:rFonts w:ascii="Arial" w:eastAsia="Arial" w:hAnsi="Arial" w:cs="Arial"/>
          <w:sz w:val="22"/>
          <w:szCs w:val="22"/>
        </w:rPr>
        <w:t>constituidas</w:t>
      </w:r>
      <w:r w:rsidRPr="00EC452A">
        <w:rPr>
          <w:rFonts w:ascii="Arial" w:eastAsia="Arial" w:hAnsi="Arial" w:cs="Arial"/>
          <w:spacing w:val="38"/>
          <w:sz w:val="22"/>
          <w:szCs w:val="22"/>
        </w:rPr>
        <w:t xml:space="preserve"> </w:t>
      </w:r>
      <w:r w:rsidRPr="00EC452A">
        <w:rPr>
          <w:rFonts w:ascii="Arial" w:eastAsia="Arial" w:hAnsi="Arial" w:cs="Arial"/>
          <w:sz w:val="22"/>
          <w:szCs w:val="22"/>
        </w:rPr>
        <w:t>se</w:t>
      </w:r>
      <w:r w:rsidRPr="00EC452A">
        <w:rPr>
          <w:rFonts w:ascii="Arial" w:eastAsia="Arial" w:hAnsi="Arial" w:cs="Arial"/>
          <w:spacing w:val="22"/>
          <w:sz w:val="22"/>
          <w:szCs w:val="22"/>
        </w:rPr>
        <w:t xml:space="preserve"> </w:t>
      </w:r>
      <w:r w:rsidRPr="00EC452A">
        <w:rPr>
          <w:rFonts w:ascii="Arial" w:eastAsia="Arial" w:hAnsi="Arial" w:cs="Arial"/>
          <w:w w:val="102"/>
          <w:sz w:val="22"/>
          <w:szCs w:val="22"/>
        </w:rPr>
        <w:t xml:space="preserve">presten </w:t>
      </w:r>
      <w:r w:rsidRPr="00EC452A">
        <w:rPr>
          <w:rFonts w:ascii="Arial" w:eastAsia="Arial" w:hAnsi="Arial" w:cs="Arial"/>
          <w:spacing w:val="-1"/>
          <w:sz w:val="22"/>
          <w:szCs w:val="22"/>
        </w:rPr>
        <w:t>servicio</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ejido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pequeño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propietarios</w:t>
      </w:r>
      <w:r w:rsidRPr="00EC452A">
        <w:rPr>
          <w:rFonts w:ascii="Arial" w:eastAsia="Arial" w:hAnsi="Arial" w:cs="Arial"/>
          <w:sz w:val="22"/>
          <w:szCs w:val="22"/>
        </w:rPr>
        <w:t xml:space="preserv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efect</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alguno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renglone</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 xml:space="preserve">su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pueda</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procesado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Unidad</w:t>
      </w:r>
      <w:r w:rsidRPr="00EC452A">
        <w:rPr>
          <w:rFonts w:ascii="Arial" w:eastAsia="Arial" w:hAnsi="Arial" w:cs="Arial"/>
          <w:sz w:val="22"/>
          <w:szCs w:val="22"/>
        </w:rPr>
        <w:t>,</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mutuament</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w w:val="102"/>
          <w:sz w:val="22"/>
          <w:szCs w:val="22"/>
        </w:rPr>
        <w:t>acuerden.</w:t>
      </w:r>
    </w:p>
    <w:p w14:paraId="216C179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90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z w:val="22"/>
          <w:szCs w:val="22"/>
        </w:rPr>
        <w:t>las</w:t>
      </w:r>
      <w:r w:rsidRPr="00EC452A">
        <w:rPr>
          <w:rFonts w:ascii="Arial" w:eastAsia="Arial" w:hAnsi="Arial" w:cs="Arial"/>
          <w:spacing w:val="40"/>
          <w:sz w:val="22"/>
          <w:szCs w:val="22"/>
        </w:rPr>
        <w:t xml:space="preserve"> </w:t>
      </w:r>
      <w:r w:rsidRPr="00EC452A">
        <w:rPr>
          <w:rFonts w:ascii="Arial" w:eastAsia="Arial" w:hAnsi="Arial" w:cs="Arial"/>
          <w:sz w:val="22"/>
          <w:szCs w:val="22"/>
        </w:rPr>
        <w:t>unidades</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producción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agropecuaria, </w:t>
      </w:r>
      <w:r w:rsidRPr="00EC452A">
        <w:rPr>
          <w:rFonts w:ascii="Arial" w:eastAsia="Arial" w:hAnsi="Arial" w:cs="Arial"/>
          <w:spacing w:val="5"/>
          <w:sz w:val="22"/>
          <w:szCs w:val="22"/>
        </w:rPr>
        <w:t xml:space="preserve"> </w:t>
      </w:r>
      <w:r w:rsidRPr="00EC452A">
        <w:rPr>
          <w:rFonts w:ascii="Arial" w:eastAsia="Arial" w:hAnsi="Arial" w:cs="Arial"/>
          <w:sz w:val="22"/>
          <w:szCs w:val="22"/>
        </w:rPr>
        <w:t>se</w:t>
      </w:r>
      <w:r w:rsidRPr="00EC452A">
        <w:rPr>
          <w:rFonts w:ascii="Arial" w:eastAsia="Arial" w:hAnsi="Arial" w:cs="Arial"/>
          <w:spacing w:val="39"/>
          <w:sz w:val="22"/>
          <w:szCs w:val="22"/>
        </w:rPr>
        <w:t xml:space="preserve"> </w:t>
      </w:r>
      <w:r w:rsidRPr="00EC452A">
        <w:rPr>
          <w:rFonts w:ascii="Arial" w:eastAsia="Arial" w:hAnsi="Arial" w:cs="Arial"/>
          <w:sz w:val="22"/>
          <w:szCs w:val="22"/>
        </w:rPr>
        <w:t>les</w:t>
      </w:r>
      <w:r w:rsidRPr="00EC452A">
        <w:rPr>
          <w:rFonts w:ascii="Arial" w:eastAsia="Arial" w:hAnsi="Arial" w:cs="Arial"/>
          <w:spacing w:val="40"/>
          <w:sz w:val="22"/>
          <w:szCs w:val="22"/>
        </w:rPr>
        <w:t xml:space="preserve"> </w:t>
      </w:r>
      <w:r w:rsidRPr="00EC452A">
        <w:rPr>
          <w:rFonts w:ascii="Arial" w:eastAsia="Arial" w:hAnsi="Arial" w:cs="Arial"/>
          <w:sz w:val="22"/>
          <w:szCs w:val="22"/>
        </w:rPr>
        <w:t>aplicarán,</w:t>
      </w:r>
      <w:r w:rsidRPr="00EC452A">
        <w:rPr>
          <w:rFonts w:ascii="Arial" w:eastAsia="Arial" w:hAnsi="Arial" w:cs="Arial"/>
          <w:spacing w:val="51"/>
          <w:sz w:val="22"/>
          <w:szCs w:val="22"/>
        </w:rPr>
        <w:t xml:space="preserve"> </w:t>
      </w:r>
      <w:r w:rsidRPr="00EC452A">
        <w:rPr>
          <w:rFonts w:ascii="Arial" w:eastAsia="Arial" w:hAnsi="Arial" w:cs="Arial"/>
          <w:sz w:val="22"/>
          <w:szCs w:val="22"/>
        </w:rPr>
        <w:t>en</w:t>
      </w:r>
      <w:r w:rsidRPr="00EC452A">
        <w:rPr>
          <w:rFonts w:ascii="Arial" w:eastAsia="Arial" w:hAnsi="Arial" w:cs="Arial"/>
          <w:spacing w:val="39"/>
          <w:sz w:val="22"/>
          <w:szCs w:val="22"/>
        </w:rPr>
        <w:t xml:space="preserve"> </w:t>
      </w:r>
      <w:r w:rsidRPr="00EC452A">
        <w:rPr>
          <w:rFonts w:ascii="Arial" w:eastAsia="Arial" w:hAnsi="Arial" w:cs="Arial"/>
          <w:sz w:val="22"/>
          <w:szCs w:val="22"/>
        </w:rPr>
        <w:t>lo</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conducentes,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disposiciones</w:t>
      </w:r>
      <w:r w:rsidRPr="00EC452A">
        <w:rPr>
          <w:rFonts w:ascii="Arial" w:eastAsia="Arial" w:hAnsi="Arial" w:cs="Arial"/>
          <w:spacing w:val="3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este</w:t>
      </w:r>
      <w:r w:rsidRPr="00EC452A">
        <w:rPr>
          <w:rFonts w:ascii="Arial" w:eastAsia="Arial" w:hAnsi="Arial" w:cs="Arial"/>
          <w:spacing w:val="14"/>
          <w:sz w:val="22"/>
          <w:szCs w:val="22"/>
        </w:rPr>
        <w:t xml:space="preserve"> </w:t>
      </w:r>
      <w:r w:rsidRPr="00EC452A">
        <w:rPr>
          <w:rFonts w:ascii="Arial" w:eastAsia="Arial" w:hAnsi="Arial" w:cs="Arial"/>
          <w:w w:val="102"/>
          <w:sz w:val="22"/>
          <w:szCs w:val="22"/>
        </w:rPr>
        <w:t>Reg</w:t>
      </w:r>
      <w:r w:rsidRPr="00EC452A">
        <w:rPr>
          <w:rFonts w:ascii="Arial" w:eastAsia="Arial" w:hAnsi="Arial" w:cs="Arial"/>
          <w:spacing w:val="-2"/>
          <w:w w:val="102"/>
          <w:sz w:val="22"/>
          <w:szCs w:val="22"/>
        </w:rPr>
        <w:t>lamento.</w:t>
      </w:r>
    </w:p>
    <w:p w14:paraId="4AD1DE1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91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9"/>
          <w:sz w:val="22"/>
          <w:szCs w:val="22"/>
        </w:rPr>
        <w:t xml:space="preserve"> </w:t>
      </w:r>
      <w:r w:rsidRPr="00EC452A">
        <w:rPr>
          <w:rFonts w:ascii="Arial" w:eastAsia="Arial" w:hAnsi="Arial" w:cs="Arial"/>
          <w:sz w:val="22"/>
          <w:szCs w:val="22"/>
        </w:rPr>
        <w:t>Las</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disposiciones </w:t>
      </w:r>
      <w:r w:rsidRPr="00EC452A">
        <w:rPr>
          <w:rFonts w:ascii="Arial" w:eastAsia="Arial" w:hAnsi="Arial" w:cs="Arial"/>
          <w:spacing w:val="3"/>
          <w:sz w:val="22"/>
          <w:szCs w:val="22"/>
        </w:rPr>
        <w:t xml:space="preserve"> </w:t>
      </w:r>
      <w:r w:rsidRPr="00EC452A">
        <w:rPr>
          <w:rFonts w:ascii="Arial" w:eastAsia="Arial" w:hAnsi="Arial" w:cs="Arial"/>
          <w:sz w:val="22"/>
          <w:szCs w:val="22"/>
        </w:rPr>
        <w:t>contenidas</w:t>
      </w:r>
      <w:r w:rsidRPr="00EC452A">
        <w:rPr>
          <w:rFonts w:ascii="Arial" w:eastAsia="Arial" w:hAnsi="Arial" w:cs="Arial"/>
          <w:spacing w:val="51"/>
          <w:sz w:val="22"/>
          <w:szCs w:val="22"/>
        </w:rPr>
        <w:t xml:space="preserve"> </w:t>
      </w:r>
      <w:r w:rsidRPr="00EC452A">
        <w:rPr>
          <w:rFonts w:ascii="Arial" w:eastAsia="Arial" w:hAnsi="Arial" w:cs="Arial"/>
          <w:sz w:val="22"/>
          <w:szCs w:val="22"/>
        </w:rPr>
        <w:t>en</w:t>
      </w:r>
      <w:r w:rsidRPr="00EC452A">
        <w:rPr>
          <w:rFonts w:ascii="Arial" w:eastAsia="Arial" w:hAnsi="Arial" w:cs="Arial"/>
          <w:spacing w:val="37"/>
          <w:sz w:val="22"/>
          <w:szCs w:val="22"/>
        </w:rPr>
        <w:t xml:space="preserve"> </w:t>
      </w:r>
      <w:r w:rsidRPr="00EC452A">
        <w:rPr>
          <w:rFonts w:ascii="Arial" w:eastAsia="Arial" w:hAnsi="Arial" w:cs="Arial"/>
          <w:sz w:val="22"/>
          <w:szCs w:val="22"/>
        </w:rPr>
        <w:t>este</w:t>
      </w:r>
      <w:r w:rsidRPr="00EC452A">
        <w:rPr>
          <w:rFonts w:ascii="Arial" w:eastAsia="Arial" w:hAnsi="Arial" w:cs="Arial"/>
          <w:spacing w:val="40"/>
          <w:sz w:val="22"/>
          <w:szCs w:val="22"/>
        </w:rPr>
        <w:t xml:space="preserve"> </w:t>
      </w:r>
      <w:r w:rsidRPr="00EC452A">
        <w:rPr>
          <w:rFonts w:ascii="Arial" w:eastAsia="Arial" w:hAnsi="Arial" w:cs="Arial"/>
          <w:sz w:val="22"/>
          <w:szCs w:val="22"/>
        </w:rPr>
        <w:t>Título</w:t>
      </w:r>
      <w:r w:rsidRPr="00EC452A">
        <w:rPr>
          <w:rFonts w:ascii="Arial" w:eastAsia="Arial" w:hAnsi="Arial" w:cs="Arial"/>
          <w:spacing w:val="42"/>
          <w:sz w:val="22"/>
          <w:szCs w:val="22"/>
        </w:rPr>
        <w:t xml:space="preserve"> </w:t>
      </w:r>
      <w:r w:rsidRPr="00EC452A">
        <w:rPr>
          <w:rFonts w:ascii="Arial" w:eastAsia="Arial" w:hAnsi="Arial" w:cs="Arial"/>
          <w:sz w:val="22"/>
          <w:szCs w:val="22"/>
        </w:rPr>
        <w:t>serán</w:t>
      </w:r>
      <w:r w:rsidRPr="00EC452A">
        <w:rPr>
          <w:rFonts w:ascii="Arial" w:eastAsia="Arial" w:hAnsi="Arial" w:cs="Arial"/>
          <w:spacing w:val="42"/>
          <w:sz w:val="22"/>
          <w:szCs w:val="22"/>
        </w:rPr>
        <w:t xml:space="preserve"> </w:t>
      </w:r>
      <w:r w:rsidRPr="00EC452A">
        <w:rPr>
          <w:rFonts w:ascii="Arial" w:eastAsia="Arial" w:hAnsi="Arial" w:cs="Arial"/>
          <w:sz w:val="22"/>
          <w:szCs w:val="22"/>
        </w:rPr>
        <w:t>asimismo</w:t>
      </w:r>
      <w:r w:rsidRPr="00EC452A">
        <w:rPr>
          <w:rFonts w:ascii="Arial" w:eastAsia="Arial" w:hAnsi="Arial" w:cs="Arial"/>
          <w:spacing w:val="49"/>
          <w:sz w:val="22"/>
          <w:szCs w:val="22"/>
        </w:rPr>
        <w:t xml:space="preserve"> </w:t>
      </w:r>
      <w:r w:rsidRPr="00EC452A">
        <w:rPr>
          <w:rFonts w:ascii="Arial" w:eastAsia="Arial" w:hAnsi="Arial" w:cs="Arial"/>
          <w:sz w:val="22"/>
          <w:szCs w:val="22"/>
        </w:rPr>
        <w:t>aplicables</w:t>
      </w:r>
      <w:r w:rsidRPr="00EC452A">
        <w:rPr>
          <w:rFonts w:ascii="Arial" w:eastAsia="Arial" w:hAnsi="Arial" w:cs="Arial"/>
          <w:spacing w:val="50"/>
          <w:sz w:val="22"/>
          <w:szCs w:val="22"/>
        </w:rPr>
        <w:t xml:space="preserve"> </w:t>
      </w:r>
      <w:r w:rsidRPr="00EC452A">
        <w:rPr>
          <w:rFonts w:ascii="Arial" w:eastAsia="Arial" w:hAnsi="Arial" w:cs="Arial"/>
          <w:sz w:val="22"/>
          <w:szCs w:val="22"/>
        </w:rPr>
        <w:t>en</w:t>
      </w:r>
      <w:r w:rsidRPr="00EC452A">
        <w:rPr>
          <w:rFonts w:ascii="Arial" w:eastAsia="Arial" w:hAnsi="Arial" w:cs="Arial"/>
          <w:spacing w:val="37"/>
          <w:sz w:val="22"/>
          <w:szCs w:val="22"/>
        </w:rPr>
        <w:t xml:space="preserve"> </w:t>
      </w:r>
      <w:r w:rsidRPr="00EC452A">
        <w:rPr>
          <w:rFonts w:ascii="Arial" w:eastAsia="Arial" w:hAnsi="Arial" w:cs="Arial"/>
          <w:sz w:val="22"/>
          <w:szCs w:val="22"/>
        </w:rPr>
        <w:t>lo</w:t>
      </w:r>
      <w:r w:rsidRPr="00EC452A">
        <w:rPr>
          <w:rFonts w:ascii="Arial" w:eastAsia="Arial" w:hAnsi="Arial" w:cs="Arial"/>
          <w:spacing w:val="36"/>
          <w:sz w:val="22"/>
          <w:szCs w:val="22"/>
        </w:rPr>
        <w:t xml:space="preserve"> </w:t>
      </w:r>
      <w:r w:rsidRPr="00EC452A">
        <w:rPr>
          <w:rFonts w:ascii="Arial" w:eastAsia="Arial" w:hAnsi="Arial" w:cs="Arial"/>
          <w:w w:val="102"/>
          <w:sz w:val="22"/>
          <w:szCs w:val="22"/>
        </w:rPr>
        <w:t xml:space="preserve">que </w:t>
      </w:r>
      <w:r w:rsidRPr="00EC452A">
        <w:rPr>
          <w:rFonts w:ascii="Arial" w:eastAsia="Arial" w:hAnsi="Arial" w:cs="Arial"/>
          <w:spacing w:val="-1"/>
          <w:sz w:val="22"/>
          <w:szCs w:val="22"/>
        </w:rPr>
        <w:t>proced</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ganadera</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integrars</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sz w:val="22"/>
          <w:szCs w:val="22"/>
        </w:rPr>
        <w:t>únicament</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aporte</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ganado</w:t>
      </w:r>
      <w:r w:rsidRPr="00EC452A">
        <w:rPr>
          <w:rFonts w:ascii="Arial" w:eastAsia="Arial" w:hAnsi="Arial" w:cs="Arial"/>
          <w:sz w:val="22"/>
          <w:szCs w:val="22"/>
        </w:rPr>
        <w:t>,</w:t>
      </w:r>
      <w:r w:rsidRPr="00EC452A">
        <w:rPr>
          <w:rFonts w:ascii="Arial" w:eastAsia="Arial" w:hAnsi="Arial" w:cs="Arial"/>
          <w:spacing w:val="20"/>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tierra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agostadero.</w:t>
      </w:r>
    </w:p>
    <w:p w14:paraId="7041D0D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92</w:t>
      </w:r>
      <w:r w:rsidRPr="00EC452A">
        <w:rPr>
          <w:rFonts w:ascii="Arial" w:eastAsia="Arial" w:hAnsi="Arial" w:cs="Arial"/>
          <w:spacing w:val="6"/>
          <w:sz w:val="22"/>
          <w:szCs w:val="22"/>
        </w:rPr>
        <w:t>.</w:t>
      </w:r>
      <w:r w:rsidRPr="00EC452A">
        <w:rPr>
          <w:rFonts w:ascii="Arial" w:eastAsia="Arial" w:hAnsi="Arial" w:cs="Arial"/>
          <w:sz w:val="22"/>
          <w:szCs w:val="22"/>
        </w:rPr>
        <w:t xml:space="preserve">-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términos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artículo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38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Ley,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conflictos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entre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partes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pacing w:val="-1"/>
          <w:sz w:val="22"/>
          <w:szCs w:val="22"/>
        </w:rPr>
        <w:t>indefinició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relativo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 xml:space="preserve">resueltos </w:t>
      </w:r>
      <w:r w:rsidRPr="00EC452A">
        <w:rPr>
          <w:rFonts w:ascii="Arial" w:eastAsia="Arial" w:hAnsi="Arial" w:cs="Arial"/>
          <w:spacing w:val="-1"/>
          <w:sz w:val="22"/>
          <w:szCs w:val="22"/>
        </w:rPr>
        <w:t>administrativament</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quie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todo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tomar</w:t>
      </w:r>
      <w:r w:rsidRPr="00EC452A">
        <w:rPr>
          <w:rFonts w:ascii="Arial" w:eastAsia="Arial" w:hAnsi="Arial" w:cs="Arial"/>
          <w:sz w:val="22"/>
          <w:szCs w:val="22"/>
        </w:rPr>
        <w:t>á</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cuent</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w w:val="102"/>
          <w:sz w:val="22"/>
          <w:szCs w:val="22"/>
        </w:rPr>
        <w:t xml:space="preserve">dispuesto </w:t>
      </w:r>
      <w:r w:rsidRPr="00EC452A">
        <w:rPr>
          <w:rFonts w:ascii="Arial" w:eastAsia="Arial" w:hAnsi="Arial" w:cs="Arial"/>
          <w:spacing w:val="-3"/>
          <w:sz w:val="22"/>
          <w:szCs w:val="22"/>
        </w:rPr>
        <w:t>e</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Ley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actas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constitutivas,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así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como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hechos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tenga </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conocimiento, </w:t>
      </w:r>
      <w:r w:rsidRPr="00EC452A">
        <w:rPr>
          <w:rFonts w:ascii="Arial" w:eastAsia="Arial" w:hAnsi="Arial" w:cs="Arial"/>
          <w:sz w:val="22"/>
          <w:szCs w:val="22"/>
        </w:rPr>
        <w:t>conforme</w:t>
      </w:r>
      <w:r w:rsidRPr="00EC452A">
        <w:rPr>
          <w:rFonts w:ascii="Arial" w:eastAsia="Arial" w:hAnsi="Arial" w:cs="Arial"/>
          <w:spacing w:val="23"/>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siguientes</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bases:</w:t>
      </w:r>
    </w:p>
    <w:p w14:paraId="27F6136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5"/>
          <w:sz w:val="22"/>
          <w:szCs w:val="22"/>
        </w:rPr>
        <w:t>1a</w:t>
      </w:r>
      <w:r w:rsidRPr="00EC452A">
        <w:rPr>
          <w:rFonts w:ascii="Arial" w:eastAsia="Arial" w:hAnsi="Arial" w:cs="Arial"/>
          <w:spacing w:val="10"/>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En</w:t>
      </w:r>
      <w:r w:rsidRPr="00EC452A">
        <w:rPr>
          <w:rFonts w:ascii="Arial" w:eastAsia="Arial" w:hAnsi="Arial" w:cs="Arial"/>
          <w:spacing w:val="36"/>
          <w:sz w:val="22"/>
          <w:szCs w:val="22"/>
        </w:rPr>
        <w:t xml:space="preserve"> </w:t>
      </w:r>
      <w:r w:rsidRPr="00EC452A">
        <w:rPr>
          <w:rFonts w:ascii="Arial" w:eastAsia="Arial" w:hAnsi="Arial" w:cs="Arial"/>
          <w:sz w:val="22"/>
          <w:szCs w:val="22"/>
        </w:rPr>
        <w:t>el</w:t>
      </w:r>
      <w:r w:rsidRPr="00EC452A">
        <w:rPr>
          <w:rFonts w:ascii="Arial" w:eastAsia="Arial" w:hAnsi="Arial" w:cs="Arial"/>
          <w:spacing w:val="28"/>
          <w:sz w:val="22"/>
          <w:szCs w:val="22"/>
        </w:rPr>
        <w:t xml:space="preserve"> </w:t>
      </w:r>
      <w:r w:rsidRPr="00EC452A">
        <w:rPr>
          <w:rFonts w:ascii="Arial" w:eastAsia="Arial" w:hAnsi="Arial" w:cs="Arial"/>
          <w:sz w:val="22"/>
          <w:szCs w:val="22"/>
        </w:rPr>
        <w:t>procedimiento</w:t>
      </w:r>
      <w:r w:rsidRPr="00EC452A">
        <w:rPr>
          <w:rFonts w:ascii="Arial" w:eastAsia="Arial" w:hAnsi="Arial" w:cs="Arial"/>
          <w:spacing w:val="49"/>
          <w:sz w:val="22"/>
          <w:szCs w:val="22"/>
        </w:rPr>
        <w:t xml:space="preserve"> </w:t>
      </w:r>
      <w:r w:rsidRPr="00EC452A">
        <w:rPr>
          <w:rFonts w:ascii="Arial" w:eastAsia="Arial" w:hAnsi="Arial" w:cs="Arial"/>
          <w:sz w:val="22"/>
          <w:szCs w:val="22"/>
        </w:rPr>
        <w:t>administrativo</w:t>
      </w:r>
      <w:r w:rsidRPr="00EC452A">
        <w:rPr>
          <w:rFonts w:ascii="Arial" w:eastAsia="Arial" w:hAnsi="Arial" w:cs="Arial"/>
          <w:spacing w:val="48"/>
          <w:sz w:val="22"/>
          <w:szCs w:val="22"/>
        </w:rPr>
        <w:t xml:space="preserve"> </w:t>
      </w:r>
      <w:r w:rsidRPr="00EC452A">
        <w:rPr>
          <w:rFonts w:ascii="Arial" w:eastAsia="Arial" w:hAnsi="Arial" w:cs="Arial"/>
          <w:sz w:val="22"/>
          <w:szCs w:val="22"/>
        </w:rPr>
        <w:t>bastará</w:t>
      </w:r>
      <w:r w:rsidRPr="00EC452A">
        <w:rPr>
          <w:rFonts w:ascii="Arial" w:eastAsia="Arial" w:hAnsi="Arial" w:cs="Arial"/>
          <w:spacing w:val="38"/>
          <w:sz w:val="22"/>
          <w:szCs w:val="22"/>
        </w:rPr>
        <w:t xml:space="preserve"> </w:t>
      </w:r>
      <w:r w:rsidRPr="00EC452A">
        <w:rPr>
          <w:rFonts w:ascii="Arial" w:eastAsia="Arial" w:hAnsi="Arial" w:cs="Arial"/>
          <w:sz w:val="22"/>
          <w:szCs w:val="22"/>
        </w:rPr>
        <w:t>que</w:t>
      </w:r>
      <w:r w:rsidRPr="00EC452A">
        <w:rPr>
          <w:rFonts w:ascii="Arial" w:eastAsia="Arial" w:hAnsi="Arial" w:cs="Arial"/>
          <w:spacing w:val="31"/>
          <w:sz w:val="22"/>
          <w:szCs w:val="22"/>
        </w:rPr>
        <w:t xml:space="preserve"> </w:t>
      </w:r>
      <w:r w:rsidRPr="00EC452A">
        <w:rPr>
          <w:rFonts w:ascii="Arial" w:eastAsia="Arial" w:hAnsi="Arial" w:cs="Arial"/>
          <w:sz w:val="22"/>
          <w:szCs w:val="22"/>
        </w:rPr>
        <w:t>el</w:t>
      </w:r>
      <w:r w:rsidRPr="00EC452A">
        <w:rPr>
          <w:rFonts w:ascii="Arial" w:eastAsia="Arial" w:hAnsi="Arial" w:cs="Arial"/>
          <w:spacing w:val="28"/>
          <w:sz w:val="22"/>
          <w:szCs w:val="22"/>
        </w:rPr>
        <w:t xml:space="preserve"> </w:t>
      </w:r>
      <w:r w:rsidRPr="00EC452A">
        <w:rPr>
          <w:rFonts w:ascii="Arial" w:eastAsia="Arial" w:hAnsi="Arial" w:cs="Arial"/>
          <w:sz w:val="22"/>
          <w:szCs w:val="22"/>
        </w:rPr>
        <w:t>solicitante</w:t>
      </w:r>
      <w:r w:rsidRPr="00EC452A">
        <w:rPr>
          <w:rFonts w:ascii="Arial" w:eastAsia="Arial" w:hAnsi="Arial" w:cs="Arial"/>
          <w:spacing w:val="42"/>
          <w:sz w:val="22"/>
          <w:szCs w:val="22"/>
        </w:rPr>
        <w:t xml:space="preserve"> </w:t>
      </w:r>
      <w:r w:rsidRPr="00EC452A">
        <w:rPr>
          <w:rFonts w:ascii="Arial" w:eastAsia="Arial" w:hAnsi="Arial" w:cs="Arial"/>
          <w:sz w:val="22"/>
          <w:szCs w:val="22"/>
        </w:rPr>
        <w:t>precise</w:t>
      </w:r>
      <w:r w:rsidRPr="00EC452A">
        <w:rPr>
          <w:rFonts w:ascii="Arial" w:eastAsia="Arial" w:hAnsi="Arial" w:cs="Arial"/>
          <w:spacing w:val="37"/>
          <w:sz w:val="22"/>
          <w:szCs w:val="22"/>
        </w:rPr>
        <w:t xml:space="preserve"> </w:t>
      </w:r>
      <w:r w:rsidRPr="00EC452A">
        <w:rPr>
          <w:rFonts w:ascii="Arial" w:eastAsia="Arial" w:hAnsi="Arial" w:cs="Arial"/>
          <w:sz w:val="22"/>
          <w:szCs w:val="22"/>
        </w:rPr>
        <w:t>por</w:t>
      </w:r>
      <w:r w:rsidRPr="00EC452A">
        <w:rPr>
          <w:rFonts w:ascii="Arial" w:eastAsia="Arial" w:hAnsi="Arial" w:cs="Arial"/>
          <w:spacing w:val="30"/>
          <w:sz w:val="22"/>
          <w:szCs w:val="22"/>
        </w:rPr>
        <w:t xml:space="preserve"> </w:t>
      </w:r>
      <w:r w:rsidRPr="00EC452A">
        <w:rPr>
          <w:rFonts w:ascii="Arial" w:eastAsia="Arial" w:hAnsi="Arial" w:cs="Arial"/>
          <w:sz w:val="22"/>
          <w:szCs w:val="22"/>
        </w:rPr>
        <w:t>escrito</w:t>
      </w:r>
      <w:r w:rsidRPr="00EC452A">
        <w:rPr>
          <w:rFonts w:ascii="Arial" w:eastAsia="Arial" w:hAnsi="Arial" w:cs="Arial"/>
          <w:spacing w:val="36"/>
          <w:sz w:val="22"/>
          <w:szCs w:val="22"/>
        </w:rPr>
        <w:t xml:space="preserve"> </w:t>
      </w:r>
      <w:r w:rsidRPr="00EC452A">
        <w:rPr>
          <w:rFonts w:ascii="Arial" w:eastAsia="Arial" w:hAnsi="Arial" w:cs="Arial"/>
          <w:sz w:val="22"/>
          <w:szCs w:val="22"/>
        </w:rPr>
        <w:t>su</w:t>
      </w:r>
      <w:r w:rsidRPr="00EC452A">
        <w:rPr>
          <w:rFonts w:ascii="Arial" w:eastAsia="Arial" w:hAnsi="Arial" w:cs="Arial"/>
          <w:spacing w:val="29"/>
          <w:sz w:val="22"/>
          <w:szCs w:val="22"/>
        </w:rPr>
        <w:t xml:space="preserve"> </w:t>
      </w:r>
      <w:r w:rsidRPr="00EC452A">
        <w:rPr>
          <w:rFonts w:ascii="Arial" w:eastAsia="Arial" w:hAnsi="Arial" w:cs="Arial"/>
          <w:w w:val="102"/>
          <w:sz w:val="22"/>
          <w:szCs w:val="22"/>
        </w:rPr>
        <w:t xml:space="preserve">petición,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hecho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razone</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fundamento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legales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su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solicitud.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No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exigirán </w:t>
      </w:r>
      <w:r w:rsidRPr="00EC452A">
        <w:rPr>
          <w:rFonts w:ascii="Arial" w:eastAsia="Arial" w:hAnsi="Arial" w:cs="Arial"/>
          <w:spacing w:val="43"/>
          <w:sz w:val="22"/>
          <w:szCs w:val="22"/>
        </w:rPr>
        <w:t xml:space="preserve"> </w:t>
      </w:r>
      <w:r w:rsidRPr="00EC452A">
        <w:rPr>
          <w:rFonts w:ascii="Arial" w:eastAsia="Arial" w:hAnsi="Arial" w:cs="Arial"/>
          <w:w w:val="102"/>
          <w:sz w:val="22"/>
          <w:szCs w:val="22"/>
        </w:rPr>
        <w:t xml:space="preserve">otras </w:t>
      </w:r>
      <w:r w:rsidRPr="00EC452A">
        <w:rPr>
          <w:rFonts w:ascii="Arial" w:eastAsia="Arial" w:hAnsi="Arial" w:cs="Arial"/>
          <w:spacing w:val="-1"/>
          <w:w w:val="102"/>
          <w:sz w:val="22"/>
          <w:szCs w:val="22"/>
        </w:rPr>
        <w:t>formalidades.</w:t>
      </w:r>
    </w:p>
    <w:p w14:paraId="26528EDD"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5"/>
          <w:sz w:val="22"/>
          <w:szCs w:val="22"/>
        </w:rPr>
        <w:t>2a</w:t>
      </w:r>
      <w:r w:rsidRPr="00EC452A">
        <w:rPr>
          <w:rFonts w:ascii="Arial" w:eastAsia="Arial" w:hAnsi="Arial" w:cs="Arial"/>
          <w:spacing w:val="10"/>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Recibid</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solicitud</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observar</w:t>
      </w:r>
      <w:r w:rsidRPr="00EC452A">
        <w:rPr>
          <w:rFonts w:ascii="Arial" w:eastAsia="Arial" w:hAnsi="Arial" w:cs="Arial"/>
          <w:sz w:val="22"/>
          <w:szCs w:val="22"/>
        </w:rPr>
        <w:t>á</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siguient</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procedimiento:</w:t>
      </w:r>
    </w:p>
    <w:p w14:paraId="483F7C3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I. La</w:t>
      </w:r>
      <w:r w:rsidRPr="00EC452A">
        <w:rPr>
          <w:rFonts w:ascii="Arial" w:eastAsia="Arial" w:hAnsi="Arial" w:cs="Arial"/>
          <w:spacing w:val="2"/>
          <w:sz w:val="22"/>
          <w:szCs w:val="22"/>
        </w:rPr>
        <w:t xml:space="preserve"> </w:t>
      </w:r>
      <w:r w:rsidRPr="00EC452A">
        <w:rPr>
          <w:rFonts w:ascii="Arial" w:eastAsia="Arial" w:hAnsi="Arial" w:cs="Arial"/>
          <w:sz w:val="22"/>
          <w:szCs w:val="22"/>
        </w:rPr>
        <w:t>Secretaría</w:t>
      </w:r>
      <w:r w:rsidRPr="00EC452A">
        <w:rPr>
          <w:rFonts w:ascii="Arial" w:eastAsia="Arial" w:hAnsi="Arial" w:cs="Arial"/>
          <w:spacing w:val="16"/>
          <w:sz w:val="22"/>
          <w:szCs w:val="22"/>
        </w:rPr>
        <w:t xml:space="preserve"> </w:t>
      </w:r>
      <w:r w:rsidRPr="00EC452A">
        <w:rPr>
          <w:rFonts w:ascii="Arial" w:eastAsia="Arial" w:hAnsi="Arial" w:cs="Arial"/>
          <w:sz w:val="22"/>
          <w:szCs w:val="22"/>
        </w:rPr>
        <w:t>citará</w:t>
      </w:r>
      <w:r w:rsidRPr="00EC452A">
        <w:rPr>
          <w:rFonts w:ascii="Arial" w:eastAsia="Arial" w:hAnsi="Arial" w:cs="Arial"/>
          <w:spacing w:val="7"/>
          <w:sz w:val="22"/>
          <w:szCs w:val="22"/>
        </w:rPr>
        <w:t xml:space="preserve"> </w:t>
      </w:r>
      <w:r w:rsidRPr="00EC452A">
        <w:rPr>
          <w:rFonts w:ascii="Arial" w:eastAsia="Arial" w:hAnsi="Arial" w:cs="Arial"/>
          <w:sz w:val="22"/>
          <w:szCs w:val="22"/>
        </w:rPr>
        <w:t>al</w:t>
      </w:r>
      <w:r w:rsidRPr="00EC452A">
        <w:rPr>
          <w:rFonts w:ascii="Arial" w:eastAsia="Arial" w:hAnsi="Arial" w:cs="Arial"/>
          <w:spacing w:val="1"/>
          <w:sz w:val="22"/>
          <w:szCs w:val="22"/>
        </w:rPr>
        <w:t xml:space="preserve"> </w:t>
      </w:r>
      <w:r w:rsidRPr="00EC452A">
        <w:rPr>
          <w:rFonts w:ascii="Arial" w:eastAsia="Arial" w:hAnsi="Arial" w:cs="Arial"/>
          <w:sz w:val="22"/>
          <w:szCs w:val="22"/>
        </w:rPr>
        <w:t>solicitante</w:t>
      </w:r>
      <w:r w:rsidRPr="00EC452A">
        <w:rPr>
          <w:rFonts w:ascii="Arial" w:eastAsia="Arial" w:hAnsi="Arial" w:cs="Arial"/>
          <w:spacing w:val="15"/>
          <w:sz w:val="22"/>
          <w:szCs w:val="22"/>
        </w:rPr>
        <w:t xml:space="preserve"> </w:t>
      </w:r>
      <w:r w:rsidRPr="00EC452A">
        <w:rPr>
          <w:rFonts w:ascii="Arial" w:eastAsia="Arial" w:hAnsi="Arial" w:cs="Arial"/>
          <w:sz w:val="22"/>
          <w:szCs w:val="22"/>
        </w:rPr>
        <w:t>y a los</w:t>
      </w:r>
      <w:r w:rsidRPr="00EC452A">
        <w:rPr>
          <w:rFonts w:ascii="Arial" w:eastAsia="Arial" w:hAnsi="Arial" w:cs="Arial"/>
          <w:spacing w:val="3"/>
          <w:sz w:val="22"/>
          <w:szCs w:val="22"/>
        </w:rPr>
        <w:t xml:space="preserve"> </w:t>
      </w:r>
      <w:r w:rsidRPr="00EC452A">
        <w:rPr>
          <w:rFonts w:ascii="Arial" w:eastAsia="Arial" w:hAnsi="Arial" w:cs="Arial"/>
          <w:sz w:val="22"/>
          <w:szCs w:val="22"/>
        </w:rPr>
        <w:t>terceros</w:t>
      </w:r>
      <w:r w:rsidRPr="00EC452A">
        <w:rPr>
          <w:rFonts w:ascii="Arial" w:eastAsia="Arial" w:hAnsi="Arial" w:cs="Arial"/>
          <w:spacing w:val="12"/>
          <w:sz w:val="22"/>
          <w:szCs w:val="22"/>
        </w:rPr>
        <w:t xml:space="preserve"> </w:t>
      </w:r>
      <w:r w:rsidRPr="00EC452A">
        <w:rPr>
          <w:rFonts w:ascii="Arial" w:eastAsia="Arial" w:hAnsi="Arial" w:cs="Arial"/>
          <w:sz w:val="22"/>
          <w:szCs w:val="22"/>
        </w:rPr>
        <w:t>interesados</w:t>
      </w:r>
      <w:r w:rsidRPr="00EC452A">
        <w:rPr>
          <w:rFonts w:ascii="Arial" w:eastAsia="Arial" w:hAnsi="Arial" w:cs="Arial"/>
          <w:spacing w:val="18"/>
          <w:sz w:val="22"/>
          <w:szCs w:val="22"/>
        </w:rPr>
        <w:t xml:space="preserve"> </w:t>
      </w:r>
      <w:r w:rsidRPr="00EC452A">
        <w:rPr>
          <w:rFonts w:ascii="Arial" w:eastAsia="Arial" w:hAnsi="Arial" w:cs="Arial"/>
          <w:sz w:val="22"/>
          <w:szCs w:val="22"/>
        </w:rPr>
        <w:t>para</w:t>
      </w:r>
      <w:r w:rsidRPr="00EC452A">
        <w:rPr>
          <w:rFonts w:ascii="Arial" w:eastAsia="Arial" w:hAnsi="Arial" w:cs="Arial"/>
          <w:spacing w:val="6"/>
          <w:sz w:val="22"/>
          <w:szCs w:val="22"/>
        </w:rPr>
        <w:t xml:space="preserve"> </w:t>
      </w:r>
      <w:r w:rsidRPr="00EC452A">
        <w:rPr>
          <w:rFonts w:ascii="Arial" w:eastAsia="Arial" w:hAnsi="Arial" w:cs="Arial"/>
          <w:sz w:val="22"/>
          <w:szCs w:val="22"/>
        </w:rPr>
        <w:t>que</w:t>
      </w:r>
      <w:r w:rsidRPr="00EC452A">
        <w:rPr>
          <w:rFonts w:ascii="Arial" w:eastAsia="Arial" w:hAnsi="Arial" w:cs="Arial"/>
          <w:spacing w:val="4"/>
          <w:sz w:val="22"/>
          <w:szCs w:val="22"/>
        </w:rPr>
        <w:t xml:space="preserve"> </w:t>
      </w:r>
      <w:r w:rsidRPr="00EC452A">
        <w:rPr>
          <w:rFonts w:ascii="Arial" w:eastAsia="Arial" w:hAnsi="Arial" w:cs="Arial"/>
          <w:w w:val="102"/>
          <w:sz w:val="22"/>
          <w:szCs w:val="22"/>
        </w:rPr>
        <w:t xml:space="preserve">comparezcan </w:t>
      </w:r>
      <w:r w:rsidRPr="00EC452A">
        <w:rPr>
          <w:rFonts w:ascii="Arial" w:eastAsia="Arial" w:hAnsi="Arial" w:cs="Arial"/>
          <w:spacing w:val="-1"/>
          <w:sz w:val="22"/>
          <w:szCs w:val="22"/>
        </w:rPr>
        <w:t>personalment</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audienci</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efectuar</w:t>
      </w:r>
      <w:r w:rsidRPr="00EC452A">
        <w:rPr>
          <w:rFonts w:ascii="Arial" w:eastAsia="Arial" w:hAnsi="Arial" w:cs="Arial"/>
          <w:sz w:val="22"/>
          <w:szCs w:val="22"/>
        </w:rPr>
        <w:t>á</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dentr</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términ</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meno</w:t>
      </w:r>
      <w:r w:rsidRPr="00EC452A">
        <w:rPr>
          <w:rFonts w:ascii="Arial" w:eastAsia="Arial" w:hAnsi="Arial" w:cs="Arial"/>
          <w:sz w:val="22"/>
          <w:szCs w:val="22"/>
        </w:rPr>
        <w:t>r</w:t>
      </w:r>
      <w:r w:rsidRPr="00EC452A">
        <w:rPr>
          <w:rFonts w:ascii="Arial" w:eastAsia="Arial" w:hAnsi="Arial" w:cs="Arial"/>
          <w:spacing w:val="42"/>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pacing w:val="-1"/>
          <w:sz w:val="22"/>
          <w:szCs w:val="22"/>
        </w:rPr>
        <w:t>och</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mayo</w:t>
      </w:r>
      <w:r w:rsidRPr="00EC452A">
        <w:rPr>
          <w:rFonts w:ascii="Arial" w:eastAsia="Arial" w:hAnsi="Arial" w:cs="Arial"/>
          <w:sz w:val="22"/>
          <w:szCs w:val="22"/>
        </w:rPr>
        <w:t>r</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quince</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contad</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parti</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presentació</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escrito.</w:t>
      </w:r>
    </w:p>
    <w:p w14:paraId="468D323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cit</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notificad</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meno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tre</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ante</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audiencia</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w w:val="102"/>
          <w:sz w:val="22"/>
          <w:szCs w:val="22"/>
        </w:rPr>
        <w:t xml:space="preserve">acompañándose </w:t>
      </w:r>
      <w:r w:rsidRPr="00EC452A">
        <w:rPr>
          <w:rFonts w:ascii="Arial" w:eastAsia="Arial" w:hAnsi="Arial" w:cs="Arial"/>
          <w:sz w:val="22"/>
          <w:szCs w:val="22"/>
        </w:rPr>
        <w:t>copia</w:t>
      </w:r>
      <w:r w:rsidRPr="00EC452A">
        <w:rPr>
          <w:rFonts w:ascii="Arial" w:eastAsia="Arial" w:hAnsi="Arial" w:cs="Arial"/>
          <w:spacing w:val="16"/>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escrito</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solicitud.</w:t>
      </w:r>
    </w:p>
    <w:p w14:paraId="31CBE82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solicitant</w:t>
      </w:r>
      <w:r w:rsidRPr="00EC452A">
        <w:rPr>
          <w:rFonts w:ascii="Arial" w:eastAsia="Arial" w:hAnsi="Arial" w:cs="Arial"/>
          <w:sz w:val="22"/>
          <w:szCs w:val="22"/>
        </w:rPr>
        <w:t xml:space="preserve">e </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concurr</w:t>
      </w:r>
      <w:r w:rsidRPr="00EC452A">
        <w:rPr>
          <w:rFonts w:ascii="Arial" w:eastAsia="Arial" w:hAnsi="Arial" w:cs="Arial"/>
          <w:sz w:val="22"/>
          <w:szCs w:val="22"/>
        </w:rPr>
        <w:t xml:space="preserve">e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audiencia</w:t>
      </w:r>
      <w:r w:rsidRPr="00EC452A">
        <w:rPr>
          <w:rFonts w:ascii="Arial" w:eastAsia="Arial" w:hAnsi="Arial" w:cs="Arial"/>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archivar</w:t>
      </w:r>
      <w:r w:rsidRPr="00EC452A">
        <w:rPr>
          <w:rFonts w:ascii="Arial" w:eastAsia="Arial" w:hAnsi="Arial" w:cs="Arial"/>
          <w:sz w:val="22"/>
          <w:szCs w:val="22"/>
        </w:rPr>
        <w:t xml:space="preserve">á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expedient</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hast</w:t>
      </w:r>
      <w:r w:rsidRPr="00EC452A">
        <w:rPr>
          <w:rFonts w:ascii="Arial" w:eastAsia="Arial" w:hAnsi="Arial" w:cs="Arial"/>
          <w:sz w:val="22"/>
          <w:szCs w:val="22"/>
        </w:rPr>
        <w:t xml:space="preserve">a </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 xml:space="preserve">nueva </w:t>
      </w:r>
      <w:r w:rsidRPr="00EC452A">
        <w:rPr>
          <w:rFonts w:ascii="Arial" w:eastAsia="Arial" w:hAnsi="Arial" w:cs="Arial"/>
          <w:spacing w:val="-1"/>
          <w:sz w:val="22"/>
          <w:szCs w:val="22"/>
        </w:rPr>
        <w:t>promoción</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Transcurrido</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tre</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mese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á</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desistido.</w:t>
      </w:r>
    </w:p>
    <w:p w14:paraId="769521C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III</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oir</w:t>
      </w:r>
      <w:r w:rsidRPr="00EC452A">
        <w:rPr>
          <w:rFonts w:ascii="Arial" w:eastAsia="Arial" w:hAnsi="Arial" w:cs="Arial"/>
          <w:sz w:val="22"/>
          <w:szCs w:val="22"/>
        </w:rPr>
        <w:t xml:space="preserve">á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parte</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procurar</w:t>
      </w:r>
      <w:r w:rsidRPr="00EC452A">
        <w:rPr>
          <w:rFonts w:ascii="Arial" w:eastAsia="Arial" w:hAnsi="Arial" w:cs="Arial"/>
          <w:sz w:val="22"/>
          <w:szCs w:val="22"/>
        </w:rPr>
        <w:t xml:space="preserve">á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avenirlas</w:t>
      </w:r>
      <w:r w:rsidRPr="00EC452A">
        <w:rPr>
          <w:rFonts w:ascii="Arial" w:eastAsia="Arial" w:hAnsi="Arial" w:cs="Arial"/>
          <w:sz w:val="22"/>
          <w:szCs w:val="22"/>
        </w:rPr>
        <w:t xml:space="preserve">,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levantándos</w:t>
      </w:r>
      <w:r w:rsidRPr="00EC452A">
        <w:rPr>
          <w:rFonts w:ascii="Arial" w:eastAsia="Arial" w:hAnsi="Arial" w:cs="Arial"/>
          <w:sz w:val="22"/>
          <w:szCs w:val="22"/>
        </w:rPr>
        <w:t xml:space="preserve">e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act</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dond</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2"/>
          <w:w w:val="102"/>
          <w:sz w:val="22"/>
          <w:szCs w:val="22"/>
        </w:rPr>
        <w:t xml:space="preserve">harán </w:t>
      </w:r>
      <w:r w:rsidRPr="00EC452A">
        <w:rPr>
          <w:rFonts w:ascii="Arial" w:eastAsia="Arial" w:hAnsi="Arial" w:cs="Arial"/>
          <w:sz w:val="22"/>
          <w:szCs w:val="22"/>
        </w:rPr>
        <w:t xml:space="preserve">constar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manifestaciones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comparecientes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arreglo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su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caso </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 xml:space="preserve">hubieren </w:t>
      </w:r>
      <w:r w:rsidRPr="00EC452A">
        <w:rPr>
          <w:rFonts w:ascii="Arial" w:eastAsia="Arial" w:hAnsi="Arial" w:cs="Arial"/>
          <w:spacing w:val="-3"/>
          <w:w w:val="102"/>
          <w:sz w:val="22"/>
          <w:szCs w:val="22"/>
        </w:rPr>
        <w:t>llegado.</w:t>
      </w:r>
    </w:p>
    <w:p w14:paraId="523D25A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ha</w:t>
      </w:r>
      <w:r w:rsidRPr="00EC452A">
        <w:rPr>
          <w:rFonts w:ascii="Arial" w:eastAsia="Arial" w:hAnsi="Arial" w:cs="Arial"/>
          <w:sz w:val="22"/>
          <w:szCs w:val="22"/>
        </w:rPr>
        <w:t xml:space="preserve">y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avenimient</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estuviere</w:t>
      </w:r>
      <w:r w:rsidRPr="00EC452A">
        <w:rPr>
          <w:rFonts w:ascii="Arial" w:eastAsia="Arial" w:hAnsi="Arial" w:cs="Arial"/>
          <w:sz w:val="22"/>
          <w:szCs w:val="22"/>
        </w:rPr>
        <w:t xml:space="preserve">n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conforme</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hechos</w:t>
      </w:r>
      <w:r w:rsidRPr="00EC452A">
        <w:rPr>
          <w:rFonts w:ascii="Arial" w:eastAsia="Arial" w:hAnsi="Arial" w:cs="Arial"/>
          <w:sz w:val="22"/>
          <w:szCs w:val="22"/>
        </w:rPr>
        <w:t xml:space="preserv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Secretaría </w:t>
      </w:r>
      <w:r w:rsidRPr="00EC452A">
        <w:rPr>
          <w:rFonts w:ascii="Arial" w:eastAsia="Arial" w:hAnsi="Arial" w:cs="Arial"/>
          <w:spacing w:val="-1"/>
          <w:sz w:val="22"/>
          <w:szCs w:val="22"/>
        </w:rPr>
        <w:t>dictar</w:t>
      </w:r>
      <w:r w:rsidRPr="00EC452A">
        <w:rPr>
          <w:rFonts w:ascii="Arial" w:eastAsia="Arial" w:hAnsi="Arial" w:cs="Arial"/>
          <w:sz w:val="22"/>
          <w:szCs w:val="22"/>
        </w:rPr>
        <w:t xml:space="preserve">á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decisió</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correspond</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exc</w:t>
      </w:r>
      <w:r w:rsidRPr="00EC452A">
        <w:rPr>
          <w:rFonts w:ascii="Arial" w:eastAsia="Arial" w:hAnsi="Arial" w:cs="Arial"/>
          <w:spacing w:val="-2"/>
          <w:sz w:val="22"/>
          <w:szCs w:val="22"/>
        </w:rPr>
        <w:t>eder</w:t>
      </w:r>
      <w:r w:rsidRPr="00EC452A">
        <w:rPr>
          <w:rFonts w:ascii="Arial" w:eastAsia="Arial" w:hAnsi="Arial" w:cs="Arial"/>
          <w:sz w:val="22"/>
          <w:szCs w:val="22"/>
        </w:rPr>
        <w:t xml:space="preserve">á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och</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día</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contado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parti</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audiencia.</w:t>
      </w:r>
    </w:p>
    <w:p w14:paraId="0ED991F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5"/>
          <w:sz w:val="22"/>
          <w:szCs w:val="22"/>
        </w:rPr>
        <w:lastRenderedPageBreak/>
        <w:t>3a</w:t>
      </w:r>
      <w:r w:rsidRPr="00EC452A">
        <w:rPr>
          <w:rFonts w:ascii="Arial" w:eastAsia="Arial" w:hAnsi="Arial" w:cs="Arial"/>
          <w:spacing w:val="10"/>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estuviere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conforme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hechos</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ofrecer</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o</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ocho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anteriore</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celebració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audienci</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alud</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a</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bas</w:t>
      </w:r>
      <w:r w:rsidRPr="00EC452A">
        <w:rPr>
          <w:rFonts w:ascii="Arial" w:eastAsia="Arial" w:hAnsi="Arial" w:cs="Arial"/>
          <w:sz w:val="22"/>
          <w:szCs w:val="22"/>
        </w:rPr>
        <w:t>e</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prueba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considere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convenientes.</w:t>
      </w:r>
    </w:p>
    <w:p w14:paraId="4BC2847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Serán</w:t>
      </w:r>
      <w:r w:rsidRPr="00EC452A">
        <w:rPr>
          <w:rFonts w:ascii="Arial" w:eastAsia="Arial" w:hAnsi="Arial" w:cs="Arial"/>
          <w:spacing w:val="35"/>
          <w:sz w:val="22"/>
          <w:szCs w:val="22"/>
        </w:rPr>
        <w:t xml:space="preserve"> </w:t>
      </w:r>
      <w:r w:rsidRPr="00EC452A">
        <w:rPr>
          <w:rFonts w:ascii="Arial" w:eastAsia="Arial" w:hAnsi="Arial" w:cs="Arial"/>
          <w:sz w:val="22"/>
          <w:szCs w:val="22"/>
        </w:rPr>
        <w:t>admisibles</w:t>
      </w:r>
      <w:r w:rsidRPr="00EC452A">
        <w:rPr>
          <w:rFonts w:ascii="Arial" w:eastAsia="Arial" w:hAnsi="Arial" w:cs="Arial"/>
          <w:spacing w:val="43"/>
          <w:sz w:val="22"/>
          <w:szCs w:val="22"/>
        </w:rPr>
        <w:t xml:space="preserve"> </w:t>
      </w:r>
      <w:r w:rsidRPr="00EC452A">
        <w:rPr>
          <w:rFonts w:ascii="Arial" w:eastAsia="Arial" w:hAnsi="Arial" w:cs="Arial"/>
          <w:sz w:val="22"/>
          <w:szCs w:val="22"/>
        </w:rPr>
        <w:t>toda</w:t>
      </w:r>
      <w:r w:rsidRPr="00EC452A">
        <w:rPr>
          <w:rFonts w:ascii="Arial" w:eastAsia="Arial" w:hAnsi="Arial" w:cs="Arial"/>
          <w:spacing w:val="32"/>
          <w:sz w:val="22"/>
          <w:szCs w:val="22"/>
        </w:rPr>
        <w:t xml:space="preserve"> </w:t>
      </w:r>
      <w:r w:rsidRPr="00EC452A">
        <w:rPr>
          <w:rFonts w:ascii="Arial" w:eastAsia="Arial" w:hAnsi="Arial" w:cs="Arial"/>
          <w:sz w:val="22"/>
          <w:szCs w:val="22"/>
        </w:rPr>
        <w:t>clase</w:t>
      </w:r>
      <w:r w:rsidRPr="00EC452A">
        <w:rPr>
          <w:rFonts w:ascii="Arial" w:eastAsia="Arial" w:hAnsi="Arial" w:cs="Arial"/>
          <w:spacing w:val="34"/>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pruebas</w:t>
      </w:r>
      <w:r w:rsidRPr="00EC452A">
        <w:rPr>
          <w:rFonts w:ascii="Arial" w:eastAsia="Arial" w:hAnsi="Arial" w:cs="Arial"/>
          <w:spacing w:val="39"/>
          <w:sz w:val="22"/>
          <w:szCs w:val="22"/>
        </w:rPr>
        <w:t xml:space="preserve"> </w:t>
      </w:r>
      <w:r w:rsidRPr="00EC452A">
        <w:rPr>
          <w:rFonts w:ascii="Arial" w:eastAsia="Arial" w:hAnsi="Arial" w:cs="Arial"/>
          <w:sz w:val="22"/>
          <w:szCs w:val="22"/>
        </w:rPr>
        <w:t>excepto</w:t>
      </w:r>
      <w:r w:rsidRPr="00EC452A">
        <w:rPr>
          <w:rFonts w:ascii="Arial" w:eastAsia="Arial" w:hAnsi="Arial" w:cs="Arial"/>
          <w:spacing w:val="38"/>
          <w:sz w:val="22"/>
          <w:szCs w:val="22"/>
        </w:rPr>
        <w:t xml:space="preserve"> </w:t>
      </w:r>
      <w:r w:rsidRPr="00EC452A">
        <w:rPr>
          <w:rFonts w:ascii="Arial" w:eastAsia="Arial" w:hAnsi="Arial" w:cs="Arial"/>
          <w:sz w:val="22"/>
          <w:szCs w:val="22"/>
        </w:rPr>
        <w:t>las</w:t>
      </w:r>
      <w:r w:rsidRPr="00EC452A">
        <w:rPr>
          <w:rFonts w:ascii="Arial" w:eastAsia="Arial" w:hAnsi="Arial" w:cs="Arial"/>
          <w:spacing w:val="30"/>
          <w:sz w:val="22"/>
          <w:szCs w:val="22"/>
        </w:rPr>
        <w:t xml:space="preserve"> </w:t>
      </w:r>
      <w:r w:rsidRPr="00EC452A">
        <w:rPr>
          <w:rFonts w:ascii="Arial" w:eastAsia="Arial" w:hAnsi="Arial" w:cs="Arial"/>
          <w:sz w:val="22"/>
          <w:szCs w:val="22"/>
        </w:rPr>
        <w:t>prohibidas</w:t>
      </w:r>
      <w:r w:rsidRPr="00EC452A">
        <w:rPr>
          <w:rFonts w:ascii="Arial" w:eastAsia="Arial" w:hAnsi="Arial" w:cs="Arial"/>
          <w:spacing w:val="43"/>
          <w:sz w:val="22"/>
          <w:szCs w:val="22"/>
        </w:rPr>
        <w:t xml:space="preserve"> </w:t>
      </w:r>
      <w:r w:rsidRPr="00EC452A">
        <w:rPr>
          <w:rFonts w:ascii="Arial" w:eastAsia="Arial" w:hAnsi="Arial" w:cs="Arial"/>
          <w:sz w:val="22"/>
          <w:szCs w:val="22"/>
        </w:rPr>
        <w:t>por</w:t>
      </w:r>
      <w:r w:rsidRPr="00EC452A">
        <w:rPr>
          <w:rFonts w:ascii="Arial" w:eastAsia="Arial" w:hAnsi="Arial" w:cs="Arial"/>
          <w:spacing w:val="30"/>
          <w:sz w:val="22"/>
          <w:szCs w:val="22"/>
        </w:rPr>
        <w:t xml:space="preserve"> </w:t>
      </w:r>
      <w:r w:rsidRPr="00EC452A">
        <w:rPr>
          <w:rFonts w:ascii="Arial" w:eastAsia="Arial" w:hAnsi="Arial" w:cs="Arial"/>
          <w:sz w:val="22"/>
          <w:szCs w:val="22"/>
        </w:rPr>
        <w:t>la</w:t>
      </w:r>
      <w:r w:rsidRPr="00EC452A">
        <w:rPr>
          <w:rFonts w:ascii="Arial" w:eastAsia="Arial" w:hAnsi="Arial" w:cs="Arial"/>
          <w:spacing w:val="28"/>
          <w:sz w:val="22"/>
          <w:szCs w:val="22"/>
        </w:rPr>
        <w:t xml:space="preserve"> </w:t>
      </w:r>
      <w:r w:rsidRPr="00EC452A">
        <w:rPr>
          <w:rFonts w:ascii="Arial" w:eastAsia="Arial" w:hAnsi="Arial" w:cs="Arial"/>
          <w:sz w:val="22"/>
          <w:szCs w:val="22"/>
        </w:rPr>
        <w:t>Ley</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27"/>
          <w:sz w:val="22"/>
          <w:szCs w:val="22"/>
        </w:rPr>
        <w:t xml:space="preserve"> </w:t>
      </w:r>
      <w:r w:rsidRPr="00EC452A">
        <w:rPr>
          <w:rFonts w:ascii="Arial" w:eastAsia="Arial" w:hAnsi="Arial" w:cs="Arial"/>
          <w:sz w:val="22"/>
          <w:szCs w:val="22"/>
        </w:rPr>
        <w:t>las</w:t>
      </w:r>
      <w:r w:rsidRPr="00EC452A">
        <w:rPr>
          <w:rFonts w:ascii="Arial" w:eastAsia="Arial" w:hAnsi="Arial" w:cs="Arial"/>
          <w:spacing w:val="30"/>
          <w:sz w:val="22"/>
          <w:szCs w:val="22"/>
        </w:rPr>
        <w:t xml:space="preserve"> </w:t>
      </w:r>
      <w:r w:rsidRPr="00EC452A">
        <w:rPr>
          <w:rFonts w:ascii="Arial" w:eastAsia="Arial" w:hAnsi="Arial" w:cs="Arial"/>
          <w:sz w:val="22"/>
          <w:szCs w:val="22"/>
        </w:rPr>
        <w:t>contrarias</w:t>
      </w:r>
      <w:r w:rsidRPr="00EC452A">
        <w:rPr>
          <w:rFonts w:ascii="Arial" w:eastAsia="Arial" w:hAnsi="Arial" w:cs="Arial"/>
          <w:spacing w:val="42"/>
          <w:sz w:val="22"/>
          <w:szCs w:val="22"/>
        </w:rPr>
        <w:t xml:space="preserve"> </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la moral.</w:t>
      </w:r>
    </w:p>
    <w:p w14:paraId="0060456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decreta</w:t>
      </w:r>
      <w:r w:rsidRPr="00EC452A">
        <w:rPr>
          <w:rFonts w:ascii="Arial" w:eastAsia="Arial" w:hAnsi="Arial" w:cs="Arial"/>
          <w:sz w:val="22"/>
          <w:szCs w:val="22"/>
        </w:rPr>
        <w:t>r</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tod</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tiemp</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diligencia</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probatoria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conocimient</w:t>
      </w:r>
      <w:r w:rsidRPr="00EC452A">
        <w:rPr>
          <w:rFonts w:ascii="Arial" w:eastAsia="Arial" w:hAnsi="Arial" w:cs="Arial"/>
          <w:sz w:val="22"/>
          <w:szCs w:val="22"/>
        </w:rPr>
        <w:t xml:space="preserve">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sz w:val="22"/>
          <w:szCs w:val="22"/>
        </w:rPr>
        <w:t>verda</w:t>
      </w:r>
      <w:r w:rsidRPr="00EC452A">
        <w:rPr>
          <w:rFonts w:ascii="Arial" w:eastAsia="Arial" w:hAnsi="Arial" w:cs="Arial"/>
          <w:sz w:val="22"/>
          <w:szCs w:val="22"/>
        </w:rPr>
        <w:t>d</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sobr</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conflict</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i</w:t>
      </w:r>
      <w:r w:rsidRPr="00EC452A">
        <w:rPr>
          <w:rFonts w:ascii="Arial" w:eastAsia="Arial" w:hAnsi="Arial" w:cs="Arial"/>
          <w:spacing w:val="-1"/>
          <w:sz w:val="22"/>
          <w:szCs w:val="22"/>
        </w:rPr>
        <w:t>ndefinició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planteados.</w:t>
      </w:r>
    </w:p>
    <w:p w14:paraId="08539CD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admisió</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z w:val="22"/>
          <w:szCs w:val="22"/>
        </w:rPr>
        <w:t>y</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desahog</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prueba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har</w:t>
      </w:r>
      <w:r w:rsidRPr="00EC452A">
        <w:rPr>
          <w:rFonts w:ascii="Arial" w:eastAsia="Arial" w:hAnsi="Arial" w:cs="Arial"/>
          <w:sz w:val="22"/>
          <w:szCs w:val="22"/>
        </w:rPr>
        <w:t>á</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audienci</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fij</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 xml:space="preserve">r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posible</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desahog</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prueba</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har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cinc</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hábiles </w:t>
      </w:r>
      <w:r w:rsidRPr="00EC452A">
        <w:rPr>
          <w:rFonts w:ascii="Arial" w:eastAsia="Arial" w:hAnsi="Arial" w:cs="Arial"/>
          <w:spacing w:val="-1"/>
          <w:sz w:val="22"/>
          <w:szCs w:val="22"/>
        </w:rPr>
        <w:t>siguientes</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amp</w:t>
      </w:r>
      <w:r w:rsidRPr="00EC452A">
        <w:rPr>
          <w:rFonts w:ascii="Arial" w:eastAsia="Arial" w:hAnsi="Arial" w:cs="Arial"/>
          <w:sz w:val="22"/>
          <w:szCs w:val="22"/>
        </w:rPr>
        <w:t>liar</w:t>
      </w:r>
      <w:r w:rsidRPr="00EC452A">
        <w:rPr>
          <w:rFonts w:ascii="Arial" w:eastAsia="Arial" w:hAnsi="Arial" w:cs="Arial"/>
          <w:spacing w:val="19"/>
          <w:sz w:val="22"/>
          <w:szCs w:val="22"/>
        </w:rPr>
        <w:t xml:space="preserve"> </w:t>
      </w:r>
      <w:r w:rsidRPr="00EC452A">
        <w:rPr>
          <w:rFonts w:ascii="Arial" w:eastAsia="Arial" w:hAnsi="Arial" w:cs="Arial"/>
          <w:sz w:val="22"/>
          <w:szCs w:val="22"/>
        </w:rPr>
        <w:t>este</w:t>
      </w:r>
      <w:r w:rsidRPr="00EC452A">
        <w:rPr>
          <w:rFonts w:ascii="Arial" w:eastAsia="Arial" w:hAnsi="Arial" w:cs="Arial"/>
          <w:spacing w:val="14"/>
          <w:sz w:val="22"/>
          <w:szCs w:val="22"/>
        </w:rPr>
        <w:t xml:space="preserve"> </w:t>
      </w:r>
      <w:r w:rsidRPr="00EC452A">
        <w:rPr>
          <w:rFonts w:ascii="Arial" w:eastAsia="Arial" w:hAnsi="Arial" w:cs="Arial"/>
          <w:sz w:val="22"/>
          <w:szCs w:val="22"/>
        </w:rPr>
        <w:t>término</w:t>
      </w:r>
      <w:r w:rsidRPr="00EC452A">
        <w:rPr>
          <w:rFonts w:ascii="Arial" w:eastAsia="Arial" w:hAnsi="Arial" w:cs="Arial"/>
          <w:spacing w:val="20"/>
          <w:sz w:val="22"/>
          <w:szCs w:val="22"/>
        </w:rPr>
        <w:t xml:space="preserve"> </w:t>
      </w:r>
      <w:r w:rsidRPr="00EC452A">
        <w:rPr>
          <w:rFonts w:ascii="Arial" w:eastAsia="Arial" w:hAnsi="Arial" w:cs="Arial"/>
          <w:sz w:val="22"/>
          <w:szCs w:val="22"/>
        </w:rPr>
        <w:t>si</w:t>
      </w:r>
      <w:r w:rsidRPr="00EC452A">
        <w:rPr>
          <w:rFonts w:ascii="Arial" w:eastAsia="Arial" w:hAnsi="Arial" w:cs="Arial"/>
          <w:spacing w:val="10"/>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sz w:val="22"/>
          <w:szCs w:val="22"/>
        </w:rPr>
        <w:t>juicio</w:t>
      </w:r>
      <w:r w:rsidRPr="00EC452A">
        <w:rPr>
          <w:rFonts w:ascii="Arial" w:eastAsia="Arial" w:hAnsi="Arial" w:cs="Arial"/>
          <w:spacing w:val="16"/>
          <w:sz w:val="22"/>
          <w:szCs w:val="22"/>
        </w:rPr>
        <w:t xml:space="preserve"> </w:t>
      </w:r>
      <w:r w:rsidRPr="00EC452A">
        <w:rPr>
          <w:rFonts w:ascii="Arial" w:eastAsia="Arial" w:hAnsi="Arial" w:cs="Arial"/>
          <w:sz w:val="22"/>
          <w:szCs w:val="22"/>
        </w:rPr>
        <w:t>es</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necesario.</w:t>
      </w:r>
    </w:p>
    <w:p w14:paraId="0AB5D4A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Concluid</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desahog</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pruebas</w:t>
      </w:r>
      <w:r w:rsidRPr="00EC452A">
        <w:rPr>
          <w:rFonts w:ascii="Arial" w:eastAsia="Arial" w:hAnsi="Arial" w:cs="Arial"/>
          <w:sz w:val="22"/>
          <w:szCs w:val="22"/>
        </w:rPr>
        <w:t xml:space="preserve">,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parte</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podrá</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alega</w:t>
      </w:r>
      <w:r w:rsidRPr="00EC452A">
        <w:rPr>
          <w:rFonts w:ascii="Arial" w:eastAsia="Arial" w:hAnsi="Arial" w:cs="Arial"/>
          <w:sz w:val="22"/>
          <w:szCs w:val="22"/>
        </w:rPr>
        <w:t xml:space="preserve">r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propi</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audienci</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2"/>
          <w:w w:val="102"/>
          <w:sz w:val="22"/>
          <w:szCs w:val="22"/>
        </w:rPr>
        <w:t xml:space="preserve">por </w:t>
      </w:r>
      <w:r w:rsidRPr="00EC452A">
        <w:rPr>
          <w:rFonts w:ascii="Arial" w:eastAsia="Arial" w:hAnsi="Arial" w:cs="Arial"/>
          <w:sz w:val="22"/>
          <w:szCs w:val="22"/>
        </w:rPr>
        <w:t>escrito</w:t>
      </w:r>
      <w:r w:rsidRPr="00EC452A">
        <w:rPr>
          <w:rFonts w:ascii="Arial" w:eastAsia="Arial" w:hAnsi="Arial" w:cs="Arial"/>
          <w:spacing w:val="18"/>
          <w:sz w:val="22"/>
          <w:szCs w:val="22"/>
        </w:rPr>
        <w:t xml:space="preserve"> </w:t>
      </w:r>
      <w:r w:rsidRPr="00EC452A">
        <w:rPr>
          <w:rFonts w:ascii="Arial" w:eastAsia="Arial" w:hAnsi="Arial" w:cs="Arial"/>
          <w:sz w:val="22"/>
          <w:szCs w:val="22"/>
        </w:rPr>
        <w:t>dentro</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veinticuatro</w:t>
      </w:r>
      <w:r w:rsidRPr="00EC452A">
        <w:rPr>
          <w:rFonts w:ascii="Arial" w:eastAsia="Arial" w:hAnsi="Arial" w:cs="Arial"/>
          <w:spacing w:val="26"/>
          <w:sz w:val="22"/>
          <w:szCs w:val="22"/>
        </w:rPr>
        <w:t xml:space="preserve"> </w:t>
      </w:r>
      <w:r w:rsidRPr="00EC452A">
        <w:rPr>
          <w:rFonts w:ascii="Arial" w:eastAsia="Arial" w:hAnsi="Arial" w:cs="Arial"/>
          <w:sz w:val="22"/>
          <w:szCs w:val="22"/>
        </w:rPr>
        <w:t>horas</w:t>
      </w:r>
      <w:r w:rsidRPr="00EC452A">
        <w:rPr>
          <w:rFonts w:ascii="Arial" w:eastAsia="Arial" w:hAnsi="Arial" w:cs="Arial"/>
          <w:spacing w:val="16"/>
          <w:sz w:val="22"/>
          <w:szCs w:val="22"/>
        </w:rPr>
        <w:t xml:space="preserve"> </w:t>
      </w:r>
      <w:r w:rsidRPr="00EC452A">
        <w:rPr>
          <w:rFonts w:ascii="Arial" w:eastAsia="Arial" w:hAnsi="Arial" w:cs="Arial"/>
          <w:w w:val="102"/>
          <w:sz w:val="22"/>
          <w:szCs w:val="22"/>
        </w:rPr>
        <w:t>siguientes.</w:t>
      </w:r>
    </w:p>
    <w:p w14:paraId="7CACEBD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Cumplid</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o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anterio</w:t>
      </w:r>
      <w:r w:rsidRPr="00EC452A">
        <w:rPr>
          <w:rFonts w:ascii="Arial" w:eastAsia="Arial" w:hAnsi="Arial" w:cs="Arial"/>
          <w:sz w:val="22"/>
          <w:szCs w:val="22"/>
        </w:rPr>
        <w:t xml:space="preserve">r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declar</w:t>
      </w:r>
      <w:r w:rsidRPr="00EC452A">
        <w:rPr>
          <w:rFonts w:ascii="Arial" w:eastAsia="Arial" w:hAnsi="Arial" w:cs="Arial"/>
          <w:sz w:val="22"/>
          <w:szCs w:val="22"/>
        </w:rPr>
        <w:t xml:space="preserve">á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integrad</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expedient</w:t>
      </w:r>
      <w:r w:rsidRPr="00EC452A">
        <w:rPr>
          <w:rFonts w:ascii="Arial" w:eastAsia="Arial" w:hAnsi="Arial" w:cs="Arial"/>
          <w:spacing w:val="-16"/>
          <w:sz w:val="22"/>
          <w:szCs w:val="22"/>
        </w:rPr>
        <w:t>e</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dictará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48"/>
          <w:sz w:val="22"/>
          <w:szCs w:val="22"/>
        </w:rPr>
        <w:t xml:space="preserve"> </w:t>
      </w:r>
      <w:r w:rsidRPr="00EC452A">
        <w:rPr>
          <w:rFonts w:ascii="Arial" w:eastAsia="Arial" w:hAnsi="Arial" w:cs="Arial"/>
          <w:w w:val="102"/>
          <w:sz w:val="22"/>
          <w:szCs w:val="22"/>
        </w:rPr>
        <w:t xml:space="preserve">resolución </w:t>
      </w:r>
      <w:r w:rsidRPr="00EC452A">
        <w:rPr>
          <w:rFonts w:ascii="Arial" w:eastAsia="Arial" w:hAnsi="Arial" w:cs="Arial"/>
          <w:spacing w:val="-2"/>
          <w:sz w:val="22"/>
          <w:szCs w:val="22"/>
        </w:rPr>
        <w:t>razonad</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correspond</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plaz</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exeder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treint</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día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hábile</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contado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2"/>
          <w:w w:val="102"/>
          <w:sz w:val="22"/>
          <w:szCs w:val="22"/>
        </w:rPr>
        <w:t xml:space="preserve">partir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referid</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integració</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expediente</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necesida</w:t>
      </w:r>
      <w:r w:rsidRPr="00EC452A">
        <w:rPr>
          <w:rFonts w:ascii="Arial" w:eastAsia="Arial" w:hAnsi="Arial" w:cs="Arial"/>
          <w:sz w:val="22"/>
          <w:szCs w:val="22"/>
        </w:rPr>
        <w:t>d</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sujetars</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regla</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valoración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pruebas.</w:t>
      </w:r>
    </w:p>
    <w:p w14:paraId="10E19E5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5"/>
          <w:sz w:val="22"/>
          <w:szCs w:val="22"/>
        </w:rPr>
        <w:t>4a</w:t>
      </w:r>
      <w:r w:rsidRPr="00EC452A">
        <w:rPr>
          <w:rFonts w:ascii="Arial" w:eastAsia="Arial" w:hAnsi="Arial" w:cs="Arial"/>
          <w:spacing w:val="10"/>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En</w:t>
      </w:r>
      <w:r w:rsidRPr="00EC452A">
        <w:rPr>
          <w:rFonts w:ascii="Arial" w:eastAsia="Arial" w:hAnsi="Arial" w:cs="Arial"/>
          <w:spacing w:val="48"/>
          <w:sz w:val="22"/>
          <w:szCs w:val="22"/>
        </w:rPr>
        <w:t xml:space="preserve"> </w:t>
      </w:r>
      <w:r w:rsidRPr="00EC452A">
        <w:rPr>
          <w:rFonts w:ascii="Arial" w:eastAsia="Arial" w:hAnsi="Arial" w:cs="Arial"/>
          <w:sz w:val="22"/>
          <w:szCs w:val="22"/>
        </w:rPr>
        <w:t>contra</w:t>
      </w:r>
      <w:r w:rsidRPr="00EC452A">
        <w:rPr>
          <w:rFonts w:ascii="Arial" w:eastAsia="Arial" w:hAnsi="Arial" w:cs="Arial"/>
          <w:spacing w:val="47"/>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sz w:val="22"/>
          <w:szCs w:val="22"/>
        </w:rPr>
        <w:t>la</w:t>
      </w:r>
      <w:r w:rsidRPr="00EC452A">
        <w:rPr>
          <w:rFonts w:ascii="Arial" w:eastAsia="Arial" w:hAnsi="Arial" w:cs="Arial"/>
          <w:spacing w:val="40"/>
          <w:sz w:val="22"/>
          <w:szCs w:val="22"/>
        </w:rPr>
        <w:t xml:space="preserve"> </w:t>
      </w:r>
      <w:r w:rsidRPr="00EC452A">
        <w:rPr>
          <w:rFonts w:ascii="Arial" w:eastAsia="Arial" w:hAnsi="Arial" w:cs="Arial"/>
          <w:sz w:val="22"/>
          <w:szCs w:val="22"/>
        </w:rPr>
        <w:t>resolución</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refier</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bas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anterio</w:t>
      </w:r>
      <w:r w:rsidRPr="00EC452A">
        <w:rPr>
          <w:rFonts w:ascii="Arial" w:eastAsia="Arial" w:hAnsi="Arial" w:cs="Arial"/>
          <w:sz w:val="22"/>
          <w:szCs w:val="22"/>
        </w:rPr>
        <w:t>r</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proceder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recurs</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2"/>
          <w:w w:val="102"/>
          <w:sz w:val="22"/>
          <w:szCs w:val="22"/>
        </w:rPr>
        <w:t xml:space="preserve">revisión </w:t>
      </w:r>
      <w:r w:rsidRPr="00EC452A">
        <w:rPr>
          <w:rFonts w:ascii="Arial" w:eastAsia="Arial" w:hAnsi="Arial" w:cs="Arial"/>
          <w:spacing w:val="-1"/>
          <w:sz w:val="22"/>
          <w:szCs w:val="22"/>
        </w:rPr>
        <w:t>ant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titula</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12"/>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Reglamento.</w:t>
      </w:r>
    </w:p>
    <w:p w14:paraId="3A84116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93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part</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fina</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3</w:t>
      </w:r>
      <w:r w:rsidRPr="00EC452A">
        <w:rPr>
          <w:rFonts w:ascii="Arial" w:eastAsia="Arial" w:hAnsi="Arial" w:cs="Arial"/>
          <w:sz w:val="22"/>
          <w:szCs w:val="22"/>
        </w:rPr>
        <w:t xml:space="preserve">8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 xml:space="preserv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toda</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 xml:space="preserve">partes </w:t>
      </w:r>
      <w:r w:rsidRPr="00EC452A">
        <w:rPr>
          <w:rFonts w:ascii="Arial" w:eastAsia="Arial" w:hAnsi="Arial" w:cs="Arial"/>
          <w:spacing w:val="1"/>
          <w:sz w:val="22"/>
          <w:szCs w:val="22"/>
        </w:rPr>
        <w:t>solicitara</w:t>
      </w:r>
      <w:r w:rsidRPr="00EC452A">
        <w:rPr>
          <w:rFonts w:ascii="Arial" w:eastAsia="Arial" w:hAnsi="Arial" w:cs="Arial"/>
          <w:sz w:val="22"/>
          <w:szCs w:val="22"/>
        </w:rPr>
        <w:t xml:space="preserve">n </w:t>
      </w:r>
      <w:r w:rsidRPr="00EC452A">
        <w:rPr>
          <w:rFonts w:ascii="Arial" w:eastAsia="Arial" w:hAnsi="Arial" w:cs="Arial"/>
          <w:spacing w:val="32"/>
          <w:sz w:val="22"/>
          <w:szCs w:val="22"/>
        </w:rPr>
        <w:t xml:space="preserve"> </w:t>
      </w:r>
      <w:r w:rsidRPr="00EC452A">
        <w:rPr>
          <w:rFonts w:ascii="Arial" w:eastAsia="Arial" w:hAnsi="Arial" w:cs="Arial"/>
          <w:spacing w:val="-3"/>
          <w:sz w:val="22"/>
          <w:szCs w:val="22"/>
        </w:rPr>
        <w:t>q</w:t>
      </w:r>
      <w:r w:rsidRPr="00EC452A">
        <w:rPr>
          <w:rFonts w:ascii="Arial" w:eastAsia="Arial" w:hAnsi="Arial" w:cs="Arial"/>
          <w:spacing w:val="-1"/>
          <w:sz w:val="22"/>
          <w:szCs w:val="22"/>
        </w:rPr>
        <w:t>u</w:t>
      </w:r>
      <w:r w:rsidRPr="00EC452A">
        <w:rPr>
          <w:rFonts w:ascii="Arial" w:eastAsia="Arial" w:hAnsi="Arial" w:cs="Arial"/>
          <w:sz w:val="22"/>
          <w:szCs w:val="22"/>
        </w:rPr>
        <w:t xml:space="preserve">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actú</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conciliado</w:t>
      </w:r>
      <w:r w:rsidRPr="00EC452A">
        <w:rPr>
          <w:rFonts w:ascii="Arial" w:eastAsia="Arial" w:hAnsi="Arial" w:cs="Arial"/>
          <w:sz w:val="22"/>
          <w:szCs w:val="22"/>
        </w:rPr>
        <w:t xml:space="preserve">r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árbitro</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petició</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 xml:space="preserve">á </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 xml:space="preserve">formularse </w:t>
      </w:r>
      <w:r w:rsidRPr="00EC452A">
        <w:rPr>
          <w:rFonts w:ascii="Arial" w:eastAsia="Arial" w:hAnsi="Arial" w:cs="Arial"/>
          <w:spacing w:val="-1"/>
          <w:sz w:val="22"/>
          <w:szCs w:val="22"/>
        </w:rPr>
        <w:t>ant</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competent</w:t>
      </w:r>
      <w:r w:rsidRPr="00EC452A">
        <w:rPr>
          <w:rFonts w:ascii="Arial" w:eastAsia="Arial" w:hAnsi="Arial" w:cs="Arial"/>
          <w:sz w:val="22"/>
          <w:szCs w:val="22"/>
        </w:rPr>
        <w:t>e</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substancia</w:t>
      </w:r>
      <w:r w:rsidRPr="00EC452A">
        <w:rPr>
          <w:rFonts w:ascii="Arial" w:eastAsia="Arial" w:hAnsi="Arial" w:cs="Arial"/>
          <w:sz w:val="22"/>
          <w:szCs w:val="22"/>
        </w:rPr>
        <w:t>r</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w w:val="102"/>
          <w:sz w:val="22"/>
          <w:szCs w:val="22"/>
        </w:rPr>
        <w:t xml:space="preserve">refiere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levantar</w:t>
      </w:r>
      <w:r w:rsidRPr="00EC452A">
        <w:rPr>
          <w:rFonts w:ascii="Arial" w:eastAsia="Arial" w:hAnsi="Arial" w:cs="Arial"/>
          <w:sz w:val="22"/>
          <w:szCs w:val="22"/>
        </w:rPr>
        <w:t xml:space="preserve">á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haciend</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consta</w:t>
      </w:r>
      <w:r w:rsidRPr="00EC452A">
        <w:rPr>
          <w:rFonts w:ascii="Arial" w:eastAsia="Arial" w:hAnsi="Arial" w:cs="Arial"/>
          <w:sz w:val="22"/>
          <w:szCs w:val="22"/>
        </w:rPr>
        <w:t xml:space="preserve">r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compromis</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pa</w:t>
      </w:r>
      <w:r w:rsidRPr="00EC452A">
        <w:rPr>
          <w:rFonts w:ascii="Arial" w:eastAsia="Arial" w:hAnsi="Arial" w:cs="Arial"/>
          <w:sz w:val="22"/>
          <w:szCs w:val="22"/>
        </w:rPr>
        <w:t>rtes,</w:t>
      </w:r>
      <w:r w:rsidRPr="00EC452A">
        <w:rPr>
          <w:rFonts w:ascii="Arial" w:eastAsia="Arial" w:hAnsi="Arial" w:cs="Arial"/>
          <w:spacing w:val="43"/>
          <w:sz w:val="22"/>
          <w:szCs w:val="22"/>
        </w:rPr>
        <w:t xml:space="preserve"> </w:t>
      </w:r>
      <w:r w:rsidRPr="00EC452A">
        <w:rPr>
          <w:rFonts w:ascii="Arial" w:eastAsia="Arial" w:hAnsi="Arial" w:cs="Arial"/>
          <w:sz w:val="22"/>
          <w:szCs w:val="22"/>
        </w:rPr>
        <w:t>la</w:t>
      </w:r>
      <w:r w:rsidRPr="00EC452A">
        <w:rPr>
          <w:rFonts w:ascii="Arial" w:eastAsia="Arial" w:hAnsi="Arial" w:cs="Arial"/>
          <w:spacing w:val="35"/>
          <w:sz w:val="22"/>
          <w:szCs w:val="22"/>
        </w:rPr>
        <w:t xml:space="preserve"> </w:t>
      </w:r>
      <w:r w:rsidRPr="00EC452A">
        <w:rPr>
          <w:rFonts w:ascii="Arial" w:eastAsia="Arial" w:hAnsi="Arial" w:cs="Arial"/>
          <w:w w:val="102"/>
          <w:sz w:val="22"/>
          <w:szCs w:val="22"/>
        </w:rPr>
        <w:t xml:space="preserve">que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firmad</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toda</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ella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mencionada</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continuació</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señal</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celebrar</w:t>
      </w:r>
      <w:r w:rsidRPr="00EC452A">
        <w:rPr>
          <w:rFonts w:ascii="Arial" w:eastAsia="Arial" w:hAnsi="Arial" w:cs="Arial"/>
          <w:sz w:val="22"/>
          <w:szCs w:val="22"/>
        </w:rPr>
        <w:t>á</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audienci</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oí</w:t>
      </w:r>
      <w:r w:rsidRPr="00EC452A">
        <w:rPr>
          <w:rFonts w:ascii="Arial" w:eastAsia="Arial" w:hAnsi="Arial" w:cs="Arial"/>
          <w:sz w:val="22"/>
          <w:szCs w:val="22"/>
        </w:rPr>
        <w:t>r</w:t>
      </w:r>
      <w:r w:rsidRPr="00EC452A">
        <w:rPr>
          <w:rFonts w:ascii="Arial" w:eastAsia="Arial" w:hAnsi="Arial" w:cs="Arial"/>
          <w:spacing w:val="27"/>
          <w:sz w:val="22"/>
          <w:szCs w:val="22"/>
        </w:rPr>
        <w:t xml:space="preserve"> </w:t>
      </w:r>
      <w:r w:rsidRPr="00EC452A">
        <w:rPr>
          <w:rFonts w:ascii="Arial" w:eastAsia="Arial" w:hAnsi="Arial" w:cs="Arial"/>
          <w:sz w:val="22"/>
          <w:szCs w:val="22"/>
        </w:rPr>
        <w:t>y</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procura</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aveni</w:t>
      </w:r>
      <w:r w:rsidRPr="00EC452A">
        <w:rPr>
          <w:rFonts w:ascii="Arial" w:eastAsia="Arial" w:hAnsi="Arial" w:cs="Arial"/>
          <w:sz w:val="22"/>
          <w:szCs w:val="22"/>
        </w:rPr>
        <w:t>r</w:t>
      </w:r>
      <w:r w:rsidRPr="00EC452A">
        <w:rPr>
          <w:rFonts w:ascii="Arial" w:eastAsia="Arial" w:hAnsi="Arial" w:cs="Arial"/>
          <w:spacing w:val="33"/>
          <w:sz w:val="22"/>
          <w:szCs w:val="22"/>
        </w:rPr>
        <w:t xml:space="preserve"> </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partes</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cua</w:t>
      </w:r>
      <w:r w:rsidRPr="00EC452A">
        <w:rPr>
          <w:rFonts w:ascii="Arial" w:eastAsia="Arial" w:hAnsi="Arial" w:cs="Arial"/>
          <w:sz w:val="22"/>
          <w:szCs w:val="22"/>
        </w:rPr>
        <w:t>l</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w w:val="102"/>
          <w:sz w:val="22"/>
          <w:szCs w:val="22"/>
        </w:rPr>
        <w:t xml:space="preserve">levantará </w:t>
      </w:r>
      <w:r w:rsidRPr="00EC452A">
        <w:rPr>
          <w:rFonts w:ascii="Arial" w:eastAsia="Arial" w:hAnsi="Arial" w:cs="Arial"/>
          <w:sz w:val="22"/>
          <w:szCs w:val="22"/>
        </w:rPr>
        <w:t>acta</w:t>
      </w:r>
      <w:r w:rsidRPr="00EC452A">
        <w:rPr>
          <w:rFonts w:ascii="Arial" w:eastAsia="Arial" w:hAnsi="Arial" w:cs="Arial"/>
          <w:spacing w:val="30"/>
          <w:sz w:val="22"/>
          <w:szCs w:val="22"/>
        </w:rPr>
        <w:t xml:space="preserve"> </w:t>
      </w:r>
      <w:r w:rsidRPr="00EC452A">
        <w:rPr>
          <w:rFonts w:ascii="Arial" w:eastAsia="Arial" w:hAnsi="Arial" w:cs="Arial"/>
          <w:sz w:val="22"/>
          <w:szCs w:val="22"/>
        </w:rPr>
        <w:t>en</w:t>
      </w:r>
      <w:r w:rsidRPr="00EC452A">
        <w:rPr>
          <w:rFonts w:ascii="Arial" w:eastAsia="Arial" w:hAnsi="Arial" w:cs="Arial"/>
          <w:spacing w:val="27"/>
          <w:sz w:val="22"/>
          <w:szCs w:val="22"/>
        </w:rPr>
        <w:t xml:space="preserve"> </w:t>
      </w:r>
      <w:r w:rsidRPr="00EC452A">
        <w:rPr>
          <w:rFonts w:ascii="Arial" w:eastAsia="Arial" w:hAnsi="Arial" w:cs="Arial"/>
          <w:sz w:val="22"/>
          <w:szCs w:val="22"/>
        </w:rPr>
        <w:t>que</w:t>
      </w:r>
      <w:r w:rsidRPr="00EC452A">
        <w:rPr>
          <w:rFonts w:ascii="Arial" w:eastAsia="Arial" w:hAnsi="Arial" w:cs="Arial"/>
          <w:spacing w:val="29"/>
          <w:sz w:val="22"/>
          <w:szCs w:val="22"/>
        </w:rPr>
        <w:t xml:space="preserve"> </w:t>
      </w:r>
      <w:r w:rsidRPr="00EC452A">
        <w:rPr>
          <w:rFonts w:ascii="Arial" w:eastAsia="Arial" w:hAnsi="Arial" w:cs="Arial"/>
          <w:sz w:val="22"/>
          <w:szCs w:val="22"/>
        </w:rPr>
        <w:t>se</w:t>
      </w:r>
      <w:r w:rsidRPr="00EC452A">
        <w:rPr>
          <w:rFonts w:ascii="Arial" w:eastAsia="Arial" w:hAnsi="Arial" w:cs="Arial"/>
          <w:spacing w:val="27"/>
          <w:sz w:val="22"/>
          <w:szCs w:val="22"/>
        </w:rPr>
        <w:t xml:space="preserve"> </w:t>
      </w:r>
      <w:r w:rsidRPr="00EC452A">
        <w:rPr>
          <w:rFonts w:ascii="Arial" w:eastAsia="Arial" w:hAnsi="Arial" w:cs="Arial"/>
          <w:sz w:val="22"/>
          <w:szCs w:val="22"/>
        </w:rPr>
        <w:t>harán</w:t>
      </w:r>
      <w:r w:rsidRPr="00EC452A">
        <w:rPr>
          <w:rFonts w:ascii="Arial" w:eastAsia="Arial" w:hAnsi="Arial" w:cs="Arial"/>
          <w:spacing w:val="33"/>
          <w:sz w:val="22"/>
          <w:szCs w:val="22"/>
        </w:rPr>
        <w:t xml:space="preserve"> </w:t>
      </w:r>
      <w:r w:rsidRPr="00EC452A">
        <w:rPr>
          <w:rFonts w:ascii="Arial" w:eastAsia="Arial" w:hAnsi="Arial" w:cs="Arial"/>
          <w:sz w:val="22"/>
          <w:szCs w:val="22"/>
        </w:rPr>
        <w:t>constar</w:t>
      </w:r>
      <w:r w:rsidRPr="00EC452A">
        <w:rPr>
          <w:rFonts w:ascii="Arial" w:eastAsia="Arial" w:hAnsi="Arial" w:cs="Arial"/>
          <w:spacing w:val="35"/>
          <w:sz w:val="22"/>
          <w:szCs w:val="22"/>
        </w:rPr>
        <w:t xml:space="preserve"> </w:t>
      </w:r>
      <w:r w:rsidRPr="00EC452A">
        <w:rPr>
          <w:rFonts w:ascii="Arial" w:eastAsia="Arial" w:hAnsi="Arial" w:cs="Arial"/>
          <w:sz w:val="22"/>
          <w:szCs w:val="22"/>
        </w:rPr>
        <w:t>las</w:t>
      </w:r>
      <w:r w:rsidRPr="00EC452A">
        <w:rPr>
          <w:rFonts w:ascii="Arial" w:eastAsia="Arial" w:hAnsi="Arial" w:cs="Arial"/>
          <w:spacing w:val="28"/>
          <w:sz w:val="22"/>
          <w:szCs w:val="22"/>
        </w:rPr>
        <w:t xml:space="preserve"> </w:t>
      </w:r>
      <w:r w:rsidRPr="00EC452A">
        <w:rPr>
          <w:rFonts w:ascii="Arial" w:eastAsia="Arial" w:hAnsi="Arial" w:cs="Arial"/>
          <w:sz w:val="22"/>
          <w:szCs w:val="22"/>
        </w:rPr>
        <w:t>manifestaciones</w:t>
      </w:r>
      <w:r w:rsidRPr="00EC452A">
        <w:rPr>
          <w:rFonts w:ascii="Arial" w:eastAsia="Arial" w:hAnsi="Arial" w:cs="Arial"/>
          <w:spacing w:val="50"/>
          <w:sz w:val="22"/>
          <w:szCs w:val="22"/>
        </w:rPr>
        <w:t xml:space="preserve"> </w:t>
      </w:r>
      <w:r w:rsidRPr="00EC452A">
        <w:rPr>
          <w:rFonts w:ascii="Arial" w:eastAsia="Arial" w:hAnsi="Arial" w:cs="Arial"/>
          <w:spacing w:val="-30"/>
          <w:sz w:val="22"/>
          <w:szCs w:val="22"/>
        </w:rPr>
        <w:t>d</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z w:val="22"/>
          <w:szCs w:val="22"/>
        </w:rPr>
        <w:t>los</w:t>
      </w:r>
      <w:r w:rsidRPr="00EC452A">
        <w:rPr>
          <w:rFonts w:ascii="Arial" w:eastAsia="Arial" w:hAnsi="Arial" w:cs="Arial"/>
          <w:spacing w:val="15"/>
          <w:sz w:val="22"/>
          <w:szCs w:val="22"/>
        </w:rPr>
        <w:t xml:space="preserve"> </w:t>
      </w:r>
      <w:r w:rsidRPr="00EC452A">
        <w:rPr>
          <w:rFonts w:ascii="Arial" w:eastAsia="Arial" w:hAnsi="Arial" w:cs="Arial"/>
          <w:sz w:val="22"/>
          <w:szCs w:val="22"/>
        </w:rPr>
        <w:t>comparecientes</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12"/>
          <w:sz w:val="22"/>
          <w:szCs w:val="22"/>
        </w:rPr>
        <w:t xml:space="preserve"> </w:t>
      </w:r>
      <w:r w:rsidRPr="00EC452A">
        <w:rPr>
          <w:rFonts w:ascii="Arial" w:eastAsia="Arial" w:hAnsi="Arial" w:cs="Arial"/>
          <w:sz w:val="22"/>
          <w:szCs w:val="22"/>
        </w:rPr>
        <w:t>el</w:t>
      </w:r>
      <w:r w:rsidRPr="00EC452A">
        <w:rPr>
          <w:rFonts w:ascii="Arial" w:eastAsia="Arial" w:hAnsi="Arial" w:cs="Arial"/>
          <w:spacing w:val="13"/>
          <w:sz w:val="22"/>
          <w:szCs w:val="22"/>
        </w:rPr>
        <w:t xml:space="preserve"> </w:t>
      </w:r>
      <w:r w:rsidRPr="00EC452A">
        <w:rPr>
          <w:rFonts w:ascii="Arial" w:eastAsia="Arial" w:hAnsi="Arial" w:cs="Arial"/>
          <w:sz w:val="22"/>
          <w:szCs w:val="22"/>
        </w:rPr>
        <w:t>arreglo</w:t>
      </w:r>
      <w:r w:rsidRPr="00EC452A">
        <w:rPr>
          <w:rFonts w:ascii="Arial" w:eastAsia="Arial" w:hAnsi="Arial" w:cs="Arial"/>
          <w:spacing w:val="22"/>
          <w:sz w:val="22"/>
          <w:szCs w:val="22"/>
        </w:rPr>
        <w:t xml:space="preserve"> </w:t>
      </w:r>
      <w:r w:rsidRPr="00EC452A">
        <w:rPr>
          <w:rFonts w:ascii="Arial" w:eastAsia="Arial" w:hAnsi="Arial" w:cs="Arial"/>
          <w:sz w:val="22"/>
          <w:szCs w:val="22"/>
        </w:rPr>
        <w:t>que,</w:t>
      </w:r>
      <w:r w:rsidRPr="00EC452A">
        <w:rPr>
          <w:rFonts w:ascii="Arial" w:eastAsia="Arial" w:hAnsi="Arial" w:cs="Arial"/>
          <w:spacing w:val="17"/>
          <w:sz w:val="22"/>
          <w:szCs w:val="22"/>
        </w:rPr>
        <w:t xml:space="preserve"> </w:t>
      </w:r>
      <w:r w:rsidRPr="00EC452A">
        <w:rPr>
          <w:rFonts w:ascii="Arial" w:eastAsia="Arial" w:hAnsi="Arial" w:cs="Arial"/>
          <w:sz w:val="22"/>
          <w:szCs w:val="22"/>
        </w:rPr>
        <w:t>en</w:t>
      </w:r>
      <w:r w:rsidRPr="00EC452A">
        <w:rPr>
          <w:rFonts w:ascii="Arial" w:eastAsia="Arial" w:hAnsi="Arial" w:cs="Arial"/>
          <w:spacing w:val="14"/>
          <w:sz w:val="22"/>
          <w:szCs w:val="22"/>
        </w:rPr>
        <w:t xml:space="preserve"> </w:t>
      </w:r>
      <w:r w:rsidRPr="00EC452A">
        <w:rPr>
          <w:rFonts w:ascii="Arial" w:eastAsia="Arial" w:hAnsi="Arial" w:cs="Arial"/>
          <w:w w:val="102"/>
          <w:sz w:val="22"/>
          <w:szCs w:val="22"/>
        </w:rPr>
        <w:t xml:space="preserve">su </w:t>
      </w:r>
      <w:r w:rsidRPr="00EC452A">
        <w:rPr>
          <w:rFonts w:ascii="Arial" w:eastAsia="Arial" w:hAnsi="Arial" w:cs="Arial"/>
          <w:spacing w:val="-2"/>
          <w:sz w:val="22"/>
          <w:szCs w:val="22"/>
        </w:rPr>
        <w:t>caso</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hubiere</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convenido.</w:t>
      </w:r>
    </w:p>
    <w:p w14:paraId="779C4CD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fuer</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posibl</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aveni</w:t>
      </w:r>
      <w:r w:rsidRPr="00EC452A">
        <w:rPr>
          <w:rFonts w:ascii="Arial" w:eastAsia="Arial" w:hAnsi="Arial" w:cs="Arial"/>
          <w:sz w:val="22"/>
          <w:szCs w:val="22"/>
        </w:rPr>
        <w:t xml:space="preserve">r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partes</w:t>
      </w:r>
      <w:r w:rsidRPr="00EC452A">
        <w:rPr>
          <w:rFonts w:ascii="Arial" w:eastAsia="Arial" w:hAnsi="Arial" w:cs="Arial"/>
          <w:sz w:val="22"/>
          <w:szCs w:val="22"/>
        </w:rPr>
        <w:t xml:space="preserv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 xml:space="preserve">d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mencionad</w:t>
      </w:r>
      <w:r w:rsidRPr="00EC452A">
        <w:rPr>
          <w:rFonts w:ascii="Arial" w:eastAsia="Arial" w:hAnsi="Arial" w:cs="Arial"/>
          <w:sz w:val="22"/>
          <w:szCs w:val="22"/>
        </w:rPr>
        <w:t xml:space="preserve">a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remitir</w:t>
      </w:r>
      <w:r w:rsidRPr="00EC452A">
        <w:rPr>
          <w:rFonts w:ascii="Arial" w:eastAsia="Arial" w:hAnsi="Arial" w:cs="Arial"/>
          <w:sz w:val="22"/>
          <w:szCs w:val="22"/>
        </w:rPr>
        <w:t xml:space="preserve">á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expedient</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al </w:t>
      </w:r>
      <w:r w:rsidRPr="00EC452A">
        <w:rPr>
          <w:rFonts w:ascii="Arial" w:eastAsia="Arial" w:hAnsi="Arial" w:cs="Arial"/>
          <w:spacing w:val="-1"/>
          <w:sz w:val="22"/>
          <w:szCs w:val="22"/>
        </w:rPr>
        <w:t>Secretari</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continú</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arbitraj</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emit</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fallo </w:t>
      </w:r>
      <w:r w:rsidRPr="00EC452A">
        <w:rPr>
          <w:rFonts w:ascii="Arial" w:eastAsia="Arial" w:hAnsi="Arial" w:cs="Arial"/>
          <w:spacing w:val="-1"/>
          <w:sz w:val="22"/>
          <w:szCs w:val="22"/>
        </w:rPr>
        <w:t>correspondiente</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 xml:space="preserve">r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notificad</w:t>
      </w:r>
      <w:r w:rsidRPr="00EC452A">
        <w:rPr>
          <w:rFonts w:ascii="Arial" w:eastAsia="Arial" w:hAnsi="Arial" w:cs="Arial"/>
          <w:sz w:val="22"/>
          <w:szCs w:val="22"/>
        </w:rPr>
        <w:t xml:space="preserve">o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toda</w:t>
      </w:r>
      <w:r w:rsidRPr="00EC452A">
        <w:rPr>
          <w:rFonts w:ascii="Arial" w:eastAsia="Arial" w:hAnsi="Arial" w:cs="Arial"/>
          <w:sz w:val="22"/>
          <w:szCs w:val="22"/>
        </w:rPr>
        <w:t xml:space="preserve">s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cua</w:t>
      </w:r>
      <w:r w:rsidRPr="00EC452A">
        <w:rPr>
          <w:rFonts w:ascii="Arial" w:eastAsia="Arial" w:hAnsi="Arial" w:cs="Arial"/>
          <w:sz w:val="22"/>
          <w:szCs w:val="22"/>
        </w:rPr>
        <w:t xml:space="preserve">l </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no </w:t>
      </w:r>
      <w:r w:rsidRPr="00EC452A">
        <w:rPr>
          <w:rFonts w:ascii="Arial" w:eastAsia="Arial" w:hAnsi="Arial" w:cs="Arial"/>
          <w:spacing w:val="-2"/>
          <w:sz w:val="22"/>
          <w:szCs w:val="22"/>
        </w:rPr>
        <w:t>proceder</w:t>
      </w:r>
      <w:r w:rsidRPr="00EC452A">
        <w:rPr>
          <w:rFonts w:ascii="Arial" w:eastAsia="Arial" w:hAnsi="Arial" w:cs="Arial"/>
          <w:sz w:val="22"/>
          <w:szCs w:val="22"/>
        </w:rPr>
        <w:t>á</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recurs</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revisió</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previst</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Ley.</w:t>
      </w:r>
    </w:p>
    <w:p w14:paraId="423BFB2A"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8"/>
          <w:sz w:val="22"/>
          <w:szCs w:val="22"/>
        </w:rPr>
        <w:t>TITUL</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8"/>
          <w:w w:val="102"/>
          <w:sz w:val="22"/>
          <w:szCs w:val="22"/>
        </w:rPr>
        <w:t>CUARTO</w:t>
      </w:r>
    </w:p>
    <w:p w14:paraId="121F633C" w14:textId="77777777" w:rsidR="00EC452A" w:rsidRPr="00EC452A" w:rsidRDefault="00EC452A" w:rsidP="00EC452A">
      <w:pPr>
        <w:spacing w:before="100" w:beforeAutospacing="1" w:after="100" w:afterAutospacing="1" w:line="240" w:lineRule="auto"/>
        <w:jc w:val="center"/>
        <w:rPr>
          <w:rFonts w:ascii="Arial" w:eastAsia="Arial" w:hAnsi="Arial" w:cs="Arial"/>
          <w:w w:val="102"/>
          <w:sz w:val="22"/>
          <w:szCs w:val="22"/>
        </w:rPr>
      </w:pPr>
      <w:r w:rsidRPr="00EC452A">
        <w:rPr>
          <w:rFonts w:ascii="Arial" w:eastAsia="Arial" w:hAnsi="Arial" w:cs="Arial"/>
          <w:sz w:val="22"/>
          <w:szCs w:val="22"/>
        </w:rPr>
        <w:t>Apoyo</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z w:val="22"/>
          <w:szCs w:val="22"/>
        </w:rPr>
        <w:t>la</w:t>
      </w:r>
      <w:r w:rsidRPr="00EC452A">
        <w:rPr>
          <w:rFonts w:ascii="Arial" w:eastAsia="Arial" w:hAnsi="Arial" w:cs="Arial"/>
          <w:spacing w:val="8"/>
          <w:sz w:val="22"/>
          <w:szCs w:val="22"/>
        </w:rPr>
        <w:t xml:space="preserve"> </w:t>
      </w:r>
      <w:r w:rsidRPr="00EC452A">
        <w:rPr>
          <w:rFonts w:ascii="Arial" w:eastAsia="Arial" w:hAnsi="Arial" w:cs="Arial"/>
          <w:sz w:val="22"/>
          <w:szCs w:val="22"/>
        </w:rPr>
        <w:t>Producción</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7"/>
          <w:sz w:val="22"/>
          <w:szCs w:val="22"/>
        </w:rPr>
        <w:t xml:space="preserve"> </w:t>
      </w:r>
      <w:r w:rsidRPr="00EC452A">
        <w:rPr>
          <w:rFonts w:ascii="Arial" w:eastAsia="Arial" w:hAnsi="Arial" w:cs="Arial"/>
          <w:sz w:val="22"/>
          <w:szCs w:val="22"/>
        </w:rPr>
        <w:t>la</w:t>
      </w:r>
      <w:r w:rsidRPr="00EC452A">
        <w:rPr>
          <w:rFonts w:ascii="Arial" w:eastAsia="Arial" w:hAnsi="Arial" w:cs="Arial"/>
          <w:spacing w:val="8"/>
          <w:sz w:val="22"/>
          <w:szCs w:val="22"/>
        </w:rPr>
        <w:t xml:space="preserve"> </w:t>
      </w:r>
      <w:r w:rsidRPr="00EC452A">
        <w:rPr>
          <w:rFonts w:ascii="Arial" w:eastAsia="Arial" w:hAnsi="Arial" w:cs="Arial"/>
          <w:w w:val="102"/>
          <w:sz w:val="22"/>
          <w:szCs w:val="22"/>
        </w:rPr>
        <w:t>Comercialización</w:t>
      </w:r>
    </w:p>
    <w:p w14:paraId="592EBAA1"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3"/>
          <w:sz w:val="22"/>
          <w:szCs w:val="22"/>
        </w:rPr>
        <w:t>CAPITUL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I</w:t>
      </w:r>
    </w:p>
    <w:p w14:paraId="70BA976A"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z w:val="22"/>
          <w:szCs w:val="22"/>
        </w:rPr>
        <w:t>De</w:t>
      </w:r>
      <w:r w:rsidRPr="00EC452A">
        <w:rPr>
          <w:rFonts w:ascii="Arial" w:eastAsia="Arial" w:hAnsi="Arial" w:cs="Arial"/>
          <w:spacing w:val="12"/>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Mecanización</w:t>
      </w:r>
      <w:r w:rsidRPr="00EC452A">
        <w:rPr>
          <w:rFonts w:ascii="Arial" w:eastAsia="Arial" w:hAnsi="Arial" w:cs="Arial"/>
          <w:spacing w:val="3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Servicios</w:t>
      </w:r>
    </w:p>
    <w:p w14:paraId="414FB10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94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Sec</w:t>
      </w:r>
      <w:r w:rsidRPr="00EC452A">
        <w:rPr>
          <w:rFonts w:ascii="Arial" w:eastAsia="Arial" w:hAnsi="Arial" w:cs="Arial"/>
          <w:spacing w:val="-13"/>
          <w:sz w:val="22"/>
          <w:szCs w:val="22"/>
        </w:rPr>
        <w:t>r</w:t>
      </w:r>
      <w:r w:rsidRPr="00EC452A">
        <w:rPr>
          <w:rFonts w:ascii="Arial" w:eastAsia="Arial" w:hAnsi="Arial" w:cs="Arial"/>
          <w:spacing w:val="-2"/>
          <w:sz w:val="22"/>
          <w:szCs w:val="22"/>
        </w:rPr>
        <w:t>etarí</w:t>
      </w:r>
      <w:r w:rsidRPr="00EC452A">
        <w:rPr>
          <w:rFonts w:ascii="Arial" w:eastAsia="Arial" w:hAnsi="Arial" w:cs="Arial"/>
          <w:sz w:val="22"/>
          <w:szCs w:val="22"/>
        </w:rPr>
        <w:t xml:space="preserve">a </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promover</w:t>
      </w:r>
      <w:r w:rsidRPr="00EC452A">
        <w:rPr>
          <w:rFonts w:ascii="Arial" w:eastAsia="Arial" w:hAnsi="Arial" w:cs="Arial"/>
          <w:sz w:val="22"/>
          <w:szCs w:val="22"/>
        </w:rPr>
        <w:t xml:space="preserve">á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us</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maquinaria</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equipo</w:t>
      </w:r>
      <w:r w:rsidRPr="00EC452A">
        <w:rPr>
          <w:rFonts w:ascii="Arial" w:eastAsia="Arial" w:hAnsi="Arial" w:cs="Arial"/>
          <w:sz w:val="22"/>
          <w:szCs w:val="22"/>
        </w:rPr>
        <w:t xml:space="preserve">s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e </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instalacione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z w:val="22"/>
          <w:szCs w:val="22"/>
        </w:rPr>
        <w:t>almacenamiento</w:t>
      </w:r>
      <w:r w:rsidRPr="00EC452A">
        <w:rPr>
          <w:rFonts w:ascii="Arial" w:eastAsia="Arial" w:hAnsi="Arial" w:cs="Arial"/>
          <w:spacing w:val="26"/>
          <w:sz w:val="22"/>
          <w:szCs w:val="22"/>
        </w:rPr>
        <w:t xml:space="preserve"> </w:t>
      </w:r>
      <w:r w:rsidRPr="00EC452A">
        <w:rPr>
          <w:rFonts w:ascii="Arial" w:eastAsia="Arial" w:hAnsi="Arial" w:cs="Arial"/>
          <w:sz w:val="22"/>
          <w:szCs w:val="22"/>
        </w:rPr>
        <w:t>y de</w:t>
      </w:r>
      <w:r w:rsidRPr="00EC452A">
        <w:rPr>
          <w:rFonts w:ascii="Arial" w:eastAsia="Arial" w:hAnsi="Arial" w:cs="Arial"/>
          <w:spacing w:val="2"/>
          <w:sz w:val="22"/>
          <w:szCs w:val="22"/>
        </w:rPr>
        <w:t xml:space="preserve"> </w:t>
      </w:r>
      <w:r w:rsidRPr="00EC452A">
        <w:rPr>
          <w:rFonts w:ascii="Arial" w:eastAsia="Arial" w:hAnsi="Arial" w:cs="Arial"/>
          <w:sz w:val="22"/>
          <w:szCs w:val="22"/>
        </w:rPr>
        <w:t>industrialización,</w:t>
      </w:r>
      <w:r w:rsidRPr="00EC452A">
        <w:rPr>
          <w:rFonts w:ascii="Arial" w:eastAsia="Arial" w:hAnsi="Arial" w:cs="Arial"/>
          <w:spacing w:val="26"/>
          <w:sz w:val="22"/>
          <w:szCs w:val="22"/>
        </w:rPr>
        <w:t xml:space="preserve"> </w:t>
      </w:r>
      <w:r w:rsidRPr="00EC452A">
        <w:rPr>
          <w:rFonts w:ascii="Arial" w:eastAsia="Arial" w:hAnsi="Arial" w:cs="Arial"/>
          <w:sz w:val="22"/>
          <w:szCs w:val="22"/>
        </w:rPr>
        <w:t>así</w:t>
      </w:r>
      <w:r w:rsidRPr="00EC452A">
        <w:rPr>
          <w:rFonts w:ascii="Arial" w:eastAsia="Arial" w:hAnsi="Arial" w:cs="Arial"/>
          <w:spacing w:val="3"/>
          <w:sz w:val="22"/>
          <w:szCs w:val="22"/>
        </w:rPr>
        <w:t xml:space="preserve"> </w:t>
      </w:r>
      <w:r w:rsidRPr="00EC452A">
        <w:rPr>
          <w:rFonts w:ascii="Arial" w:eastAsia="Arial" w:hAnsi="Arial" w:cs="Arial"/>
          <w:sz w:val="22"/>
          <w:szCs w:val="22"/>
        </w:rPr>
        <w:t>como</w:t>
      </w:r>
      <w:r w:rsidRPr="00EC452A">
        <w:rPr>
          <w:rFonts w:ascii="Arial" w:eastAsia="Arial" w:hAnsi="Arial" w:cs="Arial"/>
          <w:spacing w:val="7"/>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servicios</w:t>
      </w:r>
      <w:r w:rsidRPr="00EC452A">
        <w:rPr>
          <w:rFonts w:ascii="Arial" w:eastAsia="Arial" w:hAnsi="Arial" w:cs="Arial"/>
          <w:spacing w:val="13"/>
          <w:sz w:val="22"/>
          <w:szCs w:val="22"/>
        </w:rPr>
        <w:t xml:space="preserve"> </w:t>
      </w:r>
      <w:r w:rsidRPr="00EC452A">
        <w:rPr>
          <w:rFonts w:ascii="Arial" w:eastAsia="Arial" w:hAnsi="Arial" w:cs="Arial"/>
          <w:sz w:val="22"/>
          <w:szCs w:val="22"/>
        </w:rPr>
        <w:t>auxiliares</w:t>
      </w:r>
      <w:r w:rsidRPr="00EC452A">
        <w:rPr>
          <w:rFonts w:ascii="Arial" w:eastAsia="Arial" w:hAnsi="Arial" w:cs="Arial"/>
          <w:spacing w:val="14"/>
          <w:sz w:val="22"/>
          <w:szCs w:val="22"/>
        </w:rPr>
        <w:t xml:space="preserve"> </w:t>
      </w:r>
      <w:r w:rsidRPr="00EC452A">
        <w:rPr>
          <w:rFonts w:ascii="Arial" w:eastAsia="Arial" w:hAnsi="Arial" w:cs="Arial"/>
          <w:sz w:val="22"/>
          <w:szCs w:val="22"/>
        </w:rPr>
        <w:t>para</w:t>
      </w:r>
      <w:r w:rsidRPr="00EC452A">
        <w:rPr>
          <w:rFonts w:ascii="Arial" w:eastAsia="Arial" w:hAnsi="Arial" w:cs="Arial"/>
          <w:spacing w:val="6"/>
          <w:sz w:val="22"/>
          <w:szCs w:val="22"/>
        </w:rPr>
        <w:t xml:space="preserve"> </w:t>
      </w:r>
      <w:r w:rsidRPr="00EC452A">
        <w:rPr>
          <w:rFonts w:ascii="Arial" w:eastAsia="Arial" w:hAnsi="Arial" w:cs="Arial"/>
          <w:sz w:val="22"/>
          <w:szCs w:val="22"/>
        </w:rPr>
        <w:t>la</w:t>
      </w:r>
      <w:r w:rsidRPr="00EC452A">
        <w:rPr>
          <w:rFonts w:ascii="Arial" w:eastAsia="Arial" w:hAnsi="Arial" w:cs="Arial"/>
          <w:spacing w:val="1"/>
          <w:sz w:val="22"/>
          <w:szCs w:val="22"/>
        </w:rPr>
        <w:t xml:space="preserve"> </w:t>
      </w:r>
      <w:r w:rsidRPr="00EC452A">
        <w:rPr>
          <w:rFonts w:ascii="Arial" w:eastAsia="Arial" w:hAnsi="Arial" w:cs="Arial"/>
          <w:sz w:val="22"/>
          <w:szCs w:val="22"/>
        </w:rPr>
        <w:t>obtención</w:t>
      </w:r>
      <w:r w:rsidRPr="00EC452A">
        <w:rPr>
          <w:rFonts w:ascii="Arial" w:eastAsia="Arial" w:hAnsi="Arial" w:cs="Arial"/>
          <w:spacing w:val="15"/>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z w:val="22"/>
          <w:szCs w:val="22"/>
        </w:rPr>
        <w:t>beneficios</w:t>
      </w:r>
      <w:r w:rsidRPr="00EC452A">
        <w:rPr>
          <w:rFonts w:ascii="Arial" w:eastAsia="Arial" w:hAnsi="Arial" w:cs="Arial"/>
          <w:spacing w:val="24"/>
          <w:sz w:val="22"/>
          <w:szCs w:val="22"/>
        </w:rPr>
        <w:t xml:space="preserve"> </w:t>
      </w:r>
      <w:r w:rsidRPr="00EC452A">
        <w:rPr>
          <w:rFonts w:ascii="Arial" w:eastAsia="Arial" w:hAnsi="Arial" w:cs="Arial"/>
          <w:sz w:val="22"/>
          <w:szCs w:val="22"/>
        </w:rPr>
        <w:t>adicionales</w:t>
      </w:r>
      <w:r w:rsidRPr="00EC452A">
        <w:rPr>
          <w:rFonts w:ascii="Arial" w:eastAsia="Arial" w:hAnsi="Arial" w:cs="Arial"/>
          <w:spacing w:val="26"/>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productores.</w:t>
      </w:r>
    </w:p>
    <w:p w14:paraId="2947F6C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95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Secretaría</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travé</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su</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represen</w:t>
      </w:r>
      <w:r w:rsidRPr="00EC452A">
        <w:rPr>
          <w:rFonts w:ascii="Arial" w:eastAsia="Arial" w:hAnsi="Arial" w:cs="Arial"/>
          <w:spacing w:val="13"/>
          <w:sz w:val="22"/>
          <w:szCs w:val="22"/>
        </w:rPr>
        <w:t>t</w:t>
      </w:r>
      <w:r w:rsidRPr="00EC452A">
        <w:rPr>
          <w:rFonts w:ascii="Arial" w:eastAsia="Arial" w:hAnsi="Arial" w:cs="Arial"/>
          <w:spacing w:val="-1"/>
          <w:sz w:val="22"/>
          <w:szCs w:val="22"/>
        </w:rPr>
        <w:t>aciones</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organizar</w:t>
      </w:r>
      <w:r w:rsidRPr="00EC452A">
        <w:rPr>
          <w:rFonts w:ascii="Arial" w:eastAsia="Arial" w:hAnsi="Arial" w:cs="Arial"/>
          <w:sz w:val="22"/>
          <w:szCs w:val="22"/>
        </w:rPr>
        <w:t>á</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riego, </w:t>
      </w:r>
      <w:r w:rsidRPr="00EC452A">
        <w:rPr>
          <w:rFonts w:ascii="Arial" w:eastAsia="Arial" w:hAnsi="Arial" w:cs="Arial"/>
          <w:sz w:val="22"/>
          <w:szCs w:val="22"/>
        </w:rPr>
        <w:t>distritos</w:t>
      </w:r>
      <w:r w:rsidRPr="00EC452A">
        <w:rPr>
          <w:rFonts w:ascii="Arial" w:eastAsia="Arial" w:hAnsi="Arial" w:cs="Arial"/>
          <w:spacing w:val="35"/>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temporal</w:t>
      </w:r>
      <w:r w:rsidRPr="00EC452A">
        <w:rPr>
          <w:rFonts w:ascii="Arial" w:eastAsia="Arial" w:hAnsi="Arial" w:cs="Arial"/>
          <w:spacing w:val="37"/>
          <w:sz w:val="22"/>
          <w:szCs w:val="22"/>
        </w:rPr>
        <w:t xml:space="preserve"> </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z w:val="22"/>
          <w:szCs w:val="22"/>
        </w:rPr>
        <w:t>por</w:t>
      </w:r>
      <w:r w:rsidRPr="00EC452A">
        <w:rPr>
          <w:rFonts w:ascii="Arial" w:eastAsia="Arial" w:hAnsi="Arial" w:cs="Arial"/>
          <w:spacing w:val="27"/>
          <w:sz w:val="22"/>
          <w:szCs w:val="22"/>
        </w:rPr>
        <w:t xml:space="preserve"> </w:t>
      </w:r>
      <w:r w:rsidRPr="00EC452A">
        <w:rPr>
          <w:rFonts w:ascii="Arial" w:eastAsia="Arial" w:hAnsi="Arial" w:cs="Arial"/>
          <w:sz w:val="22"/>
          <w:szCs w:val="22"/>
        </w:rPr>
        <w:t>áreas</w:t>
      </w:r>
      <w:r w:rsidRPr="00EC452A">
        <w:rPr>
          <w:rFonts w:ascii="Arial" w:eastAsia="Arial" w:hAnsi="Arial" w:cs="Arial"/>
          <w:spacing w:val="31"/>
          <w:sz w:val="22"/>
          <w:szCs w:val="22"/>
        </w:rPr>
        <w:t xml:space="preserve"> </w:t>
      </w:r>
      <w:r w:rsidRPr="00EC452A">
        <w:rPr>
          <w:rFonts w:ascii="Arial" w:eastAsia="Arial" w:hAnsi="Arial" w:cs="Arial"/>
          <w:sz w:val="22"/>
          <w:szCs w:val="22"/>
        </w:rPr>
        <w:t>productoras,</w:t>
      </w:r>
      <w:r w:rsidRPr="00EC452A">
        <w:rPr>
          <w:rFonts w:ascii="Arial" w:eastAsia="Arial" w:hAnsi="Arial" w:cs="Arial"/>
          <w:spacing w:val="43"/>
          <w:sz w:val="22"/>
          <w:szCs w:val="22"/>
        </w:rPr>
        <w:t xml:space="preserve"> </w:t>
      </w:r>
      <w:r w:rsidRPr="00EC452A">
        <w:rPr>
          <w:rFonts w:ascii="Arial" w:eastAsia="Arial" w:hAnsi="Arial" w:cs="Arial"/>
          <w:sz w:val="22"/>
          <w:szCs w:val="22"/>
        </w:rPr>
        <w:t>el</w:t>
      </w:r>
      <w:r w:rsidRPr="00EC452A">
        <w:rPr>
          <w:rFonts w:ascii="Arial" w:eastAsia="Arial" w:hAnsi="Arial" w:cs="Arial"/>
          <w:spacing w:val="25"/>
          <w:sz w:val="22"/>
          <w:szCs w:val="22"/>
        </w:rPr>
        <w:t xml:space="preserve"> </w:t>
      </w:r>
      <w:r w:rsidRPr="00EC452A">
        <w:rPr>
          <w:rFonts w:ascii="Arial" w:eastAsia="Arial" w:hAnsi="Arial" w:cs="Arial"/>
          <w:sz w:val="22"/>
          <w:szCs w:val="22"/>
        </w:rPr>
        <w:t>catálogo</w:t>
      </w:r>
      <w:r w:rsidRPr="00EC452A">
        <w:rPr>
          <w:rFonts w:ascii="Arial" w:eastAsia="Arial" w:hAnsi="Arial" w:cs="Arial"/>
          <w:spacing w:val="36"/>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la</w:t>
      </w:r>
      <w:r w:rsidRPr="00EC452A">
        <w:rPr>
          <w:rFonts w:ascii="Arial" w:eastAsia="Arial" w:hAnsi="Arial" w:cs="Arial"/>
          <w:spacing w:val="25"/>
          <w:sz w:val="22"/>
          <w:szCs w:val="22"/>
        </w:rPr>
        <w:t xml:space="preserve"> </w:t>
      </w:r>
      <w:r w:rsidRPr="00EC452A">
        <w:rPr>
          <w:rFonts w:ascii="Arial" w:eastAsia="Arial" w:hAnsi="Arial" w:cs="Arial"/>
          <w:sz w:val="22"/>
          <w:szCs w:val="22"/>
        </w:rPr>
        <w:t>maquinaria,</w:t>
      </w:r>
      <w:r w:rsidRPr="00EC452A">
        <w:rPr>
          <w:rFonts w:ascii="Arial" w:eastAsia="Arial" w:hAnsi="Arial" w:cs="Arial"/>
          <w:spacing w:val="42"/>
          <w:sz w:val="22"/>
          <w:szCs w:val="22"/>
        </w:rPr>
        <w:t xml:space="preserve"> </w:t>
      </w:r>
      <w:r w:rsidRPr="00EC452A">
        <w:rPr>
          <w:rFonts w:ascii="Arial" w:eastAsia="Arial" w:hAnsi="Arial" w:cs="Arial"/>
          <w:sz w:val="22"/>
          <w:szCs w:val="22"/>
        </w:rPr>
        <w:t>equipos</w:t>
      </w:r>
      <w:r w:rsidRPr="00EC452A">
        <w:rPr>
          <w:rFonts w:ascii="Arial" w:eastAsia="Arial" w:hAnsi="Arial" w:cs="Arial"/>
          <w:spacing w:val="35"/>
          <w:sz w:val="22"/>
          <w:szCs w:val="22"/>
        </w:rPr>
        <w:t xml:space="preserve"> </w:t>
      </w:r>
      <w:r w:rsidRPr="00EC452A">
        <w:rPr>
          <w:rFonts w:ascii="Arial" w:eastAsia="Arial" w:hAnsi="Arial" w:cs="Arial"/>
          <w:w w:val="102"/>
          <w:sz w:val="22"/>
          <w:szCs w:val="22"/>
        </w:rPr>
        <w:t xml:space="preserve">mecánicos, </w:t>
      </w:r>
      <w:r w:rsidRPr="00EC452A">
        <w:rPr>
          <w:rFonts w:ascii="Arial" w:eastAsia="Arial" w:hAnsi="Arial" w:cs="Arial"/>
          <w:sz w:val="22"/>
          <w:szCs w:val="22"/>
        </w:rPr>
        <w:t>instalaciones</w:t>
      </w:r>
      <w:r w:rsidRPr="00EC452A">
        <w:rPr>
          <w:rFonts w:ascii="Arial" w:eastAsia="Arial" w:hAnsi="Arial" w:cs="Arial"/>
          <w:spacing w:val="50"/>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z w:val="22"/>
          <w:szCs w:val="22"/>
        </w:rPr>
        <w:t>servicios</w:t>
      </w:r>
      <w:r w:rsidRPr="00EC452A">
        <w:rPr>
          <w:rFonts w:ascii="Arial" w:eastAsia="Arial" w:hAnsi="Arial" w:cs="Arial"/>
          <w:spacing w:val="43"/>
          <w:sz w:val="22"/>
          <w:szCs w:val="22"/>
        </w:rPr>
        <w:t xml:space="preserve"> </w:t>
      </w:r>
      <w:r w:rsidRPr="00EC452A">
        <w:rPr>
          <w:rFonts w:ascii="Arial" w:eastAsia="Arial" w:hAnsi="Arial" w:cs="Arial"/>
          <w:sz w:val="22"/>
          <w:szCs w:val="22"/>
        </w:rPr>
        <w:t>que</w:t>
      </w:r>
      <w:r w:rsidRPr="00EC452A">
        <w:rPr>
          <w:rFonts w:ascii="Arial" w:eastAsia="Arial" w:hAnsi="Arial" w:cs="Arial"/>
          <w:spacing w:val="34"/>
          <w:sz w:val="22"/>
          <w:szCs w:val="22"/>
        </w:rPr>
        <w:t xml:space="preserve"> </w:t>
      </w:r>
      <w:r w:rsidRPr="00EC452A">
        <w:rPr>
          <w:rFonts w:ascii="Arial" w:eastAsia="Arial" w:hAnsi="Arial" w:cs="Arial"/>
          <w:sz w:val="22"/>
          <w:szCs w:val="22"/>
        </w:rPr>
        <w:t>se</w:t>
      </w:r>
      <w:r w:rsidRPr="00EC452A">
        <w:rPr>
          <w:rFonts w:ascii="Arial" w:eastAsia="Arial" w:hAnsi="Arial" w:cs="Arial"/>
          <w:spacing w:val="32"/>
          <w:sz w:val="22"/>
          <w:szCs w:val="22"/>
        </w:rPr>
        <w:t xml:space="preserve"> </w:t>
      </w:r>
      <w:r w:rsidRPr="00EC452A">
        <w:rPr>
          <w:rFonts w:ascii="Arial" w:eastAsia="Arial" w:hAnsi="Arial" w:cs="Arial"/>
          <w:sz w:val="22"/>
          <w:szCs w:val="22"/>
        </w:rPr>
        <w:t>ofrezcan</w:t>
      </w:r>
      <w:r w:rsidRPr="00EC452A">
        <w:rPr>
          <w:rFonts w:ascii="Arial" w:eastAsia="Arial" w:hAnsi="Arial" w:cs="Arial"/>
          <w:spacing w:val="42"/>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z w:val="22"/>
          <w:szCs w:val="22"/>
        </w:rPr>
        <w:t>los</w:t>
      </w:r>
      <w:r w:rsidRPr="00EC452A">
        <w:rPr>
          <w:rFonts w:ascii="Arial" w:eastAsia="Arial" w:hAnsi="Arial" w:cs="Arial"/>
          <w:spacing w:val="33"/>
          <w:sz w:val="22"/>
          <w:szCs w:val="22"/>
        </w:rPr>
        <w:t xml:space="preserve"> </w:t>
      </w:r>
      <w:r w:rsidRPr="00EC452A">
        <w:rPr>
          <w:rFonts w:ascii="Arial" w:eastAsia="Arial" w:hAnsi="Arial" w:cs="Arial"/>
          <w:sz w:val="22"/>
          <w:szCs w:val="22"/>
        </w:rPr>
        <w:t>productores</w:t>
      </w:r>
      <w:r w:rsidRPr="00EC452A">
        <w:rPr>
          <w:rFonts w:ascii="Arial" w:eastAsia="Arial" w:hAnsi="Arial" w:cs="Arial"/>
          <w:spacing w:val="48"/>
          <w:sz w:val="22"/>
          <w:szCs w:val="22"/>
        </w:rPr>
        <w:t xml:space="preserve"> </w:t>
      </w:r>
      <w:r w:rsidRPr="00EC452A">
        <w:rPr>
          <w:rFonts w:ascii="Arial" w:eastAsia="Arial" w:hAnsi="Arial" w:cs="Arial"/>
          <w:sz w:val="22"/>
          <w:szCs w:val="22"/>
        </w:rPr>
        <w:t>para</w:t>
      </w:r>
      <w:r w:rsidRPr="00EC452A">
        <w:rPr>
          <w:rFonts w:ascii="Arial" w:eastAsia="Arial" w:hAnsi="Arial" w:cs="Arial"/>
          <w:spacing w:val="35"/>
          <w:sz w:val="22"/>
          <w:szCs w:val="22"/>
        </w:rPr>
        <w:t xml:space="preserve"> </w:t>
      </w:r>
      <w:r w:rsidRPr="00EC452A">
        <w:rPr>
          <w:rFonts w:ascii="Arial" w:eastAsia="Arial" w:hAnsi="Arial" w:cs="Arial"/>
          <w:sz w:val="22"/>
          <w:szCs w:val="22"/>
        </w:rPr>
        <w:t>la</w:t>
      </w:r>
      <w:r w:rsidRPr="00EC452A">
        <w:rPr>
          <w:rFonts w:ascii="Arial" w:eastAsia="Arial" w:hAnsi="Arial" w:cs="Arial"/>
          <w:spacing w:val="31"/>
          <w:sz w:val="22"/>
          <w:szCs w:val="22"/>
        </w:rPr>
        <w:t xml:space="preserve"> </w:t>
      </w:r>
      <w:r w:rsidRPr="00EC452A">
        <w:rPr>
          <w:rFonts w:ascii="Arial" w:eastAsia="Arial" w:hAnsi="Arial" w:cs="Arial"/>
          <w:sz w:val="22"/>
          <w:szCs w:val="22"/>
        </w:rPr>
        <w:t>explotación</w:t>
      </w:r>
      <w:r w:rsidRPr="00EC452A">
        <w:rPr>
          <w:rFonts w:ascii="Arial" w:eastAsia="Arial" w:hAnsi="Arial" w:cs="Arial"/>
          <w:spacing w:val="47"/>
          <w:sz w:val="22"/>
          <w:szCs w:val="22"/>
        </w:rPr>
        <w:t xml:space="preserve"> </w:t>
      </w:r>
      <w:r w:rsidRPr="00EC452A">
        <w:rPr>
          <w:rFonts w:ascii="Arial" w:eastAsia="Arial" w:hAnsi="Arial" w:cs="Arial"/>
          <w:sz w:val="22"/>
          <w:szCs w:val="22"/>
        </w:rPr>
        <w:t>de</w:t>
      </w:r>
      <w:r w:rsidRPr="00EC452A">
        <w:rPr>
          <w:rFonts w:ascii="Arial" w:eastAsia="Arial" w:hAnsi="Arial" w:cs="Arial"/>
          <w:spacing w:val="32"/>
          <w:sz w:val="22"/>
          <w:szCs w:val="22"/>
        </w:rPr>
        <w:t xml:space="preserve"> </w:t>
      </w:r>
      <w:r w:rsidRPr="00EC452A">
        <w:rPr>
          <w:rFonts w:ascii="Arial" w:eastAsia="Arial" w:hAnsi="Arial" w:cs="Arial"/>
          <w:sz w:val="22"/>
          <w:szCs w:val="22"/>
        </w:rPr>
        <w:t>las</w:t>
      </w:r>
      <w:r w:rsidRPr="00EC452A">
        <w:rPr>
          <w:rFonts w:ascii="Arial" w:eastAsia="Arial" w:hAnsi="Arial" w:cs="Arial"/>
          <w:spacing w:val="33"/>
          <w:sz w:val="22"/>
          <w:szCs w:val="22"/>
        </w:rPr>
        <w:t xml:space="preserve"> </w:t>
      </w:r>
      <w:r w:rsidRPr="00EC452A">
        <w:rPr>
          <w:rFonts w:ascii="Arial" w:eastAsia="Arial" w:hAnsi="Arial" w:cs="Arial"/>
          <w:sz w:val="22"/>
          <w:szCs w:val="22"/>
        </w:rPr>
        <w:t>tierras</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almacenamie</w:t>
      </w:r>
      <w:r w:rsidRPr="00EC452A">
        <w:rPr>
          <w:rFonts w:ascii="Arial" w:eastAsia="Arial" w:hAnsi="Arial" w:cs="Arial"/>
          <w:sz w:val="22"/>
          <w:szCs w:val="22"/>
        </w:rPr>
        <w:t>nto</w:t>
      </w:r>
      <w:r w:rsidRPr="00EC452A">
        <w:rPr>
          <w:rFonts w:ascii="Arial" w:eastAsia="Arial" w:hAnsi="Arial" w:cs="Arial"/>
          <w:spacing w:val="35"/>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z w:val="22"/>
          <w:szCs w:val="22"/>
        </w:rPr>
        <w:t>procesamiento</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productos.</w:t>
      </w:r>
    </w:p>
    <w:p w14:paraId="48D3B6F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precio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tarifa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arrendamient</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utilizació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servici</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fijados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antelació</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agrícol</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publicado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"Diari</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Oficial</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sz w:val="22"/>
          <w:szCs w:val="22"/>
        </w:rPr>
        <w:t>Federación</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cas</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43"/>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hubier</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nuev</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fijació</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precio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tarifas</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w w:val="102"/>
          <w:sz w:val="22"/>
          <w:szCs w:val="22"/>
        </w:rPr>
        <w:t xml:space="preserve">entenderán </w:t>
      </w:r>
      <w:r w:rsidRPr="00EC452A">
        <w:rPr>
          <w:rFonts w:ascii="Arial" w:eastAsia="Arial" w:hAnsi="Arial" w:cs="Arial"/>
          <w:spacing w:val="-1"/>
          <w:sz w:val="22"/>
          <w:szCs w:val="22"/>
        </w:rPr>
        <w:t>vigente</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haya</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autorizad</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anteriormente.</w:t>
      </w:r>
    </w:p>
    <w:p w14:paraId="7D2001AA" w14:textId="77777777" w:rsidR="00EC452A" w:rsidRPr="00EC452A" w:rsidRDefault="00EC452A" w:rsidP="00EC452A">
      <w:pPr>
        <w:spacing w:before="100" w:beforeAutospacing="1" w:after="100" w:afterAutospacing="1" w:line="240" w:lineRule="auto"/>
        <w:jc w:val="both"/>
        <w:rPr>
          <w:rFonts w:ascii="Arial" w:eastAsia="Arial" w:hAnsi="Arial" w:cs="Arial"/>
          <w:w w:val="102"/>
          <w:position w:val="-1"/>
          <w:sz w:val="22"/>
          <w:szCs w:val="22"/>
        </w:rPr>
      </w:pPr>
      <w:r w:rsidRPr="00EC452A">
        <w:rPr>
          <w:rFonts w:ascii="Arial" w:eastAsia="Arial" w:hAnsi="Arial" w:cs="Arial"/>
          <w:spacing w:val="-2"/>
          <w:position w:val="-1"/>
          <w:sz w:val="22"/>
          <w:szCs w:val="22"/>
        </w:rPr>
        <w:t>Artícul</w:t>
      </w:r>
      <w:r w:rsidRPr="00EC452A">
        <w:rPr>
          <w:rFonts w:ascii="Arial" w:eastAsia="Arial" w:hAnsi="Arial" w:cs="Arial"/>
          <w:position w:val="-1"/>
          <w:sz w:val="22"/>
          <w:szCs w:val="22"/>
        </w:rPr>
        <w:t xml:space="preserve">o </w:t>
      </w:r>
      <w:r w:rsidRPr="00EC452A">
        <w:rPr>
          <w:rFonts w:ascii="Arial" w:eastAsia="Arial" w:hAnsi="Arial" w:cs="Arial"/>
          <w:spacing w:val="26"/>
          <w:position w:val="-1"/>
          <w:sz w:val="22"/>
          <w:szCs w:val="22"/>
        </w:rPr>
        <w:t xml:space="preserve"> </w:t>
      </w:r>
      <w:r w:rsidRPr="00EC452A">
        <w:rPr>
          <w:rFonts w:ascii="Arial" w:eastAsia="Arial" w:hAnsi="Arial" w:cs="Arial"/>
          <w:spacing w:val="-2"/>
          <w:w w:val="102"/>
          <w:position w:val="-1"/>
          <w:sz w:val="22"/>
          <w:szCs w:val="22"/>
        </w:rPr>
        <w:t>96</w:t>
      </w:r>
      <w:r w:rsidRPr="00EC452A">
        <w:rPr>
          <w:rFonts w:ascii="Arial" w:eastAsia="Arial" w:hAnsi="Arial" w:cs="Arial"/>
          <w:w w:val="102"/>
          <w:position w:val="-1"/>
          <w:sz w:val="22"/>
          <w:szCs w:val="22"/>
        </w:rPr>
        <w:t>.</w:t>
      </w:r>
      <w:r w:rsidRPr="00EC452A">
        <w:rPr>
          <w:rFonts w:ascii="Arial" w:eastAsia="Arial" w:hAnsi="Arial" w:cs="Arial"/>
          <w:spacing w:val="-39"/>
          <w:position w:val="-1"/>
          <w:sz w:val="22"/>
          <w:szCs w:val="22"/>
        </w:rPr>
        <w:t xml:space="preserve"> </w:t>
      </w:r>
      <w:r w:rsidRPr="00EC452A">
        <w:rPr>
          <w:rFonts w:ascii="Arial" w:eastAsia="Arial" w:hAnsi="Arial" w:cs="Arial"/>
          <w:position w:val="-1"/>
          <w:sz w:val="22"/>
          <w:szCs w:val="22"/>
        </w:rPr>
        <w:t xml:space="preserve">- </w:t>
      </w:r>
      <w:r w:rsidRPr="00EC452A">
        <w:rPr>
          <w:rFonts w:ascii="Arial" w:eastAsia="Arial" w:hAnsi="Arial" w:cs="Arial"/>
          <w:spacing w:val="4"/>
          <w:position w:val="-1"/>
          <w:sz w:val="22"/>
          <w:szCs w:val="22"/>
        </w:rPr>
        <w:t xml:space="preserve"> </w:t>
      </w:r>
      <w:r w:rsidRPr="00EC452A">
        <w:rPr>
          <w:rFonts w:ascii="Arial" w:eastAsia="Arial" w:hAnsi="Arial" w:cs="Arial"/>
          <w:position w:val="-1"/>
          <w:sz w:val="22"/>
          <w:szCs w:val="22"/>
        </w:rPr>
        <w:t xml:space="preserve">En </w:t>
      </w:r>
      <w:r w:rsidRPr="00EC452A">
        <w:rPr>
          <w:rFonts w:ascii="Arial" w:eastAsia="Arial" w:hAnsi="Arial" w:cs="Arial"/>
          <w:spacing w:val="13"/>
          <w:position w:val="-1"/>
          <w:sz w:val="22"/>
          <w:szCs w:val="22"/>
        </w:rPr>
        <w:t xml:space="preserve"> </w:t>
      </w:r>
      <w:r w:rsidRPr="00EC452A">
        <w:rPr>
          <w:rFonts w:ascii="Arial" w:eastAsia="Arial" w:hAnsi="Arial" w:cs="Arial"/>
          <w:position w:val="-1"/>
          <w:sz w:val="22"/>
          <w:szCs w:val="22"/>
        </w:rPr>
        <w:t xml:space="preserve">la </w:t>
      </w:r>
      <w:r w:rsidRPr="00EC452A">
        <w:rPr>
          <w:rFonts w:ascii="Arial" w:eastAsia="Arial" w:hAnsi="Arial" w:cs="Arial"/>
          <w:spacing w:val="11"/>
          <w:position w:val="-1"/>
          <w:sz w:val="22"/>
          <w:szCs w:val="22"/>
        </w:rPr>
        <w:t xml:space="preserve"> </w:t>
      </w:r>
      <w:r w:rsidRPr="00EC452A">
        <w:rPr>
          <w:rFonts w:ascii="Arial" w:eastAsia="Arial" w:hAnsi="Arial" w:cs="Arial"/>
          <w:position w:val="-1"/>
          <w:sz w:val="22"/>
          <w:szCs w:val="22"/>
        </w:rPr>
        <w:t xml:space="preserve">fijación </w:t>
      </w:r>
      <w:r w:rsidRPr="00EC452A">
        <w:rPr>
          <w:rFonts w:ascii="Arial" w:eastAsia="Arial" w:hAnsi="Arial" w:cs="Arial"/>
          <w:spacing w:val="20"/>
          <w:position w:val="-1"/>
          <w:sz w:val="22"/>
          <w:szCs w:val="22"/>
        </w:rPr>
        <w:t xml:space="preserve"> </w:t>
      </w:r>
      <w:r w:rsidRPr="00EC452A">
        <w:rPr>
          <w:rFonts w:ascii="Arial" w:eastAsia="Arial" w:hAnsi="Arial" w:cs="Arial"/>
          <w:position w:val="-1"/>
          <w:sz w:val="22"/>
          <w:szCs w:val="22"/>
        </w:rPr>
        <w:t xml:space="preserve">de </w:t>
      </w:r>
      <w:r w:rsidRPr="00EC452A">
        <w:rPr>
          <w:rFonts w:ascii="Arial" w:eastAsia="Arial" w:hAnsi="Arial" w:cs="Arial"/>
          <w:spacing w:val="12"/>
          <w:position w:val="-1"/>
          <w:sz w:val="22"/>
          <w:szCs w:val="22"/>
        </w:rPr>
        <w:t xml:space="preserve"> </w:t>
      </w:r>
      <w:r w:rsidRPr="00EC452A">
        <w:rPr>
          <w:rFonts w:ascii="Arial" w:eastAsia="Arial" w:hAnsi="Arial" w:cs="Arial"/>
          <w:position w:val="-1"/>
          <w:sz w:val="22"/>
          <w:szCs w:val="22"/>
        </w:rPr>
        <w:t xml:space="preserve">los </w:t>
      </w:r>
      <w:r w:rsidRPr="00EC452A">
        <w:rPr>
          <w:rFonts w:ascii="Arial" w:eastAsia="Arial" w:hAnsi="Arial" w:cs="Arial"/>
          <w:spacing w:val="13"/>
          <w:position w:val="-1"/>
          <w:sz w:val="22"/>
          <w:szCs w:val="22"/>
        </w:rPr>
        <w:t xml:space="preserve"> </w:t>
      </w:r>
      <w:r w:rsidRPr="00EC452A">
        <w:rPr>
          <w:rFonts w:ascii="Arial" w:eastAsia="Arial" w:hAnsi="Arial" w:cs="Arial"/>
          <w:position w:val="-1"/>
          <w:sz w:val="22"/>
          <w:szCs w:val="22"/>
        </w:rPr>
        <w:t xml:space="preserve">precios </w:t>
      </w:r>
      <w:r w:rsidRPr="00EC452A">
        <w:rPr>
          <w:rFonts w:ascii="Arial" w:eastAsia="Arial" w:hAnsi="Arial" w:cs="Arial"/>
          <w:spacing w:val="20"/>
          <w:position w:val="-1"/>
          <w:sz w:val="22"/>
          <w:szCs w:val="22"/>
        </w:rPr>
        <w:t xml:space="preserve"> </w:t>
      </w:r>
      <w:r w:rsidRPr="00EC452A">
        <w:rPr>
          <w:rFonts w:ascii="Arial" w:eastAsia="Arial" w:hAnsi="Arial" w:cs="Arial"/>
          <w:position w:val="-1"/>
          <w:sz w:val="22"/>
          <w:szCs w:val="22"/>
        </w:rPr>
        <w:t xml:space="preserve">y </w:t>
      </w:r>
      <w:r w:rsidRPr="00EC452A">
        <w:rPr>
          <w:rFonts w:ascii="Arial" w:eastAsia="Arial" w:hAnsi="Arial" w:cs="Arial"/>
          <w:spacing w:val="10"/>
          <w:position w:val="-1"/>
          <w:sz w:val="22"/>
          <w:szCs w:val="22"/>
        </w:rPr>
        <w:t xml:space="preserve"> </w:t>
      </w:r>
      <w:r w:rsidRPr="00EC452A">
        <w:rPr>
          <w:rFonts w:ascii="Arial" w:eastAsia="Arial" w:hAnsi="Arial" w:cs="Arial"/>
          <w:position w:val="-1"/>
          <w:sz w:val="22"/>
          <w:szCs w:val="22"/>
        </w:rPr>
        <w:t xml:space="preserve">tarifas </w:t>
      </w:r>
      <w:r w:rsidRPr="00EC452A">
        <w:rPr>
          <w:rFonts w:ascii="Arial" w:eastAsia="Arial" w:hAnsi="Arial" w:cs="Arial"/>
          <w:spacing w:val="18"/>
          <w:position w:val="-1"/>
          <w:sz w:val="22"/>
          <w:szCs w:val="22"/>
        </w:rPr>
        <w:t xml:space="preserve"> </w:t>
      </w:r>
      <w:r w:rsidRPr="00EC452A">
        <w:rPr>
          <w:rFonts w:ascii="Arial" w:eastAsia="Arial" w:hAnsi="Arial" w:cs="Arial"/>
          <w:position w:val="-1"/>
          <w:sz w:val="22"/>
          <w:szCs w:val="22"/>
        </w:rPr>
        <w:t xml:space="preserve">se </w:t>
      </w:r>
      <w:r w:rsidRPr="00EC452A">
        <w:rPr>
          <w:rFonts w:ascii="Arial" w:eastAsia="Arial" w:hAnsi="Arial" w:cs="Arial"/>
          <w:spacing w:val="12"/>
          <w:position w:val="-1"/>
          <w:sz w:val="22"/>
          <w:szCs w:val="22"/>
        </w:rPr>
        <w:t xml:space="preserve"> </w:t>
      </w:r>
      <w:r w:rsidRPr="00EC452A">
        <w:rPr>
          <w:rFonts w:ascii="Arial" w:eastAsia="Arial" w:hAnsi="Arial" w:cs="Arial"/>
          <w:position w:val="-1"/>
          <w:sz w:val="22"/>
          <w:szCs w:val="22"/>
        </w:rPr>
        <w:t xml:space="preserve">tendrán </w:t>
      </w:r>
      <w:r w:rsidRPr="00EC452A">
        <w:rPr>
          <w:rFonts w:ascii="Arial" w:eastAsia="Arial" w:hAnsi="Arial" w:cs="Arial"/>
          <w:spacing w:val="21"/>
          <w:position w:val="-1"/>
          <w:sz w:val="22"/>
          <w:szCs w:val="22"/>
        </w:rPr>
        <w:t xml:space="preserve"> </w:t>
      </w:r>
      <w:r w:rsidRPr="00EC452A">
        <w:rPr>
          <w:rFonts w:ascii="Arial" w:eastAsia="Arial" w:hAnsi="Arial" w:cs="Arial"/>
          <w:position w:val="-1"/>
          <w:sz w:val="22"/>
          <w:szCs w:val="22"/>
        </w:rPr>
        <w:t xml:space="preserve">en </w:t>
      </w:r>
      <w:r w:rsidRPr="00EC452A">
        <w:rPr>
          <w:rFonts w:ascii="Arial" w:eastAsia="Arial" w:hAnsi="Arial" w:cs="Arial"/>
          <w:spacing w:val="12"/>
          <w:position w:val="-1"/>
          <w:sz w:val="22"/>
          <w:szCs w:val="22"/>
        </w:rPr>
        <w:t xml:space="preserve"> </w:t>
      </w:r>
      <w:r w:rsidRPr="00EC452A">
        <w:rPr>
          <w:rFonts w:ascii="Arial" w:eastAsia="Arial" w:hAnsi="Arial" w:cs="Arial"/>
          <w:position w:val="-1"/>
          <w:sz w:val="22"/>
          <w:szCs w:val="22"/>
        </w:rPr>
        <w:t xml:space="preserve">cuenta </w:t>
      </w:r>
      <w:r w:rsidRPr="00EC452A">
        <w:rPr>
          <w:rFonts w:ascii="Arial" w:eastAsia="Arial" w:hAnsi="Arial" w:cs="Arial"/>
          <w:spacing w:val="19"/>
          <w:position w:val="-1"/>
          <w:sz w:val="22"/>
          <w:szCs w:val="22"/>
        </w:rPr>
        <w:t xml:space="preserve"> </w:t>
      </w:r>
      <w:r w:rsidRPr="00EC452A">
        <w:rPr>
          <w:rFonts w:ascii="Arial" w:eastAsia="Arial" w:hAnsi="Arial" w:cs="Arial"/>
          <w:position w:val="-1"/>
          <w:sz w:val="22"/>
          <w:szCs w:val="22"/>
        </w:rPr>
        <w:t xml:space="preserve">el </w:t>
      </w:r>
      <w:r w:rsidRPr="00EC452A">
        <w:rPr>
          <w:rFonts w:ascii="Arial" w:eastAsia="Arial" w:hAnsi="Arial" w:cs="Arial"/>
          <w:spacing w:val="11"/>
          <w:position w:val="-1"/>
          <w:sz w:val="22"/>
          <w:szCs w:val="22"/>
        </w:rPr>
        <w:t xml:space="preserve"> </w:t>
      </w:r>
      <w:r w:rsidRPr="00EC452A">
        <w:rPr>
          <w:rFonts w:ascii="Arial" w:eastAsia="Arial" w:hAnsi="Arial" w:cs="Arial"/>
          <w:position w:val="-1"/>
          <w:sz w:val="22"/>
          <w:szCs w:val="22"/>
        </w:rPr>
        <w:t xml:space="preserve">monto </w:t>
      </w:r>
      <w:r w:rsidRPr="00EC452A">
        <w:rPr>
          <w:rFonts w:ascii="Arial" w:eastAsia="Arial" w:hAnsi="Arial" w:cs="Arial"/>
          <w:spacing w:val="19"/>
          <w:position w:val="-1"/>
          <w:sz w:val="22"/>
          <w:szCs w:val="22"/>
        </w:rPr>
        <w:t xml:space="preserve"> </w:t>
      </w:r>
      <w:r w:rsidRPr="00EC452A">
        <w:rPr>
          <w:rFonts w:ascii="Arial" w:eastAsia="Arial" w:hAnsi="Arial" w:cs="Arial"/>
          <w:position w:val="-1"/>
          <w:sz w:val="22"/>
          <w:szCs w:val="22"/>
        </w:rPr>
        <w:t xml:space="preserve">de </w:t>
      </w:r>
      <w:r w:rsidRPr="00EC452A">
        <w:rPr>
          <w:rFonts w:ascii="Arial" w:eastAsia="Arial" w:hAnsi="Arial" w:cs="Arial"/>
          <w:spacing w:val="12"/>
          <w:position w:val="-1"/>
          <w:sz w:val="22"/>
          <w:szCs w:val="22"/>
        </w:rPr>
        <w:t xml:space="preserve"> </w:t>
      </w:r>
      <w:r w:rsidRPr="00EC452A">
        <w:rPr>
          <w:rFonts w:ascii="Arial" w:eastAsia="Arial" w:hAnsi="Arial" w:cs="Arial"/>
          <w:w w:val="102"/>
          <w:position w:val="-1"/>
          <w:sz w:val="22"/>
          <w:szCs w:val="22"/>
        </w:rPr>
        <w:t>las</w:t>
      </w:r>
      <w:r w:rsidRPr="00EC452A">
        <w:rPr>
          <w:rFonts w:ascii="Arial" w:eastAsia="Arial" w:hAnsi="Arial" w:cs="Arial"/>
          <w:position w:val="-1"/>
          <w:sz w:val="22"/>
          <w:szCs w:val="22"/>
        </w:rPr>
        <w:t xml:space="preserve"> inversiones </w:t>
      </w:r>
      <w:r w:rsidRPr="00EC452A">
        <w:rPr>
          <w:rFonts w:ascii="Arial" w:eastAsia="Arial" w:hAnsi="Arial" w:cs="Arial"/>
          <w:spacing w:val="19"/>
          <w:position w:val="-1"/>
          <w:sz w:val="22"/>
          <w:szCs w:val="22"/>
        </w:rPr>
        <w:t xml:space="preserve"> </w:t>
      </w:r>
      <w:r w:rsidRPr="00EC452A">
        <w:rPr>
          <w:rFonts w:ascii="Arial" w:eastAsia="Arial" w:hAnsi="Arial" w:cs="Arial"/>
          <w:position w:val="-1"/>
          <w:sz w:val="22"/>
          <w:szCs w:val="22"/>
        </w:rPr>
        <w:t xml:space="preserve">y </w:t>
      </w:r>
      <w:r w:rsidRPr="00EC452A">
        <w:rPr>
          <w:rFonts w:ascii="Arial" w:eastAsia="Arial" w:hAnsi="Arial" w:cs="Arial"/>
          <w:spacing w:val="2"/>
          <w:position w:val="-1"/>
          <w:sz w:val="22"/>
          <w:szCs w:val="22"/>
        </w:rPr>
        <w:t xml:space="preserve"> </w:t>
      </w:r>
      <w:r w:rsidRPr="00EC452A">
        <w:rPr>
          <w:rFonts w:ascii="Arial" w:eastAsia="Arial" w:hAnsi="Arial" w:cs="Arial"/>
          <w:position w:val="-1"/>
          <w:sz w:val="22"/>
          <w:szCs w:val="22"/>
        </w:rPr>
        <w:t xml:space="preserve">el </w:t>
      </w:r>
      <w:r w:rsidRPr="00EC452A">
        <w:rPr>
          <w:rFonts w:ascii="Arial" w:eastAsia="Arial" w:hAnsi="Arial" w:cs="Arial"/>
          <w:spacing w:val="3"/>
          <w:position w:val="-1"/>
          <w:sz w:val="22"/>
          <w:szCs w:val="22"/>
        </w:rPr>
        <w:t xml:space="preserve"> </w:t>
      </w:r>
      <w:r w:rsidRPr="00EC452A">
        <w:rPr>
          <w:rFonts w:ascii="Arial" w:eastAsia="Arial" w:hAnsi="Arial" w:cs="Arial"/>
          <w:position w:val="-1"/>
          <w:sz w:val="22"/>
          <w:szCs w:val="22"/>
        </w:rPr>
        <w:t xml:space="preserve">uso </w:t>
      </w:r>
      <w:r w:rsidRPr="00EC452A">
        <w:rPr>
          <w:rFonts w:ascii="Arial" w:eastAsia="Arial" w:hAnsi="Arial" w:cs="Arial"/>
          <w:spacing w:val="6"/>
          <w:position w:val="-1"/>
          <w:sz w:val="22"/>
          <w:szCs w:val="22"/>
        </w:rPr>
        <w:t xml:space="preserve"> </w:t>
      </w:r>
      <w:r w:rsidRPr="00EC452A">
        <w:rPr>
          <w:rFonts w:ascii="Arial" w:eastAsia="Arial" w:hAnsi="Arial" w:cs="Arial"/>
          <w:position w:val="-1"/>
          <w:sz w:val="22"/>
          <w:szCs w:val="22"/>
        </w:rPr>
        <w:t xml:space="preserve">a </w:t>
      </w:r>
      <w:r w:rsidRPr="00EC452A">
        <w:rPr>
          <w:rFonts w:ascii="Arial" w:eastAsia="Arial" w:hAnsi="Arial" w:cs="Arial"/>
          <w:spacing w:val="2"/>
          <w:position w:val="-1"/>
          <w:sz w:val="22"/>
          <w:szCs w:val="22"/>
        </w:rPr>
        <w:t xml:space="preserve"> </w:t>
      </w:r>
      <w:r w:rsidRPr="00EC452A">
        <w:rPr>
          <w:rFonts w:ascii="Arial" w:eastAsia="Arial" w:hAnsi="Arial" w:cs="Arial"/>
          <w:position w:val="-1"/>
          <w:sz w:val="22"/>
          <w:szCs w:val="22"/>
        </w:rPr>
        <w:t xml:space="preserve">que </w:t>
      </w:r>
      <w:r w:rsidRPr="00EC452A">
        <w:rPr>
          <w:rFonts w:ascii="Arial" w:eastAsia="Arial" w:hAnsi="Arial" w:cs="Arial"/>
          <w:spacing w:val="6"/>
          <w:position w:val="-1"/>
          <w:sz w:val="22"/>
          <w:szCs w:val="22"/>
        </w:rPr>
        <w:t xml:space="preserve"> </w:t>
      </w:r>
      <w:r w:rsidRPr="00EC452A">
        <w:rPr>
          <w:rFonts w:ascii="Arial" w:eastAsia="Arial" w:hAnsi="Arial" w:cs="Arial"/>
          <w:position w:val="-1"/>
          <w:sz w:val="22"/>
          <w:szCs w:val="22"/>
        </w:rPr>
        <w:t xml:space="preserve">se </w:t>
      </w:r>
      <w:r w:rsidRPr="00EC452A">
        <w:rPr>
          <w:rFonts w:ascii="Arial" w:eastAsia="Arial" w:hAnsi="Arial" w:cs="Arial"/>
          <w:spacing w:val="4"/>
          <w:position w:val="-1"/>
          <w:sz w:val="22"/>
          <w:szCs w:val="22"/>
        </w:rPr>
        <w:t xml:space="preserve"> </w:t>
      </w:r>
      <w:r w:rsidRPr="00EC452A">
        <w:rPr>
          <w:rFonts w:ascii="Arial" w:eastAsia="Arial" w:hAnsi="Arial" w:cs="Arial"/>
          <w:w w:val="102"/>
          <w:position w:val="-1"/>
          <w:sz w:val="22"/>
          <w:szCs w:val="22"/>
        </w:rPr>
        <w:t>destinen</w:t>
      </w:r>
      <w:r w:rsidRPr="00EC452A">
        <w:rPr>
          <w:rFonts w:ascii="Arial" w:eastAsia="Arial" w:hAnsi="Arial" w:cs="Arial"/>
          <w:spacing w:val="39"/>
          <w:position w:val="-1"/>
          <w:sz w:val="22"/>
          <w:szCs w:val="22"/>
        </w:rPr>
        <w:t xml:space="preserve"> </w:t>
      </w:r>
      <w:r w:rsidRPr="00EC452A">
        <w:rPr>
          <w:rFonts w:ascii="Arial" w:eastAsia="Arial" w:hAnsi="Arial" w:cs="Arial"/>
          <w:position w:val="-1"/>
          <w:sz w:val="22"/>
          <w:szCs w:val="22"/>
        </w:rPr>
        <w:t>los bienes</w:t>
      </w:r>
      <w:r w:rsidRPr="00EC452A">
        <w:rPr>
          <w:rFonts w:ascii="Arial" w:eastAsia="Arial" w:hAnsi="Arial" w:cs="Arial"/>
          <w:spacing w:val="48"/>
          <w:position w:val="-1"/>
          <w:sz w:val="22"/>
          <w:szCs w:val="22"/>
        </w:rPr>
        <w:t xml:space="preserve"> </w:t>
      </w:r>
      <w:r w:rsidRPr="00EC452A">
        <w:rPr>
          <w:rFonts w:ascii="Arial" w:eastAsia="Arial" w:hAnsi="Arial" w:cs="Arial"/>
          <w:position w:val="-1"/>
          <w:sz w:val="22"/>
          <w:szCs w:val="22"/>
        </w:rPr>
        <w:t>y</w:t>
      </w:r>
      <w:r w:rsidRPr="00EC452A">
        <w:rPr>
          <w:rFonts w:ascii="Arial" w:eastAsia="Arial" w:hAnsi="Arial" w:cs="Arial"/>
          <w:spacing w:val="39"/>
          <w:position w:val="-1"/>
          <w:sz w:val="22"/>
          <w:szCs w:val="22"/>
        </w:rPr>
        <w:t xml:space="preserve"> </w:t>
      </w:r>
      <w:r w:rsidRPr="00EC452A">
        <w:rPr>
          <w:rFonts w:ascii="Arial" w:eastAsia="Arial" w:hAnsi="Arial" w:cs="Arial"/>
          <w:position w:val="-1"/>
          <w:sz w:val="22"/>
          <w:szCs w:val="22"/>
        </w:rPr>
        <w:t>servicios,</w:t>
      </w:r>
      <w:r w:rsidRPr="00EC452A">
        <w:rPr>
          <w:rFonts w:ascii="Arial" w:eastAsia="Arial" w:hAnsi="Arial" w:cs="Arial"/>
          <w:spacing w:val="53"/>
          <w:position w:val="-1"/>
          <w:sz w:val="22"/>
          <w:szCs w:val="22"/>
        </w:rPr>
        <w:t xml:space="preserve"> </w:t>
      </w:r>
      <w:r w:rsidRPr="00EC452A">
        <w:rPr>
          <w:rFonts w:ascii="Arial" w:eastAsia="Arial" w:hAnsi="Arial" w:cs="Arial"/>
          <w:position w:val="-1"/>
          <w:sz w:val="22"/>
          <w:szCs w:val="22"/>
        </w:rPr>
        <w:t xml:space="preserve">escuchando </w:t>
      </w:r>
      <w:r w:rsidRPr="00EC452A">
        <w:rPr>
          <w:rFonts w:ascii="Arial" w:eastAsia="Arial" w:hAnsi="Arial" w:cs="Arial"/>
          <w:spacing w:val="4"/>
          <w:position w:val="-1"/>
          <w:sz w:val="22"/>
          <w:szCs w:val="22"/>
        </w:rPr>
        <w:t xml:space="preserve"> </w:t>
      </w:r>
      <w:r w:rsidRPr="00EC452A">
        <w:rPr>
          <w:rFonts w:ascii="Arial" w:eastAsia="Arial" w:hAnsi="Arial" w:cs="Arial"/>
          <w:position w:val="-1"/>
          <w:sz w:val="22"/>
          <w:szCs w:val="22"/>
        </w:rPr>
        <w:t>la</w:t>
      </w:r>
      <w:r w:rsidRPr="00EC452A">
        <w:rPr>
          <w:rFonts w:ascii="Arial" w:eastAsia="Arial" w:hAnsi="Arial" w:cs="Arial"/>
          <w:spacing w:val="40"/>
          <w:position w:val="-1"/>
          <w:sz w:val="22"/>
          <w:szCs w:val="22"/>
        </w:rPr>
        <w:t xml:space="preserve"> </w:t>
      </w:r>
      <w:r w:rsidRPr="00EC452A">
        <w:rPr>
          <w:rFonts w:ascii="Arial" w:eastAsia="Arial" w:hAnsi="Arial" w:cs="Arial"/>
          <w:position w:val="-1"/>
          <w:sz w:val="22"/>
          <w:szCs w:val="22"/>
        </w:rPr>
        <w:t>opinión</w:t>
      </w:r>
      <w:r w:rsidRPr="00EC452A">
        <w:rPr>
          <w:rFonts w:ascii="Arial" w:eastAsia="Arial" w:hAnsi="Arial" w:cs="Arial"/>
          <w:spacing w:val="49"/>
          <w:position w:val="-1"/>
          <w:sz w:val="22"/>
          <w:szCs w:val="22"/>
        </w:rPr>
        <w:t xml:space="preserve"> </w:t>
      </w:r>
      <w:r w:rsidRPr="00EC452A">
        <w:rPr>
          <w:rFonts w:ascii="Arial" w:eastAsia="Arial" w:hAnsi="Arial" w:cs="Arial"/>
          <w:position w:val="-1"/>
          <w:sz w:val="22"/>
          <w:szCs w:val="22"/>
        </w:rPr>
        <w:t>de</w:t>
      </w:r>
      <w:r w:rsidRPr="00EC452A">
        <w:rPr>
          <w:rFonts w:ascii="Arial" w:eastAsia="Arial" w:hAnsi="Arial" w:cs="Arial"/>
          <w:spacing w:val="41"/>
          <w:position w:val="-1"/>
          <w:sz w:val="22"/>
          <w:szCs w:val="22"/>
        </w:rPr>
        <w:t xml:space="preserve"> </w:t>
      </w:r>
      <w:r w:rsidRPr="00EC452A">
        <w:rPr>
          <w:rFonts w:ascii="Arial" w:eastAsia="Arial" w:hAnsi="Arial" w:cs="Arial"/>
          <w:w w:val="102"/>
          <w:position w:val="-1"/>
          <w:sz w:val="22"/>
          <w:szCs w:val="22"/>
        </w:rPr>
        <w:t>los</w:t>
      </w:r>
      <w:r w:rsidRPr="00EC452A">
        <w:rPr>
          <w:rFonts w:ascii="Arial" w:eastAsia="Arial" w:hAnsi="Arial" w:cs="Arial"/>
          <w:spacing w:val="-1"/>
          <w:sz w:val="22"/>
          <w:szCs w:val="22"/>
        </w:rPr>
        <w:t xml:space="preserve"> Comité</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Rieg</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Temporal.</w:t>
      </w:r>
    </w:p>
    <w:p w14:paraId="4FECDD5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tarifa</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considera</w:t>
      </w:r>
      <w:r w:rsidRPr="00EC452A">
        <w:rPr>
          <w:rFonts w:ascii="Arial" w:eastAsia="Arial" w:hAnsi="Arial" w:cs="Arial"/>
          <w:sz w:val="22"/>
          <w:szCs w:val="22"/>
        </w:rPr>
        <w:t xml:space="preserve">r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tiemp</w:t>
      </w:r>
      <w:r w:rsidRPr="00EC452A">
        <w:rPr>
          <w:rFonts w:ascii="Arial" w:eastAsia="Arial" w:hAnsi="Arial" w:cs="Arial"/>
          <w:sz w:val="22"/>
          <w:szCs w:val="22"/>
        </w:rPr>
        <w:t xml:space="preserve">o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usad</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cost</w:t>
      </w:r>
      <w:r w:rsidRPr="00EC452A">
        <w:rPr>
          <w:rFonts w:ascii="Arial" w:eastAsia="Arial" w:hAnsi="Arial" w:cs="Arial"/>
          <w:sz w:val="22"/>
          <w:szCs w:val="22"/>
        </w:rPr>
        <w:t xml:space="preserve">o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traslada</w:t>
      </w:r>
      <w:r w:rsidRPr="00EC452A">
        <w:rPr>
          <w:rFonts w:ascii="Arial" w:eastAsia="Arial" w:hAnsi="Arial" w:cs="Arial"/>
          <w:sz w:val="22"/>
          <w:szCs w:val="22"/>
        </w:rPr>
        <w:t xml:space="preserve">r </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sz w:val="22"/>
          <w:szCs w:val="22"/>
        </w:rPr>
        <w:t>maquinari</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equipo.</w:t>
      </w:r>
    </w:p>
    <w:p w14:paraId="4CF3C20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97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prestadore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arrendadore</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maquinaria</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equipos </w:t>
      </w:r>
      <w:r w:rsidRPr="00EC452A">
        <w:rPr>
          <w:rFonts w:ascii="Arial" w:eastAsia="Arial" w:hAnsi="Arial" w:cs="Arial"/>
          <w:spacing w:val="-1"/>
          <w:sz w:val="22"/>
          <w:szCs w:val="22"/>
        </w:rPr>
        <w:t>mecánico</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instalacione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desee</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celebra</w:t>
      </w:r>
      <w:r w:rsidRPr="00EC452A">
        <w:rPr>
          <w:rFonts w:ascii="Arial" w:eastAsia="Arial" w:hAnsi="Arial" w:cs="Arial"/>
          <w:sz w:val="22"/>
          <w:szCs w:val="22"/>
        </w:rPr>
        <w:t xml:space="preserve">r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cualquie</w:t>
      </w:r>
      <w:r w:rsidRPr="00EC452A">
        <w:rPr>
          <w:rFonts w:ascii="Arial" w:eastAsia="Arial" w:hAnsi="Arial" w:cs="Arial"/>
          <w:sz w:val="22"/>
          <w:szCs w:val="22"/>
        </w:rPr>
        <w:t xml:space="preserve">r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tip</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contrat</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involucr</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z w:val="22"/>
          <w:szCs w:val="22"/>
        </w:rPr>
        <w:t>prestación</w:t>
      </w:r>
      <w:r w:rsidRPr="00EC452A">
        <w:rPr>
          <w:rFonts w:ascii="Arial" w:eastAsia="Arial" w:hAnsi="Arial" w:cs="Arial"/>
          <w:spacing w:val="51"/>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sz w:val="22"/>
          <w:szCs w:val="22"/>
        </w:rPr>
        <w:t>servicios</w:t>
      </w:r>
      <w:r w:rsidRPr="00EC452A">
        <w:rPr>
          <w:rFonts w:ascii="Arial" w:eastAsia="Arial" w:hAnsi="Arial" w:cs="Arial"/>
          <w:spacing w:val="49"/>
          <w:sz w:val="22"/>
          <w:szCs w:val="22"/>
        </w:rPr>
        <w:t xml:space="preserve"> </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z w:val="22"/>
          <w:szCs w:val="22"/>
        </w:rPr>
        <w:t>la</w:t>
      </w:r>
      <w:r w:rsidRPr="00EC452A">
        <w:rPr>
          <w:rFonts w:ascii="Arial" w:eastAsia="Arial" w:hAnsi="Arial" w:cs="Arial"/>
          <w:spacing w:val="37"/>
          <w:sz w:val="22"/>
          <w:szCs w:val="22"/>
        </w:rPr>
        <w:t xml:space="preserve"> </w:t>
      </w:r>
      <w:r w:rsidRPr="00EC452A">
        <w:rPr>
          <w:rFonts w:ascii="Arial" w:eastAsia="Arial" w:hAnsi="Arial" w:cs="Arial"/>
          <w:sz w:val="22"/>
          <w:szCs w:val="22"/>
        </w:rPr>
        <w:t>utilización</w:t>
      </w:r>
      <w:r w:rsidRPr="00EC452A">
        <w:rPr>
          <w:rFonts w:ascii="Arial" w:eastAsia="Arial" w:hAnsi="Arial" w:cs="Arial"/>
          <w:spacing w:val="51"/>
          <w:sz w:val="22"/>
          <w:szCs w:val="22"/>
        </w:rPr>
        <w:t xml:space="preserve"> </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z w:val="22"/>
          <w:szCs w:val="22"/>
        </w:rPr>
        <w:t>uso</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sz w:val="22"/>
          <w:szCs w:val="22"/>
        </w:rPr>
        <w:t>los</w:t>
      </w:r>
      <w:r w:rsidRPr="00EC452A">
        <w:rPr>
          <w:rFonts w:ascii="Arial" w:eastAsia="Arial" w:hAnsi="Arial" w:cs="Arial"/>
          <w:spacing w:val="39"/>
          <w:sz w:val="22"/>
          <w:szCs w:val="22"/>
        </w:rPr>
        <w:t xml:space="preserve"> </w:t>
      </w:r>
      <w:r w:rsidRPr="00EC452A">
        <w:rPr>
          <w:rFonts w:ascii="Arial" w:eastAsia="Arial" w:hAnsi="Arial" w:cs="Arial"/>
          <w:sz w:val="22"/>
          <w:szCs w:val="22"/>
        </w:rPr>
        <w:t>bienes,</w:t>
      </w:r>
      <w:r w:rsidRPr="00EC452A">
        <w:rPr>
          <w:rFonts w:ascii="Arial" w:eastAsia="Arial" w:hAnsi="Arial" w:cs="Arial"/>
          <w:spacing w:val="46"/>
          <w:sz w:val="22"/>
          <w:szCs w:val="22"/>
        </w:rPr>
        <w:t xml:space="preserve"> </w:t>
      </w:r>
      <w:r w:rsidRPr="00EC452A">
        <w:rPr>
          <w:rFonts w:ascii="Arial" w:eastAsia="Arial" w:hAnsi="Arial" w:cs="Arial"/>
          <w:sz w:val="22"/>
          <w:szCs w:val="22"/>
        </w:rPr>
        <w:t>podrán</w:t>
      </w:r>
      <w:r w:rsidRPr="00EC452A">
        <w:rPr>
          <w:rFonts w:ascii="Arial" w:eastAsia="Arial" w:hAnsi="Arial" w:cs="Arial"/>
          <w:spacing w:val="46"/>
          <w:sz w:val="22"/>
          <w:szCs w:val="22"/>
        </w:rPr>
        <w:t xml:space="preserve"> </w:t>
      </w:r>
      <w:r w:rsidRPr="00EC452A">
        <w:rPr>
          <w:rFonts w:ascii="Arial" w:eastAsia="Arial" w:hAnsi="Arial" w:cs="Arial"/>
          <w:sz w:val="22"/>
          <w:szCs w:val="22"/>
        </w:rPr>
        <w:t>solicitar</w:t>
      </w:r>
      <w:r w:rsidRPr="00EC452A">
        <w:rPr>
          <w:rFonts w:ascii="Arial" w:eastAsia="Arial" w:hAnsi="Arial" w:cs="Arial"/>
          <w:spacing w:val="47"/>
          <w:sz w:val="22"/>
          <w:szCs w:val="22"/>
        </w:rPr>
        <w:t xml:space="preserve"> </w:t>
      </w:r>
      <w:r w:rsidRPr="00EC452A">
        <w:rPr>
          <w:rFonts w:ascii="Arial" w:eastAsia="Arial" w:hAnsi="Arial" w:cs="Arial"/>
          <w:sz w:val="22"/>
          <w:szCs w:val="22"/>
        </w:rPr>
        <w:t>su</w:t>
      </w:r>
      <w:r w:rsidRPr="00EC452A">
        <w:rPr>
          <w:rFonts w:ascii="Arial" w:eastAsia="Arial" w:hAnsi="Arial" w:cs="Arial"/>
          <w:spacing w:val="38"/>
          <w:sz w:val="22"/>
          <w:szCs w:val="22"/>
        </w:rPr>
        <w:t xml:space="preserve"> </w:t>
      </w:r>
      <w:r w:rsidRPr="00EC452A">
        <w:rPr>
          <w:rFonts w:ascii="Arial" w:eastAsia="Arial" w:hAnsi="Arial" w:cs="Arial"/>
          <w:sz w:val="22"/>
          <w:szCs w:val="22"/>
        </w:rPr>
        <w:t>inclusión</w:t>
      </w:r>
      <w:r w:rsidRPr="00EC452A">
        <w:rPr>
          <w:rFonts w:ascii="Arial" w:eastAsia="Arial" w:hAnsi="Arial" w:cs="Arial"/>
          <w:spacing w:val="49"/>
          <w:sz w:val="22"/>
          <w:szCs w:val="22"/>
        </w:rPr>
        <w:t xml:space="preserve"> </w:t>
      </w:r>
      <w:r w:rsidRPr="00EC452A">
        <w:rPr>
          <w:rFonts w:ascii="Arial" w:eastAsia="Arial" w:hAnsi="Arial" w:cs="Arial"/>
          <w:sz w:val="22"/>
          <w:szCs w:val="22"/>
        </w:rPr>
        <w:t>en</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el </w:t>
      </w:r>
      <w:r w:rsidRPr="00EC452A">
        <w:rPr>
          <w:rFonts w:ascii="Arial" w:eastAsia="Arial" w:hAnsi="Arial" w:cs="Arial"/>
          <w:spacing w:val="3"/>
          <w:sz w:val="22"/>
          <w:szCs w:val="22"/>
        </w:rPr>
        <w:t>catálog</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3"/>
          <w:sz w:val="22"/>
          <w:szCs w:val="22"/>
        </w:rPr>
        <w:t>qu</w:t>
      </w:r>
      <w:r w:rsidRPr="00EC452A">
        <w:rPr>
          <w:rFonts w:ascii="Arial" w:eastAsia="Arial" w:hAnsi="Arial" w:cs="Arial"/>
          <w:sz w:val="22"/>
          <w:szCs w:val="22"/>
        </w:rPr>
        <w:t>e</w:t>
      </w:r>
      <w:r w:rsidRPr="00EC452A">
        <w:rPr>
          <w:rFonts w:ascii="Arial" w:eastAsia="Arial" w:hAnsi="Arial" w:cs="Arial"/>
          <w:spacing w:val="18"/>
          <w:sz w:val="22"/>
          <w:szCs w:val="22"/>
        </w:rPr>
        <w:t xml:space="preserve"> </w:t>
      </w:r>
      <w:r w:rsidRPr="00EC452A">
        <w:rPr>
          <w:rFonts w:ascii="Arial" w:eastAsia="Arial" w:hAnsi="Arial" w:cs="Arial"/>
          <w:spacing w:val="-4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organizar</w:t>
      </w:r>
      <w:r w:rsidRPr="00EC452A">
        <w:rPr>
          <w:rFonts w:ascii="Arial" w:eastAsia="Arial" w:hAnsi="Arial" w:cs="Arial"/>
          <w:sz w:val="22"/>
          <w:szCs w:val="22"/>
        </w:rPr>
        <w:t>á</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9</w:t>
      </w:r>
      <w:r w:rsidRPr="00EC452A">
        <w:rPr>
          <w:rFonts w:ascii="Arial" w:eastAsia="Arial" w:hAnsi="Arial" w:cs="Arial"/>
          <w:sz w:val="22"/>
          <w:szCs w:val="22"/>
        </w:rPr>
        <w:t>5</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Reglamento, </w:t>
      </w:r>
      <w:r w:rsidRPr="00EC452A">
        <w:rPr>
          <w:rFonts w:ascii="Arial" w:eastAsia="Arial" w:hAnsi="Arial" w:cs="Arial"/>
          <w:sz w:val="22"/>
          <w:szCs w:val="22"/>
        </w:rPr>
        <w:t>sujetándose</w:t>
      </w:r>
      <w:r w:rsidRPr="00EC452A">
        <w:rPr>
          <w:rFonts w:ascii="Arial" w:eastAsia="Arial" w:hAnsi="Arial" w:cs="Arial"/>
          <w:spacing w:val="27"/>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precios</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tarifas</w:t>
      </w:r>
      <w:r w:rsidRPr="00EC452A">
        <w:rPr>
          <w:rFonts w:ascii="Arial" w:eastAsia="Arial" w:hAnsi="Arial" w:cs="Arial"/>
          <w:spacing w:val="17"/>
          <w:sz w:val="22"/>
          <w:szCs w:val="22"/>
        </w:rPr>
        <w:t xml:space="preserve"> </w:t>
      </w:r>
      <w:r w:rsidRPr="00EC452A">
        <w:rPr>
          <w:rFonts w:ascii="Arial" w:eastAsia="Arial" w:hAnsi="Arial" w:cs="Arial"/>
          <w:sz w:val="22"/>
          <w:szCs w:val="22"/>
        </w:rPr>
        <w:t>fijados</w:t>
      </w:r>
      <w:r w:rsidRPr="00EC452A">
        <w:rPr>
          <w:rFonts w:ascii="Arial" w:eastAsia="Arial" w:hAnsi="Arial" w:cs="Arial"/>
          <w:spacing w:val="18"/>
          <w:sz w:val="22"/>
          <w:szCs w:val="22"/>
        </w:rPr>
        <w:t xml:space="preserve"> </w:t>
      </w:r>
      <w:r w:rsidRPr="00EC452A">
        <w:rPr>
          <w:rFonts w:ascii="Arial" w:eastAsia="Arial" w:hAnsi="Arial" w:cs="Arial"/>
          <w:sz w:val="22"/>
          <w:szCs w:val="22"/>
        </w:rPr>
        <w:t>por</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ésta.</w:t>
      </w:r>
    </w:p>
    <w:p w14:paraId="3E681AB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98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inclusió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catálog</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refier</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precept</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antecede</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prestadore</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acredita</w:t>
      </w:r>
      <w:r w:rsidRPr="00EC452A">
        <w:rPr>
          <w:rFonts w:ascii="Arial" w:eastAsia="Arial" w:hAnsi="Arial" w:cs="Arial"/>
          <w:sz w:val="22"/>
          <w:szCs w:val="22"/>
        </w:rPr>
        <w:t>r</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medio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idóneos</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habilidad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capacida</w:t>
      </w:r>
      <w:r w:rsidRPr="00EC452A">
        <w:rPr>
          <w:rFonts w:ascii="Arial" w:eastAsia="Arial" w:hAnsi="Arial" w:cs="Arial"/>
          <w:sz w:val="22"/>
          <w:szCs w:val="22"/>
        </w:rPr>
        <w:t>d</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desempeña</w:t>
      </w:r>
      <w:r w:rsidRPr="00EC452A">
        <w:rPr>
          <w:rFonts w:ascii="Arial" w:eastAsia="Arial" w:hAnsi="Arial" w:cs="Arial"/>
          <w:sz w:val="22"/>
          <w:szCs w:val="22"/>
        </w:rPr>
        <w:t xml:space="preserve">r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servici</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satisfactoria</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ademá</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informa</w:t>
      </w:r>
      <w:r w:rsidRPr="00EC452A">
        <w:rPr>
          <w:rFonts w:ascii="Arial" w:eastAsia="Arial" w:hAnsi="Arial" w:cs="Arial"/>
          <w:sz w:val="22"/>
          <w:szCs w:val="22"/>
        </w:rPr>
        <w:t>r</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z w:val="22"/>
          <w:szCs w:val="22"/>
        </w:rPr>
        <w:t>demás</w:t>
      </w:r>
      <w:r w:rsidRPr="00EC452A">
        <w:rPr>
          <w:rFonts w:ascii="Arial" w:eastAsia="Arial" w:hAnsi="Arial" w:cs="Arial"/>
          <w:spacing w:val="18"/>
          <w:sz w:val="22"/>
          <w:szCs w:val="22"/>
        </w:rPr>
        <w:t xml:space="preserve"> </w:t>
      </w:r>
      <w:r w:rsidRPr="00EC452A">
        <w:rPr>
          <w:rFonts w:ascii="Arial" w:eastAsia="Arial" w:hAnsi="Arial" w:cs="Arial"/>
          <w:sz w:val="22"/>
          <w:szCs w:val="22"/>
        </w:rPr>
        <w:t>datos</w:t>
      </w:r>
      <w:r w:rsidRPr="00EC452A">
        <w:rPr>
          <w:rFonts w:ascii="Arial" w:eastAsia="Arial" w:hAnsi="Arial" w:cs="Arial"/>
          <w:spacing w:val="16"/>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permitan</w:t>
      </w:r>
      <w:r w:rsidRPr="00EC452A">
        <w:rPr>
          <w:rFonts w:ascii="Arial" w:eastAsia="Arial" w:hAnsi="Arial" w:cs="Arial"/>
          <w:spacing w:val="22"/>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sz w:val="22"/>
          <w:szCs w:val="22"/>
        </w:rPr>
        <w:t>identificación</w:t>
      </w:r>
      <w:r w:rsidRPr="00EC452A">
        <w:rPr>
          <w:rFonts w:ascii="Arial" w:eastAsia="Arial" w:hAnsi="Arial" w:cs="Arial"/>
          <w:spacing w:val="29"/>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localización.</w:t>
      </w:r>
    </w:p>
    <w:p w14:paraId="3AD63FA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99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3"/>
          <w:sz w:val="22"/>
          <w:szCs w:val="22"/>
        </w:rPr>
        <w:t>Co</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3"/>
          <w:sz w:val="22"/>
          <w:szCs w:val="22"/>
        </w:rPr>
        <w:t>motiv</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3"/>
          <w:sz w:val="22"/>
          <w:szCs w:val="22"/>
        </w:rPr>
        <w:t>de</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3"/>
          <w:sz w:val="22"/>
          <w:szCs w:val="22"/>
        </w:rPr>
        <w:t>us</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z w:val="22"/>
          <w:szCs w:val="22"/>
        </w:rPr>
        <w:t>maquinaria,</w:t>
      </w:r>
      <w:r w:rsidRPr="00EC452A">
        <w:rPr>
          <w:rFonts w:ascii="Arial" w:eastAsia="Arial" w:hAnsi="Arial" w:cs="Arial"/>
          <w:spacing w:val="38"/>
          <w:sz w:val="22"/>
          <w:szCs w:val="22"/>
        </w:rPr>
        <w:t xml:space="preserve"> </w:t>
      </w:r>
      <w:r w:rsidRPr="00EC452A">
        <w:rPr>
          <w:rFonts w:ascii="Arial" w:eastAsia="Arial" w:hAnsi="Arial" w:cs="Arial"/>
          <w:sz w:val="22"/>
          <w:szCs w:val="22"/>
        </w:rPr>
        <w:t>equipos,</w:t>
      </w:r>
      <w:r w:rsidRPr="00EC452A">
        <w:rPr>
          <w:rFonts w:ascii="Arial" w:eastAsia="Arial" w:hAnsi="Arial" w:cs="Arial"/>
          <w:spacing w:val="32"/>
          <w:sz w:val="22"/>
          <w:szCs w:val="22"/>
        </w:rPr>
        <w:t xml:space="preserve"> </w:t>
      </w:r>
      <w:r w:rsidRPr="00EC452A">
        <w:rPr>
          <w:rFonts w:ascii="Arial" w:eastAsia="Arial" w:hAnsi="Arial" w:cs="Arial"/>
          <w:sz w:val="22"/>
          <w:szCs w:val="22"/>
        </w:rPr>
        <w:t>instalaciones</w:t>
      </w:r>
      <w:r w:rsidRPr="00EC452A">
        <w:rPr>
          <w:rFonts w:ascii="Arial" w:eastAsia="Arial" w:hAnsi="Arial" w:cs="Arial"/>
          <w:spacing w:val="40"/>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z w:val="22"/>
          <w:szCs w:val="22"/>
        </w:rPr>
        <w:t>servicios</w:t>
      </w:r>
      <w:r w:rsidRPr="00EC452A">
        <w:rPr>
          <w:rFonts w:ascii="Arial" w:eastAsia="Arial" w:hAnsi="Arial" w:cs="Arial"/>
          <w:spacing w:val="33"/>
          <w:sz w:val="22"/>
          <w:szCs w:val="22"/>
        </w:rPr>
        <w:t xml:space="preserve"> </w:t>
      </w:r>
      <w:r w:rsidRPr="00EC452A">
        <w:rPr>
          <w:rFonts w:ascii="Arial" w:eastAsia="Arial" w:hAnsi="Arial" w:cs="Arial"/>
          <w:sz w:val="22"/>
          <w:szCs w:val="22"/>
        </w:rPr>
        <w:t>auxiliares</w:t>
      </w:r>
      <w:r w:rsidRPr="00EC452A">
        <w:rPr>
          <w:rFonts w:ascii="Arial" w:eastAsia="Arial" w:hAnsi="Arial" w:cs="Arial"/>
          <w:spacing w:val="34"/>
          <w:sz w:val="22"/>
          <w:szCs w:val="22"/>
        </w:rPr>
        <w:t xml:space="preserve"> </w:t>
      </w:r>
      <w:r w:rsidRPr="00EC452A">
        <w:rPr>
          <w:rFonts w:ascii="Arial" w:eastAsia="Arial" w:hAnsi="Arial" w:cs="Arial"/>
          <w:w w:val="102"/>
          <w:sz w:val="22"/>
          <w:szCs w:val="22"/>
        </w:rPr>
        <w:t xml:space="preserve">en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conjunt</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distinto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productores</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conveni</w:t>
      </w:r>
      <w:r w:rsidRPr="00EC452A">
        <w:rPr>
          <w:rFonts w:ascii="Arial" w:eastAsia="Arial" w:hAnsi="Arial" w:cs="Arial"/>
          <w:sz w:val="22"/>
          <w:szCs w:val="22"/>
        </w:rPr>
        <w:t>r</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pag</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fracció</w:t>
      </w:r>
      <w:r w:rsidRPr="00EC452A">
        <w:rPr>
          <w:rFonts w:ascii="Arial" w:eastAsia="Arial" w:hAnsi="Arial" w:cs="Arial"/>
          <w:sz w:val="22"/>
          <w:szCs w:val="22"/>
        </w:rPr>
        <w:t>n</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w w:val="102"/>
          <w:sz w:val="22"/>
          <w:szCs w:val="22"/>
        </w:rPr>
        <w:t xml:space="preserve">tarifa </w:t>
      </w:r>
      <w:r w:rsidRPr="00EC452A">
        <w:rPr>
          <w:rFonts w:ascii="Arial" w:eastAsia="Arial" w:hAnsi="Arial" w:cs="Arial"/>
          <w:spacing w:val="-2"/>
          <w:sz w:val="22"/>
          <w:szCs w:val="22"/>
        </w:rPr>
        <w:t>oficia</w:t>
      </w:r>
      <w:r w:rsidRPr="00EC452A">
        <w:rPr>
          <w:rFonts w:ascii="Arial" w:eastAsia="Arial" w:hAnsi="Arial" w:cs="Arial"/>
          <w:sz w:val="22"/>
          <w:szCs w:val="22"/>
        </w:rPr>
        <w:t>l</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correspond</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conform</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aprovechamient</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usuarios.</w:t>
      </w:r>
    </w:p>
    <w:p w14:paraId="485449E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100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contrato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arrendamient</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utilizació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deberá </w:t>
      </w:r>
      <w:r w:rsidRPr="00EC452A">
        <w:rPr>
          <w:rFonts w:ascii="Arial" w:eastAsia="Arial" w:hAnsi="Arial" w:cs="Arial"/>
          <w:spacing w:val="-1"/>
          <w:sz w:val="22"/>
          <w:szCs w:val="22"/>
        </w:rPr>
        <w:t>incluirs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cláusul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cua</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acept</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resolver</w:t>
      </w:r>
      <w:r w:rsidRPr="00EC452A">
        <w:rPr>
          <w:rFonts w:ascii="Arial" w:eastAsia="Arial" w:hAnsi="Arial" w:cs="Arial"/>
          <w:sz w:val="22"/>
          <w:szCs w:val="22"/>
        </w:rPr>
        <w:t>á</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casos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duda</w:t>
      </w:r>
      <w:r w:rsidRPr="00EC452A">
        <w:rPr>
          <w:rFonts w:ascii="Arial" w:eastAsia="Arial" w:hAnsi="Arial" w:cs="Arial"/>
          <w:spacing w:val="15"/>
          <w:sz w:val="22"/>
          <w:szCs w:val="22"/>
        </w:rPr>
        <w:t xml:space="preserve"> </w:t>
      </w:r>
      <w:r w:rsidRPr="00EC452A">
        <w:rPr>
          <w:rFonts w:ascii="Arial" w:eastAsia="Arial" w:hAnsi="Arial" w:cs="Arial"/>
          <w:sz w:val="22"/>
          <w:szCs w:val="22"/>
        </w:rPr>
        <w:t>respecto</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aplicación</w:t>
      </w:r>
      <w:r w:rsidRPr="00EC452A">
        <w:rPr>
          <w:rFonts w:ascii="Arial" w:eastAsia="Arial" w:hAnsi="Arial" w:cs="Arial"/>
          <w:spacing w:val="24"/>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precios</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tarifas.</w:t>
      </w:r>
    </w:p>
    <w:p w14:paraId="64A3D5C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101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facilita</w:t>
      </w:r>
      <w:r w:rsidRPr="00EC452A">
        <w:rPr>
          <w:rFonts w:ascii="Arial" w:eastAsia="Arial" w:hAnsi="Arial" w:cs="Arial"/>
          <w:sz w:val="22"/>
          <w:szCs w:val="22"/>
        </w:rPr>
        <w:t>r</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pacing w:val="-2"/>
          <w:sz w:val="22"/>
          <w:szCs w:val="22"/>
        </w:rPr>
        <w:t>genera</w:t>
      </w:r>
      <w:r w:rsidRPr="00EC452A">
        <w:rPr>
          <w:rFonts w:ascii="Arial" w:eastAsia="Arial" w:hAnsi="Arial" w:cs="Arial"/>
          <w:sz w:val="22"/>
          <w:szCs w:val="22"/>
        </w:rPr>
        <w:t xml:space="preserve">l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maquinaria</w:t>
      </w:r>
      <w:r w:rsidRPr="00EC452A">
        <w:rPr>
          <w:rFonts w:ascii="Arial" w:eastAsia="Arial" w:hAnsi="Arial" w:cs="Arial"/>
          <w:sz w:val="22"/>
          <w:szCs w:val="22"/>
        </w:rPr>
        <w:t xml:space="preserve">, </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equipo</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instalacione</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propieda</w:t>
      </w:r>
      <w:r w:rsidRPr="00EC452A">
        <w:rPr>
          <w:rFonts w:ascii="Arial" w:eastAsia="Arial" w:hAnsi="Arial" w:cs="Arial"/>
          <w:sz w:val="22"/>
          <w:szCs w:val="22"/>
        </w:rPr>
        <w:t xml:space="preserve">d </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Gobiern</w:t>
      </w:r>
      <w:r w:rsidRPr="00EC452A">
        <w:rPr>
          <w:rFonts w:ascii="Arial" w:eastAsia="Arial" w:hAnsi="Arial" w:cs="Arial"/>
          <w:sz w:val="22"/>
          <w:szCs w:val="22"/>
        </w:rPr>
        <w:t xml:space="preserve">o </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Federa</w:t>
      </w:r>
      <w:r w:rsidRPr="00EC452A">
        <w:rPr>
          <w:rFonts w:ascii="Arial" w:eastAsia="Arial" w:hAnsi="Arial" w:cs="Arial"/>
          <w:sz w:val="22"/>
          <w:szCs w:val="22"/>
        </w:rPr>
        <w:t xml:space="preserve">l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8"/>
          <w:sz w:val="22"/>
          <w:szCs w:val="22"/>
        </w:rPr>
        <w:t xml:space="preserve"> </w:t>
      </w:r>
      <w:r w:rsidRPr="00EC452A">
        <w:rPr>
          <w:rFonts w:ascii="Arial" w:eastAsia="Arial" w:hAnsi="Arial" w:cs="Arial"/>
          <w:spacing w:val="-2"/>
          <w:w w:val="102"/>
          <w:sz w:val="22"/>
          <w:szCs w:val="22"/>
        </w:rPr>
        <w:t xml:space="preserve">se </w:t>
      </w:r>
      <w:r w:rsidRPr="00EC452A">
        <w:rPr>
          <w:rFonts w:ascii="Arial" w:eastAsia="Arial" w:hAnsi="Arial" w:cs="Arial"/>
          <w:spacing w:val="-1"/>
          <w:sz w:val="22"/>
          <w:szCs w:val="22"/>
        </w:rPr>
        <w:t>dispong</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ta</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fin</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quedand</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carg</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usuario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import</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prim</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seguro</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fianz</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efect</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contrat</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garantiza</w:t>
      </w:r>
      <w:r w:rsidRPr="00EC452A">
        <w:rPr>
          <w:rFonts w:ascii="Arial" w:eastAsia="Arial" w:hAnsi="Arial" w:cs="Arial"/>
          <w:sz w:val="22"/>
          <w:szCs w:val="22"/>
        </w:rPr>
        <w:t>r</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bue</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us</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bienes.</w:t>
      </w:r>
    </w:p>
    <w:p w14:paraId="7C4DB36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102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 xml:space="preserve">á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concede</w:t>
      </w:r>
      <w:r w:rsidRPr="00EC452A">
        <w:rPr>
          <w:rFonts w:ascii="Arial" w:eastAsia="Arial" w:hAnsi="Arial" w:cs="Arial"/>
          <w:sz w:val="22"/>
          <w:szCs w:val="22"/>
        </w:rPr>
        <w:t xml:space="preserve">r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opcione</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compra</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 xml:space="preserve">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bas</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cantidade</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hubiere</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pagad</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us</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sea</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abonada</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preci</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w w:val="102"/>
          <w:sz w:val="22"/>
          <w:szCs w:val="22"/>
        </w:rPr>
        <w:t>enajenación.</w:t>
      </w:r>
    </w:p>
    <w:p w14:paraId="4BE8240D" w14:textId="77777777" w:rsidR="00EC452A" w:rsidRPr="00EC452A" w:rsidRDefault="00EC452A" w:rsidP="00EC452A">
      <w:pPr>
        <w:spacing w:before="100" w:beforeAutospacing="1" w:after="100" w:afterAutospacing="1" w:line="240" w:lineRule="auto"/>
        <w:jc w:val="center"/>
        <w:rPr>
          <w:rFonts w:ascii="Arial" w:eastAsia="Arial" w:hAnsi="Arial" w:cs="Arial"/>
          <w:spacing w:val="-5"/>
          <w:w w:val="102"/>
          <w:sz w:val="22"/>
          <w:szCs w:val="22"/>
        </w:rPr>
      </w:pPr>
      <w:r w:rsidRPr="00EC452A">
        <w:rPr>
          <w:rFonts w:ascii="Arial" w:eastAsia="Arial" w:hAnsi="Arial" w:cs="Arial"/>
          <w:spacing w:val="-5"/>
          <w:sz w:val="22"/>
          <w:szCs w:val="22"/>
        </w:rPr>
        <w:lastRenderedPageBreak/>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w:t>
      </w:r>
    </w:p>
    <w:p w14:paraId="23BBD207"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Crédito</w:t>
      </w:r>
    </w:p>
    <w:p w14:paraId="77751F12"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103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promover</w:t>
      </w:r>
      <w:r w:rsidRPr="00EC452A">
        <w:rPr>
          <w:rFonts w:ascii="Arial" w:eastAsia="Arial" w:hAnsi="Arial" w:cs="Arial"/>
          <w:sz w:val="22"/>
          <w:szCs w:val="22"/>
        </w:rPr>
        <w:t xml:space="preserve">á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institucione</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oficiale</w:t>
      </w:r>
      <w:r w:rsidRPr="00EC452A">
        <w:rPr>
          <w:rFonts w:ascii="Arial" w:eastAsia="Arial" w:hAnsi="Arial" w:cs="Arial"/>
          <w:sz w:val="22"/>
          <w:szCs w:val="22"/>
        </w:rPr>
        <w:t xml:space="preserve">s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crédit</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rura</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seguros</w:t>
      </w:r>
      <w:r w:rsidRPr="00EC452A">
        <w:rPr>
          <w:rFonts w:ascii="Arial" w:eastAsia="Arial" w:hAnsi="Arial" w:cs="Arial"/>
          <w:sz w:val="22"/>
          <w:szCs w:val="22"/>
        </w:rPr>
        <w:t xml:space="preserv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elaboració</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 xml:space="preserve">s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crédit</w:t>
      </w:r>
      <w:r w:rsidRPr="00EC452A">
        <w:rPr>
          <w:rFonts w:ascii="Arial" w:eastAsia="Arial" w:hAnsi="Arial" w:cs="Arial"/>
          <w:sz w:val="22"/>
          <w:szCs w:val="22"/>
        </w:rPr>
        <w:t xml:space="preserve">o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aví</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refacció</w:t>
      </w:r>
      <w:r w:rsidRPr="00EC452A">
        <w:rPr>
          <w:rFonts w:ascii="Arial" w:eastAsia="Arial" w:hAnsi="Arial" w:cs="Arial"/>
          <w:sz w:val="22"/>
          <w:szCs w:val="22"/>
        </w:rPr>
        <w:t xml:space="preserve">n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aseguramient</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cultivo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ganad</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Temporal</w:t>
      </w:r>
      <w:r w:rsidRPr="00EC452A">
        <w:rPr>
          <w:rFonts w:ascii="Arial" w:eastAsia="Arial" w:hAnsi="Arial" w:cs="Arial"/>
          <w:sz w:val="22"/>
          <w:szCs w:val="22"/>
        </w:rPr>
        <w:t xml:space="preserv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propuest</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respectivo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Directivos.</w:t>
      </w:r>
    </w:p>
    <w:p w14:paraId="6335EF2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104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crédit</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aví</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z w:val="22"/>
          <w:szCs w:val="22"/>
        </w:rPr>
        <w:t>y</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refacció</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z w:val="22"/>
          <w:szCs w:val="22"/>
        </w:rPr>
        <w:t>y</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aseguramient</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cultivo</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ganado</w:t>
      </w:r>
      <w:r w:rsidRPr="00EC452A">
        <w:rPr>
          <w:rFonts w:ascii="Arial" w:eastAsia="Arial" w:hAnsi="Arial" w:cs="Arial"/>
          <w:sz w:val="22"/>
          <w:szCs w:val="22"/>
        </w:rPr>
        <w:t xml:space="preserve">,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prioridade</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quiene</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 xml:space="preserve">n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acces</w:t>
      </w:r>
      <w:r w:rsidRPr="00EC452A">
        <w:rPr>
          <w:rFonts w:ascii="Arial" w:eastAsia="Arial" w:hAnsi="Arial" w:cs="Arial"/>
          <w:sz w:val="22"/>
          <w:szCs w:val="22"/>
        </w:rPr>
        <w:t xml:space="preserve">o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ellos</w:t>
      </w:r>
      <w:r w:rsidRPr="00EC452A">
        <w:rPr>
          <w:rFonts w:ascii="Arial" w:eastAsia="Arial" w:hAnsi="Arial" w:cs="Arial"/>
          <w:sz w:val="22"/>
          <w:szCs w:val="22"/>
        </w:rPr>
        <w:t xml:space="preserve">,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 xml:space="preserve">n </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difund</w:t>
      </w:r>
      <w:r w:rsidRPr="00EC452A">
        <w:rPr>
          <w:rFonts w:ascii="Arial" w:eastAsia="Arial" w:hAnsi="Arial" w:cs="Arial"/>
          <w:spacing w:val="1"/>
          <w:w w:val="102"/>
          <w:sz w:val="22"/>
          <w:szCs w:val="22"/>
        </w:rPr>
        <w:t xml:space="preserve">idos </w:t>
      </w:r>
      <w:r w:rsidRPr="00EC452A">
        <w:rPr>
          <w:rFonts w:ascii="Arial" w:eastAsia="Arial" w:hAnsi="Arial" w:cs="Arial"/>
          <w:sz w:val="22"/>
          <w:szCs w:val="22"/>
        </w:rPr>
        <w:t>mediante</w:t>
      </w:r>
      <w:r w:rsidRPr="00EC452A">
        <w:rPr>
          <w:rFonts w:ascii="Arial" w:eastAsia="Arial" w:hAnsi="Arial" w:cs="Arial"/>
          <w:spacing w:val="41"/>
          <w:sz w:val="22"/>
          <w:szCs w:val="22"/>
        </w:rPr>
        <w:t xml:space="preserve"> </w:t>
      </w:r>
      <w:r w:rsidRPr="00EC452A">
        <w:rPr>
          <w:rFonts w:ascii="Arial" w:eastAsia="Arial" w:hAnsi="Arial" w:cs="Arial"/>
          <w:sz w:val="22"/>
          <w:szCs w:val="22"/>
        </w:rPr>
        <w:t>boletines</w:t>
      </w:r>
      <w:r w:rsidRPr="00EC452A">
        <w:rPr>
          <w:rFonts w:ascii="Arial" w:eastAsia="Arial" w:hAnsi="Arial" w:cs="Arial"/>
          <w:spacing w:val="40"/>
          <w:sz w:val="22"/>
          <w:szCs w:val="22"/>
        </w:rPr>
        <w:t xml:space="preserve"> </w:t>
      </w:r>
      <w:r w:rsidRPr="00EC452A">
        <w:rPr>
          <w:rFonts w:ascii="Arial" w:eastAsia="Arial" w:hAnsi="Arial" w:cs="Arial"/>
          <w:sz w:val="22"/>
          <w:szCs w:val="22"/>
        </w:rPr>
        <w:t>que</w:t>
      </w:r>
      <w:r w:rsidRPr="00EC452A">
        <w:rPr>
          <w:rFonts w:ascii="Arial" w:eastAsia="Arial" w:hAnsi="Arial" w:cs="Arial"/>
          <w:spacing w:val="31"/>
          <w:sz w:val="22"/>
          <w:szCs w:val="22"/>
        </w:rPr>
        <w:t xml:space="preserve"> </w:t>
      </w:r>
      <w:r w:rsidRPr="00EC452A">
        <w:rPr>
          <w:rFonts w:ascii="Arial" w:eastAsia="Arial" w:hAnsi="Arial" w:cs="Arial"/>
          <w:sz w:val="22"/>
          <w:szCs w:val="22"/>
        </w:rPr>
        <w:t>estarán</w:t>
      </w:r>
      <w:r w:rsidRPr="00EC452A">
        <w:rPr>
          <w:rFonts w:ascii="Arial" w:eastAsia="Arial" w:hAnsi="Arial" w:cs="Arial"/>
          <w:spacing w:val="38"/>
          <w:sz w:val="22"/>
          <w:szCs w:val="22"/>
        </w:rPr>
        <w:t xml:space="preserve"> </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z w:val="22"/>
          <w:szCs w:val="22"/>
        </w:rPr>
        <w:t>disposición</w:t>
      </w:r>
      <w:r w:rsidRPr="00EC452A">
        <w:rPr>
          <w:rFonts w:ascii="Arial" w:eastAsia="Arial" w:hAnsi="Arial" w:cs="Arial"/>
          <w:spacing w:val="44"/>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los</w:t>
      </w:r>
      <w:r w:rsidRPr="00EC452A">
        <w:rPr>
          <w:rFonts w:ascii="Arial" w:eastAsia="Arial" w:hAnsi="Arial" w:cs="Arial"/>
          <w:spacing w:val="30"/>
          <w:sz w:val="22"/>
          <w:szCs w:val="22"/>
        </w:rPr>
        <w:t xml:space="preserve"> </w:t>
      </w:r>
      <w:r w:rsidRPr="00EC452A">
        <w:rPr>
          <w:rFonts w:ascii="Arial" w:eastAsia="Arial" w:hAnsi="Arial" w:cs="Arial"/>
          <w:sz w:val="22"/>
          <w:szCs w:val="22"/>
        </w:rPr>
        <w:t>interesados</w:t>
      </w:r>
      <w:r w:rsidRPr="00EC452A">
        <w:rPr>
          <w:rFonts w:ascii="Arial" w:eastAsia="Arial" w:hAnsi="Arial" w:cs="Arial"/>
          <w:spacing w:val="45"/>
          <w:sz w:val="22"/>
          <w:szCs w:val="22"/>
        </w:rPr>
        <w:t xml:space="preserve"> </w:t>
      </w:r>
      <w:r w:rsidRPr="00EC452A">
        <w:rPr>
          <w:rFonts w:ascii="Arial" w:eastAsia="Arial" w:hAnsi="Arial" w:cs="Arial"/>
          <w:sz w:val="22"/>
          <w:szCs w:val="22"/>
        </w:rPr>
        <w:t>en</w:t>
      </w:r>
      <w:r w:rsidRPr="00EC452A">
        <w:rPr>
          <w:rFonts w:ascii="Arial" w:eastAsia="Arial" w:hAnsi="Arial" w:cs="Arial"/>
          <w:spacing w:val="29"/>
          <w:sz w:val="22"/>
          <w:szCs w:val="22"/>
        </w:rPr>
        <w:t xml:space="preserve"> </w:t>
      </w:r>
      <w:r w:rsidRPr="00EC452A">
        <w:rPr>
          <w:rFonts w:ascii="Arial" w:eastAsia="Arial" w:hAnsi="Arial" w:cs="Arial"/>
          <w:sz w:val="22"/>
          <w:szCs w:val="22"/>
        </w:rPr>
        <w:t>las</w:t>
      </w:r>
      <w:r w:rsidRPr="00EC452A">
        <w:rPr>
          <w:rFonts w:ascii="Arial" w:eastAsia="Arial" w:hAnsi="Arial" w:cs="Arial"/>
          <w:spacing w:val="30"/>
          <w:sz w:val="22"/>
          <w:szCs w:val="22"/>
        </w:rPr>
        <w:t xml:space="preserve"> </w:t>
      </w:r>
      <w:r w:rsidRPr="00EC452A">
        <w:rPr>
          <w:rFonts w:ascii="Arial" w:eastAsia="Arial" w:hAnsi="Arial" w:cs="Arial"/>
          <w:sz w:val="22"/>
          <w:szCs w:val="22"/>
        </w:rPr>
        <w:t>oficinas</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los</w:t>
      </w:r>
      <w:r w:rsidRPr="00EC452A">
        <w:rPr>
          <w:rFonts w:ascii="Arial" w:eastAsia="Arial" w:hAnsi="Arial" w:cs="Arial"/>
          <w:spacing w:val="30"/>
          <w:sz w:val="22"/>
          <w:szCs w:val="22"/>
        </w:rPr>
        <w:t xml:space="preserve"> </w:t>
      </w:r>
      <w:r w:rsidRPr="00EC452A">
        <w:rPr>
          <w:rFonts w:ascii="Arial" w:eastAsia="Arial" w:hAnsi="Arial" w:cs="Arial"/>
          <w:w w:val="102"/>
          <w:sz w:val="22"/>
          <w:szCs w:val="22"/>
        </w:rPr>
        <w:t xml:space="preserve">Distritos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Temporal</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las</w:t>
      </w:r>
      <w:r w:rsidRPr="00EC452A">
        <w:rPr>
          <w:rFonts w:ascii="Arial" w:eastAsia="Arial" w:hAnsi="Arial" w:cs="Arial"/>
          <w:spacing w:val="27"/>
          <w:sz w:val="22"/>
          <w:szCs w:val="22"/>
        </w:rPr>
        <w:t xml:space="preserve"> </w:t>
      </w:r>
      <w:r w:rsidRPr="00EC452A">
        <w:rPr>
          <w:rFonts w:ascii="Arial" w:eastAsia="Arial" w:hAnsi="Arial" w:cs="Arial"/>
          <w:sz w:val="22"/>
          <w:szCs w:val="22"/>
        </w:rPr>
        <w:t>instituciones</w:t>
      </w:r>
      <w:r w:rsidRPr="00EC452A">
        <w:rPr>
          <w:rFonts w:ascii="Arial" w:eastAsia="Arial" w:hAnsi="Arial" w:cs="Arial"/>
          <w:spacing w:val="43"/>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crédito</w:t>
      </w:r>
      <w:r w:rsidRPr="00EC452A">
        <w:rPr>
          <w:rFonts w:ascii="Arial" w:eastAsia="Arial" w:hAnsi="Arial" w:cs="Arial"/>
          <w:spacing w:val="33"/>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aseguramiento</w:t>
      </w:r>
      <w:r w:rsidRPr="00EC452A">
        <w:rPr>
          <w:rFonts w:ascii="Arial" w:eastAsia="Arial" w:hAnsi="Arial" w:cs="Arial"/>
          <w:spacing w:val="47"/>
          <w:sz w:val="22"/>
          <w:szCs w:val="22"/>
        </w:rPr>
        <w:t xml:space="preserve"> </w:t>
      </w:r>
      <w:r w:rsidRPr="00EC452A">
        <w:rPr>
          <w:rFonts w:ascii="Arial" w:eastAsia="Arial" w:hAnsi="Arial" w:cs="Arial"/>
          <w:sz w:val="22"/>
          <w:szCs w:val="22"/>
        </w:rPr>
        <w:t>que</w:t>
      </w:r>
      <w:r w:rsidRPr="00EC452A">
        <w:rPr>
          <w:rFonts w:ascii="Arial" w:eastAsia="Arial" w:hAnsi="Arial" w:cs="Arial"/>
          <w:spacing w:val="28"/>
          <w:sz w:val="22"/>
          <w:szCs w:val="22"/>
        </w:rPr>
        <w:t xml:space="preserve"> </w:t>
      </w:r>
      <w:r w:rsidRPr="00EC452A">
        <w:rPr>
          <w:rFonts w:ascii="Arial" w:eastAsia="Arial" w:hAnsi="Arial" w:cs="Arial"/>
          <w:sz w:val="22"/>
          <w:szCs w:val="22"/>
        </w:rPr>
        <w:t>participen</w:t>
      </w:r>
      <w:r w:rsidRPr="00EC452A">
        <w:rPr>
          <w:rFonts w:ascii="Arial" w:eastAsia="Arial" w:hAnsi="Arial" w:cs="Arial"/>
          <w:spacing w:val="38"/>
          <w:sz w:val="22"/>
          <w:szCs w:val="22"/>
        </w:rPr>
        <w:t xml:space="preserve"> </w:t>
      </w:r>
      <w:r w:rsidRPr="00EC452A">
        <w:rPr>
          <w:rFonts w:ascii="Arial" w:eastAsia="Arial" w:hAnsi="Arial" w:cs="Arial"/>
          <w:sz w:val="22"/>
          <w:szCs w:val="22"/>
        </w:rPr>
        <w:t>en</w:t>
      </w:r>
      <w:r w:rsidRPr="00EC452A">
        <w:rPr>
          <w:rFonts w:ascii="Arial" w:eastAsia="Arial" w:hAnsi="Arial" w:cs="Arial"/>
          <w:spacing w:val="26"/>
          <w:sz w:val="22"/>
          <w:szCs w:val="22"/>
        </w:rPr>
        <w:t xml:space="preserve"> </w:t>
      </w:r>
      <w:r w:rsidRPr="00EC452A">
        <w:rPr>
          <w:rFonts w:ascii="Arial" w:eastAsia="Arial" w:hAnsi="Arial" w:cs="Arial"/>
          <w:sz w:val="22"/>
          <w:szCs w:val="22"/>
        </w:rPr>
        <w:t>los</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 xml:space="preserve">mismos </w:t>
      </w:r>
      <w:r w:rsidRPr="00EC452A">
        <w:rPr>
          <w:rFonts w:ascii="Arial" w:eastAsia="Arial" w:hAnsi="Arial" w:cs="Arial"/>
          <w:spacing w:val="-1"/>
          <w:w w:val="102"/>
          <w:sz w:val="22"/>
          <w:szCs w:val="22"/>
        </w:rPr>
        <w:t>programas.</w:t>
      </w:r>
    </w:p>
    <w:p w14:paraId="2724572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105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programa</w:t>
      </w:r>
      <w:r w:rsidRPr="00EC452A">
        <w:rPr>
          <w:rFonts w:ascii="Arial" w:eastAsia="Arial" w:hAnsi="Arial" w:cs="Arial"/>
          <w:sz w:val="22"/>
          <w:szCs w:val="22"/>
        </w:rPr>
        <w:t>s  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refier</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anterio</w:t>
      </w:r>
      <w:r w:rsidRPr="00EC452A">
        <w:rPr>
          <w:rFonts w:ascii="Arial" w:eastAsia="Arial" w:hAnsi="Arial" w:cs="Arial"/>
          <w:sz w:val="22"/>
          <w:szCs w:val="22"/>
        </w:rPr>
        <w:t>r</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tomará</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consideración</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preponderante</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necesidade</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nacionale</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z w:val="22"/>
          <w:szCs w:val="22"/>
        </w:rPr>
        <w:t>y</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convenienci</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eleva</w:t>
      </w:r>
      <w:r w:rsidRPr="00EC452A">
        <w:rPr>
          <w:rFonts w:ascii="Arial" w:eastAsia="Arial" w:hAnsi="Arial" w:cs="Arial"/>
          <w:sz w:val="22"/>
          <w:szCs w:val="22"/>
        </w:rPr>
        <w:t>r</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condiciones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vid</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z w:val="22"/>
          <w:szCs w:val="22"/>
        </w:rPr>
        <w:t>y</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trabaj</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campo.</w:t>
      </w:r>
    </w:p>
    <w:p w14:paraId="38303E8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106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fideicomis</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Rieg</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Compartid</w:t>
      </w:r>
      <w:r w:rsidRPr="00EC452A">
        <w:rPr>
          <w:rFonts w:ascii="Arial" w:eastAsia="Arial" w:hAnsi="Arial" w:cs="Arial"/>
          <w:sz w:val="22"/>
          <w:szCs w:val="22"/>
        </w:rPr>
        <w:t xml:space="preserve">o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informará</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solicitud</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técnicos</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crédit</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aví</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refacció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aseguramient</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cultivo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z w:val="22"/>
          <w:szCs w:val="22"/>
        </w:rPr>
        <w:t>y</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ganad</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de los</w:t>
      </w:r>
      <w:r w:rsidRPr="00EC452A">
        <w:rPr>
          <w:rFonts w:ascii="Arial" w:eastAsia="Arial" w:hAnsi="Arial" w:cs="Arial"/>
          <w:spacing w:val="1"/>
          <w:sz w:val="22"/>
          <w:szCs w:val="22"/>
        </w:rPr>
        <w:t xml:space="preserve"> </w:t>
      </w:r>
      <w:r w:rsidRPr="00EC452A">
        <w:rPr>
          <w:rFonts w:ascii="Arial" w:eastAsia="Arial" w:hAnsi="Arial" w:cs="Arial"/>
          <w:sz w:val="22"/>
          <w:szCs w:val="22"/>
        </w:rPr>
        <w:t>contratos</w:t>
      </w:r>
      <w:r w:rsidRPr="00EC452A">
        <w:rPr>
          <w:rFonts w:ascii="Arial" w:eastAsia="Arial" w:hAnsi="Arial" w:cs="Arial"/>
          <w:spacing w:val="12"/>
          <w:sz w:val="22"/>
          <w:szCs w:val="22"/>
        </w:rPr>
        <w:t xml:space="preserve"> </w:t>
      </w:r>
      <w:r w:rsidRPr="00EC452A">
        <w:rPr>
          <w:rFonts w:ascii="Arial" w:eastAsia="Arial" w:hAnsi="Arial" w:cs="Arial"/>
          <w:sz w:val="22"/>
          <w:szCs w:val="22"/>
        </w:rPr>
        <w:t>que</w:t>
      </w:r>
      <w:r w:rsidRPr="00EC452A">
        <w:rPr>
          <w:rFonts w:ascii="Arial" w:eastAsia="Arial" w:hAnsi="Arial" w:cs="Arial"/>
          <w:spacing w:val="2"/>
          <w:sz w:val="22"/>
          <w:szCs w:val="22"/>
        </w:rPr>
        <w:t xml:space="preserve"> </w:t>
      </w:r>
      <w:r w:rsidRPr="00EC452A">
        <w:rPr>
          <w:rFonts w:ascii="Arial" w:eastAsia="Arial" w:hAnsi="Arial" w:cs="Arial"/>
          <w:sz w:val="22"/>
          <w:szCs w:val="22"/>
        </w:rPr>
        <w:t>en su cumplimiento</w:t>
      </w:r>
      <w:r w:rsidRPr="00EC452A">
        <w:rPr>
          <w:rFonts w:ascii="Arial" w:eastAsia="Arial" w:hAnsi="Arial" w:cs="Arial"/>
          <w:spacing w:val="18"/>
          <w:sz w:val="22"/>
          <w:szCs w:val="22"/>
        </w:rPr>
        <w:t xml:space="preserve"> </w:t>
      </w:r>
      <w:r w:rsidRPr="00EC452A">
        <w:rPr>
          <w:rFonts w:ascii="Arial" w:eastAsia="Arial" w:hAnsi="Arial" w:cs="Arial"/>
          <w:sz w:val="22"/>
          <w:szCs w:val="22"/>
        </w:rPr>
        <w:t>celebren</w:t>
      </w:r>
      <w:r w:rsidRPr="00EC452A">
        <w:rPr>
          <w:rFonts w:ascii="Arial" w:eastAsia="Arial" w:hAnsi="Arial" w:cs="Arial"/>
          <w:spacing w:val="11"/>
          <w:sz w:val="22"/>
          <w:szCs w:val="22"/>
        </w:rPr>
        <w:t xml:space="preserve"> </w:t>
      </w:r>
      <w:r w:rsidRPr="00EC452A">
        <w:rPr>
          <w:rFonts w:ascii="Arial" w:eastAsia="Arial" w:hAnsi="Arial" w:cs="Arial"/>
          <w:sz w:val="22"/>
          <w:szCs w:val="22"/>
        </w:rPr>
        <w:t>las</w:t>
      </w:r>
      <w:r w:rsidRPr="00EC452A">
        <w:rPr>
          <w:rFonts w:ascii="Arial" w:eastAsia="Arial" w:hAnsi="Arial" w:cs="Arial"/>
          <w:spacing w:val="1"/>
          <w:sz w:val="22"/>
          <w:szCs w:val="22"/>
        </w:rPr>
        <w:t xml:space="preserve"> </w:t>
      </w:r>
      <w:r w:rsidRPr="00EC452A">
        <w:rPr>
          <w:rFonts w:ascii="Arial" w:eastAsia="Arial" w:hAnsi="Arial" w:cs="Arial"/>
          <w:sz w:val="22"/>
          <w:szCs w:val="22"/>
        </w:rPr>
        <w:t>instituciones</w:t>
      </w:r>
      <w:r w:rsidRPr="00EC452A">
        <w:rPr>
          <w:rFonts w:ascii="Arial" w:eastAsia="Arial" w:hAnsi="Arial" w:cs="Arial"/>
          <w:spacing w:val="17"/>
          <w:sz w:val="22"/>
          <w:szCs w:val="22"/>
        </w:rPr>
        <w:t xml:space="preserve"> </w:t>
      </w:r>
      <w:r w:rsidRPr="00EC452A">
        <w:rPr>
          <w:rFonts w:ascii="Arial" w:eastAsia="Arial" w:hAnsi="Arial" w:cs="Arial"/>
          <w:sz w:val="22"/>
          <w:szCs w:val="22"/>
        </w:rPr>
        <w:t>oficiales</w:t>
      </w:r>
      <w:r w:rsidRPr="00EC452A">
        <w:rPr>
          <w:rFonts w:ascii="Arial" w:eastAsia="Arial" w:hAnsi="Arial" w:cs="Arial"/>
          <w:spacing w:val="10"/>
          <w:sz w:val="22"/>
          <w:szCs w:val="22"/>
        </w:rPr>
        <w:t xml:space="preserve"> </w:t>
      </w:r>
      <w:r w:rsidRPr="00EC452A">
        <w:rPr>
          <w:rFonts w:ascii="Arial" w:eastAsia="Arial" w:hAnsi="Arial" w:cs="Arial"/>
          <w:sz w:val="22"/>
          <w:szCs w:val="22"/>
        </w:rPr>
        <w:t>con</w:t>
      </w:r>
      <w:r w:rsidRPr="00EC452A">
        <w:rPr>
          <w:rFonts w:ascii="Arial" w:eastAsia="Arial" w:hAnsi="Arial" w:cs="Arial"/>
          <w:spacing w:val="2"/>
          <w:sz w:val="22"/>
          <w:szCs w:val="22"/>
        </w:rPr>
        <w:t xml:space="preserve"> </w:t>
      </w:r>
      <w:r w:rsidRPr="00EC452A">
        <w:rPr>
          <w:rFonts w:ascii="Arial" w:eastAsia="Arial" w:hAnsi="Arial" w:cs="Arial"/>
          <w:sz w:val="22"/>
          <w:szCs w:val="22"/>
        </w:rPr>
        <w:t>los</w:t>
      </w:r>
      <w:r w:rsidRPr="00EC452A">
        <w:rPr>
          <w:rFonts w:ascii="Arial" w:eastAsia="Arial" w:hAnsi="Arial" w:cs="Arial"/>
          <w:spacing w:val="1"/>
          <w:sz w:val="22"/>
          <w:szCs w:val="22"/>
        </w:rPr>
        <w:t xml:space="preserve"> </w:t>
      </w:r>
      <w:r w:rsidRPr="00EC452A">
        <w:rPr>
          <w:rFonts w:ascii="Arial" w:eastAsia="Arial" w:hAnsi="Arial" w:cs="Arial"/>
          <w:w w:val="102"/>
          <w:sz w:val="22"/>
          <w:szCs w:val="22"/>
        </w:rPr>
        <w:t xml:space="preserve">ejidos, </w:t>
      </w:r>
      <w:r w:rsidRPr="00EC452A">
        <w:rPr>
          <w:rFonts w:ascii="Arial" w:eastAsia="Arial" w:hAnsi="Arial" w:cs="Arial"/>
          <w:spacing w:val="-1"/>
          <w:sz w:val="22"/>
          <w:szCs w:val="22"/>
        </w:rPr>
        <w:t>comunidades</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pequeño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w:t>
      </w:r>
      <w:r w:rsidRPr="00EC452A">
        <w:rPr>
          <w:rFonts w:ascii="Arial" w:eastAsia="Arial" w:hAnsi="Arial" w:cs="Arial"/>
          <w:sz w:val="22"/>
          <w:szCs w:val="22"/>
        </w:rPr>
        <w:t>omo</w:t>
      </w:r>
      <w:r w:rsidRPr="00EC452A">
        <w:rPr>
          <w:rFonts w:ascii="Arial" w:eastAsia="Arial" w:hAnsi="Arial" w:cs="Arial"/>
          <w:spacing w:val="16"/>
          <w:sz w:val="22"/>
          <w:szCs w:val="22"/>
        </w:rPr>
        <w:t xml:space="preserve"> </w:t>
      </w:r>
      <w:r w:rsidRPr="00EC452A">
        <w:rPr>
          <w:rFonts w:ascii="Arial" w:eastAsia="Arial" w:hAnsi="Arial" w:cs="Arial"/>
          <w:w w:val="102"/>
          <w:sz w:val="22"/>
          <w:szCs w:val="22"/>
        </w:rPr>
        <w:t>fideicomisarios.</w:t>
      </w:r>
    </w:p>
    <w:p w14:paraId="2DDC505C"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III</w:t>
      </w:r>
    </w:p>
    <w:p w14:paraId="7803A88B"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3"/>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3"/>
          <w:sz w:val="22"/>
          <w:szCs w:val="22"/>
        </w:rPr>
        <w:t>Rieg</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3"/>
          <w:w w:val="102"/>
          <w:sz w:val="22"/>
          <w:szCs w:val="22"/>
        </w:rPr>
        <w:t>Compartido</w:t>
      </w:r>
    </w:p>
    <w:p w14:paraId="3F65D58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107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asistenci</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técnic</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requier</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convenio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sz w:val="22"/>
          <w:szCs w:val="22"/>
        </w:rPr>
        <w:t>celebr</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fiduciari</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Riesg</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Compartido</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á</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proporcionad</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travé</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2"/>
          <w:w w:val="102"/>
          <w:sz w:val="22"/>
          <w:szCs w:val="22"/>
        </w:rPr>
        <w:t xml:space="preserve">del </w:t>
      </w:r>
      <w:r w:rsidRPr="00EC452A">
        <w:rPr>
          <w:rFonts w:ascii="Arial" w:eastAsia="Arial" w:hAnsi="Arial" w:cs="Arial"/>
          <w:spacing w:val="-2"/>
          <w:sz w:val="22"/>
          <w:szCs w:val="22"/>
        </w:rPr>
        <w:t>persona</w:t>
      </w:r>
      <w:r w:rsidRPr="00EC452A">
        <w:rPr>
          <w:rFonts w:ascii="Arial" w:eastAsia="Arial" w:hAnsi="Arial" w:cs="Arial"/>
          <w:sz w:val="22"/>
          <w:szCs w:val="22"/>
        </w:rPr>
        <w:t xml:space="preserve">l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obedecer</w:t>
      </w:r>
      <w:r w:rsidRPr="00EC452A">
        <w:rPr>
          <w:rFonts w:ascii="Arial" w:eastAsia="Arial" w:hAnsi="Arial" w:cs="Arial"/>
          <w:sz w:val="22"/>
          <w:szCs w:val="22"/>
        </w:rPr>
        <w:t xml:space="preserve">á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meta</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específico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fideicomisario.</w:t>
      </w:r>
    </w:p>
    <w:p w14:paraId="40BC9D3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108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z w:val="22"/>
          <w:szCs w:val="22"/>
        </w:rPr>
        <w:t>y</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asociacione</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participe</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pacing w:val="-1"/>
          <w:sz w:val="22"/>
          <w:szCs w:val="22"/>
        </w:rPr>
        <w:t>riesg</w:t>
      </w:r>
      <w:r w:rsidRPr="00EC452A">
        <w:rPr>
          <w:rFonts w:ascii="Arial" w:eastAsia="Arial" w:hAnsi="Arial" w:cs="Arial"/>
          <w:sz w:val="22"/>
          <w:szCs w:val="22"/>
        </w:rPr>
        <w:t xml:space="preserve">o   </w:t>
      </w:r>
      <w:r w:rsidRPr="00EC452A">
        <w:rPr>
          <w:rFonts w:ascii="Arial" w:eastAsia="Arial" w:hAnsi="Arial" w:cs="Arial"/>
          <w:spacing w:val="-1"/>
          <w:sz w:val="22"/>
          <w:szCs w:val="22"/>
        </w:rPr>
        <w:t>compartido</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notifica</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ob</w:t>
      </w:r>
      <w:r w:rsidRPr="00EC452A">
        <w:rPr>
          <w:rFonts w:ascii="Arial" w:eastAsia="Arial" w:hAnsi="Arial" w:cs="Arial"/>
          <w:spacing w:val="-2"/>
          <w:sz w:val="22"/>
          <w:szCs w:val="22"/>
        </w:rPr>
        <w:t>ligacione</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derive</w:t>
      </w:r>
      <w:r w:rsidRPr="00EC452A">
        <w:rPr>
          <w:rFonts w:ascii="Arial" w:eastAsia="Arial" w:hAnsi="Arial" w:cs="Arial"/>
          <w:sz w:val="22"/>
          <w:szCs w:val="22"/>
        </w:rPr>
        <w:t xml:space="preserve">n </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z w:val="22"/>
          <w:szCs w:val="22"/>
        </w:rPr>
        <w:t>contratos</w:t>
      </w:r>
      <w:r w:rsidRPr="00EC452A">
        <w:rPr>
          <w:rFonts w:ascii="Arial" w:eastAsia="Arial" w:hAnsi="Arial" w:cs="Arial"/>
          <w:spacing w:val="14"/>
          <w:sz w:val="22"/>
          <w:szCs w:val="22"/>
        </w:rPr>
        <w:t xml:space="preserve"> </w:t>
      </w:r>
      <w:r w:rsidRPr="00EC452A">
        <w:rPr>
          <w:rFonts w:ascii="Arial" w:eastAsia="Arial" w:hAnsi="Arial" w:cs="Arial"/>
          <w:sz w:val="22"/>
          <w:szCs w:val="22"/>
        </w:rPr>
        <w:t>celebrados</w:t>
      </w:r>
      <w:r w:rsidRPr="00EC452A">
        <w:rPr>
          <w:rFonts w:ascii="Arial" w:eastAsia="Arial" w:hAnsi="Arial" w:cs="Arial"/>
          <w:spacing w:val="16"/>
          <w:sz w:val="22"/>
          <w:szCs w:val="22"/>
        </w:rPr>
        <w:t xml:space="preserve"> </w:t>
      </w:r>
      <w:r w:rsidRPr="00EC452A">
        <w:rPr>
          <w:rFonts w:ascii="Arial" w:eastAsia="Arial" w:hAnsi="Arial" w:cs="Arial"/>
          <w:sz w:val="22"/>
          <w:szCs w:val="22"/>
        </w:rPr>
        <w:t>con</w:t>
      </w:r>
      <w:r w:rsidRPr="00EC452A">
        <w:rPr>
          <w:rFonts w:ascii="Arial" w:eastAsia="Arial" w:hAnsi="Arial" w:cs="Arial"/>
          <w:spacing w:val="4"/>
          <w:sz w:val="22"/>
          <w:szCs w:val="22"/>
        </w:rPr>
        <w:t xml:space="preserve"> </w:t>
      </w:r>
      <w:r w:rsidRPr="00EC452A">
        <w:rPr>
          <w:rFonts w:ascii="Arial" w:eastAsia="Arial" w:hAnsi="Arial" w:cs="Arial"/>
          <w:sz w:val="22"/>
          <w:szCs w:val="22"/>
        </w:rPr>
        <w:t>otras</w:t>
      </w:r>
      <w:r w:rsidRPr="00EC452A">
        <w:rPr>
          <w:rFonts w:ascii="Arial" w:eastAsia="Arial" w:hAnsi="Arial" w:cs="Arial"/>
          <w:spacing w:val="6"/>
          <w:sz w:val="22"/>
          <w:szCs w:val="22"/>
        </w:rPr>
        <w:t xml:space="preserve"> </w:t>
      </w:r>
      <w:r w:rsidRPr="00EC452A">
        <w:rPr>
          <w:rFonts w:ascii="Arial" w:eastAsia="Arial" w:hAnsi="Arial" w:cs="Arial"/>
          <w:sz w:val="22"/>
          <w:szCs w:val="22"/>
        </w:rPr>
        <w:t>entidades</w:t>
      </w:r>
      <w:r w:rsidRPr="00EC452A">
        <w:rPr>
          <w:rFonts w:ascii="Arial" w:eastAsia="Arial" w:hAnsi="Arial" w:cs="Arial"/>
          <w:spacing w:val="14"/>
          <w:sz w:val="22"/>
          <w:szCs w:val="22"/>
        </w:rPr>
        <w:t xml:space="preserve"> </w:t>
      </w:r>
      <w:r w:rsidRPr="00EC452A">
        <w:rPr>
          <w:rFonts w:ascii="Arial" w:eastAsia="Arial" w:hAnsi="Arial" w:cs="Arial"/>
          <w:sz w:val="22"/>
          <w:szCs w:val="22"/>
        </w:rPr>
        <w:t>o instituciones,</w:t>
      </w:r>
      <w:r w:rsidRPr="00EC452A">
        <w:rPr>
          <w:rFonts w:ascii="Arial" w:eastAsia="Arial" w:hAnsi="Arial" w:cs="Arial"/>
          <w:spacing w:val="20"/>
          <w:sz w:val="22"/>
          <w:szCs w:val="22"/>
        </w:rPr>
        <w:t xml:space="preserve"> </w:t>
      </w:r>
      <w:r w:rsidRPr="00EC452A">
        <w:rPr>
          <w:rFonts w:ascii="Arial" w:eastAsia="Arial" w:hAnsi="Arial" w:cs="Arial"/>
          <w:sz w:val="22"/>
          <w:szCs w:val="22"/>
        </w:rPr>
        <w:t>particularmente</w:t>
      </w:r>
      <w:r w:rsidRPr="00EC452A">
        <w:rPr>
          <w:rFonts w:ascii="Arial" w:eastAsia="Arial" w:hAnsi="Arial" w:cs="Arial"/>
          <w:spacing w:val="24"/>
          <w:sz w:val="22"/>
          <w:szCs w:val="22"/>
        </w:rPr>
        <w:t xml:space="preserve"> </w:t>
      </w:r>
      <w:r w:rsidRPr="00EC452A">
        <w:rPr>
          <w:rFonts w:ascii="Arial" w:eastAsia="Arial" w:hAnsi="Arial" w:cs="Arial"/>
          <w:sz w:val="22"/>
          <w:szCs w:val="22"/>
        </w:rPr>
        <w:t>cuando</w:t>
      </w:r>
      <w:r w:rsidRPr="00EC452A">
        <w:rPr>
          <w:rFonts w:ascii="Arial" w:eastAsia="Arial" w:hAnsi="Arial" w:cs="Arial"/>
          <w:spacing w:val="10"/>
          <w:sz w:val="22"/>
          <w:szCs w:val="22"/>
        </w:rPr>
        <w:t xml:space="preserve"> </w:t>
      </w:r>
      <w:r w:rsidRPr="00EC452A">
        <w:rPr>
          <w:rFonts w:ascii="Arial" w:eastAsia="Arial" w:hAnsi="Arial" w:cs="Arial"/>
          <w:sz w:val="22"/>
          <w:szCs w:val="22"/>
        </w:rPr>
        <w:t>consistan</w:t>
      </w:r>
      <w:r w:rsidRPr="00EC452A">
        <w:rPr>
          <w:rFonts w:ascii="Arial" w:eastAsia="Arial" w:hAnsi="Arial" w:cs="Arial"/>
          <w:spacing w:val="14"/>
          <w:sz w:val="22"/>
          <w:szCs w:val="22"/>
        </w:rPr>
        <w:t xml:space="preserve"> </w:t>
      </w:r>
      <w:r w:rsidRPr="00EC452A">
        <w:rPr>
          <w:rFonts w:ascii="Arial" w:eastAsia="Arial" w:hAnsi="Arial" w:cs="Arial"/>
          <w:w w:val="102"/>
          <w:sz w:val="22"/>
          <w:szCs w:val="22"/>
        </w:rPr>
        <w:t xml:space="preserve">en </w:t>
      </w:r>
      <w:r w:rsidRPr="00EC452A">
        <w:rPr>
          <w:rFonts w:ascii="Arial" w:eastAsia="Arial" w:hAnsi="Arial" w:cs="Arial"/>
          <w:sz w:val="22"/>
          <w:szCs w:val="22"/>
        </w:rPr>
        <w:t>contratos</w:t>
      </w:r>
      <w:r w:rsidRPr="00EC452A">
        <w:rPr>
          <w:rFonts w:ascii="Arial" w:eastAsia="Arial" w:hAnsi="Arial" w:cs="Arial"/>
          <w:spacing w:val="23"/>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crédito</w:t>
      </w:r>
      <w:r w:rsidRPr="00EC452A">
        <w:rPr>
          <w:rFonts w:ascii="Arial" w:eastAsia="Arial" w:hAnsi="Arial" w:cs="Arial"/>
          <w:spacing w:val="18"/>
          <w:sz w:val="22"/>
          <w:szCs w:val="22"/>
        </w:rPr>
        <w:t xml:space="preserve">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prestación</w:t>
      </w:r>
      <w:r w:rsidRPr="00EC452A">
        <w:rPr>
          <w:rFonts w:ascii="Arial" w:eastAsia="Arial" w:hAnsi="Arial" w:cs="Arial"/>
          <w:spacing w:val="25"/>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servicios</w:t>
      </w:r>
      <w:r w:rsidRPr="00EC452A">
        <w:rPr>
          <w:rFonts w:ascii="Arial" w:eastAsia="Arial" w:hAnsi="Arial" w:cs="Arial"/>
          <w:spacing w:val="22"/>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z w:val="22"/>
          <w:szCs w:val="22"/>
        </w:rPr>
        <w:t>comercialización</w:t>
      </w:r>
      <w:r w:rsidRPr="00EC452A">
        <w:rPr>
          <w:rFonts w:ascii="Arial" w:eastAsia="Arial" w:hAnsi="Arial" w:cs="Arial"/>
          <w:spacing w:val="35"/>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productos.</w:t>
      </w:r>
    </w:p>
    <w:p w14:paraId="1EE726C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109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3"/>
          <w:sz w:val="22"/>
          <w:szCs w:val="22"/>
        </w:rPr>
        <w:t>Tomand</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pacing w:val="-3"/>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3"/>
          <w:sz w:val="22"/>
          <w:szCs w:val="22"/>
        </w:rPr>
        <w:t>cuent</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3"/>
          <w:sz w:val="22"/>
          <w:szCs w:val="22"/>
        </w:rPr>
        <w:t>punto</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3"/>
          <w:w w:val="102"/>
          <w:sz w:val="22"/>
          <w:szCs w:val="22"/>
        </w:rPr>
        <w:t>v</w:t>
      </w:r>
      <w:r w:rsidRPr="00EC452A">
        <w:rPr>
          <w:rFonts w:ascii="Arial" w:eastAsia="Arial" w:hAnsi="Arial" w:cs="Arial"/>
          <w:w w:val="102"/>
          <w:sz w:val="22"/>
          <w:szCs w:val="22"/>
        </w:rPr>
        <w:t>i</w:t>
      </w:r>
      <w:r w:rsidRPr="00EC452A">
        <w:rPr>
          <w:rFonts w:ascii="Arial" w:eastAsia="Arial" w:hAnsi="Arial" w:cs="Arial"/>
          <w:spacing w:val="-26"/>
          <w:sz w:val="22"/>
          <w:szCs w:val="22"/>
        </w:rPr>
        <w:t xml:space="preserve"> </w:t>
      </w:r>
      <w:r w:rsidRPr="00EC452A">
        <w:rPr>
          <w:rFonts w:ascii="Arial" w:eastAsia="Arial" w:hAnsi="Arial" w:cs="Arial"/>
          <w:sz w:val="22"/>
          <w:szCs w:val="22"/>
        </w:rPr>
        <w:t>sta</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49"/>
          <w:sz w:val="22"/>
          <w:szCs w:val="22"/>
        </w:rPr>
        <w:t xml:space="preserve"> </w:t>
      </w:r>
      <w:r w:rsidRPr="00EC452A">
        <w:rPr>
          <w:rFonts w:ascii="Arial" w:eastAsia="Arial" w:hAnsi="Arial" w:cs="Arial"/>
          <w:sz w:val="22"/>
          <w:szCs w:val="22"/>
        </w:rPr>
        <w:t>las</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organizaciones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interesadas, </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 xml:space="preserve">el </w:t>
      </w:r>
      <w:r w:rsidRPr="00EC452A">
        <w:rPr>
          <w:rFonts w:ascii="Arial" w:eastAsia="Arial" w:hAnsi="Arial" w:cs="Arial"/>
          <w:spacing w:val="-1"/>
          <w:sz w:val="22"/>
          <w:szCs w:val="22"/>
        </w:rPr>
        <w:t>Comit</w:t>
      </w:r>
      <w:r w:rsidRPr="00EC452A">
        <w:rPr>
          <w:rFonts w:ascii="Arial" w:eastAsia="Arial" w:hAnsi="Arial" w:cs="Arial"/>
          <w:sz w:val="22"/>
          <w:szCs w:val="22"/>
        </w:rPr>
        <w:t xml:space="preserve">é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Directiv</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formular</w:t>
      </w:r>
      <w:r w:rsidRPr="00EC452A">
        <w:rPr>
          <w:rFonts w:ascii="Arial" w:eastAsia="Arial" w:hAnsi="Arial" w:cs="Arial"/>
          <w:sz w:val="22"/>
          <w:szCs w:val="22"/>
        </w:rPr>
        <w:t xml:space="preserve">á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proyecto</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z w:val="22"/>
          <w:szCs w:val="22"/>
        </w:rPr>
        <w:t>y</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convenios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riesgo</w:t>
      </w:r>
      <w:r w:rsidRPr="00EC452A">
        <w:rPr>
          <w:rFonts w:ascii="Arial" w:eastAsia="Arial" w:hAnsi="Arial" w:cs="Arial"/>
          <w:spacing w:val="31"/>
          <w:sz w:val="22"/>
          <w:szCs w:val="22"/>
        </w:rPr>
        <w:t xml:space="preserve"> </w:t>
      </w:r>
      <w:r w:rsidRPr="00EC452A">
        <w:rPr>
          <w:rFonts w:ascii="Arial" w:eastAsia="Arial" w:hAnsi="Arial" w:cs="Arial"/>
          <w:sz w:val="22"/>
          <w:szCs w:val="22"/>
        </w:rPr>
        <w:t>compartido,</w:t>
      </w:r>
      <w:r w:rsidRPr="00EC452A">
        <w:rPr>
          <w:rFonts w:ascii="Arial" w:eastAsia="Arial" w:hAnsi="Arial" w:cs="Arial"/>
          <w:spacing w:val="41"/>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pondrá</w:t>
      </w:r>
      <w:r w:rsidRPr="00EC452A">
        <w:rPr>
          <w:rFonts w:ascii="Arial" w:eastAsia="Arial" w:hAnsi="Arial" w:cs="Arial"/>
          <w:spacing w:val="33"/>
          <w:sz w:val="22"/>
          <w:szCs w:val="22"/>
        </w:rPr>
        <w:t xml:space="preserve"> </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z w:val="22"/>
          <w:szCs w:val="22"/>
        </w:rPr>
        <w:t>consideración</w:t>
      </w:r>
      <w:r w:rsidRPr="00EC452A">
        <w:rPr>
          <w:rFonts w:ascii="Arial" w:eastAsia="Arial" w:hAnsi="Arial" w:cs="Arial"/>
          <w:spacing w:val="44"/>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Comités</w:t>
      </w:r>
      <w:r w:rsidRPr="00EC452A">
        <w:rPr>
          <w:rFonts w:ascii="Arial" w:eastAsia="Arial" w:hAnsi="Arial" w:cs="Arial"/>
          <w:spacing w:val="35"/>
          <w:sz w:val="22"/>
          <w:szCs w:val="22"/>
        </w:rPr>
        <w:t xml:space="preserve"> </w:t>
      </w:r>
      <w:r w:rsidRPr="00EC452A">
        <w:rPr>
          <w:rFonts w:ascii="Arial" w:eastAsia="Arial" w:hAnsi="Arial" w:cs="Arial"/>
          <w:sz w:val="22"/>
          <w:szCs w:val="22"/>
        </w:rPr>
        <w:t>Técnicos</w:t>
      </w:r>
      <w:r w:rsidRPr="00EC452A">
        <w:rPr>
          <w:rFonts w:ascii="Arial" w:eastAsia="Arial" w:hAnsi="Arial" w:cs="Arial"/>
          <w:spacing w:val="36"/>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Distritos</w:t>
      </w:r>
      <w:r w:rsidRPr="00EC452A">
        <w:rPr>
          <w:rFonts w:ascii="Arial" w:eastAsia="Arial" w:hAnsi="Arial" w:cs="Arial"/>
          <w:spacing w:val="35"/>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análisi</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aprobación</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caso.</w:t>
      </w:r>
    </w:p>
    <w:p w14:paraId="24C7B98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reunione</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Comit</w:t>
      </w:r>
      <w:r w:rsidRPr="00EC452A">
        <w:rPr>
          <w:rFonts w:ascii="Arial" w:eastAsia="Arial" w:hAnsi="Arial" w:cs="Arial"/>
          <w:sz w:val="22"/>
          <w:szCs w:val="22"/>
        </w:rPr>
        <w:t xml:space="preserve">é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Técnic</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Distrit</w:t>
      </w:r>
      <w:r w:rsidRPr="00EC452A">
        <w:rPr>
          <w:rFonts w:ascii="Arial" w:eastAsia="Arial" w:hAnsi="Arial" w:cs="Arial"/>
          <w:sz w:val="22"/>
          <w:szCs w:val="22"/>
        </w:rPr>
        <w:t xml:space="preserve">o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Temporal</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convoque</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2"/>
          <w:w w:val="102"/>
          <w:sz w:val="22"/>
          <w:szCs w:val="22"/>
        </w:rPr>
        <w:t xml:space="preserve">el </w:t>
      </w:r>
      <w:r w:rsidRPr="00EC452A">
        <w:rPr>
          <w:rFonts w:ascii="Arial" w:eastAsia="Arial" w:hAnsi="Arial" w:cs="Arial"/>
          <w:sz w:val="22"/>
          <w:szCs w:val="22"/>
        </w:rPr>
        <w:t>efecto,</w:t>
      </w:r>
      <w:r w:rsidRPr="00EC452A">
        <w:rPr>
          <w:rFonts w:ascii="Arial" w:eastAsia="Arial" w:hAnsi="Arial" w:cs="Arial"/>
          <w:spacing w:val="36"/>
          <w:sz w:val="22"/>
          <w:szCs w:val="22"/>
        </w:rPr>
        <w:t xml:space="preserve"> </w:t>
      </w:r>
      <w:r w:rsidRPr="00EC452A">
        <w:rPr>
          <w:rFonts w:ascii="Arial" w:eastAsia="Arial" w:hAnsi="Arial" w:cs="Arial"/>
          <w:sz w:val="22"/>
          <w:szCs w:val="22"/>
        </w:rPr>
        <w:t>participarán</w:t>
      </w:r>
      <w:r w:rsidRPr="00EC452A">
        <w:rPr>
          <w:rFonts w:ascii="Arial" w:eastAsia="Arial" w:hAnsi="Arial" w:cs="Arial"/>
          <w:spacing w:val="45"/>
          <w:sz w:val="22"/>
          <w:szCs w:val="22"/>
        </w:rPr>
        <w:t xml:space="preserve"> </w:t>
      </w:r>
      <w:r w:rsidRPr="00EC452A">
        <w:rPr>
          <w:rFonts w:ascii="Arial" w:eastAsia="Arial" w:hAnsi="Arial" w:cs="Arial"/>
          <w:sz w:val="22"/>
          <w:szCs w:val="22"/>
        </w:rPr>
        <w:t>representantes</w:t>
      </w:r>
      <w:r w:rsidRPr="00EC452A">
        <w:rPr>
          <w:rFonts w:ascii="Arial" w:eastAsia="Arial" w:hAnsi="Arial" w:cs="Arial"/>
          <w:spacing w:val="50"/>
          <w:sz w:val="22"/>
          <w:szCs w:val="22"/>
        </w:rPr>
        <w:t xml:space="preserve"> </w:t>
      </w:r>
      <w:r w:rsidRPr="00EC452A">
        <w:rPr>
          <w:rFonts w:ascii="Arial" w:eastAsia="Arial" w:hAnsi="Arial" w:cs="Arial"/>
          <w:sz w:val="22"/>
          <w:szCs w:val="22"/>
        </w:rPr>
        <w:t>del</w:t>
      </w:r>
      <w:r w:rsidRPr="00EC452A">
        <w:rPr>
          <w:rFonts w:ascii="Arial" w:eastAsia="Arial" w:hAnsi="Arial" w:cs="Arial"/>
          <w:spacing w:val="30"/>
          <w:sz w:val="22"/>
          <w:szCs w:val="22"/>
        </w:rPr>
        <w:t xml:space="preserve"> </w:t>
      </w:r>
      <w:r w:rsidRPr="00EC452A">
        <w:rPr>
          <w:rFonts w:ascii="Arial" w:eastAsia="Arial" w:hAnsi="Arial" w:cs="Arial"/>
          <w:sz w:val="22"/>
          <w:szCs w:val="22"/>
        </w:rPr>
        <w:t>Banco</w:t>
      </w:r>
      <w:r w:rsidRPr="00EC452A">
        <w:rPr>
          <w:rFonts w:ascii="Arial" w:eastAsia="Arial" w:hAnsi="Arial" w:cs="Arial"/>
          <w:spacing w:val="36"/>
          <w:sz w:val="22"/>
          <w:szCs w:val="22"/>
        </w:rPr>
        <w:t xml:space="preserve"> </w:t>
      </w:r>
      <w:r w:rsidRPr="00EC452A">
        <w:rPr>
          <w:rFonts w:ascii="Arial" w:eastAsia="Arial" w:hAnsi="Arial" w:cs="Arial"/>
          <w:sz w:val="22"/>
          <w:szCs w:val="22"/>
        </w:rPr>
        <w:t>Nacional</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Crédito</w:t>
      </w:r>
      <w:r w:rsidRPr="00EC452A">
        <w:rPr>
          <w:rFonts w:ascii="Arial" w:eastAsia="Arial" w:hAnsi="Arial" w:cs="Arial"/>
          <w:spacing w:val="37"/>
          <w:sz w:val="22"/>
          <w:szCs w:val="22"/>
        </w:rPr>
        <w:t xml:space="preserve"> </w:t>
      </w:r>
      <w:r w:rsidRPr="00EC452A">
        <w:rPr>
          <w:rFonts w:ascii="Arial" w:eastAsia="Arial" w:hAnsi="Arial" w:cs="Arial"/>
          <w:sz w:val="22"/>
          <w:szCs w:val="22"/>
        </w:rPr>
        <w:t>Rural,</w:t>
      </w:r>
      <w:r w:rsidRPr="00EC452A">
        <w:rPr>
          <w:rFonts w:ascii="Arial" w:eastAsia="Arial" w:hAnsi="Arial" w:cs="Arial"/>
          <w:spacing w:val="35"/>
          <w:sz w:val="22"/>
          <w:szCs w:val="22"/>
        </w:rPr>
        <w:t xml:space="preserve"> </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z w:val="22"/>
          <w:szCs w:val="22"/>
        </w:rPr>
        <w:t>del</w:t>
      </w:r>
      <w:r w:rsidRPr="00EC452A">
        <w:rPr>
          <w:rFonts w:ascii="Arial" w:eastAsia="Arial" w:hAnsi="Arial" w:cs="Arial"/>
          <w:spacing w:val="30"/>
          <w:sz w:val="22"/>
          <w:szCs w:val="22"/>
        </w:rPr>
        <w:t xml:space="preserve"> </w:t>
      </w:r>
      <w:r w:rsidRPr="00EC452A">
        <w:rPr>
          <w:rFonts w:ascii="Arial" w:eastAsia="Arial" w:hAnsi="Arial" w:cs="Arial"/>
          <w:w w:val="102"/>
          <w:sz w:val="22"/>
          <w:szCs w:val="22"/>
        </w:rPr>
        <w:t xml:space="preserve">Fideicomiso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Riesg</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Compartido</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Asegurador</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Naciona</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z w:val="22"/>
          <w:szCs w:val="22"/>
        </w:rPr>
        <w:t>Agrícola</w:t>
      </w:r>
      <w:r w:rsidRPr="00EC452A">
        <w:rPr>
          <w:rFonts w:ascii="Arial" w:eastAsia="Arial" w:hAnsi="Arial" w:cs="Arial"/>
          <w:spacing w:val="35"/>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z w:val="22"/>
          <w:szCs w:val="22"/>
        </w:rPr>
        <w:t>Ganadera,</w:t>
      </w:r>
      <w:r w:rsidRPr="00EC452A">
        <w:rPr>
          <w:rFonts w:ascii="Arial" w:eastAsia="Arial" w:hAnsi="Arial" w:cs="Arial"/>
          <w:spacing w:val="39"/>
          <w:sz w:val="22"/>
          <w:szCs w:val="22"/>
        </w:rPr>
        <w:t xml:space="preserve"> </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 xml:space="preserve">Fondos </w:t>
      </w:r>
      <w:r w:rsidRPr="00EC452A">
        <w:rPr>
          <w:rFonts w:ascii="Arial" w:eastAsia="Arial" w:hAnsi="Arial" w:cs="Arial"/>
          <w:sz w:val="22"/>
          <w:szCs w:val="22"/>
        </w:rPr>
        <w:t>Instituidos</w:t>
      </w:r>
      <w:r w:rsidRPr="00EC452A">
        <w:rPr>
          <w:rFonts w:ascii="Arial" w:eastAsia="Arial" w:hAnsi="Arial" w:cs="Arial"/>
          <w:spacing w:val="24"/>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Relación</w:t>
      </w:r>
      <w:r w:rsidRPr="00EC452A">
        <w:rPr>
          <w:rFonts w:ascii="Arial" w:eastAsia="Arial" w:hAnsi="Arial" w:cs="Arial"/>
          <w:spacing w:val="22"/>
          <w:sz w:val="22"/>
          <w:szCs w:val="22"/>
        </w:rPr>
        <w:t xml:space="preserve">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Agricultura</w:t>
      </w:r>
      <w:r w:rsidRPr="00EC452A">
        <w:rPr>
          <w:rFonts w:ascii="Arial" w:eastAsia="Arial" w:hAnsi="Arial" w:cs="Arial"/>
          <w:spacing w:val="25"/>
          <w:sz w:val="22"/>
          <w:szCs w:val="22"/>
        </w:rPr>
        <w:t xml:space="preserve"> </w:t>
      </w:r>
      <w:r w:rsidRPr="00EC452A">
        <w:rPr>
          <w:rFonts w:ascii="Arial" w:eastAsia="Arial" w:hAnsi="Arial" w:cs="Arial"/>
          <w:sz w:val="22"/>
          <w:szCs w:val="22"/>
        </w:rPr>
        <w:t>(FIRA)</w:t>
      </w:r>
      <w:r w:rsidRPr="00EC452A">
        <w:rPr>
          <w:rFonts w:ascii="Arial" w:eastAsia="Arial" w:hAnsi="Arial" w:cs="Arial"/>
          <w:spacing w:val="18"/>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Banco</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México,</w:t>
      </w:r>
      <w:r w:rsidRPr="00EC452A">
        <w:rPr>
          <w:rFonts w:ascii="Arial" w:eastAsia="Arial" w:hAnsi="Arial" w:cs="Arial"/>
          <w:spacing w:val="20"/>
          <w:sz w:val="22"/>
          <w:szCs w:val="22"/>
        </w:rPr>
        <w:t xml:space="preserve"> </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A.</w:t>
      </w:r>
    </w:p>
    <w:p w14:paraId="1D250E9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110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Antes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someterse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consideración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Comité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Técnico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Fideicomiso </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Riesg</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Compartid</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1"/>
          <w:sz w:val="22"/>
          <w:szCs w:val="22"/>
        </w:rPr>
        <w:t>autorizació</w:t>
      </w:r>
      <w:r w:rsidRPr="00EC452A">
        <w:rPr>
          <w:rFonts w:ascii="Arial" w:eastAsia="Arial" w:hAnsi="Arial" w:cs="Arial"/>
          <w:sz w:val="22"/>
          <w:szCs w:val="22"/>
        </w:rPr>
        <w:t xml:space="preserve">n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definitiva</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proyecto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conta</w:t>
      </w:r>
      <w:r w:rsidRPr="00EC452A">
        <w:rPr>
          <w:rFonts w:ascii="Arial" w:eastAsia="Arial" w:hAnsi="Arial" w:cs="Arial"/>
          <w:sz w:val="22"/>
          <w:szCs w:val="22"/>
        </w:rPr>
        <w:t xml:space="preserve">r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z w:val="22"/>
          <w:szCs w:val="22"/>
        </w:rPr>
        <w:t>autorización</w:t>
      </w:r>
      <w:r w:rsidRPr="00EC452A">
        <w:rPr>
          <w:rFonts w:ascii="Arial" w:eastAsia="Arial" w:hAnsi="Arial" w:cs="Arial"/>
          <w:spacing w:val="27"/>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respectivos</w:t>
      </w:r>
      <w:r w:rsidRPr="00EC452A">
        <w:rPr>
          <w:rFonts w:ascii="Arial" w:eastAsia="Arial" w:hAnsi="Arial" w:cs="Arial"/>
          <w:spacing w:val="26"/>
          <w:sz w:val="22"/>
          <w:szCs w:val="22"/>
        </w:rPr>
        <w:t xml:space="preserve"> </w:t>
      </w:r>
      <w:r w:rsidRPr="00EC452A">
        <w:rPr>
          <w:rFonts w:ascii="Arial" w:eastAsia="Arial" w:hAnsi="Arial" w:cs="Arial"/>
          <w:sz w:val="22"/>
          <w:szCs w:val="22"/>
        </w:rPr>
        <w:t>Comités</w:t>
      </w:r>
      <w:r w:rsidRPr="00EC452A">
        <w:rPr>
          <w:rFonts w:ascii="Arial" w:eastAsia="Arial" w:hAnsi="Arial" w:cs="Arial"/>
          <w:spacing w:val="21"/>
          <w:sz w:val="22"/>
          <w:szCs w:val="22"/>
        </w:rPr>
        <w:t xml:space="preserve"> </w:t>
      </w:r>
      <w:r w:rsidRPr="00EC452A">
        <w:rPr>
          <w:rFonts w:ascii="Arial" w:eastAsia="Arial" w:hAnsi="Arial" w:cs="Arial"/>
          <w:sz w:val="22"/>
          <w:szCs w:val="22"/>
        </w:rPr>
        <w:t>Técnicos</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Distritos</w:t>
      </w:r>
      <w:r w:rsidRPr="00EC452A">
        <w:rPr>
          <w:rFonts w:ascii="Arial" w:eastAsia="Arial" w:hAnsi="Arial" w:cs="Arial"/>
          <w:spacing w:val="21"/>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Temporal.</w:t>
      </w:r>
    </w:p>
    <w:p w14:paraId="31AE7B1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111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ve</w:t>
      </w:r>
      <w:r w:rsidRPr="00EC452A">
        <w:rPr>
          <w:rFonts w:ascii="Arial" w:eastAsia="Arial" w:hAnsi="Arial" w:cs="Arial"/>
          <w:sz w:val="22"/>
          <w:szCs w:val="22"/>
        </w:rPr>
        <w:t xml:space="preserve">z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ratificados</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convenio</w:t>
      </w:r>
      <w:r w:rsidRPr="00EC452A">
        <w:rPr>
          <w:rFonts w:ascii="Arial" w:eastAsia="Arial" w:hAnsi="Arial" w:cs="Arial"/>
          <w:sz w:val="22"/>
          <w:szCs w:val="22"/>
        </w:rPr>
        <w:t xml:space="preserve">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riesg</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compartido</w:t>
      </w:r>
      <w:r w:rsidRPr="00EC452A">
        <w:rPr>
          <w:rFonts w:ascii="Arial" w:eastAsia="Arial" w:hAnsi="Arial" w:cs="Arial"/>
          <w:sz w:val="22"/>
          <w:szCs w:val="22"/>
        </w:rPr>
        <w:t xml:space="preserve">, </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serán </w:t>
      </w:r>
      <w:r w:rsidRPr="00EC452A">
        <w:rPr>
          <w:rFonts w:ascii="Arial" w:eastAsia="Arial" w:hAnsi="Arial" w:cs="Arial"/>
          <w:spacing w:val="-1"/>
          <w:sz w:val="22"/>
          <w:szCs w:val="22"/>
        </w:rPr>
        <w:t>dado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conoce</w:t>
      </w:r>
      <w:r w:rsidRPr="00EC452A">
        <w:rPr>
          <w:rFonts w:ascii="Arial" w:eastAsia="Arial" w:hAnsi="Arial" w:cs="Arial"/>
          <w:sz w:val="22"/>
          <w:szCs w:val="22"/>
        </w:rPr>
        <w:t>r</w:t>
      </w:r>
      <w:r w:rsidRPr="00EC452A">
        <w:rPr>
          <w:rFonts w:ascii="Arial" w:eastAsia="Arial" w:hAnsi="Arial" w:cs="Arial"/>
          <w:spacing w:val="44"/>
          <w:sz w:val="22"/>
          <w:szCs w:val="22"/>
        </w:rPr>
        <w:t xml:space="preserve"> </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correspondientes</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para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seguimient</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evaluación.</w:t>
      </w:r>
    </w:p>
    <w:p w14:paraId="0DB439C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112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travé</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corresponda</w:t>
      </w:r>
      <w:r w:rsidRPr="00EC452A">
        <w:rPr>
          <w:rFonts w:ascii="Arial" w:eastAsia="Arial" w:hAnsi="Arial" w:cs="Arial"/>
          <w:sz w:val="22"/>
          <w:szCs w:val="22"/>
        </w:rPr>
        <w:t xml:space="preserve">,  </w:t>
      </w:r>
      <w:r w:rsidRPr="00EC452A">
        <w:rPr>
          <w:rFonts w:ascii="Arial" w:eastAsia="Arial" w:hAnsi="Arial" w:cs="Arial"/>
          <w:spacing w:val="-1"/>
          <w:w w:val="102"/>
          <w:sz w:val="22"/>
          <w:szCs w:val="22"/>
        </w:rPr>
        <w:t xml:space="preserve">registrará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z w:val="22"/>
          <w:szCs w:val="22"/>
        </w:rPr>
        <w:t>y</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convenio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autorizado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definitiv</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z w:val="22"/>
          <w:szCs w:val="22"/>
        </w:rPr>
        <w:t>y</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formar</w:t>
      </w:r>
      <w:r w:rsidRPr="00EC452A">
        <w:rPr>
          <w:rFonts w:ascii="Arial" w:eastAsia="Arial" w:hAnsi="Arial" w:cs="Arial"/>
          <w:sz w:val="22"/>
          <w:szCs w:val="22"/>
        </w:rPr>
        <w:t xml:space="preserve">á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expediente</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 xml:space="preserve">contengan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documentació</w:t>
      </w:r>
      <w:r w:rsidRPr="00EC452A">
        <w:rPr>
          <w:rFonts w:ascii="Arial" w:eastAsia="Arial" w:hAnsi="Arial" w:cs="Arial"/>
          <w:sz w:val="22"/>
          <w:szCs w:val="22"/>
        </w:rPr>
        <w:t xml:space="preserve">n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necesari</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evaluació</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cualquie</w:t>
      </w:r>
      <w:r w:rsidRPr="00EC452A">
        <w:rPr>
          <w:rFonts w:ascii="Arial" w:eastAsia="Arial" w:hAnsi="Arial" w:cs="Arial"/>
          <w:sz w:val="22"/>
          <w:szCs w:val="22"/>
        </w:rPr>
        <w:t xml:space="preserve">r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fase</w:t>
      </w:r>
      <w:r w:rsidRPr="00EC452A">
        <w:rPr>
          <w:rFonts w:ascii="Arial" w:eastAsia="Arial" w:hAnsi="Arial" w:cs="Arial"/>
          <w:sz w:val="22"/>
          <w:szCs w:val="22"/>
        </w:rPr>
        <w:t xml:space="preserv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información </w:t>
      </w:r>
      <w:r w:rsidRPr="00EC452A">
        <w:rPr>
          <w:rFonts w:ascii="Arial" w:eastAsia="Arial" w:hAnsi="Arial" w:cs="Arial"/>
          <w:spacing w:val="-1"/>
          <w:sz w:val="22"/>
          <w:szCs w:val="22"/>
        </w:rPr>
        <w:t>correspondient</w:t>
      </w:r>
      <w:r w:rsidRPr="00EC452A">
        <w:rPr>
          <w:rFonts w:ascii="Arial" w:eastAsia="Arial" w:hAnsi="Arial" w:cs="Arial"/>
          <w:sz w:val="22"/>
          <w:szCs w:val="22"/>
        </w:rPr>
        <w:t xml:space="preserve">e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 xml:space="preserve">á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proporcionad</w:t>
      </w:r>
      <w:r w:rsidRPr="00EC452A">
        <w:rPr>
          <w:rFonts w:ascii="Arial" w:eastAsia="Arial" w:hAnsi="Arial" w:cs="Arial"/>
          <w:sz w:val="22"/>
          <w:szCs w:val="22"/>
        </w:rPr>
        <w:t xml:space="preserve">a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 xml:space="preserve">s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 xml:space="preserve">s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períodica</w:t>
      </w:r>
      <w:r w:rsidRPr="00EC452A">
        <w:rPr>
          <w:rFonts w:ascii="Arial" w:eastAsia="Arial" w:hAnsi="Arial" w:cs="Arial"/>
          <w:sz w:val="22"/>
          <w:szCs w:val="22"/>
        </w:rPr>
        <w:t xml:space="preserv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señalado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anterior.</w:t>
      </w:r>
    </w:p>
    <w:p w14:paraId="561A6CA0"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IV</w:t>
      </w:r>
    </w:p>
    <w:p w14:paraId="4EC61954"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Comercializa</w:t>
      </w:r>
      <w:r w:rsidRPr="00EC452A">
        <w:rPr>
          <w:rFonts w:ascii="Arial" w:eastAsia="Arial" w:hAnsi="Arial" w:cs="Arial"/>
          <w:sz w:val="22"/>
          <w:szCs w:val="22"/>
        </w:rPr>
        <w:t>c</w:t>
      </w:r>
      <w:r w:rsidRPr="00EC452A">
        <w:rPr>
          <w:rFonts w:ascii="Arial" w:eastAsia="Arial" w:hAnsi="Arial" w:cs="Arial"/>
          <w:spacing w:val="-15"/>
          <w:sz w:val="22"/>
          <w:szCs w:val="22"/>
        </w:rPr>
        <w:t xml:space="preserve"> </w:t>
      </w:r>
      <w:r w:rsidRPr="00EC452A">
        <w:rPr>
          <w:rFonts w:ascii="Arial" w:eastAsia="Arial" w:hAnsi="Arial" w:cs="Arial"/>
          <w:sz w:val="22"/>
          <w:szCs w:val="22"/>
        </w:rPr>
        <w:t>ión</w:t>
      </w:r>
      <w:r w:rsidRPr="00EC452A">
        <w:rPr>
          <w:rFonts w:ascii="Arial" w:eastAsia="Arial" w:hAnsi="Arial" w:cs="Arial"/>
          <w:spacing w:val="13"/>
          <w:sz w:val="22"/>
          <w:szCs w:val="22"/>
        </w:rPr>
        <w:t xml:space="preserve"> </w:t>
      </w:r>
      <w:r w:rsidRPr="00EC452A">
        <w:rPr>
          <w:rFonts w:ascii="Arial" w:eastAsia="Arial" w:hAnsi="Arial" w:cs="Arial"/>
          <w:sz w:val="22"/>
          <w:szCs w:val="22"/>
        </w:rPr>
        <w:t>de</w:t>
      </w:r>
      <w:r w:rsidRPr="00EC452A">
        <w:rPr>
          <w:rFonts w:ascii="Arial" w:eastAsia="Arial" w:hAnsi="Arial" w:cs="Arial"/>
          <w:spacing w:val="12"/>
          <w:sz w:val="22"/>
          <w:szCs w:val="22"/>
        </w:rPr>
        <w:t xml:space="preserve"> </w:t>
      </w:r>
      <w:r w:rsidRPr="00EC452A">
        <w:rPr>
          <w:rFonts w:ascii="Arial" w:eastAsia="Arial" w:hAnsi="Arial" w:cs="Arial"/>
          <w:sz w:val="22"/>
          <w:szCs w:val="22"/>
        </w:rPr>
        <w:t>los</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Productos</w:t>
      </w:r>
    </w:p>
    <w:p w14:paraId="20C6983D" w14:textId="77777777" w:rsidR="00EC452A" w:rsidRPr="00EC452A" w:rsidRDefault="00EC452A" w:rsidP="00EC452A">
      <w:pPr>
        <w:spacing w:before="100" w:beforeAutospacing="1" w:after="100" w:afterAutospacing="1" w:line="240" w:lineRule="auto"/>
        <w:jc w:val="both"/>
        <w:rPr>
          <w:rFonts w:ascii="Arial" w:eastAsia="Arial" w:hAnsi="Arial" w:cs="Arial"/>
          <w:spacing w:val="-2"/>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113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mejo</w:t>
      </w:r>
      <w:r w:rsidRPr="00EC452A">
        <w:rPr>
          <w:rFonts w:ascii="Arial" w:eastAsia="Arial" w:hAnsi="Arial" w:cs="Arial"/>
          <w:sz w:val="22"/>
          <w:szCs w:val="22"/>
        </w:rPr>
        <w:t xml:space="preserve">r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promove</w:t>
      </w:r>
      <w:r w:rsidRPr="00EC452A">
        <w:rPr>
          <w:rFonts w:ascii="Arial" w:eastAsia="Arial" w:hAnsi="Arial" w:cs="Arial"/>
          <w:sz w:val="22"/>
          <w:szCs w:val="22"/>
        </w:rPr>
        <w:t xml:space="preserve">r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comercializació</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 xml:space="preserve">s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agropecuario</w:t>
      </w:r>
      <w:r w:rsidRPr="00EC452A">
        <w:rPr>
          <w:rFonts w:ascii="Arial" w:eastAsia="Arial" w:hAnsi="Arial" w:cs="Arial"/>
          <w:sz w:val="22"/>
          <w:szCs w:val="22"/>
        </w:rPr>
        <w:t xml:space="preserve">s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forestales</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mediant</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representacione</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z w:val="22"/>
          <w:szCs w:val="22"/>
        </w:rPr>
        <w:t>y</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coordinació</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Comercio</w:t>
      </w:r>
      <w:r w:rsidRPr="00EC452A">
        <w:rPr>
          <w:rFonts w:ascii="Arial" w:eastAsia="Arial" w:hAnsi="Arial" w:cs="Arial"/>
          <w:sz w:val="22"/>
          <w:szCs w:val="22"/>
        </w:rPr>
        <w:t xml:space="preserve">,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Compañí</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Subsistencia</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5"/>
          <w:sz w:val="22"/>
          <w:szCs w:val="22"/>
        </w:rPr>
        <w:t>P</w:t>
      </w:r>
      <w:r w:rsidRPr="00EC452A">
        <w:rPr>
          <w:rFonts w:ascii="Arial" w:eastAsia="Arial" w:hAnsi="Arial" w:cs="Arial"/>
          <w:sz w:val="22"/>
          <w:szCs w:val="22"/>
        </w:rPr>
        <w:t xml:space="preserve">opulares,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Instituto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Mexicano  </w:t>
      </w:r>
      <w:r w:rsidRPr="00EC452A">
        <w:rPr>
          <w:rFonts w:ascii="Arial" w:eastAsia="Arial" w:hAnsi="Arial" w:cs="Arial"/>
          <w:spacing w:val="7"/>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z w:val="22"/>
          <w:szCs w:val="22"/>
        </w:rPr>
        <w:t xml:space="preserve">Comercio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Exterior,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Ferrocarriles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Nacionales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México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Comisión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Nacional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5"/>
          <w:sz w:val="22"/>
          <w:szCs w:val="22"/>
        </w:rPr>
        <w:t xml:space="preserve"> </w:t>
      </w:r>
      <w:r w:rsidRPr="00EC452A">
        <w:rPr>
          <w:rFonts w:ascii="Arial" w:eastAsia="Arial" w:hAnsi="Arial" w:cs="Arial"/>
          <w:w w:val="102"/>
          <w:sz w:val="22"/>
          <w:szCs w:val="22"/>
        </w:rPr>
        <w:t xml:space="preserve">Fletes </w:t>
      </w:r>
      <w:r w:rsidRPr="00EC452A">
        <w:rPr>
          <w:rFonts w:ascii="Arial" w:eastAsia="Arial" w:hAnsi="Arial" w:cs="Arial"/>
          <w:spacing w:val="-2"/>
          <w:sz w:val="22"/>
          <w:szCs w:val="22"/>
        </w:rPr>
        <w:t>Marítimos</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publicar</w:t>
      </w:r>
      <w:r w:rsidRPr="00EC452A">
        <w:rPr>
          <w:rFonts w:ascii="Arial" w:eastAsia="Arial" w:hAnsi="Arial" w:cs="Arial"/>
          <w:sz w:val="22"/>
          <w:szCs w:val="22"/>
        </w:rPr>
        <w:t>á</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boletí</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quincena</w:t>
      </w:r>
      <w:r w:rsidRPr="00EC452A">
        <w:rPr>
          <w:rFonts w:ascii="Arial" w:eastAsia="Arial" w:hAnsi="Arial" w:cs="Arial"/>
          <w:sz w:val="22"/>
          <w:szCs w:val="22"/>
        </w:rPr>
        <w:t>l</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inform</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2"/>
          <w:w w:val="102"/>
          <w:sz w:val="22"/>
          <w:szCs w:val="22"/>
        </w:rPr>
        <w:t>sobre:</w:t>
      </w:r>
    </w:p>
    <w:p w14:paraId="7DCB252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z w:val="22"/>
          <w:szCs w:val="22"/>
        </w:rPr>
        <w:t>Precios</w:t>
      </w:r>
      <w:r w:rsidRPr="00EC452A">
        <w:rPr>
          <w:rFonts w:ascii="Arial" w:eastAsia="Arial" w:hAnsi="Arial" w:cs="Arial"/>
          <w:spacing w:val="2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principales</w:t>
      </w:r>
      <w:r w:rsidRPr="00EC452A">
        <w:rPr>
          <w:rFonts w:ascii="Arial" w:eastAsia="Arial" w:hAnsi="Arial" w:cs="Arial"/>
          <w:spacing w:val="25"/>
          <w:sz w:val="22"/>
          <w:szCs w:val="22"/>
        </w:rPr>
        <w:t xml:space="preserve"> </w:t>
      </w:r>
      <w:r w:rsidRPr="00EC452A">
        <w:rPr>
          <w:rFonts w:ascii="Arial" w:eastAsia="Arial" w:hAnsi="Arial" w:cs="Arial"/>
          <w:sz w:val="22"/>
          <w:szCs w:val="22"/>
        </w:rPr>
        <w:t>productos</w:t>
      </w:r>
      <w:r w:rsidRPr="00EC452A">
        <w:rPr>
          <w:rFonts w:ascii="Arial" w:eastAsia="Arial" w:hAnsi="Arial" w:cs="Arial"/>
          <w:spacing w:val="24"/>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mercados</w:t>
      </w:r>
      <w:r w:rsidRPr="00EC452A">
        <w:rPr>
          <w:rFonts w:ascii="Arial" w:eastAsia="Arial" w:hAnsi="Arial" w:cs="Arial"/>
          <w:spacing w:val="24"/>
          <w:sz w:val="22"/>
          <w:szCs w:val="22"/>
        </w:rPr>
        <w:t xml:space="preserve"> </w:t>
      </w:r>
      <w:r w:rsidRPr="00EC452A">
        <w:rPr>
          <w:rFonts w:ascii="Arial" w:eastAsia="Arial" w:hAnsi="Arial" w:cs="Arial"/>
          <w:sz w:val="22"/>
          <w:szCs w:val="22"/>
        </w:rPr>
        <w:t>nacionales</w:t>
      </w:r>
      <w:r w:rsidRPr="00EC452A">
        <w:rPr>
          <w:rFonts w:ascii="Arial" w:eastAsia="Arial" w:hAnsi="Arial" w:cs="Arial"/>
          <w:spacing w:val="40"/>
          <w:sz w:val="22"/>
          <w:szCs w:val="22"/>
        </w:rPr>
        <w:t xml:space="preserve"> </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 xml:space="preserve">internacionales. </w:t>
      </w:r>
      <w:r w:rsidRPr="00EC452A">
        <w:rPr>
          <w:rFonts w:ascii="Arial" w:eastAsia="Arial" w:hAnsi="Arial" w:cs="Arial"/>
          <w:spacing w:val="-1"/>
          <w:sz w:val="22"/>
          <w:szCs w:val="22"/>
        </w:rPr>
        <w:t>b</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Requerimiento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empaqu</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embalaj</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productos.</w:t>
      </w:r>
    </w:p>
    <w:p w14:paraId="755CACC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c) Los</w:t>
      </w:r>
      <w:r w:rsidRPr="00EC452A">
        <w:rPr>
          <w:rFonts w:ascii="Arial" w:eastAsia="Arial" w:hAnsi="Arial" w:cs="Arial"/>
          <w:spacing w:val="3"/>
          <w:sz w:val="22"/>
          <w:szCs w:val="22"/>
        </w:rPr>
        <w:t xml:space="preserve"> </w:t>
      </w:r>
      <w:r w:rsidRPr="00EC452A">
        <w:rPr>
          <w:rFonts w:ascii="Arial" w:eastAsia="Arial" w:hAnsi="Arial" w:cs="Arial"/>
          <w:sz w:val="22"/>
          <w:szCs w:val="22"/>
        </w:rPr>
        <w:t>diferentes</w:t>
      </w:r>
      <w:r w:rsidRPr="00EC452A">
        <w:rPr>
          <w:rFonts w:ascii="Arial" w:eastAsia="Arial" w:hAnsi="Arial" w:cs="Arial"/>
          <w:spacing w:val="14"/>
          <w:sz w:val="22"/>
          <w:szCs w:val="22"/>
        </w:rPr>
        <w:t xml:space="preserve"> </w:t>
      </w:r>
      <w:r w:rsidRPr="00EC452A">
        <w:rPr>
          <w:rFonts w:ascii="Arial" w:eastAsia="Arial" w:hAnsi="Arial" w:cs="Arial"/>
          <w:sz w:val="22"/>
          <w:szCs w:val="22"/>
        </w:rPr>
        <w:t>transportes</w:t>
      </w:r>
      <w:r w:rsidRPr="00EC452A">
        <w:rPr>
          <w:rFonts w:ascii="Arial" w:eastAsia="Arial" w:hAnsi="Arial" w:cs="Arial"/>
          <w:spacing w:val="16"/>
          <w:sz w:val="22"/>
          <w:szCs w:val="22"/>
        </w:rPr>
        <w:t xml:space="preserve"> </w:t>
      </w:r>
      <w:r w:rsidRPr="00EC452A">
        <w:rPr>
          <w:rFonts w:ascii="Arial" w:eastAsia="Arial" w:hAnsi="Arial" w:cs="Arial"/>
          <w:sz w:val="22"/>
          <w:szCs w:val="22"/>
        </w:rPr>
        <w:t>para</w:t>
      </w:r>
      <w:r w:rsidRPr="00EC452A">
        <w:rPr>
          <w:rFonts w:ascii="Arial" w:eastAsia="Arial" w:hAnsi="Arial" w:cs="Arial"/>
          <w:spacing w:val="5"/>
          <w:sz w:val="22"/>
          <w:szCs w:val="22"/>
        </w:rPr>
        <w:t xml:space="preserve"> </w:t>
      </w:r>
      <w:r w:rsidRPr="00EC452A">
        <w:rPr>
          <w:rFonts w:ascii="Arial" w:eastAsia="Arial" w:hAnsi="Arial" w:cs="Arial"/>
          <w:sz w:val="22"/>
          <w:szCs w:val="22"/>
        </w:rPr>
        <w:t>hacer</w:t>
      </w:r>
      <w:r w:rsidRPr="00EC452A">
        <w:rPr>
          <w:rFonts w:ascii="Arial" w:eastAsia="Arial" w:hAnsi="Arial" w:cs="Arial"/>
          <w:spacing w:val="7"/>
          <w:sz w:val="22"/>
          <w:szCs w:val="22"/>
        </w:rPr>
        <w:t xml:space="preserve"> </w:t>
      </w:r>
      <w:r w:rsidRPr="00EC452A">
        <w:rPr>
          <w:rFonts w:ascii="Arial" w:eastAsia="Arial" w:hAnsi="Arial" w:cs="Arial"/>
          <w:sz w:val="22"/>
          <w:szCs w:val="22"/>
        </w:rPr>
        <w:t>llegar</w:t>
      </w:r>
      <w:r w:rsidRPr="00EC452A">
        <w:rPr>
          <w:rFonts w:ascii="Arial" w:eastAsia="Arial" w:hAnsi="Arial" w:cs="Arial"/>
          <w:spacing w:val="6"/>
          <w:sz w:val="22"/>
          <w:szCs w:val="22"/>
        </w:rPr>
        <w:t xml:space="preserve"> </w:t>
      </w:r>
      <w:r w:rsidRPr="00EC452A">
        <w:rPr>
          <w:rFonts w:ascii="Arial" w:eastAsia="Arial" w:hAnsi="Arial" w:cs="Arial"/>
          <w:sz w:val="22"/>
          <w:szCs w:val="22"/>
        </w:rPr>
        <w:t>los</w:t>
      </w:r>
      <w:r w:rsidRPr="00EC452A">
        <w:rPr>
          <w:rFonts w:ascii="Arial" w:eastAsia="Arial" w:hAnsi="Arial" w:cs="Arial"/>
          <w:spacing w:val="2"/>
          <w:sz w:val="22"/>
          <w:szCs w:val="22"/>
        </w:rPr>
        <w:t xml:space="preserve"> </w:t>
      </w:r>
      <w:r w:rsidRPr="00EC452A">
        <w:rPr>
          <w:rFonts w:ascii="Arial" w:eastAsia="Arial" w:hAnsi="Arial" w:cs="Arial"/>
          <w:sz w:val="22"/>
          <w:szCs w:val="22"/>
        </w:rPr>
        <w:t>productos</w:t>
      </w:r>
      <w:r w:rsidRPr="00EC452A">
        <w:rPr>
          <w:rFonts w:ascii="Arial" w:eastAsia="Arial" w:hAnsi="Arial" w:cs="Arial"/>
          <w:spacing w:val="14"/>
          <w:sz w:val="22"/>
          <w:szCs w:val="22"/>
        </w:rPr>
        <w:t xml:space="preserve"> </w:t>
      </w:r>
      <w:r w:rsidRPr="00EC452A">
        <w:rPr>
          <w:rFonts w:ascii="Arial" w:eastAsia="Arial" w:hAnsi="Arial" w:cs="Arial"/>
          <w:sz w:val="22"/>
          <w:szCs w:val="22"/>
        </w:rPr>
        <w:t>al mercado,</w:t>
      </w:r>
      <w:r w:rsidRPr="00EC452A">
        <w:rPr>
          <w:rFonts w:ascii="Arial" w:eastAsia="Arial" w:hAnsi="Arial" w:cs="Arial"/>
          <w:spacing w:val="13"/>
          <w:sz w:val="22"/>
          <w:szCs w:val="22"/>
        </w:rPr>
        <w:t xml:space="preserve"> </w:t>
      </w:r>
      <w:r w:rsidRPr="00EC452A">
        <w:rPr>
          <w:rFonts w:ascii="Arial" w:eastAsia="Arial" w:hAnsi="Arial" w:cs="Arial"/>
          <w:sz w:val="22"/>
          <w:szCs w:val="22"/>
        </w:rPr>
        <w:t>sus</w:t>
      </w:r>
      <w:r w:rsidRPr="00EC452A">
        <w:rPr>
          <w:rFonts w:ascii="Arial" w:eastAsia="Arial" w:hAnsi="Arial" w:cs="Arial"/>
          <w:spacing w:val="3"/>
          <w:sz w:val="22"/>
          <w:szCs w:val="22"/>
        </w:rPr>
        <w:t xml:space="preserve"> </w:t>
      </w:r>
      <w:r w:rsidRPr="00EC452A">
        <w:rPr>
          <w:rFonts w:ascii="Arial" w:eastAsia="Arial" w:hAnsi="Arial" w:cs="Arial"/>
          <w:sz w:val="22"/>
          <w:szCs w:val="22"/>
        </w:rPr>
        <w:t>tarifas</w:t>
      </w:r>
      <w:r w:rsidRPr="00EC452A">
        <w:rPr>
          <w:rFonts w:ascii="Arial" w:eastAsia="Arial" w:hAnsi="Arial" w:cs="Arial"/>
          <w:spacing w:val="7"/>
          <w:sz w:val="22"/>
          <w:szCs w:val="22"/>
        </w:rPr>
        <w:t xml:space="preserve"> </w:t>
      </w:r>
      <w:r w:rsidRPr="00EC452A">
        <w:rPr>
          <w:rFonts w:ascii="Arial" w:eastAsia="Arial" w:hAnsi="Arial" w:cs="Arial"/>
          <w:w w:val="102"/>
          <w:sz w:val="22"/>
          <w:szCs w:val="22"/>
        </w:rPr>
        <w:t>y disponibilidades.</w:t>
      </w:r>
    </w:p>
    <w:p w14:paraId="7F5CE18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d</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Tarifa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almacenaj</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previ</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l</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embarque</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incluyend</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contenedore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ferrocarriles.</w:t>
      </w:r>
    </w:p>
    <w:p w14:paraId="2945ABE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Dato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complementario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interé</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genera</w:t>
      </w:r>
      <w:r w:rsidRPr="00EC452A">
        <w:rPr>
          <w:rFonts w:ascii="Arial" w:eastAsia="Arial" w:hAnsi="Arial" w:cs="Arial"/>
          <w:sz w:val="22"/>
          <w:szCs w:val="22"/>
        </w:rPr>
        <w:t>l</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materia.</w:t>
      </w:r>
    </w:p>
    <w:p w14:paraId="70E1648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114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promoverá</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acuer</w:t>
      </w:r>
      <w:r w:rsidRPr="00EC452A">
        <w:rPr>
          <w:rFonts w:ascii="Arial" w:eastAsia="Arial" w:hAnsi="Arial" w:cs="Arial"/>
          <w:sz w:val="22"/>
          <w:szCs w:val="22"/>
        </w:rPr>
        <w:t xml:space="preserve">do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política</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fij</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z w:val="22"/>
          <w:szCs w:val="22"/>
        </w:rPr>
        <w:t>Comercio</w:t>
      </w:r>
      <w:r w:rsidRPr="00EC452A">
        <w:rPr>
          <w:rFonts w:ascii="Arial" w:eastAsia="Arial" w:hAnsi="Arial" w:cs="Arial"/>
          <w:spacing w:val="44"/>
          <w:sz w:val="22"/>
          <w:szCs w:val="22"/>
        </w:rPr>
        <w:t xml:space="preserve"> </w:t>
      </w:r>
      <w:r w:rsidRPr="00EC452A">
        <w:rPr>
          <w:rFonts w:ascii="Arial" w:eastAsia="Arial" w:hAnsi="Arial" w:cs="Arial"/>
          <w:sz w:val="22"/>
          <w:szCs w:val="22"/>
        </w:rPr>
        <w:t>para</w:t>
      </w:r>
      <w:r w:rsidRPr="00EC452A">
        <w:rPr>
          <w:rFonts w:ascii="Arial" w:eastAsia="Arial" w:hAnsi="Arial" w:cs="Arial"/>
          <w:spacing w:val="35"/>
          <w:sz w:val="22"/>
          <w:szCs w:val="22"/>
        </w:rPr>
        <w:t xml:space="preserve"> </w:t>
      </w:r>
      <w:r w:rsidRPr="00EC452A">
        <w:rPr>
          <w:rFonts w:ascii="Arial" w:eastAsia="Arial" w:hAnsi="Arial" w:cs="Arial"/>
          <w:sz w:val="22"/>
          <w:szCs w:val="22"/>
        </w:rPr>
        <w:t>la</w:t>
      </w:r>
      <w:r w:rsidRPr="00EC452A">
        <w:rPr>
          <w:rFonts w:ascii="Arial" w:eastAsia="Arial" w:hAnsi="Arial" w:cs="Arial"/>
          <w:spacing w:val="31"/>
          <w:sz w:val="22"/>
          <w:szCs w:val="22"/>
        </w:rPr>
        <w:t xml:space="preserve"> </w:t>
      </w:r>
      <w:r w:rsidRPr="00EC452A">
        <w:rPr>
          <w:rFonts w:ascii="Arial" w:eastAsia="Arial" w:hAnsi="Arial" w:cs="Arial"/>
          <w:sz w:val="22"/>
          <w:szCs w:val="22"/>
        </w:rPr>
        <w:t>distribución</w:t>
      </w:r>
      <w:r w:rsidRPr="00EC452A">
        <w:rPr>
          <w:rFonts w:ascii="Arial" w:eastAsia="Arial" w:hAnsi="Arial" w:cs="Arial"/>
          <w:spacing w:val="47"/>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z w:val="22"/>
          <w:szCs w:val="22"/>
        </w:rPr>
        <w:t>el</w:t>
      </w:r>
      <w:r w:rsidRPr="00EC452A">
        <w:rPr>
          <w:rFonts w:ascii="Arial" w:eastAsia="Arial" w:hAnsi="Arial" w:cs="Arial"/>
          <w:spacing w:val="31"/>
          <w:sz w:val="22"/>
          <w:szCs w:val="22"/>
        </w:rPr>
        <w:t xml:space="preserve"> </w:t>
      </w:r>
      <w:r w:rsidRPr="00EC452A">
        <w:rPr>
          <w:rFonts w:ascii="Arial" w:eastAsia="Arial" w:hAnsi="Arial" w:cs="Arial"/>
          <w:sz w:val="22"/>
          <w:szCs w:val="22"/>
        </w:rPr>
        <w:t>consumo</w:t>
      </w:r>
      <w:r w:rsidRPr="00EC452A">
        <w:rPr>
          <w:rFonts w:ascii="Arial" w:eastAsia="Arial" w:hAnsi="Arial" w:cs="Arial"/>
          <w:spacing w:val="43"/>
          <w:sz w:val="22"/>
          <w:szCs w:val="22"/>
        </w:rPr>
        <w:t xml:space="preserve"> </w:t>
      </w:r>
      <w:r w:rsidRPr="00EC452A">
        <w:rPr>
          <w:rFonts w:ascii="Arial" w:eastAsia="Arial" w:hAnsi="Arial" w:cs="Arial"/>
          <w:sz w:val="22"/>
          <w:szCs w:val="22"/>
        </w:rPr>
        <w:t>de</w:t>
      </w:r>
      <w:r w:rsidRPr="00EC452A">
        <w:rPr>
          <w:rFonts w:ascii="Arial" w:eastAsia="Arial" w:hAnsi="Arial" w:cs="Arial"/>
          <w:spacing w:val="32"/>
          <w:sz w:val="22"/>
          <w:szCs w:val="22"/>
        </w:rPr>
        <w:t xml:space="preserve"> </w:t>
      </w:r>
      <w:r w:rsidRPr="00EC452A">
        <w:rPr>
          <w:rFonts w:ascii="Arial" w:eastAsia="Arial" w:hAnsi="Arial" w:cs="Arial"/>
          <w:sz w:val="22"/>
          <w:szCs w:val="22"/>
        </w:rPr>
        <w:t>los</w:t>
      </w:r>
      <w:r w:rsidRPr="00EC452A">
        <w:rPr>
          <w:rFonts w:ascii="Arial" w:eastAsia="Arial" w:hAnsi="Arial" w:cs="Arial"/>
          <w:spacing w:val="33"/>
          <w:sz w:val="22"/>
          <w:szCs w:val="22"/>
        </w:rPr>
        <w:t xml:space="preserve"> </w:t>
      </w:r>
      <w:r w:rsidRPr="00EC452A">
        <w:rPr>
          <w:rFonts w:ascii="Arial" w:eastAsia="Arial" w:hAnsi="Arial" w:cs="Arial"/>
          <w:sz w:val="22"/>
          <w:szCs w:val="22"/>
        </w:rPr>
        <w:t>productos</w:t>
      </w:r>
      <w:r w:rsidRPr="00EC452A">
        <w:rPr>
          <w:rFonts w:ascii="Arial" w:eastAsia="Arial" w:hAnsi="Arial" w:cs="Arial"/>
          <w:spacing w:val="44"/>
          <w:sz w:val="22"/>
          <w:szCs w:val="22"/>
        </w:rPr>
        <w:t xml:space="preserve"> </w:t>
      </w:r>
      <w:r w:rsidRPr="00EC452A">
        <w:rPr>
          <w:rFonts w:ascii="Arial" w:eastAsia="Arial" w:hAnsi="Arial" w:cs="Arial"/>
          <w:sz w:val="22"/>
          <w:szCs w:val="22"/>
        </w:rPr>
        <w:t>agrícolas,</w:t>
      </w:r>
      <w:r w:rsidRPr="00EC452A">
        <w:rPr>
          <w:rFonts w:ascii="Arial" w:eastAsia="Arial" w:hAnsi="Arial" w:cs="Arial"/>
          <w:spacing w:val="44"/>
          <w:sz w:val="22"/>
          <w:szCs w:val="22"/>
        </w:rPr>
        <w:t xml:space="preserve"> </w:t>
      </w:r>
      <w:r w:rsidRPr="00EC452A">
        <w:rPr>
          <w:rFonts w:ascii="Arial" w:eastAsia="Arial" w:hAnsi="Arial" w:cs="Arial"/>
          <w:sz w:val="22"/>
          <w:szCs w:val="22"/>
        </w:rPr>
        <w:t>ganaderos</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pacing w:val="-30"/>
          <w:w w:val="102"/>
          <w:sz w:val="22"/>
          <w:szCs w:val="22"/>
        </w:rPr>
        <w:t>f</w:t>
      </w:r>
      <w:r w:rsidRPr="00EC452A">
        <w:rPr>
          <w:rFonts w:ascii="Arial" w:eastAsia="Arial" w:hAnsi="Arial" w:cs="Arial"/>
          <w:spacing w:val="1"/>
          <w:w w:val="102"/>
          <w:sz w:val="22"/>
          <w:szCs w:val="22"/>
        </w:rPr>
        <w:t xml:space="preserve">orestales, </w:t>
      </w:r>
      <w:r w:rsidRPr="00EC452A">
        <w:rPr>
          <w:rFonts w:ascii="Arial" w:eastAsia="Arial" w:hAnsi="Arial" w:cs="Arial"/>
          <w:sz w:val="22"/>
          <w:szCs w:val="22"/>
        </w:rPr>
        <w:t>la</w:t>
      </w:r>
      <w:r w:rsidRPr="00EC452A">
        <w:rPr>
          <w:rFonts w:ascii="Arial" w:eastAsia="Arial" w:hAnsi="Arial" w:cs="Arial"/>
          <w:spacing w:val="32"/>
          <w:sz w:val="22"/>
          <w:szCs w:val="22"/>
        </w:rPr>
        <w:t xml:space="preserve"> </w:t>
      </w:r>
      <w:r w:rsidRPr="00EC452A">
        <w:rPr>
          <w:rFonts w:ascii="Arial" w:eastAsia="Arial" w:hAnsi="Arial" w:cs="Arial"/>
          <w:sz w:val="22"/>
          <w:szCs w:val="22"/>
        </w:rPr>
        <w:t>celebración</w:t>
      </w:r>
      <w:r w:rsidRPr="00EC452A">
        <w:rPr>
          <w:rFonts w:ascii="Arial" w:eastAsia="Arial" w:hAnsi="Arial" w:cs="Arial"/>
          <w:spacing w:val="48"/>
          <w:sz w:val="22"/>
          <w:szCs w:val="22"/>
        </w:rPr>
        <w:t xml:space="preserve"> </w:t>
      </w:r>
      <w:r w:rsidRPr="00EC452A">
        <w:rPr>
          <w:rFonts w:ascii="Arial" w:eastAsia="Arial" w:hAnsi="Arial" w:cs="Arial"/>
          <w:sz w:val="22"/>
          <w:szCs w:val="22"/>
        </w:rPr>
        <w:t>de</w:t>
      </w:r>
      <w:r w:rsidRPr="00EC452A">
        <w:rPr>
          <w:rFonts w:ascii="Arial" w:eastAsia="Arial" w:hAnsi="Arial" w:cs="Arial"/>
          <w:spacing w:val="33"/>
          <w:sz w:val="22"/>
          <w:szCs w:val="22"/>
        </w:rPr>
        <w:t xml:space="preserve"> </w:t>
      </w:r>
      <w:r w:rsidRPr="00EC452A">
        <w:rPr>
          <w:rFonts w:ascii="Arial" w:eastAsia="Arial" w:hAnsi="Arial" w:cs="Arial"/>
          <w:sz w:val="22"/>
          <w:szCs w:val="22"/>
        </w:rPr>
        <w:t>contratos</w:t>
      </w:r>
      <w:r w:rsidRPr="00EC452A">
        <w:rPr>
          <w:rFonts w:ascii="Arial" w:eastAsia="Arial" w:hAnsi="Arial" w:cs="Arial"/>
          <w:spacing w:val="44"/>
          <w:sz w:val="22"/>
          <w:szCs w:val="22"/>
        </w:rPr>
        <w:t xml:space="preserve"> </w:t>
      </w:r>
      <w:r w:rsidRPr="00EC452A">
        <w:rPr>
          <w:rFonts w:ascii="Arial" w:eastAsia="Arial" w:hAnsi="Arial" w:cs="Arial"/>
          <w:sz w:val="22"/>
          <w:szCs w:val="22"/>
        </w:rPr>
        <w:t>globales</w:t>
      </w:r>
      <w:r w:rsidRPr="00EC452A">
        <w:rPr>
          <w:rFonts w:ascii="Arial" w:eastAsia="Arial" w:hAnsi="Arial" w:cs="Arial"/>
          <w:spacing w:val="43"/>
          <w:sz w:val="22"/>
          <w:szCs w:val="22"/>
        </w:rPr>
        <w:t xml:space="preserve"> </w:t>
      </w:r>
      <w:r w:rsidRPr="00EC452A">
        <w:rPr>
          <w:rFonts w:ascii="Arial" w:eastAsia="Arial" w:hAnsi="Arial" w:cs="Arial"/>
          <w:sz w:val="22"/>
          <w:szCs w:val="22"/>
        </w:rPr>
        <w:t>de</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comercialización, </w:t>
      </w:r>
      <w:r w:rsidRPr="00EC452A">
        <w:rPr>
          <w:rFonts w:ascii="Arial" w:eastAsia="Arial" w:hAnsi="Arial" w:cs="Arial"/>
          <w:spacing w:val="5"/>
          <w:sz w:val="22"/>
          <w:szCs w:val="22"/>
        </w:rPr>
        <w:t xml:space="preserve"> </w:t>
      </w:r>
      <w:r w:rsidRPr="00EC452A">
        <w:rPr>
          <w:rFonts w:ascii="Arial" w:eastAsia="Arial" w:hAnsi="Arial" w:cs="Arial"/>
          <w:sz w:val="22"/>
          <w:szCs w:val="22"/>
        </w:rPr>
        <w:t>con</w:t>
      </w:r>
      <w:r w:rsidRPr="00EC452A">
        <w:rPr>
          <w:rFonts w:ascii="Arial" w:eastAsia="Arial" w:hAnsi="Arial" w:cs="Arial"/>
          <w:spacing w:val="35"/>
          <w:sz w:val="22"/>
          <w:szCs w:val="22"/>
        </w:rPr>
        <w:t xml:space="preserve"> </w:t>
      </w:r>
      <w:r w:rsidRPr="00EC452A">
        <w:rPr>
          <w:rFonts w:ascii="Arial" w:eastAsia="Arial" w:hAnsi="Arial" w:cs="Arial"/>
          <w:sz w:val="22"/>
          <w:szCs w:val="22"/>
        </w:rPr>
        <w:t>objeto</w:t>
      </w:r>
      <w:r w:rsidRPr="00EC452A">
        <w:rPr>
          <w:rFonts w:ascii="Arial" w:eastAsia="Arial" w:hAnsi="Arial" w:cs="Arial"/>
          <w:spacing w:val="39"/>
          <w:sz w:val="22"/>
          <w:szCs w:val="22"/>
        </w:rPr>
        <w:t xml:space="preserve"> </w:t>
      </w:r>
      <w:r w:rsidRPr="00EC452A">
        <w:rPr>
          <w:rFonts w:ascii="Arial" w:eastAsia="Arial" w:hAnsi="Arial" w:cs="Arial"/>
          <w:sz w:val="22"/>
          <w:szCs w:val="22"/>
        </w:rPr>
        <w:t>de</w:t>
      </w:r>
      <w:r w:rsidRPr="00EC452A">
        <w:rPr>
          <w:rFonts w:ascii="Arial" w:eastAsia="Arial" w:hAnsi="Arial" w:cs="Arial"/>
          <w:spacing w:val="33"/>
          <w:sz w:val="22"/>
          <w:szCs w:val="22"/>
        </w:rPr>
        <w:t xml:space="preserve"> </w:t>
      </w:r>
      <w:r w:rsidRPr="00EC452A">
        <w:rPr>
          <w:rFonts w:ascii="Arial" w:eastAsia="Arial" w:hAnsi="Arial" w:cs="Arial"/>
          <w:sz w:val="22"/>
          <w:szCs w:val="22"/>
        </w:rPr>
        <w:t>apoyar</w:t>
      </w:r>
      <w:r w:rsidRPr="00EC452A">
        <w:rPr>
          <w:rFonts w:ascii="Arial" w:eastAsia="Arial" w:hAnsi="Arial" w:cs="Arial"/>
          <w:spacing w:val="40"/>
          <w:sz w:val="22"/>
          <w:szCs w:val="22"/>
        </w:rPr>
        <w:t xml:space="preserve"> </w:t>
      </w:r>
      <w:r w:rsidRPr="00EC452A">
        <w:rPr>
          <w:rFonts w:ascii="Arial" w:eastAsia="Arial" w:hAnsi="Arial" w:cs="Arial"/>
          <w:sz w:val="22"/>
          <w:szCs w:val="22"/>
        </w:rPr>
        <w:t>la</w:t>
      </w:r>
      <w:r w:rsidRPr="00EC452A">
        <w:rPr>
          <w:rFonts w:ascii="Arial" w:eastAsia="Arial" w:hAnsi="Arial" w:cs="Arial"/>
          <w:spacing w:val="32"/>
          <w:sz w:val="22"/>
          <w:szCs w:val="22"/>
        </w:rPr>
        <w:t xml:space="preserve"> </w:t>
      </w:r>
      <w:r w:rsidRPr="00EC452A">
        <w:rPr>
          <w:rFonts w:ascii="Arial" w:eastAsia="Arial" w:hAnsi="Arial" w:cs="Arial"/>
          <w:w w:val="102"/>
          <w:sz w:val="22"/>
          <w:szCs w:val="22"/>
        </w:rPr>
        <w:t xml:space="preserve">organización </w:t>
      </w:r>
      <w:r w:rsidRPr="00EC452A">
        <w:rPr>
          <w:rFonts w:ascii="Arial" w:eastAsia="Arial" w:hAnsi="Arial" w:cs="Arial"/>
          <w:sz w:val="22"/>
          <w:szCs w:val="22"/>
        </w:rPr>
        <w:t>de</w:t>
      </w:r>
      <w:r w:rsidRPr="00EC452A">
        <w:rPr>
          <w:rFonts w:ascii="Arial" w:eastAsia="Arial" w:hAnsi="Arial" w:cs="Arial"/>
          <w:spacing w:val="35"/>
          <w:sz w:val="22"/>
          <w:szCs w:val="22"/>
        </w:rPr>
        <w:t xml:space="preserve"> </w:t>
      </w:r>
      <w:r w:rsidRPr="00EC452A">
        <w:rPr>
          <w:rFonts w:ascii="Arial" w:eastAsia="Arial" w:hAnsi="Arial" w:cs="Arial"/>
          <w:sz w:val="22"/>
          <w:szCs w:val="22"/>
        </w:rPr>
        <w:t>los</w:t>
      </w:r>
      <w:r w:rsidRPr="00EC452A">
        <w:rPr>
          <w:rFonts w:ascii="Arial" w:eastAsia="Arial" w:hAnsi="Arial" w:cs="Arial"/>
          <w:spacing w:val="36"/>
          <w:sz w:val="22"/>
          <w:szCs w:val="22"/>
        </w:rPr>
        <w:t xml:space="preserve"> </w:t>
      </w:r>
      <w:r w:rsidRPr="00EC452A">
        <w:rPr>
          <w:rFonts w:ascii="Arial" w:eastAsia="Arial" w:hAnsi="Arial" w:cs="Arial"/>
          <w:sz w:val="22"/>
          <w:szCs w:val="22"/>
        </w:rPr>
        <w:t>productores</w:t>
      </w:r>
      <w:r w:rsidRPr="00EC452A">
        <w:rPr>
          <w:rFonts w:ascii="Arial" w:eastAsia="Arial" w:hAnsi="Arial" w:cs="Arial"/>
          <w:spacing w:val="51"/>
          <w:sz w:val="22"/>
          <w:szCs w:val="22"/>
        </w:rPr>
        <w:t xml:space="preserve"> </w:t>
      </w:r>
      <w:r w:rsidRPr="00EC452A">
        <w:rPr>
          <w:rFonts w:ascii="Arial" w:eastAsia="Arial" w:hAnsi="Arial" w:cs="Arial"/>
          <w:sz w:val="22"/>
          <w:szCs w:val="22"/>
        </w:rPr>
        <w:t>en</w:t>
      </w:r>
      <w:r w:rsidRPr="00EC452A">
        <w:rPr>
          <w:rFonts w:ascii="Arial" w:eastAsia="Arial" w:hAnsi="Arial" w:cs="Arial"/>
          <w:spacing w:val="35"/>
          <w:sz w:val="22"/>
          <w:szCs w:val="22"/>
        </w:rPr>
        <w:t xml:space="preserve"> </w:t>
      </w:r>
      <w:r w:rsidRPr="00EC452A">
        <w:rPr>
          <w:rFonts w:ascii="Arial" w:eastAsia="Arial" w:hAnsi="Arial" w:cs="Arial"/>
          <w:sz w:val="22"/>
          <w:szCs w:val="22"/>
        </w:rPr>
        <w:t>la</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comercialización </w:t>
      </w:r>
      <w:r w:rsidRPr="00EC452A">
        <w:rPr>
          <w:rFonts w:ascii="Arial" w:eastAsia="Arial" w:hAnsi="Arial" w:cs="Arial"/>
          <w:spacing w:val="6"/>
          <w:sz w:val="22"/>
          <w:szCs w:val="22"/>
        </w:rPr>
        <w:t xml:space="preserve"> </w:t>
      </w:r>
      <w:r w:rsidRPr="00EC452A">
        <w:rPr>
          <w:rFonts w:ascii="Arial" w:eastAsia="Arial" w:hAnsi="Arial" w:cs="Arial"/>
          <w:sz w:val="22"/>
          <w:szCs w:val="22"/>
        </w:rPr>
        <w:t>de</w:t>
      </w:r>
      <w:r w:rsidRPr="00EC452A">
        <w:rPr>
          <w:rFonts w:ascii="Arial" w:eastAsia="Arial" w:hAnsi="Arial" w:cs="Arial"/>
          <w:spacing w:val="35"/>
          <w:sz w:val="22"/>
          <w:szCs w:val="22"/>
        </w:rPr>
        <w:t xml:space="preserve"> </w:t>
      </w:r>
      <w:r w:rsidRPr="00EC452A">
        <w:rPr>
          <w:rFonts w:ascii="Arial" w:eastAsia="Arial" w:hAnsi="Arial" w:cs="Arial"/>
          <w:sz w:val="22"/>
          <w:szCs w:val="22"/>
        </w:rPr>
        <w:t>sus</w:t>
      </w:r>
      <w:r w:rsidRPr="00EC452A">
        <w:rPr>
          <w:rFonts w:ascii="Arial" w:eastAsia="Arial" w:hAnsi="Arial" w:cs="Arial"/>
          <w:spacing w:val="37"/>
          <w:sz w:val="22"/>
          <w:szCs w:val="22"/>
        </w:rPr>
        <w:t xml:space="preserve"> </w:t>
      </w:r>
      <w:r w:rsidRPr="00EC452A">
        <w:rPr>
          <w:rFonts w:ascii="Arial" w:eastAsia="Arial" w:hAnsi="Arial" w:cs="Arial"/>
          <w:sz w:val="22"/>
          <w:szCs w:val="22"/>
        </w:rPr>
        <w:t>productos</w:t>
      </w:r>
      <w:r w:rsidRPr="00EC452A">
        <w:rPr>
          <w:rFonts w:ascii="Arial" w:eastAsia="Arial" w:hAnsi="Arial" w:cs="Arial"/>
          <w:spacing w:val="48"/>
          <w:sz w:val="22"/>
          <w:szCs w:val="22"/>
        </w:rPr>
        <w:t xml:space="preserve"> </w:t>
      </w:r>
      <w:r w:rsidRPr="00EC452A">
        <w:rPr>
          <w:rFonts w:ascii="Arial" w:eastAsia="Arial" w:hAnsi="Arial" w:cs="Arial"/>
          <w:sz w:val="22"/>
          <w:szCs w:val="22"/>
        </w:rPr>
        <w:t>y</w:t>
      </w:r>
      <w:r w:rsidRPr="00EC452A">
        <w:rPr>
          <w:rFonts w:ascii="Arial" w:eastAsia="Arial" w:hAnsi="Arial" w:cs="Arial"/>
          <w:spacing w:val="33"/>
          <w:sz w:val="22"/>
          <w:szCs w:val="22"/>
        </w:rPr>
        <w:t xml:space="preserve"> </w:t>
      </w:r>
      <w:r w:rsidRPr="00EC452A">
        <w:rPr>
          <w:rFonts w:ascii="Arial" w:eastAsia="Arial" w:hAnsi="Arial" w:cs="Arial"/>
          <w:sz w:val="22"/>
          <w:szCs w:val="22"/>
        </w:rPr>
        <w:t>emprender</w:t>
      </w:r>
      <w:r w:rsidRPr="00EC452A">
        <w:rPr>
          <w:rFonts w:ascii="Arial" w:eastAsia="Arial" w:hAnsi="Arial" w:cs="Arial"/>
          <w:spacing w:val="49"/>
          <w:sz w:val="22"/>
          <w:szCs w:val="22"/>
        </w:rPr>
        <w:t xml:space="preserve"> </w:t>
      </w:r>
      <w:r w:rsidRPr="00EC452A">
        <w:rPr>
          <w:rFonts w:ascii="Arial" w:eastAsia="Arial" w:hAnsi="Arial" w:cs="Arial"/>
          <w:sz w:val="22"/>
          <w:szCs w:val="22"/>
        </w:rPr>
        <w:t>acciones</w:t>
      </w:r>
      <w:r w:rsidRPr="00EC452A">
        <w:rPr>
          <w:rFonts w:ascii="Arial" w:eastAsia="Arial" w:hAnsi="Arial" w:cs="Arial"/>
          <w:spacing w:val="46"/>
          <w:sz w:val="22"/>
          <w:szCs w:val="22"/>
        </w:rPr>
        <w:t xml:space="preserve"> </w:t>
      </w:r>
      <w:r w:rsidRPr="00EC452A">
        <w:rPr>
          <w:rFonts w:ascii="Arial" w:eastAsia="Arial" w:hAnsi="Arial" w:cs="Arial"/>
          <w:sz w:val="22"/>
          <w:szCs w:val="22"/>
        </w:rPr>
        <w:t>de</w:t>
      </w:r>
      <w:r w:rsidRPr="00EC452A">
        <w:rPr>
          <w:rFonts w:ascii="Arial" w:eastAsia="Arial" w:hAnsi="Arial" w:cs="Arial"/>
          <w:spacing w:val="35"/>
          <w:sz w:val="22"/>
          <w:szCs w:val="22"/>
        </w:rPr>
        <w:t xml:space="preserve"> </w:t>
      </w:r>
      <w:r w:rsidRPr="00EC452A">
        <w:rPr>
          <w:rFonts w:ascii="Arial" w:eastAsia="Arial" w:hAnsi="Arial" w:cs="Arial"/>
          <w:w w:val="102"/>
          <w:sz w:val="22"/>
          <w:szCs w:val="22"/>
        </w:rPr>
        <w:t xml:space="preserve">fomento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actividade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agropecuarias.</w:t>
      </w:r>
    </w:p>
    <w:p w14:paraId="11D9BF0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115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cont</w:t>
      </w:r>
      <w:r w:rsidRPr="00EC452A">
        <w:rPr>
          <w:rFonts w:ascii="Arial" w:eastAsia="Arial" w:hAnsi="Arial" w:cs="Arial"/>
          <w:spacing w:val="-13"/>
          <w:sz w:val="22"/>
          <w:szCs w:val="22"/>
        </w:rPr>
        <w:t>r</w:t>
      </w:r>
      <w:r w:rsidRPr="00EC452A">
        <w:rPr>
          <w:rFonts w:ascii="Arial" w:eastAsia="Arial" w:hAnsi="Arial" w:cs="Arial"/>
          <w:sz w:val="22"/>
          <w:szCs w:val="22"/>
        </w:rPr>
        <w:t xml:space="preserve">atos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globales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comercialización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podrán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ser  </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 xml:space="preserve">agroindustriales, </w:t>
      </w:r>
      <w:r w:rsidRPr="00EC452A">
        <w:rPr>
          <w:rFonts w:ascii="Arial" w:eastAsia="Arial" w:hAnsi="Arial" w:cs="Arial"/>
          <w:spacing w:val="-1"/>
          <w:sz w:val="22"/>
          <w:szCs w:val="22"/>
        </w:rPr>
        <w:t>entendiéndos</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ello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refiera</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compra</w:t>
      </w:r>
      <w:r w:rsidRPr="00EC452A">
        <w:rPr>
          <w:rFonts w:ascii="Arial" w:eastAsia="Arial" w:hAnsi="Arial" w:cs="Arial"/>
          <w:spacing w:val="-5"/>
          <w:sz w:val="22"/>
          <w:szCs w:val="22"/>
        </w:rPr>
        <w:t>-</w:t>
      </w:r>
      <w:r w:rsidRPr="00EC452A">
        <w:rPr>
          <w:rFonts w:ascii="Arial" w:eastAsia="Arial" w:hAnsi="Arial" w:cs="Arial"/>
          <w:spacing w:val="-2"/>
          <w:sz w:val="22"/>
          <w:szCs w:val="22"/>
        </w:rPr>
        <w:t>vent</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producto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2"/>
          <w:w w:val="102"/>
          <w:sz w:val="22"/>
          <w:szCs w:val="22"/>
        </w:rPr>
        <w:t xml:space="preserve">agrícolas </w:t>
      </w:r>
      <w:r w:rsidRPr="00EC452A">
        <w:rPr>
          <w:rFonts w:ascii="Arial" w:eastAsia="Arial" w:hAnsi="Arial" w:cs="Arial"/>
          <w:spacing w:val="-1"/>
          <w:sz w:val="22"/>
          <w:szCs w:val="22"/>
        </w:rPr>
        <w:t>ganadero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forestale</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destinado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consum</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industrial</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celebrado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w w:val="102"/>
          <w:sz w:val="22"/>
          <w:szCs w:val="22"/>
        </w:rPr>
        <w:t xml:space="preserve">varias </w:t>
      </w:r>
      <w:r w:rsidRPr="00EC452A">
        <w:rPr>
          <w:rFonts w:ascii="Arial" w:eastAsia="Arial" w:hAnsi="Arial" w:cs="Arial"/>
          <w:spacing w:val="-1"/>
          <w:sz w:val="22"/>
          <w:szCs w:val="22"/>
        </w:rPr>
        <w:t>organizacione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 xml:space="preserve">a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varia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empresa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industriales</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objet</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establecer</w:t>
      </w:r>
      <w:r w:rsidRPr="00EC452A">
        <w:rPr>
          <w:rFonts w:ascii="Arial" w:eastAsia="Arial" w:hAnsi="Arial" w:cs="Arial"/>
          <w:spacing w:val="25"/>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condiciones</w:t>
      </w:r>
      <w:r w:rsidRPr="00EC452A">
        <w:rPr>
          <w:rFonts w:ascii="Arial" w:eastAsia="Arial" w:hAnsi="Arial" w:cs="Arial"/>
          <w:spacing w:val="27"/>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aquéllas</w:t>
      </w:r>
      <w:r w:rsidRPr="00EC452A">
        <w:rPr>
          <w:rFonts w:ascii="Arial" w:eastAsia="Arial" w:hAnsi="Arial" w:cs="Arial"/>
          <w:spacing w:val="21"/>
          <w:sz w:val="22"/>
          <w:szCs w:val="22"/>
        </w:rPr>
        <w:t xml:space="preserve"> </w:t>
      </w:r>
      <w:r w:rsidRPr="00EC452A">
        <w:rPr>
          <w:rFonts w:ascii="Arial" w:eastAsia="Arial" w:hAnsi="Arial" w:cs="Arial"/>
          <w:sz w:val="22"/>
          <w:szCs w:val="22"/>
        </w:rPr>
        <w:t>suministrarán</w:t>
      </w:r>
      <w:r w:rsidRPr="00EC452A">
        <w:rPr>
          <w:rFonts w:ascii="Arial" w:eastAsia="Arial" w:hAnsi="Arial" w:cs="Arial"/>
          <w:spacing w:val="30"/>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productos.</w:t>
      </w:r>
    </w:p>
    <w:p w14:paraId="6981FCF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organizacione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refier</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n</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toda</w:t>
      </w:r>
      <w:r w:rsidRPr="00EC452A">
        <w:rPr>
          <w:rFonts w:ascii="Arial" w:eastAsia="Arial" w:hAnsi="Arial" w:cs="Arial"/>
          <w:sz w:val="22"/>
          <w:szCs w:val="22"/>
        </w:rPr>
        <w:t>s</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formas </w:t>
      </w:r>
      <w:r w:rsidRPr="00EC452A">
        <w:rPr>
          <w:rFonts w:ascii="Arial" w:eastAsia="Arial" w:hAnsi="Arial" w:cs="Arial"/>
          <w:spacing w:val="-1"/>
          <w:sz w:val="22"/>
          <w:szCs w:val="22"/>
        </w:rPr>
        <w:t>contemplada</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Gener</w:t>
      </w:r>
      <w:r w:rsidRPr="00EC452A">
        <w:rPr>
          <w:rFonts w:ascii="Arial" w:eastAsia="Arial" w:hAnsi="Arial" w:cs="Arial"/>
          <w:sz w:val="22"/>
          <w:szCs w:val="22"/>
        </w:rPr>
        <w:t>al</w:t>
      </w:r>
      <w:r w:rsidRPr="00EC452A">
        <w:rPr>
          <w:rFonts w:ascii="Arial" w:eastAsia="Arial" w:hAnsi="Arial" w:cs="Arial"/>
          <w:spacing w:val="29"/>
          <w:sz w:val="22"/>
          <w:szCs w:val="22"/>
        </w:rPr>
        <w:t xml:space="preserve"> </w:t>
      </w:r>
      <w:r w:rsidRPr="00EC452A">
        <w:rPr>
          <w:rFonts w:ascii="Arial" w:eastAsia="Arial" w:hAnsi="Arial" w:cs="Arial"/>
          <w:sz w:val="22"/>
          <w:szCs w:val="22"/>
        </w:rPr>
        <w:t>de</w:t>
      </w:r>
      <w:r w:rsidRPr="00EC452A">
        <w:rPr>
          <w:rFonts w:ascii="Arial" w:eastAsia="Arial" w:hAnsi="Arial" w:cs="Arial"/>
          <w:spacing w:val="19"/>
          <w:sz w:val="22"/>
          <w:szCs w:val="22"/>
        </w:rPr>
        <w:t xml:space="preserve"> </w:t>
      </w:r>
      <w:r w:rsidRPr="00EC452A">
        <w:rPr>
          <w:rFonts w:ascii="Arial" w:eastAsia="Arial" w:hAnsi="Arial" w:cs="Arial"/>
          <w:sz w:val="22"/>
          <w:szCs w:val="22"/>
        </w:rPr>
        <w:t>Crédito</w:t>
      </w:r>
      <w:r w:rsidRPr="00EC452A">
        <w:rPr>
          <w:rFonts w:ascii="Arial" w:eastAsia="Arial" w:hAnsi="Arial" w:cs="Arial"/>
          <w:spacing w:val="27"/>
          <w:sz w:val="22"/>
          <w:szCs w:val="22"/>
        </w:rPr>
        <w:t xml:space="preserve"> </w:t>
      </w:r>
      <w:r w:rsidRPr="00EC452A">
        <w:rPr>
          <w:rFonts w:ascii="Arial" w:eastAsia="Arial" w:hAnsi="Arial" w:cs="Arial"/>
          <w:sz w:val="22"/>
          <w:szCs w:val="22"/>
        </w:rPr>
        <w:t>Rural</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17"/>
          <w:sz w:val="22"/>
          <w:szCs w:val="22"/>
        </w:rPr>
        <w:t xml:space="preserve"> </w:t>
      </w:r>
      <w:r w:rsidRPr="00EC452A">
        <w:rPr>
          <w:rFonts w:ascii="Arial" w:eastAsia="Arial" w:hAnsi="Arial" w:cs="Arial"/>
          <w:sz w:val="22"/>
          <w:szCs w:val="22"/>
        </w:rPr>
        <w:t>en</w:t>
      </w:r>
      <w:r w:rsidRPr="00EC452A">
        <w:rPr>
          <w:rFonts w:ascii="Arial" w:eastAsia="Arial" w:hAnsi="Arial" w:cs="Arial"/>
          <w:spacing w:val="19"/>
          <w:sz w:val="22"/>
          <w:szCs w:val="22"/>
        </w:rPr>
        <w:t xml:space="preserve"> </w:t>
      </w:r>
      <w:r w:rsidRPr="00EC452A">
        <w:rPr>
          <w:rFonts w:ascii="Arial" w:eastAsia="Arial" w:hAnsi="Arial" w:cs="Arial"/>
          <w:sz w:val="22"/>
          <w:szCs w:val="22"/>
        </w:rPr>
        <w:t>las</w:t>
      </w:r>
      <w:r w:rsidRPr="00EC452A">
        <w:rPr>
          <w:rFonts w:ascii="Arial" w:eastAsia="Arial" w:hAnsi="Arial" w:cs="Arial"/>
          <w:spacing w:val="20"/>
          <w:sz w:val="22"/>
          <w:szCs w:val="22"/>
        </w:rPr>
        <w:t xml:space="preserve"> </w:t>
      </w:r>
      <w:r w:rsidRPr="00EC452A">
        <w:rPr>
          <w:rFonts w:ascii="Arial" w:eastAsia="Arial" w:hAnsi="Arial" w:cs="Arial"/>
          <w:sz w:val="22"/>
          <w:szCs w:val="22"/>
        </w:rPr>
        <w:t>demás</w:t>
      </w:r>
      <w:r w:rsidRPr="00EC452A">
        <w:rPr>
          <w:rFonts w:ascii="Arial" w:eastAsia="Arial" w:hAnsi="Arial" w:cs="Arial"/>
          <w:spacing w:val="26"/>
          <w:sz w:val="22"/>
          <w:szCs w:val="22"/>
        </w:rPr>
        <w:t xml:space="preserve"> </w:t>
      </w:r>
      <w:r w:rsidRPr="00EC452A">
        <w:rPr>
          <w:rFonts w:ascii="Arial" w:eastAsia="Arial" w:hAnsi="Arial" w:cs="Arial"/>
          <w:sz w:val="22"/>
          <w:szCs w:val="22"/>
        </w:rPr>
        <w:t>leyes</w:t>
      </w:r>
      <w:r w:rsidRPr="00EC452A">
        <w:rPr>
          <w:rFonts w:ascii="Arial" w:eastAsia="Arial" w:hAnsi="Arial" w:cs="Arial"/>
          <w:spacing w:val="24"/>
          <w:sz w:val="22"/>
          <w:szCs w:val="22"/>
        </w:rPr>
        <w:t xml:space="preserve"> </w:t>
      </w:r>
      <w:r w:rsidRPr="00EC452A">
        <w:rPr>
          <w:rFonts w:ascii="Arial" w:eastAsia="Arial" w:hAnsi="Arial" w:cs="Arial"/>
          <w:sz w:val="22"/>
          <w:szCs w:val="22"/>
        </w:rPr>
        <w:t>aplicables,</w:t>
      </w:r>
      <w:r w:rsidRPr="00EC452A">
        <w:rPr>
          <w:rFonts w:ascii="Arial" w:eastAsia="Arial" w:hAnsi="Arial" w:cs="Arial"/>
          <w:spacing w:val="33"/>
          <w:sz w:val="22"/>
          <w:szCs w:val="22"/>
        </w:rPr>
        <w:t xml:space="preserve"> </w:t>
      </w:r>
      <w:r w:rsidRPr="00EC452A">
        <w:rPr>
          <w:rFonts w:ascii="Arial" w:eastAsia="Arial" w:hAnsi="Arial" w:cs="Arial"/>
          <w:sz w:val="22"/>
          <w:szCs w:val="22"/>
        </w:rPr>
        <w:t>así</w:t>
      </w:r>
      <w:r w:rsidRPr="00EC452A">
        <w:rPr>
          <w:rFonts w:ascii="Arial" w:eastAsia="Arial" w:hAnsi="Arial" w:cs="Arial"/>
          <w:spacing w:val="20"/>
          <w:sz w:val="22"/>
          <w:szCs w:val="22"/>
        </w:rPr>
        <w:t xml:space="preserve"> </w:t>
      </w:r>
      <w:r w:rsidRPr="00EC452A">
        <w:rPr>
          <w:rFonts w:ascii="Arial" w:eastAsia="Arial" w:hAnsi="Arial" w:cs="Arial"/>
          <w:sz w:val="22"/>
          <w:szCs w:val="22"/>
        </w:rPr>
        <w:t>como</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habl</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Ley.</w:t>
      </w:r>
    </w:p>
    <w:p w14:paraId="3AD20A3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116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interesados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celebrar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contratos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globales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comercialización,  </w:t>
      </w:r>
      <w:r w:rsidRPr="00EC452A">
        <w:rPr>
          <w:rFonts w:ascii="Arial" w:eastAsia="Arial" w:hAnsi="Arial" w:cs="Arial"/>
          <w:spacing w:val="42"/>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conformida</w:t>
      </w:r>
      <w:r w:rsidRPr="00EC452A">
        <w:rPr>
          <w:rFonts w:ascii="Arial" w:eastAsia="Arial" w:hAnsi="Arial" w:cs="Arial"/>
          <w:sz w:val="22"/>
          <w:szCs w:val="22"/>
        </w:rPr>
        <w:t xml:space="preserve">d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disposicione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Reglamento</w:t>
      </w:r>
      <w:r w:rsidRPr="00EC452A">
        <w:rPr>
          <w:rFonts w:ascii="Arial" w:eastAsia="Arial" w:hAnsi="Arial" w:cs="Arial"/>
          <w:sz w:val="22"/>
          <w:szCs w:val="22"/>
        </w:rPr>
        <w:t xml:space="preserv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solicita</w:t>
      </w:r>
      <w:r w:rsidRPr="00EC452A">
        <w:rPr>
          <w:rFonts w:ascii="Arial" w:eastAsia="Arial" w:hAnsi="Arial" w:cs="Arial"/>
          <w:sz w:val="22"/>
          <w:szCs w:val="22"/>
        </w:rPr>
        <w:t xml:space="preserve">r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z w:val="22"/>
          <w:szCs w:val="22"/>
        </w:rPr>
        <w:t xml:space="preserve">aprobación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y  registro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mismos,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otorgarán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si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contratos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corresponden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a  </w:t>
      </w:r>
      <w:r w:rsidRPr="00EC452A">
        <w:rPr>
          <w:rFonts w:ascii="Arial" w:eastAsia="Arial" w:hAnsi="Arial" w:cs="Arial"/>
          <w:w w:val="102"/>
          <w:sz w:val="22"/>
          <w:szCs w:val="22"/>
        </w:rPr>
        <w:t xml:space="preserve">las </w:t>
      </w:r>
      <w:r w:rsidRPr="00EC452A">
        <w:rPr>
          <w:rFonts w:ascii="Arial" w:eastAsia="Arial" w:hAnsi="Arial" w:cs="Arial"/>
          <w:sz w:val="22"/>
          <w:szCs w:val="22"/>
        </w:rPr>
        <w:t>políticas</w:t>
      </w:r>
      <w:r w:rsidRPr="00EC452A">
        <w:rPr>
          <w:rFonts w:ascii="Arial" w:eastAsia="Arial" w:hAnsi="Arial" w:cs="Arial"/>
          <w:spacing w:val="21"/>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distribución</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consumo</w:t>
      </w:r>
      <w:r w:rsidRPr="00EC452A">
        <w:rPr>
          <w:rFonts w:ascii="Arial" w:eastAsia="Arial" w:hAnsi="Arial" w:cs="Arial"/>
          <w:spacing w:val="22"/>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establezca</w:t>
      </w:r>
      <w:r w:rsidRPr="00EC452A">
        <w:rPr>
          <w:rFonts w:ascii="Arial" w:eastAsia="Arial" w:hAnsi="Arial" w:cs="Arial"/>
          <w:spacing w:val="25"/>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Secretaría</w:t>
      </w:r>
      <w:r w:rsidRPr="00EC452A">
        <w:rPr>
          <w:rFonts w:ascii="Arial" w:eastAsia="Arial" w:hAnsi="Arial" w:cs="Arial"/>
          <w:spacing w:val="25"/>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Comercio.</w:t>
      </w:r>
    </w:p>
    <w:p w14:paraId="26DD9C5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117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representacione</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nacionales</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regionale</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locale</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organizació</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productore</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agropecuarios</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forestale</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empresa</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agroindustriales</w:t>
      </w:r>
      <w:r w:rsidRPr="00EC452A">
        <w:rPr>
          <w:rFonts w:ascii="Arial" w:eastAsia="Arial" w:hAnsi="Arial" w:cs="Arial"/>
          <w:sz w:val="22"/>
          <w:szCs w:val="22"/>
        </w:rPr>
        <w:t xml:space="preserv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w w:val="102"/>
          <w:sz w:val="22"/>
          <w:szCs w:val="22"/>
        </w:rPr>
        <w:t xml:space="preserve">determinar, </w:t>
      </w:r>
      <w:r w:rsidRPr="00EC452A">
        <w:rPr>
          <w:rFonts w:ascii="Arial" w:eastAsia="Arial" w:hAnsi="Arial" w:cs="Arial"/>
          <w:spacing w:val="-1"/>
          <w:sz w:val="22"/>
          <w:szCs w:val="22"/>
        </w:rPr>
        <w:t>previ</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aprobació</w:t>
      </w:r>
      <w:r w:rsidRPr="00EC452A">
        <w:rPr>
          <w:rFonts w:ascii="Arial" w:eastAsia="Arial" w:hAnsi="Arial" w:cs="Arial"/>
          <w:sz w:val="22"/>
          <w:szCs w:val="22"/>
        </w:rPr>
        <w:t xml:space="preserve">n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condicione</w:t>
      </w:r>
      <w:r w:rsidRPr="00EC452A">
        <w:rPr>
          <w:rFonts w:ascii="Arial" w:eastAsia="Arial" w:hAnsi="Arial" w:cs="Arial"/>
          <w:sz w:val="22"/>
          <w:szCs w:val="22"/>
        </w:rPr>
        <w:t xml:space="preserve">s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generale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contratació</w:t>
      </w:r>
      <w:r w:rsidRPr="00EC452A">
        <w:rPr>
          <w:rFonts w:ascii="Arial" w:eastAsia="Arial" w:hAnsi="Arial" w:cs="Arial"/>
          <w:sz w:val="22"/>
          <w:szCs w:val="22"/>
        </w:rPr>
        <w:t xml:space="preserve">n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globa</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un </w:t>
      </w:r>
      <w:r w:rsidRPr="00EC452A">
        <w:rPr>
          <w:rFonts w:ascii="Arial" w:eastAsia="Arial" w:hAnsi="Arial" w:cs="Arial"/>
          <w:spacing w:val="-1"/>
          <w:sz w:val="22"/>
          <w:szCs w:val="22"/>
        </w:rPr>
        <w:t>product</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z w:val="22"/>
          <w:szCs w:val="22"/>
        </w:rPr>
        <w:t>o</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grup</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productos</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mínimo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z w:val="22"/>
          <w:szCs w:val="22"/>
        </w:rPr>
        <w:t>contractuales,</w:t>
      </w:r>
      <w:r w:rsidRPr="00EC452A">
        <w:rPr>
          <w:rFonts w:ascii="Arial" w:eastAsia="Arial" w:hAnsi="Arial" w:cs="Arial"/>
          <w:spacing w:val="22"/>
          <w:sz w:val="22"/>
          <w:szCs w:val="22"/>
        </w:rPr>
        <w:t xml:space="preserve"> </w:t>
      </w:r>
      <w:r w:rsidRPr="00EC452A">
        <w:rPr>
          <w:rFonts w:ascii="Arial" w:eastAsia="Arial" w:hAnsi="Arial" w:cs="Arial"/>
          <w:sz w:val="22"/>
          <w:szCs w:val="22"/>
        </w:rPr>
        <w:t>a partir</w:t>
      </w:r>
      <w:r w:rsidRPr="00EC452A">
        <w:rPr>
          <w:rFonts w:ascii="Arial" w:eastAsia="Arial" w:hAnsi="Arial" w:cs="Arial"/>
          <w:spacing w:val="7"/>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los</w:t>
      </w:r>
      <w:r w:rsidRPr="00EC452A">
        <w:rPr>
          <w:rFonts w:ascii="Arial" w:eastAsia="Arial" w:hAnsi="Arial" w:cs="Arial"/>
          <w:spacing w:val="3"/>
          <w:sz w:val="22"/>
          <w:szCs w:val="22"/>
        </w:rPr>
        <w:t xml:space="preserve"> </w:t>
      </w:r>
      <w:r w:rsidRPr="00EC452A">
        <w:rPr>
          <w:rFonts w:ascii="Arial" w:eastAsia="Arial" w:hAnsi="Arial" w:cs="Arial"/>
          <w:sz w:val="22"/>
          <w:szCs w:val="22"/>
        </w:rPr>
        <w:t>cuales</w:t>
      </w:r>
      <w:r w:rsidRPr="00EC452A">
        <w:rPr>
          <w:rFonts w:ascii="Arial" w:eastAsia="Arial" w:hAnsi="Arial" w:cs="Arial"/>
          <w:spacing w:val="9"/>
          <w:sz w:val="22"/>
          <w:szCs w:val="22"/>
        </w:rPr>
        <w:t xml:space="preserve"> </w:t>
      </w:r>
      <w:r w:rsidRPr="00EC452A">
        <w:rPr>
          <w:rFonts w:ascii="Arial" w:eastAsia="Arial" w:hAnsi="Arial" w:cs="Arial"/>
          <w:sz w:val="22"/>
          <w:szCs w:val="22"/>
        </w:rPr>
        <w:t>las</w:t>
      </w:r>
      <w:r w:rsidRPr="00EC452A">
        <w:rPr>
          <w:rFonts w:ascii="Arial" w:eastAsia="Arial" w:hAnsi="Arial" w:cs="Arial"/>
          <w:spacing w:val="3"/>
          <w:sz w:val="22"/>
          <w:szCs w:val="22"/>
        </w:rPr>
        <w:t xml:space="preserve"> </w:t>
      </w:r>
      <w:r w:rsidRPr="00EC452A">
        <w:rPr>
          <w:rFonts w:ascii="Arial" w:eastAsia="Arial" w:hAnsi="Arial" w:cs="Arial"/>
          <w:w w:val="102"/>
          <w:sz w:val="22"/>
          <w:szCs w:val="22"/>
        </w:rPr>
        <w:t xml:space="preserve">partes </w:t>
      </w:r>
      <w:r w:rsidRPr="00EC452A">
        <w:rPr>
          <w:rFonts w:ascii="Arial" w:eastAsia="Arial" w:hAnsi="Arial" w:cs="Arial"/>
          <w:sz w:val="22"/>
          <w:szCs w:val="22"/>
        </w:rPr>
        <w:t>concertarán</w:t>
      </w:r>
      <w:r w:rsidRPr="00EC452A">
        <w:rPr>
          <w:rFonts w:ascii="Arial" w:eastAsia="Arial" w:hAnsi="Arial" w:cs="Arial"/>
          <w:spacing w:val="16"/>
          <w:sz w:val="22"/>
          <w:szCs w:val="22"/>
        </w:rPr>
        <w:t xml:space="preserve"> </w:t>
      </w:r>
      <w:r w:rsidRPr="00EC452A">
        <w:rPr>
          <w:rFonts w:ascii="Arial" w:eastAsia="Arial" w:hAnsi="Arial" w:cs="Arial"/>
          <w:sz w:val="22"/>
          <w:szCs w:val="22"/>
        </w:rPr>
        <w:t>las</w:t>
      </w:r>
      <w:r w:rsidRPr="00EC452A">
        <w:rPr>
          <w:rFonts w:ascii="Arial" w:eastAsia="Arial" w:hAnsi="Arial" w:cs="Arial"/>
          <w:spacing w:val="1"/>
          <w:sz w:val="22"/>
          <w:szCs w:val="22"/>
        </w:rPr>
        <w:t xml:space="preserve"> </w:t>
      </w:r>
      <w:r w:rsidRPr="00EC452A">
        <w:rPr>
          <w:rFonts w:ascii="Arial" w:eastAsia="Arial" w:hAnsi="Arial" w:cs="Arial"/>
          <w:sz w:val="22"/>
          <w:szCs w:val="22"/>
        </w:rPr>
        <w:t>condiciones</w:t>
      </w:r>
      <w:r w:rsidRPr="00EC452A">
        <w:rPr>
          <w:rFonts w:ascii="Arial" w:eastAsia="Arial" w:hAnsi="Arial" w:cs="Arial"/>
          <w:spacing w:val="16"/>
          <w:sz w:val="22"/>
          <w:szCs w:val="22"/>
        </w:rPr>
        <w:t xml:space="preserve"> </w:t>
      </w:r>
      <w:r w:rsidRPr="00EC452A">
        <w:rPr>
          <w:rFonts w:ascii="Arial" w:eastAsia="Arial" w:hAnsi="Arial" w:cs="Arial"/>
          <w:sz w:val="22"/>
          <w:szCs w:val="22"/>
        </w:rPr>
        <w:t>específicas</w:t>
      </w:r>
      <w:r w:rsidRPr="00EC452A">
        <w:rPr>
          <w:rFonts w:ascii="Arial" w:eastAsia="Arial" w:hAnsi="Arial" w:cs="Arial"/>
          <w:spacing w:val="15"/>
          <w:sz w:val="22"/>
          <w:szCs w:val="22"/>
        </w:rPr>
        <w:t xml:space="preserve"> </w:t>
      </w:r>
      <w:r w:rsidRPr="00EC452A">
        <w:rPr>
          <w:rFonts w:ascii="Arial" w:eastAsia="Arial" w:hAnsi="Arial" w:cs="Arial"/>
          <w:sz w:val="22"/>
          <w:szCs w:val="22"/>
        </w:rPr>
        <w:t>de los</w:t>
      </w:r>
      <w:r w:rsidRPr="00EC452A">
        <w:rPr>
          <w:rFonts w:ascii="Arial" w:eastAsia="Arial" w:hAnsi="Arial" w:cs="Arial"/>
          <w:spacing w:val="1"/>
          <w:sz w:val="22"/>
          <w:szCs w:val="22"/>
        </w:rPr>
        <w:t xml:space="preserve"> </w:t>
      </w:r>
      <w:r w:rsidRPr="00EC452A">
        <w:rPr>
          <w:rFonts w:ascii="Arial" w:eastAsia="Arial" w:hAnsi="Arial" w:cs="Arial"/>
          <w:sz w:val="22"/>
          <w:szCs w:val="22"/>
        </w:rPr>
        <w:t>Contratos</w:t>
      </w:r>
      <w:r w:rsidRPr="00EC452A">
        <w:rPr>
          <w:rFonts w:ascii="Arial" w:eastAsia="Arial" w:hAnsi="Arial" w:cs="Arial"/>
          <w:spacing w:val="12"/>
          <w:sz w:val="22"/>
          <w:szCs w:val="22"/>
        </w:rPr>
        <w:t xml:space="preserve"> </w:t>
      </w:r>
      <w:r w:rsidRPr="00EC452A">
        <w:rPr>
          <w:rFonts w:ascii="Arial" w:eastAsia="Arial" w:hAnsi="Arial" w:cs="Arial"/>
          <w:sz w:val="22"/>
          <w:szCs w:val="22"/>
        </w:rPr>
        <w:t>Globales</w:t>
      </w:r>
      <w:r w:rsidRPr="00EC452A">
        <w:rPr>
          <w:rFonts w:ascii="Arial" w:eastAsia="Arial" w:hAnsi="Arial" w:cs="Arial"/>
          <w:spacing w:val="11"/>
          <w:sz w:val="22"/>
          <w:szCs w:val="22"/>
        </w:rPr>
        <w:t xml:space="preserve"> </w:t>
      </w:r>
      <w:r w:rsidRPr="00EC452A">
        <w:rPr>
          <w:rFonts w:ascii="Arial" w:eastAsia="Arial" w:hAnsi="Arial" w:cs="Arial"/>
          <w:sz w:val="22"/>
          <w:szCs w:val="22"/>
        </w:rPr>
        <w:t>de Comercialización</w:t>
      </w:r>
      <w:r w:rsidRPr="00EC452A">
        <w:rPr>
          <w:rFonts w:ascii="Arial" w:eastAsia="Arial" w:hAnsi="Arial" w:cs="Arial"/>
          <w:spacing w:val="25"/>
          <w:sz w:val="22"/>
          <w:szCs w:val="22"/>
        </w:rPr>
        <w:t xml:space="preserve"> </w:t>
      </w:r>
      <w:r w:rsidRPr="00EC452A">
        <w:rPr>
          <w:rFonts w:ascii="Arial" w:eastAsia="Arial" w:hAnsi="Arial" w:cs="Arial"/>
          <w:sz w:val="22"/>
          <w:szCs w:val="22"/>
        </w:rPr>
        <w:t>que</w:t>
      </w:r>
      <w:r w:rsidRPr="00EC452A">
        <w:rPr>
          <w:rFonts w:ascii="Arial" w:eastAsia="Arial" w:hAnsi="Arial" w:cs="Arial"/>
          <w:spacing w:val="2"/>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z w:val="22"/>
          <w:szCs w:val="22"/>
        </w:rPr>
        <w:t>suscriban,</w:t>
      </w:r>
      <w:r w:rsidRPr="00EC452A">
        <w:rPr>
          <w:rFonts w:ascii="Arial" w:eastAsia="Arial" w:hAnsi="Arial" w:cs="Arial"/>
          <w:spacing w:val="35"/>
          <w:sz w:val="22"/>
          <w:szCs w:val="22"/>
        </w:rPr>
        <w:t xml:space="preserve"> </w:t>
      </w:r>
      <w:r w:rsidRPr="00EC452A">
        <w:rPr>
          <w:rFonts w:ascii="Arial" w:eastAsia="Arial" w:hAnsi="Arial" w:cs="Arial"/>
          <w:sz w:val="22"/>
          <w:szCs w:val="22"/>
        </w:rPr>
        <w:t>así</w:t>
      </w:r>
      <w:r w:rsidRPr="00EC452A">
        <w:rPr>
          <w:rFonts w:ascii="Arial" w:eastAsia="Arial" w:hAnsi="Arial" w:cs="Arial"/>
          <w:spacing w:val="23"/>
          <w:sz w:val="22"/>
          <w:szCs w:val="22"/>
        </w:rPr>
        <w:t xml:space="preserve"> </w:t>
      </w:r>
      <w:r w:rsidRPr="00EC452A">
        <w:rPr>
          <w:rFonts w:ascii="Arial" w:eastAsia="Arial" w:hAnsi="Arial" w:cs="Arial"/>
          <w:sz w:val="22"/>
          <w:szCs w:val="22"/>
        </w:rPr>
        <w:t>como</w:t>
      </w:r>
      <w:r w:rsidRPr="00EC452A">
        <w:rPr>
          <w:rFonts w:ascii="Arial" w:eastAsia="Arial" w:hAnsi="Arial" w:cs="Arial"/>
          <w:spacing w:val="27"/>
          <w:sz w:val="22"/>
          <w:szCs w:val="22"/>
        </w:rPr>
        <w:t xml:space="preserve"> </w:t>
      </w:r>
      <w:r w:rsidRPr="00EC452A">
        <w:rPr>
          <w:rFonts w:ascii="Arial" w:eastAsia="Arial" w:hAnsi="Arial" w:cs="Arial"/>
          <w:sz w:val="22"/>
          <w:szCs w:val="22"/>
        </w:rPr>
        <w:t>el</w:t>
      </w:r>
      <w:r w:rsidRPr="00EC452A">
        <w:rPr>
          <w:rFonts w:ascii="Arial" w:eastAsia="Arial" w:hAnsi="Arial" w:cs="Arial"/>
          <w:spacing w:val="21"/>
          <w:sz w:val="22"/>
          <w:szCs w:val="22"/>
        </w:rPr>
        <w:t xml:space="preserve"> </w:t>
      </w:r>
      <w:r w:rsidRPr="00EC452A">
        <w:rPr>
          <w:rFonts w:ascii="Arial" w:eastAsia="Arial" w:hAnsi="Arial" w:cs="Arial"/>
          <w:sz w:val="22"/>
          <w:szCs w:val="22"/>
        </w:rPr>
        <w:t>establecimiento</w:t>
      </w:r>
      <w:r w:rsidRPr="00EC452A">
        <w:rPr>
          <w:rFonts w:ascii="Arial" w:eastAsia="Arial" w:hAnsi="Arial" w:cs="Arial"/>
          <w:spacing w:val="44"/>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comisiones</w:t>
      </w:r>
      <w:r w:rsidRPr="00EC452A">
        <w:rPr>
          <w:rFonts w:ascii="Arial" w:eastAsia="Arial" w:hAnsi="Arial" w:cs="Arial"/>
          <w:spacing w:val="37"/>
          <w:sz w:val="22"/>
          <w:szCs w:val="22"/>
        </w:rPr>
        <w:t xml:space="preserve"> </w:t>
      </w:r>
      <w:r w:rsidRPr="00EC452A">
        <w:rPr>
          <w:rFonts w:ascii="Arial" w:eastAsia="Arial" w:hAnsi="Arial" w:cs="Arial"/>
          <w:sz w:val="22"/>
          <w:szCs w:val="22"/>
        </w:rPr>
        <w:t>mixtas</w:t>
      </w:r>
      <w:r w:rsidRPr="00EC452A">
        <w:rPr>
          <w:rFonts w:ascii="Arial" w:eastAsia="Arial" w:hAnsi="Arial" w:cs="Arial"/>
          <w:spacing w:val="29"/>
          <w:sz w:val="22"/>
          <w:szCs w:val="22"/>
        </w:rPr>
        <w:t xml:space="preserve"> </w:t>
      </w:r>
      <w:r w:rsidRPr="00EC452A">
        <w:rPr>
          <w:rFonts w:ascii="Arial" w:eastAsia="Arial" w:hAnsi="Arial" w:cs="Arial"/>
          <w:sz w:val="22"/>
          <w:szCs w:val="22"/>
        </w:rPr>
        <w:t>para</w:t>
      </w:r>
      <w:r w:rsidRPr="00EC452A">
        <w:rPr>
          <w:rFonts w:ascii="Arial" w:eastAsia="Arial" w:hAnsi="Arial" w:cs="Arial"/>
          <w:spacing w:val="26"/>
          <w:sz w:val="22"/>
          <w:szCs w:val="22"/>
        </w:rPr>
        <w:t xml:space="preserve"> </w:t>
      </w:r>
      <w:r w:rsidRPr="00EC452A">
        <w:rPr>
          <w:rFonts w:ascii="Arial" w:eastAsia="Arial" w:hAnsi="Arial" w:cs="Arial"/>
          <w:sz w:val="22"/>
          <w:szCs w:val="22"/>
        </w:rPr>
        <w:t>el</w:t>
      </w:r>
      <w:r w:rsidRPr="00EC452A">
        <w:rPr>
          <w:rFonts w:ascii="Arial" w:eastAsia="Arial" w:hAnsi="Arial" w:cs="Arial"/>
          <w:spacing w:val="21"/>
          <w:sz w:val="22"/>
          <w:szCs w:val="22"/>
        </w:rPr>
        <w:t xml:space="preserve"> </w:t>
      </w:r>
      <w:r w:rsidRPr="00EC452A">
        <w:rPr>
          <w:rFonts w:ascii="Arial" w:eastAsia="Arial" w:hAnsi="Arial" w:cs="Arial"/>
          <w:sz w:val="22"/>
          <w:szCs w:val="22"/>
        </w:rPr>
        <w:t>cumplimiento</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w w:val="102"/>
          <w:sz w:val="22"/>
          <w:szCs w:val="22"/>
        </w:rPr>
        <w:t xml:space="preserve">funciones </w:t>
      </w:r>
      <w:r w:rsidRPr="00EC452A">
        <w:rPr>
          <w:rFonts w:ascii="Arial" w:eastAsia="Arial" w:hAnsi="Arial" w:cs="Arial"/>
          <w:spacing w:val="-1"/>
          <w:sz w:val="22"/>
          <w:szCs w:val="22"/>
        </w:rPr>
        <w:t>específica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prop</w:t>
      </w:r>
      <w:r w:rsidRPr="00EC452A">
        <w:rPr>
          <w:rFonts w:ascii="Arial" w:eastAsia="Arial" w:hAnsi="Arial" w:cs="Arial"/>
          <w:sz w:val="22"/>
          <w:szCs w:val="22"/>
        </w:rPr>
        <w:t>icien</w:t>
      </w:r>
      <w:r w:rsidRPr="00EC452A">
        <w:rPr>
          <w:rFonts w:ascii="Arial" w:eastAsia="Arial" w:hAnsi="Arial" w:cs="Arial"/>
          <w:spacing w:val="11"/>
          <w:sz w:val="22"/>
          <w:szCs w:val="22"/>
        </w:rPr>
        <w:t xml:space="preserve"> </w:t>
      </w:r>
      <w:r w:rsidRPr="00EC452A">
        <w:rPr>
          <w:rFonts w:ascii="Arial" w:eastAsia="Arial" w:hAnsi="Arial" w:cs="Arial"/>
          <w:sz w:val="22"/>
          <w:szCs w:val="22"/>
        </w:rPr>
        <w:t>mejores</w:t>
      </w:r>
      <w:r w:rsidRPr="00EC452A">
        <w:rPr>
          <w:rFonts w:ascii="Arial" w:eastAsia="Arial" w:hAnsi="Arial" w:cs="Arial"/>
          <w:spacing w:val="9"/>
          <w:sz w:val="22"/>
          <w:szCs w:val="22"/>
        </w:rPr>
        <w:t xml:space="preserve"> </w:t>
      </w:r>
      <w:r w:rsidRPr="00EC452A">
        <w:rPr>
          <w:rFonts w:ascii="Arial" w:eastAsia="Arial" w:hAnsi="Arial" w:cs="Arial"/>
          <w:sz w:val="22"/>
          <w:szCs w:val="22"/>
        </w:rPr>
        <w:t>condiciones</w:t>
      </w:r>
      <w:r w:rsidRPr="00EC452A">
        <w:rPr>
          <w:rFonts w:ascii="Arial" w:eastAsia="Arial" w:hAnsi="Arial" w:cs="Arial"/>
          <w:spacing w:val="16"/>
          <w:sz w:val="22"/>
          <w:szCs w:val="22"/>
        </w:rPr>
        <w:t xml:space="preserve"> </w:t>
      </w:r>
      <w:r w:rsidRPr="00EC452A">
        <w:rPr>
          <w:rFonts w:ascii="Arial" w:eastAsia="Arial" w:hAnsi="Arial" w:cs="Arial"/>
          <w:sz w:val="22"/>
          <w:szCs w:val="22"/>
        </w:rPr>
        <w:t>de comercialización</w:t>
      </w:r>
      <w:r w:rsidRPr="00EC452A">
        <w:rPr>
          <w:rFonts w:ascii="Arial" w:eastAsia="Arial" w:hAnsi="Arial" w:cs="Arial"/>
          <w:spacing w:val="24"/>
          <w:sz w:val="22"/>
          <w:szCs w:val="22"/>
        </w:rPr>
        <w:t xml:space="preserve"> </w:t>
      </w:r>
      <w:r w:rsidRPr="00EC452A">
        <w:rPr>
          <w:rFonts w:ascii="Arial" w:eastAsia="Arial" w:hAnsi="Arial" w:cs="Arial"/>
          <w:sz w:val="22"/>
          <w:szCs w:val="22"/>
        </w:rPr>
        <w:t>agropecuaria,</w:t>
      </w:r>
      <w:r w:rsidRPr="00EC452A">
        <w:rPr>
          <w:rFonts w:ascii="Arial" w:eastAsia="Arial" w:hAnsi="Arial" w:cs="Arial"/>
          <w:spacing w:val="19"/>
          <w:sz w:val="22"/>
          <w:szCs w:val="22"/>
        </w:rPr>
        <w:t xml:space="preserve"> </w:t>
      </w:r>
      <w:r w:rsidRPr="00EC452A">
        <w:rPr>
          <w:rFonts w:ascii="Arial" w:eastAsia="Arial" w:hAnsi="Arial" w:cs="Arial"/>
          <w:sz w:val="22"/>
          <w:szCs w:val="22"/>
        </w:rPr>
        <w:t>forestal</w:t>
      </w:r>
      <w:r w:rsidRPr="00EC452A">
        <w:rPr>
          <w:rFonts w:ascii="Arial" w:eastAsia="Arial" w:hAnsi="Arial" w:cs="Arial"/>
          <w:spacing w:val="8"/>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w w:val="102"/>
          <w:sz w:val="22"/>
          <w:szCs w:val="22"/>
        </w:rPr>
        <w:t>agropecuarios.</w:t>
      </w:r>
    </w:p>
    <w:p w14:paraId="1EC3ABB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118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contratos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globales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comercialización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tendrán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un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duración </w:t>
      </w:r>
      <w:r w:rsidRPr="00EC452A">
        <w:rPr>
          <w:rFonts w:ascii="Arial" w:eastAsia="Arial" w:hAnsi="Arial" w:cs="Arial"/>
          <w:spacing w:val="45"/>
          <w:sz w:val="22"/>
          <w:szCs w:val="22"/>
        </w:rPr>
        <w:t xml:space="preserve"> </w:t>
      </w:r>
      <w:r w:rsidRPr="00EC452A">
        <w:rPr>
          <w:rFonts w:ascii="Arial" w:eastAsia="Arial" w:hAnsi="Arial" w:cs="Arial"/>
          <w:w w:val="102"/>
          <w:sz w:val="22"/>
          <w:szCs w:val="22"/>
        </w:rPr>
        <w:t xml:space="preserve">máxima </w:t>
      </w:r>
      <w:r w:rsidRPr="00EC452A">
        <w:rPr>
          <w:rFonts w:ascii="Arial" w:eastAsia="Arial" w:hAnsi="Arial" w:cs="Arial"/>
          <w:spacing w:val="-2"/>
          <w:sz w:val="22"/>
          <w:szCs w:val="22"/>
        </w:rPr>
        <w:t>equivalent</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cicl</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productiv</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materi</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prim</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objet</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compra</w:t>
      </w:r>
      <w:r w:rsidRPr="00EC452A">
        <w:rPr>
          <w:rFonts w:ascii="Arial" w:eastAsia="Arial" w:hAnsi="Arial" w:cs="Arial"/>
          <w:spacing w:val="-5"/>
          <w:sz w:val="22"/>
          <w:szCs w:val="22"/>
        </w:rPr>
        <w:t>-</w:t>
      </w:r>
      <w:r w:rsidRPr="00EC452A">
        <w:rPr>
          <w:rFonts w:ascii="Arial" w:eastAsia="Arial" w:hAnsi="Arial" w:cs="Arial"/>
          <w:spacing w:val="-10"/>
          <w:sz w:val="22"/>
          <w:szCs w:val="22"/>
        </w:rPr>
        <w:t>ven</w:t>
      </w:r>
      <w:r w:rsidRPr="00EC452A">
        <w:rPr>
          <w:rFonts w:ascii="Arial" w:eastAsia="Arial" w:hAnsi="Arial" w:cs="Arial"/>
          <w:spacing w:val="5"/>
          <w:sz w:val="22"/>
          <w:szCs w:val="22"/>
        </w:rPr>
        <w:t>t</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podrá</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2"/>
          <w:w w:val="102"/>
          <w:sz w:val="22"/>
          <w:szCs w:val="22"/>
        </w:rPr>
        <w:t xml:space="preserve">ser </w:t>
      </w:r>
      <w:r w:rsidRPr="00EC452A">
        <w:rPr>
          <w:rFonts w:ascii="Arial" w:eastAsia="Arial" w:hAnsi="Arial" w:cs="Arial"/>
          <w:spacing w:val="-2"/>
          <w:sz w:val="22"/>
          <w:szCs w:val="22"/>
        </w:rPr>
        <w:t>prorrogado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previ</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autorizació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Secretaría.</w:t>
      </w:r>
    </w:p>
    <w:p w14:paraId="539E895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119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 xml:space="preserve">o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trat</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negociació</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mínimo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contractuale</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respetarse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siguiente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reglas:</w:t>
      </w:r>
    </w:p>
    <w:p w14:paraId="0407482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w:t>
      </w:r>
      <w:r w:rsidRPr="00EC452A">
        <w:rPr>
          <w:rFonts w:ascii="Arial" w:eastAsia="Arial" w:hAnsi="Arial" w:cs="Arial"/>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convencione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organizacione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consumidore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pr</w:t>
      </w:r>
      <w:r w:rsidRPr="00EC452A">
        <w:rPr>
          <w:rFonts w:ascii="Arial" w:eastAsia="Arial" w:hAnsi="Arial" w:cs="Arial"/>
          <w:spacing w:val="1"/>
          <w:w w:val="102"/>
          <w:sz w:val="22"/>
          <w:szCs w:val="22"/>
        </w:rPr>
        <w:t xml:space="preserve">oductos </w:t>
      </w:r>
      <w:r w:rsidRPr="00EC452A">
        <w:rPr>
          <w:rFonts w:ascii="Arial" w:eastAsia="Arial" w:hAnsi="Arial" w:cs="Arial"/>
          <w:spacing w:val="-1"/>
          <w:sz w:val="22"/>
          <w:szCs w:val="22"/>
        </w:rPr>
        <w:t>agropecuario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forestales</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empresa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agroindustriales</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n</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presidida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quie</w:t>
      </w:r>
      <w:r w:rsidRPr="00EC452A">
        <w:rPr>
          <w:rFonts w:ascii="Arial" w:eastAsia="Arial" w:hAnsi="Arial" w:cs="Arial"/>
          <w:sz w:val="22"/>
          <w:szCs w:val="22"/>
        </w:rPr>
        <w:t>n</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design</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nive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nacional</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bie</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representacione</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misma</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jefe</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2"/>
          <w:sz w:val="22"/>
          <w:szCs w:val="22"/>
        </w:rPr>
        <w:t>Distrit</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Rieg</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Tempora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zon</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correspon</w:t>
      </w:r>
      <w:r w:rsidRPr="00EC452A">
        <w:rPr>
          <w:rFonts w:ascii="Arial" w:eastAsia="Arial" w:hAnsi="Arial" w:cs="Arial"/>
          <w:spacing w:val="-5"/>
          <w:w w:val="102"/>
          <w:sz w:val="22"/>
          <w:szCs w:val="22"/>
        </w:rPr>
        <w:t>da.</w:t>
      </w:r>
    </w:p>
    <w:p w14:paraId="2668354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Aprobad</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negociación</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publicar</w:t>
      </w:r>
      <w:r w:rsidRPr="00EC452A">
        <w:rPr>
          <w:rFonts w:ascii="Arial" w:eastAsia="Arial" w:hAnsi="Arial" w:cs="Arial"/>
          <w:sz w:val="22"/>
          <w:szCs w:val="22"/>
        </w:rPr>
        <w:t>á</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"Diari</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Oficial</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Federació</w:t>
      </w:r>
      <w:r w:rsidRPr="00EC452A">
        <w:rPr>
          <w:rFonts w:ascii="Arial" w:eastAsia="Arial" w:hAnsi="Arial" w:cs="Arial"/>
          <w:sz w:val="22"/>
          <w:szCs w:val="22"/>
        </w:rPr>
        <w:t xml:space="preserve">n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contenid</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á</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integrad</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Contrato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aprueb</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dich</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dependencia.</w:t>
      </w:r>
    </w:p>
    <w:p w14:paraId="06D072E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120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z w:val="22"/>
          <w:szCs w:val="22"/>
        </w:rPr>
        <w:t>Las</w:t>
      </w:r>
      <w:r w:rsidRPr="00EC452A">
        <w:rPr>
          <w:rFonts w:ascii="Arial" w:eastAsia="Arial" w:hAnsi="Arial" w:cs="Arial"/>
          <w:spacing w:val="35"/>
          <w:sz w:val="22"/>
          <w:szCs w:val="22"/>
        </w:rPr>
        <w:t xml:space="preserve"> </w:t>
      </w:r>
      <w:r w:rsidRPr="00EC452A">
        <w:rPr>
          <w:rFonts w:ascii="Arial" w:eastAsia="Arial" w:hAnsi="Arial" w:cs="Arial"/>
          <w:sz w:val="22"/>
          <w:szCs w:val="22"/>
        </w:rPr>
        <w:t>partes</w:t>
      </w:r>
      <w:r w:rsidRPr="00EC452A">
        <w:rPr>
          <w:rFonts w:ascii="Arial" w:eastAsia="Arial" w:hAnsi="Arial" w:cs="Arial"/>
          <w:spacing w:val="39"/>
          <w:sz w:val="22"/>
          <w:szCs w:val="22"/>
        </w:rPr>
        <w:t xml:space="preserve"> </w:t>
      </w:r>
      <w:r w:rsidRPr="00EC452A">
        <w:rPr>
          <w:rFonts w:ascii="Arial" w:eastAsia="Arial" w:hAnsi="Arial" w:cs="Arial"/>
          <w:sz w:val="22"/>
          <w:szCs w:val="22"/>
        </w:rPr>
        <w:t>que</w:t>
      </w:r>
      <w:r w:rsidRPr="00EC452A">
        <w:rPr>
          <w:rFonts w:ascii="Arial" w:eastAsia="Arial" w:hAnsi="Arial" w:cs="Arial"/>
          <w:spacing w:val="35"/>
          <w:sz w:val="22"/>
          <w:szCs w:val="22"/>
        </w:rPr>
        <w:t xml:space="preserve"> </w:t>
      </w:r>
      <w:r w:rsidRPr="00EC452A">
        <w:rPr>
          <w:rFonts w:ascii="Arial" w:eastAsia="Arial" w:hAnsi="Arial" w:cs="Arial"/>
          <w:sz w:val="22"/>
          <w:szCs w:val="22"/>
        </w:rPr>
        <w:t>celebren</w:t>
      </w:r>
      <w:r w:rsidRPr="00EC452A">
        <w:rPr>
          <w:rFonts w:ascii="Arial" w:eastAsia="Arial" w:hAnsi="Arial" w:cs="Arial"/>
          <w:spacing w:val="43"/>
          <w:sz w:val="22"/>
          <w:szCs w:val="22"/>
        </w:rPr>
        <w:t xml:space="preserve"> </w:t>
      </w:r>
      <w:r w:rsidRPr="00EC452A">
        <w:rPr>
          <w:rFonts w:ascii="Arial" w:eastAsia="Arial" w:hAnsi="Arial" w:cs="Arial"/>
          <w:sz w:val="22"/>
          <w:szCs w:val="22"/>
        </w:rPr>
        <w:t>los</w:t>
      </w:r>
      <w:r w:rsidRPr="00EC452A">
        <w:rPr>
          <w:rFonts w:ascii="Arial" w:eastAsia="Arial" w:hAnsi="Arial" w:cs="Arial"/>
          <w:spacing w:val="34"/>
          <w:sz w:val="22"/>
          <w:szCs w:val="22"/>
        </w:rPr>
        <w:t xml:space="preserve"> </w:t>
      </w:r>
      <w:r w:rsidRPr="00EC452A">
        <w:rPr>
          <w:rFonts w:ascii="Arial" w:eastAsia="Arial" w:hAnsi="Arial" w:cs="Arial"/>
          <w:sz w:val="22"/>
          <w:szCs w:val="22"/>
        </w:rPr>
        <w:t>contratos</w:t>
      </w:r>
      <w:r w:rsidRPr="00EC452A">
        <w:rPr>
          <w:rFonts w:ascii="Arial" w:eastAsia="Arial" w:hAnsi="Arial" w:cs="Arial"/>
          <w:spacing w:val="44"/>
          <w:sz w:val="22"/>
          <w:szCs w:val="22"/>
        </w:rPr>
        <w:t xml:space="preserve"> </w:t>
      </w:r>
      <w:r w:rsidRPr="00EC452A">
        <w:rPr>
          <w:rFonts w:ascii="Arial" w:eastAsia="Arial" w:hAnsi="Arial" w:cs="Arial"/>
          <w:sz w:val="22"/>
          <w:szCs w:val="22"/>
        </w:rPr>
        <w:t>globales</w:t>
      </w:r>
      <w:r w:rsidRPr="00EC452A">
        <w:rPr>
          <w:rFonts w:ascii="Arial" w:eastAsia="Arial" w:hAnsi="Arial" w:cs="Arial"/>
          <w:spacing w:val="43"/>
          <w:sz w:val="22"/>
          <w:szCs w:val="22"/>
        </w:rPr>
        <w:t xml:space="preserve"> </w:t>
      </w:r>
      <w:r w:rsidRPr="00EC452A">
        <w:rPr>
          <w:rFonts w:ascii="Arial" w:eastAsia="Arial" w:hAnsi="Arial" w:cs="Arial"/>
          <w:sz w:val="22"/>
          <w:szCs w:val="22"/>
        </w:rPr>
        <w:t>de</w:t>
      </w:r>
      <w:r w:rsidRPr="00EC452A">
        <w:rPr>
          <w:rFonts w:ascii="Arial" w:eastAsia="Arial" w:hAnsi="Arial" w:cs="Arial"/>
          <w:spacing w:val="33"/>
          <w:sz w:val="22"/>
          <w:szCs w:val="22"/>
        </w:rPr>
        <w:t xml:space="preserve"> </w:t>
      </w:r>
      <w:r w:rsidRPr="00EC452A">
        <w:rPr>
          <w:rFonts w:ascii="Arial" w:eastAsia="Arial" w:hAnsi="Arial" w:cs="Arial"/>
          <w:sz w:val="22"/>
          <w:szCs w:val="22"/>
        </w:rPr>
        <w:t>c</w:t>
      </w:r>
      <w:r w:rsidRPr="00EC452A">
        <w:rPr>
          <w:rFonts w:ascii="Arial" w:eastAsia="Arial" w:hAnsi="Arial" w:cs="Arial"/>
          <w:spacing w:val="-15"/>
          <w:sz w:val="22"/>
          <w:szCs w:val="22"/>
        </w:rPr>
        <w:t>o</w:t>
      </w:r>
      <w:r w:rsidRPr="00EC452A">
        <w:rPr>
          <w:rFonts w:ascii="Arial" w:eastAsia="Arial" w:hAnsi="Arial" w:cs="Arial"/>
          <w:spacing w:val="-1"/>
          <w:sz w:val="22"/>
          <w:szCs w:val="22"/>
        </w:rPr>
        <w:t>mercializació</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z w:val="22"/>
          <w:szCs w:val="22"/>
        </w:rPr>
        <w:t xml:space="preserve">las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disposiciones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este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Reglamento,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tendrán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acceso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preferente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estímulos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29"/>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establece</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prioridade</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mism</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7"/>
          <w:w w:val="102"/>
          <w:sz w:val="22"/>
          <w:szCs w:val="22"/>
        </w:rPr>
        <w:t>prevén.</w:t>
      </w:r>
    </w:p>
    <w:p w14:paraId="05D40147" w14:textId="77777777" w:rsidR="00EC452A" w:rsidRPr="00EC452A" w:rsidRDefault="00EC452A" w:rsidP="00EC452A">
      <w:pPr>
        <w:spacing w:before="100" w:beforeAutospacing="1" w:after="100" w:afterAutospacing="1" w:line="240" w:lineRule="auto"/>
        <w:jc w:val="both"/>
        <w:rPr>
          <w:rFonts w:ascii="Arial" w:eastAsia="Arial" w:hAnsi="Arial" w:cs="Arial"/>
          <w:spacing w:val="-2"/>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121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ocurra</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cambio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imprevistos</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ajeno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volunta</w:t>
      </w:r>
      <w:r w:rsidRPr="00EC452A">
        <w:rPr>
          <w:rFonts w:ascii="Arial" w:eastAsia="Arial" w:hAnsi="Arial" w:cs="Arial"/>
          <w:sz w:val="22"/>
          <w:szCs w:val="22"/>
        </w:rPr>
        <w:t>d</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contratante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z w:val="22"/>
          <w:szCs w:val="22"/>
        </w:rPr>
        <w:t>las</w:t>
      </w:r>
      <w:r w:rsidRPr="00EC452A">
        <w:rPr>
          <w:rFonts w:ascii="Arial" w:eastAsia="Arial" w:hAnsi="Arial" w:cs="Arial"/>
          <w:spacing w:val="24"/>
          <w:sz w:val="22"/>
          <w:szCs w:val="22"/>
        </w:rPr>
        <w:t xml:space="preserve"> </w:t>
      </w:r>
      <w:r w:rsidRPr="00EC452A">
        <w:rPr>
          <w:rFonts w:ascii="Arial" w:eastAsia="Arial" w:hAnsi="Arial" w:cs="Arial"/>
          <w:sz w:val="22"/>
          <w:szCs w:val="22"/>
        </w:rPr>
        <w:t>condiciones</w:t>
      </w:r>
      <w:r w:rsidRPr="00EC452A">
        <w:rPr>
          <w:rFonts w:ascii="Arial" w:eastAsia="Arial" w:hAnsi="Arial" w:cs="Arial"/>
          <w:spacing w:val="39"/>
          <w:sz w:val="22"/>
          <w:szCs w:val="22"/>
        </w:rPr>
        <w:t xml:space="preserve"> </w:t>
      </w:r>
      <w:r w:rsidRPr="00EC452A">
        <w:rPr>
          <w:rFonts w:ascii="Arial" w:eastAsia="Arial" w:hAnsi="Arial" w:cs="Arial"/>
          <w:sz w:val="22"/>
          <w:szCs w:val="22"/>
        </w:rPr>
        <w:t>conforme</w:t>
      </w:r>
      <w:r w:rsidRPr="00EC452A">
        <w:rPr>
          <w:rFonts w:ascii="Arial" w:eastAsia="Arial" w:hAnsi="Arial" w:cs="Arial"/>
          <w:spacing w:val="35"/>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z w:val="22"/>
          <w:szCs w:val="22"/>
        </w:rPr>
        <w:t>las</w:t>
      </w:r>
      <w:r w:rsidRPr="00EC452A">
        <w:rPr>
          <w:rFonts w:ascii="Arial" w:eastAsia="Arial" w:hAnsi="Arial" w:cs="Arial"/>
          <w:spacing w:val="24"/>
          <w:sz w:val="22"/>
          <w:szCs w:val="22"/>
        </w:rPr>
        <w:t xml:space="preserve"> </w:t>
      </w:r>
      <w:r w:rsidRPr="00EC452A">
        <w:rPr>
          <w:rFonts w:ascii="Arial" w:eastAsia="Arial" w:hAnsi="Arial" w:cs="Arial"/>
          <w:sz w:val="22"/>
          <w:szCs w:val="22"/>
        </w:rPr>
        <w:t>cuales</w:t>
      </w:r>
      <w:r w:rsidRPr="00EC452A">
        <w:rPr>
          <w:rFonts w:ascii="Arial" w:eastAsia="Arial" w:hAnsi="Arial" w:cs="Arial"/>
          <w:spacing w:val="30"/>
          <w:sz w:val="22"/>
          <w:szCs w:val="22"/>
        </w:rPr>
        <w:t xml:space="preserve"> </w:t>
      </w:r>
      <w:r w:rsidRPr="00EC452A">
        <w:rPr>
          <w:rFonts w:ascii="Arial" w:eastAsia="Arial" w:hAnsi="Arial" w:cs="Arial"/>
          <w:sz w:val="22"/>
          <w:szCs w:val="22"/>
        </w:rPr>
        <w:t>se</w:t>
      </w:r>
      <w:r w:rsidRPr="00EC452A">
        <w:rPr>
          <w:rFonts w:ascii="Arial" w:eastAsia="Arial" w:hAnsi="Arial" w:cs="Arial"/>
          <w:spacing w:val="23"/>
          <w:sz w:val="22"/>
          <w:szCs w:val="22"/>
        </w:rPr>
        <w:t xml:space="preserve"> </w:t>
      </w:r>
      <w:r w:rsidRPr="00EC452A">
        <w:rPr>
          <w:rFonts w:ascii="Arial" w:eastAsia="Arial" w:hAnsi="Arial" w:cs="Arial"/>
          <w:sz w:val="22"/>
          <w:szCs w:val="22"/>
        </w:rPr>
        <w:t>establecieron</w:t>
      </w:r>
      <w:r w:rsidRPr="00EC452A">
        <w:rPr>
          <w:rFonts w:ascii="Arial" w:eastAsia="Arial" w:hAnsi="Arial" w:cs="Arial"/>
          <w:spacing w:val="42"/>
          <w:sz w:val="22"/>
          <w:szCs w:val="22"/>
        </w:rPr>
        <w:t xml:space="preserve"> </w:t>
      </w:r>
      <w:r w:rsidRPr="00EC452A">
        <w:rPr>
          <w:rFonts w:ascii="Arial" w:eastAsia="Arial" w:hAnsi="Arial" w:cs="Arial"/>
          <w:sz w:val="22"/>
          <w:szCs w:val="22"/>
        </w:rPr>
        <w:t>los</w:t>
      </w:r>
      <w:r w:rsidRPr="00EC452A">
        <w:rPr>
          <w:rFonts w:ascii="Arial" w:eastAsia="Arial" w:hAnsi="Arial" w:cs="Arial"/>
          <w:spacing w:val="24"/>
          <w:sz w:val="22"/>
          <w:szCs w:val="22"/>
        </w:rPr>
        <w:t xml:space="preserve"> </w:t>
      </w:r>
      <w:r w:rsidRPr="00EC452A">
        <w:rPr>
          <w:rFonts w:ascii="Arial" w:eastAsia="Arial" w:hAnsi="Arial" w:cs="Arial"/>
          <w:sz w:val="22"/>
          <w:szCs w:val="22"/>
        </w:rPr>
        <w:t>términos</w:t>
      </w:r>
      <w:r w:rsidRPr="00EC452A">
        <w:rPr>
          <w:rFonts w:ascii="Arial" w:eastAsia="Arial" w:hAnsi="Arial" w:cs="Arial"/>
          <w:spacing w:val="34"/>
          <w:sz w:val="22"/>
          <w:szCs w:val="22"/>
        </w:rPr>
        <w:t xml:space="preserve"> </w:t>
      </w:r>
      <w:r w:rsidRPr="00EC452A">
        <w:rPr>
          <w:rFonts w:ascii="Arial" w:eastAsia="Arial" w:hAnsi="Arial" w:cs="Arial"/>
          <w:sz w:val="22"/>
          <w:szCs w:val="22"/>
        </w:rPr>
        <w:t>del</w:t>
      </w:r>
      <w:r w:rsidRPr="00EC452A">
        <w:rPr>
          <w:rFonts w:ascii="Arial" w:eastAsia="Arial" w:hAnsi="Arial" w:cs="Arial"/>
          <w:spacing w:val="24"/>
          <w:sz w:val="22"/>
          <w:szCs w:val="22"/>
        </w:rPr>
        <w:t xml:space="preserve"> </w:t>
      </w:r>
      <w:r w:rsidRPr="00EC452A">
        <w:rPr>
          <w:rFonts w:ascii="Arial" w:eastAsia="Arial" w:hAnsi="Arial" w:cs="Arial"/>
          <w:sz w:val="22"/>
          <w:szCs w:val="22"/>
        </w:rPr>
        <w:t>intercambio</w:t>
      </w:r>
      <w:r w:rsidRPr="00EC452A">
        <w:rPr>
          <w:rFonts w:ascii="Arial" w:eastAsia="Arial" w:hAnsi="Arial" w:cs="Arial"/>
          <w:spacing w:val="39"/>
          <w:sz w:val="22"/>
          <w:szCs w:val="22"/>
        </w:rPr>
        <w:t xml:space="preserve"> </w:t>
      </w:r>
      <w:r w:rsidRPr="00EC452A">
        <w:rPr>
          <w:rFonts w:ascii="Arial" w:eastAsia="Arial" w:hAnsi="Arial" w:cs="Arial"/>
          <w:sz w:val="22"/>
          <w:szCs w:val="22"/>
        </w:rPr>
        <w:t>pactado,</w:t>
      </w:r>
      <w:r w:rsidRPr="00EC452A">
        <w:rPr>
          <w:rFonts w:ascii="Arial" w:eastAsia="Arial" w:hAnsi="Arial" w:cs="Arial"/>
          <w:spacing w:val="34"/>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pacing w:val="-2"/>
          <w:sz w:val="22"/>
          <w:szCs w:val="22"/>
        </w:rPr>
        <w:t>part</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afectad</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podr</w:t>
      </w:r>
      <w:r w:rsidRPr="00EC452A">
        <w:rPr>
          <w:rFonts w:ascii="Arial" w:eastAsia="Arial" w:hAnsi="Arial" w:cs="Arial"/>
          <w:sz w:val="22"/>
          <w:szCs w:val="22"/>
        </w:rPr>
        <w:t>á</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solicita</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ant</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revisió</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convenido.</w:t>
      </w:r>
    </w:p>
    <w:p w14:paraId="3141A49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122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Contra</w:t>
      </w:r>
      <w:r w:rsidRPr="00EC452A">
        <w:rPr>
          <w:rFonts w:ascii="Arial" w:eastAsia="Arial" w:hAnsi="Arial" w:cs="Arial"/>
          <w:spacing w:val="13"/>
          <w:sz w:val="22"/>
          <w:szCs w:val="22"/>
        </w:rPr>
        <w:t>t</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z w:val="22"/>
          <w:szCs w:val="22"/>
        </w:rPr>
        <w:t>Global</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Comercialización</w:t>
      </w:r>
      <w:r w:rsidRPr="00EC452A">
        <w:rPr>
          <w:rFonts w:ascii="Arial" w:eastAsia="Arial" w:hAnsi="Arial" w:cs="Arial"/>
          <w:spacing w:val="36"/>
          <w:sz w:val="22"/>
          <w:szCs w:val="22"/>
        </w:rPr>
        <w:t xml:space="preserve"> </w:t>
      </w:r>
      <w:r w:rsidRPr="00EC452A">
        <w:rPr>
          <w:rFonts w:ascii="Arial" w:eastAsia="Arial" w:hAnsi="Arial" w:cs="Arial"/>
          <w:sz w:val="22"/>
          <w:szCs w:val="22"/>
        </w:rPr>
        <w:t>contará</w:t>
      </w:r>
      <w:r w:rsidRPr="00EC452A">
        <w:rPr>
          <w:rFonts w:ascii="Arial" w:eastAsia="Arial" w:hAnsi="Arial" w:cs="Arial"/>
          <w:spacing w:val="20"/>
          <w:sz w:val="22"/>
          <w:szCs w:val="22"/>
        </w:rPr>
        <w:t xml:space="preserve">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siguientes</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cláusulas:</w:t>
      </w:r>
    </w:p>
    <w:p w14:paraId="3E54C7C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sz w:val="22"/>
          <w:szCs w:val="22"/>
        </w:rPr>
        <w:t>nombre</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domicilio</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partes</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contratantes.</w:t>
      </w:r>
    </w:p>
    <w:p w14:paraId="558094E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representació</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interviene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contratantes.</w:t>
      </w:r>
    </w:p>
    <w:p w14:paraId="40DD2E9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Término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compra</w:t>
      </w:r>
      <w:r w:rsidRPr="00EC452A">
        <w:rPr>
          <w:rFonts w:ascii="Arial" w:eastAsia="Arial" w:hAnsi="Arial" w:cs="Arial"/>
          <w:spacing w:val="-5"/>
          <w:sz w:val="22"/>
          <w:szCs w:val="22"/>
        </w:rPr>
        <w:t>-</w:t>
      </w:r>
      <w:r w:rsidRPr="00EC452A">
        <w:rPr>
          <w:rFonts w:ascii="Arial" w:eastAsia="Arial" w:hAnsi="Arial" w:cs="Arial"/>
          <w:spacing w:val="-2"/>
          <w:sz w:val="22"/>
          <w:szCs w:val="22"/>
        </w:rPr>
        <w:t>vent</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producto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objet</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tran</w:t>
      </w:r>
      <w:r w:rsidRPr="00EC452A">
        <w:rPr>
          <w:rFonts w:ascii="Arial" w:eastAsia="Arial" w:hAnsi="Arial" w:cs="Arial"/>
          <w:spacing w:val="13"/>
          <w:sz w:val="22"/>
          <w:szCs w:val="22"/>
        </w:rPr>
        <w:t>s</w:t>
      </w:r>
      <w:r w:rsidRPr="00EC452A">
        <w:rPr>
          <w:rFonts w:ascii="Arial" w:eastAsia="Arial" w:hAnsi="Arial" w:cs="Arial"/>
          <w:spacing w:val="1"/>
          <w:sz w:val="22"/>
          <w:szCs w:val="22"/>
        </w:rPr>
        <w:t>acció</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especial:</w:t>
      </w:r>
    </w:p>
    <w:p w14:paraId="005069EA"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luga</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entreg</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producto.</w:t>
      </w:r>
    </w:p>
    <w:p w14:paraId="27FBE57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b</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precio.</w:t>
      </w:r>
    </w:p>
    <w:p w14:paraId="059DD2B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lastRenderedPageBreak/>
        <w:t xml:space="preserve">c)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plazo,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lugar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modalidades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pago,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así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como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porcentajes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mermas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1"/>
          <w:sz w:val="22"/>
          <w:szCs w:val="22"/>
        </w:rPr>
        <w:t xml:space="preserve"> </w:t>
      </w:r>
      <w:r w:rsidRPr="00EC452A">
        <w:rPr>
          <w:rFonts w:ascii="Arial" w:eastAsia="Arial" w:hAnsi="Arial" w:cs="Arial"/>
          <w:w w:val="102"/>
          <w:sz w:val="22"/>
          <w:szCs w:val="22"/>
        </w:rPr>
        <w:t xml:space="preserve">otras </w:t>
      </w:r>
      <w:r w:rsidRPr="00EC452A">
        <w:rPr>
          <w:rFonts w:ascii="Arial" w:eastAsia="Arial" w:hAnsi="Arial" w:cs="Arial"/>
          <w:spacing w:val="-2"/>
          <w:sz w:val="22"/>
          <w:szCs w:val="22"/>
        </w:rPr>
        <w:t>condicione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modifique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preci</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2"/>
          <w:w w:val="102"/>
          <w:sz w:val="22"/>
          <w:szCs w:val="22"/>
        </w:rPr>
        <w:t>acordado.</w:t>
      </w:r>
    </w:p>
    <w:p w14:paraId="12A9238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destin</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dar</w:t>
      </w:r>
      <w:r w:rsidRPr="00EC452A">
        <w:rPr>
          <w:rFonts w:ascii="Arial" w:eastAsia="Arial" w:hAnsi="Arial" w:cs="Arial"/>
          <w:sz w:val="22"/>
          <w:szCs w:val="22"/>
        </w:rPr>
        <w:t>á</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product</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objet</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contrato.</w:t>
      </w:r>
    </w:p>
    <w:p w14:paraId="7DC4A73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mont</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oportunida</w:t>
      </w:r>
      <w:r w:rsidRPr="00EC452A">
        <w:rPr>
          <w:rFonts w:ascii="Arial" w:eastAsia="Arial" w:hAnsi="Arial" w:cs="Arial"/>
          <w:sz w:val="22"/>
          <w:szCs w:val="22"/>
        </w:rPr>
        <w:t>d</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anticipo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convenga</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trat</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compraventa </w:t>
      </w:r>
      <w:r w:rsidRPr="00EC452A">
        <w:rPr>
          <w:rFonts w:ascii="Arial" w:eastAsia="Arial" w:hAnsi="Arial" w:cs="Arial"/>
          <w:sz w:val="22"/>
          <w:szCs w:val="22"/>
        </w:rPr>
        <w:t>a</w:t>
      </w:r>
      <w:r w:rsidRPr="00EC452A">
        <w:rPr>
          <w:rFonts w:ascii="Arial" w:eastAsia="Arial" w:hAnsi="Arial" w:cs="Arial"/>
          <w:spacing w:val="5"/>
          <w:sz w:val="22"/>
          <w:szCs w:val="22"/>
        </w:rPr>
        <w:t xml:space="preserve"> </w:t>
      </w:r>
      <w:r w:rsidRPr="00EC452A">
        <w:rPr>
          <w:rFonts w:ascii="Arial" w:eastAsia="Arial" w:hAnsi="Arial" w:cs="Arial"/>
          <w:spacing w:val="-4"/>
          <w:w w:val="102"/>
          <w:sz w:val="22"/>
          <w:szCs w:val="22"/>
        </w:rPr>
        <w:t>futuro.</w:t>
      </w:r>
    </w:p>
    <w:p w14:paraId="7C50CE0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f</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duració</w:t>
      </w:r>
      <w:r w:rsidRPr="00EC452A">
        <w:rPr>
          <w:rFonts w:ascii="Arial" w:eastAsia="Arial" w:hAnsi="Arial" w:cs="Arial"/>
          <w:sz w:val="22"/>
          <w:szCs w:val="22"/>
        </w:rPr>
        <w:t xml:space="preserve">n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contrat</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condicione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renovació</w:t>
      </w:r>
      <w:r w:rsidRPr="00EC452A">
        <w:rPr>
          <w:rFonts w:ascii="Arial" w:eastAsia="Arial" w:hAnsi="Arial" w:cs="Arial"/>
          <w:sz w:val="22"/>
          <w:szCs w:val="22"/>
        </w:rPr>
        <w:t xml:space="preserve">n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mism</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base </w:t>
      </w:r>
      <w:r w:rsidRPr="00EC452A">
        <w:rPr>
          <w:rFonts w:ascii="Arial" w:eastAsia="Arial" w:hAnsi="Arial" w:cs="Arial"/>
          <w:spacing w:val="-2"/>
          <w:sz w:val="22"/>
          <w:szCs w:val="22"/>
        </w:rPr>
        <w:t>mínim</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revisió</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preci</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2"/>
          <w:w w:val="102"/>
          <w:sz w:val="22"/>
          <w:szCs w:val="22"/>
        </w:rPr>
        <w:t>unitario.</w:t>
      </w:r>
    </w:p>
    <w:p w14:paraId="42FC36D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g</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estipulacione</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convengan.</w:t>
      </w:r>
    </w:p>
    <w:p w14:paraId="60D173C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riesgo</w:t>
      </w:r>
      <w:r w:rsidRPr="00EC452A">
        <w:rPr>
          <w:rFonts w:ascii="Arial" w:eastAsia="Arial" w:hAnsi="Arial" w:cs="Arial"/>
          <w:sz w:val="22"/>
          <w:szCs w:val="22"/>
        </w:rPr>
        <w:t>s</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derivado</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adopció</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innovacione</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tecnológica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agropecuaria</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convenida</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
          <w:sz w:val="22"/>
          <w:szCs w:val="22"/>
        </w:rPr>
        <w:t>partes</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asumido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w w:val="102"/>
          <w:sz w:val="22"/>
          <w:szCs w:val="22"/>
        </w:rPr>
        <w:t xml:space="preserve">empresa </w:t>
      </w:r>
      <w:r w:rsidRPr="00EC452A">
        <w:rPr>
          <w:rFonts w:ascii="Arial" w:eastAsia="Arial" w:hAnsi="Arial" w:cs="Arial"/>
          <w:spacing w:val="-1"/>
          <w:sz w:val="22"/>
          <w:szCs w:val="22"/>
        </w:rPr>
        <w:t>agropecuarios</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caso.</w:t>
      </w:r>
    </w:p>
    <w:p w14:paraId="5E549687"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8"/>
          <w:sz w:val="22"/>
          <w:szCs w:val="22"/>
        </w:rPr>
        <w:t>TITUL</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8"/>
          <w:w w:val="102"/>
          <w:sz w:val="22"/>
          <w:szCs w:val="22"/>
        </w:rPr>
        <w:t>QUINTO</w:t>
      </w:r>
    </w:p>
    <w:p w14:paraId="6E1F9A13"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2"/>
          <w:sz w:val="22"/>
          <w:szCs w:val="22"/>
        </w:rPr>
        <w:t>Reagrupació</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Pequeñ</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Propiedad</w:t>
      </w:r>
    </w:p>
    <w:p w14:paraId="4D66AD5C" w14:textId="77777777" w:rsidR="00EC452A" w:rsidRPr="00EC452A" w:rsidRDefault="00EC452A" w:rsidP="00EC452A">
      <w:pPr>
        <w:spacing w:before="100" w:beforeAutospacing="1" w:after="100" w:afterAutospacing="1" w:line="240" w:lineRule="auto"/>
        <w:jc w:val="center"/>
        <w:rPr>
          <w:rFonts w:ascii="Arial" w:eastAsia="Arial" w:hAnsi="Arial" w:cs="Arial"/>
          <w:w w:val="102"/>
          <w:sz w:val="22"/>
          <w:szCs w:val="22"/>
        </w:rPr>
      </w:pPr>
      <w:r w:rsidRPr="00EC452A">
        <w:rPr>
          <w:rFonts w:ascii="Arial" w:eastAsia="Arial" w:hAnsi="Arial" w:cs="Arial"/>
          <w:spacing w:val="-3"/>
          <w:sz w:val="22"/>
          <w:szCs w:val="22"/>
        </w:rPr>
        <w:t>CAPITUL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I</w:t>
      </w:r>
    </w:p>
    <w:p w14:paraId="77156FF8"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Minifundio</w:t>
      </w:r>
    </w:p>
    <w:p w14:paraId="0C757D3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123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consider</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minifundi</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superfici</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terren</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z w:val="22"/>
          <w:szCs w:val="22"/>
        </w:rPr>
        <w:t xml:space="preserve">destinándose </w:t>
      </w:r>
      <w:r w:rsidRPr="00EC452A">
        <w:rPr>
          <w:rFonts w:ascii="Arial" w:eastAsia="Arial" w:hAnsi="Arial" w:cs="Arial"/>
          <w:spacing w:val="20"/>
          <w:sz w:val="22"/>
          <w:szCs w:val="22"/>
        </w:rPr>
        <w:t xml:space="preserve"> </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z w:val="22"/>
          <w:szCs w:val="22"/>
        </w:rPr>
        <w:t>la</w:t>
      </w:r>
      <w:r w:rsidRPr="00EC452A">
        <w:rPr>
          <w:rFonts w:ascii="Arial" w:eastAsia="Arial" w:hAnsi="Arial" w:cs="Arial"/>
          <w:spacing w:val="53"/>
          <w:sz w:val="22"/>
          <w:szCs w:val="22"/>
        </w:rPr>
        <w:t xml:space="preserve"> </w:t>
      </w:r>
      <w:r w:rsidRPr="00EC452A">
        <w:rPr>
          <w:rFonts w:ascii="Arial" w:eastAsia="Arial" w:hAnsi="Arial" w:cs="Arial"/>
          <w:sz w:val="22"/>
          <w:szCs w:val="22"/>
        </w:rPr>
        <w:t xml:space="preserve">explotación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agrícola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cualquier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naturaleza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no </w:t>
      </w:r>
      <w:r w:rsidRPr="00EC452A">
        <w:rPr>
          <w:rFonts w:ascii="Arial" w:eastAsia="Arial" w:hAnsi="Arial" w:cs="Arial"/>
          <w:spacing w:val="1"/>
          <w:sz w:val="22"/>
          <w:szCs w:val="22"/>
        </w:rPr>
        <w:t xml:space="preserve"> </w:t>
      </w:r>
      <w:r w:rsidRPr="00EC452A">
        <w:rPr>
          <w:rFonts w:ascii="Arial" w:eastAsia="Arial" w:hAnsi="Arial" w:cs="Arial"/>
          <w:spacing w:val="-45"/>
          <w:sz w:val="22"/>
          <w:szCs w:val="22"/>
        </w:rPr>
        <w:t>b</w:t>
      </w:r>
      <w:r w:rsidRPr="00EC452A">
        <w:rPr>
          <w:rFonts w:ascii="Arial" w:eastAsia="Arial" w:hAnsi="Arial" w:cs="Arial"/>
          <w:spacing w:val="-2"/>
          <w:sz w:val="22"/>
          <w:szCs w:val="22"/>
        </w:rPr>
        <w:t>ast</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obtene</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pacing w:val="-2"/>
          <w:w w:val="102"/>
          <w:sz w:val="22"/>
          <w:szCs w:val="22"/>
        </w:rPr>
        <w:t xml:space="preserve">cuando </w:t>
      </w:r>
      <w:r w:rsidRPr="00EC452A">
        <w:rPr>
          <w:rFonts w:ascii="Arial" w:eastAsia="Arial" w:hAnsi="Arial" w:cs="Arial"/>
          <w:spacing w:val="-2"/>
          <w:sz w:val="22"/>
          <w:szCs w:val="22"/>
        </w:rPr>
        <w:t>meno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producció</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arroj</w:t>
      </w:r>
      <w:r w:rsidRPr="00EC452A">
        <w:rPr>
          <w:rFonts w:ascii="Arial" w:eastAsia="Arial" w:hAnsi="Arial" w:cs="Arial"/>
          <w:sz w:val="22"/>
          <w:szCs w:val="22"/>
        </w:rPr>
        <w:t>e</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com</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benefici</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añ</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dobl</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sum</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2"/>
          <w:w w:val="102"/>
          <w:sz w:val="22"/>
          <w:szCs w:val="22"/>
        </w:rPr>
        <w:t xml:space="preserve">salario </w:t>
      </w:r>
      <w:r w:rsidRPr="00EC452A">
        <w:rPr>
          <w:rFonts w:ascii="Arial" w:eastAsia="Arial" w:hAnsi="Arial" w:cs="Arial"/>
          <w:spacing w:val="-2"/>
          <w:sz w:val="22"/>
          <w:szCs w:val="22"/>
        </w:rPr>
        <w:t>mínim</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correspond</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camp</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regió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trate</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as</w:t>
      </w:r>
      <w:r w:rsidRPr="00EC452A">
        <w:rPr>
          <w:rFonts w:ascii="Arial" w:eastAsia="Arial" w:hAnsi="Arial" w:cs="Arial"/>
          <w:sz w:val="22"/>
          <w:szCs w:val="22"/>
        </w:rPr>
        <w:t>í</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com</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w w:val="102"/>
          <w:sz w:val="22"/>
          <w:szCs w:val="22"/>
        </w:rPr>
        <w:t>tenga:</w:t>
      </w:r>
    </w:p>
    <w:p w14:paraId="1251BE9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Hast</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cinc</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hectárea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rieg</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humedad.</w:t>
      </w:r>
    </w:p>
    <w:p w14:paraId="65085F65"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Hast</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die</w:t>
      </w:r>
      <w:r w:rsidRPr="00EC452A">
        <w:rPr>
          <w:rFonts w:ascii="Arial" w:eastAsia="Arial" w:hAnsi="Arial" w:cs="Arial"/>
          <w:sz w:val="22"/>
          <w:szCs w:val="22"/>
        </w:rPr>
        <w:t>z</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hectárea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agostader</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susceptibl</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cultivo.</w:t>
      </w:r>
    </w:p>
    <w:p w14:paraId="0D4091A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c</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Hast</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veint</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hectárea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agostader</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buen</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2"/>
          <w:w w:val="102"/>
          <w:sz w:val="22"/>
          <w:szCs w:val="22"/>
        </w:rPr>
        <w:t>calidad.</w:t>
      </w:r>
    </w:p>
    <w:p w14:paraId="0120F6C9"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position w:val="-1"/>
          <w:sz w:val="22"/>
          <w:szCs w:val="22"/>
        </w:rPr>
      </w:pPr>
      <w:r w:rsidRPr="00EC452A">
        <w:rPr>
          <w:rFonts w:ascii="Arial" w:eastAsia="Arial" w:hAnsi="Arial" w:cs="Arial"/>
          <w:spacing w:val="-1"/>
          <w:position w:val="-1"/>
          <w:sz w:val="22"/>
          <w:szCs w:val="22"/>
        </w:rPr>
        <w:t>d</w:t>
      </w:r>
      <w:r w:rsidRPr="00EC452A">
        <w:rPr>
          <w:rFonts w:ascii="Arial" w:eastAsia="Arial" w:hAnsi="Arial" w:cs="Arial"/>
          <w:position w:val="-1"/>
          <w:sz w:val="22"/>
          <w:szCs w:val="22"/>
        </w:rPr>
        <w:t>)</w:t>
      </w:r>
      <w:r w:rsidRPr="00EC452A">
        <w:rPr>
          <w:rFonts w:ascii="Arial" w:eastAsia="Arial" w:hAnsi="Arial" w:cs="Arial"/>
          <w:spacing w:val="9"/>
          <w:position w:val="-1"/>
          <w:sz w:val="22"/>
          <w:szCs w:val="22"/>
        </w:rPr>
        <w:t xml:space="preserve"> </w:t>
      </w:r>
      <w:r w:rsidRPr="00EC452A">
        <w:rPr>
          <w:rFonts w:ascii="Arial" w:eastAsia="Arial" w:hAnsi="Arial" w:cs="Arial"/>
          <w:spacing w:val="-1"/>
          <w:position w:val="-1"/>
          <w:sz w:val="22"/>
          <w:szCs w:val="22"/>
        </w:rPr>
        <w:t>Hast</w:t>
      </w:r>
      <w:r w:rsidRPr="00EC452A">
        <w:rPr>
          <w:rFonts w:ascii="Arial" w:eastAsia="Arial" w:hAnsi="Arial" w:cs="Arial"/>
          <w:position w:val="-1"/>
          <w:sz w:val="22"/>
          <w:szCs w:val="22"/>
        </w:rPr>
        <w:t>a</w:t>
      </w:r>
      <w:r w:rsidRPr="00EC452A">
        <w:rPr>
          <w:rFonts w:ascii="Arial" w:eastAsia="Arial" w:hAnsi="Arial" w:cs="Arial"/>
          <w:spacing w:val="16"/>
          <w:position w:val="-1"/>
          <w:sz w:val="22"/>
          <w:szCs w:val="22"/>
        </w:rPr>
        <w:t xml:space="preserve"> </w:t>
      </w:r>
      <w:r w:rsidRPr="00EC452A">
        <w:rPr>
          <w:rFonts w:ascii="Arial" w:eastAsia="Arial" w:hAnsi="Arial" w:cs="Arial"/>
          <w:spacing w:val="-1"/>
          <w:position w:val="-1"/>
          <w:sz w:val="22"/>
          <w:szCs w:val="22"/>
        </w:rPr>
        <w:t>cuarent</w:t>
      </w:r>
      <w:r w:rsidRPr="00EC452A">
        <w:rPr>
          <w:rFonts w:ascii="Arial" w:eastAsia="Arial" w:hAnsi="Arial" w:cs="Arial"/>
          <w:position w:val="-1"/>
          <w:sz w:val="22"/>
          <w:szCs w:val="22"/>
        </w:rPr>
        <w:t>a</w:t>
      </w:r>
      <w:r w:rsidRPr="00EC452A">
        <w:rPr>
          <w:rFonts w:ascii="Arial" w:eastAsia="Arial" w:hAnsi="Arial" w:cs="Arial"/>
          <w:spacing w:val="21"/>
          <w:position w:val="-1"/>
          <w:sz w:val="22"/>
          <w:szCs w:val="22"/>
        </w:rPr>
        <w:t xml:space="preserve"> </w:t>
      </w:r>
      <w:r w:rsidRPr="00EC452A">
        <w:rPr>
          <w:rFonts w:ascii="Arial" w:eastAsia="Arial" w:hAnsi="Arial" w:cs="Arial"/>
          <w:spacing w:val="-1"/>
          <w:position w:val="-1"/>
          <w:sz w:val="22"/>
          <w:szCs w:val="22"/>
        </w:rPr>
        <w:t>hectárea</w:t>
      </w:r>
      <w:r w:rsidRPr="00EC452A">
        <w:rPr>
          <w:rFonts w:ascii="Arial" w:eastAsia="Arial" w:hAnsi="Arial" w:cs="Arial"/>
          <w:position w:val="-1"/>
          <w:sz w:val="22"/>
          <w:szCs w:val="22"/>
        </w:rPr>
        <w:t>s</w:t>
      </w:r>
      <w:r w:rsidRPr="00EC452A">
        <w:rPr>
          <w:rFonts w:ascii="Arial" w:eastAsia="Arial" w:hAnsi="Arial" w:cs="Arial"/>
          <w:spacing w:val="23"/>
          <w:position w:val="-1"/>
          <w:sz w:val="22"/>
          <w:szCs w:val="22"/>
        </w:rPr>
        <w:t xml:space="preserve"> </w:t>
      </w:r>
      <w:r w:rsidRPr="00EC452A">
        <w:rPr>
          <w:rFonts w:ascii="Arial" w:eastAsia="Arial" w:hAnsi="Arial" w:cs="Arial"/>
          <w:spacing w:val="-1"/>
          <w:position w:val="-1"/>
          <w:sz w:val="22"/>
          <w:szCs w:val="22"/>
        </w:rPr>
        <w:t>d</w:t>
      </w:r>
      <w:r w:rsidRPr="00EC452A">
        <w:rPr>
          <w:rFonts w:ascii="Arial" w:eastAsia="Arial" w:hAnsi="Arial" w:cs="Arial"/>
          <w:position w:val="-1"/>
          <w:sz w:val="22"/>
          <w:szCs w:val="22"/>
        </w:rPr>
        <w:t>e</w:t>
      </w:r>
      <w:r w:rsidRPr="00EC452A">
        <w:rPr>
          <w:rFonts w:ascii="Arial" w:eastAsia="Arial" w:hAnsi="Arial" w:cs="Arial"/>
          <w:spacing w:val="10"/>
          <w:position w:val="-1"/>
          <w:sz w:val="22"/>
          <w:szCs w:val="22"/>
        </w:rPr>
        <w:t xml:space="preserve"> </w:t>
      </w:r>
      <w:r w:rsidRPr="00EC452A">
        <w:rPr>
          <w:rFonts w:ascii="Arial" w:eastAsia="Arial" w:hAnsi="Arial" w:cs="Arial"/>
          <w:spacing w:val="-1"/>
          <w:position w:val="-1"/>
          <w:sz w:val="22"/>
          <w:szCs w:val="22"/>
        </w:rPr>
        <w:t>mont</w:t>
      </w:r>
      <w:r w:rsidRPr="00EC452A">
        <w:rPr>
          <w:rFonts w:ascii="Arial" w:eastAsia="Arial" w:hAnsi="Arial" w:cs="Arial"/>
          <w:position w:val="-1"/>
          <w:sz w:val="22"/>
          <w:szCs w:val="22"/>
        </w:rPr>
        <w:t>e</w:t>
      </w:r>
      <w:r w:rsidRPr="00EC452A">
        <w:rPr>
          <w:rFonts w:ascii="Arial" w:eastAsia="Arial" w:hAnsi="Arial" w:cs="Arial"/>
          <w:spacing w:val="17"/>
          <w:position w:val="-1"/>
          <w:sz w:val="22"/>
          <w:szCs w:val="22"/>
        </w:rPr>
        <w:t xml:space="preserve"> </w:t>
      </w:r>
      <w:r w:rsidRPr="00EC452A">
        <w:rPr>
          <w:rFonts w:ascii="Arial" w:eastAsia="Arial" w:hAnsi="Arial" w:cs="Arial"/>
          <w:position w:val="-1"/>
          <w:sz w:val="22"/>
          <w:szCs w:val="22"/>
        </w:rPr>
        <w:t>o</w:t>
      </w:r>
      <w:r w:rsidRPr="00EC452A">
        <w:rPr>
          <w:rFonts w:ascii="Arial" w:eastAsia="Arial" w:hAnsi="Arial" w:cs="Arial"/>
          <w:spacing w:val="8"/>
          <w:position w:val="-1"/>
          <w:sz w:val="22"/>
          <w:szCs w:val="22"/>
        </w:rPr>
        <w:t xml:space="preserve"> </w:t>
      </w:r>
      <w:r w:rsidRPr="00EC452A">
        <w:rPr>
          <w:rFonts w:ascii="Arial" w:eastAsia="Arial" w:hAnsi="Arial" w:cs="Arial"/>
          <w:spacing w:val="-1"/>
          <w:position w:val="-1"/>
          <w:sz w:val="22"/>
          <w:szCs w:val="22"/>
        </w:rPr>
        <w:t>d</w:t>
      </w:r>
      <w:r w:rsidRPr="00EC452A">
        <w:rPr>
          <w:rFonts w:ascii="Arial" w:eastAsia="Arial" w:hAnsi="Arial" w:cs="Arial"/>
          <w:position w:val="-1"/>
          <w:sz w:val="22"/>
          <w:szCs w:val="22"/>
        </w:rPr>
        <w:t>e</w:t>
      </w:r>
      <w:r w:rsidRPr="00EC452A">
        <w:rPr>
          <w:rFonts w:ascii="Arial" w:eastAsia="Arial" w:hAnsi="Arial" w:cs="Arial"/>
          <w:spacing w:val="10"/>
          <w:position w:val="-1"/>
          <w:sz w:val="22"/>
          <w:szCs w:val="22"/>
        </w:rPr>
        <w:t xml:space="preserve"> </w:t>
      </w:r>
      <w:r w:rsidRPr="00EC452A">
        <w:rPr>
          <w:rFonts w:ascii="Arial" w:eastAsia="Arial" w:hAnsi="Arial" w:cs="Arial"/>
          <w:spacing w:val="-1"/>
          <w:position w:val="-1"/>
          <w:sz w:val="22"/>
          <w:szCs w:val="22"/>
        </w:rPr>
        <w:t>agostader</w:t>
      </w:r>
      <w:r w:rsidRPr="00EC452A">
        <w:rPr>
          <w:rFonts w:ascii="Arial" w:eastAsia="Arial" w:hAnsi="Arial" w:cs="Arial"/>
          <w:position w:val="-1"/>
          <w:sz w:val="22"/>
          <w:szCs w:val="22"/>
        </w:rPr>
        <w:t>o</w:t>
      </w:r>
      <w:r w:rsidRPr="00EC452A">
        <w:rPr>
          <w:rFonts w:ascii="Arial" w:eastAsia="Arial" w:hAnsi="Arial" w:cs="Arial"/>
          <w:spacing w:val="25"/>
          <w:position w:val="-1"/>
          <w:sz w:val="22"/>
          <w:szCs w:val="22"/>
        </w:rPr>
        <w:t xml:space="preserve"> </w:t>
      </w:r>
      <w:r w:rsidRPr="00EC452A">
        <w:rPr>
          <w:rFonts w:ascii="Arial" w:eastAsia="Arial" w:hAnsi="Arial" w:cs="Arial"/>
          <w:spacing w:val="-1"/>
          <w:position w:val="-1"/>
          <w:sz w:val="22"/>
          <w:szCs w:val="22"/>
        </w:rPr>
        <w:t>e</w:t>
      </w:r>
      <w:r w:rsidRPr="00EC452A">
        <w:rPr>
          <w:rFonts w:ascii="Arial" w:eastAsia="Arial" w:hAnsi="Arial" w:cs="Arial"/>
          <w:position w:val="-1"/>
          <w:sz w:val="22"/>
          <w:szCs w:val="22"/>
        </w:rPr>
        <w:t>n</w:t>
      </w:r>
      <w:r w:rsidRPr="00EC452A">
        <w:rPr>
          <w:rFonts w:ascii="Arial" w:eastAsia="Arial" w:hAnsi="Arial" w:cs="Arial"/>
          <w:spacing w:val="10"/>
          <w:position w:val="-1"/>
          <w:sz w:val="22"/>
          <w:szCs w:val="22"/>
        </w:rPr>
        <w:t xml:space="preserve"> </w:t>
      </w:r>
      <w:r w:rsidRPr="00EC452A">
        <w:rPr>
          <w:rFonts w:ascii="Arial" w:eastAsia="Arial" w:hAnsi="Arial" w:cs="Arial"/>
          <w:spacing w:val="-1"/>
          <w:position w:val="-1"/>
          <w:sz w:val="22"/>
          <w:szCs w:val="22"/>
        </w:rPr>
        <w:t>terreno</w:t>
      </w:r>
      <w:r w:rsidRPr="00EC452A">
        <w:rPr>
          <w:rFonts w:ascii="Arial" w:eastAsia="Arial" w:hAnsi="Arial" w:cs="Arial"/>
          <w:position w:val="-1"/>
          <w:sz w:val="22"/>
          <w:szCs w:val="22"/>
        </w:rPr>
        <w:t>s</w:t>
      </w:r>
      <w:r w:rsidRPr="00EC452A">
        <w:rPr>
          <w:rFonts w:ascii="Arial" w:eastAsia="Arial" w:hAnsi="Arial" w:cs="Arial"/>
          <w:spacing w:val="20"/>
          <w:position w:val="-1"/>
          <w:sz w:val="22"/>
          <w:szCs w:val="22"/>
        </w:rPr>
        <w:t xml:space="preserve"> </w:t>
      </w:r>
      <w:r w:rsidRPr="00EC452A">
        <w:rPr>
          <w:rFonts w:ascii="Arial" w:eastAsia="Arial" w:hAnsi="Arial" w:cs="Arial"/>
          <w:spacing w:val="-1"/>
          <w:w w:val="102"/>
          <w:position w:val="-1"/>
          <w:sz w:val="22"/>
          <w:szCs w:val="22"/>
        </w:rPr>
        <w:t>áridos.</w:t>
      </w:r>
    </w:p>
    <w:p w14:paraId="68A83032"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position w:val="-1"/>
          <w:sz w:val="22"/>
          <w:szCs w:val="22"/>
        </w:rPr>
      </w:pPr>
      <w:r w:rsidRPr="00EC452A">
        <w:rPr>
          <w:rFonts w:ascii="Arial" w:eastAsia="Arial" w:hAnsi="Arial" w:cs="Arial"/>
          <w:position w:val="-1"/>
          <w:sz w:val="22"/>
          <w:szCs w:val="22"/>
        </w:rPr>
        <w:t xml:space="preserve">En </w:t>
      </w:r>
      <w:r w:rsidRPr="00EC452A">
        <w:rPr>
          <w:rFonts w:ascii="Arial" w:eastAsia="Arial" w:hAnsi="Arial" w:cs="Arial"/>
          <w:spacing w:val="5"/>
          <w:position w:val="-1"/>
          <w:sz w:val="22"/>
          <w:szCs w:val="22"/>
        </w:rPr>
        <w:t xml:space="preserve"> </w:t>
      </w:r>
      <w:r w:rsidRPr="00EC452A">
        <w:rPr>
          <w:rFonts w:ascii="Arial" w:eastAsia="Arial" w:hAnsi="Arial" w:cs="Arial"/>
          <w:position w:val="-1"/>
          <w:sz w:val="22"/>
          <w:szCs w:val="22"/>
        </w:rPr>
        <w:t xml:space="preserve">los </w:t>
      </w:r>
      <w:r w:rsidRPr="00EC452A">
        <w:rPr>
          <w:rFonts w:ascii="Arial" w:eastAsia="Arial" w:hAnsi="Arial" w:cs="Arial"/>
          <w:spacing w:val="5"/>
          <w:position w:val="-1"/>
          <w:sz w:val="22"/>
          <w:szCs w:val="22"/>
        </w:rPr>
        <w:t xml:space="preserve"> </w:t>
      </w:r>
      <w:r w:rsidRPr="00EC452A">
        <w:rPr>
          <w:rFonts w:ascii="Arial" w:eastAsia="Arial" w:hAnsi="Arial" w:cs="Arial"/>
          <w:position w:val="-1"/>
          <w:sz w:val="22"/>
          <w:szCs w:val="22"/>
        </w:rPr>
        <w:t xml:space="preserve">términos </w:t>
      </w:r>
      <w:r w:rsidRPr="00EC452A">
        <w:rPr>
          <w:rFonts w:ascii="Arial" w:eastAsia="Arial" w:hAnsi="Arial" w:cs="Arial"/>
          <w:spacing w:val="15"/>
          <w:position w:val="-1"/>
          <w:sz w:val="22"/>
          <w:szCs w:val="22"/>
        </w:rPr>
        <w:t xml:space="preserve"> </w:t>
      </w:r>
      <w:r w:rsidRPr="00EC452A">
        <w:rPr>
          <w:rFonts w:ascii="Arial" w:eastAsia="Arial" w:hAnsi="Arial" w:cs="Arial"/>
          <w:position w:val="-1"/>
          <w:sz w:val="22"/>
          <w:szCs w:val="22"/>
        </w:rPr>
        <w:t xml:space="preserve">de </w:t>
      </w:r>
      <w:r w:rsidRPr="00EC452A">
        <w:rPr>
          <w:rFonts w:ascii="Arial" w:eastAsia="Arial" w:hAnsi="Arial" w:cs="Arial"/>
          <w:spacing w:val="4"/>
          <w:position w:val="-1"/>
          <w:sz w:val="22"/>
          <w:szCs w:val="22"/>
        </w:rPr>
        <w:t xml:space="preserve"> </w:t>
      </w:r>
      <w:r w:rsidRPr="00EC452A">
        <w:rPr>
          <w:rFonts w:ascii="Arial" w:eastAsia="Arial" w:hAnsi="Arial" w:cs="Arial"/>
          <w:position w:val="-1"/>
          <w:sz w:val="22"/>
          <w:szCs w:val="22"/>
        </w:rPr>
        <w:t xml:space="preserve">la </w:t>
      </w:r>
      <w:r w:rsidRPr="00EC452A">
        <w:rPr>
          <w:rFonts w:ascii="Arial" w:eastAsia="Arial" w:hAnsi="Arial" w:cs="Arial"/>
          <w:spacing w:val="3"/>
          <w:position w:val="-1"/>
          <w:sz w:val="22"/>
          <w:szCs w:val="22"/>
        </w:rPr>
        <w:t xml:space="preserve"> </w:t>
      </w:r>
      <w:r w:rsidRPr="00EC452A">
        <w:rPr>
          <w:rFonts w:ascii="Arial" w:eastAsia="Arial" w:hAnsi="Arial" w:cs="Arial"/>
          <w:position w:val="-1"/>
          <w:sz w:val="22"/>
          <w:szCs w:val="22"/>
        </w:rPr>
        <w:t xml:space="preserve">Ley, </w:t>
      </w:r>
      <w:r w:rsidRPr="00EC452A">
        <w:rPr>
          <w:rFonts w:ascii="Arial" w:eastAsia="Arial" w:hAnsi="Arial" w:cs="Arial"/>
          <w:spacing w:val="7"/>
          <w:position w:val="-1"/>
          <w:sz w:val="22"/>
          <w:szCs w:val="22"/>
        </w:rPr>
        <w:t xml:space="preserve"> </w:t>
      </w:r>
      <w:r w:rsidRPr="00EC452A">
        <w:rPr>
          <w:rFonts w:ascii="Arial" w:eastAsia="Arial" w:hAnsi="Arial" w:cs="Arial"/>
          <w:position w:val="-1"/>
          <w:sz w:val="22"/>
          <w:szCs w:val="22"/>
        </w:rPr>
        <w:t xml:space="preserve">serán </w:t>
      </w:r>
      <w:r w:rsidRPr="00EC452A">
        <w:rPr>
          <w:rFonts w:ascii="Arial" w:eastAsia="Arial" w:hAnsi="Arial" w:cs="Arial"/>
          <w:spacing w:val="9"/>
          <w:position w:val="-1"/>
          <w:sz w:val="22"/>
          <w:szCs w:val="22"/>
        </w:rPr>
        <w:t xml:space="preserve"> </w:t>
      </w:r>
      <w:r w:rsidRPr="00EC452A">
        <w:rPr>
          <w:rFonts w:ascii="Arial" w:eastAsia="Arial" w:hAnsi="Arial" w:cs="Arial"/>
          <w:position w:val="-1"/>
          <w:sz w:val="22"/>
          <w:szCs w:val="22"/>
        </w:rPr>
        <w:t xml:space="preserve">nulos </w:t>
      </w:r>
      <w:r w:rsidRPr="00EC452A">
        <w:rPr>
          <w:rFonts w:ascii="Arial" w:eastAsia="Arial" w:hAnsi="Arial" w:cs="Arial"/>
          <w:spacing w:val="9"/>
          <w:position w:val="-1"/>
          <w:sz w:val="22"/>
          <w:szCs w:val="22"/>
        </w:rPr>
        <w:t xml:space="preserve"> </w:t>
      </w:r>
      <w:r w:rsidRPr="00EC452A">
        <w:rPr>
          <w:rFonts w:ascii="Arial" w:eastAsia="Arial" w:hAnsi="Arial" w:cs="Arial"/>
          <w:position w:val="-1"/>
          <w:sz w:val="22"/>
          <w:szCs w:val="22"/>
        </w:rPr>
        <w:t xml:space="preserve">de </w:t>
      </w:r>
      <w:r w:rsidRPr="00EC452A">
        <w:rPr>
          <w:rFonts w:ascii="Arial" w:eastAsia="Arial" w:hAnsi="Arial" w:cs="Arial"/>
          <w:spacing w:val="4"/>
          <w:position w:val="-1"/>
          <w:sz w:val="22"/>
          <w:szCs w:val="22"/>
        </w:rPr>
        <w:t xml:space="preserve"> </w:t>
      </w:r>
      <w:r w:rsidRPr="00EC452A">
        <w:rPr>
          <w:rFonts w:ascii="Arial" w:eastAsia="Arial" w:hAnsi="Arial" w:cs="Arial"/>
          <w:position w:val="-1"/>
          <w:sz w:val="22"/>
          <w:szCs w:val="22"/>
        </w:rPr>
        <w:t xml:space="preserve">pleno </w:t>
      </w:r>
      <w:r w:rsidRPr="00EC452A">
        <w:rPr>
          <w:rFonts w:ascii="Arial" w:eastAsia="Arial" w:hAnsi="Arial" w:cs="Arial"/>
          <w:spacing w:val="9"/>
          <w:position w:val="-1"/>
          <w:sz w:val="22"/>
          <w:szCs w:val="22"/>
        </w:rPr>
        <w:t xml:space="preserve"> </w:t>
      </w:r>
      <w:r w:rsidRPr="00EC452A">
        <w:rPr>
          <w:rFonts w:ascii="Arial" w:eastAsia="Arial" w:hAnsi="Arial" w:cs="Arial"/>
          <w:w w:val="102"/>
          <w:position w:val="-1"/>
          <w:sz w:val="22"/>
          <w:szCs w:val="22"/>
        </w:rPr>
        <w:t xml:space="preserve">derecho los </w:t>
      </w:r>
      <w:r w:rsidRPr="00EC452A">
        <w:rPr>
          <w:rFonts w:ascii="Arial" w:eastAsia="Arial" w:hAnsi="Arial" w:cs="Arial"/>
          <w:position w:val="-1"/>
          <w:sz w:val="22"/>
          <w:szCs w:val="22"/>
        </w:rPr>
        <w:t>actos</w:t>
      </w:r>
      <w:r w:rsidRPr="00EC452A">
        <w:rPr>
          <w:rFonts w:ascii="Arial" w:eastAsia="Arial" w:hAnsi="Arial" w:cs="Arial"/>
          <w:spacing w:val="42"/>
          <w:position w:val="-1"/>
          <w:sz w:val="22"/>
          <w:szCs w:val="22"/>
        </w:rPr>
        <w:t xml:space="preserve"> </w:t>
      </w:r>
      <w:r w:rsidRPr="00EC452A">
        <w:rPr>
          <w:rFonts w:ascii="Arial" w:eastAsia="Arial" w:hAnsi="Arial" w:cs="Arial"/>
          <w:position w:val="-1"/>
          <w:sz w:val="22"/>
          <w:szCs w:val="22"/>
        </w:rPr>
        <w:t>jurídicos</w:t>
      </w:r>
      <w:r w:rsidRPr="00EC452A">
        <w:rPr>
          <w:rFonts w:ascii="Arial" w:eastAsia="Arial" w:hAnsi="Arial" w:cs="Arial"/>
          <w:spacing w:val="47"/>
          <w:position w:val="-1"/>
          <w:sz w:val="22"/>
          <w:szCs w:val="22"/>
        </w:rPr>
        <w:t xml:space="preserve"> </w:t>
      </w:r>
      <w:r w:rsidRPr="00EC452A">
        <w:rPr>
          <w:rFonts w:ascii="Arial" w:eastAsia="Arial" w:hAnsi="Arial" w:cs="Arial"/>
          <w:position w:val="-1"/>
          <w:sz w:val="22"/>
          <w:szCs w:val="22"/>
        </w:rPr>
        <w:t>por</w:t>
      </w:r>
      <w:r w:rsidRPr="00EC452A">
        <w:rPr>
          <w:rFonts w:ascii="Arial" w:eastAsia="Arial" w:hAnsi="Arial" w:cs="Arial"/>
          <w:spacing w:val="38"/>
          <w:position w:val="-1"/>
          <w:sz w:val="22"/>
          <w:szCs w:val="22"/>
        </w:rPr>
        <w:t xml:space="preserve"> </w:t>
      </w:r>
      <w:r w:rsidRPr="00EC452A">
        <w:rPr>
          <w:rFonts w:ascii="Arial" w:eastAsia="Arial" w:hAnsi="Arial" w:cs="Arial"/>
          <w:position w:val="-1"/>
          <w:sz w:val="22"/>
          <w:szCs w:val="22"/>
        </w:rPr>
        <w:t>los</w:t>
      </w:r>
      <w:r w:rsidRPr="00EC452A">
        <w:rPr>
          <w:rFonts w:ascii="Arial" w:eastAsia="Arial" w:hAnsi="Arial" w:cs="Arial"/>
          <w:spacing w:val="38"/>
          <w:position w:val="-1"/>
          <w:sz w:val="22"/>
          <w:szCs w:val="22"/>
        </w:rPr>
        <w:t xml:space="preserve"> </w:t>
      </w:r>
      <w:r w:rsidRPr="00EC452A">
        <w:rPr>
          <w:rFonts w:ascii="Arial" w:eastAsia="Arial" w:hAnsi="Arial" w:cs="Arial"/>
          <w:position w:val="-1"/>
          <w:sz w:val="22"/>
          <w:szCs w:val="22"/>
        </w:rPr>
        <w:t>que</w:t>
      </w:r>
      <w:r w:rsidRPr="00EC452A">
        <w:rPr>
          <w:rFonts w:ascii="Arial" w:eastAsia="Arial" w:hAnsi="Arial" w:cs="Arial"/>
          <w:spacing w:val="39"/>
          <w:position w:val="-1"/>
          <w:sz w:val="22"/>
          <w:szCs w:val="22"/>
        </w:rPr>
        <w:t xml:space="preserve"> </w:t>
      </w:r>
      <w:r w:rsidRPr="00EC452A">
        <w:rPr>
          <w:rFonts w:ascii="Arial" w:eastAsia="Arial" w:hAnsi="Arial" w:cs="Arial"/>
          <w:w w:val="102"/>
          <w:position w:val="-1"/>
          <w:sz w:val="22"/>
          <w:szCs w:val="22"/>
        </w:rPr>
        <w:t xml:space="preserve">se </w:t>
      </w:r>
      <w:r w:rsidRPr="00EC452A">
        <w:rPr>
          <w:rFonts w:ascii="Arial" w:eastAsia="Arial" w:hAnsi="Arial" w:cs="Arial"/>
          <w:spacing w:val="-1"/>
          <w:sz w:val="22"/>
          <w:szCs w:val="22"/>
        </w:rPr>
        <w:t>pretend</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subdivisió</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predio</w:t>
      </w:r>
      <w:r w:rsidRPr="00EC452A">
        <w:rPr>
          <w:rFonts w:ascii="Arial" w:eastAsia="Arial" w:hAnsi="Arial" w:cs="Arial"/>
          <w:sz w:val="22"/>
          <w:szCs w:val="22"/>
        </w:rPr>
        <w:t>s</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susceptible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agrícola</w:t>
      </w:r>
      <w:r w:rsidRPr="00EC452A">
        <w:rPr>
          <w:rFonts w:ascii="Arial" w:eastAsia="Arial" w:hAnsi="Arial" w:cs="Arial"/>
          <w:sz w:val="22"/>
          <w:szCs w:val="22"/>
        </w:rPr>
        <w:t>,</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traiga</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como </w:t>
      </w:r>
      <w:r w:rsidRPr="00EC452A">
        <w:rPr>
          <w:rFonts w:ascii="Arial" w:eastAsia="Arial" w:hAnsi="Arial" w:cs="Arial"/>
          <w:spacing w:val="-1"/>
          <w:sz w:val="22"/>
          <w:szCs w:val="22"/>
        </w:rPr>
        <w:t>consecuenci</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fraccionamient</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equivalente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minifundio.</w:t>
      </w:r>
    </w:p>
    <w:p w14:paraId="174DCA5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124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z w:val="22"/>
          <w:szCs w:val="22"/>
        </w:rPr>
        <w:t>Los</w:t>
      </w:r>
      <w:r w:rsidRPr="00EC452A">
        <w:rPr>
          <w:rFonts w:ascii="Arial" w:eastAsia="Arial" w:hAnsi="Arial" w:cs="Arial"/>
          <w:spacing w:val="29"/>
          <w:sz w:val="22"/>
          <w:szCs w:val="22"/>
        </w:rPr>
        <w:t xml:space="preserve"> </w:t>
      </w:r>
      <w:r w:rsidRPr="00EC452A">
        <w:rPr>
          <w:rFonts w:ascii="Arial" w:eastAsia="Arial" w:hAnsi="Arial" w:cs="Arial"/>
          <w:sz w:val="22"/>
          <w:szCs w:val="22"/>
        </w:rPr>
        <w:t>Notarios</w:t>
      </w:r>
      <w:r w:rsidRPr="00EC452A">
        <w:rPr>
          <w:rFonts w:ascii="Arial" w:eastAsia="Arial" w:hAnsi="Arial" w:cs="Arial"/>
          <w:spacing w:val="37"/>
          <w:sz w:val="22"/>
          <w:szCs w:val="22"/>
        </w:rPr>
        <w:t xml:space="preserve"> </w:t>
      </w:r>
      <w:r w:rsidRPr="00EC452A">
        <w:rPr>
          <w:rFonts w:ascii="Arial" w:eastAsia="Arial" w:hAnsi="Arial" w:cs="Arial"/>
          <w:sz w:val="22"/>
          <w:szCs w:val="22"/>
        </w:rPr>
        <w:t>Públicos</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5"/>
          <w:sz w:val="22"/>
          <w:szCs w:val="22"/>
        </w:rPr>
        <w:t xml:space="preserve"> </w:t>
      </w:r>
      <w:r w:rsidRPr="00EC452A">
        <w:rPr>
          <w:rFonts w:ascii="Arial" w:eastAsia="Arial" w:hAnsi="Arial" w:cs="Arial"/>
          <w:sz w:val="22"/>
          <w:szCs w:val="22"/>
        </w:rPr>
        <w:t>autoridades</w:t>
      </w:r>
      <w:r w:rsidRPr="00EC452A">
        <w:rPr>
          <w:rFonts w:ascii="Arial" w:eastAsia="Arial" w:hAnsi="Arial" w:cs="Arial"/>
          <w:spacing w:val="43"/>
          <w:sz w:val="22"/>
          <w:szCs w:val="22"/>
        </w:rPr>
        <w:t xml:space="preserve"> </w:t>
      </w:r>
      <w:r w:rsidRPr="00EC452A">
        <w:rPr>
          <w:rFonts w:ascii="Arial" w:eastAsia="Arial" w:hAnsi="Arial" w:cs="Arial"/>
          <w:sz w:val="22"/>
          <w:szCs w:val="22"/>
        </w:rPr>
        <w:t>ante</w:t>
      </w:r>
      <w:r w:rsidRPr="00EC452A">
        <w:rPr>
          <w:rFonts w:ascii="Arial" w:eastAsia="Arial" w:hAnsi="Arial" w:cs="Arial"/>
          <w:spacing w:val="30"/>
          <w:sz w:val="22"/>
          <w:szCs w:val="22"/>
        </w:rPr>
        <w:t xml:space="preserve"> </w:t>
      </w:r>
      <w:r w:rsidRPr="00EC452A">
        <w:rPr>
          <w:rFonts w:ascii="Arial" w:eastAsia="Arial" w:hAnsi="Arial" w:cs="Arial"/>
          <w:spacing w:val="-15"/>
          <w:sz w:val="22"/>
          <w:szCs w:val="22"/>
        </w:rPr>
        <w:t>l</w:t>
      </w:r>
      <w:r w:rsidRPr="00EC452A">
        <w:rPr>
          <w:rFonts w:ascii="Arial" w:eastAsia="Arial" w:hAnsi="Arial" w:cs="Arial"/>
          <w:spacing w:val="-1"/>
          <w:sz w:val="22"/>
          <w:szCs w:val="22"/>
        </w:rPr>
        <w:t>a</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cuale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é</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f</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celebració</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contrato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enajenació</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minifundios</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vigila</w:t>
      </w:r>
      <w:r w:rsidRPr="00EC452A">
        <w:rPr>
          <w:rFonts w:ascii="Arial" w:eastAsia="Arial" w:hAnsi="Arial" w:cs="Arial"/>
          <w:sz w:val="22"/>
          <w:szCs w:val="22"/>
        </w:rPr>
        <w:t>r</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disposiciones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dicho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predios</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asimism</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comproba</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respet</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derech</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z w:val="22"/>
          <w:szCs w:val="22"/>
        </w:rPr>
        <w:t>tanto</w:t>
      </w:r>
      <w:r w:rsidRPr="00EC452A">
        <w:rPr>
          <w:rFonts w:ascii="Arial" w:eastAsia="Arial" w:hAnsi="Arial" w:cs="Arial"/>
          <w:spacing w:val="45"/>
          <w:sz w:val="22"/>
          <w:szCs w:val="22"/>
        </w:rPr>
        <w:t xml:space="preserve"> </w:t>
      </w:r>
      <w:r w:rsidRPr="00EC452A">
        <w:rPr>
          <w:rFonts w:ascii="Arial" w:eastAsia="Arial" w:hAnsi="Arial" w:cs="Arial"/>
          <w:sz w:val="22"/>
          <w:szCs w:val="22"/>
        </w:rPr>
        <w:t>que</w:t>
      </w:r>
      <w:r w:rsidRPr="00EC452A">
        <w:rPr>
          <w:rFonts w:ascii="Arial" w:eastAsia="Arial" w:hAnsi="Arial" w:cs="Arial"/>
          <w:spacing w:val="43"/>
          <w:sz w:val="22"/>
          <w:szCs w:val="22"/>
        </w:rPr>
        <w:t xml:space="preserve"> </w:t>
      </w:r>
      <w:r w:rsidRPr="00EC452A">
        <w:rPr>
          <w:rFonts w:ascii="Arial" w:eastAsia="Arial" w:hAnsi="Arial" w:cs="Arial"/>
          <w:sz w:val="22"/>
          <w:szCs w:val="22"/>
        </w:rPr>
        <w:t>la</w:t>
      </w:r>
      <w:r w:rsidRPr="00EC452A">
        <w:rPr>
          <w:rFonts w:ascii="Arial" w:eastAsia="Arial" w:hAnsi="Arial" w:cs="Arial"/>
          <w:spacing w:val="40"/>
          <w:sz w:val="22"/>
          <w:szCs w:val="22"/>
        </w:rPr>
        <w:t xml:space="preserve"> </w:t>
      </w:r>
      <w:r w:rsidRPr="00EC452A">
        <w:rPr>
          <w:rFonts w:ascii="Arial" w:eastAsia="Arial" w:hAnsi="Arial" w:cs="Arial"/>
          <w:sz w:val="22"/>
          <w:szCs w:val="22"/>
        </w:rPr>
        <w:t>misma</w:t>
      </w:r>
      <w:r w:rsidRPr="00EC452A">
        <w:rPr>
          <w:rFonts w:ascii="Arial" w:eastAsia="Arial" w:hAnsi="Arial" w:cs="Arial"/>
          <w:spacing w:val="48"/>
          <w:sz w:val="22"/>
          <w:szCs w:val="22"/>
        </w:rPr>
        <w:t xml:space="preserve"> </w:t>
      </w:r>
      <w:r w:rsidRPr="00EC452A">
        <w:rPr>
          <w:rFonts w:ascii="Arial" w:eastAsia="Arial" w:hAnsi="Arial" w:cs="Arial"/>
          <w:sz w:val="22"/>
          <w:szCs w:val="22"/>
        </w:rPr>
        <w:t>Ley</w:t>
      </w:r>
      <w:r w:rsidRPr="00EC452A">
        <w:rPr>
          <w:rFonts w:ascii="Arial" w:eastAsia="Arial" w:hAnsi="Arial" w:cs="Arial"/>
          <w:spacing w:val="43"/>
          <w:sz w:val="22"/>
          <w:szCs w:val="22"/>
        </w:rPr>
        <w:t xml:space="preserve"> </w:t>
      </w:r>
      <w:r w:rsidRPr="00EC452A">
        <w:rPr>
          <w:rFonts w:ascii="Arial" w:eastAsia="Arial" w:hAnsi="Arial" w:cs="Arial"/>
          <w:sz w:val="22"/>
          <w:szCs w:val="22"/>
        </w:rPr>
        <w:t>otorga</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minifundio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colindante</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objet</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transacción.</w:t>
      </w:r>
    </w:p>
    <w:p w14:paraId="1E57C77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E</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dud</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Notario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Público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autoridade</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ante</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mencionada</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formular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consult</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Secretaría.</w:t>
      </w:r>
    </w:p>
    <w:p w14:paraId="288CF17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125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0"/>
          <w:sz w:val="22"/>
          <w:szCs w:val="22"/>
        </w:rPr>
        <w:t xml:space="preserve"> </w:t>
      </w:r>
      <w:r w:rsidRPr="00EC452A">
        <w:rPr>
          <w:rFonts w:ascii="Arial" w:eastAsia="Arial" w:hAnsi="Arial" w:cs="Arial"/>
          <w:sz w:val="22"/>
          <w:szCs w:val="22"/>
        </w:rPr>
        <w:t>propiet</w:t>
      </w:r>
      <w:r w:rsidRPr="00EC452A">
        <w:rPr>
          <w:rFonts w:ascii="Arial" w:eastAsia="Arial" w:hAnsi="Arial" w:cs="Arial"/>
          <w:spacing w:val="-15"/>
          <w:sz w:val="22"/>
          <w:szCs w:val="22"/>
        </w:rPr>
        <w:t>a</w:t>
      </w:r>
      <w:r w:rsidRPr="00EC452A">
        <w:rPr>
          <w:rFonts w:ascii="Arial" w:eastAsia="Arial" w:hAnsi="Arial" w:cs="Arial"/>
          <w:spacing w:val="-1"/>
          <w:sz w:val="22"/>
          <w:szCs w:val="22"/>
        </w:rPr>
        <w:t>rio</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minifundio</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colindante</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refier</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 xml:space="preserv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ejerce</w:t>
      </w:r>
      <w:r w:rsidRPr="00EC452A">
        <w:rPr>
          <w:rFonts w:ascii="Arial" w:eastAsia="Arial" w:hAnsi="Arial" w:cs="Arial"/>
          <w:sz w:val="22"/>
          <w:szCs w:val="22"/>
        </w:rPr>
        <w:t xml:space="preserve">r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derech</w:t>
      </w:r>
      <w:r w:rsidRPr="00EC452A">
        <w:rPr>
          <w:rFonts w:ascii="Arial" w:eastAsia="Arial" w:hAnsi="Arial" w:cs="Arial"/>
          <w:sz w:val="22"/>
          <w:szCs w:val="22"/>
        </w:rPr>
        <w:t xml:space="preserve">o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tant</w:t>
      </w:r>
      <w:r w:rsidRPr="00EC452A">
        <w:rPr>
          <w:rFonts w:ascii="Arial" w:eastAsia="Arial" w:hAnsi="Arial" w:cs="Arial"/>
          <w:sz w:val="22"/>
          <w:szCs w:val="22"/>
        </w:rPr>
        <w:t xml:space="preserve">o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términ</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3</w:t>
      </w:r>
      <w:r w:rsidRPr="00EC452A">
        <w:rPr>
          <w:rFonts w:ascii="Arial" w:eastAsia="Arial" w:hAnsi="Arial" w:cs="Arial"/>
          <w:sz w:val="22"/>
          <w:szCs w:val="22"/>
        </w:rPr>
        <w:t xml:space="preserve">0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 xml:space="preserve">hábiles, </w:t>
      </w:r>
      <w:r w:rsidRPr="00EC452A">
        <w:rPr>
          <w:rFonts w:ascii="Arial" w:eastAsia="Arial" w:hAnsi="Arial" w:cs="Arial"/>
          <w:spacing w:val="-1"/>
          <w:sz w:val="22"/>
          <w:szCs w:val="22"/>
        </w:rPr>
        <w:t>contado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parti</w:t>
      </w:r>
      <w:r w:rsidRPr="00EC452A">
        <w:rPr>
          <w:rFonts w:ascii="Arial" w:eastAsia="Arial" w:hAnsi="Arial" w:cs="Arial"/>
          <w:sz w:val="22"/>
          <w:szCs w:val="22"/>
        </w:rPr>
        <w:t>r</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reciba</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notificació</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cua</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efectuarse </w:t>
      </w:r>
      <w:r w:rsidRPr="00EC452A">
        <w:rPr>
          <w:rFonts w:ascii="Arial" w:eastAsia="Arial" w:hAnsi="Arial" w:cs="Arial"/>
          <w:spacing w:val="-3"/>
          <w:sz w:val="22"/>
          <w:szCs w:val="22"/>
        </w:rPr>
        <w:t>e</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persona</w:t>
      </w:r>
      <w:r w:rsidRPr="00EC452A">
        <w:rPr>
          <w:rFonts w:ascii="Arial" w:eastAsia="Arial" w:hAnsi="Arial" w:cs="Arial"/>
          <w:sz w:val="22"/>
          <w:szCs w:val="22"/>
        </w:rPr>
        <w:t>l</w:t>
      </w:r>
      <w:r w:rsidRPr="00EC452A">
        <w:rPr>
          <w:rFonts w:ascii="Arial" w:eastAsia="Arial" w:hAnsi="Arial" w:cs="Arial"/>
          <w:spacing w:val="40"/>
          <w:sz w:val="22"/>
          <w:szCs w:val="22"/>
        </w:rPr>
        <w:t xml:space="preserve"> </w:t>
      </w:r>
      <w:r w:rsidRPr="00EC452A">
        <w:rPr>
          <w:rFonts w:ascii="Arial" w:eastAsia="Arial" w:hAnsi="Arial" w:cs="Arial"/>
          <w:sz w:val="22"/>
          <w:szCs w:val="22"/>
        </w:rPr>
        <w:t>o</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corre</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certificad</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acus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recibo</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solicitu</w:t>
      </w:r>
      <w:r w:rsidRPr="00EC452A">
        <w:rPr>
          <w:rFonts w:ascii="Arial" w:eastAsia="Arial" w:hAnsi="Arial" w:cs="Arial"/>
          <w:sz w:val="22"/>
          <w:szCs w:val="22"/>
        </w:rPr>
        <w:t>d</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pretenda</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enajena</w:t>
      </w:r>
      <w:r w:rsidRPr="00EC452A">
        <w:rPr>
          <w:rFonts w:ascii="Arial" w:eastAsia="Arial" w:hAnsi="Arial" w:cs="Arial"/>
          <w:sz w:val="22"/>
          <w:szCs w:val="22"/>
        </w:rPr>
        <w:t>r</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predios.</w:t>
      </w:r>
    </w:p>
    <w:p w14:paraId="4218EB2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126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z w:val="22"/>
          <w:szCs w:val="22"/>
        </w:rPr>
        <w:t>Los</w:t>
      </w:r>
      <w:r w:rsidRPr="00EC452A">
        <w:rPr>
          <w:rFonts w:ascii="Arial" w:eastAsia="Arial" w:hAnsi="Arial" w:cs="Arial"/>
          <w:spacing w:val="30"/>
          <w:sz w:val="22"/>
          <w:szCs w:val="22"/>
        </w:rPr>
        <w:t xml:space="preserve"> </w:t>
      </w:r>
      <w:r w:rsidRPr="00EC452A">
        <w:rPr>
          <w:rFonts w:ascii="Arial" w:eastAsia="Arial" w:hAnsi="Arial" w:cs="Arial"/>
          <w:sz w:val="22"/>
          <w:szCs w:val="22"/>
        </w:rPr>
        <w:t>jueces,</w:t>
      </w:r>
      <w:r w:rsidRPr="00EC452A">
        <w:rPr>
          <w:rFonts w:ascii="Arial" w:eastAsia="Arial" w:hAnsi="Arial" w:cs="Arial"/>
          <w:spacing w:val="36"/>
          <w:sz w:val="22"/>
          <w:szCs w:val="22"/>
        </w:rPr>
        <w:t xml:space="preserve"> </w:t>
      </w:r>
      <w:r w:rsidRPr="00EC452A">
        <w:rPr>
          <w:rFonts w:ascii="Arial" w:eastAsia="Arial" w:hAnsi="Arial" w:cs="Arial"/>
          <w:sz w:val="22"/>
          <w:szCs w:val="22"/>
        </w:rPr>
        <w:t>registradores,</w:t>
      </w:r>
      <w:r w:rsidRPr="00EC452A">
        <w:rPr>
          <w:rFonts w:ascii="Arial" w:eastAsia="Arial" w:hAnsi="Arial" w:cs="Arial"/>
          <w:spacing w:val="47"/>
          <w:sz w:val="22"/>
          <w:szCs w:val="22"/>
        </w:rPr>
        <w:t xml:space="preserve"> </w:t>
      </w:r>
      <w:r w:rsidRPr="00EC452A">
        <w:rPr>
          <w:rFonts w:ascii="Arial" w:eastAsia="Arial" w:hAnsi="Arial" w:cs="Arial"/>
          <w:sz w:val="22"/>
          <w:szCs w:val="22"/>
        </w:rPr>
        <w:t>notarios</w:t>
      </w:r>
      <w:r w:rsidRPr="00EC452A">
        <w:rPr>
          <w:rFonts w:ascii="Arial" w:eastAsia="Arial" w:hAnsi="Arial" w:cs="Arial"/>
          <w:spacing w:val="38"/>
          <w:sz w:val="22"/>
          <w:szCs w:val="22"/>
        </w:rPr>
        <w:t xml:space="preserve"> </w:t>
      </w:r>
      <w:r w:rsidRPr="00EC452A">
        <w:rPr>
          <w:rFonts w:ascii="Arial" w:eastAsia="Arial" w:hAnsi="Arial" w:cs="Arial"/>
          <w:sz w:val="22"/>
          <w:szCs w:val="22"/>
        </w:rPr>
        <w:t>públicos</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z w:val="22"/>
          <w:szCs w:val="22"/>
        </w:rPr>
        <w:t>otras</w:t>
      </w:r>
      <w:r w:rsidRPr="00EC452A">
        <w:rPr>
          <w:rFonts w:ascii="Arial" w:eastAsia="Arial" w:hAnsi="Arial" w:cs="Arial"/>
          <w:spacing w:val="32"/>
          <w:sz w:val="22"/>
          <w:szCs w:val="22"/>
        </w:rPr>
        <w:t xml:space="preserve"> </w:t>
      </w:r>
      <w:r w:rsidRPr="00EC452A">
        <w:rPr>
          <w:rFonts w:ascii="Arial" w:eastAsia="Arial" w:hAnsi="Arial" w:cs="Arial"/>
          <w:sz w:val="22"/>
          <w:szCs w:val="22"/>
        </w:rPr>
        <w:t>autoridades</w:t>
      </w:r>
      <w:r w:rsidRPr="00EC452A">
        <w:rPr>
          <w:rFonts w:ascii="Arial" w:eastAsia="Arial" w:hAnsi="Arial" w:cs="Arial"/>
          <w:spacing w:val="44"/>
          <w:sz w:val="22"/>
          <w:szCs w:val="22"/>
        </w:rPr>
        <w:t xml:space="preserve"> </w:t>
      </w:r>
      <w:r w:rsidRPr="00EC452A">
        <w:rPr>
          <w:rFonts w:ascii="Arial" w:eastAsia="Arial" w:hAnsi="Arial" w:cs="Arial"/>
          <w:sz w:val="22"/>
          <w:szCs w:val="22"/>
        </w:rPr>
        <w:t>que</w:t>
      </w:r>
      <w:r w:rsidRPr="00EC452A">
        <w:rPr>
          <w:rFonts w:ascii="Arial" w:eastAsia="Arial" w:hAnsi="Arial" w:cs="Arial"/>
          <w:spacing w:val="30"/>
          <w:sz w:val="22"/>
          <w:szCs w:val="22"/>
        </w:rPr>
        <w:t xml:space="preserve"> </w:t>
      </w:r>
      <w:r w:rsidRPr="00EC452A">
        <w:rPr>
          <w:rFonts w:ascii="Arial" w:eastAsia="Arial" w:hAnsi="Arial" w:cs="Arial"/>
          <w:sz w:val="22"/>
          <w:szCs w:val="22"/>
        </w:rPr>
        <w:t>por</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razón </w:t>
      </w:r>
      <w:r w:rsidRPr="00EC452A">
        <w:rPr>
          <w:rFonts w:ascii="Arial" w:eastAsia="Arial" w:hAnsi="Arial" w:cs="Arial"/>
          <w:spacing w:val="10"/>
          <w:sz w:val="22"/>
          <w:szCs w:val="22"/>
        </w:rPr>
        <w:t xml:space="preserve"> </w:t>
      </w:r>
      <w:r w:rsidRPr="00EC452A">
        <w:rPr>
          <w:rFonts w:ascii="Arial" w:eastAsia="Arial" w:hAnsi="Arial" w:cs="Arial"/>
          <w:spacing w:val="-3"/>
          <w:w w:val="102"/>
          <w:sz w:val="22"/>
          <w:szCs w:val="22"/>
        </w:rPr>
        <w:t xml:space="preserve">de </w:t>
      </w:r>
      <w:r w:rsidRPr="00EC452A">
        <w:rPr>
          <w:rFonts w:ascii="Arial" w:eastAsia="Arial" w:hAnsi="Arial" w:cs="Arial"/>
          <w:sz w:val="22"/>
          <w:szCs w:val="22"/>
        </w:rPr>
        <w:t>su</w:t>
      </w:r>
      <w:r w:rsidRPr="00EC452A">
        <w:rPr>
          <w:rFonts w:ascii="Arial" w:eastAsia="Arial" w:hAnsi="Arial" w:cs="Arial"/>
          <w:spacing w:val="24"/>
          <w:sz w:val="22"/>
          <w:szCs w:val="22"/>
        </w:rPr>
        <w:t xml:space="preserve"> </w:t>
      </w:r>
      <w:r w:rsidRPr="00EC452A">
        <w:rPr>
          <w:rFonts w:ascii="Arial" w:eastAsia="Arial" w:hAnsi="Arial" w:cs="Arial"/>
          <w:sz w:val="22"/>
          <w:szCs w:val="22"/>
        </w:rPr>
        <w:t>cargo</w:t>
      </w:r>
      <w:r w:rsidRPr="00EC452A">
        <w:rPr>
          <w:rFonts w:ascii="Arial" w:eastAsia="Arial" w:hAnsi="Arial" w:cs="Arial"/>
          <w:spacing w:val="29"/>
          <w:sz w:val="22"/>
          <w:szCs w:val="22"/>
        </w:rPr>
        <w:t xml:space="preserve"> </w:t>
      </w:r>
      <w:r w:rsidRPr="00EC452A">
        <w:rPr>
          <w:rFonts w:ascii="Arial" w:eastAsia="Arial" w:hAnsi="Arial" w:cs="Arial"/>
          <w:sz w:val="22"/>
          <w:szCs w:val="22"/>
        </w:rPr>
        <w:t>conozcan</w:t>
      </w:r>
      <w:r w:rsidRPr="00EC452A">
        <w:rPr>
          <w:rFonts w:ascii="Arial" w:eastAsia="Arial" w:hAnsi="Arial" w:cs="Arial"/>
          <w:spacing w:val="36"/>
          <w:sz w:val="22"/>
          <w:szCs w:val="22"/>
        </w:rPr>
        <w:t xml:space="preserve"> </w:t>
      </w:r>
      <w:r w:rsidRPr="00EC452A">
        <w:rPr>
          <w:rFonts w:ascii="Arial" w:eastAsia="Arial" w:hAnsi="Arial" w:cs="Arial"/>
          <w:sz w:val="22"/>
          <w:szCs w:val="22"/>
        </w:rPr>
        <w:t>de</w:t>
      </w:r>
      <w:r w:rsidRPr="00EC452A">
        <w:rPr>
          <w:rFonts w:ascii="Arial" w:eastAsia="Arial" w:hAnsi="Arial" w:cs="Arial"/>
          <w:spacing w:val="24"/>
          <w:sz w:val="22"/>
          <w:szCs w:val="22"/>
        </w:rPr>
        <w:t xml:space="preserve"> </w:t>
      </w:r>
      <w:r w:rsidRPr="00EC452A">
        <w:rPr>
          <w:rFonts w:ascii="Arial" w:eastAsia="Arial" w:hAnsi="Arial" w:cs="Arial"/>
          <w:sz w:val="22"/>
          <w:szCs w:val="22"/>
        </w:rPr>
        <w:t>negocios</w:t>
      </w:r>
      <w:r w:rsidRPr="00EC452A">
        <w:rPr>
          <w:rFonts w:ascii="Arial" w:eastAsia="Arial" w:hAnsi="Arial" w:cs="Arial"/>
          <w:spacing w:val="35"/>
          <w:sz w:val="22"/>
          <w:szCs w:val="22"/>
        </w:rPr>
        <w:t xml:space="preserve"> </w:t>
      </w:r>
      <w:r w:rsidRPr="00EC452A">
        <w:rPr>
          <w:rFonts w:ascii="Arial" w:eastAsia="Arial" w:hAnsi="Arial" w:cs="Arial"/>
          <w:sz w:val="22"/>
          <w:szCs w:val="22"/>
        </w:rPr>
        <w:t>relacionados</w:t>
      </w:r>
      <w:r w:rsidRPr="00EC452A">
        <w:rPr>
          <w:rFonts w:ascii="Arial" w:eastAsia="Arial" w:hAnsi="Arial" w:cs="Arial"/>
          <w:spacing w:val="42"/>
          <w:sz w:val="22"/>
          <w:szCs w:val="22"/>
        </w:rPr>
        <w:t xml:space="preserve"> </w:t>
      </w:r>
      <w:r w:rsidRPr="00EC452A">
        <w:rPr>
          <w:rFonts w:ascii="Arial" w:eastAsia="Arial" w:hAnsi="Arial" w:cs="Arial"/>
          <w:sz w:val="22"/>
          <w:szCs w:val="22"/>
        </w:rPr>
        <w:t>con</w:t>
      </w:r>
      <w:r w:rsidRPr="00EC452A">
        <w:rPr>
          <w:rFonts w:ascii="Arial" w:eastAsia="Arial" w:hAnsi="Arial" w:cs="Arial"/>
          <w:spacing w:val="26"/>
          <w:sz w:val="22"/>
          <w:szCs w:val="22"/>
        </w:rPr>
        <w:t xml:space="preserve"> </w:t>
      </w:r>
      <w:r w:rsidRPr="00EC452A">
        <w:rPr>
          <w:rFonts w:ascii="Arial" w:eastAsia="Arial" w:hAnsi="Arial" w:cs="Arial"/>
          <w:sz w:val="22"/>
          <w:szCs w:val="22"/>
        </w:rPr>
        <w:t>tierras</w:t>
      </w:r>
      <w:r w:rsidRPr="00EC452A">
        <w:rPr>
          <w:rFonts w:ascii="Arial" w:eastAsia="Arial" w:hAnsi="Arial" w:cs="Arial"/>
          <w:spacing w:val="31"/>
          <w:sz w:val="22"/>
          <w:szCs w:val="22"/>
        </w:rPr>
        <w:t xml:space="preserve"> </w:t>
      </w:r>
      <w:r w:rsidRPr="00EC452A">
        <w:rPr>
          <w:rFonts w:ascii="Arial" w:eastAsia="Arial" w:hAnsi="Arial" w:cs="Arial"/>
          <w:sz w:val="22"/>
          <w:szCs w:val="22"/>
        </w:rPr>
        <w:t>ociosas,</w:t>
      </w:r>
      <w:r w:rsidRPr="00EC452A">
        <w:rPr>
          <w:rFonts w:ascii="Arial" w:eastAsia="Arial" w:hAnsi="Arial" w:cs="Arial"/>
          <w:spacing w:val="34"/>
          <w:sz w:val="22"/>
          <w:szCs w:val="22"/>
        </w:rPr>
        <w:t xml:space="preserve"> </w:t>
      </w:r>
      <w:r w:rsidRPr="00EC452A">
        <w:rPr>
          <w:rFonts w:ascii="Arial" w:eastAsia="Arial" w:hAnsi="Arial" w:cs="Arial"/>
          <w:sz w:val="22"/>
          <w:szCs w:val="22"/>
        </w:rPr>
        <w:t>enajenaciones</w:t>
      </w:r>
      <w:r w:rsidRPr="00EC452A">
        <w:rPr>
          <w:rFonts w:ascii="Arial" w:eastAsia="Arial" w:hAnsi="Arial" w:cs="Arial"/>
          <w:spacing w:val="44"/>
          <w:sz w:val="22"/>
          <w:szCs w:val="22"/>
        </w:rPr>
        <w:t xml:space="preserve"> </w:t>
      </w:r>
      <w:r w:rsidRPr="00EC452A">
        <w:rPr>
          <w:rFonts w:ascii="Arial" w:eastAsia="Arial" w:hAnsi="Arial" w:cs="Arial"/>
          <w:sz w:val="22"/>
          <w:szCs w:val="22"/>
        </w:rPr>
        <w:t>y</w:t>
      </w:r>
      <w:r w:rsidRPr="00EC452A">
        <w:rPr>
          <w:rFonts w:ascii="Arial" w:eastAsia="Arial" w:hAnsi="Arial" w:cs="Arial"/>
          <w:spacing w:val="22"/>
          <w:sz w:val="22"/>
          <w:szCs w:val="22"/>
        </w:rPr>
        <w:t xml:space="preserve"> </w:t>
      </w:r>
      <w:r w:rsidRPr="00EC452A">
        <w:rPr>
          <w:rFonts w:ascii="Arial" w:eastAsia="Arial" w:hAnsi="Arial" w:cs="Arial"/>
          <w:sz w:val="22"/>
          <w:szCs w:val="22"/>
        </w:rPr>
        <w:t>demás</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actos </w:t>
      </w:r>
      <w:r w:rsidRPr="00EC452A">
        <w:rPr>
          <w:rFonts w:ascii="Arial" w:eastAsia="Arial" w:hAnsi="Arial" w:cs="Arial"/>
          <w:spacing w:val="-2"/>
          <w:sz w:val="22"/>
          <w:szCs w:val="22"/>
        </w:rPr>
        <w:t>jurídico</w:t>
      </w:r>
      <w:r w:rsidRPr="00EC452A">
        <w:rPr>
          <w:rFonts w:ascii="Arial" w:eastAsia="Arial" w:hAnsi="Arial" w:cs="Arial"/>
          <w:sz w:val="22"/>
          <w:szCs w:val="22"/>
        </w:rPr>
        <w:t xml:space="preserve">s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involucre</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minifundios</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granja</w:t>
      </w:r>
      <w:r w:rsidRPr="00EC452A">
        <w:rPr>
          <w:rFonts w:ascii="Arial" w:eastAsia="Arial" w:hAnsi="Arial" w:cs="Arial"/>
          <w:sz w:val="22"/>
          <w:szCs w:val="22"/>
        </w:rPr>
        <w:t xml:space="preserve">s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huerto</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familiare</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deberá</w:t>
      </w:r>
      <w:r w:rsidRPr="00EC452A">
        <w:rPr>
          <w:rFonts w:ascii="Arial" w:eastAsia="Arial" w:hAnsi="Arial" w:cs="Arial"/>
          <w:sz w:val="22"/>
          <w:szCs w:val="22"/>
        </w:rPr>
        <w:t xml:space="preserve">n </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notificarl</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dentr</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términ</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3</w:t>
      </w:r>
      <w:r w:rsidRPr="00EC452A">
        <w:rPr>
          <w:rFonts w:ascii="Arial" w:eastAsia="Arial" w:hAnsi="Arial" w:cs="Arial"/>
          <w:sz w:val="22"/>
          <w:szCs w:val="22"/>
        </w:rPr>
        <w:t>0</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día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contando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parti</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dí</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haya</w:t>
      </w:r>
      <w:r w:rsidRPr="00EC452A">
        <w:rPr>
          <w:rFonts w:ascii="Arial" w:eastAsia="Arial" w:hAnsi="Arial" w:cs="Arial"/>
          <w:sz w:val="22"/>
          <w:szCs w:val="22"/>
        </w:rPr>
        <w:t>n</w:t>
      </w:r>
      <w:r w:rsidRPr="00EC452A">
        <w:rPr>
          <w:rFonts w:ascii="Arial" w:eastAsia="Arial" w:hAnsi="Arial" w:cs="Arial"/>
          <w:spacing w:val="6"/>
          <w:sz w:val="22"/>
          <w:szCs w:val="22"/>
        </w:rPr>
        <w:t xml:space="preserve"> </w:t>
      </w:r>
      <w:r w:rsidRPr="00EC452A">
        <w:rPr>
          <w:rFonts w:ascii="Arial" w:eastAsia="Arial" w:hAnsi="Arial" w:cs="Arial"/>
          <w:spacing w:val="-2"/>
          <w:w w:val="102"/>
          <w:sz w:val="22"/>
          <w:szCs w:val="22"/>
        </w:rPr>
        <w:t xml:space="preserve">tenido </w:t>
      </w:r>
      <w:r w:rsidRPr="00EC452A">
        <w:rPr>
          <w:rFonts w:ascii="Arial" w:eastAsia="Arial" w:hAnsi="Arial" w:cs="Arial"/>
          <w:sz w:val="22"/>
          <w:szCs w:val="22"/>
        </w:rPr>
        <w:t>conocimiento</w:t>
      </w:r>
      <w:r w:rsidRPr="00EC452A">
        <w:rPr>
          <w:rFonts w:ascii="Arial" w:eastAsia="Arial" w:hAnsi="Arial" w:cs="Arial"/>
          <w:spacing w:val="29"/>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suceso.</w:t>
      </w:r>
    </w:p>
    <w:p w14:paraId="510301FA"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w:t>
      </w:r>
    </w:p>
    <w:p w14:paraId="7B6FAB7C"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Granja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Huerto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Familiares</w:t>
      </w:r>
    </w:p>
    <w:p w14:paraId="0612A1D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127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 xml:space="preserve">y </w:t>
      </w:r>
      <w:r w:rsidRPr="00EC452A">
        <w:rPr>
          <w:rFonts w:ascii="Arial" w:eastAsia="Arial" w:hAnsi="Arial" w:cs="Arial"/>
          <w:spacing w:val="3"/>
          <w:sz w:val="22"/>
          <w:szCs w:val="22"/>
        </w:rPr>
        <w:t xml:space="preserve"> </w:t>
      </w:r>
      <w:r w:rsidRPr="00EC452A">
        <w:rPr>
          <w:rFonts w:ascii="Arial" w:eastAsia="Arial" w:hAnsi="Arial" w:cs="Arial"/>
          <w:sz w:val="22"/>
          <w:szCs w:val="22"/>
        </w:rPr>
        <w:t>y</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Reglamento</w:t>
      </w:r>
      <w:r w:rsidRPr="00EC452A">
        <w:rPr>
          <w:rFonts w:ascii="Arial" w:eastAsia="Arial" w:hAnsi="Arial" w:cs="Arial"/>
          <w:sz w:val="22"/>
          <w:szCs w:val="22"/>
        </w:rPr>
        <w:t xml:space="preserv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entiend</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granja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huerto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familiares</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realic</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algun</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clas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explotación</w:t>
      </w:r>
      <w:r w:rsidRPr="00EC452A">
        <w:rPr>
          <w:rFonts w:ascii="Arial" w:eastAsia="Arial" w:hAnsi="Arial" w:cs="Arial"/>
          <w:spacing w:val="35"/>
          <w:sz w:val="22"/>
          <w:szCs w:val="22"/>
        </w:rPr>
        <w:t xml:space="preserve"> </w:t>
      </w:r>
      <w:r w:rsidRPr="00EC452A">
        <w:rPr>
          <w:rFonts w:ascii="Arial" w:eastAsia="Arial" w:hAnsi="Arial" w:cs="Arial"/>
          <w:sz w:val="22"/>
          <w:szCs w:val="22"/>
        </w:rPr>
        <w:t>agrícola,</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z w:val="22"/>
          <w:szCs w:val="22"/>
        </w:rPr>
        <w:t xml:space="preserve">destinen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satisfacer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únicamente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necesidades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sustento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familia,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con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opción </w:t>
      </w:r>
      <w:r w:rsidRPr="00EC452A">
        <w:rPr>
          <w:rFonts w:ascii="Arial" w:eastAsia="Arial" w:hAnsi="Arial" w:cs="Arial"/>
          <w:spacing w:val="21"/>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vende</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excedentes.</w:t>
      </w:r>
    </w:p>
    <w:p w14:paraId="13D6ACD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128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granja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huerto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familiare</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superfici</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inferio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cinc</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hectárea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 xml:space="preserve">serán </w:t>
      </w:r>
      <w:r w:rsidRPr="00EC452A">
        <w:rPr>
          <w:rFonts w:ascii="Arial" w:eastAsia="Arial" w:hAnsi="Arial" w:cs="Arial"/>
          <w:spacing w:val="1"/>
          <w:sz w:val="22"/>
          <w:szCs w:val="22"/>
        </w:rPr>
        <w:t>considerada</w:t>
      </w:r>
      <w:r w:rsidRPr="00EC452A">
        <w:rPr>
          <w:rFonts w:ascii="Arial" w:eastAsia="Arial" w:hAnsi="Arial" w:cs="Arial"/>
          <w:sz w:val="22"/>
          <w:szCs w:val="22"/>
        </w:rPr>
        <w:t xml:space="preserve">s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w:t>
      </w:r>
      <w:r w:rsidRPr="00EC452A">
        <w:rPr>
          <w:rFonts w:ascii="Arial" w:eastAsia="Arial" w:hAnsi="Arial" w:cs="Arial"/>
          <w:spacing w:val="-14"/>
          <w:sz w:val="22"/>
          <w:szCs w:val="22"/>
        </w:rPr>
        <w:t>o</w:t>
      </w:r>
      <w:r w:rsidRPr="00EC452A">
        <w:rPr>
          <w:rFonts w:ascii="Arial" w:eastAsia="Arial" w:hAnsi="Arial" w:cs="Arial"/>
          <w:spacing w:val="-1"/>
          <w:sz w:val="22"/>
          <w:szCs w:val="22"/>
        </w:rPr>
        <w:t>m</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minifundio</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 xml:space="preserve">o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segregació</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superfici</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explotación </w:t>
      </w:r>
      <w:r w:rsidRPr="00EC452A">
        <w:rPr>
          <w:rFonts w:ascii="Arial" w:eastAsia="Arial" w:hAnsi="Arial" w:cs="Arial"/>
          <w:spacing w:val="-1"/>
          <w:sz w:val="22"/>
          <w:szCs w:val="22"/>
        </w:rPr>
        <w:t>familia</w:t>
      </w:r>
      <w:r w:rsidRPr="00EC452A">
        <w:rPr>
          <w:rFonts w:ascii="Arial" w:eastAsia="Arial" w:hAnsi="Arial" w:cs="Arial"/>
          <w:sz w:val="22"/>
          <w:szCs w:val="22"/>
        </w:rPr>
        <w:t xml:space="preserve">r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afect</w:t>
      </w:r>
      <w:r w:rsidRPr="00EC452A">
        <w:rPr>
          <w:rFonts w:ascii="Arial" w:eastAsia="Arial" w:hAnsi="Arial" w:cs="Arial"/>
          <w:sz w:val="22"/>
          <w:szCs w:val="22"/>
        </w:rPr>
        <w:t xml:space="preserve">e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substancialment</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aprovechamient</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colectiv</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tierras</w:t>
      </w:r>
      <w:r w:rsidRPr="00EC452A">
        <w:rPr>
          <w:rFonts w:ascii="Arial" w:eastAsia="Arial" w:hAnsi="Arial" w:cs="Arial"/>
          <w:sz w:val="22"/>
          <w:szCs w:val="22"/>
        </w:rPr>
        <w:t xml:space="preserve">,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z w:val="22"/>
          <w:szCs w:val="22"/>
        </w:rPr>
        <w:t>agrupamiento</w:t>
      </w:r>
      <w:r w:rsidRPr="00EC452A">
        <w:rPr>
          <w:rFonts w:ascii="Arial" w:eastAsia="Arial" w:hAnsi="Arial" w:cs="Arial"/>
          <w:spacing w:val="3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minifundios</w:t>
      </w:r>
      <w:r w:rsidRPr="00EC452A">
        <w:rPr>
          <w:rFonts w:ascii="Arial" w:eastAsia="Arial" w:hAnsi="Arial" w:cs="Arial"/>
          <w:spacing w:val="26"/>
          <w:sz w:val="22"/>
          <w:szCs w:val="22"/>
        </w:rPr>
        <w:t xml:space="preserve"> </w:t>
      </w:r>
      <w:r w:rsidRPr="00EC452A">
        <w:rPr>
          <w:rFonts w:ascii="Arial" w:eastAsia="Arial" w:hAnsi="Arial" w:cs="Arial"/>
          <w:sz w:val="22"/>
          <w:szCs w:val="22"/>
        </w:rPr>
        <w:t>entre</w:t>
      </w:r>
      <w:r w:rsidRPr="00EC452A">
        <w:rPr>
          <w:rFonts w:ascii="Arial" w:eastAsia="Arial" w:hAnsi="Arial" w:cs="Arial"/>
          <w:spacing w:val="16"/>
          <w:sz w:val="22"/>
          <w:szCs w:val="22"/>
        </w:rPr>
        <w:t xml:space="preserve"> </w:t>
      </w:r>
      <w:r w:rsidRPr="00EC452A">
        <w:rPr>
          <w:rFonts w:ascii="Arial" w:eastAsia="Arial" w:hAnsi="Arial" w:cs="Arial"/>
          <w:sz w:val="22"/>
          <w:szCs w:val="22"/>
        </w:rPr>
        <w:t>sí</w:t>
      </w:r>
      <w:r w:rsidRPr="00EC452A">
        <w:rPr>
          <w:rFonts w:ascii="Arial" w:eastAsia="Arial" w:hAnsi="Arial" w:cs="Arial"/>
          <w:spacing w:val="10"/>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otras</w:t>
      </w:r>
      <w:r w:rsidRPr="00EC452A">
        <w:rPr>
          <w:rFonts w:ascii="Arial" w:eastAsia="Arial" w:hAnsi="Arial" w:cs="Arial"/>
          <w:spacing w:val="15"/>
          <w:sz w:val="22"/>
          <w:szCs w:val="22"/>
        </w:rPr>
        <w:t xml:space="preserve"> </w:t>
      </w:r>
      <w:r w:rsidRPr="00EC452A">
        <w:rPr>
          <w:rFonts w:ascii="Arial" w:eastAsia="Arial" w:hAnsi="Arial" w:cs="Arial"/>
          <w:sz w:val="22"/>
          <w:szCs w:val="22"/>
        </w:rPr>
        <w:t>fincas</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rústicas.</w:t>
      </w:r>
    </w:p>
    <w:p w14:paraId="2DB071E5"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III</w:t>
      </w:r>
    </w:p>
    <w:p w14:paraId="650E18DC"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z w:val="22"/>
          <w:szCs w:val="22"/>
        </w:rPr>
        <w:t>De</w:t>
      </w:r>
      <w:r w:rsidRPr="00EC452A">
        <w:rPr>
          <w:rFonts w:ascii="Arial" w:eastAsia="Arial" w:hAnsi="Arial" w:cs="Arial"/>
          <w:spacing w:val="13"/>
          <w:sz w:val="22"/>
          <w:szCs w:val="22"/>
        </w:rPr>
        <w:t xml:space="preserve"> </w:t>
      </w:r>
      <w:r w:rsidRPr="00EC452A">
        <w:rPr>
          <w:rFonts w:ascii="Arial" w:eastAsia="Arial" w:hAnsi="Arial" w:cs="Arial"/>
          <w:sz w:val="22"/>
          <w:szCs w:val="22"/>
        </w:rPr>
        <w:t>la</w:t>
      </w:r>
      <w:r w:rsidRPr="00EC452A">
        <w:rPr>
          <w:rFonts w:ascii="Arial" w:eastAsia="Arial" w:hAnsi="Arial" w:cs="Arial"/>
          <w:spacing w:val="11"/>
          <w:sz w:val="22"/>
          <w:szCs w:val="22"/>
        </w:rPr>
        <w:t xml:space="preserve"> </w:t>
      </w:r>
      <w:r w:rsidRPr="00EC452A">
        <w:rPr>
          <w:rFonts w:ascii="Arial" w:eastAsia="Arial" w:hAnsi="Arial" w:cs="Arial"/>
          <w:sz w:val="22"/>
          <w:szCs w:val="22"/>
        </w:rPr>
        <w:t>Asociación</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Parvifundistas</w:t>
      </w:r>
    </w:p>
    <w:p w14:paraId="68DC926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129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paraestatale</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autorizada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efect</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designe </w:t>
      </w:r>
      <w:r w:rsidRPr="00EC452A">
        <w:rPr>
          <w:rFonts w:ascii="Arial" w:eastAsia="Arial" w:hAnsi="Arial" w:cs="Arial"/>
          <w:spacing w:val="-1"/>
          <w:sz w:val="22"/>
          <w:szCs w:val="22"/>
        </w:rPr>
        <w:t>dentr</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propi</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sector</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elabora</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Asociació</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pacing w:val="-1"/>
          <w:sz w:val="22"/>
          <w:szCs w:val="22"/>
        </w:rPr>
        <w:t>poseedore</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exceda</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equi</w:t>
      </w:r>
      <w:r w:rsidRPr="00EC452A">
        <w:rPr>
          <w:rFonts w:ascii="Arial" w:eastAsia="Arial" w:hAnsi="Arial" w:cs="Arial"/>
          <w:spacing w:val="-31"/>
          <w:sz w:val="22"/>
          <w:szCs w:val="22"/>
        </w:rPr>
        <w:t>v</w:t>
      </w:r>
      <w:r w:rsidRPr="00EC452A">
        <w:rPr>
          <w:rFonts w:ascii="Arial" w:eastAsia="Arial" w:hAnsi="Arial" w:cs="Arial"/>
          <w:spacing w:val="-1"/>
          <w:sz w:val="22"/>
          <w:szCs w:val="22"/>
        </w:rPr>
        <w:t>alent</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d</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dotació</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ejida</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imperante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zon</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trate.</w:t>
      </w:r>
    </w:p>
    <w:p w14:paraId="70E860A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130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paraestatale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refier</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 xml:space="preserve">, </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deberán, </w:t>
      </w:r>
      <w:r w:rsidRPr="00EC452A">
        <w:rPr>
          <w:rFonts w:ascii="Arial" w:eastAsia="Arial" w:hAnsi="Arial" w:cs="Arial"/>
          <w:sz w:val="22"/>
          <w:szCs w:val="22"/>
        </w:rPr>
        <w:t>presentar</w:t>
      </w:r>
      <w:r w:rsidRPr="00EC452A">
        <w:rPr>
          <w:rFonts w:ascii="Arial" w:eastAsia="Arial" w:hAnsi="Arial" w:cs="Arial"/>
          <w:spacing w:val="50"/>
          <w:sz w:val="22"/>
          <w:szCs w:val="22"/>
        </w:rPr>
        <w:t xml:space="preserve"> </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z w:val="22"/>
          <w:szCs w:val="22"/>
        </w:rPr>
        <w:t>la</w:t>
      </w:r>
      <w:r w:rsidRPr="00EC452A">
        <w:rPr>
          <w:rFonts w:ascii="Arial" w:eastAsia="Arial" w:hAnsi="Arial" w:cs="Arial"/>
          <w:spacing w:val="37"/>
          <w:sz w:val="22"/>
          <w:szCs w:val="22"/>
        </w:rPr>
        <w:t xml:space="preserve"> </w:t>
      </w:r>
      <w:r w:rsidRPr="00EC452A">
        <w:rPr>
          <w:rFonts w:ascii="Arial" w:eastAsia="Arial" w:hAnsi="Arial" w:cs="Arial"/>
          <w:sz w:val="22"/>
          <w:szCs w:val="22"/>
        </w:rPr>
        <w:t>Secretaría</w:t>
      </w:r>
      <w:r w:rsidRPr="00EC452A">
        <w:rPr>
          <w:rFonts w:ascii="Arial" w:eastAsia="Arial" w:hAnsi="Arial" w:cs="Arial"/>
          <w:spacing w:val="51"/>
          <w:sz w:val="22"/>
          <w:szCs w:val="22"/>
        </w:rPr>
        <w:t xml:space="preserve"> </w:t>
      </w:r>
      <w:r w:rsidRPr="00EC452A">
        <w:rPr>
          <w:rFonts w:ascii="Arial" w:eastAsia="Arial" w:hAnsi="Arial" w:cs="Arial"/>
          <w:sz w:val="22"/>
          <w:szCs w:val="22"/>
        </w:rPr>
        <w:t>los</w:t>
      </w:r>
      <w:r w:rsidRPr="00EC452A">
        <w:rPr>
          <w:rFonts w:ascii="Arial" w:eastAsia="Arial" w:hAnsi="Arial" w:cs="Arial"/>
          <w:spacing w:val="39"/>
          <w:sz w:val="22"/>
          <w:szCs w:val="22"/>
        </w:rPr>
        <w:t xml:space="preserve"> </w:t>
      </w:r>
      <w:r w:rsidRPr="00EC452A">
        <w:rPr>
          <w:rFonts w:ascii="Arial" w:eastAsia="Arial" w:hAnsi="Arial" w:cs="Arial"/>
          <w:sz w:val="22"/>
          <w:szCs w:val="22"/>
        </w:rPr>
        <w:t>proyectos</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sz w:val="22"/>
          <w:szCs w:val="22"/>
        </w:rPr>
        <w:t>contratos</w:t>
      </w:r>
      <w:r w:rsidRPr="00EC452A">
        <w:rPr>
          <w:rFonts w:ascii="Arial" w:eastAsia="Arial" w:hAnsi="Arial" w:cs="Arial"/>
          <w:spacing w:val="49"/>
          <w:sz w:val="22"/>
          <w:szCs w:val="22"/>
        </w:rPr>
        <w:t xml:space="preserve"> </w:t>
      </w:r>
      <w:r w:rsidRPr="00EC452A">
        <w:rPr>
          <w:rFonts w:ascii="Arial" w:eastAsia="Arial" w:hAnsi="Arial" w:cs="Arial"/>
          <w:sz w:val="22"/>
          <w:szCs w:val="22"/>
        </w:rPr>
        <w:t>por</w:t>
      </w:r>
      <w:r w:rsidRPr="00EC452A">
        <w:rPr>
          <w:rFonts w:ascii="Arial" w:eastAsia="Arial" w:hAnsi="Arial" w:cs="Arial"/>
          <w:spacing w:val="39"/>
          <w:sz w:val="22"/>
          <w:szCs w:val="22"/>
        </w:rPr>
        <w:t xml:space="preserve"> </w:t>
      </w:r>
      <w:r w:rsidRPr="00EC452A">
        <w:rPr>
          <w:rFonts w:ascii="Arial" w:eastAsia="Arial" w:hAnsi="Arial" w:cs="Arial"/>
          <w:sz w:val="22"/>
          <w:szCs w:val="22"/>
        </w:rPr>
        <w:t>los</w:t>
      </w:r>
      <w:r w:rsidRPr="00EC452A">
        <w:rPr>
          <w:rFonts w:ascii="Arial" w:eastAsia="Arial" w:hAnsi="Arial" w:cs="Arial"/>
          <w:spacing w:val="39"/>
          <w:sz w:val="22"/>
          <w:szCs w:val="22"/>
        </w:rPr>
        <w:t xml:space="preserve"> </w:t>
      </w:r>
      <w:r w:rsidRPr="00EC452A">
        <w:rPr>
          <w:rFonts w:ascii="Arial" w:eastAsia="Arial" w:hAnsi="Arial" w:cs="Arial"/>
          <w:sz w:val="22"/>
          <w:szCs w:val="22"/>
        </w:rPr>
        <w:t>que</w:t>
      </w:r>
      <w:r w:rsidRPr="00EC452A">
        <w:rPr>
          <w:rFonts w:ascii="Arial" w:eastAsia="Arial" w:hAnsi="Arial" w:cs="Arial"/>
          <w:spacing w:val="40"/>
          <w:sz w:val="22"/>
          <w:szCs w:val="22"/>
        </w:rPr>
        <w:t xml:space="preserve"> </w:t>
      </w:r>
      <w:r w:rsidRPr="00EC452A">
        <w:rPr>
          <w:rFonts w:ascii="Arial" w:eastAsia="Arial" w:hAnsi="Arial" w:cs="Arial"/>
          <w:sz w:val="22"/>
          <w:szCs w:val="22"/>
        </w:rPr>
        <w:t>los</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propietarios </w:t>
      </w:r>
      <w:r w:rsidRPr="00EC452A">
        <w:rPr>
          <w:rFonts w:ascii="Arial" w:eastAsia="Arial" w:hAnsi="Arial" w:cs="Arial"/>
          <w:spacing w:val="1"/>
          <w:sz w:val="22"/>
          <w:szCs w:val="22"/>
        </w:rPr>
        <w:t xml:space="preserve"> </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w w:val="102"/>
          <w:sz w:val="22"/>
          <w:szCs w:val="22"/>
        </w:rPr>
        <w:t>pos</w:t>
      </w:r>
      <w:r w:rsidRPr="00EC452A">
        <w:rPr>
          <w:rFonts w:ascii="Arial" w:eastAsia="Arial" w:hAnsi="Arial" w:cs="Arial"/>
          <w:spacing w:val="-15"/>
          <w:w w:val="102"/>
          <w:sz w:val="22"/>
          <w:szCs w:val="22"/>
        </w:rPr>
        <w:t>e</w:t>
      </w:r>
      <w:r w:rsidRPr="00EC452A">
        <w:rPr>
          <w:rFonts w:ascii="Arial" w:eastAsia="Arial" w:hAnsi="Arial" w:cs="Arial"/>
          <w:spacing w:val="-2"/>
          <w:w w:val="102"/>
          <w:sz w:val="22"/>
          <w:szCs w:val="22"/>
        </w:rPr>
        <w:t xml:space="preserve">edores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asociars</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misma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fin</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agropecuaria.</w:t>
      </w:r>
    </w:p>
    <w:p w14:paraId="1DD03F6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131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proyecto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contrato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refiere</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artículo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anteriores, </w:t>
      </w:r>
      <w:r w:rsidRPr="00EC452A">
        <w:rPr>
          <w:rFonts w:ascii="Arial" w:eastAsia="Arial" w:hAnsi="Arial" w:cs="Arial"/>
          <w:spacing w:val="-1"/>
          <w:sz w:val="22"/>
          <w:szCs w:val="22"/>
        </w:rPr>
        <w:t>ademá</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fine</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comprende</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organizació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servicios</w:t>
      </w:r>
      <w:r w:rsidRPr="00EC452A">
        <w:rPr>
          <w:rFonts w:ascii="Arial" w:eastAsia="Arial" w:hAnsi="Arial" w:cs="Arial"/>
          <w:sz w:val="22"/>
          <w:szCs w:val="22"/>
        </w:rPr>
        <w:t>,</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procesamient</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agropecuario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forestales</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compr</w:t>
      </w:r>
      <w:r w:rsidRPr="00EC452A">
        <w:rPr>
          <w:rFonts w:ascii="Arial" w:eastAsia="Arial" w:hAnsi="Arial" w:cs="Arial"/>
          <w:sz w:val="22"/>
          <w:szCs w:val="22"/>
        </w:rPr>
        <w:t>a</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utilizació</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maquinaria, </w:t>
      </w:r>
      <w:r w:rsidRPr="00EC452A">
        <w:rPr>
          <w:rFonts w:ascii="Arial" w:eastAsia="Arial" w:hAnsi="Arial" w:cs="Arial"/>
          <w:sz w:val="22"/>
          <w:szCs w:val="22"/>
        </w:rPr>
        <w:t xml:space="preserve">aprovechamiento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almacenes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transportes,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comercialización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mismos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productos </w:t>
      </w:r>
      <w:r w:rsidRPr="00EC452A">
        <w:rPr>
          <w:rFonts w:ascii="Arial" w:eastAsia="Arial" w:hAnsi="Arial" w:cs="Arial"/>
          <w:spacing w:val="30"/>
          <w:sz w:val="22"/>
          <w:szCs w:val="22"/>
        </w:rPr>
        <w:t xml:space="preserve"> </w:t>
      </w:r>
      <w:r w:rsidRPr="00EC452A">
        <w:rPr>
          <w:rFonts w:ascii="Arial" w:eastAsia="Arial" w:hAnsi="Arial" w:cs="Arial"/>
          <w:w w:val="102"/>
          <w:sz w:val="22"/>
          <w:szCs w:val="22"/>
        </w:rPr>
        <w:t xml:space="preserve">u </w:t>
      </w:r>
      <w:r w:rsidRPr="00EC452A">
        <w:rPr>
          <w:rFonts w:ascii="Arial" w:eastAsia="Arial" w:hAnsi="Arial" w:cs="Arial"/>
          <w:sz w:val="22"/>
          <w:szCs w:val="22"/>
        </w:rPr>
        <w:t>otros</w:t>
      </w:r>
      <w:r w:rsidRPr="00EC452A">
        <w:rPr>
          <w:rFonts w:ascii="Arial" w:eastAsia="Arial" w:hAnsi="Arial" w:cs="Arial"/>
          <w:spacing w:val="15"/>
          <w:sz w:val="22"/>
          <w:szCs w:val="22"/>
        </w:rPr>
        <w:t xml:space="preserve"> </w:t>
      </w:r>
      <w:r w:rsidRPr="00EC452A">
        <w:rPr>
          <w:rFonts w:ascii="Arial" w:eastAsia="Arial" w:hAnsi="Arial" w:cs="Arial"/>
          <w:sz w:val="22"/>
          <w:szCs w:val="22"/>
        </w:rPr>
        <w:t>servicios</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beneficio</w:t>
      </w:r>
      <w:r w:rsidRPr="00EC452A">
        <w:rPr>
          <w:rFonts w:ascii="Arial" w:eastAsia="Arial" w:hAnsi="Arial" w:cs="Arial"/>
          <w:spacing w:val="22"/>
          <w:sz w:val="22"/>
          <w:szCs w:val="22"/>
        </w:rPr>
        <w:t xml:space="preserve"> </w:t>
      </w:r>
      <w:r w:rsidRPr="00EC452A">
        <w:rPr>
          <w:rFonts w:ascii="Arial" w:eastAsia="Arial" w:hAnsi="Arial" w:cs="Arial"/>
          <w:sz w:val="22"/>
          <w:szCs w:val="22"/>
        </w:rPr>
        <w:t>común</w:t>
      </w:r>
      <w:r w:rsidRPr="00EC452A">
        <w:rPr>
          <w:rFonts w:ascii="Arial" w:eastAsia="Arial" w:hAnsi="Arial" w:cs="Arial"/>
          <w:spacing w:val="18"/>
          <w:sz w:val="22"/>
          <w:szCs w:val="22"/>
        </w:rPr>
        <w:t xml:space="preserve"> </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z w:val="22"/>
          <w:szCs w:val="22"/>
        </w:rPr>
        <w:t>interés</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social.</w:t>
      </w:r>
    </w:p>
    <w:p w14:paraId="591D4BBA" w14:textId="77777777" w:rsidR="00EC452A" w:rsidRPr="00EC452A" w:rsidRDefault="00EC452A" w:rsidP="00EC452A">
      <w:pPr>
        <w:spacing w:before="100" w:beforeAutospacing="1" w:after="100" w:afterAutospacing="1" w:line="240" w:lineRule="auto"/>
        <w:jc w:val="center"/>
        <w:rPr>
          <w:rFonts w:ascii="Arial" w:eastAsia="Arial" w:hAnsi="Arial" w:cs="Arial"/>
          <w:spacing w:val="-5"/>
          <w:w w:val="102"/>
          <w:sz w:val="22"/>
          <w:szCs w:val="22"/>
        </w:rPr>
      </w:pPr>
      <w:r w:rsidRPr="00EC452A">
        <w:rPr>
          <w:rFonts w:ascii="Arial" w:eastAsia="Arial" w:hAnsi="Arial" w:cs="Arial"/>
          <w:spacing w:val="-15"/>
          <w:sz w:val="22"/>
          <w:szCs w:val="22"/>
        </w:rPr>
        <w:t>TIT</w:t>
      </w:r>
      <w:r w:rsidRPr="00EC452A">
        <w:rPr>
          <w:rFonts w:ascii="Arial" w:eastAsia="Arial" w:hAnsi="Arial" w:cs="Arial"/>
          <w:sz w:val="22"/>
          <w:szCs w:val="22"/>
        </w:rPr>
        <w:t>U</w:t>
      </w:r>
      <w:r w:rsidRPr="00EC452A">
        <w:rPr>
          <w:rFonts w:ascii="Arial" w:eastAsia="Arial" w:hAnsi="Arial" w:cs="Arial"/>
          <w:spacing w:val="-5"/>
          <w:sz w:val="22"/>
          <w:szCs w:val="22"/>
        </w:rPr>
        <w:t>L</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5"/>
          <w:w w:val="102"/>
          <w:sz w:val="22"/>
          <w:szCs w:val="22"/>
        </w:rPr>
        <w:t>SEXTO</w:t>
      </w:r>
    </w:p>
    <w:p w14:paraId="53EEFB55"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4"/>
          <w:sz w:val="22"/>
          <w:szCs w:val="22"/>
        </w:rPr>
        <w:lastRenderedPageBreak/>
        <w:t>CAPITUL</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4"/>
          <w:w w:val="102"/>
          <w:sz w:val="22"/>
          <w:szCs w:val="22"/>
        </w:rPr>
        <w:t>UNICO</w:t>
      </w:r>
    </w:p>
    <w:p w14:paraId="122CC0C7"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Susceptible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Cultivo</w:t>
      </w:r>
    </w:p>
    <w:p w14:paraId="59EC3E0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132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considera</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agostader</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susceptible</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cultiv</w:t>
      </w:r>
      <w:r w:rsidRPr="00EC452A">
        <w:rPr>
          <w:rFonts w:ascii="Arial" w:eastAsia="Arial" w:hAnsi="Arial" w:cs="Arial"/>
          <w:sz w:val="22"/>
          <w:szCs w:val="22"/>
        </w:rPr>
        <w:t>o</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ofrezcan </w:t>
      </w:r>
      <w:r w:rsidRPr="00EC452A">
        <w:rPr>
          <w:rFonts w:ascii="Arial" w:eastAsia="Arial" w:hAnsi="Arial" w:cs="Arial"/>
          <w:sz w:val="22"/>
          <w:szCs w:val="22"/>
        </w:rPr>
        <w:t>condiciones</w:t>
      </w:r>
      <w:r w:rsidRPr="00EC452A">
        <w:rPr>
          <w:rFonts w:ascii="Arial" w:eastAsia="Arial" w:hAnsi="Arial" w:cs="Arial"/>
          <w:spacing w:val="48"/>
          <w:sz w:val="22"/>
          <w:szCs w:val="22"/>
        </w:rPr>
        <w:t xml:space="preserve"> </w:t>
      </w:r>
      <w:r w:rsidRPr="00EC452A">
        <w:rPr>
          <w:rFonts w:ascii="Arial" w:eastAsia="Arial" w:hAnsi="Arial" w:cs="Arial"/>
          <w:sz w:val="22"/>
          <w:szCs w:val="22"/>
        </w:rPr>
        <w:t>de</w:t>
      </w:r>
      <w:r w:rsidRPr="00EC452A">
        <w:rPr>
          <w:rFonts w:ascii="Arial" w:eastAsia="Arial" w:hAnsi="Arial" w:cs="Arial"/>
          <w:spacing w:val="32"/>
          <w:sz w:val="22"/>
          <w:szCs w:val="22"/>
        </w:rPr>
        <w:t xml:space="preserve"> </w:t>
      </w:r>
      <w:r w:rsidRPr="00EC452A">
        <w:rPr>
          <w:rFonts w:ascii="Arial" w:eastAsia="Arial" w:hAnsi="Arial" w:cs="Arial"/>
          <w:sz w:val="22"/>
          <w:szCs w:val="22"/>
        </w:rPr>
        <w:t>aptitud</w:t>
      </w:r>
      <w:r w:rsidRPr="00EC452A">
        <w:rPr>
          <w:rFonts w:ascii="Arial" w:eastAsia="Arial" w:hAnsi="Arial" w:cs="Arial"/>
          <w:spacing w:val="39"/>
          <w:sz w:val="22"/>
          <w:szCs w:val="22"/>
        </w:rPr>
        <w:t xml:space="preserve"> </w:t>
      </w:r>
      <w:r w:rsidRPr="00EC452A">
        <w:rPr>
          <w:rFonts w:ascii="Arial" w:eastAsia="Arial" w:hAnsi="Arial" w:cs="Arial"/>
          <w:sz w:val="22"/>
          <w:szCs w:val="22"/>
        </w:rPr>
        <w:t>para</w:t>
      </w:r>
      <w:r w:rsidRPr="00EC452A">
        <w:rPr>
          <w:rFonts w:ascii="Arial" w:eastAsia="Arial" w:hAnsi="Arial" w:cs="Arial"/>
          <w:spacing w:val="35"/>
          <w:sz w:val="22"/>
          <w:szCs w:val="22"/>
        </w:rPr>
        <w:t xml:space="preserve"> </w:t>
      </w:r>
      <w:r w:rsidRPr="00EC452A">
        <w:rPr>
          <w:rFonts w:ascii="Arial" w:eastAsia="Arial" w:hAnsi="Arial" w:cs="Arial"/>
          <w:sz w:val="22"/>
          <w:szCs w:val="22"/>
        </w:rPr>
        <w:t>hacer</w:t>
      </w:r>
      <w:r w:rsidRPr="00EC452A">
        <w:rPr>
          <w:rFonts w:ascii="Arial" w:eastAsia="Arial" w:hAnsi="Arial" w:cs="Arial"/>
          <w:spacing w:val="37"/>
          <w:sz w:val="22"/>
          <w:szCs w:val="22"/>
        </w:rPr>
        <w:t xml:space="preserve"> </w:t>
      </w:r>
      <w:r w:rsidRPr="00EC452A">
        <w:rPr>
          <w:rFonts w:ascii="Arial" w:eastAsia="Arial" w:hAnsi="Arial" w:cs="Arial"/>
          <w:sz w:val="22"/>
          <w:szCs w:val="22"/>
        </w:rPr>
        <w:t>costeable</w:t>
      </w:r>
      <w:r w:rsidRPr="00EC452A">
        <w:rPr>
          <w:rFonts w:ascii="Arial" w:eastAsia="Arial" w:hAnsi="Arial" w:cs="Arial"/>
          <w:spacing w:val="44"/>
          <w:sz w:val="22"/>
          <w:szCs w:val="22"/>
        </w:rPr>
        <w:t xml:space="preserve"> </w:t>
      </w:r>
      <w:r w:rsidRPr="00EC452A">
        <w:rPr>
          <w:rFonts w:ascii="Arial" w:eastAsia="Arial" w:hAnsi="Arial" w:cs="Arial"/>
          <w:sz w:val="22"/>
          <w:szCs w:val="22"/>
        </w:rPr>
        <w:t>su</w:t>
      </w:r>
      <w:r w:rsidRPr="00EC452A">
        <w:rPr>
          <w:rFonts w:ascii="Arial" w:eastAsia="Arial" w:hAnsi="Arial" w:cs="Arial"/>
          <w:spacing w:val="32"/>
          <w:sz w:val="22"/>
          <w:szCs w:val="22"/>
        </w:rPr>
        <w:t xml:space="preserve"> </w:t>
      </w:r>
      <w:r w:rsidRPr="00EC452A">
        <w:rPr>
          <w:rFonts w:ascii="Arial" w:eastAsia="Arial" w:hAnsi="Arial" w:cs="Arial"/>
          <w:sz w:val="22"/>
          <w:szCs w:val="22"/>
        </w:rPr>
        <w:t>explotación</w:t>
      </w:r>
      <w:r w:rsidRPr="00EC452A">
        <w:rPr>
          <w:rFonts w:ascii="Arial" w:eastAsia="Arial" w:hAnsi="Arial" w:cs="Arial"/>
          <w:spacing w:val="47"/>
          <w:sz w:val="22"/>
          <w:szCs w:val="22"/>
        </w:rPr>
        <w:t xml:space="preserve"> </w:t>
      </w:r>
      <w:r w:rsidRPr="00EC452A">
        <w:rPr>
          <w:rFonts w:ascii="Arial" w:eastAsia="Arial" w:hAnsi="Arial" w:cs="Arial"/>
          <w:sz w:val="22"/>
          <w:szCs w:val="22"/>
        </w:rPr>
        <w:t>agrícola,</w:t>
      </w:r>
      <w:r w:rsidRPr="00EC452A">
        <w:rPr>
          <w:rFonts w:ascii="Arial" w:eastAsia="Arial" w:hAnsi="Arial" w:cs="Arial"/>
          <w:spacing w:val="42"/>
          <w:sz w:val="22"/>
          <w:szCs w:val="22"/>
        </w:rPr>
        <w:t xml:space="preserve"> </w:t>
      </w:r>
      <w:r w:rsidRPr="00EC452A">
        <w:rPr>
          <w:rFonts w:ascii="Arial" w:eastAsia="Arial" w:hAnsi="Arial" w:cs="Arial"/>
          <w:sz w:val="22"/>
          <w:szCs w:val="22"/>
        </w:rPr>
        <w:t>en</w:t>
      </w:r>
      <w:r w:rsidRPr="00EC452A">
        <w:rPr>
          <w:rFonts w:ascii="Arial" w:eastAsia="Arial" w:hAnsi="Arial" w:cs="Arial"/>
          <w:spacing w:val="32"/>
          <w:sz w:val="22"/>
          <w:szCs w:val="22"/>
        </w:rPr>
        <w:t xml:space="preserve"> </w:t>
      </w:r>
      <w:r w:rsidRPr="00EC452A">
        <w:rPr>
          <w:rFonts w:ascii="Arial" w:eastAsia="Arial" w:hAnsi="Arial" w:cs="Arial"/>
          <w:sz w:val="22"/>
          <w:szCs w:val="22"/>
        </w:rPr>
        <w:t>los</w:t>
      </w:r>
      <w:r w:rsidRPr="00EC452A">
        <w:rPr>
          <w:rFonts w:ascii="Arial" w:eastAsia="Arial" w:hAnsi="Arial" w:cs="Arial"/>
          <w:spacing w:val="33"/>
          <w:sz w:val="22"/>
          <w:szCs w:val="22"/>
        </w:rPr>
        <w:t xml:space="preserve"> </w:t>
      </w:r>
      <w:r w:rsidRPr="00EC452A">
        <w:rPr>
          <w:rFonts w:ascii="Arial" w:eastAsia="Arial" w:hAnsi="Arial" w:cs="Arial"/>
          <w:sz w:val="22"/>
          <w:szCs w:val="22"/>
        </w:rPr>
        <w:t>términos</w:t>
      </w:r>
      <w:r w:rsidRPr="00EC452A">
        <w:rPr>
          <w:rFonts w:ascii="Arial" w:eastAsia="Arial" w:hAnsi="Arial" w:cs="Arial"/>
          <w:spacing w:val="42"/>
          <w:sz w:val="22"/>
          <w:szCs w:val="22"/>
        </w:rPr>
        <w:t xml:space="preserve"> </w:t>
      </w:r>
      <w:r w:rsidRPr="00EC452A">
        <w:rPr>
          <w:rFonts w:ascii="Arial" w:eastAsia="Arial" w:hAnsi="Arial" w:cs="Arial"/>
          <w:sz w:val="22"/>
          <w:szCs w:val="22"/>
        </w:rPr>
        <w:t>de</w:t>
      </w:r>
      <w:r w:rsidRPr="00EC452A">
        <w:rPr>
          <w:rFonts w:ascii="Arial" w:eastAsia="Arial" w:hAnsi="Arial" w:cs="Arial"/>
          <w:spacing w:val="32"/>
          <w:sz w:val="22"/>
          <w:szCs w:val="22"/>
        </w:rPr>
        <w:t xml:space="preserve"> </w:t>
      </w:r>
      <w:r w:rsidRPr="00EC452A">
        <w:rPr>
          <w:rFonts w:ascii="Arial" w:eastAsia="Arial" w:hAnsi="Arial" w:cs="Arial"/>
          <w:sz w:val="22"/>
          <w:szCs w:val="22"/>
        </w:rPr>
        <w:t>la</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Ley </w:t>
      </w:r>
      <w:r w:rsidRPr="00EC452A">
        <w:rPr>
          <w:rFonts w:ascii="Arial" w:eastAsia="Arial" w:hAnsi="Arial" w:cs="Arial"/>
          <w:sz w:val="22"/>
          <w:szCs w:val="22"/>
        </w:rPr>
        <w:t>y</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est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2"/>
          <w:w w:val="102"/>
          <w:sz w:val="22"/>
          <w:szCs w:val="22"/>
        </w:rPr>
        <w:t>Reglamento.</w:t>
      </w:r>
    </w:p>
    <w:p w14:paraId="5715558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133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determina</w:t>
      </w:r>
      <w:r w:rsidRPr="00EC452A">
        <w:rPr>
          <w:rFonts w:ascii="Arial" w:eastAsia="Arial" w:hAnsi="Arial" w:cs="Arial"/>
          <w:sz w:val="22"/>
          <w:szCs w:val="22"/>
        </w:rPr>
        <w:t xml:space="preserve">r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consteabilida</w:t>
      </w:r>
      <w:r w:rsidRPr="00EC452A">
        <w:rPr>
          <w:rFonts w:ascii="Arial" w:eastAsia="Arial" w:hAnsi="Arial" w:cs="Arial"/>
          <w:sz w:val="22"/>
          <w:szCs w:val="22"/>
        </w:rPr>
        <w:t xml:space="preserve">d </w:t>
      </w:r>
      <w:r w:rsidRPr="00EC452A">
        <w:rPr>
          <w:rFonts w:ascii="Arial" w:eastAsia="Arial" w:hAnsi="Arial" w:cs="Arial"/>
          <w:spacing w:val="7"/>
          <w:sz w:val="22"/>
          <w:szCs w:val="22"/>
        </w:rPr>
        <w:t xml:space="preserve"> </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alud</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Secretaría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comproba</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potencia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agrícol</w:t>
      </w:r>
      <w:r w:rsidRPr="00EC452A">
        <w:rPr>
          <w:rFonts w:ascii="Arial" w:eastAsia="Arial" w:hAnsi="Arial" w:cs="Arial"/>
          <w:sz w:val="22"/>
          <w:szCs w:val="22"/>
        </w:rPr>
        <w:t>a</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mediant</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estudio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agrológicos </w:t>
      </w:r>
      <w:r w:rsidRPr="00EC452A">
        <w:rPr>
          <w:rFonts w:ascii="Arial" w:eastAsia="Arial" w:hAnsi="Arial" w:cs="Arial"/>
          <w:spacing w:val="1"/>
          <w:sz w:val="22"/>
          <w:szCs w:val="22"/>
        </w:rPr>
        <w:t>correspondiente</w:t>
      </w:r>
      <w:r w:rsidRPr="00EC452A">
        <w:rPr>
          <w:rFonts w:ascii="Arial" w:eastAsia="Arial" w:hAnsi="Arial" w:cs="Arial"/>
          <w:sz w:val="22"/>
          <w:szCs w:val="22"/>
        </w:rPr>
        <w:t xml:space="preserve">s </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ademá</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cuent</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29"/>
          <w:sz w:val="22"/>
          <w:szCs w:val="22"/>
        </w:rPr>
        <w:t>l</w:t>
      </w:r>
      <w:r w:rsidRPr="00EC452A">
        <w:rPr>
          <w:rFonts w:ascii="Arial" w:eastAsia="Arial" w:hAnsi="Arial" w:cs="Arial"/>
          <w:sz w:val="22"/>
          <w:szCs w:val="22"/>
        </w:rPr>
        <w:t>as</w:t>
      </w:r>
      <w:r w:rsidRPr="00EC452A">
        <w:rPr>
          <w:rFonts w:ascii="Arial" w:eastAsia="Arial" w:hAnsi="Arial" w:cs="Arial"/>
          <w:spacing w:val="35"/>
          <w:sz w:val="22"/>
          <w:szCs w:val="22"/>
        </w:rPr>
        <w:t xml:space="preserve"> </w:t>
      </w:r>
      <w:r w:rsidRPr="00EC452A">
        <w:rPr>
          <w:rFonts w:ascii="Arial" w:eastAsia="Arial" w:hAnsi="Arial" w:cs="Arial"/>
          <w:sz w:val="22"/>
          <w:szCs w:val="22"/>
        </w:rPr>
        <w:t>condiciones</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climatológicas </w:t>
      </w:r>
      <w:r w:rsidRPr="00EC452A">
        <w:rPr>
          <w:rFonts w:ascii="Arial" w:eastAsia="Arial" w:hAnsi="Arial" w:cs="Arial"/>
          <w:spacing w:val="1"/>
          <w:sz w:val="22"/>
          <w:szCs w:val="22"/>
        </w:rPr>
        <w:t xml:space="preserve"> </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34"/>
          <w:sz w:val="22"/>
          <w:szCs w:val="22"/>
        </w:rPr>
        <w:t xml:space="preserve"> </w:t>
      </w:r>
      <w:r w:rsidRPr="00EC452A">
        <w:rPr>
          <w:rFonts w:ascii="Arial" w:eastAsia="Arial" w:hAnsi="Arial" w:cs="Arial"/>
          <w:w w:val="102"/>
          <w:sz w:val="22"/>
          <w:szCs w:val="22"/>
        </w:rPr>
        <w:t xml:space="preserve">humedad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suel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haga</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factibl</w:t>
      </w:r>
      <w:r w:rsidRPr="00EC452A">
        <w:rPr>
          <w:rFonts w:ascii="Arial" w:eastAsia="Arial" w:hAnsi="Arial" w:cs="Arial"/>
          <w:sz w:val="22"/>
          <w:szCs w:val="22"/>
        </w:rPr>
        <w:t>e</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2"/>
          <w:w w:val="102"/>
          <w:sz w:val="22"/>
          <w:szCs w:val="22"/>
        </w:rPr>
        <w:t>agrícola.</w:t>
      </w:r>
    </w:p>
    <w:p w14:paraId="68802AC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134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decret</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dispong</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expropiació</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habl</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4</w:t>
      </w:r>
      <w:r w:rsidRPr="00EC452A">
        <w:rPr>
          <w:rFonts w:ascii="Arial" w:eastAsia="Arial" w:hAnsi="Arial" w:cs="Arial"/>
          <w:sz w:val="22"/>
          <w:szCs w:val="22"/>
        </w:rPr>
        <w:t>4</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w w:val="102"/>
          <w:sz w:val="22"/>
          <w:szCs w:val="22"/>
        </w:rPr>
        <w:t xml:space="preserve">Ley </w:t>
      </w:r>
      <w:r w:rsidRPr="00EC452A">
        <w:rPr>
          <w:rFonts w:ascii="Arial" w:eastAsia="Arial" w:hAnsi="Arial" w:cs="Arial"/>
          <w:spacing w:val="-3"/>
          <w:sz w:val="22"/>
          <w:szCs w:val="22"/>
        </w:rPr>
        <w:t>deber</w:t>
      </w:r>
      <w:r w:rsidRPr="00EC452A">
        <w:rPr>
          <w:rFonts w:ascii="Arial" w:eastAsia="Arial" w:hAnsi="Arial" w:cs="Arial"/>
          <w:sz w:val="22"/>
          <w:szCs w:val="22"/>
        </w:rPr>
        <w:t>á</w:t>
      </w:r>
      <w:r w:rsidRPr="00EC452A">
        <w:rPr>
          <w:rFonts w:ascii="Arial" w:eastAsia="Arial" w:hAnsi="Arial" w:cs="Arial"/>
          <w:spacing w:val="17"/>
          <w:sz w:val="22"/>
          <w:szCs w:val="22"/>
        </w:rPr>
        <w:t xml:space="preserve"> </w:t>
      </w:r>
      <w:r w:rsidRPr="00EC452A">
        <w:rPr>
          <w:rFonts w:ascii="Arial" w:eastAsia="Arial" w:hAnsi="Arial" w:cs="Arial"/>
          <w:spacing w:val="-3"/>
          <w:w w:val="102"/>
          <w:sz w:val="22"/>
          <w:szCs w:val="22"/>
        </w:rPr>
        <w:t>mencionar:</w:t>
      </w:r>
    </w:p>
    <w:p w14:paraId="17F73B9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trat</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agostadero</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susceptible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cultivo.</w:t>
      </w:r>
    </w:p>
    <w:p w14:paraId="02B4E08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conform</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estudio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realizado</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lleg</w:t>
      </w:r>
      <w:r w:rsidRPr="00EC452A">
        <w:rPr>
          <w:rFonts w:ascii="Arial" w:eastAsia="Arial" w:hAnsi="Arial" w:cs="Arial"/>
          <w:sz w:val="22"/>
          <w:szCs w:val="22"/>
        </w:rPr>
        <w:t xml:space="preserve">ó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determina</w:t>
      </w:r>
      <w:r w:rsidRPr="00EC452A">
        <w:rPr>
          <w:rFonts w:ascii="Arial" w:eastAsia="Arial" w:hAnsi="Arial" w:cs="Arial"/>
          <w:sz w:val="22"/>
          <w:szCs w:val="22"/>
        </w:rPr>
        <w:t xml:space="preserve">r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so</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tierras </w:t>
      </w:r>
      <w:r w:rsidRPr="00EC452A">
        <w:rPr>
          <w:rFonts w:ascii="Arial" w:eastAsia="Arial" w:hAnsi="Arial" w:cs="Arial"/>
          <w:sz w:val="22"/>
          <w:szCs w:val="22"/>
        </w:rPr>
        <w:t>susceptibles</w:t>
      </w:r>
      <w:r w:rsidRPr="00EC452A">
        <w:rPr>
          <w:rFonts w:ascii="Arial" w:eastAsia="Arial" w:hAnsi="Arial" w:cs="Arial"/>
          <w:spacing w:val="2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cultivo</w:t>
      </w:r>
      <w:r w:rsidRPr="00EC452A">
        <w:rPr>
          <w:rFonts w:ascii="Arial" w:eastAsia="Arial" w:hAnsi="Arial" w:cs="Arial"/>
          <w:spacing w:val="18"/>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términos</w:t>
      </w:r>
      <w:r w:rsidRPr="00EC452A">
        <w:rPr>
          <w:rFonts w:ascii="Arial" w:eastAsia="Arial" w:hAnsi="Arial" w:cs="Arial"/>
          <w:spacing w:val="22"/>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este</w:t>
      </w:r>
      <w:r w:rsidRPr="00EC452A">
        <w:rPr>
          <w:rFonts w:ascii="Arial" w:eastAsia="Arial" w:hAnsi="Arial" w:cs="Arial"/>
          <w:spacing w:val="14"/>
          <w:sz w:val="22"/>
          <w:szCs w:val="22"/>
        </w:rPr>
        <w:t xml:space="preserve"> </w:t>
      </w:r>
      <w:r w:rsidRPr="00EC452A">
        <w:rPr>
          <w:rFonts w:ascii="Arial" w:eastAsia="Arial" w:hAnsi="Arial" w:cs="Arial"/>
          <w:sz w:val="22"/>
          <w:szCs w:val="22"/>
        </w:rPr>
        <w:t>mismo</w:t>
      </w:r>
      <w:r w:rsidRPr="00EC452A">
        <w:rPr>
          <w:rFonts w:ascii="Arial" w:eastAsia="Arial" w:hAnsi="Arial" w:cs="Arial"/>
          <w:spacing w:val="18"/>
          <w:sz w:val="22"/>
          <w:szCs w:val="22"/>
        </w:rPr>
        <w:t xml:space="preserve"> </w:t>
      </w:r>
      <w:r w:rsidRPr="00EC452A">
        <w:rPr>
          <w:rFonts w:ascii="Arial" w:eastAsia="Arial" w:hAnsi="Arial" w:cs="Arial"/>
          <w:sz w:val="22"/>
          <w:szCs w:val="22"/>
        </w:rPr>
        <w:t>ordenamiento</w:t>
      </w:r>
      <w:r w:rsidRPr="00EC452A">
        <w:rPr>
          <w:rFonts w:ascii="Arial" w:eastAsia="Arial" w:hAnsi="Arial" w:cs="Arial"/>
          <w:spacing w:val="30"/>
          <w:sz w:val="22"/>
          <w:szCs w:val="22"/>
        </w:rPr>
        <w:t xml:space="preserve"> </w:t>
      </w:r>
      <w:r w:rsidRPr="00EC452A">
        <w:rPr>
          <w:rFonts w:ascii="Arial" w:eastAsia="Arial" w:hAnsi="Arial" w:cs="Arial"/>
          <w:w w:val="102"/>
          <w:sz w:val="22"/>
          <w:szCs w:val="22"/>
        </w:rPr>
        <w:t>señala.</w:t>
      </w:r>
    </w:p>
    <w:p w14:paraId="70164D0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c</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predio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dedicado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ganaderí</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tiene</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superfici</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mayo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2"/>
          <w:w w:val="102"/>
          <w:sz w:val="22"/>
          <w:szCs w:val="22"/>
        </w:rPr>
        <w:t>200</w:t>
      </w:r>
      <w:r w:rsidRPr="00EC452A">
        <w:rPr>
          <w:rFonts w:ascii="Arial" w:eastAsia="Arial" w:hAnsi="Arial" w:cs="Arial"/>
          <w:w w:val="102"/>
          <w:sz w:val="22"/>
          <w:szCs w:val="22"/>
        </w:rPr>
        <w:t>-</w:t>
      </w:r>
      <w:r w:rsidRPr="00EC452A">
        <w:rPr>
          <w:rFonts w:ascii="Arial" w:eastAsia="Arial" w:hAnsi="Arial" w:cs="Arial"/>
          <w:spacing w:val="-3"/>
          <w:sz w:val="22"/>
          <w:szCs w:val="22"/>
        </w:rPr>
        <w:t>00</w:t>
      </w:r>
      <w:r w:rsidRPr="00EC452A">
        <w:rPr>
          <w:rFonts w:ascii="Arial" w:eastAsia="Arial" w:hAnsi="Arial" w:cs="Arial"/>
          <w:spacing w:val="-5"/>
          <w:sz w:val="22"/>
          <w:szCs w:val="22"/>
        </w:rPr>
        <w:t>-</w:t>
      </w:r>
      <w:r w:rsidRPr="00EC452A">
        <w:rPr>
          <w:rFonts w:ascii="Arial" w:eastAsia="Arial" w:hAnsi="Arial" w:cs="Arial"/>
          <w:sz w:val="22"/>
          <w:szCs w:val="22"/>
        </w:rPr>
        <w:t>00</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Hectáreas.</w:t>
      </w:r>
    </w:p>
    <w:p w14:paraId="22959894" w14:textId="77777777" w:rsidR="00EC452A" w:rsidRPr="00EC452A" w:rsidRDefault="00EC452A" w:rsidP="00EC452A">
      <w:pPr>
        <w:spacing w:before="100" w:beforeAutospacing="1" w:after="100" w:afterAutospacing="1" w:line="240" w:lineRule="auto"/>
        <w:jc w:val="both"/>
        <w:rPr>
          <w:rFonts w:ascii="Arial" w:eastAsia="Arial" w:hAnsi="Arial" w:cs="Arial"/>
          <w:w w:val="102"/>
          <w:sz w:val="22"/>
          <w:szCs w:val="22"/>
        </w:rPr>
      </w:pPr>
      <w:r w:rsidRPr="00EC452A">
        <w:rPr>
          <w:rFonts w:ascii="Arial" w:eastAsia="Arial" w:hAnsi="Arial" w:cs="Arial"/>
          <w:sz w:val="22"/>
          <w:szCs w:val="22"/>
        </w:rPr>
        <w:t>d)</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2"/>
          <w:sz w:val="22"/>
          <w:szCs w:val="22"/>
        </w:rPr>
        <w:t xml:space="preserve"> </w:t>
      </w:r>
      <w:r w:rsidRPr="00EC452A">
        <w:rPr>
          <w:rFonts w:ascii="Arial" w:eastAsia="Arial" w:hAnsi="Arial" w:cs="Arial"/>
          <w:sz w:val="22"/>
          <w:szCs w:val="22"/>
        </w:rPr>
        <w:t>las</w:t>
      </w:r>
      <w:r w:rsidRPr="00EC452A">
        <w:rPr>
          <w:rFonts w:ascii="Arial" w:eastAsia="Arial" w:hAnsi="Arial" w:cs="Arial"/>
          <w:spacing w:val="53"/>
          <w:sz w:val="22"/>
          <w:szCs w:val="22"/>
        </w:rPr>
        <w:t xml:space="preserve"> </w:t>
      </w:r>
      <w:r w:rsidRPr="00EC452A">
        <w:rPr>
          <w:rFonts w:ascii="Arial" w:eastAsia="Arial" w:hAnsi="Arial" w:cs="Arial"/>
          <w:sz w:val="22"/>
          <w:szCs w:val="22"/>
        </w:rPr>
        <w:t xml:space="preserve">tierras </w:t>
      </w:r>
      <w:r w:rsidRPr="00EC452A">
        <w:rPr>
          <w:rFonts w:ascii="Arial" w:eastAsia="Arial" w:hAnsi="Arial" w:cs="Arial"/>
          <w:spacing w:val="6"/>
          <w:sz w:val="22"/>
          <w:szCs w:val="22"/>
        </w:rPr>
        <w:t xml:space="preserve"> </w:t>
      </w:r>
      <w:r w:rsidRPr="00EC452A">
        <w:rPr>
          <w:rFonts w:ascii="Arial" w:eastAsia="Arial" w:hAnsi="Arial" w:cs="Arial"/>
          <w:sz w:val="22"/>
          <w:szCs w:val="22"/>
        </w:rPr>
        <w:t>se</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encuentran </w:t>
      </w:r>
      <w:r w:rsidRPr="00EC452A">
        <w:rPr>
          <w:rFonts w:ascii="Arial" w:eastAsia="Arial" w:hAnsi="Arial" w:cs="Arial"/>
          <w:spacing w:val="14"/>
          <w:sz w:val="22"/>
          <w:szCs w:val="22"/>
        </w:rPr>
        <w:t xml:space="preserve"> </w:t>
      </w:r>
      <w:r w:rsidRPr="00EC452A">
        <w:rPr>
          <w:rFonts w:ascii="Arial" w:eastAsia="Arial" w:hAnsi="Arial" w:cs="Arial"/>
          <w:sz w:val="22"/>
          <w:szCs w:val="22"/>
        </w:rPr>
        <w:t>en</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zonas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con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características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ecológicas </w:t>
      </w:r>
      <w:r w:rsidRPr="00EC452A">
        <w:rPr>
          <w:rFonts w:ascii="Arial" w:eastAsia="Arial" w:hAnsi="Arial" w:cs="Arial"/>
          <w:spacing w:val="13"/>
          <w:sz w:val="22"/>
          <w:szCs w:val="22"/>
        </w:rPr>
        <w:t xml:space="preserve"> </w:t>
      </w:r>
      <w:r w:rsidRPr="00EC452A">
        <w:rPr>
          <w:rFonts w:ascii="Arial" w:eastAsia="Arial" w:hAnsi="Arial" w:cs="Arial"/>
          <w:sz w:val="22"/>
          <w:szCs w:val="22"/>
        </w:rPr>
        <w:t>y</w:t>
      </w:r>
      <w:r w:rsidRPr="00EC452A">
        <w:rPr>
          <w:rFonts w:ascii="Arial" w:eastAsia="Arial" w:hAnsi="Arial" w:cs="Arial"/>
          <w:spacing w:val="50"/>
          <w:sz w:val="22"/>
          <w:szCs w:val="22"/>
        </w:rPr>
        <w:t xml:space="preserve"> </w:t>
      </w:r>
      <w:r w:rsidRPr="00EC452A">
        <w:rPr>
          <w:rFonts w:ascii="Arial" w:eastAsia="Arial" w:hAnsi="Arial" w:cs="Arial"/>
          <w:w w:val="102"/>
          <w:sz w:val="22"/>
          <w:szCs w:val="22"/>
        </w:rPr>
        <w:t xml:space="preserve">socieconómicas </w:t>
      </w:r>
      <w:r w:rsidRPr="00EC452A">
        <w:rPr>
          <w:rFonts w:ascii="Arial" w:eastAsia="Arial" w:hAnsi="Arial" w:cs="Arial"/>
          <w:spacing w:val="-1"/>
          <w:sz w:val="22"/>
          <w:szCs w:val="22"/>
        </w:rPr>
        <w:t>similare</w:t>
      </w:r>
      <w:r w:rsidRPr="00EC452A">
        <w:rPr>
          <w:rFonts w:ascii="Arial" w:eastAsia="Arial" w:hAnsi="Arial" w:cs="Arial"/>
          <w:sz w:val="22"/>
          <w:szCs w:val="22"/>
        </w:rPr>
        <w:t xml:space="preserve">s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fi</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establece</w:t>
      </w:r>
      <w:r w:rsidRPr="00EC452A">
        <w:rPr>
          <w:rFonts w:ascii="Arial" w:eastAsia="Arial" w:hAnsi="Arial" w:cs="Arial"/>
          <w:sz w:val="22"/>
          <w:szCs w:val="22"/>
        </w:rPr>
        <w:t xml:space="preserve">r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 xml:space="preserve">o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modifica</w:t>
      </w:r>
      <w:r w:rsidRPr="00EC452A">
        <w:rPr>
          <w:rFonts w:ascii="Arial" w:eastAsia="Arial" w:hAnsi="Arial" w:cs="Arial"/>
          <w:sz w:val="22"/>
          <w:szCs w:val="22"/>
        </w:rPr>
        <w:t xml:space="preserve">r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y</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existente</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para </w:t>
      </w:r>
      <w:r w:rsidRPr="00EC452A">
        <w:rPr>
          <w:rFonts w:ascii="Arial" w:eastAsia="Arial" w:hAnsi="Arial" w:cs="Arial"/>
          <w:spacing w:val="-2"/>
          <w:sz w:val="22"/>
          <w:szCs w:val="22"/>
        </w:rPr>
        <w:t>organiza</w:t>
      </w:r>
      <w:r w:rsidRPr="00EC452A">
        <w:rPr>
          <w:rFonts w:ascii="Arial" w:eastAsia="Arial" w:hAnsi="Arial" w:cs="Arial"/>
          <w:sz w:val="22"/>
          <w:szCs w:val="22"/>
        </w:rPr>
        <w:t xml:space="preserve">r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otro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nuevo</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acuerd</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os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requerimientos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señalados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 xml:space="preserve">estudios </w:t>
      </w:r>
      <w:r w:rsidRPr="00EC452A">
        <w:rPr>
          <w:rFonts w:ascii="Arial" w:eastAsia="Arial" w:hAnsi="Arial" w:cs="Arial"/>
          <w:spacing w:val="-1"/>
          <w:sz w:val="22"/>
          <w:szCs w:val="22"/>
        </w:rPr>
        <w:t>realizados</w:t>
      </w:r>
      <w:r w:rsidRPr="00EC452A">
        <w:rPr>
          <w:rFonts w:ascii="Arial" w:eastAsia="Arial" w:hAnsi="Arial" w:cs="Arial"/>
          <w:sz w:val="22"/>
          <w:szCs w:val="22"/>
        </w:rPr>
        <w:t xml:space="preserve">,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bie</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incorpora</w:t>
      </w:r>
      <w:r w:rsidRPr="00EC452A">
        <w:rPr>
          <w:rFonts w:ascii="Arial" w:eastAsia="Arial" w:hAnsi="Arial" w:cs="Arial"/>
          <w:sz w:val="22"/>
          <w:szCs w:val="22"/>
        </w:rPr>
        <w:t xml:space="preserve">r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agrícol</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z w:val="22"/>
          <w:szCs w:val="22"/>
        </w:rPr>
        <w:t>hallen</w:t>
      </w:r>
      <w:r w:rsidRPr="00EC452A">
        <w:rPr>
          <w:rFonts w:ascii="Arial" w:eastAsia="Arial" w:hAnsi="Arial" w:cs="Arial"/>
          <w:spacing w:val="17"/>
          <w:sz w:val="22"/>
          <w:szCs w:val="22"/>
        </w:rPr>
        <w:t xml:space="preserve"> </w:t>
      </w:r>
      <w:r w:rsidRPr="00EC452A">
        <w:rPr>
          <w:rFonts w:ascii="Arial" w:eastAsia="Arial" w:hAnsi="Arial" w:cs="Arial"/>
          <w:sz w:val="22"/>
          <w:szCs w:val="22"/>
        </w:rPr>
        <w:t>dentro</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alguno</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distritos</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establecidos.</w:t>
      </w:r>
    </w:p>
    <w:p w14:paraId="600B359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excedentes,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después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cubrirse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indemnizaciones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especie</w:t>
      </w:r>
      <w:r w:rsidRPr="00EC452A">
        <w:rPr>
          <w:rFonts w:ascii="Arial" w:eastAsia="Arial" w:hAnsi="Arial" w:cs="Arial"/>
          <w:sz w:val="22"/>
          <w:szCs w:val="22"/>
        </w:rPr>
        <w:t xml:space="preserve">,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quedará</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disposició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Reform</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Agrari</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satisface</w:t>
      </w:r>
      <w:r w:rsidRPr="00EC452A">
        <w:rPr>
          <w:rFonts w:ascii="Arial" w:eastAsia="Arial" w:hAnsi="Arial" w:cs="Arial"/>
          <w:sz w:val="22"/>
          <w:szCs w:val="22"/>
        </w:rPr>
        <w:t>r</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necesidade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w w:val="102"/>
          <w:sz w:val="22"/>
          <w:szCs w:val="22"/>
        </w:rPr>
        <w:t>agrarias.</w:t>
      </w:r>
    </w:p>
    <w:p w14:paraId="2912C05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135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z w:val="22"/>
          <w:szCs w:val="22"/>
        </w:rPr>
        <w:t>La</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Secretaría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practicará </w:t>
      </w:r>
      <w:r w:rsidRPr="00EC452A">
        <w:rPr>
          <w:rFonts w:ascii="Arial" w:eastAsia="Arial" w:hAnsi="Arial" w:cs="Arial"/>
          <w:spacing w:val="3"/>
          <w:sz w:val="22"/>
          <w:szCs w:val="22"/>
        </w:rPr>
        <w:t xml:space="preserve"> </w:t>
      </w:r>
      <w:r w:rsidRPr="00EC452A">
        <w:rPr>
          <w:rFonts w:ascii="Arial" w:eastAsia="Arial" w:hAnsi="Arial" w:cs="Arial"/>
          <w:sz w:val="22"/>
          <w:szCs w:val="22"/>
        </w:rPr>
        <w:t>los</w:t>
      </w:r>
      <w:r w:rsidRPr="00EC452A">
        <w:rPr>
          <w:rFonts w:ascii="Arial" w:eastAsia="Arial" w:hAnsi="Arial" w:cs="Arial"/>
          <w:spacing w:val="44"/>
          <w:sz w:val="22"/>
          <w:szCs w:val="22"/>
        </w:rPr>
        <w:t xml:space="preserve"> </w:t>
      </w:r>
      <w:r w:rsidRPr="00EC452A">
        <w:rPr>
          <w:rFonts w:ascii="Arial" w:eastAsia="Arial" w:hAnsi="Arial" w:cs="Arial"/>
          <w:sz w:val="22"/>
          <w:szCs w:val="22"/>
        </w:rPr>
        <w:t>estudios  técnicos</w:t>
      </w:r>
      <w:r w:rsidRPr="00EC452A">
        <w:rPr>
          <w:rFonts w:ascii="Arial" w:eastAsia="Arial" w:hAnsi="Arial" w:cs="Arial"/>
          <w:spacing w:val="53"/>
          <w:sz w:val="22"/>
          <w:szCs w:val="22"/>
        </w:rPr>
        <w:t xml:space="preserve"> </w:t>
      </w:r>
      <w:r w:rsidRPr="00EC452A">
        <w:rPr>
          <w:rFonts w:ascii="Arial" w:eastAsia="Arial" w:hAnsi="Arial" w:cs="Arial"/>
          <w:sz w:val="22"/>
          <w:szCs w:val="22"/>
        </w:rPr>
        <w:t>y</w:t>
      </w:r>
      <w:r w:rsidRPr="00EC452A">
        <w:rPr>
          <w:rFonts w:ascii="Arial" w:eastAsia="Arial" w:hAnsi="Arial" w:cs="Arial"/>
          <w:spacing w:val="41"/>
          <w:sz w:val="22"/>
          <w:szCs w:val="22"/>
        </w:rPr>
        <w:t xml:space="preserve"> </w:t>
      </w:r>
      <w:r w:rsidRPr="00EC452A">
        <w:rPr>
          <w:rFonts w:ascii="Arial" w:eastAsia="Arial" w:hAnsi="Arial" w:cs="Arial"/>
          <w:sz w:val="22"/>
          <w:szCs w:val="22"/>
        </w:rPr>
        <w:t>las</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investigaciones </w:t>
      </w:r>
      <w:r w:rsidRPr="00EC452A">
        <w:rPr>
          <w:rFonts w:ascii="Arial" w:eastAsia="Arial" w:hAnsi="Arial" w:cs="Arial"/>
          <w:spacing w:val="12"/>
          <w:sz w:val="22"/>
          <w:szCs w:val="22"/>
        </w:rPr>
        <w:t xml:space="preserve"> </w:t>
      </w:r>
      <w:r w:rsidRPr="00EC452A">
        <w:rPr>
          <w:rFonts w:ascii="Arial" w:eastAsia="Arial" w:hAnsi="Arial" w:cs="Arial"/>
          <w:sz w:val="22"/>
          <w:szCs w:val="22"/>
        </w:rPr>
        <w:t>que</w:t>
      </w:r>
      <w:r w:rsidRPr="00EC452A">
        <w:rPr>
          <w:rFonts w:ascii="Arial" w:eastAsia="Arial" w:hAnsi="Arial" w:cs="Arial"/>
          <w:spacing w:val="45"/>
          <w:sz w:val="22"/>
          <w:szCs w:val="22"/>
        </w:rPr>
        <w:t xml:space="preserve"> </w:t>
      </w:r>
      <w:r w:rsidRPr="00EC452A">
        <w:rPr>
          <w:rFonts w:ascii="Arial" w:eastAsia="Arial" w:hAnsi="Arial" w:cs="Arial"/>
          <w:w w:val="102"/>
          <w:sz w:val="22"/>
          <w:szCs w:val="22"/>
        </w:rPr>
        <w:t xml:space="preserve">estime </w:t>
      </w:r>
      <w:r w:rsidRPr="00EC452A">
        <w:rPr>
          <w:rFonts w:ascii="Arial" w:eastAsia="Arial" w:hAnsi="Arial" w:cs="Arial"/>
          <w:spacing w:val="-2"/>
          <w:sz w:val="22"/>
          <w:szCs w:val="22"/>
        </w:rPr>
        <w:t>procedentes</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fi</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mediant</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cultiv</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l</w:t>
      </w:r>
      <w:r w:rsidRPr="00EC452A">
        <w:rPr>
          <w:rFonts w:ascii="Arial" w:eastAsia="Arial" w:hAnsi="Arial" w:cs="Arial"/>
          <w:spacing w:val="-1"/>
          <w:sz w:val="22"/>
          <w:szCs w:val="22"/>
        </w:rPr>
        <w:t>o</w:t>
      </w:r>
      <w:r w:rsidRPr="00EC452A">
        <w:rPr>
          <w:rFonts w:ascii="Arial" w:eastAsia="Arial" w:hAnsi="Arial" w:cs="Arial"/>
          <w:sz w:val="22"/>
          <w:szCs w:val="22"/>
        </w:rPr>
        <w:t>s</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expropiado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increment</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z w:val="22"/>
          <w:szCs w:val="22"/>
        </w:rPr>
        <w:t>abastecimiento</w:t>
      </w:r>
      <w:r w:rsidRPr="00EC452A">
        <w:rPr>
          <w:rFonts w:ascii="Arial" w:eastAsia="Arial" w:hAnsi="Arial" w:cs="Arial"/>
          <w:spacing w:val="33"/>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productos</w:t>
      </w:r>
      <w:r w:rsidRPr="00EC452A">
        <w:rPr>
          <w:rFonts w:ascii="Arial" w:eastAsia="Arial" w:hAnsi="Arial" w:cs="Arial"/>
          <w:spacing w:val="24"/>
          <w:sz w:val="22"/>
          <w:szCs w:val="22"/>
        </w:rPr>
        <w:t xml:space="preserve"> </w:t>
      </w:r>
      <w:r w:rsidRPr="00EC452A">
        <w:rPr>
          <w:rFonts w:ascii="Arial" w:eastAsia="Arial" w:hAnsi="Arial" w:cs="Arial"/>
          <w:sz w:val="22"/>
          <w:szCs w:val="22"/>
        </w:rPr>
        <w:t>básicos</w:t>
      </w:r>
      <w:r w:rsidRPr="00EC452A">
        <w:rPr>
          <w:rFonts w:ascii="Arial" w:eastAsia="Arial" w:hAnsi="Arial" w:cs="Arial"/>
          <w:spacing w:val="20"/>
          <w:sz w:val="22"/>
          <w:szCs w:val="22"/>
        </w:rPr>
        <w:t xml:space="preserve"> </w:t>
      </w:r>
      <w:r w:rsidRPr="00EC452A">
        <w:rPr>
          <w:rFonts w:ascii="Arial" w:eastAsia="Arial" w:hAnsi="Arial" w:cs="Arial"/>
          <w:sz w:val="22"/>
          <w:szCs w:val="22"/>
        </w:rPr>
        <w:t>agrícolas</w:t>
      </w:r>
      <w:r w:rsidRPr="00EC452A">
        <w:rPr>
          <w:rFonts w:ascii="Arial" w:eastAsia="Arial" w:hAnsi="Arial" w:cs="Arial"/>
          <w:spacing w:val="22"/>
          <w:sz w:val="22"/>
          <w:szCs w:val="22"/>
        </w:rPr>
        <w:t xml:space="preserve">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satisfacer</w:t>
      </w:r>
      <w:r w:rsidRPr="00EC452A">
        <w:rPr>
          <w:rFonts w:ascii="Arial" w:eastAsia="Arial" w:hAnsi="Arial" w:cs="Arial"/>
          <w:spacing w:val="23"/>
          <w:sz w:val="22"/>
          <w:szCs w:val="22"/>
        </w:rPr>
        <w:t xml:space="preserve"> </w:t>
      </w:r>
      <w:r w:rsidRPr="00EC452A">
        <w:rPr>
          <w:rFonts w:ascii="Arial" w:eastAsia="Arial" w:hAnsi="Arial" w:cs="Arial"/>
          <w:sz w:val="22"/>
          <w:szCs w:val="22"/>
        </w:rPr>
        <w:t>necesidades</w:t>
      </w:r>
      <w:r w:rsidRPr="00EC452A">
        <w:rPr>
          <w:rFonts w:ascii="Arial" w:eastAsia="Arial" w:hAnsi="Arial" w:cs="Arial"/>
          <w:spacing w:val="28"/>
          <w:sz w:val="22"/>
          <w:szCs w:val="22"/>
        </w:rPr>
        <w:t xml:space="preserve"> </w:t>
      </w:r>
      <w:r w:rsidRPr="00EC452A">
        <w:rPr>
          <w:rFonts w:ascii="Arial" w:eastAsia="Arial" w:hAnsi="Arial" w:cs="Arial"/>
          <w:w w:val="102"/>
          <w:sz w:val="22"/>
          <w:szCs w:val="22"/>
        </w:rPr>
        <w:t>nacionales.</w:t>
      </w:r>
    </w:p>
    <w:p w14:paraId="4F687F3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136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4</w:t>
      </w:r>
      <w:r w:rsidRPr="00EC452A">
        <w:rPr>
          <w:rFonts w:ascii="Arial" w:eastAsia="Arial" w:hAnsi="Arial" w:cs="Arial"/>
          <w:sz w:val="22"/>
          <w:szCs w:val="22"/>
        </w:rPr>
        <w:t>4</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entiend</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expropiatorio </w:t>
      </w:r>
      <w:r w:rsidRPr="00EC452A">
        <w:rPr>
          <w:rFonts w:ascii="Arial" w:eastAsia="Arial" w:hAnsi="Arial" w:cs="Arial"/>
          <w:spacing w:val="-1"/>
          <w:sz w:val="22"/>
          <w:szCs w:val="22"/>
        </w:rPr>
        <w:t>e</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 xml:space="preserve">y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Feder</w:t>
      </w:r>
      <w:r w:rsidRPr="00EC452A">
        <w:rPr>
          <w:rFonts w:ascii="Arial" w:eastAsia="Arial" w:hAnsi="Arial" w:cs="Arial"/>
          <w:spacing w:val="-2"/>
          <w:sz w:val="22"/>
          <w:szCs w:val="22"/>
        </w:rPr>
        <w:t>a</w:t>
      </w:r>
      <w:r w:rsidRPr="00EC452A">
        <w:rPr>
          <w:rFonts w:ascii="Arial" w:eastAsia="Arial" w:hAnsi="Arial" w:cs="Arial"/>
          <w:sz w:val="22"/>
          <w:szCs w:val="22"/>
        </w:rPr>
        <w:t xml:space="preserve">l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Agrari</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siempr</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acredit</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2"/>
          <w:w w:val="102"/>
          <w:sz w:val="22"/>
          <w:szCs w:val="22"/>
        </w:rPr>
        <w:t xml:space="preserve">cuando </w:t>
      </w:r>
      <w:r w:rsidRPr="00EC452A">
        <w:rPr>
          <w:rFonts w:ascii="Arial" w:eastAsia="Arial" w:hAnsi="Arial" w:cs="Arial"/>
          <w:spacing w:val="-1"/>
          <w:sz w:val="22"/>
          <w:szCs w:val="22"/>
        </w:rPr>
        <w:t>meno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antelació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6</w:t>
      </w:r>
      <w:r w:rsidRPr="00EC452A">
        <w:rPr>
          <w:rFonts w:ascii="Arial" w:eastAsia="Arial" w:hAnsi="Arial" w:cs="Arial"/>
          <w:sz w:val="22"/>
          <w:szCs w:val="22"/>
        </w:rPr>
        <w:t>0</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decret</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expropiatori</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correspondiente</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 xml:space="preserve">no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hay</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hech</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publicació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algun</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previene</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párrafo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segund</w:t>
      </w:r>
      <w:r w:rsidRPr="00EC452A">
        <w:rPr>
          <w:rFonts w:ascii="Arial" w:eastAsia="Arial" w:hAnsi="Arial" w:cs="Arial"/>
          <w:sz w:val="22"/>
          <w:szCs w:val="22"/>
        </w:rPr>
        <w:t xml:space="preserve">o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
          <w:sz w:val="22"/>
          <w:szCs w:val="22"/>
        </w:rPr>
        <w:t>tercer</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 xml:space="preserve">del </w:t>
      </w: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27</w:t>
      </w:r>
      <w:r w:rsidRPr="00EC452A">
        <w:rPr>
          <w:rFonts w:ascii="Arial" w:eastAsia="Arial" w:hAnsi="Arial" w:cs="Arial"/>
          <w:sz w:val="22"/>
          <w:szCs w:val="22"/>
        </w:rPr>
        <w:t>2</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últim</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mencionad</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trate.</w:t>
      </w:r>
    </w:p>
    <w:p w14:paraId="76E5967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Igualmente</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entiend</w:t>
      </w:r>
      <w:r w:rsidRPr="00EC452A">
        <w:rPr>
          <w:rFonts w:ascii="Arial" w:eastAsia="Arial" w:hAnsi="Arial" w:cs="Arial"/>
          <w:sz w:val="22"/>
          <w:szCs w:val="22"/>
        </w:rPr>
        <w:t xml:space="preserve">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expropiatori</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aplicació</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Ley </w:t>
      </w:r>
      <w:r w:rsidRPr="00EC452A">
        <w:rPr>
          <w:rFonts w:ascii="Arial" w:eastAsia="Arial" w:hAnsi="Arial" w:cs="Arial"/>
          <w:spacing w:val="-2"/>
          <w:sz w:val="22"/>
          <w:szCs w:val="22"/>
        </w:rPr>
        <w:t>Federa</w:t>
      </w:r>
      <w:r w:rsidRPr="00EC452A">
        <w:rPr>
          <w:rFonts w:ascii="Arial" w:eastAsia="Arial" w:hAnsi="Arial" w:cs="Arial"/>
          <w:sz w:val="22"/>
          <w:szCs w:val="22"/>
        </w:rPr>
        <w:t>l</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Agraria</w:t>
      </w:r>
      <w:r w:rsidRPr="00EC452A">
        <w:rPr>
          <w:rFonts w:ascii="Arial" w:eastAsia="Arial" w:hAnsi="Arial" w:cs="Arial"/>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i</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hech</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algun</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publicacione</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refier</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3"/>
          <w:sz w:val="22"/>
          <w:szCs w:val="22"/>
        </w:rPr>
        <w:t xml:space="preserve"> </w:t>
      </w:r>
      <w:r w:rsidRPr="00EC452A">
        <w:rPr>
          <w:rFonts w:ascii="Arial" w:eastAsia="Arial" w:hAnsi="Arial" w:cs="Arial"/>
          <w:spacing w:val="-2"/>
          <w:w w:val="102"/>
          <w:sz w:val="22"/>
          <w:szCs w:val="22"/>
        </w:rPr>
        <w:t xml:space="preserve">párrafo </w:t>
      </w:r>
      <w:r w:rsidRPr="00EC452A">
        <w:rPr>
          <w:rFonts w:ascii="Arial" w:eastAsia="Arial" w:hAnsi="Arial" w:cs="Arial"/>
          <w:spacing w:val="-2"/>
          <w:sz w:val="22"/>
          <w:szCs w:val="22"/>
        </w:rPr>
        <w:t>anterio</w:t>
      </w:r>
      <w:r w:rsidRPr="00EC452A">
        <w:rPr>
          <w:rFonts w:ascii="Arial" w:eastAsia="Arial" w:hAnsi="Arial" w:cs="Arial"/>
          <w:sz w:val="22"/>
          <w:szCs w:val="22"/>
        </w:rPr>
        <w:t>r</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ha</w:t>
      </w:r>
      <w:r w:rsidRPr="00EC452A">
        <w:rPr>
          <w:rFonts w:ascii="Arial" w:eastAsia="Arial" w:hAnsi="Arial" w:cs="Arial"/>
          <w:sz w:val="22"/>
          <w:szCs w:val="22"/>
        </w:rPr>
        <w:t>n</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transcurrid</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año</w:t>
      </w:r>
      <w:r w:rsidRPr="00EC452A">
        <w:rPr>
          <w:rFonts w:ascii="Arial" w:eastAsia="Arial" w:hAnsi="Arial" w:cs="Arial"/>
          <w:sz w:val="22"/>
          <w:szCs w:val="22"/>
        </w:rPr>
        <w:t>s</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hubier</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publicado</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"Diari</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Oficial</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Federación</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resolució</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presidencia</w:t>
      </w:r>
      <w:r w:rsidRPr="00EC452A">
        <w:rPr>
          <w:rFonts w:ascii="Arial" w:eastAsia="Arial" w:hAnsi="Arial" w:cs="Arial"/>
          <w:sz w:val="22"/>
          <w:szCs w:val="22"/>
        </w:rPr>
        <w:t xml:space="preserve">l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restitución</w:t>
      </w:r>
      <w:r w:rsidRPr="00EC452A">
        <w:rPr>
          <w:rFonts w:ascii="Arial" w:eastAsia="Arial" w:hAnsi="Arial" w:cs="Arial"/>
          <w:sz w:val="22"/>
          <w:szCs w:val="22"/>
        </w:rPr>
        <w:t xml:space="preserv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dotació</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ampliació</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tierra</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pacing w:val="-1"/>
          <w:w w:val="102"/>
          <w:sz w:val="22"/>
          <w:szCs w:val="22"/>
        </w:rPr>
        <w:t xml:space="preserve">nuevos </w:t>
      </w:r>
      <w:r w:rsidRPr="00EC452A">
        <w:rPr>
          <w:rFonts w:ascii="Arial" w:eastAsia="Arial" w:hAnsi="Arial" w:cs="Arial"/>
          <w:spacing w:val="-1"/>
          <w:sz w:val="22"/>
          <w:szCs w:val="22"/>
        </w:rPr>
        <w:t>centro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població</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trate.</w:t>
      </w:r>
    </w:p>
    <w:p w14:paraId="60C9DDC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137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3"/>
          <w:sz w:val="22"/>
          <w:szCs w:val="22"/>
        </w:rPr>
        <w:t>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decret</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expropiació</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expid</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Ejecutiv</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Federal</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á</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refrendad</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pacing w:val="-2"/>
          <w:w w:val="102"/>
          <w:sz w:val="22"/>
          <w:szCs w:val="22"/>
        </w:rPr>
        <w:t xml:space="preserve">por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Secretarios</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Agricultura</w:t>
      </w:r>
      <w:r w:rsidRPr="00EC452A">
        <w:rPr>
          <w:rFonts w:ascii="Arial" w:eastAsia="Arial" w:hAnsi="Arial" w:cs="Arial"/>
          <w:spacing w:val="39"/>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z w:val="22"/>
          <w:szCs w:val="22"/>
        </w:rPr>
        <w:t>Recursos</w:t>
      </w:r>
      <w:r w:rsidRPr="00EC452A">
        <w:rPr>
          <w:rFonts w:ascii="Arial" w:eastAsia="Arial" w:hAnsi="Arial" w:cs="Arial"/>
          <w:spacing w:val="37"/>
          <w:sz w:val="22"/>
          <w:szCs w:val="22"/>
        </w:rPr>
        <w:t xml:space="preserve"> </w:t>
      </w:r>
      <w:r w:rsidRPr="00EC452A">
        <w:rPr>
          <w:rFonts w:ascii="Arial" w:eastAsia="Arial" w:hAnsi="Arial" w:cs="Arial"/>
          <w:sz w:val="22"/>
          <w:szCs w:val="22"/>
        </w:rPr>
        <w:t>Hidráulicos,</w:t>
      </w:r>
      <w:r w:rsidRPr="00EC452A">
        <w:rPr>
          <w:rFonts w:ascii="Arial" w:eastAsia="Arial" w:hAnsi="Arial" w:cs="Arial"/>
          <w:spacing w:val="41"/>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la</w:t>
      </w:r>
      <w:r w:rsidRPr="00EC452A">
        <w:rPr>
          <w:rFonts w:ascii="Arial" w:eastAsia="Arial" w:hAnsi="Arial" w:cs="Arial"/>
          <w:spacing w:val="24"/>
          <w:sz w:val="22"/>
          <w:szCs w:val="22"/>
        </w:rPr>
        <w:t xml:space="preserve"> </w:t>
      </w:r>
      <w:r w:rsidRPr="00EC452A">
        <w:rPr>
          <w:rFonts w:ascii="Arial" w:eastAsia="Arial" w:hAnsi="Arial" w:cs="Arial"/>
          <w:sz w:val="22"/>
          <w:szCs w:val="22"/>
        </w:rPr>
        <w:t>Reforma</w:t>
      </w:r>
      <w:r w:rsidRPr="00EC452A">
        <w:rPr>
          <w:rFonts w:ascii="Arial" w:eastAsia="Arial" w:hAnsi="Arial" w:cs="Arial"/>
          <w:spacing w:val="36"/>
          <w:sz w:val="22"/>
          <w:szCs w:val="22"/>
        </w:rPr>
        <w:t xml:space="preserve"> </w:t>
      </w:r>
      <w:r w:rsidRPr="00EC452A">
        <w:rPr>
          <w:rFonts w:ascii="Arial" w:eastAsia="Arial" w:hAnsi="Arial" w:cs="Arial"/>
          <w:sz w:val="22"/>
          <w:szCs w:val="22"/>
        </w:rPr>
        <w:t>Agraria,</w:t>
      </w:r>
      <w:r w:rsidRPr="00EC452A">
        <w:rPr>
          <w:rFonts w:ascii="Arial" w:eastAsia="Arial" w:hAnsi="Arial" w:cs="Arial"/>
          <w:spacing w:val="34"/>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w w:val="102"/>
          <w:sz w:val="22"/>
          <w:szCs w:val="22"/>
        </w:rPr>
        <w:t xml:space="preserve">Asentamientos </w:t>
      </w:r>
      <w:r w:rsidRPr="00EC452A">
        <w:rPr>
          <w:rFonts w:ascii="Arial" w:eastAsia="Arial" w:hAnsi="Arial" w:cs="Arial"/>
          <w:sz w:val="22"/>
          <w:szCs w:val="22"/>
        </w:rPr>
        <w:t>Humanos</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Obras</w:t>
      </w:r>
      <w:r w:rsidRPr="00EC452A">
        <w:rPr>
          <w:rFonts w:ascii="Arial" w:eastAsia="Arial" w:hAnsi="Arial" w:cs="Arial"/>
          <w:spacing w:val="17"/>
          <w:sz w:val="22"/>
          <w:szCs w:val="22"/>
        </w:rPr>
        <w:t xml:space="preserve"> </w:t>
      </w:r>
      <w:r w:rsidRPr="00EC452A">
        <w:rPr>
          <w:rFonts w:ascii="Arial" w:eastAsia="Arial" w:hAnsi="Arial" w:cs="Arial"/>
          <w:sz w:val="22"/>
          <w:szCs w:val="22"/>
        </w:rPr>
        <w:t>Públicas</w:t>
      </w:r>
      <w:r w:rsidRPr="00EC452A">
        <w:rPr>
          <w:rFonts w:ascii="Arial" w:eastAsia="Arial" w:hAnsi="Arial" w:cs="Arial"/>
          <w:spacing w:val="21"/>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Programación</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Presupuesto.</w:t>
      </w:r>
    </w:p>
    <w:p w14:paraId="3B4EA61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El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monto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35"/>
          <w:sz w:val="22"/>
          <w:szCs w:val="22"/>
        </w:rPr>
        <w:t xml:space="preserve"> </w:t>
      </w:r>
      <w:r w:rsidRPr="00EC452A">
        <w:rPr>
          <w:rFonts w:ascii="Arial" w:eastAsia="Arial" w:hAnsi="Arial" w:cs="Arial"/>
          <w:sz w:val="22"/>
          <w:szCs w:val="22"/>
        </w:rPr>
        <w:t>indemniz</w:t>
      </w:r>
      <w:r w:rsidRPr="00EC452A">
        <w:rPr>
          <w:rFonts w:ascii="Arial" w:eastAsia="Arial" w:hAnsi="Arial" w:cs="Arial"/>
          <w:spacing w:val="-2"/>
          <w:sz w:val="22"/>
          <w:szCs w:val="22"/>
        </w:rPr>
        <w:t>acione</w:t>
      </w:r>
      <w:r w:rsidRPr="00EC452A">
        <w:rPr>
          <w:rFonts w:ascii="Arial" w:eastAsia="Arial" w:hAnsi="Arial" w:cs="Arial"/>
          <w:sz w:val="22"/>
          <w:szCs w:val="22"/>
        </w:rPr>
        <w:t xml:space="preserve">s </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 xml:space="preserve">á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determinad</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 xml:space="preserve">r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avalú</w:t>
      </w:r>
      <w:r w:rsidRPr="00EC452A">
        <w:rPr>
          <w:rFonts w:ascii="Arial" w:eastAsia="Arial" w:hAnsi="Arial" w:cs="Arial"/>
          <w:sz w:val="22"/>
          <w:szCs w:val="22"/>
        </w:rPr>
        <w:t xml:space="preserve">o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efect</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practiqu</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1"/>
          <w:sz w:val="22"/>
          <w:szCs w:val="22"/>
        </w:rPr>
        <w:t>Comisió</w:t>
      </w:r>
      <w:r w:rsidRPr="00EC452A">
        <w:rPr>
          <w:rFonts w:ascii="Arial" w:eastAsia="Arial" w:hAnsi="Arial" w:cs="Arial"/>
          <w:sz w:val="22"/>
          <w:szCs w:val="22"/>
        </w:rPr>
        <w:t>n</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Avalúo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Nacionales</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considerand</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valo</w:t>
      </w:r>
      <w:r w:rsidRPr="00EC452A">
        <w:rPr>
          <w:rFonts w:ascii="Arial" w:eastAsia="Arial" w:hAnsi="Arial" w:cs="Arial"/>
          <w:sz w:val="22"/>
          <w:szCs w:val="22"/>
        </w:rPr>
        <w:t>r</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terren</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z w:val="22"/>
          <w:szCs w:val="22"/>
        </w:rPr>
        <w:t>y</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bienes </w:t>
      </w:r>
      <w:r w:rsidRPr="00EC452A">
        <w:rPr>
          <w:rFonts w:ascii="Arial" w:eastAsia="Arial" w:hAnsi="Arial" w:cs="Arial"/>
          <w:spacing w:val="-1"/>
          <w:sz w:val="22"/>
          <w:szCs w:val="22"/>
        </w:rPr>
        <w:t>distinto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tierr</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objet</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expropiación.</w:t>
      </w:r>
    </w:p>
    <w:p w14:paraId="5347798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138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indemnizació</w:t>
      </w:r>
      <w:r w:rsidRPr="00EC452A">
        <w:rPr>
          <w:rFonts w:ascii="Arial" w:eastAsia="Arial" w:hAnsi="Arial" w:cs="Arial"/>
          <w:sz w:val="22"/>
          <w:szCs w:val="22"/>
        </w:rPr>
        <w:t xml:space="preserve">n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correspond</w:t>
      </w:r>
      <w:r w:rsidRPr="00EC452A">
        <w:rPr>
          <w:rFonts w:ascii="Arial" w:eastAsia="Arial" w:hAnsi="Arial" w:cs="Arial"/>
          <w:sz w:val="22"/>
          <w:szCs w:val="22"/>
        </w:rPr>
        <w:t xml:space="preserve">a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términos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Ley,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dueños </w:t>
      </w:r>
      <w:r w:rsidRPr="00EC452A">
        <w:rPr>
          <w:rFonts w:ascii="Arial" w:eastAsia="Arial" w:hAnsi="Arial" w:cs="Arial"/>
          <w:spacing w:val="28"/>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pacing w:val="-1"/>
          <w:sz w:val="22"/>
          <w:szCs w:val="22"/>
        </w:rPr>
        <w:t>poseedore</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terrenos</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cubrir</w:t>
      </w:r>
      <w:r w:rsidRPr="00EC452A">
        <w:rPr>
          <w:rFonts w:ascii="Arial" w:eastAsia="Arial" w:hAnsi="Arial" w:cs="Arial"/>
          <w:sz w:val="22"/>
          <w:szCs w:val="22"/>
        </w:rPr>
        <w:t xml:space="preserve">á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efectiv</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especie</w:t>
      </w:r>
      <w:r w:rsidRPr="00EC452A">
        <w:rPr>
          <w:rFonts w:ascii="Arial" w:eastAsia="Arial" w:hAnsi="Arial" w:cs="Arial"/>
          <w:sz w:val="22"/>
          <w:szCs w:val="22"/>
        </w:rPr>
        <w:t xml:space="preserve">,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bien</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efectiv</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z w:val="22"/>
          <w:szCs w:val="22"/>
        </w:rPr>
        <w:t>especie,</w:t>
      </w:r>
      <w:r w:rsidRPr="00EC452A">
        <w:rPr>
          <w:rFonts w:ascii="Arial" w:eastAsia="Arial" w:hAnsi="Arial" w:cs="Arial"/>
          <w:spacing w:val="21"/>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elección.</w:t>
      </w:r>
    </w:p>
    <w:p w14:paraId="780F2050" w14:textId="77777777" w:rsidR="00EC452A" w:rsidRPr="00EC452A" w:rsidRDefault="00EC452A" w:rsidP="00EC452A">
      <w:pPr>
        <w:spacing w:before="100" w:beforeAutospacing="1" w:after="100" w:afterAutospacing="1" w:line="240" w:lineRule="auto"/>
        <w:jc w:val="center"/>
        <w:rPr>
          <w:rFonts w:ascii="Arial" w:eastAsia="Arial" w:hAnsi="Arial" w:cs="Arial"/>
          <w:spacing w:val="-4"/>
          <w:w w:val="102"/>
          <w:sz w:val="22"/>
          <w:szCs w:val="22"/>
        </w:rPr>
      </w:pPr>
      <w:r w:rsidRPr="00EC452A">
        <w:rPr>
          <w:rFonts w:ascii="Arial" w:eastAsia="Arial" w:hAnsi="Arial" w:cs="Arial"/>
          <w:spacing w:val="-4"/>
          <w:sz w:val="22"/>
          <w:szCs w:val="22"/>
        </w:rPr>
        <w:t>TITUL</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4"/>
          <w:w w:val="102"/>
          <w:sz w:val="22"/>
          <w:szCs w:val="22"/>
        </w:rPr>
        <w:t>SEPTIMO</w:t>
      </w:r>
    </w:p>
    <w:p w14:paraId="77579432"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z w:val="22"/>
          <w:szCs w:val="22"/>
        </w:rPr>
        <w:t>Tierras</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Ociosas</w:t>
      </w:r>
    </w:p>
    <w:p w14:paraId="75DD3B2C"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3"/>
          <w:sz w:val="22"/>
          <w:szCs w:val="22"/>
        </w:rPr>
        <w:t>CAPITUL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I</w:t>
      </w:r>
    </w:p>
    <w:p w14:paraId="4333EE50"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z w:val="22"/>
          <w:szCs w:val="22"/>
        </w:rPr>
        <w:t>De</w:t>
      </w:r>
      <w:r w:rsidRPr="00EC452A">
        <w:rPr>
          <w:rFonts w:ascii="Arial" w:eastAsia="Arial" w:hAnsi="Arial" w:cs="Arial"/>
          <w:spacing w:val="12"/>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localización</w:t>
      </w:r>
      <w:r w:rsidRPr="00EC452A">
        <w:rPr>
          <w:rFonts w:ascii="Arial" w:eastAsia="Arial" w:hAnsi="Arial" w:cs="Arial"/>
          <w:spacing w:val="27"/>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denuncia</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tierras</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ociosas</w:t>
      </w:r>
    </w:p>
    <w:p w14:paraId="3A4A391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13</w:t>
      </w:r>
      <w:r w:rsidRPr="00EC452A">
        <w:rPr>
          <w:rFonts w:ascii="Arial" w:eastAsia="Arial" w:hAnsi="Arial" w:cs="Arial"/>
          <w:spacing w:val="-6"/>
          <w:sz w:val="22"/>
          <w:szCs w:val="22"/>
        </w:rPr>
        <w:t>9</w:t>
      </w:r>
      <w:r w:rsidRPr="00EC452A">
        <w:rPr>
          <w:rFonts w:ascii="Arial" w:eastAsia="Arial" w:hAnsi="Arial" w:cs="Arial"/>
          <w:spacing w:val="9"/>
          <w:sz w:val="22"/>
          <w:szCs w:val="22"/>
        </w:rPr>
        <w:t>.</w:t>
      </w:r>
      <w:r w:rsidRPr="00EC452A">
        <w:rPr>
          <w:rFonts w:ascii="Arial" w:eastAsia="Arial" w:hAnsi="Arial" w:cs="Arial"/>
          <w:sz w:val="22"/>
          <w:szCs w:val="22"/>
        </w:rPr>
        <w:t>-</w:t>
      </w:r>
      <w:r w:rsidRPr="00EC452A">
        <w:rPr>
          <w:rFonts w:ascii="Arial" w:eastAsia="Arial" w:hAnsi="Arial" w:cs="Arial"/>
          <w:spacing w:val="2"/>
          <w:sz w:val="22"/>
          <w:szCs w:val="22"/>
        </w:rPr>
        <w:t xml:space="preserve"> </w:t>
      </w:r>
      <w:r w:rsidRPr="00EC452A">
        <w:rPr>
          <w:rFonts w:ascii="Arial" w:eastAsia="Arial" w:hAnsi="Arial" w:cs="Arial"/>
          <w:sz w:val="22"/>
          <w:szCs w:val="22"/>
        </w:rPr>
        <w:t>Están</w:t>
      </w:r>
      <w:r w:rsidRPr="00EC452A">
        <w:rPr>
          <w:rFonts w:ascii="Arial" w:eastAsia="Arial" w:hAnsi="Arial" w:cs="Arial"/>
          <w:spacing w:val="8"/>
          <w:sz w:val="22"/>
          <w:szCs w:val="22"/>
        </w:rPr>
        <w:t xml:space="preserve"> </w:t>
      </w:r>
      <w:r w:rsidRPr="00EC452A">
        <w:rPr>
          <w:rFonts w:ascii="Arial" w:eastAsia="Arial" w:hAnsi="Arial" w:cs="Arial"/>
          <w:sz w:val="22"/>
          <w:szCs w:val="22"/>
        </w:rPr>
        <w:t>obligados</w:t>
      </w:r>
      <w:r w:rsidRPr="00EC452A">
        <w:rPr>
          <w:rFonts w:ascii="Arial" w:eastAsia="Arial" w:hAnsi="Arial" w:cs="Arial"/>
          <w:spacing w:val="14"/>
          <w:sz w:val="22"/>
          <w:szCs w:val="22"/>
        </w:rPr>
        <w:t xml:space="preserve"> </w:t>
      </w:r>
      <w:r w:rsidRPr="00EC452A">
        <w:rPr>
          <w:rFonts w:ascii="Arial" w:eastAsia="Arial" w:hAnsi="Arial" w:cs="Arial"/>
          <w:sz w:val="22"/>
          <w:szCs w:val="22"/>
        </w:rPr>
        <w:t>a denunciar</w:t>
      </w:r>
      <w:r w:rsidRPr="00EC452A">
        <w:rPr>
          <w:rFonts w:ascii="Arial" w:eastAsia="Arial" w:hAnsi="Arial" w:cs="Arial"/>
          <w:spacing w:val="15"/>
          <w:sz w:val="22"/>
          <w:szCs w:val="22"/>
        </w:rPr>
        <w:t xml:space="preserve"> </w:t>
      </w:r>
      <w:r w:rsidRPr="00EC452A">
        <w:rPr>
          <w:rFonts w:ascii="Arial" w:eastAsia="Arial" w:hAnsi="Arial" w:cs="Arial"/>
          <w:sz w:val="22"/>
          <w:szCs w:val="22"/>
        </w:rPr>
        <w:t>la</w:t>
      </w:r>
      <w:r w:rsidRPr="00EC452A">
        <w:rPr>
          <w:rFonts w:ascii="Arial" w:eastAsia="Arial" w:hAnsi="Arial" w:cs="Arial"/>
          <w:spacing w:val="1"/>
          <w:sz w:val="22"/>
          <w:szCs w:val="22"/>
        </w:rPr>
        <w:t xml:space="preserve"> </w:t>
      </w:r>
      <w:r w:rsidRPr="00EC452A">
        <w:rPr>
          <w:rFonts w:ascii="Arial" w:eastAsia="Arial" w:hAnsi="Arial" w:cs="Arial"/>
          <w:sz w:val="22"/>
          <w:szCs w:val="22"/>
        </w:rPr>
        <w:t>existencia</w:t>
      </w:r>
      <w:r w:rsidRPr="00EC452A">
        <w:rPr>
          <w:rFonts w:ascii="Arial" w:eastAsia="Arial" w:hAnsi="Arial" w:cs="Arial"/>
          <w:spacing w:val="15"/>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tierras</w:t>
      </w:r>
      <w:r w:rsidRPr="00EC452A">
        <w:rPr>
          <w:rFonts w:ascii="Arial" w:eastAsia="Arial" w:hAnsi="Arial" w:cs="Arial"/>
          <w:spacing w:val="8"/>
          <w:sz w:val="22"/>
          <w:szCs w:val="22"/>
        </w:rPr>
        <w:t xml:space="preserve"> </w:t>
      </w:r>
      <w:r w:rsidRPr="00EC452A">
        <w:rPr>
          <w:rFonts w:ascii="Arial" w:eastAsia="Arial" w:hAnsi="Arial" w:cs="Arial"/>
          <w:sz w:val="22"/>
          <w:szCs w:val="22"/>
        </w:rPr>
        <w:t>ociosas</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3"/>
          <w:sz w:val="22"/>
          <w:szCs w:val="22"/>
        </w:rPr>
        <w:t xml:space="preserve"> </w:t>
      </w:r>
      <w:r w:rsidRPr="00EC452A">
        <w:rPr>
          <w:rFonts w:ascii="Arial" w:eastAsia="Arial" w:hAnsi="Arial" w:cs="Arial"/>
          <w:sz w:val="22"/>
          <w:szCs w:val="22"/>
        </w:rPr>
        <w:t>empleados</w:t>
      </w:r>
      <w:r w:rsidRPr="00EC452A">
        <w:rPr>
          <w:rFonts w:ascii="Arial" w:eastAsia="Arial" w:hAnsi="Arial" w:cs="Arial"/>
          <w:spacing w:val="16"/>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funcionario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naturalez</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trabaj</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tenga</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conocimient</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ellas.</w:t>
      </w:r>
    </w:p>
    <w:p w14:paraId="4C7E2DB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elaborar</w:t>
      </w:r>
      <w:r w:rsidRPr="00EC452A">
        <w:rPr>
          <w:rFonts w:ascii="Arial" w:eastAsia="Arial" w:hAnsi="Arial" w:cs="Arial"/>
          <w:sz w:val="22"/>
          <w:szCs w:val="22"/>
        </w:rPr>
        <w:t>á</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agrícola</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localizació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ociosa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requiera</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incorpora</w:t>
      </w:r>
      <w:r w:rsidRPr="00EC452A">
        <w:rPr>
          <w:rFonts w:ascii="Arial" w:eastAsia="Arial" w:hAnsi="Arial" w:cs="Arial"/>
          <w:sz w:val="22"/>
          <w:szCs w:val="22"/>
        </w:rPr>
        <w:t>r</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mayore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extensione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cultivo.</w:t>
      </w:r>
    </w:p>
    <w:p w14:paraId="1FAD461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140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obligació</w:t>
      </w:r>
      <w:r w:rsidRPr="00EC452A">
        <w:rPr>
          <w:rFonts w:ascii="Arial" w:eastAsia="Arial" w:hAnsi="Arial" w:cs="Arial"/>
          <w:sz w:val="22"/>
          <w:szCs w:val="22"/>
        </w:rPr>
        <w:t>n</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denuncia</w:t>
      </w:r>
      <w:r w:rsidRPr="00EC452A">
        <w:rPr>
          <w:rFonts w:ascii="Arial" w:eastAsia="Arial" w:hAnsi="Arial" w:cs="Arial"/>
          <w:sz w:val="22"/>
          <w:szCs w:val="22"/>
        </w:rPr>
        <w:t>r</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existenci</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regir</w:t>
      </w:r>
      <w:r w:rsidRPr="00EC452A">
        <w:rPr>
          <w:rFonts w:ascii="Arial" w:eastAsia="Arial" w:hAnsi="Arial" w:cs="Arial"/>
          <w:sz w:val="22"/>
          <w:szCs w:val="22"/>
        </w:rPr>
        <w:t>á</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cuando </w:t>
      </w:r>
      <w:r w:rsidRPr="00EC452A">
        <w:rPr>
          <w:rFonts w:ascii="Arial" w:eastAsia="Arial" w:hAnsi="Arial" w:cs="Arial"/>
          <w:sz w:val="22"/>
          <w:szCs w:val="22"/>
        </w:rPr>
        <w:t xml:space="preserve">se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trate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terrenos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ejidales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comunales,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empleado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z w:val="22"/>
          <w:szCs w:val="22"/>
        </w:rPr>
        <w:t>y</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funcionario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6</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Ley.</w:t>
      </w:r>
    </w:p>
    <w:p w14:paraId="55677E9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141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denuncia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ociosa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formule</w:t>
      </w:r>
      <w:r w:rsidRPr="00EC452A">
        <w:rPr>
          <w:rFonts w:ascii="Arial" w:eastAsia="Arial" w:hAnsi="Arial" w:cs="Arial"/>
          <w:sz w:val="22"/>
          <w:szCs w:val="22"/>
        </w:rPr>
        <w:t>n</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empleado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funcionario</w:t>
      </w:r>
      <w:r w:rsidRPr="00EC452A">
        <w:rPr>
          <w:rFonts w:ascii="Arial" w:eastAsia="Arial" w:hAnsi="Arial" w:cs="Arial"/>
          <w:sz w:val="22"/>
          <w:szCs w:val="22"/>
        </w:rPr>
        <w:t xml:space="preserve">s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presentars</w:t>
      </w:r>
      <w:r w:rsidRPr="00EC452A">
        <w:rPr>
          <w:rFonts w:ascii="Arial" w:eastAsia="Arial" w:hAnsi="Arial" w:cs="Arial"/>
          <w:sz w:val="22"/>
          <w:szCs w:val="22"/>
        </w:rPr>
        <w:t xml:space="preserve">e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escrito</w:t>
      </w:r>
      <w:r w:rsidRPr="00EC452A">
        <w:rPr>
          <w:rFonts w:ascii="Arial" w:eastAsia="Arial" w:hAnsi="Arial" w:cs="Arial"/>
          <w:sz w:val="22"/>
          <w:szCs w:val="22"/>
        </w:rPr>
        <w:t xml:space="preserve">,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denunciante</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recaba</w:t>
      </w:r>
      <w:r w:rsidRPr="00EC452A">
        <w:rPr>
          <w:rFonts w:ascii="Arial" w:eastAsia="Arial" w:hAnsi="Arial" w:cs="Arial"/>
          <w:sz w:val="22"/>
          <w:szCs w:val="22"/>
        </w:rPr>
        <w:t xml:space="preserve">r </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como </w:t>
      </w:r>
      <w:r w:rsidRPr="00EC452A">
        <w:rPr>
          <w:rFonts w:ascii="Arial" w:eastAsia="Arial" w:hAnsi="Arial" w:cs="Arial"/>
          <w:spacing w:val="-1"/>
          <w:sz w:val="22"/>
          <w:szCs w:val="22"/>
        </w:rPr>
        <w:t>comprobant</w:t>
      </w:r>
      <w:r w:rsidRPr="00EC452A">
        <w:rPr>
          <w:rFonts w:ascii="Arial" w:eastAsia="Arial" w:hAnsi="Arial" w:cs="Arial"/>
          <w:sz w:val="22"/>
          <w:szCs w:val="22"/>
        </w:rPr>
        <w:t xml:space="preserve">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 xml:space="preserve">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obligación</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sell</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recepció</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correspondiente</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una </w:t>
      </w:r>
      <w:r w:rsidRPr="00EC452A">
        <w:rPr>
          <w:rFonts w:ascii="Arial" w:eastAsia="Arial" w:hAnsi="Arial" w:cs="Arial"/>
          <w:spacing w:val="-2"/>
          <w:sz w:val="22"/>
          <w:szCs w:val="22"/>
        </w:rPr>
        <w:t>copi</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denuncia.</w:t>
      </w:r>
    </w:p>
    <w:p w14:paraId="7E6FEED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Los</w:t>
      </w:r>
      <w:r w:rsidRPr="00EC452A">
        <w:rPr>
          <w:rFonts w:ascii="Arial" w:eastAsia="Arial" w:hAnsi="Arial" w:cs="Arial"/>
          <w:spacing w:val="31"/>
          <w:sz w:val="22"/>
          <w:szCs w:val="22"/>
        </w:rPr>
        <w:t xml:space="preserve"> </w:t>
      </w:r>
      <w:r w:rsidRPr="00EC452A">
        <w:rPr>
          <w:rFonts w:ascii="Arial" w:eastAsia="Arial" w:hAnsi="Arial" w:cs="Arial"/>
          <w:sz w:val="22"/>
          <w:szCs w:val="22"/>
        </w:rPr>
        <w:t>particulares</w:t>
      </w:r>
      <w:r w:rsidRPr="00EC452A">
        <w:rPr>
          <w:rFonts w:ascii="Arial" w:eastAsia="Arial" w:hAnsi="Arial" w:cs="Arial"/>
          <w:spacing w:val="45"/>
          <w:sz w:val="22"/>
          <w:szCs w:val="22"/>
        </w:rPr>
        <w:t xml:space="preserve"> </w:t>
      </w:r>
      <w:r w:rsidRPr="00EC452A">
        <w:rPr>
          <w:rFonts w:ascii="Arial" w:eastAsia="Arial" w:hAnsi="Arial" w:cs="Arial"/>
          <w:sz w:val="22"/>
          <w:szCs w:val="22"/>
        </w:rPr>
        <w:t>podrán</w:t>
      </w:r>
      <w:r w:rsidRPr="00EC452A">
        <w:rPr>
          <w:rFonts w:ascii="Arial" w:eastAsia="Arial" w:hAnsi="Arial" w:cs="Arial"/>
          <w:spacing w:val="37"/>
          <w:sz w:val="22"/>
          <w:szCs w:val="22"/>
        </w:rPr>
        <w:t xml:space="preserve"> </w:t>
      </w:r>
      <w:r w:rsidRPr="00EC452A">
        <w:rPr>
          <w:rFonts w:ascii="Arial" w:eastAsia="Arial" w:hAnsi="Arial" w:cs="Arial"/>
          <w:sz w:val="22"/>
          <w:szCs w:val="22"/>
        </w:rPr>
        <w:t>denunciar</w:t>
      </w:r>
      <w:r w:rsidRPr="00EC452A">
        <w:rPr>
          <w:rFonts w:ascii="Arial" w:eastAsia="Arial" w:hAnsi="Arial" w:cs="Arial"/>
          <w:spacing w:val="42"/>
          <w:sz w:val="22"/>
          <w:szCs w:val="22"/>
        </w:rPr>
        <w:t xml:space="preserve"> </w:t>
      </w:r>
      <w:r w:rsidRPr="00EC452A">
        <w:rPr>
          <w:rFonts w:ascii="Arial" w:eastAsia="Arial" w:hAnsi="Arial" w:cs="Arial"/>
          <w:sz w:val="22"/>
          <w:szCs w:val="22"/>
        </w:rPr>
        <w:t>la</w:t>
      </w:r>
      <w:r w:rsidRPr="00EC452A">
        <w:rPr>
          <w:rFonts w:ascii="Arial" w:eastAsia="Arial" w:hAnsi="Arial" w:cs="Arial"/>
          <w:spacing w:val="28"/>
          <w:sz w:val="22"/>
          <w:szCs w:val="22"/>
        </w:rPr>
        <w:t xml:space="preserve"> </w:t>
      </w:r>
      <w:r w:rsidRPr="00EC452A">
        <w:rPr>
          <w:rFonts w:ascii="Arial" w:eastAsia="Arial" w:hAnsi="Arial" w:cs="Arial"/>
          <w:sz w:val="22"/>
          <w:szCs w:val="22"/>
        </w:rPr>
        <w:t>existencia</w:t>
      </w:r>
      <w:r w:rsidRPr="00EC452A">
        <w:rPr>
          <w:rFonts w:ascii="Arial" w:eastAsia="Arial" w:hAnsi="Arial" w:cs="Arial"/>
          <w:spacing w:val="42"/>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tierras</w:t>
      </w:r>
      <w:r w:rsidRPr="00EC452A">
        <w:rPr>
          <w:rFonts w:ascii="Arial" w:eastAsia="Arial" w:hAnsi="Arial" w:cs="Arial"/>
          <w:spacing w:val="36"/>
          <w:sz w:val="22"/>
          <w:szCs w:val="22"/>
        </w:rPr>
        <w:t xml:space="preserve"> </w:t>
      </w:r>
      <w:r w:rsidRPr="00EC452A">
        <w:rPr>
          <w:rFonts w:ascii="Arial" w:eastAsia="Arial" w:hAnsi="Arial" w:cs="Arial"/>
          <w:sz w:val="22"/>
          <w:szCs w:val="22"/>
        </w:rPr>
        <w:t>ociosas</w:t>
      </w:r>
      <w:r w:rsidRPr="00EC452A">
        <w:rPr>
          <w:rFonts w:ascii="Arial" w:eastAsia="Arial" w:hAnsi="Arial" w:cs="Arial"/>
          <w:spacing w:val="38"/>
          <w:sz w:val="22"/>
          <w:szCs w:val="22"/>
        </w:rPr>
        <w:t xml:space="preserve"> </w:t>
      </w:r>
      <w:r w:rsidRPr="00EC452A">
        <w:rPr>
          <w:rFonts w:ascii="Arial" w:eastAsia="Arial" w:hAnsi="Arial" w:cs="Arial"/>
          <w:sz w:val="22"/>
          <w:szCs w:val="22"/>
        </w:rPr>
        <w:t>en</w:t>
      </w:r>
      <w:r w:rsidRPr="00EC452A">
        <w:rPr>
          <w:rFonts w:ascii="Arial" w:eastAsia="Arial" w:hAnsi="Arial" w:cs="Arial"/>
          <w:spacing w:val="29"/>
          <w:sz w:val="22"/>
          <w:szCs w:val="22"/>
        </w:rPr>
        <w:t xml:space="preserve"> </w:t>
      </w:r>
      <w:r w:rsidRPr="00EC452A">
        <w:rPr>
          <w:rFonts w:ascii="Arial" w:eastAsia="Arial" w:hAnsi="Arial" w:cs="Arial"/>
          <w:sz w:val="22"/>
          <w:szCs w:val="22"/>
        </w:rPr>
        <w:t>la</w:t>
      </w:r>
      <w:r w:rsidRPr="00EC452A">
        <w:rPr>
          <w:rFonts w:ascii="Arial" w:eastAsia="Arial" w:hAnsi="Arial" w:cs="Arial"/>
          <w:spacing w:val="28"/>
          <w:sz w:val="22"/>
          <w:szCs w:val="22"/>
        </w:rPr>
        <w:t xml:space="preserve"> </w:t>
      </w:r>
      <w:r w:rsidRPr="00EC452A">
        <w:rPr>
          <w:rFonts w:ascii="Arial" w:eastAsia="Arial" w:hAnsi="Arial" w:cs="Arial"/>
          <w:sz w:val="22"/>
          <w:szCs w:val="22"/>
        </w:rPr>
        <w:t>forma</w:t>
      </w:r>
      <w:r w:rsidRPr="00EC452A">
        <w:rPr>
          <w:rFonts w:ascii="Arial" w:eastAsia="Arial" w:hAnsi="Arial" w:cs="Arial"/>
          <w:spacing w:val="35"/>
          <w:sz w:val="22"/>
          <w:szCs w:val="22"/>
        </w:rPr>
        <w:t xml:space="preserve"> </w:t>
      </w:r>
      <w:r w:rsidRPr="00EC452A">
        <w:rPr>
          <w:rFonts w:ascii="Arial" w:eastAsia="Arial" w:hAnsi="Arial" w:cs="Arial"/>
          <w:sz w:val="22"/>
          <w:szCs w:val="22"/>
        </w:rPr>
        <w:t>antes</w:t>
      </w:r>
      <w:r w:rsidRPr="00EC452A">
        <w:rPr>
          <w:rFonts w:ascii="Arial" w:eastAsia="Arial" w:hAnsi="Arial" w:cs="Arial"/>
          <w:spacing w:val="34"/>
          <w:sz w:val="22"/>
          <w:szCs w:val="22"/>
        </w:rPr>
        <w:t xml:space="preserve"> </w:t>
      </w:r>
      <w:r w:rsidRPr="00EC452A">
        <w:rPr>
          <w:rFonts w:ascii="Arial" w:eastAsia="Arial" w:hAnsi="Arial" w:cs="Arial"/>
          <w:sz w:val="22"/>
          <w:szCs w:val="22"/>
        </w:rPr>
        <w:t>descrita,</w:t>
      </w:r>
      <w:r w:rsidRPr="00EC452A">
        <w:rPr>
          <w:rFonts w:ascii="Arial" w:eastAsia="Arial" w:hAnsi="Arial" w:cs="Arial"/>
          <w:spacing w:val="39"/>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z w:val="22"/>
          <w:szCs w:val="22"/>
        </w:rPr>
        <w:t>bien</w:t>
      </w:r>
      <w:r w:rsidRPr="00EC452A">
        <w:rPr>
          <w:rFonts w:ascii="Arial" w:eastAsia="Arial" w:hAnsi="Arial" w:cs="Arial"/>
          <w:spacing w:val="44"/>
          <w:sz w:val="22"/>
          <w:szCs w:val="22"/>
        </w:rPr>
        <w:t xml:space="preserve"> </w:t>
      </w:r>
      <w:r w:rsidRPr="00EC452A">
        <w:rPr>
          <w:rFonts w:ascii="Arial" w:eastAsia="Arial" w:hAnsi="Arial" w:cs="Arial"/>
          <w:sz w:val="22"/>
          <w:szCs w:val="22"/>
        </w:rPr>
        <w:t>mediante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comparecenci</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persona</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oficina</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levantará </w:t>
      </w:r>
      <w:r w:rsidRPr="00EC452A">
        <w:rPr>
          <w:rFonts w:ascii="Arial" w:eastAsia="Arial" w:hAnsi="Arial" w:cs="Arial"/>
          <w:sz w:val="22"/>
          <w:szCs w:val="22"/>
        </w:rPr>
        <w:t>una</w:t>
      </w:r>
      <w:r w:rsidRPr="00EC452A">
        <w:rPr>
          <w:rFonts w:ascii="Arial" w:eastAsia="Arial" w:hAnsi="Arial" w:cs="Arial"/>
          <w:spacing w:val="13"/>
          <w:sz w:val="22"/>
          <w:szCs w:val="22"/>
        </w:rPr>
        <w:t xml:space="preserve"> </w:t>
      </w:r>
      <w:r w:rsidRPr="00EC452A">
        <w:rPr>
          <w:rFonts w:ascii="Arial" w:eastAsia="Arial" w:hAnsi="Arial" w:cs="Arial"/>
          <w:sz w:val="22"/>
          <w:szCs w:val="22"/>
        </w:rPr>
        <w:t>acta</w:t>
      </w:r>
      <w:r w:rsidRPr="00EC452A">
        <w:rPr>
          <w:rFonts w:ascii="Arial" w:eastAsia="Arial" w:hAnsi="Arial" w:cs="Arial"/>
          <w:spacing w:val="14"/>
          <w:sz w:val="22"/>
          <w:szCs w:val="22"/>
        </w:rPr>
        <w:t xml:space="preserve">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asistencia</w:t>
      </w:r>
      <w:r w:rsidRPr="00EC452A">
        <w:rPr>
          <w:rFonts w:ascii="Arial" w:eastAsia="Arial" w:hAnsi="Arial" w:cs="Arial"/>
          <w:spacing w:val="24"/>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dos</w:t>
      </w:r>
      <w:r w:rsidRPr="00EC452A">
        <w:rPr>
          <w:rFonts w:ascii="Arial" w:eastAsia="Arial" w:hAnsi="Arial" w:cs="Arial"/>
          <w:spacing w:val="13"/>
          <w:sz w:val="22"/>
          <w:szCs w:val="22"/>
        </w:rPr>
        <w:t xml:space="preserve"> </w:t>
      </w:r>
      <w:r w:rsidRPr="00EC452A">
        <w:rPr>
          <w:rFonts w:ascii="Arial" w:eastAsia="Arial" w:hAnsi="Arial" w:cs="Arial"/>
          <w:sz w:val="22"/>
          <w:szCs w:val="22"/>
        </w:rPr>
        <w:t>testigos</w:t>
      </w:r>
      <w:r w:rsidRPr="00EC452A">
        <w:rPr>
          <w:rFonts w:ascii="Arial" w:eastAsia="Arial" w:hAnsi="Arial" w:cs="Arial"/>
          <w:spacing w:val="2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cual</w:t>
      </w:r>
      <w:r w:rsidRPr="00EC452A">
        <w:rPr>
          <w:rFonts w:ascii="Arial" w:eastAsia="Arial" w:hAnsi="Arial" w:cs="Arial"/>
          <w:spacing w:val="14"/>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les</w:t>
      </w:r>
      <w:r w:rsidRPr="00EC452A">
        <w:rPr>
          <w:rFonts w:ascii="Arial" w:eastAsia="Arial" w:hAnsi="Arial" w:cs="Arial"/>
          <w:spacing w:val="12"/>
          <w:sz w:val="22"/>
          <w:szCs w:val="22"/>
        </w:rPr>
        <w:t xml:space="preserve"> </w:t>
      </w:r>
      <w:r w:rsidRPr="00EC452A">
        <w:rPr>
          <w:rFonts w:ascii="Arial" w:eastAsia="Arial" w:hAnsi="Arial" w:cs="Arial"/>
          <w:sz w:val="22"/>
          <w:szCs w:val="22"/>
        </w:rPr>
        <w:t>entregará</w:t>
      </w:r>
      <w:r w:rsidRPr="00EC452A">
        <w:rPr>
          <w:rFonts w:ascii="Arial" w:eastAsia="Arial" w:hAnsi="Arial" w:cs="Arial"/>
          <w:spacing w:val="23"/>
          <w:sz w:val="22"/>
          <w:szCs w:val="22"/>
        </w:rPr>
        <w:t xml:space="preserve"> </w:t>
      </w:r>
      <w:r w:rsidRPr="00EC452A">
        <w:rPr>
          <w:rFonts w:ascii="Arial" w:eastAsia="Arial" w:hAnsi="Arial" w:cs="Arial"/>
          <w:sz w:val="22"/>
          <w:szCs w:val="22"/>
        </w:rPr>
        <w:t>una</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copia.</w:t>
      </w:r>
    </w:p>
    <w:p w14:paraId="272BCB90" w14:textId="77777777" w:rsidR="00EC452A" w:rsidRPr="00EC452A" w:rsidRDefault="00EC452A" w:rsidP="00EC452A">
      <w:pPr>
        <w:spacing w:before="100" w:beforeAutospacing="1" w:after="100" w:afterAutospacing="1" w:line="240" w:lineRule="auto"/>
        <w:jc w:val="both"/>
        <w:rPr>
          <w:rFonts w:ascii="Arial" w:eastAsia="Arial" w:hAnsi="Arial" w:cs="Arial"/>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142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empleado</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funcionario</w:t>
      </w:r>
      <w:r w:rsidRPr="00EC452A">
        <w:rPr>
          <w:rFonts w:ascii="Arial" w:eastAsia="Arial" w:hAnsi="Arial" w:cs="Arial"/>
          <w:sz w:val="22"/>
          <w:szCs w:val="22"/>
        </w:rPr>
        <w:t xml:space="preserve">s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tenga</w:t>
      </w:r>
      <w:r w:rsidRPr="00EC452A">
        <w:rPr>
          <w:rFonts w:ascii="Arial" w:eastAsia="Arial" w:hAnsi="Arial" w:cs="Arial"/>
          <w:sz w:val="22"/>
          <w:szCs w:val="22"/>
        </w:rPr>
        <w:t xml:space="preserve">n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obligació</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3"/>
          <w:sz w:val="22"/>
          <w:szCs w:val="22"/>
        </w:rPr>
        <w:t>de</w:t>
      </w:r>
      <w:r w:rsidRPr="00EC452A">
        <w:rPr>
          <w:rFonts w:ascii="Arial" w:eastAsia="Arial" w:hAnsi="Arial" w:cs="Arial"/>
          <w:spacing w:val="-1"/>
          <w:sz w:val="22"/>
          <w:szCs w:val="22"/>
        </w:rPr>
        <w:t>nuncia</w:t>
      </w:r>
      <w:r w:rsidRPr="00EC452A">
        <w:rPr>
          <w:rFonts w:ascii="Arial" w:eastAsia="Arial" w:hAnsi="Arial" w:cs="Arial"/>
          <w:sz w:val="22"/>
          <w:szCs w:val="22"/>
        </w:rPr>
        <w:t xml:space="preserve">r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existenci</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ociosas</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hacerl</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términ</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3</w:t>
      </w:r>
      <w:r w:rsidRPr="00EC452A">
        <w:rPr>
          <w:rFonts w:ascii="Arial" w:eastAsia="Arial" w:hAnsi="Arial" w:cs="Arial"/>
          <w:sz w:val="22"/>
          <w:szCs w:val="22"/>
        </w:rPr>
        <w:t>0</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días </w:t>
      </w:r>
      <w:r w:rsidRPr="00EC452A">
        <w:rPr>
          <w:rFonts w:ascii="Arial" w:eastAsia="Arial" w:hAnsi="Arial" w:cs="Arial"/>
          <w:sz w:val="22"/>
          <w:szCs w:val="22"/>
        </w:rPr>
        <w:t>naturales,</w:t>
      </w:r>
      <w:r w:rsidRPr="00EC452A">
        <w:rPr>
          <w:rFonts w:ascii="Arial" w:eastAsia="Arial" w:hAnsi="Arial" w:cs="Arial"/>
          <w:spacing w:val="24"/>
          <w:sz w:val="22"/>
          <w:szCs w:val="22"/>
        </w:rPr>
        <w:t xml:space="preserve"> </w:t>
      </w:r>
      <w:r w:rsidRPr="00EC452A">
        <w:rPr>
          <w:rFonts w:ascii="Arial" w:eastAsia="Arial" w:hAnsi="Arial" w:cs="Arial"/>
          <w:sz w:val="22"/>
          <w:szCs w:val="22"/>
        </w:rPr>
        <w:t>contados</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partir</w:t>
      </w:r>
      <w:r w:rsidRPr="00EC452A">
        <w:rPr>
          <w:rFonts w:ascii="Arial" w:eastAsia="Arial" w:hAnsi="Arial" w:cs="Arial"/>
          <w:spacing w:val="16"/>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siguiente</w:t>
      </w:r>
      <w:r w:rsidRPr="00EC452A">
        <w:rPr>
          <w:rFonts w:ascii="Arial" w:eastAsia="Arial" w:hAnsi="Arial" w:cs="Arial"/>
          <w:spacing w:val="22"/>
          <w:sz w:val="22"/>
          <w:szCs w:val="22"/>
        </w:rPr>
        <w:t xml:space="preserve"> </w:t>
      </w:r>
      <w:r w:rsidRPr="00EC452A">
        <w:rPr>
          <w:rFonts w:ascii="Arial" w:eastAsia="Arial" w:hAnsi="Arial" w:cs="Arial"/>
          <w:sz w:val="22"/>
          <w:szCs w:val="22"/>
        </w:rPr>
        <w:t>al</w:t>
      </w:r>
      <w:r w:rsidRPr="00EC452A">
        <w:rPr>
          <w:rFonts w:ascii="Arial" w:eastAsia="Arial" w:hAnsi="Arial" w:cs="Arial"/>
          <w:spacing w:val="10"/>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les</w:t>
      </w:r>
      <w:r w:rsidRPr="00EC452A">
        <w:rPr>
          <w:rFonts w:ascii="Arial" w:eastAsia="Arial" w:hAnsi="Arial" w:cs="Arial"/>
          <w:spacing w:val="12"/>
          <w:sz w:val="22"/>
          <w:szCs w:val="22"/>
        </w:rPr>
        <w:t xml:space="preserve"> </w:t>
      </w:r>
      <w:r w:rsidRPr="00EC452A">
        <w:rPr>
          <w:rFonts w:ascii="Arial" w:eastAsia="Arial" w:hAnsi="Arial" w:cs="Arial"/>
          <w:sz w:val="22"/>
          <w:szCs w:val="22"/>
        </w:rPr>
        <w:t>conste</w:t>
      </w:r>
      <w:r w:rsidRPr="00EC452A">
        <w:rPr>
          <w:rFonts w:ascii="Arial" w:eastAsia="Arial" w:hAnsi="Arial" w:cs="Arial"/>
          <w:spacing w:val="18"/>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ociosidad.</w:t>
      </w:r>
    </w:p>
    <w:p w14:paraId="562D122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143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mer</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posibilida</w:t>
      </w:r>
      <w:r w:rsidRPr="00EC452A">
        <w:rPr>
          <w:rFonts w:ascii="Arial" w:eastAsia="Arial" w:hAnsi="Arial" w:cs="Arial"/>
          <w:sz w:val="22"/>
          <w:szCs w:val="22"/>
        </w:rPr>
        <w:t>d</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exist</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algun</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caus</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determinada</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w w:val="102"/>
          <w:sz w:val="22"/>
          <w:szCs w:val="22"/>
        </w:rPr>
        <w:t xml:space="preserve">tierras </w:t>
      </w:r>
      <w:r w:rsidRPr="00EC452A">
        <w:rPr>
          <w:rFonts w:ascii="Arial" w:eastAsia="Arial" w:hAnsi="Arial" w:cs="Arial"/>
          <w:sz w:val="22"/>
          <w:szCs w:val="22"/>
        </w:rPr>
        <w:t xml:space="preserve">sin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explotación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no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les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pueda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considerar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ociosas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términos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
          <w:sz w:val="22"/>
          <w:szCs w:val="22"/>
        </w:rPr>
        <w:t xml:space="preserve"> </w:t>
      </w:r>
      <w:r w:rsidRPr="00EC452A">
        <w:rPr>
          <w:rFonts w:ascii="Arial" w:eastAsia="Arial" w:hAnsi="Arial" w:cs="Arial"/>
          <w:sz w:val="22"/>
          <w:szCs w:val="22"/>
        </w:rPr>
        <w:t>la</w:t>
      </w:r>
      <w:r w:rsidRPr="00EC452A">
        <w:rPr>
          <w:rFonts w:ascii="Arial" w:eastAsia="Arial" w:hAnsi="Arial" w:cs="Arial"/>
          <w:spacing w:val="53"/>
          <w:sz w:val="22"/>
          <w:szCs w:val="22"/>
        </w:rPr>
        <w:t xml:space="preserve"> </w:t>
      </w:r>
      <w:r w:rsidRPr="00EC452A">
        <w:rPr>
          <w:rFonts w:ascii="Arial" w:eastAsia="Arial" w:hAnsi="Arial" w:cs="Arial"/>
          <w:sz w:val="22"/>
          <w:szCs w:val="22"/>
        </w:rPr>
        <w:t xml:space="preserve">Ley,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no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exime </w:t>
      </w:r>
      <w:r w:rsidRPr="00EC452A">
        <w:rPr>
          <w:rFonts w:ascii="Arial" w:eastAsia="Arial" w:hAnsi="Arial" w:cs="Arial"/>
          <w:spacing w:val="7"/>
          <w:sz w:val="22"/>
          <w:szCs w:val="22"/>
        </w:rPr>
        <w:t xml:space="preserve"> </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1"/>
          <w:sz w:val="22"/>
          <w:szCs w:val="22"/>
        </w:rPr>
        <w:t>empleado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funcionario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obligació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denunciarlas</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valoració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justificacione</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hubier</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llevar</w:t>
      </w:r>
      <w:r w:rsidRPr="00EC452A">
        <w:rPr>
          <w:rFonts w:ascii="Arial" w:eastAsia="Arial" w:hAnsi="Arial" w:cs="Arial"/>
          <w:sz w:val="22"/>
          <w:szCs w:val="22"/>
        </w:rPr>
        <w:t>á</w:t>
      </w:r>
      <w:r w:rsidRPr="00EC452A">
        <w:rPr>
          <w:rFonts w:ascii="Arial" w:eastAsia="Arial" w:hAnsi="Arial" w:cs="Arial"/>
          <w:spacing w:val="43"/>
          <w:sz w:val="22"/>
          <w:szCs w:val="22"/>
        </w:rPr>
        <w:t xml:space="preserve"> </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cab</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des</w:t>
      </w:r>
      <w:r w:rsidRPr="00EC452A">
        <w:rPr>
          <w:rFonts w:ascii="Arial" w:eastAsia="Arial" w:hAnsi="Arial" w:cs="Arial"/>
          <w:spacing w:val="32"/>
          <w:sz w:val="22"/>
          <w:szCs w:val="22"/>
        </w:rPr>
        <w:t xml:space="preserve"> </w:t>
      </w:r>
      <w:r w:rsidRPr="00EC452A">
        <w:rPr>
          <w:rFonts w:ascii="Arial" w:eastAsia="Arial" w:hAnsi="Arial" w:cs="Arial"/>
          <w:sz w:val="22"/>
          <w:szCs w:val="22"/>
        </w:rPr>
        <w:t>técnicas</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19"/>
          <w:sz w:val="22"/>
          <w:szCs w:val="22"/>
        </w:rPr>
        <w:t xml:space="preserve"> </w:t>
      </w:r>
      <w:r w:rsidRPr="00EC452A">
        <w:rPr>
          <w:rFonts w:ascii="Arial" w:eastAsia="Arial" w:hAnsi="Arial" w:cs="Arial"/>
          <w:sz w:val="22"/>
          <w:szCs w:val="22"/>
        </w:rPr>
        <w:t>administrativas</w:t>
      </w:r>
      <w:r w:rsidRPr="00EC452A">
        <w:rPr>
          <w:rFonts w:ascii="Arial" w:eastAsia="Arial" w:hAnsi="Arial" w:cs="Arial"/>
          <w:spacing w:val="42"/>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propi</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Secretaría</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acuerd</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Reglament</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spacing w:val="-2"/>
          <w:w w:val="102"/>
          <w:sz w:val="22"/>
          <w:szCs w:val="22"/>
        </w:rPr>
        <w:t>Interior.</w:t>
      </w:r>
    </w:p>
    <w:p w14:paraId="1A1F316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144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empleado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funcionario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reciba</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denuncia</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tierras </w:t>
      </w:r>
      <w:r w:rsidRPr="00EC452A">
        <w:rPr>
          <w:rFonts w:ascii="Arial" w:eastAsia="Arial" w:hAnsi="Arial" w:cs="Arial"/>
          <w:spacing w:val="-2"/>
          <w:sz w:val="22"/>
          <w:szCs w:val="22"/>
        </w:rPr>
        <w:t>ociosas</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contará</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 xml:space="preserve">n </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 xml:space="preserve">n </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términ</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1</w:t>
      </w:r>
      <w:r w:rsidRPr="00EC452A">
        <w:rPr>
          <w:rFonts w:ascii="Arial" w:eastAsia="Arial" w:hAnsi="Arial" w:cs="Arial"/>
          <w:sz w:val="22"/>
          <w:szCs w:val="22"/>
        </w:rPr>
        <w:t xml:space="preserve">5 </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día</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hábile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enviarla</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w w:val="102"/>
          <w:sz w:val="22"/>
          <w:szCs w:val="22"/>
        </w:rPr>
        <w:t xml:space="preserve">autoridades </w:t>
      </w:r>
      <w:r w:rsidRPr="00EC452A">
        <w:rPr>
          <w:rFonts w:ascii="Arial" w:eastAsia="Arial" w:hAnsi="Arial" w:cs="Arial"/>
          <w:spacing w:val="-1"/>
          <w:sz w:val="22"/>
          <w:szCs w:val="22"/>
        </w:rPr>
        <w:t>administrativa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correspond</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trámite.</w:t>
      </w:r>
    </w:p>
    <w:p w14:paraId="39B6E2D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inobservanci</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o </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anterio</w:t>
      </w:r>
      <w:r w:rsidRPr="00EC452A">
        <w:rPr>
          <w:rFonts w:ascii="Arial" w:eastAsia="Arial" w:hAnsi="Arial" w:cs="Arial"/>
          <w:sz w:val="22"/>
          <w:szCs w:val="22"/>
        </w:rPr>
        <w:t xml:space="preserve">r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 xml:space="preserve">á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equivalent</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 xml:space="preserve">l </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incumplimient</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obligació</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z w:val="22"/>
          <w:szCs w:val="22"/>
        </w:rPr>
        <w:t>denunciar</w:t>
      </w:r>
      <w:r w:rsidRPr="00EC452A">
        <w:rPr>
          <w:rFonts w:ascii="Arial" w:eastAsia="Arial" w:hAnsi="Arial" w:cs="Arial"/>
          <w:spacing w:val="24"/>
          <w:sz w:val="22"/>
          <w:szCs w:val="22"/>
        </w:rPr>
        <w:t xml:space="preserve"> </w:t>
      </w:r>
      <w:r w:rsidRPr="00EC452A">
        <w:rPr>
          <w:rFonts w:ascii="Arial" w:eastAsia="Arial" w:hAnsi="Arial" w:cs="Arial"/>
          <w:sz w:val="22"/>
          <w:szCs w:val="22"/>
        </w:rPr>
        <w:t>tierras</w:t>
      </w:r>
      <w:r w:rsidRPr="00EC452A">
        <w:rPr>
          <w:rFonts w:ascii="Arial" w:eastAsia="Arial" w:hAnsi="Arial" w:cs="Arial"/>
          <w:spacing w:val="18"/>
          <w:sz w:val="22"/>
          <w:szCs w:val="22"/>
        </w:rPr>
        <w:t xml:space="preserve"> </w:t>
      </w:r>
      <w:r w:rsidRPr="00EC452A">
        <w:rPr>
          <w:rFonts w:ascii="Arial" w:eastAsia="Arial" w:hAnsi="Arial" w:cs="Arial"/>
          <w:sz w:val="22"/>
          <w:szCs w:val="22"/>
        </w:rPr>
        <w:t>ociosas</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sz w:val="22"/>
          <w:szCs w:val="22"/>
        </w:rPr>
        <w:t>infractor</w:t>
      </w:r>
      <w:r w:rsidRPr="00EC452A">
        <w:rPr>
          <w:rFonts w:ascii="Arial" w:eastAsia="Arial" w:hAnsi="Arial" w:cs="Arial"/>
          <w:spacing w:val="21"/>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hará</w:t>
      </w:r>
      <w:r w:rsidRPr="00EC452A">
        <w:rPr>
          <w:rFonts w:ascii="Arial" w:eastAsia="Arial" w:hAnsi="Arial" w:cs="Arial"/>
          <w:spacing w:val="15"/>
          <w:sz w:val="22"/>
          <w:szCs w:val="22"/>
        </w:rPr>
        <w:t xml:space="preserve"> </w:t>
      </w:r>
      <w:r w:rsidRPr="00EC452A">
        <w:rPr>
          <w:rFonts w:ascii="Arial" w:eastAsia="Arial" w:hAnsi="Arial" w:cs="Arial"/>
          <w:sz w:val="22"/>
          <w:szCs w:val="22"/>
        </w:rPr>
        <w:t>acreedor</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sanciones</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procedentes.</w:t>
      </w:r>
    </w:p>
    <w:p w14:paraId="3829CC5E"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w:t>
      </w:r>
    </w:p>
    <w:p w14:paraId="3691FFB3"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Declaratori</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Ociosidad</w:t>
      </w:r>
    </w:p>
    <w:p w14:paraId="1A0B4FC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145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entender</w:t>
      </w:r>
      <w:r w:rsidRPr="00EC452A">
        <w:rPr>
          <w:rFonts w:ascii="Arial" w:eastAsia="Arial" w:hAnsi="Arial" w:cs="Arial"/>
          <w:sz w:val="22"/>
          <w:szCs w:val="22"/>
        </w:rPr>
        <w:t xml:space="preserve">á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apto</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agrícol</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encuentran </w:t>
      </w:r>
      <w:r w:rsidRPr="00EC452A">
        <w:rPr>
          <w:rFonts w:ascii="Arial" w:eastAsia="Arial" w:hAnsi="Arial" w:cs="Arial"/>
          <w:sz w:val="22"/>
          <w:szCs w:val="22"/>
        </w:rPr>
        <w:t>sin</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explotación, </w:t>
      </w:r>
      <w:r w:rsidRPr="00EC452A">
        <w:rPr>
          <w:rFonts w:ascii="Arial" w:eastAsia="Arial" w:hAnsi="Arial" w:cs="Arial"/>
          <w:spacing w:val="8"/>
          <w:sz w:val="22"/>
          <w:szCs w:val="22"/>
        </w:rPr>
        <w:t xml:space="preserve"> </w:t>
      </w:r>
      <w:r w:rsidRPr="00EC452A">
        <w:rPr>
          <w:rFonts w:ascii="Arial" w:eastAsia="Arial" w:hAnsi="Arial" w:cs="Arial"/>
          <w:sz w:val="22"/>
          <w:szCs w:val="22"/>
        </w:rPr>
        <w:t>de</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acuerdo </w:t>
      </w:r>
      <w:r w:rsidRPr="00EC452A">
        <w:rPr>
          <w:rFonts w:ascii="Arial" w:eastAsia="Arial" w:hAnsi="Arial" w:cs="Arial"/>
          <w:spacing w:val="2"/>
          <w:sz w:val="22"/>
          <w:szCs w:val="22"/>
        </w:rPr>
        <w:t xml:space="preserve"> </w:t>
      </w:r>
      <w:r w:rsidRPr="00EC452A">
        <w:rPr>
          <w:rFonts w:ascii="Arial" w:eastAsia="Arial" w:hAnsi="Arial" w:cs="Arial"/>
          <w:sz w:val="22"/>
          <w:szCs w:val="22"/>
        </w:rPr>
        <w:t>con</w:t>
      </w:r>
      <w:r w:rsidRPr="00EC452A">
        <w:rPr>
          <w:rFonts w:ascii="Arial" w:eastAsia="Arial" w:hAnsi="Arial" w:cs="Arial"/>
          <w:spacing w:val="47"/>
          <w:sz w:val="22"/>
          <w:szCs w:val="22"/>
        </w:rPr>
        <w:t xml:space="preserve"> </w:t>
      </w:r>
      <w:r w:rsidRPr="00EC452A">
        <w:rPr>
          <w:rFonts w:ascii="Arial" w:eastAsia="Arial" w:hAnsi="Arial" w:cs="Arial"/>
          <w:sz w:val="22"/>
          <w:szCs w:val="22"/>
        </w:rPr>
        <w:t>las</w:t>
      </w:r>
      <w:r w:rsidRPr="00EC452A">
        <w:rPr>
          <w:rFonts w:ascii="Arial" w:eastAsia="Arial" w:hAnsi="Arial" w:cs="Arial"/>
          <w:spacing w:val="46"/>
          <w:sz w:val="22"/>
          <w:szCs w:val="22"/>
        </w:rPr>
        <w:t xml:space="preserve"> </w:t>
      </w:r>
      <w:r w:rsidRPr="00EC452A">
        <w:rPr>
          <w:rFonts w:ascii="Arial" w:eastAsia="Arial" w:hAnsi="Arial" w:cs="Arial"/>
          <w:sz w:val="22"/>
          <w:szCs w:val="22"/>
        </w:rPr>
        <w:t>fechas</w:t>
      </w:r>
      <w:r w:rsidRPr="00EC452A">
        <w:rPr>
          <w:rFonts w:ascii="Arial" w:eastAsia="Arial" w:hAnsi="Arial" w:cs="Arial"/>
          <w:spacing w:val="52"/>
          <w:sz w:val="22"/>
          <w:szCs w:val="22"/>
        </w:rPr>
        <w:t xml:space="preserve"> </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z w:val="22"/>
          <w:szCs w:val="22"/>
        </w:rPr>
        <w:t>que</w:t>
      </w:r>
      <w:r w:rsidRPr="00EC452A">
        <w:rPr>
          <w:rFonts w:ascii="Arial" w:eastAsia="Arial" w:hAnsi="Arial" w:cs="Arial"/>
          <w:spacing w:val="47"/>
          <w:sz w:val="22"/>
          <w:szCs w:val="22"/>
        </w:rPr>
        <w:t xml:space="preserve"> </w:t>
      </w:r>
      <w:r w:rsidRPr="00EC452A">
        <w:rPr>
          <w:rFonts w:ascii="Arial" w:eastAsia="Arial" w:hAnsi="Arial" w:cs="Arial"/>
          <w:sz w:val="22"/>
          <w:szCs w:val="22"/>
        </w:rPr>
        <w:t>se</w:t>
      </w:r>
      <w:r w:rsidRPr="00EC452A">
        <w:rPr>
          <w:rFonts w:ascii="Arial" w:eastAsia="Arial" w:hAnsi="Arial" w:cs="Arial"/>
          <w:spacing w:val="45"/>
          <w:sz w:val="22"/>
          <w:szCs w:val="22"/>
        </w:rPr>
        <w:t xml:space="preserve"> </w:t>
      </w:r>
      <w:r w:rsidRPr="00EC452A">
        <w:rPr>
          <w:rFonts w:ascii="Arial" w:eastAsia="Arial" w:hAnsi="Arial" w:cs="Arial"/>
          <w:sz w:val="22"/>
          <w:szCs w:val="22"/>
        </w:rPr>
        <w:t>refiere</w:t>
      </w:r>
      <w:r w:rsidRPr="00EC452A">
        <w:rPr>
          <w:rFonts w:ascii="Arial" w:eastAsia="Arial" w:hAnsi="Arial" w:cs="Arial"/>
          <w:spacing w:val="52"/>
          <w:sz w:val="22"/>
          <w:szCs w:val="22"/>
        </w:rPr>
        <w:t xml:space="preserve"> </w:t>
      </w:r>
      <w:r w:rsidRPr="00EC452A">
        <w:rPr>
          <w:rFonts w:ascii="Arial" w:eastAsia="Arial" w:hAnsi="Arial" w:cs="Arial"/>
          <w:sz w:val="22"/>
          <w:szCs w:val="22"/>
        </w:rPr>
        <w:t>el</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artículo  siguiente,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excepto </w:t>
      </w:r>
      <w:r w:rsidRPr="00EC452A">
        <w:rPr>
          <w:rFonts w:ascii="Arial" w:eastAsia="Arial" w:hAnsi="Arial" w:cs="Arial"/>
          <w:spacing w:val="1"/>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1"/>
          <w:sz w:val="22"/>
          <w:szCs w:val="22"/>
        </w:rPr>
        <w:t>terreno</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forestale</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dedicado</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ganadería</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cuand</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esté</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aprovechado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2"/>
          <w:w w:val="102"/>
          <w:sz w:val="22"/>
          <w:szCs w:val="22"/>
        </w:rPr>
        <w:t xml:space="preserve">usos </w:t>
      </w:r>
      <w:r w:rsidRPr="00EC452A">
        <w:rPr>
          <w:rFonts w:ascii="Arial" w:eastAsia="Arial" w:hAnsi="Arial" w:cs="Arial"/>
          <w:spacing w:val="-1"/>
          <w:sz w:val="22"/>
          <w:szCs w:val="22"/>
        </w:rPr>
        <w:t>agrícolas</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i</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destinado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autorizado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legalment</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preservació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faun</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silvestr</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fine</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ecológicos.</w:t>
      </w:r>
    </w:p>
    <w:p w14:paraId="3F00E97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146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legale</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correspondan</w:t>
      </w:r>
      <w:r w:rsidRPr="00EC452A">
        <w:rPr>
          <w:rFonts w:ascii="Arial" w:eastAsia="Arial" w:hAnsi="Arial" w:cs="Arial"/>
          <w:sz w:val="22"/>
          <w:szCs w:val="22"/>
        </w:rPr>
        <w:t xml:space="preserv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Secre</w:t>
      </w:r>
      <w:r w:rsidRPr="00EC452A">
        <w:rPr>
          <w:rFonts w:ascii="Arial" w:eastAsia="Arial" w:hAnsi="Arial" w:cs="Arial"/>
          <w:spacing w:val="-2"/>
          <w:sz w:val="22"/>
          <w:szCs w:val="22"/>
        </w:rPr>
        <w:t>tarí</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dar</w:t>
      </w:r>
      <w:r w:rsidRPr="00EC452A">
        <w:rPr>
          <w:rFonts w:ascii="Arial" w:eastAsia="Arial" w:hAnsi="Arial" w:cs="Arial"/>
          <w:sz w:val="22"/>
          <w:szCs w:val="22"/>
        </w:rPr>
        <w:t>á</w:t>
      </w:r>
      <w:r w:rsidRPr="00EC452A">
        <w:rPr>
          <w:rFonts w:ascii="Arial" w:eastAsia="Arial" w:hAnsi="Arial" w:cs="Arial"/>
          <w:spacing w:val="49"/>
          <w:sz w:val="22"/>
          <w:szCs w:val="22"/>
        </w:rPr>
        <w:t xml:space="preserve"> </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conoce</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 xml:space="preserve">las </w:t>
      </w:r>
      <w:r w:rsidRPr="00EC452A">
        <w:rPr>
          <w:rFonts w:ascii="Arial" w:eastAsia="Arial" w:hAnsi="Arial" w:cs="Arial"/>
          <w:spacing w:val="-1"/>
          <w:sz w:val="22"/>
          <w:szCs w:val="22"/>
        </w:rPr>
        <w:t>fecha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preparació</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siembr</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período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relativo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ciclos</w:t>
      </w:r>
      <w:r w:rsidRPr="00EC452A">
        <w:rPr>
          <w:rFonts w:ascii="Arial" w:eastAsia="Arial" w:hAnsi="Arial" w:cs="Arial"/>
          <w:sz w:val="22"/>
          <w:szCs w:val="22"/>
        </w:rPr>
        <w:t>,</w:t>
      </w:r>
      <w:r w:rsidRPr="00EC452A">
        <w:rPr>
          <w:rFonts w:ascii="Arial" w:eastAsia="Arial" w:hAnsi="Arial" w:cs="Arial"/>
          <w:spacing w:val="29"/>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travé</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un </w:t>
      </w:r>
      <w:r w:rsidRPr="00EC452A">
        <w:rPr>
          <w:rFonts w:ascii="Arial" w:eastAsia="Arial" w:hAnsi="Arial" w:cs="Arial"/>
          <w:spacing w:val="-1"/>
          <w:sz w:val="22"/>
          <w:szCs w:val="22"/>
        </w:rPr>
        <w:t>avis</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publicad</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periódico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mayo</w:t>
      </w:r>
      <w:r w:rsidRPr="00EC452A">
        <w:rPr>
          <w:rFonts w:ascii="Arial" w:eastAsia="Arial" w:hAnsi="Arial" w:cs="Arial"/>
          <w:sz w:val="22"/>
          <w:szCs w:val="22"/>
        </w:rPr>
        <w:t>r</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circulació</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capita</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Repúblic</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z w:val="22"/>
          <w:szCs w:val="22"/>
        </w:rPr>
        <w:t>y</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3"/>
          <w:sz w:val="22"/>
          <w:szCs w:val="22"/>
        </w:rPr>
        <w:t>entida</w:t>
      </w:r>
      <w:r w:rsidRPr="00EC452A">
        <w:rPr>
          <w:rFonts w:ascii="Arial" w:eastAsia="Arial" w:hAnsi="Arial" w:cs="Arial"/>
          <w:sz w:val="22"/>
          <w:szCs w:val="22"/>
        </w:rPr>
        <w:t>d</w:t>
      </w:r>
      <w:r w:rsidRPr="00EC452A">
        <w:rPr>
          <w:rFonts w:ascii="Arial" w:eastAsia="Arial" w:hAnsi="Arial" w:cs="Arial"/>
          <w:spacing w:val="47"/>
          <w:sz w:val="22"/>
          <w:szCs w:val="22"/>
        </w:rPr>
        <w:t xml:space="preserve"> </w:t>
      </w:r>
      <w:r w:rsidRPr="00EC452A">
        <w:rPr>
          <w:rFonts w:ascii="Arial" w:eastAsia="Arial" w:hAnsi="Arial" w:cs="Arial"/>
          <w:spacing w:val="-3"/>
          <w:sz w:val="22"/>
          <w:szCs w:val="22"/>
        </w:rPr>
        <w:t>federativ</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3"/>
          <w:sz w:val="22"/>
          <w:szCs w:val="22"/>
        </w:rPr>
        <w:t>correspondien</w:t>
      </w:r>
      <w:r w:rsidRPr="00EC452A">
        <w:rPr>
          <w:rFonts w:ascii="Arial" w:eastAsia="Arial" w:hAnsi="Arial" w:cs="Arial"/>
          <w:spacing w:val="12"/>
          <w:sz w:val="22"/>
          <w:szCs w:val="22"/>
        </w:rPr>
        <w:t>t</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z w:val="22"/>
          <w:szCs w:val="22"/>
        </w:rPr>
        <w:t>así</w:t>
      </w:r>
      <w:r w:rsidRPr="00EC452A">
        <w:rPr>
          <w:rFonts w:ascii="Arial" w:eastAsia="Arial" w:hAnsi="Arial" w:cs="Arial"/>
          <w:spacing w:val="31"/>
          <w:sz w:val="22"/>
          <w:szCs w:val="22"/>
        </w:rPr>
        <w:t xml:space="preserve"> </w:t>
      </w:r>
      <w:r w:rsidRPr="00EC452A">
        <w:rPr>
          <w:rFonts w:ascii="Arial" w:eastAsia="Arial" w:hAnsi="Arial" w:cs="Arial"/>
          <w:sz w:val="22"/>
          <w:szCs w:val="22"/>
        </w:rPr>
        <w:t>como</w:t>
      </w:r>
      <w:r w:rsidRPr="00EC452A">
        <w:rPr>
          <w:rFonts w:ascii="Arial" w:eastAsia="Arial" w:hAnsi="Arial" w:cs="Arial"/>
          <w:spacing w:val="35"/>
          <w:sz w:val="22"/>
          <w:szCs w:val="22"/>
        </w:rPr>
        <w:t xml:space="preserve"> </w:t>
      </w:r>
      <w:r w:rsidRPr="00EC452A">
        <w:rPr>
          <w:rFonts w:ascii="Arial" w:eastAsia="Arial" w:hAnsi="Arial" w:cs="Arial"/>
          <w:sz w:val="22"/>
          <w:szCs w:val="22"/>
        </w:rPr>
        <w:t>en</w:t>
      </w:r>
      <w:r w:rsidRPr="00EC452A">
        <w:rPr>
          <w:rFonts w:ascii="Arial" w:eastAsia="Arial" w:hAnsi="Arial" w:cs="Arial"/>
          <w:spacing w:val="30"/>
          <w:sz w:val="22"/>
          <w:szCs w:val="22"/>
        </w:rPr>
        <w:t xml:space="preserve"> </w:t>
      </w:r>
      <w:r w:rsidRPr="00EC452A">
        <w:rPr>
          <w:rFonts w:ascii="Arial" w:eastAsia="Arial" w:hAnsi="Arial" w:cs="Arial"/>
          <w:sz w:val="22"/>
          <w:szCs w:val="22"/>
        </w:rPr>
        <w:t>los</w:t>
      </w:r>
      <w:r w:rsidRPr="00EC452A">
        <w:rPr>
          <w:rFonts w:ascii="Arial" w:eastAsia="Arial" w:hAnsi="Arial" w:cs="Arial"/>
          <w:spacing w:val="31"/>
          <w:sz w:val="22"/>
          <w:szCs w:val="22"/>
        </w:rPr>
        <w:t xml:space="preserve"> </w:t>
      </w:r>
      <w:r w:rsidRPr="00EC452A">
        <w:rPr>
          <w:rFonts w:ascii="Arial" w:eastAsia="Arial" w:hAnsi="Arial" w:cs="Arial"/>
          <w:sz w:val="22"/>
          <w:szCs w:val="22"/>
        </w:rPr>
        <w:t>tableros</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30"/>
          <w:sz w:val="22"/>
          <w:szCs w:val="22"/>
        </w:rPr>
        <w:t xml:space="preserve"> </w:t>
      </w:r>
      <w:r w:rsidRPr="00EC452A">
        <w:rPr>
          <w:rFonts w:ascii="Arial" w:eastAsia="Arial" w:hAnsi="Arial" w:cs="Arial"/>
          <w:sz w:val="22"/>
          <w:szCs w:val="22"/>
        </w:rPr>
        <w:t>los</w:t>
      </w:r>
      <w:r w:rsidRPr="00EC452A">
        <w:rPr>
          <w:rFonts w:ascii="Arial" w:eastAsia="Arial" w:hAnsi="Arial" w:cs="Arial"/>
          <w:spacing w:val="31"/>
          <w:sz w:val="22"/>
          <w:szCs w:val="22"/>
        </w:rPr>
        <w:t xml:space="preserve"> </w:t>
      </w:r>
      <w:r w:rsidRPr="00EC452A">
        <w:rPr>
          <w:rFonts w:ascii="Arial" w:eastAsia="Arial" w:hAnsi="Arial" w:cs="Arial"/>
          <w:sz w:val="22"/>
          <w:szCs w:val="22"/>
        </w:rPr>
        <w:t>Ayuntamientos</w:t>
      </w:r>
      <w:r w:rsidRPr="00EC452A">
        <w:rPr>
          <w:rFonts w:ascii="Arial" w:eastAsia="Arial" w:hAnsi="Arial" w:cs="Arial"/>
          <w:spacing w:val="51"/>
          <w:sz w:val="22"/>
          <w:szCs w:val="22"/>
        </w:rPr>
        <w:t xml:space="preserve"> </w:t>
      </w:r>
      <w:r w:rsidRPr="00EC452A">
        <w:rPr>
          <w:rFonts w:ascii="Arial" w:eastAsia="Arial" w:hAnsi="Arial" w:cs="Arial"/>
          <w:sz w:val="22"/>
          <w:szCs w:val="22"/>
        </w:rPr>
        <w:t>del</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lugar. </w:t>
      </w:r>
      <w:r w:rsidRPr="00EC452A">
        <w:rPr>
          <w:rFonts w:ascii="Arial" w:eastAsia="Arial" w:hAnsi="Arial" w:cs="Arial"/>
          <w:spacing w:val="-2"/>
          <w:sz w:val="22"/>
          <w:szCs w:val="22"/>
        </w:rPr>
        <w:t>Dicho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aviso</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deberá</w:t>
      </w:r>
      <w:r w:rsidRPr="00EC452A">
        <w:rPr>
          <w:rFonts w:ascii="Arial" w:eastAsia="Arial" w:hAnsi="Arial" w:cs="Arial"/>
          <w:sz w:val="22"/>
          <w:szCs w:val="22"/>
        </w:rPr>
        <w:t xml:space="preserve">n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aparece</w:t>
      </w:r>
      <w:r w:rsidRPr="00EC452A">
        <w:rPr>
          <w:rFonts w:ascii="Arial" w:eastAsia="Arial" w:hAnsi="Arial" w:cs="Arial"/>
          <w:sz w:val="22"/>
          <w:szCs w:val="22"/>
        </w:rPr>
        <w:t xml:space="preserve">r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anticipació</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mínim</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2</w:t>
      </w:r>
      <w:r w:rsidRPr="00EC452A">
        <w:rPr>
          <w:rFonts w:ascii="Arial" w:eastAsia="Arial" w:hAnsi="Arial" w:cs="Arial"/>
          <w:sz w:val="22"/>
          <w:szCs w:val="22"/>
        </w:rPr>
        <w:t xml:space="preserve">0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día</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fech</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pacing w:val="-1"/>
          <w:sz w:val="22"/>
          <w:szCs w:val="22"/>
        </w:rPr>
        <w:t>preparació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siembra.</w:t>
      </w:r>
    </w:p>
    <w:p w14:paraId="2108BE4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147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causa</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fuerz</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mayo</w:t>
      </w:r>
      <w:r w:rsidRPr="00EC452A">
        <w:rPr>
          <w:rFonts w:ascii="Arial" w:eastAsia="Arial" w:hAnsi="Arial" w:cs="Arial"/>
          <w:sz w:val="22"/>
          <w:szCs w:val="22"/>
        </w:rPr>
        <w:t xml:space="preserve">r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carácte</w:t>
      </w:r>
      <w:r w:rsidRPr="00EC452A">
        <w:rPr>
          <w:rFonts w:ascii="Arial" w:eastAsia="Arial" w:hAnsi="Arial" w:cs="Arial"/>
          <w:sz w:val="22"/>
          <w:szCs w:val="22"/>
        </w:rPr>
        <w:t xml:space="preserve">r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transitori</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puede</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1"/>
          <w:w w:val="102"/>
          <w:sz w:val="22"/>
          <w:szCs w:val="22"/>
        </w:rPr>
        <w:t xml:space="preserve">impedir </w:t>
      </w:r>
      <w:r w:rsidRPr="00EC452A">
        <w:rPr>
          <w:rFonts w:ascii="Arial" w:eastAsia="Arial" w:hAnsi="Arial" w:cs="Arial"/>
          <w:spacing w:val="2"/>
          <w:sz w:val="22"/>
          <w:szCs w:val="22"/>
        </w:rPr>
        <w:t>j</w:t>
      </w:r>
      <w:r w:rsidRPr="00EC452A">
        <w:rPr>
          <w:rFonts w:ascii="Arial" w:eastAsia="Arial" w:hAnsi="Arial" w:cs="Arial"/>
          <w:spacing w:val="-1"/>
          <w:sz w:val="22"/>
          <w:szCs w:val="22"/>
        </w:rPr>
        <w:t>ustificadament</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terren</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z w:val="22"/>
          <w:szCs w:val="22"/>
        </w:rPr>
        <w:t>y</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calificar</w:t>
      </w:r>
      <w:r w:rsidRPr="00EC452A">
        <w:rPr>
          <w:rFonts w:ascii="Arial" w:eastAsia="Arial" w:hAnsi="Arial" w:cs="Arial"/>
          <w:sz w:val="22"/>
          <w:szCs w:val="22"/>
        </w:rPr>
        <w:t xml:space="preserve">á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consistirá</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z w:val="22"/>
          <w:szCs w:val="22"/>
        </w:rPr>
        <w:t>rotación</w:t>
      </w:r>
      <w:r w:rsidRPr="00EC452A">
        <w:rPr>
          <w:rFonts w:ascii="Arial" w:eastAsia="Arial" w:hAnsi="Arial" w:cs="Arial"/>
          <w:spacing w:val="36"/>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cultivos,</w:t>
      </w:r>
      <w:r w:rsidRPr="00EC452A">
        <w:rPr>
          <w:rFonts w:ascii="Arial" w:eastAsia="Arial" w:hAnsi="Arial" w:cs="Arial"/>
          <w:spacing w:val="36"/>
          <w:sz w:val="22"/>
          <w:szCs w:val="22"/>
        </w:rPr>
        <w:t xml:space="preserve"> </w:t>
      </w:r>
      <w:r w:rsidRPr="00EC452A">
        <w:rPr>
          <w:rFonts w:ascii="Arial" w:eastAsia="Arial" w:hAnsi="Arial" w:cs="Arial"/>
          <w:sz w:val="22"/>
          <w:szCs w:val="22"/>
        </w:rPr>
        <w:t>la</w:t>
      </w:r>
      <w:r w:rsidRPr="00EC452A">
        <w:rPr>
          <w:rFonts w:ascii="Arial" w:eastAsia="Arial" w:hAnsi="Arial" w:cs="Arial"/>
          <w:spacing w:val="25"/>
          <w:sz w:val="22"/>
          <w:szCs w:val="22"/>
        </w:rPr>
        <w:t xml:space="preserve"> </w:t>
      </w:r>
      <w:r w:rsidRPr="00EC452A">
        <w:rPr>
          <w:rFonts w:ascii="Arial" w:eastAsia="Arial" w:hAnsi="Arial" w:cs="Arial"/>
          <w:sz w:val="22"/>
          <w:szCs w:val="22"/>
        </w:rPr>
        <w:t>regeneración</w:t>
      </w:r>
      <w:r w:rsidRPr="00EC452A">
        <w:rPr>
          <w:rFonts w:ascii="Arial" w:eastAsia="Arial" w:hAnsi="Arial" w:cs="Arial"/>
          <w:spacing w:val="44"/>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suelos,</w:t>
      </w:r>
      <w:r w:rsidRPr="00EC452A">
        <w:rPr>
          <w:rFonts w:ascii="Arial" w:eastAsia="Arial" w:hAnsi="Arial" w:cs="Arial"/>
          <w:spacing w:val="34"/>
          <w:sz w:val="22"/>
          <w:szCs w:val="22"/>
        </w:rPr>
        <w:t xml:space="preserve"> </w:t>
      </w:r>
      <w:r w:rsidRPr="00EC452A">
        <w:rPr>
          <w:rFonts w:ascii="Arial" w:eastAsia="Arial" w:hAnsi="Arial" w:cs="Arial"/>
          <w:sz w:val="22"/>
          <w:szCs w:val="22"/>
        </w:rPr>
        <w:t>la</w:t>
      </w:r>
      <w:r w:rsidRPr="00EC452A">
        <w:rPr>
          <w:rFonts w:ascii="Arial" w:eastAsia="Arial" w:hAnsi="Arial" w:cs="Arial"/>
          <w:spacing w:val="25"/>
          <w:sz w:val="22"/>
          <w:szCs w:val="22"/>
        </w:rPr>
        <w:t xml:space="preserve"> </w:t>
      </w:r>
      <w:r w:rsidRPr="00EC452A">
        <w:rPr>
          <w:rFonts w:ascii="Arial" w:eastAsia="Arial" w:hAnsi="Arial" w:cs="Arial"/>
          <w:sz w:val="22"/>
          <w:szCs w:val="22"/>
        </w:rPr>
        <w:t>existencia</w:t>
      </w:r>
      <w:r w:rsidRPr="00EC452A">
        <w:rPr>
          <w:rFonts w:ascii="Arial" w:eastAsia="Arial" w:hAnsi="Arial" w:cs="Arial"/>
          <w:spacing w:val="39"/>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plagas</w:t>
      </w:r>
      <w:r w:rsidRPr="00EC452A">
        <w:rPr>
          <w:rFonts w:ascii="Arial" w:eastAsia="Arial" w:hAnsi="Arial" w:cs="Arial"/>
          <w:spacing w:val="33"/>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z w:val="22"/>
          <w:szCs w:val="22"/>
        </w:rPr>
        <w:t>las</w:t>
      </w:r>
      <w:r w:rsidRPr="00EC452A">
        <w:rPr>
          <w:rFonts w:ascii="Arial" w:eastAsia="Arial" w:hAnsi="Arial" w:cs="Arial"/>
          <w:spacing w:val="27"/>
          <w:sz w:val="22"/>
          <w:szCs w:val="22"/>
        </w:rPr>
        <w:t xml:space="preserve"> </w:t>
      </w:r>
      <w:r w:rsidRPr="00EC452A">
        <w:rPr>
          <w:rFonts w:ascii="Arial" w:eastAsia="Arial" w:hAnsi="Arial" w:cs="Arial"/>
          <w:sz w:val="22"/>
          <w:szCs w:val="22"/>
        </w:rPr>
        <w:t>demás</w:t>
      </w:r>
      <w:r w:rsidRPr="00EC452A">
        <w:rPr>
          <w:rFonts w:ascii="Arial" w:eastAsia="Arial" w:hAnsi="Arial" w:cs="Arial"/>
          <w:spacing w:val="33"/>
          <w:sz w:val="22"/>
          <w:szCs w:val="22"/>
        </w:rPr>
        <w:t xml:space="preserve"> </w:t>
      </w:r>
      <w:r w:rsidRPr="00EC452A">
        <w:rPr>
          <w:rFonts w:ascii="Arial" w:eastAsia="Arial" w:hAnsi="Arial" w:cs="Arial"/>
          <w:w w:val="102"/>
          <w:sz w:val="22"/>
          <w:szCs w:val="22"/>
        </w:rPr>
        <w:t xml:space="preserve">imprevistas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supervenientes</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juici</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propi</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w w:val="102"/>
          <w:sz w:val="22"/>
          <w:szCs w:val="22"/>
        </w:rPr>
        <w:t>Secretaría.</w:t>
      </w:r>
    </w:p>
    <w:p w14:paraId="6778EAB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14</w:t>
      </w:r>
      <w:r w:rsidRPr="00EC452A">
        <w:rPr>
          <w:rFonts w:ascii="Arial" w:eastAsia="Arial" w:hAnsi="Arial" w:cs="Arial"/>
          <w:spacing w:val="-6"/>
          <w:sz w:val="22"/>
          <w:szCs w:val="22"/>
        </w:rPr>
        <w:t>8</w:t>
      </w:r>
      <w:r w:rsidRPr="00EC452A">
        <w:rPr>
          <w:rFonts w:ascii="Arial" w:eastAsia="Arial" w:hAnsi="Arial" w:cs="Arial"/>
          <w:spacing w:val="9"/>
          <w:sz w:val="22"/>
          <w:szCs w:val="22"/>
        </w:rPr>
        <w:t>.</w:t>
      </w:r>
      <w:r w:rsidRPr="00EC452A">
        <w:rPr>
          <w:rFonts w:ascii="Arial" w:eastAsia="Arial" w:hAnsi="Arial" w:cs="Arial"/>
          <w:sz w:val="22"/>
          <w:szCs w:val="22"/>
        </w:rPr>
        <w:t>-</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Correspond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determina</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administrativament</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garantía</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ofrezca</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terren</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so</w:t>
      </w:r>
      <w:r w:rsidRPr="00EC452A">
        <w:rPr>
          <w:rFonts w:ascii="Arial" w:eastAsia="Arial" w:hAnsi="Arial" w:cs="Arial"/>
          <w:sz w:val="22"/>
          <w:szCs w:val="22"/>
        </w:rPr>
        <w:t>n</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suficiente</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suspende</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procedimient</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declaratori</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ociosidad.</w:t>
      </w:r>
    </w:p>
    <w:p w14:paraId="24D1FD9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En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caso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proceda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suspensión,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 xml:space="preserve">d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 xml:space="preserve">5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 xml:space="preserve">, </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indicar</w:t>
      </w:r>
      <w:r w:rsidRPr="00EC452A">
        <w:rPr>
          <w:rFonts w:ascii="Arial" w:eastAsia="Arial" w:hAnsi="Arial" w:cs="Arial"/>
          <w:sz w:val="22"/>
          <w:szCs w:val="22"/>
        </w:rPr>
        <w:t>á</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iniciars</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ciclo </w:t>
      </w:r>
      <w:r w:rsidRPr="00EC452A">
        <w:rPr>
          <w:rFonts w:ascii="Arial" w:eastAsia="Arial" w:hAnsi="Arial" w:cs="Arial"/>
          <w:spacing w:val="-1"/>
          <w:sz w:val="22"/>
          <w:szCs w:val="22"/>
        </w:rPr>
        <w:t>productivo</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cua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notificar</w:t>
      </w:r>
      <w:r w:rsidRPr="00EC452A">
        <w:rPr>
          <w:rFonts w:ascii="Arial" w:eastAsia="Arial" w:hAnsi="Arial" w:cs="Arial"/>
          <w:sz w:val="22"/>
          <w:szCs w:val="22"/>
        </w:rPr>
        <w:t>á</w:t>
      </w:r>
      <w:r w:rsidRPr="00EC452A">
        <w:rPr>
          <w:rFonts w:ascii="Arial" w:eastAsia="Arial" w:hAnsi="Arial" w:cs="Arial"/>
          <w:spacing w:val="21"/>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interesado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personalment</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corre</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certificado.</w:t>
      </w:r>
    </w:p>
    <w:p w14:paraId="26F9AAA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entiend</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58"/>
          <w:sz w:val="22"/>
          <w:szCs w:val="22"/>
        </w:rPr>
        <w:t>h</w:t>
      </w:r>
      <w:r w:rsidRPr="00EC452A">
        <w:rPr>
          <w:rFonts w:ascii="Arial" w:eastAsia="Arial" w:hAnsi="Arial" w:cs="Arial"/>
          <w:sz w:val="22"/>
          <w:szCs w:val="22"/>
        </w:rPr>
        <w:t xml:space="preserve">ay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incumplimiento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efectos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del  artículo </w:t>
      </w:r>
      <w:r w:rsidRPr="00EC452A">
        <w:rPr>
          <w:rFonts w:ascii="Arial" w:eastAsia="Arial" w:hAnsi="Arial" w:cs="Arial"/>
          <w:spacing w:val="7"/>
          <w:sz w:val="22"/>
          <w:szCs w:val="22"/>
        </w:rPr>
        <w:t xml:space="preserve"> </w:t>
      </w:r>
      <w:r w:rsidRPr="00EC452A">
        <w:rPr>
          <w:rFonts w:ascii="Arial" w:eastAsia="Arial" w:hAnsi="Arial" w:cs="Arial"/>
          <w:sz w:val="22"/>
          <w:szCs w:val="22"/>
        </w:rPr>
        <w:t>75</w:t>
      </w:r>
      <w:r w:rsidRPr="00EC452A">
        <w:rPr>
          <w:rFonts w:ascii="Arial" w:eastAsia="Arial" w:hAnsi="Arial" w:cs="Arial"/>
          <w:spacing w:val="52"/>
          <w:sz w:val="22"/>
          <w:szCs w:val="22"/>
        </w:rPr>
        <w:t xml:space="preserve"> </w:t>
      </w:r>
      <w:r w:rsidRPr="00EC452A">
        <w:rPr>
          <w:rFonts w:ascii="Arial" w:eastAsia="Arial" w:hAnsi="Arial" w:cs="Arial"/>
          <w:sz w:val="22"/>
          <w:szCs w:val="22"/>
        </w:rPr>
        <w:t>de</w:t>
      </w:r>
      <w:r w:rsidRPr="00EC452A">
        <w:rPr>
          <w:rFonts w:ascii="Arial" w:eastAsia="Arial" w:hAnsi="Arial" w:cs="Arial"/>
          <w:spacing w:val="52"/>
          <w:sz w:val="22"/>
          <w:szCs w:val="22"/>
        </w:rPr>
        <w:t xml:space="preserve"> </w:t>
      </w:r>
      <w:r w:rsidRPr="00EC452A">
        <w:rPr>
          <w:rFonts w:ascii="Arial" w:eastAsia="Arial" w:hAnsi="Arial" w:cs="Arial"/>
          <w:sz w:val="22"/>
          <w:szCs w:val="22"/>
        </w:rPr>
        <w:t>la</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Ley, </w:t>
      </w:r>
      <w:r w:rsidRPr="00EC452A">
        <w:rPr>
          <w:rFonts w:ascii="Arial" w:eastAsia="Arial" w:hAnsi="Arial" w:cs="Arial"/>
          <w:spacing w:val="2"/>
          <w:sz w:val="22"/>
          <w:szCs w:val="22"/>
        </w:rPr>
        <w:t xml:space="preserve"> </w:t>
      </w:r>
      <w:r w:rsidRPr="00EC452A">
        <w:rPr>
          <w:rFonts w:ascii="Arial" w:eastAsia="Arial" w:hAnsi="Arial" w:cs="Arial"/>
          <w:sz w:val="22"/>
          <w:szCs w:val="22"/>
        </w:rPr>
        <w:t>si</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transcurre </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el </w:t>
      </w:r>
      <w:r w:rsidRPr="00EC452A">
        <w:rPr>
          <w:rFonts w:ascii="Arial" w:eastAsia="Arial" w:hAnsi="Arial" w:cs="Arial"/>
          <w:spacing w:val="-1"/>
          <w:sz w:val="22"/>
          <w:szCs w:val="22"/>
        </w:rPr>
        <w:t>términ</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ante</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indicad</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lleve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cab</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todas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necesaria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mismas.</w:t>
      </w:r>
    </w:p>
    <w:p w14:paraId="531374C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149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Secret</w:t>
      </w:r>
      <w:r w:rsidRPr="00EC452A">
        <w:rPr>
          <w:rFonts w:ascii="Arial" w:eastAsia="Arial" w:hAnsi="Arial" w:cs="Arial"/>
          <w:spacing w:val="-14"/>
          <w:sz w:val="22"/>
          <w:szCs w:val="22"/>
        </w:rPr>
        <w:t>a</w:t>
      </w:r>
      <w:r w:rsidRPr="00EC452A">
        <w:rPr>
          <w:rFonts w:ascii="Arial" w:eastAsia="Arial" w:hAnsi="Arial" w:cs="Arial"/>
          <w:spacing w:val="-1"/>
          <w:sz w:val="22"/>
          <w:szCs w:val="22"/>
        </w:rPr>
        <w:t>ri</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citar</w:t>
      </w:r>
      <w:r w:rsidRPr="00EC452A">
        <w:rPr>
          <w:rFonts w:ascii="Arial" w:eastAsia="Arial" w:hAnsi="Arial" w:cs="Arial"/>
          <w:sz w:val="22"/>
          <w:szCs w:val="22"/>
        </w:rPr>
        <w:t xml:space="preserve">á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personalment</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para </w:t>
      </w:r>
      <w:r w:rsidRPr="00EC452A">
        <w:rPr>
          <w:rFonts w:ascii="Arial" w:eastAsia="Arial" w:hAnsi="Arial" w:cs="Arial"/>
          <w:sz w:val="22"/>
          <w:szCs w:val="22"/>
        </w:rPr>
        <w:t>determinar</w:t>
      </w:r>
      <w:r w:rsidRPr="00EC452A">
        <w:rPr>
          <w:rFonts w:ascii="Arial" w:eastAsia="Arial" w:hAnsi="Arial" w:cs="Arial"/>
          <w:spacing w:val="39"/>
          <w:sz w:val="22"/>
          <w:szCs w:val="22"/>
        </w:rPr>
        <w:t xml:space="preserve"> </w:t>
      </w:r>
      <w:r w:rsidRPr="00EC452A">
        <w:rPr>
          <w:rFonts w:ascii="Arial" w:eastAsia="Arial" w:hAnsi="Arial" w:cs="Arial"/>
          <w:sz w:val="22"/>
          <w:szCs w:val="22"/>
        </w:rPr>
        <w:t>en</w:t>
      </w:r>
      <w:r w:rsidRPr="00EC452A">
        <w:rPr>
          <w:rFonts w:ascii="Arial" w:eastAsia="Arial" w:hAnsi="Arial" w:cs="Arial"/>
          <w:spacing w:val="25"/>
          <w:sz w:val="22"/>
          <w:szCs w:val="22"/>
        </w:rPr>
        <w:t xml:space="preserve"> </w:t>
      </w:r>
      <w:r w:rsidRPr="00EC452A">
        <w:rPr>
          <w:rFonts w:ascii="Arial" w:eastAsia="Arial" w:hAnsi="Arial" w:cs="Arial"/>
          <w:sz w:val="22"/>
          <w:szCs w:val="22"/>
        </w:rPr>
        <w:t>el</w:t>
      </w:r>
      <w:r w:rsidRPr="00EC452A">
        <w:rPr>
          <w:rFonts w:ascii="Arial" w:eastAsia="Arial" w:hAnsi="Arial" w:cs="Arial"/>
          <w:spacing w:val="24"/>
          <w:sz w:val="22"/>
          <w:szCs w:val="22"/>
        </w:rPr>
        <w:t xml:space="preserve"> </w:t>
      </w:r>
      <w:r w:rsidRPr="00EC452A">
        <w:rPr>
          <w:rFonts w:ascii="Arial" w:eastAsia="Arial" w:hAnsi="Arial" w:cs="Arial"/>
          <w:sz w:val="22"/>
          <w:szCs w:val="22"/>
        </w:rPr>
        <w:t>terreno</w:t>
      </w:r>
      <w:r w:rsidRPr="00EC452A">
        <w:rPr>
          <w:rFonts w:ascii="Arial" w:eastAsia="Arial" w:hAnsi="Arial" w:cs="Arial"/>
          <w:spacing w:val="33"/>
          <w:sz w:val="22"/>
          <w:szCs w:val="22"/>
        </w:rPr>
        <w:t xml:space="preserve"> </w:t>
      </w:r>
      <w:r w:rsidRPr="00EC452A">
        <w:rPr>
          <w:rFonts w:ascii="Arial" w:eastAsia="Arial" w:hAnsi="Arial" w:cs="Arial"/>
          <w:sz w:val="22"/>
          <w:szCs w:val="22"/>
        </w:rPr>
        <w:t>mismo,</w:t>
      </w:r>
      <w:r w:rsidRPr="00EC452A">
        <w:rPr>
          <w:rFonts w:ascii="Arial" w:eastAsia="Arial" w:hAnsi="Arial" w:cs="Arial"/>
          <w:spacing w:val="33"/>
          <w:sz w:val="22"/>
          <w:szCs w:val="22"/>
        </w:rPr>
        <w:t xml:space="preserve"> </w:t>
      </w:r>
      <w:r w:rsidRPr="00EC452A">
        <w:rPr>
          <w:rFonts w:ascii="Arial" w:eastAsia="Arial" w:hAnsi="Arial" w:cs="Arial"/>
          <w:sz w:val="22"/>
          <w:szCs w:val="22"/>
        </w:rPr>
        <w:t>la</w:t>
      </w:r>
      <w:r w:rsidRPr="00EC452A">
        <w:rPr>
          <w:rFonts w:ascii="Arial" w:eastAsia="Arial" w:hAnsi="Arial" w:cs="Arial"/>
          <w:spacing w:val="24"/>
          <w:sz w:val="22"/>
          <w:szCs w:val="22"/>
        </w:rPr>
        <w:t xml:space="preserve"> </w:t>
      </w:r>
      <w:r w:rsidRPr="00EC452A">
        <w:rPr>
          <w:rFonts w:ascii="Arial" w:eastAsia="Arial" w:hAnsi="Arial" w:cs="Arial"/>
          <w:sz w:val="22"/>
          <w:szCs w:val="22"/>
        </w:rPr>
        <w:t>existencia</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tierras</w:t>
      </w:r>
      <w:r w:rsidRPr="00EC452A">
        <w:rPr>
          <w:rFonts w:ascii="Arial" w:eastAsia="Arial" w:hAnsi="Arial" w:cs="Arial"/>
          <w:spacing w:val="32"/>
          <w:sz w:val="22"/>
          <w:szCs w:val="22"/>
        </w:rPr>
        <w:t xml:space="preserve"> </w:t>
      </w:r>
      <w:r w:rsidRPr="00EC452A">
        <w:rPr>
          <w:rFonts w:ascii="Arial" w:eastAsia="Arial" w:hAnsi="Arial" w:cs="Arial"/>
          <w:sz w:val="22"/>
          <w:szCs w:val="22"/>
        </w:rPr>
        <w:t>ociosas</w:t>
      </w:r>
      <w:r w:rsidRPr="00EC452A">
        <w:rPr>
          <w:rFonts w:ascii="Arial" w:eastAsia="Arial" w:hAnsi="Arial" w:cs="Arial"/>
          <w:spacing w:val="34"/>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z w:val="22"/>
          <w:szCs w:val="22"/>
        </w:rPr>
        <w:t>las</w:t>
      </w:r>
      <w:r w:rsidRPr="00EC452A">
        <w:rPr>
          <w:rFonts w:ascii="Arial" w:eastAsia="Arial" w:hAnsi="Arial" w:cs="Arial"/>
          <w:spacing w:val="26"/>
          <w:sz w:val="22"/>
          <w:szCs w:val="22"/>
        </w:rPr>
        <w:t xml:space="preserve"> </w:t>
      </w:r>
      <w:r w:rsidRPr="00EC452A">
        <w:rPr>
          <w:rFonts w:ascii="Arial" w:eastAsia="Arial" w:hAnsi="Arial" w:cs="Arial"/>
          <w:sz w:val="22"/>
          <w:szCs w:val="22"/>
        </w:rPr>
        <w:t>circunstancias</w:t>
      </w:r>
      <w:r w:rsidRPr="00EC452A">
        <w:rPr>
          <w:rFonts w:ascii="Arial" w:eastAsia="Arial" w:hAnsi="Arial" w:cs="Arial"/>
          <w:spacing w:val="45"/>
          <w:sz w:val="22"/>
          <w:szCs w:val="22"/>
        </w:rPr>
        <w:t xml:space="preserve"> </w:t>
      </w:r>
      <w:r w:rsidRPr="00EC452A">
        <w:rPr>
          <w:rFonts w:ascii="Arial" w:eastAsia="Arial" w:hAnsi="Arial" w:cs="Arial"/>
          <w:sz w:val="22"/>
          <w:szCs w:val="22"/>
        </w:rPr>
        <w:t>que</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 xml:space="preserve">hagan </w:t>
      </w:r>
      <w:r w:rsidRPr="00EC452A">
        <w:rPr>
          <w:rFonts w:ascii="Arial" w:eastAsia="Arial" w:hAnsi="Arial" w:cs="Arial"/>
          <w:spacing w:val="-1"/>
          <w:sz w:val="22"/>
          <w:szCs w:val="22"/>
        </w:rPr>
        <w:t>presumi</w:t>
      </w:r>
      <w:r w:rsidRPr="00EC452A">
        <w:rPr>
          <w:rFonts w:ascii="Arial" w:eastAsia="Arial" w:hAnsi="Arial" w:cs="Arial"/>
          <w:sz w:val="22"/>
          <w:szCs w:val="22"/>
        </w:rPr>
        <w:t>r</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falt</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explotación</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observándos</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siguiente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reglas:</w:t>
      </w:r>
    </w:p>
    <w:p w14:paraId="2C738FB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levantar</w:t>
      </w:r>
      <w:r w:rsidRPr="00EC452A">
        <w:rPr>
          <w:rFonts w:ascii="Arial" w:eastAsia="Arial" w:hAnsi="Arial" w:cs="Arial"/>
          <w:sz w:val="22"/>
          <w:szCs w:val="22"/>
        </w:rPr>
        <w:t>á</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act</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dic</w:t>
      </w:r>
      <w:r w:rsidRPr="00EC452A">
        <w:rPr>
          <w:rFonts w:ascii="Arial" w:eastAsia="Arial" w:hAnsi="Arial" w:cs="Arial"/>
          <w:spacing w:val="-1"/>
          <w:sz w:val="22"/>
          <w:szCs w:val="22"/>
        </w:rPr>
        <w:t>ha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circunstancia</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entregándos</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propietari</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poseedo</w:t>
      </w:r>
      <w:r w:rsidRPr="00EC452A">
        <w:rPr>
          <w:rFonts w:ascii="Arial" w:eastAsia="Arial" w:hAnsi="Arial" w:cs="Arial"/>
          <w:sz w:val="22"/>
          <w:szCs w:val="22"/>
        </w:rPr>
        <w:t>r</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copia </w:t>
      </w:r>
      <w:r w:rsidRPr="00EC452A">
        <w:rPr>
          <w:rFonts w:ascii="Arial" w:eastAsia="Arial" w:hAnsi="Arial" w:cs="Arial"/>
          <w:sz w:val="22"/>
          <w:szCs w:val="22"/>
        </w:rPr>
        <w:t>firmada</w:t>
      </w:r>
      <w:r w:rsidRPr="00EC452A">
        <w:rPr>
          <w:rFonts w:ascii="Arial" w:eastAsia="Arial" w:hAnsi="Arial" w:cs="Arial"/>
          <w:spacing w:val="20"/>
          <w:sz w:val="22"/>
          <w:szCs w:val="22"/>
        </w:rPr>
        <w:t xml:space="preserve"> </w:t>
      </w:r>
      <w:r w:rsidRPr="00EC452A">
        <w:rPr>
          <w:rFonts w:ascii="Arial" w:eastAsia="Arial" w:hAnsi="Arial" w:cs="Arial"/>
          <w:sz w:val="22"/>
          <w:szCs w:val="22"/>
        </w:rPr>
        <w:t>por</w:t>
      </w:r>
      <w:r w:rsidRPr="00EC452A">
        <w:rPr>
          <w:rFonts w:ascii="Arial" w:eastAsia="Arial" w:hAnsi="Arial" w:cs="Arial"/>
          <w:spacing w:val="12"/>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sz w:val="22"/>
          <w:szCs w:val="22"/>
        </w:rPr>
        <w:t>actuante</w:t>
      </w:r>
      <w:r w:rsidRPr="00EC452A">
        <w:rPr>
          <w:rFonts w:ascii="Arial" w:eastAsia="Arial" w:hAnsi="Arial" w:cs="Arial"/>
          <w:spacing w:val="22"/>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testigos</w:t>
      </w:r>
      <w:r w:rsidRPr="00EC452A">
        <w:rPr>
          <w:rFonts w:ascii="Arial" w:eastAsia="Arial" w:hAnsi="Arial" w:cs="Arial"/>
          <w:spacing w:val="2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asistencia.</w:t>
      </w:r>
    </w:p>
    <w:p w14:paraId="685C693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b</w:t>
      </w:r>
      <w:r w:rsidRPr="00EC452A">
        <w:rPr>
          <w:rFonts w:ascii="Arial" w:eastAsia="Arial" w:hAnsi="Arial" w:cs="Arial"/>
          <w:sz w:val="22"/>
          <w:szCs w:val="22"/>
        </w:rPr>
        <w:t xml:space="preserv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diligenci</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respectiva</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falt</w:t>
      </w:r>
      <w:r w:rsidRPr="00EC452A">
        <w:rPr>
          <w:rFonts w:ascii="Arial" w:eastAsia="Arial" w:hAnsi="Arial" w:cs="Arial"/>
          <w:sz w:val="22"/>
          <w:szCs w:val="22"/>
        </w:rPr>
        <w:t xml:space="preserve">a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asistenci</w:t>
      </w:r>
      <w:r w:rsidRPr="00EC452A">
        <w:rPr>
          <w:rFonts w:ascii="Arial" w:eastAsia="Arial" w:hAnsi="Arial" w:cs="Arial"/>
          <w:sz w:val="22"/>
          <w:szCs w:val="22"/>
        </w:rPr>
        <w:t xml:space="preserve">a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propietari</w:t>
      </w:r>
      <w:r w:rsidRPr="00EC452A">
        <w:rPr>
          <w:rFonts w:ascii="Arial" w:eastAsia="Arial" w:hAnsi="Arial" w:cs="Arial"/>
          <w:sz w:val="22"/>
          <w:szCs w:val="22"/>
        </w:rPr>
        <w:t xml:space="preserve">o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poseedo</w:t>
      </w:r>
      <w:r w:rsidRPr="00EC452A">
        <w:rPr>
          <w:rFonts w:ascii="Arial" w:eastAsia="Arial" w:hAnsi="Arial" w:cs="Arial"/>
          <w:sz w:val="22"/>
          <w:szCs w:val="22"/>
        </w:rPr>
        <w:t xml:space="preserve">r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sus </w:t>
      </w:r>
      <w:r w:rsidRPr="00EC452A">
        <w:rPr>
          <w:rFonts w:ascii="Arial" w:eastAsia="Arial" w:hAnsi="Arial" w:cs="Arial"/>
          <w:spacing w:val="-1"/>
          <w:sz w:val="22"/>
          <w:szCs w:val="22"/>
        </w:rPr>
        <w:t>representante</w:t>
      </w:r>
      <w:r w:rsidRPr="00EC452A">
        <w:rPr>
          <w:rFonts w:ascii="Arial" w:eastAsia="Arial" w:hAnsi="Arial" w:cs="Arial"/>
          <w:sz w:val="22"/>
          <w:szCs w:val="22"/>
        </w:rPr>
        <w:t xml:space="preserve">s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 xml:space="preserve">á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 xml:space="preserve">r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suplid</w:t>
      </w:r>
      <w:r w:rsidRPr="00EC452A">
        <w:rPr>
          <w:rFonts w:ascii="Arial" w:eastAsia="Arial" w:hAnsi="Arial" w:cs="Arial"/>
          <w:sz w:val="22"/>
          <w:szCs w:val="22"/>
        </w:rPr>
        <w:t xml:space="preserve">a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cualqu</w:t>
      </w:r>
      <w:r w:rsidRPr="00EC452A">
        <w:rPr>
          <w:rFonts w:ascii="Arial" w:eastAsia="Arial" w:hAnsi="Arial" w:cs="Arial"/>
          <w:spacing w:val="-2"/>
          <w:sz w:val="22"/>
          <w:szCs w:val="22"/>
        </w:rPr>
        <w:t>ie</w:t>
      </w:r>
      <w:r w:rsidRPr="00EC452A">
        <w:rPr>
          <w:rFonts w:ascii="Arial" w:eastAsia="Arial" w:hAnsi="Arial" w:cs="Arial"/>
          <w:sz w:val="22"/>
          <w:szCs w:val="22"/>
        </w:rPr>
        <w:t xml:space="preserve">r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person</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encuentr</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impedid</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w w:val="102"/>
          <w:sz w:val="22"/>
          <w:szCs w:val="22"/>
        </w:rPr>
        <w:t xml:space="preserve">para </w:t>
      </w:r>
      <w:r w:rsidRPr="00EC452A">
        <w:rPr>
          <w:rFonts w:ascii="Arial" w:eastAsia="Arial" w:hAnsi="Arial" w:cs="Arial"/>
          <w:spacing w:val="-3"/>
          <w:w w:val="102"/>
          <w:sz w:val="22"/>
          <w:szCs w:val="22"/>
        </w:rPr>
        <w:t>ello.</w:t>
      </w:r>
    </w:p>
    <w:p w14:paraId="3C3E5799"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interesad</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alega</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interese</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conveng</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términ</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w w:val="102"/>
          <w:sz w:val="22"/>
          <w:szCs w:val="22"/>
        </w:rPr>
        <w:t xml:space="preserve">cinco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parti</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acta.</w:t>
      </w:r>
    </w:p>
    <w:p w14:paraId="3EB36DE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En</w:t>
      </w:r>
      <w:r w:rsidRPr="00EC452A">
        <w:rPr>
          <w:rFonts w:ascii="Arial" w:eastAsia="Arial" w:hAnsi="Arial" w:cs="Arial"/>
          <w:spacing w:val="28"/>
          <w:sz w:val="22"/>
          <w:szCs w:val="22"/>
        </w:rPr>
        <w:t xml:space="preserve"> </w:t>
      </w:r>
      <w:r w:rsidRPr="00EC452A">
        <w:rPr>
          <w:rFonts w:ascii="Arial" w:eastAsia="Arial" w:hAnsi="Arial" w:cs="Arial"/>
          <w:sz w:val="22"/>
          <w:szCs w:val="22"/>
        </w:rPr>
        <w:t>el</w:t>
      </w:r>
      <w:r w:rsidRPr="00EC452A">
        <w:rPr>
          <w:rFonts w:ascii="Arial" w:eastAsia="Arial" w:hAnsi="Arial" w:cs="Arial"/>
          <w:spacing w:val="26"/>
          <w:sz w:val="22"/>
          <w:szCs w:val="22"/>
        </w:rPr>
        <w:t xml:space="preserve"> </w:t>
      </w:r>
      <w:r w:rsidRPr="00EC452A">
        <w:rPr>
          <w:rFonts w:ascii="Arial" w:eastAsia="Arial" w:hAnsi="Arial" w:cs="Arial"/>
          <w:sz w:val="22"/>
          <w:szCs w:val="22"/>
        </w:rPr>
        <w:t>acta</w:t>
      </w:r>
      <w:r w:rsidRPr="00EC452A">
        <w:rPr>
          <w:rFonts w:ascii="Arial" w:eastAsia="Arial" w:hAnsi="Arial" w:cs="Arial"/>
          <w:spacing w:val="30"/>
          <w:sz w:val="22"/>
          <w:szCs w:val="22"/>
        </w:rPr>
        <w:t xml:space="preserve"> </w:t>
      </w:r>
      <w:r w:rsidRPr="00EC452A">
        <w:rPr>
          <w:rFonts w:ascii="Arial" w:eastAsia="Arial" w:hAnsi="Arial" w:cs="Arial"/>
          <w:sz w:val="22"/>
          <w:szCs w:val="22"/>
        </w:rPr>
        <w:t>se</w:t>
      </w:r>
      <w:r w:rsidRPr="00EC452A">
        <w:rPr>
          <w:rFonts w:ascii="Arial" w:eastAsia="Arial" w:hAnsi="Arial" w:cs="Arial"/>
          <w:spacing w:val="27"/>
          <w:sz w:val="22"/>
          <w:szCs w:val="22"/>
        </w:rPr>
        <w:t xml:space="preserve"> </w:t>
      </w:r>
      <w:r w:rsidRPr="00EC452A">
        <w:rPr>
          <w:rFonts w:ascii="Arial" w:eastAsia="Arial" w:hAnsi="Arial" w:cs="Arial"/>
          <w:sz w:val="22"/>
          <w:szCs w:val="22"/>
        </w:rPr>
        <w:t>dejará</w:t>
      </w:r>
      <w:r w:rsidRPr="00EC452A">
        <w:rPr>
          <w:rFonts w:ascii="Arial" w:eastAsia="Arial" w:hAnsi="Arial" w:cs="Arial"/>
          <w:spacing w:val="34"/>
          <w:sz w:val="22"/>
          <w:szCs w:val="22"/>
        </w:rPr>
        <w:t xml:space="preserve"> </w:t>
      </w:r>
      <w:r w:rsidRPr="00EC452A">
        <w:rPr>
          <w:rFonts w:ascii="Arial" w:eastAsia="Arial" w:hAnsi="Arial" w:cs="Arial"/>
          <w:sz w:val="22"/>
          <w:szCs w:val="22"/>
        </w:rPr>
        <w:t>constancia</w:t>
      </w:r>
      <w:r w:rsidRPr="00EC452A">
        <w:rPr>
          <w:rFonts w:ascii="Arial" w:eastAsia="Arial" w:hAnsi="Arial" w:cs="Arial"/>
          <w:spacing w:val="41"/>
          <w:sz w:val="22"/>
          <w:szCs w:val="22"/>
        </w:rPr>
        <w:t xml:space="preserve"> </w:t>
      </w:r>
      <w:r w:rsidRPr="00EC452A">
        <w:rPr>
          <w:rFonts w:ascii="Arial" w:eastAsia="Arial" w:hAnsi="Arial" w:cs="Arial"/>
          <w:sz w:val="22"/>
          <w:szCs w:val="22"/>
        </w:rPr>
        <w:t>de</w:t>
      </w:r>
      <w:r w:rsidRPr="00EC452A">
        <w:rPr>
          <w:rFonts w:ascii="Arial" w:eastAsia="Arial" w:hAnsi="Arial" w:cs="Arial"/>
          <w:spacing w:val="27"/>
          <w:sz w:val="22"/>
          <w:szCs w:val="22"/>
        </w:rPr>
        <w:t xml:space="preserve"> </w:t>
      </w:r>
      <w:r w:rsidRPr="00EC452A">
        <w:rPr>
          <w:rFonts w:ascii="Arial" w:eastAsia="Arial" w:hAnsi="Arial" w:cs="Arial"/>
          <w:sz w:val="22"/>
          <w:szCs w:val="22"/>
        </w:rPr>
        <w:t>las</w:t>
      </w:r>
      <w:r w:rsidRPr="00EC452A">
        <w:rPr>
          <w:rFonts w:ascii="Arial" w:eastAsia="Arial" w:hAnsi="Arial" w:cs="Arial"/>
          <w:spacing w:val="28"/>
          <w:sz w:val="22"/>
          <w:szCs w:val="22"/>
        </w:rPr>
        <w:t xml:space="preserve"> </w:t>
      </w:r>
      <w:r w:rsidRPr="00EC452A">
        <w:rPr>
          <w:rFonts w:ascii="Arial" w:eastAsia="Arial" w:hAnsi="Arial" w:cs="Arial"/>
          <w:sz w:val="22"/>
          <w:szCs w:val="22"/>
        </w:rPr>
        <w:t>justificaciones</w:t>
      </w:r>
      <w:r w:rsidRPr="00EC452A">
        <w:rPr>
          <w:rFonts w:ascii="Arial" w:eastAsia="Arial" w:hAnsi="Arial" w:cs="Arial"/>
          <w:spacing w:val="47"/>
          <w:sz w:val="22"/>
          <w:szCs w:val="22"/>
        </w:rPr>
        <w:t xml:space="preserve"> </w:t>
      </w:r>
      <w:r w:rsidRPr="00EC452A">
        <w:rPr>
          <w:rFonts w:ascii="Arial" w:eastAsia="Arial" w:hAnsi="Arial" w:cs="Arial"/>
          <w:sz w:val="22"/>
          <w:szCs w:val="22"/>
        </w:rPr>
        <w:t>que</w:t>
      </w:r>
      <w:r w:rsidRPr="00EC452A">
        <w:rPr>
          <w:rFonts w:ascii="Arial" w:eastAsia="Arial" w:hAnsi="Arial" w:cs="Arial"/>
          <w:spacing w:val="29"/>
          <w:sz w:val="22"/>
          <w:szCs w:val="22"/>
        </w:rPr>
        <w:t xml:space="preserve"> </w:t>
      </w:r>
      <w:r w:rsidRPr="00EC452A">
        <w:rPr>
          <w:rFonts w:ascii="Arial" w:eastAsia="Arial" w:hAnsi="Arial" w:cs="Arial"/>
          <w:sz w:val="22"/>
          <w:szCs w:val="22"/>
        </w:rPr>
        <w:t>señalen</w:t>
      </w:r>
      <w:r w:rsidRPr="00EC452A">
        <w:rPr>
          <w:rFonts w:ascii="Arial" w:eastAsia="Arial" w:hAnsi="Arial" w:cs="Arial"/>
          <w:spacing w:val="36"/>
          <w:sz w:val="22"/>
          <w:szCs w:val="22"/>
        </w:rPr>
        <w:t xml:space="preserve"> </w:t>
      </w:r>
      <w:r w:rsidRPr="00EC452A">
        <w:rPr>
          <w:rFonts w:ascii="Arial" w:eastAsia="Arial" w:hAnsi="Arial" w:cs="Arial"/>
          <w:spacing w:val="-15"/>
          <w:sz w:val="22"/>
          <w:szCs w:val="22"/>
        </w:rPr>
        <w:t>l</w:t>
      </w:r>
      <w:r w:rsidRPr="00EC452A">
        <w:rPr>
          <w:rFonts w:ascii="Arial" w:eastAsia="Arial" w:hAnsi="Arial" w:cs="Arial"/>
          <w:spacing w:val="-1"/>
          <w:sz w:val="22"/>
          <w:szCs w:val="22"/>
        </w:rPr>
        <w:t>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 xml:space="preserve">poseedores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cultivado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z w:val="22"/>
          <w:szCs w:val="22"/>
        </w:rPr>
        <w:t>y</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garantía</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ofrezca</w:t>
      </w:r>
      <w:r w:rsidRPr="00EC452A">
        <w:rPr>
          <w:rFonts w:ascii="Arial" w:eastAsia="Arial" w:hAnsi="Arial" w:cs="Arial"/>
          <w:sz w:val="22"/>
          <w:szCs w:val="22"/>
        </w:rPr>
        <w:t>n</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explotarlo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siguiente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agrícola.</w:t>
      </w:r>
    </w:p>
    <w:p w14:paraId="048B6720"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III</w:t>
      </w:r>
    </w:p>
    <w:p w14:paraId="72FFD8F0"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Ociosa</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Litigio</w:t>
      </w:r>
    </w:p>
    <w:p w14:paraId="5C3276B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150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Cuando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trate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tierras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ociosas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litigio,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notificar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declaratori</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correspondient</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judicia</w:t>
      </w:r>
      <w:r w:rsidRPr="00EC452A">
        <w:rPr>
          <w:rFonts w:ascii="Arial" w:eastAsia="Arial" w:hAnsi="Arial" w:cs="Arial"/>
          <w:sz w:val="22"/>
          <w:szCs w:val="22"/>
        </w:rPr>
        <w:t>l</w:t>
      </w:r>
      <w:r w:rsidRPr="00EC452A">
        <w:rPr>
          <w:rFonts w:ascii="Arial" w:eastAsia="Arial" w:hAnsi="Arial" w:cs="Arial"/>
          <w:spacing w:val="18"/>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conozc</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conflicto.</w:t>
      </w:r>
    </w:p>
    <w:p w14:paraId="1701D467"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151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tant</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resuelv</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sentenci</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ejecutoriad</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litigi</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hubier</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respecto </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ociosas</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proceder</w:t>
      </w:r>
      <w:r w:rsidRPr="00EC452A">
        <w:rPr>
          <w:rFonts w:ascii="Arial" w:eastAsia="Arial" w:hAnsi="Arial" w:cs="Arial"/>
          <w:sz w:val="22"/>
          <w:szCs w:val="22"/>
        </w:rPr>
        <w:t>á</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devolució</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éstas</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9</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w w:val="102"/>
          <w:sz w:val="22"/>
          <w:szCs w:val="22"/>
        </w:rPr>
        <w:t>Ley.</w:t>
      </w:r>
    </w:p>
    <w:p w14:paraId="3C3E3F8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ve</w:t>
      </w:r>
      <w:r w:rsidRPr="00EC452A">
        <w:rPr>
          <w:rFonts w:ascii="Arial" w:eastAsia="Arial" w:hAnsi="Arial" w:cs="Arial"/>
          <w:sz w:val="22"/>
          <w:szCs w:val="22"/>
        </w:rPr>
        <w:t>z</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declarad</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ejecutorizació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sentencia</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particula</w:t>
      </w:r>
      <w:r w:rsidRPr="00EC452A">
        <w:rPr>
          <w:rFonts w:ascii="Arial" w:eastAsia="Arial" w:hAnsi="Arial" w:cs="Arial"/>
          <w:sz w:val="22"/>
          <w:szCs w:val="22"/>
        </w:rPr>
        <w:t>r</w:t>
      </w:r>
      <w:r w:rsidRPr="00EC452A">
        <w:rPr>
          <w:rFonts w:ascii="Arial" w:eastAsia="Arial" w:hAnsi="Arial" w:cs="Arial"/>
          <w:spacing w:val="40"/>
          <w:sz w:val="22"/>
          <w:szCs w:val="22"/>
        </w:rPr>
        <w:t xml:space="preserve"> </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cuy</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favo</w:t>
      </w:r>
      <w:r w:rsidRPr="00EC452A">
        <w:rPr>
          <w:rFonts w:ascii="Arial" w:eastAsia="Arial" w:hAnsi="Arial" w:cs="Arial"/>
          <w:sz w:val="22"/>
          <w:szCs w:val="22"/>
        </w:rPr>
        <w:t>r</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hay</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dictado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comunica</w:t>
      </w:r>
      <w:r w:rsidRPr="00EC452A">
        <w:rPr>
          <w:rFonts w:ascii="Arial" w:eastAsia="Arial" w:hAnsi="Arial" w:cs="Arial"/>
          <w:sz w:val="22"/>
          <w:szCs w:val="22"/>
        </w:rPr>
        <w:t>r</w:t>
      </w:r>
      <w:r w:rsidRPr="00EC452A">
        <w:rPr>
          <w:rFonts w:ascii="Arial" w:eastAsia="Arial" w:hAnsi="Arial" w:cs="Arial"/>
          <w:spacing w:val="51"/>
          <w:sz w:val="22"/>
          <w:szCs w:val="22"/>
        </w:rPr>
        <w:t xml:space="preserve"> </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dese</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explota</w:t>
      </w:r>
      <w:r w:rsidRPr="00EC452A">
        <w:rPr>
          <w:rFonts w:ascii="Arial" w:eastAsia="Arial" w:hAnsi="Arial" w:cs="Arial"/>
          <w:sz w:val="22"/>
          <w:szCs w:val="22"/>
        </w:rPr>
        <w:t>r</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acompañand</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copi</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certificad</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sentenci</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z w:val="22"/>
          <w:szCs w:val="22"/>
        </w:rPr>
        <w:t>y</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aut</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declar</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ejecutoriada</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cuy</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entregará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tierras</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siempr</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comunicació</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hubier</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sid</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presentad</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fijad</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citad</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9</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independientement</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hay</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declarad</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z w:val="22"/>
          <w:szCs w:val="22"/>
        </w:rPr>
        <w:t>sentencia</w:t>
      </w:r>
      <w:r w:rsidRPr="00EC452A">
        <w:rPr>
          <w:rFonts w:ascii="Arial" w:eastAsia="Arial" w:hAnsi="Arial" w:cs="Arial"/>
          <w:spacing w:val="23"/>
          <w:sz w:val="22"/>
          <w:szCs w:val="22"/>
        </w:rPr>
        <w:t xml:space="preserve"> </w:t>
      </w:r>
      <w:r w:rsidRPr="00EC452A">
        <w:rPr>
          <w:rFonts w:ascii="Arial" w:eastAsia="Arial" w:hAnsi="Arial" w:cs="Arial"/>
          <w:sz w:val="22"/>
          <w:szCs w:val="22"/>
        </w:rPr>
        <w:t>causó</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estado.</w:t>
      </w:r>
    </w:p>
    <w:p w14:paraId="3B18A65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152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consigna</w:t>
      </w:r>
      <w:r w:rsidRPr="00EC452A">
        <w:rPr>
          <w:rFonts w:ascii="Arial" w:eastAsia="Arial" w:hAnsi="Arial" w:cs="Arial"/>
          <w:sz w:val="22"/>
          <w:szCs w:val="22"/>
        </w:rPr>
        <w:t xml:space="preserve">r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 xml:space="preserve">d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judicia</w:t>
      </w:r>
      <w:r w:rsidRPr="00EC452A">
        <w:rPr>
          <w:rFonts w:ascii="Arial" w:eastAsia="Arial" w:hAnsi="Arial" w:cs="Arial"/>
          <w:sz w:val="22"/>
          <w:szCs w:val="22"/>
        </w:rPr>
        <w:t xml:space="preserve">l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z w:val="22"/>
          <w:szCs w:val="22"/>
        </w:rPr>
        <w:t>conozca</w:t>
      </w:r>
      <w:r w:rsidRPr="00EC452A">
        <w:rPr>
          <w:rFonts w:ascii="Arial" w:eastAsia="Arial" w:hAnsi="Arial" w:cs="Arial"/>
          <w:spacing w:val="51"/>
          <w:sz w:val="22"/>
          <w:szCs w:val="22"/>
        </w:rPr>
        <w:t xml:space="preserve"> </w:t>
      </w:r>
      <w:r w:rsidRPr="00EC452A">
        <w:rPr>
          <w:rFonts w:ascii="Arial" w:eastAsia="Arial" w:hAnsi="Arial" w:cs="Arial"/>
          <w:sz w:val="22"/>
          <w:szCs w:val="22"/>
        </w:rPr>
        <w:t>del</w:t>
      </w:r>
      <w:r w:rsidRPr="00EC452A">
        <w:rPr>
          <w:rFonts w:ascii="Arial" w:eastAsia="Arial" w:hAnsi="Arial" w:cs="Arial"/>
          <w:spacing w:val="42"/>
          <w:sz w:val="22"/>
          <w:szCs w:val="22"/>
        </w:rPr>
        <w:t xml:space="preserve"> </w:t>
      </w:r>
      <w:r w:rsidRPr="00EC452A">
        <w:rPr>
          <w:rFonts w:ascii="Arial" w:eastAsia="Arial" w:hAnsi="Arial" w:cs="Arial"/>
          <w:sz w:val="22"/>
          <w:szCs w:val="22"/>
        </w:rPr>
        <w:t>conflicto,</w:t>
      </w:r>
      <w:r w:rsidRPr="00EC452A">
        <w:rPr>
          <w:rFonts w:ascii="Arial" w:eastAsia="Arial" w:hAnsi="Arial" w:cs="Arial"/>
          <w:spacing w:val="52"/>
          <w:sz w:val="22"/>
          <w:szCs w:val="22"/>
        </w:rPr>
        <w:t xml:space="preserve"> </w:t>
      </w:r>
      <w:r w:rsidRPr="00EC452A">
        <w:rPr>
          <w:rFonts w:ascii="Arial" w:eastAsia="Arial" w:hAnsi="Arial" w:cs="Arial"/>
          <w:sz w:val="22"/>
          <w:szCs w:val="22"/>
        </w:rPr>
        <w:t>la</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indemnización </w:t>
      </w:r>
      <w:r w:rsidRPr="00EC452A">
        <w:rPr>
          <w:rFonts w:ascii="Arial" w:eastAsia="Arial" w:hAnsi="Arial" w:cs="Arial"/>
          <w:spacing w:val="8"/>
          <w:sz w:val="22"/>
          <w:szCs w:val="22"/>
        </w:rPr>
        <w:t xml:space="preserve"> </w:t>
      </w:r>
      <w:r w:rsidRPr="00EC452A">
        <w:rPr>
          <w:rFonts w:ascii="Arial" w:eastAsia="Arial" w:hAnsi="Arial" w:cs="Arial"/>
          <w:sz w:val="22"/>
          <w:szCs w:val="22"/>
        </w:rPr>
        <w:t>que</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corresponda </w:t>
      </w:r>
      <w:r w:rsidRPr="00EC452A">
        <w:rPr>
          <w:rFonts w:ascii="Arial" w:eastAsia="Arial" w:hAnsi="Arial" w:cs="Arial"/>
          <w:spacing w:val="5"/>
          <w:sz w:val="22"/>
          <w:szCs w:val="22"/>
        </w:rPr>
        <w:t xml:space="preserve"> </w:t>
      </w:r>
      <w:r w:rsidRPr="00EC452A">
        <w:rPr>
          <w:rFonts w:ascii="Arial" w:eastAsia="Arial" w:hAnsi="Arial" w:cs="Arial"/>
          <w:sz w:val="22"/>
          <w:szCs w:val="22"/>
        </w:rPr>
        <w:t>cubrir</w:t>
      </w:r>
      <w:r w:rsidRPr="00EC452A">
        <w:rPr>
          <w:rFonts w:ascii="Arial" w:eastAsia="Arial" w:hAnsi="Arial" w:cs="Arial"/>
          <w:spacing w:val="46"/>
          <w:sz w:val="22"/>
          <w:szCs w:val="22"/>
        </w:rPr>
        <w:t xml:space="preserve"> </w:t>
      </w:r>
      <w:r w:rsidRPr="00EC452A">
        <w:rPr>
          <w:rFonts w:ascii="Arial" w:eastAsia="Arial" w:hAnsi="Arial" w:cs="Arial"/>
          <w:sz w:val="22"/>
          <w:szCs w:val="22"/>
        </w:rPr>
        <w:t>al</w:t>
      </w:r>
      <w:r w:rsidRPr="00EC452A">
        <w:rPr>
          <w:rFonts w:ascii="Arial" w:eastAsia="Arial" w:hAnsi="Arial" w:cs="Arial"/>
          <w:spacing w:val="40"/>
          <w:sz w:val="22"/>
          <w:szCs w:val="22"/>
        </w:rPr>
        <w:t xml:space="preserve"> </w:t>
      </w:r>
      <w:r w:rsidRPr="00EC452A">
        <w:rPr>
          <w:rFonts w:ascii="Arial" w:eastAsia="Arial" w:hAnsi="Arial" w:cs="Arial"/>
          <w:sz w:val="22"/>
          <w:szCs w:val="22"/>
        </w:rPr>
        <w:t>ocupante</w:t>
      </w:r>
      <w:r w:rsidRPr="00EC452A">
        <w:rPr>
          <w:rFonts w:ascii="Arial" w:eastAsia="Arial" w:hAnsi="Arial" w:cs="Arial"/>
          <w:spacing w:val="52"/>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sz w:val="22"/>
          <w:szCs w:val="22"/>
        </w:rPr>
        <w:t>tierras</w:t>
      </w:r>
      <w:r w:rsidRPr="00EC452A">
        <w:rPr>
          <w:rFonts w:ascii="Arial" w:eastAsia="Arial" w:hAnsi="Arial" w:cs="Arial"/>
          <w:spacing w:val="47"/>
          <w:sz w:val="22"/>
          <w:szCs w:val="22"/>
        </w:rPr>
        <w:t xml:space="preserve"> </w:t>
      </w:r>
      <w:r w:rsidRPr="00EC452A">
        <w:rPr>
          <w:rFonts w:ascii="Arial" w:eastAsia="Arial" w:hAnsi="Arial" w:cs="Arial"/>
          <w:w w:val="102"/>
          <w:sz w:val="22"/>
          <w:szCs w:val="22"/>
        </w:rPr>
        <w:t xml:space="preserve">ociosas </w:t>
      </w:r>
      <w:r w:rsidRPr="00EC452A">
        <w:rPr>
          <w:rFonts w:ascii="Arial" w:eastAsia="Arial" w:hAnsi="Arial" w:cs="Arial"/>
          <w:spacing w:val="3"/>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litigio</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pacing w:val="-27"/>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cua</w:t>
      </w:r>
      <w:r w:rsidRPr="00EC452A">
        <w:rPr>
          <w:rFonts w:ascii="Arial" w:eastAsia="Arial" w:hAnsi="Arial" w:cs="Arial"/>
          <w:sz w:val="22"/>
          <w:szCs w:val="22"/>
        </w:rPr>
        <w:t>l</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9</w:t>
      </w:r>
      <w:r w:rsidRPr="00EC452A">
        <w:rPr>
          <w:rFonts w:ascii="Arial" w:eastAsia="Arial" w:hAnsi="Arial" w:cs="Arial"/>
          <w:sz w:val="22"/>
          <w:szCs w:val="22"/>
        </w:rPr>
        <w:t>2</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quedar</w:t>
      </w:r>
      <w:r w:rsidRPr="00EC452A">
        <w:rPr>
          <w:rFonts w:ascii="Arial" w:eastAsia="Arial" w:hAnsi="Arial" w:cs="Arial"/>
          <w:sz w:val="22"/>
          <w:szCs w:val="22"/>
        </w:rPr>
        <w:t>á</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afect</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resultad</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fina</w:t>
      </w:r>
      <w:r w:rsidRPr="00EC452A">
        <w:rPr>
          <w:rFonts w:ascii="Arial" w:eastAsia="Arial" w:hAnsi="Arial" w:cs="Arial"/>
          <w:sz w:val="22"/>
          <w:szCs w:val="22"/>
        </w:rPr>
        <w:t>l</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3"/>
          <w:w w:val="102"/>
          <w:sz w:val="22"/>
          <w:szCs w:val="22"/>
        </w:rPr>
        <w:t>controversia.</w:t>
      </w:r>
    </w:p>
    <w:p w14:paraId="3BB13DB4"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IV</w:t>
      </w:r>
    </w:p>
    <w:p w14:paraId="1998F8C9"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Aprovechamient</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Tierra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2"/>
          <w:w w:val="102"/>
          <w:sz w:val="22"/>
          <w:szCs w:val="22"/>
        </w:rPr>
        <w:t>ociosas</w:t>
      </w:r>
    </w:p>
    <w:p w14:paraId="1C8CFB0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153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Agrari</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deber</w:t>
      </w:r>
      <w:r w:rsidRPr="00EC452A">
        <w:rPr>
          <w:rFonts w:ascii="Arial" w:eastAsia="Arial" w:hAnsi="Arial" w:cs="Arial"/>
          <w:sz w:val="22"/>
          <w:szCs w:val="22"/>
        </w:rPr>
        <w:t xml:space="preserve">á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comunica</w:t>
      </w:r>
      <w:r w:rsidRPr="00EC452A">
        <w:rPr>
          <w:rFonts w:ascii="Arial" w:eastAsia="Arial" w:hAnsi="Arial" w:cs="Arial"/>
          <w:sz w:val="22"/>
          <w:szCs w:val="22"/>
        </w:rPr>
        <w:t xml:space="preserve">r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Secretaría</w:t>
      </w:r>
      <w:r w:rsidRPr="00EC452A">
        <w:rPr>
          <w:rFonts w:ascii="Arial" w:eastAsia="Arial" w:hAnsi="Arial" w:cs="Arial"/>
          <w:sz w:val="22"/>
          <w:szCs w:val="22"/>
        </w:rPr>
        <w:t xml:space="preserve">,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 xml:space="preserve">su </w:t>
      </w:r>
      <w:r w:rsidRPr="00EC452A">
        <w:rPr>
          <w:rFonts w:ascii="Arial" w:eastAsia="Arial" w:hAnsi="Arial" w:cs="Arial"/>
          <w:spacing w:val="2"/>
          <w:sz w:val="22"/>
          <w:szCs w:val="22"/>
        </w:rPr>
        <w:t>solicitu</w:t>
      </w:r>
      <w:r w:rsidRPr="00EC452A">
        <w:rPr>
          <w:rFonts w:ascii="Arial" w:eastAsia="Arial" w:hAnsi="Arial" w:cs="Arial"/>
          <w:sz w:val="22"/>
          <w:szCs w:val="22"/>
        </w:rPr>
        <w:t xml:space="preserve">d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9"/>
          <w:sz w:val="22"/>
          <w:szCs w:val="22"/>
        </w:rPr>
        <w:t xml:space="preserve"> </w:t>
      </w:r>
      <w:r w:rsidRPr="00EC452A">
        <w:rPr>
          <w:rFonts w:ascii="Arial" w:eastAsia="Arial" w:hAnsi="Arial" w:cs="Arial"/>
          <w:spacing w:val="7"/>
          <w:sz w:val="22"/>
          <w:szCs w:val="22"/>
        </w:rPr>
        <w:t>c</w:t>
      </w:r>
      <w:r w:rsidRPr="00EC452A">
        <w:rPr>
          <w:rFonts w:ascii="Arial" w:eastAsia="Arial" w:hAnsi="Arial" w:cs="Arial"/>
          <w:sz w:val="22"/>
          <w:szCs w:val="22"/>
        </w:rPr>
        <w:t xml:space="preserve">on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suficiente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anticipación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iniciación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cada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ciclo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agrícola,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lista </w:t>
      </w:r>
      <w:r w:rsidRPr="00EC452A">
        <w:rPr>
          <w:rFonts w:ascii="Arial" w:eastAsia="Arial" w:hAnsi="Arial" w:cs="Arial"/>
          <w:spacing w:val="21"/>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campesino</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salv</w:t>
      </w:r>
      <w:r w:rsidRPr="00EC452A">
        <w:rPr>
          <w:rFonts w:ascii="Arial" w:eastAsia="Arial" w:hAnsi="Arial" w:cs="Arial"/>
          <w:sz w:val="22"/>
          <w:szCs w:val="22"/>
        </w:rPr>
        <w:t xml:space="preserve">o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pueda</w:t>
      </w:r>
      <w:r w:rsidRPr="00EC452A">
        <w:rPr>
          <w:rFonts w:ascii="Arial" w:eastAsia="Arial" w:hAnsi="Arial" w:cs="Arial"/>
          <w:sz w:val="22"/>
          <w:szCs w:val="22"/>
        </w:rPr>
        <w:t xml:space="preserve">n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explota</w:t>
      </w:r>
      <w:r w:rsidRPr="00EC452A">
        <w:rPr>
          <w:rFonts w:ascii="Arial" w:eastAsia="Arial" w:hAnsi="Arial" w:cs="Arial"/>
          <w:sz w:val="22"/>
          <w:szCs w:val="22"/>
        </w:rPr>
        <w:t xml:space="preserve">r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ociosa</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cada </w:t>
      </w:r>
      <w:r w:rsidRPr="00EC452A">
        <w:rPr>
          <w:rFonts w:ascii="Arial" w:eastAsia="Arial" w:hAnsi="Arial" w:cs="Arial"/>
          <w:spacing w:val="-1"/>
          <w:sz w:val="22"/>
          <w:szCs w:val="22"/>
        </w:rPr>
        <w:t>región</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últim</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realic</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selecció</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corresponda.</w:t>
      </w:r>
    </w:p>
    <w:p w14:paraId="67881F3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Para</w:t>
      </w:r>
      <w:r w:rsidRPr="00EC452A">
        <w:rPr>
          <w:rFonts w:ascii="Arial" w:eastAsia="Arial" w:hAnsi="Arial" w:cs="Arial"/>
          <w:spacing w:val="16"/>
          <w:sz w:val="22"/>
          <w:szCs w:val="22"/>
        </w:rPr>
        <w:t xml:space="preserve"> </w:t>
      </w:r>
      <w:r w:rsidRPr="00EC452A">
        <w:rPr>
          <w:rFonts w:ascii="Arial" w:eastAsia="Arial" w:hAnsi="Arial" w:cs="Arial"/>
          <w:sz w:val="22"/>
          <w:szCs w:val="22"/>
        </w:rPr>
        <w:t>los</w:t>
      </w:r>
      <w:r w:rsidRPr="00EC452A">
        <w:rPr>
          <w:rFonts w:ascii="Arial" w:eastAsia="Arial" w:hAnsi="Arial" w:cs="Arial"/>
          <w:spacing w:val="13"/>
          <w:sz w:val="22"/>
          <w:szCs w:val="22"/>
        </w:rPr>
        <w:t xml:space="preserve"> </w:t>
      </w:r>
      <w:r w:rsidRPr="00EC452A">
        <w:rPr>
          <w:rFonts w:ascii="Arial" w:eastAsia="Arial" w:hAnsi="Arial" w:cs="Arial"/>
          <w:sz w:val="22"/>
          <w:szCs w:val="22"/>
        </w:rPr>
        <w:t>mismos</w:t>
      </w:r>
      <w:r w:rsidRPr="00EC452A">
        <w:rPr>
          <w:rFonts w:ascii="Arial" w:eastAsia="Arial" w:hAnsi="Arial" w:cs="Arial"/>
          <w:spacing w:val="21"/>
          <w:sz w:val="22"/>
          <w:szCs w:val="22"/>
        </w:rPr>
        <w:t xml:space="preserve"> </w:t>
      </w:r>
      <w:r w:rsidRPr="00EC452A">
        <w:rPr>
          <w:rFonts w:ascii="Arial" w:eastAsia="Arial" w:hAnsi="Arial" w:cs="Arial"/>
          <w:sz w:val="22"/>
          <w:szCs w:val="22"/>
        </w:rPr>
        <w:t>fin</w:t>
      </w:r>
      <w:r w:rsidRPr="00EC452A">
        <w:rPr>
          <w:rFonts w:ascii="Arial" w:eastAsia="Arial" w:hAnsi="Arial" w:cs="Arial"/>
          <w:spacing w:val="-1"/>
          <w:sz w:val="22"/>
          <w:szCs w:val="22"/>
        </w:rPr>
        <w:t>e</w:t>
      </w:r>
      <w:r w:rsidRPr="00EC452A">
        <w:rPr>
          <w:rFonts w:ascii="Arial" w:eastAsia="Arial" w:hAnsi="Arial" w:cs="Arial"/>
          <w:sz w:val="22"/>
          <w:szCs w:val="22"/>
        </w:rPr>
        <w:t>s</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invitar</w:t>
      </w:r>
      <w:r w:rsidRPr="00EC452A">
        <w:rPr>
          <w:rFonts w:ascii="Arial" w:eastAsia="Arial" w:hAnsi="Arial" w:cs="Arial"/>
          <w:sz w:val="22"/>
          <w:szCs w:val="22"/>
        </w:rPr>
        <w:t>á</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organizacione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campesina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nive</w:t>
      </w:r>
      <w:r w:rsidRPr="00EC452A">
        <w:rPr>
          <w:rFonts w:ascii="Arial" w:eastAsia="Arial" w:hAnsi="Arial" w:cs="Arial"/>
          <w:sz w:val="22"/>
          <w:szCs w:val="22"/>
        </w:rPr>
        <w:t>l</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nacional</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regiona</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municipal,</w:t>
      </w:r>
      <w:r w:rsidRPr="00EC452A">
        <w:rPr>
          <w:rFonts w:ascii="Arial" w:eastAsia="Arial" w:hAnsi="Arial" w:cs="Arial"/>
          <w:spacing w:val="24"/>
          <w:sz w:val="22"/>
          <w:szCs w:val="22"/>
        </w:rPr>
        <w:t xml:space="preserve">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proponga</w:t>
      </w:r>
      <w:r w:rsidRPr="00EC452A">
        <w:rPr>
          <w:rFonts w:ascii="Arial" w:eastAsia="Arial" w:hAnsi="Arial" w:cs="Arial"/>
          <w:spacing w:val="23"/>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campesinos</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solicitantes.</w:t>
      </w:r>
    </w:p>
    <w:p w14:paraId="6C22D76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154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La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selección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solicitantes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contratación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explotación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8"/>
          <w:sz w:val="22"/>
          <w:szCs w:val="22"/>
        </w:rPr>
        <w:t xml:space="preserve"> </w:t>
      </w:r>
      <w:r w:rsidRPr="00EC452A">
        <w:rPr>
          <w:rFonts w:ascii="Arial" w:eastAsia="Arial" w:hAnsi="Arial" w:cs="Arial"/>
          <w:w w:val="102"/>
          <w:sz w:val="22"/>
          <w:szCs w:val="22"/>
        </w:rPr>
        <w:t xml:space="preserve">tierras </w:t>
      </w:r>
      <w:r w:rsidRPr="00EC452A">
        <w:rPr>
          <w:rFonts w:ascii="Arial" w:eastAsia="Arial" w:hAnsi="Arial" w:cs="Arial"/>
          <w:sz w:val="22"/>
          <w:szCs w:val="22"/>
        </w:rPr>
        <w:t>declaradas</w:t>
      </w:r>
      <w:r w:rsidRPr="00EC452A">
        <w:rPr>
          <w:rFonts w:ascii="Arial" w:eastAsia="Arial" w:hAnsi="Arial" w:cs="Arial"/>
          <w:spacing w:val="21"/>
          <w:sz w:val="22"/>
          <w:szCs w:val="22"/>
        </w:rPr>
        <w:t xml:space="preserve"> </w:t>
      </w:r>
      <w:r w:rsidRPr="00EC452A">
        <w:rPr>
          <w:rFonts w:ascii="Arial" w:eastAsia="Arial" w:hAnsi="Arial" w:cs="Arial"/>
          <w:sz w:val="22"/>
          <w:szCs w:val="22"/>
        </w:rPr>
        <w:t>ociosas,</w:t>
      </w:r>
      <w:r w:rsidRPr="00EC452A">
        <w:rPr>
          <w:rFonts w:ascii="Arial" w:eastAsia="Arial" w:hAnsi="Arial" w:cs="Arial"/>
          <w:spacing w:val="16"/>
          <w:sz w:val="22"/>
          <w:szCs w:val="22"/>
        </w:rPr>
        <w:t xml:space="preserve"> </w:t>
      </w:r>
      <w:r w:rsidRPr="00EC452A">
        <w:rPr>
          <w:rFonts w:ascii="Arial" w:eastAsia="Arial" w:hAnsi="Arial" w:cs="Arial"/>
          <w:sz w:val="22"/>
          <w:szCs w:val="22"/>
        </w:rPr>
        <w:t>atenderá</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siguient</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orden:</w:t>
      </w:r>
    </w:p>
    <w:p w14:paraId="0FAF44E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Campesino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salvo</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hombre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mujeres</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mayore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1</w:t>
      </w:r>
      <w:r w:rsidRPr="00EC452A">
        <w:rPr>
          <w:rFonts w:ascii="Arial" w:eastAsia="Arial" w:hAnsi="Arial" w:cs="Arial"/>
          <w:sz w:val="22"/>
          <w:szCs w:val="22"/>
        </w:rPr>
        <w:t>8</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años.</w:t>
      </w:r>
    </w:p>
    <w:p w14:paraId="51F2C60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b</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Campesino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salvo</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hombre</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mujeres</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mayore</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1</w:t>
      </w:r>
      <w:r w:rsidRPr="00EC452A">
        <w:rPr>
          <w:rFonts w:ascii="Arial" w:eastAsia="Arial" w:hAnsi="Arial" w:cs="Arial"/>
          <w:sz w:val="22"/>
          <w:szCs w:val="22"/>
        </w:rPr>
        <w:t>6</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año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menore</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5"/>
          <w:w w:val="102"/>
          <w:sz w:val="22"/>
          <w:szCs w:val="22"/>
        </w:rPr>
        <w:t>18.</w:t>
      </w:r>
    </w:p>
    <w:p w14:paraId="69A2F2C5"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c)</w:t>
      </w:r>
      <w:r w:rsidRPr="00EC452A">
        <w:rPr>
          <w:rFonts w:ascii="Arial" w:eastAsia="Arial" w:hAnsi="Arial" w:cs="Arial"/>
          <w:spacing w:val="10"/>
          <w:sz w:val="22"/>
          <w:szCs w:val="22"/>
        </w:rPr>
        <w:t xml:space="preserve"> </w:t>
      </w:r>
      <w:r w:rsidRPr="00EC452A">
        <w:rPr>
          <w:rFonts w:ascii="Arial" w:eastAsia="Arial" w:hAnsi="Arial" w:cs="Arial"/>
          <w:sz w:val="22"/>
          <w:szCs w:val="22"/>
        </w:rPr>
        <w:t>Vecinos</w:t>
      </w:r>
      <w:r w:rsidRPr="00EC452A">
        <w:rPr>
          <w:rFonts w:ascii="Arial" w:eastAsia="Arial" w:hAnsi="Arial" w:cs="Arial"/>
          <w:spacing w:val="21"/>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Municipio</w:t>
      </w:r>
      <w:r w:rsidRPr="00EC452A">
        <w:rPr>
          <w:rFonts w:ascii="Arial" w:eastAsia="Arial" w:hAnsi="Arial" w:cs="Arial"/>
          <w:spacing w:val="23"/>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encuentran</w:t>
      </w:r>
      <w:r w:rsidRPr="00EC452A">
        <w:rPr>
          <w:rFonts w:ascii="Arial" w:eastAsia="Arial" w:hAnsi="Arial" w:cs="Arial"/>
          <w:spacing w:val="26"/>
          <w:sz w:val="22"/>
          <w:szCs w:val="22"/>
        </w:rPr>
        <w:t xml:space="preserve"> </w:t>
      </w:r>
      <w:r w:rsidRPr="00EC452A">
        <w:rPr>
          <w:rFonts w:ascii="Arial" w:eastAsia="Arial" w:hAnsi="Arial" w:cs="Arial"/>
          <w:sz w:val="22"/>
          <w:szCs w:val="22"/>
        </w:rPr>
        <w:t>ubicadas</w:t>
      </w:r>
      <w:r w:rsidRPr="00EC452A">
        <w:rPr>
          <w:rFonts w:ascii="Arial" w:eastAsia="Arial" w:hAnsi="Arial" w:cs="Arial"/>
          <w:spacing w:val="22"/>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tierras</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oc</w:t>
      </w:r>
      <w:r w:rsidRPr="00EC452A">
        <w:rPr>
          <w:rFonts w:ascii="Arial" w:eastAsia="Arial" w:hAnsi="Arial" w:cs="Arial"/>
          <w:spacing w:val="-38"/>
          <w:sz w:val="22"/>
          <w:szCs w:val="22"/>
        </w:rPr>
        <w:t xml:space="preserve"> </w:t>
      </w:r>
      <w:r w:rsidRPr="00EC452A">
        <w:rPr>
          <w:rFonts w:ascii="Arial" w:eastAsia="Arial" w:hAnsi="Arial" w:cs="Arial"/>
          <w:spacing w:val="3"/>
          <w:w w:val="102"/>
          <w:sz w:val="22"/>
          <w:szCs w:val="22"/>
        </w:rPr>
        <w:t>iosas.</w:t>
      </w:r>
    </w:p>
    <w:p w14:paraId="2B486AAD" w14:textId="7345EC7D"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155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Si</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perjuici</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orde</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señalad</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anterior</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igualda</w:t>
      </w:r>
      <w:r w:rsidRPr="00EC452A">
        <w:rPr>
          <w:rFonts w:ascii="Arial" w:eastAsia="Arial" w:hAnsi="Arial" w:cs="Arial"/>
          <w:sz w:val="22"/>
          <w:szCs w:val="22"/>
        </w:rPr>
        <w:t xml:space="preserve">d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z w:val="22"/>
          <w:szCs w:val="22"/>
        </w:rPr>
        <w:t>circunstancias,</w:t>
      </w:r>
      <w:r w:rsidRPr="00EC452A">
        <w:rPr>
          <w:rFonts w:ascii="Arial" w:eastAsia="Arial" w:hAnsi="Arial" w:cs="Arial"/>
          <w:spacing w:val="22"/>
          <w:sz w:val="22"/>
          <w:szCs w:val="22"/>
        </w:rPr>
        <w:t xml:space="preserve"> </w:t>
      </w:r>
      <w:r w:rsidRPr="00EC452A">
        <w:rPr>
          <w:rFonts w:ascii="Arial" w:eastAsia="Arial" w:hAnsi="Arial" w:cs="Arial"/>
          <w:sz w:val="22"/>
          <w:szCs w:val="22"/>
        </w:rPr>
        <w:t>la Secretaría</w:t>
      </w:r>
      <w:r w:rsidRPr="00EC452A">
        <w:rPr>
          <w:rFonts w:ascii="Arial" w:eastAsia="Arial" w:hAnsi="Arial" w:cs="Arial"/>
          <w:spacing w:val="15"/>
          <w:sz w:val="22"/>
          <w:szCs w:val="22"/>
        </w:rPr>
        <w:t xml:space="preserve"> </w:t>
      </w:r>
      <w:r w:rsidRPr="00EC452A">
        <w:rPr>
          <w:rFonts w:ascii="Arial" w:eastAsia="Arial" w:hAnsi="Arial" w:cs="Arial"/>
          <w:sz w:val="22"/>
          <w:szCs w:val="22"/>
        </w:rPr>
        <w:t>procurará</w:t>
      </w:r>
      <w:r w:rsidRPr="00EC452A">
        <w:rPr>
          <w:rFonts w:ascii="Arial" w:eastAsia="Arial" w:hAnsi="Arial" w:cs="Arial"/>
          <w:spacing w:val="13"/>
          <w:sz w:val="22"/>
          <w:szCs w:val="22"/>
        </w:rPr>
        <w:t xml:space="preserve"> </w:t>
      </w:r>
      <w:r w:rsidRPr="00EC452A">
        <w:rPr>
          <w:rFonts w:ascii="Arial" w:eastAsia="Arial" w:hAnsi="Arial" w:cs="Arial"/>
          <w:sz w:val="22"/>
          <w:szCs w:val="22"/>
        </w:rPr>
        <w:t>que</w:t>
      </w:r>
      <w:r w:rsidRPr="00EC452A">
        <w:rPr>
          <w:rFonts w:ascii="Arial" w:eastAsia="Arial" w:hAnsi="Arial" w:cs="Arial"/>
          <w:spacing w:val="3"/>
          <w:sz w:val="22"/>
          <w:szCs w:val="22"/>
        </w:rPr>
        <w:t xml:space="preserve"> </w:t>
      </w:r>
      <w:r w:rsidRPr="00EC452A">
        <w:rPr>
          <w:rFonts w:ascii="Arial" w:eastAsia="Arial" w:hAnsi="Arial" w:cs="Arial"/>
          <w:sz w:val="22"/>
          <w:szCs w:val="22"/>
        </w:rPr>
        <w:t>la explotación</w:t>
      </w:r>
      <w:r w:rsidRPr="00EC452A">
        <w:rPr>
          <w:rFonts w:ascii="Arial" w:eastAsia="Arial" w:hAnsi="Arial" w:cs="Arial"/>
          <w:spacing w:val="16"/>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tierras</w:t>
      </w:r>
      <w:r w:rsidRPr="00EC452A">
        <w:rPr>
          <w:rFonts w:ascii="Arial" w:eastAsia="Arial" w:hAnsi="Arial" w:cs="Arial"/>
          <w:spacing w:val="8"/>
          <w:sz w:val="22"/>
          <w:szCs w:val="22"/>
        </w:rPr>
        <w:t xml:space="preserve"> </w:t>
      </w:r>
      <w:r w:rsidRPr="00EC452A">
        <w:rPr>
          <w:rFonts w:ascii="Arial" w:eastAsia="Arial" w:hAnsi="Arial" w:cs="Arial"/>
          <w:sz w:val="22"/>
          <w:szCs w:val="22"/>
        </w:rPr>
        <w:t>ociosas</w:t>
      </w:r>
      <w:r w:rsidRPr="00EC452A">
        <w:rPr>
          <w:rFonts w:ascii="Arial" w:eastAsia="Arial" w:hAnsi="Arial" w:cs="Arial"/>
          <w:spacing w:val="10"/>
          <w:sz w:val="22"/>
          <w:szCs w:val="22"/>
        </w:rPr>
        <w:t xml:space="preserve"> </w:t>
      </w:r>
      <w:r w:rsidRPr="00EC452A">
        <w:rPr>
          <w:rFonts w:ascii="Arial" w:eastAsia="Arial" w:hAnsi="Arial" w:cs="Arial"/>
          <w:sz w:val="22"/>
          <w:szCs w:val="22"/>
        </w:rPr>
        <w:t>se</w:t>
      </w:r>
      <w:r w:rsidRPr="00EC452A">
        <w:rPr>
          <w:rFonts w:ascii="Arial" w:eastAsia="Arial" w:hAnsi="Arial" w:cs="Arial"/>
          <w:spacing w:val="1"/>
          <w:sz w:val="22"/>
          <w:szCs w:val="22"/>
        </w:rPr>
        <w:t xml:space="preserve"> </w:t>
      </w:r>
      <w:r w:rsidRPr="00EC452A">
        <w:rPr>
          <w:rFonts w:ascii="Arial" w:eastAsia="Arial" w:hAnsi="Arial" w:cs="Arial"/>
          <w:sz w:val="22"/>
          <w:szCs w:val="22"/>
        </w:rPr>
        <w:t>conceda</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preferenci</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campesin</w:t>
      </w:r>
      <w:r w:rsidRPr="00EC452A">
        <w:rPr>
          <w:rFonts w:ascii="Arial" w:eastAsia="Arial" w:hAnsi="Arial" w:cs="Arial"/>
          <w:sz w:val="22"/>
          <w:szCs w:val="22"/>
        </w:rPr>
        <w:t>o</w:t>
      </w:r>
      <w:r w:rsidR="00616496">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salv</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mayore</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1</w:t>
      </w:r>
      <w:r w:rsidRPr="00EC452A">
        <w:rPr>
          <w:rFonts w:ascii="Arial" w:eastAsia="Arial" w:hAnsi="Arial" w:cs="Arial"/>
          <w:sz w:val="22"/>
          <w:szCs w:val="22"/>
        </w:rPr>
        <w:t>8</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año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z w:val="22"/>
          <w:szCs w:val="22"/>
        </w:rPr>
        <w:t>con</w:t>
      </w:r>
      <w:r w:rsidRPr="00EC452A">
        <w:rPr>
          <w:rFonts w:ascii="Arial" w:eastAsia="Arial" w:hAnsi="Arial" w:cs="Arial"/>
          <w:spacing w:val="25"/>
          <w:sz w:val="22"/>
          <w:szCs w:val="22"/>
        </w:rPr>
        <w:t xml:space="preserve"> </w:t>
      </w:r>
      <w:r w:rsidRPr="00EC452A">
        <w:rPr>
          <w:rFonts w:ascii="Arial" w:eastAsia="Arial" w:hAnsi="Arial" w:cs="Arial"/>
          <w:sz w:val="22"/>
          <w:szCs w:val="22"/>
        </w:rPr>
        <w:t>familia</w:t>
      </w:r>
      <w:r w:rsidRPr="00EC452A">
        <w:rPr>
          <w:rFonts w:ascii="Arial" w:eastAsia="Arial" w:hAnsi="Arial" w:cs="Arial"/>
          <w:spacing w:val="30"/>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z w:val="22"/>
          <w:szCs w:val="22"/>
        </w:rPr>
        <w:t>su</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 xml:space="preserve">cargo,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sea</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vecino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municipi</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encuentre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localizadas.</w:t>
      </w:r>
    </w:p>
    <w:p w14:paraId="1431330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156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deber</w:t>
      </w:r>
      <w:r w:rsidRPr="00EC452A">
        <w:rPr>
          <w:rFonts w:ascii="Arial" w:eastAsia="Arial" w:hAnsi="Arial" w:cs="Arial"/>
          <w:sz w:val="22"/>
          <w:szCs w:val="22"/>
        </w:rPr>
        <w:t>á</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proporciona</w:t>
      </w:r>
      <w:r w:rsidRPr="00EC452A">
        <w:rPr>
          <w:rFonts w:ascii="Arial" w:eastAsia="Arial" w:hAnsi="Arial" w:cs="Arial"/>
          <w:sz w:val="22"/>
          <w:szCs w:val="22"/>
        </w:rPr>
        <w:t xml:space="preserve">r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oportunament</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empres</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 xml:space="preserve">participación </w:t>
      </w:r>
      <w:r w:rsidRPr="00EC452A">
        <w:rPr>
          <w:rFonts w:ascii="Arial" w:eastAsia="Arial" w:hAnsi="Arial" w:cs="Arial"/>
          <w:spacing w:val="-1"/>
          <w:sz w:val="22"/>
          <w:szCs w:val="22"/>
        </w:rPr>
        <w:t>estata</w:t>
      </w:r>
      <w:r w:rsidRPr="00EC452A">
        <w:rPr>
          <w:rFonts w:ascii="Arial" w:eastAsia="Arial" w:hAnsi="Arial" w:cs="Arial"/>
          <w:sz w:val="22"/>
          <w:szCs w:val="22"/>
        </w:rPr>
        <w:t>l</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mayoritari</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Promotor</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Grano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Alimenticios</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R</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L. </w:t>
      </w:r>
      <w:r w:rsidRPr="00EC452A">
        <w:rPr>
          <w:rFonts w:ascii="Arial" w:eastAsia="Arial" w:hAnsi="Arial" w:cs="Arial"/>
          <w:sz w:val="22"/>
          <w:szCs w:val="22"/>
        </w:rPr>
        <w:t>I.</w:t>
      </w:r>
      <w:r w:rsidRPr="00EC452A">
        <w:rPr>
          <w:rFonts w:ascii="Arial" w:eastAsia="Arial" w:hAnsi="Arial" w:cs="Arial"/>
          <w:spacing w:val="41"/>
          <w:sz w:val="22"/>
          <w:szCs w:val="22"/>
        </w:rPr>
        <w:t xml:space="preserve"> </w:t>
      </w:r>
      <w:r w:rsidRPr="00EC452A">
        <w:rPr>
          <w:rFonts w:ascii="Arial" w:eastAsia="Arial" w:hAnsi="Arial" w:cs="Arial"/>
          <w:sz w:val="22"/>
          <w:szCs w:val="22"/>
        </w:rPr>
        <w:t>P</w:t>
      </w:r>
      <w:r w:rsidRPr="00EC452A">
        <w:rPr>
          <w:rFonts w:ascii="Arial" w:eastAsia="Arial" w:hAnsi="Arial" w:cs="Arial"/>
          <w:spacing w:val="41"/>
          <w:sz w:val="22"/>
          <w:szCs w:val="22"/>
        </w:rPr>
        <w:t xml:space="preserve"> </w:t>
      </w:r>
      <w:r w:rsidRPr="00EC452A">
        <w:rPr>
          <w:rFonts w:ascii="Arial" w:eastAsia="Arial" w:hAnsi="Arial" w:cs="Arial"/>
          <w:sz w:val="22"/>
          <w:szCs w:val="22"/>
        </w:rPr>
        <w:t>y</w:t>
      </w:r>
      <w:r w:rsidRPr="00EC452A">
        <w:rPr>
          <w:rFonts w:ascii="Arial" w:eastAsia="Arial" w:hAnsi="Arial" w:cs="Arial"/>
          <w:spacing w:val="41"/>
          <w:sz w:val="22"/>
          <w:szCs w:val="22"/>
        </w:rPr>
        <w:t xml:space="preserve"> </w:t>
      </w:r>
      <w:r w:rsidRPr="00EC452A">
        <w:rPr>
          <w:rFonts w:ascii="Arial" w:eastAsia="Arial" w:hAnsi="Arial" w:cs="Arial"/>
          <w:sz w:val="22"/>
          <w:szCs w:val="22"/>
        </w:rPr>
        <w:t>C.</w:t>
      </w:r>
      <w:r w:rsidRPr="00EC452A">
        <w:rPr>
          <w:rFonts w:ascii="Arial" w:eastAsia="Arial" w:hAnsi="Arial" w:cs="Arial"/>
          <w:spacing w:val="43"/>
          <w:sz w:val="22"/>
          <w:szCs w:val="22"/>
        </w:rPr>
        <w:t xml:space="preserve"> </w:t>
      </w:r>
      <w:r w:rsidRPr="00EC452A">
        <w:rPr>
          <w:rFonts w:ascii="Arial" w:eastAsia="Arial" w:hAnsi="Arial" w:cs="Arial"/>
          <w:sz w:val="22"/>
          <w:szCs w:val="22"/>
        </w:rPr>
        <w:t>V.</w:t>
      </w:r>
      <w:r w:rsidRPr="00EC452A">
        <w:rPr>
          <w:rFonts w:ascii="Arial" w:eastAsia="Arial" w:hAnsi="Arial" w:cs="Arial"/>
          <w:spacing w:val="42"/>
          <w:sz w:val="22"/>
          <w:szCs w:val="22"/>
        </w:rPr>
        <w:t xml:space="preserve"> </w:t>
      </w:r>
      <w:r w:rsidRPr="00EC452A">
        <w:rPr>
          <w:rFonts w:ascii="Arial" w:eastAsia="Arial" w:hAnsi="Arial" w:cs="Arial"/>
          <w:sz w:val="22"/>
          <w:szCs w:val="22"/>
        </w:rPr>
        <w:t>y</w:t>
      </w:r>
      <w:r w:rsidRPr="00EC452A">
        <w:rPr>
          <w:rFonts w:ascii="Arial" w:eastAsia="Arial" w:hAnsi="Arial" w:cs="Arial"/>
          <w:spacing w:val="41"/>
          <w:sz w:val="22"/>
          <w:szCs w:val="22"/>
        </w:rPr>
        <w:t xml:space="preserve"> </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z w:val="22"/>
          <w:szCs w:val="22"/>
        </w:rPr>
        <w:t>las</w:t>
      </w:r>
      <w:r w:rsidRPr="00EC452A">
        <w:rPr>
          <w:rFonts w:ascii="Arial" w:eastAsia="Arial" w:hAnsi="Arial" w:cs="Arial"/>
          <w:spacing w:val="44"/>
          <w:sz w:val="22"/>
          <w:szCs w:val="22"/>
        </w:rPr>
        <w:t xml:space="preserve"> </w:t>
      </w:r>
      <w:r w:rsidRPr="00EC452A">
        <w:rPr>
          <w:rFonts w:ascii="Arial" w:eastAsia="Arial" w:hAnsi="Arial" w:cs="Arial"/>
          <w:sz w:val="22"/>
          <w:szCs w:val="22"/>
        </w:rPr>
        <w:t>demás</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entidades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legalmente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autorizadas </w:t>
      </w:r>
      <w:r w:rsidRPr="00EC452A">
        <w:rPr>
          <w:rFonts w:ascii="Arial" w:eastAsia="Arial" w:hAnsi="Arial" w:cs="Arial"/>
          <w:spacing w:val="6"/>
          <w:sz w:val="22"/>
          <w:szCs w:val="22"/>
        </w:rPr>
        <w:t xml:space="preserve"> </w:t>
      </w:r>
      <w:r w:rsidRPr="00EC452A">
        <w:rPr>
          <w:rFonts w:ascii="Arial" w:eastAsia="Arial" w:hAnsi="Arial" w:cs="Arial"/>
          <w:sz w:val="22"/>
          <w:szCs w:val="22"/>
        </w:rPr>
        <w:t>para</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contratar, </w:t>
      </w:r>
      <w:r w:rsidRPr="00EC452A">
        <w:rPr>
          <w:rFonts w:ascii="Arial" w:eastAsia="Arial" w:hAnsi="Arial" w:cs="Arial"/>
          <w:spacing w:val="2"/>
          <w:sz w:val="22"/>
          <w:szCs w:val="22"/>
        </w:rPr>
        <w:t xml:space="preserve"> </w:t>
      </w:r>
      <w:r w:rsidRPr="00EC452A">
        <w:rPr>
          <w:rFonts w:ascii="Arial" w:eastAsia="Arial" w:hAnsi="Arial" w:cs="Arial"/>
          <w:sz w:val="22"/>
          <w:szCs w:val="22"/>
        </w:rPr>
        <w:t>una</w:t>
      </w:r>
      <w:r w:rsidRPr="00EC452A">
        <w:rPr>
          <w:rFonts w:ascii="Arial" w:eastAsia="Arial" w:hAnsi="Arial" w:cs="Arial"/>
          <w:spacing w:val="45"/>
          <w:sz w:val="22"/>
          <w:szCs w:val="22"/>
        </w:rPr>
        <w:t xml:space="preserve"> </w:t>
      </w:r>
      <w:r w:rsidRPr="00EC452A">
        <w:rPr>
          <w:rFonts w:ascii="Arial" w:eastAsia="Arial" w:hAnsi="Arial" w:cs="Arial"/>
          <w:sz w:val="22"/>
          <w:szCs w:val="22"/>
        </w:rPr>
        <w:t>lista</w:t>
      </w:r>
      <w:r w:rsidRPr="00EC452A">
        <w:rPr>
          <w:rFonts w:ascii="Arial" w:eastAsia="Arial" w:hAnsi="Arial" w:cs="Arial"/>
          <w:spacing w:val="46"/>
          <w:sz w:val="22"/>
          <w:szCs w:val="22"/>
        </w:rPr>
        <w:t xml:space="preserve"> </w:t>
      </w:r>
      <w:r w:rsidRPr="00EC452A">
        <w:rPr>
          <w:rFonts w:ascii="Arial" w:eastAsia="Arial" w:hAnsi="Arial" w:cs="Arial"/>
          <w:sz w:val="22"/>
          <w:szCs w:val="22"/>
        </w:rPr>
        <w:t>de</w:t>
      </w:r>
      <w:r w:rsidRPr="00EC452A">
        <w:rPr>
          <w:rFonts w:ascii="Arial" w:eastAsia="Arial" w:hAnsi="Arial" w:cs="Arial"/>
          <w:spacing w:val="43"/>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z w:val="22"/>
          <w:szCs w:val="22"/>
        </w:rPr>
        <w:t>personas</w:t>
      </w:r>
      <w:r w:rsidRPr="00EC452A">
        <w:rPr>
          <w:rFonts w:ascii="Arial" w:eastAsia="Arial" w:hAnsi="Arial" w:cs="Arial"/>
          <w:spacing w:val="43"/>
          <w:sz w:val="22"/>
          <w:szCs w:val="22"/>
        </w:rPr>
        <w:t xml:space="preserve"> </w:t>
      </w:r>
      <w:r w:rsidRPr="00EC452A">
        <w:rPr>
          <w:rFonts w:ascii="Arial" w:eastAsia="Arial" w:hAnsi="Arial" w:cs="Arial"/>
          <w:sz w:val="22"/>
          <w:szCs w:val="22"/>
        </w:rPr>
        <w:t>interesadas</w:t>
      </w:r>
      <w:r w:rsidRPr="00EC452A">
        <w:rPr>
          <w:rFonts w:ascii="Arial" w:eastAsia="Arial" w:hAnsi="Arial" w:cs="Arial"/>
          <w:spacing w:val="47"/>
          <w:sz w:val="22"/>
          <w:szCs w:val="22"/>
        </w:rPr>
        <w:t xml:space="preserve"> </w:t>
      </w:r>
      <w:r w:rsidRPr="00EC452A">
        <w:rPr>
          <w:rFonts w:ascii="Arial" w:eastAsia="Arial" w:hAnsi="Arial" w:cs="Arial"/>
          <w:sz w:val="22"/>
          <w:szCs w:val="22"/>
        </w:rPr>
        <w:t>que</w:t>
      </w:r>
      <w:r w:rsidRPr="00EC452A">
        <w:rPr>
          <w:rFonts w:ascii="Arial" w:eastAsia="Arial" w:hAnsi="Arial" w:cs="Arial"/>
          <w:spacing w:val="34"/>
          <w:sz w:val="22"/>
          <w:szCs w:val="22"/>
        </w:rPr>
        <w:t xml:space="preserve"> </w:t>
      </w:r>
      <w:r w:rsidRPr="00EC452A">
        <w:rPr>
          <w:rFonts w:ascii="Arial" w:eastAsia="Arial" w:hAnsi="Arial" w:cs="Arial"/>
          <w:sz w:val="22"/>
          <w:szCs w:val="22"/>
        </w:rPr>
        <w:t>haya</w:t>
      </w:r>
      <w:r w:rsidRPr="00EC452A">
        <w:rPr>
          <w:rFonts w:ascii="Arial" w:eastAsia="Arial" w:hAnsi="Arial" w:cs="Arial"/>
          <w:spacing w:val="36"/>
          <w:sz w:val="22"/>
          <w:szCs w:val="22"/>
        </w:rPr>
        <w:t xml:space="preserve"> </w:t>
      </w:r>
      <w:r w:rsidRPr="00EC452A">
        <w:rPr>
          <w:rFonts w:ascii="Arial" w:eastAsia="Arial" w:hAnsi="Arial" w:cs="Arial"/>
          <w:sz w:val="22"/>
          <w:szCs w:val="22"/>
        </w:rPr>
        <w:t>seleccionado</w:t>
      </w:r>
      <w:r w:rsidRPr="00EC452A">
        <w:rPr>
          <w:rFonts w:ascii="Arial" w:eastAsia="Arial" w:hAnsi="Arial" w:cs="Arial"/>
          <w:spacing w:val="50"/>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z w:val="22"/>
          <w:szCs w:val="22"/>
        </w:rPr>
        <w:t>que</w:t>
      </w:r>
      <w:r w:rsidRPr="00EC452A">
        <w:rPr>
          <w:rFonts w:ascii="Arial" w:eastAsia="Arial" w:hAnsi="Arial" w:cs="Arial"/>
          <w:spacing w:val="34"/>
          <w:sz w:val="22"/>
          <w:szCs w:val="22"/>
        </w:rPr>
        <w:t xml:space="preserve"> </w:t>
      </w:r>
      <w:r w:rsidRPr="00EC452A">
        <w:rPr>
          <w:rFonts w:ascii="Arial" w:eastAsia="Arial" w:hAnsi="Arial" w:cs="Arial"/>
          <w:sz w:val="22"/>
          <w:szCs w:val="22"/>
        </w:rPr>
        <w:t>cumplan</w:t>
      </w:r>
      <w:r w:rsidRPr="00EC452A">
        <w:rPr>
          <w:rFonts w:ascii="Arial" w:eastAsia="Arial" w:hAnsi="Arial" w:cs="Arial"/>
          <w:spacing w:val="42"/>
          <w:sz w:val="22"/>
          <w:szCs w:val="22"/>
        </w:rPr>
        <w:t xml:space="preserve"> </w:t>
      </w:r>
      <w:r w:rsidRPr="00EC452A">
        <w:rPr>
          <w:rFonts w:ascii="Arial" w:eastAsia="Arial" w:hAnsi="Arial" w:cs="Arial"/>
          <w:sz w:val="22"/>
          <w:szCs w:val="22"/>
        </w:rPr>
        <w:t>con</w:t>
      </w:r>
      <w:r w:rsidRPr="00EC452A">
        <w:rPr>
          <w:rFonts w:ascii="Arial" w:eastAsia="Arial" w:hAnsi="Arial" w:cs="Arial"/>
          <w:spacing w:val="34"/>
          <w:sz w:val="22"/>
          <w:szCs w:val="22"/>
        </w:rPr>
        <w:t xml:space="preserve"> </w:t>
      </w:r>
      <w:r w:rsidRPr="00EC452A">
        <w:rPr>
          <w:rFonts w:ascii="Arial" w:eastAsia="Arial" w:hAnsi="Arial" w:cs="Arial"/>
          <w:sz w:val="22"/>
          <w:szCs w:val="22"/>
        </w:rPr>
        <w:t>los</w:t>
      </w:r>
      <w:r w:rsidRPr="00EC452A">
        <w:rPr>
          <w:rFonts w:ascii="Arial" w:eastAsia="Arial" w:hAnsi="Arial" w:cs="Arial"/>
          <w:spacing w:val="33"/>
          <w:sz w:val="22"/>
          <w:szCs w:val="22"/>
        </w:rPr>
        <w:t xml:space="preserve"> </w:t>
      </w:r>
      <w:r w:rsidRPr="00EC452A">
        <w:rPr>
          <w:rFonts w:ascii="Arial" w:eastAsia="Arial" w:hAnsi="Arial" w:cs="Arial"/>
          <w:sz w:val="22"/>
          <w:szCs w:val="22"/>
        </w:rPr>
        <w:t>requisitos</w:t>
      </w:r>
      <w:r w:rsidRPr="00EC452A">
        <w:rPr>
          <w:rFonts w:ascii="Arial" w:eastAsia="Arial" w:hAnsi="Arial" w:cs="Arial"/>
          <w:spacing w:val="44"/>
          <w:sz w:val="22"/>
          <w:szCs w:val="22"/>
        </w:rPr>
        <w:t xml:space="preserve"> </w:t>
      </w:r>
      <w:r w:rsidRPr="00EC452A">
        <w:rPr>
          <w:rFonts w:ascii="Arial" w:eastAsia="Arial" w:hAnsi="Arial" w:cs="Arial"/>
          <w:sz w:val="22"/>
          <w:szCs w:val="22"/>
        </w:rPr>
        <w:t>que</w:t>
      </w:r>
      <w:r w:rsidRPr="00EC452A">
        <w:rPr>
          <w:rFonts w:ascii="Arial" w:eastAsia="Arial" w:hAnsi="Arial" w:cs="Arial"/>
          <w:spacing w:val="34"/>
          <w:sz w:val="22"/>
          <w:szCs w:val="22"/>
        </w:rPr>
        <w:t xml:space="preserve"> </w:t>
      </w:r>
      <w:r w:rsidRPr="00EC452A">
        <w:rPr>
          <w:rFonts w:ascii="Arial" w:eastAsia="Arial" w:hAnsi="Arial" w:cs="Arial"/>
          <w:w w:val="102"/>
          <w:sz w:val="22"/>
          <w:szCs w:val="22"/>
        </w:rPr>
        <w:t xml:space="preserve">establecen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Ley</w:t>
      </w:r>
      <w:r w:rsidRPr="00EC452A">
        <w:rPr>
          <w:rFonts w:ascii="Arial" w:eastAsia="Arial" w:hAnsi="Arial" w:cs="Arial"/>
          <w:spacing w:val="13"/>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este</w:t>
      </w:r>
      <w:r w:rsidRPr="00EC452A">
        <w:rPr>
          <w:rFonts w:ascii="Arial" w:eastAsia="Arial" w:hAnsi="Arial" w:cs="Arial"/>
          <w:spacing w:val="14"/>
          <w:sz w:val="22"/>
          <w:szCs w:val="22"/>
        </w:rPr>
        <w:t xml:space="preserve"> </w:t>
      </w:r>
      <w:r w:rsidRPr="00EC452A">
        <w:rPr>
          <w:rFonts w:ascii="Arial" w:eastAsia="Arial" w:hAnsi="Arial" w:cs="Arial"/>
          <w:sz w:val="22"/>
          <w:szCs w:val="22"/>
        </w:rPr>
        <w:t>Reglamento</w:t>
      </w:r>
      <w:r w:rsidRPr="00EC452A">
        <w:rPr>
          <w:rFonts w:ascii="Arial" w:eastAsia="Arial" w:hAnsi="Arial" w:cs="Arial"/>
          <w:spacing w:val="27"/>
          <w:sz w:val="22"/>
          <w:szCs w:val="22"/>
        </w:rPr>
        <w:t xml:space="preserve"> </w:t>
      </w:r>
      <w:r w:rsidRPr="00EC452A">
        <w:rPr>
          <w:rFonts w:ascii="Arial" w:eastAsia="Arial" w:hAnsi="Arial" w:cs="Arial"/>
          <w:sz w:val="22"/>
          <w:szCs w:val="22"/>
        </w:rPr>
        <w:t>respecto</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explotación</w:t>
      </w:r>
      <w:r w:rsidRPr="00EC452A">
        <w:rPr>
          <w:rFonts w:ascii="Arial" w:eastAsia="Arial" w:hAnsi="Arial" w:cs="Arial"/>
          <w:spacing w:val="26"/>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tierras</w:t>
      </w:r>
      <w:r w:rsidRPr="00EC452A">
        <w:rPr>
          <w:rFonts w:ascii="Arial" w:eastAsia="Arial" w:hAnsi="Arial" w:cs="Arial"/>
          <w:spacing w:val="18"/>
          <w:sz w:val="22"/>
          <w:szCs w:val="22"/>
        </w:rPr>
        <w:t xml:space="preserve"> </w:t>
      </w:r>
      <w:r w:rsidRPr="00EC452A">
        <w:rPr>
          <w:rFonts w:ascii="Arial" w:eastAsia="Arial" w:hAnsi="Arial" w:cs="Arial"/>
          <w:sz w:val="22"/>
          <w:szCs w:val="22"/>
        </w:rPr>
        <w:t>declaradas</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ociosas.</w:t>
      </w:r>
    </w:p>
    <w:p w14:paraId="3E7F9EFC"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157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z w:val="22"/>
          <w:szCs w:val="22"/>
        </w:rPr>
        <w:t>Las</w:t>
      </w:r>
      <w:r w:rsidRPr="00EC452A">
        <w:rPr>
          <w:rFonts w:ascii="Arial" w:eastAsia="Arial" w:hAnsi="Arial" w:cs="Arial"/>
          <w:spacing w:val="40"/>
          <w:sz w:val="22"/>
          <w:szCs w:val="22"/>
        </w:rPr>
        <w:t xml:space="preserve"> </w:t>
      </w:r>
      <w:r w:rsidRPr="00EC452A">
        <w:rPr>
          <w:rFonts w:ascii="Arial" w:eastAsia="Arial" w:hAnsi="Arial" w:cs="Arial"/>
          <w:sz w:val="22"/>
          <w:szCs w:val="22"/>
        </w:rPr>
        <w:t>entidades</w:t>
      </w:r>
      <w:r w:rsidRPr="00EC452A">
        <w:rPr>
          <w:rFonts w:ascii="Arial" w:eastAsia="Arial" w:hAnsi="Arial" w:cs="Arial"/>
          <w:spacing w:val="50"/>
          <w:sz w:val="22"/>
          <w:szCs w:val="22"/>
        </w:rPr>
        <w:t xml:space="preserve"> </w:t>
      </w:r>
      <w:r w:rsidRPr="00EC452A">
        <w:rPr>
          <w:rFonts w:ascii="Arial" w:eastAsia="Arial" w:hAnsi="Arial" w:cs="Arial"/>
          <w:sz w:val="22"/>
          <w:szCs w:val="22"/>
        </w:rPr>
        <w:t>legalmente</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autorizadas, </w:t>
      </w:r>
      <w:r w:rsidRPr="00EC452A">
        <w:rPr>
          <w:rFonts w:ascii="Arial" w:eastAsia="Arial" w:hAnsi="Arial" w:cs="Arial"/>
          <w:spacing w:val="2"/>
          <w:sz w:val="22"/>
          <w:szCs w:val="22"/>
        </w:rPr>
        <w:t xml:space="preserve"> </w:t>
      </w:r>
      <w:r w:rsidRPr="00EC452A">
        <w:rPr>
          <w:rFonts w:ascii="Arial" w:eastAsia="Arial" w:hAnsi="Arial" w:cs="Arial"/>
          <w:sz w:val="22"/>
          <w:szCs w:val="22"/>
        </w:rPr>
        <w:t>dentro</w:t>
      </w:r>
      <w:r w:rsidRPr="00EC452A">
        <w:rPr>
          <w:rFonts w:ascii="Arial" w:eastAsia="Arial" w:hAnsi="Arial" w:cs="Arial"/>
          <w:spacing w:val="45"/>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sz w:val="22"/>
          <w:szCs w:val="22"/>
        </w:rPr>
        <w:t>los</w:t>
      </w:r>
      <w:r w:rsidRPr="00EC452A">
        <w:rPr>
          <w:rFonts w:ascii="Arial" w:eastAsia="Arial" w:hAnsi="Arial" w:cs="Arial"/>
          <w:spacing w:val="39"/>
          <w:sz w:val="22"/>
          <w:szCs w:val="22"/>
        </w:rPr>
        <w:t xml:space="preserve"> </w:t>
      </w:r>
      <w:r w:rsidRPr="00EC452A">
        <w:rPr>
          <w:rFonts w:ascii="Arial" w:eastAsia="Arial" w:hAnsi="Arial" w:cs="Arial"/>
          <w:sz w:val="22"/>
          <w:szCs w:val="22"/>
        </w:rPr>
        <w:t>límites</w:t>
      </w:r>
      <w:r w:rsidRPr="00EC452A">
        <w:rPr>
          <w:rFonts w:ascii="Arial" w:eastAsia="Arial" w:hAnsi="Arial" w:cs="Arial"/>
          <w:spacing w:val="45"/>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sz w:val="22"/>
          <w:szCs w:val="22"/>
        </w:rPr>
        <w:t>extensión</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1"/>
          <w:sz w:val="22"/>
          <w:szCs w:val="22"/>
        </w:rPr>
        <w:t>terreno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señal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8</w:t>
      </w:r>
      <w:r w:rsidRPr="00EC452A">
        <w:rPr>
          <w:rFonts w:ascii="Arial" w:eastAsia="Arial" w:hAnsi="Arial" w:cs="Arial"/>
          <w:sz w:val="22"/>
          <w:szCs w:val="22"/>
        </w:rPr>
        <w:t>5</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otorga</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contrato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us</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z w:val="22"/>
          <w:szCs w:val="22"/>
        </w:rPr>
        <w:t>y</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goc</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3"/>
          <w:sz w:val="22"/>
          <w:szCs w:val="22"/>
        </w:rPr>
        <w:t>tierra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3"/>
          <w:sz w:val="22"/>
          <w:szCs w:val="22"/>
        </w:rPr>
        <w:t>ociosa</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27"/>
          <w:sz w:val="22"/>
          <w:szCs w:val="22"/>
        </w:rPr>
        <w:t>c</w:t>
      </w:r>
      <w:r w:rsidRPr="00EC452A">
        <w:rPr>
          <w:rFonts w:ascii="Arial" w:eastAsia="Arial" w:hAnsi="Arial" w:cs="Arial"/>
          <w:spacing w:val="-2"/>
          <w:sz w:val="22"/>
          <w:szCs w:val="22"/>
        </w:rPr>
        <w:t>ad</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individuo</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deberá</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otorga</w:t>
      </w:r>
      <w:r w:rsidRPr="00EC452A">
        <w:rPr>
          <w:rFonts w:ascii="Arial" w:eastAsia="Arial" w:hAnsi="Arial" w:cs="Arial"/>
          <w:sz w:val="22"/>
          <w:szCs w:val="22"/>
        </w:rPr>
        <w:t>r</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trat</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equitativ</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solicitante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2"/>
          <w:w w:val="102"/>
          <w:sz w:val="22"/>
          <w:szCs w:val="22"/>
        </w:rPr>
        <w:t xml:space="preserve">conforme </w:t>
      </w:r>
      <w:r w:rsidRPr="00EC452A">
        <w:rPr>
          <w:rFonts w:ascii="Arial" w:eastAsia="Arial" w:hAnsi="Arial" w:cs="Arial"/>
          <w:w w:val="102"/>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mism</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velar</w:t>
      </w:r>
      <w:r w:rsidRPr="00EC452A">
        <w:rPr>
          <w:rFonts w:ascii="Arial" w:eastAsia="Arial" w:hAnsi="Arial" w:cs="Arial"/>
          <w:sz w:val="22"/>
          <w:szCs w:val="22"/>
        </w:rPr>
        <w:t>á</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disposición.</w:t>
      </w:r>
    </w:p>
    <w:p w14:paraId="410304A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158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todo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contrato</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entida</w:t>
      </w:r>
      <w:r w:rsidRPr="00EC452A">
        <w:rPr>
          <w:rFonts w:ascii="Arial" w:eastAsia="Arial" w:hAnsi="Arial" w:cs="Arial"/>
          <w:sz w:val="22"/>
          <w:szCs w:val="22"/>
        </w:rPr>
        <w:t xml:space="preserve">d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celebr</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 xml:space="preserve">n </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2"/>
          <w:sz w:val="22"/>
          <w:szCs w:val="22"/>
        </w:rPr>
        <w:t>tierra</w:t>
      </w:r>
      <w:r w:rsidRPr="00EC452A">
        <w:rPr>
          <w:rFonts w:ascii="Arial" w:eastAsia="Arial" w:hAnsi="Arial" w:cs="Arial"/>
          <w:sz w:val="22"/>
          <w:szCs w:val="22"/>
        </w:rPr>
        <w:t xml:space="preserve">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ociosas,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deberá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existir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una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cláusula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por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cual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usuario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éstas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obligue </w:t>
      </w:r>
      <w:r w:rsidRPr="00EC452A">
        <w:rPr>
          <w:rFonts w:ascii="Arial" w:eastAsia="Arial" w:hAnsi="Arial" w:cs="Arial"/>
          <w:spacing w:val="33"/>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desocuparla</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conclui</w:t>
      </w:r>
      <w:r w:rsidRPr="00EC452A">
        <w:rPr>
          <w:rFonts w:ascii="Arial" w:eastAsia="Arial" w:hAnsi="Arial" w:cs="Arial"/>
          <w:sz w:val="22"/>
          <w:szCs w:val="22"/>
        </w:rPr>
        <w:t xml:space="preserve">r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términ</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convenido</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má</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requisit</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w w:val="102"/>
          <w:sz w:val="22"/>
          <w:szCs w:val="22"/>
        </w:rPr>
        <w:t xml:space="preserve">notificación </w:t>
      </w:r>
      <w:r w:rsidRPr="00EC452A">
        <w:rPr>
          <w:rFonts w:ascii="Arial" w:eastAsia="Arial" w:hAnsi="Arial" w:cs="Arial"/>
          <w:spacing w:val="-1"/>
          <w:sz w:val="22"/>
          <w:szCs w:val="22"/>
        </w:rPr>
        <w:t>correspondient</w:t>
      </w:r>
      <w:r w:rsidRPr="00EC452A">
        <w:rPr>
          <w:rFonts w:ascii="Arial" w:eastAsia="Arial" w:hAnsi="Arial" w:cs="Arial"/>
          <w:sz w:val="22"/>
          <w:szCs w:val="22"/>
        </w:rPr>
        <w:t>e  y</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aceptand</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tod</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tierr</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ocios</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ocupad</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directamente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Secretaría.</w:t>
      </w:r>
    </w:p>
    <w:p w14:paraId="2BD69C7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159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9</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prosig</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ocupació</w:t>
      </w:r>
      <w:r w:rsidRPr="00EC452A">
        <w:rPr>
          <w:rFonts w:ascii="Arial" w:eastAsia="Arial" w:hAnsi="Arial" w:cs="Arial"/>
          <w:sz w:val="22"/>
          <w:szCs w:val="22"/>
        </w:rPr>
        <w:t xml:space="preserve">n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ciclo </w:t>
      </w:r>
      <w:r w:rsidRPr="00EC452A">
        <w:rPr>
          <w:rFonts w:ascii="Arial" w:eastAsia="Arial" w:hAnsi="Arial" w:cs="Arial"/>
          <w:spacing w:val="-2"/>
          <w:sz w:val="22"/>
          <w:szCs w:val="22"/>
        </w:rPr>
        <w:t>productiv</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otro</w:t>
      </w:r>
      <w:r w:rsidRPr="00EC452A">
        <w:rPr>
          <w:rFonts w:ascii="Arial" w:eastAsia="Arial" w:hAnsi="Arial" w:cs="Arial"/>
          <w:sz w:val="22"/>
          <w:szCs w:val="22"/>
        </w:rPr>
        <w:t xml:space="preserve">,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ademá</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requerirs</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nuev</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declaratori</w:t>
      </w:r>
      <w:r w:rsidRPr="00EC452A">
        <w:rPr>
          <w:rFonts w:ascii="Arial" w:eastAsia="Arial" w:hAnsi="Arial" w:cs="Arial"/>
          <w:sz w:val="22"/>
          <w:szCs w:val="22"/>
        </w:rPr>
        <w:t xml:space="preserve">a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ociosidad</w:t>
      </w:r>
      <w:r w:rsidRPr="00EC452A">
        <w:rPr>
          <w:rFonts w:ascii="Arial" w:eastAsia="Arial" w:hAnsi="Arial" w:cs="Arial"/>
          <w:sz w:val="22"/>
          <w:szCs w:val="22"/>
        </w:rPr>
        <w:t xml:space="preserve">,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tampoc</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2"/>
          <w:w w:val="102"/>
          <w:sz w:val="22"/>
          <w:szCs w:val="22"/>
        </w:rPr>
        <w:t xml:space="preserve">será </w:t>
      </w:r>
      <w:r w:rsidRPr="00EC452A">
        <w:rPr>
          <w:rFonts w:ascii="Arial" w:eastAsia="Arial" w:hAnsi="Arial" w:cs="Arial"/>
          <w:spacing w:val="-2"/>
          <w:sz w:val="22"/>
          <w:szCs w:val="22"/>
        </w:rPr>
        <w:t>necesari</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celebració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nuev</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contrat</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aprovechamient</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tierra</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2"/>
          <w:w w:val="102"/>
          <w:sz w:val="22"/>
          <w:szCs w:val="22"/>
        </w:rPr>
        <w:t xml:space="preserve">menos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person</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hay</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explotad</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y</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dese</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continua</w:t>
      </w:r>
      <w:r w:rsidRPr="00EC452A">
        <w:rPr>
          <w:rFonts w:ascii="Arial" w:eastAsia="Arial" w:hAnsi="Arial" w:cs="Arial"/>
          <w:sz w:val="22"/>
          <w:szCs w:val="22"/>
        </w:rPr>
        <w:t>r</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haciéndolo.</w:t>
      </w:r>
    </w:p>
    <w:p w14:paraId="633C54B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8</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comunicar</w:t>
      </w:r>
      <w:r w:rsidRPr="00EC452A">
        <w:rPr>
          <w:rFonts w:ascii="Arial" w:eastAsia="Arial" w:hAnsi="Arial" w:cs="Arial"/>
          <w:sz w:val="22"/>
          <w:szCs w:val="22"/>
        </w:rPr>
        <w:t>á</w:t>
      </w:r>
      <w:r w:rsidRPr="00EC452A">
        <w:rPr>
          <w:rFonts w:ascii="Arial" w:eastAsia="Arial" w:hAnsi="Arial" w:cs="Arial"/>
          <w:spacing w:val="44"/>
          <w:sz w:val="22"/>
          <w:szCs w:val="22"/>
        </w:rPr>
        <w:t xml:space="preserve"> </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Reform</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Agraria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tenga</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interé</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cultiva</w:t>
      </w:r>
      <w:r w:rsidRPr="00EC452A">
        <w:rPr>
          <w:rFonts w:ascii="Arial" w:eastAsia="Arial" w:hAnsi="Arial" w:cs="Arial"/>
          <w:sz w:val="22"/>
          <w:szCs w:val="22"/>
        </w:rPr>
        <w:t>r</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después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cumplirs</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año</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consecutivo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ocupación.</w:t>
      </w:r>
    </w:p>
    <w:p w14:paraId="1C8BF7F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160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 xml:space="preserve">n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otorgars</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permiso</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autorizacione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precario</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us</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aguas </w:t>
      </w:r>
      <w:r w:rsidRPr="00EC452A">
        <w:rPr>
          <w:rFonts w:ascii="Arial" w:eastAsia="Arial" w:hAnsi="Arial" w:cs="Arial"/>
          <w:spacing w:val="-1"/>
          <w:sz w:val="22"/>
          <w:szCs w:val="22"/>
        </w:rPr>
        <w:t>nacionale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duració</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igua</w:t>
      </w:r>
      <w:r w:rsidRPr="00EC452A">
        <w:rPr>
          <w:rFonts w:ascii="Arial" w:eastAsia="Arial" w:hAnsi="Arial" w:cs="Arial"/>
          <w:sz w:val="22"/>
          <w:szCs w:val="22"/>
        </w:rPr>
        <w:t>l</w:t>
      </w:r>
      <w:r w:rsidRPr="00EC452A">
        <w:rPr>
          <w:rFonts w:ascii="Arial" w:eastAsia="Arial" w:hAnsi="Arial" w:cs="Arial"/>
          <w:spacing w:val="44"/>
          <w:sz w:val="22"/>
          <w:szCs w:val="22"/>
        </w:rPr>
        <w:t xml:space="preserve"> </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z w:val="22"/>
          <w:szCs w:val="22"/>
        </w:rPr>
        <w:t>ociosas,</w:t>
      </w:r>
      <w:r w:rsidRPr="00EC452A">
        <w:rPr>
          <w:rFonts w:ascii="Arial" w:eastAsia="Arial" w:hAnsi="Arial" w:cs="Arial"/>
          <w:spacing w:val="32"/>
          <w:sz w:val="22"/>
          <w:szCs w:val="22"/>
        </w:rPr>
        <w:t xml:space="preserve"> </w:t>
      </w:r>
      <w:r w:rsidRPr="00EC452A">
        <w:rPr>
          <w:rFonts w:ascii="Arial" w:eastAsia="Arial" w:hAnsi="Arial" w:cs="Arial"/>
          <w:sz w:val="22"/>
          <w:szCs w:val="22"/>
        </w:rPr>
        <w:t>en</w:t>
      </w:r>
      <w:r w:rsidRPr="00EC452A">
        <w:rPr>
          <w:rFonts w:ascii="Arial" w:eastAsia="Arial" w:hAnsi="Arial" w:cs="Arial"/>
          <w:spacing w:val="22"/>
          <w:sz w:val="22"/>
          <w:szCs w:val="22"/>
        </w:rPr>
        <w:t xml:space="preserve"> </w:t>
      </w:r>
      <w:r w:rsidRPr="00EC452A">
        <w:rPr>
          <w:rFonts w:ascii="Arial" w:eastAsia="Arial" w:hAnsi="Arial" w:cs="Arial"/>
          <w:sz w:val="22"/>
          <w:szCs w:val="22"/>
        </w:rPr>
        <w:t>el</w:t>
      </w:r>
      <w:r w:rsidRPr="00EC452A">
        <w:rPr>
          <w:rFonts w:ascii="Arial" w:eastAsia="Arial" w:hAnsi="Arial" w:cs="Arial"/>
          <w:spacing w:val="21"/>
          <w:sz w:val="22"/>
          <w:szCs w:val="22"/>
        </w:rPr>
        <w:t xml:space="preserve"> </w:t>
      </w:r>
      <w:r w:rsidRPr="00EC452A">
        <w:rPr>
          <w:rFonts w:ascii="Arial" w:eastAsia="Arial" w:hAnsi="Arial" w:cs="Arial"/>
          <w:sz w:val="22"/>
          <w:szCs w:val="22"/>
        </w:rPr>
        <w:t>supuesto</w:t>
      </w:r>
      <w:r w:rsidRPr="00EC452A">
        <w:rPr>
          <w:rFonts w:ascii="Arial" w:eastAsia="Arial" w:hAnsi="Arial" w:cs="Arial"/>
          <w:spacing w:val="33"/>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w w:val="102"/>
          <w:sz w:val="22"/>
          <w:szCs w:val="22"/>
        </w:rPr>
        <w:t xml:space="preserve">que </w:t>
      </w:r>
      <w:r w:rsidRPr="00EC452A">
        <w:rPr>
          <w:rFonts w:ascii="Arial" w:eastAsia="Arial" w:hAnsi="Arial" w:cs="Arial"/>
          <w:sz w:val="22"/>
          <w:szCs w:val="22"/>
        </w:rPr>
        <w:t>haya</w:t>
      </w:r>
      <w:r w:rsidRPr="00EC452A">
        <w:rPr>
          <w:rFonts w:ascii="Arial" w:eastAsia="Arial" w:hAnsi="Arial" w:cs="Arial"/>
          <w:spacing w:val="6"/>
          <w:sz w:val="22"/>
          <w:szCs w:val="22"/>
        </w:rPr>
        <w:t xml:space="preserve"> </w:t>
      </w:r>
      <w:r w:rsidRPr="00EC452A">
        <w:rPr>
          <w:rFonts w:ascii="Arial" w:eastAsia="Arial" w:hAnsi="Arial" w:cs="Arial"/>
          <w:sz w:val="22"/>
          <w:szCs w:val="22"/>
        </w:rPr>
        <w:t>aguas</w:t>
      </w:r>
      <w:r w:rsidRPr="00EC452A">
        <w:rPr>
          <w:rFonts w:ascii="Arial" w:eastAsia="Arial" w:hAnsi="Arial" w:cs="Arial"/>
          <w:spacing w:val="8"/>
          <w:sz w:val="22"/>
          <w:szCs w:val="22"/>
        </w:rPr>
        <w:t xml:space="preserve"> </w:t>
      </w:r>
      <w:r w:rsidRPr="00EC452A">
        <w:rPr>
          <w:rFonts w:ascii="Arial" w:eastAsia="Arial" w:hAnsi="Arial" w:cs="Arial"/>
          <w:sz w:val="22"/>
          <w:szCs w:val="22"/>
        </w:rPr>
        <w:t>libres,</w:t>
      </w:r>
      <w:r w:rsidRPr="00EC452A">
        <w:rPr>
          <w:rFonts w:ascii="Arial" w:eastAsia="Arial" w:hAnsi="Arial" w:cs="Arial"/>
          <w:spacing w:val="8"/>
          <w:sz w:val="22"/>
          <w:szCs w:val="22"/>
        </w:rPr>
        <w:t xml:space="preserve"> </w:t>
      </w:r>
      <w:r w:rsidRPr="00EC452A">
        <w:rPr>
          <w:rFonts w:ascii="Arial" w:eastAsia="Arial" w:hAnsi="Arial" w:cs="Arial"/>
          <w:sz w:val="22"/>
          <w:szCs w:val="22"/>
        </w:rPr>
        <w:t>siempre</w:t>
      </w:r>
      <w:r w:rsidRPr="00EC452A">
        <w:rPr>
          <w:rFonts w:ascii="Arial" w:eastAsia="Arial" w:hAnsi="Arial" w:cs="Arial"/>
          <w:spacing w:val="12"/>
          <w:sz w:val="22"/>
          <w:szCs w:val="22"/>
        </w:rPr>
        <w:t xml:space="preserve"> </w:t>
      </w:r>
      <w:r w:rsidRPr="00EC452A">
        <w:rPr>
          <w:rFonts w:ascii="Arial" w:eastAsia="Arial" w:hAnsi="Arial" w:cs="Arial"/>
          <w:sz w:val="22"/>
          <w:szCs w:val="22"/>
        </w:rPr>
        <w:t>que</w:t>
      </w:r>
      <w:r w:rsidRPr="00EC452A">
        <w:rPr>
          <w:rFonts w:ascii="Arial" w:eastAsia="Arial" w:hAnsi="Arial" w:cs="Arial"/>
          <w:spacing w:val="4"/>
          <w:sz w:val="22"/>
          <w:szCs w:val="22"/>
        </w:rPr>
        <w:t xml:space="preserve"> </w:t>
      </w:r>
      <w:r w:rsidRPr="00EC452A">
        <w:rPr>
          <w:rFonts w:ascii="Arial" w:eastAsia="Arial" w:hAnsi="Arial" w:cs="Arial"/>
          <w:sz w:val="22"/>
          <w:szCs w:val="22"/>
        </w:rPr>
        <w:t>no</w:t>
      </w:r>
      <w:r w:rsidRPr="00EC452A">
        <w:rPr>
          <w:rFonts w:ascii="Arial" w:eastAsia="Arial" w:hAnsi="Arial" w:cs="Arial"/>
          <w:spacing w:val="2"/>
          <w:sz w:val="22"/>
          <w:szCs w:val="22"/>
        </w:rPr>
        <w:t xml:space="preserve"> </w:t>
      </w:r>
      <w:r w:rsidRPr="00EC452A">
        <w:rPr>
          <w:rFonts w:ascii="Arial" w:eastAsia="Arial" w:hAnsi="Arial" w:cs="Arial"/>
          <w:sz w:val="22"/>
          <w:szCs w:val="22"/>
        </w:rPr>
        <w:t>se</w:t>
      </w:r>
      <w:r w:rsidRPr="00EC452A">
        <w:rPr>
          <w:rFonts w:ascii="Arial" w:eastAsia="Arial" w:hAnsi="Arial" w:cs="Arial"/>
          <w:spacing w:val="2"/>
          <w:sz w:val="22"/>
          <w:szCs w:val="22"/>
        </w:rPr>
        <w:t xml:space="preserve"> </w:t>
      </w:r>
      <w:r w:rsidRPr="00EC452A">
        <w:rPr>
          <w:rFonts w:ascii="Arial" w:eastAsia="Arial" w:hAnsi="Arial" w:cs="Arial"/>
          <w:sz w:val="22"/>
          <w:szCs w:val="22"/>
        </w:rPr>
        <w:t>lesionen</w:t>
      </w:r>
      <w:r w:rsidRPr="00EC452A">
        <w:rPr>
          <w:rFonts w:ascii="Arial" w:eastAsia="Arial" w:hAnsi="Arial" w:cs="Arial"/>
          <w:spacing w:val="12"/>
          <w:sz w:val="22"/>
          <w:szCs w:val="22"/>
        </w:rPr>
        <w:t xml:space="preserve"> </w:t>
      </w:r>
      <w:r w:rsidRPr="00EC452A">
        <w:rPr>
          <w:rFonts w:ascii="Arial" w:eastAsia="Arial" w:hAnsi="Arial" w:cs="Arial"/>
          <w:sz w:val="22"/>
          <w:szCs w:val="22"/>
        </w:rPr>
        <w:t>derechos</w:t>
      </w:r>
      <w:r w:rsidRPr="00EC452A">
        <w:rPr>
          <w:rFonts w:ascii="Arial" w:eastAsia="Arial" w:hAnsi="Arial" w:cs="Arial"/>
          <w:spacing w:val="14"/>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terceros</w:t>
      </w:r>
      <w:r w:rsidRPr="00EC452A">
        <w:rPr>
          <w:rFonts w:ascii="Arial" w:eastAsia="Arial" w:hAnsi="Arial" w:cs="Arial"/>
          <w:spacing w:val="12"/>
          <w:sz w:val="22"/>
          <w:szCs w:val="22"/>
        </w:rPr>
        <w:t xml:space="preserve"> </w:t>
      </w:r>
      <w:r w:rsidRPr="00EC452A">
        <w:rPr>
          <w:rFonts w:ascii="Arial" w:eastAsia="Arial" w:hAnsi="Arial" w:cs="Arial"/>
          <w:sz w:val="22"/>
          <w:szCs w:val="22"/>
        </w:rPr>
        <w:t>y que</w:t>
      </w:r>
      <w:r w:rsidRPr="00EC452A">
        <w:rPr>
          <w:rFonts w:ascii="Arial" w:eastAsia="Arial" w:hAnsi="Arial" w:cs="Arial"/>
          <w:spacing w:val="4"/>
          <w:sz w:val="22"/>
          <w:szCs w:val="22"/>
        </w:rPr>
        <w:t xml:space="preserve"> </w:t>
      </w:r>
      <w:r w:rsidRPr="00EC452A">
        <w:rPr>
          <w:rFonts w:ascii="Arial" w:eastAsia="Arial" w:hAnsi="Arial" w:cs="Arial"/>
          <w:sz w:val="22"/>
          <w:szCs w:val="22"/>
        </w:rPr>
        <w:t>se</w:t>
      </w:r>
      <w:r w:rsidRPr="00EC452A">
        <w:rPr>
          <w:rFonts w:ascii="Arial" w:eastAsia="Arial" w:hAnsi="Arial" w:cs="Arial"/>
          <w:spacing w:val="2"/>
          <w:sz w:val="22"/>
          <w:szCs w:val="22"/>
        </w:rPr>
        <w:t xml:space="preserve"> </w:t>
      </w:r>
      <w:r w:rsidRPr="00EC452A">
        <w:rPr>
          <w:rFonts w:ascii="Arial" w:eastAsia="Arial" w:hAnsi="Arial" w:cs="Arial"/>
          <w:sz w:val="22"/>
          <w:szCs w:val="22"/>
        </w:rPr>
        <w:t>cumplan</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z w:val="22"/>
          <w:szCs w:val="22"/>
        </w:rPr>
        <w:t>condiciones</w:t>
      </w:r>
      <w:r w:rsidRPr="00EC452A">
        <w:rPr>
          <w:rFonts w:ascii="Arial" w:eastAsia="Arial" w:hAnsi="Arial" w:cs="Arial"/>
          <w:spacing w:val="27"/>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Secretaría</w:t>
      </w:r>
      <w:r w:rsidRPr="00EC452A">
        <w:rPr>
          <w:rFonts w:ascii="Arial" w:eastAsia="Arial" w:hAnsi="Arial" w:cs="Arial"/>
          <w:spacing w:val="25"/>
          <w:sz w:val="22"/>
          <w:szCs w:val="22"/>
        </w:rPr>
        <w:t xml:space="preserve"> </w:t>
      </w:r>
      <w:r w:rsidRPr="00EC452A">
        <w:rPr>
          <w:rFonts w:ascii="Arial" w:eastAsia="Arial" w:hAnsi="Arial" w:cs="Arial"/>
          <w:sz w:val="22"/>
          <w:szCs w:val="22"/>
        </w:rPr>
        <w:t>establezca</w:t>
      </w:r>
      <w:r w:rsidRPr="00EC452A">
        <w:rPr>
          <w:rFonts w:ascii="Arial" w:eastAsia="Arial" w:hAnsi="Arial" w:cs="Arial"/>
          <w:spacing w:val="25"/>
          <w:sz w:val="22"/>
          <w:szCs w:val="22"/>
        </w:rPr>
        <w:t xml:space="preserve"> </w:t>
      </w:r>
      <w:r w:rsidRPr="00EC452A">
        <w:rPr>
          <w:rFonts w:ascii="Arial" w:eastAsia="Arial" w:hAnsi="Arial" w:cs="Arial"/>
          <w:sz w:val="22"/>
          <w:szCs w:val="22"/>
        </w:rPr>
        <w:t>al</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respecto.</w:t>
      </w:r>
    </w:p>
    <w:p w14:paraId="40B534C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161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ociosa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manifieste</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escrit</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z w:val="22"/>
          <w:szCs w:val="22"/>
        </w:rPr>
        <w:t xml:space="preserve">la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Secretaría,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con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un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mínimo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tres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meses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anticipación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al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inicio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ciclo </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 xml:space="preserve">productivo </w:t>
      </w:r>
      <w:r w:rsidRPr="00EC452A">
        <w:rPr>
          <w:rFonts w:ascii="Arial" w:eastAsia="Arial" w:hAnsi="Arial" w:cs="Arial"/>
          <w:spacing w:val="-1"/>
          <w:sz w:val="22"/>
          <w:szCs w:val="22"/>
        </w:rPr>
        <w:t>siguient</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dese</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explota</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predio</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devolució</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declarada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w w:val="102"/>
          <w:sz w:val="22"/>
          <w:szCs w:val="22"/>
        </w:rPr>
        <w:t xml:space="preserve">ociosas </w:t>
      </w:r>
      <w:r w:rsidRPr="00EC452A">
        <w:rPr>
          <w:rFonts w:ascii="Arial" w:eastAsia="Arial" w:hAnsi="Arial" w:cs="Arial"/>
          <w:spacing w:val="-1"/>
          <w:sz w:val="22"/>
          <w:szCs w:val="22"/>
        </w:rPr>
        <w:t>corresponder</w:t>
      </w:r>
      <w:r w:rsidRPr="00EC452A">
        <w:rPr>
          <w:rFonts w:ascii="Arial" w:eastAsia="Arial" w:hAnsi="Arial" w:cs="Arial"/>
          <w:sz w:val="22"/>
          <w:szCs w:val="22"/>
        </w:rPr>
        <w:t>á</w:t>
      </w:r>
      <w:r w:rsidRPr="00EC452A">
        <w:rPr>
          <w:rFonts w:ascii="Arial" w:eastAsia="Arial" w:hAnsi="Arial" w:cs="Arial"/>
          <w:spacing w:val="30"/>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representante</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Secretaría.</w:t>
      </w:r>
    </w:p>
    <w:p w14:paraId="02B73D1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5"/>
          <w:sz w:val="22"/>
          <w:szCs w:val="22"/>
        </w:rPr>
        <w:t>E</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5"/>
          <w:sz w:val="22"/>
          <w:szCs w:val="22"/>
        </w:rPr>
        <w:t>c</w:t>
      </w:r>
      <w:r w:rsidRPr="00EC452A">
        <w:rPr>
          <w:rFonts w:ascii="Arial" w:eastAsia="Arial" w:hAnsi="Arial" w:cs="Arial"/>
          <w:spacing w:val="-10"/>
          <w:sz w:val="22"/>
          <w:szCs w:val="22"/>
        </w:rPr>
        <w:t>a</w:t>
      </w:r>
      <w:r w:rsidRPr="00EC452A">
        <w:rPr>
          <w:rFonts w:ascii="Arial" w:eastAsia="Arial" w:hAnsi="Arial" w:cs="Arial"/>
          <w:spacing w:val="-2"/>
          <w:sz w:val="22"/>
          <w:szCs w:val="22"/>
        </w:rPr>
        <w:t>s</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devolució</w:t>
      </w:r>
      <w:r w:rsidRPr="00EC452A">
        <w:rPr>
          <w:rFonts w:ascii="Arial" w:eastAsia="Arial" w:hAnsi="Arial" w:cs="Arial"/>
          <w:sz w:val="22"/>
          <w:szCs w:val="22"/>
        </w:rPr>
        <w:t xml:space="preserve">n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levantar</w:t>
      </w:r>
      <w:r w:rsidRPr="00EC452A">
        <w:rPr>
          <w:rFonts w:ascii="Arial" w:eastAsia="Arial" w:hAnsi="Arial" w:cs="Arial"/>
          <w:sz w:val="22"/>
          <w:szCs w:val="22"/>
        </w:rPr>
        <w:t xml:space="preserve">á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 xml:space="preserve">r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representante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 xml:space="preserve">acta </w:t>
      </w:r>
      <w:r w:rsidRPr="00EC452A">
        <w:rPr>
          <w:rFonts w:ascii="Arial" w:eastAsia="Arial" w:hAnsi="Arial" w:cs="Arial"/>
          <w:spacing w:val="-1"/>
          <w:sz w:val="22"/>
          <w:szCs w:val="22"/>
        </w:rPr>
        <w:t>correspondiente</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intervenció</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testigo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asistencia.</w:t>
      </w:r>
    </w:p>
    <w:p w14:paraId="4AAE8F8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162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import</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mejora</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beneficio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generale</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haga</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w w:val="102"/>
          <w:sz w:val="22"/>
          <w:szCs w:val="22"/>
        </w:rPr>
        <w:t xml:space="preserve">tierras </w:t>
      </w:r>
      <w:r w:rsidRPr="00EC452A">
        <w:rPr>
          <w:rFonts w:ascii="Arial" w:eastAsia="Arial" w:hAnsi="Arial" w:cs="Arial"/>
          <w:spacing w:val="1"/>
          <w:sz w:val="22"/>
          <w:szCs w:val="22"/>
        </w:rPr>
        <w:t>ociosas</w:t>
      </w:r>
      <w:r w:rsidRPr="00EC452A">
        <w:rPr>
          <w:rFonts w:ascii="Arial" w:eastAsia="Arial" w:hAnsi="Arial" w:cs="Arial"/>
          <w:sz w:val="22"/>
          <w:szCs w:val="22"/>
        </w:rPr>
        <w:t>,</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deduci</w:t>
      </w:r>
      <w:r w:rsidRPr="00EC452A">
        <w:rPr>
          <w:rFonts w:ascii="Arial" w:eastAsia="Arial" w:hAnsi="Arial" w:cs="Arial"/>
          <w:spacing w:val="-1"/>
          <w:sz w:val="22"/>
          <w:szCs w:val="22"/>
        </w:rPr>
        <w:t>r</w:t>
      </w:r>
      <w:r w:rsidRPr="00EC452A">
        <w:rPr>
          <w:rFonts w:ascii="Arial" w:eastAsia="Arial" w:hAnsi="Arial" w:cs="Arial"/>
          <w:sz w:val="22"/>
          <w:szCs w:val="22"/>
        </w:rPr>
        <w:t>á</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mont</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indemnizacione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ocupante</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deba</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reembolsa</w:t>
      </w:r>
      <w:r w:rsidRPr="00EC452A">
        <w:rPr>
          <w:rFonts w:ascii="Arial" w:eastAsia="Arial" w:hAnsi="Arial" w:cs="Arial"/>
          <w:sz w:val="22"/>
          <w:szCs w:val="22"/>
        </w:rPr>
        <w:t>r</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al </w:t>
      </w:r>
      <w:r w:rsidRPr="00EC452A">
        <w:rPr>
          <w:rFonts w:ascii="Arial" w:eastAsia="Arial" w:hAnsi="Arial" w:cs="Arial"/>
          <w:spacing w:val="-1"/>
          <w:sz w:val="22"/>
          <w:szCs w:val="22"/>
        </w:rPr>
        <w:t>Estad</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acuerd</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incis</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8</w:t>
      </w:r>
      <w:r w:rsidRPr="00EC452A">
        <w:rPr>
          <w:rFonts w:ascii="Arial" w:eastAsia="Arial" w:hAnsi="Arial" w:cs="Arial"/>
          <w:sz w:val="22"/>
          <w:szCs w:val="22"/>
        </w:rPr>
        <w:t xml:space="preserve">1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valo</w:t>
      </w:r>
      <w:r w:rsidRPr="00EC452A">
        <w:rPr>
          <w:rFonts w:ascii="Arial" w:eastAsia="Arial" w:hAnsi="Arial" w:cs="Arial"/>
          <w:sz w:val="22"/>
          <w:szCs w:val="22"/>
        </w:rPr>
        <w:t xml:space="preserve">r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dicha</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mejora</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2"/>
          <w:sz w:val="22"/>
          <w:szCs w:val="22"/>
        </w:rPr>
        <w:t>beneficio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fijar</w:t>
      </w:r>
      <w:r w:rsidRPr="00EC452A">
        <w:rPr>
          <w:rFonts w:ascii="Arial" w:eastAsia="Arial" w:hAnsi="Arial" w:cs="Arial"/>
          <w:sz w:val="22"/>
          <w:szCs w:val="22"/>
        </w:rPr>
        <w:t>á</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perit</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designad</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2"/>
          <w:w w:val="102"/>
          <w:sz w:val="22"/>
          <w:szCs w:val="22"/>
        </w:rPr>
        <w:t>caso.</w:t>
      </w:r>
    </w:p>
    <w:p w14:paraId="25C57D3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Consecuentemente</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propietari</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poseedo</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tierras</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reembolsar </w:t>
      </w:r>
      <w:r w:rsidRPr="00EC452A">
        <w:rPr>
          <w:rFonts w:ascii="Arial" w:eastAsia="Arial" w:hAnsi="Arial" w:cs="Arial"/>
          <w:spacing w:val="-2"/>
          <w:sz w:val="22"/>
          <w:szCs w:val="22"/>
        </w:rPr>
        <w:t>igualment</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import</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valo</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mejora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trate.</w:t>
      </w:r>
    </w:p>
    <w:p w14:paraId="2461C741" w14:textId="77777777" w:rsidR="00EC452A" w:rsidRPr="00EC452A" w:rsidRDefault="00EC452A" w:rsidP="00EC452A">
      <w:pPr>
        <w:spacing w:before="100" w:beforeAutospacing="1" w:after="100" w:afterAutospacing="1" w:line="240" w:lineRule="auto"/>
        <w:jc w:val="center"/>
        <w:rPr>
          <w:rFonts w:ascii="Arial" w:eastAsia="Arial" w:hAnsi="Arial" w:cs="Arial"/>
          <w:spacing w:val="-5"/>
          <w:w w:val="102"/>
          <w:sz w:val="22"/>
          <w:szCs w:val="22"/>
        </w:rPr>
      </w:pPr>
      <w:r w:rsidRPr="00EC452A">
        <w:rPr>
          <w:rFonts w:ascii="Arial" w:eastAsia="Arial" w:hAnsi="Arial" w:cs="Arial"/>
          <w:spacing w:val="-5"/>
          <w:sz w:val="22"/>
          <w:szCs w:val="22"/>
        </w:rPr>
        <w:t>TITUL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5"/>
          <w:w w:val="102"/>
          <w:sz w:val="22"/>
          <w:szCs w:val="22"/>
        </w:rPr>
        <w:t>OCTAVO</w:t>
      </w:r>
    </w:p>
    <w:p w14:paraId="5625D065"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4"/>
          <w:sz w:val="22"/>
          <w:szCs w:val="22"/>
        </w:rPr>
        <w:t>CAPITUL</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4"/>
          <w:w w:val="102"/>
          <w:sz w:val="22"/>
          <w:szCs w:val="22"/>
        </w:rPr>
        <w:t>UNICO</w:t>
      </w:r>
    </w:p>
    <w:p w14:paraId="03B88CFC"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Registro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Regionales.</w:t>
      </w:r>
    </w:p>
    <w:p w14:paraId="5A054E4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163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z w:val="22"/>
          <w:szCs w:val="22"/>
        </w:rPr>
        <w:t>El</w:t>
      </w:r>
      <w:r w:rsidRPr="00EC452A">
        <w:rPr>
          <w:rFonts w:ascii="Arial" w:eastAsia="Arial" w:hAnsi="Arial" w:cs="Arial"/>
          <w:spacing w:val="20"/>
          <w:sz w:val="22"/>
          <w:szCs w:val="22"/>
        </w:rPr>
        <w:t xml:space="preserve"> </w:t>
      </w:r>
      <w:r w:rsidRPr="00EC452A">
        <w:rPr>
          <w:rFonts w:ascii="Arial" w:eastAsia="Arial" w:hAnsi="Arial" w:cs="Arial"/>
          <w:sz w:val="22"/>
          <w:szCs w:val="22"/>
        </w:rPr>
        <w:t>registro</w:t>
      </w:r>
      <w:r w:rsidRPr="00EC452A">
        <w:rPr>
          <w:rFonts w:ascii="Arial" w:eastAsia="Arial" w:hAnsi="Arial" w:cs="Arial"/>
          <w:spacing w:val="30"/>
          <w:sz w:val="22"/>
          <w:szCs w:val="22"/>
        </w:rPr>
        <w:t xml:space="preserve"> </w:t>
      </w:r>
      <w:r w:rsidRPr="00EC452A">
        <w:rPr>
          <w:rFonts w:ascii="Arial" w:eastAsia="Arial" w:hAnsi="Arial" w:cs="Arial"/>
          <w:sz w:val="22"/>
          <w:szCs w:val="22"/>
        </w:rPr>
        <w:t>de</w:t>
      </w:r>
      <w:r w:rsidRPr="00EC452A">
        <w:rPr>
          <w:rFonts w:ascii="Arial" w:eastAsia="Arial" w:hAnsi="Arial" w:cs="Arial"/>
          <w:spacing w:val="21"/>
          <w:sz w:val="22"/>
          <w:szCs w:val="22"/>
        </w:rPr>
        <w:t xml:space="preserve"> </w:t>
      </w:r>
      <w:r w:rsidRPr="00EC452A">
        <w:rPr>
          <w:rFonts w:ascii="Arial" w:eastAsia="Arial" w:hAnsi="Arial" w:cs="Arial"/>
          <w:sz w:val="22"/>
          <w:szCs w:val="22"/>
        </w:rPr>
        <w:t>las</w:t>
      </w:r>
      <w:r w:rsidRPr="00EC452A">
        <w:rPr>
          <w:rFonts w:ascii="Arial" w:eastAsia="Arial" w:hAnsi="Arial" w:cs="Arial"/>
          <w:spacing w:val="22"/>
          <w:sz w:val="22"/>
          <w:szCs w:val="22"/>
        </w:rPr>
        <w:t xml:space="preserve"> </w:t>
      </w:r>
      <w:r w:rsidRPr="00EC452A">
        <w:rPr>
          <w:rFonts w:ascii="Arial" w:eastAsia="Arial" w:hAnsi="Arial" w:cs="Arial"/>
          <w:sz w:val="22"/>
          <w:szCs w:val="22"/>
        </w:rPr>
        <w:t>actas</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19"/>
          <w:sz w:val="22"/>
          <w:szCs w:val="22"/>
        </w:rPr>
        <w:t xml:space="preserve"> </w:t>
      </w:r>
      <w:r w:rsidRPr="00EC452A">
        <w:rPr>
          <w:rFonts w:ascii="Arial" w:eastAsia="Arial" w:hAnsi="Arial" w:cs="Arial"/>
          <w:sz w:val="22"/>
          <w:szCs w:val="22"/>
        </w:rPr>
        <w:t>documentos</w:t>
      </w:r>
      <w:r w:rsidRPr="00EC452A">
        <w:rPr>
          <w:rFonts w:ascii="Arial" w:eastAsia="Arial" w:hAnsi="Arial" w:cs="Arial"/>
          <w:spacing w:val="38"/>
          <w:sz w:val="22"/>
          <w:szCs w:val="22"/>
        </w:rPr>
        <w:t xml:space="preserve"> </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z w:val="22"/>
          <w:szCs w:val="22"/>
        </w:rPr>
        <w:t>que</w:t>
      </w:r>
      <w:r w:rsidRPr="00EC452A">
        <w:rPr>
          <w:rFonts w:ascii="Arial" w:eastAsia="Arial" w:hAnsi="Arial" w:cs="Arial"/>
          <w:spacing w:val="23"/>
          <w:sz w:val="22"/>
          <w:szCs w:val="22"/>
        </w:rPr>
        <w:t xml:space="preserve"> </w:t>
      </w:r>
      <w:r w:rsidRPr="00EC452A">
        <w:rPr>
          <w:rFonts w:ascii="Arial" w:eastAsia="Arial" w:hAnsi="Arial" w:cs="Arial"/>
          <w:sz w:val="22"/>
          <w:szCs w:val="22"/>
        </w:rPr>
        <w:t>se</w:t>
      </w:r>
      <w:r w:rsidRPr="00EC452A">
        <w:rPr>
          <w:rFonts w:ascii="Arial" w:eastAsia="Arial" w:hAnsi="Arial" w:cs="Arial"/>
          <w:spacing w:val="21"/>
          <w:sz w:val="22"/>
          <w:szCs w:val="22"/>
        </w:rPr>
        <w:t xml:space="preserve"> </w:t>
      </w:r>
      <w:r w:rsidRPr="00EC452A">
        <w:rPr>
          <w:rFonts w:ascii="Arial" w:eastAsia="Arial" w:hAnsi="Arial" w:cs="Arial"/>
          <w:sz w:val="22"/>
          <w:szCs w:val="22"/>
        </w:rPr>
        <w:t>refieren</w:t>
      </w:r>
      <w:r w:rsidRPr="00EC452A">
        <w:rPr>
          <w:rFonts w:ascii="Arial" w:eastAsia="Arial" w:hAnsi="Arial" w:cs="Arial"/>
          <w:spacing w:val="30"/>
          <w:sz w:val="22"/>
          <w:szCs w:val="22"/>
        </w:rPr>
        <w:t xml:space="preserve"> </w:t>
      </w:r>
      <w:r w:rsidRPr="00EC452A">
        <w:rPr>
          <w:rFonts w:ascii="Arial" w:eastAsia="Arial" w:hAnsi="Arial" w:cs="Arial"/>
          <w:sz w:val="22"/>
          <w:szCs w:val="22"/>
        </w:rPr>
        <w:t>la</w:t>
      </w:r>
      <w:r w:rsidRPr="00EC452A">
        <w:rPr>
          <w:rFonts w:ascii="Arial" w:eastAsia="Arial" w:hAnsi="Arial" w:cs="Arial"/>
          <w:spacing w:val="20"/>
          <w:sz w:val="22"/>
          <w:szCs w:val="22"/>
        </w:rPr>
        <w:t xml:space="preserve"> </w:t>
      </w:r>
      <w:r w:rsidRPr="00EC452A">
        <w:rPr>
          <w:rFonts w:ascii="Arial" w:eastAsia="Arial" w:hAnsi="Arial" w:cs="Arial"/>
          <w:sz w:val="22"/>
          <w:szCs w:val="22"/>
        </w:rPr>
        <w:t>Ley</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19"/>
          <w:sz w:val="22"/>
          <w:szCs w:val="22"/>
        </w:rPr>
        <w:t xml:space="preserve"> </w:t>
      </w:r>
      <w:r w:rsidRPr="00EC452A">
        <w:rPr>
          <w:rFonts w:ascii="Arial" w:eastAsia="Arial" w:hAnsi="Arial" w:cs="Arial"/>
          <w:sz w:val="22"/>
          <w:szCs w:val="22"/>
        </w:rPr>
        <w:t>este</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Reglamento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realizar</w:t>
      </w:r>
      <w:r w:rsidRPr="00EC452A">
        <w:rPr>
          <w:rFonts w:ascii="Arial" w:eastAsia="Arial" w:hAnsi="Arial" w:cs="Arial"/>
          <w:sz w:val="22"/>
          <w:szCs w:val="22"/>
        </w:rPr>
        <w:t>á</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operar</w:t>
      </w:r>
      <w:r w:rsidRPr="00EC452A">
        <w:rPr>
          <w:rFonts w:ascii="Arial" w:eastAsia="Arial" w:hAnsi="Arial" w:cs="Arial"/>
          <w:sz w:val="22"/>
          <w:szCs w:val="22"/>
        </w:rPr>
        <w:t>á</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México</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1"/>
          <w:sz w:val="22"/>
          <w:szCs w:val="22"/>
        </w:rPr>
        <w:t>auxiliar</w:t>
      </w:r>
      <w:r w:rsidRPr="00EC452A">
        <w:rPr>
          <w:rFonts w:ascii="Arial" w:eastAsia="Arial" w:hAnsi="Arial" w:cs="Arial"/>
          <w:sz w:val="22"/>
          <w:szCs w:val="22"/>
        </w:rPr>
        <w:t xml:space="preserve">á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registro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regionale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localidade</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exist</w:t>
      </w:r>
      <w:r w:rsidRPr="00EC452A">
        <w:rPr>
          <w:rFonts w:ascii="Arial" w:eastAsia="Arial" w:hAnsi="Arial" w:cs="Arial"/>
          <w:sz w:val="22"/>
          <w:szCs w:val="22"/>
        </w:rPr>
        <w:t xml:space="preserve">a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representació</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w w:val="102"/>
          <w:sz w:val="22"/>
          <w:szCs w:val="22"/>
        </w:rPr>
        <w:t>Secretaría.</w:t>
      </w:r>
    </w:p>
    <w:p w14:paraId="1899C70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coordinar</w:t>
      </w:r>
      <w:r w:rsidRPr="00EC452A">
        <w:rPr>
          <w:rFonts w:ascii="Arial" w:eastAsia="Arial" w:hAnsi="Arial" w:cs="Arial"/>
          <w:sz w:val="22"/>
          <w:szCs w:val="22"/>
        </w:rPr>
        <w:t>á</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funcione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Agrari</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unidades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producción.</w:t>
      </w:r>
    </w:p>
    <w:p w14:paraId="5E741B7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164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inscribirs</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 xml:space="preserve">Agropecuario. </w:t>
      </w:r>
      <w:r w:rsidRPr="00EC452A">
        <w:rPr>
          <w:rFonts w:ascii="Arial" w:eastAsia="Arial" w:hAnsi="Arial" w:cs="Arial"/>
          <w:spacing w:val="-1"/>
          <w:sz w:val="22"/>
          <w:szCs w:val="22"/>
        </w:rPr>
        <w:t>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área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w w:val="102"/>
          <w:sz w:val="22"/>
          <w:szCs w:val="22"/>
        </w:rPr>
        <w:t>productoras.</w:t>
      </w:r>
    </w:p>
    <w:p w14:paraId="274ECDF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II</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4"/>
          <w:sz w:val="22"/>
          <w:szCs w:val="22"/>
        </w:rPr>
        <w:t>La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z w:val="22"/>
          <w:szCs w:val="22"/>
        </w:rPr>
        <w:t>actas</w:t>
      </w:r>
      <w:r w:rsidRPr="00EC452A">
        <w:rPr>
          <w:rFonts w:ascii="Arial" w:eastAsia="Arial" w:hAnsi="Arial" w:cs="Arial"/>
          <w:spacing w:val="26"/>
          <w:sz w:val="22"/>
          <w:szCs w:val="22"/>
        </w:rPr>
        <w:t xml:space="preserve"> </w:t>
      </w:r>
      <w:r w:rsidRPr="00EC452A">
        <w:rPr>
          <w:rFonts w:ascii="Arial" w:eastAsia="Arial" w:hAnsi="Arial" w:cs="Arial"/>
          <w:sz w:val="22"/>
          <w:szCs w:val="22"/>
        </w:rPr>
        <w:t>constitutivas</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1"/>
          <w:sz w:val="22"/>
          <w:szCs w:val="22"/>
        </w:rPr>
        <w:t xml:space="preserve"> </w:t>
      </w:r>
      <w:r w:rsidRPr="00EC452A">
        <w:rPr>
          <w:rFonts w:ascii="Arial" w:eastAsia="Arial" w:hAnsi="Arial" w:cs="Arial"/>
          <w:sz w:val="22"/>
          <w:szCs w:val="22"/>
        </w:rPr>
        <w:t>las</w:t>
      </w:r>
      <w:r w:rsidRPr="00EC452A">
        <w:rPr>
          <w:rFonts w:ascii="Arial" w:eastAsia="Arial" w:hAnsi="Arial" w:cs="Arial"/>
          <w:spacing w:val="22"/>
          <w:sz w:val="22"/>
          <w:szCs w:val="22"/>
        </w:rPr>
        <w:t xml:space="preserve"> </w:t>
      </w:r>
      <w:r w:rsidRPr="00EC452A">
        <w:rPr>
          <w:rFonts w:ascii="Arial" w:eastAsia="Arial" w:hAnsi="Arial" w:cs="Arial"/>
          <w:sz w:val="22"/>
          <w:szCs w:val="22"/>
        </w:rPr>
        <w:t>unidades</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21"/>
          <w:sz w:val="22"/>
          <w:szCs w:val="22"/>
        </w:rPr>
        <w:t xml:space="preserve"> </w:t>
      </w:r>
      <w:r w:rsidRPr="00EC452A">
        <w:rPr>
          <w:rFonts w:ascii="Arial" w:eastAsia="Arial" w:hAnsi="Arial" w:cs="Arial"/>
          <w:sz w:val="22"/>
          <w:szCs w:val="22"/>
        </w:rPr>
        <w:t>producción</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z w:val="22"/>
          <w:szCs w:val="22"/>
        </w:rPr>
        <w:t>en</w:t>
      </w:r>
      <w:r w:rsidRPr="00EC452A">
        <w:rPr>
          <w:rFonts w:ascii="Arial" w:eastAsia="Arial" w:hAnsi="Arial" w:cs="Arial"/>
          <w:spacing w:val="21"/>
          <w:sz w:val="22"/>
          <w:szCs w:val="22"/>
        </w:rPr>
        <w:t xml:space="preserve"> </w:t>
      </w:r>
      <w:r w:rsidRPr="00EC452A">
        <w:rPr>
          <w:rFonts w:ascii="Arial" w:eastAsia="Arial" w:hAnsi="Arial" w:cs="Arial"/>
          <w:sz w:val="22"/>
          <w:szCs w:val="22"/>
        </w:rPr>
        <w:t>forma</w:t>
      </w:r>
      <w:r w:rsidRPr="00EC452A">
        <w:rPr>
          <w:rFonts w:ascii="Arial" w:eastAsia="Arial" w:hAnsi="Arial" w:cs="Arial"/>
          <w:spacing w:val="27"/>
          <w:sz w:val="22"/>
          <w:szCs w:val="22"/>
        </w:rPr>
        <w:t xml:space="preserve"> </w:t>
      </w:r>
      <w:r w:rsidRPr="00EC452A">
        <w:rPr>
          <w:rFonts w:ascii="Arial" w:eastAsia="Arial" w:hAnsi="Arial" w:cs="Arial"/>
          <w:sz w:val="22"/>
          <w:szCs w:val="22"/>
        </w:rPr>
        <w:t>marginal,</w:t>
      </w:r>
      <w:r w:rsidRPr="00EC452A">
        <w:rPr>
          <w:rFonts w:ascii="Arial" w:eastAsia="Arial" w:hAnsi="Arial" w:cs="Arial"/>
          <w:spacing w:val="33"/>
          <w:sz w:val="22"/>
          <w:szCs w:val="22"/>
        </w:rPr>
        <w:t xml:space="preserve"> </w:t>
      </w:r>
      <w:r w:rsidRPr="00EC452A">
        <w:rPr>
          <w:rFonts w:ascii="Arial" w:eastAsia="Arial" w:hAnsi="Arial" w:cs="Arial"/>
          <w:sz w:val="22"/>
          <w:szCs w:val="22"/>
        </w:rPr>
        <w:t>las</w:t>
      </w:r>
      <w:r w:rsidRPr="00EC452A">
        <w:rPr>
          <w:rFonts w:ascii="Arial" w:eastAsia="Arial" w:hAnsi="Arial" w:cs="Arial"/>
          <w:spacing w:val="22"/>
          <w:sz w:val="22"/>
          <w:szCs w:val="22"/>
        </w:rPr>
        <w:t xml:space="preserve"> </w:t>
      </w:r>
      <w:r w:rsidRPr="00EC452A">
        <w:rPr>
          <w:rFonts w:ascii="Arial" w:eastAsia="Arial" w:hAnsi="Arial" w:cs="Arial"/>
          <w:sz w:val="22"/>
          <w:szCs w:val="22"/>
        </w:rPr>
        <w:t>relativas</w:t>
      </w:r>
      <w:r w:rsidRPr="00EC452A">
        <w:rPr>
          <w:rFonts w:ascii="Arial" w:eastAsia="Arial" w:hAnsi="Arial" w:cs="Arial"/>
          <w:spacing w:val="31"/>
          <w:sz w:val="22"/>
          <w:szCs w:val="22"/>
        </w:rPr>
        <w:t xml:space="preserve"> </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 xml:space="preserve">su </w:t>
      </w:r>
      <w:r w:rsidRPr="00EC452A">
        <w:rPr>
          <w:rFonts w:ascii="Arial" w:eastAsia="Arial" w:hAnsi="Arial" w:cs="Arial"/>
          <w:spacing w:val="-1"/>
          <w:w w:val="102"/>
          <w:sz w:val="22"/>
          <w:szCs w:val="22"/>
        </w:rPr>
        <w:t>terminación.</w:t>
      </w:r>
    </w:p>
    <w:p w14:paraId="153F805A" w14:textId="77777777"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III</w:t>
      </w:r>
      <w:r w:rsidRPr="00EC452A">
        <w:rPr>
          <w:rFonts w:ascii="Arial" w:eastAsia="Arial" w:hAnsi="Arial" w:cs="Arial"/>
          <w:sz w:val="22"/>
          <w:szCs w:val="22"/>
        </w:rPr>
        <w:t xml:space="preserv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obligacione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contraiga</w:t>
      </w:r>
      <w:r w:rsidRPr="00EC452A">
        <w:rPr>
          <w:rFonts w:ascii="Arial" w:eastAsia="Arial" w:hAnsi="Arial" w:cs="Arial"/>
          <w:sz w:val="22"/>
          <w:szCs w:val="22"/>
        </w:rPr>
        <w:t xml:space="preserve">n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carg</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mas</w:t>
      </w:r>
      <w:r w:rsidRPr="00EC452A">
        <w:rPr>
          <w:rFonts w:ascii="Arial" w:eastAsia="Arial" w:hAnsi="Arial" w:cs="Arial"/>
          <w:sz w:val="22"/>
          <w:szCs w:val="22"/>
        </w:rPr>
        <w:t xml:space="preserve">a </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pacing w:val="-1"/>
          <w:sz w:val="22"/>
          <w:szCs w:val="22"/>
        </w:rPr>
        <w:t>producto</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garantía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pacten.</w:t>
      </w:r>
    </w:p>
    <w:p w14:paraId="402BC27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asociació</w:t>
      </w:r>
      <w:r w:rsidRPr="00EC452A">
        <w:rPr>
          <w:rFonts w:ascii="Arial" w:eastAsia="Arial" w:hAnsi="Arial" w:cs="Arial"/>
          <w:sz w:val="22"/>
          <w:szCs w:val="22"/>
        </w:rPr>
        <w:t>n</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tierr</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paraestatale</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1"/>
          <w:sz w:val="22"/>
          <w:szCs w:val="22"/>
        </w:rPr>
        <w:t>refiere</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artículo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6</w:t>
      </w:r>
      <w:r w:rsidRPr="00EC452A">
        <w:rPr>
          <w:rFonts w:ascii="Arial" w:eastAsia="Arial" w:hAnsi="Arial" w:cs="Arial"/>
          <w:sz w:val="22"/>
          <w:szCs w:val="22"/>
        </w:rPr>
        <w:t>0</w:t>
      </w:r>
      <w:r w:rsidRPr="00EC452A">
        <w:rPr>
          <w:rFonts w:ascii="Arial" w:eastAsia="Arial" w:hAnsi="Arial" w:cs="Arial"/>
          <w:spacing w:val="10"/>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6</w:t>
      </w:r>
      <w:r w:rsidRPr="00EC452A">
        <w:rPr>
          <w:rFonts w:ascii="Arial" w:eastAsia="Arial" w:hAnsi="Arial" w:cs="Arial"/>
          <w:sz w:val="22"/>
          <w:szCs w:val="22"/>
        </w:rPr>
        <w:t>1</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Ley.</w:t>
      </w:r>
    </w:p>
    <w:p w14:paraId="69CFBA1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V.</w:t>
      </w:r>
      <w:r w:rsidRPr="00EC452A">
        <w:rPr>
          <w:rFonts w:ascii="Arial" w:eastAsia="Arial" w:hAnsi="Arial" w:cs="Arial"/>
          <w:spacing w:val="28"/>
          <w:sz w:val="22"/>
          <w:szCs w:val="22"/>
        </w:rPr>
        <w:t xml:space="preserve"> </w:t>
      </w:r>
      <w:r w:rsidRPr="00EC452A">
        <w:rPr>
          <w:rFonts w:ascii="Arial" w:eastAsia="Arial" w:hAnsi="Arial" w:cs="Arial"/>
          <w:sz w:val="22"/>
          <w:szCs w:val="22"/>
        </w:rPr>
        <w:t>Las</w:t>
      </w:r>
      <w:r w:rsidRPr="00EC452A">
        <w:rPr>
          <w:rFonts w:ascii="Arial" w:eastAsia="Arial" w:hAnsi="Arial" w:cs="Arial"/>
          <w:spacing w:val="30"/>
          <w:sz w:val="22"/>
          <w:szCs w:val="22"/>
        </w:rPr>
        <w:t xml:space="preserve"> </w:t>
      </w:r>
      <w:r w:rsidRPr="00EC452A">
        <w:rPr>
          <w:rFonts w:ascii="Arial" w:eastAsia="Arial" w:hAnsi="Arial" w:cs="Arial"/>
          <w:sz w:val="22"/>
          <w:szCs w:val="22"/>
        </w:rPr>
        <w:t>declaratorias</w:t>
      </w:r>
      <w:r w:rsidRPr="00EC452A">
        <w:rPr>
          <w:rFonts w:ascii="Arial" w:eastAsia="Arial" w:hAnsi="Arial" w:cs="Arial"/>
          <w:spacing w:val="46"/>
          <w:sz w:val="22"/>
          <w:szCs w:val="22"/>
        </w:rPr>
        <w:t xml:space="preserve"> </w:t>
      </w:r>
      <w:r w:rsidRPr="00EC452A">
        <w:rPr>
          <w:rFonts w:ascii="Arial" w:eastAsia="Arial" w:hAnsi="Arial" w:cs="Arial"/>
          <w:sz w:val="22"/>
          <w:szCs w:val="22"/>
        </w:rPr>
        <w:t>de</w:t>
      </w:r>
      <w:r w:rsidRPr="00EC452A">
        <w:rPr>
          <w:rFonts w:ascii="Arial" w:eastAsia="Arial" w:hAnsi="Arial" w:cs="Arial"/>
          <w:spacing w:val="28"/>
          <w:sz w:val="22"/>
          <w:szCs w:val="22"/>
        </w:rPr>
        <w:t xml:space="preserve"> </w:t>
      </w:r>
      <w:r w:rsidRPr="00EC452A">
        <w:rPr>
          <w:rFonts w:ascii="Arial" w:eastAsia="Arial" w:hAnsi="Arial" w:cs="Arial"/>
          <w:sz w:val="22"/>
          <w:szCs w:val="22"/>
        </w:rPr>
        <w:t>tierras</w:t>
      </w:r>
      <w:r w:rsidRPr="00EC452A">
        <w:rPr>
          <w:rFonts w:ascii="Arial" w:eastAsia="Arial" w:hAnsi="Arial" w:cs="Arial"/>
          <w:spacing w:val="35"/>
          <w:sz w:val="22"/>
          <w:szCs w:val="22"/>
        </w:rPr>
        <w:t xml:space="preserve"> </w:t>
      </w:r>
      <w:r w:rsidRPr="00EC452A">
        <w:rPr>
          <w:rFonts w:ascii="Arial" w:eastAsia="Arial" w:hAnsi="Arial" w:cs="Arial"/>
          <w:sz w:val="22"/>
          <w:szCs w:val="22"/>
        </w:rPr>
        <w:t>ociosas</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z w:val="22"/>
          <w:szCs w:val="22"/>
        </w:rPr>
        <w:t>en</w:t>
      </w:r>
      <w:r w:rsidRPr="00EC452A">
        <w:rPr>
          <w:rFonts w:ascii="Arial" w:eastAsia="Arial" w:hAnsi="Arial" w:cs="Arial"/>
          <w:spacing w:val="28"/>
          <w:sz w:val="22"/>
          <w:szCs w:val="22"/>
        </w:rPr>
        <w:t xml:space="preserve"> </w:t>
      </w:r>
      <w:r w:rsidRPr="00EC452A">
        <w:rPr>
          <w:rFonts w:ascii="Arial" w:eastAsia="Arial" w:hAnsi="Arial" w:cs="Arial"/>
          <w:sz w:val="22"/>
          <w:szCs w:val="22"/>
        </w:rPr>
        <w:t>forma</w:t>
      </w:r>
      <w:r w:rsidRPr="00EC452A">
        <w:rPr>
          <w:rFonts w:ascii="Arial" w:eastAsia="Arial" w:hAnsi="Arial" w:cs="Arial"/>
          <w:spacing w:val="34"/>
          <w:sz w:val="22"/>
          <w:szCs w:val="22"/>
        </w:rPr>
        <w:t xml:space="preserve"> </w:t>
      </w:r>
      <w:r w:rsidRPr="00EC452A">
        <w:rPr>
          <w:rFonts w:ascii="Arial" w:eastAsia="Arial" w:hAnsi="Arial" w:cs="Arial"/>
          <w:sz w:val="22"/>
          <w:szCs w:val="22"/>
        </w:rPr>
        <w:t>marginal,</w:t>
      </w:r>
      <w:r w:rsidRPr="00EC452A">
        <w:rPr>
          <w:rFonts w:ascii="Arial" w:eastAsia="Arial" w:hAnsi="Arial" w:cs="Arial"/>
          <w:spacing w:val="40"/>
          <w:sz w:val="22"/>
          <w:szCs w:val="22"/>
        </w:rPr>
        <w:t xml:space="preserve"> </w:t>
      </w:r>
      <w:r w:rsidRPr="00EC452A">
        <w:rPr>
          <w:rFonts w:ascii="Arial" w:eastAsia="Arial" w:hAnsi="Arial" w:cs="Arial"/>
          <w:sz w:val="22"/>
          <w:szCs w:val="22"/>
        </w:rPr>
        <w:t>la</w:t>
      </w:r>
      <w:r w:rsidRPr="00EC452A">
        <w:rPr>
          <w:rFonts w:ascii="Arial" w:eastAsia="Arial" w:hAnsi="Arial" w:cs="Arial"/>
          <w:spacing w:val="27"/>
          <w:sz w:val="22"/>
          <w:szCs w:val="22"/>
        </w:rPr>
        <w:t xml:space="preserve"> </w:t>
      </w:r>
      <w:r w:rsidRPr="00EC452A">
        <w:rPr>
          <w:rFonts w:ascii="Arial" w:eastAsia="Arial" w:hAnsi="Arial" w:cs="Arial"/>
          <w:sz w:val="22"/>
          <w:szCs w:val="22"/>
        </w:rPr>
        <w:t>devolución</w:t>
      </w:r>
      <w:r w:rsidRPr="00EC452A">
        <w:rPr>
          <w:rFonts w:ascii="Arial" w:eastAsia="Arial" w:hAnsi="Arial" w:cs="Arial"/>
          <w:spacing w:val="42"/>
          <w:sz w:val="22"/>
          <w:szCs w:val="22"/>
        </w:rPr>
        <w:t xml:space="preserve"> </w:t>
      </w:r>
      <w:r w:rsidRPr="00EC452A">
        <w:rPr>
          <w:rFonts w:ascii="Arial" w:eastAsia="Arial" w:hAnsi="Arial" w:cs="Arial"/>
          <w:sz w:val="22"/>
          <w:szCs w:val="22"/>
        </w:rPr>
        <w:t>de</w:t>
      </w:r>
      <w:r w:rsidRPr="00EC452A">
        <w:rPr>
          <w:rFonts w:ascii="Arial" w:eastAsia="Arial" w:hAnsi="Arial" w:cs="Arial"/>
          <w:spacing w:val="28"/>
          <w:sz w:val="22"/>
          <w:szCs w:val="22"/>
        </w:rPr>
        <w:t xml:space="preserve"> </w:t>
      </w:r>
      <w:r w:rsidRPr="00EC452A">
        <w:rPr>
          <w:rFonts w:ascii="Arial" w:eastAsia="Arial" w:hAnsi="Arial" w:cs="Arial"/>
          <w:sz w:val="22"/>
          <w:szCs w:val="22"/>
        </w:rPr>
        <w:t>las</w:t>
      </w:r>
      <w:r w:rsidRPr="00EC452A">
        <w:rPr>
          <w:rFonts w:ascii="Arial" w:eastAsia="Arial" w:hAnsi="Arial" w:cs="Arial"/>
          <w:spacing w:val="29"/>
          <w:sz w:val="22"/>
          <w:szCs w:val="22"/>
        </w:rPr>
        <w:t xml:space="preserve"> </w:t>
      </w:r>
      <w:r w:rsidRPr="00EC452A">
        <w:rPr>
          <w:rFonts w:ascii="Arial" w:eastAsia="Arial" w:hAnsi="Arial" w:cs="Arial"/>
          <w:sz w:val="22"/>
          <w:szCs w:val="22"/>
        </w:rPr>
        <w:t>mismas</w:t>
      </w:r>
      <w:r w:rsidRPr="00EC452A">
        <w:rPr>
          <w:rFonts w:ascii="Arial" w:eastAsia="Arial" w:hAnsi="Arial" w:cs="Arial"/>
          <w:spacing w:val="37"/>
          <w:sz w:val="22"/>
          <w:szCs w:val="22"/>
        </w:rPr>
        <w:t xml:space="preserve"> </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 xml:space="preserve">sus </w:t>
      </w:r>
      <w:r w:rsidRPr="00EC452A">
        <w:rPr>
          <w:rFonts w:ascii="Arial" w:eastAsia="Arial" w:hAnsi="Arial" w:cs="Arial"/>
          <w:sz w:val="22"/>
          <w:szCs w:val="22"/>
        </w:rPr>
        <w:t>legítimos</w:t>
      </w:r>
      <w:r w:rsidRPr="00EC452A">
        <w:rPr>
          <w:rFonts w:ascii="Arial" w:eastAsia="Arial" w:hAnsi="Arial" w:cs="Arial"/>
          <w:spacing w:val="22"/>
          <w:sz w:val="22"/>
          <w:szCs w:val="22"/>
        </w:rPr>
        <w:t xml:space="preserve"> </w:t>
      </w:r>
      <w:r w:rsidRPr="00EC452A">
        <w:rPr>
          <w:rFonts w:ascii="Arial" w:eastAsia="Arial" w:hAnsi="Arial" w:cs="Arial"/>
          <w:sz w:val="22"/>
          <w:szCs w:val="22"/>
        </w:rPr>
        <w:t>propietarios</w:t>
      </w:r>
      <w:r w:rsidRPr="00EC452A">
        <w:rPr>
          <w:rFonts w:ascii="Arial" w:eastAsia="Arial" w:hAnsi="Arial" w:cs="Arial"/>
          <w:spacing w:val="27"/>
          <w:sz w:val="22"/>
          <w:szCs w:val="22"/>
        </w:rPr>
        <w:t xml:space="preserve"> </w:t>
      </w:r>
      <w:r w:rsidRPr="00EC452A">
        <w:rPr>
          <w:rFonts w:ascii="Arial" w:eastAsia="Arial" w:hAnsi="Arial" w:cs="Arial"/>
          <w:sz w:val="22"/>
          <w:szCs w:val="22"/>
        </w:rPr>
        <w:t>o</w:t>
      </w:r>
      <w:r w:rsidRPr="00EC452A">
        <w:rPr>
          <w:rFonts w:ascii="Arial" w:eastAsia="Arial" w:hAnsi="Arial" w:cs="Arial"/>
          <w:spacing w:val="-6"/>
          <w:sz w:val="22"/>
          <w:szCs w:val="22"/>
        </w:rPr>
        <w:t xml:space="preserve"> </w:t>
      </w:r>
      <w:r w:rsidRPr="00EC452A">
        <w:rPr>
          <w:rFonts w:ascii="Arial" w:eastAsia="Arial" w:hAnsi="Arial" w:cs="Arial"/>
          <w:spacing w:val="-1"/>
          <w:w w:val="102"/>
          <w:sz w:val="22"/>
          <w:szCs w:val="22"/>
        </w:rPr>
        <w:t>poseedores.</w:t>
      </w:r>
    </w:p>
    <w:p w14:paraId="612348B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VI.</w:t>
      </w:r>
      <w:r w:rsidRPr="00EC452A">
        <w:rPr>
          <w:rFonts w:ascii="Arial" w:eastAsia="Arial" w:hAnsi="Arial" w:cs="Arial"/>
          <w:spacing w:val="35"/>
          <w:sz w:val="22"/>
          <w:szCs w:val="22"/>
        </w:rPr>
        <w:t xml:space="preserve"> </w:t>
      </w:r>
      <w:r w:rsidRPr="00EC452A">
        <w:rPr>
          <w:rFonts w:ascii="Arial" w:eastAsia="Arial" w:hAnsi="Arial" w:cs="Arial"/>
          <w:sz w:val="22"/>
          <w:szCs w:val="22"/>
        </w:rPr>
        <w:t>Los</w:t>
      </w:r>
      <w:r w:rsidRPr="00EC452A">
        <w:rPr>
          <w:rFonts w:ascii="Arial" w:eastAsia="Arial" w:hAnsi="Arial" w:cs="Arial"/>
          <w:spacing w:val="37"/>
          <w:sz w:val="22"/>
          <w:szCs w:val="22"/>
        </w:rPr>
        <w:t xml:space="preserve"> </w:t>
      </w:r>
      <w:r w:rsidRPr="00EC452A">
        <w:rPr>
          <w:rFonts w:ascii="Arial" w:eastAsia="Arial" w:hAnsi="Arial" w:cs="Arial"/>
          <w:sz w:val="22"/>
          <w:szCs w:val="22"/>
        </w:rPr>
        <w:t>contratos</w:t>
      </w:r>
      <w:r w:rsidRPr="00EC452A">
        <w:rPr>
          <w:rFonts w:ascii="Arial" w:eastAsia="Arial" w:hAnsi="Arial" w:cs="Arial"/>
          <w:spacing w:val="46"/>
          <w:sz w:val="22"/>
          <w:szCs w:val="22"/>
        </w:rPr>
        <w:t xml:space="preserve"> </w:t>
      </w:r>
      <w:r w:rsidRPr="00EC452A">
        <w:rPr>
          <w:rFonts w:ascii="Arial" w:eastAsia="Arial" w:hAnsi="Arial" w:cs="Arial"/>
          <w:sz w:val="22"/>
          <w:szCs w:val="22"/>
        </w:rPr>
        <w:t>que</w:t>
      </w:r>
      <w:r w:rsidRPr="00EC452A">
        <w:rPr>
          <w:rFonts w:ascii="Arial" w:eastAsia="Arial" w:hAnsi="Arial" w:cs="Arial"/>
          <w:spacing w:val="37"/>
          <w:sz w:val="22"/>
          <w:szCs w:val="22"/>
        </w:rPr>
        <w:t xml:space="preserve"> </w:t>
      </w:r>
      <w:r w:rsidRPr="00EC452A">
        <w:rPr>
          <w:rFonts w:ascii="Arial" w:eastAsia="Arial" w:hAnsi="Arial" w:cs="Arial"/>
          <w:sz w:val="22"/>
          <w:szCs w:val="22"/>
        </w:rPr>
        <w:t>para</w:t>
      </w:r>
      <w:r w:rsidRPr="00EC452A">
        <w:rPr>
          <w:rFonts w:ascii="Arial" w:eastAsia="Arial" w:hAnsi="Arial" w:cs="Arial"/>
          <w:spacing w:val="38"/>
          <w:sz w:val="22"/>
          <w:szCs w:val="22"/>
        </w:rPr>
        <w:t xml:space="preserve"> </w:t>
      </w:r>
      <w:r w:rsidRPr="00EC452A">
        <w:rPr>
          <w:rFonts w:ascii="Arial" w:eastAsia="Arial" w:hAnsi="Arial" w:cs="Arial"/>
          <w:sz w:val="22"/>
          <w:szCs w:val="22"/>
        </w:rPr>
        <w:t>la</w:t>
      </w:r>
      <w:r w:rsidRPr="00EC452A">
        <w:rPr>
          <w:rFonts w:ascii="Arial" w:eastAsia="Arial" w:hAnsi="Arial" w:cs="Arial"/>
          <w:spacing w:val="34"/>
          <w:sz w:val="22"/>
          <w:szCs w:val="22"/>
        </w:rPr>
        <w:t xml:space="preserve"> </w:t>
      </w:r>
      <w:r w:rsidRPr="00EC452A">
        <w:rPr>
          <w:rFonts w:ascii="Arial" w:eastAsia="Arial" w:hAnsi="Arial" w:cs="Arial"/>
          <w:sz w:val="22"/>
          <w:szCs w:val="22"/>
        </w:rPr>
        <w:t>explotación</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35"/>
          <w:sz w:val="22"/>
          <w:szCs w:val="22"/>
        </w:rPr>
        <w:t xml:space="preserve"> </w:t>
      </w:r>
      <w:r w:rsidRPr="00EC452A">
        <w:rPr>
          <w:rFonts w:ascii="Arial" w:eastAsia="Arial" w:hAnsi="Arial" w:cs="Arial"/>
          <w:sz w:val="22"/>
          <w:szCs w:val="22"/>
        </w:rPr>
        <w:t>tierras</w:t>
      </w:r>
      <w:r w:rsidRPr="00EC452A">
        <w:rPr>
          <w:rFonts w:ascii="Arial" w:eastAsia="Arial" w:hAnsi="Arial" w:cs="Arial"/>
          <w:spacing w:val="41"/>
          <w:sz w:val="22"/>
          <w:szCs w:val="22"/>
        </w:rPr>
        <w:t xml:space="preserve"> </w:t>
      </w:r>
      <w:r w:rsidRPr="00EC452A">
        <w:rPr>
          <w:rFonts w:ascii="Arial" w:eastAsia="Arial" w:hAnsi="Arial" w:cs="Arial"/>
          <w:sz w:val="22"/>
          <w:szCs w:val="22"/>
        </w:rPr>
        <w:t>ociosas</w:t>
      </w:r>
      <w:r w:rsidRPr="00EC452A">
        <w:rPr>
          <w:rFonts w:ascii="Arial" w:eastAsia="Arial" w:hAnsi="Arial" w:cs="Arial"/>
          <w:spacing w:val="44"/>
          <w:sz w:val="22"/>
          <w:szCs w:val="22"/>
        </w:rPr>
        <w:t xml:space="preserve"> </w:t>
      </w:r>
      <w:r w:rsidRPr="00EC452A">
        <w:rPr>
          <w:rFonts w:ascii="Arial" w:eastAsia="Arial" w:hAnsi="Arial" w:cs="Arial"/>
          <w:sz w:val="22"/>
          <w:szCs w:val="22"/>
        </w:rPr>
        <w:t>se</w:t>
      </w:r>
      <w:r w:rsidRPr="00EC452A">
        <w:rPr>
          <w:rFonts w:ascii="Arial" w:eastAsia="Arial" w:hAnsi="Arial" w:cs="Arial"/>
          <w:spacing w:val="35"/>
          <w:sz w:val="22"/>
          <w:szCs w:val="22"/>
        </w:rPr>
        <w:t xml:space="preserve"> </w:t>
      </w:r>
      <w:r w:rsidRPr="00EC452A">
        <w:rPr>
          <w:rFonts w:ascii="Arial" w:eastAsia="Arial" w:hAnsi="Arial" w:cs="Arial"/>
          <w:sz w:val="22"/>
          <w:szCs w:val="22"/>
        </w:rPr>
        <w:t>celebren</w:t>
      </w:r>
      <w:r w:rsidRPr="00EC452A">
        <w:rPr>
          <w:rFonts w:ascii="Arial" w:eastAsia="Arial" w:hAnsi="Arial" w:cs="Arial"/>
          <w:spacing w:val="45"/>
          <w:sz w:val="22"/>
          <w:szCs w:val="22"/>
        </w:rPr>
        <w:t xml:space="preserve"> </w:t>
      </w:r>
      <w:r w:rsidRPr="00EC452A">
        <w:rPr>
          <w:rFonts w:ascii="Arial" w:eastAsia="Arial" w:hAnsi="Arial" w:cs="Arial"/>
          <w:sz w:val="22"/>
          <w:szCs w:val="22"/>
        </w:rPr>
        <w:t>con</w:t>
      </w:r>
      <w:r w:rsidRPr="00EC452A">
        <w:rPr>
          <w:rFonts w:ascii="Arial" w:eastAsia="Arial" w:hAnsi="Arial" w:cs="Arial"/>
          <w:spacing w:val="37"/>
          <w:sz w:val="22"/>
          <w:szCs w:val="22"/>
        </w:rPr>
        <w:t xml:space="preserve"> </w:t>
      </w:r>
      <w:r w:rsidRPr="00EC452A">
        <w:rPr>
          <w:rFonts w:ascii="Arial" w:eastAsia="Arial" w:hAnsi="Arial" w:cs="Arial"/>
          <w:sz w:val="22"/>
          <w:szCs w:val="22"/>
        </w:rPr>
        <w:t>los</w:t>
      </w:r>
      <w:r w:rsidRPr="00EC452A">
        <w:rPr>
          <w:rFonts w:ascii="Arial" w:eastAsia="Arial" w:hAnsi="Arial" w:cs="Arial"/>
          <w:spacing w:val="36"/>
          <w:sz w:val="22"/>
          <w:szCs w:val="22"/>
        </w:rPr>
        <w:t xml:space="preserve"> </w:t>
      </w:r>
      <w:r w:rsidRPr="00EC452A">
        <w:rPr>
          <w:rFonts w:ascii="Arial" w:eastAsia="Arial" w:hAnsi="Arial" w:cs="Arial"/>
          <w:sz w:val="22"/>
          <w:szCs w:val="22"/>
        </w:rPr>
        <w:t>solicitantes</w:t>
      </w:r>
      <w:r w:rsidRPr="00EC452A">
        <w:rPr>
          <w:rFonts w:ascii="Arial" w:eastAsia="Arial" w:hAnsi="Arial" w:cs="Arial"/>
          <w:spacing w:val="5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marginal</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terminación.</w:t>
      </w:r>
    </w:p>
    <w:p w14:paraId="21AA7DF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VII</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general</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acto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documento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modifique</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inscripcione</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previamente </w:t>
      </w:r>
      <w:r w:rsidRPr="00EC452A">
        <w:rPr>
          <w:rFonts w:ascii="Arial" w:eastAsia="Arial" w:hAnsi="Arial" w:cs="Arial"/>
          <w:spacing w:val="1"/>
          <w:w w:val="102"/>
          <w:sz w:val="22"/>
          <w:szCs w:val="22"/>
        </w:rPr>
        <w:t>asentadas.</w:t>
      </w:r>
    </w:p>
    <w:p w14:paraId="24AE1CA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165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inscripcione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menciona</w:t>
      </w:r>
      <w:r w:rsidRPr="00EC452A">
        <w:rPr>
          <w:rFonts w:ascii="Arial" w:eastAsia="Arial" w:hAnsi="Arial" w:cs="Arial"/>
          <w:sz w:val="22"/>
          <w:szCs w:val="22"/>
        </w:rPr>
        <w:t xml:space="preserve">n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 xml:space="preserv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 xml:space="preserve">llevarán </w:t>
      </w:r>
      <w:r w:rsidRPr="00EC452A">
        <w:rPr>
          <w:rFonts w:ascii="Arial" w:eastAsia="Arial" w:hAnsi="Arial" w:cs="Arial"/>
          <w:spacing w:val="-1"/>
          <w:sz w:val="22"/>
          <w:szCs w:val="22"/>
        </w:rPr>
        <w:t>volúmene</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autorizado</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Secretari</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Agricultur</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z w:val="22"/>
          <w:szCs w:val="22"/>
        </w:rPr>
        <w:t>y</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Recurso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Hidráulicos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validez.</w:t>
      </w:r>
    </w:p>
    <w:p w14:paraId="468E22E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166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anotacione</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marginale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hará</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libro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z w:val="22"/>
          <w:szCs w:val="22"/>
        </w:rPr>
        <w:t>en</w:t>
      </w:r>
      <w:r w:rsidRPr="00EC452A">
        <w:rPr>
          <w:rFonts w:ascii="Arial" w:eastAsia="Arial" w:hAnsi="Arial" w:cs="Arial"/>
          <w:spacing w:val="21"/>
          <w:sz w:val="22"/>
          <w:szCs w:val="22"/>
        </w:rPr>
        <w:t xml:space="preserve"> </w:t>
      </w:r>
      <w:r w:rsidRPr="00EC452A">
        <w:rPr>
          <w:rFonts w:ascii="Arial" w:eastAsia="Arial" w:hAnsi="Arial" w:cs="Arial"/>
          <w:sz w:val="22"/>
          <w:szCs w:val="22"/>
        </w:rPr>
        <w:t>forma</w:t>
      </w:r>
      <w:r w:rsidRPr="00EC452A">
        <w:rPr>
          <w:rFonts w:ascii="Arial" w:eastAsia="Arial" w:hAnsi="Arial" w:cs="Arial"/>
          <w:spacing w:val="27"/>
          <w:sz w:val="22"/>
          <w:szCs w:val="22"/>
        </w:rPr>
        <w:t xml:space="preserve"> </w:t>
      </w:r>
      <w:r w:rsidRPr="00EC452A">
        <w:rPr>
          <w:rFonts w:ascii="Arial" w:eastAsia="Arial" w:hAnsi="Arial" w:cs="Arial"/>
          <w:sz w:val="22"/>
          <w:szCs w:val="22"/>
        </w:rPr>
        <w:t>sucinta</w:t>
      </w:r>
      <w:r w:rsidRPr="00EC452A">
        <w:rPr>
          <w:rFonts w:ascii="Arial" w:eastAsia="Arial" w:hAnsi="Arial" w:cs="Arial"/>
          <w:spacing w:val="29"/>
          <w:sz w:val="22"/>
          <w:szCs w:val="22"/>
        </w:rPr>
        <w:t xml:space="preserve"> </w:t>
      </w:r>
      <w:r w:rsidRPr="00EC452A">
        <w:rPr>
          <w:rFonts w:ascii="Arial" w:eastAsia="Arial" w:hAnsi="Arial" w:cs="Arial"/>
          <w:sz w:val="22"/>
          <w:szCs w:val="22"/>
        </w:rPr>
        <w:t>y</w:t>
      </w:r>
      <w:r w:rsidRPr="00EC452A">
        <w:rPr>
          <w:rFonts w:ascii="Arial" w:eastAsia="Arial" w:hAnsi="Arial" w:cs="Arial"/>
          <w:spacing w:val="19"/>
          <w:sz w:val="22"/>
          <w:szCs w:val="22"/>
        </w:rPr>
        <w:t xml:space="preserve"> </w:t>
      </w:r>
      <w:r w:rsidRPr="00EC452A">
        <w:rPr>
          <w:rFonts w:ascii="Arial" w:eastAsia="Arial" w:hAnsi="Arial" w:cs="Arial"/>
          <w:sz w:val="22"/>
          <w:szCs w:val="22"/>
        </w:rPr>
        <w:t>el</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 xml:space="preserve">espacio </w:t>
      </w:r>
      <w:r w:rsidRPr="00EC452A">
        <w:rPr>
          <w:rFonts w:ascii="Arial" w:eastAsia="Arial" w:hAnsi="Arial" w:cs="Arial"/>
          <w:spacing w:val="-1"/>
          <w:sz w:val="22"/>
          <w:szCs w:val="22"/>
        </w:rPr>
        <w:t>restant</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destinar</w:t>
      </w:r>
      <w:r w:rsidRPr="00EC452A">
        <w:rPr>
          <w:rFonts w:ascii="Arial" w:eastAsia="Arial" w:hAnsi="Arial" w:cs="Arial"/>
          <w:sz w:val="22"/>
          <w:szCs w:val="22"/>
        </w:rPr>
        <w:t>á</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inscripciones</w:t>
      </w:r>
      <w:r w:rsidRPr="00EC452A">
        <w:rPr>
          <w:rFonts w:ascii="Arial" w:eastAsia="Arial" w:hAnsi="Arial" w:cs="Arial"/>
          <w:sz w:val="22"/>
          <w:szCs w:val="22"/>
        </w:rPr>
        <w:t>,</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reservand</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última</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quinc</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foja</w:t>
      </w:r>
      <w:r w:rsidRPr="00EC452A">
        <w:rPr>
          <w:rFonts w:ascii="Arial" w:eastAsia="Arial" w:hAnsi="Arial" w:cs="Arial"/>
          <w:sz w:val="22"/>
          <w:szCs w:val="22"/>
        </w:rPr>
        <w:t>s</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continuar </w:t>
      </w:r>
      <w:r w:rsidRPr="00EC452A">
        <w:rPr>
          <w:rFonts w:ascii="Arial" w:eastAsia="Arial" w:hAnsi="Arial" w:cs="Arial"/>
          <w:spacing w:val="-1"/>
          <w:sz w:val="22"/>
          <w:szCs w:val="22"/>
        </w:rPr>
        <w:lastRenderedPageBreak/>
        <w:t>anotacione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marginale</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hubiere</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alcanzad</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espaci</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asentars</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marge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z w:val="22"/>
          <w:szCs w:val="22"/>
        </w:rPr>
        <w:t>inscripciones</w:t>
      </w:r>
      <w:r w:rsidRPr="00EC452A">
        <w:rPr>
          <w:rFonts w:ascii="Arial" w:eastAsia="Arial" w:hAnsi="Arial" w:cs="Arial"/>
          <w:spacing w:val="29"/>
          <w:sz w:val="22"/>
          <w:szCs w:val="22"/>
        </w:rPr>
        <w:t xml:space="preserve"> </w:t>
      </w:r>
      <w:r w:rsidRPr="00EC452A">
        <w:rPr>
          <w:rFonts w:ascii="Arial" w:eastAsia="Arial" w:hAnsi="Arial" w:cs="Arial"/>
          <w:w w:val="102"/>
          <w:sz w:val="22"/>
          <w:szCs w:val="22"/>
        </w:rPr>
        <w:t>correspondientes.</w:t>
      </w:r>
    </w:p>
    <w:p w14:paraId="55DE223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Artículo </w:t>
      </w:r>
      <w:r w:rsidRPr="00EC452A">
        <w:rPr>
          <w:rFonts w:ascii="Arial" w:eastAsia="Arial" w:hAnsi="Arial" w:cs="Arial"/>
          <w:spacing w:val="23"/>
          <w:sz w:val="22"/>
          <w:szCs w:val="22"/>
        </w:rPr>
        <w:t xml:space="preserve"> </w:t>
      </w:r>
      <w:r w:rsidRPr="00EC452A">
        <w:rPr>
          <w:rFonts w:ascii="Arial" w:eastAsia="Arial" w:hAnsi="Arial" w:cs="Arial"/>
          <w:spacing w:val="-5"/>
          <w:sz w:val="22"/>
          <w:szCs w:val="22"/>
        </w:rPr>
        <w:t>167</w:t>
      </w:r>
      <w:r w:rsidRPr="00EC452A">
        <w:rPr>
          <w:rFonts w:ascii="Arial" w:eastAsia="Arial" w:hAnsi="Arial" w:cs="Arial"/>
          <w:spacing w:val="10"/>
          <w:sz w:val="22"/>
          <w:szCs w:val="22"/>
        </w:rPr>
        <w:t>.</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cada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libro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asentará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una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razón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expresará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sus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características. </w:t>
      </w:r>
      <w:r w:rsidRPr="00EC452A">
        <w:rPr>
          <w:rFonts w:ascii="Arial" w:eastAsia="Arial" w:hAnsi="Arial" w:cs="Arial"/>
          <w:spacing w:val="28"/>
          <w:sz w:val="22"/>
          <w:szCs w:val="22"/>
        </w:rPr>
        <w:t xml:space="preserve"> </w:t>
      </w:r>
      <w:r w:rsidRPr="00EC452A">
        <w:rPr>
          <w:rFonts w:ascii="Arial" w:eastAsia="Arial" w:hAnsi="Arial" w:cs="Arial"/>
          <w:w w:val="102"/>
          <w:sz w:val="22"/>
          <w:szCs w:val="22"/>
        </w:rPr>
        <w:t xml:space="preserve">Esta </w:t>
      </w:r>
      <w:r w:rsidRPr="00EC452A">
        <w:rPr>
          <w:rFonts w:ascii="Arial" w:eastAsia="Arial" w:hAnsi="Arial" w:cs="Arial"/>
          <w:spacing w:val="-2"/>
          <w:sz w:val="22"/>
          <w:szCs w:val="22"/>
        </w:rPr>
        <w:t>razó</w:t>
      </w:r>
      <w:r w:rsidRPr="00EC452A">
        <w:rPr>
          <w:rFonts w:ascii="Arial" w:eastAsia="Arial" w:hAnsi="Arial" w:cs="Arial"/>
          <w:sz w:val="22"/>
          <w:szCs w:val="22"/>
        </w:rPr>
        <w:t xml:space="preserve">n </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 xml:space="preserve">á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autorizad</w:t>
      </w:r>
      <w:r w:rsidRPr="00EC452A">
        <w:rPr>
          <w:rFonts w:ascii="Arial" w:eastAsia="Arial" w:hAnsi="Arial" w:cs="Arial"/>
          <w:sz w:val="22"/>
          <w:szCs w:val="22"/>
        </w:rPr>
        <w:t xml:space="preserve">a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 xml:space="preserve">r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Directo</w:t>
      </w:r>
      <w:r w:rsidRPr="00EC452A">
        <w:rPr>
          <w:rFonts w:ascii="Arial" w:eastAsia="Arial" w:hAnsi="Arial" w:cs="Arial"/>
          <w:sz w:val="22"/>
          <w:szCs w:val="22"/>
        </w:rPr>
        <w:t xml:space="preserve">r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Genera</w:t>
      </w:r>
      <w:r w:rsidRPr="00EC452A">
        <w:rPr>
          <w:rFonts w:ascii="Arial" w:eastAsia="Arial" w:hAnsi="Arial" w:cs="Arial"/>
          <w:sz w:val="22"/>
          <w:szCs w:val="22"/>
        </w:rPr>
        <w:t xml:space="preserve">l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Jurídic</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cas</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pacing w:val="-2"/>
          <w:w w:val="102"/>
          <w:sz w:val="22"/>
          <w:szCs w:val="22"/>
        </w:rPr>
        <w:t xml:space="preserve">del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regionales</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representant</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6"/>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 xml:space="preserve">Secretaría </w:t>
      </w:r>
      <w:r w:rsidRPr="00EC452A">
        <w:rPr>
          <w:rFonts w:ascii="Arial" w:eastAsia="Arial" w:hAnsi="Arial" w:cs="Arial"/>
          <w:spacing w:val="-3"/>
          <w:sz w:val="22"/>
          <w:szCs w:val="22"/>
        </w:rPr>
        <w:t>e</w:t>
      </w:r>
      <w:r w:rsidRPr="00EC452A">
        <w:rPr>
          <w:rFonts w:ascii="Arial" w:eastAsia="Arial" w:hAnsi="Arial" w:cs="Arial"/>
          <w:sz w:val="22"/>
          <w:szCs w:val="22"/>
        </w:rPr>
        <w:t>n</w:t>
      </w:r>
      <w:r w:rsidRPr="00EC452A">
        <w:rPr>
          <w:rFonts w:ascii="Arial" w:eastAsia="Arial" w:hAnsi="Arial" w:cs="Arial"/>
          <w:spacing w:val="8"/>
          <w:sz w:val="22"/>
          <w:szCs w:val="22"/>
        </w:rPr>
        <w:t xml:space="preserve"> </w:t>
      </w:r>
      <w:r w:rsidRPr="00EC452A">
        <w:rPr>
          <w:rFonts w:ascii="Arial" w:eastAsia="Arial" w:hAnsi="Arial" w:cs="Arial"/>
          <w:spacing w:val="-3"/>
          <w:sz w:val="22"/>
          <w:szCs w:val="22"/>
        </w:rPr>
        <w:t>e</w:t>
      </w:r>
      <w:r w:rsidRPr="00EC452A">
        <w:rPr>
          <w:rFonts w:ascii="Arial" w:eastAsia="Arial" w:hAnsi="Arial" w:cs="Arial"/>
          <w:sz w:val="22"/>
          <w:szCs w:val="22"/>
        </w:rPr>
        <w:t>l</w:t>
      </w:r>
      <w:r w:rsidRPr="00EC452A">
        <w:rPr>
          <w:rFonts w:ascii="Arial" w:eastAsia="Arial" w:hAnsi="Arial" w:cs="Arial"/>
          <w:spacing w:val="7"/>
          <w:sz w:val="22"/>
          <w:szCs w:val="22"/>
        </w:rPr>
        <w:t xml:space="preserve"> </w:t>
      </w:r>
      <w:r w:rsidRPr="00EC452A">
        <w:rPr>
          <w:rFonts w:ascii="Arial" w:eastAsia="Arial" w:hAnsi="Arial" w:cs="Arial"/>
          <w:spacing w:val="-3"/>
          <w:w w:val="102"/>
          <w:sz w:val="22"/>
          <w:szCs w:val="22"/>
        </w:rPr>
        <w:t>lugar.</w:t>
      </w:r>
    </w:p>
    <w:p w14:paraId="45D4064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168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z w:val="22"/>
          <w:szCs w:val="22"/>
        </w:rPr>
        <w:t>Los</w:t>
      </w:r>
      <w:r w:rsidRPr="00EC452A">
        <w:rPr>
          <w:rFonts w:ascii="Arial" w:eastAsia="Arial" w:hAnsi="Arial" w:cs="Arial"/>
          <w:spacing w:val="30"/>
          <w:sz w:val="22"/>
          <w:szCs w:val="22"/>
        </w:rPr>
        <w:t xml:space="preserve"> </w:t>
      </w:r>
      <w:r w:rsidRPr="00EC452A">
        <w:rPr>
          <w:rFonts w:ascii="Arial" w:eastAsia="Arial" w:hAnsi="Arial" w:cs="Arial"/>
          <w:sz w:val="22"/>
          <w:szCs w:val="22"/>
        </w:rPr>
        <w:t>documentos</w:t>
      </w:r>
      <w:r w:rsidRPr="00EC452A">
        <w:rPr>
          <w:rFonts w:ascii="Arial" w:eastAsia="Arial" w:hAnsi="Arial" w:cs="Arial"/>
          <w:spacing w:val="45"/>
          <w:sz w:val="22"/>
          <w:szCs w:val="22"/>
        </w:rPr>
        <w:t xml:space="preserve"> </w:t>
      </w:r>
      <w:r w:rsidRPr="00EC452A">
        <w:rPr>
          <w:rFonts w:ascii="Arial" w:eastAsia="Arial" w:hAnsi="Arial" w:cs="Arial"/>
          <w:sz w:val="22"/>
          <w:szCs w:val="22"/>
        </w:rPr>
        <w:t>que</w:t>
      </w:r>
      <w:r w:rsidRPr="00EC452A">
        <w:rPr>
          <w:rFonts w:ascii="Arial" w:eastAsia="Arial" w:hAnsi="Arial" w:cs="Arial"/>
          <w:spacing w:val="30"/>
          <w:sz w:val="22"/>
          <w:szCs w:val="22"/>
        </w:rPr>
        <w:t xml:space="preserve"> </w:t>
      </w:r>
      <w:r w:rsidRPr="00EC452A">
        <w:rPr>
          <w:rFonts w:ascii="Arial" w:eastAsia="Arial" w:hAnsi="Arial" w:cs="Arial"/>
          <w:sz w:val="22"/>
          <w:szCs w:val="22"/>
        </w:rPr>
        <w:t>se</w:t>
      </w:r>
      <w:r w:rsidRPr="00EC452A">
        <w:rPr>
          <w:rFonts w:ascii="Arial" w:eastAsia="Arial" w:hAnsi="Arial" w:cs="Arial"/>
          <w:spacing w:val="28"/>
          <w:sz w:val="22"/>
          <w:szCs w:val="22"/>
        </w:rPr>
        <w:t xml:space="preserve"> </w:t>
      </w:r>
      <w:r w:rsidRPr="00EC452A">
        <w:rPr>
          <w:rFonts w:ascii="Arial" w:eastAsia="Arial" w:hAnsi="Arial" w:cs="Arial"/>
          <w:sz w:val="22"/>
          <w:szCs w:val="22"/>
        </w:rPr>
        <w:t>reciban</w:t>
      </w:r>
      <w:r w:rsidRPr="00EC452A">
        <w:rPr>
          <w:rFonts w:ascii="Arial" w:eastAsia="Arial" w:hAnsi="Arial" w:cs="Arial"/>
          <w:spacing w:val="36"/>
          <w:sz w:val="22"/>
          <w:szCs w:val="22"/>
        </w:rPr>
        <w:t xml:space="preserve"> </w:t>
      </w:r>
      <w:r w:rsidRPr="00EC452A">
        <w:rPr>
          <w:rFonts w:ascii="Arial" w:eastAsia="Arial" w:hAnsi="Arial" w:cs="Arial"/>
          <w:sz w:val="22"/>
          <w:szCs w:val="22"/>
        </w:rPr>
        <w:t>en</w:t>
      </w:r>
      <w:r w:rsidRPr="00EC452A">
        <w:rPr>
          <w:rFonts w:ascii="Arial" w:eastAsia="Arial" w:hAnsi="Arial" w:cs="Arial"/>
          <w:spacing w:val="28"/>
          <w:sz w:val="22"/>
          <w:szCs w:val="22"/>
        </w:rPr>
        <w:t xml:space="preserve"> </w:t>
      </w:r>
      <w:r w:rsidRPr="00EC452A">
        <w:rPr>
          <w:rFonts w:ascii="Arial" w:eastAsia="Arial" w:hAnsi="Arial" w:cs="Arial"/>
          <w:sz w:val="22"/>
          <w:szCs w:val="22"/>
        </w:rPr>
        <w:t>relación</w:t>
      </w:r>
      <w:r w:rsidRPr="00EC452A">
        <w:rPr>
          <w:rFonts w:ascii="Arial" w:eastAsia="Arial" w:hAnsi="Arial" w:cs="Arial"/>
          <w:spacing w:val="37"/>
          <w:sz w:val="22"/>
          <w:szCs w:val="22"/>
        </w:rPr>
        <w:t xml:space="preserve"> </w:t>
      </w:r>
      <w:r w:rsidRPr="00EC452A">
        <w:rPr>
          <w:rFonts w:ascii="Arial" w:eastAsia="Arial" w:hAnsi="Arial" w:cs="Arial"/>
          <w:sz w:val="22"/>
          <w:szCs w:val="22"/>
        </w:rPr>
        <w:t>con</w:t>
      </w:r>
      <w:r w:rsidRPr="00EC452A">
        <w:rPr>
          <w:rFonts w:ascii="Arial" w:eastAsia="Arial" w:hAnsi="Arial" w:cs="Arial"/>
          <w:spacing w:val="30"/>
          <w:sz w:val="22"/>
          <w:szCs w:val="22"/>
        </w:rPr>
        <w:t xml:space="preserve"> </w:t>
      </w:r>
      <w:r w:rsidRPr="00EC452A">
        <w:rPr>
          <w:rFonts w:ascii="Arial" w:eastAsia="Arial" w:hAnsi="Arial" w:cs="Arial"/>
          <w:sz w:val="22"/>
          <w:szCs w:val="22"/>
        </w:rPr>
        <w:t>las</w:t>
      </w:r>
      <w:r w:rsidRPr="00EC452A">
        <w:rPr>
          <w:rFonts w:ascii="Arial" w:eastAsia="Arial" w:hAnsi="Arial" w:cs="Arial"/>
          <w:spacing w:val="29"/>
          <w:sz w:val="22"/>
          <w:szCs w:val="22"/>
        </w:rPr>
        <w:t xml:space="preserve"> </w:t>
      </w:r>
      <w:r w:rsidRPr="00EC452A">
        <w:rPr>
          <w:rFonts w:ascii="Arial" w:eastAsia="Arial" w:hAnsi="Arial" w:cs="Arial"/>
          <w:sz w:val="22"/>
          <w:szCs w:val="22"/>
        </w:rPr>
        <w:t>inscripciones</w:t>
      </w:r>
      <w:r w:rsidRPr="00EC452A">
        <w:rPr>
          <w:rFonts w:ascii="Arial" w:eastAsia="Arial" w:hAnsi="Arial" w:cs="Arial"/>
          <w:spacing w:val="46"/>
          <w:sz w:val="22"/>
          <w:szCs w:val="22"/>
        </w:rPr>
        <w:t xml:space="preserve"> </w:t>
      </w:r>
      <w:r w:rsidRPr="00EC452A">
        <w:rPr>
          <w:rFonts w:ascii="Arial" w:eastAsia="Arial" w:hAnsi="Arial" w:cs="Arial"/>
          <w:sz w:val="22"/>
          <w:szCs w:val="22"/>
        </w:rPr>
        <w:t>registradas,</w:t>
      </w:r>
      <w:r w:rsidRPr="00EC452A">
        <w:rPr>
          <w:rFonts w:ascii="Arial" w:eastAsia="Arial" w:hAnsi="Arial" w:cs="Arial"/>
          <w:spacing w:val="44"/>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pacing w:val="-1"/>
          <w:sz w:val="22"/>
          <w:szCs w:val="22"/>
        </w:rPr>
        <w:t>coleccionará</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originales</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anexará</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libr</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apéndice.</w:t>
      </w:r>
    </w:p>
    <w:p w14:paraId="7200B6C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169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Registro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Nacional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Agropecuario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registros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regionales, </w:t>
      </w:r>
      <w:r w:rsidRPr="00EC452A">
        <w:rPr>
          <w:rFonts w:ascii="Arial" w:eastAsia="Arial" w:hAnsi="Arial" w:cs="Arial"/>
          <w:spacing w:val="9"/>
          <w:sz w:val="22"/>
          <w:szCs w:val="22"/>
        </w:rPr>
        <w:t xml:space="preserve"> </w:t>
      </w:r>
      <w:r w:rsidRPr="00EC452A">
        <w:rPr>
          <w:rFonts w:ascii="Arial" w:eastAsia="Arial" w:hAnsi="Arial" w:cs="Arial"/>
          <w:sz w:val="22"/>
          <w:szCs w:val="22"/>
        </w:rPr>
        <w:t>serán</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públicos </w:t>
      </w:r>
      <w:r w:rsidRPr="00EC452A">
        <w:rPr>
          <w:rFonts w:ascii="Arial" w:eastAsia="Arial" w:hAnsi="Arial" w:cs="Arial"/>
          <w:spacing w:val="4"/>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podrán</w:t>
      </w:r>
      <w:r w:rsidRPr="00EC452A">
        <w:rPr>
          <w:rFonts w:ascii="Arial" w:eastAsia="Arial" w:hAnsi="Arial" w:cs="Arial"/>
          <w:spacing w:val="19"/>
          <w:sz w:val="22"/>
          <w:szCs w:val="22"/>
        </w:rPr>
        <w:t xml:space="preserve"> </w:t>
      </w:r>
      <w:r w:rsidRPr="00EC452A">
        <w:rPr>
          <w:rFonts w:ascii="Arial" w:eastAsia="Arial" w:hAnsi="Arial" w:cs="Arial"/>
          <w:sz w:val="22"/>
          <w:szCs w:val="22"/>
        </w:rPr>
        <w:t>expedir</w:t>
      </w:r>
      <w:r w:rsidRPr="00EC452A">
        <w:rPr>
          <w:rFonts w:ascii="Arial" w:eastAsia="Arial" w:hAnsi="Arial" w:cs="Arial"/>
          <w:spacing w:val="19"/>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constancias</w:t>
      </w:r>
      <w:r w:rsidRPr="00EC452A">
        <w:rPr>
          <w:rFonts w:ascii="Arial" w:eastAsia="Arial" w:hAnsi="Arial" w:cs="Arial"/>
          <w:spacing w:val="27"/>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copias</w:t>
      </w:r>
      <w:r w:rsidRPr="00EC452A">
        <w:rPr>
          <w:rFonts w:ascii="Arial" w:eastAsia="Arial" w:hAnsi="Arial" w:cs="Arial"/>
          <w:spacing w:val="18"/>
          <w:sz w:val="22"/>
          <w:szCs w:val="22"/>
        </w:rPr>
        <w:t xml:space="preserve"> </w:t>
      </w:r>
      <w:r w:rsidRPr="00EC452A">
        <w:rPr>
          <w:rFonts w:ascii="Arial" w:eastAsia="Arial" w:hAnsi="Arial" w:cs="Arial"/>
          <w:sz w:val="22"/>
          <w:szCs w:val="22"/>
        </w:rPr>
        <w:t>certificadas</w:t>
      </w:r>
      <w:r w:rsidRPr="00EC452A">
        <w:rPr>
          <w:rFonts w:ascii="Arial" w:eastAsia="Arial" w:hAnsi="Arial" w:cs="Arial"/>
          <w:spacing w:val="26"/>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les</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soliciten.</w:t>
      </w:r>
    </w:p>
    <w:p w14:paraId="20705E2A" w14:textId="77777777" w:rsidR="00EC452A" w:rsidRPr="00EC452A" w:rsidRDefault="00EC452A" w:rsidP="00EC452A">
      <w:pPr>
        <w:spacing w:before="100" w:beforeAutospacing="1" w:after="100" w:afterAutospacing="1" w:line="240" w:lineRule="auto"/>
        <w:jc w:val="center"/>
        <w:rPr>
          <w:rFonts w:ascii="Arial" w:eastAsia="Arial" w:hAnsi="Arial" w:cs="Arial"/>
          <w:spacing w:val="-4"/>
          <w:w w:val="102"/>
          <w:sz w:val="22"/>
          <w:szCs w:val="22"/>
        </w:rPr>
      </w:pPr>
      <w:r w:rsidRPr="00EC452A">
        <w:rPr>
          <w:rFonts w:ascii="Arial" w:eastAsia="Arial" w:hAnsi="Arial" w:cs="Arial"/>
          <w:spacing w:val="-4"/>
          <w:sz w:val="22"/>
          <w:szCs w:val="22"/>
        </w:rPr>
        <w:t>TITUL</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4"/>
          <w:w w:val="102"/>
          <w:sz w:val="22"/>
          <w:szCs w:val="22"/>
        </w:rPr>
        <w:t>NOVENO</w:t>
      </w:r>
    </w:p>
    <w:p w14:paraId="11D92689"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3"/>
          <w:sz w:val="22"/>
          <w:szCs w:val="22"/>
        </w:rPr>
        <w:t>CAPITUL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I</w:t>
      </w:r>
    </w:p>
    <w:p w14:paraId="52A80EDD"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Sanciones</w:t>
      </w:r>
    </w:p>
    <w:p w14:paraId="144F1DD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170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empleado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z w:val="22"/>
          <w:szCs w:val="22"/>
        </w:rPr>
        <w:t>y</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funcionari</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conform</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est</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Reglament</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deba</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2"/>
          <w:w w:val="102"/>
          <w:sz w:val="22"/>
          <w:szCs w:val="22"/>
        </w:rPr>
        <w:t xml:space="preserve">denunciar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existenci</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tierras</w:t>
      </w:r>
      <w:r w:rsidRPr="00EC452A">
        <w:rPr>
          <w:rFonts w:ascii="Arial" w:eastAsia="Arial" w:hAnsi="Arial" w:cs="Arial"/>
          <w:spacing w:val="29"/>
          <w:sz w:val="22"/>
          <w:szCs w:val="22"/>
        </w:rPr>
        <w:t xml:space="preserve"> </w:t>
      </w:r>
      <w:r w:rsidRPr="00EC452A">
        <w:rPr>
          <w:rFonts w:ascii="Arial" w:eastAsia="Arial" w:hAnsi="Arial" w:cs="Arial"/>
          <w:sz w:val="22"/>
          <w:szCs w:val="22"/>
        </w:rPr>
        <w:t>ociosas</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z w:val="22"/>
          <w:szCs w:val="22"/>
        </w:rPr>
        <w:t>no</w:t>
      </w:r>
      <w:r w:rsidRPr="00EC452A">
        <w:rPr>
          <w:rFonts w:ascii="Arial" w:eastAsia="Arial" w:hAnsi="Arial" w:cs="Arial"/>
          <w:spacing w:val="22"/>
          <w:sz w:val="22"/>
          <w:szCs w:val="22"/>
        </w:rPr>
        <w:t xml:space="preserve"> </w:t>
      </w:r>
      <w:r w:rsidRPr="00EC452A">
        <w:rPr>
          <w:rFonts w:ascii="Arial" w:eastAsia="Arial" w:hAnsi="Arial" w:cs="Arial"/>
          <w:sz w:val="22"/>
          <w:szCs w:val="22"/>
        </w:rPr>
        <w:t>cumplan</w:t>
      </w:r>
      <w:r w:rsidRPr="00EC452A">
        <w:rPr>
          <w:rFonts w:ascii="Arial" w:eastAsia="Arial" w:hAnsi="Arial" w:cs="Arial"/>
          <w:spacing w:val="32"/>
          <w:sz w:val="22"/>
          <w:szCs w:val="22"/>
        </w:rPr>
        <w:t xml:space="preserve"> </w:t>
      </w:r>
      <w:r w:rsidRPr="00EC452A">
        <w:rPr>
          <w:rFonts w:ascii="Arial" w:eastAsia="Arial" w:hAnsi="Arial" w:cs="Arial"/>
          <w:sz w:val="22"/>
          <w:szCs w:val="22"/>
        </w:rPr>
        <w:t>con</w:t>
      </w:r>
      <w:r w:rsidRPr="00EC452A">
        <w:rPr>
          <w:rFonts w:ascii="Arial" w:eastAsia="Arial" w:hAnsi="Arial" w:cs="Arial"/>
          <w:spacing w:val="24"/>
          <w:sz w:val="22"/>
          <w:szCs w:val="22"/>
        </w:rPr>
        <w:t xml:space="preserve"> </w:t>
      </w:r>
      <w:r w:rsidRPr="00EC452A">
        <w:rPr>
          <w:rFonts w:ascii="Arial" w:eastAsia="Arial" w:hAnsi="Arial" w:cs="Arial"/>
          <w:sz w:val="22"/>
          <w:szCs w:val="22"/>
        </w:rPr>
        <w:t>ello,</w:t>
      </w:r>
      <w:r w:rsidRPr="00EC452A">
        <w:rPr>
          <w:rFonts w:ascii="Arial" w:eastAsia="Arial" w:hAnsi="Arial" w:cs="Arial"/>
          <w:spacing w:val="25"/>
          <w:sz w:val="22"/>
          <w:szCs w:val="22"/>
        </w:rPr>
        <w:t xml:space="preserve"> </w:t>
      </w:r>
      <w:r w:rsidRPr="00EC452A">
        <w:rPr>
          <w:rFonts w:ascii="Arial" w:eastAsia="Arial" w:hAnsi="Arial" w:cs="Arial"/>
          <w:sz w:val="22"/>
          <w:szCs w:val="22"/>
        </w:rPr>
        <w:t>además</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la</w:t>
      </w:r>
      <w:r w:rsidRPr="00EC452A">
        <w:rPr>
          <w:rFonts w:ascii="Arial" w:eastAsia="Arial" w:hAnsi="Arial" w:cs="Arial"/>
          <w:spacing w:val="21"/>
          <w:sz w:val="22"/>
          <w:szCs w:val="22"/>
        </w:rPr>
        <w:t xml:space="preserve"> </w:t>
      </w:r>
      <w:r w:rsidRPr="00EC452A">
        <w:rPr>
          <w:rFonts w:ascii="Arial" w:eastAsia="Arial" w:hAnsi="Arial" w:cs="Arial"/>
          <w:sz w:val="22"/>
          <w:szCs w:val="22"/>
        </w:rPr>
        <w:t>multa</w:t>
      </w:r>
      <w:r w:rsidRPr="00EC452A">
        <w:rPr>
          <w:rFonts w:ascii="Arial" w:eastAsia="Arial" w:hAnsi="Arial" w:cs="Arial"/>
          <w:spacing w:val="27"/>
          <w:sz w:val="22"/>
          <w:szCs w:val="22"/>
        </w:rPr>
        <w:t xml:space="preserve"> </w:t>
      </w:r>
      <w:r w:rsidRPr="00EC452A">
        <w:rPr>
          <w:rFonts w:ascii="Arial" w:eastAsia="Arial" w:hAnsi="Arial" w:cs="Arial"/>
          <w:sz w:val="22"/>
          <w:szCs w:val="22"/>
        </w:rPr>
        <w:t>que</w:t>
      </w:r>
      <w:r w:rsidRPr="00EC452A">
        <w:rPr>
          <w:rFonts w:ascii="Arial" w:eastAsia="Arial" w:hAnsi="Arial" w:cs="Arial"/>
          <w:spacing w:val="24"/>
          <w:sz w:val="22"/>
          <w:szCs w:val="22"/>
        </w:rPr>
        <w:t xml:space="preserve"> </w:t>
      </w:r>
      <w:r w:rsidRPr="00EC452A">
        <w:rPr>
          <w:rFonts w:ascii="Arial" w:eastAsia="Arial" w:hAnsi="Arial" w:cs="Arial"/>
          <w:sz w:val="22"/>
          <w:szCs w:val="22"/>
        </w:rPr>
        <w:t>se</w:t>
      </w:r>
      <w:r w:rsidRPr="00EC452A">
        <w:rPr>
          <w:rFonts w:ascii="Arial" w:eastAsia="Arial" w:hAnsi="Arial" w:cs="Arial"/>
          <w:spacing w:val="22"/>
          <w:sz w:val="22"/>
          <w:szCs w:val="22"/>
        </w:rPr>
        <w:t xml:space="preserve"> </w:t>
      </w:r>
      <w:r w:rsidRPr="00EC452A">
        <w:rPr>
          <w:rFonts w:ascii="Arial" w:eastAsia="Arial" w:hAnsi="Arial" w:cs="Arial"/>
          <w:sz w:val="22"/>
          <w:szCs w:val="22"/>
        </w:rPr>
        <w:t>les</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 xml:space="preserve">imponga, </w:t>
      </w:r>
      <w:r w:rsidRPr="00EC452A">
        <w:rPr>
          <w:rFonts w:ascii="Arial" w:eastAsia="Arial" w:hAnsi="Arial" w:cs="Arial"/>
          <w:spacing w:val="-1"/>
          <w:sz w:val="22"/>
          <w:szCs w:val="22"/>
        </w:rPr>
        <w:t>será</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acreedore</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sancione</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corresponda</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dependenci</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preste</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sus </w:t>
      </w:r>
      <w:r w:rsidRPr="00EC452A">
        <w:rPr>
          <w:rFonts w:ascii="Arial" w:eastAsia="Arial" w:hAnsi="Arial" w:cs="Arial"/>
          <w:w w:val="102"/>
          <w:sz w:val="22"/>
          <w:szCs w:val="22"/>
        </w:rPr>
        <w:t>servicios.</w:t>
      </w:r>
    </w:p>
    <w:p w14:paraId="3A395824"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8"/>
          <w:sz w:val="22"/>
          <w:szCs w:val="22"/>
        </w:rPr>
        <w:t xml:space="preserve"> </w:t>
      </w:r>
      <w:r w:rsidRPr="00EC452A">
        <w:rPr>
          <w:rFonts w:ascii="Arial" w:eastAsia="Arial" w:hAnsi="Arial" w:cs="Arial"/>
          <w:spacing w:val="-2"/>
          <w:w w:val="102"/>
          <w:sz w:val="22"/>
          <w:szCs w:val="22"/>
        </w:rPr>
        <w:t>171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sanció</w:t>
      </w:r>
      <w:r w:rsidRPr="00EC452A">
        <w:rPr>
          <w:rFonts w:ascii="Arial" w:eastAsia="Arial" w:hAnsi="Arial" w:cs="Arial"/>
          <w:sz w:val="22"/>
          <w:szCs w:val="22"/>
        </w:rPr>
        <w:t xml:space="preserve">n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refier</w:t>
      </w:r>
      <w:r w:rsidRPr="00EC452A">
        <w:rPr>
          <w:rFonts w:ascii="Arial" w:eastAsia="Arial" w:hAnsi="Arial" w:cs="Arial"/>
          <w:sz w:val="22"/>
          <w:szCs w:val="22"/>
        </w:rPr>
        <w:t xml:space="preserve">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9</w:t>
      </w:r>
      <w:r w:rsidRPr="00EC452A">
        <w:rPr>
          <w:rFonts w:ascii="Arial" w:eastAsia="Arial" w:hAnsi="Arial" w:cs="Arial"/>
          <w:sz w:val="22"/>
          <w:szCs w:val="22"/>
        </w:rPr>
        <w:t xml:space="preserve">5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 xml:space="preserve">y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aplicará </w:t>
      </w:r>
      <w:r w:rsidRPr="00EC452A">
        <w:rPr>
          <w:rFonts w:ascii="Arial" w:eastAsia="Arial" w:hAnsi="Arial" w:cs="Arial"/>
          <w:spacing w:val="-1"/>
          <w:sz w:val="22"/>
          <w:szCs w:val="22"/>
        </w:rPr>
        <w:t>independientement</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impedi</w:t>
      </w:r>
      <w:r w:rsidRPr="00EC452A">
        <w:rPr>
          <w:rFonts w:ascii="Arial" w:eastAsia="Arial" w:hAnsi="Arial" w:cs="Arial"/>
          <w:sz w:val="22"/>
          <w:szCs w:val="22"/>
        </w:rPr>
        <w:t>r</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declarada</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ociosa</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priva</w:t>
      </w:r>
      <w:r w:rsidRPr="00EC452A">
        <w:rPr>
          <w:rFonts w:ascii="Arial" w:eastAsia="Arial" w:hAnsi="Arial" w:cs="Arial"/>
          <w:sz w:val="22"/>
          <w:szCs w:val="22"/>
        </w:rPr>
        <w:t>r</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product</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trabaj</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quiene</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haya</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entregad</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explotación</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realicen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dicha</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per</w:t>
      </w:r>
      <w:r w:rsidRPr="00EC452A">
        <w:rPr>
          <w:rFonts w:ascii="Arial" w:eastAsia="Arial" w:hAnsi="Arial" w:cs="Arial"/>
          <w:w w:val="102"/>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ona</w:t>
      </w:r>
      <w:r w:rsidRPr="00EC452A">
        <w:rPr>
          <w:rFonts w:ascii="Arial" w:eastAsia="Arial" w:hAnsi="Arial" w:cs="Arial"/>
          <w:sz w:val="22"/>
          <w:szCs w:val="22"/>
        </w:rPr>
        <w:t>l</w:t>
      </w:r>
      <w:r w:rsidRPr="00EC452A">
        <w:rPr>
          <w:rFonts w:ascii="Arial" w:eastAsia="Arial" w:hAnsi="Arial" w:cs="Arial"/>
          <w:spacing w:val="50"/>
          <w:sz w:val="22"/>
          <w:szCs w:val="22"/>
        </w:rPr>
        <w:t xml:space="preserve"> </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medi</w:t>
      </w:r>
      <w:r w:rsidRPr="00EC452A">
        <w:rPr>
          <w:rFonts w:ascii="Arial" w:eastAsia="Arial" w:hAnsi="Arial" w:cs="Arial"/>
          <w:sz w:val="22"/>
          <w:szCs w:val="22"/>
        </w:rPr>
        <w:t xml:space="preserve">o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2"/>
          <w:w w:val="102"/>
          <w:sz w:val="22"/>
          <w:szCs w:val="22"/>
        </w:rPr>
        <w:t xml:space="preserve">terceras </w:t>
      </w:r>
      <w:r w:rsidRPr="00EC452A">
        <w:rPr>
          <w:rFonts w:ascii="Arial" w:eastAsia="Arial" w:hAnsi="Arial" w:cs="Arial"/>
          <w:spacing w:val="-2"/>
          <w:sz w:val="22"/>
          <w:szCs w:val="22"/>
        </w:rPr>
        <w:t>persona</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obre</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cuent</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aquéllos.</w:t>
      </w:r>
    </w:p>
    <w:p w14:paraId="44F7210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172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fracció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z w:val="22"/>
          <w:szCs w:val="22"/>
        </w:rPr>
        <w:t>I</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9</w:t>
      </w:r>
      <w:r w:rsidRPr="00EC452A">
        <w:rPr>
          <w:rFonts w:ascii="Arial" w:eastAsia="Arial" w:hAnsi="Arial" w:cs="Arial"/>
          <w:sz w:val="22"/>
          <w:szCs w:val="22"/>
        </w:rPr>
        <w:t>6</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entender</w:t>
      </w:r>
      <w:r w:rsidRPr="00EC452A">
        <w:rPr>
          <w:rFonts w:ascii="Arial" w:eastAsia="Arial" w:hAnsi="Arial" w:cs="Arial"/>
          <w:sz w:val="22"/>
          <w:szCs w:val="22"/>
        </w:rPr>
        <w:t>á</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además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ha</w:t>
      </w:r>
      <w:r w:rsidRPr="00EC452A">
        <w:rPr>
          <w:rFonts w:ascii="Arial" w:eastAsia="Arial" w:hAnsi="Arial" w:cs="Arial"/>
          <w:sz w:val="22"/>
          <w:szCs w:val="22"/>
        </w:rPr>
        <w:t>y</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incumplimient</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obligació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explota</w:t>
      </w:r>
      <w:r w:rsidRPr="00EC452A">
        <w:rPr>
          <w:rFonts w:ascii="Arial" w:eastAsia="Arial" w:hAnsi="Arial" w:cs="Arial"/>
          <w:sz w:val="22"/>
          <w:szCs w:val="22"/>
        </w:rPr>
        <w:t xml:space="preserve">r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culp</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 xml:space="preserve">negligencia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ocupante</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rendimient</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tierr</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result</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inferio</w:t>
      </w:r>
      <w:r w:rsidRPr="00EC452A">
        <w:rPr>
          <w:rFonts w:ascii="Arial" w:eastAsia="Arial" w:hAnsi="Arial" w:cs="Arial"/>
          <w:sz w:val="22"/>
          <w:szCs w:val="22"/>
        </w:rPr>
        <w:t>r</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mínim</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estimad</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z w:val="22"/>
          <w:szCs w:val="22"/>
        </w:rPr>
        <w:t xml:space="preserve">condiciones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particulares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tierras,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cultivo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recursos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insumos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15"/>
          <w:sz w:val="22"/>
          <w:szCs w:val="22"/>
        </w:rPr>
        <w:t xml:space="preserve"> </w:t>
      </w:r>
      <w:r w:rsidRPr="00EC452A">
        <w:rPr>
          <w:rFonts w:ascii="Arial" w:eastAsia="Arial" w:hAnsi="Arial" w:cs="Arial"/>
          <w:w w:val="102"/>
          <w:sz w:val="22"/>
          <w:szCs w:val="22"/>
        </w:rPr>
        <w:t>hubiere dispuesto.</w:t>
      </w:r>
    </w:p>
    <w:p w14:paraId="57BB4CC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173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Además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aplicar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sanciones </w:t>
      </w:r>
      <w:r w:rsidRPr="00EC452A">
        <w:rPr>
          <w:rFonts w:ascii="Arial" w:eastAsia="Arial" w:hAnsi="Arial" w:cs="Arial"/>
          <w:spacing w:val="47"/>
          <w:sz w:val="22"/>
          <w:szCs w:val="22"/>
        </w:rPr>
        <w:t xml:space="preserve"> </w:t>
      </w:r>
      <w:r w:rsidRPr="00EC452A">
        <w:rPr>
          <w:rFonts w:ascii="Arial" w:eastAsia="Arial" w:hAnsi="Arial" w:cs="Arial"/>
          <w:spacing w:val="-3"/>
          <w:sz w:val="22"/>
          <w:szCs w:val="22"/>
        </w:rPr>
        <w:t>q</w:t>
      </w:r>
      <w:r w:rsidRPr="00EC452A">
        <w:rPr>
          <w:rFonts w:ascii="Arial" w:eastAsia="Arial" w:hAnsi="Arial" w:cs="Arial"/>
          <w:spacing w:val="-1"/>
          <w:sz w:val="22"/>
          <w:szCs w:val="22"/>
        </w:rPr>
        <w:t>u</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señal</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9</w:t>
      </w:r>
      <w:r w:rsidRPr="00EC452A">
        <w:rPr>
          <w:rFonts w:ascii="Arial" w:eastAsia="Arial" w:hAnsi="Arial" w:cs="Arial"/>
          <w:sz w:val="22"/>
          <w:szCs w:val="22"/>
        </w:rPr>
        <w:t xml:space="preserve">6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z w:val="22"/>
          <w:szCs w:val="22"/>
        </w:rPr>
        <w:t xml:space="preserve">Secretaría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excluirá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lista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solicitantes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condiciones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trabajar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tierras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ociosas, </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aquello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haya</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hech</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acreedore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sanciones.</w:t>
      </w:r>
    </w:p>
    <w:p w14:paraId="477E6250"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w:t>
      </w:r>
    </w:p>
    <w:p w14:paraId="568E6AFB" w14:textId="77777777" w:rsidR="00EC452A" w:rsidRPr="00EC452A" w:rsidRDefault="00EC452A" w:rsidP="00EC452A">
      <w:pPr>
        <w:spacing w:before="100" w:beforeAutospacing="1" w:after="100" w:afterAutospacing="1" w:line="240" w:lineRule="auto"/>
        <w:jc w:val="center"/>
        <w:rPr>
          <w:rFonts w:ascii="Arial" w:eastAsia="Arial" w:hAnsi="Arial" w:cs="Arial"/>
          <w:spacing w:val="-1"/>
          <w:w w:val="102"/>
          <w:sz w:val="22"/>
          <w:szCs w:val="22"/>
        </w:rPr>
      </w:pP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Aplicació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Sanciones</w:t>
      </w:r>
    </w:p>
    <w:p w14:paraId="30AB09CF"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174</w:t>
      </w:r>
      <w:r w:rsidRPr="00EC452A">
        <w:rPr>
          <w:rFonts w:ascii="Arial" w:eastAsia="Arial" w:hAnsi="Arial" w:cs="Arial"/>
          <w:spacing w:val="6"/>
          <w:sz w:val="22"/>
          <w:szCs w:val="22"/>
        </w:rPr>
        <w:t>.</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notificació</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infractore</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habers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iniciad</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procedimiento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contra</w:t>
      </w:r>
      <w:r w:rsidRPr="00EC452A">
        <w:rPr>
          <w:rFonts w:ascii="Arial" w:eastAsia="Arial" w:hAnsi="Arial" w:cs="Arial"/>
          <w:sz w:val="22"/>
          <w:szCs w:val="22"/>
        </w:rPr>
        <w:t xml:space="preserve">,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 xml:space="preserve">á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realiza</w:t>
      </w:r>
      <w:r w:rsidRPr="00EC452A">
        <w:rPr>
          <w:rFonts w:ascii="Arial" w:eastAsia="Arial" w:hAnsi="Arial" w:cs="Arial"/>
          <w:sz w:val="22"/>
          <w:szCs w:val="22"/>
        </w:rPr>
        <w:t xml:space="preserve">r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levantamient</w:t>
      </w:r>
      <w:r w:rsidRPr="00EC452A">
        <w:rPr>
          <w:rFonts w:ascii="Arial" w:eastAsia="Arial" w:hAnsi="Arial" w:cs="Arial"/>
          <w:sz w:val="22"/>
          <w:szCs w:val="22"/>
        </w:rPr>
        <w:t xml:space="preserve">o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 xml:space="preserve">a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correspondiente</w:t>
      </w:r>
      <w:r w:rsidRPr="00EC452A">
        <w:rPr>
          <w:rFonts w:ascii="Arial" w:eastAsia="Arial" w:hAnsi="Arial" w:cs="Arial"/>
          <w:sz w:val="22"/>
          <w:szCs w:val="22"/>
        </w:rPr>
        <w:t xml:space="preserv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ella </w:t>
      </w:r>
      <w:r w:rsidRPr="00EC452A">
        <w:rPr>
          <w:rFonts w:ascii="Arial" w:eastAsia="Arial" w:hAnsi="Arial" w:cs="Arial"/>
          <w:spacing w:val="-2"/>
          <w:sz w:val="22"/>
          <w:szCs w:val="22"/>
        </w:rPr>
        <w:t>intervienen</w:t>
      </w:r>
      <w:r w:rsidRPr="00EC452A">
        <w:rPr>
          <w:rFonts w:ascii="Arial" w:eastAsia="Arial" w:hAnsi="Arial" w:cs="Arial"/>
          <w:sz w:val="22"/>
          <w:szCs w:val="22"/>
        </w:rPr>
        <w:t>,</w:t>
      </w:r>
      <w:r w:rsidRPr="00EC452A">
        <w:rPr>
          <w:rFonts w:ascii="Arial" w:eastAsia="Arial" w:hAnsi="Arial" w:cs="Arial"/>
          <w:spacing w:val="50"/>
          <w:sz w:val="22"/>
          <w:szCs w:val="22"/>
        </w:rPr>
        <w:t xml:space="preserve"> </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bie</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notificació</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persona</w:t>
      </w:r>
      <w:r w:rsidRPr="00EC452A">
        <w:rPr>
          <w:rFonts w:ascii="Arial" w:eastAsia="Arial" w:hAnsi="Arial" w:cs="Arial"/>
          <w:sz w:val="22"/>
          <w:szCs w:val="22"/>
        </w:rPr>
        <w:t>l</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har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interesad</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escri</w:t>
      </w:r>
      <w:r w:rsidRPr="00EC452A">
        <w:rPr>
          <w:rFonts w:ascii="Arial" w:eastAsia="Arial" w:hAnsi="Arial" w:cs="Arial"/>
          <w:spacing w:val="-4"/>
          <w:sz w:val="22"/>
          <w:szCs w:val="22"/>
        </w:rPr>
        <w:t>t</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4"/>
          <w:sz w:val="22"/>
          <w:szCs w:val="22"/>
        </w:rPr>
        <w:t>enviad</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4"/>
          <w:w w:val="102"/>
          <w:sz w:val="22"/>
          <w:szCs w:val="22"/>
        </w:rPr>
        <w:t xml:space="preserve">por </w:t>
      </w:r>
      <w:r w:rsidRPr="00EC452A">
        <w:rPr>
          <w:rFonts w:ascii="Arial" w:eastAsia="Arial" w:hAnsi="Arial" w:cs="Arial"/>
          <w:spacing w:val="-1"/>
          <w:sz w:val="22"/>
          <w:szCs w:val="22"/>
        </w:rPr>
        <w:t>corre</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certificad</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acus</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recibo.</w:t>
      </w:r>
    </w:p>
    <w:p w14:paraId="2CA40FE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escrit</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correspondient</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indicar</w:t>
      </w:r>
      <w:r w:rsidRPr="00EC452A">
        <w:rPr>
          <w:rFonts w:ascii="Arial" w:eastAsia="Arial" w:hAnsi="Arial" w:cs="Arial"/>
          <w:sz w:val="22"/>
          <w:szCs w:val="22"/>
        </w:rPr>
        <w:t>á</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goz</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determin</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será </w:t>
      </w:r>
      <w:r w:rsidRPr="00EC452A">
        <w:rPr>
          <w:rFonts w:ascii="Arial" w:eastAsia="Arial" w:hAnsi="Arial" w:cs="Arial"/>
          <w:spacing w:val="-2"/>
          <w:sz w:val="22"/>
          <w:szCs w:val="22"/>
        </w:rPr>
        <w:t>meno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1</w:t>
      </w:r>
      <w:r w:rsidRPr="00EC452A">
        <w:rPr>
          <w:rFonts w:ascii="Arial" w:eastAsia="Arial" w:hAnsi="Arial" w:cs="Arial"/>
          <w:sz w:val="22"/>
          <w:szCs w:val="22"/>
        </w:rPr>
        <w:t>0</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día</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hábile</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i</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mayo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30</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rind</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prueba</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z w:val="22"/>
          <w:szCs w:val="22"/>
        </w:rPr>
        <w:t>y</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alegu</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24"/>
          <w:sz w:val="22"/>
          <w:szCs w:val="22"/>
        </w:rPr>
        <w:t xml:space="preserve"> </w:t>
      </w:r>
      <w:r w:rsidRPr="00EC452A">
        <w:rPr>
          <w:rFonts w:ascii="Arial" w:eastAsia="Arial" w:hAnsi="Arial" w:cs="Arial"/>
          <w:spacing w:val="-2"/>
          <w:w w:val="102"/>
          <w:sz w:val="22"/>
          <w:szCs w:val="22"/>
        </w:rPr>
        <w:t xml:space="preserve">derecho </w:t>
      </w:r>
      <w:r w:rsidRPr="00EC452A">
        <w:rPr>
          <w:rFonts w:ascii="Arial" w:eastAsia="Arial" w:hAnsi="Arial" w:cs="Arial"/>
          <w:spacing w:val="-5"/>
          <w:w w:val="102"/>
          <w:sz w:val="22"/>
          <w:szCs w:val="22"/>
        </w:rPr>
        <w:t>convenga.</w:t>
      </w:r>
    </w:p>
    <w:p w14:paraId="2D022818"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5"/>
          <w:sz w:val="22"/>
          <w:szCs w:val="22"/>
        </w:rPr>
        <w:t>A</w:t>
      </w:r>
      <w:r w:rsidRPr="00EC452A">
        <w:rPr>
          <w:rFonts w:ascii="Arial" w:eastAsia="Arial" w:hAnsi="Arial" w:cs="Arial"/>
          <w:spacing w:val="-2"/>
          <w:sz w:val="22"/>
          <w:szCs w:val="22"/>
        </w:rPr>
        <w:t>rtícul</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175</w:t>
      </w:r>
      <w:r w:rsidRPr="00EC452A">
        <w:rPr>
          <w:rFonts w:ascii="Arial" w:eastAsia="Arial" w:hAnsi="Arial" w:cs="Arial"/>
          <w:spacing w:val="13"/>
          <w:sz w:val="22"/>
          <w:szCs w:val="22"/>
        </w:rPr>
        <w:t>.</w:t>
      </w:r>
      <w:r w:rsidRPr="00EC452A">
        <w:rPr>
          <w:rFonts w:ascii="Arial" w:eastAsia="Arial" w:hAnsi="Arial" w:cs="Arial"/>
          <w:sz w:val="22"/>
          <w:szCs w:val="22"/>
        </w:rPr>
        <w:t>-</w:t>
      </w:r>
      <w:r w:rsidRPr="00EC452A">
        <w:rPr>
          <w:rFonts w:ascii="Arial" w:eastAsia="Arial" w:hAnsi="Arial" w:cs="Arial"/>
          <w:spacing w:val="1"/>
          <w:sz w:val="22"/>
          <w:szCs w:val="22"/>
        </w:rPr>
        <w:t xml:space="preserve"> </w:t>
      </w:r>
      <w:r w:rsidRPr="00EC452A">
        <w:rPr>
          <w:rFonts w:ascii="Arial" w:eastAsia="Arial" w:hAnsi="Arial" w:cs="Arial"/>
          <w:sz w:val="22"/>
          <w:szCs w:val="22"/>
        </w:rPr>
        <w:t>En</w:t>
      </w:r>
      <w:r w:rsidRPr="00EC452A">
        <w:rPr>
          <w:rFonts w:ascii="Arial" w:eastAsia="Arial" w:hAnsi="Arial" w:cs="Arial"/>
          <w:spacing w:val="2"/>
          <w:sz w:val="22"/>
          <w:szCs w:val="22"/>
        </w:rPr>
        <w:t xml:space="preserve"> </w:t>
      </w:r>
      <w:r w:rsidRPr="00EC452A">
        <w:rPr>
          <w:rFonts w:ascii="Arial" w:eastAsia="Arial" w:hAnsi="Arial" w:cs="Arial"/>
          <w:sz w:val="22"/>
          <w:szCs w:val="22"/>
        </w:rPr>
        <w:t>el procedimiento</w:t>
      </w:r>
      <w:r w:rsidRPr="00EC452A">
        <w:rPr>
          <w:rFonts w:ascii="Arial" w:eastAsia="Arial" w:hAnsi="Arial" w:cs="Arial"/>
          <w:spacing w:val="21"/>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imposición</w:t>
      </w:r>
      <w:r w:rsidRPr="00EC452A">
        <w:rPr>
          <w:rFonts w:ascii="Arial" w:eastAsia="Arial" w:hAnsi="Arial" w:cs="Arial"/>
          <w:spacing w:val="15"/>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sanciones</w:t>
      </w:r>
      <w:r w:rsidRPr="00EC452A">
        <w:rPr>
          <w:rFonts w:ascii="Arial" w:eastAsia="Arial" w:hAnsi="Arial" w:cs="Arial"/>
          <w:spacing w:val="14"/>
          <w:sz w:val="22"/>
          <w:szCs w:val="22"/>
        </w:rPr>
        <w:t xml:space="preserve"> </w:t>
      </w:r>
      <w:r w:rsidRPr="00EC452A">
        <w:rPr>
          <w:rFonts w:ascii="Arial" w:eastAsia="Arial" w:hAnsi="Arial" w:cs="Arial"/>
          <w:sz w:val="22"/>
          <w:szCs w:val="22"/>
        </w:rPr>
        <w:t>serán</w:t>
      </w:r>
      <w:r w:rsidRPr="00EC452A">
        <w:rPr>
          <w:rFonts w:ascii="Arial" w:eastAsia="Arial" w:hAnsi="Arial" w:cs="Arial"/>
          <w:spacing w:val="7"/>
          <w:sz w:val="22"/>
          <w:szCs w:val="22"/>
        </w:rPr>
        <w:t xml:space="preserve"> </w:t>
      </w:r>
      <w:r w:rsidRPr="00EC452A">
        <w:rPr>
          <w:rFonts w:ascii="Arial" w:eastAsia="Arial" w:hAnsi="Arial" w:cs="Arial"/>
          <w:sz w:val="22"/>
          <w:szCs w:val="22"/>
        </w:rPr>
        <w:t>admisibles</w:t>
      </w:r>
      <w:r w:rsidRPr="00EC452A">
        <w:rPr>
          <w:rFonts w:ascii="Arial" w:eastAsia="Arial" w:hAnsi="Arial" w:cs="Arial"/>
          <w:spacing w:val="15"/>
          <w:sz w:val="22"/>
          <w:szCs w:val="22"/>
        </w:rPr>
        <w:t xml:space="preserve"> </w:t>
      </w:r>
      <w:r w:rsidRPr="00EC452A">
        <w:rPr>
          <w:rFonts w:ascii="Arial" w:eastAsia="Arial" w:hAnsi="Arial" w:cs="Arial"/>
          <w:sz w:val="22"/>
          <w:szCs w:val="22"/>
        </w:rPr>
        <w:t>toda</w:t>
      </w:r>
      <w:r w:rsidRPr="00EC452A">
        <w:rPr>
          <w:rFonts w:ascii="Arial" w:eastAsia="Arial" w:hAnsi="Arial" w:cs="Arial"/>
          <w:spacing w:val="4"/>
          <w:sz w:val="22"/>
          <w:szCs w:val="22"/>
        </w:rPr>
        <w:t xml:space="preserve"> </w:t>
      </w:r>
      <w:r w:rsidRPr="00EC452A">
        <w:rPr>
          <w:rFonts w:ascii="Arial" w:eastAsia="Arial" w:hAnsi="Arial" w:cs="Arial"/>
          <w:sz w:val="22"/>
          <w:szCs w:val="22"/>
        </w:rPr>
        <w:t>clase</w:t>
      </w:r>
      <w:r w:rsidRPr="00EC452A">
        <w:rPr>
          <w:rFonts w:ascii="Arial" w:eastAsia="Arial" w:hAnsi="Arial" w:cs="Arial"/>
          <w:spacing w:val="6"/>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prueba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except</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prohibida</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contraria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moral</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confesión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autoridades.</w:t>
      </w:r>
    </w:p>
    <w:p w14:paraId="46C8F62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176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resolucione</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relativa</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sancion</w:t>
      </w:r>
      <w:r w:rsidRPr="00EC452A">
        <w:rPr>
          <w:rFonts w:ascii="Arial" w:eastAsia="Arial" w:hAnsi="Arial" w:cs="Arial"/>
          <w:spacing w:val="-2"/>
          <w:sz w:val="22"/>
          <w:szCs w:val="22"/>
        </w:rPr>
        <w:t>e</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deberá</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pronunciars</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w w:val="102"/>
          <w:sz w:val="22"/>
          <w:szCs w:val="22"/>
        </w:rPr>
        <w:t xml:space="preserve">Secretaría </w:t>
      </w:r>
      <w:r w:rsidRPr="00EC452A">
        <w:rPr>
          <w:rFonts w:ascii="Arial" w:eastAsia="Arial" w:hAnsi="Arial" w:cs="Arial"/>
          <w:spacing w:val="-2"/>
          <w:sz w:val="22"/>
          <w:szCs w:val="22"/>
        </w:rPr>
        <w:t>dentr</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términ</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treint</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días</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ve</w:t>
      </w:r>
      <w:r w:rsidRPr="00EC452A">
        <w:rPr>
          <w:rFonts w:ascii="Arial" w:eastAsia="Arial" w:hAnsi="Arial" w:cs="Arial"/>
          <w:sz w:val="22"/>
          <w:szCs w:val="22"/>
        </w:rPr>
        <w:t>z</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expir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períod</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probatorio.</w:t>
      </w:r>
    </w:p>
    <w:p w14:paraId="2697794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177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resolució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dict</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aplicació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sancione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notificars</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presunt</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infracto</w:t>
      </w:r>
      <w:r w:rsidRPr="00EC452A">
        <w:rPr>
          <w:rFonts w:ascii="Arial" w:eastAsia="Arial" w:hAnsi="Arial" w:cs="Arial"/>
          <w:sz w:val="22"/>
          <w:szCs w:val="22"/>
        </w:rPr>
        <w:t>r</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personalmente</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corre</w:t>
      </w:r>
      <w:r w:rsidRPr="00EC452A">
        <w:rPr>
          <w:rFonts w:ascii="Arial" w:eastAsia="Arial" w:hAnsi="Arial" w:cs="Arial"/>
          <w:sz w:val="22"/>
          <w:szCs w:val="22"/>
        </w:rPr>
        <w:t>o</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certificad</w:t>
      </w:r>
      <w:r w:rsidRPr="00EC452A">
        <w:rPr>
          <w:rFonts w:ascii="Arial" w:eastAsia="Arial" w:hAnsi="Arial" w:cs="Arial"/>
          <w:sz w:val="22"/>
          <w:szCs w:val="22"/>
        </w:rPr>
        <w:t xml:space="preserve">o  </w:t>
      </w:r>
      <w:r w:rsidRPr="00EC452A">
        <w:rPr>
          <w:rFonts w:ascii="Arial" w:eastAsia="Arial" w:hAnsi="Arial" w:cs="Arial"/>
          <w:spacing w:val="-1"/>
          <w:w w:val="102"/>
          <w:sz w:val="22"/>
          <w:szCs w:val="22"/>
        </w:rPr>
        <w:t xml:space="preserve">con </w:t>
      </w:r>
      <w:r w:rsidRPr="00EC452A">
        <w:rPr>
          <w:rFonts w:ascii="Arial" w:eastAsia="Arial" w:hAnsi="Arial" w:cs="Arial"/>
          <w:spacing w:val="-1"/>
          <w:sz w:val="22"/>
          <w:szCs w:val="22"/>
        </w:rPr>
        <w:t>acus</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recibo.</w:t>
      </w:r>
    </w:p>
    <w:p w14:paraId="1C13729B" w14:textId="77777777" w:rsidR="00EC452A" w:rsidRPr="00EC452A" w:rsidRDefault="00EC452A" w:rsidP="00EC452A">
      <w:pPr>
        <w:spacing w:before="100" w:beforeAutospacing="1" w:after="100" w:afterAutospacing="1" w:line="240" w:lineRule="auto"/>
        <w:jc w:val="center"/>
        <w:rPr>
          <w:rFonts w:ascii="Arial" w:eastAsia="Arial" w:hAnsi="Arial" w:cs="Arial"/>
          <w:spacing w:val="-5"/>
          <w:w w:val="102"/>
          <w:sz w:val="22"/>
          <w:szCs w:val="22"/>
        </w:rPr>
      </w:pPr>
      <w:r w:rsidRPr="00EC452A">
        <w:rPr>
          <w:rFonts w:ascii="Arial" w:eastAsia="Arial" w:hAnsi="Arial" w:cs="Arial"/>
          <w:spacing w:val="-5"/>
          <w:sz w:val="22"/>
          <w:szCs w:val="22"/>
        </w:rPr>
        <w:t>TITUL</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5"/>
          <w:w w:val="102"/>
          <w:sz w:val="22"/>
          <w:szCs w:val="22"/>
        </w:rPr>
        <w:t>DECIMO</w:t>
      </w:r>
    </w:p>
    <w:p w14:paraId="31205C6E"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Recurs</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Administrativo</w:t>
      </w:r>
    </w:p>
    <w:p w14:paraId="4186C3AC"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4"/>
          <w:sz w:val="22"/>
          <w:szCs w:val="22"/>
        </w:rPr>
        <w:t>CAPITUL</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4"/>
          <w:w w:val="102"/>
          <w:sz w:val="22"/>
          <w:szCs w:val="22"/>
        </w:rPr>
        <w:t>UNICO</w:t>
      </w:r>
    </w:p>
    <w:p w14:paraId="6A0D83E9"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Recurs</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Revisión</w:t>
      </w:r>
    </w:p>
    <w:p w14:paraId="238A671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178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recurs</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revisió</w:t>
      </w:r>
      <w:r w:rsidRPr="00EC452A">
        <w:rPr>
          <w:rFonts w:ascii="Arial" w:eastAsia="Arial" w:hAnsi="Arial" w:cs="Arial"/>
          <w:sz w:val="22"/>
          <w:szCs w:val="22"/>
        </w:rPr>
        <w:t>n</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previst</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10</w:t>
      </w:r>
      <w:r w:rsidRPr="00EC452A">
        <w:rPr>
          <w:rFonts w:ascii="Arial" w:eastAsia="Arial" w:hAnsi="Arial" w:cs="Arial"/>
          <w:sz w:val="22"/>
          <w:szCs w:val="22"/>
        </w:rPr>
        <w:t>0</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Le</w:t>
      </w:r>
      <w:r w:rsidRPr="00EC452A">
        <w:rPr>
          <w:rFonts w:ascii="Arial" w:eastAsia="Arial" w:hAnsi="Arial" w:cs="Arial"/>
          <w:sz w:val="22"/>
          <w:szCs w:val="22"/>
        </w:rPr>
        <w:t>y</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deber</w:t>
      </w:r>
      <w:r w:rsidRPr="00EC452A">
        <w:rPr>
          <w:rFonts w:ascii="Arial" w:eastAsia="Arial" w:hAnsi="Arial" w:cs="Arial"/>
          <w:sz w:val="22"/>
          <w:szCs w:val="22"/>
        </w:rPr>
        <w:t>á</w:t>
      </w:r>
      <w:r w:rsidRPr="00EC452A">
        <w:rPr>
          <w:rFonts w:ascii="Arial" w:eastAsia="Arial" w:hAnsi="Arial" w:cs="Arial"/>
          <w:spacing w:val="50"/>
          <w:sz w:val="22"/>
          <w:szCs w:val="22"/>
        </w:rPr>
        <w:t xml:space="preserve"> </w:t>
      </w:r>
      <w:r w:rsidRPr="00EC452A">
        <w:rPr>
          <w:rFonts w:ascii="Arial" w:eastAsia="Arial" w:hAnsi="Arial" w:cs="Arial"/>
          <w:spacing w:val="-2"/>
          <w:w w:val="102"/>
          <w:sz w:val="22"/>
          <w:szCs w:val="22"/>
        </w:rPr>
        <w:t xml:space="preserve">presentarse </w:t>
      </w:r>
      <w:r w:rsidRPr="00EC452A">
        <w:rPr>
          <w:rFonts w:ascii="Arial" w:eastAsia="Arial" w:hAnsi="Arial" w:cs="Arial"/>
          <w:sz w:val="22"/>
          <w:szCs w:val="22"/>
        </w:rPr>
        <w:t xml:space="preserve">por </w:t>
      </w:r>
      <w:r w:rsidRPr="00EC452A">
        <w:rPr>
          <w:rFonts w:ascii="Arial" w:eastAsia="Arial" w:hAnsi="Arial" w:cs="Arial"/>
          <w:spacing w:val="34"/>
          <w:sz w:val="22"/>
          <w:szCs w:val="22"/>
        </w:rPr>
        <w:t xml:space="preserve"> </w:t>
      </w:r>
      <w:r w:rsidRPr="00EC452A">
        <w:rPr>
          <w:rFonts w:ascii="Arial" w:eastAsia="Arial" w:hAnsi="Arial" w:cs="Arial"/>
          <w:sz w:val="22"/>
          <w:szCs w:val="22"/>
        </w:rPr>
        <w:t>escri</w:t>
      </w:r>
      <w:r w:rsidRPr="00EC452A">
        <w:rPr>
          <w:rFonts w:ascii="Arial" w:eastAsia="Arial" w:hAnsi="Arial" w:cs="Arial"/>
          <w:spacing w:val="-1"/>
          <w:sz w:val="22"/>
          <w:szCs w:val="22"/>
        </w:rPr>
        <w:t>t</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directament</w:t>
      </w:r>
      <w:r w:rsidRPr="00EC452A">
        <w:rPr>
          <w:rFonts w:ascii="Arial" w:eastAsia="Arial" w:hAnsi="Arial" w:cs="Arial"/>
          <w:sz w:val="22"/>
          <w:szCs w:val="22"/>
        </w:rPr>
        <w:t xml:space="preserve">e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representacione</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generales</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bien </w:t>
      </w:r>
      <w:r w:rsidRPr="00EC452A">
        <w:rPr>
          <w:rFonts w:ascii="Arial" w:eastAsia="Arial" w:hAnsi="Arial" w:cs="Arial"/>
          <w:spacing w:val="-1"/>
          <w:sz w:val="22"/>
          <w:szCs w:val="22"/>
        </w:rPr>
        <w:t>enviars</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directament</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corre</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certificad</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acus</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recibo</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cuy</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caso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 xml:space="preserve">á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presentació</w:t>
      </w:r>
      <w:r w:rsidRPr="00EC452A">
        <w:rPr>
          <w:rFonts w:ascii="Arial" w:eastAsia="Arial" w:hAnsi="Arial" w:cs="Arial"/>
          <w:sz w:val="22"/>
          <w:szCs w:val="22"/>
        </w:rPr>
        <w:t xml:space="preserve">n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dí</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hay</w:t>
      </w:r>
      <w:r w:rsidRPr="00EC452A">
        <w:rPr>
          <w:rFonts w:ascii="Arial" w:eastAsia="Arial" w:hAnsi="Arial" w:cs="Arial"/>
          <w:sz w:val="22"/>
          <w:szCs w:val="22"/>
        </w:rPr>
        <w:t xml:space="preserve">a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depositad</w:t>
      </w:r>
      <w:r w:rsidRPr="00EC452A">
        <w:rPr>
          <w:rFonts w:ascii="Arial" w:eastAsia="Arial" w:hAnsi="Arial" w:cs="Arial"/>
          <w:sz w:val="22"/>
          <w:szCs w:val="22"/>
        </w:rPr>
        <w:t xml:space="preserve">o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esc</w:t>
      </w:r>
      <w:r w:rsidRPr="00EC452A">
        <w:rPr>
          <w:rFonts w:ascii="Arial" w:eastAsia="Arial" w:hAnsi="Arial" w:cs="Arial"/>
          <w:w w:val="102"/>
          <w:sz w:val="22"/>
          <w:szCs w:val="22"/>
        </w:rPr>
        <w:t xml:space="preserve">rito </w:t>
      </w:r>
      <w:r w:rsidRPr="00EC452A">
        <w:rPr>
          <w:rFonts w:ascii="Arial" w:eastAsia="Arial" w:hAnsi="Arial" w:cs="Arial"/>
          <w:spacing w:val="-1"/>
          <w:sz w:val="22"/>
          <w:szCs w:val="22"/>
        </w:rPr>
        <w:t>correspondient</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Oficin</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Correos.</w:t>
      </w:r>
    </w:p>
    <w:p w14:paraId="0FA201A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presenta</w:t>
      </w:r>
      <w:r w:rsidRPr="00EC452A">
        <w:rPr>
          <w:rFonts w:ascii="Arial" w:eastAsia="Arial" w:hAnsi="Arial" w:cs="Arial"/>
          <w:sz w:val="22"/>
          <w:szCs w:val="22"/>
        </w:rPr>
        <w:t>r</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escrit</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interesado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dispondrá</w:t>
      </w:r>
      <w:r w:rsidRPr="00EC452A">
        <w:rPr>
          <w:rFonts w:ascii="Arial" w:eastAsia="Arial" w:hAnsi="Arial" w:cs="Arial"/>
          <w:sz w:val="22"/>
          <w:szCs w:val="22"/>
        </w:rPr>
        <w:t>n</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die</w:t>
      </w:r>
      <w:r w:rsidRPr="00EC452A">
        <w:rPr>
          <w:rFonts w:ascii="Arial" w:eastAsia="Arial" w:hAnsi="Arial" w:cs="Arial"/>
          <w:sz w:val="22"/>
          <w:szCs w:val="22"/>
        </w:rPr>
        <w:t>z</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hábiles</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contados </w:t>
      </w:r>
      <w:r w:rsidRPr="00EC452A">
        <w:rPr>
          <w:rFonts w:ascii="Arial" w:eastAsia="Arial" w:hAnsi="Arial" w:cs="Arial"/>
          <w:spacing w:val="-2"/>
          <w:sz w:val="22"/>
          <w:szCs w:val="22"/>
        </w:rPr>
        <w:t>desd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fech</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notificació</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resolució</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recurr</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aquell</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 xml:space="preserve">le </w:t>
      </w:r>
      <w:r w:rsidRPr="00EC452A">
        <w:rPr>
          <w:rFonts w:ascii="Arial" w:eastAsia="Arial" w:hAnsi="Arial" w:cs="Arial"/>
          <w:sz w:val="22"/>
          <w:szCs w:val="22"/>
        </w:rPr>
        <w:t>interesado</w:t>
      </w:r>
      <w:r w:rsidRPr="00EC452A">
        <w:rPr>
          <w:rFonts w:ascii="Arial" w:eastAsia="Arial" w:hAnsi="Arial" w:cs="Arial"/>
          <w:spacing w:val="26"/>
          <w:sz w:val="22"/>
          <w:szCs w:val="22"/>
        </w:rPr>
        <w:t xml:space="preserve"> </w:t>
      </w:r>
      <w:r w:rsidRPr="00EC452A">
        <w:rPr>
          <w:rFonts w:ascii="Arial" w:eastAsia="Arial" w:hAnsi="Arial" w:cs="Arial"/>
          <w:sz w:val="22"/>
          <w:szCs w:val="22"/>
        </w:rPr>
        <w:t>la</w:t>
      </w:r>
      <w:r w:rsidRPr="00EC452A">
        <w:rPr>
          <w:rFonts w:ascii="Arial" w:eastAsia="Arial" w:hAnsi="Arial" w:cs="Arial"/>
          <w:spacing w:val="11"/>
          <w:sz w:val="22"/>
          <w:szCs w:val="22"/>
        </w:rPr>
        <w:t xml:space="preserve"> </w:t>
      </w:r>
      <w:r w:rsidRPr="00EC452A">
        <w:rPr>
          <w:rFonts w:ascii="Arial" w:eastAsia="Arial" w:hAnsi="Arial" w:cs="Arial"/>
          <w:sz w:val="22"/>
          <w:szCs w:val="22"/>
        </w:rPr>
        <w:t>conozca</w:t>
      </w:r>
      <w:r w:rsidRPr="00EC452A">
        <w:rPr>
          <w:rFonts w:ascii="Arial" w:eastAsia="Arial" w:hAnsi="Arial" w:cs="Arial"/>
          <w:spacing w:val="22"/>
          <w:sz w:val="22"/>
          <w:szCs w:val="22"/>
        </w:rPr>
        <w:t xml:space="preserve"> </w:t>
      </w:r>
      <w:r w:rsidRPr="00EC452A">
        <w:rPr>
          <w:rFonts w:ascii="Arial" w:eastAsia="Arial" w:hAnsi="Arial" w:cs="Arial"/>
          <w:spacing w:val="-15"/>
          <w:sz w:val="22"/>
          <w:szCs w:val="22"/>
        </w:rPr>
        <w:t>p</w:t>
      </w:r>
      <w:r w:rsidRPr="00EC452A">
        <w:rPr>
          <w:rFonts w:ascii="Arial" w:eastAsia="Arial" w:hAnsi="Arial" w:cs="Arial"/>
          <w:spacing w:val="-2"/>
          <w:sz w:val="22"/>
          <w:szCs w:val="22"/>
        </w:rPr>
        <w:t>o</w:t>
      </w:r>
      <w:r w:rsidRPr="00EC452A">
        <w:rPr>
          <w:rFonts w:ascii="Arial" w:eastAsia="Arial" w:hAnsi="Arial" w:cs="Arial"/>
          <w:sz w:val="22"/>
          <w:szCs w:val="22"/>
        </w:rPr>
        <w:t>r</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cualquie</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medio.</w:t>
      </w:r>
    </w:p>
    <w:p w14:paraId="55270A4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179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escrit</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interpong</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recurs</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indicars</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siguiente: </w:t>
      </w: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sz w:val="22"/>
          <w:szCs w:val="22"/>
        </w:rPr>
        <w:t>domicilio</w:t>
      </w:r>
      <w:r w:rsidRPr="00EC452A">
        <w:rPr>
          <w:rFonts w:ascii="Arial" w:eastAsia="Arial" w:hAnsi="Arial" w:cs="Arial"/>
          <w:spacing w:val="22"/>
          <w:sz w:val="22"/>
          <w:szCs w:val="22"/>
        </w:rPr>
        <w:t xml:space="preserve">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oír</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notificaciones.</w:t>
      </w:r>
    </w:p>
    <w:p w14:paraId="55C2747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position w:val="1"/>
          <w:sz w:val="22"/>
          <w:szCs w:val="22"/>
        </w:rPr>
        <w:t>II</w:t>
      </w:r>
      <w:r w:rsidRPr="00EC452A">
        <w:rPr>
          <w:rFonts w:ascii="Arial" w:eastAsia="Arial" w:hAnsi="Arial" w:cs="Arial"/>
          <w:position w:val="1"/>
          <w:sz w:val="22"/>
          <w:szCs w:val="22"/>
        </w:rPr>
        <w:t>.</w:t>
      </w:r>
      <w:r w:rsidRPr="00EC452A">
        <w:rPr>
          <w:rFonts w:ascii="Arial" w:eastAsia="Arial" w:hAnsi="Arial" w:cs="Arial"/>
          <w:spacing w:val="9"/>
          <w:position w:val="1"/>
          <w:sz w:val="22"/>
          <w:szCs w:val="22"/>
        </w:rPr>
        <w:t xml:space="preserve"> </w:t>
      </w:r>
      <w:r w:rsidRPr="00EC452A">
        <w:rPr>
          <w:rFonts w:ascii="Arial" w:eastAsia="Arial" w:hAnsi="Arial" w:cs="Arial"/>
          <w:spacing w:val="-1"/>
          <w:position w:val="1"/>
          <w:sz w:val="22"/>
          <w:szCs w:val="22"/>
        </w:rPr>
        <w:t>L</w:t>
      </w:r>
      <w:r w:rsidRPr="00EC452A">
        <w:rPr>
          <w:rFonts w:ascii="Arial" w:eastAsia="Arial" w:hAnsi="Arial" w:cs="Arial"/>
          <w:position w:val="1"/>
          <w:sz w:val="22"/>
          <w:szCs w:val="22"/>
        </w:rPr>
        <w:t>a</w:t>
      </w:r>
      <w:r w:rsidRPr="00EC452A">
        <w:rPr>
          <w:rFonts w:ascii="Arial" w:eastAsia="Arial" w:hAnsi="Arial" w:cs="Arial"/>
          <w:spacing w:val="10"/>
          <w:position w:val="1"/>
          <w:sz w:val="22"/>
          <w:szCs w:val="22"/>
        </w:rPr>
        <w:t xml:space="preserve"> </w:t>
      </w:r>
      <w:r w:rsidRPr="00EC452A">
        <w:rPr>
          <w:rFonts w:ascii="Arial" w:eastAsia="Arial" w:hAnsi="Arial" w:cs="Arial"/>
          <w:spacing w:val="-1"/>
          <w:position w:val="1"/>
          <w:sz w:val="22"/>
          <w:szCs w:val="22"/>
        </w:rPr>
        <w:t>resolució</w:t>
      </w:r>
      <w:r w:rsidRPr="00EC452A">
        <w:rPr>
          <w:rFonts w:ascii="Arial" w:eastAsia="Arial" w:hAnsi="Arial" w:cs="Arial"/>
          <w:position w:val="1"/>
          <w:sz w:val="22"/>
          <w:szCs w:val="22"/>
        </w:rPr>
        <w:t>n</w:t>
      </w:r>
      <w:r w:rsidRPr="00EC452A">
        <w:rPr>
          <w:rFonts w:ascii="Arial" w:eastAsia="Arial" w:hAnsi="Arial" w:cs="Arial"/>
          <w:spacing w:val="23"/>
          <w:position w:val="1"/>
          <w:sz w:val="22"/>
          <w:szCs w:val="22"/>
        </w:rPr>
        <w:t xml:space="preserve"> </w:t>
      </w:r>
      <w:r w:rsidRPr="00EC452A">
        <w:rPr>
          <w:rFonts w:ascii="Arial" w:eastAsia="Arial" w:hAnsi="Arial" w:cs="Arial"/>
          <w:spacing w:val="-1"/>
          <w:position w:val="1"/>
          <w:sz w:val="22"/>
          <w:szCs w:val="22"/>
        </w:rPr>
        <w:t>qu</w:t>
      </w:r>
      <w:r w:rsidRPr="00EC452A">
        <w:rPr>
          <w:rFonts w:ascii="Arial" w:eastAsia="Arial" w:hAnsi="Arial" w:cs="Arial"/>
          <w:position w:val="1"/>
          <w:sz w:val="22"/>
          <w:szCs w:val="22"/>
        </w:rPr>
        <w:t>e</w:t>
      </w:r>
      <w:r w:rsidRPr="00EC452A">
        <w:rPr>
          <w:rFonts w:ascii="Arial" w:eastAsia="Arial" w:hAnsi="Arial" w:cs="Arial"/>
          <w:spacing w:val="12"/>
          <w:position w:val="1"/>
          <w:sz w:val="22"/>
          <w:szCs w:val="22"/>
        </w:rPr>
        <w:t xml:space="preserve"> </w:t>
      </w:r>
      <w:r w:rsidRPr="00EC452A">
        <w:rPr>
          <w:rFonts w:ascii="Arial" w:eastAsia="Arial" w:hAnsi="Arial" w:cs="Arial"/>
          <w:spacing w:val="-1"/>
          <w:position w:val="1"/>
          <w:sz w:val="22"/>
          <w:szCs w:val="22"/>
        </w:rPr>
        <w:t>s</w:t>
      </w:r>
      <w:r w:rsidRPr="00EC452A">
        <w:rPr>
          <w:rFonts w:ascii="Arial" w:eastAsia="Arial" w:hAnsi="Arial" w:cs="Arial"/>
          <w:position w:val="1"/>
          <w:sz w:val="22"/>
          <w:szCs w:val="22"/>
        </w:rPr>
        <w:t>e</w:t>
      </w:r>
      <w:r w:rsidRPr="00EC452A">
        <w:rPr>
          <w:rFonts w:ascii="Arial" w:eastAsia="Arial" w:hAnsi="Arial" w:cs="Arial"/>
          <w:spacing w:val="10"/>
          <w:position w:val="1"/>
          <w:sz w:val="22"/>
          <w:szCs w:val="22"/>
        </w:rPr>
        <w:t xml:space="preserve"> </w:t>
      </w:r>
      <w:r w:rsidRPr="00EC452A">
        <w:rPr>
          <w:rFonts w:ascii="Arial" w:eastAsia="Arial" w:hAnsi="Arial" w:cs="Arial"/>
          <w:spacing w:val="-1"/>
          <w:position w:val="1"/>
          <w:sz w:val="22"/>
          <w:szCs w:val="22"/>
        </w:rPr>
        <w:t>recurr</w:t>
      </w:r>
      <w:r w:rsidRPr="00EC452A">
        <w:rPr>
          <w:rFonts w:ascii="Arial" w:eastAsia="Arial" w:hAnsi="Arial" w:cs="Arial"/>
          <w:position w:val="1"/>
          <w:sz w:val="22"/>
          <w:szCs w:val="22"/>
        </w:rPr>
        <w:t>a</w:t>
      </w:r>
      <w:r w:rsidRPr="00EC452A">
        <w:rPr>
          <w:rFonts w:ascii="Arial" w:eastAsia="Arial" w:hAnsi="Arial" w:cs="Arial"/>
          <w:spacing w:val="18"/>
          <w:position w:val="1"/>
          <w:sz w:val="22"/>
          <w:szCs w:val="22"/>
        </w:rPr>
        <w:t xml:space="preserve"> </w:t>
      </w:r>
      <w:r w:rsidRPr="00EC452A">
        <w:rPr>
          <w:rFonts w:ascii="Arial" w:eastAsia="Arial" w:hAnsi="Arial" w:cs="Arial"/>
          <w:position w:val="1"/>
          <w:sz w:val="22"/>
          <w:szCs w:val="22"/>
        </w:rPr>
        <w:t>y</w:t>
      </w:r>
      <w:r w:rsidRPr="00EC452A">
        <w:rPr>
          <w:rFonts w:ascii="Arial" w:eastAsia="Arial" w:hAnsi="Arial" w:cs="Arial"/>
          <w:spacing w:val="8"/>
          <w:position w:val="1"/>
          <w:sz w:val="22"/>
          <w:szCs w:val="22"/>
        </w:rPr>
        <w:t xml:space="preserve"> </w:t>
      </w:r>
      <w:r w:rsidRPr="00EC452A">
        <w:rPr>
          <w:rFonts w:ascii="Arial" w:eastAsia="Arial" w:hAnsi="Arial" w:cs="Arial"/>
          <w:spacing w:val="-1"/>
          <w:position w:val="1"/>
          <w:sz w:val="22"/>
          <w:szCs w:val="22"/>
        </w:rPr>
        <w:t>l</w:t>
      </w:r>
      <w:r w:rsidRPr="00EC452A">
        <w:rPr>
          <w:rFonts w:ascii="Arial" w:eastAsia="Arial" w:hAnsi="Arial" w:cs="Arial"/>
          <w:position w:val="1"/>
          <w:sz w:val="22"/>
          <w:szCs w:val="22"/>
        </w:rPr>
        <w:t>a</w:t>
      </w:r>
      <w:r w:rsidRPr="00EC452A">
        <w:rPr>
          <w:rFonts w:ascii="Arial" w:eastAsia="Arial" w:hAnsi="Arial" w:cs="Arial"/>
          <w:spacing w:val="9"/>
          <w:position w:val="1"/>
          <w:sz w:val="22"/>
          <w:szCs w:val="22"/>
        </w:rPr>
        <w:t xml:space="preserve"> </w:t>
      </w:r>
      <w:r w:rsidRPr="00EC452A">
        <w:rPr>
          <w:rFonts w:ascii="Arial" w:eastAsia="Arial" w:hAnsi="Arial" w:cs="Arial"/>
          <w:spacing w:val="-1"/>
          <w:position w:val="1"/>
          <w:sz w:val="22"/>
          <w:szCs w:val="22"/>
        </w:rPr>
        <w:t>autorida</w:t>
      </w:r>
      <w:r w:rsidRPr="00EC452A">
        <w:rPr>
          <w:rFonts w:ascii="Arial" w:eastAsia="Arial" w:hAnsi="Arial" w:cs="Arial"/>
          <w:position w:val="1"/>
          <w:sz w:val="22"/>
          <w:szCs w:val="22"/>
        </w:rPr>
        <w:t>d</w:t>
      </w:r>
      <w:r w:rsidRPr="00EC452A">
        <w:rPr>
          <w:rFonts w:ascii="Arial" w:eastAsia="Arial" w:hAnsi="Arial" w:cs="Arial"/>
          <w:spacing w:val="22"/>
          <w:position w:val="1"/>
          <w:sz w:val="22"/>
          <w:szCs w:val="22"/>
        </w:rPr>
        <w:t xml:space="preserve"> </w:t>
      </w:r>
      <w:r w:rsidRPr="00EC452A">
        <w:rPr>
          <w:rFonts w:ascii="Arial" w:eastAsia="Arial" w:hAnsi="Arial" w:cs="Arial"/>
          <w:spacing w:val="-1"/>
          <w:position w:val="1"/>
          <w:sz w:val="22"/>
          <w:szCs w:val="22"/>
        </w:rPr>
        <w:t>qu</w:t>
      </w:r>
      <w:r w:rsidRPr="00EC452A">
        <w:rPr>
          <w:rFonts w:ascii="Arial" w:eastAsia="Arial" w:hAnsi="Arial" w:cs="Arial"/>
          <w:position w:val="1"/>
          <w:sz w:val="22"/>
          <w:szCs w:val="22"/>
        </w:rPr>
        <w:t>e</w:t>
      </w:r>
      <w:r w:rsidRPr="00EC452A">
        <w:rPr>
          <w:rFonts w:ascii="Arial" w:eastAsia="Arial" w:hAnsi="Arial" w:cs="Arial"/>
          <w:spacing w:val="12"/>
          <w:position w:val="1"/>
          <w:sz w:val="22"/>
          <w:szCs w:val="22"/>
        </w:rPr>
        <w:t xml:space="preserve"> </w:t>
      </w:r>
      <w:r w:rsidRPr="00EC452A">
        <w:rPr>
          <w:rFonts w:ascii="Arial" w:eastAsia="Arial" w:hAnsi="Arial" w:cs="Arial"/>
          <w:spacing w:val="-1"/>
          <w:position w:val="1"/>
          <w:sz w:val="22"/>
          <w:szCs w:val="22"/>
        </w:rPr>
        <w:t>l</w:t>
      </w:r>
      <w:r w:rsidRPr="00EC452A">
        <w:rPr>
          <w:rFonts w:ascii="Arial" w:eastAsia="Arial" w:hAnsi="Arial" w:cs="Arial"/>
          <w:position w:val="1"/>
          <w:sz w:val="22"/>
          <w:szCs w:val="22"/>
        </w:rPr>
        <w:t>a</w:t>
      </w:r>
      <w:r w:rsidRPr="00EC452A">
        <w:rPr>
          <w:rFonts w:ascii="Arial" w:eastAsia="Arial" w:hAnsi="Arial" w:cs="Arial"/>
          <w:spacing w:val="9"/>
          <w:position w:val="1"/>
          <w:sz w:val="22"/>
          <w:szCs w:val="22"/>
        </w:rPr>
        <w:t xml:space="preserve"> </w:t>
      </w:r>
      <w:r w:rsidRPr="00EC452A">
        <w:rPr>
          <w:rFonts w:ascii="Arial" w:eastAsia="Arial" w:hAnsi="Arial" w:cs="Arial"/>
          <w:spacing w:val="-1"/>
          <w:position w:val="1"/>
          <w:sz w:val="22"/>
          <w:szCs w:val="22"/>
        </w:rPr>
        <w:t>hay</w:t>
      </w:r>
      <w:r w:rsidRPr="00EC452A">
        <w:rPr>
          <w:rFonts w:ascii="Arial" w:eastAsia="Arial" w:hAnsi="Arial" w:cs="Arial"/>
          <w:position w:val="1"/>
          <w:sz w:val="22"/>
          <w:szCs w:val="22"/>
        </w:rPr>
        <w:t>a</w:t>
      </w:r>
      <w:r w:rsidRPr="00EC452A">
        <w:rPr>
          <w:rFonts w:ascii="Arial" w:eastAsia="Arial" w:hAnsi="Arial" w:cs="Arial"/>
          <w:spacing w:val="14"/>
          <w:position w:val="1"/>
          <w:sz w:val="22"/>
          <w:szCs w:val="22"/>
        </w:rPr>
        <w:t xml:space="preserve"> </w:t>
      </w:r>
      <w:r w:rsidRPr="00EC452A">
        <w:rPr>
          <w:rFonts w:ascii="Arial" w:eastAsia="Arial" w:hAnsi="Arial" w:cs="Arial"/>
          <w:spacing w:val="-1"/>
          <w:w w:val="102"/>
          <w:position w:val="1"/>
          <w:sz w:val="22"/>
          <w:szCs w:val="22"/>
        </w:rPr>
        <w:t>emitido.</w:t>
      </w:r>
    </w:p>
    <w:p w14:paraId="1FFA4921"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III.</w:t>
      </w:r>
      <w:r w:rsidRPr="00EC452A">
        <w:rPr>
          <w:rFonts w:ascii="Arial" w:eastAsia="Arial" w:hAnsi="Arial" w:cs="Arial"/>
          <w:spacing w:val="41"/>
          <w:sz w:val="22"/>
          <w:szCs w:val="22"/>
        </w:rPr>
        <w:t xml:space="preserve"> </w:t>
      </w:r>
      <w:r w:rsidRPr="00EC452A">
        <w:rPr>
          <w:rFonts w:ascii="Arial" w:eastAsia="Arial" w:hAnsi="Arial" w:cs="Arial"/>
          <w:sz w:val="22"/>
          <w:szCs w:val="22"/>
        </w:rPr>
        <w:t>Los</w:t>
      </w:r>
      <w:r w:rsidRPr="00EC452A">
        <w:rPr>
          <w:rFonts w:ascii="Arial" w:eastAsia="Arial" w:hAnsi="Arial" w:cs="Arial"/>
          <w:spacing w:val="43"/>
          <w:sz w:val="22"/>
          <w:szCs w:val="22"/>
        </w:rPr>
        <w:t xml:space="preserve"> </w:t>
      </w:r>
      <w:r w:rsidRPr="00EC452A">
        <w:rPr>
          <w:rFonts w:ascii="Arial" w:eastAsia="Arial" w:hAnsi="Arial" w:cs="Arial"/>
          <w:sz w:val="22"/>
          <w:szCs w:val="22"/>
        </w:rPr>
        <w:t>motivos</w:t>
      </w:r>
      <w:r w:rsidRPr="00EC452A">
        <w:rPr>
          <w:rFonts w:ascii="Arial" w:eastAsia="Arial" w:hAnsi="Arial" w:cs="Arial"/>
          <w:spacing w:val="50"/>
          <w:sz w:val="22"/>
          <w:szCs w:val="22"/>
        </w:rPr>
        <w:t xml:space="preserve"> </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z w:val="22"/>
          <w:szCs w:val="22"/>
        </w:rPr>
        <w:t>razones</w:t>
      </w:r>
      <w:r w:rsidRPr="00EC452A">
        <w:rPr>
          <w:rFonts w:ascii="Arial" w:eastAsia="Arial" w:hAnsi="Arial" w:cs="Arial"/>
          <w:spacing w:val="50"/>
          <w:sz w:val="22"/>
          <w:szCs w:val="22"/>
        </w:rPr>
        <w:t xml:space="preserve"> </w:t>
      </w:r>
      <w:r w:rsidRPr="00EC452A">
        <w:rPr>
          <w:rFonts w:ascii="Arial" w:eastAsia="Arial" w:hAnsi="Arial" w:cs="Arial"/>
          <w:spacing w:val="-45"/>
          <w:sz w:val="22"/>
          <w:szCs w:val="22"/>
        </w:rPr>
        <w:t>p</w:t>
      </w:r>
      <w:r w:rsidRPr="00EC452A">
        <w:rPr>
          <w:rFonts w:ascii="Arial" w:eastAsia="Arial" w:hAnsi="Arial" w:cs="Arial"/>
          <w:spacing w:val="-1"/>
          <w:sz w:val="22"/>
          <w:szCs w:val="22"/>
        </w:rPr>
        <w:t>o</w:t>
      </w:r>
      <w:r w:rsidRPr="00EC452A">
        <w:rPr>
          <w:rFonts w:ascii="Arial" w:eastAsia="Arial" w:hAnsi="Arial" w:cs="Arial"/>
          <w:sz w:val="22"/>
          <w:szCs w:val="22"/>
        </w:rPr>
        <w:t>r</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consider</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injust</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violatori</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algun</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disposició</w:t>
      </w:r>
      <w:r w:rsidRPr="00EC452A">
        <w:rPr>
          <w:rFonts w:ascii="Arial" w:eastAsia="Arial" w:hAnsi="Arial" w:cs="Arial"/>
          <w:sz w:val="22"/>
          <w:szCs w:val="22"/>
        </w:rPr>
        <w:t>n</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sz w:val="22"/>
          <w:szCs w:val="22"/>
        </w:rPr>
        <w:t>resolució</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recurre.</w:t>
      </w:r>
    </w:p>
    <w:p w14:paraId="5FD4394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IV</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Tercer</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perjudicado.</w:t>
      </w:r>
    </w:p>
    <w:p w14:paraId="6BA70F4B"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prueba</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ofrezcan.</w:t>
      </w:r>
    </w:p>
    <w:p w14:paraId="0302A5A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Ademá</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acompañars</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escrito:</w:t>
      </w:r>
    </w:p>
    <w:p w14:paraId="179A102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documento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justificativo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personalida</w:t>
      </w:r>
      <w:r w:rsidRPr="00EC452A">
        <w:rPr>
          <w:rFonts w:ascii="Arial" w:eastAsia="Arial" w:hAnsi="Arial" w:cs="Arial"/>
          <w:sz w:val="22"/>
          <w:szCs w:val="22"/>
        </w:rPr>
        <w:t>d</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quie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z w:val="22"/>
          <w:szCs w:val="22"/>
        </w:rPr>
        <w:t>suscriba</w:t>
      </w:r>
      <w:r w:rsidRPr="00EC452A">
        <w:rPr>
          <w:rFonts w:ascii="Arial" w:eastAsia="Arial" w:hAnsi="Arial" w:cs="Arial"/>
          <w:spacing w:val="31"/>
          <w:sz w:val="22"/>
          <w:szCs w:val="22"/>
        </w:rPr>
        <w:t xml:space="preserve"> </w:t>
      </w:r>
      <w:r w:rsidRPr="00EC452A">
        <w:rPr>
          <w:rFonts w:ascii="Arial" w:eastAsia="Arial" w:hAnsi="Arial" w:cs="Arial"/>
          <w:sz w:val="22"/>
          <w:szCs w:val="22"/>
        </w:rPr>
        <w:t>el</w:t>
      </w:r>
      <w:r w:rsidRPr="00EC452A">
        <w:rPr>
          <w:rFonts w:ascii="Arial" w:eastAsia="Arial" w:hAnsi="Arial" w:cs="Arial"/>
          <w:spacing w:val="20"/>
          <w:sz w:val="22"/>
          <w:szCs w:val="22"/>
        </w:rPr>
        <w:t xml:space="preserve"> </w:t>
      </w:r>
      <w:r w:rsidRPr="00EC452A">
        <w:rPr>
          <w:rFonts w:ascii="Arial" w:eastAsia="Arial" w:hAnsi="Arial" w:cs="Arial"/>
          <w:sz w:val="22"/>
          <w:szCs w:val="22"/>
        </w:rPr>
        <w:t>recurso,</w:t>
      </w:r>
      <w:r w:rsidRPr="00EC452A">
        <w:rPr>
          <w:rFonts w:ascii="Arial" w:eastAsia="Arial" w:hAnsi="Arial" w:cs="Arial"/>
          <w:spacing w:val="31"/>
          <w:sz w:val="22"/>
          <w:szCs w:val="22"/>
        </w:rPr>
        <w:t xml:space="preserve"> </w:t>
      </w:r>
      <w:r w:rsidRPr="00EC452A">
        <w:rPr>
          <w:rFonts w:ascii="Arial" w:eastAsia="Arial" w:hAnsi="Arial" w:cs="Arial"/>
          <w:sz w:val="22"/>
          <w:szCs w:val="22"/>
        </w:rPr>
        <w:t>cuando</w:t>
      </w:r>
      <w:r w:rsidRPr="00EC452A">
        <w:rPr>
          <w:rFonts w:ascii="Arial" w:eastAsia="Arial" w:hAnsi="Arial" w:cs="Arial"/>
          <w:spacing w:val="29"/>
          <w:sz w:val="22"/>
          <w:szCs w:val="22"/>
        </w:rPr>
        <w:t xml:space="preserve"> </w:t>
      </w:r>
      <w:r w:rsidRPr="00EC452A">
        <w:rPr>
          <w:rFonts w:ascii="Arial" w:eastAsia="Arial" w:hAnsi="Arial" w:cs="Arial"/>
          <w:sz w:val="22"/>
          <w:szCs w:val="22"/>
        </w:rPr>
        <w:t>no</w:t>
      </w:r>
      <w:r w:rsidRPr="00EC452A">
        <w:rPr>
          <w:rFonts w:ascii="Arial" w:eastAsia="Arial" w:hAnsi="Arial" w:cs="Arial"/>
          <w:spacing w:val="21"/>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pacing w:val="-3"/>
          <w:sz w:val="22"/>
          <w:szCs w:val="22"/>
        </w:rPr>
        <w:t>interpong</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3"/>
          <w:sz w:val="22"/>
          <w:szCs w:val="22"/>
        </w:rPr>
        <w:t>nombr</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3"/>
          <w:w w:val="102"/>
          <w:sz w:val="22"/>
          <w:szCs w:val="22"/>
        </w:rPr>
        <w:t>propio.</w:t>
      </w:r>
    </w:p>
    <w:p w14:paraId="0C6A4DC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b</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Do</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copia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escrit</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anexos</w:t>
      </w:r>
      <w:r w:rsidRPr="00EC452A">
        <w:rPr>
          <w:rFonts w:ascii="Arial" w:eastAsia="Arial" w:hAnsi="Arial" w:cs="Arial"/>
          <w:sz w:val="22"/>
          <w:szCs w:val="22"/>
        </w:rPr>
        <w:t>,</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como</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sea</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necesarias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corre</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traslad</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tercero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perjudicados.</w:t>
      </w:r>
    </w:p>
    <w:p w14:paraId="6536E98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prueba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documentale</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ofrezca</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obre</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3"/>
          <w:sz w:val="22"/>
          <w:szCs w:val="22"/>
        </w:rPr>
        <w:t>e</w:t>
      </w:r>
      <w:r w:rsidRPr="00EC452A">
        <w:rPr>
          <w:rFonts w:ascii="Arial" w:eastAsia="Arial" w:hAnsi="Arial" w:cs="Arial"/>
          <w:sz w:val="22"/>
          <w:szCs w:val="22"/>
        </w:rPr>
        <w:t>n</w:t>
      </w:r>
      <w:r w:rsidRPr="00EC452A">
        <w:rPr>
          <w:rFonts w:ascii="Arial" w:eastAsia="Arial" w:hAnsi="Arial" w:cs="Arial"/>
          <w:spacing w:val="8"/>
          <w:sz w:val="22"/>
          <w:szCs w:val="22"/>
        </w:rPr>
        <w:t xml:space="preserve"> </w:t>
      </w:r>
      <w:r w:rsidRPr="00EC452A">
        <w:rPr>
          <w:rFonts w:ascii="Arial" w:eastAsia="Arial" w:hAnsi="Arial" w:cs="Arial"/>
          <w:spacing w:val="-3"/>
          <w:sz w:val="22"/>
          <w:szCs w:val="22"/>
        </w:rPr>
        <w:t>pode</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pacing w:val="-3"/>
          <w:sz w:val="22"/>
          <w:szCs w:val="22"/>
        </w:rPr>
        <w:t>de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3"/>
          <w:w w:val="102"/>
          <w:sz w:val="22"/>
          <w:szCs w:val="22"/>
        </w:rPr>
        <w:t>recurrente.</w:t>
      </w:r>
    </w:p>
    <w:p w14:paraId="06AA44F4" w14:textId="77777777" w:rsidR="00EC452A" w:rsidRPr="00EC452A" w:rsidRDefault="00EC452A" w:rsidP="00EC452A">
      <w:pPr>
        <w:spacing w:before="100" w:beforeAutospacing="1" w:after="100" w:afterAutospacing="1" w:line="240" w:lineRule="auto"/>
        <w:jc w:val="both"/>
        <w:rPr>
          <w:rFonts w:ascii="Arial" w:eastAsia="Arial" w:hAnsi="Arial" w:cs="Arial"/>
          <w:spacing w:val="-2"/>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180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z w:val="22"/>
          <w:szCs w:val="22"/>
        </w:rPr>
        <w:t>La</w:t>
      </w:r>
      <w:r w:rsidRPr="00EC452A">
        <w:rPr>
          <w:rFonts w:ascii="Arial" w:eastAsia="Arial" w:hAnsi="Arial" w:cs="Arial"/>
          <w:spacing w:val="24"/>
          <w:sz w:val="22"/>
          <w:szCs w:val="22"/>
        </w:rPr>
        <w:t xml:space="preserve"> </w:t>
      </w:r>
      <w:r w:rsidRPr="00EC452A">
        <w:rPr>
          <w:rFonts w:ascii="Arial" w:eastAsia="Arial" w:hAnsi="Arial" w:cs="Arial"/>
          <w:sz w:val="22"/>
          <w:szCs w:val="22"/>
        </w:rPr>
        <w:t>autoridad</w:t>
      </w:r>
      <w:r w:rsidRPr="00EC452A">
        <w:rPr>
          <w:rFonts w:ascii="Arial" w:eastAsia="Arial" w:hAnsi="Arial" w:cs="Arial"/>
          <w:spacing w:val="36"/>
          <w:sz w:val="22"/>
          <w:szCs w:val="22"/>
        </w:rPr>
        <w:t xml:space="preserve"> </w:t>
      </w:r>
      <w:r w:rsidRPr="00EC452A">
        <w:rPr>
          <w:rFonts w:ascii="Arial" w:eastAsia="Arial" w:hAnsi="Arial" w:cs="Arial"/>
          <w:sz w:val="22"/>
          <w:szCs w:val="22"/>
        </w:rPr>
        <w:t>encargada</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4"/>
          <w:sz w:val="22"/>
          <w:szCs w:val="22"/>
        </w:rPr>
        <w:t xml:space="preserve"> </w:t>
      </w:r>
      <w:r w:rsidRPr="00EC452A">
        <w:rPr>
          <w:rFonts w:ascii="Arial" w:eastAsia="Arial" w:hAnsi="Arial" w:cs="Arial"/>
          <w:sz w:val="22"/>
          <w:szCs w:val="22"/>
        </w:rPr>
        <w:t>sustanciar</w:t>
      </w:r>
      <w:r w:rsidRPr="00EC452A">
        <w:rPr>
          <w:rFonts w:ascii="Arial" w:eastAsia="Arial" w:hAnsi="Arial" w:cs="Arial"/>
          <w:spacing w:val="37"/>
          <w:sz w:val="22"/>
          <w:szCs w:val="22"/>
        </w:rPr>
        <w:t xml:space="preserve"> </w:t>
      </w:r>
      <w:r w:rsidRPr="00EC452A">
        <w:rPr>
          <w:rFonts w:ascii="Arial" w:eastAsia="Arial" w:hAnsi="Arial" w:cs="Arial"/>
          <w:sz w:val="22"/>
          <w:szCs w:val="22"/>
        </w:rPr>
        <w:t>el</w:t>
      </w:r>
      <w:r w:rsidRPr="00EC452A">
        <w:rPr>
          <w:rFonts w:ascii="Arial" w:eastAsia="Arial" w:hAnsi="Arial" w:cs="Arial"/>
          <w:spacing w:val="23"/>
          <w:sz w:val="22"/>
          <w:szCs w:val="22"/>
        </w:rPr>
        <w:t xml:space="preserve"> </w:t>
      </w:r>
      <w:r w:rsidRPr="00EC452A">
        <w:rPr>
          <w:rFonts w:ascii="Arial" w:eastAsia="Arial" w:hAnsi="Arial" w:cs="Arial"/>
          <w:sz w:val="22"/>
          <w:szCs w:val="22"/>
        </w:rPr>
        <w:t>recurso</w:t>
      </w:r>
      <w:r w:rsidRPr="00EC452A">
        <w:rPr>
          <w:rFonts w:ascii="Arial" w:eastAsia="Arial" w:hAnsi="Arial" w:cs="Arial"/>
          <w:spacing w:val="33"/>
          <w:sz w:val="22"/>
          <w:szCs w:val="22"/>
        </w:rPr>
        <w:t xml:space="preserve"> </w:t>
      </w:r>
      <w:r w:rsidRPr="00EC452A">
        <w:rPr>
          <w:rFonts w:ascii="Arial" w:eastAsia="Arial" w:hAnsi="Arial" w:cs="Arial"/>
          <w:sz w:val="22"/>
          <w:szCs w:val="22"/>
        </w:rPr>
        <w:t>analizará</w:t>
      </w:r>
      <w:r w:rsidRPr="00EC452A">
        <w:rPr>
          <w:rFonts w:ascii="Arial" w:eastAsia="Arial" w:hAnsi="Arial" w:cs="Arial"/>
          <w:spacing w:val="35"/>
          <w:sz w:val="22"/>
          <w:szCs w:val="22"/>
        </w:rPr>
        <w:t xml:space="preserve"> </w:t>
      </w:r>
      <w:r w:rsidRPr="00EC452A">
        <w:rPr>
          <w:rFonts w:ascii="Arial" w:eastAsia="Arial" w:hAnsi="Arial" w:cs="Arial"/>
          <w:sz w:val="22"/>
          <w:szCs w:val="22"/>
        </w:rPr>
        <w:t>el</w:t>
      </w:r>
      <w:r w:rsidRPr="00EC452A">
        <w:rPr>
          <w:rFonts w:ascii="Arial" w:eastAsia="Arial" w:hAnsi="Arial" w:cs="Arial"/>
          <w:spacing w:val="23"/>
          <w:sz w:val="22"/>
          <w:szCs w:val="22"/>
        </w:rPr>
        <w:t xml:space="preserve"> </w:t>
      </w:r>
      <w:r w:rsidRPr="00EC452A">
        <w:rPr>
          <w:rFonts w:ascii="Arial" w:eastAsia="Arial" w:hAnsi="Arial" w:cs="Arial"/>
          <w:sz w:val="22"/>
          <w:szCs w:val="22"/>
        </w:rPr>
        <w:t>escrito</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22"/>
          <w:sz w:val="22"/>
          <w:szCs w:val="22"/>
        </w:rPr>
        <w:t xml:space="preserve"> </w:t>
      </w:r>
      <w:r w:rsidRPr="00EC452A">
        <w:rPr>
          <w:rFonts w:ascii="Arial" w:eastAsia="Arial" w:hAnsi="Arial" w:cs="Arial"/>
          <w:sz w:val="22"/>
          <w:szCs w:val="22"/>
        </w:rPr>
        <w:t>sus</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 xml:space="preserve">anexos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comproba</w:t>
      </w:r>
      <w:r w:rsidRPr="00EC452A">
        <w:rPr>
          <w:rFonts w:ascii="Arial" w:eastAsia="Arial" w:hAnsi="Arial" w:cs="Arial"/>
          <w:sz w:val="22"/>
          <w:szCs w:val="22"/>
        </w:rPr>
        <w:t xml:space="preserve">r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satisfac</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dispuest</w:t>
      </w:r>
      <w:r w:rsidRPr="00EC452A">
        <w:rPr>
          <w:rFonts w:ascii="Arial" w:eastAsia="Arial" w:hAnsi="Arial" w:cs="Arial"/>
          <w:sz w:val="22"/>
          <w:szCs w:val="22"/>
        </w:rPr>
        <w:t xml:space="preserve">o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precedente</w:t>
      </w:r>
      <w:r w:rsidRPr="00EC452A">
        <w:rPr>
          <w:rFonts w:ascii="Arial" w:eastAsia="Arial" w:hAnsi="Arial" w:cs="Arial"/>
          <w:sz w:val="22"/>
          <w:szCs w:val="22"/>
        </w:rPr>
        <w:t xml:space="preserv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 xml:space="preserve">r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así</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3"/>
          <w:sz w:val="22"/>
          <w:szCs w:val="22"/>
        </w:rPr>
        <w:t>prevendr</w:t>
      </w:r>
      <w:r w:rsidRPr="00EC452A">
        <w:rPr>
          <w:rFonts w:ascii="Arial" w:eastAsia="Arial" w:hAnsi="Arial" w:cs="Arial"/>
          <w:sz w:val="22"/>
          <w:szCs w:val="22"/>
        </w:rPr>
        <w:t xml:space="preserve">á </w:t>
      </w:r>
      <w:r w:rsidRPr="00EC452A">
        <w:rPr>
          <w:rFonts w:ascii="Arial" w:eastAsia="Arial" w:hAnsi="Arial" w:cs="Arial"/>
          <w:spacing w:val="13"/>
          <w:sz w:val="22"/>
          <w:szCs w:val="22"/>
        </w:rPr>
        <w:t xml:space="preserve"> </w:t>
      </w:r>
      <w:r w:rsidRPr="00EC452A">
        <w:rPr>
          <w:rFonts w:ascii="Arial" w:eastAsia="Arial" w:hAnsi="Arial" w:cs="Arial"/>
          <w:spacing w:val="-3"/>
          <w:sz w:val="22"/>
          <w:szCs w:val="22"/>
        </w:rPr>
        <w:t>a</w:t>
      </w:r>
      <w:r w:rsidRPr="00EC452A">
        <w:rPr>
          <w:rFonts w:ascii="Arial" w:eastAsia="Arial" w:hAnsi="Arial" w:cs="Arial"/>
          <w:sz w:val="22"/>
          <w:szCs w:val="22"/>
        </w:rPr>
        <w:t>l</w:t>
      </w:r>
      <w:r w:rsidRPr="00EC452A">
        <w:rPr>
          <w:rFonts w:ascii="Arial" w:eastAsia="Arial" w:hAnsi="Arial" w:cs="Arial"/>
          <w:spacing w:val="52"/>
          <w:sz w:val="22"/>
          <w:szCs w:val="22"/>
        </w:rPr>
        <w:t xml:space="preserve"> </w:t>
      </w:r>
      <w:r w:rsidRPr="00EC452A">
        <w:rPr>
          <w:rFonts w:ascii="Arial" w:eastAsia="Arial" w:hAnsi="Arial" w:cs="Arial"/>
          <w:spacing w:val="-3"/>
          <w:sz w:val="22"/>
          <w:szCs w:val="22"/>
        </w:rPr>
        <w:t>recurrent</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3"/>
          <w:sz w:val="22"/>
          <w:szCs w:val="22"/>
        </w:rPr>
        <w:t>par</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3"/>
          <w:sz w:val="22"/>
          <w:szCs w:val="22"/>
        </w:rPr>
        <w:t>qu</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3"/>
          <w:sz w:val="22"/>
          <w:szCs w:val="22"/>
        </w:rPr>
        <w:t>aclar</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y</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aport</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documento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necesarios, </w:t>
      </w:r>
      <w:r w:rsidRPr="00EC452A">
        <w:rPr>
          <w:rFonts w:ascii="Arial" w:eastAsia="Arial" w:hAnsi="Arial" w:cs="Arial"/>
          <w:sz w:val="22"/>
          <w:szCs w:val="22"/>
        </w:rPr>
        <w:t>para</w:t>
      </w:r>
      <w:r w:rsidRPr="00EC452A">
        <w:rPr>
          <w:rFonts w:ascii="Arial" w:eastAsia="Arial" w:hAnsi="Arial" w:cs="Arial"/>
          <w:spacing w:val="27"/>
          <w:sz w:val="22"/>
          <w:szCs w:val="22"/>
        </w:rPr>
        <w:t xml:space="preserve"> </w:t>
      </w:r>
      <w:r w:rsidRPr="00EC452A">
        <w:rPr>
          <w:rFonts w:ascii="Arial" w:eastAsia="Arial" w:hAnsi="Arial" w:cs="Arial"/>
          <w:sz w:val="22"/>
          <w:szCs w:val="22"/>
        </w:rPr>
        <w:t>lo</w:t>
      </w:r>
      <w:r w:rsidRPr="00EC452A">
        <w:rPr>
          <w:rFonts w:ascii="Arial" w:eastAsia="Arial" w:hAnsi="Arial" w:cs="Arial"/>
          <w:spacing w:val="22"/>
          <w:sz w:val="22"/>
          <w:szCs w:val="22"/>
        </w:rPr>
        <w:t xml:space="preserve"> </w:t>
      </w:r>
      <w:r w:rsidRPr="00EC452A">
        <w:rPr>
          <w:rFonts w:ascii="Arial" w:eastAsia="Arial" w:hAnsi="Arial" w:cs="Arial"/>
          <w:sz w:val="22"/>
          <w:szCs w:val="22"/>
        </w:rPr>
        <w:t>cual</w:t>
      </w:r>
      <w:r w:rsidRPr="00EC452A">
        <w:rPr>
          <w:rFonts w:ascii="Arial" w:eastAsia="Arial" w:hAnsi="Arial" w:cs="Arial"/>
          <w:spacing w:val="26"/>
          <w:sz w:val="22"/>
          <w:szCs w:val="22"/>
        </w:rPr>
        <w:t xml:space="preserve"> </w:t>
      </w:r>
      <w:r w:rsidRPr="00EC452A">
        <w:rPr>
          <w:rFonts w:ascii="Arial" w:eastAsia="Arial" w:hAnsi="Arial" w:cs="Arial"/>
          <w:sz w:val="22"/>
          <w:szCs w:val="22"/>
        </w:rPr>
        <w:t>se</w:t>
      </w:r>
      <w:r w:rsidRPr="00EC452A">
        <w:rPr>
          <w:rFonts w:ascii="Arial" w:eastAsia="Arial" w:hAnsi="Arial" w:cs="Arial"/>
          <w:spacing w:val="23"/>
          <w:sz w:val="22"/>
          <w:szCs w:val="22"/>
        </w:rPr>
        <w:t xml:space="preserve"> </w:t>
      </w:r>
      <w:r w:rsidRPr="00EC452A">
        <w:rPr>
          <w:rFonts w:ascii="Arial" w:eastAsia="Arial" w:hAnsi="Arial" w:cs="Arial"/>
          <w:sz w:val="22"/>
          <w:szCs w:val="22"/>
        </w:rPr>
        <w:t>concederá</w:t>
      </w:r>
      <w:r w:rsidRPr="00EC452A">
        <w:rPr>
          <w:rFonts w:ascii="Arial" w:eastAsia="Arial" w:hAnsi="Arial" w:cs="Arial"/>
          <w:spacing w:val="37"/>
          <w:sz w:val="22"/>
          <w:szCs w:val="22"/>
        </w:rPr>
        <w:t xml:space="preserve"> </w:t>
      </w:r>
      <w:r w:rsidRPr="00EC452A">
        <w:rPr>
          <w:rFonts w:ascii="Arial" w:eastAsia="Arial" w:hAnsi="Arial" w:cs="Arial"/>
          <w:sz w:val="22"/>
          <w:szCs w:val="22"/>
        </w:rPr>
        <w:t>un</w:t>
      </w:r>
      <w:r w:rsidRPr="00EC452A">
        <w:rPr>
          <w:rFonts w:ascii="Arial" w:eastAsia="Arial" w:hAnsi="Arial" w:cs="Arial"/>
          <w:spacing w:val="23"/>
          <w:sz w:val="22"/>
          <w:szCs w:val="22"/>
        </w:rPr>
        <w:t xml:space="preserve"> </w:t>
      </w:r>
      <w:r w:rsidRPr="00EC452A">
        <w:rPr>
          <w:rFonts w:ascii="Arial" w:eastAsia="Arial" w:hAnsi="Arial" w:cs="Arial"/>
          <w:sz w:val="22"/>
          <w:szCs w:val="22"/>
        </w:rPr>
        <w:t>término</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10</w:t>
      </w:r>
      <w:r w:rsidRPr="00EC452A">
        <w:rPr>
          <w:rFonts w:ascii="Arial" w:eastAsia="Arial" w:hAnsi="Arial" w:cs="Arial"/>
          <w:spacing w:val="23"/>
          <w:sz w:val="22"/>
          <w:szCs w:val="22"/>
        </w:rPr>
        <w:t xml:space="preserve"> </w:t>
      </w:r>
      <w:r w:rsidRPr="00EC452A">
        <w:rPr>
          <w:rFonts w:ascii="Arial" w:eastAsia="Arial" w:hAnsi="Arial" w:cs="Arial"/>
          <w:sz w:val="22"/>
          <w:szCs w:val="22"/>
        </w:rPr>
        <w:t>días</w:t>
      </w:r>
      <w:r w:rsidRPr="00EC452A">
        <w:rPr>
          <w:rFonts w:ascii="Arial" w:eastAsia="Arial" w:hAnsi="Arial" w:cs="Arial"/>
          <w:spacing w:val="26"/>
          <w:sz w:val="22"/>
          <w:szCs w:val="22"/>
        </w:rPr>
        <w:t xml:space="preserve"> </w:t>
      </w:r>
      <w:r w:rsidRPr="00EC452A">
        <w:rPr>
          <w:rFonts w:ascii="Arial" w:eastAsia="Arial" w:hAnsi="Arial" w:cs="Arial"/>
          <w:sz w:val="22"/>
          <w:szCs w:val="22"/>
        </w:rPr>
        <w:t>hábiles,</w:t>
      </w:r>
      <w:r w:rsidRPr="00EC452A">
        <w:rPr>
          <w:rFonts w:ascii="Arial" w:eastAsia="Arial" w:hAnsi="Arial" w:cs="Arial"/>
          <w:spacing w:val="32"/>
          <w:sz w:val="22"/>
          <w:szCs w:val="22"/>
        </w:rPr>
        <w:t xml:space="preserve"> </w:t>
      </w:r>
      <w:r w:rsidRPr="00EC452A">
        <w:rPr>
          <w:rFonts w:ascii="Arial" w:eastAsia="Arial" w:hAnsi="Arial" w:cs="Arial"/>
          <w:sz w:val="22"/>
          <w:szCs w:val="22"/>
        </w:rPr>
        <w:t>transcurrido</w:t>
      </w:r>
      <w:r w:rsidRPr="00EC452A">
        <w:rPr>
          <w:rFonts w:ascii="Arial" w:eastAsia="Arial" w:hAnsi="Arial" w:cs="Arial"/>
          <w:spacing w:val="39"/>
          <w:sz w:val="22"/>
          <w:szCs w:val="22"/>
        </w:rPr>
        <w:t xml:space="preserve"> </w:t>
      </w:r>
      <w:r w:rsidRPr="00EC452A">
        <w:rPr>
          <w:rFonts w:ascii="Arial" w:eastAsia="Arial" w:hAnsi="Arial" w:cs="Arial"/>
          <w:sz w:val="22"/>
          <w:szCs w:val="22"/>
        </w:rPr>
        <w:t>el</w:t>
      </w:r>
      <w:r w:rsidRPr="00EC452A">
        <w:rPr>
          <w:rFonts w:ascii="Arial" w:eastAsia="Arial" w:hAnsi="Arial" w:cs="Arial"/>
          <w:spacing w:val="22"/>
          <w:sz w:val="22"/>
          <w:szCs w:val="22"/>
        </w:rPr>
        <w:t xml:space="preserve"> </w:t>
      </w:r>
      <w:r w:rsidRPr="00EC452A">
        <w:rPr>
          <w:rFonts w:ascii="Arial" w:eastAsia="Arial" w:hAnsi="Arial" w:cs="Arial"/>
          <w:sz w:val="22"/>
          <w:szCs w:val="22"/>
        </w:rPr>
        <w:t>cual,</w:t>
      </w:r>
      <w:r w:rsidRPr="00EC452A">
        <w:rPr>
          <w:rFonts w:ascii="Arial" w:eastAsia="Arial" w:hAnsi="Arial" w:cs="Arial"/>
          <w:spacing w:val="27"/>
          <w:sz w:val="22"/>
          <w:szCs w:val="22"/>
        </w:rPr>
        <w:t xml:space="preserve"> </w:t>
      </w:r>
      <w:r w:rsidRPr="00EC452A">
        <w:rPr>
          <w:rFonts w:ascii="Arial" w:eastAsia="Arial" w:hAnsi="Arial" w:cs="Arial"/>
          <w:sz w:val="22"/>
          <w:szCs w:val="22"/>
        </w:rPr>
        <w:t>si</w:t>
      </w:r>
      <w:r w:rsidRPr="00EC452A">
        <w:rPr>
          <w:rFonts w:ascii="Arial" w:eastAsia="Arial" w:hAnsi="Arial" w:cs="Arial"/>
          <w:spacing w:val="22"/>
          <w:sz w:val="22"/>
          <w:szCs w:val="22"/>
        </w:rPr>
        <w:t xml:space="preserve"> </w:t>
      </w:r>
      <w:r w:rsidRPr="00EC452A">
        <w:rPr>
          <w:rFonts w:ascii="Arial" w:eastAsia="Arial" w:hAnsi="Arial" w:cs="Arial"/>
          <w:sz w:val="22"/>
          <w:szCs w:val="22"/>
        </w:rPr>
        <w:t>no</w:t>
      </w:r>
      <w:r w:rsidRPr="00EC452A">
        <w:rPr>
          <w:rFonts w:ascii="Arial" w:eastAsia="Arial" w:hAnsi="Arial" w:cs="Arial"/>
          <w:spacing w:val="23"/>
          <w:sz w:val="22"/>
          <w:szCs w:val="22"/>
        </w:rPr>
        <w:t xml:space="preserve"> </w:t>
      </w:r>
      <w:r w:rsidRPr="00EC452A">
        <w:rPr>
          <w:rFonts w:ascii="Arial" w:eastAsia="Arial" w:hAnsi="Arial" w:cs="Arial"/>
          <w:sz w:val="22"/>
          <w:szCs w:val="22"/>
        </w:rPr>
        <w:t>se</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 xml:space="preserve">satisface </w:t>
      </w:r>
      <w:r w:rsidRPr="00EC452A">
        <w:rPr>
          <w:rFonts w:ascii="Arial" w:eastAsia="Arial" w:hAnsi="Arial" w:cs="Arial"/>
          <w:spacing w:val="-2"/>
          <w:sz w:val="22"/>
          <w:szCs w:val="22"/>
        </w:rPr>
        <w:t>l</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requerido</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recurs</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tendr</w:t>
      </w:r>
      <w:r w:rsidRPr="00EC452A">
        <w:rPr>
          <w:rFonts w:ascii="Arial" w:eastAsia="Arial" w:hAnsi="Arial" w:cs="Arial"/>
          <w:sz w:val="22"/>
          <w:szCs w:val="22"/>
        </w:rPr>
        <w:t>á</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interpuesto.</w:t>
      </w:r>
    </w:p>
    <w:p w14:paraId="4D23F4BE"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181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recurso</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amerite</w:t>
      </w:r>
      <w:r w:rsidRPr="00EC452A">
        <w:rPr>
          <w:rFonts w:ascii="Arial" w:eastAsia="Arial" w:hAnsi="Arial" w:cs="Arial"/>
          <w:sz w:val="22"/>
          <w:szCs w:val="22"/>
        </w:rPr>
        <w:t xml:space="preserve">n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aclaració</w:t>
      </w:r>
      <w:r w:rsidRPr="00EC452A">
        <w:rPr>
          <w:rFonts w:ascii="Arial" w:eastAsia="Arial" w:hAnsi="Arial" w:cs="Arial"/>
          <w:sz w:val="22"/>
          <w:szCs w:val="22"/>
        </w:rPr>
        <w:t xml:space="preserve">n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presentación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documentos </w:t>
      </w:r>
      <w:r w:rsidRPr="00EC452A">
        <w:rPr>
          <w:rFonts w:ascii="Arial" w:eastAsia="Arial" w:hAnsi="Arial" w:cs="Arial"/>
          <w:spacing w:val="44"/>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aquello</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hay</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presentad</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aclaració</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documento</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requeridos</w:t>
      </w:r>
      <w:r w:rsidRPr="00EC452A">
        <w:rPr>
          <w:rFonts w:ascii="Arial" w:eastAsia="Arial" w:hAnsi="Arial" w:cs="Arial"/>
          <w:sz w:val="22"/>
          <w:szCs w:val="22"/>
        </w:rPr>
        <w:t xml:space="preserve">, </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serán </w:t>
      </w:r>
      <w:r w:rsidRPr="00EC452A">
        <w:rPr>
          <w:rFonts w:ascii="Arial" w:eastAsia="Arial" w:hAnsi="Arial" w:cs="Arial"/>
          <w:spacing w:val="-1"/>
          <w:sz w:val="22"/>
          <w:szCs w:val="22"/>
        </w:rPr>
        <w:t>admitidos</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comunicar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interesado</w:t>
      </w:r>
      <w:r w:rsidRPr="00EC452A">
        <w:rPr>
          <w:rFonts w:ascii="Arial" w:eastAsia="Arial" w:hAnsi="Arial" w:cs="Arial"/>
          <w:sz w:val="22"/>
          <w:szCs w:val="22"/>
        </w:rPr>
        <w:t xml:space="preserv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tercer</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perjudicad</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haberlo</w:t>
      </w:r>
      <w:r w:rsidRPr="00EC452A">
        <w:rPr>
          <w:rFonts w:ascii="Arial" w:eastAsia="Arial" w:hAnsi="Arial" w:cs="Arial"/>
          <w:sz w:val="22"/>
          <w:szCs w:val="22"/>
        </w:rPr>
        <w:t>,</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aú</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cuando </w:t>
      </w:r>
      <w:r w:rsidRPr="00EC452A">
        <w:rPr>
          <w:rFonts w:ascii="Arial" w:eastAsia="Arial" w:hAnsi="Arial" w:cs="Arial"/>
          <w:sz w:val="22"/>
          <w:szCs w:val="22"/>
        </w:rPr>
        <w:t>no</w:t>
      </w:r>
      <w:r w:rsidRPr="00EC452A">
        <w:rPr>
          <w:rFonts w:ascii="Arial" w:eastAsia="Arial" w:hAnsi="Arial" w:cs="Arial"/>
          <w:spacing w:val="41"/>
          <w:sz w:val="22"/>
          <w:szCs w:val="22"/>
        </w:rPr>
        <w:t xml:space="preserve"> </w:t>
      </w:r>
      <w:r w:rsidRPr="00EC452A">
        <w:rPr>
          <w:rFonts w:ascii="Arial" w:eastAsia="Arial" w:hAnsi="Arial" w:cs="Arial"/>
          <w:sz w:val="22"/>
          <w:szCs w:val="22"/>
        </w:rPr>
        <w:t>haya</w:t>
      </w:r>
      <w:r w:rsidRPr="00EC452A">
        <w:rPr>
          <w:rFonts w:ascii="Arial" w:eastAsia="Arial" w:hAnsi="Arial" w:cs="Arial"/>
          <w:spacing w:val="45"/>
          <w:sz w:val="22"/>
          <w:szCs w:val="22"/>
        </w:rPr>
        <w:t xml:space="preserve"> </w:t>
      </w:r>
      <w:r w:rsidRPr="00EC452A">
        <w:rPr>
          <w:rFonts w:ascii="Arial" w:eastAsia="Arial" w:hAnsi="Arial" w:cs="Arial"/>
          <w:sz w:val="22"/>
          <w:szCs w:val="22"/>
        </w:rPr>
        <w:t>sido</w:t>
      </w:r>
      <w:r w:rsidRPr="00EC452A">
        <w:rPr>
          <w:rFonts w:ascii="Arial" w:eastAsia="Arial" w:hAnsi="Arial" w:cs="Arial"/>
          <w:spacing w:val="44"/>
          <w:sz w:val="22"/>
          <w:szCs w:val="22"/>
        </w:rPr>
        <w:t xml:space="preserve"> </w:t>
      </w:r>
      <w:r w:rsidRPr="00EC452A">
        <w:rPr>
          <w:rFonts w:ascii="Arial" w:eastAsia="Arial" w:hAnsi="Arial" w:cs="Arial"/>
          <w:sz w:val="22"/>
          <w:szCs w:val="22"/>
        </w:rPr>
        <w:t>señalado</w:t>
      </w:r>
      <w:r w:rsidRPr="00EC452A">
        <w:rPr>
          <w:rFonts w:ascii="Arial" w:eastAsia="Arial" w:hAnsi="Arial" w:cs="Arial"/>
          <w:spacing w:val="52"/>
          <w:sz w:val="22"/>
          <w:szCs w:val="22"/>
        </w:rPr>
        <w:t xml:space="preserve"> </w:t>
      </w:r>
      <w:r w:rsidRPr="00EC452A">
        <w:rPr>
          <w:rFonts w:ascii="Arial" w:eastAsia="Arial" w:hAnsi="Arial" w:cs="Arial"/>
          <w:sz w:val="22"/>
          <w:szCs w:val="22"/>
        </w:rPr>
        <w:t>por</w:t>
      </w:r>
      <w:r w:rsidRPr="00EC452A">
        <w:rPr>
          <w:rFonts w:ascii="Arial" w:eastAsia="Arial" w:hAnsi="Arial" w:cs="Arial"/>
          <w:spacing w:val="42"/>
          <w:sz w:val="22"/>
          <w:szCs w:val="22"/>
        </w:rPr>
        <w:t xml:space="preserve"> </w:t>
      </w:r>
      <w:r w:rsidRPr="00EC452A">
        <w:rPr>
          <w:rFonts w:ascii="Arial" w:eastAsia="Arial" w:hAnsi="Arial" w:cs="Arial"/>
          <w:sz w:val="22"/>
          <w:szCs w:val="22"/>
        </w:rPr>
        <w:t>el</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recurrente, </w:t>
      </w:r>
      <w:r w:rsidRPr="00EC452A">
        <w:rPr>
          <w:rFonts w:ascii="Arial" w:eastAsia="Arial" w:hAnsi="Arial" w:cs="Arial"/>
          <w:spacing w:val="2"/>
          <w:sz w:val="22"/>
          <w:szCs w:val="22"/>
        </w:rPr>
        <w:t xml:space="preserve"> </w:t>
      </w:r>
      <w:r w:rsidRPr="00EC452A">
        <w:rPr>
          <w:rFonts w:ascii="Arial" w:eastAsia="Arial" w:hAnsi="Arial" w:cs="Arial"/>
          <w:spacing w:val="-45"/>
          <w:sz w:val="22"/>
          <w:szCs w:val="22"/>
        </w:rPr>
        <w:t>p</w:t>
      </w:r>
      <w:r w:rsidRPr="00EC452A">
        <w:rPr>
          <w:rFonts w:ascii="Arial" w:eastAsia="Arial" w:hAnsi="Arial" w:cs="Arial"/>
          <w:spacing w:val="-1"/>
          <w:sz w:val="22"/>
          <w:szCs w:val="22"/>
        </w:rPr>
        <w:t>ar</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comparezc</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expresa</w:t>
      </w:r>
      <w:r w:rsidRPr="00EC452A">
        <w:rPr>
          <w:rFonts w:ascii="Arial" w:eastAsia="Arial" w:hAnsi="Arial" w:cs="Arial"/>
          <w:sz w:val="22"/>
          <w:szCs w:val="22"/>
        </w:rPr>
        <w:t>r</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derecho </w:t>
      </w:r>
      <w:r w:rsidRPr="00EC452A">
        <w:rPr>
          <w:rFonts w:ascii="Arial" w:eastAsia="Arial" w:hAnsi="Arial" w:cs="Arial"/>
          <w:spacing w:val="-1"/>
          <w:sz w:val="22"/>
          <w:szCs w:val="22"/>
        </w:rPr>
        <w:t>convenga</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términ</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die</w:t>
      </w:r>
      <w:r w:rsidRPr="00EC452A">
        <w:rPr>
          <w:rFonts w:ascii="Arial" w:eastAsia="Arial" w:hAnsi="Arial" w:cs="Arial"/>
          <w:sz w:val="22"/>
          <w:szCs w:val="22"/>
        </w:rPr>
        <w:t>z</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 xml:space="preserve">s  </w:t>
      </w:r>
      <w:r w:rsidRPr="00EC452A">
        <w:rPr>
          <w:rFonts w:ascii="Arial" w:eastAsia="Arial" w:hAnsi="Arial" w:cs="Arial"/>
          <w:spacing w:val="-1"/>
          <w:sz w:val="22"/>
          <w:szCs w:val="22"/>
        </w:rPr>
        <w:t>hábiles</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 xml:space="preserve">d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emiti</w:t>
      </w:r>
      <w:r w:rsidRPr="00EC452A">
        <w:rPr>
          <w:rFonts w:ascii="Arial" w:eastAsia="Arial" w:hAnsi="Arial" w:cs="Arial"/>
          <w:sz w:val="22"/>
          <w:szCs w:val="22"/>
        </w:rPr>
        <w:t xml:space="preserve">ó </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resolució</w:t>
      </w:r>
      <w:r w:rsidRPr="00EC452A">
        <w:rPr>
          <w:rFonts w:ascii="Arial" w:eastAsia="Arial" w:hAnsi="Arial" w:cs="Arial"/>
          <w:sz w:val="22"/>
          <w:szCs w:val="22"/>
        </w:rPr>
        <w:t xml:space="preserve">n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recurrida</w:t>
      </w:r>
      <w:r w:rsidRPr="00EC452A">
        <w:rPr>
          <w:rFonts w:ascii="Arial" w:eastAsia="Arial" w:hAnsi="Arial" w:cs="Arial"/>
          <w:sz w:val="22"/>
          <w:szCs w:val="22"/>
        </w:rPr>
        <w:t xml:space="preserv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suspenda</w:t>
      </w:r>
      <w:r w:rsidRPr="00EC452A">
        <w:rPr>
          <w:rFonts w:ascii="Arial" w:eastAsia="Arial" w:hAnsi="Arial" w:cs="Arial"/>
          <w:sz w:val="22"/>
          <w:szCs w:val="22"/>
        </w:rPr>
        <w:t xml:space="preserv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salv</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trat</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multas</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cuy</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suspensión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gestionars</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 xml:space="preserve">d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exactor</w:t>
      </w:r>
      <w:r w:rsidRPr="00EC452A">
        <w:rPr>
          <w:rFonts w:ascii="Arial" w:eastAsia="Arial" w:hAnsi="Arial" w:cs="Arial"/>
          <w:sz w:val="22"/>
          <w:szCs w:val="22"/>
        </w:rPr>
        <w:t xml:space="preserve">a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correspondient</w:t>
      </w:r>
      <w:r w:rsidRPr="00EC452A">
        <w:rPr>
          <w:rFonts w:ascii="Arial" w:eastAsia="Arial" w:hAnsi="Arial" w:cs="Arial"/>
          <w:sz w:val="22"/>
          <w:szCs w:val="22"/>
        </w:rPr>
        <w:t xml:space="preserve">e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 xml:space="preserve">s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Código </w:t>
      </w:r>
      <w:r w:rsidRPr="00EC452A">
        <w:rPr>
          <w:rFonts w:ascii="Arial" w:eastAsia="Arial" w:hAnsi="Arial" w:cs="Arial"/>
          <w:spacing w:val="-1"/>
          <w:sz w:val="22"/>
          <w:szCs w:val="22"/>
        </w:rPr>
        <w:t>Fisca</w:t>
      </w:r>
      <w:r w:rsidRPr="00EC452A">
        <w:rPr>
          <w:rFonts w:ascii="Arial" w:eastAsia="Arial" w:hAnsi="Arial" w:cs="Arial"/>
          <w:sz w:val="22"/>
          <w:szCs w:val="22"/>
        </w:rPr>
        <w:t>l</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Federación.</w:t>
      </w:r>
    </w:p>
    <w:p w14:paraId="77710E6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182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z w:val="22"/>
          <w:szCs w:val="22"/>
        </w:rPr>
        <w:t>los</w:t>
      </w:r>
      <w:r w:rsidRPr="00EC452A">
        <w:rPr>
          <w:rFonts w:ascii="Arial" w:eastAsia="Arial" w:hAnsi="Arial" w:cs="Arial"/>
          <w:spacing w:val="23"/>
          <w:sz w:val="22"/>
          <w:szCs w:val="22"/>
        </w:rPr>
        <w:t xml:space="preserve"> </w:t>
      </w:r>
      <w:r w:rsidRPr="00EC452A">
        <w:rPr>
          <w:rFonts w:ascii="Arial" w:eastAsia="Arial" w:hAnsi="Arial" w:cs="Arial"/>
          <w:sz w:val="22"/>
          <w:szCs w:val="22"/>
        </w:rPr>
        <w:t>terceros</w:t>
      </w:r>
      <w:r w:rsidRPr="00EC452A">
        <w:rPr>
          <w:rFonts w:ascii="Arial" w:eastAsia="Arial" w:hAnsi="Arial" w:cs="Arial"/>
          <w:spacing w:val="32"/>
          <w:sz w:val="22"/>
          <w:szCs w:val="22"/>
        </w:rPr>
        <w:t xml:space="preserve"> </w:t>
      </w:r>
      <w:r w:rsidRPr="00EC452A">
        <w:rPr>
          <w:rFonts w:ascii="Arial" w:eastAsia="Arial" w:hAnsi="Arial" w:cs="Arial"/>
          <w:sz w:val="22"/>
          <w:szCs w:val="22"/>
        </w:rPr>
        <w:t>perjudicados</w:t>
      </w:r>
      <w:r w:rsidRPr="00EC452A">
        <w:rPr>
          <w:rFonts w:ascii="Arial" w:eastAsia="Arial" w:hAnsi="Arial" w:cs="Arial"/>
          <w:spacing w:val="40"/>
          <w:sz w:val="22"/>
          <w:szCs w:val="22"/>
        </w:rPr>
        <w:t xml:space="preserve"> </w:t>
      </w:r>
      <w:r w:rsidRPr="00EC452A">
        <w:rPr>
          <w:rFonts w:ascii="Arial" w:eastAsia="Arial" w:hAnsi="Arial" w:cs="Arial"/>
          <w:sz w:val="22"/>
          <w:szCs w:val="22"/>
        </w:rPr>
        <w:t>se</w:t>
      </w:r>
      <w:r w:rsidRPr="00EC452A">
        <w:rPr>
          <w:rFonts w:ascii="Arial" w:eastAsia="Arial" w:hAnsi="Arial" w:cs="Arial"/>
          <w:spacing w:val="22"/>
          <w:sz w:val="22"/>
          <w:szCs w:val="22"/>
        </w:rPr>
        <w:t xml:space="preserve"> </w:t>
      </w:r>
      <w:r w:rsidRPr="00EC452A">
        <w:rPr>
          <w:rFonts w:ascii="Arial" w:eastAsia="Arial" w:hAnsi="Arial" w:cs="Arial"/>
          <w:sz w:val="22"/>
          <w:szCs w:val="22"/>
        </w:rPr>
        <w:t>les</w:t>
      </w:r>
      <w:r w:rsidRPr="00EC452A">
        <w:rPr>
          <w:rFonts w:ascii="Arial" w:eastAsia="Arial" w:hAnsi="Arial" w:cs="Arial"/>
          <w:spacing w:val="23"/>
          <w:sz w:val="22"/>
          <w:szCs w:val="22"/>
        </w:rPr>
        <w:t xml:space="preserve"> </w:t>
      </w:r>
      <w:r w:rsidRPr="00EC452A">
        <w:rPr>
          <w:rFonts w:ascii="Arial" w:eastAsia="Arial" w:hAnsi="Arial" w:cs="Arial"/>
          <w:sz w:val="22"/>
          <w:szCs w:val="22"/>
        </w:rPr>
        <w:t>correrá</w:t>
      </w:r>
      <w:r w:rsidRPr="00EC452A">
        <w:rPr>
          <w:rFonts w:ascii="Arial" w:eastAsia="Arial" w:hAnsi="Arial" w:cs="Arial"/>
          <w:spacing w:val="30"/>
          <w:sz w:val="22"/>
          <w:szCs w:val="22"/>
        </w:rPr>
        <w:t xml:space="preserve"> </w:t>
      </w:r>
      <w:r w:rsidRPr="00EC452A">
        <w:rPr>
          <w:rFonts w:ascii="Arial" w:eastAsia="Arial" w:hAnsi="Arial" w:cs="Arial"/>
          <w:sz w:val="22"/>
          <w:szCs w:val="22"/>
        </w:rPr>
        <w:t>traslado</w:t>
      </w:r>
      <w:r w:rsidRPr="00EC452A">
        <w:rPr>
          <w:rFonts w:ascii="Arial" w:eastAsia="Arial" w:hAnsi="Arial" w:cs="Arial"/>
          <w:spacing w:val="32"/>
          <w:sz w:val="22"/>
          <w:szCs w:val="22"/>
        </w:rPr>
        <w:t xml:space="preserve"> </w:t>
      </w:r>
      <w:r w:rsidRPr="00EC452A">
        <w:rPr>
          <w:rFonts w:ascii="Arial" w:eastAsia="Arial" w:hAnsi="Arial" w:cs="Arial"/>
          <w:sz w:val="22"/>
          <w:szCs w:val="22"/>
        </w:rPr>
        <w:t>del</w:t>
      </w:r>
      <w:r w:rsidRPr="00EC452A">
        <w:rPr>
          <w:rFonts w:ascii="Arial" w:eastAsia="Arial" w:hAnsi="Arial" w:cs="Arial"/>
          <w:spacing w:val="23"/>
          <w:sz w:val="22"/>
          <w:szCs w:val="22"/>
        </w:rPr>
        <w:t xml:space="preserve"> </w:t>
      </w:r>
      <w:r w:rsidRPr="00EC452A">
        <w:rPr>
          <w:rFonts w:ascii="Arial" w:eastAsia="Arial" w:hAnsi="Arial" w:cs="Arial"/>
          <w:sz w:val="22"/>
          <w:szCs w:val="22"/>
        </w:rPr>
        <w:t>escrito</w:t>
      </w:r>
      <w:r w:rsidRPr="00EC452A">
        <w:rPr>
          <w:rFonts w:ascii="Arial" w:eastAsia="Arial" w:hAnsi="Arial" w:cs="Arial"/>
          <w:spacing w:val="29"/>
          <w:sz w:val="22"/>
          <w:szCs w:val="22"/>
        </w:rPr>
        <w:t xml:space="preserve"> </w:t>
      </w:r>
      <w:r w:rsidRPr="00EC452A">
        <w:rPr>
          <w:rFonts w:ascii="Arial" w:eastAsia="Arial" w:hAnsi="Arial" w:cs="Arial"/>
          <w:sz w:val="22"/>
          <w:szCs w:val="22"/>
        </w:rPr>
        <w:t>en</w:t>
      </w:r>
      <w:r w:rsidRPr="00EC452A">
        <w:rPr>
          <w:rFonts w:ascii="Arial" w:eastAsia="Arial" w:hAnsi="Arial" w:cs="Arial"/>
          <w:spacing w:val="22"/>
          <w:sz w:val="22"/>
          <w:szCs w:val="22"/>
        </w:rPr>
        <w:t xml:space="preserve"> </w:t>
      </w:r>
      <w:r w:rsidRPr="00EC452A">
        <w:rPr>
          <w:rFonts w:ascii="Arial" w:eastAsia="Arial" w:hAnsi="Arial" w:cs="Arial"/>
          <w:sz w:val="22"/>
          <w:szCs w:val="22"/>
        </w:rPr>
        <w:t>que</w:t>
      </w:r>
      <w:r w:rsidRPr="00EC452A">
        <w:rPr>
          <w:rFonts w:ascii="Arial" w:eastAsia="Arial" w:hAnsi="Arial" w:cs="Arial"/>
          <w:spacing w:val="24"/>
          <w:sz w:val="22"/>
          <w:szCs w:val="22"/>
        </w:rPr>
        <w:t xml:space="preserve"> </w:t>
      </w:r>
      <w:r w:rsidRPr="00EC452A">
        <w:rPr>
          <w:rFonts w:ascii="Arial" w:eastAsia="Arial" w:hAnsi="Arial" w:cs="Arial"/>
          <w:sz w:val="22"/>
          <w:szCs w:val="22"/>
        </w:rPr>
        <w:t>se</w:t>
      </w:r>
      <w:r w:rsidRPr="00EC452A">
        <w:rPr>
          <w:rFonts w:ascii="Arial" w:eastAsia="Arial" w:hAnsi="Arial" w:cs="Arial"/>
          <w:spacing w:val="22"/>
          <w:sz w:val="22"/>
          <w:szCs w:val="22"/>
        </w:rPr>
        <w:t xml:space="preserve"> </w:t>
      </w:r>
      <w:r w:rsidRPr="00EC452A">
        <w:rPr>
          <w:rFonts w:ascii="Arial" w:eastAsia="Arial" w:hAnsi="Arial" w:cs="Arial"/>
          <w:w w:val="102"/>
          <w:sz w:val="22"/>
          <w:szCs w:val="22"/>
        </w:rPr>
        <w:t xml:space="preserve">contenga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recurso</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concediéndosele</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términ</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1</w:t>
      </w:r>
      <w:r w:rsidRPr="00EC452A">
        <w:rPr>
          <w:rFonts w:ascii="Arial" w:eastAsia="Arial" w:hAnsi="Arial" w:cs="Arial"/>
          <w:sz w:val="22"/>
          <w:szCs w:val="22"/>
        </w:rPr>
        <w:t>0</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contado</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parti</w:t>
      </w:r>
      <w:r w:rsidRPr="00EC452A">
        <w:rPr>
          <w:rFonts w:ascii="Arial" w:eastAsia="Arial" w:hAnsi="Arial" w:cs="Arial"/>
          <w:sz w:val="22"/>
          <w:szCs w:val="22"/>
        </w:rPr>
        <w:t>r</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fech</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2"/>
          <w:sz w:val="22"/>
          <w:szCs w:val="22"/>
        </w:rPr>
        <w:t>notificació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respectiva</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alegue</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ofrezca</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prueba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derech</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w w:val="102"/>
          <w:sz w:val="22"/>
          <w:szCs w:val="22"/>
        </w:rPr>
        <w:t>convenga.</w:t>
      </w:r>
    </w:p>
    <w:p w14:paraId="4741E559"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Tambié</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pedirá</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antecedente</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resolució</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y</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considerars</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necesario</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 xml:space="preserve">informe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mism</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emitió.</w:t>
      </w:r>
    </w:p>
    <w:p w14:paraId="46086B10"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183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i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hubiere</w:t>
      </w:r>
      <w:r w:rsidRPr="00EC452A">
        <w:rPr>
          <w:rFonts w:ascii="Arial" w:eastAsia="Arial" w:hAnsi="Arial" w:cs="Arial"/>
          <w:sz w:val="22"/>
          <w:szCs w:val="22"/>
        </w:rPr>
        <w:t xml:space="preserve">n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ofrecid</w:t>
      </w:r>
      <w:r w:rsidRPr="00EC452A">
        <w:rPr>
          <w:rFonts w:ascii="Arial" w:eastAsia="Arial" w:hAnsi="Arial" w:cs="Arial"/>
          <w:sz w:val="22"/>
          <w:szCs w:val="22"/>
        </w:rPr>
        <w:t xml:space="preserve">o </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prueba</w:t>
      </w:r>
      <w:r w:rsidRPr="00EC452A">
        <w:rPr>
          <w:rFonts w:ascii="Arial" w:eastAsia="Arial" w:hAnsi="Arial" w:cs="Arial"/>
          <w:sz w:val="22"/>
          <w:szCs w:val="22"/>
        </w:rPr>
        <w:t xml:space="preserve">s </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ameritare</w:t>
      </w:r>
      <w:r w:rsidRPr="00EC452A">
        <w:rPr>
          <w:rFonts w:ascii="Arial" w:eastAsia="Arial" w:hAnsi="Arial" w:cs="Arial"/>
          <w:sz w:val="22"/>
          <w:szCs w:val="22"/>
        </w:rPr>
        <w:t xml:space="preserve">n </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desahog</w:t>
      </w:r>
      <w:r w:rsidRPr="00EC452A">
        <w:rPr>
          <w:rFonts w:ascii="Arial" w:eastAsia="Arial" w:hAnsi="Arial" w:cs="Arial"/>
          <w:sz w:val="22"/>
          <w:szCs w:val="22"/>
        </w:rPr>
        <w:t xml:space="preserve">o </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conceder</w:t>
      </w:r>
      <w:r w:rsidRPr="00EC452A">
        <w:rPr>
          <w:rFonts w:ascii="Arial" w:eastAsia="Arial" w:hAnsi="Arial" w:cs="Arial"/>
          <w:sz w:val="22"/>
          <w:szCs w:val="22"/>
        </w:rPr>
        <w:t xml:space="preserve">á </w:t>
      </w:r>
      <w:r w:rsidRPr="00EC452A">
        <w:rPr>
          <w:rFonts w:ascii="Arial" w:eastAsia="Arial" w:hAnsi="Arial" w:cs="Arial"/>
          <w:spacing w:val="43"/>
          <w:sz w:val="22"/>
          <w:szCs w:val="22"/>
        </w:rPr>
        <w:t xml:space="preserve"> </w:t>
      </w:r>
      <w:r w:rsidRPr="00EC452A">
        <w:rPr>
          <w:rFonts w:ascii="Arial" w:eastAsia="Arial" w:hAnsi="Arial" w:cs="Arial"/>
          <w:spacing w:val="-2"/>
          <w:w w:val="102"/>
          <w:sz w:val="22"/>
          <w:szCs w:val="22"/>
        </w:rPr>
        <w:t xml:space="preserve">al </w:t>
      </w:r>
      <w:r w:rsidRPr="00EC452A">
        <w:rPr>
          <w:rFonts w:ascii="Arial" w:eastAsia="Arial" w:hAnsi="Arial" w:cs="Arial"/>
          <w:spacing w:val="-1"/>
          <w:sz w:val="22"/>
          <w:szCs w:val="22"/>
        </w:rPr>
        <w:t>interesad</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mayo</w:t>
      </w:r>
      <w:r w:rsidRPr="00EC452A">
        <w:rPr>
          <w:rFonts w:ascii="Arial" w:eastAsia="Arial" w:hAnsi="Arial" w:cs="Arial"/>
          <w:sz w:val="22"/>
          <w:szCs w:val="22"/>
        </w:rPr>
        <w:t>r</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1</w:t>
      </w:r>
      <w:r w:rsidRPr="00EC452A">
        <w:rPr>
          <w:rFonts w:ascii="Arial" w:eastAsia="Arial" w:hAnsi="Arial" w:cs="Arial"/>
          <w:sz w:val="22"/>
          <w:szCs w:val="22"/>
        </w:rPr>
        <w:t>5</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ta</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quedand</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carg</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mismo </w:t>
      </w:r>
      <w:r w:rsidRPr="00EC452A">
        <w:rPr>
          <w:rFonts w:ascii="Arial" w:eastAsia="Arial" w:hAnsi="Arial" w:cs="Arial"/>
          <w:sz w:val="22"/>
          <w:szCs w:val="22"/>
        </w:rPr>
        <w:t xml:space="preserve">la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presentación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testigos,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dictámenes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documentos.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Si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tercero </w:t>
      </w:r>
      <w:r w:rsidRPr="00EC452A">
        <w:rPr>
          <w:rFonts w:ascii="Arial" w:eastAsia="Arial" w:hAnsi="Arial" w:cs="Arial"/>
          <w:spacing w:val="39"/>
          <w:sz w:val="22"/>
          <w:szCs w:val="22"/>
        </w:rPr>
        <w:t xml:space="preserve"> </w:t>
      </w:r>
      <w:r w:rsidRPr="00EC452A">
        <w:rPr>
          <w:rFonts w:ascii="Arial" w:eastAsia="Arial" w:hAnsi="Arial" w:cs="Arial"/>
          <w:sz w:val="22"/>
          <w:szCs w:val="22"/>
        </w:rPr>
        <w:t>perjudic</w:t>
      </w:r>
      <w:r w:rsidRPr="00EC452A">
        <w:rPr>
          <w:rFonts w:ascii="Arial" w:eastAsia="Arial" w:hAnsi="Arial" w:cs="Arial"/>
          <w:spacing w:val="-1"/>
          <w:sz w:val="22"/>
          <w:szCs w:val="22"/>
        </w:rPr>
        <w:t>ad</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también </w:t>
      </w:r>
      <w:r w:rsidRPr="00EC452A">
        <w:rPr>
          <w:rFonts w:ascii="Arial" w:eastAsia="Arial" w:hAnsi="Arial" w:cs="Arial"/>
          <w:spacing w:val="-2"/>
          <w:sz w:val="22"/>
          <w:szCs w:val="22"/>
        </w:rPr>
        <w:t>hubies</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ofrecid</w:t>
      </w:r>
      <w:r w:rsidRPr="00EC452A">
        <w:rPr>
          <w:rFonts w:ascii="Arial" w:eastAsia="Arial" w:hAnsi="Arial" w:cs="Arial"/>
          <w:sz w:val="22"/>
          <w:szCs w:val="22"/>
        </w:rPr>
        <w:t xml:space="preserve">o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prueba</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ameritara</w:t>
      </w:r>
      <w:r w:rsidRPr="00EC452A">
        <w:rPr>
          <w:rFonts w:ascii="Arial" w:eastAsia="Arial" w:hAnsi="Arial" w:cs="Arial"/>
          <w:sz w:val="22"/>
          <w:szCs w:val="22"/>
        </w:rPr>
        <w:t xml:space="preserve">n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desahogo</w:t>
      </w:r>
      <w:r w:rsidRPr="00EC452A">
        <w:rPr>
          <w:rFonts w:ascii="Arial" w:eastAsia="Arial" w:hAnsi="Arial" w:cs="Arial"/>
          <w:sz w:val="22"/>
          <w:szCs w:val="22"/>
        </w:rPr>
        <w:t xml:space="preserve">,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procurar</w:t>
      </w:r>
      <w:r w:rsidRPr="00EC452A">
        <w:rPr>
          <w:rFonts w:ascii="Arial" w:eastAsia="Arial" w:hAnsi="Arial" w:cs="Arial"/>
          <w:sz w:val="22"/>
          <w:szCs w:val="22"/>
        </w:rPr>
        <w:t xml:space="preserve">á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términ</w:t>
      </w:r>
      <w:r w:rsidRPr="00EC452A">
        <w:rPr>
          <w:rFonts w:ascii="Arial" w:eastAsia="Arial" w:hAnsi="Arial" w:cs="Arial"/>
          <w:sz w:val="22"/>
          <w:szCs w:val="22"/>
        </w:rPr>
        <w:t xml:space="preserve">o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2"/>
          <w:w w:val="102"/>
          <w:sz w:val="22"/>
          <w:szCs w:val="22"/>
        </w:rPr>
        <w:t xml:space="preserve">este </w:t>
      </w:r>
      <w:r w:rsidRPr="00EC452A">
        <w:rPr>
          <w:rFonts w:ascii="Arial" w:eastAsia="Arial" w:hAnsi="Arial" w:cs="Arial"/>
          <w:spacing w:val="-1"/>
          <w:sz w:val="22"/>
          <w:szCs w:val="22"/>
        </w:rPr>
        <w:t>efect</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comú</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concedid</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recurrente.</w:t>
      </w:r>
    </w:p>
    <w:p w14:paraId="4C001596"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184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5"/>
          <w:sz w:val="22"/>
          <w:szCs w:val="22"/>
        </w:rPr>
        <w:t xml:space="preserve"> </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fi</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conta</w:t>
      </w:r>
      <w:r w:rsidRPr="00EC452A">
        <w:rPr>
          <w:rFonts w:ascii="Arial" w:eastAsia="Arial" w:hAnsi="Arial" w:cs="Arial"/>
          <w:sz w:val="22"/>
          <w:szCs w:val="22"/>
        </w:rPr>
        <w:t>r</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mayore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elemento</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resolve</w:t>
      </w:r>
      <w:r w:rsidRPr="00EC452A">
        <w:rPr>
          <w:rFonts w:ascii="Arial" w:eastAsia="Arial" w:hAnsi="Arial" w:cs="Arial"/>
          <w:sz w:val="22"/>
          <w:szCs w:val="22"/>
        </w:rPr>
        <w:t>r</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recurso, </w:t>
      </w:r>
      <w:r w:rsidRPr="00EC452A">
        <w:rPr>
          <w:rFonts w:ascii="Arial" w:eastAsia="Arial" w:hAnsi="Arial" w:cs="Arial"/>
          <w:spacing w:val="-3"/>
          <w:sz w:val="22"/>
          <w:szCs w:val="22"/>
        </w:rPr>
        <w:t>podr</w:t>
      </w:r>
      <w:r w:rsidRPr="00EC452A">
        <w:rPr>
          <w:rFonts w:ascii="Arial" w:eastAsia="Arial" w:hAnsi="Arial" w:cs="Arial"/>
          <w:sz w:val="22"/>
          <w:szCs w:val="22"/>
        </w:rPr>
        <w:t>á</w:t>
      </w:r>
      <w:r w:rsidRPr="00EC452A">
        <w:rPr>
          <w:rFonts w:ascii="Arial" w:eastAsia="Arial" w:hAnsi="Arial" w:cs="Arial"/>
          <w:spacing w:val="14"/>
          <w:sz w:val="22"/>
          <w:szCs w:val="22"/>
        </w:rPr>
        <w:t xml:space="preserve"> </w:t>
      </w:r>
      <w:r w:rsidRPr="00EC452A">
        <w:rPr>
          <w:rFonts w:ascii="Arial" w:eastAsia="Arial" w:hAnsi="Arial" w:cs="Arial"/>
          <w:spacing w:val="-3"/>
          <w:sz w:val="22"/>
          <w:szCs w:val="22"/>
        </w:rPr>
        <w:t>manda</w:t>
      </w:r>
      <w:r w:rsidRPr="00EC452A">
        <w:rPr>
          <w:rFonts w:ascii="Arial" w:eastAsia="Arial" w:hAnsi="Arial" w:cs="Arial"/>
          <w:sz w:val="22"/>
          <w:szCs w:val="22"/>
        </w:rPr>
        <w:t>r</w:t>
      </w:r>
      <w:r w:rsidRPr="00EC452A">
        <w:rPr>
          <w:rFonts w:ascii="Arial" w:eastAsia="Arial" w:hAnsi="Arial" w:cs="Arial"/>
          <w:spacing w:val="17"/>
          <w:sz w:val="22"/>
          <w:szCs w:val="22"/>
        </w:rPr>
        <w:t xml:space="preserve"> </w:t>
      </w:r>
      <w:r w:rsidRPr="00EC452A">
        <w:rPr>
          <w:rFonts w:ascii="Arial" w:eastAsia="Arial" w:hAnsi="Arial" w:cs="Arial"/>
          <w:sz w:val="22"/>
          <w:szCs w:val="22"/>
        </w:rPr>
        <w:t>practicar</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oficio</w:t>
      </w:r>
      <w:r w:rsidRPr="00EC452A">
        <w:rPr>
          <w:rFonts w:ascii="Arial" w:eastAsia="Arial" w:hAnsi="Arial" w:cs="Arial"/>
          <w:spacing w:val="16"/>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investigaciones</w:t>
      </w:r>
      <w:r w:rsidRPr="00EC452A">
        <w:rPr>
          <w:rFonts w:ascii="Arial" w:eastAsia="Arial" w:hAnsi="Arial" w:cs="Arial"/>
          <w:spacing w:val="33"/>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diligencias</w:t>
      </w:r>
      <w:r w:rsidRPr="00EC452A">
        <w:rPr>
          <w:rFonts w:ascii="Arial" w:eastAsia="Arial" w:hAnsi="Arial" w:cs="Arial"/>
          <w:spacing w:val="25"/>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estime</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necesarias.</w:t>
      </w:r>
    </w:p>
    <w:p w14:paraId="3A48EDFD"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185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recurs</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revisiónvers</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decisione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emitida</w:t>
      </w:r>
      <w:r w:rsidRPr="00EC452A">
        <w:rPr>
          <w:rFonts w:ascii="Arial" w:eastAsia="Arial" w:hAnsi="Arial" w:cs="Arial"/>
          <w:sz w:val="22"/>
          <w:szCs w:val="22"/>
        </w:rPr>
        <w:t xml:space="preserve">s  </w:t>
      </w:r>
      <w:r w:rsidRPr="00EC452A">
        <w:rPr>
          <w:rFonts w:ascii="Arial" w:eastAsia="Arial" w:hAnsi="Arial" w:cs="Arial"/>
          <w:spacing w:val="-1"/>
          <w:sz w:val="22"/>
          <w:szCs w:val="22"/>
        </w:rPr>
        <w:t>acerc</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conflicto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pacing w:val="-1"/>
          <w:sz w:val="22"/>
          <w:szCs w:val="22"/>
        </w:rPr>
        <w:t>indefinició</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relativo</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apareci</w:t>
      </w:r>
      <w:r w:rsidRPr="00EC452A">
        <w:rPr>
          <w:rFonts w:ascii="Arial" w:eastAsia="Arial" w:hAnsi="Arial" w:cs="Arial"/>
          <w:spacing w:val="-3"/>
          <w:sz w:val="22"/>
          <w:szCs w:val="22"/>
        </w:rPr>
        <w:t>ar</w:t>
      </w:r>
      <w:r w:rsidRPr="00EC452A">
        <w:rPr>
          <w:rFonts w:ascii="Arial" w:eastAsia="Arial" w:hAnsi="Arial" w:cs="Arial"/>
          <w:sz w:val="22"/>
          <w:szCs w:val="22"/>
        </w:rPr>
        <w:t xml:space="preserve">á  </w:t>
      </w:r>
      <w:r w:rsidRPr="00EC452A">
        <w:rPr>
          <w:rFonts w:ascii="Arial" w:eastAsia="Arial" w:hAnsi="Arial" w:cs="Arial"/>
          <w:spacing w:val="7"/>
          <w:sz w:val="22"/>
          <w:szCs w:val="22"/>
        </w:rPr>
        <w:t xml:space="preserve"> </w:t>
      </w:r>
      <w:r w:rsidRPr="00EC452A">
        <w:rPr>
          <w:rFonts w:ascii="Arial" w:eastAsia="Arial" w:hAnsi="Arial" w:cs="Arial"/>
          <w:spacing w:val="-3"/>
          <w:w w:val="102"/>
          <w:sz w:val="22"/>
          <w:szCs w:val="22"/>
        </w:rPr>
        <w:t xml:space="preserve">la </w:t>
      </w:r>
      <w:r w:rsidRPr="00EC452A">
        <w:rPr>
          <w:rFonts w:ascii="Arial" w:eastAsia="Arial" w:hAnsi="Arial" w:cs="Arial"/>
          <w:spacing w:val="-1"/>
          <w:sz w:val="22"/>
          <w:szCs w:val="22"/>
        </w:rPr>
        <w:t>decisió</w:t>
      </w:r>
      <w:r w:rsidRPr="00EC452A">
        <w:rPr>
          <w:rFonts w:ascii="Arial" w:eastAsia="Arial" w:hAnsi="Arial" w:cs="Arial"/>
          <w:sz w:val="22"/>
          <w:szCs w:val="22"/>
        </w:rPr>
        <w:t xml:space="preserve">n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ta</w:t>
      </w:r>
      <w:r w:rsidRPr="00EC452A">
        <w:rPr>
          <w:rFonts w:ascii="Arial" w:eastAsia="Arial" w:hAnsi="Arial" w:cs="Arial"/>
          <w:sz w:val="22"/>
          <w:szCs w:val="22"/>
        </w:rPr>
        <w:t xml:space="preserve">l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aparezc</w:t>
      </w:r>
      <w:r w:rsidRPr="00EC452A">
        <w:rPr>
          <w:rFonts w:ascii="Arial" w:eastAsia="Arial" w:hAnsi="Arial" w:cs="Arial"/>
          <w:sz w:val="22"/>
          <w:szCs w:val="22"/>
        </w:rPr>
        <w:t xml:space="preserve">a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probad</w:t>
      </w:r>
      <w:r w:rsidRPr="00EC452A">
        <w:rPr>
          <w:rFonts w:ascii="Arial" w:eastAsia="Arial" w:hAnsi="Arial" w:cs="Arial"/>
          <w:sz w:val="22"/>
          <w:szCs w:val="22"/>
        </w:rPr>
        <w:t xml:space="preserve">a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administrativo</w:t>
      </w:r>
      <w:r w:rsidRPr="00EC452A">
        <w:rPr>
          <w:rFonts w:ascii="Arial" w:eastAsia="Arial" w:hAnsi="Arial" w:cs="Arial"/>
          <w:sz w:val="22"/>
          <w:szCs w:val="22"/>
        </w:rPr>
        <w:t xml:space="preserv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salv</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2"/>
          <w:sz w:val="22"/>
          <w:szCs w:val="22"/>
        </w:rPr>
        <w:t>comprueb</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recurrent</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tuv</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oportunida</w:t>
      </w:r>
      <w:r w:rsidRPr="00EC452A">
        <w:rPr>
          <w:rFonts w:ascii="Arial" w:eastAsia="Arial" w:hAnsi="Arial" w:cs="Arial"/>
          <w:sz w:val="22"/>
          <w:szCs w:val="22"/>
        </w:rPr>
        <w:t>d</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ofrece</w:t>
      </w:r>
      <w:r w:rsidRPr="00EC452A">
        <w:rPr>
          <w:rFonts w:ascii="Arial" w:eastAsia="Arial" w:hAnsi="Arial" w:cs="Arial"/>
          <w:sz w:val="22"/>
          <w:szCs w:val="22"/>
        </w:rPr>
        <w:t>r</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algun</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prueb</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ofrecid</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2"/>
          <w:w w:val="102"/>
          <w:sz w:val="22"/>
          <w:szCs w:val="22"/>
        </w:rPr>
        <w:t xml:space="preserve">ésta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fu</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admitid</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oportunidad.</w:t>
      </w:r>
    </w:p>
    <w:p w14:paraId="1ADEDC3A"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186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Desahogada</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pruebas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agotadas,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su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caso,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investigaciones  </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diligencia</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ordenada</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dictar</w:t>
      </w:r>
      <w:r w:rsidRPr="00EC452A">
        <w:rPr>
          <w:rFonts w:ascii="Arial" w:eastAsia="Arial" w:hAnsi="Arial" w:cs="Arial"/>
          <w:sz w:val="22"/>
          <w:szCs w:val="22"/>
        </w:rPr>
        <w:t>á</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resolució</w:t>
      </w:r>
      <w:r w:rsidRPr="00EC452A">
        <w:rPr>
          <w:rFonts w:ascii="Arial" w:eastAsia="Arial" w:hAnsi="Arial" w:cs="Arial"/>
          <w:sz w:val="22"/>
          <w:szCs w:val="22"/>
        </w:rPr>
        <w:t xml:space="preserve">n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corresponda</w:t>
      </w:r>
      <w:r w:rsidRPr="00EC452A">
        <w:rPr>
          <w:rFonts w:ascii="Arial" w:eastAsia="Arial" w:hAnsi="Arial" w:cs="Arial"/>
          <w:sz w:val="22"/>
          <w:szCs w:val="22"/>
        </w:rPr>
        <w:t xml:space="preserv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será </w:t>
      </w:r>
      <w:r w:rsidRPr="00EC452A">
        <w:rPr>
          <w:rFonts w:ascii="Arial" w:eastAsia="Arial" w:hAnsi="Arial" w:cs="Arial"/>
          <w:spacing w:val="-2"/>
          <w:sz w:val="22"/>
          <w:szCs w:val="22"/>
        </w:rPr>
        <w:t>emitid</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Titula</w:t>
      </w:r>
      <w:r w:rsidRPr="00EC452A">
        <w:rPr>
          <w:rFonts w:ascii="Arial" w:eastAsia="Arial" w:hAnsi="Arial" w:cs="Arial"/>
          <w:sz w:val="22"/>
          <w:szCs w:val="22"/>
        </w:rPr>
        <w:t xml:space="preserve">r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funcionari</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quie</w:t>
      </w:r>
      <w:r w:rsidRPr="00EC452A">
        <w:rPr>
          <w:rFonts w:ascii="Arial" w:eastAsia="Arial" w:hAnsi="Arial" w:cs="Arial"/>
          <w:sz w:val="22"/>
          <w:szCs w:val="22"/>
        </w:rPr>
        <w:t>n</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ést</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delegu</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facultade</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2"/>
          <w:w w:val="102"/>
          <w:sz w:val="22"/>
          <w:szCs w:val="22"/>
        </w:rPr>
        <w:t xml:space="preserve">para </w:t>
      </w:r>
      <w:r w:rsidRPr="00EC452A">
        <w:rPr>
          <w:rFonts w:ascii="Arial" w:eastAsia="Arial" w:hAnsi="Arial" w:cs="Arial"/>
          <w:spacing w:val="-1"/>
          <w:sz w:val="22"/>
          <w:szCs w:val="22"/>
        </w:rPr>
        <w:t>ello</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ningú</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mism</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dict</w:t>
      </w:r>
      <w:r w:rsidRPr="00EC452A">
        <w:rPr>
          <w:rFonts w:ascii="Arial" w:eastAsia="Arial" w:hAnsi="Arial" w:cs="Arial"/>
          <w:sz w:val="22"/>
          <w:szCs w:val="22"/>
        </w:rPr>
        <w:t>ó</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resolució</w:t>
      </w:r>
      <w:r w:rsidRPr="00EC452A">
        <w:rPr>
          <w:rFonts w:ascii="Arial" w:eastAsia="Arial" w:hAnsi="Arial" w:cs="Arial"/>
          <w:sz w:val="22"/>
          <w:szCs w:val="22"/>
        </w:rPr>
        <w:t>n</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recurrid</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i</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jerarquía </w:t>
      </w:r>
      <w:r w:rsidRPr="00EC452A">
        <w:rPr>
          <w:rFonts w:ascii="Arial" w:eastAsia="Arial" w:hAnsi="Arial" w:cs="Arial"/>
          <w:spacing w:val="-2"/>
          <w:sz w:val="22"/>
          <w:szCs w:val="22"/>
        </w:rPr>
        <w:t>inferio</w:t>
      </w:r>
      <w:r w:rsidRPr="00EC452A">
        <w:rPr>
          <w:rFonts w:ascii="Arial" w:eastAsia="Arial" w:hAnsi="Arial" w:cs="Arial"/>
          <w:sz w:val="22"/>
          <w:szCs w:val="22"/>
        </w:rPr>
        <w:t>r</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w w:val="102"/>
          <w:sz w:val="22"/>
          <w:szCs w:val="22"/>
        </w:rPr>
        <w:t>éste.</w:t>
      </w:r>
    </w:p>
    <w:p w14:paraId="72B3645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187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resoluciones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notificarán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recurrentes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terceros  </w:t>
      </w:r>
      <w:r w:rsidRPr="00EC452A">
        <w:rPr>
          <w:rFonts w:ascii="Arial" w:eastAsia="Arial" w:hAnsi="Arial" w:cs="Arial"/>
          <w:spacing w:val="1"/>
          <w:sz w:val="22"/>
          <w:szCs w:val="22"/>
        </w:rPr>
        <w:t xml:space="preserve"> </w:t>
      </w:r>
      <w:r w:rsidRPr="00EC452A">
        <w:rPr>
          <w:rFonts w:ascii="Arial" w:eastAsia="Arial" w:hAnsi="Arial" w:cs="Arial"/>
          <w:w w:val="102"/>
          <w:sz w:val="22"/>
          <w:szCs w:val="22"/>
        </w:rPr>
        <w:t xml:space="preserve">perjudicados, </w:t>
      </w:r>
      <w:r w:rsidRPr="00EC452A">
        <w:rPr>
          <w:rFonts w:ascii="Arial" w:eastAsia="Arial" w:hAnsi="Arial" w:cs="Arial"/>
          <w:spacing w:val="-1"/>
          <w:sz w:val="22"/>
          <w:szCs w:val="22"/>
        </w:rPr>
        <w:t>personalment</w:t>
      </w:r>
      <w:r w:rsidRPr="00EC452A">
        <w:rPr>
          <w:rFonts w:ascii="Arial" w:eastAsia="Arial" w:hAnsi="Arial" w:cs="Arial"/>
          <w:sz w:val="22"/>
          <w:szCs w:val="22"/>
        </w:rPr>
        <w:t>e  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corre</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certificad</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acus</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recibo</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9"/>
          <w:sz w:val="22"/>
          <w:szCs w:val="22"/>
        </w:rPr>
        <w:t xml:space="preserve"> </w:t>
      </w:r>
      <w:r w:rsidRPr="00EC452A">
        <w:rPr>
          <w:rFonts w:ascii="Arial" w:eastAsia="Arial" w:hAnsi="Arial" w:cs="Arial"/>
          <w:sz w:val="22"/>
          <w:szCs w:val="22"/>
        </w:rPr>
        <w:t>como</w:t>
      </w:r>
      <w:r w:rsidRPr="00EC452A">
        <w:rPr>
          <w:rFonts w:ascii="Arial" w:eastAsia="Arial" w:hAnsi="Arial" w:cs="Arial"/>
          <w:spacing w:val="28"/>
          <w:sz w:val="22"/>
          <w:szCs w:val="22"/>
        </w:rPr>
        <w:t xml:space="preserve"> </w:t>
      </w:r>
      <w:r w:rsidRPr="00EC452A">
        <w:rPr>
          <w:rFonts w:ascii="Arial" w:eastAsia="Arial" w:hAnsi="Arial" w:cs="Arial"/>
          <w:sz w:val="22"/>
          <w:szCs w:val="22"/>
        </w:rPr>
        <w:t>por</w:t>
      </w:r>
      <w:r w:rsidRPr="00EC452A">
        <w:rPr>
          <w:rFonts w:ascii="Arial" w:eastAsia="Arial" w:hAnsi="Arial" w:cs="Arial"/>
          <w:spacing w:val="24"/>
          <w:sz w:val="22"/>
          <w:szCs w:val="22"/>
        </w:rPr>
        <w:t xml:space="preserve"> </w:t>
      </w:r>
      <w:r w:rsidRPr="00EC452A">
        <w:rPr>
          <w:rFonts w:ascii="Arial" w:eastAsia="Arial" w:hAnsi="Arial" w:cs="Arial"/>
          <w:sz w:val="22"/>
          <w:szCs w:val="22"/>
        </w:rPr>
        <w:t>los</w:t>
      </w:r>
      <w:r w:rsidRPr="00EC452A">
        <w:rPr>
          <w:rFonts w:ascii="Arial" w:eastAsia="Arial" w:hAnsi="Arial" w:cs="Arial"/>
          <w:spacing w:val="24"/>
          <w:sz w:val="22"/>
          <w:szCs w:val="22"/>
        </w:rPr>
        <w:t xml:space="preserve"> </w:t>
      </w:r>
      <w:r w:rsidRPr="00EC452A">
        <w:rPr>
          <w:rFonts w:ascii="Arial" w:eastAsia="Arial" w:hAnsi="Arial" w:cs="Arial"/>
          <w:sz w:val="22"/>
          <w:szCs w:val="22"/>
        </w:rPr>
        <w:t>medios</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normales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comunicació</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intern</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autoridade</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emitiero</w:t>
      </w:r>
      <w:r w:rsidRPr="00EC452A">
        <w:rPr>
          <w:rFonts w:ascii="Arial" w:eastAsia="Arial" w:hAnsi="Arial" w:cs="Arial"/>
          <w:sz w:val="22"/>
          <w:szCs w:val="22"/>
        </w:rPr>
        <w:t xml:space="preserve">n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resolución </w:t>
      </w:r>
      <w:r w:rsidRPr="00EC452A">
        <w:rPr>
          <w:rFonts w:ascii="Arial" w:eastAsia="Arial" w:hAnsi="Arial" w:cs="Arial"/>
          <w:spacing w:val="-3"/>
          <w:w w:val="102"/>
          <w:sz w:val="22"/>
          <w:szCs w:val="22"/>
        </w:rPr>
        <w:t>recurrida.</w:t>
      </w:r>
    </w:p>
    <w:p w14:paraId="671CBA63"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188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previst</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capítul</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á</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aplicabl</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supletoriamente</w:t>
      </w:r>
      <w:r w:rsidRPr="00EC452A">
        <w:rPr>
          <w:rFonts w:ascii="Arial" w:eastAsia="Arial" w:hAnsi="Arial" w:cs="Arial"/>
          <w:sz w:val="22"/>
          <w:szCs w:val="22"/>
        </w:rPr>
        <w:t>,</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relació</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con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ofrecimiento</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recepció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desahog</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pruebas</w:t>
      </w:r>
      <w:r w:rsidRPr="00EC452A">
        <w:rPr>
          <w:rFonts w:ascii="Arial" w:eastAsia="Arial" w:hAnsi="Arial" w:cs="Arial"/>
          <w:sz w:val="22"/>
          <w:szCs w:val="22"/>
        </w:rPr>
        <w:t xml:space="preserve">,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Códig</w:t>
      </w:r>
      <w:r w:rsidRPr="00EC452A">
        <w:rPr>
          <w:rFonts w:ascii="Arial" w:eastAsia="Arial" w:hAnsi="Arial" w:cs="Arial"/>
          <w:sz w:val="22"/>
          <w:szCs w:val="22"/>
        </w:rPr>
        <w:t xml:space="preserve">o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Federa</w:t>
      </w:r>
      <w:r w:rsidRPr="00EC452A">
        <w:rPr>
          <w:rFonts w:ascii="Arial" w:eastAsia="Arial" w:hAnsi="Arial" w:cs="Arial"/>
          <w:sz w:val="22"/>
          <w:szCs w:val="22"/>
        </w:rPr>
        <w:t xml:space="preserve">l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Procedimientos </w:t>
      </w:r>
      <w:r w:rsidRPr="00EC452A">
        <w:rPr>
          <w:rFonts w:ascii="Arial" w:eastAsia="Arial" w:hAnsi="Arial" w:cs="Arial"/>
          <w:spacing w:val="-2"/>
          <w:w w:val="102"/>
          <w:sz w:val="22"/>
          <w:szCs w:val="22"/>
        </w:rPr>
        <w:t>Civiles.</w:t>
      </w:r>
    </w:p>
    <w:p w14:paraId="54275A14" w14:textId="77777777"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w w:val="102"/>
          <w:sz w:val="22"/>
          <w:szCs w:val="22"/>
        </w:rPr>
        <w:t>TRANSITORIO</w:t>
      </w:r>
    </w:p>
    <w:p w14:paraId="04B7A39C"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6"/>
          <w:sz w:val="22"/>
          <w:szCs w:val="22"/>
        </w:rPr>
        <w:t>ARTICUL</w:t>
      </w:r>
      <w:r w:rsidRPr="00EC452A">
        <w:rPr>
          <w:rFonts w:ascii="Arial" w:eastAsia="Arial" w:hAnsi="Arial" w:cs="Arial"/>
          <w:sz w:val="22"/>
          <w:szCs w:val="22"/>
        </w:rPr>
        <w:t xml:space="preserve">O </w:t>
      </w:r>
      <w:r w:rsidRPr="00EC452A">
        <w:rPr>
          <w:rFonts w:ascii="Arial" w:eastAsia="Arial" w:hAnsi="Arial" w:cs="Arial"/>
          <w:spacing w:val="43"/>
          <w:sz w:val="22"/>
          <w:szCs w:val="22"/>
        </w:rPr>
        <w:t xml:space="preserve"> </w:t>
      </w:r>
      <w:r w:rsidRPr="00EC452A">
        <w:rPr>
          <w:rFonts w:ascii="Arial" w:eastAsia="Arial" w:hAnsi="Arial" w:cs="Arial"/>
          <w:spacing w:val="-6"/>
          <w:sz w:val="22"/>
          <w:szCs w:val="22"/>
        </w:rPr>
        <w:t>UNICO</w:t>
      </w:r>
      <w:r w:rsidRPr="00EC452A">
        <w:rPr>
          <w:rFonts w:ascii="Arial" w:eastAsia="Arial" w:hAnsi="Arial" w:cs="Arial"/>
          <w:spacing w:val="9"/>
          <w:sz w:val="22"/>
          <w:szCs w:val="22"/>
        </w:rPr>
        <w:t>.</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Est</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Reglament</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entrar</w:t>
      </w:r>
      <w:r w:rsidRPr="00EC452A">
        <w:rPr>
          <w:rFonts w:ascii="Arial" w:eastAsia="Arial" w:hAnsi="Arial" w:cs="Arial"/>
          <w:sz w:val="22"/>
          <w:szCs w:val="22"/>
        </w:rPr>
        <w:t xml:space="preserve">á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vigo</w:t>
      </w:r>
      <w:r w:rsidRPr="00EC452A">
        <w:rPr>
          <w:rFonts w:ascii="Arial" w:eastAsia="Arial" w:hAnsi="Arial" w:cs="Arial"/>
          <w:sz w:val="22"/>
          <w:szCs w:val="22"/>
        </w:rPr>
        <w:t xml:space="preserve">r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parti</w:t>
      </w:r>
      <w:r w:rsidRPr="00EC452A">
        <w:rPr>
          <w:rFonts w:ascii="Arial" w:eastAsia="Arial" w:hAnsi="Arial" w:cs="Arial"/>
          <w:sz w:val="22"/>
          <w:szCs w:val="22"/>
        </w:rPr>
        <w:t xml:space="preserve">r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dí</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siguient</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 xml:space="preserve">l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2"/>
          <w:w w:val="102"/>
          <w:sz w:val="22"/>
          <w:szCs w:val="22"/>
        </w:rPr>
        <w:t xml:space="preserve">su </w:t>
      </w:r>
      <w:r w:rsidRPr="00EC452A">
        <w:rPr>
          <w:rFonts w:ascii="Arial" w:eastAsia="Arial" w:hAnsi="Arial" w:cs="Arial"/>
          <w:spacing w:val="-1"/>
          <w:sz w:val="22"/>
          <w:szCs w:val="22"/>
        </w:rPr>
        <w:t>publicació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"Diari</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Oficial</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Federación.</w:t>
      </w:r>
    </w:p>
    <w:p w14:paraId="140C5232" w14:textId="77777777"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Dad</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Residenci</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Pode</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Eje</w:t>
      </w:r>
      <w:r w:rsidRPr="00EC452A">
        <w:rPr>
          <w:rFonts w:ascii="Arial" w:eastAsia="Arial" w:hAnsi="Arial" w:cs="Arial"/>
          <w:sz w:val="22"/>
          <w:szCs w:val="22"/>
        </w:rPr>
        <w:t>cutivo</w:t>
      </w:r>
      <w:r w:rsidRPr="00EC452A">
        <w:rPr>
          <w:rFonts w:ascii="Arial" w:eastAsia="Arial" w:hAnsi="Arial" w:cs="Arial"/>
          <w:spacing w:val="35"/>
          <w:sz w:val="22"/>
          <w:szCs w:val="22"/>
        </w:rPr>
        <w:t xml:space="preserve"> </w:t>
      </w:r>
      <w:r w:rsidRPr="00EC452A">
        <w:rPr>
          <w:rFonts w:ascii="Arial" w:eastAsia="Arial" w:hAnsi="Arial" w:cs="Arial"/>
          <w:sz w:val="22"/>
          <w:szCs w:val="22"/>
        </w:rPr>
        <w:t>Federal,</w:t>
      </w:r>
      <w:r w:rsidRPr="00EC452A">
        <w:rPr>
          <w:rFonts w:ascii="Arial" w:eastAsia="Arial" w:hAnsi="Arial" w:cs="Arial"/>
          <w:spacing w:val="34"/>
          <w:sz w:val="22"/>
          <w:szCs w:val="22"/>
        </w:rPr>
        <w:t xml:space="preserve"> </w:t>
      </w:r>
      <w:r w:rsidRPr="00EC452A">
        <w:rPr>
          <w:rFonts w:ascii="Arial" w:eastAsia="Arial" w:hAnsi="Arial" w:cs="Arial"/>
          <w:sz w:val="22"/>
          <w:szCs w:val="22"/>
        </w:rPr>
        <w:t>en</w:t>
      </w:r>
      <w:r w:rsidRPr="00EC452A">
        <w:rPr>
          <w:rFonts w:ascii="Arial" w:eastAsia="Arial" w:hAnsi="Arial" w:cs="Arial"/>
          <w:spacing w:val="24"/>
          <w:sz w:val="22"/>
          <w:szCs w:val="22"/>
        </w:rPr>
        <w:t xml:space="preserve"> </w:t>
      </w:r>
      <w:r w:rsidRPr="00EC452A">
        <w:rPr>
          <w:rFonts w:ascii="Arial" w:eastAsia="Arial" w:hAnsi="Arial" w:cs="Arial"/>
          <w:sz w:val="22"/>
          <w:szCs w:val="22"/>
        </w:rPr>
        <w:t>México,</w:t>
      </w:r>
      <w:r w:rsidRPr="00EC452A">
        <w:rPr>
          <w:rFonts w:ascii="Arial" w:eastAsia="Arial" w:hAnsi="Arial" w:cs="Arial"/>
          <w:spacing w:val="33"/>
          <w:sz w:val="22"/>
          <w:szCs w:val="22"/>
        </w:rPr>
        <w:t xml:space="preserve"> </w:t>
      </w:r>
      <w:r w:rsidRPr="00EC452A">
        <w:rPr>
          <w:rFonts w:ascii="Arial" w:eastAsia="Arial" w:hAnsi="Arial" w:cs="Arial"/>
          <w:sz w:val="22"/>
          <w:szCs w:val="22"/>
        </w:rPr>
        <w:t>Distrito</w:t>
      </w:r>
      <w:r w:rsidRPr="00EC452A">
        <w:rPr>
          <w:rFonts w:ascii="Arial" w:eastAsia="Arial" w:hAnsi="Arial" w:cs="Arial"/>
          <w:spacing w:val="32"/>
          <w:sz w:val="22"/>
          <w:szCs w:val="22"/>
        </w:rPr>
        <w:t xml:space="preserve"> </w:t>
      </w:r>
      <w:r w:rsidRPr="00EC452A">
        <w:rPr>
          <w:rFonts w:ascii="Arial" w:eastAsia="Arial" w:hAnsi="Arial" w:cs="Arial"/>
          <w:sz w:val="22"/>
          <w:szCs w:val="22"/>
        </w:rPr>
        <w:t>Federal,</w:t>
      </w:r>
      <w:r w:rsidRPr="00EC452A">
        <w:rPr>
          <w:rFonts w:ascii="Arial" w:eastAsia="Arial" w:hAnsi="Arial" w:cs="Arial"/>
          <w:spacing w:val="34"/>
          <w:sz w:val="22"/>
          <w:szCs w:val="22"/>
        </w:rPr>
        <w:t xml:space="preserve"> </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z w:val="22"/>
          <w:szCs w:val="22"/>
        </w:rPr>
        <w:t>los</w:t>
      </w:r>
      <w:r w:rsidRPr="00EC452A">
        <w:rPr>
          <w:rFonts w:ascii="Arial" w:eastAsia="Arial" w:hAnsi="Arial" w:cs="Arial"/>
          <w:spacing w:val="25"/>
          <w:sz w:val="22"/>
          <w:szCs w:val="22"/>
        </w:rPr>
        <w:t xml:space="preserve"> </w:t>
      </w:r>
      <w:r w:rsidRPr="00EC452A">
        <w:rPr>
          <w:rFonts w:ascii="Arial" w:eastAsia="Arial" w:hAnsi="Arial" w:cs="Arial"/>
          <w:sz w:val="22"/>
          <w:szCs w:val="22"/>
        </w:rPr>
        <w:t>doce</w:t>
      </w:r>
      <w:r w:rsidRPr="00EC452A">
        <w:rPr>
          <w:rFonts w:ascii="Arial" w:eastAsia="Arial" w:hAnsi="Arial" w:cs="Arial"/>
          <w:spacing w:val="28"/>
          <w:sz w:val="22"/>
          <w:szCs w:val="22"/>
        </w:rPr>
        <w:t xml:space="preserve"> </w:t>
      </w:r>
      <w:r w:rsidRPr="00EC452A">
        <w:rPr>
          <w:rFonts w:ascii="Arial" w:eastAsia="Arial" w:hAnsi="Arial" w:cs="Arial"/>
          <w:w w:val="102"/>
          <w:sz w:val="22"/>
          <w:szCs w:val="22"/>
        </w:rPr>
        <w:t xml:space="preserve">días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me</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noviembr</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mi</w:t>
      </w:r>
      <w:r w:rsidRPr="00EC452A">
        <w:rPr>
          <w:rFonts w:ascii="Arial" w:eastAsia="Arial" w:hAnsi="Arial" w:cs="Arial"/>
          <w:sz w:val="22"/>
          <w:szCs w:val="22"/>
        </w:rPr>
        <w:t xml:space="preserve">l </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noveciento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ochent</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uno</w:t>
      </w:r>
      <w:r w:rsidRPr="00EC452A">
        <w:rPr>
          <w:rFonts w:ascii="Arial" w:eastAsia="Arial" w:hAnsi="Arial" w:cs="Arial"/>
          <w:spacing w:val="13"/>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Jos</w:t>
      </w:r>
      <w:r w:rsidRPr="00EC452A">
        <w:rPr>
          <w:rFonts w:ascii="Arial" w:eastAsia="Arial" w:hAnsi="Arial" w:cs="Arial"/>
          <w:sz w:val="22"/>
          <w:szCs w:val="22"/>
        </w:rPr>
        <w:t xml:space="preserve">é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Lópe</w:t>
      </w:r>
      <w:r w:rsidRPr="00EC452A">
        <w:rPr>
          <w:rFonts w:ascii="Arial" w:eastAsia="Arial" w:hAnsi="Arial" w:cs="Arial"/>
          <w:sz w:val="22"/>
          <w:szCs w:val="22"/>
        </w:rPr>
        <w:t xml:space="preserve">z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Portillo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5"/>
          <w:w w:val="102"/>
          <w:sz w:val="22"/>
          <w:szCs w:val="22"/>
        </w:rPr>
        <w:t>-</w:t>
      </w:r>
      <w:r w:rsidRPr="00EC452A">
        <w:rPr>
          <w:rFonts w:ascii="Arial" w:eastAsia="Arial" w:hAnsi="Arial" w:cs="Arial"/>
          <w:spacing w:val="-3"/>
          <w:w w:val="102"/>
          <w:sz w:val="22"/>
          <w:szCs w:val="22"/>
        </w:rPr>
        <w:t>Rúbrica</w:t>
      </w:r>
      <w:r w:rsidRPr="00EC452A">
        <w:rPr>
          <w:rFonts w:ascii="Arial" w:eastAsia="Arial" w:hAnsi="Arial" w:cs="Arial"/>
          <w:spacing w:val="12"/>
          <w:w w:val="102"/>
          <w:sz w:val="22"/>
          <w:szCs w:val="22"/>
        </w:rPr>
        <w:t>.</w:t>
      </w:r>
      <w:r w:rsidRPr="00EC452A">
        <w:rPr>
          <w:rFonts w:ascii="Arial" w:eastAsia="Arial" w:hAnsi="Arial" w:cs="Arial"/>
          <w:w w:val="102"/>
          <w:sz w:val="22"/>
          <w:szCs w:val="22"/>
        </w:rPr>
        <w:t xml:space="preserve">- </w:t>
      </w:r>
      <w:r w:rsidRPr="00EC452A">
        <w:rPr>
          <w:rFonts w:ascii="Arial" w:eastAsia="Arial" w:hAnsi="Arial" w:cs="Arial"/>
          <w:spacing w:val="-2"/>
          <w:sz w:val="22"/>
          <w:szCs w:val="22"/>
        </w:rPr>
        <w:t>Secretari</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Gobernación</w:t>
      </w:r>
      <w:r w:rsidRPr="00EC452A">
        <w:rPr>
          <w:rFonts w:ascii="Arial" w:eastAsia="Arial" w:hAnsi="Arial" w:cs="Arial"/>
          <w:sz w:val="22"/>
          <w:szCs w:val="22"/>
        </w:rPr>
        <w:t xml:space="preserve">,  </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Enriqu</w:t>
      </w:r>
      <w:r w:rsidRPr="00EC452A">
        <w:rPr>
          <w:rFonts w:ascii="Arial" w:eastAsia="Arial" w:hAnsi="Arial" w:cs="Arial"/>
          <w:sz w:val="22"/>
          <w:szCs w:val="22"/>
        </w:rPr>
        <w:t xml:space="preserve">e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Olivare</w:t>
      </w:r>
      <w:r w:rsidRPr="00EC452A">
        <w:rPr>
          <w:rFonts w:ascii="Arial" w:eastAsia="Arial" w:hAnsi="Arial" w:cs="Arial"/>
          <w:sz w:val="22"/>
          <w:szCs w:val="22"/>
        </w:rPr>
        <w:t xml:space="preserve">s  </w:t>
      </w:r>
      <w:r w:rsidRPr="00EC452A">
        <w:rPr>
          <w:rFonts w:ascii="Arial" w:eastAsia="Arial" w:hAnsi="Arial" w:cs="Arial"/>
          <w:spacing w:val="34"/>
          <w:sz w:val="22"/>
          <w:szCs w:val="22"/>
        </w:rPr>
        <w:t xml:space="preserve"> </w:t>
      </w:r>
      <w:r w:rsidRPr="00EC452A">
        <w:rPr>
          <w:rFonts w:ascii="Arial" w:eastAsia="Arial" w:hAnsi="Arial" w:cs="Arial"/>
          <w:spacing w:val="-2"/>
          <w:w w:val="102"/>
          <w:sz w:val="22"/>
          <w:szCs w:val="22"/>
        </w:rPr>
        <w:t>Santana</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Relaciones </w:t>
      </w:r>
      <w:r w:rsidRPr="00EC452A">
        <w:rPr>
          <w:rFonts w:ascii="Arial" w:eastAsia="Arial" w:hAnsi="Arial" w:cs="Arial"/>
          <w:sz w:val="22"/>
          <w:szCs w:val="22"/>
        </w:rPr>
        <w:t xml:space="preserve">Exteriores,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Jorge  </w:t>
      </w:r>
      <w:r w:rsidRPr="00EC452A">
        <w:rPr>
          <w:rFonts w:ascii="Arial" w:eastAsia="Arial" w:hAnsi="Arial" w:cs="Arial"/>
          <w:spacing w:val="2"/>
          <w:sz w:val="22"/>
          <w:szCs w:val="22"/>
        </w:rPr>
        <w:t xml:space="preserve"> </w:t>
      </w:r>
      <w:r w:rsidRPr="00EC452A">
        <w:rPr>
          <w:rFonts w:ascii="Arial" w:eastAsia="Arial" w:hAnsi="Arial" w:cs="Arial"/>
          <w:sz w:val="22"/>
          <w:szCs w:val="22"/>
        </w:rPr>
        <w:t>Cast</w:t>
      </w:r>
      <w:r w:rsidRPr="00EC452A">
        <w:rPr>
          <w:rFonts w:ascii="Arial" w:eastAsia="Arial" w:hAnsi="Arial" w:cs="Arial"/>
          <w:spacing w:val="-15"/>
          <w:sz w:val="22"/>
          <w:szCs w:val="22"/>
        </w:rPr>
        <w:t>a</w:t>
      </w:r>
      <w:r w:rsidRPr="00EC452A">
        <w:rPr>
          <w:rFonts w:ascii="Arial" w:eastAsia="Arial" w:hAnsi="Arial" w:cs="Arial"/>
          <w:spacing w:val="-2"/>
          <w:sz w:val="22"/>
          <w:szCs w:val="22"/>
        </w:rPr>
        <w:t>ñed</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Alvarez.</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 xml:space="preserve">o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Defens</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Nacional</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 xml:space="preserve">Félix </w:t>
      </w:r>
      <w:r w:rsidRPr="00EC452A">
        <w:rPr>
          <w:rFonts w:ascii="Arial" w:eastAsia="Arial" w:hAnsi="Arial" w:cs="Arial"/>
          <w:spacing w:val="-3"/>
          <w:sz w:val="22"/>
          <w:szCs w:val="22"/>
        </w:rPr>
        <w:t>Galvá</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3"/>
          <w:sz w:val="22"/>
          <w:szCs w:val="22"/>
        </w:rPr>
        <w:t>López.</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2"/>
          <w:sz w:val="22"/>
          <w:szCs w:val="22"/>
        </w:rPr>
        <w:t>Secretari</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Marina</w:t>
      </w:r>
      <w:r w:rsidRPr="00EC452A">
        <w:rPr>
          <w:rFonts w:ascii="Arial" w:eastAsia="Arial" w:hAnsi="Arial" w:cs="Arial"/>
          <w:sz w:val="22"/>
          <w:szCs w:val="22"/>
        </w:rPr>
        <w:t xml:space="preserve">, </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Ricard</w:t>
      </w:r>
      <w:r w:rsidRPr="00EC452A">
        <w:rPr>
          <w:rFonts w:ascii="Arial" w:eastAsia="Arial" w:hAnsi="Arial" w:cs="Arial"/>
          <w:sz w:val="22"/>
          <w:szCs w:val="22"/>
        </w:rPr>
        <w:t xml:space="preserve">o </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Cházar</w:t>
      </w:r>
      <w:r w:rsidRPr="00EC452A">
        <w:rPr>
          <w:rFonts w:ascii="Arial" w:eastAsia="Arial" w:hAnsi="Arial" w:cs="Arial"/>
          <w:sz w:val="22"/>
          <w:szCs w:val="22"/>
        </w:rPr>
        <w:t xml:space="preserve">o </w:t>
      </w:r>
      <w:r w:rsidRPr="00EC452A">
        <w:rPr>
          <w:rFonts w:ascii="Arial" w:eastAsia="Arial" w:hAnsi="Arial" w:cs="Arial"/>
          <w:spacing w:val="51"/>
          <w:sz w:val="22"/>
          <w:szCs w:val="22"/>
        </w:rPr>
        <w:t xml:space="preserve"> </w:t>
      </w:r>
      <w:r w:rsidRPr="00EC452A">
        <w:rPr>
          <w:rFonts w:ascii="Arial" w:eastAsia="Arial" w:hAnsi="Arial" w:cs="Arial"/>
          <w:spacing w:val="-2"/>
          <w:w w:val="102"/>
          <w:sz w:val="22"/>
          <w:szCs w:val="22"/>
        </w:rPr>
        <w:t>Lara</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Asentamientos</w:t>
      </w:r>
      <w:r w:rsidRPr="00EC452A">
        <w:rPr>
          <w:rFonts w:ascii="Arial" w:eastAsia="Arial" w:hAnsi="Arial" w:cs="Arial"/>
          <w:spacing w:val="23"/>
          <w:sz w:val="22"/>
          <w:szCs w:val="22"/>
        </w:rPr>
        <w:t xml:space="preserve"> </w:t>
      </w:r>
      <w:r w:rsidRPr="00EC452A">
        <w:rPr>
          <w:rFonts w:ascii="Arial" w:eastAsia="Arial" w:hAnsi="Arial" w:cs="Arial"/>
          <w:sz w:val="22"/>
          <w:szCs w:val="22"/>
        </w:rPr>
        <w:t>Humanos</w:t>
      </w:r>
      <w:r w:rsidRPr="00EC452A">
        <w:rPr>
          <w:rFonts w:ascii="Arial" w:eastAsia="Arial" w:hAnsi="Arial" w:cs="Arial"/>
          <w:spacing w:val="14"/>
          <w:sz w:val="22"/>
          <w:szCs w:val="22"/>
        </w:rPr>
        <w:t xml:space="preserve"> </w:t>
      </w:r>
      <w:r w:rsidRPr="00EC452A">
        <w:rPr>
          <w:rFonts w:ascii="Arial" w:eastAsia="Arial" w:hAnsi="Arial" w:cs="Arial"/>
          <w:sz w:val="22"/>
          <w:szCs w:val="22"/>
        </w:rPr>
        <w:t>y Obras</w:t>
      </w:r>
      <w:r w:rsidRPr="00EC452A">
        <w:rPr>
          <w:rFonts w:ascii="Arial" w:eastAsia="Arial" w:hAnsi="Arial" w:cs="Arial"/>
          <w:spacing w:val="8"/>
          <w:sz w:val="22"/>
          <w:szCs w:val="22"/>
        </w:rPr>
        <w:t xml:space="preserve"> </w:t>
      </w:r>
      <w:r w:rsidRPr="00EC452A">
        <w:rPr>
          <w:rFonts w:ascii="Arial" w:eastAsia="Arial" w:hAnsi="Arial" w:cs="Arial"/>
          <w:sz w:val="22"/>
          <w:szCs w:val="22"/>
        </w:rPr>
        <w:t>Públicas,</w:t>
      </w:r>
      <w:r w:rsidRPr="00EC452A">
        <w:rPr>
          <w:rFonts w:ascii="Arial" w:eastAsia="Arial" w:hAnsi="Arial" w:cs="Arial"/>
          <w:spacing w:val="14"/>
          <w:sz w:val="22"/>
          <w:szCs w:val="22"/>
        </w:rPr>
        <w:t xml:space="preserve"> </w:t>
      </w:r>
      <w:r w:rsidRPr="00EC452A">
        <w:rPr>
          <w:rFonts w:ascii="Arial" w:eastAsia="Arial" w:hAnsi="Arial" w:cs="Arial"/>
          <w:sz w:val="22"/>
          <w:szCs w:val="22"/>
        </w:rPr>
        <w:t>Pedro</w:t>
      </w:r>
      <w:r w:rsidRPr="00EC452A">
        <w:rPr>
          <w:rFonts w:ascii="Arial" w:eastAsia="Arial" w:hAnsi="Arial" w:cs="Arial"/>
          <w:spacing w:val="8"/>
          <w:sz w:val="22"/>
          <w:szCs w:val="22"/>
        </w:rPr>
        <w:t xml:space="preserve"> </w:t>
      </w:r>
      <w:r w:rsidRPr="00EC452A">
        <w:rPr>
          <w:rFonts w:ascii="Arial" w:eastAsia="Arial" w:hAnsi="Arial" w:cs="Arial"/>
          <w:sz w:val="22"/>
          <w:szCs w:val="22"/>
        </w:rPr>
        <w:t>Ramírez</w:t>
      </w:r>
      <w:r w:rsidRPr="00EC452A">
        <w:rPr>
          <w:rFonts w:ascii="Arial" w:eastAsia="Arial" w:hAnsi="Arial" w:cs="Arial"/>
          <w:spacing w:val="12"/>
          <w:sz w:val="22"/>
          <w:szCs w:val="22"/>
        </w:rPr>
        <w:t xml:space="preserve"> </w:t>
      </w:r>
      <w:r w:rsidRPr="00EC452A">
        <w:rPr>
          <w:rFonts w:ascii="Arial" w:eastAsia="Arial" w:hAnsi="Arial" w:cs="Arial"/>
          <w:sz w:val="22"/>
          <w:szCs w:val="22"/>
        </w:rPr>
        <w:t>Vázquez.</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o</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2"/>
          <w:sz w:val="22"/>
          <w:szCs w:val="22"/>
        </w:rPr>
        <w:t>Haciend</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Crédit</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Público</w:t>
      </w:r>
      <w:r w:rsidRPr="00EC452A">
        <w:rPr>
          <w:rFonts w:ascii="Arial" w:eastAsia="Arial" w:hAnsi="Arial" w:cs="Arial"/>
          <w:sz w:val="22"/>
          <w:szCs w:val="22"/>
        </w:rPr>
        <w:t xml:space="preserve">,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Davi</w:t>
      </w:r>
      <w:r w:rsidRPr="00EC452A">
        <w:rPr>
          <w:rFonts w:ascii="Arial" w:eastAsia="Arial" w:hAnsi="Arial" w:cs="Arial"/>
          <w:sz w:val="22"/>
          <w:szCs w:val="22"/>
        </w:rPr>
        <w:t xml:space="preserve">d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Ibarr</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Muñoz.</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Programació</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 xml:space="preserve">Presupuesto,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Ramón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Aguirre   </w:t>
      </w:r>
      <w:r w:rsidRPr="00EC452A">
        <w:rPr>
          <w:rFonts w:ascii="Arial" w:eastAsia="Arial" w:hAnsi="Arial" w:cs="Arial"/>
          <w:spacing w:val="10"/>
          <w:sz w:val="22"/>
          <w:szCs w:val="22"/>
        </w:rPr>
        <w:t xml:space="preserve"> </w:t>
      </w:r>
      <w:r w:rsidRPr="00EC452A">
        <w:rPr>
          <w:rFonts w:ascii="Arial" w:eastAsia="Arial" w:hAnsi="Arial" w:cs="Arial"/>
          <w:sz w:val="22"/>
          <w:szCs w:val="22"/>
        </w:rPr>
        <w:t>Velázquez.</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 xml:space="preserve">Secretario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Patrimonio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Fomento </w:t>
      </w:r>
      <w:r w:rsidRPr="00EC452A">
        <w:rPr>
          <w:rFonts w:ascii="Arial" w:eastAsia="Arial" w:hAnsi="Arial" w:cs="Arial"/>
          <w:sz w:val="22"/>
          <w:szCs w:val="22"/>
        </w:rPr>
        <w:t xml:space="preserve">Industrial,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José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Andrés   </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Oteyza.</w:t>
      </w:r>
      <w:r w:rsidRPr="00EC452A">
        <w:rPr>
          <w:rFonts w:ascii="Arial" w:eastAsia="Arial" w:hAnsi="Arial" w:cs="Arial"/>
          <w:spacing w:val="-38"/>
          <w:sz w:val="22"/>
          <w:szCs w:val="22"/>
        </w:rPr>
        <w:t xml:space="preserve"> </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Comercio</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Jorg</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Vega </w:t>
      </w:r>
      <w:r w:rsidRPr="00EC452A">
        <w:rPr>
          <w:rFonts w:ascii="Arial" w:eastAsia="Arial" w:hAnsi="Arial" w:cs="Arial"/>
          <w:spacing w:val="-2"/>
          <w:sz w:val="22"/>
          <w:szCs w:val="22"/>
        </w:rPr>
        <w:t>Domínguez.</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 xml:space="preserve">Secretario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Agricultura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Recursos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Hidráulicos,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Francisco  </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Merino </w:t>
      </w:r>
      <w:r w:rsidRPr="00EC452A">
        <w:rPr>
          <w:rFonts w:ascii="Arial" w:eastAsia="Arial" w:hAnsi="Arial" w:cs="Arial"/>
          <w:spacing w:val="-5"/>
          <w:sz w:val="22"/>
          <w:szCs w:val="22"/>
        </w:rPr>
        <w:t>Rábago</w:t>
      </w:r>
      <w:r w:rsidRPr="00EC452A">
        <w:rPr>
          <w:rFonts w:ascii="Arial" w:eastAsia="Arial" w:hAnsi="Arial" w:cs="Arial"/>
          <w:spacing w:val="10"/>
          <w:sz w:val="22"/>
          <w:szCs w:val="22"/>
        </w:rPr>
        <w:t>.</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 xml:space="preserve">Secretario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Comunicaciones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Transportes,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Emilio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Mújica  </w:t>
      </w:r>
      <w:r w:rsidRPr="00EC452A">
        <w:rPr>
          <w:rFonts w:ascii="Arial" w:eastAsia="Arial" w:hAnsi="Arial" w:cs="Arial"/>
          <w:spacing w:val="30"/>
          <w:sz w:val="22"/>
          <w:szCs w:val="22"/>
        </w:rPr>
        <w:t xml:space="preserve"> </w:t>
      </w:r>
      <w:r w:rsidRPr="00EC452A">
        <w:rPr>
          <w:rFonts w:ascii="Arial" w:eastAsia="Arial" w:hAnsi="Arial" w:cs="Arial"/>
          <w:w w:val="102"/>
          <w:sz w:val="22"/>
          <w:szCs w:val="22"/>
        </w:rPr>
        <w:t>Montoya.</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 </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Subsecretari</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Planeació</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Educativ</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Encargad</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Despacho</w:t>
      </w:r>
      <w:r w:rsidRPr="00EC452A">
        <w:rPr>
          <w:rFonts w:ascii="Arial" w:eastAsia="Arial" w:hAnsi="Arial" w:cs="Arial"/>
          <w:sz w:val="22"/>
          <w:szCs w:val="22"/>
        </w:rPr>
        <w:t xml:space="preserve">,    </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 xml:space="preserve">Emilio </w:t>
      </w:r>
      <w:r w:rsidRPr="00EC452A">
        <w:rPr>
          <w:rFonts w:ascii="Arial" w:eastAsia="Arial" w:hAnsi="Arial" w:cs="Arial"/>
          <w:spacing w:val="-2"/>
          <w:sz w:val="22"/>
          <w:szCs w:val="22"/>
        </w:rPr>
        <w:t>Rosenblueth</w:t>
      </w:r>
      <w:r w:rsidRPr="00EC452A">
        <w:rPr>
          <w:rFonts w:ascii="Arial" w:eastAsia="Arial" w:hAnsi="Arial" w:cs="Arial"/>
          <w:spacing w:val="13"/>
          <w:sz w:val="22"/>
          <w:szCs w:val="22"/>
        </w:rPr>
        <w:t>.</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Secre</w:t>
      </w:r>
      <w:r w:rsidRPr="00EC452A">
        <w:rPr>
          <w:rFonts w:ascii="Arial" w:eastAsia="Arial" w:hAnsi="Arial" w:cs="Arial"/>
          <w:spacing w:val="-1"/>
          <w:sz w:val="22"/>
          <w:szCs w:val="22"/>
        </w:rPr>
        <w:t>tari</w:t>
      </w:r>
      <w:r w:rsidRPr="00EC452A">
        <w:rPr>
          <w:rFonts w:ascii="Arial" w:eastAsia="Arial" w:hAnsi="Arial" w:cs="Arial"/>
          <w:sz w:val="22"/>
          <w:szCs w:val="22"/>
        </w:rPr>
        <w:t xml:space="preserve">o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Salubrida</w:t>
      </w:r>
      <w:r w:rsidRPr="00EC452A">
        <w:rPr>
          <w:rFonts w:ascii="Arial" w:eastAsia="Arial" w:hAnsi="Arial" w:cs="Arial"/>
          <w:sz w:val="22"/>
          <w:szCs w:val="22"/>
        </w:rPr>
        <w:t xml:space="preserve">d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Asistencia</w:t>
      </w:r>
      <w:r w:rsidRPr="00EC452A">
        <w:rPr>
          <w:rFonts w:ascii="Arial" w:eastAsia="Arial" w:hAnsi="Arial" w:cs="Arial"/>
          <w:sz w:val="22"/>
          <w:szCs w:val="22"/>
        </w:rPr>
        <w:t xml:space="preserve">,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Mari</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Calle</w:t>
      </w:r>
      <w:r w:rsidRPr="00EC452A">
        <w:rPr>
          <w:rFonts w:ascii="Arial" w:eastAsia="Arial" w:hAnsi="Arial" w:cs="Arial"/>
          <w:sz w:val="22"/>
          <w:szCs w:val="22"/>
        </w:rPr>
        <w:t xml:space="preserve">s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Lópe</w:t>
      </w:r>
      <w:r w:rsidRPr="00EC452A">
        <w:rPr>
          <w:rFonts w:ascii="Arial" w:eastAsia="Arial" w:hAnsi="Arial" w:cs="Arial"/>
          <w:sz w:val="22"/>
          <w:szCs w:val="22"/>
        </w:rPr>
        <w:t xml:space="preserve">z </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Negrete</w:t>
      </w:r>
      <w:r w:rsidRPr="00EC452A">
        <w:rPr>
          <w:rFonts w:ascii="Arial" w:eastAsia="Arial" w:hAnsi="Arial" w:cs="Arial"/>
          <w:w w:val="102"/>
          <w:sz w:val="22"/>
          <w:szCs w:val="22"/>
        </w:rPr>
        <w:t>.</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 </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2"/>
          <w:sz w:val="22"/>
          <w:szCs w:val="22"/>
        </w:rPr>
        <w:t>Secretari</w:t>
      </w:r>
      <w:r w:rsidRPr="00EC452A">
        <w:rPr>
          <w:rFonts w:ascii="Arial" w:eastAsia="Arial" w:hAnsi="Arial" w:cs="Arial"/>
          <w:sz w:val="22"/>
          <w:szCs w:val="22"/>
        </w:rPr>
        <w:t xml:space="preserve">o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Trabaj</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Previsió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Social</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Javie</w:t>
      </w:r>
      <w:r w:rsidRPr="00EC452A">
        <w:rPr>
          <w:rFonts w:ascii="Arial" w:eastAsia="Arial" w:hAnsi="Arial" w:cs="Arial"/>
          <w:sz w:val="22"/>
          <w:szCs w:val="22"/>
        </w:rPr>
        <w:t xml:space="preserve">r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Garcí</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2"/>
          <w:w w:val="102"/>
          <w:sz w:val="22"/>
          <w:szCs w:val="22"/>
        </w:rPr>
        <w:t>Paniagua</w:t>
      </w:r>
      <w:r w:rsidRPr="00EC452A">
        <w:rPr>
          <w:rFonts w:ascii="Arial" w:eastAsia="Arial" w:hAnsi="Arial" w:cs="Arial"/>
          <w:spacing w:val="13"/>
          <w:w w:val="102"/>
          <w:sz w:val="22"/>
          <w:szCs w:val="22"/>
        </w:rPr>
        <w:t>.</w:t>
      </w:r>
      <w:r w:rsidRPr="00EC452A">
        <w:rPr>
          <w:rFonts w:ascii="Arial" w:eastAsia="Arial" w:hAnsi="Arial" w:cs="Arial"/>
          <w:spacing w:val="-5"/>
          <w:w w:val="102"/>
          <w:sz w:val="22"/>
          <w:szCs w:val="22"/>
        </w:rPr>
        <w:t>-</w:t>
      </w:r>
      <w:r w:rsidRPr="00EC452A">
        <w:rPr>
          <w:rFonts w:ascii="Arial" w:eastAsia="Arial" w:hAnsi="Arial" w:cs="Arial"/>
          <w:spacing w:val="-3"/>
          <w:w w:val="102"/>
          <w:sz w:val="22"/>
          <w:szCs w:val="22"/>
        </w:rPr>
        <w:t>Rúbrica</w:t>
      </w:r>
      <w:r w:rsidRPr="00EC452A">
        <w:rPr>
          <w:rFonts w:ascii="Arial" w:eastAsia="Arial" w:hAnsi="Arial" w:cs="Arial"/>
          <w:spacing w:val="12"/>
          <w:w w:val="102"/>
          <w:sz w:val="22"/>
          <w:szCs w:val="22"/>
        </w:rPr>
        <w:t>.</w:t>
      </w:r>
      <w:r w:rsidRPr="00EC452A">
        <w:rPr>
          <w:rFonts w:ascii="Arial" w:eastAsia="Arial" w:hAnsi="Arial" w:cs="Arial"/>
          <w:spacing w:val="-5"/>
          <w:w w:val="102"/>
          <w:sz w:val="22"/>
          <w:szCs w:val="22"/>
        </w:rPr>
        <w:t>-</w:t>
      </w:r>
      <w:r w:rsidRPr="00EC452A">
        <w:rPr>
          <w:rFonts w:ascii="Arial" w:eastAsia="Arial" w:hAnsi="Arial" w:cs="Arial"/>
          <w:w w:val="102"/>
          <w:sz w:val="22"/>
          <w:szCs w:val="22"/>
        </w:rPr>
        <w:t xml:space="preserve">Secretario </w:t>
      </w:r>
      <w:r w:rsidRPr="00EC452A">
        <w:rPr>
          <w:rFonts w:ascii="Arial" w:eastAsia="Arial" w:hAnsi="Arial" w:cs="Arial"/>
          <w:spacing w:val="-3"/>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3"/>
          <w:sz w:val="22"/>
          <w:szCs w:val="22"/>
        </w:rPr>
        <w:t>Reform</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3"/>
          <w:sz w:val="22"/>
          <w:szCs w:val="22"/>
        </w:rPr>
        <w:t>Agraria</w:t>
      </w:r>
      <w:r w:rsidRPr="00EC452A">
        <w:rPr>
          <w:rFonts w:ascii="Arial" w:eastAsia="Arial" w:hAnsi="Arial" w:cs="Arial"/>
          <w:sz w:val="22"/>
          <w:szCs w:val="22"/>
        </w:rPr>
        <w:t xml:space="preserve">, </w:t>
      </w:r>
      <w:r w:rsidRPr="00EC452A">
        <w:rPr>
          <w:rFonts w:ascii="Arial" w:eastAsia="Arial" w:hAnsi="Arial" w:cs="Arial"/>
          <w:spacing w:val="27"/>
          <w:sz w:val="22"/>
          <w:szCs w:val="22"/>
        </w:rPr>
        <w:t xml:space="preserve"> </w:t>
      </w:r>
      <w:r w:rsidRPr="00EC452A">
        <w:rPr>
          <w:rFonts w:ascii="Arial" w:eastAsia="Arial" w:hAnsi="Arial" w:cs="Arial"/>
          <w:spacing w:val="-3"/>
          <w:sz w:val="22"/>
          <w:szCs w:val="22"/>
        </w:rPr>
        <w:t>Gustav</w:t>
      </w:r>
      <w:r w:rsidRPr="00EC452A">
        <w:rPr>
          <w:rFonts w:ascii="Arial" w:eastAsia="Arial" w:hAnsi="Arial" w:cs="Arial"/>
          <w:sz w:val="22"/>
          <w:szCs w:val="22"/>
        </w:rPr>
        <w:t xml:space="preserve">o </w:t>
      </w:r>
      <w:r w:rsidRPr="00EC452A">
        <w:rPr>
          <w:rFonts w:ascii="Arial" w:eastAsia="Arial" w:hAnsi="Arial" w:cs="Arial"/>
          <w:spacing w:val="28"/>
          <w:sz w:val="22"/>
          <w:szCs w:val="22"/>
        </w:rPr>
        <w:t xml:space="preserve"> </w:t>
      </w:r>
      <w:r w:rsidRPr="00EC452A">
        <w:rPr>
          <w:rFonts w:ascii="Arial" w:eastAsia="Arial" w:hAnsi="Arial" w:cs="Arial"/>
          <w:spacing w:val="-3"/>
          <w:sz w:val="22"/>
          <w:szCs w:val="22"/>
        </w:rPr>
        <w:t>Carvaja</w:t>
      </w:r>
      <w:r w:rsidRPr="00EC452A">
        <w:rPr>
          <w:rFonts w:ascii="Arial" w:eastAsia="Arial" w:hAnsi="Arial" w:cs="Arial"/>
          <w:sz w:val="22"/>
          <w:szCs w:val="22"/>
        </w:rPr>
        <w:t xml:space="preserve">l </w:t>
      </w:r>
      <w:r w:rsidRPr="00EC452A">
        <w:rPr>
          <w:rFonts w:ascii="Arial" w:eastAsia="Arial" w:hAnsi="Arial" w:cs="Arial"/>
          <w:spacing w:val="28"/>
          <w:sz w:val="22"/>
          <w:szCs w:val="22"/>
        </w:rPr>
        <w:t xml:space="preserve"> </w:t>
      </w:r>
      <w:r w:rsidRPr="00EC452A">
        <w:rPr>
          <w:rFonts w:ascii="Arial" w:eastAsia="Arial" w:hAnsi="Arial" w:cs="Arial"/>
          <w:spacing w:val="-3"/>
          <w:sz w:val="22"/>
          <w:szCs w:val="22"/>
        </w:rPr>
        <w:t>Moreno</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 xml:space="preserve">a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Turismo</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Ros</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Luz </w:t>
      </w:r>
      <w:r w:rsidRPr="00EC452A">
        <w:rPr>
          <w:rFonts w:ascii="Arial" w:eastAsia="Arial" w:hAnsi="Arial" w:cs="Arial"/>
          <w:spacing w:val="-1"/>
          <w:sz w:val="22"/>
          <w:szCs w:val="22"/>
        </w:rPr>
        <w:t>Alegrí</w:t>
      </w:r>
      <w:r w:rsidRPr="00EC452A">
        <w:rPr>
          <w:rFonts w:ascii="Arial" w:eastAsia="Arial" w:hAnsi="Arial" w:cs="Arial"/>
          <w:sz w:val="22"/>
          <w:szCs w:val="22"/>
        </w:rPr>
        <w:t xml:space="preserve">a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Es</w:t>
      </w:r>
      <w:r w:rsidRPr="00EC452A">
        <w:rPr>
          <w:rFonts w:ascii="Arial" w:eastAsia="Arial" w:hAnsi="Arial" w:cs="Arial"/>
          <w:sz w:val="22"/>
          <w:szCs w:val="22"/>
        </w:rPr>
        <w:t>camilla.</w:t>
      </w:r>
      <w:r w:rsidRPr="00EC452A">
        <w:rPr>
          <w:rFonts w:ascii="Arial" w:eastAsia="Arial" w:hAnsi="Arial" w:cs="Arial"/>
          <w:spacing w:val="-21"/>
          <w:sz w:val="22"/>
          <w:szCs w:val="22"/>
        </w:rPr>
        <w:t xml:space="preserve"> </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2"/>
          <w:sz w:val="22"/>
          <w:szCs w:val="22"/>
        </w:rPr>
        <w:t>Jef</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Departament</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Pesca</w:t>
      </w:r>
      <w:r w:rsidRPr="00EC452A">
        <w:rPr>
          <w:rFonts w:ascii="Arial" w:eastAsia="Arial" w:hAnsi="Arial" w:cs="Arial"/>
          <w:sz w:val="22"/>
          <w:szCs w:val="22"/>
        </w:rPr>
        <w:t xml:space="preserve">,  </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Fernand</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Raffu</w:t>
      </w:r>
      <w:r w:rsidRPr="00EC452A">
        <w:rPr>
          <w:rFonts w:ascii="Arial" w:eastAsia="Arial" w:hAnsi="Arial" w:cs="Arial"/>
          <w:sz w:val="22"/>
          <w:szCs w:val="22"/>
        </w:rPr>
        <w:t xml:space="preserve">l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Miguel.</w:t>
      </w:r>
      <w:r w:rsidRPr="00EC452A">
        <w:rPr>
          <w:rFonts w:ascii="Arial" w:eastAsia="Arial" w:hAnsi="Arial" w:cs="Arial"/>
          <w:w w:val="102"/>
          <w:sz w:val="22"/>
          <w:szCs w:val="22"/>
        </w:rPr>
        <w:t xml:space="preserve">- </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Jef</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Departament</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Carlo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Han</w:t>
      </w:r>
      <w:r w:rsidRPr="00EC452A">
        <w:rPr>
          <w:rFonts w:ascii="Arial" w:eastAsia="Arial" w:hAnsi="Arial" w:cs="Arial"/>
          <w:sz w:val="22"/>
          <w:szCs w:val="22"/>
        </w:rPr>
        <w:t>k</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González.</w:t>
      </w:r>
      <w:r w:rsidRPr="00EC452A">
        <w:rPr>
          <w:rFonts w:ascii="Arial" w:eastAsia="Arial" w:hAnsi="Arial" w:cs="Arial"/>
          <w:spacing w:val="-5"/>
          <w:w w:val="102"/>
          <w:sz w:val="22"/>
          <w:szCs w:val="22"/>
        </w:rPr>
        <w:t>-</w:t>
      </w:r>
      <w:r w:rsidRPr="00EC452A">
        <w:rPr>
          <w:rFonts w:ascii="Arial" w:eastAsia="Arial" w:hAnsi="Arial" w:cs="Arial"/>
          <w:spacing w:val="-3"/>
          <w:w w:val="102"/>
          <w:sz w:val="22"/>
          <w:szCs w:val="22"/>
        </w:rPr>
        <w:t>Rúbrica.</w:t>
      </w:r>
    </w:p>
    <w:p w14:paraId="22F9A450" w14:textId="77777777" w:rsidR="009E79DE" w:rsidRDefault="009E79DE" w:rsidP="000F70C2">
      <w:pPr>
        <w:widowControl w:val="0"/>
        <w:autoSpaceDE w:val="0"/>
        <w:autoSpaceDN w:val="0"/>
        <w:adjustRightInd w:val="0"/>
        <w:jc w:val="both"/>
        <w:rPr>
          <w:rFonts w:ascii="Arial" w:hAnsi="Arial" w:cs="Arial"/>
          <w:b/>
          <w:bCs/>
          <w:sz w:val="22"/>
          <w:szCs w:val="22"/>
        </w:rPr>
      </w:pPr>
    </w:p>
    <w:p w14:paraId="0054B2F9" w14:textId="77777777" w:rsidR="000F70C2" w:rsidRPr="007923C2" w:rsidRDefault="0043451C" w:rsidP="000F70C2">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2.-</w:t>
      </w:r>
      <w:r w:rsidR="000F70C2" w:rsidRPr="007923C2">
        <w:rPr>
          <w:rFonts w:ascii="Arial" w:hAnsi="Arial" w:cs="Arial"/>
          <w:b/>
          <w:bCs/>
          <w:sz w:val="22"/>
          <w:szCs w:val="22"/>
        </w:rPr>
        <w:t>USO DE AGUAS NACIONALES</w:t>
      </w:r>
    </w:p>
    <w:p w14:paraId="4C629CB3"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Otro elemento indispensable para la producción agrícola es el agua, en la actualidad se ha convertido en una problemática de mucha importancia, sobre todo por la irregularidad del ciclo hidrológico, el cambio climático que se ha convertido en impredecible, aunado a esto está la contaminación de las aguas de ríos, arroyos, lagos etc, los productores tienen que invertir en sistemas de riego y de bombeo para contar con el recurso.</w:t>
      </w:r>
    </w:p>
    <w:p w14:paraId="7E22593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uso regularizado del agua para todo tipo de actividad principalmente la agrícola se ha convertido en una necesidad  imperante.</w:t>
      </w:r>
    </w:p>
    <w:p w14:paraId="06C67C10"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profesionista en Agrobiología debe tener en su formación un amplio conocimiento acerca de éste elemento en lo que se refiere no solo como importante para la vida, sino como un recurso que se debe conservar y explotar sosteniblemente.</w:t>
      </w:r>
    </w:p>
    <w:p w14:paraId="079231E1"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Estadísticas del Agua en México 2005</w:t>
      </w:r>
    </w:p>
    <w:p w14:paraId="0E9043D5"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EL RECURSO HÍDRICO EN MÉXICO</w:t>
      </w:r>
    </w:p>
    <w:p w14:paraId="4F86F39B"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USOS DEL AGUA</w:t>
      </w:r>
    </w:p>
    <w:p w14:paraId="073C681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Se distinguen dos tipos de usos del agua:</w:t>
      </w:r>
    </w:p>
    <w:p w14:paraId="3372DC1B"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b/>
          <w:bCs/>
          <w:sz w:val="22"/>
          <w:szCs w:val="22"/>
        </w:rPr>
        <w:t xml:space="preserve">• </w:t>
      </w:r>
      <w:r w:rsidRPr="007923C2">
        <w:rPr>
          <w:rFonts w:ascii="Arial" w:hAnsi="Arial" w:cs="Arial"/>
          <w:sz w:val="22"/>
          <w:szCs w:val="22"/>
        </w:rPr>
        <w:t>Usos fuera del cuerpo de agua o usos consuntivos, en los cuales esta es transportada a su lugar de uso y la totalidad o parte de ella no regresa al cuerpo de origen.</w:t>
      </w:r>
    </w:p>
    <w:p w14:paraId="5872BACB"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Usos en el cuerpo de agua o usos no-consuntivos, en los cuales el agua se utiliza en el mismo cuerpo de agua o con un desvío mínimo, como en el caso de las plantas hidroeléctricas.</w:t>
      </w:r>
    </w:p>
    <w:p w14:paraId="4474E66C"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No se sabe con exactitud cuanta agua se utiliza en el país; sin embargo, se cuenta con el Registro Público de Derechos de Agua (Repda) en el cual se tienen los volúmenes concesionados o asignados a los usuarios de aguas nacionales. Se infiere que los usuarios utilizan aproximadamente el mismo volumen que tienen concesionado o asignado y se considera que la gran mayoría de los usuarios ya se encuentran inscritos en el Repda.</w:t>
      </w:r>
    </w:p>
    <w:p w14:paraId="53B88D8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Ley General de Aguas Nacionales, tiene dispuesto en las diferentes secciones el uso y disposición del agua según el destino que se le va a dar.</w:t>
      </w:r>
    </w:p>
    <w:p w14:paraId="6A1B75FF"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actividad agrícola tiene un gasto de alrededor del 80 % del agua dulce, por lo que se le debe dar un uso racionado, el productor agrícola así también el ingeniero agrónomo deben estar al tanto de los sistemas de riego adecuado.</w:t>
      </w:r>
    </w:p>
    <w:p w14:paraId="3A8AA9A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falta de agua es ya un problema generalizado, los pequeños productores que dependen de la producción de temporal están sujetos a los cambios del ciclo hidrológico que está influenciado por los cambios del clima a nivel global.</w:t>
      </w:r>
    </w:p>
    <w:p w14:paraId="749C3D38"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legislación dispuesta en la Ley general del Uso del Agua y que se refiere al uso agrícola contiene lo siguiente:</w:t>
      </w:r>
    </w:p>
    <w:p w14:paraId="28E57259"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USO AGRÍCOLA</w:t>
      </w:r>
    </w:p>
    <w:p w14:paraId="0560947B" w14:textId="77777777" w:rsidR="000F70C2" w:rsidRPr="007923C2" w:rsidRDefault="000F70C2" w:rsidP="000F70C2">
      <w:pPr>
        <w:widowControl w:val="0"/>
        <w:autoSpaceDE w:val="0"/>
        <w:autoSpaceDN w:val="0"/>
        <w:adjustRightInd w:val="0"/>
        <w:spacing w:before="100" w:after="100"/>
        <w:rPr>
          <w:rFonts w:ascii="Arial" w:hAnsi="Arial" w:cs="Arial"/>
          <w:sz w:val="22"/>
          <w:szCs w:val="22"/>
        </w:rPr>
      </w:pPr>
      <w:r w:rsidRPr="007923C2">
        <w:rPr>
          <w:rFonts w:ascii="Arial" w:hAnsi="Arial" w:cs="Arial"/>
          <w:sz w:val="22"/>
          <w:szCs w:val="22"/>
        </w:rPr>
        <w:t>Sección Primera</w:t>
      </w:r>
      <w:r w:rsidRPr="007923C2">
        <w:rPr>
          <w:rFonts w:ascii="Arial" w:hAnsi="Arial" w:cs="Arial"/>
          <w:sz w:val="22"/>
          <w:szCs w:val="22"/>
        </w:rPr>
        <w:br/>
        <w:t>Disposiciones Generales</w:t>
      </w:r>
    </w:p>
    <w:p w14:paraId="652CE57C"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48.- Los ejidatarios, comuneros y pequeños propietarios, así como los ejidos, comunidades, sociedades y demás personas que sean titulares o poseedores de tierras agrícolas, ganaderas o forestales dispondrán del derecho de explotación, uso o aprovechamiento de las aguas nacionales que se les hubieren concesionado en los términos de la presente Ley.</w:t>
      </w:r>
    </w:p>
    <w:p w14:paraId="066CA5BC"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Cuando se trate de concesiones de agua para riego, "La Comisión" podrá autorizar su aprovechamiento total o parcial en terrenos distintos de los señalados en la concesión, cuando el nuevo adquirente de los derechos sea su propietario o poseedor, siempre y cuando no se causen perjuicios a terceros.</w:t>
      </w:r>
    </w:p>
    <w:p w14:paraId="111ECF0D"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49.- Los derechos de explotación, uso o aprovechamiento de agua para uso agrícola, ganadero o forestal se podrán transmitir en los términos y condiciones establecidas en esta ley y su reglamento.</w:t>
      </w:r>
    </w:p>
    <w:p w14:paraId="65F9F093"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50.- Se podrá otorgar concesión a:</w:t>
      </w:r>
    </w:p>
    <w:p w14:paraId="408F22DA"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 xml:space="preserve">I Personas físicas o morales para la explotación, uso o aprovechamiento individual de aguas </w:t>
      </w:r>
      <w:r w:rsidRPr="007923C2">
        <w:rPr>
          <w:rFonts w:ascii="Arial" w:hAnsi="Arial" w:cs="Arial"/>
          <w:sz w:val="22"/>
          <w:szCs w:val="22"/>
        </w:rPr>
        <w:lastRenderedPageBreak/>
        <w:t>nacionales para fines agrícolas; y.</w:t>
      </w:r>
    </w:p>
    <w:p w14:paraId="4E38CACE"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 Personas morales para administrar u operar un sistema de riego o para la explotación, uso o aprovechamiento común de aguas nacionales para fines agrícolas.</w:t>
      </w:r>
    </w:p>
    <w:p w14:paraId="73C910DB"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54.- Las personas físicas o morales que constituyen una unidad o distrito de riego podrán variar parcial o totalmente el uso del agua, conforme a lo que dispongan sus respectivos reglamentos.</w:t>
      </w:r>
    </w:p>
    <w:p w14:paraId="0398A177" w14:textId="77777777" w:rsidR="000F70C2" w:rsidRPr="007923C2" w:rsidRDefault="000F70C2" w:rsidP="000F70C2">
      <w:pPr>
        <w:widowControl w:val="0"/>
        <w:autoSpaceDE w:val="0"/>
        <w:autoSpaceDN w:val="0"/>
        <w:adjustRightInd w:val="0"/>
        <w:spacing w:before="100" w:after="100"/>
        <w:rPr>
          <w:rFonts w:ascii="Arial" w:hAnsi="Arial" w:cs="Arial"/>
          <w:sz w:val="22"/>
          <w:szCs w:val="22"/>
        </w:rPr>
      </w:pPr>
      <w:r w:rsidRPr="007923C2">
        <w:rPr>
          <w:rFonts w:ascii="Arial" w:hAnsi="Arial" w:cs="Arial"/>
          <w:sz w:val="22"/>
          <w:szCs w:val="22"/>
        </w:rPr>
        <w:t>Sección Segunda</w:t>
      </w:r>
      <w:r w:rsidRPr="007923C2">
        <w:rPr>
          <w:rFonts w:ascii="Arial" w:hAnsi="Arial" w:cs="Arial"/>
          <w:sz w:val="22"/>
          <w:szCs w:val="22"/>
        </w:rPr>
        <w:br/>
        <w:t>Ejidos y Comunidades</w:t>
      </w:r>
    </w:p>
    <w:p w14:paraId="1177081B"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55.- La explotación, uso o aprovechamiento de aguas en ejidos y comunidades para el asentamiento humano o para tierras de uso común se efectuarán conforme lo disponga el reglamento que al efecto formule el ejido o comunidad, tomando en cuenta lo dispuesto en el artículo 51.</w:t>
      </w:r>
    </w:p>
    <w:p w14:paraId="1E7EBE4A"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Cuando se hubiere parcelado un ejido o comunidad, corresponde a ejidatarios o comuneros la explotación, uso o aprovechamiento del agua necesaria para el riego de la parcela respectiva..En ningún caso la asamblea o el comisariado ejidal podrán usar, disponer o determinar la explotación, uso o aprovechamiento de aguas destinadas a las parcelas sin el previo y expreso consentimiento de los ejidatarios titulares de dichas parcelas, excepto cuando se trate de aguas indispensables para las necesidades domésticas del asentamiento humano.</w:t>
      </w:r>
    </w:p>
    <w:p w14:paraId="7F56E57C"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57.- Cuando se transmita el dominio de tierras ejidales o de uso común o se aporte el usufructo de parcelas, a sociedades civiles o mercantiles o a cualquier otra persona moral, en los términos de la Ley Agraria, dichas personas o sociedades adquirentes conservarán los derechos sobre la explotación, uso o aprovechamiento de las aguas correspondientes. "La Comisión", a solicitud del interesado, otorgará la concesión correspondiente en los términos de la presente ley y su reglamento.</w:t>
      </w:r>
    </w:p>
    <w:p w14:paraId="43AEC6A0" w14:textId="77777777" w:rsidR="000F70C2" w:rsidRPr="007923C2" w:rsidRDefault="000F70C2" w:rsidP="000F70C2">
      <w:pPr>
        <w:widowControl w:val="0"/>
        <w:autoSpaceDE w:val="0"/>
        <w:autoSpaceDN w:val="0"/>
        <w:adjustRightInd w:val="0"/>
        <w:spacing w:before="100" w:after="100"/>
        <w:rPr>
          <w:rFonts w:ascii="Arial" w:hAnsi="Arial" w:cs="Arial"/>
          <w:sz w:val="22"/>
          <w:szCs w:val="22"/>
        </w:rPr>
      </w:pPr>
      <w:r w:rsidRPr="007923C2">
        <w:rPr>
          <w:rFonts w:ascii="Arial" w:hAnsi="Arial" w:cs="Arial"/>
          <w:sz w:val="22"/>
          <w:szCs w:val="22"/>
        </w:rPr>
        <w:t>Sección Tercera</w:t>
      </w:r>
      <w:r w:rsidRPr="007923C2">
        <w:rPr>
          <w:rFonts w:ascii="Arial" w:hAnsi="Arial" w:cs="Arial"/>
          <w:sz w:val="22"/>
          <w:szCs w:val="22"/>
        </w:rPr>
        <w:br/>
        <w:t>Unidades de Riego</w:t>
      </w:r>
    </w:p>
    <w:p w14:paraId="2306B647"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58.- Los productores rurales se podrán asociar entre sí libremente para constituir personas morales, con objeto de integrar sistemas que permitan proporcionar servicios de riego agrícola a diversos usuarios, para lo cual constituirán unidades de riego en los términos de esta Sección.</w:t>
      </w:r>
    </w:p>
    <w:p w14:paraId="538B8694"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59.- Las personas físicas o morales podrán conformar una persona moral y constituir una unidad de riego que tenga por objeto:</w:t>
      </w:r>
    </w:p>
    <w:p w14:paraId="2AB6ABDE"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 Construir y operar su propia infraestructura para prestar el servicio de riego a sus miembros;</w:t>
      </w:r>
    </w:p>
    <w:p w14:paraId="3CEC1DCB"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 Construir obras de infraestructura de riego en coinversión con recursos públicos federales, estatales y municipales y hacerse cargo de su operación, conservación y mantenimiento para prestar el servicio de riego a sus miembros; y</w:t>
      </w:r>
    </w:p>
    <w:p w14:paraId="493FCCC9"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III Operar, conservar, mantener y rehabilitar infraestructura pública federal para irrigación, cuyo uso o aprovechamiento hayan solicitado en concesión a "La Comisión".</w:t>
      </w:r>
    </w:p>
    <w:p w14:paraId="2FA02545" w14:textId="77777777" w:rsidR="000F70C2" w:rsidRPr="007923C2" w:rsidRDefault="000F70C2" w:rsidP="000F70C2">
      <w:pPr>
        <w:widowControl w:val="0"/>
        <w:autoSpaceDE w:val="0"/>
        <w:autoSpaceDN w:val="0"/>
        <w:adjustRightInd w:val="0"/>
        <w:spacing w:before="100" w:after="100"/>
        <w:rPr>
          <w:rFonts w:ascii="Arial" w:hAnsi="Arial" w:cs="Arial"/>
          <w:sz w:val="22"/>
          <w:szCs w:val="22"/>
        </w:rPr>
      </w:pPr>
      <w:r w:rsidRPr="007923C2">
        <w:rPr>
          <w:rFonts w:ascii="Arial" w:hAnsi="Arial" w:cs="Arial"/>
          <w:sz w:val="22"/>
          <w:szCs w:val="22"/>
        </w:rPr>
        <w:t>Sección Cuarta</w:t>
      </w:r>
      <w:r w:rsidRPr="007923C2">
        <w:rPr>
          <w:rFonts w:ascii="Arial" w:hAnsi="Arial" w:cs="Arial"/>
          <w:sz w:val="22"/>
          <w:szCs w:val="22"/>
        </w:rPr>
        <w:br/>
        <w:t>Distritos de Riego</w:t>
      </w:r>
    </w:p>
    <w:p w14:paraId="2DC29146"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 xml:space="preserve">ARTICULO 64.- Los distritos de riego se integrarán con las áreas comprendidas dentro de su perímetro, las obras de infraestructura hidráulica, las aguas superficiales y del subsuelo destinadas a prestar el servicio de suministro de agua, los vasos de almacenamiento y las instalaciones necesarias </w:t>
      </w:r>
      <w:r w:rsidRPr="007923C2">
        <w:rPr>
          <w:rFonts w:ascii="Arial" w:hAnsi="Arial" w:cs="Arial"/>
          <w:sz w:val="22"/>
          <w:szCs w:val="22"/>
        </w:rPr>
        <w:lastRenderedPageBreak/>
        <w:t>para su operación y funcionamiento.</w:t>
      </w:r>
    </w:p>
    <w:p w14:paraId="1C4BEFAA"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65.- Los distritos de riego serán administrados, operados, conservados y mantenidos por los usuarios de los mismos, organizados en los términos del artículo 51 o por quien éstos designen, para lo cual "La Comisión" concesionará el agua y en su caso, la infraestructura pública necesaria a las personas morales que éstos constituyan al efecto.</w:t>
      </w:r>
    </w:p>
    <w:p w14:paraId="2836204E"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Los usuarios del distrito podrán adquirir conforme a lo dispuesto en la Ley, la infraestructura de la zona de riego.</w:t>
      </w:r>
    </w:p>
    <w:p w14:paraId="3F82181E"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67.- En los distritos de riego, los productores rurales tendrán el derecho de recibir el agua para riego al formar parte del padrón de usuarios respectivo, el cual será integrado por "La Comisión" con la información que le proporcionen los usuarios.</w:t>
      </w:r>
    </w:p>
    <w:p w14:paraId="7CE4112F"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69.- En ciclos agrícolas en los que por causas de fuerza mayor el agua sea insuficiente para atender la demanda del distrito de riego, la distribución de las aguas disponibles se hará en los términos que se señalen en el reglamento del distrito.</w:t>
      </w:r>
    </w:p>
    <w:p w14:paraId="5474338E"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70.- Las transmisiones totales o parciales de los derechos de explotación, uso o aprovechamiento de agua dentro de una asociación de usuarios de un distrito de riego, se sujetará a lo dispuesto en el reglamento de la unidad de que se trate.</w:t>
      </w:r>
    </w:p>
    <w:p w14:paraId="08EAB59E"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El establecimiento de un distrito de riego con financiamiento del gobierno federal, se publicará en el Diario Oficial de la Federación y se especificarán:</w:t>
      </w:r>
    </w:p>
    <w:p w14:paraId="2F461882"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 Las fuentes de abastecimiento;</w:t>
      </w:r>
    </w:p>
    <w:p w14:paraId="2F271037"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 Los volúmenes de aguas superficiales y del subsuelo;</w:t>
      </w:r>
    </w:p>
    <w:p w14:paraId="08A5D16B"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III.- El perímetro del distrito de riego;</w:t>
      </w:r>
    </w:p>
    <w:p w14:paraId="5C5FBBA1"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IV.- El perímetro de la zona o zonas de riego que integren el distrito; y</w:t>
      </w:r>
    </w:p>
    <w:p w14:paraId="5FADED72"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V.- Los requisitos para proporcionar el servicio de riego.</w:t>
      </w:r>
    </w:p>
    <w:p w14:paraId="2E7B2613"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72.- Para proceder a la constitución de un distrito de riego, con financiamiento del gobierno federal, "La Comisión":</w:t>
      </w:r>
    </w:p>
    <w:p w14:paraId="457083D0"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 Promoverá, en su caso, las vedas necesarias para el buen funcionamiento de las obras;</w:t>
      </w:r>
    </w:p>
    <w:p w14:paraId="087DA566"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 Elaborará el plano catastral de tierras y construcciones comprendidas en el distrito;</w:t>
      </w:r>
    </w:p>
    <w:p w14:paraId="573EDD92"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III.- Formulará el censo de propietarios o poseedores de tierras y de otros inmuebles, así como la relación de valores fiscales y comerciales que tengan;</w:t>
      </w:r>
    </w:p>
    <w:p w14:paraId="21C707A0"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IV.- Realizará las audiencias, concertaciones y las demás acciones previstas en esta ley y su reglamento necesarias para constituir la zona de riego proyectada;</w:t>
      </w:r>
    </w:p>
    <w:p w14:paraId="6B7C59F1"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V.- Promoverá, en su caso, la expropiación por parte del Ejecutivo Federal de las tierras requeridas para hacer las obras hidráulicas de almacenamiento y distribución; y</w:t>
      </w:r>
    </w:p>
    <w:p w14:paraId="1C936412"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VI.- Hará del conocimiento de las autoridades que deban intervenir conforme a su competencia, con motivo de la creación del distrito y, en su caso, de las expropiaciones que se requieran.</w:t>
      </w:r>
    </w:p>
    <w:p w14:paraId="5D72C135"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73.- "La Comisión" convocará, en los términos del reglamento, a audiencias con los beneficiarios de la zona de riego proyectada en el distrito para:</w:t>
      </w:r>
    </w:p>
    <w:p w14:paraId="166AF0B6"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lastRenderedPageBreak/>
        <w:t>I.- Informar y concertar con los beneficiarios la recuperación de la inversión federal en obras de infraestructura hidráulica, en los términos de la ley;</w:t>
      </w:r>
    </w:p>
    <w:p w14:paraId="1FA14385"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 Invitar a que las obras requeridas para constituir la zona de riego proyectada sean ejecutadas por los beneficiarios con sus propios recursos; y</w:t>
      </w:r>
    </w:p>
    <w:p w14:paraId="08A81126"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74.- La indemnización que proceda por la expropiación de las tierras se cubrirá en efectivo.</w:t>
      </w:r>
    </w:p>
    <w:p w14:paraId="32A68B63"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 solicitud del afectado por las obras públicas federales, la indemnización se podrá cubrir mediante compensación en especie por un valor equivalente de tierras de riego por cada uno de los afectados, en los términos de ley, y el resto de la indemnización, si la hubiere, se cubrirá en efectivo.</w:t>
      </w:r>
    </w:p>
    <w:p w14:paraId="3A3E31BA"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75.- Los distritos de riego podrán:</w:t>
      </w:r>
    </w:p>
    <w:p w14:paraId="7F068176"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 Interconectarse o fusionarse con otro u otros distritos o unidades de riego, en cuyo caso "La Comisión" proporcionará los apoyos que se requieran, conservando en estos casos su naturaleza de distritos de riego;</w:t>
      </w:r>
    </w:p>
    <w:p w14:paraId="37A1845A"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 La escisión en dos o más unidades de riego, de conformidad con lo dispuesto en el reglamento del distrito, en cuyo caso "La Comisión" concertará las acciones y medidas necesarias para proteger los derechos de los usuarios; y</w:t>
      </w:r>
    </w:p>
    <w:p w14:paraId="4A5F4D88"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III.- Cambiar totalmente el uso del agua, previa autorización de "La Comisión".</w:t>
      </w:r>
    </w:p>
    <w:p w14:paraId="452E3645" w14:textId="77777777" w:rsidR="000F70C2" w:rsidRPr="007923C2" w:rsidRDefault="000F70C2" w:rsidP="000F70C2">
      <w:pPr>
        <w:widowControl w:val="0"/>
        <w:autoSpaceDE w:val="0"/>
        <w:autoSpaceDN w:val="0"/>
        <w:adjustRightInd w:val="0"/>
        <w:spacing w:before="100" w:after="100"/>
        <w:rPr>
          <w:rFonts w:ascii="Arial" w:hAnsi="Arial" w:cs="Arial"/>
          <w:sz w:val="22"/>
          <w:szCs w:val="22"/>
        </w:rPr>
      </w:pPr>
      <w:r w:rsidRPr="007923C2">
        <w:rPr>
          <w:rFonts w:ascii="Arial" w:hAnsi="Arial" w:cs="Arial"/>
          <w:sz w:val="22"/>
          <w:szCs w:val="22"/>
        </w:rPr>
        <w:t>Sección Quinta</w:t>
      </w:r>
      <w:r w:rsidRPr="007923C2">
        <w:rPr>
          <w:rFonts w:ascii="Arial" w:hAnsi="Arial" w:cs="Arial"/>
          <w:sz w:val="22"/>
          <w:szCs w:val="22"/>
        </w:rPr>
        <w:br/>
        <w:t>Drenaje Agrícola</w:t>
      </w:r>
    </w:p>
    <w:p w14:paraId="18E4C312" w14:textId="77777777"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76.- El Ejecutivo Federal, por conducto de "La Comisión" y con la participación de los productores, promoverá y fomentará el establecimiento de unidades de drenaje a efecto de incrementar la producción agropecuaria..acuícola en la infraestructura hidráulica federal, que sea compatible con su explotación, uso o aprovechamiento.</w:t>
      </w:r>
    </w:p>
    <w:p w14:paraId="1B1C4064" w14:textId="77777777" w:rsidR="00AD08B4" w:rsidRDefault="00AD08B4" w:rsidP="000F70C2">
      <w:pPr>
        <w:widowControl w:val="0"/>
        <w:autoSpaceDE w:val="0"/>
        <w:autoSpaceDN w:val="0"/>
        <w:adjustRightInd w:val="0"/>
        <w:rPr>
          <w:rFonts w:ascii="Arial" w:hAnsi="Arial" w:cs="Arial"/>
          <w:sz w:val="22"/>
          <w:szCs w:val="22"/>
        </w:rPr>
      </w:pPr>
    </w:p>
    <w:p w14:paraId="25DEEE4F" w14:textId="77777777"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DIFERENTES  USOS DEL AGUA EN MÉXICO</w:t>
      </w:r>
    </w:p>
    <w:p w14:paraId="74690617" w14:textId="77777777"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noProof/>
          <w:sz w:val="22"/>
          <w:szCs w:val="22"/>
        </w:rPr>
        <w:drawing>
          <wp:inline distT="0" distB="0" distL="0" distR="0" wp14:anchorId="5051A583" wp14:editId="674779C4">
            <wp:extent cx="3752850" cy="1343369"/>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59556" cy="1345770"/>
                    </a:xfrm>
                    <a:prstGeom prst="rect">
                      <a:avLst/>
                    </a:prstGeom>
                    <a:noFill/>
                    <a:ln>
                      <a:noFill/>
                    </a:ln>
                  </pic:spPr>
                </pic:pic>
              </a:graphicData>
            </a:graphic>
          </wp:inline>
        </w:drawing>
      </w:r>
    </w:p>
    <w:p w14:paraId="7C1BA5CD" w14:textId="77777777" w:rsidR="000F70C2" w:rsidRPr="007923C2" w:rsidRDefault="000F70C2" w:rsidP="000F70C2">
      <w:pPr>
        <w:widowControl w:val="0"/>
        <w:autoSpaceDE w:val="0"/>
        <w:autoSpaceDN w:val="0"/>
        <w:adjustRightInd w:val="0"/>
        <w:rPr>
          <w:rFonts w:ascii="Arial" w:hAnsi="Arial" w:cs="Arial"/>
          <w:sz w:val="22"/>
          <w:szCs w:val="22"/>
          <w:lang w:val="en-US"/>
        </w:rPr>
      </w:pPr>
      <w:r w:rsidRPr="007923C2">
        <w:rPr>
          <w:rFonts w:ascii="Arial" w:hAnsi="Arial" w:cs="Arial"/>
          <w:noProof/>
          <w:sz w:val="22"/>
          <w:szCs w:val="22"/>
        </w:rPr>
        <w:lastRenderedPageBreak/>
        <w:drawing>
          <wp:inline distT="0" distB="0" distL="0" distR="0" wp14:anchorId="3C17329D" wp14:editId="60FD85C7">
            <wp:extent cx="5038725" cy="3434611"/>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40552" cy="3435856"/>
                    </a:xfrm>
                    <a:prstGeom prst="rect">
                      <a:avLst/>
                    </a:prstGeom>
                    <a:noFill/>
                    <a:ln>
                      <a:noFill/>
                    </a:ln>
                  </pic:spPr>
                </pic:pic>
              </a:graphicData>
            </a:graphic>
          </wp:inline>
        </w:drawing>
      </w:r>
    </w:p>
    <w:p w14:paraId="4BB496A5" w14:textId="77777777"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Volúmenes concesionados por uso de agua</w:t>
      </w:r>
    </w:p>
    <w:p w14:paraId="6A040471" w14:textId="77777777"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(Cifras acumuladas a diciembre de 2004)</w:t>
      </w:r>
    </w:p>
    <w:p w14:paraId="372B4E59" w14:textId="77777777" w:rsidR="000F70C2" w:rsidRPr="007923C2" w:rsidRDefault="000F70C2" w:rsidP="000F70C2">
      <w:pPr>
        <w:widowControl w:val="0"/>
        <w:autoSpaceDE w:val="0"/>
        <w:autoSpaceDN w:val="0"/>
        <w:adjustRightInd w:val="0"/>
        <w:rPr>
          <w:rFonts w:ascii="Arial" w:hAnsi="Arial" w:cs="Arial"/>
          <w:sz w:val="22"/>
          <w:szCs w:val="22"/>
        </w:rPr>
      </w:pPr>
    </w:p>
    <w:p w14:paraId="13698A5F" w14:textId="77777777" w:rsidR="000F70C2" w:rsidRPr="007923C2" w:rsidRDefault="000F70C2" w:rsidP="000F70C2">
      <w:pPr>
        <w:widowControl w:val="0"/>
        <w:autoSpaceDE w:val="0"/>
        <w:autoSpaceDN w:val="0"/>
        <w:adjustRightInd w:val="0"/>
        <w:rPr>
          <w:rFonts w:ascii="Arial" w:hAnsi="Arial" w:cs="Arial"/>
          <w:sz w:val="22"/>
          <w:szCs w:val="22"/>
          <w:lang w:val="en-US"/>
        </w:rPr>
      </w:pPr>
      <w:r w:rsidRPr="007923C2">
        <w:rPr>
          <w:rFonts w:ascii="Arial" w:hAnsi="Arial" w:cs="Arial"/>
          <w:noProof/>
          <w:sz w:val="22"/>
          <w:szCs w:val="22"/>
        </w:rPr>
        <w:drawing>
          <wp:inline distT="0" distB="0" distL="0" distR="0" wp14:anchorId="79020DD6" wp14:editId="5ED9D62F">
            <wp:extent cx="3857625" cy="274505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62512" cy="2748537"/>
                    </a:xfrm>
                    <a:prstGeom prst="rect">
                      <a:avLst/>
                    </a:prstGeom>
                    <a:noFill/>
                    <a:ln>
                      <a:noFill/>
                    </a:ln>
                  </pic:spPr>
                </pic:pic>
              </a:graphicData>
            </a:graphic>
          </wp:inline>
        </w:drawing>
      </w:r>
    </w:p>
    <w:p w14:paraId="52EE106A" w14:textId="77777777"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Volúmenes  concesionados para el uso agropecuario por fuente de extracción</w:t>
      </w:r>
    </w:p>
    <w:p w14:paraId="11F88B4D" w14:textId="77777777"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(Cifras acumuladas a diciembre de 2004)</w:t>
      </w:r>
    </w:p>
    <w:p w14:paraId="0704C5D1" w14:textId="77777777" w:rsidR="000F70C2" w:rsidRPr="007923C2" w:rsidRDefault="000F70C2" w:rsidP="000F70C2">
      <w:pPr>
        <w:widowControl w:val="0"/>
        <w:autoSpaceDE w:val="0"/>
        <w:autoSpaceDN w:val="0"/>
        <w:adjustRightInd w:val="0"/>
        <w:rPr>
          <w:rFonts w:ascii="Arial" w:hAnsi="Arial" w:cs="Arial"/>
          <w:sz w:val="22"/>
          <w:szCs w:val="22"/>
          <w:lang w:val="en-US"/>
        </w:rPr>
      </w:pPr>
      <w:r w:rsidRPr="007923C2">
        <w:rPr>
          <w:rFonts w:ascii="Arial" w:hAnsi="Arial" w:cs="Arial"/>
          <w:noProof/>
          <w:sz w:val="22"/>
          <w:szCs w:val="22"/>
        </w:rPr>
        <w:lastRenderedPageBreak/>
        <w:drawing>
          <wp:inline distT="0" distB="0" distL="0" distR="0" wp14:anchorId="65FAA443" wp14:editId="5B7C7A5A">
            <wp:extent cx="4808220" cy="3421380"/>
            <wp:effectExtent l="0" t="0" r="0" b="7620"/>
            <wp:docPr id="631" name="Imagen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08220" cy="3421380"/>
                    </a:xfrm>
                    <a:prstGeom prst="rect">
                      <a:avLst/>
                    </a:prstGeom>
                    <a:noFill/>
                    <a:ln>
                      <a:noFill/>
                    </a:ln>
                  </pic:spPr>
                </pic:pic>
              </a:graphicData>
            </a:graphic>
          </wp:inline>
        </w:drawing>
      </w:r>
    </w:p>
    <w:p w14:paraId="5D25A948" w14:textId="77777777" w:rsidR="000F70C2" w:rsidRPr="007923C2" w:rsidRDefault="000F70C2" w:rsidP="000F70C2">
      <w:pPr>
        <w:widowControl w:val="0"/>
        <w:autoSpaceDE w:val="0"/>
        <w:autoSpaceDN w:val="0"/>
        <w:adjustRightInd w:val="0"/>
        <w:rPr>
          <w:rFonts w:ascii="Arial" w:hAnsi="Arial" w:cs="Arial"/>
          <w:sz w:val="22"/>
          <w:szCs w:val="22"/>
        </w:rPr>
      </w:pPr>
    </w:p>
    <w:p w14:paraId="08DC1E81" w14:textId="77777777"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Volúmenes concesionados para abastecimiento público por fuente de extracción</w:t>
      </w:r>
    </w:p>
    <w:p w14:paraId="7F8AEB30" w14:textId="77777777"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(Cifras acumuladas a diciembre de 2004)</w:t>
      </w:r>
    </w:p>
    <w:p w14:paraId="0F6D96B6" w14:textId="77777777" w:rsidR="000F70C2" w:rsidRPr="007923C2" w:rsidRDefault="000F70C2" w:rsidP="000F70C2">
      <w:pPr>
        <w:widowControl w:val="0"/>
        <w:autoSpaceDE w:val="0"/>
        <w:autoSpaceDN w:val="0"/>
        <w:adjustRightInd w:val="0"/>
        <w:rPr>
          <w:rFonts w:ascii="Arial" w:hAnsi="Arial" w:cs="Arial"/>
          <w:sz w:val="22"/>
          <w:szCs w:val="22"/>
        </w:rPr>
      </w:pPr>
    </w:p>
    <w:p w14:paraId="7A3B8AC5" w14:textId="77777777" w:rsidR="000F70C2" w:rsidRPr="007923C2" w:rsidRDefault="000F70C2" w:rsidP="000F70C2">
      <w:pPr>
        <w:widowControl w:val="0"/>
        <w:autoSpaceDE w:val="0"/>
        <w:autoSpaceDN w:val="0"/>
        <w:adjustRightInd w:val="0"/>
        <w:rPr>
          <w:rFonts w:ascii="Arial" w:hAnsi="Arial" w:cs="Arial"/>
          <w:sz w:val="22"/>
          <w:szCs w:val="22"/>
          <w:lang w:val="en-US"/>
        </w:rPr>
      </w:pPr>
      <w:r w:rsidRPr="007923C2">
        <w:rPr>
          <w:rFonts w:ascii="Arial" w:hAnsi="Arial" w:cs="Arial"/>
          <w:noProof/>
          <w:sz w:val="22"/>
          <w:szCs w:val="22"/>
        </w:rPr>
        <w:drawing>
          <wp:inline distT="0" distB="0" distL="0" distR="0" wp14:anchorId="516EAAA2" wp14:editId="1D94DDD3">
            <wp:extent cx="4792980" cy="3531235"/>
            <wp:effectExtent l="0" t="0" r="7620" b="0"/>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92980" cy="3531235"/>
                    </a:xfrm>
                    <a:prstGeom prst="rect">
                      <a:avLst/>
                    </a:prstGeom>
                    <a:noFill/>
                    <a:ln>
                      <a:noFill/>
                    </a:ln>
                  </pic:spPr>
                </pic:pic>
              </a:graphicData>
            </a:graphic>
          </wp:inline>
        </w:drawing>
      </w:r>
    </w:p>
    <w:p w14:paraId="5947B2C8" w14:textId="77777777" w:rsidR="000F70C2" w:rsidRPr="007923C2" w:rsidRDefault="000F70C2" w:rsidP="000F70C2">
      <w:pPr>
        <w:widowControl w:val="0"/>
        <w:autoSpaceDE w:val="0"/>
        <w:autoSpaceDN w:val="0"/>
        <w:adjustRightInd w:val="0"/>
        <w:rPr>
          <w:rFonts w:ascii="Arial" w:hAnsi="Arial" w:cs="Arial"/>
          <w:sz w:val="22"/>
          <w:szCs w:val="22"/>
        </w:rPr>
      </w:pPr>
    </w:p>
    <w:p w14:paraId="2EA28F61" w14:textId="77777777"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Volúmenes concesionados para la industria autoabastecida por fuente de extracción</w:t>
      </w:r>
    </w:p>
    <w:p w14:paraId="2D634538" w14:textId="77777777"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(Cifras acumuladas a diciembre de 2004)</w:t>
      </w:r>
    </w:p>
    <w:p w14:paraId="54634C09" w14:textId="77777777" w:rsidR="000F70C2" w:rsidRPr="007923C2" w:rsidRDefault="000F70C2" w:rsidP="000F70C2">
      <w:pPr>
        <w:widowControl w:val="0"/>
        <w:autoSpaceDE w:val="0"/>
        <w:autoSpaceDN w:val="0"/>
        <w:adjustRightInd w:val="0"/>
        <w:rPr>
          <w:rFonts w:ascii="Arial" w:hAnsi="Arial" w:cs="Arial"/>
          <w:sz w:val="22"/>
          <w:szCs w:val="22"/>
        </w:rPr>
      </w:pPr>
    </w:p>
    <w:p w14:paraId="0068D52F" w14:textId="77777777" w:rsidR="000F70C2" w:rsidRPr="007923C2" w:rsidRDefault="000F70C2" w:rsidP="000F70C2">
      <w:pPr>
        <w:widowControl w:val="0"/>
        <w:autoSpaceDE w:val="0"/>
        <w:autoSpaceDN w:val="0"/>
        <w:adjustRightInd w:val="0"/>
        <w:rPr>
          <w:rFonts w:ascii="Arial" w:hAnsi="Arial" w:cs="Arial"/>
          <w:sz w:val="22"/>
          <w:szCs w:val="22"/>
        </w:rPr>
      </w:pPr>
    </w:p>
    <w:p w14:paraId="50C70C5E" w14:textId="77777777" w:rsidR="000F70C2" w:rsidRPr="007923C2" w:rsidRDefault="000F70C2" w:rsidP="000F70C2">
      <w:pPr>
        <w:widowControl w:val="0"/>
        <w:autoSpaceDE w:val="0"/>
        <w:autoSpaceDN w:val="0"/>
        <w:adjustRightInd w:val="0"/>
        <w:rPr>
          <w:rFonts w:ascii="Arial" w:hAnsi="Arial" w:cs="Arial"/>
          <w:sz w:val="22"/>
          <w:szCs w:val="22"/>
          <w:lang w:val="en-US"/>
        </w:rPr>
      </w:pPr>
      <w:r w:rsidRPr="007923C2">
        <w:rPr>
          <w:rFonts w:ascii="Arial" w:hAnsi="Arial" w:cs="Arial"/>
          <w:noProof/>
          <w:sz w:val="22"/>
          <w:szCs w:val="22"/>
        </w:rPr>
        <w:drawing>
          <wp:inline distT="0" distB="0" distL="0" distR="0" wp14:anchorId="730E9A60" wp14:editId="124553F5">
            <wp:extent cx="5029200" cy="3673475"/>
            <wp:effectExtent l="0" t="0" r="0" b="3175"/>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29200" cy="3673475"/>
                    </a:xfrm>
                    <a:prstGeom prst="rect">
                      <a:avLst/>
                    </a:prstGeom>
                    <a:noFill/>
                    <a:ln>
                      <a:noFill/>
                    </a:ln>
                  </pic:spPr>
                </pic:pic>
              </a:graphicData>
            </a:graphic>
          </wp:inline>
        </w:drawing>
      </w:r>
    </w:p>
    <w:p w14:paraId="7F325700" w14:textId="77777777" w:rsidR="000F70C2" w:rsidRPr="007923C2" w:rsidRDefault="000F70C2" w:rsidP="000F70C2">
      <w:pPr>
        <w:widowControl w:val="0"/>
        <w:autoSpaceDE w:val="0"/>
        <w:autoSpaceDN w:val="0"/>
        <w:adjustRightInd w:val="0"/>
        <w:rPr>
          <w:rFonts w:ascii="Arial" w:hAnsi="Arial" w:cs="Arial"/>
          <w:sz w:val="22"/>
          <w:szCs w:val="22"/>
        </w:rPr>
      </w:pPr>
    </w:p>
    <w:p w14:paraId="494095F5" w14:textId="77777777" w:rsidR="000F70C2" w:rsidRPr="007923C2" w:rsidRDefault="000F70C2" w:rsidP="000F70C2">
      <w:pPr>
        <w:jc w:val="both"/>
        <w:rPr>
          <w:rFonts w:ascii="Arial" w:hAnsi="Arial" w:cs="Arial"/>
          <w:sz w:val="22"/>
          <w:szCs w:val="22"/>
        </w:rPr>
      </w:pPr>
    </w:p>
    <w:p w14:paraId="4DC5B4B1"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ARTICULO 3. </w:t>
      </w:r>
      <w:r w:rsidR="00B61EBB" w:rsidRPr="007923C2">
        <w:rPr>
          <w:rFonts w:ascii="Arial" w:hAnsi="Arial" w:cs="Arial"/>
          <w:sz w:val="22"/>
          <w:szCs w:val="22"/>
        </w:rPr>
        <w:t>Para los efectos de esta ley se entendera por</w:t>
      </w:r>
      <w:r w:rsidRPr="007923C2">
        <w:rPr>
          <w:rFonts w:ascii="Arial" w:hAnsi="Arial" w:cs="Arial"/>
          <w:sz w:val="22"/>
          <w:szCs w:val="22"/>
        </w:rPr>
        <w:t xml:space="preserve">: </w:t>
      </w:r>
    </w:p>
    <w:p w14:paraId="34B1B83A"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I. "    AGUAS NACIONALES": SON AQUELLAS REFERIDAS EN EL PARRAFO QUINTO DEL ARTICULO 27 DE LA CONSTITUCION POLITICA DE LOS ESTADOS UNIDOS MEXICANOS; </w:t>
      </w:r>
    </w:p>
    <w:p w14:paraId="20F55F51"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II. "ACUIFERO": </w:t>
      </w:r>
      <w:r w:rsidR="00B61EBB" w:rsidRPr="007923C2">
        <w:rPr>
          <w:rFonts w:ascii="Arial" w:hAnsi="Arial" w:cs="Arial"/>
          <w:sz w:val="22"/>
          <w:szCs w:val="22"/>
        </w:rPr>
        <w:t xml:space="preserve">cualquier formacion geologica o conjunto de formaciones geologicas hidraulicamente conectados entre si, por las que circulan o se almacenan aguas del subsuelo que pueden ser extraidas para su explotacion, uso o aprovechamiento y cuyos limites laterales y verticales se definen convencionalmente para fines de evaluacion, manejo y administracion de las aguas nacionales del subsuelo; </w:t>
      </w:r>
    </w:p>
    <w:p w14:paraId="00565C87"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III. "AGUAS CLARAS" O "AGUAS DE PRIMER USO": </w:t>
      </w:r>
      <w:r w:rsidR="007E0CC0" w:rsidRPr="007923C2">
        <w:rPr>
          <w:rFonts w:ascii="Arial" w:hAnsi="Arial" w:cs="Arial"/>
          <w:sz w:val="22"/>
          <w:szCs w:val="22"/>
        </w:rPr>
        <w:t xml:space="preserve">aquellas provenientes de distintas fuentes naturales y de almacenamientos artificiales que no han sido objeto de uso previo alguno; </w:t>
      </w:r>
    </w:p>
    <w:p w14:paraId="0C286011"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IV. "AGUAS DEL SUBSUELO": AQUELLAS AGUAS NACIONALES EXISTENTES DEBAJO DE LA SUPERFICIE TERRESTRE; </w:t>
      </w:r>
    </w:p>
    <w:p w14:paraId="03FA286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V. "AGUAS MARINAS": SE REFIERE A LAS AGUAS EN ZONAS MARINAS; </w:t>
      </w:r>
    </w:p>
    <w:p w14:paraId="2EED7A96"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VI. "AGUAS RESIDUALES": </w:t>
      </w:r>
      <w:r w:rsidR="007E0CC0" w:rsidRPr="007923C2">
        <w:rPr>
          <w:rFonts w:ascii="Arial" w:hAnsi="Arial" w:cs="Arial"/>
          <w:sz w:val="22"/>
          <w:szCs w:val="22"/>
        </w:rPr>
        <w:t xml:space="preserve">las aguas de composicion variada provenientes de las descargas de usos publico urbano, domestico, industrial, comercial, de servicios, agricola, pecuario, de las plantas de tratamiento y en general, de cualquier uso, asi como la mezcla de ellas; </w:t>
      </w:r>
    </w:p>
    <w:p w14:paraId="6784A26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VII. "APROVECHAMIENTO": APLICACION DEL AGUA EN ACTIVIDADES QUE NO IMPLIQUEN CONSUMO DE LA MISMA; </w:t>
      </w:r>
    </w:p>
    <w:p w14:paraId="6656975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VIII. "ASIGNACION": </w:t>
      </w:r>
      <w:r w:rsidR="007E0CC0" w:rsidRPr="007923C2">
        <w:rPr>
          <w:rFonts w:ascii="Arial" w:hAnsi="Arial" w:cs="Arial"/>
          <w:sz w:val="22"/>
          <w:szCs w:val="22"/>
        </w:rPr>
        <w:t xml:space="preserve">titulo que otorga el ejecutivo federal, a traves de "la comision" o del organismo de cuenca que orresponda, conforme a sus respectivas competencias, para realizar la explotacion, uso o aprovechamiento de las aguas nacionales, a los municipios, a los estados o al distrito federal, destinadas a los servicios de agua con caracter publico urbano o domestico; </w:t>
      </w:r>
    </w:p>
    <w:p w14:paraId="22F9BE1A"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IX. "BIENES PUBLICOS INHERENTES": AQUELLOS QUE SE MENCIONAN EN EL ARTICULO 113 DE ESTA LEY; </w:t>
      </w:r>
    </w:p>
    <w:p w14:paraId="61FEB3D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 "CAPACIDAD DE CARGA": </w:t>
      </w:r>
      <w:r w:rsidR="007E0CC0" w:rsidRPr="007923C2">
        <w:rPr>
          <w:rFonts w:ascii="Arial" w:hAnsi="Arial" w:cs="Arial"/>
          <w:sz w:val="22"/>
          <w:szCs w:val="22"/>
        </w:rPr>
        <w:t xml:space="preserve">estimacion de la tolerancia de un ecosistema al uso de sus componentes, tal que no rebase su capacidad de recuperacion en el corto plazo sin la aplicacion de medidas de restauracion o recuperacion para restablecer el equilibrio ecologico; </w:t>
      </w:r>
    </w:p>
    <w:p w14:paraId="03459154"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XI. "CAUCE DE UNA CORRIENTE": </w:t>
      </w:r>
      <w:r w:rsidR="007E0CC0" w:rsidRPr="007923C2">
        <w:rPr>
          <w:rFonts w:ascii="Arial" w:hAnsi="Arial" w:cs="Arial"/>
          <w:sz w:val="22"/>
          <w:szCs w:val="22"/>
        </w:rPr>
        <w:t xml:space="preserve">el canal natural o artificial que tiene la capacidad necesaria para que las aguas de la creciente maxima ordinaria escurran sin derramarse. cuando las corrientes esten sujetas a desbordamiento, se considera como cauce el canal natural, mientras no se construyan obras de encauzamiento; en los origenes de cualquier corriente, se considera como cauce propiamente definido, cuando el escurrimiento se concentre hacia una depresion topografica y este forme una carcava o canal, como resultado de la accion del agua fluyendo sobre el terreno. para fines de aplicacion de la presente ley, la magnitud de dicha carcava o cauce incipiente debera ser de cuando menos de 2.0 metros de ancho por 0.75 metros de profundidad; </w:t>
      </w:r>
    </w:p>
    <w:p w14:paraId="1EE4F7AB"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XII. "COMISION NACIONAL DEL AGUA": </w:t>
      </w:r>
      <w:r w:rsidR="007E0CC0" w:rsidRPr="007923C2">
        <w:rPr>
          <w:rFonts w:ascii="Arial" w:hAnsi="Arial" w:cs="Arial"/>
          <w:sz w:val="22"/>
          <w:szCs w:val="22"/>
        </w:rPr>
        <w:t xml:space="preserve">órgano administrativo desconcentrado de la secretaria de medio ambiente y recursos naturales, con funciones de derecho publico en materia de gestion de las aguas nacionales y sus bienes publicos inherentes, con autonomia tecnica, ejecutiva, administrativa, presupuestal y de gestion, para la consecucion de su objeto, la realizacion de sus funciones y la emision de los actos de autoridad que conforme a esta ley corresponde tanto a esta como a los organos de autoridad a que la misma se refiere; </w:t>
      </w:r>
    </w:p>
    <w:p w14:paraId="50FE1EC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XIII. "CONCESION": </w:t>
      </w:r>
      <w:r w:rsidR="007E0CC0" w:rsidRPr="007923C2">
        <w:rPr>
          <w:rFonts w:ascii="Arial" w:hAnsi="Arial" w:cs="Arial"/>
          <w:sz w:val="22"/>
          <w:szCs w:val="22"/>
        </w:rPr>
        <w:t xml:space="preserve">titulo que otorga el ejecutivo federal, a traves de "la comision" o del organismo de cuenca que corresponda, conforme a sus respectivas competencias, para la explotacion, uso o aprovechamiento de las aguas nacionales, y de sus bienes publicos inherentes, a las personas fisicas o morales de caracter publico y privado, excepto los titulos de asignacion; </w:t>
      </w:r>
    </w:p>
    <w:p w14:paraId="3FEFD05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XIV. "CONDICIONES PARTICULARES DE DESCARGA": </w:t>
      </w:r>
      <w:r w:rsidR="007E0CC0" w:rsidRPr="007923C2">
        <w:rPr>
          <w:rFonts w:ascii="Arial" w:hAnsi="Arial" w:cs="Arial"/>
          <w:sz w:val="22"/>
          <w:szCs w:val="22"/>
        </w:rPr>
        <w:t xml:space="preserve">el conjunto de parametros fisicos, quimicos y biologicos y de sus niveles maximos permitidos en las descargas de agua residual, determinados por "la comision" o por el organismo de cuenca que corresponda, conforme a sus respectivas competencias, para cada usuario, para un determinado uso o grupo de usuarios de un cuerpo receptor especifico con el fin de conservar y controlar la calidad de las aguas conforme a la presente ley y los reglamentos derivados de ella; </w:t>
      </w:r>
    </w:p>
    <w:p w14:paraId="6E17C8AE"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XV. "CONSEJO DE CUENCA": </w:t>
      </w:r>
      <w:r w:rsidR="007E0CC0" w:rsidRPr="007923C2">
        <w:rPr>
          <w:rFonts w:ascii="Arial" w:hAnsi="Arial" w:cs="Arial"/>
          <w:sz w:val="22"/>
          <w:szCs w:val="22"/>
        </w:rPr>
        <w:t>órganos colegiados de integracion mixta, que seran instancia de coordinacion y concertacion, apoyo, consulta y asesoria, entre "la comision", incluyendo el organismo de cuenca que corresponda, y las dependencias y entidades de las instancias federal, estatal o municipal, y los representantes de los usuarios de agua y de las organizaciones de la sociedad, de la respectiva cuenca hidrologica o region hidrologica</w:t>
      </w:r>
      <w:r w:rsidRPr="007923C2">
        <w:rPr>
          <w:rFonts w:ascii="Arial" w:hAnsi="Arial" w:cs="Arial"/>
          <w:sz w:val="22"/>
          <w:szCs w:val="22"/>
        </w:rPr>
        <w:t xml:space="preserve">; </w:t>
      </w:r>
    </w:p>
    <w:p w14:paraId="217AB4D2"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XVI. "CUENCA HIDROLOGICA": </w:t>
      </w:r>
      <w:r w:rsidR="007E0CC0" w:rsidRPr="007923C2">
        <w:rPr>
          <w:rFonts w:ascii="Arial" w:hAnsi="Arial" w:cs="Arial"/>
          <w:sz w:val="22"/>
          <w:szCs w:val="22"/>
        </w:rPr>
        <w:t xml:space="preserve">es la unidad del territorio, diferenciada de otras unidades, normalmente delimitada por un parte aguas o divisoria de las aguas -aquella linea poligonal formada por los puntos de mayor elevacion en dicha unidad-, en donde ocurre el agua en distintas formas, y esta se almacena o fluye hasta un punto de salida que puede ser el mar u otro cuerpo receptor interior, a traves de una red hidrografica de cauces que convergen en uno principal, o bien el territorio en donde las aguas forman una unidad autonoma o diferenciada de otras, aun sin que desemboquen en el mar. en dicho espacio delimitado por una diversidad topografica, coexisten los recursos agua, suelo, flora, fauna, otros recursos naturales relacionados con estos y el medio ambiente. la cuenca hidrologica conjuntamente con los acuiferos, constituye la unidad de gestion de los recursos hidricos. la cuenca hidrologica esta a su vez integrada por subcuencas y estas ultimas estan integradas por microcuencas. </w:t>
      </w:r>
    </w:p>
    <w:p w14:paraId="7B77AEA2"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PARA LOS FINES DE ESTA LEY, SE CONSIDERA COMO: </w:t>
      </w:r>
    </w:p>
    <w:p w14:paraId="39736E9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 "REGION HIDROLOGICA": </w:t>
      </w:r>
      <w:r w:rsidR="007E0CC0" w:rsidRPr="007923C2">
        <w:rPr>
          <w:rFonts w:ascii="Arial" w:hAnsi="Arial" w:cs="Arial"/>
          <w:sz w:val="22"/>
          <w:szCs w:val="22"/>
        </w:rPr>
        <w:t xml:space="preserve">área territorial conformada en funcion de sus caracteristicas morfologicas, orograficas e hidrologicas, en la cual se considera a la cuenca hidrologica como la unidad basica para la gestion de los recursos hidricos, cuya finalidad es el agrupamiento y sistematizacion de la informacion, analisis, diagnosticos, programas y acciones en relacion con la ocurrencia del agua en cantidad y calidad, asi como su explotacion, uso o aprovechamiento. normalmente una region hidrologica esta integrada por una o varias cuencas hidrologicas. por tanto, los limites de la region hidrologica son en general distintos en relacion con la division politica por estados, distrito federal y municipios. una o varias regiones hidrologicas integran una region hidrologico - administrativa, y </w:t>
      </w:r>
    </w:p>
    <w:p w14:paraId="1C668CDF"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B. "REGION HIDROLOGICO - ADMINISTRATIVA": </w:t>
      </w:r>
      <w:r w:rsidR="007E0CC0" w:rsidRPr="007923C2">
        <w:rPr>
          <w:rFonts w:ascii="Arial" w:hAnsi="Arial" w:cs="Arial"/>
          <w:sz w:val="22"/>
          <w:szCs w:val="22"/>
        </w:rPr>
        <w:t xml:space="preserve">área territorial definida de acuerdo con criterios hidrologicos, integrada por una o varias regiones hidrologicas, en la cual se considera a la cuenca hidrologica como la unidad basica para la gestion de los recursos hidricos y el municipio representa, como en otros instrumentos juridicos, la unidad minima de gestion administrativa en el pais; </w:t>
      </w:r>
    </w:p>
    <w:p w14:paraId="2536FDB6"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XVII. "CUERPO RECEPTOR": </w:t>
      </w:r>
      <w:r w:rsidR="007E0CC0" w:rsidRPr="007923C2">
        <w:rPr>
          <w:rFonts w:ascii="Arial" w:hAnsi="Arial" w:cs="Arial"/>
          <w:sz w:val="22"/>
          <w:szCs w:val="22"/>
        </w:rPr>
        <w:t xml:space="preserve">la corriente o deposito natural de agua, presas, cauces, zonas marinas o bienes nacionales donde se descargan aguas residuales, asi como los terrenos en donde se infiltran o inyectan dichas aguas, cuando puedan contaminar los suelos, subsuelo o los acuiferos; </w:t>
      </w:r>
    </w:p>
    <w:p w14:paraId="49AFF985"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XVIII. "CUOTA DE AUTOSUFICIENCIA</w:t>
      </w:r>
      <w:r w:rsidR="007E0CC0" w:rsidRPr="007923C2">
        <w:rPr>
          <w:rFonts w:ascii="Arial" w:hAnsi="Arial" w:cs="Arial"/>
          <w:sz w:val="22"/>
          <w:szCs w:val="22"/>
        </w:rPr>
        <w:t xml:space="preserve">": es aquella destinada a recuperar los costos derivados de la operacion, conservacion y mantenimiento de las obras de infraestructura hidraulica, instalaciones diversas y de las zonas de riego, asi como los costos incurridos en las inversiones en infraestructura, mecanismos y equipo, incluyendo su mejoramiento, rehabilitacion y reemplazo. las cuotas de autosuficiencia no son de naturaleza fiscal y normalmente son cubiertas por los usuarios de riego o regantes, en los distritos, unidades y sistemas de riego, en las juntas de agua con fines agropecuarios y en otras formas asociativas empleadas para aprovechar aguas nacionales en el riego agricola; las cuotas de autosuficiencia en distritos y unidades de temporal son de naturaleza y caracteristicas </w:t>
      </w:r>
      <w:r w:rsidR="007E0CC0" w:rsidRPr="007923C2">
        <w:rPr>
          <w:rFonts w:ascii="Arial" w:hAnsi="Arial" w:cs="Arial"/>
          <w:sz w:val="22"/>
          <w:szCs w:val="22"/>
        </w:rPr>
        <w:lastRenderedPageBreak/>
        <w:t xml:space="preserve">similares a las de riego, en materia de infraestructura de temporal, incluyendo su operacion, conservacion y mantenimiento y las inversiones inherentes; </w:t>
      </w:r>
    </w:p>
    <w:p w14:paraId="7F044B50"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XIX. "CUOTA NATURAL DE RENOVACION DE LAS AGUAS": </w:t>
      </w:r>
      <w:r w:rsidR="007E0CC0" w:rsidRPr="007923C2">
        <w:rPr>
          <w:rFonts w:ascii="Arial" w:hAnsi="Arial" w:cs="Arial"/>
          <w:sz w:val="22"/>
          <w:szCs w:val="22"/>
        </w:rPr>
        <w:t xml:space="preserve">el volumen de agua renovable anualmente en una cuenca hidrologica o en un cuerpo de aguas del subsuelo; </w:t>
      </w:r>
    </w:p>
    <w:p w14:paraId="62CA40C2"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 "DELIMITACION DE CAUCE Y ZONA FEDERAL": </w:t>
      </w:r>
      <w:r w:rsidR="007E0CC0" w:rsidRPr="007923C2">
        <w:rPr>
          <w:rFonts w:ascii="Arial" w:hAnsi="Arial" w:cs="Arial"/>
          <w:sz w:val="22"/>
          <w:szCs w:val="22"/>
        </w:rPr>
        <w:t xml:space="preserve">trabajos y estudios topograficos, batimetricos, fotogrametricos, hidrologicos e hidraulicos, necesarios para la determinacion de los limites del cauce y la zona federal; </w:t>
      </w:r>
    </w:p>
    <w:p w14:paraId="042346B2"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XXI. "DESARROLLO SUSTENTABLE": </w:t>
      </w:r>
      <w:r w:rsidR="007E0CC0" w:rsidRPr="007923C2">
        <w:rPr>
          <w:rFonts w:ascii="Arial" w:hAnsi="Arial" w:cs="Arial"/>
          <w:sz w:val="22"/>
          <w:szCs w:val="22"/>
        </w:rPr>
        <w:t>en materia de recursos hidricos, es el proceso evaluable mediante criterios e indicadores de caracter hidrico, economico, social y ambiental, que tiende a mejorar la calidad de vida y la productividad de las personas, que se fundamenta en las medidas necesarias para la preservacion del equilibrio hidrologico, el aprovechamiento y proteccion de los recursos hidricos, de manera que no se comprometa la satisfaccion de las necesidades de agua de las generaciones futuras</w:t>
      </w:r>
      <w:r w:rsidRPr="007923C2">
        <w:rPr>
          <w:rFonts w:ascii="Arial" w:hAnsi="Arial" w:cs="Arial"/>
          <w:sz w:val="22"/>
          <w:szCs w:val="22"/>
        </w:rPr>
        <w:t xml:space="preserve">; </w:t>
      </w:r>
    </w:p>
    <w:p w14:paraId="585BC39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XXII. "DESCARGA": </w:t>
      </w:r>
      <w:r w:rsidR="007E0CC0" w:rsidRPr="007923C2">
        <w:rPr>
          <w:rFonts w:ascii="Arial" w:hAnsi="Arial" w:cs="Arial"/>
          <w:sz w:val="22"/>
          <w:szCs w:val="22"/>
        </w:rPr>
        <w:t>la accion de verter, infiltrar, depositar o inyectar aguas residuales a un cuerpo receptor</w:t>
      </w:r>
      <w:r w:rsidRPr="007923C2">
        <w:rPr>
          <w:rFonts w:ascii="Arial" w:hAnsi="Arial" w:cs="Arial"/>
          <w:sz w:val="22"/>
          <w:szCs w:val="22"/>
        </w:rPr>
        <w:t xml:space="preserve">; </w:t>
      </w:r>
    </w:p>
    <w:p w14:paraId="536ABEF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XXIII. "DISPONIBILIDAD MEDIA ANUAL DE AGUAS SUPERFICIALES": </w:t>
      </w:r>
      <w:r w:rsidR="007E0CC0" w:rsidRPr="007923C2">
        <w:rPr>
          <w:rFonts w:ascii="Arial" w:hAnsi="Arial" w:cs="Arial"/>
          <w:sz w:val="22"/>
          <w:szCs w:val="22"/>
        </w:rPr>
        <w:t xml:space="preserve">en una cuenca hidrologica, es el valor que resulta de la diferencia entre el volumen medio anual de escurrimiento de una cuenca hacia aguas abajo y el volumen medio anual actual comprometido aguas abajo; </w:t>
      </w:r>
    </w:p>
    <w:p w14:paraId="412DA88E" w14:textId="77777777" w:rsidR="000F70C2" w:rsidRPr="007923C2" w:rsidRDefault="007E0CC0" w:rsidP="000F70C2">
      <w:pPr>
        <w:jc w:val="both"/>
        <w:rPr>
          <w:rFonts w:ascii="Arial" w:hAnsi="Arial" w:cs="Arial"/>
          <w:sz w:val="22"/>
          <w:szCs w:val="22"/>
        </w:rPr>
      </w:pPr>
      <w:r w:rsidRPr="007923C2">
        <w:rPr>
          <w:rFonts w:ascii="Arial" w:hAnsi="Arial" w:cs="Arial"/>
          <w:sz w:val="22"/>
          <w:szCs w:val="22"/>
        </w:rPr>
        <w:t xml:space="preserve">xxiv. "disponibilidad media anual de aguas del subsuelo": en una unidad hidrogeologica -entendida esta como el conjunto de estratos geologicos hidraulicamente conectados entre si, cuyos limites laterales y verticales se definen convencionalmente para fines de evaluacion, manejo y administracion de las aguas nacionales subterraneas-, es el volumen medio anual de agua subterranea que puede ser extraido de esa unidad hidrogeologica para diversos usos, adicional a la extraccion ya concesionada y a la descarga natural comprometida, sin poner en peligro el equilibrio de los ecosistemas; </w:t>
      </w:r>
    </w:p>
    <w:p w14:paraId="0FA835B7"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XXV. A. "DISTRITO DE RIEGO": </w:t>
      </w:r>
      <w:r w:rsidR="007E0CC0" w:rsidRPr="007923C2">
        <w:rPr>
          <w:rFonts w:ascii="Arial" w:hAnsi="Arial" w:cs="Arial"/>
          <w:sz w:val="22"/>
          <w:szCs w:val="22"/>
        </w:rPr>
        <w:t xml:space="preserve">es el establecido mediante decreto presidencial, el cual esta conformado por una o varias superficies previamente delimitadas y dentro de cuyo perimetro se ubica la zona de riego, el cual cuenta con las obras de infraestructura hidraulica, aguas superficiales y del subsuelo, asi como con sus vasos de almacenamiento, su zona federal, de proteccion y demas bienes y obras conexas, pudiendo establecerse tambien con una o varias unidades de riego; </w:t>
      </w:r>
    </w:p>
    <w:p w14:paraId="4321770F"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B. "DISTRITO DE TEMPORAL TECNIFICADO": </w:t>
      </w:r>
      <w:r w:rsidR="007E0CC0" w:rsidRPr="007923C2">
        <w:rPr>
          <w:rFonts w:ascii="Arial" w:hAnsi="Arial" w:cs="Arial"/>
          <w:sz w:val="22"/>
          <w:szCs w:val="22"/>
        </w:rPr>
        <w:t xml:space="preserve">área geografica destinada normalmente a las actividades agricolas que no cuenta con infraestructura de riego, en la cual mediante el uso de diversas tecnicas y obras, se aminoran los daños a la produccion por causa de ocurrencia de lluvias fuertes y prolongadas -estos tambien denominados distritos de drenaje- o en condiciones de escasez, se aprovecha con mayor eficiencia la lluvia y la humedad en los terrenos agricolas; el distrito de temporal tecnificado esta integrado por unidades de temporal; </w:t>
      </w:r>
    </w:p>
    <w:p w14:paraId="75E16286"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XXVI. "ESTERO": </w:t>
      </w:r>
      <w:r w:rsidR="00E70DC9" w:rsidRPr="007923C2">
        <w:rPr>
          <w:rFonts w:ascii="Arial" w:hAnsi="Arial" w:cs="Arial"/>
          <w:sz w:val="22"/>
          <w:szCs w:val="22"/>
        </w:rPr>
        <w:t xml:space="preserve">terreno bajo, pantanoso, que suele llenarse de agua por la lluvia o por desbordes de una corriente, o una laguna cercana o por el mar; </w:t>
      </w:r>
    </w:p>
    <w:p w14:paraId="628D93FB"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XXVII. "EXPLOTACION": </w:t>
      </w:r>
      <w:r w:rsidR="00E70DC9" w:rsidRPr="007923C2">
        <w:rPr>
          <w:rFonts w:ascii="Arial" w:hAnsi="Arial" w:cs="Arial"/>
          <w:sz w:val="22"/>
          <w:szCs w:val="22"/>
        </w:rPr>
        <w:t xml:space="preserve">aplicacion del agua en actividades encaminadas a extraer elementos quimicos u organicos disueltos en la misma, despues de las cuales es retornada a su fuente original sin consumo significativo; </w:t>
      </w:r>
    </w:p>
    <w:p w14:paraId="6C72F43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XXVIII. "GESTION DEL AGUA": </w:t>
      </w:r>
      <w:r w:rsidR="00E70DC9" w:rsidRPr="007923C2">
        <w:rPr>
          <w:rFonts w:ascii="Arial" w:hAnsi="Arial" w:cs="Arial"/>
          <w:sz w:val="22"/>
          <w:szCs w:val="22"/>
        </w:rPr>
        <w:t xml:space="preserve">proceso sustentado en el conjunto de principios, politicas, actos, recursos, instrumentos, normas formales y no formales, bienes, recursos, derechos, atribuciones y responsabilidades, mediante el cual coordinadamente el estado, los usuarios del agua y las organizaciones de la sociedad, promueven e instrumentan para lograr el desarrollo sustentable en beneficio de los seres humanos y su medio social, economico y ambiental, (1) el control y manejo del agua y las cuencas hidrologicas, incluyendo los acuiferos, por ende su distribucion y administracion, (2) la regulacion de la explotacion, uso o aprovechamiento del agua, y (3) la preservacion y sustentabilidad de los recursos hidricos en cantidad y calidad, considerando los riesgos ante la ocurrencia de fenomenos hidrometeorologicos extraordinarios y daños a ecosistemas vitales y al medio ambiente. la gestion del agua comprende en su totalidad a la administracion gubernamental del agua; </w:t>
      </w:r>
    </w:p>
    <w:p w14:paraId="110F379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XXIX. "GESTION INTEGRADA DE LOS RECURSOS HIDRICOS": </w:t>
      </w:r>
      <w:r w:rsidR="00E70DC9" w:rsidRPr="007923C2">
        <w:rPr>
          <w:rFonts w:ascii="Arial" w:hAnsi="Arial" w:cs="Arial"/>
          <w:sz w:val="22"/>
          <w:szCs w:val="22"/>
        </w:rPr>
        <w:t xml:space="preserve">proceso que promueve la gestion y desarrollo coordinado del agua, la tierra, los recursos relacionados con estos y el ambiente, con el fin de maximizar el bienestar social y economico equitativamente sin comprometer la sustentabilidad de los ecosistemas vitales. dicha gestion esta intimamente vinculada con el desarrollo sustentable. para la aplicacion de esta ley en relacion con este concepto se consideran primordialmente agua y bosque; </w:t>
      </w:r>
    </w:p>
    <w:p w14:paraId="0FD3BD60"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 "HUMEDALES": </w:t>
      </w:r>
      <w:r w:rsidR="00E70DC9" w:rsidRPr="007923C2">
        <w:rPr>
          <w:rFonts w:ascii="Arial" w:hAnsi="Arial" w:cs="Arial"/>
          <w:sz w:val="22"/>
          <w:szCs w:val="22"/>
        </w:rPr>
        <w:t xml:space="preserve">las zonas de transicion entre los sistemas acuaticos y terrestres que constituyen areas de inundacion temporal o permanente, sujetas o no a la influencia de mareas, como pantanos, cienagas y marismas, cuyos limites los constituyen el tipo de vegetacion hidrofila de presencia permanente o estacional; las areas en donde el suelo es predominantemente hidrico; y las areas lacustres o de suelos permanentemente humedos por la descarga natural de acuiferos; </w:t>
      </w:r>
    </w:p>
    <w:p w14:paraId="4914BD7A"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XXXI. "LA COMISION": LA COMISION NACIONAL DEL AGUA; </w:t>
      </w:r>
    </w:p>
    <w:p w14:paraId="3BB5D49A"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XXXII. "LA LEY": LEY DE AGUAS NACIONALES; </w:t>
      </w:r>
    </w:p>
    <w:p w14:paraId="49A9E545"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XXXIII. "LA PROCURADURIA": LA PROCURADURIA FEDERAL DE PROTECCION AL AMBIENTE; </w:t>
      </w:r>
    </w:p>
    <w:p w14:paraId="15CD734B"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XXXIV. "LA SECRETARIA": LA SECRETARIA DEL MEDIO AMBIENTE Y RECURSOS NATURALES; </w:t>
      </w:r>
    </w:p>
    <w:p w14:paraId="05CCB4F4"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XXXV. "LOS CONSEJOS": LOS CONSEJOS DE CUENCA; </w:t>
      </w:r>
    </w:p>
    <w:p w14:paraId="1946AAAB"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XXXVI. "LOS ORGANISMOS": LOS ORGANISMOS DE CUENCA; </w:t>
      </w:r>
    </w:p>
    <w:p w14:paraId="470E142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XXXVII. "MATERIALES PETREOS": </w:t>
      </w:r>
      <w:r w:rsidR="00E70DC9" w:rsidRPr="007923C2">
        <w:rPr>
          <w:rFonts w:ascii="Arial" w:hAnsi="Arial" w:cs="Arial"/>
          <w:sz w:val="22"/>
          <w:szCs w:val="22"/>
        </w:rPr>
        <w:t xml:space="preserve">materiales tales como arena, grava, piedra y/o cualquier otro tipo de material utilizado en la construccion, que sea extraido de un vaso, cauce o de cualesquiera otros bienes señalados en el articulo 113 de esta ley; </w:t>
      </w:r>
    </w:p>
    <w:p w14:paraId="0228C2B7"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XXXVIII. "NORMAS OFICIALES MEXICANAS": </w:t>
      </w:r>
      <w:r w:rsidR="00E70DC9" w:rsidRPr="007923C2">
        <w:rPr>
          <w:rFonts w:ascii="Arial" w:hAnsi="Arial" w:cs="Arial"/>
          <w:sz w:val="22"/>
          <w:szCs w:val="22"/>
        </w:rPr>
        <w:t xml:space="preserve">aquellas expedidas por "la secretaria", en los terminos de la ley federal sobre metrologia y normalizacion referidas a la conservacion, seguridad y calidad en la explotacion, uso, aprovechamiento y administracion de las aguas nacionales y de los bienes nacionales a los que se refiere el articulo 113 de esta ley; </w:t>
      </w:r>
    </w:p>
    <w:p w14:paraId="70C29B14"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XXXIX. "ORGANISMO DE CUENCA": </w:t>
      </w:r>
      <w:r w:rsidR="00E70DC9" w:rsidRPr="007923C2">
        <w:rPr>
          <w:rFonts w:ascii="Arial" w:hAnsi="Arial" w:cs="Arial"/>
          <w:sz w:val="22"/>
          <w:szCs w:val="22"/>
        </w:rPr>
        <w:t xml:space="preserve">unidad tecnica, administrativa y juridica especializada, con caracter autonomo, adscrita directamente al titular de "la comision", cuyas atribuciones se establecen en la presente ley y sus reglamentos, y cuyos recursos y presupuesto especificos son determinados por "la comision"; </w:t>
      </w:r>
    </w:p>
    <w:p w14:paraId="74C43BB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 “PERMISOS”: PARA LOS FINES DE LA PRESENTE LEY, EXISTEN DOS ACEPCIONES DE PERMISOS: </w:t>
      </w:r>
    </w:p>
    <w:p w14:paraId="27349A9A"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 “PERMISOS”: </w:t>
      </w:r>
      <w:r w:rsidR="00E70DC9" w:rsidRPr="007923C2">
        <w:rPr>
          <w:rFonts w:ascii="Arial" w:hAnsi="Arial" w:cs="Arial"/>
          <w:sz w:val="22"/>
          <w:szCs w:val="22"/>
        </w:rPr>
        <w:t xml:space="preserve">son los que otorga el ejecutivo federal a traves de “la comision” o del organismo de cuenca que corresponda, conforme a sus respectivas competencias, para la construccion de obras hidraulicas y otros de indole diversa relacionadas con el agua y los bienes nacionales a los que se refiere el articulo 113 de la presente ley; </w:t>
      </w:r>
    </w:p>
    <w:p w14:paraId="281BD0CD" w14:textId="77777777" w:rsidR="000F70C2" w:rsidRPr="007923C2" w:rsidRDefault="00E70DC9" w:rsidP="000F70C2">
      <w:pPr>
        <w:jc w:val="both"/>
        <w:rPr>
          <w:rFonts w:ascii="Arial" w:hAnsi="Arial" w:cs="Arial"/>
          <w:sz w:val="22"/>
          <w:szCs w:val="22"/>
        </w:rPr>
      </w:pPr>
      <w:r w:rsidRPr="007923C2">
        <w:rPr>
          <w:rFonts w:ascii="Arial" w:hAnsi="Arial" w:cs="Arial"/>
          <w:sz w:val="22"/>
          <w:szCs w:val="22"/>
        </w:rPr>
        <w:t xml:space="preserve">(reformado mediante decreto publicado en el diario oficial de la federacion el 08 de junio de 2012) </w:t>
      </w:r>
    </w:p>
    <w:p w14:paraId="4E260D8E"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B. "PERMISOS DE DESCARGA": </w:t>
      </w:r>
      <w:r w:rsidR="00E70DC9" w:rsidRPr="007923C2">
        <w:rPr>
          <w:rFonts w:ascii="Arial" w:hAnsi="Arial" w:cs="Arial"/>
          <w:sz w:val="22"/>
          <w:szCs w:val="22"/>
        </w:rPr>
        <w:t>titulo que otorga el ejecutivo federal a traves de "la comision" o del organismo de cuenca que corresponda, conforme a sus respectivas competencias, para la descarga de aguas residuales a cuerpos receptores de propiedad nacional, a las personas fisicas o morales de caracter publico y privado</w:t>
      </w:r>
      <w:r w:rsidRPr="007923C2">
        <w:rPr>
          <w:rFonts w:ascii="Arial" w:hAnsi="Arial" w:cs="Arial"/>
          <w:sz w:val="22"/>
          <w:szCs w:val="22"/>
        </w:rPr>
        <w:t xml:space="preserve">; </w:t>
      </w:r>
    </w:p>
    <w:p w14:paraId="24E2EC8F"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XLI. "PERSONA FISICA O MORAL": </w:t>
      </w:r>
      <w:r w:rsidR="00E70DC9" w:rsidRPr="007923C2">
        <w:rPr>
          <w:rFonts w:ascii="Arial" w:hAnsi="Arial" w:cs="Arial"/>
          <w:sz w:val="22"/>
          <w:szCs w:val="22"/>
        </w:rPr>
        <w:t xml:space="preserve">los individuos, los ejidos, las comunidades, las asociaciones, las sociedades y las demas instituciones a las que la ley reconozca personalidad juridica, con las modalidades y limitaciones que establezca la misma; </w:t>
      </w:r>
    </w:p>
    <w:p w14:paraId="3099F9F9"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XLII. "PROGRAMA NACIONAL HIDRICO": </w:t>
      </w:r>
      <w:r w:rsidR="00E70DC9" w:rsidRPr="007923C2">
        <w:rPr>
          <w:rFonts w:ascii="Arial" w:hAnsi="Arial" w:cs="Arial"/>
          <w:sz w:val="22"/>
          <w:szCs w:val="22"/>
        </w:rPr>
        <w:t xml:space="preserve">documento rector que integra los planes hidricos de las cuencas a nivel nacional, en el cual se definen la disponibilidad, el uso y aprovechamiento del recurso, asi como las estrategias, prioridades y politicas, para lograr el equilibrio del desarrollo regional sustentable y avanzar en la gestion integrada de los recursos hidricos; </w:t>
      </w:r>
    </w:p>
    <w:p w14:paraId="1E179F00"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XLIII. "PROGRAMA HIDRICO DE LA CUENCA": </w:t>
      </w:r>
      <w:r w:rsidR="00E70DC9" w:rsidRPr="007923C2">
        <w:rPr>
          <w:rFonts w:ascii="Arial" w:hAnsi="Arial" w:cs="Arial"/>
          <w:sz w:val="22"/>
          <w:szCs w:val="22"/>
        </w:rPr>
        <w:t>documento en el cual se definen la disponibilidad, el uso y aprovechamiento del recurso, asi como las estrategias, prioridades y politicas, para lograr el equilibrio del desarrollo regional sustentable en la cuenca correspondiente y avanzar en la gestion integrada de los recursos hidricos</w:t>
      </w:r>
      <w:r w:rsidRPr="007923C2">
        <w:rPr>
          <w:rFonts w:ascii="Arial" w:hAnsi="Arial" w:cs="Arial"/>
          <w:sz w:val="22"/>
          <w:szCs w:val="22"/>
        </w:rPr>
        <w:t xml:space="preserve">; </w:t>
      </w:r>
    </w:p>
    <w:p w14:paraId="0B3B78C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XLIV. "REGISTRO PUBLICO DE DERECHOS DE AGUA": (REPDA) </w:t>
      </w:r>
      <w:r w:rsidR="00E70DC9" w:rsidRPr="007923C2">
        <w:rPr>
          <w:rFonts w:ascii="Arial" w:hAnsi="Arial" w:cs="Arial"/>
          <w:sz w:val="22"/>
          <w:szCs w:val="22"/>
        </w:rPr>
        <w:t xml:space="preserve">registro que proporciona informacion y seguridad juridica a los usuarios de aguas nacionales y bienes inherentes a traves de la inscripcion de los titulos de concesion, asignacion y permisos de descarga, asi como las modificaciones que se efectuen en las caracteristicas de los mismos; </w:t>
      </w:r>
    </w:p>
    <w:p w14:paraId="039613F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XLV. "RESCATE": </w:t>
      </w:r>
      <w:r w:rsidR="00E70DC9" w:rsidRPr="007923C2">
        <w:rPr>
          <w:rFonts w:ascii="Arial" w:hAnsi="Arial" w:cs="Arial"/>
          <w:sz w:val="22"/>
          <w:szCs w:val="22"/>
        </w:rPr>
        <w:t xml:space="preserve">acto emitido por el ejecutivo federal por causas de utilidad publica o interes publico, mediante la declaratoria correspondiente, para extinguir: </w:t>
      </w:r>
    </w:p>
    <w:p w14:paraId="2F897746" w14:textId="77777777" w:rsidR="000F70C2" w:rsidRPr="007923C2" w:rsidRDefault="00E70DC9" w:rsidP="000F70C2">
      <w:pPr>
        <w:jc w:val="both"/>
        <w:rPr>
          <w:rFonts w:ascii="Arial" w:hAnsi="Arial" w:cs="Arial"/>
          <w:sz w:val="22"/>
          <w:szCs w:val="22"/>
        </w:rPr>
      </w:pPr>
      <w:r w:rsidRPr="007923C2">
        <w:rPr>
          <w:rFonts w:ascii="Arial" w:hAnsi="Arial" w:cs="Arial"/>
          <w:sz w:val="22"/>
          <w:szCs w:val="22"/>
        </w:rPr>
        <w:t xml:space="preserve">a. concesiones o asignaciones para la explotacion, uso o aprovechamiento de aguas nacionales, de sus bienes publicos inherentes, o </w:t>
      </w:r>
    </w:p>
    <w:p w14:paraId="47B19245" w14:textId="77777777" w:rsidR="000F70C2" w:rsidRPr="007923C2" w:rsidRDefault="00E70DC9" w:rsidP="000F70C2">
      <w:pPr>
        <w:jc w:val="both"/>
        <w:rPr>
          <w:rFonts w:ascii="Arial" w:hAnsi="Arial" w:cs="Arial"/>
          <w:sz w:val="22"/>
          <w:szCs w:val="22"/>
        </w:rPr>
      </w:pPr>
      <w:r w:rsidRPr="007923C2">
        <w:rPr>
          <w:rFonts w:ascii="Arial" w:hAnsi="Arial" w:cs="Arial"/>
          <w:sz w:val="22"/>
          <w:szCs w:val="22"/>
        </w:rPr>
        <w:t xml:space="preserve">b. concesiones para construir, equipar, operar, conservar, mantener, rehabilitar y ampliar infraestructura hidraulica federal y la prestacion de los servicios respectivos; </w:t>
      </w:r>
    </w:p>
    <w:p w14:paraId="024532BE"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XLVI. "REUSO": LA EXPLOTACION, USO O APROVECHAMIENTO DE AGUAS RESIDUALES CON O SIN TRATAMIENTO PREVIO; </w:t>
      </w:r>
    </w:p>
    <w:p w14:paraId="33B8560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XLVII. "RIBERA O ZONA FEDERAL": </w:t>
      </w:r>
      <w:r w:rsidR="00E70DC9" w:rsidRPr="007923C2">
        <w:rPr>
          <w:rFonts w:ascii="Arial" w:hAnsi="Arial" w:cs="Arial"/>
          <w:sz w:val="22"/>
          <w:szCs w:val="22"/>
        </w:rPr>
        <w:t xml:space="preserve">las fajas de diez metros de anchura contiguas al cauce de las corrientes o al vaso de los depositos de propiedad nacional, medidas horizontalmente a partir del nivel de aguas maximas ordinarias. la amplitud de la ribera o zona federal sera de cinco metros en los cauces con una anchura no mayor de cinco metros. el nivel de aguas maximas ordinarias se calculara a partir de la creciente maxima ordinaria que sera determinada por "la comision" o por el organismo de cuenca que corresponda, conforme a sus respectivas competencias, de acuerdo con lo dispuesto en los reglamentos de esta ley. en los rios, estas fajas se delimitaran a partir de cien metros rio arriba, contados desde la desembocadura de estos en el mar. en los cauces con anchura no mayor de cinco metros, el nivel de aguas maximas ordinarias se calculara a partir de la media de los gastos maximos anuales producidos durante diez años consecutivos. estas fajas se delimitaran en los rios a partir de cien metros rio arriba, contados desde la desembocadura de estos en el mar. en los origenes de cualquier corriente, se considera como cauce propiamente definido, el escurrimiento que se concentre hacia una depresion topografica y forme una carcava o canal, como resultado de la accion del agua fluyendo sobre el terreno. la magnitud de la carcava o cauce incipiente debera ser de cuando menos de 2.0 metros de ancho por 0.75 metros de profundidad; </w:t>
      </w:r>
    </w:p>
    <w:p w14:paraId="41C9FEF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XLVIII. "RIO": CORRIENTE DE AGUA NATURAL, PERENNE O INTERMITENTE, QUE DESEMBOCA A OTRAS CORRIENTES, O A UN EMBALSE NATURAL O ARTIFICIAL, O AL MAR; </w:t>
      </w:r>
    </w:p>
    <w:p w14:paraId="7D46930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XLIX. "SERVICIOS AMBIENTALES": </w:t>
      </w:r>
      <w:r w:rsidR="00E70DC9" w:rsidRPr="007923C2">
        <w:rPr>
          <w:rFonts w:ascii="Arial" w:hAnsi="Arial" w:cs="Arial"/>
          <w:sz w:val="22"/>
          <w:szCs w:val="22"/>
        </w:rPr>
        <w:t xml:space="preserve">los beneficios de interes social que se generan o se derivan de las cuencas hidrologicas y sus componentes, tales como regulacion climatica, conservacion de los ciclos hidrologicos, control de la erosion, control de inundaciones, recarga de acuiferos, mantenimiento de escurrimientos en calidad y cantidad, formacion de suelo, captura de carbono, purificacion de cuerpos de agua, asi como conservacion y proteccion de la biodiversidad; para la aplicacion de este concepto en esta ley se consideran primordialmente los recursos hidricos y su vinculo con los forestales; </w:t>
      </w:r>
    </w:p>
    <w:p w14:paraId="1783832F"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 "SISTEMA DE AGUA POTABLE Y ALCANTARILLADO": </w:t>
      </w:r>
      <w:r w:rsidR="00E70DC9" w:rsidRPr="007923C2">
        <w:rPr>
          <w:rFonts w:ascii="Arial" w:hAnsi="Arial" w:cs="Arial"/>
          <w:sz w:val="22"/>
          <w:szCs w:val="22"/>
        </w:rPr>
        <w:t xml:space="preserve">conjunto de obras y acciones que permiten la prestacion de servicios publicos de agua potable y alcantarillado, incluyendo el saneamiento, entendiendo como tal la conduccion, tratamiento, alejamiento y descarga de las aguas residuales; </w:t>
      </w:r>
    </w:p>
    <w:p w14:paraId="2B4C5D7E"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LI. "UNIDAD DE RIEGO": </w:t>
      </w:r>
      <w:r w:rsidR="00E70DC9" w:rsidRPr="007923C2">
        <w:rPr>
          <w:rFonts w:ascii="Arial" w:hAnsi="Arial" w:cs="Arial"/>
          <w:sz w:val="22"/>
          <w:szCs w:val="22"/>
        </w:rPr>
        <w:t xml:space="preserve">área agricola que cuenta con infraestructura y sistemas de riego, distinta de un distrito de riego y comunmente de menor superficie que aquel; puede integrarse por asociaciones de usuarios u otras figuras de productores organizados que se asocian entre si libremente para prestar el servicio de riego con sistemas de gestion autonoma y operar las obras de infraestructura hidraulica para la captacion, derivacion, conduccion, regulacion, distribucion y desalojo de las aguas nacionales destinadas al riego agricola; </w:t>
      </w:r>
    </w:p>
    <w:p w14:paraId="2BAB8630"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LII. "USO": APLICACION DEL AGUA A UNA ACTIVIDAD QUE IMPLIQUE EL CONSUMO, PARCIAL O TOTAL DE ESE RECURSO; </w:t>
      </w:r>
    </w:p>
    <w:p w14:paraId="6E47A9F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LIII. "USO AGRICOLA": </w:t>
      </w:r>
      <w:r w:rsidR="00E70DC9" w:rsidRPr="007923C2">
        <w:rPr>
          <w:rFonts w:ascii="Arial" w:hAnsi="Arial" w:cs="Arial"/>
          <w:sz w:val="22"/>
          <w:szCs w:val="22"/>
        </w:rPr>
        <w:t>la aplicacion de agua nacional para el riego destinado a la produccion agricola y la preparacion de esta para la primera enajenacion, siempre que los productos no hayan sido objeto de transformacion industrial</w:t>
      </w:r>
      <w:r w:rsidRPr="007923C2">
        <w:rPr>
          <w:rFonts w:ascii="Arial" w:hAnsi="Arial" w:cs="Arial"/>
          <w:sz w:val="22"/>
          <w:szCs w:val="22"/>
        </w:rPr>
        <w:t xml:space="preserve">; </w:t>
      </w:r>
    </w:p>
    <w:p w14:paraId="4E5144D9"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LIV. "USO AMBIENTAL" O "USO PARA CONSERVACION ECOLOGICA": </w:t>
      </w:r>
      <w:r w:rsidR="00E70DC9" w:rsidRPr="007923C2">
        <w:rPr>
          <w:rFonts w:ascii="Arial" w:hAnsi="Arial" w:cs="Arial"/>
          <w:sz w:val="22"/>
          <w:szCs w:val="22"/>
        </w:rPr>
        <w:t xml:space="preserve">el caudal o volumen minimo necesario en cuerpos receptores, incluyendo corrientes de diversa indole o embalses, o el caudal </w:t>
      </w:r>
      <w:r w:rsidR="00E70DC9" w:rsidRPr="007923C2">
        <w:rPr>
          <w:rFonts w:ascii="Arial" w:hAnsi="Arial" w:cs="Arial"/>
          <w:sz w:val="22"/>
          <w:szCs w:val="22"/>
        </w:rPr>
        <w:lastRenderedPageBreak/>
        <w:t xml:space="preserve">minimo de descarga natural de un acuifero, que debe conservarse para proteger las condiciones ambientales y el equilibrio ecologico del sistema; </w:t>
      </w:r>
    </w:p>
    <w:p w14:paraId="1ECB0F14"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LV. "USO CONSUNTIVO": </w:t>
      </w:r>
      <w:r w:rsidR="00E70DC9" w:rsidRPr="007923C2">
        <w:rPr>
          <w:rFonts w:ascii="Arial" w:hAnsi="Arial" w:cs="Arial"/>
          <w:sz w:val="22"/>
          <w:szCs w:val="22"/>
        </w:rPr>
        <w:t xml:space="preserve">el volumen de agua de una calidad determinada que se consume al llevar a cabo una actividad especifica, el cual se determina como la diferencia del volumen de una calidad determinada que se extrae, menos el volumen de una calidad tambien determinada que se descarga, y que se señalan en el titulo respectivo; </w:t>
      </w:r>
    </w:p>
    <w:p w14:paraId="6F0E285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LVI. "USO DOMESTICO": </w:t>
      </w:r>
      <w:r w:rsidR="00E70DC9" w:rsidRPr="007923C2">
        <w:rPr>
          <w:rFonts w:ascii="Arial" w:hAnsi="Arial" w:cs="Arial"/>
          <w:sz w:val="22"/>
          <w:szCs w:val="22"/>
        </w:rPr>
        <w:t xml:space="preserve">la aplicacion de agua nacional para el uso particular de las personas y del hogar, riego de sus jardines y de arboles de ornato, incluyendo el abrevadero de animales domesticos que no constituya una actividad lucrativa, en terminos del articulo 115 de la constitucion politica de los estados unidos mexicanos; </w:t>
      </w:r>
    </w:p>
    <w:p w14:paraId="0D2F572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LVII. "USO EN ACUACULTURA": </w:t>
      </w:r>
      <w:r w:rsidR="00E70DC9" w:rsidRPr="007923C2">
        <w:rPr>
          <w:rFonts w:ascii="Arial" w:hAnsi="Arial" w:cs="Arial"/>
          <w:sz w:val="22"/>
          <w:szCs w:val="22"/>
        </w:rPr>
        <w:t xml:space="preserve">la aplicacion de aguas nacionales para el cultivo, reproduccion y desarrollo de cualquier especie de la fauna y flora acuaticas; </w:t>
      </w:r>
    </w:p>
    <w:p w14:paraId="6C2FEF4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LVIII. "USO INDUSTRIAL": </w:t>
      </w:r>
      <w:r w:rsidR="00E70DC9" w:rsidRPr="007923C2">
        <w:rPr>
          <w:rFonts w:ascii="Arial" w:hAnsi="Arial" w:cs="Arial"/>
          <w:sz w:val="22"/>
          <w:szCs w:val="22"/>
        </w:rPr>
        <w:t xml:space="preserve">la aplicacion de aguas nacionales en fabricas o empresas que realicen la extraccion, conservacion o transformacion de materias primas o minerales, el acabado de productos o la elaboracion de satisfactores, asi como el agua que se utiliza en parques industriales, calderas, dispositivos para enfriamiento, lavado, baños y otros servicios dentro de la empresa, las salmueras que se utilizan para la extraccion de cualquier tipo de sustancias y el agua aun en estado de vapor, que sea usada para la generacion de energia electrica o para cualquier otro uso o aprovechamiento de transformacion; </w:t>
      </w:r>
    </w:p>
    <w:p w14:paraId="05FC3F4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LIX. "USO PECUARIO": </w:t>
      </w:r>
      <w:r w:rsidR="00E70DC9" w:rsidRPr="007923C2">
        <w:rPr>
          <w:rFonts w:ascii="Arial" w:hAnsi="Arial" w:cs="Arial"/>
          <w:sz w:val="22"/>
          <w:szCs w:val="22"/>
        </w:rPr>
        <w:t>la aplicacion de aguas nacionales para la cria y engorda de ganado, aves de corral y otros animales, y su preparacion para la primera enajenacion siempre que no comprendan la transformacion industrial; no incluye el riego de pastizales</w:t>
      </w:r>
      <w:r w:rsidRPr="007923C2">
        <w:rPr>
          <w:rFonts w:ascii="Arial" w:hAnsi="Arial" w:cs="Arial"/>
          <w:sz w:val="22"/>
          <w:szCs w:val="22"/>
        </w:rPr>
        <w:t xml:space="preserve">; </w:t>
      </w:r>
    </w:p>
    <w:p w14:paraId="39146C9F"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 "USO PUBLICO URBANO": LA APLICACION DE AGUA NACIONAL PARA CENTROS DE POBLACION Y ASENTAMIENTOS HUMANOS, A TRAVES DE LA RED MUNICIPAL; </w:t>
      </w:r>
    </w:p>
    <w:p w14:paraId="5F97E3D4"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LXI. "VASO DE LAGO, LAGUNA O ESTERO": EL DEPOSITO NATURAL DE AGUAS NACIONALES DELIMITADO POR LA COTA DE LA CRECIENTE MAXIMA ORDINARIA; </w:t>
      </w:r>
    </w:p>
    <w:p w14:paraId="610C349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LXI BIS. “YACIMIENTO GEOTERMICO HIDROTERMAL”: AQUEL DEFINIDO EN TERMINOS DE LA LEY DE ENERGIA GEOTERMICA; </w:t>
      </w:r>
    </w:p>
    <w:p w14:paraId="2C49CF35"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(ADICIONADA MEDIANTE DECRETO PUBLICADO EN EL DIARIO OFICIAL DE LA FEDERACION EL 11 DE AGOSTO DE 2014) </w:t>
      </w:r>
    </w:p>
    <w:p w14:paraId="269EFBFF"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LXII. "ZONA DE PROTECCION": </w:t>
      </w:r>
      <w:r w:rsidR="00E70DC9" w:rsidRPr="007923C2">
        <w:rPr>
          <w:rFonts w:ascii="Arial" w:hAnsi="Arial" w:cs="Arial"/>
          <w:sz w:val="22"/>
          <w:szCs w:val="22"/>
        </w:rPr>
        <w:t xml:space="preserve">la faja de terreno inmediata a las presas, estructuras hidraulicas y otra infraestructura hidraulica e instalaciones conexas, cuando dichas obras sean de propiedad nacional, en la extension que en cada caso fije "la comision" o el organismo de cuenca que corresponda, conforme a sus respectivas competencias, para su proteccion y adecuada operacion, conservacion y vigilancia, de acuerdo con lo dispuesto en los reglamentos de esta ley; </w:t>
      </w:r>
    </w:p>
    <w:p w14:paraId="3C36340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LXIII. "ZONA REGLAMENTADA": </w:t>
      </w:r>
      <w:r w:rsidR="00E70DC9" w:rsidRPr="007923C2">
        <w:rPr>
          <w:rFonts w:ascii="Arial" w:hAnsi="Arial" w:cs="Arial"/>
          <w:sz w:val="22"/>
          <w:szCs w:val="22"/>
        </w:rPr>
        <w:t xml:space="preserve">aquellas areas especificas de los acuiferos, cuencas hidrologicas, o regiones hidrologicas, que por sus caracteristicas de deterioro, desequilibrio hidrologico, riesgos o daños a cuerpos de agua o al medio ambiente, fragilidad de los ecosistemas vitales, sobreexplotacion, </w:t>
      </w:r>
      <w:r w:rsidR="00E70DC9" w:rsidRPr="007923C2">
        <w:rPr>
          <w:rFonts w:ascii="Arial" w:hAnsi="Arial" w:cs="Arial"/>
          <w:sz w:val="22"/>
          <w:szCs w:val="22"/>
        </w:rPr>
        <w:lastRenderedPageBreak/>
        <w:t>asi como para su reordenamiento y restauracion, requieren un manejo hidrico especifico para garantizar la sustentabilidad hidrologica</w:t>
      </w:r>
      <w:r w:rsidRPr="007923C2">
        <w:rPr>
          <w:rFonts w:ascii="Arial" w:hAnsi="Arial" w:cs="Arial"/>
          <w:sz w:val="22"/>
          <w:szCs w:val="22"/>
        </w:rPr>
        <w:t xml:space="preserve">; </w:t>
      </w:r>
    </w:p>
    <w:p w14:paraId="067630C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LXIV. "ZONA DE RESERVA": </w:t>
      </w:r>
      <w:r w:rsidR="004543E9" w:rsidRPr="007923C2">
        <w:rPr>
          <w:rFonts w:ascii="Arial" w:hAnsi="Arial" w:cs="Arial"/>
          <w:sz w:val="22"/>
          <w:szCs w:val="22"/>
        </w:rPr>
        <w:t>aquellas areas especificas de los acuiferos, cuencas hidrologicas, o regiones hidrologicas, en las cuales se establecen limitaciones en la explotacion, uso o aprovechamiento de una porcion o la totalidad de las aguas disponibles, con la finalidad de prestar un servicio publico, implantar un programa de restauracion, conservacion o preservacion o cuando el estado resuelva explotar dichas aguas por causa de utilidad publica</w:t>
      </w:r>
      <w:r w:rsidRPr="007923C2">
        <w:rPr>
          <w:rFonts w:ascii="Arial" w:hAnsi="Arial" w:cs="Arial"/>
          <w:sz w:val="22"/>
          <w:szCs w:val="22"/>
        </w:rPr>
        <w:t xml:space="preserve">; </w:t>
      </w:r>
    </w:p>
    <w:p w14:paraId="7F3A2C6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LXV. "ZONA DE VEDA": </w:t>
      </w:r>
      <w:r w:rsidR="004543E9" w:rsidRPr="007923C2">
        <w:rPr>
          <w:rFonts w:ascii="Arial" w:hAnsi="Arial" w:cs="Arial"/>
          <w:sz w:val="22"/>
          <w:szCs w:val="22"/>
        </w:rPr>
        <w:t xml:space="preserve">aquellas areas especificas de las regiones hidrologicas, cuencas hidrologicas o acuiferos, en las cuales no se autorizan aprovechamientos de agua adicionales a los establecidos legalmente y estos se controlan mediante reglamentos especificos, en virtud del deterioro del agua en cantidad o calidad, por la afectacion a la sustentabilidad hidrologica, o por el daño a cuerpos de agua superficiales o subterraneos, y </w:t>
      </w:r>
    </w:p>
    <w:p w14:paraId="75C5D9F5"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LXVI. "ZONAS MARINAS MEXICANAS": LAS QUE CLASIFICA COMO TALES LA LEY FEDERAL DEL MAR. </w:t>
      </w:r>
    </w:p>
    <w:p w14:paraId="42477FEB" w14:textId="77777777" w:rsidR="000F70C2" w:rsidRPr="007923C2" w:rsidRDefault="004543E9" w:rsidP="000F70C2">
      <w:pPr>
        <w:jc w:val="both"/>
        <w:rPr>
          <w:rFonts w:ascii="Arial" w:hAnsi="Arial" w:cs="Arial"/>
          <w:sz w:val="22"/>
          <w:szCs w:val="22"/>
        </w:rPr>
      </w:pPr>
      <w:r w:rsidRPr="007923C2">
        <w:rPr>
          <w:rFonts w:ascii="Arial" w:hAnsi="Arial" w:cs="Arial"/>
          <w:sz w:val="22"/>
          <w:szCs w:val="22"/>
        </w:rPr>
        <w:t xml:space="preserve">para los efectos de esta ley, son aplicables las definiciones contenidas en el articulo 3 de la ley general de equilibrio ecologico y la proteccion al ambiente que no se contrapongan con las asentadas en el presente articulo. los terminos adicionales que llegaren a ser utilizados en los reglamentos de la presente ley, se definiran en tales instrumentos juridicos. </w:t>
      </w:r>
    </w:p>
    <w:p w14:paraId="4C033436"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(ARTICULO REFORMADO MEDIANTE DECRETO PUBLICADO EN EL DIARIO OFICIAL DE LA FEDERACION EL 29 DE ABRIL DE 2004)</w:t>
      </w:r>
    </w:p>
    <w:p w14:paraId="31F6CD4A" w14:textId="77777777" w:rsidR="000F70C2" w:rsidRPr="007923C2" w:rsidRDefault="0043451C" w:rsidP="000F70C2">
      <w:pPr>
        <w:widowControl w:val="0"/>
        <w:autoSpaceDE w:val="0"/>
        <w:autoSpaceDN w:val="0"/>
        <w:adjustRightInd w:val="0"/>
        <w:rPr>
          <w:rFonts w:ascii="Arial" w:hAnsi="Arial" w:cs="Arial"/>
          <w:b/>
          <w:bCs/>
          <w:sz w:val="22"/>
          <w:szCs w:val="22"/>
        </w:rPr>
      </w:pPr>
      <w:r w:rsidRPr="007923C2">
        <w:rPr>
          <w:rFonts w:ascii="Arial" w:hAnsi="Arial" w:cs="Arial"/>
          <w:b/>
          <w:bCs/>
          <w:sz w:val="22"/>
          <w:szCs w:val="22"/>
        </w:rPr>
        <w:t>3.-</w:t>
      </w:r>
      <w:r w:rsidR="000F70C2" w:rsidRPr="007923C2">
        <w:rPr>
          <w:rFonts w:ascii="Arial" w:hAnsi="Arial" w:cs="Arial"/>
          <w:b/>
          <w:bCs/>
          <w:sz w:val="22"/>
          <w:szCs w:val="22"/>
        </w:rPr>
        <w:t>LEY FORESTAL</w:t>
      </w:r>
    </w:p>
    <w:p w14:paraId="642E6945"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TEXTO VIGENTE</w:t>
      </w:r>
    </w:p>
    <w:p w14:paraId="638970A7"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(Ultima reforma aplicada 31/12/2001)</w:t>
      </w:r>
    </w:p>
    <w:p w14:paraId="2AB3A8C9"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Nueva Ley publicada en el Diario Oficial de la Federación el 22 de diciembre de 1992</w:t>
      </w:r>
    </w:p>
    <w:p w14:paraId="495EF2FF"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Disposiciones Generales</w:t>
      </w:r>
    </w:p>
    <w:p w14:paraId="5A9D0185" w14:textId="77777777" w:rsidR="004543E9" w:rsidRPr="007923C2" w:rsidRDefault="004543E9" w:rsidP="000F70C2">
      <w:pPr>
        <w:widowControl w:val="0"/>
        <w:autoSpaceDE w:val="0"/>
        <w:autoSpaceDN w:val="0"/>
        <w:adjustRightInd w:val="0"/>
        <w:jc w:val="both"/>
        <w:rPr>
          <w:rFonts w:ascii="Arial" w:hAnsi="Arial" w:cs="Arial"/>
          <w:b/>
          <w:bCs/>
          <w:i/>
          <w:iCs/>
          <w:sz w:val="22"/>
          <w:szCs w:val="22"/>
        </w:rPr>
      </w:pPr>
    </w:p>
    <w:p w14:paraId="54501FD6"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w:t>
      </w:r>
    </w:p>
    <w:p w14:paraId="20E22A63"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presente ley es reglamentaria del artículo 27 de la Constitución Política de los Estados Unidos Mexicanos, es de observancia general en todo el territorio nacional, sus disposiciones son de orden público e interés social y tiene por objeto regular y fomentar la conservación, protección, restauración, aprovechamiento, manejo, cultivo y producción de los recursos forestales del país, a fin de propiciar el desarrollo sustentable.</w:t>
      </w:r>
    </w:p>
    <w:p w14:paraId="1F80E30C"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política forestal y las normas y medidas que se observarán en la regulación y fomento de las actividades forestales deberán sujetarse a los principios, criterios y disposiciones previstas en la Ley General del Equilibrio Ecológico y la Protección al Ambiente, en lo que resulten aplicables y tendrán como propósitos:</w:t>
      </w:r>
    </w:p>
    <w:p w14:paraId="2E92F6F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Conservar, proteger y restaurar los recursos forestales y la biodiversidad de sus ecosistemas;</w:t>
      </w:r>
    </w:p>
    <w:p w14:paraId="571A0127"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II. Proteger las cuencas y cauces de los ríos y los sistemas de drenaje natural, así como prevenir y controlar la erosión de los suelos y procurar su restauración;</w:t>
      </w:r>
    </w:p>
    <w:p w14:paraId="1BAB2CA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Lograr un manejo sustentable de los recursos forestales, que contribuya al desarrollo socioeconómico de los ejidatarios, comuneros, pequeños propietarios, comunidades indígenas y demás propietarios o poseedores de dichos recursos, con pleno respeto a la integridad funcional y a las capacidades de carga de los ecosistemas de que forman parte los recursos forestales;</w:t>
      </w:r>
    </w:p>
    <w:p w14:paraId="10DDDE30"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IV. Crear las condiciones para la capitalización y modernización de la actividad forestal y la generación de empleos en el sector, en beneficio de los ejidos, las comunidades, los pequeños propietarios, comunidades indígenas y demás personas físicas y morales que sean propietarios o legítimos poseedores de recursos forestales;</w:t>
      </w:r>
    </w:p>
    <w:p w14:paraId="2AA19C26"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 Fomentar las forestaciones con fines de conservación, restauración y comercialización;</w:t>
      </w:r>
    </w:p>
    <w:p w14:paraId="14F026F0"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 Impulsar el desarrollo de la infraestructura forestal, sin perjuicio de la conservación de los recursos naturales; y</w:t>
      </w:r>
    </w:p>
    <w:p w14:paraId="5C128374"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 Promover la cultura forestal, a través de programas educativos, de capacitación, desarrollo tecnológico e investigación en materia forestal.</w:t>
      </w:r>
    </w:p>
    <w:p w14:paraId="4D49D0C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VIII. Promover la participación de las comunidades y de los pueblos indígenas en el uso, protección, conservación y aprovechamiento sustentable de los recursos forestales existentes en los territorios que les pertenezcan, considerando su conocimiento tradicional en dichas actividades;</w:t>
      </w:r>
    </w:p>
    <w:p w14:paraId="23DC5C9C"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IX. Incrementar la participación corresponsable de la sociedad en la protección, conservación, restauración y aprovechamiento sustentable de los recursos forestales;</w:t>
      </w:r>
    </w:p>
    <w:p w14:paraId="57D9841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 Integrar y mantener actualizada la información relativa a los recursos forestales del país;</w:t>
      </w:r>
    </w:p>
    <w:p w14:paraId="4EAE5C9F"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 Fomentar el uso múltiple de los ecosistemas forestales evitando su fragmentación, propiciando su regeneración natural y protegiendo el germoplasma de las especies que lo constituyen;</w:t>
      </w:r>
    </w:p>
    <w:p w14:paraId="122424EB"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XII. Promover el desarrollo tecnológico y la investigación en materia forestal, así como el establecimiento de programas de generación y transferencia de tecnología en la materia;</w:t>
      </w:r>
    </w:p>
    <w:p w14:paraId="0FA90718"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XIII. Fomentar la cultura forestal mediante programas educativos y de divulgación que permitan a la población valorar la importancia de la conservación, protección y aprovechamiento sustentable de los recursos forestales; y</w:t>
      </w:r>
    </w:p>
    <w:p w14:paraId="6281CE47"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XIV. Promover la coordinación entre los distintos niveles de gobierno y la concertación de éstos con los diversos sectores de la sociedad para el logro de los fines de la presente ley.</w:t>
      </w:r>
    </w:p>
    <w:p w14:paraId="28D35A3A"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2</w:t>
      </w:r>
    </w:p>
    <w:p w14:paraId="4F393424"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Se declara de utilidad pública la conservación, protección y restauración de los ecosistemas forestales.</w:t>
      </w:r>
    </w:p>
    <w:p w14:paraId="60923772"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w:t>
      </w:r>
    </w:p>
    <w:p w14:paraId="6465FF9B"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propiedad de los recursos forestales comprendidos dentro del territorio nacional corresponde a los ejidos, las comunidades o a las personas físicas o morales que sean propietarios de los terrenos donde aquéllos se ubiquen. Los procedimientos establecidos por esta ley no alterarán el régimen de propiedad de dichos terrenos.</w:t>
      </w:r>
    </w:p>
    <w:p w14:paraId="380BCC6E"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lastRenderedPageBreak/>
        <w:t>Artículo 3o. BIS</w:t>
      </w:r>
    </w:p>
    <w:p w14:paraId="37AE59C0"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Para los efectos de esta ley se entenderá por:</w:t>
      </w:r>
    </w:p>
    <w:p w14:paraId="36B5E0A9"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Aprovechamiento Forestal: La extracción de los recursos forestales del medio en que se encuentren;</w:t>
      </w:r>
    </w:p>
    <w:p w14:paraId="7A7878E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Cambio de utilización del terreno forestal: Remoción total o parcial de la vegetación de los terrenos forestales para destinarlos a actividades no forestales;</w:t>
      </w:r>
    </w:p>
    <w:p w14:paraId="7AC40B83"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Forestación: La plantación y cultivo de vegetación forestal en terrenos no forestales con propósitos de conservación, restauración o producción comercial;</w:t>
      </w:r>
    </w:p>
    <w:p w14:paraId="4DFAA4B0"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IV. Manejo forestal: El conjunto de acciones y procedimientos que tienen por objeto el cultivo, protección, conservación, restauración o aprovechamiento de los recursos forestales, de tal manera que se respete la integridad funcional y las capacidades de carga de los ecosistemas a los que se integran;</w:t>
      </w:r>
    </w:p>
    <w:p w14:paraId="238CD6C5"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 Materias primas forestales: Los productos del aprovechamiento de los recursos forestales maderables o no maderables, incluyendo la madera en rollo o con escuadría, la leña, las astillas y el carbón vegetal;</w:t>
      </w:r>
    </w:p>
    <w:p w14:paraId="6D180D71"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 Programa de manejo forestal: El documento técnico de planeación y seguimiento que describe, de acuerdo con la ley, las acciones y procedimientos de manejo forestal;</w:t>
      </w:r>
    </w:p>
    <w:p w14:paraId="4EC8AC00"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 Programa integrado de manejo ambiental y forestación: El documento técnico de planeación y seguimiento que, de acuerdo con esta ley y con la Ley General del Equilibrio Ecológico y la Protección al Ambiente, integra los requisitos en materia de impacto ambiental y describe las acciones y procedimientos de manejo forestal relativos a la forestación;</w:t>
      </w:r>
    </w:p>
    <w:p w14:paraId="037B50E6"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VIII. Recursos forestales: La vegetación forestal, natural, artificial o inducida, sus productos y residuos, así como los suelos de los terrenos forestales o de aptitud preferentemente forestal;</w:t>
      </w:r>
    </w:p>
    <w:p w14:paraId="2CDB3350"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IX. Recursos forestales maderables: Los constituidos por árboles;</w:t>
      </w:r>
    </w:p>
    <w:p w14:paraId="704C60E5"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 Recursos forestales no maderables: Las semillas, resinas, fibras, gomas, ceras, rizomas, hojas, pencas y tallos provenientes de vegetación forestal, así como los suelos de los terrenos forestales o de aptitud preferentemente forestal;</w:t>
      </w:r>
    </w:p>
    <w:p w14:paraId="3D2E336B"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 Reforestación: Establecimiento inducido o artificial de vegetación forestal en terrenos forestales;</w:t>
      </w:r>
    </w:p>
    <w:p w14:paraId="30775E06"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XII. Secretaría: La Secretaría de Medio Ambiente, Recursos Naturales y Pesca;</w:t>
      </w:r>
    </w:p>
    <w:p w14:paraId="6E5ED0F6"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XIII. Servicios técnicos forestales: Las actividades relacionadas con la elaboración de los programas de manejo forestal, la planeación de su infraestructura, la organización de la producción forestal, la aplicación de prácticas silvícolas, la protección contra incendios y plagas, la restauración de áreas degradadas y la capacitación de los productores forestales;</w:t>
      </w:r>
    </w:p>
    <w:p w14:paraId="468363D4"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XIV. Terrenos de aptitud preferentemente forestal: Aquellos que no estando cubiertos por vegetación forestal, por sus condiciones de clima, suelo y topografía, puedan incorporarse al uso forestal, excluyendo los situados en áreas urbanas y  los que, sin sufrir degradación permanente, puedan ser utilizados en agricultura y ganadería;</w:t>
      </w:r>
    </w:p>
    <w:p w14:paraId="39999C99"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XV. Terrenos forestales: Los que están cubiertos por vegetación forestal, excluyendo aquellos situados </w:t>
      </w:r>
      <w:r w:rsidRPr="007923C2">
        <w:rPr>
          <w:rFonts w:ascii="Arial" w:hAnsi="Arial" w:cs="Arial"/>
          <w:sz w:val="22"/>
          <w:szCs w:val="22"/>
        </w:rPr>
        <w:lastRenderedPageBreak/>
        <w:t>en áreas urbanas, y</w:t>
      </w:r>
    </w:p>
    <w:p w14:paraId="55197897"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XVI. Vegetación forestal: Conjunto de plantas dominadas por especies arbóreas, arbustivas o crasas, que crecen y se desarrollan en forma natural formando bosques, selvas y vegetación de zonas áridas.</w:t>
      </w:r>
    </w:p>
    <w:p w14:paraId="4D341EFB" w14:textId="77777777" w:rsidR="000F70C2" w:rsidRPr="007923C2" w:rsidRDefault="000F70C2" w:rsidP="000F70C2">
      <w:pPr>
        <w:widowControl w:val="0"/>
        <w:autoSpaceDE w:val="0"/>
        <w:autoSpaceDN w:val="0"/>
        <w:adjustRightInd w:val="0"/>
        <w:jc w:val="both"/>
        <w:rPr>
          <w:rFonts w:ascii="Arial" w:hAnsi="Arial" w:cs="Arial"/>
          <w:b/>
          <w:bCs/>
          <w:sz w:val="22"/>
          <w:szCs w:val="22"/>
        </w:rPr>
      </w:pPr>
    </w:p>
    <w:p w14:paraId="63957320" w14:textId="77777777" w:rsidR="000F70C2" w:rsidRPr="007923C2" w:rsidRDefault="000F70C2" w:rsidP="000F70C2">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 la coordinación y concertación en materia forestal</w:t>
      </w:r>
    </w:p>
    <w:p w14:paraId="776E7AB3"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7</w:t>
      </w:r>
    </w:p>
    <w:p w14:paraId="64660A54"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Federación a través de la Secretaría y con la intervención que corresponda a sus entidades sectorizadas, podrá suscribir convenios o acuerdos de coordinación, con el objeto de que los gobiernos del Distrito Federal o de los estados, con la participación, en su caso, de sus municipios, asuman las siguientes facultades, en el ámbito de su jurisdicción territorial:</w:t>
      </w:r>
    </w:p>
    <w:p w14:paraId="39A72889"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Recibir los avisos de aprovechamiento de recursos forestales no maderables y los de forestación;</w:t>
      </w:r>
    </w:p>
    <w:p w14:paraId="5CCAD873"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Celebrar, conforme a lo previsto en la presente ley, acuerdos y convenios en materia forestal con otras instituciones públicas y personas físicas o morales de los sectores social y privado;</w:t>
      </w:r>
    </w:p>
    <w:p w14:paraId="6CDE94F5"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Dotar a los propietarios o legítimos poseedores de los predios con toda la información previa disponible sobre futuros acuerdos o convenios, especialmente en los casos de cambios en el uso de suelo;</w:t>
      </w:r>
    </w:p>
    <w:p w14:paraId="32056B66"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IV. Formular, articular e instrumentar programas forestales, especialmente de forestación y reforestación para el rescate de las zonas erosionadas, así como de agroforestería y manejo y uso múltiple del ecosistema forestal;</w:t>
      </w:r>
    </w:p>
    <w:p w14:paraId="14F5ED37"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 Fomentar la educación, cultura, capacitación e investigaciones forestales, enfatizando lo referente a la conservación y reintroducción de especies nativas o adaptadas a condiciones ambientales específicas;</w:t>
      </w:r>
    </w:p>
    <w:p w14:paraId="399A238F"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 Aplicar las medidas de fomento para la conservación, protección y restauración de los recursos forestales, para las plantaciones comerciales y de otra naturaleza, y para los aprovechamientos forestales que se realicen conforme a los términos de esta ley, o</w:t>
      </w:r>
    </w:p>
    <w:p w14:paraId="6952F0D9"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 Las previstas en el artículo 5o., fracciones IV, VI, VIII, X, XII, XIII, XV, XVI y XVII de esta ley.</w:t>
      </w:r>
    </w:p>
    <w:p w14:paraId="2DEEB51C"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celebración de dichos convenios o acuerdos de coordinación se sujetará a las bases previstas en el artículo 12 de la Ley General del Equilibrio Ecológico y la Protección al Ambiente.</w:t>
      </w:r>
    </w:p>
    <w:p w14:paraId="39A6CBD0"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8</w:t>
      </w:r>
    </w:p>
    <w:p w14:paraId="4EE5BFD5"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acuerdos y convenios que en materia forestal celebre la Secretaría con personas físicas o morales del sector social o privado, podrán versar sobre la instrumentación de programas forestales, el fomento a la educación, cultura, capacitación e investigación forestales, así como respecto de las labores de vigilancia forestal y demás acciones forestales operativas previstas en esta ley.</w:t>
      </w:r>
    </w:p>
    <w:p w14:paraId="5EFD1CFA"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De la Administración y Manejo de los Recursos Forestales</w:t>
      </w:r>
    </w:p>
    <w:p w14:paraId="2F4D916A" w14:textId="77777777" w:rsidR="000F70C2" w:rsidRPr="007923C2" w:rsidRDefault="000F70C2" w:rsidP="000F70C2">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Del inventario y registro forestal nacional</w:t>
      </w:r>
    </w:p>
    <w:p w14:paraId="4DD06D3E"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9</w:t>
      </w:r>
    </w:p>
    <w:p w14:paraId="4FFBC647"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La Secretaría, considerando el ordenamiento ecológico general del territorio, formulará y organizará el inventario forestal nacional, el cual deberá incluir, por lo menos la siguiente información:</w:t>
      </w:r>
    </w:p>
    <w:p w14:paraId="08F27B12"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La superficie de terrenos forestales y de aptitud preferentemente forestal con que cuenta el país, con el propósito de integrar su información estadística y elaborar su cartografía, en sus distintos niveles de ordenamiento y manejo;</w:t>
      </w:r>
    </w:p>
    <w:p w14:paraId="59681CE2"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Los tipos y la localización de la vegetación forestal, sus formaciones y clases de uso, con tendencias y proyecciones que permitan clasificar y delimitar las zonas de conservación, protección, restauración y producción forestal, en relación con las cuencas hidrográficas, las unidades geomorfológicas y las áreas naturales protegidas;</w:t>
      </w:r>
    </w:p>
    <w:p w14:paraId="0A28DE8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La dinámica de cambio de la vegetación forestal del país, que permita conocer y evaluar las tasas de deforestación y sus causas principales;</w:t>
      </w:r>
    </w:p>
    <w:p w14:paraId="5CEE6F88"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IV. La cuantificación de los recursos forestales, que incluya la valoración de los servicios ambientales y productivos que generen los ecosistemas forestales, así como los impactos que se ocasionen en los mismos, y V. Los demás que se señale el reglamento de esta ley.</w:t>
      </w:r>
    </w:p>
    <w:p w14:paraId="4239A9F8"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deberá recabar la opinión del Consejo para definir los criterios técnicos a utilizarse para recopilar y organizar el inventario forestal nacional.</w:t>
      </w:r>
    </w:p>
    <w:p w14:paraId="393A68B5"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mantendrá actualizado el inventario forestal nacional, a fin de realizar evaluaciones periódicas y de apoyar las políticas, medidas, programas e instrumentos de regulación y fomento forestal. Para tal efecto la Secretaría se coordinará con el Instituto Nacional de Estadística, Geografía e Informática.</w:t>
      </w:r>
    </w:p>
    <w:p w14:paraId="10CFCAE3"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10</w:t>
      </w:r>
    </w:p>
    <w:p w14:paraId="0EA725DC"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Con base en el inventario forestal nacional y el ordenamiento ecológico del territorio nacional, la Secretaría llevará a cabo la zonificación de los terrenos forestales y de aptitud preferentemente forestal, con el objeto de delimitar sus usos y destinos, considerando primordialmente los criterios de conservación, producción y restauración. Dicha zonificación deberá publicarse en el Diario Oficial de la Federación.</w:t>
      </w:r>
    </w:p>
    <w:p w14:paraId="3D640FA9"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10 BIS</w:t>
      </w:r>
    </w:p>
    <w:p w14:paraId="42B99CB6"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Registro Forestal Nacional será público y en él se inscribirán:</w:t>
      </w:r>
    </w:p>
    <w:p w14:paraId="65BDD58C"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Los programas de manejo forestal y los programas integrados de manejo ambiental y forestación, sus autorizaciones, modificaciones y cancelaciones, así como los documentos incorporados a la solicitud respectiva;</w:t>
      </w:r>
    </w:p>
    <w:p w14:paraId="3EB6371F"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Los avisos de forestación, así como sus modificaciones o cancelaciones;</w:t>
      </w:r>
    </w:p>
    <w:p w14:paraId="6F6D833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Las autorizaciones de cambio de utilización de los terrenos forestales;</w:t>
      </w:r>
    </w:p>
    <w:p w14:paraId="5750B957"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IV. El aviso de funcionamiento de centros de almacenamiento y transformación de materias primas forestales;</w:t>
      </w:r>
    </w:p>
    <w:p w14:paraId="4EE313F3"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 Los datos para la identificación de las personas físicas o morales responsables de elaborar y dirigir la ejecución técnica o de evaluar programas de manejo forestal o programas integrados de manejo ambiental y forestación, en los términos de esta ley;</w:t>
      </w:r>
    </w:p>
    <w:p w14:paraId="788126D8"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VI. El inventario forestal nacional y la zonificación forestal respectiva;</w:t>
      </w:r>
    </w:p>
    <w:p w14:paraId="0DBC16F2"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 Los acuerdos y convenios que celebre la Secretaría en materia forestal;</w:t>
      </w:r>
    </w:p>
    <w:p w14:paraId="03C8F9B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VIII. Los decretos que establezcan áreas naturales protegidas que incluyan terrenos forestales o de aptitud preferentemente forestal, y IX. Los demás actos y documentos que se señalen en el reglamento de esta ley.</w:t>
      </w:r>
    </w:p>
    <w:p w14:paraId="50218780"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podrá autorizar la ejecución del programa respectivo en los términos solicitados, o de manera condicionada a su modificación o al establecimiento de medidas adicionales de manejo forestal o de prevención y mitigación de impactos ambientales. En este caso, la Secretaría señalará las restricciones o requisitos que deberán observase en la ejecución del programa correspondiente, y que solo podrán estar encaminadas a prevenir, mitigar o compensar los efectos negativos sobre los ecosistemas.</w:t>
      </w:r>
    </w:p>
    <w:p w14:paraId="31580A0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sólo podrá negar la autorización solicitada cuando:</w:t>
      </w:r>
    </w:p>
    <w:p w14:paraId="19865251"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Se contravenga lo establecido en esta ley, su reglamento, las normas oficiales mexicanas o en las demás disposiciones legales y reglamentarias aplicables;</w:t>
      </w:r>
    </w:p>
    <w:p w14:paraId="5110ACB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Se comprometa la biodiversidad de la zona y la regeneración y capacidad productiva de los terrenos en cuestión, o</w:t>
      </w:r>
    </w:p>
    <w:p w14:paraId="07BFBB29"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Exista falsedad en la información proporcionada por los promoventes, respecto de cualquier elemento de los programas de manejo correspondientes.</w:t>
      </w:r>
    </w:p>
    <w:p w14:paraId="617BC7F8"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De la Forestación y Reforestación</w:t>
      </w:r>
    </w:p>
    <w:p w14:paraId="64B35826"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15</w:t>
      </w:r>
    </w:p>
    <w:p w14:paraId="4F498897"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forestación que se realice con propósitos de conservación y restauración, las actividades de reforestación y las prácticas de agroforestería sólo se sujetarán a lo dispuesto en el reglamento de esta ley, las normas oficiales mexicanas que emita la Secretaría o las demás disposiciones legales y reglamentarias aplicables en materia de impacto ambiental.</w:t>
      </w:r>
    </w:p>
    <w:p w14:paraId="5309DA14"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acciones de reforestación que se lleven a cabo en los terrenos forestales sujetos al aprovechamiento, deberán incluirse en el programa de manejo correspondiente.</w:t>
      </w:r>
    </w:p>
    <w:p w14:paraId="3C000735"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16</w:t>
      </w:r>
    </w:p>
    <w:p w14:paraId="68216334"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forestación con propósitos de producción comercial en superficies menores o iguales a </w:t>
      </w:r>
      <w:smartTag w:uri="urn:schemas-microsoft-com:office:smarttags" w:element="metricconverter">
        <w:smartTagPr>
          <w:attr w:name="ProductID" w:val="20 hectáreas"/>
        </w:smartTagPr>
        <w:r w:rsidRPr="007923C2">
          <w:rPr>
            <w:rFonts w:ascii="Arial" w:hAnsi="Arial" w:cs="Arial"/>
            <w:sz w:val="22"/>
            <w:szCs w:val="22"/>
          </w:rPr>
          <w:t>20 hectáreas</w:t>
        </w:r>
      </w:smartTag>
      <w:r w:rsidRPr="007923C2">
        <w:rPr>
          <w:rFonts w:ascii="Arial" w:hAnsi="Arial" w:cs="Arial"/>
          <w:sz w:val="22"/>
          <w:szCs w:val="22"/>
        </w:rPr>
        <w:t>, únicamente requerirá de un aviso por escrito del interesado a la Secretaría, que deberá contener:</w:t>
      </w:r>
    </w:p>
    <w:p w14:paraId="63E7B1C2"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El nombre, denominación o razón social y domicilio fiscal del propietario o poseedor del predio o de quien tenga derecho a realizar los trabajos de forestación;</w:t>
      </w:r>
    </w:p>
    <w:p w14:paraId="4A9B4095"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El título que acredite el derecho de propiedad o posesión respecto del terreno o terrenos objeto de la solicitud o, en su caso, el documento que acredite el derecho para realizar las actividades de forestación;</w:t>
      </w:r>
    </w:p>
    <w:p w14:paraId="41097D8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III. Los requisitos en materia de impacto ambiental establecidos en la Ley General del Equilibrio Ecológico y la Protección al Ambiente, sus disposiciones reglamentarias y las normas oficiales </w:t>
      </w:r>
      <w:r w:rsidRPr="007923C2">
        <w:rPr>
          <w:rFonts w:ascii="Arial" w:hAnsi="Arial" w:cs="Arial"/>
          <w:sz w:val="22"/>
          <w:szCs w:val="22"/>
        </w:rPr>
        <w:lastRenderedPageBreak/>
        <w:t>mexicanas aplicables, cuando así corresponda, y</w:t>
      </w:r>
    </w:p>
    <w:p w14:paraId="242279D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IV. La ubicación del predio, la superficie a forestarse y las especies que se van a utilizar.</w:t>
      </w:r>
    </w:p>
    <w:p w14:paraId="59AA05D9"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17</w:t>
      </w:r>
    </w:p>
    <w:p w14:paraId="6AAF4B9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Para realizar la forestación con propósitos de producción comercial en superficies mayores de 20 y menores o iguales a </w:t>
      </w:r>
      <w:smartTag w:uri="urn:schemas-microsoft-com:office:smarttags" w:element="metricconverter">
        <w:smartTagPr>
          <w:attr w:name="ProductID" w:val="250 hectáreas"/>
        </w:smartTagPr>
        <w:r w:rsidRPr="007923C2">
          <w:rPr>
            <w:rFonts w:ascii="Arial" w:hAnsi="Arial" w:cs="Arial"/>
            <w:sz w:val="22"/>
            <w:szCs w:val="22"/>
          </w:rPr>
          <w:t>250 hectáreas</w:t>
        </w:r>
      </w:smartTag>
      <w:r w:rsidRPr="007923C2">
        <w:rPr>
          <w:rFonts w:ascii="Arial" w:hAnsi="Arial" w:cs="Arial"/>
          <w:sz w:val="22"/>
          <w:szCs w:val="22"/>
        </w:rPr>
        <w:t>, se requerirá que el interesado presente a la Secretaría, para su autorización, un informe de forestación que deberá incluir la siguiente documentación e información:</w:t>
      </w:r>
    </w:p>
    <w:p w14:paraId="61F4DAEA"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El nombre, denominación o razón social y domicilio fiscal del propietario o poseedor del predio o de quien tenga derecho a realizar los trabajos de forestación;</w:t>
      </w:r>
    </w:p>
    <w:p w14:paraId="097F4024"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El título que acredite el derecho de propiedad o posesión respecto del terreno o terrenos objeto de la solicitud o, en su caso, el documento que legitime la facultad del promovente para realizar las actividades de forestación en el terreno de que se trate;</w:t>
      </w:r>
    </w:p>
    <w:p w14:paraId="71CC6597"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El programa integrado de manejo ambiental y forestación que incorporará los requisitos establecidos en la legislación aplicable en materia de impacto ambiental, y deberá contener:</w:t>
      </w:r>
    </w:p>
    <w:p w14:paraId="49623AC1"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a) Los objetivos generales y la vigencia del programa;</w:t>
      </w:r>
    </w:p>
    <w:p w14:paraId="5874E357"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b) La ubicación del predio o predios, así como las superficies a forestarse;</w:t>
      </w:r>
    </w:p>
    <w:p w14:paraId="174269A8"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c) Las características físicas y biológicas generales de las superficies objeto de la forestación, que deberán referirse a clima, suelo, topografía, hidrología y vegetación existente;</w:t>
      </w:r>
    </w:p>
    <w:p w14:paraId="69DC1ED5"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d) Las especies forestales que se van a utilizar y la justificación de su selección;</w:t>
      </w:r>
    </w:p>
    <w:p w14:paraId="3C97B230"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e) Las medidas para la prevención, control y combate de plagas, enfermedades e incendios;</w:t>
      </w:r>
    </w:p>
    <w:p w14:paraId="229BA8F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f) La identificación de los impactos ambientales y las medidas para su prevención y mitigación en las distintas etapas de aplicación del programa, asimismo deberán señalarse las medidas que se aplicarán en caso de interrupción del programa o a su conclusión, con objeto de recuperar o establecer las condiciones que propicien la continuidad de los procesos naturales;</w:t>
      </w:r>
    </w:p>
    <w:p w14:paraId="48AECBA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g) Las medidas para preservar y proteger el hábitat de especies de flora y fauna silvestres, y</w:t>
      </w:r>
    </w:p>
    <w:p w14:paraId="74C8768C"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h) Las actividades que se ejecutarán y las técnicas que se utilizarán con el fin de establecer, mantener y aprovechar la forestación en las superficies y en los ciclos de que se trate, de acuerdo con los principios de manejo forestal sustentable.</w:t>
      </w:r>
    </w:p>
    <w:p w14:paraId="4978DCBC" w14:textId="77777777" w:rsidR="000F70C2" w:rsidRPr="007923C2" w:rsidRDefault="000F70C2" w:rsidP="000F70C2">
      <w:pPr>
        <w:widowControl w:val="0"/>
        <w:autoSpaceDE w:val="0"/>
        <w:autoSpaceDN w:val="0"/>
        <w:adjustRightInd w:val="0"/>
        <w:jc w:val="both"/>
        <w:rPr>
          <w:rFonts w:ascii="Arial" w:hAnsi="Arial" w:cs="Arial"/>
          <w:sz w:val="22"/>
          <w:szCs w:val="22"/>
        </w:rPr>
      </w:pPr>
    </w:p>
    <w:p w14:paraId="3CB8E626"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19</w:t>
      </w:r>
    </w:p>
    <w:p w14:paraId="1C620F15"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Se requiere autorización de la Secretaría para realizar forestaciones con propósitos de producción comercial, en superficies mayores a </w:t>
      </w:r>
      <w:smartTag w:uri="urn:schemas-microsoft-com:office:smarttags" w:element="metricconverter">
        <w:smartTagPr>
          <w:attr w:name="ProductID" w:val="250 hectáreas"/>
        </w:smartTagPr>
        <w:r w:rsidRPr="007923C2">
          <w:rPr>
            <w:rFonts w:ascii="Arial" w:hAnsi="Arial" w:cs="Arial"/>
            <w:sz w:val="22"/>
            <w:szCs w:val="22"/>
          </w:rPr>
          <w:t>250 hectáreas</w:t>
        </w:r>
      </w:smartTag>
      <w:r w:rsidRPr="007923C2">
        <w:rPr>
          <w:rFonts w:ascii="Arial" w:hAnsi="Arial" w:cs="Arial"/>
          <w:sz w:val="22"/>
          <w:szCs w:val="22"/>
        </w:rPr>
        <w:t>.</w:t>
      </w:r>
    </w:p>
    <w:p w14:paraId="78E952D8"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solicitudes deberán acompañarse de la documentación e información a que se refiere el artículo 17. En este caso el programa integrado de manejo ambiental y forestación, deberá adicionarse con:</w:t>
      </w:r>
    </w:p>
    <w:p w14:paraId="2A1C2DD8"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Las características físicas y biológicas del ecosistema forestal;</w:t>
      </w:r>
    </w:p>
    <w:p w14:paraId="1617773C"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La descripción de los aspectos socioeconómicos del área en que se establecerá la forestación, y</w:t>
      </w:r>
    </w:p>
    <w:p w14:paraId="1D460261"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III. La vinculación con las disposiciones, normas y regulaciones, sobre ordenamiento ecológico del territorio en el área correspondiente.</w:t>
      </w:r>
    </w:p>
    <w:p w14:paraId="21D604F4"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Para emitir la resolución correspondiente a las solicitudes presentadas, la Secretaría deberá sujetarse a los plazos y criterios establecidos en el párrafo segundo y siguientes del artículo 14 de esta ley.</w:t>
      </w:r>
    </w:p>
    <w:p w14:paraId="2A88C395" w14:textId="77777777" w:rsidR="000F70C2" w:rsidRPr="007923C2" w:rsidRDefault="000F70C2" w:rsidP="000F70C2">
      <w:pPr>
        <w:widowControl w:val="0"/>
        <w:autoSpaceDE w:val="0"/>
        <w:autoSpaceDN w:val="0"/>
        <w:adjustRightInd w:val="0"/>
        <w:jc w:val="both"/>
        <w:rPr>
          <w:rFonts w:ascii="Arial" w:hAnsi="Arial" w:cs="Arial"/>
          <w:sz w:val="22"/>
          <w:szCs w:val="22"/>
        </w:rPr>
      </w:pPr>
    </w:p>
    <w:p w14:paraId="5BC3F4C8" w14:textId="77777777" w:rsidR="000F70C2" w:rsidRPr="007923C2" w:rsidRDefault="000F70C2" w:rsidP="000F70C2">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Del cambio de utilización de los terrenos forestales y de aptitud preferentemente forestal</w:t>
      </w:r>
    </w:p>
    <w:p w14:paraId="07928BB4"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19 bis 11</w:t>
      </w:r>
    </w:p>
    <w:p w14:paraId="1C063336"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sólo podrá autorizar el cambio de utilización de los terrenos forestales, por excepción, previa opinión del Consejo Regional de que se trate y  con base en los estudios técnicos que demuestren que no se compromete la biodiversidad, ni se provocará la erosión de los suelos, el deterioro de la calidad del agua o la disminución en su captación.</w:t>
      </w:r>
    </w:p>
    <w:p w14:paraId="34E768A6"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autorizaciones que se emitan deberán atender lo que, en su caso, disponga el ordenamiento ecológico correspondiente, las normas oficiales mexicanas y demás disposiciones legales y reglamentarias aplicables.</w:t>
      </w:r>
    </w:p>
    <w:p w14:paraId="2CA66D77" w14:textId="77777777" w:rsidR="000F70C2" w:rsidRPr="007923C2" w:rsidRDefault="000F70C2" w:rsidP="000F70C2">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 los programas de restauración y vedas forestales</w:t>
      </w:r>
    </w:p>
    <w:p w14:paraId="07C23AD0"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32</w:t>
      </w:r>
    </w:p>
    <w:p w14:paraId="4156E31A"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Cuando se presenten procesos de degradación o desertificación, o graves desequilibrios ecológicos en terrenos forestales o de aptitud preferentemente forestal, la Secretaría formulará y ejecutará programas de restauración ecológica con el propósito de que se lleven a cabo las acciones necesarias para la recuperación y restablecimiento de las condiciones que propicien la evolución y continuidad de los procesos naturales que en ellos se desarrollaban.</w:t>
      </w:r>
    </w:p>
    <w:p w14:paraId="3D53365C"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32 bis</w:t>
      </w:r>
    </w:p>
    <w:p w14:paraId="3C594010"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Ejecutivo Federal, con base en los estudios técnicos que elabore la Secretaría para justificar la medida, previa opinión del Consejo y respetando la garantía de audiencia de ejidatarios, comuneros y demás propietarios o poseedores de los terrenos afectados, así como de los titulares de autorizaciones de  aprovechamiento de recursos forestales maderables y forestación sobre dichos terrenos, podrá decretar vedas forestales cuando éstas:</w:t>
      </w:r>
    </w:p>
    <w:p w14:paraId="46FB7B15"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Constituyan modalidades para el aprovechamiento de los recursos forestales comprendidos en las declaratorias de áreas naturales protegidas;</w:t>
      </w:r>
    </w:p>
    <w:p w14:paraId="38ADA33B"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Formen parte de las acciones o condiciones establecidas para las áreas que se declaren como zonas de restauración ecológica, o</w:t>
      </w:r>
    </w:p>
    <w:p w14:paraId="785BD6A9"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Tengan como finalidad la conservación, repoblación, propagación, diseminación, aclimatación o refugio de especies endémicas, amenazadas, en peligro de extinción o sujetas a protección especial.</w:t>
      </w:r>
    </w:p>
    <w:p w14:paraId="7647157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Se exceptuarán de las vedas los terrenos en los que se realice el aprovechamiento forestal o la forestación de conformidad con los instrumentos de manejo establecidos en la presente ley, en tanto no se ponga en riesgo grave e inminente la biodiversidad.</w:t>
      </w:r>
    </w:p>
    <w:p w14:paraId="2010659B"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Los decretos que establezcan vedas forestales, precisarán las características, temporalidad, </w:t>
      </w:r>
      <w:r w:rsidRPr="007923C2">
        <w:rPr>
          <w:rFonts w:ascii="Arial" w:hAnsi="Arial" w:cs="Arial"/>
          <w:sz w:val="22"/>
          <w:szCs w:val="22"/>
        </w:rPr>
        <w:lastRenderedPageBreak/>
        <w:t>excepciones y límites de las superficies y recursos forestales vedados, así como, en su caso, las medidas que adoptará el Ejecutivo Federal para apoyar a las comunidades afectadas. Dichos decretos se publicarán en dos ocasiones en el Diario Oficial de la Federación y, por una sola vez, en los diarios de mayor circulación de la entidad federativa donde se ubiquen los terrenos y recursos forestales vedados.</w:t>
      </w:r>
    </w:p>
    <w:p w14:paraId="3016B544"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dependencias y entidades de la Administración Pública Federal y, en su caso, las de los gobiernos de los estados, del Distrito Federal y de los municipios, en los términos de los acuerdos y convenios que se celebren, prestarán su colaboración para que se cumpla con lo que señalen las vedas forestales.</w:t>
      </w:r>
    </w:p>
    <w:p w14:paraId="6A4CB4E3" w14:textId="77777777" w:rsidR="000F70C2" w:rsidRPr="007923C2" w:rsidRDefault="000F70C2" w:rsidP="000F70C2">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 fomento al aprovechamiento sustentable, conservación, protección y restauración forestales</w:t>
      </w:r>
    </w:p>
    <w:p w14:paraId="1BC45A6F"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33</w:t>
      </w:r>
    </w:p>
    <w:p w14:paraId="56CE125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y las demás dependencias de la Administración Pública Federal competentes, tomando en consideración el valor, potencialidades y costos de los recursos y actividades forestales establecerán medidas, programas e instrumentos económicos para fomentar, inducir e impulsar la inversión y participación de los sectores social y privado en la conservación, protección, restauración, aprovechamiento sustentable y uso múltiple de dichos recursos, así como para la promoción y desarrollo de forestaciones, de conformidad con los siguientes objetivos prioritarios:</w:t>
      </w:r>
    </w:p>
    <w:p w14:paraId="3AA362E9"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Incorporar a los ejidos, comunidades indígenas y demás propietarios y poseedores legítimos de recursos forestales a la silvicultura y a los procesos de producción, transformación y comercialización forestal, promoviendo su fortalecimiento organizativo y mejoramiento social y económico;</w:t>
      </w:r>
    </w:p>
    <w:p w14:paraId="2916586B"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Inducir la integración, competitividad y modernización tecnológica de las cadenas productivas forestales y la formación de unidades de producción eficientes, que contribuyan a que la actividad forestal sea rentable y competitiva;</w:t>
      </w:r>
    </w:p>
    <w:p w14:paraId="594AB731"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Impulsar la capacitación de los productores forestales, mejorar el manejo técnico para la conservación y fomentar la cultura forestal para propiciar el aprovechamiento sustentable de recursos forestales;</w:t>
      </w:r>
    </w:p>
    <w:p w14:paraId="2262C717"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IV. Impulsar el uso eficiente, diversificado y sostenido de los elementos que integran los ecosistemas forestales, así como valorizar y retribuir sus servicios ambientales, a fin de incrementar la participación del sector forestal en la economía local y nacional.</w:t>
      </w:r>
    </w:p>
    <w:p w14:paraId="427C9399"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 Los demás que se determinen, por acuerdo de la Secretaría con las dependencias de la Administración Pública Federal, con los gobiernos de los estados y del Distrito Federal, a propuesta del Consejo o de las organizaciones de productores forestales.</w:t>
      </w:r>
    </w:p>
    <w:p w14:paraId="4037310B"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deberá promover y difundir a nivel nacional, regional o local, según sea el caso, las medidas, programas e instrumentos económicos a que se refiere este artículo, con el propósito de que lleguen de manera oportuna a sus beneficiarios. De igual manera, deberá establecer los mecanismos de asesoría necesarios para facilitar el acceso de los interesados a los instrumentos respectivos.</w:t>
      </w:r>
    </w:p>
    <w:p w14:paraId="50A235D8"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34</w:t>
      </w:r>
    </w:p>
    <w:p w14:paraId="79F87AC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Secretaría, escuchando la opinión del Consejo y tomando en cuenta los requerimientos de </w:t>
      </w:r>
      <w:r w:rsidRPr="007923C2">
        <w:rPr>
          <w:rFonts w:ascii="Arial" w:hAnsi="Arial" w:cs="Arial"/>
          <w:sz w:val="22"/>
          <w:szCs w:val="22"/>
        </w:rPr>
        <w:lastRenderedPageBreak/>
        <w:t>recuperación en zonas de suelos degradados, las condiciones socioeconómicas de los habitantes de las mismas y las necesidades de propiciar aprovechamientos o forestaciones, promoverá la elaboración y ejecución de las medidas, programas e instrumentos económicos que se requieran para fomentar las labores de conservación, protección, restauración y aprovechamiento forestal sustentable, así como para realización de forestaciones con fines de restauración, protección de cuencas, producción de leñas, agroforestales, comerciales y de cualquier otra naturaleza.</w:t>
      </w:r>
    </w:p>
    <w:p w14:paraId="4C8C1AC9"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35</w:t>
      </w:r>
    </w:p>
    <w:p w14:paraId="35EC64DD"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fomento a las labores a que se refiere el artículo anterior, comprenderá a las acciones voluntarias de conservación, protección y restauración forestal que lleven a cabo los particulares, mediante:</w:t>
      </w:r>
    </w:p>
    <w:p w14:paraId="48E655F1"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I. La celebración de convenios entre la Secretaría y los particulares, a efecto de constituir reservas forestales, previendo los aspectos relativos a su administración; </w:t>
      </w:r>
    </w:p>
    <w:p w14:paraId="477BC85B"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Las medidas que a juicio de la Secretaría, previa opinión del Consejo, contribuyan de manera especial a la conservación, protección y restauración de la biodiversidad forestal.</w:t>
      </w:r>
    </w:p>
    <w:p w14:paraId="72C221AC"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La determinación de los compromisos que contraigan y de las obligaciones que asuman, en los términos de los programas de manejo forestal, avisos de forestación y programas integrados de manejo ambiental y forestación a que se refiere esta ley.</w:t>
      </w:r>
    </w:p>
    <w:p w14:paraId="1C92C2CA"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36</w:t>
      </w:r>
    </w:p>
    <w:p w14:paraId="45478A3C"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Para formular y organizar programas de desarrollo forestal relativos al manejo de recursos forestales, a la forestación y reforestación en zonas degradadas, la Secretaría promoverá la cooperación y participación de otras dependencias federales, de los gobiernos de los estados, del Distrito Federal y de los municipios, así como de los sectores social y privado, de los beneficiarios de los servicios  ambientales de los ecosistemas forestales y demás personas físicas y morales interesadas en el rescate ecológico. El objeto de estos programas será:</w:t>
      </w:r>
    </w:p>
    <w:p w14:paraId="648F0B3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Restaurar y aumentar los recursos forestales y la biodiversidad en el territorio nacional; y</w:t>
      </w:r>
    </w:p>
    <w:p w14:paraId="5EAF357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Realizar y apoyar las acciones que contribuyan a disminuir la erosión y aumentar la recarga de acuíferos.</w:t>
      </w:r>
    </w:p>
    <w:p w14:paraId="02A4192A"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Promover el aprovechamiento sustentable de los recursos forestales, a fin de detener los procesos de degradación y desertificación.</w:t>
      </w:r>
    </w:p>
    <w:p w14:paraId="6C66136E" w14:textId="77777777"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37</w:t>
      </w:r>
    </w:p>
    <w:p w14:paraId="2304657E" w14:textId="77777777"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en coordinación con las demás dependencias de la Administración Pública Federal, promoverá la creación de áreas y huertos semilleros, viveros forestales y su operación por los gobiernos de los estados, del Distrito Federal y de los municipios, así como por los propietarios y poseedores de terrenos  forestales o los titulares de autorizaciones de aprovechamiento de recursos forestales maderables o de forestación.</w:t>
      </w:r>
    </w:p>
    <w:p w14:paraId="7AB646FF" w14:textId="77777777" w:rsidR="000F70C2" w:rsidRPr="007923C2" w:rsidRDefault="000F70C2" w:rsidP="000F70C2">
      <w:pPr>
        <w:rPr>
          <w:rFonts w:ascii="Arial" w:hAnsi="Arial" w:cs="Arial"/>
          <w:sz w:val="22"/>
          <w:szCs w:val="22"/>
        </w:rPr>
      </w:pPr>
      <w:r w:rsidRPr="007923C2">
        <w:rPr>
          <w:rFonts w:ascii="Arial" w:hAnsi="Arial" w:cs="Arial"/>
          <w:sz w:val="22"/>
          <w:szCs w:val="22"/>
        </w:rPr>
        <w:t>L</w:t>
      </w:r>
      <w:hyperlink r:id="rId118" w:history="1">
        <w:r w:rsidRPr="007923C2">
          <w:rPr>
            <w:rFonts w:ascii="Arial" w:hAnsi="Arial" w:cs="Arial"/>
            <w:b/>
            <w:bCs/>
            <w:sz w:val="22"/>
            <w:szCs w:val="22"/>
          </w:rPr>
          <w:t>EY GENERAL DE DESARROLLO FORESTAL SUSTENTABLE</w:t>
        </w:r>
      </w:hyperlink>
      <w:r w:rsidRPr="007923C2">
        <w:rPr>
          <w:rFonts w:ascii="Arial" w:hAnsi="Arial" w:cs="Arial"/>
          <w:b/>
          <w:bCs/>
          <w:sz w:val="22"/>
          <w:szCs w:val="22"/>
        </w:rPr>
        <w:t> </w:t>
      </w:r>
      <w:r w:rsidRPr="007923C2">
        <w:rPr>
          <w:rFonts w:ascii="Arial" w:hAnsi="Arial" w:cs="Arial"/>
          <w:b/>
          <w:bCs/>
          <w:sz w:val="22"/>
          <w:szCs w:val="22"/>
        </w:rPr>
        <w:br/>
        <w:t>Título Tercero De la Política Nacional en Materia Forestal </w:t>
      </w:r>
      <w:r w:rsidRPr="007923C2">
        <w:rPr>
          <w:rFonts w:ascii="Arial" w:hAnsi="Arial" w:cs="Arial"/>
          <w:b/>
          <w:bCs/>
          <w:sz w:val="22"/>
          <w:szCs w:val="22"/>
        </w:rPr>
        <w:br/>
        <w:t>Capítulo II. De los Instrumentos de la Política Forestal </w:t>
      </w:r>
      <w:r w:rsidRPr="007923C2">
        <w:rPr>
          <w:rFonts w:ascii="Arial" w:hAnsi="Arial" w:cs="Arial"/>
          <w:b/>
          <w:bCs/>
          <w:sz w:val="22"/>
          <w:szCs w:val="22"/>
        </w:rPr>
        <w:br/>
        <w:t>Artículo 35</w:t>
      </w:r>
    </w:p>
    <w:p w14:paraId="3DCE95A1" w14:textId="77777777" w:rsidR="000F70C2" w:rsidRPr="007923C2" w:rsidRDefault="000F70C2" w:rsidP="000F70C2">
      <w:pPr>
        <w:spacing w:before="100" w:beforeAutospacing="1" w:after="100" w:afterAutospacing="1"/>
        <w:rPr>
          <w:rFonts w:ascii="Arial" w:hAnsi="Arial" w:cs="Arial"/>
          <w:sz w:val="22"/>
          <w:szCs w:val="22"/>
        </w:rPr>
      </w:pPr>
      <w:r w:rsidRPr="007923C2">
        <w:rPr>
          <w:rFonts w:ascii="Arial" w:hAnsi="Arial" w:cs="Arial"/>
          <w:sz w:val="22"/>
          <w:szCs w:val="22"/>
        </w:rPr>
        <w:lastRenderedPageBreak/>
        <w:t>ARTICULO 35. SON INSTRUMENTOS DE LA POLITICA NACIONAL EN MATERIA FORESTAL, LOS SIGUIENTES:</w:t>
      </w:r>
    </w:p>
    <w:p w14:paraId="394F1808" w14:textId="27475D55" w:rsidR="000F70C2" w:rsidRPr="007923C2" w:rsidRDefault="000F70C2" w:rsidP="000F70C2">
      <w:pPr>
        <w:spacing w:before="100" w:beforeAutospacing="1" w:after="100" w:afterAutospacing="1"/>
        <w:rPr>
          <w:rFonts w:ascii="Arial" w:hAnsi="Arial" w:cs="Arial"/>
          <w:sz w:val="22"/>
          <w:szCs w:val="22"/>
        </w:rPr>
      </w:pPr>
      <w:r w:rsidRPr="007923C2">
        <w:rPr>
          <w:rFonts w:ascii="Arial" w:hAnsi="Arial" w:cs="Arial"/>
          <w:sz w:val="22"/>
          <w:szCs w:val="22"/>
        </w:rPr>
        <w:t xml:space="preserve">I. </w:t>
      </w:r>
      <w:r w:rsidR="00784D2B">
        <w:rPr>
          <w:rFonts w:ascii="Arial" w:hAnsi="Arial" w:cs="Arial"/>
          <w:sz w:val="22"/>
          <w:szCs w:val="22"/>
        </w:rPr>
        <w:t>L</w:t>
      </w:r>
      <w:r w:rsidR="00784D2B" w:rsidRPr="007923C2">
        <w:rPr>
          <w:rFonts w:ascii="Arial" w:hAnsi="Arial" w:cs="Arial"/>
          <w:sz w:val="22"/>
          <w:szCs w:val="22"/>
        </w:rPr>
        <w:t>a planeacion del desarrollo forestal;</w:t>
      </w:r>
    </w:p>
    <w:p w14:paraId="2A59BCE1" w14:textId="38B278CE" w:rsidR="000F70C2" w:rsidRPr="007923C2" w:rsidRDefault="00784D2B" w:rsidP="000F70C2">
      <w:pPr>
        <w:spacing w:before="100" w:beforeAutospacing="1" w:after="100" w:afterAutospacing="1"/>
        <w:rPr>
          <w:rFonts w:ascii="Arial" w:hAnsi="Arial" w:cs="Arial"/>
          <w:sz w:val="22"/>
          <w:szCs w:val="22"/>
        </w:rPr>
      </w:pPr>
      <w:r>
        <w:rPr>
          <w:rFonts w:ascii="Arial" w:hAnsi="Arial" w:cs="Arial"/>
          <w:sz w:val="22"/>
          <w:szCs w:val="22"/>
        </w:rPr>
        <w:t>II</w:t>
      </w:r>
      <w:r w:rsidRPr="007923C2">
        <w:rPr>
          <w:rFonts w:ascii="Arial" w:hAnsi="Arial" w:cs="Arial"/>
          <w:sz w:val="22"/>
          <w:szCs w:val="22"/>
        </w:rPr>
        <w:t xml:space="preserve">. </w:t>
      </w:r>
      <w:r>
        <w:rPr>
          <w:rFonts w:ascii="Arial" w:hAnsi="Arial" w:cs="Arial"/>
          <w:sz w:val="22"/>
          <w:szCs w:val="22"/>
        </w:rPr>
        <w:t>E</w:t>
      </w:r>
      <w:r w:rsidRPr="007923C2">
        <w:rPr>
          <w:rFonts w:ascii="Arial" w:hAnsi="Arial" w:cs="Arial"/>
          <w:sz w:val="22"/>
          <w:szCs w:val="22"/>
        </w:rPr>
        <w:t>l sistema nacional de informacion forestal;</w:t>
      </w:r>
    </w:p>
    <w:p w14:paraId="4FAFD2A3" w14:textId="2D3643DD" w:rsidR="000F70C2" w:rsidRPr="007923C2" w:rsidRDefault="00784D2B" w:rsidP="000F70C2">
      <w:pPr>
        <w:spacing w:before="100" w:beforeAutospacing="1" w:after="100" w:afterAutospacing="1"/>
        <w:rPr>
          <w:rFonts w:ascii="Arial" w:hAnsi="Arial" w:cs="Arial"/>
          <w:sz w:val="22"/>
          <w:szCs w:val="22"/>
        </w:rPr>
      </w:pPr>
      <w:r>
        <w:rPr>
          <w:rFonts w:ascii="Arial" w:hAnsi="Arial" w:cs="Arial"/>
          <w:sz w:val="22"/>
          <w:szCs w:val="22"/>
        </w:rPr>
        <w:t>III</w:t>
      </w:r>
      <w:r w:rsidRPr="007923C2">
        <w:rPr>
          <w:rFonts w:ascii="Arial" w:hAnsi="Arial" w:cs="Arial"/>
          <w:sz w:val="22"/>
          <w:szCs w:val="22"/>
        </w:rPr>
        <w:t xml:space="preserve">. </w:t>
      </w:r>
      <w:r>
        <w:rPr>
          <w:rFonts w:ascii="Arial" w:hAnsi="Arial" w:cs="Arial"/>
          <w:sz w:val="22"/>
          <w:szCs w:val="22"/>
        </w:rPr>
        <w:t>E</w:t>
      </w:r>
      <w:r w:rsidRPr="007923C2">
        <w:rPr>
          <w:rFonts w:ascii="Arial" w:hAnsi="Arial" w:cs="Arial"/>
          <w:sz w:val="22"/>
          <w:szCs w:val="22"/>
        </w:rPr>
        <w:t>l inventario nacional forestal y de suelos;</w:t>
      </w:r>
    </w:p>
    <w:p w14:paraId="27309B52" w14:textId="64693183" w:rsidR="000F70C2" w:rsidRPr="007923C2" w:rsidRDefault="00784D2B" w:rsidP="000F70C2">
      <w:pPr>
        <w:spacing w:before="100" w:beforeAutospacing="1" w:after="100" w:afterAutospacing="1"/>
        <w:rPr>
          <w:rFonts w:ascii="Arial" w:hAnsi="Arial" w:cs="Arial"/>
          <w:sz w:val="22"/>
          <w:szCs w:val="22"/>
        </w:rPr>
      </w:pPr>
      <w:r>
        <w:rPr>
          <w:rFonts w:ascii="Arial" w:hAnsi="Arial" w:cs="Arial"/>
          <w:sz w:val="22"/>
          <w:szCs w:val="22"/>
        </w:rPr>
        <w:t>IV</w:t>
      </w:r>
      <w:r w:rsidRPr="007923C2">
        <w:rPr>
          <w:rFonts w:ascii="Arial" w:hAnsi="Arial" w:cs="Arial"/>
          <w:sz w:val="22"/>
          <w:szCs w:val="22"/>
        </w:rPr>
        <w:t xml:space="preserve">. </w:t>
      </w:r>
      <w:r>
        <w:rPr>
          <w:rFonts w:ascii="Arial" w:hAnsi="Arial" w:cs="Arial"/>
          <w:sz w:val="22"/>
          <w:szCs w:val="22"/>
        </w:rPr>
        <w:t>L</w:t>
      </w:r>
      <w:r w:rsidRPr="007923C2">
        <w:rPr>
          <w:rFonts w:ascii="Arial" w:hAnsi="Arial" w:cs="Arial"/>
          <w:sz w:val="22"/>
          <w:szCs w:val="22"/>
        </w:rPr>
        <w:t>a zonificacion forestal;</w:t>
      </w:r>
    </w:p>
    <w:p w14:paraId="0EC3660B" w14:textId="587A43EA" w:rsidR="000F70C2" w:rsidRPr="007923C2" w:rsidRDefault="00784D2B" w:rsidP="000F70C2">
      <w:pPr>
        <w:spacing w:before="100" w:beforeAutospacing="1" w:after="100" w:afterAutospacing="1"/>
        <w:rPr>
          <w:rFonts w:ascii="Arial" w:hAnsi="Arial" w:cs="Arial"/>
          <w:sz w:val="22"/>
          <w:szCs w:val="22"/>
        </w:rPr>
      </w:pPr>
      <w:r>
        <w:rPr>
          <w:rFonts w:ascii="Arial" w:hAnsi="Arial" w:cs="Arial"/>
          <w:sz w:val="22"/>
          <w:szCs w:val="22"/>
        </w:rPr>
        <w:t>V</w:t>
      </w:r>
      <w:r w:rsidRPr="007923C2">
        <w:rPr>
          <w:rFonts w:ascii="Arial" w:hAnsi="Arial" w:cs="Arial"/>
          <w:sz w:val="22"/>
          <w:szCs w:val="22"/>
        </w:rPr>
        <w:t xml:space="preserve">. </w:t>
      </w:r>
      <w:r>
        <w:rPr>
          <w:rFonts w:ascii="Arial" w:hAnsi="Arial" w:cs="Arial"/>
          <w:sz w:val="22"/>
          <w:szCs w:val="22"/>
        </w:rPr>
        <w:t>E</w:t>
      </w:r>
      <w:r w:rsidRPr="007923C2">
        <w:rPr>
          <w:rFonts w:ascii="Arial" w:hAnsi="Arial" w:cs="Arial"/>
          <w:sz w:val="22"/>
          <w:szCs w:val="22"/>
        </w:rPr>
        <w:t>l registro forestal nacional;</w:t>
      </w:r>
    </w:p>
    <w:p w14:paraId="792E71E2" w14:textId="5BB3F40E" w:rsidR="000F70C2" w:rsidRPr="007923C2" w:rsidRDefault="00784D2B" w:rsidP="000F70C2">
      <w:pPr>
        <w:spacing w:before="100" w:beforeAutospacing="1" w:after="100" w:afterAutospacing="1"/>
        <w:rPr>
          <w:rFonts w:ascii="Arial" w:hAnsi="Arial" w:cs="Arial"/>
          <w:sz w:val="22"/>
          <w:szCs w:val="22"/>
        </w:rPr>
      </w:pPr>
      <w:r>
        <w:rPr>
          <w:rFonts w:ascii="Arial" w:hAnsi="Arial" w:cs="Arial"/>
          <w:sz w:val="22"/>
          <w:szCs w:val="22"/>
        </w:rPr>
        <w:t>VI</w:t>
      </w:r>
      <w:r w:rsidRPr="007923C2">
        <w:rPr>
          <w:rFonts w:ascii="Arial" w:hAnsi="Arial" w:cs="Arial"/>
          <w:sz w:val="22"/>
          <w:szCs w:val="22"/>
        </w:rPr>
        <w:t xml:space="preserve">. </w:t>
      </w:r>
      <w:r>
        <w:rPr>
          <w:rFonts w:ascii="Arial" w:hAnsi="Arial" w:cs="Arial"/>
          <w:sz w:val="22"/>
          <w:szCs w:val="22"/>
        </w:rPr>
        <w:t>L</w:t>
      </w:r>
      <w:r w:rsidRPr="007923C2">
        <w:rPr>
          <w:rFonts w:ascii="Arial" w:hAnsi="Arial" w:cs="Arial"/>
          <w:sz w:val="22"/>
          <w:szCs w:val="22"/>
        </w:rPr>
        <w:t>as normas oficiales mexicanas en materia forestal, y el</w:t>
      </w:r>
    </w:p>
    <w:p w14:paraId="05D3ECA8" w14:textId="02071BE9" w:rsidR="000F70C2" w:rsidRPr="007923C2" w:rsidRDefault="00784D2B" w:rsidP="000F70C2">
      <w:pPr>
        <w:spacing w:before="100" w:beforeAutospacing="1" w:after="100" w:afterAutospacing="1"/>
        <w:rPr>
          <w:rFonts w:ascii="Arial" w:hAnsi="Arial" w:cs="Arial"/>
          <w:sz w:val="22"/>
          <w:szCs w:val="22"/>
        </w:rPr>
      </w:pPr>
      <w:r>
        <w:rPr>
          <w:rFonts w:ascii="Arial" w:hAnsi="Arial" w:cs="Arial"/>
          <w:sz w:val="22"/>
          <w:szCs w:val="22"/>
        </w:rPr>
        <w:t>VII</w:t>
      </w:r>
      <w:r w:rsidRPr="007923C2">
        <w:rPr>
          <w:rFonts w:ascii="Arial" w:hAnsi="Arial" w:cs="Arial"/>
          <w:sz w:val="22"/>
          <w:szCs w:val="22"/>
        </w:rPr>
        <w:t xml:space="preserve">. </w:t>
      </w:r>
      <w:r>
        <w:rPr>
          <w:rFonts w:ascii="Arial" w:hAnsi="Arial" w:cs="Arial"/>
          <w:sz w:val="22"/>
          <w:szCs w:val="22"/>
        </w:rPr>
        <w:t>S</w:t>
      </w:r>
      <w:r w:rsidRPr="007923C2">
        <w:rPr>
          <w:rFonts w:ascii="Arial" w:hAnsi="Arial" w:cs="Arial"/>
          <w:sz w:val="22"/>
          <w:szCs w:val="22"/>
        </w:rPr>
        <w:t>istema nacional de gestion forestal</w:t>
      </w:r>
    </w:p>
    <w:p w14:paraId="2E2A9EC2" w14:textId="599049F5" w:rsidR="000F70C2" w:rsidRPr="007923C2" w:rsidRDefault="00784D2B" w:rsidP="000F70C2">
      <w:pPr>
        <w:spacing w:before="100" w:beforeAutospacing="1" w:after="100" w:afterAutospacing="1"/>
        <w:rPr>
          <w:rFonts w:ascii="Arial" w:hAnsi="Arial" w:cs="Arial"/>
          <w:sz w:val="22"/>
          <w:szCs w:val="22"/>
        </w:rPr>
      </w:pPr>
      <w:r>
        <w:rPr>
          <w:rFonts w:ascii="Arial" w:hAnsi="Arial" w:cs="Arial"/>
          <w:sz w:val="22"/>
          <w:szCs w:val="22"/>
        </w:rPr>
        <w:t>VIII</w:t>
      </w:r>
      <w:r w:rsidRPr="007923C2">
        <w:rPr>
          <w:rFonts w:ascii="Arial" w:hAnsi="Arial" w:cs="Arial"/>
          <w:sz w:val="22"/>
          <w:szCs w:val="22"/>
        </w:rPr>
        <w:t xml:space="preserve">. </w:t>
      </w:r>
      <w:r>
        <w:rPr>
          <w:rFonts w:ascii="Arial" w:hAnsi="Arial" w:cs="Arial"/>
          <w:sz w:val="22"/>
          <w:szCs w:val="22"/>
        </w:rPr>
        <w:t>E</w:t>
      </w:r>
      <w:r w:rsidRPr="007923C2">
        <w:rPr>
          <w:rFonts w:ascii="Arial" w:hAnsi="Arial" w:cs="Arial"/>
          <w:sz w:val="22"/>
          <w:szCs w:val="22"/>
        </w:rPr>
        <w:t>studio satelital anual, del índice de cobertura forestal. </w:t>
      </w:r>
      <w:r w:rsidRPr="007923C2">
        <w:rPr>
          <w:rFonts w:ascii="Arial" w:hAnsi="Arial" w:cs="Arial"/>
          <w:sz w:val="22"/>
          <w:szCs w:val="22"/>
        </w:rPr>
        <w:br/>
        <w:t>(adicionada</w:t>
      </w:r>
      <w:r>
        <w:rPr>
          <w:rFonts w:ascii="Arial" w:hAnsi="Arial" w:cs="Arial"/>
          <w:sz w:val="22"/>
          <w:szCs w:val="22"/>
        </w:rPr>
        <w:t xml:space="preserve"> </w:t>
      </w:r>
      <w:r w:rsidRPr="007923C2">
        <w:rPr>
          <w:rFonts w:ascii="Arial" w:hAnsi="Arial" w:cs="Arial"/>
          <w:sz w:val="22"/>
          <w:szCs w:val="22"/>
        </w:rPr>
        <w:t xml:space="preserve"> mediante decreto publicado en el diario oficial de la federacion el 26 de diciembre de 2005)</w:t>
      </w:r>
    </w:p>
    <w:p w14:paraId="34193505" w14:textId="3E145723" w:rsidR="000F70C2" w:rsidRPr="007923C2" w:rsidRDefault="00784D2B" w:rsidP="000F70C2">
      <w:pPr>
        <w:spacing w:before="100" w:beforeAutospacing="1" w:after="100" w:afterAutospacing="1"/>
        <w:rPr>
          <w:rFonts w:ascii="Arial" w:hAnsi="Arial" w:cs="Arial"/>
          <w:sz w:val="22"/>
          <w:szCs w:val="22"/>
        </w:rPr>
      </w:pPr>
      <w:r>
        <w:rPr>
          <w:rFonts w:ascii="Arial" w:hAnsi="Arial" w:cs="Arial"/>
          <w:sz w:val="22"/>
          <w:szCs w:val="22"/>
        </w:rPr>
        <w:t>E</w:t>
      </w:r>
      <w:r w:rsidRPr="007923C2">
        <w:rPr>
          <w:rFonts w:ascii="Arial" w:hAnsi="Arial" w:cs="Arial"/>
          <w:sz w:val="22"/>
          <w:szCs w:val="22"/>
        </w:rPr>
        <w:t>n el diseño, elaboracion, aplicacion, evaluacion y seguimiento de los instrumentos de politica forestal, se deberan observar los objetivos y criterios de politica forestal y demas disposiciones previstas en esta ley.</w:t>
      </w:r>
    </w:p>
    <w:p w14:paraId="4613D1AA" w14:textId="49BD742C" w:rsidR="000F70C2" w:rsidRPr="007923C2" w:rsidRDefault="00784D2B" w:rsidP="000F70C2">
      <w:pPr>
        <w:spacing w:before="100" w:beforeAutospacing="1" w:after="100" w:afterAutospacing="1"/>
        <w:rPr>
          <w:rFonts w:ascii="Arial" w:hAnsi="Arial" w:cs="Arial"/>
          <w:sz w:val="22"/>
          <w:szCs w:val="22"/>
        </w:rPr>
      </w:pPr>
      <w:r>
        <w:rPr>
          <w:rFonts w:ascii="Arial" w:hAnsi="Arial" w:cs="Arial"/>
          <w:sz w:val="22"/>
          <w:szCs w:val="22"/>
        </w:rPr>
        <w:t>E</w:t>
      </w:r>
      <w:r w:rsidRPr="007923C2">
        <w:rPr>
          <w:rFonts w:ascii="Arial" w:hAnsi="Arial" w:cs="Arial"/>
          <w:sz w:val="22"/>
          <w:szCs w:val="22"/>
        </w:rPr>
        <w:t>l ejecutivo federal promovera la participacion de la sociedad en la planeacion, aplicacion y evaluacion de los instrumentos de politica forestal, conforme a lo previsto en el titulo septimo de la presente ley.</w:t>
      </w:r>
    </w:p>
    <w:p w14:paraId="015F403A"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La Ley General de Desarrollo Forestal Sustentable de México </w:t>
      </w:r>
    </w:p>
    <w:p w14:paraId="3E2F9FE7"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Fernando José Montes de Oca y Domínguez </w:t>
      </w:r>
    </w:p>
    <w:p w14:paraId="4416288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El entorno global </w:t>
      </w:r>
    </w:p>
    <w:p w14:paraId="211E810A"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Las altas densidades de población que paulatinamente han ido ocupando los territorios forestales reflejan su impacto en una proporcional transformación de los ecosistemas, cambios donde es fácil percibir las necesidades sociales prevalecientes así como la elección de sus posibles satisfactores, los cuales casi siempre se dan en forma reactiva: sin la planeación debida y con una visión de corto plazo. </w:t>
      </w:r>
    </w:p>
    <w:p w14:paraId="2A4931FA"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Tal situación no es exclusiva de México; durante décadas, muchos países han intensificado la destrucción, el desmonte y la degradación de los recursos naturales, el cambio en el uso del suelo forestal, hacia la agricultura, la ganadería, la industria o la vivienda, y su sobreexplotación irracional causando desertificación, pérdida considerable de bosques, selvas y manglares. El crecimiento de las ciudades hacia laderas y montañas ha sido a costa de áreas arboladas, determinantes para funciones vitales como la captación de agua y la protección de la tierra frente a factores erosionantes; los </w:t>
      </w:r>
      <w:r w:rsidRPr="007923C2">
        <w:rPr>
          <w:rFonts w:ascii="Arial" w:hAnsi="Arial" w:cs="Arial"/>
          <w:sz w:val="22"/>
          <w:szCs w:val="22"/>
        </w:rPr>
        <w:lastRenderedPageBreak/>
        <w:t xml:space="preserve">asentamientos irregulares y la deforestación acentúan los impactos de desastres naturales; la falta de cubierta vegetal contribuye a formar caudales que arrastran a pueblos enteros; en paralelo, son cada vez más bruscos los cambios climáticos, las sequías, el calentamiento global, el avance de la presión demográfica rural y urbana, la inadecuada distribución poblacional y territorial, la desigualdad social, baja en la calidad de vida, marginación y sobre todo pobreza extrema. </w:t>
      </w:r>
    </w:p>
    <w:p w14:paraId="550F196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Es estrecha la relación entre pobreza y deforestación, erosión y pérdida de fertilidad de la "tierra agrícola" y resulta muy común que las familias pobres hereden su situación a los hijos, por la llamada "transmisión intergeneracional de la pobreza", que para subsistir explotan al máximo su entorno inmediato o tienden a emigrar a otros sitios. </w:t>
      </w:r>
    </w:p>
    <w:p w14:paraId="3F4DD570"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La "modernidad" genera una gran vulnerabilidad, comportamientos demográficos y estilos de vida muy diferentes; en México su población creció casi siete veces a lo largo del siglo XX, se modificó la composición en términos de edad, con menos jóvenes y más adultos mayores. En 2025 habrá una alta proporción de habitantes en edad productiva, con gradual envejecimiento, incremento de esperanza de vida, descenso de la mortalidad, un alto porcentaje de la población será urbana y México contará con más de 130 millones en el año 2040. </w:t>
      </w:r>
    </w:p>
    <w:p w14:paraId="280207C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Ante la creciente demanda energética, que se estima se duplicará en diez años, habrá que atender el uso menos intensivo de la energía, el impulso a sistemas de cogeneración eléctrica y térmica, así como el desarrollo de fuentes renovables. Por ello, la madera es un recurso natural que suma a su calidez, belleza y cualidades tecnológicas, el hecho de ser totalmente renovable, de acuerdo a los sistemas de gestión que la ciencia forestal desarrolla desde el siglo XVIII. </w:t>
      </w:r>
    </w:p>
    <w:p w14:paraId="70F1FC57"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Al contrario del petróleo o los minerales, lejos de reducirse su importancia, como materia prima y fuente de energía, la demanda mundial de madera ha sido creciente, al igual que el incremento en la superficie objeto de aprovechamiento maderero del 130% entre 1960 y 1995, y posible aumento del 63% de dicha superficie entre los años 1995 y 2020. </w:t>
      </w:r>
    </w:p>
    <w:p w14:paraId="0E6A90A4"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México cuenta con el 25% de su territorio con potencial forestal: casi 50 millones de hectáreas. La mitad son bosques templados de coníferas y encinos y la otra mitad de selvas tropicales y cerca de 110 millones de hectáreas cubiertas de zonas arbustivas, matorrales y otros tipos de vegetación. A principios del siglo XX, casi 33% del territorio correspondía a tierras forestales. </w:t>
      </w:r>
    </w:p>
    <w:p w14:paraId="293BA0F2"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Existen retos importantes a enfrentar en la competitividad del sector: la tenencia de la tierra, la reconversión del suelo, la integración de cadenas productivas, la silvicultura comunitaria para explotar áreas boscosas mediante programa de manejo en ejidos, comunidades y predios privados; la información hacia el consumidor acerca del origen, cualidades y beneficios de productos forestales certificados que generen un mayor mercado interno; la promoción de incentivos fiscales a productores; la dirección técnica de las empresas forestales sociales; la descapitalización en sectores productivos manufactureros; la disparidad entre necesidades y recursos; instrumentos de dudosa efectividad; trabas burocráticas a la inversión; presupuestos insuficientes; el proceso de adecuación de la oferta educativa con la demanda laboral; el impulso a la innovación y la transferencia tecnológica, entre otros. </w:t>
      </w:r>
    </w:p>
    <w:p w14:paraId="6F9A34AF"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Las políticas públicas fundamentales requieren inversión en capital humano para restablecer las capacidades mínimas, influir en la modernización y motivar una mejor cultura de calidad ambiental-forestal, que ayude a reorientar la producción y con mayor eficiencia generar polos y puentes de desarrollo, para crear suficientes oportunidades de empleo. Resulta evidente que pocas mejoras en </w:t>
      </w:r>
      <w:r w:rsidRPr="007923C2">
        <w:rPr>
          <w:rFonts w:ascii="Arial" w:hAnsi="Arial" w:cs="Arial"/>
          <w:sz w:val="22"/>
          <w:szCs w:val="22"/>
        </w:rPr>
        <w:lastRenderedPageBreak/>
        <w:t xml:space="preserve">una determinada actividad se pueden introducir sin un conocimiento más o menos detallado de su desarrollo pasado, y con él de los factores limitantes de sus resultados. </w:t>
      </w:r>
    </w:p>
    <w:p w14:paraId="09E41670"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Debemos recordar que parte medular de las políticas de estado y del grado de desarrollo forestal de un país, es el nivel de valores, educación, formación, investigación y cultura alcanzado por su población y reflejado en comportamientos, para que las mismas personas realicen los cambios con visión de sustentabilidad y planeación estratégica de largo plazo. </w:t>
      </w:r>
    </w:p>
    <w:p w14:paraId="0E3D79B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Al contemplar el futuro del mundo, es necesario aceptar que debemos conocer lo más posible y ello exige un proceso previo de enfoque y transformación educativa, formativa y cultural de la población, con énfasis en los tres capitales que constituyen la competitividad: el organizacional, el intelectual y el logístico. </w:t>
      </w:r>
    </w:p>
    <w:p w14:paraId="67732FB4"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El contexto jurídico </w:t>
      </w:r>
    </w:p>
    <w:p w14:paraId="48F9FE82"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Paralelamente a la concientización sobre el aprovechamiento racional de los recursos, ha sido lenta la comprensión del derecho como instrumento necesario para la protección jurídica del patrimonio, la incorporación de la dimensión ambiental en la legislación del desarrollo y su alcance sustentable, que considere la perdurabilidad de la base natural que hace posible a largo plazo los procesos económicos. </w:t>
      </w:r>
    </w:p>
    <w:p w14:paraId="39A58D34"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 su vez, ha sido tardía o limitada la actividad del profesional e investigador del derecho en su debida regulación, ya que principalmente a los juristas en general y en particular a los especialistas en derecho forestal y ambiental, corresponde revisar constantemente y al detalle los acontecimientos, para tener un conocimiento racional, profundo y sistemático de los hechos, focalizar al evaluar los alcances y aportar el marco jurídico al ordenamiento ecológico, que facilite mejorar las expectativas en un espacio y tiempo determinados, con mecanismos apropiados para su aplicación y esquemas de resolución de controversias, en un derecho de interacciones y vinculante. </w:t>
      </w:r>
    </w:p>
    <w:p w14:paraId="1F26E4C6"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Más que ser reactivo a la problemática legal, hay que proponer soluciones prudentes que fortalezcan el cumplimiento del orden, la seguridad, la legalidad, la unidad del sistema jurídico ambiental y forestal e impulsar los cambios necesarios dirigidos a lo realizable en las próximas tres décadas, dado que el impacto podría variar si no se concretan condiciones para ganar en estabilidad, conciencia social y estructura institucional. </w:t>
      </w:r>
    </w:p>
    <w:p w14:paraId="3223547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El contexto político-jurídico mundial del llamado derecho de protección de la naturaleza, que abarca los distintos componentes de los ecosistemas asociados entre sí, como patrimonio natural en su conjunto, ha cambiado de una manera sensible en los últimos 25 años, lapso en el que han sido de gran trascendencia las transformaciones que ha experimentado la legislación. </w:t>
      </w:r>
    </w:p>
    <w:p w14:paraId="106B956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Ante el deterioro ambiental que fragmenta a los ecosistemas forestales, sustentadores de bienes y servicios, para la actividad humana y mantener las condiciones que la hicieron posible. Corresponde a los especialistas en derecho forestal y ambiental aportar el ordenamiento ecológico que mejore expectativas, con soluciones acorde a las necesidades reales y políticas públicas adecuadas, con enfoque y visión integradora, basadas en un trabajo interdisciplinario, de planeación estratégica que descubra las fuerzas, debilidades, amenazas y oportunidades del entorno y transforme en círculo virtuoso, el círculo vicioso del subdesarrollo, la inequidad y el deterioro. </w:t>
      </w:r>
    </w:p>
    <w:p w14:paraId="0A501B51"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Construir escenarios sobre el porvenir, facilita entender y subrayar las fuerzas principales que determinan y empujan al futuro en diferentes direcciones. Reconocerlas permite tomar mejores </w:t>
      </w:r>
      <w:r w:rsidRPr="007923C2">
        <w:rPr>
          <w:rFonts w:ascii="Arial" w:hAnsi="Arial" w:cs="Arial"/>
          <w:sz w:val="22"/>
          <w:szCs w:val="22"/>
        </w:rPr>
        <w:lastRenderedPageBreak/>
        <w:t xml:space="preserve">decisiones. Los determinantes detrás de posibles futuros serán pivotes principales sobre los que habrá que actuar. El pasado es relevante para entender lo que viene, ayuda a comprender mejor el presente y enfrentar con innovación y creatividad perspectivas indeseables, caminos encontrados, cambios de dirección y redefinición de fuerzas, acciones y papeles que asumir en el tiempo. </w:t>
      </w:r>
    </w:p>
    <w:p w14:paraId="3E34A60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Las leyes forestales en México y la Comisión Nacional Forestal </w:t>
      </w:r>
    </w:p>
    <w:p w14:paraId="04D32056"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 partir de la Constitución Política de 1917, el país ha contado con siete leyes forestales en 1926, 1942, 1947, 1960, 1986, 1992 y 2003. En los últimos 17 años, la problemática de los recursos forestales y su protección jurídica han sido centro de atención de la legislación mexicana, Y sólo en ese lapso se emitieron tres leyes: La Ley Forestal de 1986, así como su Reglamento (DOF 13/VII/88), la Ley Forestal de 1992 (DOF 22/XII/92) y la nueva Ley General del Desarrollo Forestal Sustentable de 2003 (DOF 25/II/03). </w:t>
      </w:r>
    </w:p>
    <w:p w14:paraId="328C2E07"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El 4 de abril del 2001 fue creada la Comisión Nacional Forestal como un organismo público descentralizado del Gobierno Federal de México, sectorizado con SEMARNAT (Secretaría de Medio Ambiente y Recursos Naturales), y se encarga de coordinar la participación y vinculación interinstitucional de los tres poderes y órganos de gobierno, así como de la sociedad y sus organizaciones, para que todas las fuerzas puedan compartir criterios y concertar acciones concretas y eficaces que conviertan en realidad el manejo sustentable de nuestra riqueza natural; por ello los bosques, el agua y el suelo, han sido considerados asuntos de seguridad nacional. </w:t>
      </w:r>
    </w:p>
    <w:p w14:paraId="46CE9184"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Una de sus primeras tareas fue elaborar su estatuto interno (DOF 11/VII/01), el Programa Estratégico Forestal al año 2025, en concordancia al Programa Nacional de Medio Ambiente y Recursos Naturales 2001-2006 y el Programa Nacional 2001-2006, documentos que se pueden consultar en www.conafor.gob.mx. </w:t>
      </w:r>
    </w:p>
    <w:p w14:paraId="7DB16006"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La Ley general del desarrollo forestal sustentable de México </w:t>
      </w:r>
    </w:p>
    <w:p w14:paraId="18BDB5A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Del actual panorama de instrumentos de primer orden, como adecuación reciente a la normativa jurídica, debe considerarse las disposiciones de la nueva Ley General del Desarrollo Forestal Sustentable de México (LGDFS), que entró en vigor el 25 de mayo de 2003 y cuyo proyecto de reglamento ha sido ya analizado en diferentes foros. </w:t>
      </w:r>
    </w:p>
    <w:p w14:paraId="40EF6C1D" w14:textId="77777777" w:rsidR="000F70C2" w:rsidRPr="007923C2" w:rsidRDefault="004543E9" w:rsidP="000F70C2">
      <w:pPr>
        <w:jc w:val="both"/>
        <w:rPr>
          <w:rFonts w:ascii="Arial" w:hAnsi="Arial" w:cs="Arial"/>
          <w:sz w:val="22"/>
          <w:szCs w:val="22"/>
        </w:rPr>
      </w:pPr>
      <w:r w:rsidRPr="007923C2">
        <w:rPr>
          <w:rFonts w:ascii="Arial" w:hAnsi="Arial" w:cs="Arial"/>
          <w:sz w:val="22"/>
          <w:szCs w:val="22"/>
        </w:rPr>
        <w:t>Su objetivo es r</w:t>
      </w:r>
      <w:r w:rsidR="000F70C2" w:rsidRPr="007923C2">
        <w:rPr>
          <w:rFonts w:ascii="Arial" w:hAnsi="Arial" w:cs="Arial"/>
          <w:sz w:val="22"/>
          <w:szCs w:val="22"/>
        </w:rPr>
        <w:t xml:space="preserve">egular y fomentar la conservación, protección restauración, producción, ordenación, el cultivo, manejo y aprovechamiento de los ecosistemas forestales del país y sus recursos. Distribuir las competencias que en materia forestal correspondan a la Federación, estados y municipios con el fin de propiciar el desarrollo forestal sustentable. </w:t>
      </w:r>
    </w:p>
    <w:p w14:paraId="3C136C34"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 este desarrollo la LGDFS, en su artículo 29, lo considera como un área prioritaria del desarrollo nacional y en el artículo 30 lo describe como sigue: "… proceso evaluable y medible mediante criterios e indicadores de carácter ambiental, silvícola, económico y social que tienda a alcanzar una productividad óptima y sostenida de los recursos forestales sin comprometer el rendimiento, equilibrio e integridad de los ecosistemas forestales, que mejore el ingreso y la calidad de vida de las personas que participan en la actividad forestal y promueva la generación de valor agregado en las regiones forestales, diversificando las alternativas productivas y creando fuentes de empleo en el sector…" </w:t>
      </w:r>
    </w:p>
    <w:p w14:paraId="502ACE4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Disposiciones generales </w:t>
      </w:r>
    </w:p>
    <w:p w14:paraId="1539176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Abroga la Ley Forestal publicada en el Diario Oficial de la Federación el 22 de diciembre de 1992 y sus reformas posteriores. Deroga toda disposición que se le oponga o contravenga. El decreto del 21 de febrero del 2003, se publicó en el Diario Oficial de la Federación, el martes 25 de febrero 2003. Entró en vigor 90 días de su publicación, el 25 de mayo 2003. En no más de nueve meses a partir de esta última fecha (enero de 2004) debe expedirse su reglamento. Mientras, el del 25 septiembre 1998, se continuará aplicando en lo que no se oponga a la Ley. El Servicio Nacional Forestal en 6 meses (Nov. 03). </w:t>
      </w:r>
    </w:p>
    <w:p w14:paraId="4A444D98" w14:textId="77777777" w:rsidR="004543E9" w:rsidRPr="007923C2" w:rsidRDefault="004543E9" w:rsidP="000F70C2">
      <w:pPr>
        <w:jc w:val="both"/>
        <w:rPr>
          <w:rFonts w:ascii="Arial" w:hAnsi="Arial" w:cs="Arial"/>
          <w:sz w:val="22"/>
          <w:szCs w:val="22"/>
        </w:rPr>
      </w:pPr>
    </w:p>
    <w:p w14:paraId="3961A55F" w14:textId="77777777" w:rsidR="004543E9" w:rsidRPr="007923C2" w:rsidRDefault="004543E9" w:rsidP="000F70C2">
      <w:pPr>
        <w:jc w:val="both"/>
        <w:rPr>
          <w:rFonts w:ascii="Arial" w:hAnsi="Arial" w:cs="Arial"/>
          <w:sz w:val="22"/>
          <w:szCs w:val="22"/>
        </w:rPr>
      </w:pPr>
    </w:p>
    <w:p w14:paraId="72120F97" w14:textId="77777777" w:rsidR="004543E9" w:rsidRPr="007923C2" w:rsidRDefault="004543E9" w:rsidP="000F70C2">
      <w:pPr>
        <w:jc w:val="both"/>
        <w:rPr>
          <w:rFonts w:ascii="Arial" w:hAnsi="Arial" w:cs="Arial"/>
          <w:sz w:val="22"/>
          <w:szCs w:val="22"/>
        </w:rPr>
      </w:pPr>
    </w:p>
    <w:p w14:paraId="39ED0B24"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Puntos principales </w:t>
      </w:r>
    </w:p>
    <w:p w14:paraId="55D1448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Se contempla la relación jurídica entre los diversos actores del sector forestal. Su estructura se divide en ocho grandes títulos y 171 artículos que contienen principios rectores, criterios obligatorios e instrumentos de política forestal; integración y funcionamiento del Servicio Nacional Forestal, creación del Consejo Nacional Forestal, los consejos estatales y regionales forestales; manejo integral y sustentable de los recursos forestales maderables y no maderables; la educación, la capacitación, la investigación y la cultura forestal; el financiamiento, el impulso a la silvicultura comunitaria, así como descentralización, federalismo forestal y fortalecimiento institucional. </w:t>
      </w:r>
    </w:p>
    <w:p w14:paraId="583E26A9"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Igualmente desregula claramente las plantaciones forestales comerciales; reconoce el derecho de las comunidades indígenas a la propiedad de los recursos biológicos y del conocimiento y usos tradicionales de las variedades y especies vegetales; promueve la formación de unidades regionales de manejo forestal; crea el Fondo Forestal Mexicano para apoyar proyectos específicos de servicios ambientales y cadenas productivas; establece el sistema de mejoramiento genético forestal y vincula agua-suelo-bosque. </w:t>
      </w:r>
    </w:p>
    <w:p w14:paraId="635E0FC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Los grandes objetivos de la reforma emprendida </w:t>
      </w:r>
    </w:p>
    <w:p w14:paraId="2A8F9B09"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 Frenar la ilegalidad y la depredación. </w:t>
      </w:r>
    </w:p>
    <w:p w14:paraId="623B7106"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2. Estructurar un nuevo Modelo Forestal Mexicano. </w:t>
      </w:r>
    </w:p>
    <w:p w14:paraId="1D6BDB55"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3. Impulsar el federalismo forestal y la participación social. </w:t>
      </w:r>
    </w:p>
    <w:p w14:paraId="4DCA11C9"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4. Vincular cuatro grandes temas agua, suelo, bosque y biodiversidad. </w:t>
      </w:r>
    </w:p>
    <w:p w14:paraId="5C1937EA"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5. Promover cadenas de valor para generar riqueza y empleo. </w:t>
      </w:r>
    </w:p>
    <w:p w14:paraId="4E82FB6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Objetivo 1: Parar la ilegalidad </w:t>
      </w:r>
    </w:p>
    <w:p w14:paraId="11F4624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Para ello se requiere enfrentar la corrupción, la tala inmoderada y clandestina, la ilegalidad y la degradación de los ecosistemas forestales, así como controlar el cambio de uso de suelo que históricamente ha caracterizado al sector. Los cambios propuestos son: </w:t>
      </w:r>
    </w:p>
    <w:p w14:paraId="676A59C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Estimular el aprovechamiento legal del bosque natural y aumentar la oferta de madera, a través de las plantaciones forestales comerciales (artículos 77 y 85 al 96).</w:t>
      </w:r>
    </w:p>
    <w:p w14:paraId="76027B3B"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 Hacer más rígidas las medidas de control, explicitar las infracciones y sanciones, y aumentar las multas por delitos forestales (artículos 115, 116, 163 al 170). </w:t>
      </w:r>
    </w:p>
    <w:p w14:paraId="583E8E21"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 Disminuir tiempos muertos en la gestión forestal y desregular a su máxima expresión las plantaciones forestales comerciales (artículos 87, 92 al 94). </w:t>
      </w:r>
    </w:p>
    <w:p w14:paraId="72DF6007"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 Afirmativa ficta en plantaciones forestales comerciales y negativa ficta para bosque natural (artículos 89 y 84). </w:t>
      </w:r>
    </w:p>
    <w:p w14:paraId="7E73D6CA"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 Establecer la obligación de solicitar permiso previo para la instalación de aserraderos ((artículo 116). </w:t>
      </w:r>
    </w:p>
    <w:p w14:paraId="3D03F31A"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 Obligar a contar con un documento expedido por la autoridad, para transportar la madera (guía de transporte) (artículos 115). </w:t>
      </w:r>
    </w:p>
    <w:p w14:paraId="5B91FFB0" w14:textId="77777777" w:rsidR="000F70C2" w:rsidRPr="007923C2" w:rsidRDefault="000F70C2" w:rsidP="000F70C2">
      <w:pPr>
        <w:jc w:val="both"/>
        <w:rPr>
          <w:rFonts w:ascii="Arial" w:hAnsi="Arial" w:cs="Arial"/>
          <w:sz w:val="22"/>
          <w:szCs w:val="22"/>
        </w:rPr>
      </w:pPr>
    </w:p>
    <w:p w14:paraId="0B0AFB9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Objetivo 2: Nuevo Modelo Forestal Mexicano </w:t>
      </w:r>
    </w:p>
    <w:p w14:paraId="3F61FAD0"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Para el siglo XXI se requiere una visión integral, global, de largo plazo y competitiva que instrumente mejores y renovados programas institucionales, procesos e instituciones; gestione mayor presupuesto federal, estatal, público, privado y social; estructure el marco normativo que modernice al sector; cuente con sistemas de financiamiento accesibles y eficientes; institucionalice el servicio profesional de carrera forestal; establezca un sistema de evaluación y seguimiento de acciones adecuado; impulse el uso de tecnologías de la información; brinde una capacitación congruente con el PEF 2025; estimule la investigación, el desarrollo, la innovación y la transferencia de tecnología; motive la iniciativa emprendedora y la organización productiva (integración de cadenas); desarrolle la silvicultura comunitaria, y apoye las acciones dirigidas a la reforestación, desarrollo forestal, bosque natural y plantaciones forestales comerciales que respondan a la realidad del país, entre otros. Los cambios son: </w:t>
      </w:r>
    </w:p>
    <w:p w14:paraId="2CDFD12F"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 El Desarrollo Forestal Sustentable como eje de Política Nacional Forestal (artículos 1, 29 y 30). </w:t>
      </w:r>
    </w:p>
    <w:p w14:paraId="2168C6D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2. Darle fuerza legal a la CONAFOR como organismo integrador y ejecutor de las políticas forestales (artículo 17). </w:t>
      </w:r>
    </w:p>
    <w:p w14:paraId="4BA062D2"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3. Fijar criterios obligatorios de política forestal (artículos 30, 32 a 34). </w:t>
      </w:r>
    </w:p>
    <w:p w14:paraId="62FBE7C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4. Establecer una planeación y una evaluación a largo plazo (artículo 36). </w:t>
      </w:r>
    </w:p>
    <w:p w14:paraId="74F7C72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5. El Inventario Nacional y el Registro Nacional abiertos para todos los usuarios y sociedad y mejorar su operación en general ((artículos 44 al 47 y 51 al 54). </w:t>
      </w:r>
    </w:p>
    <w:p w14:paraId="60A05220"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6. Fomentar los productos forestales no maderables (artículos 97 al 100). </w:t>
      </w:r>
    </w:p>
    <w:p w14:paraId="017B7490"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7. Revalorar y establecer control de nuestros recursos biológicos (genéticos) y dar a sus propietarios los derechos mínimos ( 101 al 106). </w:t>
      </w:r>
    </w:p>
    <w:p w14:paraId="7833711B"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8. Establecer los programas de manejo regional y las unidades de manejo forestal como instrumentos de ordenación forestal (artículos 62, 83 y 112). </w:t>
      </w:r>
    </w:p>
    <w:p w14:paraId="68870CDF"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9. Impulsar el Fondo Forestal Mexicano que promueve los servicios ambientales y el desarrollo de las cadenas productivas (artículos 142 y 143). </w:t>
      </w:r>
    </w:p>
    <w:p w14:paraId="2005BA54"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10 Exigir mayor atención a la infraestructura mínima que requiere el sector para sobrevivir y después ser más competitivo (artículos 144 y 145). </w:t>
      </w:r>
    </w:p>
    <w:p w14:paraId="16C9F0E6"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11. Promover la coordinación e impulsar la investigación forestal (artículo 146). </w:t>
      </w:r>
    </w:p>
    <w:p w14:paraId="5C2B6CD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12. Acrecentar esfuerzos en educación, cultura y capacitación forestales (artículos 147 y 148). </w:t>
      </w:r>
    </w:p>
    <w:p w14:paraId="08FC34C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13. Impulsar las cadenas productivas (artículos 13, 34 y 142). </w:t>
      </w:r>
    </w:p>
    <w:p w14:paraId="4E826022"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14. Promover el Servicio Profesional de Carrera Forestal y tecnologías de la información (artículo 22). </w:t>
      </w:r>
    </w:p>
    <w:p w14:paraId="7AAED30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15. Establecer en la ley el PRODEPLAN, el PRODEFOR y el PRONARE (artículo 138). </w:t>
      </w:r>
    </w:p>
    <w:p w14:paraId="1FE2120D"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Objetivo 3: Federalismo forestal </w:t>
      </w:r>
    </w:p>
    <w:p w14:paraId="3EDB4F3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Desarrollarlo para que propicie la participación ciudadana en la toma de decisiones así como la de los tres órdenes de gobierno, fortaleciendo instituciones públicas, privadas y sociales (artículos 6 y 155). Entre los cambios propuestos destacan: </w:t>
      </w:r>
    </w:p>
    <w:p w14:paraId="7E7AF0A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 Ley General que permite reconocer la capacidad y el derecho de los demás órdenes de gobierno para asumir, de manera excluyente, facultades y atribuciones que actualmente tiene la federación (artículos 11 al 15). </w:t>
      </w:r>
    </w:p>
    <w:p w14:paraId="4D6F4AA7"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2. Aplicar un auténtico federalismo forestal con la gradualidad limitada que amerita la realidad nacional y de cada Estado (artículo 25 y 3° transitorio). </w:t>
      </w:r>
    </w:p>
    <w:p w14:paraId="418FB89E"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3. Fijar con claridad mecanismos de coordinación con los Estados y con otras dependencias relacionadas con el sector (CNA, CFE, SAGARPA, CONANP, entre otros) (artículos 24 al 28). </w:t>
      </w:r>
    </w:p>
    <w:p w14:paraId="41AA57F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4. Fortalecer participación social. Los consejos técnicos dejan de ser consultivos (artículos 155 al 157). </w:t>
      </w:r>
    </w:p>
    <w:p w14:paraId="3EFDA561"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5 Poner en marcha sistema de información forestal completo, obligatorio y abierto en el que los tres órdenes de gobierno participan junto con la sociedad (artículos 39 al 43). </w:t>
      </w:r>
    </w:p>
    <w:p w14:paraId="23BE3D60"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6 Crear el Servicio Nacional Forestal como sistema de coordinación para la atención eficiente y concertada del sector público forestal (artículos 8 al 10). </w:t>
      </w:r>
    </w:p>
    <w:p w14:paraId="54455C1F"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7 Establecer la figura de las promotorías de desarrollo forestal como el servicio de manera coordinada de difusión de los programas y apoyos, promoción de la organización de los productores y atención a los mismos (artículo 23). </w:t>
      </w:r>
    </w:p>
    <w:p w14:paraId="03EBFFB6"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8. Participación social en la planeación y evaluación (artículos 155 al 157). </w:t>
      </w:r>
    </w:p>
    <w:p w14:paraId="0FBD928E"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9. Rendición de cuentas y la obligación, tanto del gobierno federal como estatal, de informar el estado que guardan los bosques y selvas (artículo 38).</w:t>
      </w:r>
    </w:p>
    <w:p w14:paraId="76AC163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10. Reconocer que los ecosistemas forestales no sólo proveen madera; contribuyen a mitigar el calentamiento global; generan servicios ambientales, clima, belleza escénica y biodiversidad, entre otros, reduciendo con ello riesgos y consecuencias de desastres naturales. </w:t>
      </w:r>
    </w:p>
    <w:p w14:paraId="42DD4ADE"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Objetivo 4. Vincular agua, suelo, bosques y biodiversidad </w:t>
      </w:r>
    </w:p>
    <w:p w14:paraId="3E8E0F79"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Reconocer que los ecosistemas forestales no sólo proveen madera; contribuyen a mitigar el calentamiento global; generan servicios ambientales, clima, belleza escénica y biodiversidad entre otros, reduciendo con ello riesgos y consecuencias de desastres naturales. Cambios propuestos: </w:t>
      </w:r>
    </w:p>
    <w:p w14:paraId="6AF47337"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1. Orientar los trabajos, programas e inversiones a cuencas hidrológico-forestales, considerar la preservación del suelo y biodiversidad (artículos 3, 27, 28, 33, 37, 112, 126 y 144). </w:t>
      </w:r>
    </w:p>
    <w:p w14:paraId="3EF4F227"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2. Frenar crecimiento de frontera agropecuaria a costa de lo forestal (artículos 27 y 33). </w:t>
      </w:r>
    </w:p>
    <w:p w14:paraId="55FA8EAB"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3. Poner más énfasis en las tareas de sanidad y prevención de incendios, sin restar importancia a las acciones de combate y control (artículos 119 a 125). </w:t>
      </w:r>
    </w:p>
    <w:p w14:paraId="0840216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4. Abrir espacios para un mercado de servicios ambientales (artículos 12, 16, 22, 133 y 143). </w:t>
      </w:r>
    </w:p>
    <w:p w14:paraId="1F4EE3E9"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5. Proteger áreas boscosas colindantes con ríos, lagunas, manantiales, etc. (artículo 129). </w:t>
      </w:r>
    </w:p>
    <w:p w14:paraId="308A138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6. Dar especial atención a la conservación y restauración de suelos (artículos 3, 15, 16, 22, 27, 33, 37, 55, 62, 100, 117, 120, 127, 144). </w:t>
      </w:r>
    </w:p>
    <w:p w14:paraId="3C1CBAA6"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Objetivo 5: Combatir la pobreza, generar riqueza y empleos en zonas forestales </w:t>
      </w:r>
    </w:p>
    <w:p w14:paraId="3531558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Es indudable que uno de los mejores mecanismos para lograrlo es crear y fortalecer cadenas de valor entorno a los productos y servicios forestales. Se propusieron los siguientes cambios: </w:t>
      </w:r>
    </w:p>
    <w:p w14:paraId="40AA48F3"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 Refrendar el derecho de los dueños y poseedores de los bosques de ser los beneficiarios del uso de los recursos forestales, política que terminó con las concesiones forestales hace 15 años (artículo 5). </w:t>
      </w:r>
    </w:p>
    <w:p w14:paraId="5FBD5B42"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2. Promover más a los silvicultores con estrategias dirigidas hacia ellos que los hace más responsables del buen manejo forestal (artículo 107). </w:t>
      </w:r>
    </w:p>
    <w:p w14:paraId="7E62C9AA"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3. Respeto a usos y costumbres (indígenas) y su derecho a participar en la planeación y ejecución de acciones que afecten su hábitat (artículos 3, 13, 22, 32, 33, 72, 102, 105, 110, 147, 150, 156 y 100). </w:t>
      </w:r>
    </w:p>
    <w:p w14:paraId="2EDF850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4. Impulsar el Fondo Forestal Mexicano, para desarrollar las cadenas productivas y el mercado de servicios ambientales (artículos 142 y 143). </w:t>
      </w:r>
    </w:p>
    <w:p w14:paraId="4FFF4A90"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5. Formalizar instrumentos e incentivos para el desarrollo forestal (artículos 137 al 141). </w:t>
      </w:r>
    </w:p>
    <w:p w14:paraId="0FDC5B2B"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6. Frenar el cambio de uso del suelo (artículos 117 y 118). </w:t>
      </w:r>
    </w:p>
    <w:p w14:paraId="13A246D5"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7. Impulsar el desarrollo de los no maderables (artículos 97 al 100). </w:t>
      </w:r>
    </w:p>
    <w:p w14:paraId="5384146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8. Establecer criterios obligatorios de carácter social y económico (artículos 32 y 34). </w:t>
      </w:r>
    </w:p>
    <w:p w14:paraId="0D10522C"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Un futuro promisorio del derecho forestal </w:t>
      </w:r>
    </w:p>
    <w:p w14:paraId="462D1AC8"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En esta década, el sector forestal debe considerarse como campo propicio y de oportunidad a la actividad de los profesionales e investigadores que se especialicen en el derecho forestal y ambiental a fin de aportar un enfoque jurídico-sistémico al federalismo cooperativo, la formulación de leyes estatales y normas oficiales, así como evaluar los alcances de los hechos y aportar el ordenamiento que facilite mejorar las expectativas de los diversos actores del sector, con mecanismos apropiados para su aplicación y soluciones prudenciales que impulsen los cambios necesarios a la problemática existente. </w:t>
      </w:r>
    </w:p>
    <w:p w14:paraId="4B69385B" w14:textId="77777777"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Fernando José Montes de Oca y Domínguez. Instituto Mexicano de Derecho Forestal, A.C. Correo-e: </w:t>
      </w:r>
      <w:hyperlink r:id="rId119" w:history="1">
        <w:r w:rsidRPr="007923C2">
          <w:rPr>
            <w:rStyle w:val="Hipervnculo"/>
            <w:rFonts w:ascii="Arial" w:hAnsi="Arial" w:cs="Arial"/>
            <w:sz w:val="22"/>
            <w:szCs w:val="22"/>
          </w:rPr>
          <w:t>fernandomontesdeoca@imdefac.com.mx</w:t>
        </w:r>
      </w:hyperlink>
      <w:r w:rsidRPr="007923C2">
        <w:rPr>
          <w:rFonts w:ascii="Arial" w:hAnsi="Arial" w:cs="Arial"/>
          <w:sz w:val="22"/>
          <w:szCs w:val="22"/>
        </w:rPr>
        <w:t>.</w:t>
      </w:r>
    </w:p>
    <w:p w14:paraId="1EA3E2C3" w14:textId="77777777" w:rsidR="002B2D85" w:rsidRPr="007923C2" w:rsidRDefault="002B2D85" w:rsidP="000F70C2">
      <w:pPr>
        <w:jc w:val="both"/>
        <w:rPr>
          <w:rFonts w:ascii="Arial" w:hAnsi="Arial" w:cs="Arial"/>
          <w:sz w:val="22"/>
          <w:szCs w:val="22"/>
        </w:rPr>
      </w:pPr>
    </w:p>
    <w:p w14:paraId="103F154E" w14:textId="77777777" w:rsidR="0043451C" w:rsidRPr="007923C2" w:rsidRDefault="002B2D85" w:rsidP="000F70C2">
      <w:pPr>
        <w:jc w:val="both"/>
        <w:rPr>
          <w:rFonts w:ascii="Arial" w:hAnsi="Arial" w:cs="Arial"/>
          <w:b/>
          <w:color w:val="FF0000"/>
          <w:sz w:val="22"/>
          <w:szCs w:val="22"/>
        </w:rPr>
      </w:pPr>
      <w:r w:rsidRPr="007923C2">
        <w:rPr>
          <w:rFonts w:ascii="Arial" w:hAnsi="Arial" w:cs="Arial"/>
          <w:b/>
          <w:sz w:val="22"/>
          <w:szCs w:val="22"/>
        </w:rPr>
        <w:lastRenderedPageBreak/>
        <w:t>4.</w:t>
      </w:r>
      <w:r w:rsidR="0043451C" w:rsidRPr="007923C2">
        <w:rPr>
          <w:rFonts w:ascii="Arial" w:hAnsi="Arial" w:cs="Arial"/>
          <w:b/>
          <w:sz w:val="22"/>
          <w:szCs w:val="22"/>
        </w:rPr>
        <w:t>-LEGISLACIÓN FITOSANITARIA</w:t>
      </w:r>
    </w:p>
    <w:p w14:paraId="5F21093B"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LEY Federal de Sanidad Vegetal</w:t>
      </w:r>
    </w:p>
    <w:p w14:paraId="116C099B"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78B94BBB"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TEXTO VIGENTE</w:t>
      </w:r>
    </w:p>
    <w:p w14:paraId="779B4F9F"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1C4A8F5C"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Ley publicada en el Diario Oficial de la Federación el 5 de enero de 1994. Al margen un sello con el Escudo Nacional, que dice: Estados Unidos Mexicanos.- Presidencia de la República. CARLOS SALINAS DE GORTARI, Presidente Constitucional de los Estados Unidos Mexicanos, a sus habitantes sabed: Que el H. Congreso de la Unión, se ha servido dirigirme el siguiente DECRETO "EL CONGRESO DE LOS ESTADOS UNIDOS MEXICANOS, DECRETA:</w:t>
      </w:r>
    </w:p>
    <w:p w14:paraId="736A74FD"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5617136E"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LEY Federal de Sanidad Vegetal.</w:t>
      </w:r>
    </w:p>
    <w:p w14:paraId="4E51572D"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218A28A0"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TITULO PRIMERO</w:t>
      </w:r>
    </w:p>
    <w:p w14:paraId="4C453C58"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1728DAFB"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Disposiciones Generales</w:t>
      </w:r>
    </w:p>
    <w:p w14:paraId="15658EF3"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7429C9DB"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w:t>
      </w:r>
    </w:p>
    <w:p w14:paraId="0231BEA3"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496B323B"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DEL OBJETO DE LA LEY</w:t>
      </w:r>
    </w:p>
    <w:p w14:paraId="3072D20F"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3FF16503"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1o.-</w:t>
      </w:r>
    </w:p>
    <w:p w14:paraId="2ABCFC95"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2F32A776"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La presente ley es de observancia general en todo el territorio nacional y tiene por objeto regular y promover la sanidad vegetal. Sus disposiciones son de orden público e interés social.</w:t>
      </w:r>
    </w:p>
    <w:p w14:paraId="454F30B6"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0A0C7D9A"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2o.-</w:t>
      </w:r>
    </w:p>
    <w:p w14:paraId="1C3B3B5D"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27611E07"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La sanidad vegetal tiene como finalidad promover y vigilar la observancia de las disposiciones fitosanitarias; diagnosticar y prevenir la diseminación e introducción de plagas de los vegetales, sus productos y subproductos; establecer medidas fitosanitarias; y regular la efectividad biológica, aplicación, uso y manejo de insumos, así como el desarrollo y prestación de actividades y servicios fitosanitarios.</w:t>
      </w:r>
    </w:p>
    <w:p w14:paraId="53C9B1B5" w14:textId="77777777" w:rsidR="0037533C" w:rsidRPr="007923C2" w:rsidRDefault="0037533C" w:rsidP="0037533C">
      <w:pPr>
        <w:widowControl w:val="0"/>
        <w:autoSpaceDE w:val="0"/>
        <w:autoSpaceDN w:val="0"/>
        <w:adjustRightInd w:val="0"/>
        <w:spacing w:after="0" w:line="236" w:lineRule="exact"/>
        <w:rPr>
          <w:rFonts w:ascii="Arial" w:hAnsi="Arial" w:cs="Arial"/>
          <w:sz w:val="22"/>
          <w:szCs w:val="22"/>
        </w:rPr>
      </w:pPr>
    </w:p>
    <w:p w14:paraId="7BB34B4F"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3o.-</w:t>
      </w:r>
    </w:p>
    <w:p w14:paraId="285D1EBF"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17714168" w14:textId="77777777" w:rsidR="0037533C" w:rsidRPr="007923C2" w:rsidRDefault="0037533C" w:rsidP="0037533C">
      <w:pPr>
        <w:widowControl w:val="0"/>
        <w:overflowPunct w:val="0"/>
        <w:autoSpaceDE w:val="0"/>
        <w:autoSpaceDN w:val="0"/>
        <w:adjustRightInd w:val="0"/>
        <w:spacing w:after="0" w:line="238" w:lineRule="auto"/>
        <w:ind w:right="20"/>
        <w:jc w:val="both"/>
        <w:rPr>
          <w:rFonts w:ascii="Arial" w:hAnsi="Arial" w:cs="Arial"/>
          <w:sz w:val="22"/>
          <w:szCs w:val="22"/>
        </w:rPr>
      </w:pPr>
      <w:r w:rsidRPr="007923C2">
        <w:rPr>
          <w:rFonts w:ascii="Arial" w:hAnsi="Arial" w:cs="Arial"/>
          <w:sz w:val="22"/>
          <w:szCs w:val="22"/>
        </w:rPr>
        <w:t>Las medidas fitosanitarias que establezca la Secretaría serán las necesarias para asegurar el nivel adecuado de protección y calidad fitosanitarias en todo o parte del territorio nacional, para lo cual tomará en consideración el análisis de riesgo, así como las característica de la zona donde se origine el problema y las de la zona a la que se destinen los vegetales.</w:t>
      </w:r>
    </w:p>
    <w:p w14:paraId="6EE6F936"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2DF382EE"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4o.-</w:t>
      </w:r>
    </w:p>
    <w:p w14:paraId="71F2B71B"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07676E10" w14:textId="77777777" w:rsidR="0037533C" w:rsidRPr="007923C2" w:rsidRDefault="0037533C" w:rsidP="0037533C">
      <w:pPr>
        <w:widowControl w:val="0"/>
        <w:overflowPunct w:val="0"/>
        <w:autoSpaceDE w:val="0"/>
        <w:autoSpaceDN w:val="0"/>
        <w:adjustRightInd w:val="0"/>
        <w:spacing w:after="0" w:line="245" w:lineRule="auto"/>
        <w:ind w:right="20"/>
        <w:jc w:val="both"/>
        <w:rPr>
          <w:rFonts w:ascii="Arial" w:hAnsi="Arial" w:cs="Arial"/>
          <w:sz w:val="22"/>
          <w:szCs w:val="22"/>
        </w:rPr>
      </w:pPr>
      <w:r w:rsidRPr="007923C2">
        <w:rPr>
          <w:rFonts w:ascii="Arial" w:hAnsi="Arial" w:cs="Arial"/>
          <w:sz w:val="22"/>
          <w:szCs w:val="22"/>
        </w:rPr>
        <w:t>Las medidas fitosanitarias se aplicarán para el combate de plagas que afectan a los recursos y materias primas forestales maderables y no maderables.</w:t>
      </w:r>
    </w:p>
    <w:p w14:paraId="25F61AFB" w14:textId="77777777"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14:paraId="6D75C761"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w:t>
      </w:r>
    </w:p>
    <w:p w14:paraId="5A6EB6EB"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646C37C0"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CONCEPTOS</w:t>
      </w:r>
    </w:p>
    <w:p w14:paraId="26A3AD8C"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7045A3CE"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5o.-</w:t>
      </w:r>
    </w:p>
    <w:p w14:paraId="3AAA0EC5"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29057C00"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Para los efectos de la ley se entiende por:</w:t>
      </w:r>
    </w:p>
    <w:p w14:paraId="5272DD12"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1B97E9E9" w14:textId="77777777" w:rsidR="0037533C" w:rsidRPr="007923C2" w:rsidRDefault="0037533C" w:rsidP="0037533C">
      <w:pPr>
        <w:widowControl w:val="0"/>
        <w:overflowPunct w:val="0"/>
        <w:autoSpaceDE w:val="0"/>
        <w:autoSpaceDN w:val="0"/>
        <w:adjustRightInd w:val="0"/>
        <w:spacing w:after="0" w:line="241" w:lineRule="auto"/>
        <w:ind w:right="20"/>
        <w:jc w:val="both"/>
        <w:rPr>
          <w:rFonts w:ascii="Arial" w:hAnsi="Arial" w:cs="Arial"/>
          <w:sz w:val="22"/>
          <w:szCs w:val="22"/>
        </w:rPr>
      </w:pPr>
      <w:r w:rsidRPr="007923C2">
        <w:rPr>
          <w:rFonts w:ascii="Arial" w:hAnsi="Arial" w:cs="Arial"/>
          <w:sz w:val="22"/>
          <w:szCs w:val="22"/>
        </w:rPr>
        <w:t>Actividades fitosanitarias: aquéllas vinculadas con la producción, industrialización, movilización o comercialización de vegetales, sus productos o subproductos o insumos, que realicen las personas físicas o morales sujetas a los procedimientos de certificación o verificación previstos en esta ley;</w:t>
      </w:r>
    </w:p>
    <w:p w14:paraId="2DF5587A"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38500914" w14:textId="77777777" w:rsidR="0037533C" w:rsidRPr="007923C2" w:rsidRDefault="0037533C" w:rsidP="0037533C">
      <w:pPr>
        <w:widowControl w:val="0"/>
        <w:overflowPunct w:val="0"/>
        <w:autoSpaceDE w:val="0"/>
        <w:autoSpaceDN w:val="0"/>
        <w:adjustRightInd w:val="0"/>
        <w:spacing w:after="0" w:line="239" w:lineRule="auto"/>
        <w:ind w:right="60"/>
        <w:rPr>
          <w:rFonts w:ascii="Arial" w:hAnsi="Arial" w:cs="Arial"/>
          <w:sz w:val="22"/>
          <w:szCs w:val="22"/>
        </w:rPr>
      </w:pPr>
      <w:r w:rsidRPr="007923C2">
        <w:rPr>
          <w:rFonts w:ascii="Arial" w:hAnsi="Arial" w:cs="Arial"/>
          <w:sz w:val="22"/>
          <w:szCs w:val="22"/>
        </w:rPr>
        <w:t>Agente de control biológico: parasitoide, depredador o agente patogénico empleado para el control y regulación de poblaciones de plagas;</w:t>
      </w:r>
    </w:p>
    <w:p w14:paraId="7179060D"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4AEA0CFE"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Agente patogénico: microorganismo capaz de causar enfermedades a los vegetales;</w:t>
      </w:r>
    </w:p>
    <w:p w14:paraId="10015840"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1EA338EA" w14:textId="77777777" w:rsidR="0037533C" w:rsidRPr="007923C2" w:rsidRDefault="0037533C" w:rsidP="00773D65">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Aprobación: acto por el que la Secretaría reconoce a personas físicas o morales como aptas para operar como organismos nacionales de normalización, organismos de certificación, unidades de verificación o laboratorios de pruebas;Calidad fitosanitaria: condición que adquieren los vegetales, sus productos o subproductos por no ser portadores de plagas que los afecten, o bien, la presencia de éstas no rebasa los niveles de tolerancia;</w:t>
      </w:r>
    </w:p>
    <w:p w14:paraId="76CB1C2E"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6905133C"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Campaña fitosanitaria: conjunto de medidas fitosanitarias para la prevención, combate y erradicación de plagas que afecten a los vegetales en un área geográfica determinada;</w:t>
      </w:r>
    </w:p>
    <w:p w14:paraId="02BFCED3"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136E28F5"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Certificado fitosanitario: documento oficial expedido por la Secretaría o las personas aprobadas o acreditadas para tal efecto, que constata el cumplimiento de las disposiciones fitosanitarias a que se sujetan la movilización, importación o exportación de vegetales, sus productos o subproductos;</w:t>
      </w:r>
    </w:p>
    <w:p w14:paraId="0425EA3E"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3D980F96" w14:textId="77777777" w:rsidR="0037533C" w:rsidRPr="007923C2" w:rsidRDefault="0037533C" w:rsidP="0037533C">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Cuarentenas: restricciones a la movilización de mercancías que se establecen en normas oficiales, con el propósito de' prevenir o retardar la introducción de plagas en áreas donde no se sabe que existan. Por sus objetivos podrán ser exteriores, si previenen la introducción y presencia de plagas exóticas, o interiores, si retardan la propagación, controlan o erradican cualquier plaga que se haya introducido;</w:t>
      </w:r>
    </w:p>
    <w:p w14:paraId="0D9AB6C7"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03629623" w14:textId="77777777" w:rsidR="0037533C" w:rsidRPr="007923C2" w:rsidRDefault="0037533C" w:rsidP="0037533C">
      <w:pPr>
        <w:widowControl w:val="0"/>
        <w:overflowPunct w:val="0"/>
        <w:autoSpaceDE w:val="0"/>
        <w:autoSpaceDN w:val="0"/>
        <w:adjustRightInd w:val="0"/>
        <w:spacing w:after="0" w:line="253" w:lineRule="auto"/>
        <w:ind w:right="60"/>
        <w:rPr>
          <w:rFonts w:ascii="Arial" w:hAnsi="Arial" w:cs="Arial"/>
          <w:sz w:val="22"/>
          <w:szCs w:val="22"/>
        </w:rPr>
      </w:pPr>
      <w:r w:rsidRPr="007923C2">
        <w:rPr>
          <w:rFonts w:ascii="Arial" w:hAnsi="Arial" w:cs="Arial"/>
          <w:sz w:val="22"/>
          <w:szCs w:val="22"/>
        </w:rPr>
        <w:t>Disposiciones fitosanitarias: las previstas en los reglamentos, decretos, acuerdos y normas oficiales aplicables en materia de sanidad vegetal;</w:t>
      </w:r>
    </w:p>
    <w:p w14:paraId="782665C6"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741B4B72" w14:textId="77777777" w:rsidR="0037533C" w:rsidRPr="007923C2" w:rsidRDefault="0037533C" w:rsidP="0037533C">
      <w:pPr>
        <w:widowControl w:val="0"/>
        <w:overflowPunct w:val="0"/>
        <w:autoSpaceDE w:val="0"/>
        <w:autoSpaceDN w:val="0"/>
        <w:adjustRightInd w:val="0"/>
        <w:spacing w:after="0" w:line="253" w:lineRule="auto"/>
        <w:ind w:right="40"/>
        <w:rPr>
          <w:rFonts w:ascii="Arial" w:hAnsi="Arial" w:cs="Arial"/>
          <w:sz w:val="22"/>
          <w:szCs w:val="22"/>
        </w:rPr>
      </w:pPr>
      <w:r w:rsidRPr="007923C2">
        <w:rPr>
          <w:rFonts w:ascii="Arial" w:hAnsi="Arial" w:cs="Arial"/>
          <w:sz w:val="22"/>
          <w:szCs w:val="22"/>
        </w:rPr>
        <w:t>Efectividad biológica: resultado conveniente que se obtiene al aplicar un insumo en el control o erradicación de una plaga que afecta a los vegetales;</w:t>
      </w:r>
    </w:p>
    <w:p w14:paraId="562A519E"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308A0852"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Estación cuarentenaria: instalación fitosanitaria en donde se mantienen temporalmente los vegetales, sus productos o subproductos, vehículos de transporte, maquinaria, equipos y envases que impliquen un riesgo fitosanitario, para confirmación de diagnóstico y, en su caso, tratamiento profiláctico, destrucción o retorno a su país de origen;</w:t>
      </w:r>
    </w:p>
    <w:p w14:paraId="3A6DF72C"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27B03478"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Inspección: acto que practica la Secretaría para constatar mediante verificación, el cumplimiento de las disposiciones fitosanitarias y, en caso de incumplimiento, aplicar las medidas fitosanitarias e imponer las sanciones administrativas correspondientes, expresándose a través de un acta;</w:t>
      </w:r>
    </w:p>
    <w:p w14:paraId="2DD99F22"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10BAB665" w14:textId="77777777"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Insumo de nutrición vegetal: cualquier sustancia o mezcla que contenga elementos útiles para la nutrición y desarrollo de los vegetales;</w:t>
      </w:r>
    </w:p>
    <w:p w14:paraId="65F3E867"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59279B99"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Insumo fitosanitario: cualquier sustancia o mezcla utilizada en el control de plagas de los vegetales tales como plaguicidas, agentes de control biológico, material transgénico, feromonas, atrayentes y variedades de plantas cultivadas resistentes a plagas;</w:t>
      </w:r>
    </w:p>
    <w:p w14:paraId="5F8910CD"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2856689C"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Laboratorio de pruebas: persona moral aprobada por la Secretaría para realizar diagnósticos fitosanitarios, análisis de residuos y calidad de plaguicidas, así como evaluaciones de efectividad biológica de los insumos, en los términos establecidos en esta Ley y la ley de la materia;</w:t>
      </w:r>
    </w:p>
    <w:p w14:paraId="15F7DDE0"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61078C80" w14:textId="77777777" w:rsidR="0037533C" w:rsidRPr="007923C2" w:rsidRDefault="0037533C" w:rsidP="0037533C">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Límites máximos de residuos: concentración máxima de residuos de plaguicidas permitido en o sobre vegetales previo a su cosecha, determinada en base a la norma oficial correspondiente;</w:t>
      </w:r>
    </w:p>
    <w:p w14:paraId="79A5F831"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6F2F6D01" w14:textId="77777777" w:rsidR="0037533C" w:rsidRPr="007923C2" w:rsidRDefault="0037533C" w:rsidP="0037533C">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 xml:space="preserve">Material transgénico: genotipos modificados artificialmente que, debido a sus características de </w:t>
      </w:r>
      <w:r w:rsidRPr="007923C2">
        <w:rPr>
          <w:rFonts w:ascii="Arial" w:hAnsi="Arial" w:cs="Arial"/>
          <w:sz w:val="22"/>
          <w:szCs w:val="22"/>
        </w:rPr>
        <w:lastRenderedPageBreak/>
        <w:t>multiplicación y permanencia en el ambiente, tienen capacidad para transferir a otro organismo genes recombinantes con potencial de presentar efectos previsibles o inesperados;</w:t>
      </w:r>
    </w:p>
    <w:p w14:paraId="0975AD49"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02858EFB" w14:textId="77777777" w:rsidR="0037533C" w:rsidRPr="007923C2" w:rsidRDefault="0037533C" w:rsidP="0037533C">
      <w:pPr>
        <w:widowControl w:val="0"/>
        <w:overflowPunct w:val="0"/>
        <w:autoSpaceDE w:val="0"/>
        <w:autoSpaceDN w:val="0"/>
        <w:adjustRightInd w:val="0"/>
        <w:spacing w:after="0" w:line="244" w:lineRule="auto"/>
        <w:ind w:right="40"/>
        <w:jc w:val="both"/>
        <w:rPr>
          <w:rFonts w:ascii="Arial" w:hAnsi="Arial" w:cs="Arial"/>
          <w:sz w:val="22"/>
          <w:szCs w:val="22"/>
        </w:rPr>
      </w:pPr>
      <w:r w:rsidRPr="007923C2">
        <w:rPr>
          <w:rFonts w:ascii="Arial" w:hAnsi="Arial" w:cs="Arial"/>
          <w:sz w:val="22"/>
          <w:szCs w:val="22"/>
        </w:rPr>
        <w:t>Medidas fitosanitarias: las establecidas en normas oficiales para conservar y proteger a los vegetales, sus productos o subproductos de cualquier tipo de daño producido por las plagas que los afecten;</w:t>
      </w:r>
    </w:p>
    <w:p w14:paraId="58CAF545"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7D3039D9"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Movilización: transportar, llevar o trasladar de un lugar a otro;</w:t>
      </w:r>
    </w:p>
    <w:p w14:paraId="3E282C3F"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Norma mexicana: las normas de referencia de observancia voluntaria, que emitan los organismos nacionales de normalización en los términos de la Ley Federal sobre Metrología y Normalización;</w:t>
      </w:r>
    </w:p>
    <w:p w14:paraId="263654D0"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0D6086EF"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Norma oficial: las normas oficiales mexicanas en materia de sanidad vegetal de carácter obligatorio expedidas por la Secretaría en términos de esta Ley y conforme al procedimiento previsto en la Ley Federal sobre Metrología y Normalización;</w:t>
      </w:r>
    </w:p>
    <w:p w14:paraId="4B252A5B"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6BD6D35A"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Organismo auxiliar: organizaciones de productores agrícolas o forestales, que fungen como auxiliares de la Secretaría en el desarrollo de las medidas fitosanitarias que ésta implante en todo o parte del territorio nacional;</w:t>
      </w:r>
    </w:p>
    <w:p w14:paraId="2B770BEC"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111129B0"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Organismo de certificación: persona física o moral aprobada por la Secretaría, para evaluar el cumplimiento de las normas oficiales, expedir certificados fitosanitarios y dar seguimiento posterior a la certificación inicial, a inf de comprobar periódicamente el cumplimiento de las normas oficiales;</w:t>
      </w:r>
    </w:p>
    <w:p w14:paraId="5A790D51"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7100C818" w14:textId="77777777" w:rsidR="0037533C" w:rsidRPr="007923C2" w:rsidRDefault="0037533C" w:rsidP="0037533C">
      <w:pPr>
        <w:widowControl w:val="0"/>
        <w:overflowPunct w:val="0"/>
        <w:autoSpaceDE w:val="0"/>
        <w:autoSpaceDN w:val="0"/>
        <w:adjustRightInd w:val="0"/>
        <w:spacing w:after="0" w:line="239" w:lineRule="auto"/>
        <w:ind w:right="60"/>
        <w:rPr>
          <w:rFonts w:ascii="Arial" w:hAnsi="Arial" w:cs="Arial"/>
          <w:sz w:val="22"/>
          <w:szCs w:val="22"/>
        </w:rPr>
      </w:pPr>
      <w:r w:rsidRPr="007923C2">
        <w:rPr>
          <w:rFonts w:ascii="Arial" w:hAnsi="Arial" w:cs="Arial"/>
          <w:sz w:val="22"/>
          <w:szCs w:val="22"/>
        </w:rPr>
        <w:t>Organismo nacional de normalización: persona física o moral aprobada por la Secretaría para elaborar normas mexicanas en materia de sanidad vegetal;</w:t>
      </w:r>
    </w:p>
    <w:p w14:paraId="46094198"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6C264E3D" w14:textId="77777777"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Plaga: forma de vida vegetal o animal o agente patogénico, dañino o potencialmente dañino a los vegetales;</w:t>
      </w:r>
    </w:p>
    <w:p w14:paraId="14947B31"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1F46B230"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Plaga exótica: la que es originaria de otro país;</w:t>
      </w:r>
    </w:p>
    <w:p w14:paraId="762E956E"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74278D6D"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Plaguicida: insumo fitosanitario destinado a prevenir, repeler, combatir y destruir a los organismos biológicos nocivos a los vegetales tales como: insecticidas, fungicidas, herbicidas, acaricidas, molusquicidas, nematicidas y rodenticida;</w:t>
      </w:r>
    </w:p>
    <w:p w14:paraId="2C69812A"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668CF7C1"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Producto vegetal: órganos o partes útiles de los vegetales que por su naturaleza o la de su producción, transformación, comercialización o movilización pueden crear un peligro de propagación de plagas;</w:t>
      </w:r>
    </w:p>
    <w:p w14:paraId="49099C9A"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10C99298"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Profesional fitosanitario: profesionista con estudios relacionados con la sanidad vegetal, que es apto, para coadyuvar con la Secretaría en el desarrollo de los programas de extensión y capacitación que en la materia implante, así como en la ejecución de las medidas fitosanitarias que establezca con el dispositivo nacional de emergencia de sanidad vegetal;</w:t>
      </w:r>
    </w:p>
    <w:p w14:paraId="2009921C"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2A36FB30"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Puntos de verificación interna: instalaciones ubicadas en las vías terrestres de comunicación, en donde se constatan los certificados fitosanitarios expedidos y, en su caso, se verifican e inspeccionan los vegetales, sus productos o subproductos, los insumos, vehículos de transporte, materiales, maquinaria y equipos que pueden diseminar plagas cuando se movilizan de una zona a otra;</w:t>
      </w:r>
    </w:p>
    <w:p w14:paraId="1A4F3110"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6B19F75F"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Secretaría: la Secretaría de Agricultura y Recursos Hidráulicos;</w:t>
      </w:r>
    </w:p>
    <w:p w14:paraId="5E33D911"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061B4E33"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Servicios fitosanitarios: la certificación y verificación de normas oficiales que realizan la Secretaría o las personas físicas o morales a probadas;</w:t>
      </w:r>
    </w:p>
    <w:p w14:paraId="6093B904"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1E2DBB07" w14:textId="77777777" w:rsidR="0037533C" w:rsidRPr="007923C2" w:rsidRDefault="0037533C" w:rsidP="0037533C">
      <w:pPr>
        <w:widowControl w:val="0"/>
        <w:overflowPunct w:val="0"/>
        <w:autoSpaceDE w:val="0"/>
        <w:autoSpaceDN w:val="0"/>
        <w:adjustRightInd w:val="0"/>
        <w:spacing w:after="0" w:line="239" w:lineRule="auto"/>
        <w:ind w:right="60"/>
        <w:rPr>
          <w:rFonts w:ascii="Arial" w:hAnsi="Arial" w:cs="Arial"/>
          <w:sz w:val="22"/>
          <w:szCs w:val="22"/>
        </w:rPr>
      </w:pPr>
      <w:r w:rsidRPr="007923C2">
        <w:rPr>
          <w:rFonts w:ascii="Arial" w:hAnsi="Arial" w:cs="Arial"/>
          <w:sz w:val="22"/>
          <w:szCs w:val="22"/>
        </w:rPr>
        <w:lastRenderedPageBreak/>
        <w:t>Subproducto vegetal: el que se deriva de un producto vegetal cuyo proceso de producción o transformación no asegura su calidad fitosanitaria;</w:t>
      </w:r>
    </w:p>
    <w:p w14:paraId="5B6CB696"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74A5776C"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Tratamiento: procedimiento de naturaleza química, física o de otra índole, para eliminar, remover o inducir esterilidad a las plagas que afectan a los vegetales;</w:t>
      </w:r>
    </w:p>
    <w:p w14:paraId="0AE36FC3"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52433354"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Unidad de verificación: persona física o moral aprobada por la Secretaría para prestar, a petición de parte, servicios de verificación de normas oficiales y expedir certificados fitosanitarios;</w:t>
      </w:r>
    </w:p>
    <w:p w14:paraId="7714ECC9" w14:textId="77777777" w:rsidR="00773D65" w:rsidRPr="007923C2" w:rsidRDefault="00773D65" w:rsidP="0037533C">
      <w:pPr>
        <w:widowControl w:val="0"/>
        <w:overflowPunct w:val="0"/>
        <w:autoSpaceDE w:val="0"/>
        <w:autoSpaceDN w:val="0"/>
        <w:adjustRightInd w:val="0"/>
        <w:spacing w:after="0" w:line="253" w:lineRule="auto"/>
        <w:jc w:val="both"/>
        <w:rPr>
          <w:rFonts w:ascii="Arial" w:hAnsi="Arial" w:cs="Arial"/>
          <w:sz w:val="22"/>
          <w:szCs w:val="22"/>
        </w:rPr>
      </w:pPr>
    </w:p>
    <w:p w14:paraId="78CCE1F6" w14:textId="77777777" w:rsidR="0037533C" w:rsidRPr="007923C2" w:rsidRDefault="0037533C" w:rsidP="0037533C">
      <w:pPr>
        <w:widowControl w:val="0"/>
        <w:overflowPunct w:val="0"/>
        <w:autoSpaceDE w:val="0"/>
        <w:autoSpaceDN w:val="0"/>
        <w:adjustRightInd w:val="0"/>
        <w:spacing w:after="0" w:line="253" w:lineRule="auto"/>
        <w:jc w:val="both"/>
        <w:rPr>
          <w:rFonts w:ascii="Arial" w:hAnsi="Arial" w:cs="Arial"/>
          <w:sz w:val="22"/>
          <w:szCs w:val="22"/>
        </w:rPr>
      </w:pPr>
      <w:r w:rsidRPr="007923C2">
        <w:rPr>
          <w:rFonts w:ascii="Arial" w:hAnsi="Arial" w:cs="Arial"/>
          <w:sz w:val="22"/>
          <w:szCs w:val="22"/>
        </w:rPr>
        <w:t>Vegetales: se refiere a los individuos que pertenecen al reino vegetal, considerándose las especies agrícolas, forestales y silvestres;</w:t>
      </w:r>
    </w:p>
    <w:p w14:paraId="67059FD0"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5DD0DBBB" w14:textId="77777777" w:rsidR="0037533C" w:rsidRPr="007923C2" w:rsidRDefault="0037533C" w:rsidP="0037533C">
      <w:pPr>
        <w:widowControl w:val="0"/>
        <w:overflowPunct w:val="0"/>
        <w:autoSpaceDE w:val="0"/>
        <w:autoSpaceDN w:val="0"/>
        <w:adjustRightInd w:val="0"/>
        <w:spacing w:after="0" w:line="253" w:lineRule="auto"/>
        <w:ind w:right="40"/>
        <w:rPr>
          <w:rFonts w:ascii="Arial" w:hAnsi="Arial" w:cs="Arial"/>
          <w:sz w:val="22"/>
          <w:szCs w:val="22"/>
        </w:rPr>
      </w:pPr>
      <w:r w:rsidRPr="007923C2">
        <w:rPr>
          <w:rFonts w:ascii="Arial" w:hAnsi="Arial" w:cs="Arial"/>
          <w:sz w:val="22"/>
          <w:szCs w:val="22"/>
        </w:rPr>
        <w:t>Verificación: constatación ocular o comprobación mediante muestreo y análisis de laboratorio, del cumplimiento de las normas oficiales, expresándose a través de un dictamen;</w:t>
      </w:r>
    </w:p>
    <w:p w14:paraId="308A87BA"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4D85A889"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Verificación en origen: la que realizan la Secretaría o los organismos de certificación o unidades de verificación acreditados o reconocidos en términos de esta Ley, para constatar en el país de origen, previo a su importación, el cumplimiento de las normas oficiales o la calidad fitosanitaria de los vegetales, sus productos o subproductos;</w:t>
      </w:r>
    </w:p>
    <w:p w14:paraId="1B9F71EE"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4EE268FD"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Zona bajo control fitosanitario: área geográfica determinada en la que se aplican medidas fitosanitarias a fin de controlar, combatir, erradicar o disminuir la incidencia o presencia de una plaga, en un periodo y para una especie vegetal específicos;</w:t>
      </w:r>
    </w:p>
    <w:p w14:paraId="5EE28E38"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3476F228" w14:textId="77777777" w:rsidR="0037533C" w:rsidRPr="007923C2" w:rsidRDefault="0037533C" w:rsidP="0037533C">
      <w:pPr>
        <w:widowControl w:val="0"/>
        <w:overflowPunct w:val="0"/>
        <w:autoSpaceDE w:val="0"/>
        <w:autoSpaceDN w:val="0"/>
        <w:adjustRightInd w:val="0"/>
        <w:spacing w:after="0" w:line="244" w:lineRule="auto"/>
        <w:ind w:right="20"/>
        <w:jc w:val="both"/>
        <w:rPr>
          <w:rFonts w:ascii="Arial" w:hAnsi="Arial" w:cs="Arial"/>
          <w:sz w:val="22"/>
          <w:szCs w:val="22"/>
        </w:rPr>
      </w:pPr>
      <w:r w:rsidRPr="007923C2">
        <w:rPr>
          <w:rFonts w:ascii="Arial" w:hAnsi="Arial" w:cs="Arial"/>
          <w:sz w:val="22"/>
          <w:szCs w:val="22"/>
        </w:rPr>
        <w:t>Zona de baja prevalencia: área geográfica determinada que presenta infestaciones de especies de plagas no detectables que, con base en el análisis de riesgo correspondiente, no causan impacto económico; y</w:t>
      </w:r>
    </w:p>
    <w:p w14:paraId="5234AD04"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49DE4D0B"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Zona libre: área geográfica determinada en la cual se ha eliminado o no se han presentado casos positivos de una plaga de vegetales específica, durante un periodo determinado, de acuerdo con las medidas fitosanitarias aplicables establecidas por la Secretaría.</w:t>
      </w:r>
    </w:p>
    <w:p w14:paraId="703E699F"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2566F5AB"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III</w:t>
      </w:r>
    </w:p>
    <w:p w14:paraId="79EB732A" w14:textId="77777777"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 AUTORIDAD COMPETENTE</w:t>
      </w:r>
    </w:p>
    <w:p w14:paraId="58AE0E7D"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286EB18B"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6o.-</w:t>
      </w:r>
    </w:p>
    <w:p w14:paraId="399DFD0F" w14:textId="77777777"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La aplicación de esta ley corresponde al Ejecutivo Federal por conducto de la Secretaría.</w:t>
      </w:r>
    </w:p>
    <w:p w14:paraId="7D0200F0"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50EAE4E2"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7o.-</w:t>
      </w:r>
    </w:p>
    <w:p w14:paraId="5E5B88F1" w14:textId="77777777"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Son atribuciones de la Secretaría en materia de sanidad vegetal:</w:t>
      </w:r>
    </w:p>
    <w:p w14:paraId="78A17364"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64D4CE78"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I. Promover, coordinar y vigilar, en su caso, las actividades y servicios fitosanitarios en los que participen las diversas dependencias y entidades de la administración pública federal, gobiernos estatales y municipales, organismos auxiliares y particulares vinculados con la materia;</w:t>
      </w:r>
    </w:p>
    <w:p w14:paraId="5301B745"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03E0BE91"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II. Promover y orientar la investigación en materia de sanidad vegetal, el desarrollo de variedades resistentes contra plagas y la multiplicación y conservación de agentes de control biológico;</w:t>
      </w:r>
    </w:p>
    <w:p w14:paraId="5FFB74C0"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4CBACCCE"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III. Promover la armonización y equivalencia internacional de las disposiciones fitosanitarias;</w:t>
      </w:r>
    </w:p>
    <w:p w14:paraId="354FD99F"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535C79FC"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 xml:space="preserve">IV. Proponer al titular del Ejecutivo Federal la formulación o la adhesión a los tratados internacionales </w:t>
      </w:r>
      <w:r w:rsidRPr="007923C2">
        <w:rPr>
          <w:rFonts w:ascii="Arial" w:hAnsi="Arial" w:cs="Arial"/>
          <w:sz w:val="22"/>
          <w:szCs w:val="22"/>
        </w:rPr>
        <w:lastRenderedPageBreak/>
        <w:t>que en materia de sanidad vegetal sean de interés para el país, y suscribir los acuerdos interinstitucionales que sean necesarios para lograr la armonización internacional de las medidas fitosanitarias;</w:t>
      </w:r>
    </w:p>
    <w:p w14:paraId="1DC08E7E"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7F27385C"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V. Celebrar acuerdos y convenios en materia de sanidad vegetal con las dependencias o entidades de la administración pública federal y gobiernos de las entidades federativas y municipios.</w:t>
      </w:r>
    </w:p>
    <w:p w14:paraId="1EAA114B"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7D662510" w14:textId="77777777" w:rsidR="0037533C" w:rsidRPr="007923C2" w:rsidRDefault="0037533C" w:rsidP="0037533C">
      <w:pPr>
        <w:widowControl w:val="0"/>
        <w:overflowPunct w:val="0"/>
        <w:autoSpaceDE w:val="0"/>
        <w:autoSpaceDN w:val="0"/>
        <w:adjustRightInd w:val="0"/>
        <w:spacing w:after="0"/>
        <w:ind w:right="20"/>
        <w:jc w:val="both"/>
        <w:rPr>
          <w:rFonts w:ascii="Arial" w:hAnsi="Arial" w:cs="Arial"/>
          <w:sz w:val="22"/>
          <w:szCs w:val="22"/>
        </w:rPr>
      </w:pPr>
      <w:r w:rsidRPr="007923C2">
        <w:rPr>
          <w:rFonts w:ascii="Arial" w:hAnsi="Arial" w:cs="Arial"/>
          <w:sz w:val="22"/>
          <w:szCs w:val="22"/>
        </w:rPr>
        <w:t>Los acuerdos y convenios que suscriba la Secretaría con los gobiernos estatales con el objeto de que coadyuven en el desempeño de sus atribuciones para la ejecución y operación de obras y prestación de servicios públicos, deberán publicarse en el Diario Oficial de la Federación;</w:t>
      </w:r>
    </w:p>
    <w:p w14:paraId="52A8C734" w14:textId="77777777" w:rsidR="0037533C" w:rsidRPr="007923C2" w:rsidRDefault="0037533C" w:rsidP="0037533C">
      <w:pPr>
        <w:widowControl w:val="0"/>
        <w:autoSpaceDE w:val="0"/>
        <w:autoSpaceDN w:val="0"/>
        <w:adjustRightInd w:val="0"/>
        <w:spacing w:after="0" w:line="201" w:lineRule="exact"/>
        <w:rPr>
          <w:rFonts w:ascii="Arial" w:hAnsi="Arial" w:cs="Arial"/>
          <w:sz w:val="22"/>
          <w:szCs w:val="22"/>
        </w:rPr>
      </w:pPr>
    </w:p>
    <w:p w14:paraId="2FEF016A" w14:textId="77777777"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VI. Concertar acciones con los organismos auxiliares y particulares vinculados con la materia de sanidad vegetal;</w:t>
      </w:r>
    </w:p>
    <w:p w14:paraId="7F160C15" w14:textId="77777777" w:rsidR="00773D65" w:rsidRPr="007923C2" w:rsidRDefault="00773D65" w:rsidP="0037533C">
      <w:pPr>
        <w:widowControl w:val="0"/>
        <w:overflowPunct w:val="0"/>
        <w:autoSpaceDE w:val="0"/>
        <w:autoSpaceDN w:val="0"/>
        <w:adjustRightInd w:val="0"/>
        <w:spacing w:after="0" w:line="241" w:lineRule="auto"/>
        <w:jc w:val="both"/>
        <w:rPr>
          <w:rFonts w:ascii="Arial" w:hAnsi="Arial" w:cs="Arial"/>
          <w:sz w:val="22"/>
          <w:szCs w:val="22"/>
        </w:rPr>
      </w:pPr>
    </w:p>
    <w:p w14:paraId="0BDA73E6"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VII. Celebrar y promover la suscripción de acuerdos y convenios con instituciones académicas y científicas, nacionales o extranjeras, orientados a desarrollar proyectos conjuntos de investigación científica, capacitación e intercambio de tecnología en materia de sanidad vegetal;</w:t>
      </w:r>
    </w:p>
    <w:p w14:paraId="569CF22E"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5E03AE51"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VIII. Dictaminar sobre los aspectos fitosanitarios de los límites máximos de residuos de plaguicidas que se establezcan y, en el ámbito de su competencia, vigilar su observancia;</w:t>
      </w:r>
    </w:p>
    <w:p w14:paraId="4E4350F0"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0784D62A" w14:textId="77777777"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IX. Elaborar y aplicar permanentemente, programas de capacitación y actualización técnica en materia de sanidad vegetal;</w:t>
      </w:r>
    </w:p>
    <w:p w14:paraId="0E18CDF8"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68A26C39" w14:textId="77777777"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X. Elaborar, recopilar y infundir regularmente, información y estadísticas en materia de sanidad vegetal;</w:t>
      </w:r>
    </w:p>
    <w:p w14:paraId="3A1EAB56"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459FD9E9" w14:textId="77777777" w:rsidR="0037533C" w:rsidRPr="007923C2" w:rsidRDefault="0037533C" w:rsidP="0037533C">
      <w:pPr>
        <w:widowControl w:val="0"/>
        <w:overflowPunct w:val="0"/>
        <w:autoSpaceDE w:val="0"/>
        <w:autoSpaceDN w:val="0"/>
        <w:adjustRightInd w:val="0"/>
        <w:spacing w:after="0" w:line="239" w:lineRule="auto"/>
        <w:ind w:right="20"/>
        <w:rPr>
          <w:rFonts w:ascii="Arial" w:hAnsi="Arial" w:cs="Arial"/>
          <w:sz w:val="22"/>
          <w:szCs w:val="22"/>
        </w:rPr>
      </w:pPr>
      <w:r w:rsidRPr="007923C2">
        <w:rPr>
          <w:rFonts w:ascii="Arial" w:hAnsi="Arial" w:cs="Arial"/>
          <w:sz w:val="22"/>
          <w:szCs w:val="22"/>
        </w:rPr>
        <w:t>XI. Organizar, integrar y coordinar el Consejo Nacional Consultivo Fitosanitario e integrar los consejos consultivos estatales;</w:t>
      </w:r>
    </w:p>
    <w:p w14:paraId="2077870E"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2484DB89"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XII. Establecer, instrumentar y coordinar el Comité Consultivo Nacional de Normalización de Protección Fitosanitaria;</w:t>
      </w:r>
    </w:p>
    <w:p w14:paraId="17E6DA22"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0E4B0925" w14:textId="77777777" w:rsidR="0037533C" w:rsidRPr="007923C2" w:rsidRDefault="0037533C" w:rsidP="0037533C">
      <w:pPr>
        <w:widowControl w:val="0"/>
        <w:overflowPunct w:val="0"/>
        <w:autoSpaceDE w:val="0"/>
        <w:autoSpaceDN w:val="0"/>
        <w:adjustRightInd w:val="0"/>
        <w:spacing w:after="0" w:line="239" w:lineRule="auto"/>
        <w:ind w:right="20"/>
        <w:rPr>
          <w:rFonts w:ascii="Arial" w:hAnsi="Arial" w:cs="Arial"/>
          <w:sz w:val="22"/>
          <w:szCs w:val="22"/>
        </w:rPr>
      </w:pPr>
      <w:r w:rsidRPr="007923C2">
        <w:rPr>
          <w:rFonts w:ascii="Arial" w:hAnsi="Arial" w:cs="Arial"/>
          <w:sz w:val="22"/>
          <w:szCs w:val="22"/>
        </w:rPr>
        <w:t>XIII. Formular, aplicar y, en el ámbito de su competencia, expedir las disposiciones y medidas fitosanitarias, necesarias, certificando, verificando e inspeccionando su cumplimiento;</w:t>
      </w:r>
    </w:p>
    <w:p w14:paraId="6FAA8C28"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7CCFD1D0"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XIV. Proponer la modificación o cancelación de normas oficiales en materia de sanidad vegetal, cuando científicamente hayan variado los supuestos que regulan o no se justifique la continuación de su vigencia;</w:t>
      </w:r>
    </w:p>
    <w:p w14:paraId="4BB11F5C"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650CDD91" w14:textId="77777777" w:rsidR="0037533C" w:rsidRPr="007923C2" w:rsidRDefault="0037533C" w:rsidP="0037533C">
      <w:pPr>
        <w:widowControl w:val="0"/>
        <w:overflowPunct w:val="0"/>
        <w:autoSpaceDE w:val="0"/>
        <w:autoSpaceDN w:val="0"/>
        <w:adjustRightInd w:val="0"/>
        <w:spacing w:after="0" w:line="244" w:lineRule="auto"/>
        <w:ind w:right="60"/>
        <w:jc w:val="both"/>
        <w:rPr>
          <w:rFonts w:ascii="Arial" w:hAnsi="Arial" w:cs="Arial"/>
          <w:sz w:val="22"/>
          <w:szCs w:val="22"/>
        </w:rPr>
      </w:pPr>
      <w:r w:rsidRPr="007923C2">
        <w:rPr>
          <w:rFonts w:ascii="Arial" w:hAnsi="Arial" w:cs="Arial"/>
          <w:sz w:val="22"/>
          <w:szCs w:val="22"/>
        </w:rPr>
        <w:t>XV. Normar las características o especificaciones que deben reunir los equipos, materiales, dispositivos e instalaciones que se utilicen en la prevención y combate de plagas o en las zonas bajo control fitosanitario, verificando su operación;</w:t>
      </w:r>
    </w:p>
    <w:p w14:paraId="399CF904"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5609D329" w14:textId="77777777" w:rsidR="0037533C" w:rsidRPr="007923C2" w:rsidRDefault="0037533C" w:rsidP="0037533C">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XVI. Normar en el ámbito de su competencia los aspectos fitosanitarios y de nutrición vegetal de la producción orgánica agrícola y silvícola;</w:t>
      </w:r>
    </w:p>
    <w:p w14:paraId="51F6BB63" w14:textId="77777777" w:rsidR="0037533C" w:rsidRPr="007923C2" w:rsidRDefault="0037533C" w:rsidP="0037533C">
      <w:pPr>
        <w:widowControl w:val="0"/>
        <w:autoSpaceDE w:val="0"/>
        <w:autoSpaceDN w:val="0"/>
        <w:adjustRightInd w:val="0"/>
        <w:spacing w:after="0" w:line="234" w:lineRule="auto"/>
        <w:rPr>
          <w:rFonts w:ascii="Arial" w:hAnsi="Arial" w:cs="Arial"/>
          <w:sz w:val="22"/>
          <w:szCs w:val="22"/>
        </w:rPr>
      </w:pPr>
      <w:r w:rsidRPr="007923C2">
        <w:rPr>
          <w:rFonts w:ascii="Arial" w:hAnsi="Arial" w:cs="Arial"/>
          <w:sz w:val="22"/>
          <w:szCs w:val="22"/>
        </w:rPr>
        <w:t>XVII. Elaborar, actualizar y difundir el Directorio Fitosanitario;</w:t>
      </w:r>
    </w:p>
    <w:p w14:paraId="017FA999" w14:textId="77777777"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14:paraId="199A03E3" w14:textId="77777777" w:rsidR="0037533C" w:rsidRPr="007923C2" w:rsidRDefault="0037533C" w:rsidP="0037533C">
      <w:pPr>
        <w:widowControl w:val="0"/>
        <w:overflowPunct w:val="0"/>
        <w:autoSpaceDE w:val="0"/>
        <w:autoSpaceDN w:val="0"/>
        <w:adjustRightInd w:val="0"/>
        <w:spacing w:after="0" w:line="244" w:lineRule="auto"/>
        <w:ind w:right="20"/>
        <w:jc w:val="both"/>
        <w:rPr>
          <w:rFonts w:ascii="Arial" w:hAnsi="Arial" w:cs="Arial"/>
          <w:sz w:val="22"/>
          <w:szCs w:val="22"/>
        </w:rPr>
      </w:pPr>
      <w:r w:rsidRPr="007923C2">
        <w:rPr>
          <w:rFonts w:ascii="Arial" w:hAnsi="Arial" w:cs="Arial"/>
          <w:sz w:val="22"/>
          <w:szCs w:val="22"/>
        </w:rPr>
        <w:t>XVIII. Prevenir la introducción al país de plagas que afecten a los vegetales y ejercer el control fitosanitario en la importación y exportación de vegetales, sus productos o subproductos y agentes causales de problemas fitosanitarios;</w:t>
      </w:r>
    </w:p>
    <w:p w14:paraId="4493E2DF"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78736E52" w14:textId="77777777" w:rsidR="0037533C" w:rsidRPr="007923C2" w:rsidRDefault="0037533C" w:rsidP="0037533C">
      <w:pPr>
        <w:widowControl w:val="0"/>
        <w:overflowPunct w:val="0"/>
        <w:autoSpaceDE w:val="0"/>
        <w:autoSpaceDN w:val="0"/>
        <w:adjustRightInd w:val="0"/>
        <w:spacing w:after="0" w:line="244" w:lineRule="auto"/>
        <w:ind w:right="20"/>
        <w:jc w:val="both"/>
        <w:rPr>
          <w:rFonts w:ascii="Arial" w:hAnsi="Arial" w:cs="Arial"/>
          <w:sz w:val="22"/>
          <w:szCs w:val="22"/>
        </w:rPr>
      </w:pPr>
      <w:r w:rsidRPr="007923C2">
        <w:rPr>
          <w:rFonts w:ascii="Arial" w:hAnsi="Arial" w:cs="Arial"/>
          <w:sz w:val="22"/>
          <w:szCs w:val="22"/>
        </w:rPr>
        <w:t>XIX. Controlar los aspectos fitosanitarios de la producción, industrialización, comercialización y movilización de vegetales, sus productos o subproductos, vehículos de transporte, materiales, maquinaria y equipos agrícolas o forestales cuando implique un riesgo fitosanitario;</w:t>
      </w:r>
    </w:p>
    <w:p w14:paraId="7F5C381F"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0FE1F2AD"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XX. Establecer y aplicar las cuarentenas de vegetales, sus productos o subproductos;</w:t>
      </w:r>
    </w:p>
    <w:p w14:paraId="6A27A299"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0D95B9ED"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XXI. Ordenar la retención, disposición o destrucción de vegetales, sus productos o subproductos, viveros, cultivos, siembras, cosechas, plantaciones, empaques, embalajes y semillas, en los términos y supuestos indicados en esta Ley, su reglamento y las normas oficiales respectivas;</w:t>
      </w:r>
    </w:p>
    <w:p w14:paraId="440A739E"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600248EA"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XXII. Declarar zonas libres o de baja prevalencia;</w:t>
      </w:r>
    </w:p>
    <w:p w14:paraId="52B43503"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6662A587"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XXIII. Dictaminar la efectividad biológica de los plaguicidas e insumos de nutrición vegetal;</w:t>
      </w:r>
    </w:p>
    <w:p w14:paraId="71752C64"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3734FE4D"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XXIV. Regular las actividades y servicios fitosanitarios promoviendo su financiamiento;</w:t>
      </w:r>
    </w:p>
    <w:p w14:paraId="070CA120"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0A8DF13D"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XXV. Instrumentar y coordinar el Dispositivo Nacional de Emergencia de Sanidad Vegetal;</w:t>
      </w:r>
    </w:p>
    <w:p w14:paraId="026C75E0" w14:textId="77777777" w:rsidR="00773D65" w:rsidRPr="007923C2" w:rsidRDefault="00773D65" w:rsidP="0037533C">
      <w:pPr>
        <w:widowControl w:val="0"/>
        <w:overflowPunct w:val="0"/>
        <w:autoSpaceDE w:val="0"/>
        <w:autoSpaceDN w:val="0"/>
        <w:adjustRightInd w:val="0"/>
        <w:spacing w:after="0" w:line="244" w:lineRule="auto"/>
        <w:ind w:right="20"/>
        <w:jc w:val="both"/>
        <w:rPr>
          <w:rFonts w:ascii="Arial" w:hAnsi="Arial" w:cs="Arial"/>
          <w:sz w:val="22"/>
          <w:szCs w:val="22"/>
        </w:rPr>
      </w:pPr>
    </w:p>
    <w:p w14:paraId="15F2B525" w14:textId="77777777" w:rsidR="0037533C" w:rsidRPr="007923C2" w:rsidRDefault="0037533C" w:rsidP="0037533C">
      <w:pPr>
        <w:widowControl w:val="0"/>
        <w:overflowPunct w:val="0"/>
        <w:autoSpaceDE w:val="0"/>
        <w:autoSpaceDN w:val="0"/>
        <w:adjustRightInd w:val="0"/>
        <w:spacing w:after="0" w:line="244" w:lineRule="auto"/>
        <w:ind w:right="20"/>
        <w:jc w:val="both"/>
        <w:rPr>
          <w:rFonts w:ascii="Arial" w:hAnsi="Arial" w:cs="Arial"/>
          <w:sz w:val="22"/>
          <w:szCs w:val="22"/>
        </w:rPr>
      </w:pPr>
      <w:r w:rsidRPr="007923C2">
        <w:rPr>
          <w:rFonts w:ascii="Arial" w:hAnsi="Arial" w:cs="Arial"/>
          <w:sz w:val="22"/>
          <w:szCs w:val="22"/>
        </w:rPr>
        <w:t>XXVI. Aprobar a organismos nacionales de normalización, organismos de certificación, unidades de verificación y laboratorios de pruebas en materia de sanidad vegetal, propiciando su acreditamiento;</w:t>
      </w:r>
    </w:p>
    <w:p w14:paraId="1B1C0AB6"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1DD3B06D" w14:textId="77777777"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XXVII. Organizar, verificar, inspeccionar y normar la operación de organismos de certificación, unidades de verificación y laboratorios de pruebas;</w:t>
      </w:r>
    </w:p>
    <w:p w14:paraId="5D2403F0"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49B7ECD2"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XXVIII. Instrumentar, organizar y operar el servicio oficial de seguridad fitosanitaria en los puertos aéreos, marítimos y terrestres, actuando en coordinación con las demás dependencias competentes;</w:t>
      </w:r>
    </w:p>
    <w:p w14:paraId="30051DF0"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4F5A5E5F" w14:textId="77777777" w:rsidR="0037533C" w:rsidRPr="007923C2" w:rsidRDefault="0037533C" w:rsidP="0037533C">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XXIX. Establecer, coordinar, verificar e inspeccionar las estaciones cuarentenarias y los puntos de verificación interna;</w:t>
      </w:r>
    </w:p>
    <w:p w14:paraId="58E348B6"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22696508"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XXX. Otorgar el Premio Nacional de Sanidad Vegetal;</w:t>
      </w:r>
    </w:p>
    <w:p w14:paraId="4055A17F"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30216AD1"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XXXI. Atender las denuncias populares que se presenten, imponer sanciones y resolver recursos de revisión, en los términos de esta Ley; y</w:t>
      </w:r>
    </w:p>
    <w:p w14:paraId="0D0B9A10"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11220BE4" w14:textId="77777777" w:rsidR="0037533C" w:rsidRPr="007923C2" w:rsidRDefault="0037533C" w:rsidP="0037533C">
      <w:pPr>
        <w:widowControl w:val="0"/>
        <w:overflowPunct w:val="0"/>
        <w:autoSpaceDE w:val="0"/>
        <w:autoSpaceDN w:val="0"/>
        <w:adjustRightInd w:val="0"/>
        <w:spacing w:after="0" w:line="239" w:lineRule="auto"/>
        <w:ind w:right="60"/>
        <w:rPr>
          <w:rFonts w:ascii="Arial" w:hAnsi="Arial" w:cs="Arial"/>
          <w:sz w:val="22"/>
          <w:szCs w:val="22"/>
        </w:rPr>
      </w:pPr>
      <w:r w:rsidRPr="007923C2">
        <w:rPr>
          <w:rFonts w:ascii="Arial" w:hAnsi="Arial" w:cs="Arial"/>
          <w:sz w:val="22"/>
          <w:szCs w:val="22"/>
        </w:rPr>
        <w:t>XXXII. Las demás que señalen esta ley, demás leyes federales y tratados internacionales en los que sean parte los Estados Unidos Mexicanos.</w:t>
      </w:r>
    </w:p>
    <w:p w14:paraId="622EE685"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3C4E5B1A"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8o.-</w:t>
      </w:r>
    </w:p>
    <w:p w14:paraId="2509C5AB"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02F10711" w14:textId="77777777" w:rsidR="0037533C" w:rsidRPr="007923C2" w:rsidRDefault="0037533C" w:rsidP="0037533C">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sz w:val="22"/>
          <w:szCs w:val="22"/>
        </w:rPr>
        <w:t>Las dependencias y entidades de la administración pública federal deberán coordinar sus actividades con la Secretaría, cuando tengan relación con la materia de sanidad vegetal.</w:t>
      </w:r>
    </w:p>
    <w:p w14:paraId="73A8D7C3" w14:textId="77777777"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14:paraId="2F6A43B6"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9o.-</w:t>
      </w:r>
    </w:p>
    <w:p w14:paraId="1AB46EDE"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170DF4A5" w14:textId="77777777" w:rsidR="0037533C" w:rsidRPr="007923C2" w:rsidRDefault="0037533C" w:rsidP="0037533C">
      <w:pPr>
        <w:widowControl w:val="0"/>
        <w:overflowPunct w:val="0"/>
        <w:autoSpaceDE w:val="0"/>
        <w:autoSpaceDN w:val="0"/>
        <w:adjustRightInd w:val="0"/>
        <w:spacing w:after="0" w:line="240" w:lineRule="auto"/>
        <w:ind w:right="20"/>
        <w:jc w:val="both"/>
        <w:rPr>
          <w:rFonts w:ascii="Arial" w:hAnsi="Arial" w:cs="Arial"/>
          <w:sz w:val="22"/>
          <w:szCs w:val="22"/>
        </w:rPr>
      </w:pPr>
      <w:r w:rsidRPr="007923C2">
        <w:rPr>
          <w:rFonts w:ascii="Arial" w:hAnsi="Arial" w:cs="Arial"/>
          <w:sz w:val="22"/>
          <w:szCs w:val="22"/>
        </w:rPr>
        <w:t>La Secretaría de Hacienda y Crédito Público coadyuvará con la Secretaría para que, en el ámbito de sus atribuciones, vigile el cumplimiento de las disposiciones fitosanitarias aplicables en la importación y exportación de vegetales, sus productos o subproductos.</w:t>
      </w:r>
    </w:p>
    <w:p w14:paraId="0D6F280D"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7C60207C"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10.-</w:t>
      </w:r>
    </w:p>
    <w:p w14:paraId="0ECB23DF"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222BC801"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Secretaría, en el ámbito de sus atribuciones, coadyuvará con las de Salud y de Desarrollo Social, para vigilar el cumplimiento de las normas oficiales aplicables a los plaguicidas e insumos de nutrición vegetal.</w:t>
      </w:r>
    </w:p>
    <w:p w14:paraId="04A4855D" w14:textId="77777777"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14:paraId="369D00B3"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11.-</w:t>
      </w:r>
    </w:p>
    <w:p w14:paraId="4030AA8B"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260B7655"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A petición de la Secretaría, la de Relaciones Exteriores, por conducto de sus representantes diplomáticos y consulares, le informará sobre la existencia de plagas de los vegetales en el extranjero, las regiones afectadas, las medidas fitosanitarias aplicadas para combatirlas y sobre los resultados que se hayan se obtenido</w:t>
      </w:r>
    </w:p>
    <w:p w14:paraId="20C75A92"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1AEA55A7"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12.-</w:t>
      </w:r>
    </w:p>
    <w:p w14:paraId="2AE4AD81"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21E0EC6E"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El Comité Consultivo Nacional de Normalización de Protección Fitosanitaria se integrará y realizará las funciones que se indican en el reglamento respectivo y se sujetará a los lineamientos generales de la Comisión Nacional de Normalización.</w:t>
      </w:r>
    </w:p>
    <w:p w14:paraId="4CDB0523"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0960ED01"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13.-</w:t>
      </w:r>
    </w:p>
    <w:p w14:paraId="6670F84F"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16F2CA57"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Las actividades y servicios de certificación y verificación a cargo de particulares, se sujetará a la aprobación que previamente emita la Secretaría, quien propiciará su acreditamiento y verificará e inspeccionará su operación.</w:t>
      </w:r>
    </w:p>
    <w:p w14:paraId="7B4924B3"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4011D09A"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14.-</w:t>
      </w:r>
    </w:p>
    <w:p w14:paraId="067C7B3E"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70909E16" w14:textId="77777777" w:rsidR="0037533C" w:rsidRPr="007923C2" w:rsidRDefault="0037533C" w:rsidP="0037533C">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sz w:val="22"/>
          <w:szCs w:val="22"/>
        </w:rPr>
        <w:t>La Secretaría organizará y coordinará la integración y operación de los organismos auxiliares en los términos del reglamento de esta Ley.</w:t>
      </w:r>
    </w:p>
    <w:p w14:paraId="770DA468" w14:textId="77777777"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14:paraId="616911B5"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15.-</w:t>
      </w:r>
    </w:p>
    <w:p w14:paraId="16D92433"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234E6B08" w14:textId="77777777" w:rsidR="0037533C" w:rsidRPr="007923C2" w:rsidRDefault="0037533C" w:rsidP="0037533C">
      <w:pPr>
        <w:widowControl w:val="0"/>
        <w:overflowPunct w:val="0"/>
        <w:autoSpaceDE w:val="0"/>
        <w:autoSpaceDN w:val="0"/>
        <w:adjustRightInd w:val="0"/>
        <w:spacing w:after="0" w:line="245" w:lineRule="auto"/>
        <w:ind w:right="40"/>
        <w:rPr>
          <w:rFonts w:ascii="Arial" w:hAnsi="Arial" w:cs="Arial"/>
          <w:sz w:val="22"/>
          <w:szCs w:val="22"/>
        </w:rPr>
      </w:pPr>
      <w:r w:rsidRPr="007923C2">
        <w:rPr>
          <w:rFonts w:ascii="Arial" w:hAnsi="Arial" w:cs="Arial"/>
          <w:sz w:val="22"/>
          <w:szCs w:val="22"/>
        </w:rPr>
        <w:t>La Secretaría estará facultada para solicitar y recibir el apoyo de la fuerza pública, con el objeto de cumplir con las atribuciones que le confiere esta Ley.</w:t>
      </w:r>
    </w:p>
    <w:p w14:paraId="126CD5B8" w14:textId="77777777" w:rsidR="00773D65" w:rsidRPr="007923C2" w:rsidRDefault="00773D65" w:rsidP="0037533C">
      <w:pPr>
        <w:widowControl w:val="0"/>
        <w:autoSpaceDE w:val="0"/>
        <w:autoSpaceDN w:val="0"/>
        <w:adjustRightInd w:val="0"/>
        <w:spacing w:after="0" w:line="240" w:lineRule="auto"/>
        <w:rPr>
          <w:rFonts w:ascii="Arial" w:hAnsi="Arial" w:cs="Arial"/>
          <w:sz w:val="22"/>
          <w:szCs w:val="22"/>
        </w:rPr>
      </w:pPr>
    </w:p>
    <w:p w14:paraId="744FB614"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IV</w:t>
      </w:r>
    </w:p>
    <w:p w14:paraId="31090CFC"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4343F2CB"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DEL CONSEJO NACIONAL CONSULTIVO FITOSANITARIO</w:t>
      </w:r>
    </w:p>
    <w:p w14:paraId="20C62805"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6CFA0C39"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16.-</w:t>
      </w:r>
    </w:p>
    <w:p w14:paraId="4FB3E0B1"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42BFB50D" w14:textId="77777777" w:rsidR="0037533C" w:rsidRPr="007923C2" w:rsidRDefault="0037533C" w:rsidP="0037533C">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El Consejo Nacional Consultivo Fitosanitario será el órgano nacional de consulta en materia de sanidad vegetal, que apoyará a la Secretaría en la formulación, desarrollo y evaluación de las medidas fitosanitarias, en términos del reglamento de esta Ley.</w:t>
      </w:r>
    </w:p>
    <w:p w14:paraId="4F9189E4"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1D63C553"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17.-</w:t>
      </w:r>
    </w:p>
    <w:p w14:paraId="1795BE4C"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66B2257A" w14:textId="77777777" w:rsidR="0037533C" w:rsidRPr="007923C2" w:rsidRDefault="0037533C" w:rsidP="0037533C">
      <w:pPr>
        <w:widowControl w:val="0"/>
        <w:overflowPunct w:val="0"/>
        <w:autoSpaceDE w:val="0"/>
        <w:autoSpaceDN w:val="0"/>
        <w:adjustRightInd w:val="0"/>
        <w:spacing w:after="0" w:line="240" w:lineRule="auto"/>
        <w:ind w:right="20"/>
        <w:jc w:val="both"/>
        <w:rPr>
          <w:rFonts w:ascii="Arial" w:hAnsi="Arial" w:cs="Arial"/>
          <w:sz w:val="22"/>
          <w:szCs w:val="22"/>
        </w:rPr>
      </w:pPr>
      <w:r w:rsidRPr="007923C2">
        <w:rPr>
          <w:rFonts w:ascii="Arial" w:hAnsi="Arial" w:cs="Arial"/>
          <w:sz w:val="22"/>
          <w:szCs w:val="22"/>
        </w:rPr>
        <w:t>El Consejo Nacional Consultivo Fitosanitario se integrará con representantes de la Secretaría y de las dependencias y entidades de la administración pública federal vinculadas con la materia de sanidad vegetal; asimismo, la Secretaría invitará a formar parte de dicho Consejo a:</w:t>
      </w:r>
    </w:p>
    <w:p w14:paraId="5B54982E"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575EF4E7"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I. Representantes de organizaciones de productores y propietarios rurales, agrícolas y forestales;</w:t>
      </w:r>
    </w:p>
    <w:p w14:paraId="70E613BD" w14:textId="77777777" w:rsidR="0037533C" w:rsidRPr="007923C2" w:rsidRDefault="0037533C" w:rsidP="0037533C">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II. Representantes de organizaciones académicas, científicas y gremiales de representación nacional vinculadas con la materia de sanidad vegetal; y</w:t>
      </w:r>
    </w:p>
    <w:p w14:paraId="459020FC" w14:textId="77777777" w:rsidR="0037533C" w:rsidRPr="007923C2" w:rsidRDefault="0037533C" w:rsidP="0037533C">
      <w:pPr>
        <w:widowControl w:val="0"/>
        <w:autoSpaceDE w:val="0"/>
        <w:autoSpaceDN w:val="0"/>
        <w:adjustRightInd w:val="0"/>
        <w:spacing w:after="0" w:line="236" w:lineRule="auto"/>
        <w:rPr>
          <w:rFonts w:ascii="Arial" w:hAnsi="Arial" w:cs="Arial"/>
          <w:sz w:val="22"/>
          <w:szCs w:val="22"/>
        </w:rPr>
      </w:pPr>
      <w:r w:rsidRPr="007923C2">
        <w:rPr>
          <w:rFonts w:ascii="Arial" w:hAnsi="Arial" w:cs="Arial"/>
          <w:sz w:val="22"/>
          <w:szCs w:val="22"/>
        </w:rPr>
        <w:t>III. Personas del sector social o privado de reconocido prestigio en materia fitosanitaria.</w:t>
      </w:r>
    </w:p>
    <w:p w14:paraId="454E4FF8"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685EB090"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18.-</w:t>
      </w:r>
    </w:p>
    <w:p w14:paraId="13A86B7E"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3F3078D2" w14:textId="77777777" w:rsidR="0037533C" w:rsidRPr="007923C2" w:rsidRDefault="0037533C" w:rsidP="0037533C">
      <w:pPr>
        <w:widowControl w:val="0"/>
        <w:overflowPunct w:val="0"/>
        <w:autoSpaceDE w:val="0"/>
        <w:autoSpaceDN w:val="0"/>
        <w:adjustRightInd w:val="0"/>
        <w:spacing w:after="0" w:line="238" w:lineRule="auto"/>
        <w:ind w:right="20"/>
        <w:jc w:val="both"/>
        <w:rPr>
          <w:rFonts w:ascii="Arial" w:hAnsi="Arial" w:cs="Arial"/>
          <w:sz w:val="22"/>
          <w:szCs w:val="22"/>
        </w:rPr>
      </w:pPr>
      <w:r w:rsidRPr="007923C2">
        <w:rPr>
          <w:rFonts w:ascii="Arial" w:hAnsi="Arial" w:cs="Arial"/>
          <w:sz w:val="22"/>
          <w:szCs w:val="22"/>
        </w:rPr>
        <w:t>El Consejo Nacional Consultivo Fitosanitario se apoyará en consejos consultivos estatales que, en su caso, se constituirán en cada entidad federativa de la misma manera que el nacional, invitándose también a representantes de los gobiernos de los estados y municipios, así como de los organismos auxiliares.</w:t>
      </w:r>
    </w:p>
    <w:p w14:paraId="4197E508"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7B3A4E73" w14:textId="77777777" w:rsidR="0037533C" w:rsidRPr="007923C2" w:rsidRDefault="0037533C" w:rsidP="0037533C">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 xml:space="preserve">La organización, estructura y funciones del Consejo Nacional Consultivo Fitosanitario y de los consejos consultivos estatales, se llevará a cabo en los términos del reglamento respectivo de esta </w:t>
      </w:r>
      <w:r w:rsidRPr="007923C2">
        <w:rPr>
          <w:rFonts w:ascii="Arial" w:hAnsi="Arial" w:cs="Arial"/>
          <w:sz w:val="22"/>
          <w:szCs w:val="22"/>
        </w:rPr>
        <w:lastRenderedPageBreak/>
        <w:t>Ley.</w:t>
      </w:r>
    </w:p>
    <w:p w14:paraId="06E09D39"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71FC4887" w14:textId="77777777" w:rsidR="0037533C" w:rsidRPr="007923C2" w:rsidRDefault="0037533C" w:rsidP="0037533C">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La Secretaría brindará la asesoría técnica que en la materia le requieran los productores, a través de los consejos consultivos.</w:t>
      </w:r>
    </w:p>
    <w:p w14:paraId="7677656A"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5D7A95CF"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TITULO SEGUNDO</w:t>
      </w:r>
    </w:p>
    <w:p w14:paraId="42D1FB3E" w14:textId="77777777"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 Protección Fitosanitaria</w:t>
      </w:r>
    </w:p>
    <w:p w14:paraId="0CA05996"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7E997DB8"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w:t>
      </w:r>
    </w:p>
    <w:p w14:paraId="6178FED1" w14:textId="77777777"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LAS MEDIDAS FITOSANITARIAS</w:t>
      </w:r>
    </w:p>
    <w:p w14:paraId="79D4853E"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69089C40"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19.-</w:t>
      </w:r>
    </w:p>
    <w:p w14:paraId="0A5F1F7E"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7E47C8E3" w14:textId="77777777" w:rsidR="0037533C" w:rsidRPr="007923C2" w:rsidRDefault="0037533C" w:rsidP="0037533C">
      <w:pPr>
        <w:widowControl w:val="0"/>
        <w:overflowPunct w:val="0"/>
        <w:autoSpaceDE w:val="0"/>
        <w:autoSpaceDN w:val="0"/>
        <w:adjustRightInd w:val="0"/>
        <w:spacing w:after="0" w:line="245" w:lineRule="auto"/>
        <w:ind w:right="40"/>
        <w:jc w:val="both"/>
        <w:rPr>
          <w:rFonts w:ascii="Arial" w:hAnsi="Arial" w:cs="Arial"/>
          <w:sz w:val="22"/>
          <w:szCs w:val="22"/>
        </w:rPr>
      </w:pPr>
      <w:r w:rsidRPr="007923C2">
        <w:rPr>
          <w:rFonts w:ascii="Arial" w:hAnsi="Arial" w:cs="Arial"/>
          <w:sz w:val="22"/>
          <w:szCs w:val="22"/>
        </w:rPr>
        <w:t>Las medidas fitosanitarias tienen por objeto prevenir, confinar, excluir, combatir o erradicar las plagas que afectan a los vegetales, sus productos o subproductos.</w:t>
      </w:r>
    </w:p>
    <w:p w14:paraId="22F29B70" w14:textId="77777777"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14:paraId="5041CB9D" w14:textId="77777777" w:rsidR="0037533C" w:rsidRPr="007923C2" w:rsidRDefault="0037533C" w:rsidP="0037533C">
      <w:pPr>
        <w:widowControl w:val="0"/>
        <w:overflowPunct w:val="0"/>
        <w:autoSpaceDE w:val="0"/>
        <w:autoSpaceDN w:val="0"/>
        <w:adjustRightInd w:val="0"/>
        <w:spacing w:after="0" w:line="253" w:lineRule="auto"/>
        <w:ind w:right="40"/>
        <w:jc w:val="both"/>
        <w:rPr>
          <w:rFonts w:ascii="Arial" w:hAnsi="Arial" w:cs="Arial"/>
          <w:sz w:val="22"/>
          <w:szCs w:val="22"/>
        </w:rPr>
      </w:pPr>
      <w:r w:rsidRPr="007923C2">
        <w:rPr>
          <w:rFonts w:ascii="Arial" w:hAnsi="Arial" w:cs="Arial"/>
          <w:sz w:val="22"/>
          <w:szCs w:val="22"/>
        </w:rPr>
        <w:t>Las medidas fitosanitarias se determinarán en normas oficiales que tendrán como finalidades, entre otras, establecer:</w:t>
      </w:r>
    </w:p>
    <w:p w14:paraId="072D1B28"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68778E31"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 Los requisitos fitosanitarios y las especificaciones, criterios y procedimientos para:</w:t>
      </w:r>
    </w:p>
    <w:p w14:paraId="4D96E4A3"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30CE1E34"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 Formular diagnósticos e identificación de plagas de los vegetales;</w:t>
      </w:r>
    </w:p>
    <w:p w14:paraId="6E697453"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5EA08046" w14:textId="77777777" w:rsidR="0037533C" w:rsidRPr="007923C2" w:rsidRDefault="0037533C" w:rsidP="0037533C">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b). Diseñar y desarrollar programas para manejo integrado de plagas, muestreo y pronóstico en materia de sanidad vegetal;</w:t>
      </w:r>
    </w:p>
    <w:p w14:paraId="4E65DB77" w14:textId="77777777" w:rsidR="0037533C" w:rsidRPr="007923C2" w:rsidRDefault="0037533C" w:rsidP="0037533C">
      <w:pPr>
        <w:widowControl w:val="0"/>
        <w:autoSpaceDE w:val="0"/>
        <w:autoSpaceDN w:val="0"/>
        <w:adjustRightInd w:val="0"/>
        <w:spacing w:after="0" w:line="1" w:lineRule="exact"/>
        <w:rPr>
          <w:rFonts w:ascii="Arial" w:hAnsi="Arial" w:cs="Arial"/>
          <w:sz w:val="22"/>
          <w:szCs w:val="22"/>
        </w:rPr>
      </w:pPr>
    </w:p>
    <w:p w14:paraId="34A13C7F" w14:textId="77777777" w:rsidR="0037533C" w:rsidRPr="007923C2" w:rsidRDefault="0037533C" w:rsidP="0037533C">
      <w:pPr>
        <w:widowControl w:val="0"/>
        <w:overflowPunct w:val="0"/>
        <w:autoSpaceDE w:val="0"/>
        <w:autoSpaceDN w:val="0"/>
        <w:adjustRightInd w:val="0"/>
        <w:spacing w:after="0" w:line="264" w:lineRule="auto"/>
        <w:ind w:right="3220"/>
        <w:rPr>
          <w:rFonts w:ascii="Arial" w:hAnsi="Arial" w:cs="Arial"/>
          <w:sz w:val="22"/>
          <w:szCs w:val="22"/>
        </w:rPr>
      </w:pPr>
      <w:r w:rsidRPr="007923C2">
        <w:rPr>
          <w:rFonts w:ascii="Arial" w:hAnsi="Arial" w:cs="Arial"/>
          <w:sz w:val="22"/>
          <w:szCs w:val="22"/>
        </w:rPr>
        <w:t>c). Formular estudios de efectividad biológica sobre insumos; d). Determinar la calidad fitosanitaria de los vegetales;</w:t>
      </w:r>
    </w:p>
    <w:p w14:paraId="289AACEE" w14:textId="77777777" w:rsidR="0037533C" w:rsidRPr="007923C2" w:rsidRDefault="0037533C" w:rsidP="0037533C">
      <w:pPr>
        <w:widowControl w:val="0"/>
        <w:autoSpaceDE w:val="0"/>
        <w:autoSpaceDN w:val="0"/>
        <w:adjustRightInd w:val="0"/>
        <w:spacing w:after="0" w:line="1" w:lineRule="exact"/>
        <w:rPr>
          <w:rFonts w:ascii="Arial" w:hAnsi="Arial" w:cs="Arial"/>
          <w:sz w:val="22"/>
          <w:szCs w:val="22"/>
        </w:rPr>
      </w:pPr>
    </w:p>
    <w:p w14:paraId="50E8E34D"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e). Controlar la movilización, importación y exportación de vegetales, sus productos o subproductos, vehículos de transporte, maquinaria, materiales y equipos susceptibles de ser portadores de plagas, así como de agentes patogénicos;</w:t>
      </w:r>
    </w:p>
    <w:p w14:paraId="1164EDB2" w14:textId="77777777" w:rsidR="0037533C" w:rsidRPr="007923C2" w:rsidRDefault="0037533C" w:rsidP="0037533C">
      <w:pPr>
        <w:widowControl w:val="0"/>
        <w:autoSpaceDE w:val="0"/>
        <w:autoSpaceDN w:val="0"/>
        <w:adjustRightInd w:val="0"/>
        <w:spacing w:after="0" w:line="9" w:lineRule="exact"/>
        <w:rPr>
          <w:rFonts w:ascii="Arial" w:hAnsi="Arial" w:cs="Arial"/>
          <w:sz w:val="22"/>
          <w:szCs w:val="22"/>
        </w:rPr>
      </w:pPr>
    </w:p>
    <w:p w14:paraId="67FF8EA4"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f). Instalar y operar viveros, huertos, empacadoras, almacenes, aserraderos, plantaciones y patios de concentración;</w:t>
      </w:r>
    </w:p>
    <w:p w14:paraId="521026A2" w14:textId="77777777" w:rsidR="0037533C" w:rsidRPr="007923C2" w:rsidRDefault="0037533C" w:rsidP="0037533C">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g). Transportar y empacar vegetales, sus productos o subproductos que impliquen un riesgo fitosanitario;</w:t>
      </w:r>
    </w:p>
    <w:p w14:paraId="50A6F4C2" w14:textId="77777777" w:rsidR="0037533C" w:rsidRPr="007923C2" w:rsidRDefault="0037533C" w:rsidP="0037533C">
      <w:pPr>
        <w:widowControl w:val="0"/>
        <w:autoSpaceDE w:val="0"/>
        <w:autoSpaceDN w:val="0"/>
        <w:adjustRightInd w:val="0"/>
        <w:spacing w:after="0" w:line="236" w:lineRule="auto"/>
        <w:rPr>
          <w:rFonts w:ascii="Arial" w:hAnsi="Arial" w:cs="Arial"/>
          <w:sz w:val="22"/>
          <w:szCs w:val="22"/>
        </w:rPr>
      </w:pPr>
      <w:r w:rsidRPr="007923C2">
        <w:rPr>
          <w:rFonts w:ascii="Arial" w:hAnsi="Arial" w:cs="Arial"/>
          <w:sz w:val="22"/>
          <w:szCs w:val="22"/>
        </w:rPr>
        <w:t>h). Manejar material de propagación y semillas;</w:t>
      </w:r>
    </w:p>
    <w:p w14:paraId="3008A380" w14:textId="77777777" w:rsidR="0037533C" w:rsidRPr="007923C2" w:rsidRDefault="0037533C" w:rsidP="0037533C">
      <w:pPr>
        <w:widowControl w:val="0"/>
        <w:overflowPunct w:val="0"/>
        <w:autoSpaceDE w:val="0"/>
        <w:autoSpaceDN w:val="0"/>
        <w:adjustRightInd w:val="0"/>
        <w:spacing w:after="0" w:line="246" w:lineRule="auto"/>
        <w:ind w:right="40"/>
        <w:rPr>
          <w:rFonts w:ascii="Arial" w:hAnsi="Arial" w:cs="Arial"/>
          <w:sz w:val="22"/>
          <w:szCs w:val="22"/>
        </w:rPr>
      </w:pPr>
      <w:r w:rsidRPr="007923C2">
        <w:rPr>
          <w:rFonts w:ascii="Arial" w:hAnsi="Arial" w:cs="Arial"/>
          <w:sz w:val="22"/>
          <w:szCs w:val="22"/>
        </w:rPr>
        <w:t>i). Siembras o cultivos de vegetales; plantaciones y labores culturales específicas, y trabajos posteriores a las cosechas;</w:t>
      </w:r>
    </w:p>
    <w:p w14:paraId="567523FD" w14:textId="77777777" w:rsidR="0037533C" w:rsidRPr="007923C2" w:rsidRDefault="0037533C" w:rsidP="0037533C">
      <w:pPr>
        <w:widowControl w:val="0"/>
        <w:autoSpaceDE w:val="0"/>
        <w:autoSpaceDN w:val="0"/>
        <w:adjustRightInd w:val="0"/>
        <w:spacing w:after="0" w:line="2" w:lineRule="exact"/>
        <w:rPr>
          <w:rFonts w:ascii="Arial" w:hAnsi="Arial" w:cs="Arial"/>
          <w:sz w:val="22"/>
          <w:szCs w:val="22"/>
        </w:rPr>
      </w:pPr>
    </w:p>
    <w:p w14:paraId="66F28D7B" w14:textId="77777777" w:rsidR="0037533C" w:rsidRPr="007923C2" w:rsidRDefault="0037533C" w:rsidP="0037533C">
      <w:pPr>
        <w:widowControl w:val="0"/>
        <w:overflowPunct w:val="0"/>
        <w:autoSpaceDE w:val="0"/>
        <w:autoSpaceDN w:val="0"/>
        <w:adjustRightInd w:val="0"/>
        <w:spacing w:after="0" w:line="234" w:lineRule="auto"/>
        <w:ind w:right="40"/>
        <w:rPr>
          <w:rFonts w:ascii="Arial" w:hAnsi="Arial" w:cs="Arial"/>
          <w:sz w:val="22"/>
          <w:szCs w:val="22"/>
        </w:rPr>
      </w:pPr>
      <w:r w:rsidRPr="007923C2">
        <w:rPr>
          <w:rFonts w:ascii="Arial" w:hAnsi="Arial" w:cs="Arial"/>
          <w:sz w:val="22"/>
          <w:szCs w:val="22"/>
        </w:rPr>
        <w:t>j). Aprobar organismos nacionales de normalización, organismos de certificación, unidades de verificación y laboratorios de pruebas;</w:t>
      </w:r>
    </w:p>
    <w:p w14:paraId="022A8918" w14:textId="77777777" w:rsidR="0037533C" w:rsidRPr="007923C2" w:rsidRDefault="0037533C" w:rsidP="0037533C">
      <w:pPr>
        <w:widowControl w:val="0"/>
        <w:autoSpaceDE w:val="0"/>
        <w:autoSpaceDN w:val="0"/>
        <w:adjustRightInd w:val="0"/>
        <w:spacing w:after="0" w:line="8" w:lineRule="exact"/>
        <w:rPr>
          <w:rFonts w:ascii="Arial" w:hAnsi="Arial" w:cs="Arial"/>
          <w:sz w:val="22"/>
          <w:szCs w:val="22"/>
        </w:rPr>
      </w:pPr>
    </w:p>
    <w:p w14:paraId="34DA164A"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k). Certificar, verificar e inspeccionar las normas oficiales aplicables a las actividades o servicios fitosanitarios que desarrollen o presten los particulares; y</w:t>
      </w:r>
    </w:p>
    <w:p w14:paraId="2D95F40C" w14:textId="77777777" w:rsidR="00773D65" w:rsidRPr="007923C2" w:rsidRDefault="00773D65" w:rsidP="0037533C">
      <w:pPr>
        <w:widowControl w:val="0"/>
        <w:overflowPunct w:val="0"/>
        <w:autoSpaceDE w:val="0"/>
        <w:autoSpaceDN w:val="0"/>
        <w:adjustRightInd w:val="0"/>
        <w:spacing w:after="0" w:line="239" w:lineRule="auto"/>
        <w:jc w:val="both"/>
        <w:rPr>
          <w:rFonts w:ascii="Arial" w:hAnsi="Arial" w:cs="Arial"/>
          <w:sz w:val="22"/>
          <w:szCs w:val="22"/>
        </w:rPr>
      </w:pPr>
    </w:p>
    <w:p w14:paraId="6CC02EB3"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 Retener, disponer o destruir vegetales, sus productos o subproductos, viveros, cultivos, siembras, cosechas, plantaciones, empaques, embalajes y semillas, cuando sean portadores o puedan diseminar plagas que los afecten, o bien, hayan sido tratados con insumos que no estén certificados y, en su caso, registrados, o rebasen los límites máximos de residuos previo a la cosecha;</w:t>
      </w:r>
    </w:p>
    <w:p w14:paraId="23CC67AA"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73B1A81E"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II. Las campañas de sanidad vegetal de carácter preventivo, de combate y erradicación;</w:t>
      </w:r>
    </w:p>
    <w:p w14:paraId="018B6C0E"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5CBD10F4"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III. Las cuarentenas y mecanismos para vigilar su cumplimiento;</w:t>
      </w:r>
    </w:p>
    <w:p w14:paraId="5C403F80"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27D0F528"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 xml:space="preserve">IV. La determinación de exigencias y condiciones fitosanitarias mínimas que deberá reunir la importación de vegetales, sus productos o subproductos, cuando el riesgo fitosanitario o la situación </w:t>
      </w:r>
      <w:r w:rsidRPr="007923C2">
        <w:rPr>
          <w:rFonts w:ascii="Arial" w:hAnsi="Arial" w:cs="Arial"/>
          <w:sz w:val="22"/>
          <w:szCs w:val="22"/>
        </w:rPr>
        <w:lastRenderedPageBreak/>
        <w:t>concreta a prevenirse no esté contemplada en una norma oficial específica;</w:t>
      </w:r>
    </w:p>
    <w:p w14:paraId="1659C957"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0D8DBEDD"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V. Las características de los tratamientos para el saneamiento, desinfección y desinfestación de vegetales, sus productos o subproductos, instalaciones, vehículos de transporte, maquinaria, materiales, equipo, embalajes, envases y contenedores;</w:t>
      </w:r>
    </w:p>
    <w:p w14:paraId="11DFD6DD"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5342A710"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VI. La capacidad que deberán tener las personas responsables de elaborar estudios de efectividad biológica de insumos;</w:t>
      </w:r>
    </w:p>
    <w:p w14:paraId="3F0FF54B"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624207F9"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VII. Las condiciones de sanidad y seguridad vegetal que deberán observarse en las instalaciones industriales, comerciales y de servicios en donde se desarrollen o presten actividades o servicios fitosanitarios; y</w:t>
      </w:r>
    </w:p>
    <w:p w14:paraId="1A38D179"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10C8C5A8" w14:textId="77777777"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VIII. Las demás que se regulan en esta Ley así como aquellas que, conforme a la técnica y adelantos científicos, sean aropiadas para cada caso.</w:t>
      </w:r>
    </w:p>
    <w:p w14:paraId="01538870"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7CA5F252"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20.-</w:t>
      </w:r>
    </w:p>
    <w:p w14:paraId="054E387E"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24D9ECCD" w14:textId="77777777" w:rsidR="0037533C" w:rsidRPr="007923C2" w:rsidRDefault="0037533C" w:rsidP="0037533C">
      <w:pPr>
        <w:widowControl w:val="0"/>
        <w:overflowPunct w:val="0"/>
        <w:autoSpaceDE w:val="0"/>
        <w:autoSpaceDN w:val="0"/>
        <w:adjustRightInd w:val="0"/>
        <w:spacing w:after="0" w:line="245" w:lineRule="auto"/>
        <w:jc w:val="both"/>
        <w:rPr>
          <w:rFonts w:ascii="Arial" w:hAnsi="Arial" w:cs="Arial"/>
          <w:sz w:val="22"/>
          <w:szCs w:val="22"/>
        </w:rPr>
      </w:pPr>
      <w:r w:rsidRPr="007923C2">
        <w:rPr>
          <w:rFonts w:ascii="Arial" w:hAnsi="Arial" w:cs="Arial"/>
          <w:sz w:val="22"/>
          <w:szCs w:val="22"/>
        </w:rPr>
        <w:t>Las normas oficiales además de fundarse y motivarse en términos de esta Ley y demás disposiciones fitosanitarias, deberán:</w:t>
      </w:r>
    </w:p>
    <w:p w14:paraId="575E42B2" w14:textId="77777777"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14:paraId="563198C7" w14:textId="77777777" w:rsidR="0037533C" w:rsidRPr="007923C2" w:rsidRDefault="0037533C" w:rsidP="0037533C">
      <w:pPr>
        <w:widowControl w:val="0"/>
        <w:overflowPunct w:val="0"/>
        <w:autoSpaceDE w:val="0"/>
        <w:autoSpaceDN w:val="0"/>
        <w:adjustRightInd w:val="0"/>
        <w:spacing w:after="0" w:line="246" w:lineRule="auto"/>
        <w:ind w:right="20"/>
        <w:rPr>
          <w:rFonts w:ascii="Arial" w:hAnsi="Arial" w:cs="Arial"/>
          <w:sz w:val="22"/>
          <w:szCs w:val="22"/>
        </w:rPr>
      </w:pPr>
      <w:r w:rsidRPr="007923C2">
        <w:rPr>
          <w:rFonts w:ascii="Arial" w:hAnsi="Arial" w:cs="Arial"/>
          <w:sz w:val="22"/>
          <w:szCs w:val="22"/>
        </w:rPr>
        <w:t>I. Sustentarse en principios científicos, tomando en cuenta, cuando corresponda, las diferentes condiciones geográficas y otros factores pertinentes;</w:t>
      </w:r>
    </w:p>
    <w:p w14:paraId="47BEFCA2" w14:textId="77777777" w:rsidR="0037533C" w:rsidRPr="007923C2" w:rsidRDefault="0037533C" w:rsidP="0037533C">
      <w:pPr>
        <w:widowControl w:val="0"/>
        <w:autoSpaceDE w:val="0"/>
        <w:autoSpaceDN w:val="0"/>
        <w:adjustRightInd w:val="0"/>
        <w:spacing w:after="0" w:line="236" w:lineRule="auto"/>
        <w:rPr>
          <w:rFonts w:ascii="Arial" w:hAnsi="Arial" w:cs="Arial"/>
          <w:sz w:val="22"/>
          <w:szCs w:val="22"/>
        </w:rPr>
      </w:pPr>
      <w:r w:rsidRPr="007923C2">
        <w:rPr>
          <w:rFonts w:ascii="Arial" w:hAnsi="Arial" w:cs="Arial"/>
          <w:sz w:val="22"/>
          <w:szCs w:val="22"/>
        </w:rPr>
        <w:t>II. Estar basadas en una evaluación de costo-beneficio, que incluya un análisis de riesgo;</w:t>
      </w:r>
    </w:p>
    <w:p w14:paraId="04EEB3BD" w14:textId="77777777" w:rsidR="0037533C" w:rsidRPr="007923C2" w:rsidRDefault="0037533C" w:rsidP="0037533C">
      <w:pPr>
        <w:widowControl w:val="0"/>
        <w:autoSpaceDE w:val="0"/>
        <w:autoSpaceDN w:val="0"/>
        <w:adjustRightInd w:val="0"/>
        <w:spacing w:after="0" w:line="1" w:lineRule="exact"/>
        <w:rPr>
          <w:rFonts w:ascii="Arial" w:hAnsi="Arial" w:cs="Arial"/>
          <w:sz w:val="22"/>
          <w:szCs w:val="22"/>
        </w:rPr>
      </w:pPr>
    </w:p>
    <w:p w14:paraId="547207D1" w14:textId="77777777" w:rsidR="0037533C" w:rsidRPr="007923C2" w:rsidRDefault="0037533C" w:rsidP="0037533C">
      <w:pPr>
        <w:widowControl w:val="0"/>
        <w:overflowPunct w:val="0"/>
        <w:autoSpaceDE w:val="0"/>
        <w:autoSpaceDN w:val="0"/>
        <w:adjustRightInd w:val="0"/>
        <w:spacing w:after="0" w:line="245" w:lineRule="auto"/>
        <w:ind w:right="400"/>
        <w:rPr>
          <w:rFonts w:ascii="Arial" w:hAnsi="Arial" w:cs="Arial"/>
          <w:sz w:val="22"/>
          <w:szCs w:val="22"/>
        </w:rPr>
      </w:pPr>
      <w:r w:rsidRPr="007923C2">
        <w:rPr>
          <w:rFonts w:ascii="Arial" w:hAnsi="Arial" w:cs="Arial"/>
          <w:sz w:val="22"/>
          <w:szCs w:val="22"/>
        </w:rPr>
        <w:t>III. Tomar en cuenta las normas, directrices o recomendaciones internacionales pertinentes; y IV. Abrogarse cuando ya no exista base científica que las sustente.</w:t>
      </w:r>
    </w:p>
    <w:p w14:paraId="35A2B292" w14:textId="77777777"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14:paraId="3DA9561E" w14:textId="77777777" w:rsidR="0037533C" w:rsidRPr="007923C2" w:rsidRDefault="0037533C" w:rsidP="0037533C">
      <w:pPr>
        <w:widowControl w:val="0"/>
        <w:overflowPunct w:val="0"/>
        <w:autoSpaceDE w:val="0"/>
        <w:autoSpaceDN w:val="0"/>
        <w:adjustRightInd w:val="0"/>
        <w:spacing w:after="0" w:line="253" w:lineRule="auto"/>
        <w:jc w:val="both"/>
        <w:rPr>
          <w:rFonts w:ascii="Arial" w:hAnsi="Arial" w:cs="Arial"/>
          <w:sz w:val="22"/>
          <w:szCs w:val="22"/>
        </w:rPr>
      </w:pPr>
      <w:r w:rsidRPr="007923C2">
        <w:rPr>
          <w:rFonts w:ascii="Arial" w:hAnsi="Arial" w:cs="Arial"/>
          <w:sz w:val="22"/>
          <w:szCs w:val="22"/>
        </w:rPr>
        <w:t>La Secretaría podrá solicitar el apoyo de las autoridades competentes para asegurar el cumplimiento de las normas oficiales.</w:t>
      </w:r>
    </w:p>
    <w:p w14:paraId="245996E4"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1BFE6213"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21.-</w:t>
      </w:r>
    </w:p>
    <w:p w14:paraId="0905440E"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2A1075B3"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Para promover el desarrollo y prestación de actividades y servicios fitosanitarios a cargo de los particulares que cumplan con las normas oficiales, la Secretaría elaborará, actualizará y difundirá el Directorio Fitosanitario.</w:t>
      </w:r>
    </w:p>
    <w:p w14:paraId="548018BC"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5141D3CA"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Dicho directorio consistirá en un catálogo de datos que incluirá la información básica de los profesionales fitosanitarios y las personas físicas o morales aprobadas o que desarrollen actividades fitosanitarias, que cumplan las normas oficiales que les son aplicables.</w:t>
      </w:r>
    </w:p>
    <w:p w14:paraId="6566D102"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346D37C2"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w:t>
      </w:r>
    </w:p>
    <w:p w14:paraId="5D00D4E2"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03F3BFEA"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 LA MOVILIZACION, IMPORTACION Y EXPORTACION</w:t>
      </w:r>
    </w:p>
    <w:p w14:paraId="3916375E"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22.-</w:t>
      </w:r>
    </w:p>
    <w:p w14:paraId="2456F64E"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3733CA0E" w14:textId="77777777" w:rsidR="0037533C" w:rsidRPr="007923C2" w:rsidRDefault="0037533C" w:rsidP="0037533C">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La movilización por el interior del territorio nacional de las mercancías a que se refiere el Artículo siguiente, quedará sujeta a la expedición del certificado fitosanitario cuando provengan y se movilicen:</w:t>
      </w:r>
    </w:p>
    <w:p w14:paraId="58DB4C02"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6FFFC928"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 De zonas bajo control fitosanitario hacia zonas libres o de baja prevalecencia;</w:t>
      </w:r>
    </w:p>
    <w:p w14:paraId="42D4FAF8"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7FACC43F" w14:textId="77777777" w:rsidR="0037533C" w:rsidRPr="007923C2" w:rsidRDefault="0037533C" w:rsidP="0037533C">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II. Entre dos o más zonas bajo control fitosanitario, transitando por zonas libres o de baja prevalencia; y</w:t>
      </w:r>
    </w:p>
    <w:p w14:paraId="21F1A205" w14:textId="77777777" w:rsidR="0037533C" w:rsidRPr="007923C2" w:rsidRDefault="0037533C" w:rsidP="0037533C">
      <w:pPr>
        <w:widowControl w:val="0"/>
        <w:autoSpaceDE w:val="0"/>
        <w:autoSpaceDN w:val="0"/>
        <w:adjustRightInd w:val="0"/>
        <w:spacing w:after="0" w:line="1" w:lineRule="exact"/>
        <w:rPr>
          <w:rFonts w:ascii="Arial" w:hAnsi="Arial" w:cs="Arial"/>
          <w:sz w:val="22"/>
          <w:szCs w:val="22"/>
        </w:rPr>
      </w:pPr>
    </w:p>
    <w:p w14:paraId="4DE15A7B" w14:textId="77777777" w:rsidR="0037533C" w:rsidRPr="007923C2" w:rsidRDefault="0037533C" w:rsidP="0037533C">
      <w:pPr>
        <w:widowControl w:val="0"/>
        <w:overflowPunct w:val="0"/>
        <w:autoSpaceDE w:val="0"/>
        <w:autoSpaceDN w:val="0"/>
        <w:adjustRightInd w:val="0"/>
        <w:spacing w:after="0" w:line="234" w:lineRule="auto"/>
        <w:ind w:right="60"/>
        <w:rPr>
          <w:rFonts w:ascii="Arial" w:hAnsi="Arial" w:cs="Arial"/>
          <w:sz w:val="22"/>
          <w:szCs w:val="22"/>
        </w:rPr>
      </w:pPr>
      <w:r w:rsidRPr="007923C2">
        <w:rPr>
          <w:rFonts w:ascii="Arial" w:hAnsi="Arial" w:cs="Arial"/>
          <w:sz w:val="22"/>
          <w:szCs w:val="22"/>
        </w:rPr>
        <w:t>III. Entre dos o más zonas libres o de baja prevalencia, transitando por zonas bajo control fitosanitario.</w:t>
      </w:r>
    </w:p>
    <w:p w14:paraId="5958F128" w14:textId="77777777"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14:paraId="44286884"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 xml:space="preserve">La movilización de recursos y materias primas que provengan de vegetales afectados por plagas, se </w:t>
      </w:r>
      <w:r w:rsidRPr="007923C2">
        <w:rPr>
          <w:rFonts w:ascii="Arial" w:hAnsi="Arial" w:cs="Arial"/>
          <w:sz w:val="22"/>
          <w:szCs w:val="22"/>
        </w:rPr>
        <w:lastRenderedPageBreak/>
        <w:t>sujetará a las disposiciones previstas en esta Ley, independientemente del cumplimiento de los requisitos que para su transporte prevé la Ley Forestal.</w:t>
      </w:r>
    </w:p>
    <w:p w14:paraId="5D3E79C0"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40D1A6DF"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23.-</w:t>
      </w:r>
    </w:p>
    <w:p w14:paraId="45FB96F9"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5FDB9FC1" w14:textId="77777777" w:rsidR="0037533C" w:rsidRPr="007923C2" w:rsidRDefault="0037533C" w:rsidP="0037533C">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Queda sujeta a control mediante la expedición del certificado fitosanitario la importación de las siguientes mercancías cuando sean susceptibles de ser portadoras de plagas:</w:t>
      </w:r>
    </w:p>
    <w:p w14:paraId="078C8C07"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35E4A503" w14:textId="77777777" w:rsidR="0037533C" w:rsidRPr="007923C2" w:rsidRDefault="0037533C" w:rsidP="0037533C">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I. Vegetales, sus productos o subproductos, agentes patogénicos y cualquier tipo de insumos, materiales y equipos;</w:t>
      </w:r>
    </w:p>
    <w:p w14:paraId="1F9B2DF9" w14:textId="77777777" w:rsidR="0037533C" w:rsidRPr="007923C2" w:rsidRDefault="0037533C" w:rsidP="0037533C">
      <w:pPr>
        <w:widowControl w:val="0"/>
        <w:overflowPunct w:val="0"/>
        <w:autoSpaceDE w:val="0"/>
        <w:autoSpaceDN w:val="0"/>
        <w:adjustRightInd w:val="0"/>
        <w:spacing w:after="0" w:line="269" w:lineRule="auto"/>
        <w:ind w:right="20"/>
        <w:jc w:val="both"/>
        <w:rPr>
          <w:rFonts w:ascii="Arial" w:hAnsi="Arial" w:cs="Arial"/>
          <w:sz w:val="22"/>
          <w:szCs w:val="22"/>
        </w:rPr>
      </w:pPr>
      <w:r w:rsidRPr="007923C2">
        <w:rPr>
          <w:rFonts w:ascii="Arial" w:hAnsi="Arial" w:cs="Arial"/>
          <w:sz w:val="22"/>
          <w:szCs w:val="22"/>
        </w:rPr>
        <w:t>II. Vehículos de transporte o embalajes y contenedores en los que se movilicen o contengan las mercancías mencionadas en la fracción anterior o cuando impliquen un riesgo fitosanitario; y</w:t>
      </w:r>
    </w:p>
    <w:p w14:paraId="1F3F60AE" w14:textId="77777777" w:rsidR="0037533C" w:rsidRPr="007923C2" w:rsidRDefault="0037533C" w:rsidP="0037533C">
      <w:pPr>
        <w:widowControl w:val="0"/>
        <w:autoSpaceDE w:val="0"/>
        <w:autoSpaceDN w:val="0"/>
        <w:adjustRightInd w:val="0"/>
        <w:spacing w:after="0" w:line="235" w:lineRule="auto"/>
        <w:rPr>
          <w:rFonts w:ascii="Arial" w:hAnsi="Arial" w:cs="Arial"/>
          <w:sz w:val="22"/>
          <w:szCs w:val="22"/>
        </w:rPr>
      </w:pPr>
      <w:r w:rsidRPr="007923C2">
        <w:rPr>
          <w:rFonts w:ascii="Arial" w:hAnsi="Arial" w:cs="Arial"/>
          <w:sz w:val="22"/>
          <w:szCs w:val="22"/>
        </w:rPr>
        <w:t>III. Maquinaria agrícola y forestal, o partes de ésta.</w:t>
      </w:r>
    </w:p>
    <w:p w14:paraId="5D6CC807" w14:textId="77777777"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14:paraId="3142A610"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Secretaría aplicará las disposiciones fitosanitarias y expedirá normas oficiales que establezcan las características y especificaciones fitosanitarias a que se sujetará dicha importación, así como las mercancías que, en su caso, queden exceptuadas del certificado fitosanitario.</w:t>
      </w:r>
    </w:p>
    <w:p w14:paraId="64E96E68"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6A3D6744"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Asimismo coadyuvará, en el ámbito de su competencia, con las Secretarías de Salud y de Desarrollo Social, verificando que se cumplan las normas oficiales aplicables en la importación de insumos.</w:t>
      </w:r>
    </w:p>
    <w:p w14:paraId="50AF9396"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7ABDD34E"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24.-</w:t>
      </w:r>
    </w:p>
    <w:p w14:paraId="5F60542A"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0D89C0C7"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Quien importe cualquiera de las mercancías enunciadas en el Artículo anterior, comprobará en el punto de inspección fitosanitaria de entrada, que cumplen la norma oficial que prevé la situación concreta aplicable al objeto de la importación.</w:t>
      </w:r>
    </w:p>
    <w:p w14:paraId="78B54CE2" w14:textId="77777777"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14:paraId="5E537BF3" w14:textId="77777777" w:rsidR="0037533C" w:rsidRPr="007923C2" w:rsidRDefault="0037533C" w:rsidP="0037533C">
      <w:pPr>
        <w:widowControl w:val="0"/>
        <w:overflowPunct w:val="0"/>
        <w:autoSpaceDE w:val="0"/>
        <w:autoSpaceDN w:val="0"/>
        <w:adjustRightInd w:val="0"/>
        <w:spacing w:after="0" w:line="244" w:lineRule="auto"/>
        <w:ind w:right="40"/>
        <w:jc w:val="both"/>
        <w:rPr>
          <w:rFonts w:ascii="Arial" w:hAnsi="Arial" w:cs="Arial"/>
          <w:sz w:val="22"/>
          <w:szCs w:val="22"/>
        </w:rPr>
      </w:pPr>
      <w:r w:rsidRPr="007923C2">
        <w:rPr>
          <w:rFonts w:ascii="Arial" w:hAnsi="Arial" w:cs="Arial"/>
          <w:sz w:val="22"/>
          <w:szCs w:val="22"/>
        </w:rPr>
        <w:t>Cuando el riesgo fitosanitario o la situación concreta a prevenirse no esté contemplada en una norma oficial específica, los interesados deberán cumplir los requisitos mínimos establecidos en las normas oficiales aplicables en situaciones generales.</w:t>
      </w:r>
    </w:p>
    <w:p w14:paraId="43C7113D"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46ED2395"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25.-</w:t>
      </w:r>
    </w:p>
    <w:p w14:paraId="127ADD7A"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0E8F5CB4" w14:textId="77777777"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La Secretaría expedirá las normas oficiales que establezcan las especificaciones, criterios y procedimientos para que a costa del interesado, se solicite a la Secretaría o a los organismos de certificación o unidades de verificación acreditados, la verificación en origen de las mercancías que vayan a importarse.</w:t>
      </w:r>
    </w:p>
    <w:p w14:paraId="2CE40E87"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440E202B"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26.-</w:t>
      </w:r>
    </w:p>
    <w:p w14:paraId="6CF4E444"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09E5EBF5" w14:textId="77777777" w:rsidR="0037533C" w:rsidRPr="007923C2" w:rsidRDefault="0037533C" w:rsidP="0037533C">
      <w:pPr>
        <w:widowControl w:val="0"/>
        <w:overflowPunct w:val="0"/>
        <w:autoSpaceDE w:val="0"/>
        <w:autoSpaceDN w:val="0"/>
        <w:adjustRightInd w:val="0"/>
        <w:spacing w:after="0" w:line="237" w:lineRule="auto"/>
        <w:ind w:right="20"/>
        <w:jc w:val="both"/>
        <w:rPr>
          <w:rFonts w:ascii="Arial" w:hAnsi="Arial" w:cs="Arial"/>
          <w:sz w:val="22"/>
          <w:szCs w:val="22"/>
        </w:rPr>
      </w:pPr>
      <w:r w:rsidRPr="007923C2">
        <w:rPr>
          <w:rFonts w:ascii="Arial" w:hAnsi="Arial" w:cs="Arial"/>
          <w:sz w:val="22"/>
          <w:szCs w:val="22"/>
        </w:rPr>
        <w:t>Cuando la importación o internación de las mercancías reguladas en este Capítulo implique un riesgo fitosanitario, únicamente podrá realizarse por las aduanas y puertos marítimos, aéreos y terrestres que se determinen en los acuerdos que para el efecto expidan conjuntamente los Secretarios de Hacienda y Crédito Público y de Agricultura y Recursos Hidráulicos, mismos que deberán publicarse en el Diario Oficial de la Federación.</w:t>
      </w:r>
    </w:p>
    <w:p w14:paraId="5499D52B" w14:textId="77777777" w:rsidR="0037533C" w:rsidRPr="007923C2" w:rsidRDefault="0037533C" w:rsidP="0037533C">
      <w:pPr>
        <w:widowControl w:val="0"/>
        <w:autoSpaceDE w:val="0"/>
        <w:autoSpaceDN w:val="0"/>
        <w:adjustRightInd w:val="0"/>
        <w:spacing w:after="0" w:line="236" w:lineRule="exact"/>
        <w:rPr>
          <w:rFonts w:ascii="Arial" w:hAnsi="Arial" w:cs="Arial"/>
          <w:sz w:val="22"/>
          <w:szCs w:val="22"/>
        </w:rPr>
      </w:pPr>
    </w:p>
    <w:p w14:paraId="2C93B12F"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27.-</w:t>
      </w:r>
    </w:p>
    <w:p w14:paraId="39011464"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797822A2"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Los interesados en la exportación de vegetales, sus productos o subproductos y cualquier material o equipo que implique un riesgo fitosanitario, una vez que comprueben el cumplimiento de la norma oficial aplicable, podrán solicitar el correspondiente certificado fitosanitario.</w:t>
      </w:r>
    </w:p>
    <w:p w14:paraId="10D586AF" w14:textId="77777777" w:rsidR="0037533C" w:rsidRPr="007923C2" w:rsidRDefault="0037533C" w:rsidP="0037533C">
      <w:pPr>
        <w:widowControl w:val="0"/>
        <w:autoSpaceDE w:val="0"/>
        <w:autoSpaceDN w:val="0"/>
        <w:adjustRightInd w:val="0"/>
        <w:spacing w:after="0" w:line="207" w:lineRule="exact"/>
        <w:rPr>
          <w:rFonts w:ascii="Arial" w:hAnsi="Arial" w:cs="Arial"/>
          <w:sz w:val="22"/>
          <w:szCs w:val="22"/>
        </w:rPr>
      </w:pPr>
    </w:p>
    <w:p w14:paraId="6A9C955A"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28.-</w:t>
      </w:r>
    </w:p>
    <w:p w14:paraId="141A9D3A"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5C0E7364"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información que contendrán los certificados fitosanitarios y los supuestos a que se sujetará su expedición, se precisarán en el reglamento de esta Ley y en las normas oficiales respectivas.</w:t>
      </w:r>
    </w:p>
    <w:p w14:paraId="316D9B72" w14:textId="77777777"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14:paraId="54F12F44" w14:textId="77777777" w:rsidR="0037533C" w:rsidRPr="007923C2" w:rsidRDefault="0037533C" w:rsidP="0037533C">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lastRenderedPageBreak/>
        <w:t>Cuando la movilización o importación de productos o subproductos vegetales no requieran de certificado fitosanitario, deberá mencionarse ostensiblemente durante su comercialización, las disposiciones fitosanitarias que cumplen o, en su defecto, las normas mexicanas o las especificaciones fitosanitarias del fabricante, del productor, del país de origen o las internacionales.</w:t>
      </w:r>
    </w:p>
    <w:p w14:paraId="43AF2F27"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32B0B0C7"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29.-</w:t>
      </w:r>
    </w:p>
    <w:p w14:paraId="3F7A9251"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5C4C06F7"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Los agentes aduanales, así como quienes importen o movilicen alguna o varias de las mercancías enunciadas en el Artículo 23, serán responsables de vigilar que se cumplan con las disposiciones fitosanitarias y, en su caso, que exista el certificado fitosanitario correspondiente.</w:t>
      </w:r>
    </w:p>
    <w:p w14:paraId="6BB40DE4"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7585CDB3"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30.-</w:t>
      </w:r>
    </w:p>
    <w:p w14:paraId="29313F32"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61521BAE" w14:textId="77777777" w:rsidR="0037533C" w:rsidRPr="007923C2" w:rsidRDefault="0037533C" w:rsidP="0037533C">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Cuando se compruebe que las mercancías enunciadas reguladas en este Capítulo, no cumplen con las disposiciones fitosanitarias respectivas, la Secretaría ordenará su reexportación o su destrucción a costa del propietario o importador.</w:t>
      </w:r>
    </w:p>
    <w:p w14:paraId="25FCDD18"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70BAB75C"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En los supuestos expresamente previstos por la norma oficial aplicable, la Secretaría podrá ordenar que el interesado a su costa, realice el tratamiento o acondicionamiento de las mercancías objeto de la importación.</w:t>
      </w:r>
    </w:p>
    <w:p w14:paraId="461935DD"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5034396C"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III</w:t>
      </w:r>
    </w:p>
    <w:p w14:paraId="7E8BD1C7" w14:textId="77777777"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LAS CAMPAÑAS Y CUARENTENAS</w:t>
      </w:r>
    </w:p>
    <w:p w14:paraId="54FBAE8F"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56649A1C"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31.-</w:t>
      </w:r>
    </w:p>
    <w:p w14:paraId="6C790F2B"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7B47CD25" w14:textId="77777777" w:rsidR="0037533C" w:rsidRPr="007923C2" w:rsidRDefault="0037533C" w:rsidP="0037533C">
      <w:pPr>
        <w:widowControl w:val="0"/>
        <w:overflowPunct w:val="0"/>
        <w:autoSpaceDE w:val="0"/>
        <w:autoSpaceDN w:val="0"/>
        <w:adjustRightInd w:val="0"/>
        <w:spacing w:after="0" w:line="245" w:lineRule="auto"/>
        <w:jc w:val="both"/>
        <w:rPr>
          <w:rFonts w:ascii="Arial" w:hAnsi="Arial" w:cs="Arial"/>
          <w:sz w:val="22"/>
          <w:szCs w:val="22"/>
        </w:rPr>
      </w:pPr>
      <w:r w:rsidRPr="007923C2">
        <w:rPr>
          <w:rFonts w:ascii="Arial" w:hAnsi="Arial" w:cs="Arial"/>
          <w:sz w:val="22"/>
          <w:szCs w:val="22"/>
        </w:rPr>
        <w:t>La Secretaría expedirá las normas oficiales que establezcan las campañas y cuarentenas fitosanitarias que sean necesarias.</w:t>
      </w:r>
    </w:p>
    <w:p w14:paraId="0C95ED45" w14:textId="77777777"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14:paraId="6EBC2809"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32.-</w:t>
      </w:r>
    </w:p>
    <w:p w14:paraId="4358D569"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41FFE59A" w14:textId="77777777"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Las normas oficiales que establezcan campañas fitosanitarias, deberán fijar, cuando menos, el área geográfica de aplicación; la plaga a prevenir, combatir o erradicar; las especies vegetales afectadas; las medidas fitosanitarias aplicables; los requisitos y prohibiciones a observarse; los mecanismos de verificación e inspección; los métodos de muestreo y procedimientos de diagnóstico; la delimitación de las zonas bajo control fitosanitario, y la terminación de la campaña.</w:t>
      </w:r>
    </w:p>
    <w:p w14:paraId="1118113A" w14:textId="77777777" w:rsidR="0037533C" w:rsidRPr="007923C2" w:rsidRDefault="0037533C" w:rsidP="0037533C">
      <w:pPr>
        <w:widowControl w:val="0"/>
        <w:autoSpaceDE w:val="0"/>
        <w:autoSpaceDN w:val="0"/>
        <w:adjustRightInd w:val="0"/>
        <w:spacing w:after="0" w:line="237" w:lineRule="exact"/>
        <w:rPr>
          <w:rFonts w:ascii="Arial" w:hAnsi="Arial" w:cs="Arial"/>
          <w:sz w:val="22"/>
          <w:szCs w:val="22"/>
        </w:rPr>
      </w:pPr>
    </w:p>
    <w:p w14:paraId="63598E19"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33.-</w:t>
      </w:r>
    </w:p>
    <w:p w14:paraId="7DAD3F7A"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7A6928D2" w14:textId="77777777" w:rsidR="0037533C" w:rsidRPr="007923C2" w:rsidRDefault="0037533C" w:rsidP="0037533C">
      <w:pPr>
        <w:widowControl w:val="0"/>
        <w:overflowPunct w:val="0"/>
        <w:autoSpaceDE w:val="0"/>
        <w:autoSpaceDN w:val="0"/>
        <w:adjustRightInd w:val="0"/>
        <w:spacing w:after="0" w:line="238" w:lineRule="auto"/>
        <w:ind w:right="40"/>
        <w:jc w:val="both"/>
        <w:rPr>
          <w:rFonts w:ascii="Arial" w:hAnsi="Arial" w:cs="Arial"/>
          <w:sz w:val="22"/>
          <w:szCs w:val="22"/>
        </w:rPr>
      </w:pPr>
      <w:r w:rsidRPr="007923C2">
        <w:rPr>
          <w:rFonts w:ascii="Arial" w:hAnsi="Arial" w:cs="Arial"/>
          <w:sz w:val="22"/>
          <w:szCs w:val="22"/>
        </w:rPr>
        <w:t>La Secretaría tendrá a su cargo la organización y coordinación de las campañas fitosanitarias y, para su desarrollo, promoverá la celebración de acuerdos y convenios con los gobiernos de los estados y municipios, organismos auxiliares o particulares interesados, quienes participarán en el desarrollo de, entre otras, las siguientes medidas:</w:t>
      </w:r>
    </w:p>
    <w:p w14:paraId="2F500A15"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2C9FA2F8" w14:textId="77777777" w:rsidR="0037533C" w:rsidRPr="007923C2" w:rsidRDefault="0037533C" w:rsidP="0037533C">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I. Localización de la infestación o infección y formulación del del análisis de costo-beneficio de los daños potenciales que pueda ocasionar;</w:t>
      </w:r>
    </w:p>
    <w:p w14:paraId="033BC7AF" w14:textId="77777777" w:rsidR="0037533C" w:rsidRPr="007923C2" w:rsidRDefault="0037533C" w:rsidP="0037533C">
      <w:pPr>
        <w:widowControl w:val="0"/>
        <w:autoSpaceDE w:val="0"/>
        <w:autoSpaceDN w:val="0"/>
        <w:adjustRightInd w:val="0"/>
        <w:spacing w:after="0" w:line="7" w:lineRule="exact"/>
        <w:rPr>
          <w:rFonts w:ascii="Arial" w:hAnsi="Arial" w:cs="Arial"/>
          <w:sz w:val="22"/>
          <w:szCs w:val="22"/>
        </w:rPr>
      </w:pPr>
    </w:p>
    <w:p w14:paraId="276831E8"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II. Delimitación de las áreas infestadas a fin de que la Secretaría esté en posibilidad de proceder, en su caso, conforme a lo dispuesto en el Artículo 34 de esta ley;</w:t>
      </w:r>
    </w:p>
    <w:p w14:paraId="634F6700" w14:textId="77777777" w:rsidR="0037533C" w:rsidRPr="007923C2" w:rsidRDefault="0037533C" w:rsidP="0037533C">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III. Elaboración de programas de trabajo en el que se describan las acciones coordinadas y concertadas que realizarán para desarrollar la campaña que se haya establecido, proponiendo los apoyos que cada una de las partes se comprometa a aportar;</w:t>
      </w:r>
    </w:p>
    <w:p w14:paraId="782F540C" w14:textId="77777777" w:rsidR="0037533C" w:rsidRPr="007923C2" w:rsidRDefault="0037533C" w:rsidP="0037533C">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IV. Aplicación inmediata de los métodos de combate existentes, preferentemente a través de su uso integrado; y</w:t>
      </w:r>
    </w:p>
    <w:p w14:paraId="4AB84386" w14:textId="77777777" w:rsidR="0037533C" w:rsidRPr="007923C2" w:rsidRDefault="0037533C" w:rsidP="0037533C">
      <w:pPr>
        <w:widowControl w:val="0"/>
        <w:autoSpaceDE w:val="0"/>
        <w:autoSpaceDN w:val="0"/>
        <w:adjustRightInd w:val="0"/>
        <w:spacing w:after="0" w:line="236" w:lineRule="auto"/>
        <w:rPr>
          <w:rFonts w:ascii="Arial" w:hAnsi="Arial" w:cs="Arial"/>
          <w:sz w:val="22"/>
          <w:szCs w:val="22"/>
        </w:rPr>
      </w:pPr>
      <w:r w:rsidRPr="007923C2">
        <w:rPr>
          <w:rFonts w:ascii="Arial" w:hAnsi="Arial" w:cs="Arial"/>
          <w:sz w:val="22"/>
          <w:szCs w:val="22"/>
        </w:rPr>
        <w:t>V. Evaluación detallada de los resultados y beneficios obtenidos al término de la campaña.</w:t>
      </w:r>
    </w:p>
    <w:p w14:paraId="1A034C91"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0B9D04D6" w14:textId="77777777" w:rsidR="0037533C" w:rsidRPr="007923C2" w:rsidRDefault="0037533C" w:rsidP="00773D65">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34.-</w:t>
      </w:r>
      <w:r w:rsidR="00773D65" w:rsidRPr="007923C2">
        <w:rPr>
          <w:rFonts w:ascii="Arial" w:hAnsi="Arial" w:cs="Arial"/>
          <w:sz w:val="22"/>
          <w:szCs w:val="22"/>
        </w:rPr>
        <w:t>L</w:t>
      </w:r>
      <w:r w:rsidRPr="007923C2">
        <w:rPr>
          <w:rFonts w:ascii="Arial" w:hAnsi="Arial" w:cs="Arial"/>
          <w:sz w:val="22"/>
          <w:szCs w:val="22"/>
        </w:rPr>
        <w:t xml:space="preserve">as normas oficiales que establezcan cuarentenas, además de fijar las medidas </w:t>
      </w:r>
      <w:r w:rsidRPr="007923C2">
        <w:rPr>
          <w:rFonts w:ascii="Arial" w:hAnsi="Arial" w:cs="Arial"/>
          <w:sz w:val="22"/>
          <w:szCs w:val="22"/>
        </w:rPr>
        <w:lastRenderedPageBreak/>
        <w:t>fitosanitarias a aplicarse, deberán determinar, cuando menos:</w:t>
      </w:r>
    </w:p>
    <w:p w14:paraId="21CF3506"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2531F243"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 El objetivo de la cuarentena;</w:t>
      </w:r>
    </w:p>
    <w:p w14:paraId="0827A7F8"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74638E56"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II. La plaga cuarentenaria que justifica su establecimiento; y</w:t>
      </w:r>
    </w:p>
    <w:p w14:paraId="2A5870C1"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1DEA6B2A" w14:textId="77777777" w:rsidR="0037533C" w:rsidRPr="007923C2" w:rsidRDefault="0037533C" w:rsidP="0037533C">
      <w:pPr>
        <w:widowControl w:val="0"/>
        <w:overflowPunct w:val="0"/>
        <w:autoSpaceDE w:val="0"/>
        <w:autoSpaceDN w:val="0"/>
        <w:adjustRightInd w:val="0"/>
        <w:spacing w:after="0" w:line="234" w:lineRule="auto"/>
        <w:ind w:right="40"/>
        <w:rPr>
          <w:rFonts w:ascii="Arial" w:hAnsi="Arial" w:cs="Arial"/>
          <w:sz w:val="22"/>
          <w:szCs w:val="22"/>
        </w:rPr>
      </w:pPr>
      <w:r w:rsidRPr="007923C2">
        <w:rPr>
          <w:rFonts w:ascii="Arial" w:hAnsi="Arial" w:cs="Arial"/>
          <w:sz w:val="22"/>
          <w:szCs w:val="22"/>
        </w:rPr>
        <w:t>III. El ámbito territorial de aplicación y los vegetales, sus productos o subproductos, vehículos de transporte, maquinaria, materiales o equipos sujetos o cuarentena.</w:t>
      </w:r>
    </w:p>
    <w:p w14:paraId="451DF5EF" w14:textId="77777777"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14:paraId="2970BD33"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35.-</w:t>
      </w:r>
    </w:p>
    <w:p w14:paraId="65170C2A"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403AA1C4" w14:textId="77777777"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La Secretaría mediante normas oficiales determinará los requisitos y medidas fitosanitarias que deberán cumplirse para movilizar a zonas libres vegetales, sus productos o subproductos cuarentenados, así como los vehículos de transporte, maquinaria, materiales o equipo que hayan estado en contacto con ellos.</w:t>
      </w:r>
    </w:p>
    <w:p w14:paraId="245CB55F"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13A6B6D6" w14:textId="77777777" w:rsidR="0037533C" w:rsidRPr="007923C2" w:rsidRDefault="0037533C" w:rsidP="0037533C">
      <w:pPr>
        <w:widowControl w:val="0"/>
        <w:overflowPunct w:val="0"/>
        <w:autoSpaceDE w:val="0"/>
        <w:autoSpaceDN w:val="0"/>
        <w:adjustRightInd w:val="0"/>
        <w:spacing w:after="0" w:line="244" w:lineRule="auto"/>
        <w:ind w:right="40"/>
        <w:jc w:val="both"/>
        <w:rPr>
          <w:rFonts w:ascii="Arial" w:hAnsi="Arial" w:cs="Arial"/>
          <w:sz w:val="22"/>
          <w:szCs w:val="22"/>
        </w:rPr>
      </w:pPr>
      <w:r w:rsidRPr="007923C2">
        <w:rPr>
          <w:rFonts w:ascii="Arial" w:hAnsi="Arial" w:cs="Arial"/>
          <w:sz w:val="22"/>
          <w:szCs w:val="22"/>
        </w:rPr>
        <w:t>Cuando se compruebe que la movilización de las mercancías enunciadas en el párrafo anterior implica un riesgo fitosanitario, la Secretaría revocará los certificados que se hayan expedido y aplicará las medidas fitosanitarias necesarias.</w:t>
      </w:r>
    </w:p>
    <w:p w14:paraId="7DC0E17E"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6B978FFD"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36.-</w:t>
      </w:r>
    </w:p>
    <w:p w14:paraId="307BC86F"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17C516FB"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La Secretaría expedirá las normas oficiales que establezcan las características y especificaciones que deben reunir las estaciones cuarentenarias, así como las regiones donde se justifique su establecimiento. En dichas instalaciones se mantendrán en observación los vegetales, sus productos o subproductos sujetos a control cuarentenario, que se pretendan introducir o movilizar en el territorio nacional.</w:t>
      </w:r>
    </w:p>
    <w:p w14:paraId="7F0F47B0"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083E2719"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37.-</w:t>
      </w:r>
    </w:p>
    <w:p w14:paraId="536E9CCF"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558289EA"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Con base en el resultado de los muestreos en áreas geográficas específicas y la certeza comprobada de la no presencia o baja prevalencia de una plaga, la Secretaría podrá declarar zonas libres o de baja prevalencia de plagas que afecten a los vegetales.</w:t>
      </w:r>
    </w:p>
    <w:p w14:paraId="0BF1B23F" w14:textId="77777777"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14:paraId="524FE55D"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IV</w:t>
      </w:r>
    </w:p>
    <w:p w14:paraId="5E1F0FC1"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68AC3953"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DEL CONTROL DE INSUMOS, ACTIVIDADES Y SERVICIOS</w:t>
      </w:r>
    </w:p>
    <w:p w14:paraId="322019AB"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148579E9"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38.-</w:t>
      </w:r>
    </w:p>
    <w:p w14:paraId="5FA28961"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797D2EBE"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La Secretaría establecerá a través de normas oficiales, los procedimientos para certificar y evaluar la efectividad biológica, aplicación, uso y manejo en el campo, que deberán reunir los insumos fitosanitarios y de nutrición vegetal. Asimismo determinará las actividades y servicios fitosanitarios cuya prestación y desarrollo deberá sujetarse a normas oficiales y a la certificación y verificación correspondientes.</w:t>
      </w:r>
    </w:p>
    <w:p w14:paraId="52772D6D"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411698EC"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39.-</w:t>
      </w:r>
    </w:p>
    <w:p w14:paraId="1AF565E9"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53535CC2"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Los plaguicidas e insumos de nutrición vegetal deberán contar con el registro de la dependencia de la administración pública federal competente. Los interesados presentarán para dictamen un estudio de efectividad biológica a la Secretaría u organismos de certificación o unidades de verificación acreditados, mismo que se remitirá a la dependencia encargada del registro opinando sobre la conveniencia de inscribir el insumo de que se trate, así como las plagas específicas y cultivos sobre los que se recomienda su aplicación.</w:t>
      </w:r>
    </w:p>
    <w:p w14:paraId="401A5266" w14:textId="77777777"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14:paraId="4CD7D750"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Las personas físicas o morales que desarrollen o presten cualquier actividad o servicio fitosanitarios deberán asegurarse que los insumos que recomienden o utilicen cuenten con la certificación y, en su caso, el registro correspondientes.</w:t>
      </w:r>
    </w:p>
    <w:p w14:paraId="0F6C041D"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3DE67D2A" w14:textId="77777777" w:rsidR="0037533C" w:rsidRPr="007923C2" w:rsidRDefault="0037533C" w:rsidP="00773D65">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lastRenderedPageBreak/>
        <w:t>Artículo 40.-Los laboratorios de pruebas acreditados que formulen los estudios de efectividad biológica indicados en el Artículo anterior, se sujetarán a las especificaciones, criterios y procedimientos establecidos en las normas oficiales correspondientes.</w:t>
      </w:r>
    </w:p>
    <w:p w14:paraId="4E5C89AD" w14:textId="77777777" w:rsidR="0037533C" w:rsidRPr="007923C2" w:rsidRDefault="0037533C" w:rsidP="00773D65">
      <w:pPr>
        <w:widowControl w:val="0"/>
        <w:autoSpaceDE w:val="0"/>
        <w:autoSpaceDN w:val="0"/>
        <w:adjustRightInd w:val="0"/>
        <w:spacing w:after="0" w:line="217" w:lineRule="exact"/>
        <w:jc w:val="both"/>
        <w:rPr>
          <w:rFonts w:ascii="Arial" w:hAnsi="Arial" w:cs="Arial"/>
          <w:sz w:val="22"/>
          <w:szCs w:val="22"/>
        </w:rPr>
      </w:pPr>
    </w:p>
    <w:p w14:paraId="4F1A8E62" w14:textId="77777777" w:rsidR="0037533C" w:rsidRPr="007923C2" w:rsidRDefault="0037533C" w:rsidP="00773D65">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Artículo 41.-La Secretaría podrá solicitar al fabricante o a los laboratorios de pruebas acreditados, información técnica sobre la calidad fitosanitaria de insumos que se utilicen en actividadesagrícolas y forestales, a fin de controlar, vigilar y revaluar su efectividad biológica, aplicación, uso y manejo.</w:t>
      </w:r>
    </w:p>
    <w:p w14:paraId="48D52BF4"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35040E20" w14:textId="77777777" w:rsidR="0037533C" w:rsidRPr="007923C2" w:rsidRDefault="0037533C" w:rsidP="0037533C">
      <w:pPr>
        <w:widowControl w:val="0"/>
        <w:overflowPunct w:val="0"/>
        <w:autoSpaceDE w:val="0"/>
        <w:autoSpaceDN w:val="0"/>
        <w:adjustRightInd w:val="0"/>
        <w:spacing w:after="0" w:line="253" w:lineRule="auto"/>
        <w:ind w:right="40"/>
        <w:rPr>
          <w:rFonts w:ascii="Arial" w:hAnsi="Arial" w:cs="Arial"/>
          <w:sz w:val="22"/>
          <w:szCs w:val="22"/>
        </w:rPr>
      </w:pPr>
      <w:r w:rsidRPr="007923C2">
        <w:rPr>
          <w:rFonts w:ascii="Arial" w:hAnsi="Arial" w:cs="Arial"/>
          <w:sz w:val="22"/>
          <w:szCs w:val="22"/>
        </w:rPr>
        <w:t>En todo caso, la información que se proporcione a la Secretaría será confidencial, respetando los derechos de autor o de patente correspondientes.</w:t>
      </w:r>
    </w:p>
    <w:p w14:paraId="779EBD56"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1FD272AC"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42.-</w:t>
      </w:r>
    </w:p>
    <w:p w14:paraId="6785EFA6"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184791DE"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Secretaría, a través de normas oficiales, podrá determinar los insumos fitosanitarios que sólo podrán ser adquiridos o aplicados por recomendación escrita de profesionales fitosanitarios y bajo supervisión de la Secretaría. Para tal efecto, los profesionales fitosanitarios deberán satisfacer los requisitos indicados en el reglamento de esta Ley.</w:t>
      </w:r>
    </w:p>
    <w:p w14:paraId="0CB3ADF8"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6425BF09"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43.-</w:t>
      </w:r>
    </w:p>
    <w:p w14:paraId="171EA21A"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0D3D6D28"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aplicación, uso y manejo de material transgénico en programas experimentales o en el combate de plagas, requerirá del certificado fitosanitario correspondiente que expida la Secretaría o los organismos de certificación acreditados y estará sujeto a los mecanismos de verificación e inspección previstos en las normas oficiales respectivas.</w:t>
      </w:r>
    </w:p>
    <w:p w14:paraId="0891435E"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47D22A97"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44.-</w:t>
      </w:r>
    </w:p>
    <w:p w14:paraId="64B8BA98"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1DDB4DF6"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Las personas físicas o morales que desarrollen o presten actividades o servicios fitosanitarios que, conforme a las normas oficiales correspondientes, deban sujetarse a certificación y verificación fitosanitarias, presentarán a la Secretaría, directamente o a través de los organismos de certificación o unidades de verificación aprobados o acreditados, el aviso de inicio de funcionamiento, en el que se harán constar los datos del interesado y que cumple, con las especificaciones, criterios y procedimientos previstos en las normas oficiales que le sean aplicables.</w:t>
      </w:r>
    </w:p>
    <w:p w14:paraId="014A89B2"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23913567"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El aviso indicado en el párrafo anterior permitirá a la Secretaría integrar el Directorio Fitosanitario, estando facultada para verificar e inspeccionar en cualquier tiempo y lugar, la veracidad de la información fitosanitaria proporcionada.</w:t>
      </w:r>
    </w:p>
    <w:p w14:paraId="14BA6BB1"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4EC217EA" w14:textId="77777777" w:rsidR="0037533C" w:rsidRPr="007923C2" w:rsidRDefault="0037533C" w:rsidP="0037533C">
      <w:pPr>
        <w:widowControl w:val="0"/>
        <w:overflowPunct w:val="0"/>
        <w:autoSpaceDE w:val="0"/>
        <w:autoSpaceDN w:val="0"/>
        <w:adjustRightInd w:val="0"/>
        <w:spacing w:after="0" w:line="239" w:lineRule="auto"/>
        <w:ind w:right="60"/>
        <w:rPr>
          <w:rFonts w:ascii="Arial" w:hAnsi="Arial" w:cs="Arial"/>
          <w:sz w:val="22"/>
          <w:szCs w:val="22"/>
        </w:rPr>
      </w:pPr>
      <w:r w:rsidRPr="007923C2">
        <w:rPr>
          <w:rFonts w:ascii="Arial" w:hAnsi="Arial" w:cs="Arial"/>
          <w:sz w:val="22"/>
          <w:szCs w:val="22"/>
        </w:rPr>
        <w:t>La actualización y difusión de la información que se inscriba en el Directorio Fitosanitario, se harán en los términos del reglamento de esta ley.</w:t>
      </w:r>
    </w:p>
    <w:p w14:paraId="071C4D75"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63D42A6A"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45.-</w:t>
      </w:r>
    </w:p>
    <w:p w14:paraId="5D6C0517"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140C225E" w14:textId="77777777" w:rsidR="0037533C" w:rsidRPr="007923C2" w:rsidRDefault="0037533C" w:rsidP="0037533C">
      <w:pPr>
        <w:widowControl w:val="0"/>
        <w:overflowPunct w:val="0"/>
        <w:autoSpaceDE w:val="0"/>
        <w:autoSpaceDN w:val="0"/>
        <w:adjustRightInd w:val="0"/>
        <w:spacing w:after="0" w:line="240" w:lineRule="auto"/>
        <w:ind w:right="20"/>
        <w:jc w:val="both"/>
        <w:rPr>
          <w:rFonts w:ascii="Arial" w:hAnsi="Arial" w:cs="Arial"/>
          <w:sz w:val="22"/>
          <w:szCs w:val="22"/>
        </w:rPr>
      </w:pPr>
      <w:r w:rsidRPr="007923C2">
        <w:rPr>
          <w:rFonts w:ascii="Arial" w:hAnsi="Arial" w:cs="Arial"/>
          <w:sz w:val="22"/>
          <w:szCs w:val="22"/>
        </w:rPr>
        <w:t>Las personas físicas o morales que se dediquen a la fabricación, formulación, importación, aplicación y comercialización de insumos fitosanitarios y de nutrición vegetal, deberán solicitar a las unidades de verificación u organismos de certificación acreditados que, con posterioridad a la certificación y con la periodicidad que establezca la norma oficial respectiva, corroboren que la efectividad biológica y las recomendaciones sobre aplicación, uso y manejo sean las indicadas en la misma.</w:t>
      </w:r>
    </w:p>
    <w:p w14:paraId="308F2FEA" w14:textId="77777777"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14:paraId="002DED97"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V</w:t>
      </w:r>
    </w:p>
    <w:p w14:paraId="7D007B90"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16914EFC"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DEL DISPOSITIVO NACIONAL DE EMERGENCIA DE SANIDAD VEGETAL</w:t>
      </w:r>
    </w:p>
    <w:p w14:paraId="5F8FCB39"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2A7433F5"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46.-</w:t>
      </w:r>
    </w:p>
    <w:p w14:paraId="46FA0735"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00F367DB" w14:textId="77777777"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 xml:space="preserve">Cuando se detecte la presencia de plagas que ponga en situación de emergencia fitosanitaria a una o varias especies vegetales, en todo o en parte del territorio nacional, la Secretaría instrumentará el </w:t>
      </w:r>
      <w:r w:rsidRPr="007923C2">
        <w:rPr>
          <w:rFonts w:ascii="Arial" w:hAnsi="Arial" w:cs="Arial"/>
          <w:sz w:val="22"/>
          <w:szCs w:val="22"/>
        </w:rPr>
        <w:lastRenderedPageBreak/>
        <w:t>Dispositivo Nacional de Emergencia de Sanidad Vegetal, que consistirá en la aplicación urgente y coordinada de las medidas fitosanitarias necesarias y en la expedición de la norma oficial de emergencia correspondiente, la cual será de aplicación inmediata y obligatoria, en términos del Artículo 48 de la Ley Federal sobre Metrología y Normalización.</w:t>
      </w:r>
    </w:p>
    <w:p w14:paraId="14E3E9BE" w14:textId="77777777" w:rsidR="0037533C" w:rsidRPr="007923C2" w:rsidRDefault="0037533C" w:rsidP="0037533C">
      <w:pPr>
        <w:widowControl w:val="0"/>
        <w:autoSpaceDE w:val="0"/>
        <w:autoSpaceDN w:val="0"/>
        <w:adjustRightInd w:val="0"/>
        <w:spacing w:after="0" w:line="237" w:lineRule="exact"/>
        <w:rPr>
          <w:rFonts w:ascii="Arial" w:hAnsi="Arial" w:cs="Arial"/>
          <w:sz w:val="22"/>
          <w:szCs w:val="22"/>
        </w:rPr>
      </w:pPr>
    </w:p>
    <w:p w14:paraId="068AE5CF"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La Secretaría podrá determinar en las normas oficiales de emergencia, los insumos fitosanitarios cuya aplicación es la adecuada para el control de la plaga a combatir o erradicar.</w:t>
      </w:r>
    </w:p>
    <w:p w14:paraId="199EF5A1"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0241DEE5"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47.-</w:t>
      </w:r>
    </w:p>
    <w:p w14:paraId="3410B845"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0079EC54" w14:textId="77777777" w:rsidR="0037533C" w:rsidRPr="007923C2" w:rsidRDefault="0037533C" w:rsidP="00773D65">
      <w:pPr>
        <w:widowControl w:val="0"/>
        <w:overflowPunct w:val="0"/>
        <w:autoSpaceDE w:val="0"/>
        <w:autoSpaceDN w:val="0"/>
        <w:adjustRightInd w:val="0"/>
        <w:spacing w:after="0" w:line="280" w:lineRule="auto"/>
        <w:ind w:right="20"/>
        <w:jc w:val="both"/>
        <w:rPr>
          <w:rFonts w:ascii="Arial" w:hAnsi="Arial" w:cs="Arial"/>
          <w:sz w:val="22"/>
          <w:szCs w:val="22"/>
        </w:rPr>
      </w:pPr>
      <w:r w:rsidRPr="007923C2">
        <w:rPr>
          <w:rFonts w:ascii="Arial" w:hAnsi="Arial" w:cs="Arial"/>
          <w:sz w:val="22"/>
          <w:szCs w:val="22"/>
        </w:rPr>
        <w:t>La Secretaría podrá acordar y convenir con los gobiernos de los estados, organismos auxiliares y particulares interesados, la creación de uno o varios fondos de contingencia para afrontar inmediatamente las emergencias fitosanitarias que surjan por la presencia de plagas exóticas oexistentes en el territorio nacional, que pongan en peligro el patrimonio agrícola o forestal del país.</w:t>
      </w:r>
    </w:p>
    <w:p w14:paraId="606BF64B"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28D47E0B"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TITULO TERCERO</w:t>
      </w:r>
    </w:p>
    <w:p w14:paraId="7AF42AB5"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0417633C"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 la Aprobación, Certificación y Verificación e Inspección</w:t>
      </w:r>
    </w:p>
    <w:p w14:paraId="1046A37B"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00FA5F62"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w:t>
      </w:r>
    </w:p>
    <w:p w14:paraId="2029E0D6"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01A327FF"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 LA APROBACION</w:t>
      </w:r>
    </w:p>
    <w:p w14:paraId="6B420DBB"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6015A7F2"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48.-</w:t>
      </w:r>
    </w:p>
    <w:p w14:paraId="39D8D6FD"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4EBC8D36" w14:textId="77777777"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Corresponde a la Secretaría otorgar aprobaciones por materias específicas a personas físicas o morales para operar como:</w:t>
      </w:r>
    </w:p>
    <w:p w14:paraId="328240A3"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49F675E5"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 Organismos nacionales de normalización;</w:t>
      </w:r>
    </w:p>
    <w:p w14:paraId="0F15B360" w14:textId="77777777"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II. Organismos de certificación;</w:t>
      </w:r>
    </w:p>
    <w:p w14:paraId="4E8F33E7" w14:textId="77777777" w:rsidR="0037533C" w:rsidRPr="007923C2" w:rsidRDefault="0037533C" w:rsidP="0037533C">
      <w:pPr>
        <w:widowControl w:val="0"/>
        <w:autoSpaceDE w:val="0"/>
        <w:autoSpaceDN w:val="0"/>
        <w:adjustRightInd w:val="0"/>
        <w:spacing w:after="0" w:line="234" w:lineRule="auto"/>
        <w:rPr>
          <w:rFonts w:ascii="Arial" w:hAnsi="Arial" w:cs="Arial"/>
          <w:sz w:val="22"/>
          <w:szCs w:val="22"/>
        </w:rPr>
      </w:pPr>
      <w:r w:rsidRPr="007923C2">
        <w:rPr>
          <w:rFonts w:ascii="Arial" w:hAnsi="Arial" w:cs="Arial"/>
          <w:sz w:val="22"/>
          <w:szCs w:val="22"/>
        </w:rPr>
        <w:t>III. Unidades de verificación; y</w:t>
      </w:r>
    </w:p>
    <w:p w14:paraId="66C71070" w14:textId="77777777" w:rsidR="0037533C" w:rsidRPr="007923C2" w:rsidRDefault="0037533C" w:rsidP="0037533C">
      <w:pPr>
        <w:widowControl w:val="0"/>
        <w:autoSpaceDE w:val="0"/>
        <w:autoSpaceDN w:val="0"/>
        <w:adjustRightInd w:val="0"/>
        <w:spacing w:after="0" w:line="8" w:lineRule="exact"/>
        <w:rPr>
          <w:rFonts w:ascii="Arial" w:hAnsi="Arial" w:cs="Arial"/>
          <w:sz w:val="22"/>
          <w:szCs w:val="22"/>
        </w:rPr>
      </w:pPr>
    </w:p>
    <w:p w14:paraId="7DCE8BA0"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IV. Laboratorios de pruebas.</w:t>
      </w:r>
    </w:p>
    <w:p w14:paraId="77CF6B63"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6B57B551" w14:textId="77777777" w:rsidR="0037533C" w:rsidRPr="007923C2" w:rsidRDefault="0037533C" w:rsidP="0037533C">
      <w:pPr>
        <w:widowControl w:val="0"/>
        <w:overflowPunct w:val="0"/>
        <w:autoSpaceDE w:val="0"/>
        <w:autoSpaceDN w:val="0"/>
        <w:adjustRightInd w:val="0"/>
        <w:spacing w:after="0" w:line="253" w:lineRule="auto"/>
        <w:ind w:right="20"/>
        <w:jc w:val="both"/>
        <w:rPr>
          <w:rFonts w:ascii="Arial" w:hAnsi="Arial" w:cs="Arial"/>
          <w:sz w:val="22"/>
          <w:szCs w:val="22"/>
        </w:rPr>
      </w:pPr>
      <w:r w:rsidRPr="007923C2">
        <w:rPr>
          <w:rFonts w:ascii="Arial" w:hAnsi="Arial" w:cs="Arial"/>
          <w:sz w:val="22"/>
          <w:szCs w:val="22"/>
        </w:rPr>
        <w:t>Una misma persona podrá obtener una o varias de las aprobaciones a que hacen referencia las fracciones II a IV, del presente Artículo.</w:t>
      </w:r>
    </w:p>
    <w:p w14:paraId="1ED3C41D"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3D173E5D" w14:textId="77777777" w:rsidR="0037533C" w:rsidRPr="007923C2" w:rsidRDefault="0037533C" w:rsidP="0037533C">
      <w:pPr>
        <w:widowControl w:val="0"/>
        <w:overflowPunct w:val="0"/>
        <w:autoSpaceDE w:val="0"/>
        <w:autoSpaceDN w:val="0"/>
        <w:adjustRightInd w:val="0"/>
        <w:spacing w:after="0" w:line="253" w:lineRule="auto"/>
        <w:ind w:right="60"/>
        <w:rPr>
          <w:rFonts w:ascii="Arial" w:hAnsi="Arial" w:cs="Arial"/>
          <w:sz w:val="22"/>
          <w:szCs w:val="22"/>
        </w:rPr>
      </w:pPr>
      <w:r w:rsidRPr="007923C2">
        <w:rPr>
          <w:rFonts w:ascii="Arial" w:hAnsi="Arial" w:cs="Arial"/>
          <w:sz w:val="22"/>
          <w:szCs w:val="22"/>
        </w:rPr>
        <w:t>Se requerirá el acreditamiento de la Secretaría de Comercio y Fomento Industrial cuando se realicen actividades relacionadas con el ámbito competencial de dos o más dependencias.</w:t>
      </w:r>
    </w:p>
    <w:p w14:paraId="3FC0479B"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4E87ECA2" w14:textId="77777777" w:rsidR="0037533C" w:rsidRPr="007923C2" w:rsidRDefault="0037533C" w:rsidP="0037533C">
      <w:pPr>
        <w:widowControl w:val="0"/>
        <w:overflowPunct w:val="0"/>
        <w:autoSpaceDE w:val="0"/>
        <w:autoSpaceDN w:val="0"/>
        <w:adjustRightInd w:val="0"/>
        <w:spacing w:after="0" w:line="253" w:lineRule="auto"/>
        <w:ind w:right="20"/>
        <w:rPr>
          <w:rFonts w:ascii="Arial" w:hAnsi="Arial" w:cs="Arial"/>
          <w:sz w:val="22"/>
          <w:szCs w:val="22"/>
        </w:rPr>
      </w:pPr>
      <w:r w:rsidRPr="007923C2">
        <w:rPr>
          <w:rFonts w:ascii="Arial" w:hAnsi="Arial" w:cs="Arial"/>
          <w:sz w:val="22"/>
          <w:szCs w:val="22"/>
        </w:rPr>
        <w:t>En ningún caso las personas aprobadas podrán certificar o verificar el cumplimiento de normas oficiales a sí mismas o cuando tengan un interés directo.</w:t>
      </w:r>
    </w:p>
    <w:p w14:paraId="4F8DEF32"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131E4408"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49.-</w:t>
      </w:r>
    </w:p>
    <w:p w14:paraId="0B24ABD8"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18E13525"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Para otorgar la aprobación a que se refiere el Artículo anterior, la Secretaría formará comités de evaluación en materia de sanidad vegetal, integrados por técnicos calificados y con experiencia en los campos de las ramas específicas.</w:t>
      </w:r>
    </w:p>
    <w:p w14:paraId="12C07E59"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7DBBCEC1"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Las especificaciones, criterios y procedimientos que deberán satisfacer los interesados en obtener de la Secretaría, la aprobación que se regula en este Capítulo, así como las materias sobre las que podrán prestarse los servicios fitosanitarios, se establecen en el reglamento respectivo de esta ley y en las normas oficiales correspondientes.</w:t>
      </w:r>
    </w:p>
    <w:p w14:paraId="28F7CBAF"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454DBEEF" w14:textId="77777777" w:rsidR="0037533C" w:rsidRPr="007923C2" w:rsidRDefault="0037533C" w:rsidP="0037533C">
      <w:pPr>
        <w:widowControl w:val="0"/>
        <w:overflowPunct w:val="0"/>
        <w:autoSpaceDE w:val="0"/>
        <w:autoSpaceDN w:val="0"/>
        <w:adjustRightInd w:val="0"/>
        <w:spacing w:after="0" w:line="237" w:lineRule="auto"/>
        <w:ind w:right="20"/>
        <w:jc w:val="both"/>
        <w:rPr>
          <w:rFonts w:ascii="Arial" w:hAnsi="Arial" w:cs="Arial"/>
          <w:sz w:val="22"/>
          <w:szCs w:val="22"/>
        </w:rPr>
      </w:pPr>
      <w:r w:rsidRPr="007923C2">
        <w:rPr>
          <w:rFonts w:ascii="Arial" w:hAnsi="Arial" w:cs="Arial"/>
          <w:sz w:val="22"/>
          <w:szCs w:val="22"/>
        </w:rPr>
        <w:t>La acreditación de los organismos nacionales de normalización, organismos de certificación, unidades de verificación y laboratorios de pruebas aprobados por la Secretaría, se hará en los términos previstos en la Ley Federal sobre Metrología y Normalización.</w:t>
      </w:r>
    </w:p>
    <w:p w14:paraId="52A29FCE"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43D97887"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50.-</w:t>
      </w:r>
    </w:p>
    <w:p w14:paraId="08F1B2F4"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3B6B014C" w14:textId="77777777" w:rsidR="0037533C" w:rsidRPr="007923C2" w:rsidRDefault="0037533C" w:rsidP="0037533C">
      <w:pPr>
        <w:widowControl w:val="0"/>
        <w:overflowPunct w:val="0"/>
        <w:autoSpaceDE w:val="0"/>
        <w:autoSpaceDN w:val="0"/>
        <w:adjustRightInd w:val="0"/>
        <w:spacing w:after="0" w:line="245" w:lineRule="auto"/>
        <w:ind w:right="60"/>
        <w:rPr>
          <w:rFonts w:ascii="Arial" w:hAnsi="Arial" w:cs="Arial"/>
          <w:sz w:val="22"/>
          <w:szCs w:val="22"/>
        </w:rPr>
      </w:pPr>
      <w:r w:rsidRPr="007923C2">
        <w:rPr>
          <w:rFonts w:ascii="Arial" w:hAnsi="Arial" w:cs="Arial"/>
          <w:sz w:val="22"/>
          <w:szCs w:val="22"/>
        </w:rPr>
        <w:t>Es responsabilidad de las personas físicas o morales a que se refiere el Artículo 48 de esta Ley:</w:t>
      </w:r>
    </w:p>
    <w:p w14:paraId="131DA577" w14:textId="77777777"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14:paraId="73618C6F" w14:textId="77777777" w:rsidR="0037533C" w:rsidRPr="007923C2" w:rsidRDefault="0037533C" w:rsidP="00466394">
      <w:pPr>
        <w:widowControl w:val="0"/>
        <w:overflowPunct w:val="0"/>
        <w:autoSpaceDE w:val="0"/>
        <w:autoSpaceDN w:val="0"/>
        <w:adjustRightInd w:val="0"/>
        <w:spacing w:after="0" w:line="246" w:lineRule="auto"/>
        <w:ind w:right="40"/>
        <w:jc w:val="both"/>
        <w:rPr>
          <w:rFonts w:ascii="Arial" w:hAnsi="Arial" w:cs="Arial"/>
          <w:sz w:val="22"/>
          <w:szCs w:val="22"/>
        </w:rPr>
      </w:pPr>
      <w:r w:rsidRPr="007923C2">
        <w:rPr>
          <w:rFonts w:ascii="Arial" w:hAnsi="Arial" w:cs="Arial"/>
          <w:sz w:val="22"/>
          <w:szCs w:val="22"/>
        </w:rPr>
        <w:t>I. Prestar los servicios y desarrollar las actividades que se indiquen en las normas oficiales que se expidan sobre el particular;</w:t>
      </w:r>
    </w:p>
    <w:p w14:paraId="00558619" w14:textId="77777777" w:rsidR="0037533C" w:rsidRPr="007923C2" w:rsidRDefault="0037533C" w:rsidP="00466394">
      <w:pPr>
        <w:widowControl w:val="0"/>
        <w:autoSpaceDE w:val="0"/>
        <w:autoSpaceDN w:val="0"/>
        <w:adjustRightInd w:val="0"/>
        <w:spacing w:after="0" w:line="2" w:lineRule="exact"/>
        <w:jc w:val="both"/>
        <w:rPr>
          <w:rFonts w:ascii="Arial" w:hAnsi="Arial" w:cs="Arial"/>
          <w:sz w:val="22"/>
          <w:szCs w:val="22"/>
        </w:rPr>
      </w:pPr>
    </w:p>
    <w:p w14:paraId="6C0625A7" w14:textId="77777777" w:rsidR="0037533C" w:rsidRPr="007923C2" w:rsidRDefault="0037533C" w:rsidP="00466394">
      <w:pPr>
        <w:widowControl w:val="0"/>
        <w:overflowPunct w:val="0"/>
        <w:autoSpaceDE w:val="0"/>
        <w:autoSpaceDN w:val="0"/>
        <w:adjustRightInd w:val="0"/>
        <w:spacing w:after="0" w:line="234" w:lineRule="auto"/>
        <w:ind w:right="60"/>
        <w:jc w:val="both"/>
        <w:rPr>
          <w:rFonts w:ascii="Arial" w:hAnsi="Arial" w:cs="Arial"/>
          <w:sz w:val="22"/>
          <w:szCs w:val="22"/>
        </w:rPr>
      </w:pPr>
      <w:r w:rsidRPr="007923C2">
        <w:rPr>
          <w:rFonts w:ascii="Arial" w:hAnsi="Arial" w:cs="Arial"/>
          <w:sz w:val="22"/>
          <w:szCs w:val="22"/>
        </w:rPr>
        <w:t>II. Avisar a la Secretaría cuando conozcan sobre la presencia de una enfermedad o plaga de vegetales que de acuerdo con obligatoria;</w:t>
      </w:r>
    </w:p>
    <w:p w14:paraId="42DF56D4" w14:textId="77777777" w:rsidR="0037533C" w:rsidRPr="007923C2" w:rsidRDefault="0037533C" w:rsidP="00466394">
      <w:pPr>
        <w:widowControl w:val="0"/>
        <w:autoSpaceDE w:val="0"/>
        <w:autoSpaceDN w:val="0"/>
        <w:adjustRightInd w:val="0"/>
        <w:spacing w:after="0" w:line="8" w:lineRule="exact"/>
        <w:jc w:val="both"/>
        <w:rPr>
          <w:rFonts w:ascii="Arial" w:hAnsi="Arial" w:cs="Arial"/>
          <w:sz w:val="22"/>
          <w:szCs w:val="22"/>
        </w:rPr>
      </w:pPr>
    </w:p>
    <w:p w14:paraId="0D12DF1B" w14:textId="77777777" w:rsidR="0037533C" w:rsidRPr="007923C2" w:rsidRDefault="0037533C" w:rsidP="00466394">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III. Presentar a la Secretaría informes sobre los certificados fitosanitarios que expidan, en la forma y plazos que determine el reglamento de esta ley;</w:t>
      </w:r>
    </w:p>
    <w:p w14:paraId="2805CB5A" w14:textId="77777777" w:rsidR="0037533C" w:rsidRPr="007923C2" w:rsidRDefault="0037533C" w:rsidP="00466394">
      <w:pPr>
        <w:widowControl w:val="0"/>
        <w:overflowPunct w:val="0"/>
        <w:autoSpaceDE w:val="0"/>
        <w:autoSpaceDN w:val="0"/>
        <w:adjustRightInd w:val="0"/>
        <w:spacing w:after="0" w:line="242" w:lineRule="auto"/>
        <w:ind w:right="880"/>
        <w:jc w:val="both"/>
        <w:rPr>
          <w:rFonts w:ascii="Arial" w:hAnsi="Arial" w:cs="Arial"/>
          <w:sz w:val="22"/>
          <w:szCs w:val="22"/>
        </w:rPr>
      </w:pPr>
      <w:r w:rsidRPr="007923C2">
        <w:rPr>
          <w:rFonts w:ascii="Arial" w:hAnsi="Arial" w:cs="Arial"/>
          <w:sz w:val="22"/>
          <w:szCs w:val="22"/>
        </w:rPr>
        <w:t>IV. Informar periódicamente a la Secretaría sobre los servicios fitosanitarios que presten; V. Asistir a la Secretaría en casos de emergencia fitosanitaria; y</w:t>
      </w:r>
    </w:p>
    <w:p w14:paraId="01570C8C" w14:textId="77777777" w:rsidR="0037533C" w:rsidRPr="007923C2" w:rsidRDefault="0037533C" w:rsidP="00466394">
      <w:pPr>
        <w:widowControl w:val="0"/>
        <w:autoSpaceDE w:val="0"/>
        <w:autoSpaceDN w:val="0"/>
        <w:adjustRightInd w:val="0"/>
        <w:spacing w:after="0" w:line="236" w:lineRule="auto"/>
        <w:jc w:val="both"/>
        <w:rPr>
          <w:rFonts w:ascii="Arial" w:hAnsi="Arial" w:cs="Arial"/>
          <w:sz w:val="22"/>
          <w:szCs w:val="22"/>
        </w:rPr>
      </w:pPr>
      <w:r w:rsidRPr="007923C2">
        <w:rPr>
          <w:rFonts w:ascii="Arial" w:hAnsi="Arial" w:cs="Arial"/>
          <w:sz w:val="22"/>
          <w:szCs w:val="22"/>
        </w:rPr>
        <w:t>VI. Cumplir con las demás obligaciones a su cargo.</w:t>
      </w:r>
    </w:p>
    <w:p w14:paraId="038909F7"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3B4FF790"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w:t>
      </w:r>
    </w:p>
    <w:p w14:paraId="05D92272" w14:textId="77777777"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 CERTIFICACION</w:t>
      </w:r>
    </w:p>
    <w:p w14:paraId="760B1C71"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234F21A0"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51.-</w:t>
      </w:r>
    </w:p>
    <w:p w14:paraId="2DC9B34B"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Secretaría está facultada para certificar que los vegetales, sus productos y subproductos, así como los procesos, métodos, instalaciones, servicios o actividades relacionadas con la sanidad vegetal, cumplen con las disposiciones, especificaciones, criterios y procedimientos previstos en esta ley, su reglamento y las normas oficiales correspondientes.</w:t>
      </w:r>
    </w:p>
    <w:p w14:paraId="2DF0189E"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6EED2D1A"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52.-</w:t>
      </w:r>
    </w:p>
    <w:p w14:paraId="1BE83822"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36BE233B" w14:textId="77777777" w:rsidR="0037533C" w:rsidRPr="007923C2" w:rsidRDefault="0037533C" w:rsidP="0037533C">
      <w:pPr>
        <w:widowControl w:val="0"/>
        <w:overflowPunct w:val="0"/>
        <w:autoSpaceDE w:val="0"/>
        <w:autoSpaceDN w:val="0"/>
        <w:adjustRightInd w:val="0"/>
        <w:spacing w:after="0" w:line="245" w:lineRule="auto"/>
        <w:jc w:val="both"/>
        <w:rPr>
          <w:rFonts w:ascii="Arial" w:hAnsi="Arial" w:cs="Arial"/>
          <w:sz w:val="22"/>
          <w:szCs w:val="22"/>
        </w:rPr>
      </w:pPr>
      <w:r w:rsidRPr="007923C2">
        <w:rPr>
          <w:rFonts w:ascii="Arial" w:hAnsi="Arial" w:cs="Arial"/>
          <w:sz w:val="22"/>
          <w:szCs w:val="22"/>
        </w:rPr>
        <w:t>La certificación de normas oficiales se realizará por la Secretaría o por organismos de certificación o unidades de verificación aprobados o acreditados.</w:t>
      </w:r>
    </w:p>
    <w:p w14:paraId="375A4EB9" w14:textId="77777777"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14:paraId="1E8AE334" w14:textId="77777777" w:rsidR="0037533C" w:rsidRPr="007923C2" w:rsidRDefault="0037533C" w:rsidP="0037533C">
      <w:pPr>
        <w:widowControl w:val="0"/>
        <w:overflowPunct w:val="0"/>
        <w:autoSpaceDE w:val="0"/>
        <w:autoSpaceDN w:val="0"/>
        <w:adjustRightInd w:val="0"/>
        <w:spacing w:after="0" w:line="243" w:lineRule="auto"/>
        <w:ind w:right="20"/>
        <w:jc w:val="both"/>
        <w:rPr>
          <w:rFonts w:ascii="Arial" w:hAnsi="Arial" w:cs="Arial"/>
          <w:sz w:val="22"/>
          <w:szCs w:val="22"/>
        </w:rPr>
      </w:pPr>
      <w:r w:rsidRPr="007923C2">
        <w:rPr>
          <w:rFonts w:ascii="Arial" w:hAnsi="Arial" w:cs="Arial"/>
          <w:sz w:val="22"/>
          <w:szCs w:val="22"/>
        </w:rPr>
        <w:t>La Secretaría reconocerá o aprobará, mediante acuerdos que deberán publicarse en el Diario Oficial de la Federación, a los órganos reguladores y organismos de certificación extranjeros, cuyas certificaciones del cumplimiento de normas oficiales serán reconocidas para efectos de importación, conforme al principio de reciprocidad que se pacte en los tratados internacionales o acuerdos interinstitucionales.</w:t>
      </w:r>
    </w:p>
    <w:p w14:paraId="513B0D1E"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61731FD2"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53.-</w:t>
      </w:r>
    </w:p>
    <w:p w14:paraId="1898B905"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35FEC6B7"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La certificación que hagan las personas físicas o morales aprobadas o acreditadas, será solamente en aquellas materias para las que fueron específicamente aprobadas o reconocidas por la Secretaría, en los términos de esta ley y del reglamento.</w:t>
      </w:r>
    </w:p>
    <w:p w14:paraId="0A1A226A"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27A6FE5F"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III</w:t>
      </w:r>
    </w:p>
    <w:p w14:paraId="4C794F63" w14:textId="77777777"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 VERIFICACION E INSPECCION</w:t>
      </w:r>
    </w:p>
    <w:p w14:paraId="64E770BD"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1DDCF275"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54.-</w:t>
      </w:r>
    </w:p>
    <w:p w14:paraId="404E2648"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111F5F57" w14:textId="77777777" w:rsidR="0037533C" w:rsidRPr="007923C2" w:rsidRDefault="0037533C" w:rsidP="0037533C">
      <w:pPr>
        <w:widowControl w:val="0"/>
        <w:overflowPunct w:val="0"/>
        <w:autoSpaceDE w:val="0"/>
        <w:autoSpaceDN w:val="0"/>
        <w:adjustRightInd w:val="0"/>
        <w:spacing w:after="0" w:line="245" w:lineRule="auto"/>
        <w:ind w:right="20"/>
        <w:rPr>
          <w:rFonts w:ascii="Arial" w:hAnsi="Arial" w:cs="Arial"/>
          <w:sz w:val="22"/>
          <w:szCs w:val="22"/>
        </w:rPr>
      </w:pPr>
      <w:r w:rsidRPr="007923C2">
        <w:rPr>
          <w:rFonts w:ascii="Arial" w:hAnsi="Arial" w:cs="Arial"/>
          <w:sz w:val="22"/>
          <w:szCs w:val="22"/>
        </w:rPr>
        <w:t>La Secretaría podrá verificar e inspeccionar en cualquier tiempo y lugar el cumplimiento de las disposiciones fitosanitarias mediante:</w:t>
      </w:r>
    </w:p>
    <w:p w14:paraId="7B995582" w14:textId="77777777"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14:paraId="44725250" w14:textId="77777777" w:rsidR="0037533C" w:rsidRDefault="0037533C" w:rsidP="0037533C">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I. Verificación de los lugares donde se produzcan, fabriquen, almacenen o comercialicen vegetales, sus productos o subproductos, o se apliquen, expendan, usen o manejen insumos fitosanitarios y de nutrición vegetal;</w:t>
      </w:r>
    </w:p>
    <w:p w14:paraId="70CCAB17" w14:textId="77777777" w:rsidR="00466394" w:rsidRPr="007923C2" w:rsidRDefault="00466394" w:rsidP="0037533C">
      <w:pPr>
        <w:widowControl w:val="0"/>
        <w:overflowPunct w:val="0"/>
        <w:autoSpaceDE w:val="0"/>
        <w:autoSpaceDN w:val="0"/>
        <w:adjustRightInd w:val="0"/>
        <w:spacing w:after="0" w:line="242" w:lineRule="auto"/>
        <w:jc w:val="both"/>
        <w:rPr>
          <w:rFonts w:ascii="Arial" w:hAnsi="Arial" w:cs="Arial"/>
          <w:sz w:val="22"/>
          <w:szCs w:val="22"/>
        </w:rPr>
      </w:pPr>
    </w:p>
    <w:p w14:paraId="76CC7E00"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1E0AAE87" w14:textId="77777777" w:rsidR="0037533C" w:rsidRDefault="0037533C" w:rsidP="0037533C">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II. Verificación de los establecimientos donde se desarrollen o presten actividades o servicios fitosanitarios; y</w:t>
      </w:r>
    </w:p>
    <w:p w14:paraId="1AD63382" w14:textId="77777777" w:rsidR="00466394" w:rsidRPr="007923C2" w:rsidRDefault="00466394" w:rsidP="0037533C">
      <w:pPr>
        <w:widowControl w:val="0"/>
        <w:overflowPunct w:val="0"/>
        <w:autoSpaceDE w:val="0"/>
        <w:autoSpaceDN w:val="0"/>
        <w:adjustRightInd w:val="0"/>
        <w:spacing w:after="0" w:line="242" w:lineRule="auto"/>
        <w:ind w:right="40"/>
        <w:jc w:val="both"/>
        <w:rPr>
          <w:rFonts w:ascii="Arial" w:hAnsi="Arial" w:cs="Arial"/>
          <w:sz w:val="22"/>
          <w:szCs w:val="22"/>
        </w:rPr>
      </w:pPr>
    </w:p>
    <w:p w14:paraId="2682BA20" w14:textId="77777777" w:rsidR="0037533C" w:rsidRPr="007923C2" w:rsidRDefault="0037533C" w:rsidP="0037533C">
      <w:pPr>
        <w:widowControl w:val="0"/>
        <w:autoSpaceDE w:val="0"/>
        <w:autoSpaceDN w:val="0"/>
        <w:adjustRightInd w:val="0"/>
        <w:spacing w:after="0" w:line="1" w:lineRule="exact"/>
        <w:rPr>
          <w:rFonts w:ascii="Arial" w:hAnsi="Arial" w:cs="Arial"/>
          <w:sz w:val="22"/>
          <w:szCs w:val="22"/>
        </w:rPr>
      </w:pPr>
    </w:p>
    <w:p w14:paraId="002B2470" w14:textId="77777777" w:rsidR="0037533C" w:rsidRPr="007923C2" w:rsidRDefault="0037533C" w:rsidP="0037533C">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III. Inspección a los vehículos de transporte y embalajes en los que se movilicen, importen o exporten y se contengan vegetales, sus productos o subproductos y maquinaria agrícola y forestal o partes de ésta.</w:t>
      </w:r>
    </w:p>
    <w:p w14:paraId="122182C1" w14:textId="77777777"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14:paraId="2AA1E415" w14:textId="77777777" w:rsidR="0037533C" w:rsidRPr="007923C2" w:rsidRDefault="0037533C" w:rsidP="0037533C">
      <w:pPr>
        <w:widowControl w:val="0"/>
        <w:overflowPunct w:val="0"/>
        <w:autoSpaceDE w:val="0"/>
        <w:autoSpaceDN w:val="0"/>
        <w:adjustRightInd w:val="0"/>
        <w:spacing w:after="0" w:line="253" w:lineRule="auto"/>
        <w:ind w:right="40"/>
        <w:jc w:val="both"/>
        <w:rPr>
          <w:rFonts w:ascii="Arial" w:hAnsi="Arial" w:cs="Arial"/>
          <w:sz w:val="22"/>
          <w:szCs w:val="22"/>
        </w:rPr>
      </w:pPr>
      <w:r w:rsidRPr="007923C2">
        <w:rPr>
          <w:rFonts w:ascii="Arial" w:hAnsi="Arial" w:cs="Arial"/>
          <w:sz w:val="22"/>
          <w:szCs w:val="22"/>
        </w:rPr>
        <w:t>Los resultados de las verificaciones o de los actos de inspección que realice la Secretaría, se asentarán en dictámenes o actas, respectivamente.</w:t>
      </w:r>
    </w:p>
    <w:p w14:paraId="1FB7C3CB"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67DEF758" w14:textId="77777777" w:rsidR="0037533C" w:rsidRPr="007923C2" w:rsidRDefault="0037533C" w:rsidP="0037533C">
      <w:pPr>
        <w:widowControl w:val="0"/>
        <w:overflowPunct w:val="0"/>
        <w:autoSpaceDE w:val="0"/>
        <w:autoSpaceDN w:val="0"/>
        <w:adjustRightInd w:val="0"/>
        <w:spacing w:after="0" w:line="253" w:lineRule="auto"/>
        <w:ind w:right="60"/>
        <w:jc w:val="both"/>
        <w:rPr>
          <w:rFonts w:ascii="Arial" w:hAnsi="Arial" w:cs="Arial"/>
          <w:sz w:val="22"/>
          <w:szCs w:val="22"/>
        </w:rPr>
      </w:pPr>
      <w:r w:rsidRPr="007923C2">
        <w:rPr>
          <w:rFonts w:ascii="Arial" w:hAnsi="Arial" w:cs="Arial"/>
          <w:sz w:val="22"/>
          <w:szCs w:val="22"/>
        </w:rPr>
        <w:t>El procedimiento y criterios a que se sujetarán la verificación y los actos de inspección, se determinarán en el reglamento de esta ley y en la norma oficial respectiva.</w:t>
      </w:r>
    </w:p>
    <w:p w14:paraId="6FC3D870"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475328FD"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55.-</w:t>
      </w:r>
    </w:p>
    <w:p w14:paraId="5C5845C1"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4178E0C5"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Secretaría, aleatoriamente, podrá verificar o inspeccionar vegetales, sus productos o subproductos, vehículos de transporte, embalajes, maquinaria, equipos e insumos fitosanitarios y de nutrición vegetal que cuenten con certificados fitosanitarios, con el objeto de comprobar el cumplimiento de las normas oficiales aplicables, estando facultada para suspender o revocar en cualquier tiempo y lugar y sin responsabilidad alguna, los certificados fitosanitarios que se hayan expedido y para aplicar las medidas fitosanitarias necesarias, cuando se detecte la existencia de algún riesgo fitosanitario superveniente.</w:t>
      </w:r>
    </w:p>
    <w:p w14:paraId="5553AF5F"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067BA622"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56.-</w:t>
      </w:r>
    </w:p>
    <w:p w14:paraId="50A118ED"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4F462D3D"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Las unidades de verificación aprobadas o acreditadas, sólo podrán realizar verificaciones a petición de parte y sobre las materias en las que fueron aprobadas en términos del reglamento de esta ley; los dictámenes de verificación que formulen serán reconocidos por la Secretaría y los organismos de certificación acreditados.</w:t>
      </w:r>
    </w:p>
    <w:p w14:paraId="524261A3"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57A89A4E"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57.-</w:t>
      </w:r>
    </w:p>
    <w:p w14:paraId="7A349858"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Cuando el dictamen de una verificación determine la existencia de riesgos fitosanitarios o probables infracciones a las disposiciones fitosanitarias, el responsable del dictamen lo presentará a la Secretaría quien realizará la inspección respectiva.</w:t>
      </w:r>
    </w:p>
    <w:p w14:paraId="4EC56B64"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06B5CC40"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Si del resultado de la inspección se determina la comisión de alguna infracción a las disposiciones fitosanitarias, la Secretaría ordenará la imposición de las sanciones administrativas causadas y la aplicación de las medidas fitosanitarias necesarias.</w:t>
      </w:r>
    </w:p>
    <w:p w14:paraId="07695C77"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700CF0F5" w14:textId="77777777"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Cuando el dictamen de verificación o el acta de inspección determine la probable comisión de un delito, deberá formularse la denuncia correspondiente ante la autoridad competente.</w:t>
      </w:r>
    </w:p>
    <w:p w14:paraId="3B84DBE5" w14:textId="77777777" w:rsidR="0037533C" w:rsidRPr="007923C2" w:rsidRDefault="0037533C" w:rsidP="00466394">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Artículo 58.-</w:t>
      </w:r>
    </w:p>
    <w:p w14:paraId="72F4A173" w14:textId="77777777" w:rsidR="0037533C" w:rsidRPr="007923C2" w:rsidRDefault="0037533C" w:rsidP="00466394">
      <w:pPr>
        <w:widowControl w:val="0"/>
        <w:autoSpaceDE w:val="0"/>
        <w:autoSpaceDN w:val="0"/>
        <w:adjustRightInd w:val="0"/>
        <w:spacing w:after="0" w:line="3" w:lineRule="exact"/>
        <w:jc w:val="both"/>
        <w:rPr>
          <w:rFonts w:ascii="Arial" w:hAnsi="Arial" w:cs="Arial"/>
          <w:sz w:val="22"/>
          <w:szCs w:val="22"/>
        </w:rPr>
      </w:pPr>
    </w:p>
    <w:p w14:paraId="2DE2C100" w14:textId="77777777" w:rsidR="0037533C" w:rsidRPr="007923C2" w:rsidRDefault="0037533C" w:rsidP="00466394">
      <w:pPr>
        <w:widowControl w:val="0"/>
        <w:overflowPunct w:val="0"/>
        <w:autoSpaceDE w:val="0"/>
        <w:autoSpaceDN w:val="0"/>
        <w:adjustRightInd w:val="0"/>
        <w:spacing w:after="0" w:line="245" w:lineRule="auto"/>
        <w:ind w:right="40"/>
        <w:jc w:val="both"/>
        <w:rPr>
          <w:rFonts w:ascii="Arial" w:hAnsi="Arial" w:cs="Arial"/>
          <w:sz w:val="22"/>
          <w:szCs w:val="22"/>
        </w:rPr>
      </w:pPr>
      <w:r w:rsidRPr="007923C2">
        <w:rPr>
          <w:rFonts w:ascii="Arial" w:hAnsi="Arial" w:cs="Arial"/>
          <w:sz w:val="22"/>
          <w:szCs w:val="22"/>
        </w:rPr>
        <w:t>La Secretaría contará con los puntos de inspección fitosanitaria internacional necesarios, para asegurar el nivel de protección fitosanitaria apropiado.</w:t>
      </w:r>
    </w:p>
    <w:p w14:paraId="6F12D92A" w14:textId="77777777" w:rsidR="0037533C" w:rsidRPr="007923C2" w:rsidRDefault="0037533C" w:rsidP="00466394">
      <w:pPr>
        <w:widowControl w:val="0"/>
        <w:autoSpaceDE w:val="0"/>
        <w:autoSpaceDN w:val="0"/>
        <w:adjustRightInd w:val="0"/>
        <w:spacing w:after="0" w:line="212" w:lineRule="exact"/>
        <w:jc w:val="both"/>
        <w:rPr>
          <w:rFonts w:ascii="Arial" w:hAnsi="Arial" w:cs="Arial"/>
          <w:sz w:val="22"/>
          <w:szCs w:val="22"/>
        </w:rPr>
      </w:pPr>
    </w:p>
    <w:p w14:paraId="41221AFE" w14:textId="77777777" w:rsidR="0037533C" w:rsidRPr="007923C2" w:rsidRDefault="0037533C" w:rsidP="00466394">
      <w:pPr>
        <w:widowControl w:val="0"/>
        <w:overflowPunct w:val="0"/>
        <w:autoSpaceDE w:val="0"/>
        <w:autoSpaceDN w:val="0"/>
        <w:adjustRightInd w:val="0"/>
        <w:spacing w:after="0" w:line="253" w:lineRule="auto"/>
        <w:jc w:val="both"/>
        <w:rPr>
          <w:rFonts w:ascii="Arial" w:hAnsi="Arial" w:cs="Arial"/>
          <w:sz w:val="22"/>
          <w:szCs w:val="22"/>
        </w:rPr>
      </w:pPr>
      <w:r w:rsidRPr="007923C2">
        <w:rPr>
          <w:rFonts w:ascii="Arial" w:hAnsi="Arial" w:cs="Arial"/>
          <w:sz w:val="22"/>
          <w:szCs w:val="22"/>
        </w:rPr>
        <w:t>Para efectos del párrafo anterior, son puntos de inspección fitosanitaria internacional los siguientes:</w:t>
      </w:r>
    </w:p>
    <w:p w14:paraId="54724A21" w14:textId="77777777" w:rsidR="0037533C" w:rsidRPr="007923C2" w:rsidRDefault="0037533C" w:rsidP="00466394">
      <w:pPr>
        <w:widowControl w:val="0"/>
        <w:autoSpaceDE w:val="0"/>
        <w:autoSpaceDN w:val="0"/>
        <w:adjustRightInd w:val="0"/>
        <w:spacing w:after="0" w:line="205" w:lineRule="exact"/>
        <w:jc w:val="both"/>
        <w:rPr>
          <w:rFonts w:ascii="Arial" w:hAnsi="Arial" w:cs="Arial"/>
          <w:sz w:val="22"/>
          <w:szCs w:val="22"/>
        </w:rPr>
      </w:pPr>
    </w:p>
    <w:p w14:paraId="3F92B53F" w14:textId="77777777" w:rsidR="0037533C" w:rsidRPr="007923C2" w:rsidRDefault="0037533C" w:rsidP="00466394">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I. Los instalados en puertos y terminales marítimas, aéreas, ferroviarias y terrestres;</w:t>
      </w:r>
    </w:p>
    <w:p w14:paraId="7A4002E2" w14:textId="77777777" w:rsidR="0037533C" w:rsidRPr="007923C2" w:rsidRDefault="0037533C" w:rsidP="00466394">
      <w:pPr>
        <w:widowControl w:val="0"/>
        <w:autoSpaceDE w:val="0"/>
        <w:autoSpaceDN w:val="0"/>
        <w:adjustRightInd w:val="0"/>
        <w:spacing w:after="0" w:line="10" w:lineRule="exact"/>
        <w:jc w:val="both"/>
        <w:rPr>
          <w:rFonts w:ascii="Arial" w:hAnsi="Arial" w:cs="Arial"/>
          <w:sz w:val="22"/>
          <w:szCs w:val="22"/>
        </w:rPr>
      </w:pPr>
    </w:p>
    <w:p w14:paraId="04BB7F82" w14:textId="77777777" w:rsidR="0037533C" w:rsidRPr="007923C2" w:rsidRDefault="0037533C" w:rsidP="00466394">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II. Aquellos que se ubiquen en territorio extranjero, de acuerdo con los tratados internacionales y acuerdos interinstitucionales que se suscriban; y</w:t>
      </w:r>
    </w:p>
    <w:p w14:paraId="281744D1" w14:textId="77777777" w:rsidR="0037533C" w:rsidRPr="007923C2" w:rsidRDefault="0037533C" w:rsidP="00466394">
      <w:pPr>
        <w:widowControl w:val="0"/>
        <w:autoSpaceDE w:val="0"/>
        <w:autoSpaceDN w:val="0"/>
        <w:adjustRightInd w:val="0"/>
        <w:spacing w:after="0" w:line="234" w:lineRule="auto"/>
        <w:jc w:val="both"/>
        <w:rPr>
          <w:rFonts w:ascii="Arial" w:hAnsi="Arial" w:cs="Arial"/>
          <w:sz w:val="22"/>
          <w:szCs w:val="22"/>
        </w:rPr>
      </w:pPr>
      <w:r w:rsidRPr="007923C2">
        <w:rPr>
          <w:rFonts w:ascii="Arial" w:hAnsi="Arial" w:cs="Arial"/>
          <w:sz w:val="22"/>
          <w:szCs w:val="22"/>
        </w:rPr>
        <w:t>III. Otros que por excepción fije la Secretaría en base al análisis de riesgo fitosanitario.</w:t>
      </w:r>
    </w:p>
    <w:p w14:paraId="1FB7CE4F" w14:textId="77777777" w:rsidR="0037533C" w:rsidRPr="007923C2" w:rsidRDefault="0037533C" w:rsidP="00466394">
      <w:pPr>
        <w:widowControl w:val="0"/>
        <w:autoSpaceDE w:val="0"/>
        <w:autoSpaceDN w:val="0"/>
        <w:adjustRightInd w:val="0"/>
        <w:spacing w:after="0" w:line="233" w:lineRule="exact"/>
        <w:jc w:val="both"/>
        <w:rPr>
          <w:rFonts w:ascii="Arial" w:hAnsi="Arial" w:cs="Arial"/>
          <w:sz w:val="22"/>
          <w:szCs w:val="22"/>
        </w:rPr>
      </w:pPr>
    </w:p>
    <w:p w14:paraId="69727201" w14:textId="77777777" w:rsidR="0037533C" w:rsidRPr="007923C2" w:rsidRDefault="0037533C" w:rsidP="00466394">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El establecimiento y operación de los puntos de inspección señalados en este Artículo, se sujetará al reglamento de esta ley.</w:t>
      </w:r>
    </w:p>
    <w:p w14:paraId="668C913D"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39ACBB2F"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lastRenderedPageBreak/>
        <w:t>Artículo 59.-</w:t>
      </w:r>
    </w:p>
    <w:p w14:paraId="3295D4BD"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390F2842" w14:textId="77777777"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La Secretaría podrá instalar y operar directamente en el territorio nacional puntos de verificación interna, o acordar o permitir su instalación y operación a los gobiernos de los estados o a particulares que así lo soliciten conforme al reglamento de esta ley y la norma oficial respectiva.</w:t>
      </w:r>
    </w:p>
    <w:p w14:paraId="15883E67"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26CEA167"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La instalación y operación de los puntos de verificación indicados en el párrafo anterior, se sujetará al reglamento de esta ley y a las especificaciones, criterios y procedimientos establecidos en la norma oficial aplicable.</w:t>
      </w:r>
    </w:p>
    <w:p w14:paraId="6012B7CB"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4921DC9C"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60.-</w:t>
      </w:r>
    </w:p>
    <w:p w14:paraId="33191BCC"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654C33C1"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Ante el riesgo de diseminación de una plaga, la Secretaría estará facultada para realizar la toma de muestras necesarias sujetándose al reglamento de esta Ley y las normas oficiales correspondientes.</w:t>
      </w:r>
    </w:p>
    <w:p w14:paraId="376A5A5E"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0619872B"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El campo agrícola, huerto, vivero, plantación, aserradero, patio de concentración, recinto, lote o vehículo de transporte del que se haya tomado la muestra, quedará bajo la guarda, custodia y responsabilidad de su propietario o porteador en el mismo lugar o en aquel que éste designe o, en su defecto, en el que determine la Secretaría, quedando prohibida su movilización o comercialización hasta en tanto se compruebe su inocuidad.</w:t>
      </w:r>
    </w:p>
    <w:p w14:paraId="1C6326E2"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22D770AA"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De comprobarse la presencia de una plaga que afecte la sanidad de los vegetales, la Secretaría procederá en los términos del primer párrafo del Artículo 30.</w:t>
      </w:r>
    </w:p>
    <w:p w14:paraId="3E09E4F4"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1CA12B27"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TITULO CUARTO</w:t>
      </w:r>
    </w:p>
    <w:p w14:paraId="6E0127B8" w14:textId="77777777"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los incentivos, Denuncia Ciudadana, Sanciones y Recursos de Revisión</w:t>
      </w:r>
    </w:p>
    <w:p w14:paraId="3D5DB2A8"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4E9BB7C3"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w:t>
      </w:r>
    </w:p>
    <w:p w14:paraId="46E5A0C9" w14:textId="77777777"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LOS INCENTIVOS</w:t>
      </w:r>
    </w:p>
    <w:p w14:paraId="72561CE7"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6C9FBA9C"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61.-</w:t>
      </w:r>
    </w:p>
    <w:p w14:paraId="46C6D3B4"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54B482EC"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Se instituye el Premio Nacional de Sanidad Vegetal, con el objeto de reconocer y premiar anualmente el esfuerzo de quienes se destaquen en la prevención, control y erradicación de las enfermedades y plagas de los vegetales.</w:t>
      </w:r>
    </w:p>
    <w:p w14:paraId="2C0F6C1B" w14:textId="77777777" w:rsidR="0037533C" w:rsidRPr="007923C2" w:rsidRDefault="0037533C" w:rsidP="0037533C">
      <w:pPr>
        <w:widowControl w:val="0"/>
        <w:autoSpaceDE w:val="0"/>
        <w:autoSpaceDN w:val="0"/>
        <w:adjustRightInd w:val="0"/>
        <w:spacing w:after="0" w:line="207" w:lineRule="exact"/>
        <w:rPr>
          <w:rFonts w:ascii="Arial" w:hAnsi="Arial" w:cs="Arial"/>
          <w:sz w:val="22"/>
          <w:szCs w:val="22"/>
        </w:rPr>
      </w:pPr>
    </w:p>
    <w:p w14:paraId="66B30F83"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62.-</w:t>
      </w:r>
    </w:p>
    <w:p w14:paraId="7E670E45"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529B6CAB" w14:textId="77777777" w:rsidR="0037533C" w:rsidRPr="007923C2" w:rsidRDefault="0037533C" w:rsidP="0037533C">
      <w:pPr>
        <w:widowControl w:val="0"/>
        <w:overflowPunct w:val="0"/>
        <w:autoSpaceDE w:val="0"/>
        <w:autoSpaceDN w:val="0"/>
        <w:adjustRightInd w:val="0"/>
        <w:spacing w:after="0" w:line="240" w:lineRule="auto"/>
        <w:ind w:right="20"/>
        <w:jc w:val="both"/>
        <w:rPr>
          <w:rFonts w:ascii="Arial" w:hAnsi="Arial" w:cs="Arial"/>
          <w:sz w:val="22"/>
          <w:szCs w:val="22"/>
        </w:rPr>
      </w:pPr>
      <w:r w:rsidRPr="007923C2">
        <w:rPr>
          <w:rFonts w:ascii="Arial" w:hAnsi="Arial" w:cs="Arial"/>
          <w:sz w:val="22"/>
          <w:szCs w:val="22"/>
        </w:rPr>
        <w:t>El procedimiento para la selección de los acreedores al premio señalado en el Artículo anterior, así como las demás prevenciones que sean necesarias, se establecerán en el reglamento de esta ley.</w:t>
      </w:r>
    </w:p>
    <w:p w14:paraId="2FA4C2D9" w14:textId="77777777" w:rsidR="0037533C" w:rsidRDefault="0037533C" w:rsidP="0037533C">
      <w:pPr>
        <w:widowControl w:val="0"/>
        <w:autoSpaceDE w:val="0"/>
        <w:autoSpaceDN w:val="0"/>
        <w:adjustRightInd w:val="0"/>
        <w:spacing w:after="0" w:line="217" w:lineRule="exact"/>
        <w:rPr>
          <w:rFonts w:ascii="Arial" w:hAnsi="Arial" w:cs="Arial"/>
          <w:sz w:val="22"/>
          <w:szCs w:val="22"/>
        </w:rPr>
      </w:pPr>
    </w:p>
    <w:p w14:paraId="5ED3D9CB" w14:textId="77777777" w:rsidR="00466394" w:rsidRPr="007923C2" w:rsidRDefault="00466394" w:rsidP="0037533C">
      <w:pPr>
        <w:widowControl w:val="0"/>
        <w:autoSpaceDE w:val="0"/>
        <w:autoSpaceDN w:val="0"/>
        <w:adjustRightInd w:val="0"/>
        <w:spacing w:after="0" w:line="217" w:lineRule="exact"/>
        <w:rPr>
          <w:rFonts w:ascii="Arial" w:hAnsi="Arial" w:cs="Arial"/>
          <w:sz w:val="22"/>
          <w:szCs w:val="22"/>
        </w:rPr>
      </w:pPr>
    </w:p>
    <w:p w14:paraId="00572E38"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w:t>
      </w:r>
    </w:p>
    <w:p w14:paraId="2B94DC48"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08D38A02"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 LA DENUNCIA CIUDADANA</w:t>
      </w:r>
    </w:p>
    <w:p w14:paraId="3662140B"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6BA7AF01"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63.-</w:t>
      </w:r>
    </w:p>
    <w:p w14:paraId="1AF19E5F"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4255504B"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Todo ciudadano podrá denunciar directamente ante la Secretaría o a través de sus delegaciones en los estados, los hechos, actos u omisiones que atenten contra la sanidad vegetal.</w:t>
      </w:r>
    </w:p>
    <w:p w14:paraId="5DF62669"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472C69D4"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64.-</w:t>
      </w:r>
    </w:p>
    <w:p w14:paraId="0DE4C222"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1BF85D35"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denuncia podrá presentarse por cualquier ciudadano, bastando, para darle curso, que se señalen los datos necesarios que permitan localizar la fuente o el nombre y domicilio del denunciante.</w:t>
      </w:r>
    </w:p>
    <w:p w14:paraId="221C7F57"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3A4DF237" w14:textId="77777777" w:rsidR="0037533C" w:rsidRPr="007923C2" w:rsidRDefault="0037533C" w:rsidP="0037533C">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Una vez recibida la denuncia, la Secretaría la hará saber a la persona o personas a quienes se imputen los hechos denunciados y efectuará, en su caso, las diligencias necesarias para la comprobación de los hechos así como para la evaluación correspondiente.</w:t>
      </w:r>
    </w:p>
    <w:p w14:paraId="5B51F801"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72A417E6" w14:textId="77777777" w:rsidR="0037533C" w:rsidRPr="007923C2" w:rsidRDefault="0037533C" w:rsidP="0037533C">
      <w:pPr>
        <w:widowControl w:val="0"/>
        <w:overflowPunct w:val="0"/>
        <w:autoSpaceDE w:val="0"/>
        <w:autoSpaceDN w:val="0"/>
        <w:adjustRightInd w:val="0"/>
        <w:spacing w:after="0" w:line="241" w:lineRule="auto"/>
        <w:ind w:right="20"/>
        <w:jc w:val="both"/>
        <w:rPr>
          <w:rFonts w:ascii="Arial" w:hAnsi="Arial" w:cs="Arial"/>
          <w:sz w:val="22"/>
          <w:szCs w:val="22"/>
        </w:rPr>
      </w:pPr>
      <w:r w:rsidRPr="007923C2">
        <w:rPr>
          <w:rFonts w:ascii="Arial" w:hAnsi="Arial" w:cs="Arial"/>
          <w:sz w:val="22"/>
          <w:szCs w:val="22"/>
        </w:rPr>
        <w:t>La Secretaría, a más tardar dentro de los quince días hábiles siguientes a la presentación de una denuncia, deberá hacer del conocimiento del denunciante el trámite que se haya dado a aquélla y, en su caso, dentro de los treinta días hábiles siguientes, el resultado de la inspección de los hechos y medidas fitosanitarias adoptadas.</w:t>
      </w:r>
    </w:p>
    <w:p w14:paraId="1C35D515"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583C4A4A"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III</w:t>
      </w:r>
    </w:p>
    <w:p w14:paraId="1BFAD38C" w14:textId="77777777"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LAS SANCIONES</w:t>
      </w:r>
    </w:p>
    <w:p w14:paraId="00927376"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0D6421EE"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65.-</w:t>
      </w:r>
    </w:p>
    <w:p w14:paraId="55765372"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376C134B"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Las infracciones a lo dispuesto en esta ley y demás disposiciones que emanen de la misma, serán sancionadas administrativamente por la Secretaría, sin perjuicio de las penas que correspondan cuando sean constitutivas de delito.</w:t>
      </w:r>
    </w:p>
    <w:p w14:paraId="482D025B" w14:textId="77777777"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14:paraId="01C03C4C"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66.-</w:t>
      </w:r>
    </w:p>
    <w:p w14:paraId="46D5DDEA"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15AF3D98"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Son infracciones administrativas:</w:t>
      </w:r>
    </w:p>
    <w:p w14:paraId="7EDAA3B1"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24C6B557" w14:textId="77777777" w:rsidR="0037533C" w:rsidRPr="007923C2" w:rsidRDefault="0037533C" w:rsidP="0037533C">
      <w:pPr>
        <w:widowControl w:val="0"/>
        <w:overflowPunct w:val="0"/>
        <w:autoSpaceDE w:val="0"/>
        <w:autoSpaceDN w:val="0"/>
        <w:adjustRightInd w:val="0"/>
        <w:spacing w:after="0" w:line="253" w:lineRule="auto"/>
        <w:ind w:right="40"/>
        <w:jc w:val="both"/>
        <w:rPr>
          <w:rFonts w:ascii="Arial" w:hAnsi="Arial" w:cs="Arial"/>
          <w:sz w:val="22"/>
          <w:szCs w:val="22"/>
        </w:rPr>
      </w:pPr>
      <w:r w:rsidRPr="007923C2">
        <w:rPr>
          <w:rFonts w:ascii="Arial" w:hAnsi="Arial" w:cs="Arial"/>
          <w:sz w:val="22"/>
          <w:szCs w:val="22"/>
        </w:rPr>
        <w:t>I. Incumplir lo establecido en las normas oficiales derivadas de la presente ley; en cuyo caso se impondrá multa de 50 a 20,000 salarios;</w:t>
      </w:r>
    </w:p>
    <w:p w14:paraId="76277DC7"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64113DD1" w14:textId="77777777" w:rsidR="0037533C" w:rsidRPr="007923C2" w:rsidRDefault="0037533C" w:rsidP="0037533C">
      <w:pPr>
        <w:widowControl w:val="0"/>
        <w:overflowPunct w:val="0"/>
        <w:autoSpaceDE w:val="0"/>
        <w:autoSpaceDN w:val="0"/>
        <w:adjustRightInd w:val="0"/>
        <w:spacing w:after="0" w:line="244" w:lineRule="auto"/>
        <w:ind w:right="40"/>
        <w:jc w:val="both"/>
        <w:rPr>
          <w:rFonts w:ascii="Arial" w:hAnsi="Arial" w:cs="Arial"/>
          <w:sz w:val="22"/>
          <w:szCs w:val="22"/>
        </w:rPr>
      </w:pPr>
      <w:r w:rsidRPr="007923C2">
        <w:rPr>
          <w:rFonts w:ascii="Arial" w:hAnsi="Arial" w:cs="Arial"/>
          <w:sz w:val="22"/>
          <w:szCs w:val="22"/>
        </w:rPr>
        <w:t>II. Movilizar, importar o exportar vegetales, sus productos o subproductos e insumos sujetos a control fitosanitario sin contar, cuando se requiera, del certificado fitosanitario; en cuyo caso se impondrá multa de 2,000 a 20,000 salarios;</w:t>
      </w:r>
    </w:p>
    <w:p w14:paraId="047D64F4"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599698F0" w14:textId="77777777" w:rsidR="0037533C" w:rsidRPr="007923C2" w:rsidRDefault="0037533C" w:rsidP="0037533C">
      <w:pPr>
        <w:widowControl w:val="0"/>
        <w:overflowPunct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sz w:val="22"/>
          <w:szCs w:val="22"/>
        </w:rPr>
        <w:t>III. Incumplir la obligación prevista en el Artículo 29 de esta Ley; en cuyo caso se impondrá multa de 2,000 a 15,000 salarios;</w:t>
      </w:r>
    </w:p>
    <w:p w14:paraId="01762727"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2CC8AF3A" w14:textId="77777777" w:rsidR="0037533C" w:rsidRPr="007923C2" w:rsidRDefault="0037533C" w:rsidP="0037533C">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IV. Incumplir con las disposiciones fitosanitarias a que se refiere el Artículo 30 de esta ley; en cuyo caso se impondrá multa de 200 a 20,000 salarios;</w:t>
      </w:r>
    </w:p>
    <w:p w14:paraId="29F7166B"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0723DDC1" w14:textId="77777777" w:rsidR="0037533C" w:rsidRPr="007923C2" w:rsidRDefault="0037533C" w:rsidP="0037533C">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V. Incumplir con lo establecido en el Artículo 39 de esta ley; en cuyo caso se impondrá multa de 200 a 20,000 salarios;</w:t>
      </w:r>
    </w:p>
    <w:p w14:paraId="05FEECE7"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1FD30318" w14:textId="77777777" w:rsidR="0037533C" w:rsidRPr="007923C2" w:rsidRDefault="0037533C" w:rsidP="0037533C">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VI. No proporcionar a la Secretaría la información a que hace referencia el párrafo primero del Artículo 41 de esta ley; en cuyo caso se impondrá multa de 300 a 3,000 salarios;</w:t>
      </w:r>
    </w:p>
    <w:p w14:paraId="7D2A6F24" w14:textId="77777777" w:rsidR="00CE671E" w:rsidRDefault="00CE671E" w:rsidP="0037533C">
      <w:pPr>
        <w:widowControl w:val="0"/>
        <w:overflowPunct w:val="0"/>
        <w:autoSpaceDE w:val="0"/>
        <w:autoSpaceDN w:val="0"/>
        <w:adjustRightInd w:val="0"/>
        <w:spacing w:after="0" w:line="244" w:lineRule="auto"/>
        <w:ind w:right="20"/>
        <w:jc w:val="both"/>
        <w:rPr>
          <w:rFonts w:ascii="Arial" w:hAnsi="Arial" w:cs="Arial"/>
          <w:sz w:val="22"/>
          <w:szCs w:val="22"/>
        </w:rPr>
      </w:pPr>
    </w:p>
    <w:p w14:paraId="5FF6C235" w14:textId="77777777" w:rsidR="0037533C" w:rsidRPr="007923C2" w:rsidRDefault="0037533C" w:rsidP="0037533C">
      <w:pPr>
        <w:widowControl w:val="0"/>
        <w:overflowPunct w:val="0"/>
        <w:autoSpaceDE w:val="0"/>
        <w:autoSpaceDN w:val="0"/>
        <w:adjustRightInd w:val="0"/>
        <w:spacing w:after="0" w:line="244" w:lineRule="auto"/>
        <w:ind w:right="20"/>
        <w:jc w:val="both"/>
        <w:rPr>
          <w:rFonts w:ascii="Arial" w:hAnsi="Arial" w:cs="Arial"/>
          <w:sz w:val="22"/>
          <w:szCs w:val="22"/>
        </w:rPr>
      </w:pPr>
      <w:r w:rsidRPr="007923C2">
        <w:rPr>
          <w:rFonts w:ascii="Arial" w:hAnsi="Arial" w:cs="Arial"/>
          <w:sz w:val="22"/>
          <w:szCs w:val="22"/>
        </w:rPr>
        <w:t>VII. Expender, adquirir o aplicar insumos que requieren recomendación escrita incumpliendo lo dispuesto por el Artículo 42 de esta ley; en cuyo caso se impondrá multa de 200 a 20,000 salarios;</w:t>
      </w:r>
    </w:p>
    <w:p w14:paraId="188552BC" w14:textId="77777777"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14:paraId="4DC3A3DA" w14:textId="77777777" w:rsidR="0037533C" w:rsidRPr="007923C2" w:rsidRDefault="0037533C" w:rsidP="0037533C">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VIII. No dar el aviso de inicio de funcionamiento a que hace referencia el párrafo primero del Artículo 44 de esta ley; en cuyo caso se impondrá multa de 200 a 2,000 salarios;</w:t>
      </w:r>
    </w:p>
    <w:p w14:paraId="6571CCD1"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59CB59F9" w14:textId="77777777" w:rsidR="0037533C" w:rsidRPr="007923C2" w:rsidRDefault="0037533C" w:rsidP="0037533C">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IX. Incumplir la obligación establecida en el Artículo 45 de esta ley; en cuyo caso se impondrá multa de 200 a 10,000 salarios;</w:t>
      </w:r>
    </w:p>
    <w:p w14:paraId="69477C72"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767E1D31" w14:textId="77777777" w:rsidR="0037533C" w:rsidRPr="007923C2" w:rsidRDefault="0037533C" w:rsidP="0037533C">
      <w:pPr>
        <w:widowControl w:val="0"/>
        <w:overflowPunct w:val="0"/>
        <w:autoSpaceDE w:val="0"/>
        <w:autoSpaceDN w:val="0"/>
        <w:adjustRightInd w:val="0"/>
        <w:spacing w:after="0" w:line="239" w:lineRule="auto"/>
        <w:ind w:right="60"/>
        <w:rPr>
          <w:rFonts w:ascii="Arial" w:hAnsi="Arial" w:cs="Arial"/>
          <w:sz w:val="22"/>
          <w:szCs w:val="22"/>
        </w:rPr>
      </w:pPr>
      <w:r w:rsidRPr="007923C2">
        <w:rPr>
          <w:rFonts w:ascii="Arial" w:hAnsi="Arial" w:cs="Arial"/>
          <w:sz w:val="22"/>
          <w:szCs w:val="22"/>
        </w:rPr>
        <w:t>X. Incumplir con las medidas fitosanitarias de emergencia previstas en el Artículo 46 de esta ley; en cuyo caso se impondrá multa de 300 a 30,000 salarios;</w:t>
      </w:r>
    </w:p>
    <w:p w14:paraId="5F32E3B3"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3E563074" w14:textId="77777777" w:rsidR="0037533C" w:rsidRPr="007923C2" w:rsidRDefault="0037533C" w:rsidP="0037533C">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XI. Certificar o verificar el cumplimiento de normas oficiales respecto de actividades en las que se tenga interés directo; contraviniendo el párrafo final del Artículo 48 de esta ley; en cuyo caso se impondrá multa de 2,000 a 20,000 salarios;</w:t>
      </w:r>
    </w:p>
    <w:p w14:paraId="0B8DB799"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56C919CF" w14:textId="77777777" w:rsidR="0037533C" w:rsidRPr="007923C2" w:rsidRDefault="0037533C" w:rsidP="0037533C">
      <w:pPr>
        <w:widowControl w:val="0"/>
        <w:overflowPunct w:val="0"/>
        <w:autoSpaceDE w:val="0"/>
        <w:autoSpaceDN w:val="0"/>
        <w:adjustRightInd w:val="0"/>
        <w:spacing w:after="0" w:line="244" w:lineRule="auto"/>
        <w:ind w:right="40"/>
        <w:jc w:val="both"/>
        <w:rPr>
          <w:rFonts w:ascii="Arial" w:hAnsi="Arial" w:cs="Arial"/>
          <w:sz w:val="22"/>
          <w:szCs w:val="22"/>
        </w:rPr>
      </w:pPr>
      <w:r w:rsidRPr="007923C2">
        <w:rPr>
          <w:rFonts w:ascii="Arial" w:hAnsi="Arial" w:cs="Arial"/>
          <w:sz w:val="22"/>
          <w:szCs w:val="22"/>
        </w:rPr>
        <w:lastRenderedPageBreak/>
        <w:t>XII. Negarse a prestar, sin causa justificada, el servicio fitosanitario solicitado a un organismo de certificación o unidad de verificación aprobados o acreditados; en cuyo caso se impondrá multa de 20 a 2,000 salarios;</w:t>
      </w:r>
    </w:p>
    <w:p w14:paraId="7BF000FF"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41633EEE" w14:textId="77777777" w:rsidR="0037533C" w:rsidRPr="007923C2" w:rsidRDefault="0037533C" w:rsidP="0037533C">
      <w:pPr>
        <w:widowControl w:val="0"/>
        <w:overflowPunct w:val="0"/>
        <w:autoSpaceDE w:val="0"/>
        <w:autoSpaceDN w:val="0"/>
        <w:adjustRightInd w:val="0"/>
        <w:spacing w:after="0" w:line="253" w:lineRule="auto"/>
        <w:ind w:right="20"/>
        <w:jc w:val="both"/>
        <w:rPr>
          <w:rFonts w:ascii="Arial" w:hAnsi="Arial" w:cs="Arial"/>
          <w:sz w:val="22"/>
          <w:szCs w:val="22"/>
        </w:rPr>
      </w:pPr>
      <w:r w:rsidRPr="007923C2">
        <w:rPr>
          <w:rFonts w:ascii="Arial" w:hAnsi="Arial" w:cs="Arial"/>
          <w:sz w:val="22"/>
          <w:szCs w:val="22"/>
        </w:rPr>
        <w:t>XIII. Contravenir cualquiera de las responsabilidades enunciadas en el Artículo 50 de esta Ley; en cuyo caso se impondrá multa de 100 a 10,000 salarios;</w:t>
      </w:r>
    </w:p>
    <w:p w14:paraId="177219E3"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0F57E2BF" w14:textId="77777777" w:rsidR="0037533C" w:rsidRPr="007923C2" w:rsidRDefault="0037533C" w:rsidP="0037533C">
      <w:pPr>
        <w:widowControl w:val="0"/>
        <w:overflowPunct w:val="0"/>
        <w:autoSpaceDE w:val="0"/>
        <w:autoSpaceDN w:val="0"/>
        <w:adjustRightInd w:val="0"/>
        <w:spacing w:after="0" w:line="253" w:lineRule="auto"/>
        <w:jc w:val="both"/>
        <w:rPr>
          <w:rFonts w:ascii="Arial" w:hAnsi="Arial" w:cs="Arial"/>
          <w:sz w:val="22"/>
          <w:szCs w:val="22"/>
        </w:rPr>
      </w:pPr>
      <w:r w:rsidRPr="007923C2">
        <w:rPr>
          <w:rFonts w:ascii="Arial" w:hAnsi="Arial" w:cs="Arial"/>
          <w:sz w:val="22"/>
          <w:szCs w:val="22"/>
        </w:rPr>
        <w:t>XIV. Incumplir lo establecido en los artículos 53 y 56 de la presente ley; en cuyo caso se impondrá multa de 300 a 3,000 salarios;</w:t>
      </w:r>
    </w:p>
    <w:p w14:paraId="39A28597"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2AEBC148" w14:textId="77777777" w:rsidR="0037533C" w:rsidRPr="007923C2" w:rsidRDefault="0037533C" w:rsidP="0037533C">
      <w:pPr>
        <w:widowControl w:val="0"/>
        <w:overflowPunct w:val="0"/>
        <w:autoSpaceDE w:val="0"/>
        <w:autoSpaceDN w:val="0"/>
        <w:adjustRightInd w:val="0"/>
        <w:spacing w:after="0" w:line="253" w:lineRule="auto"/>
        <w:ind w:right="40"/>
        <w:rPr>
          <w:rFonts w:ascii="Arial" w:hAnsi="Arial" w:cs="Arial"/>
          <w:sz w:val="22"/>
          <w:szCs w:val="22"/>
        </w:rPr>
      </w:pPr>
      <w:r w:rsidRPr="007923C2">
        <w:rPr>
          <w:rFonts w:ascii="Arial" w:hAnsi="Arial" w:cs="Arial"/>
          <w:sz w:val="22"/>
          <w:szCs w:val="22"/>
        </w:rPr>
        <w:t>XV. No observar lo previsto en el Artículo 57; en cuyo caso se impondrá multa de 500 a 10,000 salarios;</w:t>
      </w:r>
    </w:p>
    <w:p w14:paraId="3162AF50"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31EC66D5" w14:textId="77777777" w:rsidR="0037533C" w:rsidRPr="007923C2" w:rsidRDefault="0037533C" w:rsidP="0037533C">
      <w:pPr>
        <w:widowControl w:val="0"/>
        <w:overflowPunct w:val="0"/>
        <w:autoSpaceDE w:val="0"/>
        <w:autoSpaceDN w:val="0"/>
        <w:adjustRightInd w:val="0"/>
        <w:spacing w:after="0" w:line="253" w:lineRule="auto"/>
        <w:ind w:right="40"/>
        <w:rPr>
          <w:rFonts w:ascii="Arial" w:hAnsi="Arial" w:cs="Arial"/>
          <w:sz w:val="22"/>
          <w:szCs w:val="22"/>
        </w:rPr>
      </w:pPr>
      <w:r w:rsidRPr="007923C2">
        <w:rPr>
          <w:rFonts w:ascii="Arial" w:hAnsi="Arial" w:cs="Arial"/>
          <w:sz w:val="22"/>
          <w:szCs w:val="22"/>
        </w:rPr>
        <w:t>XVI. Incumplir la obligación de guarda y custodia prevista en el párrafo segundo del Artículo 60 de la ley; en cuyo caso se impondrá multa de 200 a 20,000 salarios; y</w:t>
      </w:r>
    </w:p>
    <w:p w14:paraId="5531B9E4"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6FB548BA" w14:textId="77777777" w:rsidR="0037533C" w:rsidRPr="007923C2" w:rsidRDefault="0037533C" w:rsidP="0037533C">
      <w:pPr>
        <w:widowControl w:val="0"/>
        <w:overflowPunct w:val="0"/>
        <w:autoSpaceDE w:val="0"/>
        <w:autoSpaceDN w:val="0"/>
        <w:adjustRightInd w:val="0"/>
        <w:spacing w:after="0" w:line="253" w:lineRule="auto"/>
        <w:ind w:right="60"/>
        <w:rPr>
          <w:rFonts w:ascii="Arial" w:hAnsi="Arial" w:cs="Arial"/>
          <w:sz w:val="22"/>
          <w:szCs w:val="22"/>
        </w:rPr>
      </w:pPr>
      <w:r w:rsidRPr="007923C2">
        <w:rPr>
          <w:rFonts w:ascii="Arial" w:hAnsi="Arial" w:cs="Arial"/>
          <w:sz w:val="22"/>
          <w:szCs w:val="22"/>
        </w:rPr>
        <w:t>XVII. Las demás infracciones a lo establecido en la presente ley; en cuyo caso se impondrá multa de 50 a 15,000 salarios.</w:t>
      </w:r>
    </w:p>
    <w:p w14:paraId="18B3ECCD"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4990373C" w14:textId="77777777" w:rsidR="0037533C" w:rsidRPr="007923C2" w:rsidRDefault="0037533C" w:rsidP="0037533C">
      <w:pPr>
        <w:widowControl w:val="0"/>
        <w:overflowPunct w:val="0"/>
        <w:autoSpaceDE w:val="0"/>
        <w:autoSpaceDN w:val="0"/>
        <w:adjustRightInd w:val="0"/>
        <w:spacing w:after="0" w:line="253" w:lineRule="auto"/>
        <w:jc w:val="both"/>
        <w:rPr>
          <w:rFonts w:ascii="Arial" w:hAnsi="Arial" w:cs="Arial"/>
          <w:sz w:val="22"/>
          <w:szCs w:val="22"/>
        </w:rPr>
      </w:pPr>
      <w:r w:rsidRPr="007923C2">
        <w:rPr>
          <w:rFonts w:ascii="Arial" w:hAnsi="Arial" w:cs="Arial"/>
          <w:sz w:val="22"/>
          <w:szCs w:val="22"/>
        </w:rPr>
        <w:t>Para los efectos del presente Artículo, por salario se entiende, el salario mínimo general vigente en el Distrito Federal, al momento de cometerse la infracción.</w:t>
      </w:r>
    </w:p>
    <w:p w14:paraId="3CA3CC91"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72EBB35C"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67.-</w:t>
      </w:r>
    </w:p>
    <w:p w14:paraId="574CC4B6"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3723505C"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La Secretaría podrá clausurar hasta por quince días, los viveros, huertos, empacadoras, recintos, almacenes, aserraderos, plantaciones, patios de concentración y cualquier otro establecimiento donde se desarrollen o presten actividades o servicios fitosanitarios, cuando se infrinja lo previsto en los artículos 19, fracciones I, incisos f) al i), II a V y VII, 38, 39 y 60 párrafo segundo de esta ley.</w:t>
      </w:r>
    </w:p>
    <w:p w14:paraId="60CEB5E2"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75247E7B"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Secretaría también podrá ordenar que, a costa del infractor, se inmovilicen y, en su caso, destruyan los vegetales, sus productos o subproductos, insumos, semillas, material de propagación o cualquier otro susceptible de diseminar plagas, que se localicen en cualquiera de los establecimientos mencionados en el párrafo anterior.</w:t>
      </w:r>
    </w:p>
    <w:p w14:paraId="14153DA8"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0DEB0B02"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68.-</w:t>
      </w:r>
    </w:p>
    <w:p w14:paraId="0D120F51"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08E243C3"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La Secretaría sancionará con la suspensión temporal de la aprobación o permiso a:</w:t>
      </w:r>
    </w:p>
    <w:p w14:paraId="6B4E3F31"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33DB3336" w14:textId="77777777" w:rsidR="0037533C" w:rsidRPr="007923C2" w:rsidRDefault="0037533C" w:rsidP="0037533C">
      <w:pPr>
        <w:widowControl w:val="0"/>
        <w:overflowPunct w:val="0"/>
        <w:autoSpaceDE w:val="0"/>
        <w:autoSpaceDN w:val="0"/>
        <w:adjustRightInd w:val="0"/>
        <w:spacing w:after="0" w:line="246" w:lineRule="auto"/>
        <w:ind w:right="40"/>
        <w:rPr>
          <w:rFonts w:ascii="Arial" w:hAnsi="Arial" w:cs="Arial"/>
          <w:sz w:val="22"/>
          <w:szCs w:val="22"/>
        </w:rPr>
      </w:pPr>
      <w:r w:rsidRPr="007923C2">
        <w:rPr>
          <w:rFonts w:ascii="Arial" w:hAnsi="Arial" w:cs="Arial"/>
          <w:sz w:val="22"/>
          <w:szCs w:val="22"/>
        </w:rPr>
        <w:t>I. Las personas físicas o morales aprobadas que incumplan con lo dispuesto en los artículos 40, 48 párrafo final, 50, 53, 56 y 57 de esta ley; y</w:t>
      </w:r>
    </w:p>
    <w:p w14:paraId="7B48748F" w14:textId="77777777" w:rsidR="0037533C" w:rsidRPr="007923C2" w:rsidRDefault="0037533C" w:rsidP="0037533C">
      <w:pPr>
        <w:widowControl w:val="0"/>
        <w:autoSpaceDE w:val="0"/>
        <w:autoSpaceDN w:val="0"/>
        <w:adjustRightInd w:val="0"/>
        <w:spacing w:after="0" w:line="2" w:lineRule="exact"/>
        <w:rPr>
          <w:rFonts w:ascii="Arial" w:hAnsi="Arial" w:cs="Arial"/>
          <w:sz w:val="22"/>
          <w:szCs w:val="22"/>
        </w:rPr>
      </w:pPr>
    </w:p>
    <w:p w14:paraId="25AC78E7" w14:textId="77777777" w:rsidR="0037533C" w:rsidRPr="007923C2" w:rsidRDefault="0037533C" w:rsidP="0037533C">
      <w:pPr>
        <w:widowControl w:val="0"/>
        <w:overflowPunct w:val="0"/>
        <w:autoSpaceDE w:val="0"/>
        <w:autoSpaceDN w:val="0"/>
        <w:adjustRightInd w:val="0"/>
        <w:spacing w:after="0" w:line="234" w:lineRule="auto"/>
        <w:ind w:right="40"/>
        <w:rPr>
          <w:rFonts w:ascii="Arial" w:hAnsi="Arial" w:cs="Arial"/>
          <w:sz w:val="22"/>
          <w:szCs w:val="22"/>
        </w:rPr>
      </w:pPr>
      <w:r w:rsidRPr="007923C2">
        <w:rPr>
          <w:rFonts w:ascii="Arial" w:hAnsi="Arial" w:cs="Arial"/>
          <w:sz w:val="22"/>
          <w:szCs w:val="22"/>
        </w:rPr>
        <w:t>II. Los particulares que hayan obtenido el permiso previsto en el Artículo 59 de esta ley cuando incumplan con las normas oficiales aplicables.</w:t>
      </w:r>
    </w:p>
    <w:p w14:paraId="64A6FF92" w14:textId="77777777"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14:paraId="75A77314"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69.-</w:t>
      </w:r>
    </w:p>
    <w:p w14:paraId="33F6CDD0"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En caso de reincidencia se podrá aplicar multa hasta por el doble de las cantidades señaladas en el Artículo 66 y, en el caso de las infracciones a que se refieren los artículos 67 y 68, procederá la clausura permanente del establecimiento y la revocación de la aprobación o permiso otorgados.</w:t>
      </w:r>
    </w:p>
    <w:p w14:paraId="1E426EAB"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759C623F"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La Secretaría publicará en el Diario Oficial de la Federación, la resolución por la que se suspenda o revoque alguna aprobación o permiso, a fin de que se haga la inscripción en el registro correspondiente.</w:t>
      </w:r>
    </w:p>
    <w:p w14:paraId="0B71F9B6"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2E85611B"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70.-</w:t>
      </w:r>
    </w:p>
    <w:p w14:paraId="4DEB262B"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512425E6"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lastRenderedPageBreak/>
        <w:t>Para la imposición de sanciones la Secretaría tomará en cuenta la gravedad de la infracción, los daños y perjuicios causados, al igual que los antecedentes, circunstancias personales y situación socioeconómica del infractor, debiendo previamente conceder audiencia al interesado, en los términos que establezca el reglamento de la presente ley.</w:t>
      </w:r>
    </w:p>
    <w:p w14:paraId="72CEC011"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00AB5260"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IV</w:t>
      </w:r>
    </w:p>
    <w:p w14:paraId="4783ECA4"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2B1A1929"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DEL RECURSO DE REVISION</w:t>
      </w:r>
    </w:p>
    <w:p w14:paraId="23440713"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03D01AD4"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71.-</w:t>
      </w:r>
    </w:p>
    <w:p w14:paraId="61A1EFF6"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1C7F8C02"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Contra las resoluciones dictadas por la Secretaría con fundamento en esta ley, se podrá interponer el recurso de revisión dentro del término de quince días hábiles siguientes a la fecha de su notificación.</w:t>
      </w:r>
    </w:p>
    <w:p w14:paraId="642AE1D2"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5C261EDD" w14:textId="77777777" w:rsidR="0037533C" w:rsidRPr="007923C2" w:rsidRDefault="0037533C" w:rsidP="0037533C">
      <w:pPr>
        <w:widowControl w:val="0"/>
        <w:overflowPunct w:val="0"/>
        <w:autoSpaceDE w:val="0"/>
        <w:autoSpaceDN w:val="0"/>
        <w:adjustRightInd w:val="0"/>
        <w:spacing w:after="0" w:line="244" w:lineRule="auto"/>
        <w:ind w:right="20"/>
        <w:jc w:val="both"/>
        <w:rPr>
          <w:rFonts w:ascii="Arial" w:hAnsi="Arial" w:cs="Arial"/>
          <w:sz w:val="22"/>
          <w:szCs w:val="22"/>
        </w:rPr>
      </w:pPr>
      <w:r w:rsidRPr="007923C2">
        <w:rPr>
          <w:rFonts w:ascii="Arial" w:hAnsi="Arial" w:cs="Arial"/>
          <w:sz w:val="22"/>
          <w:szCs w:val="22"/>
        </w:rPr>
        <w:t>El recurso de revisión tiene por objeto revocar, modificar o confirmar la resolución reclamada y los fallos que se dicten, contendrán la fijación del acto impugnado, los fundamentos legales en que se apoye y los puntos resolutivos.</w:t>
      </w:r>
    </w:p>
    <w:p w14:paraId="3D7ADB81"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2D43A7D3"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72.-</w:t>
      </w:r>
    </w:p>
    <w:p w14:paraId="178A19D4"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280D9B21"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interposición del recurso se hará mediante escrito dirigido a la Secretaría, en el que se deberán expresar el nombre y domicilio del recurrente, la resolución que se recurre y los agravios, acompañando el escrito con los elementos de prueba que se consideren necesarios y con las constancias que acrediten la personalidad del promovente.</w:t>
      </w:r>
    </w:p>
    <w:p w14:paraId="2D0514E9"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36FFF2E8" w14:textId="77777777" w:rsidR="0037533C" w:rsidRPr="007923C2" w:rsidRDefault="0037533C" w:rsidP="0037533C">
      <w:pPr>
        <w:widowControl w:val="0"/>
        <w:overflowPunct w:val="0"/>
        <w:autoSpaceDE w:val="0"/>
        <w:autoSpaceDN w:val="0"/>
        <w:adjustRightInd w:val="0"/>
        <w:spacing w:after="0" w:line="253" w:lineRule="auto"/>
        <w:ind w:right="60"/>
        <w:jc w:val="both"/>
        <w:rPr>
          <w:rFonts w:ascii="Arial" w:hAnsi="Arial" w:cs="Arial"/>
          <w:sz w:val="22"/>
          <w:szCs w:val="22"/>
        </w:rPr>
      </w:pPr>
      <w:r w:rsidRPr="007923C2">
        <w:rPr>
          <w:rFonts w:ascii="Arial" w:hAnsi="Arial" w:cs="Arial"/>
          <w:sz w:val="22"/>
          <w:szCs w:val="22"/>
        </w:rPr>
        <w:t>La interposición del recurso suspenderá la ejecución de la resolución impugnada, por lo que hace al pago de multas.</w:t>
      </w:r>
    </w:p>
    <w:p w14:paraId="141673F8"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3C6BA1B9" w14:textId="77777777" w:rsidR="0037533C" w:rsidRPr="007923C2" w:rsidRDefault="0037533C" w:rsidP="0037533C">
      <w:pPr>
        <w:widowControl w:val="0"/>
        <w:overflowPunct w:val="0"/>
        <w:autoSpaceDE w:val="0"/>
        <w:autoSpaceDN w:val="0"/>
        <w:adjustRightInd w:val="0"/>
        <w:spacing w:after="0" w:line="253" w:lineRule="auto"/>
        <w:rPr>
          <w:rFonts w:ascii="Arial" w:hAnsi="Arial" w:cs="Arial"/>
          <w:sz w:val="22"/>
          <w:szCs w:val="22"/>
        </w:rPr>
      </w:pPr>
      <w:r w:rsidRPr="007923C2">
        <w:rPr>
          <w:rFonts w:ascii="Arial" w:hAnsi="Arial" w:cs="Arial"/>
          <w:sz w:val="22"/>
          <w:szCs w:val="22"/>
        </w:rPr>
        <w:t>El reglamento de la presente ley establecerá los términos y demás requisitos para la tramitación y sustanciación del recurso.</w:t>
      </w:r>
    </w:p>
    <w:p w14:paraId="08280BA1" w14:textId="77777777"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14:paraId="0352D5AA"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TRANSITORIOS</w:t>
      </w:r>
    </w:p>
    <w:p w14:paraId="1BDB9AC0"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52CC6FDF"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1o.-</w:t>
      </w:r>
    </w:p>
    <w:p w14:paraId="07ECB0BB"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1E44ACEF" w14:textId="77777777" w:rsidR="0037533C" w:rsidRPr="007923C2" w:rsidRDefault="0037533C" w:rsidP="0037533C">
      <w:pPr>
        <w:widowControl w:val="0"/>
        <w:overflowPunct w:val="0"/>
        <w:autoSpaceDE w:val="0"/>
        <w:autoSpaceDN w:val="0"/>
        <w:adjustRightInd w:val="0"/>
        <w:spacing w:after="0" w:line="245" w:lineRule="auto"/>
        <w:ind w:right="60"/>
        <w:rPr>
          <w:rFonts w:ascii="Arial" w:hAnsi="Arial" w:cs="Arial"/>
          <w:sz w:val="22"/>
          <w:szCs w:val="22"/>
        </w:rPr>
      </w:pPr>
      <w:r w:rsidRPr="007923C2">
        <w:rPr>
          <w:rFonts w:ascii="Arial" w:hAnsi="Arial" w:cs="Arial"/>
          <w:sz w:val="22"/>
          <w:szCs w:val="22"/>
        </w:rPr>
        <w:t>La presente ley entrará en vigor al día siguiente de su publicación en el Diario Oficial de la Federación.</w:t>
      </w:r>
    </w:p>
    <w:p w14:paraId="4BAB0CBD" w14:textId="77777777"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14:paraId="7C14862C"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2o.-</w:t>
      </w:r>
    </w:p>
    <w:p w14:paraId="3A6C4C2E"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67B366D6" w14:textId="77777777" w:rsidR="0037533C" w:rsidRPr="007923C2" w:rsidRDefault="0037533C" w:rsidP="0037533C">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Se abrogan la Ley de Sanidad Fitopecuaria de los Estados Unidos Mexicanos y la Ley Vitivinícola, publicadas en el Diario Oficial de la Federación el 13 de diciembre de 1974 y el 25 de marzo de 1943, respectivamente.</w:t>
      </w:r>
    </w:p>
    <w:p w14:paraId="687D0FAF"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20CF94A7" w14:textId="77777777"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En tanto no se expidan las disposiciones correspondientes, continuarán aplicándose, en lo que no se opongan a esta ley, las disposiciones reglamentarias y administrativas vigentes a la fecha de entrada en vigor del presente ordenamiento.</w:t>
      </w:r>
    </w:p>
    <w:p w14:paraId="5686899B" w14:textId="77777777"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14:paraId="0259EF55"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3o.-</w:t>
      </w:r>
    </w:p>
    <w:p w14:paraId="4F3F3232" w14:textId="77777777"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14:paraId="46758959"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Se reconoce plena validez a los registros, permisos, autorizaciones, certificados y guías expedidos con anterioridad a la fecha de entrada en vigor de esta ley, cuando se ajusten plenamente a las disposiciones de la legislación que se abroga.</w:t>
      </w:r>
    </w:p>
    <w:p w14:paraId="2622FC5E"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27385E3E"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4o.-</w:t>
      </w:r>
    </w:p>
    <w:p w14:paraId="38843DED"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 xml:space="preserve">En tanto se constituye el Consejo Nacional Consultivo Fitosanitario continuará aplicándose, en lo que no se oponga, el Acuerdo por el que se crea el Consejo Consultivo Fitosanitario Mexicano, publicado </w:t>
      </w:r>
      <w:r w:rsidRPr="007923C2">
        <w:rPr>
          <w:rFonts w:ascii="Arial" w:hAnsi="Arial" w:cs="Arial"/>
          <w:sz w:val="22"/>
          <w:szCs w:val="22"/>
        </w:rPr>
        <w:lastRenderedPageBreak/>
        <w:t>en el Diario Oficial de la Federación el veintisiete de mayo de mil novecientos noventa y dos.</w:t>
      </w:r>
    </w:p>
    <w:p w14:paraId="444878ED"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2B53EF0B"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5o.-</w:t>
      </w:r>
    </w:p>
    <w:p w14:paraId="4E0655C2"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6414C85E"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Los Patronatos para la Investigación, Fomento y Sanidad Vegetal, así como los Comités Regionales y las Juntas Locales de Sanidad Vegetal se considerarán como organismos auxiliares, por lo que sus actividades se regularán en los términos de esta ley.</w:t>
      </w:r>
    </w:p>
    <w:p w14:paraId="0C57B6A3"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1C0641B1" w14:textId="77777777"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México, D.F., a 20 de diciembre de 1993.- Sen. Eduardo Robledo Rincón.- Presidente.- Dip. Cuauhtémoc López Sánchez.- Presidente.- Sen. Antonio Melgar Aranda.- Secretario.- Dip. Sergio González Santa Cruz.- Secretario.- Rúbricas".</w:t>
      </w:r>
    </w:p>
    <w:p w14:paraId="3712D8CD"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6913FE79"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En cumplimiento de lo dispuesto por la fracción I del Artículo 89 de la Constitución Política de los Estados Unidos Mexicanos, y para su debida publicación y observancia, expido el presente Decreto en la residencia del Poder Ejecutivo Federal, en la Ciudad de México, Distrito Federal, a los veintitrés días del mes de diciembre de mil novecientos noventa y tres.- Carlos Salinas de Gortari.- Rúbrica.- El Secretario de Gobernación, José Patrocinio González Blanco Garrido.-Rúbrica.</w:t>
      </w:r>
    </w:p>
    <w:p w14:paraId="3F16452B" w14:textId="77777777" w:rsidR="0037533C" w:rsidRPr="007923C2" w:rsidRDefault="0037533C" w:rsidP="0037533C">
      <w:pPr>
        <w:widowControl w:val="0"/>
        <w:autoSpaceDE w:val="0"/>
        <w:autoSpaceDN w:val="0"/>
        <w:adjustRightInd w:val="0"/>
        <w:spacing w:after="0" w:line="219" w:lineRule="exact"/>
        <w:rPr>
          <w:rFonts w:ascii="Arial" w:hAnsi="Arial" w:cs="Arial"/>
          <w:sz w:val="22"/>
          <w:szCs w:val="22"/>
        </w:rPr>
      </w:pPr>
    </w:p>
    <w:p w14:paraId="54685AF6"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REFORMAS A LEY FEDERAL DE SANIDAD VEGETAL</w:t>
      </w:r>
    </w:p>
    <w:p w14:paraId="42766F20"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5491FDB5"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REFORMAS: 0 PUBLICACION: 5 DE ENERO DE 1994</w:t>
      </w:r>
    </w:p>
    <w:p w14:paraId="7FBEF5D9"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5BEA71A7"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Aparecidas en el Diario Oficial de la Federación en:</w:t>
      </w:r>
    </w:p>
    <w:p w14:paraId="4C16FC31" w14:textId="77777777"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14:paraId="28D5CC8D" w14:textId="77777777"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EXPOSICION de Motivos Ley Federal de Sanidad Vegetal</w:t>
      </w:r>
    </w:p>
    <w:p w14:paraId="2D151484"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1CC0D6E2"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Tal como lo manifesté al rendir mi quinto informe de gobierno ante ese H. Congreso de la Unión, en el campo nos enfrentamos a uno de los mayores desafios del país. En èl confluyeron estancamiento social y hasta retroceso económico, instituciones públicas que ya no cumplían, prácticas burocráticas que los campesinos rechazaban, restricciones legales que ya no protegían, sino constreñían, al ejidatario y al comunero, dejándolos en el desamparo y, sobre todo, en la pobreza; también un contexto internacional que, por más de dos décadas, ha reducido los precios de los productos agrícolas básicos. Por todo ello, para el campo no existen soluciones simples, voluntaristas o inmediatas.</w:t>
      </w:r>
    </w:p>
    <w:p w14:paraId="2D006828" w14:textId="77777777" w:rsidR="0037533C" w:rsidRPr="007923C2" w:rsidRDefault="0037533C" w:rsidP="0037533C">
      <w:pPr>
        <w:widowControl w:val="0"/>
        <w:autoSpaceDE w:val="0"/>
        <w:autoSpaceDN w:val="0"/>
        <w:adjustRightInd w:val="0"/>
        <w:spacing w:after="0" w:line="238" w:lineRule="exact"/>
        <w:rPr>
          <w:rFonts w:ascii="Arial" w:hAnsi="Arial" w:cs="Arial"/>
          <w:sz w:val="22"/>
          <w:szCs w:val="22"/>
        </w:rPr>
      </w:pPr>
    </w:p>
    <w:p w14:paraId="03A88806"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Dada la necesidad de lograr justicia, empleo y bienestar para las familias campesinas y aumentar la producción y productividad en el campo, objetivo fundamental del subsector agrícola, en las líneas generales de estratega señaladas en el Plan Nacional de Desarrollo 1989-1994, se ha hecho especial énfasis en la modernización del campo mexicano e iniciado un proceso integral de reforma al campo con la iniciativa que en 1991 sometí al Constituyente Permanente para reformar el Artículo 27 constitucional y con las iniciativas de leyes Agraria y Forestal que en 1992 presente a ese H. Congreso de la Unión.</w:t>
      </w:r>
    </w:p>
    <w:p w14:paraId="7376F836"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361D2C00"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Con la adecuación del marco regulatorio fundamental para la actividad campesina y el sector agropecuario, se han actualizado los postulados básicos de la Revolución Mexicana a fin de que los campesinos, con su propia movilización y el apoyo de las diferentes instancias de gobierno, eleven su capacidad productiva y su bienestar, lo cual se ha visto reflejado con los flujos de capital que han llegado al campo, traduciéndose en más créditos e inversión.</w:t>
      </w:r>
    </w:p>
    <w:p w14:paraId="182DC38F"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2EB40A56" w14:textId="77777777" w:rsidR="0037533C" w:rsidRPr="007923C2" w:rsidRDefault="0037533C" w:rsidP="0037533C">
      <w:pPr>
        <w:widowControl w:val="0"/>
        <w:overflowPunct w:val="0"/>
        <w:autoSpaceDE w:val="0"/>
        <w:autoSpaceDN w:val="0"/>
        <w:adjustRightInd w:val="0"/>
        <w:spacing w:after="0" w:line="237" w:lineRule="auto"/>
        <w:ind w:right="20"/>
        <w:jc w:val="both"/>
        <w:rPr>
          <w:rFonts w:ascii="Arial" w:hAnsi="Arial" w:cs="Arial"/>
          <w:sz w:val="22"/>
          <w:szCs w:val="22"/>
        </w:rPr>
      </w:pPr>
      <w:r w:rsidRPr="007923C2">
        <w:rPr>
          <w:rFonts w:ascii="Arial" w:hAnsi="Arial" w:cs="Arial"/>
          <w:sz w:val="22"/>
          <w:szCs w:val="22"/>
        </w:rPr>
        <w:t>La reforma del campo es un proceso integral y continuo que se refleja en los diversos aspectos que conforman la actividad agropecuaria, dentro de los que destaca el de la sanidad, aspecto en el que he puesto un singular énfasis durante mi mandato.</w:t>
      </w:r>
    </w:p>
    <w:p w14:paraId="4BFD405C"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4D9AEF53"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lastRenderedPageBreak/>
        <w:t>Ya desde el comienzo de la presente administración se contempló la necesidad de adecuar el régimen sanitario para simplificar la clasificación y presentación de productos y diversificar procesos industriales, lo que conlleva una activa labor de desregulación y simplificación administrativas, sin perjuicio de las funciones propias de la autoridad en la materia.</w:t>
      </w:r>
    </w:p>
    <w:p w14:paraId="4BDC1E31" w14:textId="77777777" w:rsidR="0037533C" w:rsidRPr="007923C2" w:rsidRDefault="0037533C" w:rsidP="0037533C">
      <w:pPr>
        <w:widowControl w:val="0"/>
        <w:autoSpaceDE w:val="0"/>
        <w:autoSpaceDN w:val="0"/>
        <w:adjustRightInd w:val="0"/>
        <w:spacing w:after="0" w:line="207" w:lineRule="exact"/>
        <w:rPr>
          <w:rFonts w:ascii="Arial" w:hAnsi="Arial" w:cs="Arial"/>
          <w:sz w:val="22"/>
          <w:szCs w:val="22"/>
        </w:rPr>
      </w:pPr>
    </w:p>
    <w:p w14:paraId="567F0BE0" w14:textId="77777777" w:rsidR="0037533C" w:rsidRPr="007923C2" w:rsidRDefault="0037533C" w:rsidP="0037533C">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Cabe señalar que el nuevo marco regulatorio sanitario debe responden a los retos que enfrenta la integración económica y de mercado a nivel nacional e internacional, por lo que se requiere avanzar en ese sentido. A esta necesidad respondieron las iniciativas para reformar la Ley General de Salud y la Ley Federal de Sanidad Animal, que merecieron la aprobación de ese H. Congreso de la Unión.</w:t>
      </w:r>
    </w:p>
    <w:p w14:paraId="62F7748D"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4A3F3FCE" w14:textId="77777777"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Hemos avanzado mucho, pero aún falta por hacer. Es necesario continuar con la reforma integral al campo y completar el nuevo marco regulatorio sanitario con la incorporación de la regulación fitosanitaria, armonizando su contenido, en particular, con los ordenamientos en la materia y la Ley Federal sobre Metrología y Normalización. En este contesto se ubica la iniciativa de Ley Federal de Sanidad Vegetal que por su digno conducto someto a la consideración del H. Congreso de la Unión.</w:t>
      </w:r>
    </w:p>
    <w:p w14:paraId="777FA1F7" w14:textId="77777777" w:rsidR="0037533C" w:rsidRPr="007923C2" w:rsidRDefault="0037533C" w:rsidP="0037533C">
      <w:pPr>
        <w:widowControl w:val="0"/>
        <w:autoSpaceDE w:val="0"/>
        <w:autoSpaceDN w:val="0"/>
        <w:adjustRightInd w:val="0"/>
        <w:spacing w:after="0" w:line="237" w:lineRule="exact"/>
        <w:rPr>
          <w:rFonts w:ascii="Arial" w:hAnsi="Arial" w:cs="Arial"/>
          <w:sz w:val="22"/>
          <w:szCs w:val="22"/>
        </w:rPr>
      </w:pPr>
    </w:p>
    <w:p w14:paraId="767582A7"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Entre los objetivos de la iniciativa destacan: regular y promover la sanidad de los vegetales y su protección contra las plagas que los afecten; imprimir conpetitividad y eficiencia a los subsectores agrícolas y silvícola; asegurar el abasto dentro de un esquema de apertura comercial sin merma de la calidad fitosanitaria; alentar el potencial exportador y eliminar las restricciones innecesarias que obstaculicen el desarrollo de los subsectores para lograr una mejor asignación de recursos.</w:t>
      </w:r>
    </w:p>
    <w:p w14:paraId="15223FAD" w14:textId="77777777" w:rsidR="0037533C" w:rsidRPr="007923C2" w:rsidRDefault="0037533C" w:rsidP="0037533C">
      <w:pPr>
        <w:widowControl w:val="0"/>
        <w:autoSpaceDE w:val="0"/>
        <w:autoSpaceDN w:val="0"/>
        <w:adjustRightInd w:val="0"/>
        <w:spacing w:after="0" w:line="219" w:lineRule="exact"/>
        <w:rPr>
          <w:rFonts w:ascii="Arial" w:hAnsi="Arial" w:cs="Arial"/>
          <w:sz w:val="22"/>
          <w:szCs w:val="22"/>
        </w:rPr>
      </w:pPr>
    </w:p>
    <w:p w14:paraId="5DF17ED4"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Es importante advertir que en la iniciativa que hoy someto a su consideración se contempla el concepto de sanidad vegetal en un sentido integral, es decir, no sólo se orienta a la regulación sanitaria de las especies vegetales agrícolas, sino que se incluyen además,. Las especies forestales y la flora silvestre. Ello representa un notable avance en la simplificación y desregulación de la materia al reflejar un contexto de armonización con los cambios al marco jurídico del sector forestal.</w:t>
      </w:r>
    </w:p>
    <w:p w14:paraId="149B6096"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27D51E9B"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Las estrategias contempladas en la presente iniciativa, pretenden una profunda reorientación de la participación estatal, para apoyar y dar servicio a la comunidad en un marco de responsabilidad compartida, basada en la concentración de compromisos mutuos así como en la descentralización y desconcentración para transferir las funciones y recursos a los lugares en donde concurre la producción, sin descuidar la responsabilidad del Estado en materia de sanidad vegetal. Se plantea así un nuevo instrumento jurídico, más acorde a las necesidades y políticas de comercialización a nivel nacional e internacional, que defina los productos, procesos, actividades y servicios sujetos a regulación sanitaria.</w:t>
      </w:r>
    </w:p>
    <w:p w14:paraId="3603D80E" w14:textId="77777777" w:rsidR="0037533C" w:rsidRPr="007923C2" w:rsidRDefault="0037533C" w:rsidP="0037533C">
      <w:pPr>
        <w:widowControl w:val="0"/>
        <w:autoSpaceDE w:val="0"/>
        <w:autoSpaceDN w:val="0"/>
        <w:adjustRightInd w:val="0"/>
        <w:spacing w:after="0" w:line="238" w:lineRule="exact"/>
        <w:rPr>
          <w:rFonts w:ascii="Arial" w:hAnsi="Arial" w:cs="Arial"/>
          <w:sz w:val="22"/>
          <w:szCs w:val="22"/>
        </w:rPr>
      </w:pPr>
    </w:p>
    <w:p w14:paraId="4C847052"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Precisar los límites del quehacer en materia de sanidad vegetal e integrar en un solo instrumento los servicios públicos y privados, ha sido el ejido central para el diseño de esta iniciativa de Ley Federal de Sanidad Vegetal, cuya finalidad se orienta a promover y vigilar la observancia de las disposiciones fitosanitarias; diagnosticar y prevenir la diseminación e introducción de plagas de los vegetales, sus productos y subproductos; establecer medidas fitosanitarias; y dictaminar la efectividad biológica, aplicación, y uso y manejo de insumos, así como el desarrollo y prestación de actividades y servicios fitosanitarios, todo ello bajo criterios de regulación que estén sustentados en condiciones científicas y tecnológicas fitosanitarias, considerándose esta situación como una de las vías indispensables para el crecimiento sostenido de la actividad agrícola y silvícola.</w:t>
      </w:r>
    </w:p>
    <w:p w14:paraId="0FD5CE76" w14:textId="77777777"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14:paraId="185E4216"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En la elaboración de la presente iniciativa se ha tenido especial cuidado en precisar la responsabilidad de los productores, de las personas físicas o morales vinculadas con la sanidad vegetal, así como de los importadores y exportadores, previéndose asimismo, su participación en el formulación, evaluación y desarrollo de las medidas fitosanitarias. Para lograr este objetivo se propone el establecimiento de un consejo Nacional Consultivo Fitosanitario, como foro nacional de consulta en materia de sanidad </w:t>
      </w:r>
      <w:r w:rsidRPr="007923C2">
        <w:rPr>
          <w:rFonts w:ascii="Arial" w:hAnsi="Arial" w:cs="Arial"/>
          <w:sz w:val="22"/>
          <w:szCs w:val="22"/>
        </w:rPr>
        <w:lastRenderedPageBreak/>
        <w:t>vegetal.</w:t>
      </w:r>
    </w:p>
    <w:p w14:paraId="731A08D3" w14:textId="77777777"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14:paraId="48D187C1" w14:textId="77777777" w:rsidR="0037533C" w:rsidRPr="007923C2" w:rsidRDefault="0037533C" w:rsidP="00767278">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Es de interés advertir que en congruencia con el nuevo marco jurídico sanitario, la iniciativa concibe a las medidas fitosanitarias, como aquellas que se expresan en normas oficiales mexicanas para ordenar con trasparencia la prevención, confinamiento, exclusión, combate o erradicación de plagas que afecten a los vegetales, sus productos o subproductos, destacando p</w:t>
      </w:r>
      <w:r w:rsidR="00767278">
        <w:rPr>
          <w:rFonts w:ascii="Arial" w:hAnsi="Arial" w:cs="Arial"/>
          <w:sz w:val="22"/>
          <w:szCs w:val="22"/>
        </w:rPr>
        <w:t>or su finalidad: la formulación</w:t>
      </w:r>
      <w:r w:rsidRPr="007923C2">
        <w:rPr>
          <w:rFonts w:ascii="Arial" w:hAnsi="Arial" w:cs="Arial"/>
          <w:sz w:val="22"/>
          <w:szCs w:val="22"/>
        </w:rPr>
        <w:t>de diagnósticos e identificación de plagas de los vegetales y estudios de efectividad biológica sobre insumos; el diseño y desarrollo de programas para el muestreo, pronóstico y manejo integrado de plagas; la determinación de calidad fitosanitaria; el control de la movilización, importación y exportación de los agentes que sean susceptibles de ser portadores de plagas que afecten a los vegetales; condiciones fitosanitarias que debe cumplirse en la instalación y operación de establecimientos donde se desarrollen o presten actividades o servicios fitosanitarias; y establecimiento de mecanismo para verificar e inspección el cumplimiento de las disposiciones fitosanitarias.</w:t>
      </w:r>
    </w:p>
    <w:p w14:paraId="2951CFC1" w14:textId="77777777" w:rsidR="0037533C" w:rsidRPr="007923C2" w:rsidRDefault="0037533C" w:rsidP="0037533C">
      <w:pPr>
        <w:widowControl w:val="0"/>
        <w:autoSpaceDE w:val="0"/>
        <w:autoSpaceDN w:val="0"/>
        <w:adjustRightInd w:val="0"/>
        <w:spacing w:after="0" w:line="223" w:lineRule="exact"/>
        <w:rPr>
          <w:rFonts w:ascii="Arial" w:hAnsi="Arial" w:cs="Arial"/>
          <w:sz w:val="22"/>
          <w:szCs w:val="22"/>
        </w:rPr>
      </w:pPr>
    </w:p>
    <w:p w14:paraId="429BF462" w14:textId="77777777"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En este contesto se concebiría el concepto de medidas fitosanitarias de forma integral, por lo que en la misma quedarían comprendidas las campañas y cuarentenas fitosanitarias, que serían establecidas y aplicadas a través de normas oficiales mexicanas, las que deberán contemplar cuando menos, su ámbito espacial y temporal de aplicación; la plaga a prevenir, combatir o erradicar, las especies vegetales afectadas; las medidas fitosanitarias específicas a desarrollarse; los requisitos y prohibiciones a observarse; y los mecanismos de verificación e inspección a seguirse.</w:t>
      </w:r>
    </w:p>
    <w:p w14:paraId="73FB2233"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045BED20"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iniciativa se orienta a justificar la sujeción a un control fitosanitario de la movi lización, importación o exportación de vegetales, sus productos o subproductos, únicamente cuando se ponga en peligro o altere la sanidad vegetal, a través de la expedición de certificados fitosanitarios. Este certificado sería expedido por la Secretaría de Agricultura y Recursos Hidráulcios o por las personas físicas o morales que ésta apruebe para certificar, en sustitución de las guías y autorizaciones fitosanitarias contempladas en la legislación vigente.</w:t>
      </w:r>
    </w:p>
    <w:p w14:paraId="55A49BFF" w14:textId="77777777" w:rsidR="0037533C" w:rsidRPr="007923C2" w:rsidRDefault="0037533C" w:rsidP="0037533C">
      <w:pPr>
        <w:widowControl w:val="0"/>
        <w:autoSpaceDE w:val="0"/>
        <w:autoSpaceDN w:val="0"/>
        <w:adjustRightInd w:val="0"/>
        <w:spacing w:after="0" w:line="219" w:lineRule="exact"/>
        <w:rPr>
          <w:rFonts w:ascii="Arial" w:hAnsi="Arial" w:cs="Arial"/>
          <w:sz w:val="22"/>
          <w:szCs w:val="22"/>
        </w:rPr>
      </w:pPr>
    </w:p>
    <w:p w14:paraId="27016865" w14:textId="77777777" w:rsidR="00B40BA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Cabe destacar que se contempla la posibilidad de que los interesados en importar vegetales, sus productos o subproductos, así como cualquier tipo de insumos, vehículos de transporte, </w:t>
      </w:r>
    </w:p>
    <w:p w14:paraId="7C0EAD99" w14:textId="77777777" w:rsidR="0037533C" w:rsidRPr="007923C2" w:rsidRDefault="00B40BA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m</w:t>
      </w:r>
      <w:r w:rsidR="0037533C" w:rsidRPr="007923C2">
        <w:rPr>
          <w:rFonts w:ascii="Arial" w:hAnsi="Arial" w:cs="Arial"/>
          <w:sz w:val="22"/>
          <w:szCs w:val="22"/>
        </w:rPr>
        <w:t>ateriales, maquinaria o equipos cuya internación en el territorio nacional pueda alterar o poner en peligro la sanidad vegetal, puedan solicitar a la Secretaría de Agricultura y Recursos Hidráulicos o a las personas que está apruebe para tal efecto, la verificación en origen de las normas oficiales mexicanas que en su caso deberá cumplir la importación de dichas mercancías, incorporándose así un procedimiento que agilizará los procesos de importación dentro de un marco de transparencia y responsabilidad compartida entre la autoridad y los particulares, sin que por ello se vulneren en modo alguno, las atribuciones de control fitosanitario propias del Gobierno Federal.</w:t>
      </w:r>
    </w:p>
    <w:p w14:paraId="5A26CEA7"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1DD2B11D"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Otra importante innovación de la presente iniciativa de Ley es el mecanismo que se adopta para el control de las actividades y servicios fitosanitarios e insumos, plaguicidas y fertilizantes.</w:t>
      </w:r>
    </w:p>
    <w:p w14:paraId="36E17436" w14:textId="77777777"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14:paraId="02340AD2" w14:textId="77777777"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Al efecto, cabe recordar que dada la complejidad de estas materias, su regulación incide en atribuciones en las que concurren más de dos dependencias de la Administración Pública Federal, lo que provoca la existencia de trámites y registros múltiples; es por ello que el registro de insumos fitosanitarios y de nutrición vegetal quedará bajo la responsabilidad de la Secretaría de Salud, por ser la salud humana la más alta prioridad.</w:t>
      </w:r>
    </w:p>
    <w:p w14:paraId="218FCD8B" w14:textId="77777777"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14:paraId="24CD0A44"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 xml:space="preserve">El control fitosanitario se limitaría a un dictamen sobre la efectividad biológica presentado por la Secretaría de Agricultura y Recursos Hidráulicos, o los organismos de certificación o unidades de verificación acreditados. Dicho dictamen además, determinaría las plagas específicas y cultivos sobre </w:t>
      </w:r>
      <w:r w:rsidRPr="007923C2">
        <w:rPr>
          <w:rFonts w:ascii="Arial" w:hAnsi="Arial" w:cs="Arial"/>
          <w:sz w:val="22"/>
          <w:szCs w:val="22"/>
        </w:rPr>
        <w:lastRenderedPageBreak/>
        <w:t>los que se recomienda su aplicación.</w:t>
      </w:r>
    </w:p>
    <w:p w14:paraId="690FA918"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18D6E81F" w14:textId="77777777"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Por lo que hace a las actividades y servicios fitosanitarios sujetos al cumplimento de normas oficiales mexicanas, el control quedaría limitado al aviso de inicio de funciones que presentaría a la Secretaría de Agricultura y Recursos Hidráulicos, las personas física o morales que los desarrollen o presenten directamente o a través de los organismos de certificación o unidades de verificación acreditados. Dicho aviso permitiría integrar un Directorio Fitosanitario, cuya formulación, actualización y difusión quedaría a cargo de la dependencia citada.</w:t>
      </w:r>
    </w:p>
    <w:p w14:paraId="07939E0B" w14:textId="77777777" w:rsidR="0037533C" w:rsidRPr="007923C2" w:rsidRDefault="0037533C" w:rsidP="0037533C">
      <w:pPr>
        <w:widowControl w:val="0"/>
        <w:autoSpaceDE w:val="0"/>
        <w:autoSpaceDN w:val="0"/>
        <w:adjustRightInd w:val="0"/>
        <w:spacing w:after="0" w:line="237" w:lineRule="exact"/>
        <w:rPr>
          <w:rFonts w:ascii="Arial" w:hAnsi="Arial" w:cs="Arial"/>
          <w:sz w:val="22"/>
          <w:szCs w:val="22"/>
        </w:rPr>
      </w:pPr>
    </w:p>
    <w:p w14:paraId="4522C8FD" w14:textId="77777777" w:rsidR="0037533C" w:rsidRPr="007923C2" w:rsidRDefault="0037533C" w:rsidP="00767278">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Cabe destacar la posibilidad contemplada en el proyecto de ley que se somete a su consideración, de que la Secretaría active el Dispositivo Nacional de Emergencia de Sanidad Vegetal, cuando detecte la presencia de plagas que pongan en una situación de emergencia fitosanitaria a una o varias especies vegetales, en todo o en parte del territorio nacional. Dichodispositivo consistiría en la aplicación urgente y coordinada de las medidas fitosanitarias que sean necesarias, con los gobiernos de los estados, organismos auxiliares, particulares que operen punto de verificación, profesionales fitosanitarios, organismos de certificación, unidades de verificación, laboratorios de pruebas y todas aquellas personas relacionadas con la sanidad vegetal.</w:t>
      </w:r>
    </w:p>
    <w:p w14:paraId="62856634"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32AEBFFE"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Como un avance en materia de simplificación administrativa, mediante su armonización con diversos ordenamientos, en particular, con la Ley Federal sobre Metrología y Normalización, la iniciativa que someto a su consideración incluye la atribución de la Secretaría de Agricultura y Recursos Hidráulicos para aprobar a personas físicas o morales para que operen como organismos nacionales de normalización, organismos de certificación, unidades de verificación y laboratorios de pruebas en materia de sanidad vegetal, quienes tendrían a su cargo la prestación de los servicios fitosanitarios y los derechos y obligaciones que se determinan en la presente iniciativa y en la Ley mencionada.</w:t>
      </w:r>
    </w:p>
    <w:p w14:paraId="75084AB6" w14:textId="77777777" w:rsidR="0037533C" w:rsidRPr="007923C2" w:rsidRDefault="0037533C" w:rsidP="0037533C">
      <w:pPr>
        <w:widowControl w:val="0"/>
        <w:autoSpaceDE w:val="0"/>
        <w:autoSpaceDN w:val="0"/>
        <w:adjustRightInd w:val="0"/>
        <w:spacing w:after="0" w:line="223" w:lineRule="exact"/>
        <w:rPr>
          <w:rFonts w:ascii="Arial" w:hAnsi="Arial" w:cs="Arial"/>
          <w:sz w:val="22"/>
          <w:szCs w:val="22"/>
        </w:rPr>
      </w:pPr>
    </w:p>
    <w:p w14:paraId="5A272758" w14:textId="77777777" w:rsidR="0037533C" w:rsidRPr="007923C2" w:rsidRDefault="0037533C" w:rsidP="0037533C">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En la iniciativa se contempla además el mecanismos para la certificación de normas oficiales por parte de la Secretaría de Agricultura y Recursos Hidráulicos o las personas físicas o morales que ésta apruebe. Destaca la posibilidad de que se reconozcan o aprueben órganos regulares u organismos de certificación extranjeros, para certificar el cumplimiento de normas oficiales mexicanas, reconociendo los certificados que expidan para efectos de importación.</w:t>
      </w:r>
    </w:p>
    <w:p w14:paraId="2B1D454B" w14:textId="77777777" w:rsidR="0037533C" w:rsidRPr="007923C2" w:rsidRDefault="0037533C" w:rsidP="0037533C">
      <w:pPr>
        <w:widowControl w:val="0"/>
        <w:autoSpaceDE w:val="0"/>
        <w:autoSpaceDN w:val="0"/>
        <w:adjustRightInd w:val="0"/>
        <w:spacing w:after="0" w:line="4" w:lineRule="exact"/>
        <w:rPr>
          <w:rFonts w:ascii="Arial" w:hAnsi="Arial" w:cs="Arial"/>
          <w:sz w:val="22"/>
          <w:szCs w:val="22"/>
        </w:rPr>
      </w:pPr>
    </w:p>
    <w:p w14:paraId="1CF81E6C" w14:textId="77777777" w:rsidR="0037533C" w:rsidRPr="007923C2" w:rsidRDefault="0037533C" w:rsidP="0037533C">
      <w:pPr>
        <w:widowControl w:val="0"/>
        <w:overflowPunct w:val="0"/>
        <w:autoSpaceDE w:val="0"/>
        <w:autoSpaceDN w:val="0"/>
        <w:adjustRightInd w:val="0"/>
        <w:spacing w:after="0" w:line="234" w:lineRule="auto"/>
        <w:ind w:right="40"/>
        <w:rPr>
          <w:rFonts w:ascii="Arial" w:hAnsi="Arial" w:cs="Arial"/>
          <w:sz w:val="22"/>
          <w:szCs w:val="22"/>
        </w:rPr>
      </w:pPr>
      <w:r w:rsidRPr="007923C2">
        <w:rPr>
          <w:rFonts w:ascii="Arial" w:hAnsi="Arial" w:cs="Arial"/>
          <w:sz w:val="22"/>
          <w:szCs w:val="22"/>
        </w:rPr>
        <w:t>Cabe aclarar que este mecanismo se sujetaría al principio de reciprocidad de los respectivos tratados internacionales o acuerdos interinstitucionales que se suscriban.</w:t>
      </w:r>
    </w:p>
    <w:p w14:paraId="75B3D658" w14:textId="77777777"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14:paraId="0F32E841"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Se determina en la iniciativa, con claridad, los mecanismos de verificación e inspección del cumplimiento de las disposiciones fitosanitarias. Cabe aclarar que este mecanismo se sujetaría al principio de reciprocidad de los respectivos tratados internacionales o acuerdos interinstitucionales que se suscriban.</w:t>
      </w:r>
    </w:p>
    <w:p w14:paraId="2F04C9E0" w14:textId="77777777"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14:paraId="65C15C0E"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Se determina en la iniciativa, con claridad, los mecanismos de verificación e inspección del cumplimiento de las disposiciones fitosanitarias. Cabe advertir que la iniciativa deja claramente asentada la competencia exclusiva de la autoridad que inspecciona, para imponer las sanciones administrativas procedentes y aplicar las medidas fitosanitarias necesarias.</w:t>
      </w:r>
    </w:p>
    <w:p w14:paraId="45F58271"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7699FE77"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Se prevé el establecimiento del Premio Nacional de Sanidad Vegetal, con el objeto de reconocer y premiar anualmente el esfuerzo de quienes se destaquen en la prevención, control y erradicación de las enfermedades y plagas de los vegetales; asimismo se establecería un mecanismo de denuncia ciudadana para que cualquier ciudadano pueda hacer del conocimiento de la autoridad competente, los hechos, actos u omisiones que atenten contra la sanidad vegetal.</w:t>
      </w:r>
    </w:p>
    <w:p w14:paraId="0CC41E22" w14:textId="77777777"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14:paraId="5AC4BE6A" w14:textId="77777777"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 xml:space="preserve">En lo relativo a sanciones se enuncian las conductas que constituirían infracciones a lo dispuesto por </w:t>
      </w:r>
      <w:r w:rsidRPr="007923C2">
        <w:rPr>
          <w:rFonts w:ascii="Arial" w:hAnsi="Arial" w:cs="Arial"/>
          <w:sz w:val="22"/>
          <w:szCs w:val="22"/>
        </w:rPr>
        <w:lastRenderedPageBreak/>
        <w:t>la ley y el mecanismo conforme al cual se sancionaría, así como el recurso de revisión que se podría interponer en contra de las resoluciones dictadas por la Secretaría de Agricultura y Recursos Hidráulicos.</w:t>
      </w:r>
    </w:p>
    <w:p w14:paraId="48C9CDF6" w14:textId="77777777"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14:paraId="00EF2DF6" w14:textId="77777777" w:rsidR="00CD168C" w:rsidRPr="007923C2" w:rsidRDefault="00CD168C" w:rsidP="00CD168C">
      <w:pPr>
        <w:jc w:val="both"/>
        <w:rPr>
          <w:rFonts w:ascii="Arial" w:hAnsi="Arial" w:cs="Arial"/>
          <w:b/>
          <w:sz w:val="22"/>
          <w:szCs w:val="22"/>
        </w:rPr>
      </w:pPr>
      <w:r w:rsidRPr="007923C2">
        <w:rPr>
          <w:rFonts w:ascii="Arial" w:hAnsi="Arial" w:cs="Arial"/>
          <w:b/>
          <w:sz w:val="22"/>
          <w:szCs w:val="22"/>
        </w:rPr>
        <w:t xml:space="preserve">4.2.4.- </w:t>
      </w:r>
      <w:r w:rsidR="0043451C" w:rsidRPr="007923C2">
        <w:rPr>
          <w:rFonts w:ascii="Arial" w:hAnsi="Arial" w:cs="Arial"/>
          <w:b/>
          <w:sz w:val="22"/>
          <w:szCs w:val="22"/>
        </w:rPr>
        <w:t>VARIABLES TECNOLÓGICAS</w:t>
      </w:r>
    </w:p>
    <w:p w14:paraId="72C2F6CE"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La competitividad en la actividad económica de una nación, tradicionalmente había estado determinada por la abundancia o escasez relativa de los recursos con los que contaba; hoy en día estos recursos disponibles no son suficientes para hacer que un país sea competitivo, sino que además se requiere de la acción de un conjunto de variables como el nivel tecnológico, la organización de la producción, el financiamiento, la comercialización, la protección al medio ambiente, la política </w:t>
      </w:r>
      <w:r w:rsidR="00210322" w:rsidRPr="007923C2">
        <w:rPr>
          <w:rFonts w:ascii="Arial" w:hAnsi="Arial" w:cs="Arial"/>
          <w:sz w:val="22"/>
          <w:szCs w:val="22"/>
        </w:rPr>
        <w:t>e</w:t>
      </w:r>
      <w:r w:rsidRPr="007923C2">
        <w:rPr>
          <w:rFonts w:ascii="Arial" w:hAnsi="Arial" w:cs="Arial"/>
          <w:sz w:val="22"/>
          <w:szCs w:val="22"/>
        </w:rPr>
        <w:t>conómica y la innovación tecnológica. Una de las preocupaciones actuales de los agentes económicos son los diferenciales en la productividad que presentan las empresas, los sectores y las naciones entre sí; ante esta situación se ha señalado a la innovación tecnológica como una variable fundamental para alcanzar y sostener los niveles de competitividad</w:t>
      </w:r>
    </w:p>
    <w:p w14:paraId="3C831EC5"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Como dice Altieri (1987) «necesitamos modelos de agricultura sostenible que combinen elementos de ambos conocimientos, el tradicional y el moderno científico. Complementando el uso de variedades convencionales e insumos comerciales, con tecnologías ecológicamente correctas se puede asegurar una producción agrícola más sostenible». </w:t>
      </w:r>
    </w:p>
    <w:p w14:paraId="0D403A2B" w14:textId="77777777" w:rsidR="00CD168C" w:rsidRPr="007923C2" w:rsidRDefault="00CD168C" w:rsidP="00CD168C">
      <w:pPr>
        <w:jc w:val="both"/>
        <w:rPr>
          <w:rFonts w:ascii="Arial" w:hAnsi="Arial" w:cs="Arial"/>
          <w:b/>
          <w:sz w:val="22"/>
          <w:szCs w:val="22"/>
        </w:rPr>
      </w:pPr>
      <w:r w:rsidRPr="007923C2">
        <w:rPr>
          <w:rFonts w:ascii="Arial" w:hAnsi="Arial" w:cs="Arial"/>
          <w:b/>
          <w:sz w:val="22"/>
          <w:szCs w:val="22"/>
        </w:rPr>
        <w:t>4.2.4.1.-</w:t>
      </w:r>
      <w:r w:rsidR="0043451C" w:rsidRPr="007923C2">
        <w:rPr>
          <w:rFonts w:ascii="Arial" w:hAnsi="Arial" w:cs="Arial"/>
          <w:b/>
          <w:sz w:val="22"/>
          <w:szCs w:val="22"/>
        </w:rPr>
        <w:t>SISTEMAS DE PRODUCCIÓN</w:t>
      </w:r>
      <w:r w:rsidR="00F01F3D">
        <w:rPr>
          <w:rFonts w:ascii="Arial" w:hAnsi="Arial" w:cs="Arial"/>
          <w:b/>
          <w:sz w:val="22"/>
          <w:szCs w:val="22"/>
        </w:rPr>
        <w:t xml:space="preserve"> </w:t>
      </w:r>
      <w:r w:rsidR="0043451C" w:rsidRPr="007923C2">
        <w:rPr>
          <w:rFonts w:ascii="Arial" w:hAnsi="Arial" w:cs="Arial"/>
          <w:b/>
          <w:sz w:val="22"/>
          <w:szCs w:val="22"/>
        </w:rPr>
        <w:t>(INTENSIVA/EXTENSIVA</w:t>
      </w:r>
      <w:r w:rsidRPr="007923C2">
        <w:rPr>
          <w:rFonts w:ascii="Arial" w:hAnsi="Arial" w:cs="Arial"/>
          <w:b/>
          <w:sz w:val="22"/>
          <w:szCs w:val="22"/>
        </w:rPr>
        <w:t>)</w:t>
      </w:r>
    </w:p>
    <w:p w14:paraId="74044BD9"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ESTADO ACTUAL DE LA AGRICULTURA EN MÉXICO</w:t>
      </w:r>
    </w:p>
    <w:p w14:paraId="63DEC7EE"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De acuerdo con la OCDE (2011), la agricultura es un sector relativamente pequeño en México, a la baja con respecto a la economía total y cerca del 4% del PIB. Sin embargo, esta cifra por sí sola minimiza la importancia económica y social del sector. La agricultura proporciona empleo a alrededor de 13% de la fuerza de trabajo, lo que representa unos 3.3 millones de agricultores y 4.6 millones de trabajadores asalariados y familiares no remunerados. De mayor relevancia aún para el desarrollo territorial es el hecho de que en el año 2005 aproximadamente 24% de la población total vivía en las zonas rurales. Así pues, la agricultura tiene importantes eslabonamientos ascendentes y descendentes con otros sectores. </w:t>
      </w:r>
    </w:p>
    <w:p w14:paraId="74A8D84A"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La agricultura en México es cada vez más moderna y está más integrada con el resto de la economía, al comprar más insumos intermedios y vender sus productos como insumos intermedios en otros sectores. El empleo es importante en estas actividades no agrícolas: la selección, el envasado y la refrigeración de verduras y fruta frescas, así como el tratamiento de productos silvícolas. Aunque menos significativos, también hay vínculos en la etapa inicial: la producción y distribución de insumos, maquinaria y equipo agrícolas. Usar una cifra estimada de un "PIB agrícola ampliado aumenta la participación ajustada de la agricultura del valor nacional total agregado de 4% a cerca de 8%, tal vez un cálculo demasiado bajo. Además, estos promedios nacionales ocultan el hecho de que el sector es mucho más importante en determinadas regiones y estados. Para algunos estados rurales muy poblados, la productividad de la agricultura es un factor determinante fundamental de su vitalidad económica (OCDE, 2011).</w:t>
      </w:r>
    </w:p>
    <w:p w14:paraId="6BDFCC5C"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Tecnificación de la agricultura</w:t>
      </w:r>
    </w:p>
    <w:p w14:paraId="03AFC82E"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lastRenderedPageBreak/>
        <w:t>Según el SIAP (2013), en México existe una superficie de siembra de 22 113 663 ha de la cual 16 214 783 ha se manejan bajo un esquema mecanizado, es decir, que implica la utilización de maquinaria y equipo en la siembra y cosecha de la superficie cultivada. El resto, 5 898 880 ha se manejan bajo un esquema no mecanizado.</w:t>
      </w:r>
    </w:p>
    <w:p w14:paraId="099F4FC7"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De la superficie total manejada bajo el esquema mecanizado y de acuerdo a la modalidad hídrica de manejo 5 536 766 ha se encuentran bajo riego, mientras que 10 678 017 ha son manejadas en un sistema de temporal (SIAP, 2013).</w:t>
      </w:r>
    </w:p>
    <w:p w14:paraId="3FC42836"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Del total de la superficie sembrada en México, en 14 684 583 ha se emplea el uso de fertilizantes químicos, mientras que 7 429 080 ha no emplean fertilizantes químicos. Además, de la superficie con uso de químicos solamente 5 300 867 ha se manejan bajo un sistema de riego, por lo que las 9 383 716 ha restantes se manejan en un esquema de producción de temporal (SIAP, 2013).</w:t>
      </w:r>
    </w:p>
    <w:p w14:paraId="63476BD1"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Ahora bien, en cuanto al uso de semillas mejoradas (semillas que han tenido un proceso de mejora genética) en la producción agrícola de cultivos anuales, en México se emplean estas semillas en 10 538 280 ha, mientras que en 5 073 515 ha se emplean semillas criollas (semilla que se obtiene de una población local con una amplia base genética que no ha sufrido cambio por mejoramiento genético). De la superficie total en la que se usan semillas mejoradas solamente 3 815 681 ha son manejadas con un esquema de riego, mientras que el resto de la superficie (6 722 599 ha) se maneja bajo el esquema de temporal (SIAP, 2013).</w:t>
      </w:r>
    </w:p>
    <w:p w14:paraId="460026B7"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En cuanto al uso de acciones fitosanitarias, ya sea inspección, prueba, vigilancia o tratamiento, llevada a cabo para aplicar medidas fitosanitarias, de la superficie agrícola nacional solamente 7 914 177 ha se manejan bajo este esquema. Las 14 199 486 ha restantes se encuentran sin ninguna acción fitosanitaria. De la superficie que cuenta con acciones fitosanitarias 3 360 232 ha se manejan bajo siego, mientras que 4 553 944 ha se manejan bajo temporal (SIAP, 2013).</w:t>
      </w:r>
    </w:p>
    <w:p w14:paraId="0EDA02A4"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Finalmente, de la superficie agrícola total de México solamente 6 857 658 ha son manejadas con asistencia técnica, por su parte las 15 256 005 ha restantes se manejan sin asistencia técnica. Se puede distinguir además, que de la superficie que se maneja con asistencia técnica 3 136 198 ha se manejan bajo riego y las 3 721 460 ha restantes se manejan bajo temporal (SIAP, 2013).</w:t>
      </w:r>
    </w:p>
    <w:p w14:paraId="5CA3FDFB"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De acuerdo con la OCDE (2011), en México no existe un servicio de extensión agrícola específico como tal sino más bien, los agricultores cuentan con asistencia técnica al acceder a los distintos programas de apoyo de la SAGARPA como una parte integral de los mismos. La asistencia técnica se lleva a cabo a través de contratistas del sector privado, es decir, prestadores de servicios profesionales (PSP), cuya función es poner en práctica los programas en el nivel de la explotación agrícola. Los servicios profesionales definidos para estos efectos incluyen la planeación estratégica, la formulación de proyectos, el acceso a los recursos públicos, la asesoría técnica, las estrategias comerciales y la capacitación, entre otros; su objetivo es apoyar a los agricultores para que aumenten su eficiencia y facilitar su incorporación a las cadenas de valor.</w:t>
      </w:r>
    </w:p>
    <w:p w14:paraId="153DB7D5" w14:textId="77777777" w:rsidR="00313CFA" w:rsidRDefault="00313CFA" w:rsidP="00CD168C">
      <w:pPr>
        <w:jc w:val="both"/>
        <w:rPr>
          <w:rFonts w:ascii="Arial" w:hAnsi="Arial" w:cs="Arial"/>
          <w:sz w:val="22"/>
          <w:szCs w:val="22"/>
        </w:rPr>
      </w:pPr>
    </w:p>
    <w:p w14:paraId="1A536D10"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Agricultura protegida</w:t>
      </w:r>
    </w:p>
    <w:p w14:paraId="0D8BC15A"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La agricultura protegida es aquella que se realiza bajo métodos de producción que ayudan a  ejercer determinado grado de  control  sobre los diversos factores  del medio ambiente (luz, temperatura, etc.), </w:t>
      </w:r>
      <w:r w:rsidRPr="007923C2">
        <w:rPr>
          <w:rFonts w:ascii="Arial" w:hAnsi="Arial" w:cs="Arial"/>
          <w:sz w:val="22"/>
          <w:szCs w:val="22"/>
        </w:rPr>
        <w:lastRenderedPageBreak/>
        <w:t>permitiendo con ello minimizar las restricciones que las malas condiciones climáticas ocasionan en los cultivos (Moreno-Reséndez et al., 2011; SAGARPA, 2012).</w:t>
      </w:r>
    </w:p>
    <w:p w14:paraId="4585588F"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En nuestro país, la producción bajo agricultura protegida es de gran importancia, tan solo en el año 2012 se estimaron 20 mil hectáreas bajo este sistema de las cuales aproximadamente 12 mil son de invernadero y las otras 8 mil corresponden a malla sombra y macro túnel principalmente (SAGARPA, 2012).</w:t>
      </w:r>
    </w:p>
    <w:p w14:paraId="27A34F00"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El 50% de la superficie con agricultura protegida se concentra en cuatro estados: Sinaloa (22%), Baja California (14%), Baja California Sur (12%)  y Jalisco (10%).  Los principales cultivos que se producen bajo agricultura protegida son el jitomate (70%), pimiento (16%), pepino (10%). En los  últimos años se ha intensificado la diversificación de cultivos como la papaya, fresa, chile habanero, flores, plantas aromáticas (SAGARPA, 2012). Aunado a esto, México es el principal exportador de tomate enviando el producto a EU, Canadá y el Salvador, siendo Sinaloa el estado con mayor producción del mismo (MEXICOPRODUCE, 2012). Esto denota la importancia de la producción de hortalizas bajo el sistema de agricultura protegida en nuestro país, así como el valor económico que representan las exportaciones de estos productos.</w:t>
      </w:r>
    </w:p>
    <w:p w14:paraId="3F1A7FCD"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Si bien, la agricultura protegida en México no es una panacea, ésta representa un nuevo paradigma de riesgos, además de que potencialmente representa una alternativa para superar la baja escala de producción de los minifundios. Otro hecho importante que se debe considerar es que EU y Canadá han frenado su crecimiento en invernaderos (Moreno-Reséndez et al., 2011), lo que representa una oportunidad para la horticultura de nuestro país. </w:t>
      </w:r>
    </w:p>
    <w:p w14:paraId="76A5BC47"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Agricultura orgánica</w:t>
      </w:r>
    </w:p>
    <w:p w14:paraId="4F34E3B5"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Según la IFOAM, la agricultura orgánica es un sistema de producción que mantiene y mejora la salud de los suelos, los ecosistemas y las personas. Se basa fundamentalmente en los procesos ecológicos, la biodiversidad y los ciclos adaptados a las condiciones locales, sin usar insumos que tengan efectos adversos (IFOAM, 2009). </w:t>
      </w:r>
    </w:p>
    <w:p w14:paraId="3B107098"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En cuanto a este sistema de producción, en el año 2012, se estimó que en México existían 512,246 hectáreas dedicadas a la producción de productos orgánicos. La exportación de productos orgánicos en 2012 ascendió $ 600 millones de dólares, mientras que en el mercado nacional se estimó en 1,174 millones de pesos (92.4 millones de dólares). Alrededor del 83% de los productores orgánicos de México pertenecen a algún grupo indígena (IOM, 2014).</w:t>
      </w:r>
    </w:p>
    <w:p w14:paraId="00BC48E5"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Además de lo anterior, el segmento orgánico, a diferencia de otros sectores agropecuarios, ha crecido incluso en medio de la crisis actual, por ejemplo, en el café orgánico México se ubica como el principal exportador del mundo (IOM, 2014).</w:t>
      </w:r>
    </w:p>
    <w:p w14:paraId="52452C37"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Por si esto fuera poco, la superficie agrícola dedicada a cultivos orgánicos en México registró un incremento considerable, ya que pasó de 21,265 hectáreas en 1996 a 378,693 hectáreas en 2008 y 512,246 hectáreas en 2012. Aunado a esto, el número de productores dedicados a estos cultivos aumentó casi 10 veces, al pasar de 13,176 a 128,862 productores en 2008 y a 169,570 en 2012 (IOM, 2014).</w:t>
      </w:r>
    </w:p>
    <w:p w14:paraId="42BE2E92"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El sector agrícola y el crecimiento económico</w:t>
      </w:r>
    </w:p>
    <w:p w14:paraId="150D6E42"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lastRenderedPageBreak/>
        <w:t>Como el aumento de la productividad de la agricultura libera fuerza laboral para otros sectores, durante varias décadas del siglo pasado esta relación entre agricultura y crecimiento económico global fue distorsionada en la forma de una doctrina que perseguía la industrialización aún a expensas del desarrollo agrícola, socavando por lo tanto las posibilidades de que la agricultura contribuyera al desarrollo global. Se consideraba que el papel del sector era el de ayudar al desarrollo industrial, que era el elemento esencial de la estrategia de crecimiento. De hecho, se pensó que la industria era tan importante para las perspectivas económicas a largo plazo que subsidiarla fue una práctica común, a expensas del contribuyente fiscal y de otros sectores.</w:t>
      </w:r>
    </w:p>
    <w:p w14:paraId="3F4B9DF0"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Esta fue la doctrina de la primera generación de estrategias de desarrollo económico. La costumbre de favorecer y subsidiar el desarrollo industrial fue especialmente marcada en América Latina y algunos países de Asia. Quizás el más conocido de los primeros exponentes latinoamericanos de esta tradición fue Celso Furtado. En palabras que hoy suenan raras, Furtado observó, refiriéndose a las prioridades sectoriales del desarrollo brasileño:</w:t>
      </w:r>
    </w:p>
    <w:p w14:paraId="52F6D05C"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La acción gubernamental, fuente de amplios subsidios para la inversión industrial a través de las políticas cambiarias y crediticias, ha permitido la expansión, aceleración y ampliación del proceso de industrialización. Sin la creación de industrias básicas (acero, petróleo) por el estado y sin los subsidios del sistema cambiario y las tasas de interés negativas de los préstamos oficiales, la industrialización no habría alcanzado la rapidez y amplitud que desarrolló durante ese cuarto de siglo.</w:t>
      </w:r>
    </w:p>
    <w:p w14:paraId="61A440E5"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En este enfoque del desarrollo, el papel de la agricultura fue considerado como el de proveedora de “excedentes” (de mano de obra, divisas y ahorro interno) para impulsar el desarrollo industrial. No fue vista como una fuente de crecimiento del ingreso por sí misma. Sin embargo, la concesión de subsidios a la industria significaba imponer un gravamen, implícito o explícito, sobre la agricultura, que con toda probabilidad deprimiría sus perspectivas de crecimiento. En otro contexto, Furtado comentó que en México desde 1940, la política agrícola sistemáticamente ha perseguido el objetivo de incrementar los excedentes agrícolas extraídos para favorecer el consumo urbano o la exportación.</w:t>
      </w:r>
    </w:p>
    <w:p w14:paraId="755A8B79"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Esta visión de un papel limitado de la agricultura en el desarrollo económico no se circunscribió a los economistas latinoamericanos. Ha sido la componente central del “modelo de la economía dual” de John Fei y Gustav Ranis.</w:t>
      </w:r>
    </w:p>
    <w:p w14:paraId="2DA58B95"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Anne Krueger resumió el pensamiento inicial de la economía de desarrollo como conteniendo:varias tendencias prevalecientes y dominantes...: 1) deseo e impulso hacia la modernización; 2) interpretación de la industrialización como la ruta hacia la modernización; 3) creencia en la sustitución de importaciones como política necesaria para proteger a las industrias nacientes; 4) desconfianza en el sector privado y el mercado, y creencia en que el gobierno, como guardián paternalista y benévolo, debería asumir el liderazgo del desarrollo; y 5) relacionado con el inciso 4) desconfianza hacia la economía internacional y pesimismo sobre el crecimiento de las exportaciones de los países en desarrollo.</w:t>
      </w:r>
    </w:p>
    <w:p w14:paraId="42E898E3"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Aún cuando no proponían subsidiar a la industria, Hollis Chenery y Moises Syrquin subrayaban que la agricultura debería transferir capital y fuerza laboral hacia las zonas urbanas, para promover el desarrollo general en la economía. En el pasado, incluso los economistas agrícolas han suscrito esa tesis: la agricultura debe proveer aumentos importantes de productos agrícolas, pero también debe </w:t>
      </w:r>
      <w:r w:rsidRPr="007923C2">
        <w:rPr>
          <w:rFonts w:ascii="Arial" w:hAnsi="Arial" w:cs="Arial"/>
          <w:sz w:val="22"/>
          <w:szCs w:val="22"/>
        </w:rPr>
        <w:lastRenderedPageBreak/>
        <w:t>hacer contribuciones netas significativas a las necesidades de capital de los otros sectores de la economía.</w:t>
      </w:r>
    </w:p>
    <w:p w14:paraId="703E1A6C"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El aporte del sector rural a la formación de capital podría ser lograda... a través de la imposición... [y del] descenso relativo de los precios agrícolas.... Los impuestos sobre las exportaciones son más fáciles de administrar.</w:t>
      </w:r>
    </w:p>
    <w:p w14:paraId="198898E6"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Hoy en día los responsables de las políticas a menudo se esfuerzan en detener el descenso de los precios reales y la rentabilidad de la agricultura. Además, se reconoce que los impuestos específicos sobre los productos básicos reducen el crecimiento del sector, no sólo por disminuir la rentabilidad de la inversión y la producción, sino también por distorsionar la asignación de recursos entre productos.</w:t>
      </w:r>
    </w:p>
    <w:p w14:paraId="285E662E"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Bruce Johnston y John Mellor desarrollaron una visión más completa del proceso de desarrollo agrícola y abogaron por políticas en favor de los pequeños productores. Su estrategia de desarrollo agrícola fue la primera que subrayó la importancia del aumento de la productividad, incluso en las pequeñas explotaciones. Describieron un proceso de crecimiento a largo plazo en el que los tipos de innovación tecnológica variaban según las fases del proceso. Sin embargo, su punto de vista era que la agricultura debía ayudar al desarrollo de los demás sectores de la economía, principalmente proporcionándoles bienes y factores de producción. Tal papel incluye el suministro de mano de obra, divisas, ahorro y alimentos, además de proveer un mercado para los bienes industriales producidos internamente.</w:t>
      </w:r>
    </w:p>
    <w:p w14:paraId="4882B625"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Por lo tanto, lejos de proponer ayudas a la agricultura, buena parte del pensamiento de los últimos cincuenta años acerca de su papel en el desarrollo abogaba por gravar al sector, directamente o a través de políticas de precios, para proveer recursos al desarrollo del resto de la economía y, en algunos casos, utilizar los recursos restantes para subvencionar a la industria. Entre otras preocupaciones actuales sobre ese enfoque, una interrogante básica es hasta qué punto los ingresos agrícolas pueden ser reducidos mediante los mecanismos de precios e impuestos, antes de que la pobreza rural alcance niveles inaceptables y la producción se estanque por falta de rentabilidad.</w:t>
      </w:r>
    </w:p>
    <w:p w14:paraId="59929590"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Para muchos observadores, el éxito de las economías de Asia oriental hasta hace poco tiempo reforzó la convicción de que la industrialización era el camino hacia la creación de riqueza nacional, y contradijo el anterior pesimismo sobre las posibilidades de expansión de las exportaciones de los países en desarrollo. Se ha discutido por años acerca del grado y éxito de la intervención gubernamental en el crecimiento industrial del Asia oriental; las conclusiones han sido divergentes. Un análisis exhaustivo realizado por el Banco Mundial concluyó que los subsidios al crédito algunas veces (pero no siempre) contribuyeron al proceso de industrialización de esos países y que los subsidios a las exportaciones fueron más exitosos:</w:t>
      </w:r>
    </w:p>
    <w:p w14:paraId="67809345"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Esclarecer si estas intervenciones tuvieron efectos positivos o negativos sobre el rápido crecimiento, hecho posible por las buenas [políticas] de base, es una de las interrogantes más difíciles que hemos tratado de resolver...</w:t>
      </w:r>
    </w:p>
    <w:p w14:paraId="4A9EB5BA"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La experiencia tanto de las economías del norte asiático de excelente desempeño... como de las del sudeste asiático de industrialización reciente... sugiere que los países que se hallan en proceso de liberalizar su comercio podrían beneficiarse estableciendo incentivos específicos a las exportaciones de manufacturas. Modestos subsidios a las exportaciones podrían ser vinculados, por ejemplo, al sesgo existente en contra de las exportaciones y acotados a estrictos períodos de tiempo.</w:t>
      </w:r>
    </w:p>
    <w:p w14:paraId="45AE7D7B"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lastRenderedPageBreak/>
        <w:t>Una lección de la experiencia del Asia oriental es que el crecimiento de las exportaciones es fundamental para el desarrollo económico y, en casos muy circunscriptos, los beneficios dinámicos provenientes de los subsidios a la exportación contrarrestan las pérdidas estáticas de bienestar; en cambio, otros tipos de intervención de los gobiernos fueron incapaces de compensar dichas pérdidas. Estas conclusiones deben ser claramente distinguidas de las recomendaciones de Furtado, quien favorecía una fuerte protección a las industrias sustitutivas de importaciones y la propiedad estatal de la industria pesada.</w:t>
      </w:r>
    </w:p>
    <w:p w14:paraId="5210BA83"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Esta conclusión calificada en favor de subsidios a la exportación y el consenso de que la protección a las industrias sustitutivas de importaciones no funciona, fueron alcanzados principalmente a partir de bases empíricas, a través de la revisión de experiencias. Además del rápido crecimiento económico del Asia oriental impulsado por la expansión de las exportaciones, otra experiencia que provocó este replanteamiento ha sido el estancamiento durante varias décadas de la economía argentina asociado a políticas que favorecían a las industrias sustitutivas de importaciones, y una experiencia más corta del mismo tipo en Brasil.</w:t>
      </w:r>
    </w:p>
    <w:p w14:paraId="66D023D5"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Actualmente se acepta como obvio que las industrias protegidas de la competencia externa carecen de incentivos para mejorar su eficiencia y, por lo tanto, es probable que el crecimiento de su productividad sea muy bajo, mientras que las industrias de exportación, por definición, tienen que mantener su competitividad en los mercados internacionales para poder sobrevivir. De acuerdo a esto, una recomendación de política sería que las subvenciones para promover la exportación no deberían ser muy grandes ni perdurar mucho tiempo, pues de lo contrario las industrias exportadoras dependerán de la generosidad continua del tesoro nacional, en vez de mejorar su eficiencia económica. De hecho, en Asia oriental, “el apoyo cambió de los subsidios a la exportación y los créditos de impuestos, al uso de la tasa de cambio para proporcionar incentivos a la exportación”. Sin embargo, cualquiera que sea el modo de incentivar las exportaciones, hasta ahora las potencialidades de un sector agroexportador dinámico no han jugado un papel importante en el pensamiento sobre los paradigmas del desarrollo.</w:t>
      </w:r>
    </w:p>
    <w:p w14:paraId="59FB7FF7"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La experiencia del Asia oriental también proporciona una luz diferente sobre la contribución de la agricultura al desarrollo económico:</w:t>
      </w:r>
    </w:p>
    <w:p w14:paraId="2068FB8D"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Igual que en otros casos, el sector agrícola de los países asiáticos de elevado crecimiento ha sido una fuente de capital y mano de obra para el sector manufacturero. Pero en Asia oriental estos recursos fueron generalmente adicionados a la industria por los salarios y rendimientos que crecían, más bien que extraídos de la agricultura por medio de elevados impuestos y de ingresos relativos que se estancaban o declinaban. Como resultado, los diferenciales del ingreso urbano-rural fueron menores en los países asiáticos de alto crecimiento que en la mayor parte de los otros países en desarrollo.</w:t>
      </w:r>
    </w:p>
    <w:p w14:paraId="76871B5F"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En breve, en Asia oriental la política no intentó forzar la transferencia de recursos desde la agricultura, sino que más bien esas transferencias han sido un aspecto natural del proceso de desarrollo, proceso en el cual la agricultura jugó un papel importante aunque esos países son más conocidos por su industrialización exitosa.</w:t>
      </w:r>
    </w:p>
    <w:p w14:paraId="383212D5"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Estas experiencias forman parte de lo que Vernon Ruttan ha llamado el “modelo de impacto urbano-industrial” del desarrollo agrícola.</w:t>
      </w:r>
    </w:p>
    <w:p w14:paraId="74095103"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lastRenderedPageBreak/>
        <w:t>La concepción del papel de agricultura como netamente de apoyo al resto de la economía, como una reserva de mano de obra y capital a ser explotada, está siendo reemplazada por la visión de que el desarrollo agrícola debe ser perseguido por sí mismo, y que en ocasiones puede ser un sector líder de la economía, especialmente en períodos de ajuste económico. El Informe del Desarrollo Mundial, 1990 del Banco Mundial destaca el caso de diversos programas de ajuste en los cuales la agricultura respondió con mayor rapidez que otros sectores al nuevo sistema de políticas y creció más rápidamente durante cuatro a cinco años, guiando la economía fuera de la recesión. En la década de los noventa, la agricultura creció más rápidamente que la manufactura en Chile y Brasil. Durante esa década en Chile la agricultura ha sido la fuente principal de nuevos empleos científicos, técnicos, profesionales, gerenciales y administrativos.</w:t>
      </w:r>
    </w:p>
    <w:p w14:paraId="2475E5EA"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Cuando se toman en consideración las industrias agro procesadoras, los sectores de insumos agrícolas y las actividades de mercadeo, la contribución total de la agricultura al PIB oscila normalmente entre 35 y 45 por ciento en los países en desarrollo de bajos a medianos ingresos, mucho más que el aporte la agricultura por sí sola, y casi siempre mucho mayor que el de las manufacturas. El grueso de la pobreza se halla frecuentemente en las zonas rurales y, por lo tanto, a los efectos de aliviar la pobreza y evitar el crecimiento de los barrios pobres urbanos, el desarrollo agrícola puede reclamar un lugar dentro de las prioridades nacionales.</w:t>
      </w:r>
    </w:p>
    <w:p w14:paraId="5A02055E"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Existe en la actualidad un creciente acuerdo en que el crecimiento agrícola es la clave para la expansión de la economía global. En apoyo a esta idea, Mellor ha escrito:</w:t>
      </w:r>
    </w:p>
    <w:p w14:paraId="1A94CC4E"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Cuando la agricultura crece rápidamente, se alcanzan normalmente altas tasas de crecimiento económico. Esto se debe a que los recursos utilizados para el crecimiento agrícola son sólo marginalmente competitivos con otros sectores y, por eso, el crecimiento agrícola tiende a ser adicional al de los demás sectores lo mismo que un estímulo al desarrollo de los bienes no transables, normalmente con mano de obra desocupada... El modelo de Block y Timmer de la economía de Kenya muestra que los multiplicadores del crecimiento agrícola son tres veces más grandes que los del crecimiento no agrícola.</w:t>
      </w:r>
    </w:p>
    <w:p w14:paraId="596E880D" w14:textId="77777777" w:rsidR="00AD2BB3" w:rsidRDefault="00AD2BB3" w:rsidP="00CD168C">
      <w:pPr>
        <w:jc w:val="both"/>
        <w:rPr>
          <w:rFonts w:ascii="Arial" w:hAnsi="Arial" w:cs="Arial"/>
          <w:b/>
          <w:sz w:val="22"/>
          <w:szCs w:val="22"/>
        </w:rPr>
      </w:pPr>
    </w:p>
    <w:p w14:paraId="00665203" w14:textId="77777777" w:rsidR="00CD168C" w:rsidRPr="007923C2" w:rsidRDefault="00CD168C" w:rsidP="00CD168C">
      <w:pPr>
        <w:jc w:val="both"/>
        <w:rPr>
          <w:rFonts w:ascii="Arial" w:hAnsi="Arial" w:cs="Arial"/>
          <w:b/>
          <w:sz w:val="22"/>
          <w:szCs w:val="22"/>
        </w:rPr>
      </w:pPr>
      <w:r w:rsidRPr="007923C2">
        <w:rPr>
          <w:rFonts w:ascii="Arial" w:hAnsi="Arial" w:cs="Arial"/>
          <w:b/>
          <w:sz w:val="22"/>
          <w:szCs w:val="22"/>
        </w:rPr>
        <w:t>4.2</w:t>
      </w:r>
      <w:r w:rsidR="001E4B0B" w:rsidRPr="007923C2">
        <w:rPr>
          <w:rFonts w:ascii="Arial" w:hAnsi="Arial" w:cs="Arial"/>
          <w:b/>
          <w:sz w:val="22"/>
          <w:szCs w:val="22"/>
        </w:rPr>
        <w:t>.</w:t>
      </w:r>
      <w:r w:rsidRPr="007923C2">
        <w:rPr>
          <w:rFonts w:ascii="Arial" w:hAnsi="Arial" w:cs="Arial"/>
          <w:b/>
          <w:sz w:val="22"/>
          <w:szCs w:val="22"/>
        </w:rPr>
        <w:t>4.2.-GRADO DE MECANIZACIÓN DEL CAMPO</w:t>
      </w:r>
    </w:p>
    <w:p w14:paraId="7064F728"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En este módulo se estudiarán los aspectos generales y específicos de la mecanización agrícola, conceptos sobre mecanización y tecnificación, ventajas y desventajas de la mecanización, etapas de la mecanización, niveles e indicadores en Colombia, uso y tenencia del suelo, áreas mecanizables, desarrollo de la mecanización en Colombia, sus limitantes y requerimientos. Se incluyen lecturas complementarias y un taller de autoestudio.</w:t>
      </w:r>
    </w:p>
    <w:p w14:paraId="6C6AB0F7" w14:textId="77777777" w:rsidR="00CD168C" w:rsidRPr="007923C2" w:rsidRDefault="00CD168C" w:rsidP="00CD168C">
      <w:pPr>
        <w:jc w:val="both"/>
        <w:rPr>
          <w:rFonts w:ascii="Arial" w:hAnsi="Arial" w:cs="Arial"/>
          <w:sz w:val="22"/>
          <w:szCs w:val="22"/>
        </w:rPr>
      </w:pPr>
      <w:r w:rsidRPr="007923C2">
        <w:rPr>
          <w:rFonts w:ascii="Arial" w:hAnsi="Arial" w:cs="Arial"/>
          <w:sz w:val="22"/>
          <w:szCs w:val="22"/>
        </w:rPr>
        <w:t>Consiste en la incorporación de diferentes máquinas, equipos y sistemas en el proceso productivo de las explotaciones agrícolas y pecuarias, con el propósito principal de lograr una mayor eficiencia técnica, social y económica que permitan el incremento de la producción, sin degradar los recursos naturales.</w:t>
      </w:r>
    </w:p>
    <w:p w14:paraId="5413F07C" w14:textId="77777777" w:rsidR="000F70C2" w:rsidRPr="007923C2" w:rsidRDefault="00CD168C" w:rsidP="00CD168C">
      <w:pPr>
        <w:jc w:val="both"/>
        <w:rPr>
          <w:rFonts w:ascii="Arial" w:hAnsi="Arial" w:cs="Arial"/>
          <w:sz w:val="22"/>
          <w:szCs w:val="22"/>
        </w:rPr>
      </w:pPr>
      <w:r w:rsidRPr="007923C2">
        <w:rPr>
          <w:rFonts w:ascii="Arial" w:hAnsi="Arial" w:cs="Arial"/>
          <w:sz w:val="22"/>
          <w:szCs w:val="22"/>
        </w:rPr>
        <w:t xml:space="preserve">La mecanización tiene como objetivo fundamental buscar el crecimiento económico, como fruto desarrollo de las actividades agrícola, pecuaria, forestal y agroindustrial. Crecimiento que permita elevar la calidad de vida y bienestar de la sociedad rural, mediante al aprovechamiento sostenible, </w:t>
      </w:r>
      <w:r w:rsidRPr="007923C2">
        <w:rPr>
          <w:rFonts w:ascii="Arial" w:hAnsi="Arial" w:cs="Arial"/>
          <w:sz w:val="22"/>
          <w:szCs w:val="22"/>
        </w:rPr>
        <w:lastRenderedPageBreak/>
        <w:t>ambientalmente limpio, técnicamente apropiado y socialmente aceptable, conservando los recursos naturales renovables. Así mismo, se propone aumentar la capacidad de trabajo del hombre y de los animales y, paralelamente, reducir el trabajo rudo y la fatiga de los operarios.</w:t>
      </w:r>
    </w:p>
    <w:p w14:paraId="1BFDAF86" w14:textId="77777777" w:rsidR="00CD168C" w:rsidRPr="007923C2" w:rsidRDefault="00CD168C" w:rsidP="00CD168C">
      <w:pPr>
        <w:jc w:val="both"/>
        <w:rPr>
          <w:rFonts w:ascii="Arial" w:hAnsi="Arial" w:cs="Arial"/>
          <w:b/>
          <w:bCs/>
          <w:sz w:val="22"/>
          <w:szCs w:val="22"/>
        </w:rPr>
      </w:pPr>
      <w:r w:rsidRPr="007923C2">
        <w:rPr>
          <w:rFonts w:ascii="Arial" w:hAnsi="Arial" w:cs="Arial"/>
          <w:b/>
          <w:bCs/>
          <w:sz w:val="22"/>
          <w:szCs w:val="22"/>
        </w:rPr>
        <w:t>Formas de mecanizar</w:t>
      </w:r>
    </w:p>
    <w:p w14:paraId="6E435F6D" w14:textId="02F31AB1" w:rsidR="00CD168C" w:rsidRPr="007923C2" w:rsidRDefault="001F23E0" w:rsidP="00CD168C">
      <w:pPr>
        <w:jc w:val="both"/>
        <w:rPr>
          <w:rFonts w:ascii="Arial" w:hAnsi="Arial" w:cs="Arial"/>
          <w:sz w:val="22"/>
          <w:szCs w:val="22"/>
        </w:rPr>
      </w:pPr>
      <w:r>
        <w:rPr>
          <w:rFonts w:ascii="Arial" w:hAnsi="Arial" w:cs="Arial"/>
          <w:noProof/>
          <w:sz w:val="22"/>
          <w:szCs w:val="22"/>
        </w:rPr>
        <w:drawing>
          <wp:inline distT="0" distB="0" distL="0" distR="0" wp14:anchorId="08B293E2" wp14:editId="17326255">
            <wp:extent cx="2162175" cy="1657350"/>
            <wp:effectExtent l="0" t="0" r="9525" b="0"/>
            <wp:docPr id="1" name="Imagen 1" descr="caballo_carr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ballo_carreta"/>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62175" cy="1657350"/>
                    </a:xfrm>
                    <a:prstGeom prst="rect">
                      <a:avLst/>
                    </a:prstGeom>
                    <a:noFill/>
                    <a:ln>
                      <a:noFill/>
                    </a:ln>
                  </pic:spPr>
                </pic:pic>
              </a:graphicData>
            </a:graphic>
          </wp:inline>
        </w:drawing>
      </w:r>
    </w:p>
    <w:p w14:paraId="29B0B7D5"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Entre otras se podrían utilizar las siguientes variables:</w:t>
      </w:r>
    </w:p>
    <w:p w14:paraId="7B893B1F"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Herramientas o aperos de tracción animal</w:t>
      </w:r>
    </w:p>
    <w:p w14:paraId="5AADFECF"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Equipos a tracción animal y motores auxiliares</w:t>
      </w:r>
    </w:p>
    <w:p w14:paraId="6015306D"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Equipos agrícolas operados por el hombre</w:t>
      </w:r>
    </w:p>
    <w:p w14:paraId="27EFAEA6"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Máquinas autopropulsadas o automáticas</w:t>
      </w:r>
    </w:p>
    <w:p w14:paraId="310BE31C"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Energías alternativas</w:t>
      </w:r>
    </w:p>
    <w:p w14:paraId="3014639E"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Ventajas y desventajas de la mecanización agrícola</w:t>
      </w:r>
    </w:p>
    <w:p w14:paraId="193E71F4"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La mecanización es tan sólo uno de los componentes de un determinado sistema de producción agrícola. La mecanización resuelve problemas pero, también genera otros.</w:t>
      </w:r>
    </w:p>
    <w:p w14:paraId="0BA6510C"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Ventajas</w:t>
      </w:r>
    </w:p>
    <w:p w14:paraId="067FDDB4"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Incrementa la producción, la productividad y la competitividad.</w:t>
      </w:r>
    </w:p>
    <w:p w14:paraId="7268F989"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Permite la planificación del trabajo</w:t>
      </w:r>
    </w:p>
    <w:p w14:paraId="4039F0FC"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La recolección oportuna de los cultivos (evitan pérdidas en las cosechas)</w:t>
      </w:r>
    </w:p>
    <w:p w14:paraId="09DEC2E6"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La reducción de la fatiga del trabajo, pero a su vez la mano de obra</w:t>
      </w:r>
    </w:p>
    <w:p w14:paraId="41E7B2BE"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La preparación de suelos difíciles</w:t>
      </w:r>
    </w:p>
    <w:p w14:paraId="70C0FDE9"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Permite un mejor aprovechamiento de las tierras planas.</w:t>
      </w:r>
    </w:p>
    <w:p w14:paraId="36D9BA26"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Optimización e integración de los sistemas de producción agropecuarios –forestales- agroindustriales</w:t>
      </w:r>
    </w:p>
    <w:p w14:paraId="59C709DD"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Disminución de los costos de producción</w:t>
      </w:r>
    </w:p>
    <w:p w14:paraId="43D236C1"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Desarrollo regional</w:t>
      </w:r>
    </w:p>
    <w:p w14:paraId="728B7149"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La mecanización no se puede desarrollar en forma repentina; es un proceso de apropiación y adaptación.</w:t>
      </w:r>
    </w:p>
    <w:p w14:paraId="6A86024A"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Máquinas importadas con tecnología complicada no apta para nuestras condiciones técnico-productivas y ambientales y socio-culturales locales</w:t>
      </w:r>
    </w:p>
    <w:p w14:paraId="3212CBFE"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Una mala selección, planificación y uso pueden generar efectos degradantes del recurso suelo</w:t>
      </w:r>
    </w:p>
    <w:p w14:paraId="16289376"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Algunos procesos mecánicos de difícil mantenimiento, carencia de soporte técnico</w:t>
      </w:r>
    </w:p>
    <w:p w14:paraId="2DADD495"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Requerimiento de mano de obra calificada</w:t>
      </w:r>
    </w:p>
    <w:p w14:paraId="00C1333F"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Se requiere investigación aplicada en el uso de maquinaría con prácticas agrícolas apropiadas</w:t>
      </w:r>
    </w:p>
    <w:p w14:paraId="0ED7A692"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Adaptación de los cultivos, desarrollo de nuevas variedades</w:t>
      </w:r>
    </w:p>
    <w:p w14:paraId="021DE8BD"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Gran exigencia de capital para inversión y sostenimiento</w:t>
      </w:r>
    </w:p>
    <w:p w14:paraId="50765464"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Desplazamiento de mano de obra rural y desempleo</w:t>
      </w:r>
    </w:p>
    <w:p w14:paraId="66906B97"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Etapas del proceso de adopción de la mecanización</w:t>
      </w:r>
    </w:p>
    <w:p w14:paraId="4D7C5E31"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Aplicación de tecnología de herramienta manual mejorada</w:t>
      </w:r>
    </w:p>
    <w:p w14:paraId="37364B94"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Aplicación de la tracción animal</w:t>
      </w:r>
    </w:p>
    <w:p w14:paraId="38FE3512"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Potencia estacionaria</w:t>
      </w:r>
    </w:p>
    <w:p w14:paraId="0B46D83F"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lastRenderedPageBreak/>
        <w:t>Potencia móvil</w:t>
      </w:r>
    </w:p>
    <w:p w14:paraId="37E2A129"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Sustitución del control humano</w:t>
      </w:r>
    </w:p>
    <w:p w14:paraId="0C4D652F"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Adaptación de prácticas de los cultivos a las máquinas</w:t>
      </w:r>
    </w:p>
    <w:p w14:paraId="102F73E6"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Adaptación de los sistemas agrícolas</w:t>
      </w:r>
    </w:p>
    <w:p w14:paraId="077DFE66"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Adaptación de la planta, mejoramiento genético</w:t>
      </w:r>
    </w:p>
    <w:p w14:paraId="0795393E"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Automatización de la producción agrícola</w:t>
      </w:r>
    </w:p>
    <w:p w14:paraId="02C1BD1E"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Niveles de la mecanización</w:t>
      </w:r>
    </w:p>
    <w:p w14:paraId="5D80E736"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El nivel de mecanización de una finca, una región, una zona geográfica, incluso de un país, se puede revelar con diferentes indicadores:</w:t>
      </w:r>
    </w:p>
    <w:p w14:paraId="3532EF1E"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Parque de maquinaria agrícola: número de tractores, número de implementos agrícolas</w:t>
      </w:r>
    </w:p>
    <w:p w14:paraId="7E0C1CF9"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Número de hectáreas cultivadas y mecanizadas vs. total de área disponible o con aptitud</w:t>
      </w:r>
    </w:p>
    <w:p w14:paraId="31C07CCF"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Tractores / ha</w:t>
      </w:r>
    </w:p>
    <w:p w14:paraId="4080F0E2"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Potencia media / tractor</w:t>
      </w:r>
    </w:p>
    <w:p w14:paraId="2DA5E638"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Potencia disponible/ ha</w:t>
      </w:r>
    </w:p>
    <w:p w14:paraId="507DBD32"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Población total de habitantes/población activa en la agricultura</w:t>
      </w:r>
    </w:p>
    <w:p w14:paraId="02D0129E"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Censos agropecuarios</w:t>
      </w:r>
    </w:p>
    <w:p w14:paraId="0366D6A6" w14:textId="77777777"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Relación entre la utilización de la potencia humana, la tracción animal y la potencia mecánica</w:t>
      </w:r>
    </w:p>
    <w:p w14:paraId="1B4547F8" w14:textId="77777777" w:rsidR="00CD168C" w:rsidRPr="007923C2" w:rsidRDefault="00CD168C" w:rsidP="001E4B0B">
      <w:pPr>
        <w:jc w:val="both"/>
        <w:rPr>
          <w:rFonts w:ascii="Arial" w:hAnsi="Arial" w:cs="Arial"/>
          <w:b/>
          <w:sz w:val="22"/>
          <w:szCs w:val="22"/>
        </w:rPr>
      </w:pPr>
      <w:r w:rsidRPr="007923C2">
        <w:rPr>
          <w:rFonts w:ascii="Arial" w:hAnsi="Arial" w:cs="Arial"/>
          <w:sz w:val="22"/>
          <w:szCs w:val="22"/>
        </w:rPr>
        <w:t xml:space="preserve">Una de las más tempranas formas usadas, para cultivar la tierra era un arado de madera tirado por los hombres o por animales. Cuando aprendimos a trabajar los metales, los arados pesados fueron desarrollados y significaron un gran salto tecnológico e histórico. El desarrollo de los motores de vapor hizo posible desarrollar las trilladoras estacionarias, las cuales eran usadas para trillar una cosecha en una estación central, la operación de limpieza todavía es hecha por el movimiento del viento, pero también se utilizaba un ventilador que aprovecha el viento natural. Como elemento básico de la mecanización agraria, el tractor, representa un medio que sufre un proceso evolutivo continuo. El término Mecanización Agrícola indica la realización con máquinas de los trabajos que en el campo en otros tiempos se hacían con fuerza animal o mediante la actividad del hombre. En 1889 fue construido el primer tractor con motor de combustión interna, los cuales son más ligeros y poderosos; posteriormente, en los treinta el motor diesel de alta compresión fue adoptado para el tractor y se hizo muy popular. El tractor moderno o de hoy en día es una máquina muy sofisticada con dirección hidráulica, control de servo hidráulico para control anchura y profundidad de trabajo, con una cabina para operador diseñada ergonómicamente. 2 Dos son los objetivos básicos de la mecanización agrícola: - Aumentar la productividad. - Mejorar las características ergonómicas del trabajo agrícola. . La mecanización  es un proceso mediante el cual se incorporan diferentes clases y tipos de máquinas, equipos y herramientas en el proceso productivo de los cultivos, con el propósito de lograr una mayor eficiencia técnica y económica, que permita al agricultor una mayor produccion y productividad de sus predios. 1. Mecanización Agrícola: Es una de las ramas de estudio de la Ingeniería agrícola, tiene como objetivo diseñar, seleccionar, estudiar y recomendar máquinas y equipos de uso agroindustrial con el fin de acelerar la productividad y eficiencia de las actividades del sector rural. Por tanto la mecanización agrícola incluye la incorporación de todos aquellos aparatos que se utilizan para el aprovechamiento de las tierras agrícolas, desde las fases de adecuación de los terrenos, siembra, producción, cosecha, poscosecha y transformación de las materias primas, permitiendo en muchos casos la incorporación de nuevas tierras a la producción de alimentos, como la Obtención de más de una cosecha al año, lo que ha influenciado enormemente en los cambios socioeconómicos de las regiones. Factores a seguir para mecanizar un terreno agrícola. La selección de maquinaria para una finca o terreo agrícola, implica que el usuario potencial analice la información relacionada con: Situación económica actual del agricultor y los cambios a que se vera  sometido.  Información </w:t>
      </w:r>
      <w:r w:rsidRPr="007923C2">
        <w:rPr>
          <w:rFonts w:ascii="Arial" w:hAnsi="Arial" w:cs="Arial"/>
          <w:sz w:val="22"/>
          <w:szCs w:val="22"/>
        </w:rPr>
        <w:lastRenderedPageBreak/>
        <w:t>relacionada con el rendimiento probable de las maquinas.  La rentabilidad, compactibilidad y uso sostenible.  Riesgos mínimos dentro de la infraestructura técnica, económica y social ya existente o que pueda mejorarse.  Condiciones de la finca o explotación agropecuaria para la mecanización. La decisión de utilizar maquinaria agrícola en una finca a menudo depende principalmente de las condiciones locales, por lo que dar recomendaciones claras y directas resultan un poco irrealistas A continuación se mencionan: El tamaño de la finca o propiedad en hectáreas.  Las condiciones socioeconómicas.  La disponibilidad de recursos financieros, crédito, costos e insumos. La Tenencia de la tierra  Composición y propiedades físicas del suelo, su fertilidad y capacidad productiva.  La topografía del terreno, el cual debe ser en lo posible plano u ondulado, sin pendientes excesivas. La existencia de vías de acceso a los campos.  La disponibilidad operadores capacitados de la maquinaria para evitar averías debidas al mal uso. Construcciones adecuadas para su almacenamiento y protección. Disponibilidad de talleres y mano de obra calificada para prestar servicios de mantenimiento y reparación.  Cultivos fácilmente mecanizable. Disponibilidad de la maquinaria adecuada. Fiabilidad de los suministros, servicios periódicos y protección contra daños. Toma de decisiones en relación con la mecanización. El agricultor que se encuentra en condiciones óptimas para mecanizar su granja debe basar la selección no sólo en la información técnica de las máquinas como el rendimiento probable, si no que tambien debe considerar otros factores sumamente importantes como el clima, el suelo, modalidad del cultivo, la rentabilidad, compatibilidad y uso sostenible. La mecanización de las fincas por tanto implica, hacer una decisión racional en base a las diferentes opciones, en las que se incluya el uso de potencia y máquinas para una o mas labores. Cada opción debe evaluarse utilizando información recolectada para este propósito, determinando de esta manera cual o cuales sistemas son potencialmente viables con riesgo mínimo, dentro de la infraestructura técnica, económica y social existente o que pueda mejorarse, que permita encontrar el mejor equipo que haga trabajar exitosamente el sistema. La selección debe además considerar si las máquinas, equipos y herramientas tienen buena representación en el mercado, hay suficiente disponibilidad de repuestos, mantenimiento y centros de reparación adecuados, para mantener operables las maquinas. Por lo tanto la decisión sobre la conveniencia o no de mecanizar se inicia con la selección adecuada de las posibles maquinas que puedan realizar una actividad o tarea en cuestión; el costo que acarrea realizar está tarea con la maquina seleccionada, comparada con los métodos tradicionales. La mecanización de las labores agrícolas, trae consigo el incremento de la capacidad de trabajo, por lo que un agricultor puede incorporar mayores áreas de produccion, con lo que puede obtener mayores ingresos que mejoraran su bienestar de vida. Influencia de la maquinaria agrícola en la producción agropecuaria Tratar de cuantificar los efectos del uso de maquinaria agrícola en la roducción y productividad agropecuaria, resulta un tanto difícil, si no se tiene en cuenta los muchísimos factores que influyen sobre la produccion agropecuaria y que constituyen todo un proceso tecnológico. La agricultura moderna, requiere de un alto grado de mecanización, con la selección y operación adecuada de la maquinaria, que posibilite la realización de las labores en los plazos previstos y del modo esperado, sin incurrir en sobre costos por sobre o subdimensionamiento del parque de maquinaria y su consecuente efecto negativo sobre los resultados económicos y operativos de la empresa agropecuaria. Podemos concluir que la productividad de la tierra se puede incrementar de la siguiente manera: - Utilizando fertilización, manejo del suelo y procedimientos y prácticas de cultivo adecuadas. - Realizando un control de herbáceas perjudiciales, insectos y enfermedades. - Adaptando prácticas de conservación de suelos y agua. - Utilizando maquinaria agrícola significativa. - Usando poblaciones de plantas correctas de variedades adaptadas.</w:t>
      </w:r>
    </w:p>
    <w:p w14:paraId="4BE6BF43"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lastRenderedPageBreak/>
        <w:t>4.2.4.3.- INGENIERÍA GENÉTICA</w:t>
      </w:r>
    </w:p>
    <w:p w14:paraId="6E44578C"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Definición:</w:t>
      </w:r>
    </w:p>
    <w:p w14:paraId="4EDF9516"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La ingeniería genética es la manipulación deliberada de un genoma con el fin de analizar, aislar o modificar una sección de ADN, haciendo uso de la tecnología del ADN recombinante </w:t>
      </w:r>
      <w:r w:rsidR="00F93E5C" w:rsidRPr="007923C2">
        <w:rPr>
          <w:rFonts w:ascii="Arial" w:hAnsi="Arial" w:cs="Arial"/>
          <w:sz w:val="22"/>
          <w:szCs w:val="22"/>
        </w:rPr>
        <w:fldChar w:fldCharType="begin">
          <w:fldData xml:space="preserve">PEVuZE5vdGU+PENpdGU+PEF1dGhvcj5UaW5kYW1hbnlpcmU8L0F1dGhvcj48WWVhcj4yMDEzPC9Z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</w:fldData>
        </w:fldChar>
      </w:r>
      <w:r w:rsidRPr="007923C2">
        <w:rPr>
          <w:rFonts w:ascii="Arial" w:hAnsi="Arial" w:cs="Arial"/>
          <w:sz w:val="22"/>
          <w:szCs w:val="22"/>
        </w:rPr>
        <w:instrText xml:space="preserve"> ADDIN EN.CITE </w:instrText>
      </w:r>
      <w:r w:rsidR="00F93E5C" w:rsidRPr="007923C2">
        <w:rPr>
          <w:rFonts w:ascii="Arial" w:hAnsi="Arial" w:cs="Arial"/>
          <w:sz w:val="22"/>
          <w:szCs w:val="22"/>
        </w:rPr>
        <w:fldChar w:fldCharType="begin">
          <w:fldData xml:space="preserve">PEVuZE5vdGU+PENpdGU+PEF1dGhvcj5UaW5kYW1hbnlpcmU8L0F1dGhvcj48WWVhcj4yMDEzPC9Z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</w:fldData>
        </w:fldChar>
      </w:r>
      <w:r w:rsidRPr="007923C2">
        <w:rPr>
          <w:rFonts w:ascii="Arial" w:hAnsi="Arial" w:cs="Arial"/>
          <w:sz w:val="22"/>
          <w:szCs w:val="22"/>
        </w:rPr>
        <w:instrText xml:space="preserve"> ADDIN EN.CITE.DATA </w:instrText>
      </w:r>
      <w:r w:rsidR="00F93E5C" w:rsidRPr="007923C2">
        <w:rPr>
          <w:rFonts w:ascii="Arial" w:hAnsi="Arial" w:cs="Arial"/>
          <w:sz w:val="22"/>
          <w:szCs w:val="22"/>
        </w:rPr>
      </w:r>
      <w:r w:rsidR="00F93E5C" w:rsidRPr="007923C2">
        <w:rPr>
          <w:rFonts w:ascii="Arial" w:hAnsi="Arial" w:cs="Arial"/>
          <w:sz w:val="22"/>
          <w:szCs w:val="22"/>
        </w:rPr>
        <w:fldChar w:fldCharType="end"/>
      </w:r>
      <w:r w:rsidR="00F93E5C" w:rsidRPr="007923C2">
        <w:rPr>
          <w:rFonts w:ascii="Arial" w:hAnsi="Arial" w:cs="Arial"/>
          <w:sz w:val="22"/>
          <w:szCs w:val="22"/>
        </w:rPr>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26" w:tooltip="Ortiz, 2012 #3" w:history="1">
        <w:r w:rsidRPr="007923C2">
          <w:rPr>
            <w:rFonts w:ascii="Arial" w:hAnsi="Arial" w:cs="Arial"/>
            <w:noProof/>
            <w:sz w:val="22"/>
            <w:szCs w:val="22"/>
          </w:rPr>
          <w:t>Ortiz, 2012</w:t>
        </w:r>
      </w:hyperlink>
      <w:r w:rsidRPr="007923C2">
        <w:rPr>
          <w:rFonts w:ascii="Arial" w:hAnsi="Arial" w:cs="Arial"/>
          <w:noProof/>
          <w:sz w:val="22"/>
          <w:szCs w:val="22"/>
        </w:rPr>
        <w:t xml:space="preserve">; </w:t>
      </w:r>
      <w:hyperlink w:anchor="_ENREF_41" w:tooltip="Tindamanyire, 2013 #1" w:history="1">
        <w:r w:rsidRPr="007923C2">
          <w:rPr>
            <w:rFonts w:ascii="Arial" w:hAnsi="Arial" w:cs="Arial"/>
            <w:noProof/>
            <w:sz w:val="22"/>
            <w:szCs w:val="22"/>
          </w:rPr>
          <w:t>Tindamanyire et al., 2013</w:t>
        </w:r>
      </w:hyperlink>
      <w:r w:rsidRPr="007923C2">
        <w:rPr>
          <w:rFonts w:ascii="Arial" w:hAnsi="Arial" w:cs="Arial"/>
          <w:noProof/>
          <w:sz w:val="22"/>
          <w:szCs w:val="22"/>
        </w:rPr>
        <w:t xml:space="preserve">; </w:t>
      </w:r>
      <w:hyperlink w:anchor="_ENREF_51" w:tooltip="Yu, 2015 #2" w:history="1">
        <w:r w:rsidRPr="007923C2">
          <w:rPr>
            <w:rFonts w:ascii="Arial" w:hAnsi="Arial" w:cs="Arial"/>
            <w:noProof/>
            <w:sz w:val="22"/>
            <w:szCs w:val="22"/>
          </w:rPr>
          <w:t>Yu, Yau, and Birchler, 2015</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72675750"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Tendencias actuales en la Ingeniería genética de plantas</w:t>
      </w:r>
    </w:p>
    <w:p w14:paraId="018D8E9A"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Fitoremediación con plantas transgénicas</w:t>
      </w:r>
    </w:p>
    <w:p w14:paraId="2EA46B36"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La capacidad de las plantas para degradar xenobioticos fue descubierta en  la década de 1940, cuando se demostró que podían metabolizar pesticidas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&lt;EndNote&gt;&lt;Cite&gt;&lt;Author&gt;Macek&lt;/Author&gt;&lt;Year&gt;2008&lt;/Year&gt;&lt;RecNum&gt;4&lt;/RecNum&gt;&lt;DisplayText&gt;(Macek et al., 2008)&lt;/DisplayText&gt;&lt;record&gt;&lt;rec-number&gt;4&lt;/rec-number&gt;&lt;foreign-keys&gt;&lt;key app="EN" db-id="0appdse09tweroewfaux95rra92fvrrppttx"&gt;4&lt;/key&gt;&lt;/foreign-keys&gt;&lt;ref-type name="Journal Article"&gt;17&lt;/ref-type&gt;&lt;contributors&gt;&lt;authors&gt;&lt;author&gt;Macek, Tomas&lt;/author&gt;&lt;author&gt;Kotrba, Pavel&lt;/author&gt;&lt;author&gt;Svatos, Ales&lt;/author&gt;&lt;author&gt;Novakova, Martina&lt;/author&gt;&lt;author&gt;Demnerova, Katerina&lt;/author&gt;&lt;author&gt;Mackova, Martina&lt;/author&gt;&lt;/authors&gt;&lt;/contributors&gt;&lt;titles&gt;&lt;title&gt;Novel roles for genetically modified plants in environmental protection&lt;/title&gt;&lt;secondary-title&gt;Trends in biotechnology&lt;/secondary-title&gt;&lt;/titles&gt;&lt;periodical&gt;&lt;full-title&gt;Trends in biotechnology&lt;/full-title&gt;&lt;/periodical&gt;&lt;pages&gt;146-152&lt;/pages&gt;&lt;volume&gt;26&lt;/volume&gt;&lt;number&gt;3&lt;/number&gt;&lt;dates&gt;&lt;year&gt;2008&lt;/year&gt;&lt;/dates&gt;&lt;isbn&gt;0167-7799&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20" w:tooltip="Macek, 2008 #4" w:history="1">
        <w:r w:rsidRPr="007923C2">
          <w:rPr>
            <w:rFonts w:ascii="Arial" w:hAnsi="Arial" w:cs="Arial"/>
            <w:noProof/>
            <w:sz w:val="22"/>
            <w:szCs w:val="22"/>
          </w:rPr>
          <w:t>Macek et al., 2008</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Inicialmente la fitor</w:t>
      </w:r>
      <w:r w:rsidR="001E4B0B" w:rsidRPr="007923C2">
        <w:rPr>
          <w:rFonts w:ascii="Arial" w:hAnsi="Arial" w:cs="Arial"/>
          <w:sz w:val="22"/>
          <w:szCs w:val="22"/>
        </w:rPr>
        <w:t>r</w:t>
      </w:r>
      <w:r w:rsidRPr="007923C2">
        <w:rPr>
          <w:rFonts w:ascii="Arial" w:hAnsi="Arial" w:cs="Arial"/>
          <w:sz w:val="22"/>
          <w:szCs w:val="22"/>
        </w:rPr>
        <w:t xml:space="preserve">emediación fue aplicada para remover contaminantes inorgánicos del suelo y posteriormente para el tratamiento de varios tipos de contaminantes organicos usando plantas tipo silvestres, sin embargo el desarrollo de la ingeniería genética, la genómica, proteomica y metabolomica han contribuido a incrementar y/o manipular el metabolismo de las plantas contra sustancias contaminantes del ambiente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&lt;EndNote&gt;&lt;Cite&gt;&lt;Author&gt;Seth&lt;/Author&gt;&lt;Year&gt;2012&lt;/Year&gt;&lt;RecNum&gt;5&lt;/RecNum&gt;&lt;DisplayText&gt;(Seth, 2012)&lt;/DisplayText&gt;&lt;record&gt;&lt;rec-number&gt;5&lt;/rec-number&gt;&lt;foreign-keys&gt;&lt;key app="EN" db-id="0appdse09tweroewfaux95rra92fvrrppttx"&gt;5&lt;/key&gt;&lt;/foreign-keys&gt;&lt;ref-type name="Journal Article"&gt;17&lt;/ref-type&gt;&lt;contributors&gt;&lt;authors&gt;&lt;author&gt;Seth, Chandra Shekhar&lt;/author&gt;&lt;/authors&gt;&lt;/contributors&gt;&lt;titles&gt;&lt;title&gt;A review on mechanisms of plant tolerance and role of transgenic plants in environmental clean-up&lt;/title&gt;&lt;secondary-title&gt;The Botanical Review&lt;/secondary-title&gt;&lt;/titles&gt;&lt;periodical&gt;&lt;full-title&gt;The Botanical Review&lt;/full-title&gt;&lt;/periodical&gt;&lt;pages&gt;32-62&lt;/pages&gt;&lt;volume&gt;78&lt;/volume&gt;&lt;number&gt;1&lt;/number&gt;&lt;dates&gt;&lt;year&gt;2012&lt;/year&gt;&lt;/dates&gt;&lt;isbn&gt;0006-8101&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34" w:tooltip="Seth, 2012 #5" w:history="1">
        <w:r w:rsidRPr="007923C2">
          <w:rPr>
            <w:rFonts w:ascii="Arial" w:hAnsi="Arial" w:cs="Arial"/>
            <w:noProof/>
            <w:sz w:val="22"/>
            <w:szCs w:val="22"/>
          </w:rPr>
          <w:t>Seth, 2012</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74B1B21C"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Se han desarrollado plantas transgenicas para remediar suelos contaminados con metales pesados como el caso de plantas que expresan el gen de la metalotioneína de levadura, que le confiere a las plantas una alta tolerancia a la presencia de Cadmio en el suelo, otro de los primeros ejemplos de este tipo de plantas son las que expresan el gen mercurio reductasa que expresan naturalmente ciertas bacterias gram-negativas, la acción de esta enzima convierte e</w:t>
      </w:r>
      <w:r w:rsidR="009D5203" w:rsidRPr="007923C2">
        <w:rPr>
          <w:rFonts w:ascii="Arial" w:hAnsi="Arial" w:cs="Arial"/>
          <w:sz w:val="22"/>
          <w:szCs w:val="22"/>
        </w:rPr>
        <w:t>l</w:t>
      </w:r>
      <w:r w:rsidRPr="007923C2">
        <w:rPr>
          <w:rFonts w:ascii="Arial" w:hAnsi="Arial" w:cs="Arial"/>
          <w:sz w:val="22"/>
          <w:szCs w:val="22"/>
        </w:rPr>
        <w:t xml:space="preserve"> ion mercurio (HgII) en mercurio elemental el cual es mucho menos toxico Hg(0)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&lt;EndNote&gt;&lt;Cite&gt;&lt;Author&gt;Rugh&lt;/Author&gt;&lt;Year&gt;1996&lt;/Year&gt;&lt;RecNum&gt;6&lt;/RecNum&gt;&lt;DisplayText&gt;(Rugh et al., 1998; Rugh et al., 1996)&lt;/DisplayText&gt;&lt;record&gt;&lt;rec-number&gt;6&lt;/rec-number&gt;&lt;foreign-keys&gt;&lt;key app="EN" db-id="0appdse09tweroewfaux95rra92fvrrppttx"&gt;6&lt;/key&gt;&lt;/foreign-keys&gt;&lt;ref-type name="Journal Article"&gt;17&lt;/ref-type&gt;&lt;contributors&gt;&lt;authors&gt;&lt;author&gt;Rugh, Clayton L&lt;/author&gt;&lt;author&gt;Wilde, H Dayton&lt;/author&gt;&lt;author&gt;Stack, Nicole M&lt;/author&gt;&lt;author&gt;Thompson, Deborah Martin&lt;/author&gt;&lt;author&gt;Summers, Anne O&lt;/author&gt;&lt;author&gt;Meagher, Richard B&lt;/author&gt;&lt;/authors&gt;&lt;/contributors&gt;&lt;titles&gt;&lt;title&gt;Mercuric ion reduction and resistance in transgenic Arabidopsis thaliana plants expressing a modified bacterial merA gene&lt;/title&gt;&lt;secondary-title&gt;Proceedings of the National Academy of Sciences&lt;/secondary-title&gt;&lt;/titles&gt;&lt;periodical&gt;&lt;full-title&gt;Proceedings of the National Academy of Sciences&lt;/full-title&gt;&lt;/periodical&gt;&lt;pages&gt;3182-3187&lt;/pages&gt;&lt;volume&gt;93&lt;/volume&gt;&lt;number&gt;8&lt;/number&gt;&lt;dates&gt;&lt;year&gt;1996&lt;/year&gt;&lt;/dates&gt;&lt;isbn&gt;0027-8424&lt;/isbn&gt;&lt;urls&gt;&lt;/urls&gt;&lt;/record&gt;&lt;/Cite&gt;&lt;Cite&gt;&lt;Author&gt;Rugh&lt;/Author&gt;&lt;Year&gt;1998&lt;/Year&gt;&lt;RecNum&gt;8&lt;/RecNum&gt;&lt;record&gt;&lt;rec-number&gt;8&lt;/rec-number&gt;&lt;foreign-keys&gt;&lt;key app="EN" db-id="0appdse09tweroewfaux95rra92fvrrppttx"&gt;8&lt;/key&gt;&lt;/foreign-keys&gt;&lt;ref-type name="Journal Article"&gt;17&lt;/ref-type&gt;&lt;contributors&gt;&lt;authors&gt;&lt;author&gt;Rugh, Clayton L&lt;/author&gt;&lt;author&gt;Senecoff, Julie F&lt;/author&gt;&lt;author&gt;Meagher, Richard B&lt;/author&gt;&lt;author&gt;Merkle, Scott A&lt;/author&gt;&lt;/authors&gt;&lt;/contributors&gt;&lt;titles&gt;&lt;title&gt;Development of transgenic yellow poplar for mercury phytoremediation&lt;/title&gt;&lt;secondary-title&gt;Nature biotechnology&lt;/secondary-title&gt;&lt;/titles&gt;&lt;periodical&gt;&lt;full-title&gt;Nature biotechnology&lt;/full-title&gt;&lt;/periodical&gt;&lt;pages&gt;925-928&lt;/pages&gt;&lt;volume&gt;16&lt;/volume&gt;&lt;number&gt;10&lt;/number&gt;&lt;dates&gt;&lt;year&gt;1998&lt;/year&gt;&lt;/dates&gt;&lt;isbn&gt;1087-0156&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29" w:tooltip="Rugh, 1998 #8" w:history="1">
        <w:r w:rsidRPr="007923C2">
          <w:rPr>
            <w:rFonts w:ascii="Arial" w:hAnsi="Arial" w:cs="Arial"/>
            <w:noProof/>
            <w:sz w:val="22"/>
            <w:szCs w:val="22"/>
          </w:rPr>
          <w:t>Rugh et al., 1998</w:t>
        </w:r>
      </w:hyperlink>
      <w:r w:rsidRPr="007923C2">
        <w:rPr>
          <w:rFonts w:ascii="Arial" w:hAnsi="Arial" w:cs="Arial"/>
          <w:noProof/>
          <w:sz w:val="22"/>
          <w:szCs w:val="22"/>
        </w:rPr>
        <w:t xml:space="preserve">; </w:t>
      </w:r>
      <w:hyperlink w:anchor="_ENREF_30" w:tooltip="Rugh, 1996 #6" w:history="1">
        <w:r w:rsidRPr="007923C2">
          <w:rPr>
            <w:rFonts w:ascii="Arial" w:hAnsi="Arial" w:cs="Arial"/>
            <w:noProof/>
            <w:sz w:val="22"/>
            <w:szCs w:val="22"/>
          </w:rPr>
          <w:t>Rugh et al., 1996</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desde entonces varios genes provenientes de diferentes organismos (bacterias, levaduras y otras plantas principalmente) han sido insertados en diferentes plantas (</w:t>
      </w:r>
      <w:r w:rsidRPr="007923C2">
        <w:rPr>
          <w:rFonts w:ascii="Arial" w:hAnsi="Arial" w:cs="Arial"/>
          <w:i/>
          <w:sz w:val="22"/>
          <w:szCs w:val="22"/>
        </w:rPr>
        <w:t>Liriodendron tulipifera, Nicotiana tabacum y Brassica juncea</w:t>
      </w:r>
      <w:r w:rsidRPr="007923C2">
        <w:rPr>
          <w:rFonts w:ascii="Arial" w:hAnsi="Arial" w:cs="Arial"/>
          <w:sz w:val="22"/>
          <w:szCs w:val="22"/>
        </w:rPr>
        <w:t xml:space="preserve"> entre otras) con la finalidad de incremetar su tolerancia, acumulación y propiedades de volatilización de metales pesados (cadmio, mercurio, plomo y selenio entre otros)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&lt;EndNote&gt;&lt;Cite&gt;&lt;Author&gt;Seth&lt;/Author&gt;&lt;Year&gt;2012&lt;/Year&gt;&lt;RecNum&gt;5&lt;/RecNum&gt;&lt;DisplayText&gt;(Seth, 2012)&lt;/DisplayText&gt;&lt;record&gt;&lt;rec-number&gt;5&lt;/rec-number&gt;&lt;foreign-keys&gt;&lt;key app="EN" db-id="0appdse09tweroewfaux95rra92fvrrppttx"&gt;5&lt;/key&gt;&lt;/foreign-keys&gt;&lt;ref-type name="Journal Article"&gt;17&lt;/ref-type&gt;&lt;contributors&gt;&lt;authors&gt;&lt;author&gt;Seth, Chandra Shekhar&lt;/author&gt;&lt;/authors&gt;&lt;/contributors&gt;&lt;titles&gt;&lt;title&gt;A review on mechanisms of plant tolerance and role of transgenic plants in environmental clean-up&lt;/title&gt;&lt;secondary-title&gt;The Botanical Review&lt;/secondary-title&gt;&lt;/titles&gt;&lt;periodical&gt;&lt;full-title&gt;The Botanical Review&lt;/full-title&gt;&lt;/periodical&gt;&lt;pages&gt;32-62&lt;/pages&gt;&lt;volume&gt;78&lt;/volume&gt;&lt;number&gt;1&lt;/number&gt;&lt;dates&gt;&lt;year&gt;2012&lt;/year&gt;&lt;/dates&gt;&lt;isbn&gt;0006-8101&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34" w:tooltip="Seth, 2012 #5" w:history="1">
        <w:r w:rsidRPr="007923C2">
          <w:rPr>
            <w:rFonts w:ascii="Arial" w:hAnsi="Arial" w:cs="Arial"/>
            <w:noProof/>
            <w:sz w:val="22"/>
            <w:szCs w:val="22"/>
          </w:rPr>
          <w:t>Seth, 2012</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600ACA0D"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Plantas trasngenicas resistentes a sequia</w:t>
      </w:r>
    </w:p>
    <w:p w14:paraId="18F65048"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En la actualidad se están buscando en toda la naturaleza (incluidos en las mismas plantas) genes candidatos que después de su inserción-expresión o modificación en las plantas les confieran la características de resistencia a la sequía, en términos generales esto ya ha sido logrado pero solo después de realizar un gran número de alteraciones en los genomas de las plantas, aunque recientemente se están logrando algunas excepciones, por ejemplo la sobreexpresión de la acuaporina del tonoplasto de </w:t>
      </w:r>
      <w:r w:rsidRPr="007923C2">
        <w:rPr>
          <w:rFonts w:ascii="Arial" w:hAnsi="Arial" w:cs="Arial"/>
          <w:i/>
          <w:sz w:val="22"/>
          <w:szCs w:val="22"/>
        </w:rPr>
        <w:t>Panax ginsen</w:t>
      </w:r>
      <w:r w:rsidRPr="007923C2">
        <w:rPr>
          <w:rFonts w:ascii="Arial" w:hAnsi="Arial" w:cs="Arial"/>
          <w:sz w:val="22"/>
          <w:szCs w:val="22"/>
        </w:rPr>
        <w:t xml:space="preserve"> en  </w:t>
      </w:r>
      <w:r w:rsidRPr="007923C2">
        <w:rPr>
          <w:rFonts w:ascii="Arial" w:hAnsi="Arial" w:cs="Arial"/>
          <w:i/>
          <w:sz w:val="22"/>
          <w:szCs w:val="22"/>
        </w:rPr>
        <w:t>Arabidopsis thaliana</w:t>
      </w:r>
      <w:r w:rsidRPr="007923C2">
        <w:rPr>
          <w:rFonts w:ascii="Arial" w:hAnsi="Arial" w:cs="Arial"/>
          <w:sz w:val="22"/>
          <w:szCs w:val="22"/>
        </w:rPr>
        <w:t xml:space="preserve">, la cual trae como resultado mayor tasa de producción de biomasa, mayor tolerancia al estrés salino, hídrico y mayor acumulación de Na+ </w:t>
      </w:r>
      <w:r w:rsidRPr="007923C2">
        <w:rPr>
          <w:rFonts w:ascii="Arial" w:hAnsi="Arial" w:cs="Arial"/>
          <w:sz w:val="22"/>
          <w:szCs w:val="22"/>
        </w:rPr>
        <w:lastRenderedPageBreak/>
        <w:t xml:space="preserve">cuando se compara con plantas no modificadas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&lt;EndNote&gt;&lt;Cite&gt;&lt;Author&gt;Peng&lt;/Author&gt;&lt;Year&gt;2007&lt;/Year&gt;&lt;RecNum&gt;10&lt;/RecNum&gt;&lt;DisplayText&gt;(Peng et al., 2007)&lt;/DisplayText&gt;&lt;record&gt;&lt;rec-number&gt;10&lt;/rec-number&gt;&lt;foreign-keys&gt;&lt;key app="EN" db-id="0appdse09tweroewfaux95rra92fvrrppttx"&gt;10&lt;/key&gt;&lt;/foreign-keys&gt;&lt;ref-type name="Journal Article"&gt;17&lt;/ref-type&gt;&lt;contributors&gt;&lt;authors&gt;&lt;author&gt;Peng, Yanhui&lt;/author&gt;&lt;author&gt;Lin, Wuling&lt;/author&gt;&lt;author&gt;Cai, Weiming&lt;/author&gt;&lt;author&gt;Arora, Rajeev&lt;/author&gt;&lt;/authors&gt;&lt;/contributors&gt;&lt;titles&gt;&lt;title&gt;Overexpression of a Panax ginseng tonoplast aquaporin alters salt tolerance, drought tolerance and cold acclimation ability in transgenic Arabidopsis plants&lt;/title&gt;&lt;secondary-title&gt;Planta&lt;/secondary-title&gt;&lt;/titles&gt;&lt;periodical&gt;&lt;full-title&gt;Planta&lt;/full-title&gt;&lt;/periodical&gt;&lt;pages&gt;729-740&lt;/pages&gt;&lt;volume&gt;226&lt;/volume&gt;&lt;number&gt;3&lt;/number&gt;&lt;dates&gt;&lt;year&gt;2007&lt;/year&gt;&lt;/dates&gt;&lt;isbn&gt;0032-0935&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27" w:tooltip="Peng, 2007 #10" w:history="1">
        <w:r w:rsidRPr="007923C2">
          <w:rPr>
            <w:rFonts w:ascii="Arial" w:hAnsi="Arial" w:cs="Arial"/>
            <w:noProof/>
            <w:sz w:val="22"/>
            <w:szCs w:val="22"/>
          </w:rPr>
          <w:t>Peng et al., 2007</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xml:space="preserve">, o bien la proteína que funciona como factor de transcripción llamada DREB (por Dehydration-responsive element-binding), dicha proteína ha sido reportada por incrementar la resistencia en plantas transgenicas de tomate, cacahuate, arroz, cebada y trigo </w:t>
      </w:r>
      <w:r w:rsidR="00F93E5C" w:rsidRPr="007923C2">
        <w:rPr>
          <w:rFonts w:ascii="Arial" w:hAnsi="Arial" w:cs="Arial"/>
          <w:sz w:val="22"/>
          <w:szCs w:val="22"/>
        </w:rPr>
        <w:fldChar w:fldCharType="begin">
          <w:fldData xml:space="preserve">PEVuZE5vdGU+PENpdGU+PEF1dGhvcj5Nb3JyYW48L0F1dGhvcj48WWVhcj4yMDExPC9ZZWFyPjxS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</w:fldData>
        </w:fldChar>
      </w:r>
      <w:r w:rsidRPr="007923C2">
        <w:rPr>
          <w:rFonts w:ascii="Arial" w:hAnsi="Arial" w:cs="Arial"/>
          <w:sz w:val="22"/>
          <w:szCs w:val="22"/>
        </w:rPr>
        <w:instrText xml:space="preserve"> ADDIN EN.CITE </w:instrText>
      </w:r>
      <w:r w:rsidR="00F93E5C" w:rsidRPr="007923C2">
        <w:rPr>
          <w:rFonts w:ascii="Arial" w:hAnsi="Arial" w:cs="Arial"/>
          <w:sz w:val="22"/>
          <w:szCs w:val="22"/>
        </w:rPr>
        <w:fldChar w:fldCharType="begin">
          <w:fldData xml:space="preserve">PEVuZE5vdGU+PENpdGU+PEF1dGhvcj5Nb3JyYW48L0F1dGhvcj48WWVhcj4yMDExPC9ZZWFyPjxS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</w:fldData>
        </w:fldChar>
      </w:r>
      <w:r w:rsidRPr="007923C2">
        <w:rPr>
          <w:rFonts w:ascii="Arial" w:hAnsi="Arial" w:cs="Arial"/>
          <w:sz w:val="22"/>
          <w:szCs w:val="22"/>
        </w:rPr>
        <w:instrText xml:space="preserve"> ADDIN EN.CITE.DATA </w:instrText>
      </w:r>
      <w:r w:rsidR="00F93E5C" w:rsidRPr="007923C2">
        <w:rPr>
          <w:rFonts w:ascii="Arial" w:hAnsi="Arial" w:cs="Arial"/>
          <w:sz w:val="22"/>
          <w:szCs w:val="22"/>
        </w:rPr>
      </w:r>
      <w:r w:rsidR="00F93E5C" w:rsidRPr="007923C2">
        <w:rPr>
          <w:rFonts w:ascii="Arial" w:hAnsi="Arial" w:cs="Arial"/>
          <w:sz w:val="22"/>
          <w:szCs w:val="22"/>
        </w:rPr>
        <w:fldChar w:fldCharType="end"/>
      </w:r>
      <w:r w:rsidR="00F93E5C" w:rsidRPr="007923C2">
        <w:rPr>
          <w:rFonts w:ascii="Arial" w:hAnsi="Arial" w:cs="Arial"/>
          <w:sz w:val="22"/>
          <w:szCs w:val="22"/>
        </w:rPr>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23" w:tooltip="Morran, 2011 #11" w:history="1">
        <w:r w:rsidRPr="007923C2">
          <w:rPr>
            <w:rFonts w:ascii="Arial" w:hAnsi="Arial" w:cs="Arial"/>
            <w:noProof/>
            <w:sz w:val="22"/>
            <w:szCs w:val="22"/>
          </w:rPr>
          <w:t>Morran et al., 2011</w:t>
        </w:r>
      </w:hyperlink>
      <w:r w:rsidRPr="007923C2">
        <w:rPr>
          <w:rFonts w:ascii="Arial" w:hAnsi="Arial" w:cs="Arial"/>
          <w:noProof/>
          <w:sz w:val="22"/>
          <w:szCs w:val="22"/>
        </w:rPr>
        <w:t xml:space="preserve">; </w:t>
      </w:r>
      <w:hyperlink w:anchor="_ENREF_45" w:tooltip="Wang, 2008 #13" w:history="1">
        <w:r w:rsidRPr="007923C2">
          <w:rPr>
            <w:rFonts w:ascii="Arial" w:hAnsi="Arial" w:cs="Arial"/>
            <w:noProof/>
            <w:sz w:val="22"/>
            <w:szCs w:val="22"/>
          </w:rPr>
          <w:t>Wang et al., 2008</w:t>
        </w:r>
      </w:hyperlink>
      <w:r w:rsidRPr="007923C2">
        <w:rPr>
          <w:rFonts w:ascii="Arial" w:hAnsi="Arial" w:cs="Arial"/>
          <w:noProof/>
          <w:sz w:val="22"/>
          <w:szCs w:val="22"/>
        </w:rPr>
        <w:t xml:space="preserve">; </w:t>
      </w:r>
      <w:hyperlink w:anchor="_ENREF_48" w:tooltip="Xiao, 2009 #12" w:history="1">
        <w:r w:rsidRPr="007923C2">
          <w:rPr>
            <w:rFonts w:ascii="Arial" w:hAnsi="Arial" w:cs="Arial"/>
            <w:noProof/>
            <w:sz w:val="22"/>
            <w:szCs w:val="22"/>
          </w:rPr>
          <w:t>Xiao et al., 2009</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xml:space="preserve">, esta proteína tiene efecto sobre otras proteínas, el resultado de esas acciones es que mejora la eficiencia del uso de agua por parte de la plantas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&lt;EndNote&gt;&lt;Cite&gt;&lt;Author&gt;Saint Pierre&lt;/Author&gt;&lt;Year&gt;2012&lt;/Year&gt;&lt;RecNum&gt;14&lt;/RecNum&gt;&lt;DisplayText&gt;(Saint Pierre et al., 2012)&lt;/DisplayText&gt;&lt;record&gt;&lt;rec-number&gt;14&lt;/rec-number&gt;&lt;foreign-keys&gt;&lt;key app="EN" db-id="0appdse09tweroewfaux95rra92fvrrppttx"&gt;14&lt;/key&gt;&lt;/foreign-keys&gt;&lt;ref-type name="Journal Article"&gt;17&lt;/ref-type&gt;&lt;contributors&gt;&lt;authors&gt;&lt;author&gt;Saint Pierre, Carolina&lt;/author&gt;&lt;author&gt;Crossa, José L&lt;/author&gt;&lt;author&gt;Bonnett, David&lt;/author&gt;&lt;author&gt;Yamaguchi-Shinozaki, Kazuko&lt;/author&gt;&lt;author&gt;Reynolds, Matthew P&lt;/author&gt;&lt;/authors&gt;&lt;/contributors&gt;&lt;titles&gt;&lt;title&gt;Phenotyping transgenic wheat for drought resistance&lt;/title&gt;&lt;secondary-title&gt;Journal of experimental botany&lt;/secondary-title&gt;&lt;/titles&gt;&lt;periodical&gt;&lt;full-title&gt;Journal of experimental botany&lt;/full-title&gt;&lt;/periodical&gt;&lt;pages&gt;1799-1808&lt;/pages&gt;&lt;volume&gt;63&lt;/volume&gt;&lt;number&gt;5&lt;/number&gt;&lt;dates&gt;&lt;year&gt;2012&lt;/year&gt;&lt;/dates&gt;&lt;isbn&gt;0022-0957&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31" w:tooltip="Saint Pierre, 2012 #14" w:history="1">
        <w:r w:rsidRPr="007923C2">
          <w:rPr>
            <w:rFonts w:ascii="Arial" w:hAnsi="Arial" w:cs="Arial"/>
            <w:noProof/>
            <w:sz w:val="22"/>
            <w:szCs w:val="22"/>
          </w:rPr>
          <w:t>Saint Pierre et al., 2012</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En la actualidad se siguen buscando genes candidato (principalmente factores de transcripción) que puedan irrumpir en las rutas metabólicas de las plantas de tal modo que les ayude a sobrevivir en condiciones de estrés hídrico extremo, así como se está buscando llevar este tipo de plantas al mercado.</w:t>
      </w:r>
    </w:p>
    <w:p w14:paraId="3C72A1CA"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 xml:space="preserve">Plantas transgenicas resistentes a insectos y enfermedades </w:t>
      </w:r>
    </w:p>
    <w:p w14:paraId="14B58EBD"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La endotoxina Cry de </w:t>
      </w:r>
      <w:r w:rsidRPr="007923C2">
        <w:rPr>
          <w:rFonts w:ascii="Arial" w:hAnsi="Arial" w:cs="Arial"/>
          <w:i/>
          <w:sz w:val="22"/>
          <w:szCs w:val="22"/>
        </w:rPr>
        <w:t>Bacillus thuringiensis</w:t>
      </w:r>
      <w:r w:rsidRPr="007923C2">
        <w:rPr>
          <w:rFonts w:ascii="Arial" w:hAnsi="Arial" w:cs="Arial"/>
          <w:sz w:val="22"/>
          <w:szCs w:val="22"/>
        </w:rPr>
        <w:t xml:space="preserve"> es el ejemplo más conocido de como una proteína bacteriana puede ser expresada en una planta para conferirle resistencia contra el ataque de insectos lepidópteros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&lt;EndNote&gt;&lt;Cite&gt;&lt;Author&gt;Kota&lt;/Author&gt;&lt;Year&gt;1999&lt;/Year&gt;&lt;RecNum&gt;15&lt;/RecNum&gt;&lt;DisplayText&gt;(Kota et al., 1999)&lt;/DisplayText&gt;&lt;record&gt;&lt;rec-number&gt;15&lt;/rec-number&gt;&lt;foreign-keys&gt;&lt;key app="EN" db-id="0appdse09tweroewfaux95rra92fvrrppttx"&gt;15&lt;/key&gt;&lt;/foreign-keys&gt;&lt;ref-type name="Journal Article"&gt;17&lt;/ref-type&gt;&lt;contributors&gt;&lt;authors&gt;&lt;author&gt;Kota, Madhuri&lt;/author&gt;&lt;author&gt;Daniell, Henry&lt;/author&gt;&lt;author&gt;Varma, Sam&lt;/author&gt;&lt;author&gt;Garczynski, Stephen F&lt;/author&gt;&lt;author&gt;Gould, Fred&lt;/author&gt;&lt;author&gt;Moar, William J&lt;/author&gt;&lt;/authors&gt;&lt;/contributors&gt;&lt;titles&gt;&lt;title&gt;Overexpression of the Bacillus thuringiensis (Bt) Cry2Aa2 protein in chloroplasts confers resistance to plants against susceptible and Bt-resistant insects&lt;/title&gt;&lt;secondary-title&gt;Proceedings of the National Academy of Sciences&lt;/secondary-title&gt;&lt;/titles&gt;&lt;periodical&gt;&lt;full-title&gt;Proceedings of the National Academy of Sciences&lt;/full-title&gt;&lt;/periodical&gt;&lt;pages&gt;1840-1845&lt;/pages&gt;&lt;volume&gt;96&lt;/volume&gt;&lt;number&gt;5&lt;/number&gt;&lt;dates&gt;&lt;year&gt;1999&lt;/year&gt;&lt;/dates&gt;&lt;isbn&gt;0027-8424&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18" w:tooltip="Kota, 1999 #15" w:history="1">
        <w:r w:rsidRPr="007923C2">
          <w:rPr>
            <w:rFonts w:ascii="Arial" w:hAnsi="Arial" w:cs="Arial"/>
            <w:noProof/>
            <w:sz w:val="22"/>
            <w:szCs w:val="22"/>
          </w:rPr>
          <w:t>Kota et al., 1999</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xml:space="preserve">. Sin embargo, después del descubrimiento y uso de la toxina Cry en plantas transgénicas, otras proteínas con propiedades insecticidas han sido descubiertas y utilizadas para producir plantas transgénicas, por ejemplo: lectinas, inhibidores de proteasas, anticuerpos, toxinas de avispas y arácnidos, insecticidas bacterianos y hormonas peptídicas </w:t>
      </w:r>
      <w:r w:rsidR="00F93E5C" w:rsidRPr="007923C2">
        <w:rPr>
          <w:rFonts w:ascii="Arial" w:hAnsi="Arial" w:cs="Arial"/>
          <w:sz w:val="22"/>
          <w:szCs w:val="22"/>
        </w:rPr>
        <w:fldChar w:fldCharType="begin">
          <w:fldData xml:space="preserve">PEVuZE5vdGU+PENpdGU+PEF1dGhvcj5WYW4gRGFtbWU8L0F1dGhvcj48WWVhcj4yMDA4PC9ZZWFy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</w:fldData>
        </w:fldChar>
      </w:r>
      <w:r w:rsidRPr="007923C2">
        <w:rPr>
          <w:rFonts w:ascii="Arial" w:hAnsi="Arial" w:cs="Arial"/>
          <w:sz w:val="22"/>
          <w:szCs w:val="22"/>
        </w:rPr>
        <w:instrText xml:space="preserve"> ADDIN EN.CITE </w:instrText>
      </w:r>
      <w:r w:rsidR="00F93E5C" w:rsidRPr="007923C2">
        <w:rPr>
          <w:rFonts w:ascii="Arial" w:hAnsi="Arial" w:cs="Arial"/>
          <w:sz w:val="22"/>
          <w:szCs w:val="22"/>
        </w:rPr>
        <w:fldChar w:fldCharType="begin">
          <w:fldData xml:space="preserve">PEVuZE5vdGU+PENpdGU+PEF1dGhvcj5WYW4gRGFtbWU8L0F1dGhvcj48WWVhcj4yMDA4PC9ZZWFy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</w:fldData>
        </w:fldChar>
      </w:r>
      <w:r w:rsidRPr="007923C2">
        <w:rPr>
          <w:rFonts w:ascii="Arial" w:hAnsi="Arial" w:cs="Arial"/>
          <w:sz w:val="22"/>
          <w:szCs w:val="22"/>
        </w:rPr>
        <w:instrText xml:space="preserve"> ADDIN EN.CITE.DATA </w:instrText>
      </w:r>
      <w:r w:rsidR="00F93E5C" w:rsidRPr="007923C2">
        <w:rPr>
          <w:rFonts w:ascii="Arial" w:hAnsi="Arial" w:cs="Arial"/>
          <w:sz w:val="22"/>
          <w:szCs w:val="22"/>
        </w:rPr>
      </w:r>
      <w:r w:rsidR="00F93E5C" w:rsidRPr="007923C2">
        <w:rPr>
          <w:rFonts w:ascii="Arial" w:hAnsi="Arial" w:cs="Arial"/>
          <w:sz w:val="22"/>
          <w:szCs w:val="22"/>
        </w:rPr>
        <w:fldChar w:fldCharType="end"/>
      </w:r>
      <w:r w:rsidR="00F93E5C" w:rsidRPr="007923C2">
        <w:rPr>
          <w:rFonts w:ascii="Arial" w:hAnsi="Arial" w:cs="Arial"/>
          <w:sz w:val="22"/>
          <w:szCs w:val="22"/>
        </w:rPr>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8" w:tooltip="Dinan, 2001 #19" w:history="1">
        <w:r w:rsidRPr="007923C2">
          <w:rPr>
            <w:rFonts w:ascii="Arial" w:hAnsi="Arial" w:cs="Arial"/>
            <w:noProof/>
            <w:sz w:val="22"/>
            <w:szCs w:val="22"/>
          </w:rPr>
          <w:t>Dinan, 2001</w:t>
        </w:r>
      </w:hyperlink>
      <w:r w:rsidRPr="007923C2">
        <w:rPr>
          <w:rFonts w:ascii="Arial" w:hAnsi="Arial" w:cs="Arial"/>
          <w:noProof/>
          <w:sz w:val="22"/>
          <w:szCs w:val="22"/>
        </w:rPr>
        <w:t xml:space="preserve">; </w:t>
      </w:r>
      <w:hyperlink w:anchor="_ENREF_39" w:tooltip="Taniai, 2002 #18" w:history="1">
        <w:r w:rsidRPr="007923C2">
          <w:rPr>
            <w:rFonts w:ascii="Arial" w:hAnsi="Arial" w:cs="Arial"/>
            <w:noProof/>
            <w:sz w:val="22"/>
            <w:szCs w:val="22"/>
          </w:rPr>
          <w:t>Taniai, Inceoglu, and Hammock, 2002</w:t>
        </w:r>
      </w:hyperlink>
      <w:r w:rsidRPr="007923C2">
        <w:rPr>
          <w:rFonts w:ascii="Arial" w:hAnsi="Arial" w:cs="Arial"/>
          <w:noProof/>
          <w:sz w:val="22"/>
          <w:szCs w:val="22"/>
        </w:rPr>
        <w:t xml:space="preserve">; </w:t>
      </w:r>
      <w:hyperlink w:anchor="_ENREF_42" w:tooltip="Van Damme, 2008 #16" w:history="1">
        <w:r w:rsidRPr="007923C2">
          <w:rPr>
            <w:rFonts w:ascii="Arial" w:hAnsi="Arial" w:cs="Arial"/>
            <w:noProof/>
            <w:sz w:val="22"/>
            <w:szCs w:val="22"/>
          </w:rPr>
          <w:t>Van Damme, 2008</w:t>
        </w:r>
      </w:hyperlink>
      <w:r w:rsidRPr="007923C2">
        <w:rPr>
          <w:rFonts w:ascii="Arial" w:hAnsi="Arial" w:cs="Arial"/>
          <w:noProof/>
          <w:sz w:val="22"/>
          <w:szCs w:val="22"/>
        </w:rPr>
        <w:t xml:space="preserve">; </w:t>
      </w:r>
      <w:hyperlink w:anchor="_ENREF_46" w:tooltip="Whetstone, 2007 #17" w:history="1">
        <w:r w:rsidRPr="007923C2">
          <w:rPr>
            <w:rFonts w:ascii="Arial" w:hAnsi="Arial" w:cs="Arial"/>
            <w:noProof/>
            <w:sz w:val="22"/>
            <w:szCs w:val="22"/>
          </w:rPr>
          <w:t>Whetstone and Hammock, 2007</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14319FA9"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También se han estudiado genes que pueden proteger las plantas de algunas enfermedades por ejemplo la proteína de la cubierta del virus del mosaico del tabaco, cuando es expresada en una planta transgénica la protege de infecciones del mismo virus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&lt;EndNote&gt;&lt;Cite&gt;&lt;Author&gt;Mundembe&lt;/Author&gt;&lt;Year&gt;2010&lt;/Year&gt;&lt;RecNum&gt;20&lt;/RecNum&gt;&lt;DisplayText&gt;(Mundembe, Matibiri, and Sithole-Niang, 2010)&lt;/DisplayText&gt;&lt;record&gt;&lt;rec-number&gt;20&lt;/rec-number&gt;&lt;foreign-keys&gt;&lt;key app="EN" db-id="0appdse09tweroewfaux95rra92fvrrppttx"&gt;20&lt;/key&gt;&lt;/foreign-keys&gt;&lt;ref-type name="Journal Article"&gt;17&lt;/ref-type&gt;&lt;contributors&gt;&lt;authors&gt;&lt;author&gt;Mundembe, R&lt;/author&gt;&lt;author&gt;Matibiri, A&lt;/author&gt;&lt;author&gt;Sithole-Niang, I&lt;/author&gt;&lt;/authors&gt;&lt;/contributors&gt;&lt;titles&gt;&lt;title&gt;Transgenic plants expressing the coat protein gene of cowpea aphid-borne mosaic potyvirus predominantly convey the delayed symptom development phenotype&lt;/title&gt;&lt;secondary-title&gt;African Journal of Biotechnology&lt;/secondary-title&gt;&lt;/titles&gt;&lt;periodical&gt;&lt;full-title&gt;African Journal of Biotechnology&lt;/full-title&gt;&lt;/periodical&gt;&lt;volume&gt;8&lt;/volume&gt;&lt;number&gt;12&lt;/number&gt;&lt;dates&gt;&lt;year&gt;2010&lt;/year&gt;&lt;/dates&gt;&lt;isbn&gt;1684-5315&lt;/isbn&gt;&lt;urls&gt;&lt;/urls&gt;&lt;/record&gt;&lt;/Cite&gt;&lt;/EndNote&gt;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24" w:tooltip="Mundembe, 2010 #20" w:history="1">
        <w:r w:rsidRPr="007923C2">
          <w:rPr>
            <w:rFonts w:ascii="Arial" w:hAnsi="Arial" w:cs="Arial"/>
            <w:noProof/>
            <w:sz w:val="22"/>
            <w:szCs w:val="22"/>
          </w:rPr>
          <w:t>Mundembe, Matibiri, and Sithole-Niang, 2010</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xml:space="preserve">, o el gen de la quitinasa del tomate transferido a plantas de canola le confiere protección contra ataques de hongos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&lt;EndNote&gt;&lt;Cite&gt;&lt;Author&gt;Grison&lt;/Author&gt;&lt;Year&gt;1996&lt;/Year&gt;&lt;RecNum&gt;21&lt;/RecNum&gt;&lt;DisplayText&gt;(Grison et al., 1996)&lt;/DisplayText&gt;&lt;record&gt;&lt;rec-number&gt;21&lt;/rec-number&gt;&lt;foreign-keys&gt;&lt;key app="EN" db-id="0appdse09tweroewfaux95rra92fvrrppttx"&gt;21&lt;/key&gt;&lt;/foreign-keys&gt;&lt;ref-type name="Journal Article"&gt;17&lt;/ref-type&gt;&lt;contributors&gt;&lt;authors&gt;&lt;author&gt;Grison, Rene&lt;/author&gt;&lt;author&gt;Grezes-Besset, Bruno&lt;/author&gt;&lt;author&gt;Schneider, Michel&lt;/author&gt;&lt;author&gt;Lucante, Nicole&lt;/author&gt;&lt;author&gt;Olsen, Luellen&lt;/author&gt;&lt;author&gt;Leguay, Jean-Jacques&lt;/author&gt;&lt;author&gt;Toppan, Alain&lt;/author&gt;&lt;/authors&gt;&lt;/contributors&gt;&lt;titles&gt;&lt;title&gt;Field tolerance to fungal pathogens of Brassica napus constitutively expressing a chimeric chitinase gene&lt;/title&gt;&lt;secondary-title&gt;Nature biotechnology&lt;/secondary-title&gt;&lt;/titles&gt;&lt;periodical&gt;&lt;full-title&gt;Nature biotechnology&lt;/full-title&gt;&lt;/periodical&gt;&lt;pages&gt;643-646&lt;/pages&gt;&lt;volume&gt;14&lt;/volume&gt;&lt;number&gt;5&lt;/number&gt;&lt;dates&gt;&lt;year&gt;1996&lt;/year&gt;&lt;/dates&gt;&lt;isbn&gt;1087-0156&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14" w:tooltip="Grison, 1996 #21" w:history="1">
        <w:r w:rsidRPr="007923C2">
          <w:rPr>
            <w:rFonts w:ascii="Arial" w:hAnsi="Arial" w:cs="Arial"/>
            <w:noProof/>
            <w:sz w:val="22"/>
            <w:szCs w:val="22"/>
          </w:rPr>
          <w:t>Grison et al., 1996</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4EC6D64F"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Plantas transgénicas con mejores propiedades nutricionales</w:t>
      </w:r>
    </w:p>
    <w:p w14:paraId="3D186C37"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El ejemplo más notorio de plantas modificadas genéticamente para incrementar sus propiedades nutricionales es el del arroz transgénico que expresan genes de vitamina A provenientes de la planta Narciso y la bacteria </w:t>
      </w:r>
      <w:r w:rsidRPr="007923C2">
        <w:rPr>
          <w:rFonts w:ascii="Arial" w:hAnsi="Arial" w:cs="Arial"/>
          <w:i/>
          <w:sz w:val="22"/>
          <w:szCs w:val="22"/>
        </w:rPr>
        <w:t>Erwinia</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&lt;EndNote&gt;&lt;Cite&gt;&lt;Author&gt;Ye&lt;/Author&gt;&lt;Year&gt;2000&lt;/Year&gt;&lt;RecNum&gt;22&lt;/RecNum&gt;&lt;DisplayText&gt;(Ye et al., 2000)&lt;/DisplayText&gt;&lt;record&gt;&lt;rec-number&gt;22&lt;/rec-number&gt;&lt;foreign-keys&gt;&lt;key app="EN" db-id="0appdse09tweroewfaux95rra92fvrrppttx"&gt;22&lt;/key&gt;&lt;/foreign-keys&gt;&lt;ref-type name="Journal Article"&gt;17&lt;/ref-type&gt;&lt;contributors&gt;&lt;authors&gt;&lt;author&gt;Ye, Xudong&lt;/author&gt;&lt;author&gt;Al-Babili, Salim&lt;/author&gt;&lt;author&gt;Klöti, Andreas&lt;/author&gt;&lt;author&gt;Zhang, Jing&lt;/author&gt;&lt;author&gt;Lucca, Paola&lt;/author&gt;&lt;author&gt;Beyer, Peter&lt;/author&gt;&lt;author&gt;Potrykus, Ingo&lt;/author&gt;&lt;/authors&gt;&lt;/contributors&gt;&lt;titles&gt;&lt;title&gt;Engineering the provitamin A (β-carotene) biosynthetic pathway into (carotenoid-free) rice endosperm&lt;/title&gt;&lt;secondary-title&gt;Science&lt;/secondary-title&gt;&lt;/titles&gt;&lt;periodical&gt;&lt;full-title&gt;Science&lt;/full-title&gt;&lt;/periodical&gt;&lt;pages&gt;303-305&lt;/pages&gt;&lt;volume&gt;287&lt;/volume&gt;&lt;number&gt;5451&lt;/number&gt;&lt;dates&gt;&lt;year&gt;2000&lt;/year&gt;&lt;/dates&gt;&lt;isbn&gt;0036-8075&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50" w:tooltip="Ye, 2000 #22" w:history="1">
        <w:r w:rsidRPr="007923C2">
          <w:rPr>
            <w:rFonts w:ascii="Arial" w:hAnsi="Arial" w:cs="Arial"/>
            <w:noProof/>
            <w:sz w:val="22"/>
            <w:szCs w:val="22"/>
          </w:rPr>
          <w:t>Ye et al., 2000</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xml:space="preserve"> ideado para eliminar la carencia de vitamina A en la dieta de regiones pobres de África y Asia. También se han “construido” plantas transgénicas con mejores niveles de lisina y treonina en cereales, mayores niveles de metionina en leguminosas y de vitamina A y E en crucíferas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&lt;EndNote&gt;&lt;Cite&gt;&lt;Author&gt;Ahmad&lt;/Author&gt;&lt;Year&gt;2012&lt;/Year&gt;&lt;RecNum&gt;23&lt;/RecNum&gt;&lt;DisplayText&gt;(Ahmad et al., 2012)&lt;/DisplayText&gt;&lt;record&gt;&lt;rec-number&gt;23&lt;/rec-number&gt;&lt;foreign-keys&gt;&lt;key app="EN" db-id="0appdse09tweroewfaux95rra92fvrrppttx"&gt;23&lt;/key&gt;&lt;/foreign-keys&gt;&lt;ref-type name="Journal Article"&gt;17&lt;/ref-type&gt;&lt;contributors&gt;&lt;authors&gt;&lt;author&gt;Ahmad, Parvaiz&lt;/author&gt;&lt;author&gt;Ashraf, Muhammad&lt;/author&gt;&lt;author&gt;Younis, Muhammad&lt;/author&gt;&lt;author&gt;Hu, Xiangyang&lt;/author&gt;&lt;author&gt;Kumar, Ashwani&lt;/author&gt;&lt;author&gt;Akram, Nudrat Aisha&lt;/author&gt;&lt;author&gt;Al-Qurainy, F&lt;/author&gt;&lt;/authors&gt;&lt;/contributors&gt;&lt;titles&gt;&lt;title&gt;Role of transgenic plants in agriculture and biopharming&lt;/title&gt;&lt;secondary-title&gt;Biotechnology advances&lt;/secondary-title&gt;&lt;/titles&gt;&lt;periodical&gt;&lt;full-title&gt;Biotechnology advances&lt;/full-title&gt;&lt;/periodical&gt;&lt;pages&gt;524-540&lt;/pages&gt;&lt;volume&gt;30&lt;/volume&gt;&lt;number&gt;3&lt;/number&gt;&lt;dates&gt;&lt;year&gt;2012&lt;/year&gt;&lt;/dates&gt;&lt;isbn&gt;0734-9750&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1" w:tooltip="Ahmad, 2012 #23" w:history="1">
        <w:r w:rsidRPr="007923C2">
          <w:rPr>
            <w:rFonts w:ascii="Arial" w:hAnsi="Arial" w:cs="Arial"/>
            <w:noProof/>
            <w:sz w:val="22"/>
            <w:szCs w:val="22"/>
          </w:rPr>
          <w:t>Ahmad et al., 2012</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6CFC59D0"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Otros ejemplos de usos de las plantas transgénicas</w:t>
      </w:r>
    </w:p>
    <w:p w14:paraId="280E669E"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lastRenderedPageBreak/>
        <w:t>*</w:t>
      </w:r>
      <w:r w:rsidRPr="007923C2">
        <w:rPr>
          <w:rFonts w:ascii="Arial" w:hAnsi="Arial" w:cs="Arial"/>
          <w:b/>
          <w:sz w:val="22"/>
          <w:szCs w:val="22"/>
        </w:rPr>
        <w:t>Plantas que producen fármacos:</w:t>
      </w:r>
      <w:r w:rsidRPr="007923C2">
        <w:rPr>
          <w:rFonts w:ascii="Arial" w:hAnsi="Arial" w:cs="Arial"/>
          <w:sz w:val="22"/>
          <w:szCs w:val="22"/>
        </w:rPr>
        <w:t xml:space="preserve"> los anticuerpos y vacunas, los cuales en su mayoría son proteínas virales, pueden ser producidos en plantas transgénicas, actualmente se ensayan este tipo de esquemas contra virus tales como la hepatitis B, el VIH, el virus de la rabia entre otros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&lt;EndNote&gt;&lt;Cite&gt;&lt;Author&gt;Ahmad&lt;/Author&gt;&lt;Year&gt;2012&lt;/Year&gt;&lt;RecNum&gt;23&lt;/RecNum&gt;&lt;DisplayText&gt;(Ahmad et al., 2012)&lt;/DisplayText&gt;&lt;record&gt;&lt;rec-number&gt;23&lt;/rec-number&gt;&lt;foreign-keys&gt;&lt;key app="EN" db-id="0appdse09tweroewfaux95rra92fvrrppttx"&gt;23&lt;/key&gt;&lt;/foreign-keys&gt;&lt;ref-type name="Journal Article"&gt;17&lt;/ref-type&gt;&lt;contributors&gt;&lt;authors&gt;&lt;author&gt;Ahmad, Parvaiz&lt;/author&gt;&lt;author&gt;Ashraf, Muhammad&lt;/author&gt;&lt;author&gt;Younis, Muhammad&lt;/author&gt;&lt;author&gt;Hu, Xiangyang&lt;/author&gt;&lt;author&gt;Kumar, Ashwani&lt;/author&gt;&lt;author&gt;Akram, Nudrat Aisha&lt;/author&gt;&lt;author&gt;Al-Qurainy, F&lt;/author&gt;&lt;/authors&gt;&lt;/contributors&gt;&lt;titles&gt;&lt;title&gt;Role of transgenic plants in agriculture and biopharming&lt;/title&gt;&lt;secondary-title&gt;Biotechnology advances&lt;/secondary-title&gt;&lt;/titles&gt;&lt;periodical&gt;&lt;full-title&gt;Biotechnology advances&lt;/full-title&gt;&lt;/periodical&gt;&lt;pages&gt;524-540&lt;/pages&gt;&lt;volume&gt;30&lt;/volume&gt;&lt;number&gt;3&lt;/number&gt;&lt;dates&gt;&lt;year&gt;2012&lt;/year&gt;&lt;/dates&gt;&lt;isbn&gt;0734-9750&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1" w:tooltip="Ahmad, 2012 #23" w:history="1">
        <w:r w:rsidRPr="007923C2">
          <w:rPr>
            <w:rFonts w:ascii="Arial" w:hAnsi="Arial" w:cs="Arial"/>
            <w:noProof/>
            <w:sz w:val="22"/>
            <w:szCs w:val="22"/>
          </w:rPr>
          <w:t>Ahmad et al., 2012</w:t>
        </w:r>
      </w:hyperlink>
      <w:r w:rsidRPr="007923C2">
        <w:rPr>
          <w:rFonts w:ascii="Arial" w:hAnsi="Arial" w:cs="Arial"/>
          <w:noProof/>
          <w:sz w:val="22"/>
          <w:szCs w:val="22"/>
        </w:rPr>
        <w:t>)</w:t>
      </w:r>
      <w:r w:rsidR="00F93E5C" w:rsidRPr="007923C2">
        <w:rPr>
          <w:rFonts w:ascii="Arial" w:hAnsi="Arial" w:cs="Arial"/>
          <w:sz w:val="22"/>
          <w:szCs w:val="22"/>
        </w:rPr>
        <w:fldChar w:fldCharType="end"/>
      </w:r>
    </w:p>
    <w:p w14:paraId="4B837E29"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w:t>
      </w:r>
      <w:r w:rsidRPr="007923C2">
        <w:rPr>
          <w:rFonts w:ascii="Arial" w:hAnsi="Arial" w:cs="Arial"/>
          <w:b/>
          <w:sz w:val="22"/>
          <w:szCs w:val="22"/>
        </w:rPr>
        <w:t>Plantas con resistencia a herbicidas</w:t>
      </w:r>
      <w:r w:rsidRPr="007923C2">
        <w:rPr>
          <w:rFonts w:ascii="Arial" w:hAnsi="Arial" w:cs="Arial"/>
          <w:sz w:val="22"/>
          <w:szCs w:val="22"/>
        </w:rPr>
        <w:t xml:space="preserve">: el ejemplo más notorio son las plantas con el gen de la resistencia al glifosato, el cual esta integrado en plantas transgénicas comerciales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&lt;EndNote&gt;&lt;Cite&gt;&lt;Author&gt;Liu&lt;/Author&gt;&lt;Year&gt;1999&lt;/Year&gt;&lt;RecNum&gt;24&lt;/RecNum&gt;&lt;DisplayText&gt;(Liu, 1999)&lt;/DisplayText&gt;&lt;record&gt;&lt;rec-number&gt;24&lt;/rec-number&gt;&lt;foreign-keys&gt;&lt;key app="EN" db-id="0appdse09tweroewfaux95rra92fvrrppttx"&gt;24&lt;/key&gt;&lt;/foreign-keys&gt;&lt;ref-type name="Journal Article"&gt;17&lt;/ref-type&gt;&lt;contributors&gt;&lt;authors&gt;&lt;author&gt;Liu, Keshun&lt;/author&gt;&lt;/authors&gt;&lt;/contributors&gt;&lt;titles&gt;&lt;title&gt;Biotech crops: products, properties, and prospects&lt;/title&gt;&lt;secondary-title&gt;Food technology&lt;/secondary-title&gt;&lt;/titles&gt;&lt;periodical&gt;&lt;full-title&gt;Food technology&lt;/full-title&gt;&lt;/periodical&gt;&lt;pages&gt;42-49&lt;/pages&gt;&lt;volume&gt;53&lt;/volume&gt;&lt;number&gt;5&lt;/number&gt;&lt;dates&gt;&lt;year&gt;1999&lt;/year&gt;&lt;/dates&gt;&lt;isbn&gt;0015-6639&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19" w:tooltip="Liu, 1999 #24" w:history="1">
        <w:r w:rsidRPr="007923C2">
          <w:rPr>
            <w:rFonts w:ascii="Arial" w:hAnsi="Arial" w:cs="Arial"/>
            <w:noProof/>
            <w:sz w:val="22"/>
            <w:szCs w:val="22"/>
          </w:rPr>
          <w:t>Liu, 1999</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otro ejemplo es el uso de gen de resistencia a las imidazolinonas, que confieren resistencia al  imazaquin y al nicosulfuron.</w:t>
      </w:r>
    </w:p>
    <w:p w14:paraId="0E8BBEAB"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 xml:space="preserve">*Plantas transgénicas para estudios fisiológicos: </w:t>
      </w:r>
      <w:r w:rsidRPr="007923C2">
        <w:rPr>
          <w:rFonts w:ascii="Arial" w:hAnsi="Arial" w:cs="Arial"/>
          <w:sz w:val="22"/>
          <w:szCs w:val="22"/>
        </w:rPr>
        <w:t xml:space="preserve">la capacidad de bloquear e incrementar la expresión de los genes constituye una herramienta importante para el estudio de la fisiología en todos los organismos, en plantas por ejemplo el silenciamiento y sobreexpresión de enzimas asociadas al ciclo de Calvin Benson (tales como la RuBisCo, RuBisCo activasa, anhidrasa  carbonica entre otras)  ha permitido discernir el papel que juegan en la fisiología de la planta </w:t>
      </w:r>
      <w:r w:rsidR="00F93E5C" w:rsidRPr="007923C2">
        <w:rPr>
          <w:rFonts w:ascii="Arial" w:hAnsi="Arial" w:cs="Arial"/>
          <w:sz w:val="22"/>
          <w:szCs w:val="22"/>
        </w:rPr>
        <w:fldChar w:fldCharType="begin">
          <w:fldData xml:space="preserve">PEVuZE5vdGU+PENpdGU+PEF1dGhvcj5ZYW1vcmk8L0F1dGhvcj48WWVhcj4yMDE0PC9ZZWFyPjxS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</w:fldData>
        </w:fldChar>
      </w:r>
      <w:r w:rsidRPr="007923C2">
        <w:rPr>
          <w:rFonts w:ascii="Arial" w:hAnsi="Arial" w:cs="Arial"/>
          <w:sz w:val="22"/>
          <w:szCs w:val="22"/>
        </w:rPr>
        <w:instrText xml:space="preserve"> ADDIN EN.CITE </w:instrText>
      </w:r>
      <w:r w:rsidR="00F93E5C" w:rsidRPr="007923C2">
        <w:rPr>
          <w:rFonts w:ascii="Arial" w:hAnsi="Arial" w:cs="Arial"/>
          <w:sz w:val="22"/>
          <w:szCs w:val="22"/>
        </w:rPr>
        <w:fldChar w:fldCharType="begin">
          <w:fldData xml:space="preserve">PEVuZE5vdGU+PENpdGU+PEF1dGhvcj5ZYW1vcmk8L0F1dGhvcj48WWVhcj4yMDE0PC9ZZWFyPjxS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</w:fldData>
        </w:fldChar>
      </w:r>
      <w:r w:rsidRPr="007923C2">
        <w:rPr>
          <w:rFonts w:ascii="Arial" w:hAnsi="Arial" w:cs="Arial"/>
          <w:sz w:val="22"/>
          <w:szCs w:val="22"/>
        </w:rPr>
        <w:instrText xml:space="preserve"> ADDIN EN.CITE.DATA </w:instrText>
      </w:r>
      <w:r w:rsidR="00F93E5C" w:rsidRPr="007923C2">
        <w:rPr>
          <w:rFonts w:ascii="Arial" w:hAnsi="Arial" w:cs="Arial"/>
          <w:sz w:val="22"/>
          <w:szCs w:val="22"/>
        </w:rPr>
      </w:r>
      <w:r w:rsidR="00F93E5C" w:rsidRPr="007923C2">
        <w:rPr>
          <w:rFonts w:ascii="Arial" w:hAnsi="Arial" w:cs="Arial"/>
          <w:sz w:val="22"/>
          <w:szCs w:val="22"/>
        </w:rPr>
        <w:fldChar w:fldCharType="end"/>
      </w:r>
      <w:r w:rsidR="00F93E5C" w:rsidRPr="007923C2">
        <w:rPr>
          <w:rFonts w:ascii="Arial" w:hAnsi="Arial" w:cs="Arial"/>
          <w:sz w:val="22"/>
          <w:szCs w:val="22"/>
        </w:rPr>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12" w:tooltip="Furbank, 1996 #27" w:history="1">
        <w:r w:rsidRPr="007923C2">
          <w:rPr>
            <w:rFonts w:ascii="Arial" w:hAnsi="Arial" w:cs="Arial"/>
            <w:noProof/>
            <w:sz w:val="22"/>
            <w:szCs w:val="22"/>
          </w:rPr>
          <w:t>Furbank et al., 1996</w:t>
        </w:r>
      </w:hyperlink>
      <w:r w:rsidRPr="007923C2">
        <w:rPr>
          <w:rFonts w:ascii="Arial" w:hAnsi="Arial" w:cs="Arial"/>
          <w:noProof/>
          <w:sz w:val="22"/>
          <w:szCs w:val="22"/>
        </w:rPr>
        <w:t xml:space="preserve">; </w:t>
      </w:r>
      <w:hyperlink w:anchor="_ENREF_44" w:tooltip="Von Caemmerer, 2004 #26" w:history="1">
        <w:r w:rsidRPr="007923C2">
          <w:rPr>
            <w:rFonts w:ascii="Arial" w:hAnsi="Arial" w:cs="Arial"/>
            <w:noProof/>
            <w:sz w:val="22"/>
            <w:szCs w:val="22"/>
          </w:rPr>
          <w:t>Von Caemmerer et al., 2004</w:t>
        </w:r>
      </w:hyperlink>
      <w:r w:rsidRPr="007923C2">
        <w:rPr>
          <w:rFonts w:ascii="Arial" w:hAnsi="Arial" w:cs="Arial"/>
          <w:noProof/>
          <w:sz w:val="22"/>
          <w:szCs w:val="22"/>
        </w:rPr>
        <w:t xml:space="preserve">; </w:t>
      </w:r>
      <w:hyperlink w:anchor="_ENREF_49" w:tooltip="Yamori, 2014 #25" w:history="1">
        <w:r w:rsidRPr="007923C2">
          <w:rPr>
            <w:rFonts w:ascii="Arial" w:hAnsi="Arial" w:cs="Arial"/>
            <w:noProof/>
            <w:sz w:val="22"/>
            <w:szCs w:val="22"/>
          </w:rPr>
          <w:t>Yamori, Hikosaka, and Way, 2014</w:t>
        </w:r>
      </w:hyperlink>
      <w:r w:rsidRPr="007923C2">
        <w:rPr>
          <w:rFonts w:ascii="Arial" w:hAnsi="Arial" w:cs="Arial"/>
          <w:noProof/>
          <w:sz w:val="22"/>
          <w:szCs w:val="22"/>
        </w:rPr>
        <w:t>)</w:t>
      </w:r>
      <w:r w:rsidR="00F93E5C" w:rsidRPr="007923C2">
        <w:rPr>
          <w:rFonts w:ascii="Arial" w:hAnsi="Arial" w:cs="Arial"/>
          <w:sz w:val="22"/>
          <w:szCs w:val="22"/>
        </w:rPr>
        <w:fldChar w:fldCharType="end"/>
      </w:r>
    </w:p>
    <w:p w14:paraId="221E5C72"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 xml:space="preserve">4.2.4.4.- </w:t>
      </w:r>
      <w:r w:rsidR="002D42EB" w:rsidRPr="007923C2">
        <w:rPr>
          <w:rFonts w:ascii="Arial" w:hAnsi="Arial" w:cs="Arial"/>
          <w:b/>
          <w:sz w:val="22"/>
          <w:szCs w:val="22"/>
        </w:rPr>
        <w:t>BIOTECNOLOGÍA</w:t>
      </w:r>
    </w:p>
    <w:p w14:paraId="01CD4F58"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BIOTECNOLOGÍA</w:t>
      </w:r>
    </w:p>
    <w:p w14:paraId="3C6992D9"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Definición:</w:t>
      </w:r>
    </w:p>
    <w:p w14:paraId="39336B4C"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sz w:val="22"/>
          <w:szCs w:val="22"/>
        </w:rPr>
        <w:t xml:space="preserve">La biotecnología es la ciencia que integra el uso de la bioquímica, microbiología y ciencias de la ingeniería  con la finalidad de utilizar organismos vivos, sistemas o procesos biológicos, para producir sustancias o para llevar a cabo un fin comercial </w:t>
      </w:r>
      <w:r w:rsidR="00F93E5C" w:rsidRPr="007923C2">
        <w:rPr>
          <w:rFonts w:ascii="Arial" w:hAnsi="Arial" w:cs="Arial"/>
          <w:sz w:val="22"/>
          <w:szCs w:val="22"/>
        </w:rPr>
        <w:fldChar w:fldCharType="begin">
          <w:fldData xml:space="preserve">PEVuZE5vdGU+PENpdGU+PEF1dGhvcj5CZW5uZXR0PC9BdXRob3I+PFllYXI+MTk5ODwvWWVhcj48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</w:fldData>
        </w:fldChar>
      </w:r>
      <w:r w:rsidRPr="007923C2">
        <w:rPr>
          <w:rFonts w:ascii="Arial" w:hAnsi="Arial" w:cs="Arial"/>
          <w:sz w:val="22"/>
          <w:szCs w:val="22"/>
        </w:rPr>
        <w:instrText xml:space="preserve"> ADDIN EN.CITE </w:instrText>
      </w:r>
      <w:r w:rsidR="00F93E5C" w:rsidRPr="007923C2">
        <w:rPr>
          <w:rFonts w:ascii="Arial" w:hAnsi="Arial" w:cs="Arial"/>
          <w:sz w:val="22"/>
          <w:szCs w:val="22"/>
        </w:rPr>
        <w:fldChar w:fldCharType="begin">
          <w:fldData xml:space="preserve">PEVuZE5vdGU+PENpdGU+PEF1dGhvcj5CZW5uZXR0PC9BdXRob3I+PFllYXI+MTk5ODwvWWVhcj48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</w:fldData>
        </w:fldChar>
      </w:r>
      <w:r w:rsidRPr="007923C2">
        <w:rPr>
          <w:rFonts w:ascii="Arial" w:hAnsi="Arial" w:cs="Arial"/>
          <w:sz w:val="22"/>
          <w:szCs w:val="22"/>
        </w:rPr>
        <w:instrText xml:space="preserve"> ADDIN EN.CITE.DATA </w:instrText>
      </w:r>
      <w:r w:rsidR="00F93E5C" w:rsidRPr="007923C2">
        <w:rPr>
          <w:rFonts w:ascii="Arial" w:hAnsi="Arial" w:cs="Arial"/>
          <w:sz w:val="22"/>
          <w:szCs w:val="22"/>
        </w:rPr>
      </w:r>
      <w:r w:rsidR="00F93E5C" w:rsidRPr="007923C2">
        <w:rPr>
          <w:rFonts w:ascii="Arial" w:hAnsi="Arial" w:cs="Arial"/>
          <w:sz w:val="22"/>
          <w:szCs w:val="22"/>
        </w:rPr>
        <w:fldChar w:fldCharType="end"/>
      </w:r>
      <w:r w:rsidR="00F93E5C" w:rsidRPr="007923C2">
        <w:rPr>
          <w:rFonts w:ascii="Arial" w:hAnsi="Arial" w:cs="Arial"/>
          <w:sz w:val="22"/>
          <w:szCs w:val="22"/>
        </w:rPr>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4" w:tooltip="Bennett, 1998 #28" w:history="1">
        <w:r w:rsidRPr="007923C2">
          <w:rPr>
            <w:rFonts w:ascii="Arial" w:hAnsi="Arial" w:cs="Arial"/>
            <w:noProof/>
            <w:sz w:val="22"/>
            <w:szCs w:val="22"/>
          </w:rPr>
          <w:t>Bennett, 1998</w:t>
        </w:r>
      </w:hyperlink>
      <w:r w:rsidRPr="007923C2">
        <w:rPr>
          <w:rFonts w:ascii="Arial" w:hAnsi="Arial" w:cs="Arial"/>
          <w:noProof/>
          <w:sz w:val="22"/>
          <w:szCs w:val="22"/>
        </w:rPr>
        <w:t xml:space="preserve">; </w:t>
      </w:r>
      <w:hyperlink w:anchor="_ENREF_13" w:tooltip="Gavrilescu, 2005 #30" w:history="1">
        <w:r w:rsidRPr="007923C2">
          <w:rPr>
            <w:rFonts w:ascii="Arial" w:hAnsi="Arial" w:cs="Arial"/>
            <w:noProof/>
            <w:sz w:val="22"/>
            <w:szCs w:val="22"/>
          </w:rPr>
          <w:t>Gavrilescu and Chisti, 2005</w:t>
        </w:r>
      </w:hyperlink>
      <w:r w:rsidRPr="007923C2">
        <w:rPr>
          <w:rFonts w:ascii="Arial" w:hAnsi="Arial" w:cs="Arial"/>
          <w:noProof/>
          <w:sz w:val="22"/>
          <w:szCs w:val="22"/>
        </w:rPr>
        <w:t xml:space="preserve">; </w:t>
      </w:r>
      <w:hyperlink w:anchor="_ENREF_25" w:tooltip="Oliver, 2001 #29" w:history="1">
        <w:r w:rsidRPr="007923C2">
          <w:rPr>
            <w:rFonts w:ascii="Arial" w:hAnsi="Arial" w:cs="Arial"/>
            <w:noProof/>
            <w:sz w:val="22"/>
            <w:szCs w:val="22"/>
          </w:rPr>
          <w:t>Oliver, 2001</w:t>
        </w:r>
      </w:hyperlink>
      <w:r w:rsidRPr="007923C2">
        <w:rPr>
          <w:rFonts w:ascii="Arial" w:hAnsi="Arial" w:cs="Arial"/>
          <w:noProof/>
          <w:sz w:val="22"/>
          <w:szCs w:val="22"/>
        </w:rPr>
        <w:t>)</w:t>
      </w:r>
      <w:r w:rsidR="00F93E5C" w:rsidRPr="007923C2">
        <w:rPr>
          <w:rFonts w:ascii="Arial" w:hAnsi="Arial" w:cs="Arial"/>
          <w:sz w:val="22"/>
          <w:szCs w:val="22"/>
        </w:rPr>
        <w:fldChar w:fldCharType="end"/>
      </w:r>
      <w:r w:rsidR="009D5203" w:rsidRPr="007923C2">
        <w:rPr>
          <w:rFonts w:ascii="Arial" w:hAnsi="Arial" w:cs="Arial"/>
          <w:sz w:val="22"/>
          <w:szCs w:val="22"/>
        </w:rPr>
        <w:t>.</w:t>
      </w:r>
    </w:p>
    <w:p w14:paraId="04A812A3"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Tendencias actuales en la biotecnología</w:t>
      </w:r>
    </w:p>
    <w:p w14:paraId="3EDFAA64"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Biotecnología ambiental</w:t>
      </w:r>
    </w:p>
    <w:p w14:paraId="25989A7E"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El uso de procesos biotecnológicos para proteger el medio ambiente han sido usados desde hace casi un siglo, los principales temas que se tocan actualmente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&lt;EndNote&gt;&lt;Cite&gt;&lt;Author&gt;Alam&lt;/Author&gt;&lt;Year&gt;2013&lt;/Year&gt;&lt;RecNum&gt;31&lt;/RecNum&gt;&lt;DisplayText&gt;(Alam and Sharma, 2013)&lt;/DisplayText&gt;&lt;record&gt;&lt;rec-number&gt;31&lt;/rec-number&gt;&lt;foreign-keys&gt;&lt;key app="EN" db-id="0appdse09tweroewfaux95rra92fvrrppttx"&gt;31&lt;/key&gt;&lt;/foreign-keys&gt;&lt;ref-type name="Journal Article"&gt;17&lt;/ref-type&gt;&lt;contributors&gt;&lt;authors&gt;&lt;author&gt;Alam, Afroz&lt;/author&gt;&lt;author&gt;Sharma, Vinay&lt;/author&gt;&lt;/authors&gt;&lt;/contributors&gt;&lt;titles&gt;&lt;title&gt;Environmental Biotechnology-A Review&lt;/title&gt;&lt;secondary-title&gt;Researcher&lt;/secondary-title&gt;&lt;/titles&gt;&lt;periodical&gt;&lt;full-title&gt;Researcher&lt;/full-title&gt;&lt;/periodical&gt;&lt;pages&gt;71-93&lt;/pages&gt;&lt;volume&gt;5&lt;/volume&gt;&lt;number&gt;4&lt;/number&gt;&lt;dates&gt;&lt;year&gt;2013&lt;/year&gt;&lt;/dates&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2" w:tooltip="Alam, 2013 #31" w:history="1">
        <w:r w:rsidRPr="007923C2">
          <w:rPr>
            <w:rFonts w:ascii="Arial" w:hAnsi="Arial" w:cs="Arial"/>
            <w:noProof/>
            <w:sz w:val="22"/>
            <w:szCs w:val="22"/>
          </w:rPr>
          <w:t>Alam and Sharma, 2013</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xml:space="preserve"> en este ámbito son:</w:t>
      </w:r>
    </w:p>
    <w:p w14:paraId="6A6B9748"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*Mejora en el tratamiento de los sólidos en las aguas residuales:</w:t>
      </w:r>
      <w:r w:rsidRPr="007923C2">
        <w:rPr>
          <w:rFonts w:ascii="Arial" w:hAnsi="Arial" w:cs="Arial"/>
          <w:sz w:val="22"/>
          <w:szCs w:val="22"/>
        </w:rPr>
        <w:t xml:space="preserve"> las investigaciones en esta área tienen como objetivo identificar microorganismos que sean capaces de degradar varios contaminantes y bajo condiciones adversas.</w:t>
      </w:r>
    </w:p>
    <w:p w14:paraId="3C97983F"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*Biorremediación:</w:t>
      </w:r>
      <w:r w:rsidRPr="007923C2">
        <w:rPr>
          <w:rFonts w:ascii="Arial" w:hAnsi="Arial" w:cs="Arial"/>
          <w:sz w:val="22"/>
          <w:szCs w:val="22"/>
        </w:rPr>
        <w:t xml:space="preserve"> limpieza de suelo, agua y aire contaminado y fitoremediación</w:t>
      </w:r>
    </w:p>
    <w:p w14:paraId="1EB882BA"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lastRenderedPageBreak/>
        <w:t xml:space="preserve">*Biomonitoreo: </w:t>
      </w:r>
      <w:r w:rsidRPr="007923C2">
        <w:rPr>
          <w:rFonts w:ascii="Arial" w:hAnsi="Arial" w:cs="Arial"/>
          <w:sz w:val="22"/>
          <w:szCs w:val="22"/>
        </w:rPr>
        <w:t>para aseguramiento de la salud del ambiente.</w:t>
      </w:r>
    </w:p>
    <w:p w14:paraId="277BEB3E"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*Biomasa:</w:t>
      </w:r>
      <w:r w:rsidRPr="007923C2">
        <w:rPr>
          <w:rFonts w:ascii="Arial" w:hAnsi="Arial" w:cs="Arial"/>
          <w:sz w:val="22"/>
          <w:szCs w:val="22"/>
        </w:rPr>
        <w:t xml:space="preserve"> para producción de energía </w:t>
      </w:r>
    </w:p>
    <w:p w14:paraId="57FC82E9"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*Producción verde:</w:t>
      </w:r>
      <w:r w:rsidRPr="007923C2">
        <w:rPr>
          <w:rFonts w:ascii="Arial" w:hAnsi="Arial" w:cs="Arial"/>
          <w:sz w:val="22"/>
          <w:szCs w:val="22"/>
        </w:rPr>
        <w:t xml:space="preserve"> manufactura con cada vez menos contaminación y menos materiales de desecho</w:t>
      </w:r>
    </w:p>
    <w:p w14:paraId="0D37193D"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*Construcción y evaluación de OGM´s</w:t>
      </w:r>
      <w:r w:rsidRPr="007923C2">
        <w:rPr>
          <w:rFonts w:ascii="Arial" w:hAnsi="Arial" w:cs="Arial"/>
          <w:sz w:val="22"/>
          <w:szCs w:val="22"/>
        </w:rPr>
        <w:t>: que protejan el medio ambiente y controlen la contaminación.</w:t>
      </w:r>
    </w:p>
    <w:p w14:paraId="15CFDE8D"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Biotecnología en el biocontrol de plagas y enfermedades agrícolas</w:t>
      </w:r>
    </w:p>
    <w:p w14:paraId="62999333"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Aquí la biotecnología juega un papel muy importante sobre todo para lograr la producción masiva de agentes microbianos capaces de controlar a los agentes patógenos, los agentes biocontroladores más comunes suelen ser hongos y bacterias sin embargo también pueden ser  virus, nematodos e inclusive de insectos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&lt;EndNote&gt;&lt;Cite&gt;&lt;Author&gt;Ibarra&lt;/Author&gt;&lt;Year&gt;2006&lt;/Year&gt;&lt;RecNum&gt;33&lt;/RecNum&gt;&lt;DisplayText&gt;(Ibarra et al., 2006)&lt;/DisplayText&gt;&lt;record&gt;&lt;rec-number&gt;33&lt;/rec-number&gt;&lt;foreign-keys&gt;&lt;key app="EN" db-id="0appdse09tweroewfaux95rra92fvrrppttx"&gt;33&lt;/key&gt;&lt;/foreign-keys&gt;&lt;ref-type name="Journal Article"&gt;17&lt;/ref-type&gt;&lt;contributors&gt;&lt;authors&gt;&lt;author&gt;Ibarra, Jorge E&lt;/author&gt;&lt;author&gt;Del Rincón, MC&lt;/author&gt;&lt;author&gt;Galindo, Enrique&lt;/author&gt;&lt;author&gt;Patiño, Martín&lt;/author&gt;&lt;author&gt;Serrano, Leobardo&lt;/author&gt;&lt;author&gt;García, Raymundo&lt;/author&gt;&lt;author&gt;Carrillo, José A&lt;/author&gt;&lt;author&gt;Pereyra, AB&lt;/author&gt;&lt;author&gt;Alcázar, PA&lt;/author&gt;&lt;author&gt;Luna, OH&lt;/author&gt;&lt;/authors&gt;&lt;/contributors&gt;&lt;titles&gt;&lt;title&gt;Los microorganismos en el control biológico de insectos y fitopatógenos&lt;/title&gt;&lt;secondary-title&gt;Revista Latinoamericana de Microbiología&lt;/secondary-title&gt;&lt;/titles&gt;&lt;periodical&gt;&lt;full-title&gt;Revista Latinoamericana de Microbiología&lt;/full-title&gt;&lt;/periodical&gt;&lt;pages&gt;113-120&lt;/pages&gt;&lt;volume&gt;48&lt;/volume&gt;&lt;number&gt;2&lt;/number&gt;&lt;dates&gt;&lt;year&gt;2006&lt;/year&gt;&lt;/dates&gt;&lt;urls&gt;&lt;/urls&gt;&lt;/record&gt;&lt;/Cite&gt;&lt;/EndNote&gt;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16" w:tooltip="Ibarra, 2006 #33" w:history="1">
        <w:r w:rsidRPr="007923C2">
          <w:rPr>
            <w:rFonts w:ascii="Arial" w:hAnsi="Arial" w:cs="Arial"/>
            <w:noProof/>
            <w:sz w:val="22"/>
            <w:szCs w:val="22"/>
          </w:rPr>
          <w:t>Ibarra et al., 2006</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xml:space="preserve">. El agente de biocontrol más estudiado y utilizado es </w:t>
      </w:r>
      <w:r w:rsidRPr="007923C2">
        <w:rPr>
          <w:rFonts w:ascii="Arial" w:hAnsi="Arial" w:cs="Arial"/>
          <w:i/>
          <w:sz w:val="22"/>
          <w:szCs w:val="22"/>
        </w:rPr>
        <w:t>Bacillus thuringiensis</w:t>
      </w:r>
      <w:r w:rsidRPr="007923C2">
        <w:rPr>
          <w:rFonts w:ascii="Arial" w:hAnsi="Arial" w:cs="Arial"/>
          <w:sz w:val="22"/>
          <w:szCs w:val="22"/>
        </w:rPr>
        <w:t xml:space="preserve">, conocido comúnmente como Bt. Este bacilo al esporular produce unas proteínas, llamadas Cry, que cristalizan y son tóxicas para los insectos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&lt;EndNote&gt;&lt;Cite&gt;&lt;Author&gt;Sauka&lt;/Author&gt;&lt;Year&gt;2008&lt;/Year&gt;&lt;RecNum&gt;32&lt;/RecNum&gt;&lt;DisplayText&gt;(Sauka and Benintende, 2008)&lt;/DisplayText&gt;&lt;record&gt;&lt;rec-number&gt;32&lt;/rec-number&gt;&lt;foreign-keys&gt;&lt;key app="EN" db-id="0appdse09tweroewfaux95rra92fvrrppttx"&gt;32&lt;/key&gt;&lt;/foreign-keys&gt;&lt;ref-type name="Journal Article"&gt;17&lt;/ref-type&gt;&lt;contributors&gt;&lt;authors&gt;&lt;author&gt;Sauka, Diego H.&lt;/author&gt;&lt;author&gt;Benintende, Graciela B.&lt;/author&gt;&lt;/authors&gt;&lt;/contributors&gt;&lt;titles&gt;&lt;title&gt;Bacillus thuringiensis: generalidades: Un acercamiento a su empleo en el biocontrol de insectos lepidópteros que son plagas agrícolas&lt;/title&gt;&lt;secondary-title&gt;Revista argentina de microbiología&lt;/secondary-title&gt;&lt;/titles&gt;&lt;periodical&gt;&lt;full-title&gt;Revista argentina de microbiología&lt;/full-title&gt;&lt;/periodical&gt;&lt;pages&gt;124-140&lt;/pages&gt;&lt;volume&gt;40&lt;/volume&gt;&lt;dates&gt;&lt;year&gt;2008&lt;/year&gt;&lt;/dates&gt;&lt;isbn&gt;0325-7541&lt;/isbn&gt;&lt;urls&gt;&lt;related-urls&gt;&lt;url&gt;http://www.scielo.org.ar/scielo.php?script=sci_arttext&amp;amp;pid=S0325-75412008000200013&amp;amp;nrm=iso&lt;/url&gt;&lt;/related-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33" w:tooltip="Sauka, 2008 #32" w:history="1">
        <w:r w:rsidRPr="007923C2">
          <w:rPr>
            <w:rFonts w:ascii="Arial" w:hAnsi="Arial" w:cs="Arial"/>
            <w:noProof/>
            <w:sz w:val="22"/>
            <w:szCs w:val="22"/>
          </w:rPr>
          <w:t>Sauka and Benintende, 2008</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38B0EC69"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Bioestimulantes agrícolas</w:t>
      </w:r>
    </w:p>
    <w:p w14:paraId="766A4CA9"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Una de las mayores contribuciones de la biotecnología clásica en la agricultura, ha sido la búsqueda y producción de bioestimulantes para plantas, los cuales son diversas sustancias o microorganismos que incrementan el desarrollo de las plantas.</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&lt;EndNote&gt;&lt;Cite&gt;&lt;Author&gt;Calvo&lt;/Author&gt;&lt;Year&gt;2014&lt;/Year&gt;&lt;RecNum&gt;34&lt;/RecNum&gt;&lt;DisplayText&gt;(Calvo, Nelson, and Kloepper, 2014)&lt;/DisplayText&gt;&lt;record&gt;&lt;rec-number&gt;34&lt;/rec-number&gt;&lt;foreign-keys&gt;&lt;key app="EN" db-id="0appdse09tweroewfaux95rra92fvrrppttx"&gt;34&lt;/key&gt;&lt;/foreign-keys&gt;&lt;ref-type name="Journal Article"&gt;17&lt;/ref-type&gt;&lt;contributors&gt;&lt;authors&gt;&lt;author&gt;Calvo, Pamela&lt;/author&gt;&lt;author&gt;Nelson, Louise&lt;/author&gt;&lt;author&gt;Kloepper, Joseph W&lt;/author&gt;&lt;/authors&gt;&lt;/contributors&gt;&lt;titles&gt;&lt;title&gt;Agricultural uses of plant biostimulants&lt;/title&gt;&lt;secondary-title&gt;Plant and Soil&lt;/secondary-title&gt;&lt;/titles&gt;&lt;periodical&gt;&lt;full-title&gt;Plant and Soil&lt;/full-title&gt;&lt;/periodical&gt;&lt;pages&gt;3-41&lt;/pages&gt;&lt;volume&gt;383&lt;/volume&gt;&lt;number&gt;1-2&lt;/number&gt;&lt;dates&gt;&lt;year&gt;2014&lt;/year&gt;&lt;/dates&gt;&lt;isbn&gt;0032-079X&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5" w:tooltip="Calvo, 2014 #34" w:history="1">
        <w:r w:rsidRPr="007923C2">
          <w:rPr>
            <w:rFonts w:ascii="Arial" w:hAnsi="Arial" w:cs="Arial"/>
            <w:noProof/>
            <w:sz w:val="22"/>
            <w:szCs w:val="22"/>
          </w:rPr>
          <w:t>Calvo, Nelson, and Kloepper, 2014</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cuando los bioestimulantes son aplicados a la rizosfera presentan una serie de procesos naturales que incrementan el aprovechamiento de los nutrientes del suelo, la eficiencia de los nutrientes en la planta, tolerancia a estrés abiótico y mayor calidad en el cultivo, los bioestimulantes no tienen efecto directo sobre plagas por lo tanto no se consideran pesticidas (European Biostimulants Industry Council, 2012), entre los bioestimulantes que más se ha investigado y producido para su uso se encuentran:</w:t>
      </w:r>
    </w:p>
    <w:p w14:paraId="670BEB66" w14:textId="77777777" w:rsidR="00CD168C" w:rsidRPr="007923C2" w:rsidRDefault="00CD168C" w:rsidP="00CD168C">
      <w:pPr>
        <w:spacing w:line="360" w:lineRule="auto"/>
        <w:jc w:val="both"/>
        <w:rPr>
          <w:rFonts w:ascii="Arial" w:hAnsi="Arial" w:cs="Arial"/>
          <w:i/>
          <w:sz w:val="22"/>
          <w:szCs w:val="22"/>
        </w:rPr>
      </w:pPr>
      <w:r w:rsidRPr="007923C2">
        <w:rPr>
          <w:rFonts w:ascii="Arial" w:hAnsi="Arial" w:cs="Arial"/>
          <w:b/>
          <w:sz w:val="22"/>
          <w:szCs w:val="22"/>
        </w:rPr>
        <w:t>*Microbios bioestimulantes:</w:t>
      </w:r>
      <w:r w:rsidRPr="007923C2">
        <w:rPr>
          <w:rFonts w:ascii="Arial" w:hAnsi="Arial" w:cs="Arial"/>
          <w:sz w:val="22"/>
          <w:szCs w:val="22"/>
        </w:rPr>
        <w:t xml:space="preserve"> son considerados bioferlizantes, estos productos contienen microorganismos vivos, pueden ser aplicados a semillas, suelo o superficie de la planta, promueven el crecimiento por medio de varios mecanismos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&lt;EndNote&gt;&lt;Cite&gt;&lt;Author&gt;Vessey&lt;/Author&gt;&lt;Year&gt;2003&lt;/Year&gt;&lt;RecNum&gt;35&lt;/RecNum&gt;&lt;DisplayText&gt;(Vessey, 2003)&lt;/DisplayText&gt;&lt;record&gt;&lt;rec-number&gt;35&lt;/rec-number&gt;&lt;foreign-keys&gt;&lt;key app="EN" db-id="0appdse09tweroewfaux95rra92fvrrppttx"&gt;35&lt;/key&gt;&lt;/foreign-keys&gt;&lt;ref-type name="Journal Article"&gt;17&lt;/ref-type&gt;&lt;contributors&gt;&lt;authors&gt;&lt;author&gt;Vessey, J Kevin&lt;/author&gt;&lt;/authors&gt;&lt;/contributors&gt;&lt;titles&gt;&lt;title&gt;Plant growth promoting rhizobacteria as biofertilizers&lt;/title&gt;&lt;secondary-title&gt;Plant and Soil&lt;/secondary-title&gt;&lt;/titles&gt;&lt;periodical&gt;&lt;full-title&gt;Plant and Soil&lt;/full-title&gt;&lt;/periodical&gt;&lt;pages&gt;571-586&lt;/pages&gt;&lt;volume&gt;255&lt;/volume&gt;&lt;number&gt;2&lt;/number&gt;&lt;dates&gt;&lt;year&gt;2003&lt;/year&gt;&lt;/dates&gt;&lt;isbn&gt;0032-079X&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43" w:tooltip="Vessey, 2003 #35" w:history="1">
        <w:r w:rsidRPr="007923C2">
          <w:rPr>
            <w:rFonts w:ascii="Arial" w:hAnsi="Arial" w:cs="Arial"/>
            <w:noProof/>
            <w:sz w:val="22"/>
            <w:szCs w:val="22"/>
          </w:rPr>
          <w:t>Vessey, 2003</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Dentro de esta categoría están bacterias de vida libre (</w:t>
      </w:r>
      <w:r w:rsidRPr="007923C2">
        <w:rPr>
          <w:rFonts w:ascii="Arial" w:hAnsi="Arial" w:cs="Arial"/>
          <w:i/>
          <w:sz w:val="22"/>
          <w:szCs w:val="22"/>
        </w:rPr>
        <w:t>Azospirillum</w:t>
      </w:r>
    </w:p>
    <w:p w14:paraId="4F529992"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i/>
          <w:sz w:val="22"/>
          <w:szCs w:val="22"/>
        </w:rPr>
        <w:t>Diazotrophicus, Pseudomonas spp., Bacillus spp</w:t>
      </w:r>
      <w:r w:rsidRPr="007923C2">
        <w:rPr>
          <w:rFonts w:ascii="Arial" w:hAnsi="Arial" w:cs="Arial"/>
          <w:sz w:val="22"/>
          <w:szCs w:val="22"/>
        </w:rPr>
        <w:t xml:space="preserve">) </w:t>
      </w:r>
      <w:r w:rsidR="00F93E5C" w:rsidRPr="007923C2">
        <w:rPr>
          <w:rFonts w:ascii="Arial" w:hAnsi="Arial" w:cs="Arial"/>
          <w:sz w:val="22"/>
          <w:szCs w:val="22"/>
        </w:rPr>
        <w:fldChar w:fldCharType="begin">
          <w:fldData xml:space="preserve">PEVuZE5vdGU+PENpdGU+PEF1dGhvcj5aYWlkaTwvQXV0aG9yPjxZZWFyPjIwMDY8L1llYXI+PFJl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</w:fldData>
        </w:fldChar>
      </w:r>
      <w:r w:rsidRPr="007923C2">
        <w:rPr>
          <w:rFonts w:ascii="Arial" w:hAnsi="Arial" w:cs="Arial"/>
          <w:sz w:val="22"/>
          <w:szCs w:val="22"/>
        </w:rPr>
        <w:instrText xml:space="preserve"> ADDIN EN.CITE </w:instrText>
      </w:r>
      <w:r w:rsidR="00F93E5C" w:rsidRPr="007923C2">
        <w:rPr>
          <w:rFonts w:ascii="Arial" w:hAnsi="Arial" w:cs="Arial"/>
          <w:sz w:val="22"/>
          <w:szCs w:val="22"/>
        </w:rPr>
        <w:fldChar w:fldCharType="begin">
          <w:fldData xml:space="preserve">PEVuZE5vdGU+PENpdGU+PEF1dGhvcj5aYWlkaTwvQXV0aG9yPjxZZWFyPjIwMDY8L1llYXI+PFJl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</w:fldData>
        </w:fldChar>
      </w:r>
      <w:r w:rsidRPr="007923C2">
        <w:rPr>
          <w:rFonts w:ascii="Arial" w:hAnsi="Arial" w:cs="Arial"/>
          <w:sz w:val="22"/>
          <w:szCs w:val="22"/>
        </w:rPr>
        <w:instrText xml:space="preserve"> ADDIN EN.CITE.DATA </w:instrText>
      </w:r>
      <w:r w:rsidR="00F93E5C" w:rsidRPr="007923C2">
        <w:rPr>
          <w:rFonts w:ascii="Arial" w:hAnsi="Arial" w:cs="Arial"/>
          <w:sz w:val="22"/>
          <w:szCs w:val="22"/>
        </w:rPr>
      </w:r>
      <w:r w:rsidR="00F93E5C" w:rsidRPr="007923C2">
        <w:rPr>
          <w:rFonts w:ascii="Arial" w:hAnsi="Arial" w:cs="Arial"/>
          <w:sz w:val="22"/>
          <w:szCs w:val="22"/>
        </w:rPr>
        <w:fldChar w:fldCharType="end"/>
      </w:r>
      <w:r w:rsidR="00F93E5C" w:rsidRPr="007923C2">
        <w:rPr>
          <w:rFonts w:ascii="Arial" w:hAnsi="Arial" w:cs="Arial"/>
          <w:sz w:val="22"/>
          <w:szCs w:val="22"/>
        </w:rPr>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21" w:tooltip="Malboobi, 2009 #37" w:history="1">
        <w:r w:rsidRPr="007923C2">
          <w:rPr>
            <w:rFonts w:ascii="Arial" w:hAnsi="Arial" w:cs="Arial"/>
            <w:noProof/>
            <w:sz w:val="22"/>
            <w:szCs w:val="22"/>
          </w:rPr>
          <w:t>Malboobi et al., 2009</w:t>
        </w:r>
      </w:hyperlink>
      <w:r w:rsidRPr="007923C2">
        <w:rPr>
          <w:rFonts w:ascii="Arial" w:hAnsi="Arial" w:cs="Arial"/>
          <w:noProof/>
          <w:sz w:val="22"/>
          <w:szCs w:val="22"/>
        </w:rPr>
        <w:t xml:space="preserve">; </w:t>
      </w:r>
      <w:hyperlink w:anchor="_ENREF_32" w:tooltip="Saubidet, 2002 #38" w:history="1">
        <w:r w:rsidRPr="007923C2">
          <w:rPr>
            <w:rFonts w:ascii="Arial" w:hAnsi="Arial" w:cs="Arial"/>
            <w:noProof/>
            <w:sz w:val="22"/>
            <w:szCs w:val="22"/>
          </w:rPr>
          <w:t>Saubidet, Fatta, and Barneix, 2002</w:t>
        </w:r>
      </w:hyperlink>
      <w:r w:rsidRPr="007923C2">
        <w:rPr>
          <w:rFonts w:ascii="Arial" w:hAnsi="Arial" w:cs="Arial"/>
          <w:noProof/>
          <w:sz w:val="22"/>
          <w:szCs w:val="22"/>
        </w:rPr>
        <w:t xml:space="preserve">; </w:t>
      </w:r>
      <w:hyperlink w:anchor="_ENREF_52" w:tooltip="Zaidi, 2006 #36" w:history="1">
        <w:r w:rsidRPr="007923C2">
          <w:rPr>
            <w:rFonts w:ascii="Arial" w:hAnsi="Arial" w:cs="Arial"/>
            <w:noProof/>
            <w:sz w:val="22"/>
            <w:szCs w:val="22"/>
          </w:rPr>
          <w:t>Zaidi et al., 2006</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xml:space="preserve">   hongos y hongos micorricicos  </w:t>
      </w:r>
      <w:r w:rsidRPr="007923C2">
        <w:rPr>
          <w:rFonts w:ascii="Arial" w:hAnsi="Arial" w:cs="Arial"/>
          <w:i/>
          <w:sz w:val="22"/>
          <w:szCs w:val="22"/>
        </w:rPr>
        <w:t>Fusarium spp., Alternaria spp.</w:t>
      </w:r>
      <w:r w:rsidRPr="007923C2">
        <w:rPr>
          <w:rFonts w:ascii="Arial" w:hAnsi="Arial" w:cs="Arial"/>
          <w:sz w:val="22"/>
          <w:szCs w:val="22"/>
        </w:rPr>
        <w:t xml:space="preserve">, and </w:t>
      </w:r>
      <w:r w:rsidRPr="007923C2">
        <w:rPr>
          <w:rFonts w:ascii="Arial" w:hAnsi="Arial" w:cs="Arial"/>
          <w:i/>
          <w:sz w:val="22"/>
          <w:szCs w:val="22"/>
        </w:rPr>
        <w:t>Trichoderma spp</w:t>
      </w:r>
      <w:r w:rsidRPr="007923C2">
        <w:rPr>
          <w:rFonts w:ascii="Arial" w:hAnsi="Arial" w:cs="Arial"/>
          <w:sz w:val="22"/>
          <w:szCs w:val="22"/>
        </w:rPr>
        <w:t xml:space="preserve">.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&lt;EndNote&gt;&lt;Cite&gt;&lt;Author&gt;Singh&lt;/Author&gt;&lt;Year&gt;2011&lt;/Year&gt;&lt;RecNum&gt;39&lt;/RecNum&gt;&lt;DisplayText&gt;(Dodd and Ruiz-Lozano, 2012; Singh, Gill, and Tuteja, 2011)&lt;/DisplayText&gt;&lt;record&gt;&lt;rec-number&gt;39&lt;/rec-number&gt;&lt;foreign-keys&gt;&lt;key app="EN" db-id="0appdse09tweroewfaux95rra92fvrrppttx"&gt;39&lt;/key&gt;&lt;/foreign-keys&gt;&lt;ref-type name="Journal Article"&gt;17&lt;/ref-type&gt;&lt;contributors&gt;&lt;authors&gt;&lt;author&gt;Singh, Lamabam Peter&lt;/author&gt;&lt;author&gt;Gill, Sarvajeet Singh&lt;/author&gt;&lt;author&gt;Tuteja, Narendra&lt;/author&gt;&lt;/authors&gt;&lt;/contributors&gt;&lt;titles&gt;&lt;title&gt;Unraveling the role of fungal symbionts in plant abiotic stress tolerance&lt;/title&gt;&lt;secondary-title&gt;Plant signaling &amp;amp; behavior&lt;/secondary-title&gt;&lt;/titles&gt;&lt;periodical&gt;&lt;full-title&gt;Plant signaling &amp;amp; behavior&lt;/full-title&gt;&lt;/periodical&gt;&lt;pages&gt;175-191&lt;/pages&gt;&lt;volume&gt;6&lt;/volume&gt;&lt;number&gt;2&lt;/number&gt;&lt;dates&gt;&lt;year&gt;2011&lt;/year&gt;&lt;/dates&gt;&lt;isbn&gt;1559-2324&lt;/isbn&gt;&lt;urls&gt;&lt;/urls&gt;&lt;/record&gt;&lt;/Cite&gt;&lt;Cite&gt;&lt;Author&gt;Dodd&lt;/Author&gt;&lt;Year&gt;2012&lt;/Year&gt;&lt;RecNum&gt;40&lt;/RecNum&gt;&lt;record&gt;&lt;rec-number&gt;40&lt;/rec-number&gt;&lt;foreign-keys&gt;&lt;key app="EN" db-id="0appdse09tweroewfaux95rra92fvrrppttx"&gt;40&lt;/key&gt;&lt;/foreign-keys&gt;&lt;ref-type name="Journal Article"&gt;17&lt;/ref-type&gt;&lt;contributors&gt;&lt;authors&gt;&lt;author&gt;Dodd, Ian C&lt;/author&gt;&lt;author&gt;Ruiz-Lozano, Juan Manuel&lt;/author&gt;&lt;/authors&gt;&lt;/contributors&gt;&lt;titles&gt;&lt;title&gt;Microbial enhancement of crop resource use efficiency&lt;/title&gt;&lt;secondary-title&gt;Current opinion in biotechnology&lt;/secondary-title&gt;&lt;/titles&gt;&lt;periodical&gt;&lt;full-title&gt;Current opinion in biotechnology&lt;/full-title&gt;&lt;/periodical&gt;&lt;pages&gt;236-242&lt;/pages&gt;&lt;volume&gt;23&lt;/volume&gt;&lt;number&gt;2&lt;/number&gt;&lt;dates&gt;&lt;year&gt;2012&lt;/year&gt;&lt;/dates&gt;&lt;isbn&gt;0958-1669&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9" w:tooltip="Dodd, 2012 #40" w:history="1">
        <w:r w:rsidRPr="007923C2">
          <w:rPr>
            <w:rFonts w:ascii="Arial" w:hAnsi="Arial" w:cs="Arial"/>
            <w:noProof/>
            <w:sz w:val="22"/>
            <w:szCs w:val="22"/>
          </w:rPr>
          <w:t>Dodd and Ruiz-Lozano, 2012</w:t>
        </w:r>
      </w:hyperlink>
      <w:r w:rsidRPr="007923C2">
        <w:rPr>
          <w:rFonts w:ascii="Arial" w:hAnsi="Arial" w:cs="Arial"/>
          <w:noProof/>
          <w:sz w:val="22"/>
          <w:szCs w:val="22"/>
        </w:rPr>
        <w:t xml:space="preserve">; </w:t>
      </w:r>
      <w:hyperlink w:anchor="_ENREF_36" w:tooltip="Singh, 2011 #39" w:history="1">
        <w:r w:rsidRPr="007923C2">
          <w:rPr>
            <w:rFonts w:ascii="Arial" w:hAnsi="Arial" w:cs="Arial"/>
            <w:noProof/>
            <w:sz w:val="22"/>
            <w:szCs w:val="22"/>
          </w:rPr>
          <w:t>Singh, Gill, and Tuteja, 2011</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2EDA56FF"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*Ácidos húmicos:</w:t>
      </w:r>
      <w:r w:rsidRPr="007923C2">
        <w:rPr>
          <w:rFonts w:ascii="Arial" w:hAnsi="Arial" w:cs="Arial"/>
          <w:sz w:val="22"/>
          <w:szCs w:val="22"/>
        </w:rPr>
        <w:t xml:space="preserve"> son el producto final de la descomposición microbiana o degradación química de materia orgánica muerta en los suelos, son consideradas las moléculas orgánicas naturales más abundantes de la tierra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&lt;EndNote&gt;&lt;Cite&gt;&lt;Author&gt;Simpson&lt;/Author&gt;&lt;Year&gt;2002&lt;/Year&gt;&lt;RecNum&gt;41&lt;/RecNum&gt;&lt;DisplayText&gt;(Simpson et al., 2002)&lt;/DisplayText&gt;&lt;record&gt;&lt;rec-number&gt;41&lt;/rec-number&gt;&lt;foreign-keys&gt;&lt;key app="EN" db-id="0appdse09tweroewfaux95rra92fvrrppttx"&gt;41&lt;/key&gt;&lt;/foreign-keys&gt;&lt;ref-type name="Journal Article"&gt;17&lt;/ref-type&gt;&lt;contributors&gt;&lt;authors&gt;&lt;author&gt;Simpson, André J&lt;/author&gt;&lt;author&gt;Kingery, William L&lt;/author&gt;&lt;author&gt;Hayes, Michael H&lt;/author&gt;&lt;author&gt;Spraul, Manfred&lt;/author&gt;&lt;author&gt;Humpfer, Eberhard&lt;/author&gt;&lt;author&gt;Dvortsak, Peter&lt;/author&gt;&lt;author&gt;Kerssebaum, Rainer&lt;/author&gt;&lt;author&gt;Godejohann, Markus&lt;/author&gt;&lt;author&gt;Hofmann, Martin&lt;/author&gt;&lt;/authors&gt;&lt;/contributors&gt;&lt;titles&gt;&lt;title&gt;Molecular structures and associations of humic substances in the terrestrial environment&lt;/title&gt;&lt;secondary-title&gt;Naturwissenschaften&lt;/secondary-title&gt;&lt;/titles&gt;&lt;periodical&gt;&lt;full-title&gt;Naturwissenschaften&lt;/full-title&gt;&lt;/periodical&gt;&lt;pages&gt;84-88&lt;/pages&gt;&lt;volume&gt;89&lt;/volume&gt;&lt;number&gt;2&lt;/number&gt;&lt;dates&gt;&lt;year&gt;2002&lt;/year&gt;&lt;/dates&gt;&lt;isbn&gt;0028-1042&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35" w:tooltip="Simpson, 2002 #41" w:history="1">
        <w:r w:rsidRPr="007923C2">
          <w:rPr>
            <w:rFonts w:ascii="Arial" w:hAnsi="Arial" w:cs="Arial"/>
            <w:noProof/>
            <w:sz w:val="22"/>
            <w:szCs w:val="22"/>
          </w:rPr>
          <w:t>Simpson et al., 2002</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xml:space="preserve">, estas sustancias juegan un papel clave en varias </w:t>
      </w:r>
      <w:r w:rsidRPr="007923C2">
        <w:rPr>
          <w:rFonts w:ascii="Arial" w:hAnsi="Arial" w:cs="Arial"/>
          <w:sz w:val="22"/>
          <w:szCs w:val="22"/>
        </w:rPr>
        <w:lastRenderedPageBreak/>
        <w:t>funciones del suelo y la planta como el incremento de la disponibilidad de los nutrientes, regulan el intercambio de carbono y oxigeno entre el suelo y la atmosfera y transforman y transportan sustancias químicas. Actualmente diferentes tipos de ácidos húmicos son estudiados para esclarecer el efecto que tienen sobre la fisiología de las plantas a nivel celular y subcelular, en diferentes cultivos.</w:t>
      </w:r>
    </w:p>
    <w:p w14:paraId="09485021"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*Acidos fulvicos:</w:t>
      </w:r>
      <w:r w:rsidRPr="007923C2">
        <w:rPr>
          <w:rFonts w:ascii="Arial" w:hAnsi="Arial" w:cs="Arial"/>
          <w:sz w:val="22"/>
          <w:szCs w:val="22"/>
        </w:rPr>
        <w:t xml:space="preserve"> son compuestos de algunos cientos de Daltons, y es la fracción orgánica del suelo que es soluble tanto a ácidos como a sustancias alcalina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&lt;EndNote&gt;&lt;Cite&gt;&lt;Author&gt;Stevenson&lt;/Author&gt;&lt;Year&gt;1994&lt;/Year&gt;&lt;RecNum&gt;42&lt;/RecNum&gt;&lt;DisplayText&gt;(Stevenson, 1994)&lt;/DisplayText&gt;&lt;record&gt;&lt;rec-number&gt;42&lt;/rec-number&gt;&lt;foreign-keys&gt;&lt;key app="EN" db-id="0appdse09tweroewfaux95rra92fvrrppttx"&gt;42&lt;/key&gt;&lt;/foreign-keys&gt;&lt;ref-type name="Book"&gt;6&lt;/ref-type&gt;&lt;contributors&gt;&lt;authors&gt;&lt;author&gt;Stevenson, Frank J&lt;/author&gt;&lt;/authors&gt;&lt;/contributors&gt;&lt;titles&gt;&lt;title&gt;Humus chemistry: genesis, composition, reactions&lt;/title&gt;&lt;/titles&gt;&lt;dates&gt;&lt;year&gt;1994&lt;/year&gt;&lt;/dates&gt;&lt;publisher&gt;John Wiley &amp;amp; Sons&lt;/publisher&gt;&lt;isbn&gt;0471594741&lt;/isbn&gt;&lt;urls&gt;&lt;/urls&gt;&lt;/record&gt;&lt;/Cite&gt;&lt;/EndNote&gt;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38" w:tooltip="Stevenson, 1994 #42" w:history="1">
        <w:r w:rsidRPr="007923C2">
          <w:rPr>
            <w:rFonts w:ascii="Arial" w:hAnsi="Arial" w:cs="Arial"/>
            <w:noProof/>
            <w:sz w:val="22"/>
            <w:szCs w:val="22"/>
          </w:rPr>
          <w:t>Stevenson, 1994</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xml:space="preserve">, son responsables de la quelación y movilización de iones metálicos, incluyendo Fe y Al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&lt;EndNote&gt;&lt;Cite&gt;&lt;Author&gt;da Silva&lt;/Author&gt;&lt;Year&gt;1998&lt;/Year&gt;&lt;RecNum&gt;43&lt;/RecNum&gt;&lt;DisplayText&gt;(da Silva, Machado, and Oliveira, 1998)&lt;/DisplayText&gt;&lt;record&gt;&lt;rec-number&gt;43&lt;/rec-number&gt;&lt;foreign-keys&gt;&lt;key app="EN" db-id="0appdse09tweroewfaux95rra92fvrrppttx"&gt;43&lt;/key&gt;&lt;/foreign-keys&gt;&lt;ref-type name="Journal Article"&gt;17&lt;/ref-type&gt;&lt;contributors&gt;&lt;authors&gt;&lt;author&gt;da Silva, Joaquim CG&lt;/author&gt;&lt;author&gt;Machado, Adélio ASC&lt;/author&gt;&lt;author&gt;Oliveira, César JS&lt;/author&gt;&lt;/authors&gt;&lt;/contributors&gt;&lt;titles&gt;&lt;title&gt;Effect of pH on complexation of Fe (III) with fulvic acids&lt;/title&gt;&lt;secondary-title&gt;Environmental toxicology and chemistry&lt;/secondary-title&gt;&lt;/titles&gt;&lt;periodical&gt;&lt;full-title&gt;Environmental toxicology and chemistry&lt;/full-title&gt;&lt;/periodical&gt;&lt;pages&gt;1268-1273&lt;/pages&gt;&lt;volume&gt;17&lt;/volume&gt;&lt;number&gt;7&lt;/number&gt;&lt;dates&gt;&lt;year&gt;1998&lt;/year&gt;&lt;/dates&gt;&lt;isbn&gt;1552-8618&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7" w:tooltip="da Silva, 1998 #43" w:history="1">
        <w:r w:rsidRPr="007923C2">
          <w:rPr>
            <w:rFonts w:ascii="Arial" w:hAnsi="Arial" w:cs="Arial"/>
            <w:noProof/>
            <w:sz w:val="22"/>
            <w:szCs w:val="22"/>
          </w:rPr>
          <w:t>da Silva, Machado, and Oliveira, 1998</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las investigaciones que se llevan a cabo actualmente sobre estas sustancias toman un curso muy similar a las que se llevan a cabo con los ácidos húmicos.</w:t>
      </w:r>
    </w:p>
    <w:p w14:paraId="3636AD26"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*Aminoácidos e hidrolizados de proteínas:</w:t>
      </w:r>
      <w:r w:rsidRPr="007923C2">
        <w:rPr>
          <w:rFonts w:ascii="Arial" w:hAnsi="Arial" w:cs="Arial"/>
          <w:sz w:val="22"/>
          <w:szCs w:val="22"/>
        </w:rPr>
        <w:t xml:space="preserve"> los hidrolizados de proteínas consisten en una mezcla de aminoácidos y péptidos de origen animal y vegetal, son preparados por hidrolisis enzimática o térmica de una gran variedad de residuos de plantas y animales incluyendo tejido epitelial y conectivo de algunos animales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&lt;EndNote&gt;&lt;Cite&gt;&lt;Author&gt;Ertani&lt;/Author&gt;&lt;Year&gt;2009&lt;/Year&gt;&lt;RecNum&gt;44&lt;/RecNum&gt;&lt;DisplayText&gt;(Ertani et al., 2009)&lt;/DisplayText&gt;&lt;record&gt;&lt;rec-number&gt;44&lt;/rec-number&gt;&lt;foreign-keys&gt;&lt;key app="EN" db-id="0appdse09tweroewfaux95rra92fvrrppttx"&gt;44&lt;/key&gt;&lt;/foreign-keys&gt;&lt;ref-type name="Journal Article"&gt;17&lt;/ref-type&gt;&lt;contributors&gt;&lt;authors&gt;&lt;author&gt;Ertani, Andrea&lt;/author&gt;&lt;author&gt;Cavani, Luciano&lt;/author&gt;&lt;author&gt;Pizzeghello, Diego&lt;/author&gt;&lt;author&gt;Brandellero, Elena&lt;/author&gt;&lt;author&gt;Altissimo, Adriano&lt;/author&gt;&lt;author&gt;Ciavatta, Claudio&lt;/author&gt;&lt;author&gt;Nardi, Serenella&lt;/author&gt;&lt;/authors&gt;&lt;/contributors&gt;&lt;titles&gt;&lt;title&gt;Biostimulant activity of two protein hydrolyzates in the growth and nitrogen metabolism of maize seedlings&lt;/title&gt;&lt;secondary-title&gt;Journal of plant nutrition and soil science&lt;/secondary-title&gt;&lt;/titles&gt;&lt;periodical&gt;&lt;full-title&gt;Journal of plant nutrition and soil science&lt;/full-title&gt;&lt;/periodical&gt;&lt;pages&gt;237-244&lt;/pages&gt;&lt;volume&gt;172&lt;/volume&gt;&lt;number&gt;2&lt;/number&gt;&lt;dates&gt;&lt;year&gt;2009&lt;/year&gt;&lt;/dates&gt;&lt;isbn&gt;1522-2624&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10" w:tooltip="Ertani, 2009 #44" w:history="1">
        <w:r w:rsidRPr="007923C2">
          <w:rPr>
            <w:rFonts w:ascii="Arial" w:hAnsi="Arial" w:cs="Arial"/>
            <w:noProof/>
            <w:sz w:val="22"/>
            <w:szCs w:val="22"/>
          </w:rPr>
          <w:t>Ertani et al., 2009</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xml:space="preserve">. Estos compuestos han demostrado estimular el metabolismo de nitrógeno y carbono, así como incrementar la asimilación de nitrógeno, incrementan la captación de nutrientes del suelo, e incrementan la tolerancia de las plantas a estrés abiótico (salinidad, sequía y temperatura)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&lt;EndNote&gt;&lt;Cite&gt;&lt;Author&gt;Calvo&lt;/Author&gt;&lt;Year&gt;2014&lt;/Year&gt;&lt;RecNum&gt;34&lt;/RecNum&gt;&lt;DisplayText&gt;(Calvo, Nelson, and Kloepper, 2014)&lt;/DisplayText&gt;&lt;record&gt;&lt;rec-number&gt;34&lt;/rec-number&gt;&lt;foreign-keys&gt;&lt;key app="EN" db-id="0appdse09tweroewfaux95rra92fvrrppttx"&gt;34&lt;/key&gt;&lt;/foreign-keys&gt;&lt;ref-type name="Journal Article"&gt;17&lt;/ref-type&gt;&lt;contributors&gt;&lt;authors&gt;&lt;author&gt;Calvo, Pamela&lt;/author&gt;&lt;author&gt;Nelson, Louise&lt;/author&gt;&lt;author&gt;Kloepper, Joseph W&lt;/author&gt;&lt;/authors&gt;&lt;/contributors&gt;&lt;titles&gt;&lt;title&gt;Agricultural uses of plant biostimulants&lt;/title&gt;&lt;secondary-title&gt;Plant and Soil&lt;/secondary-title&gt;&lt;/titles&gt;&lt;periodical&gt;&lt;full-title&gt;Plant and Soil&lt;/full-title&gt;&lt;/periodical&gt;&lt;pages&gt;3-41&lt;/pages&gt;&lt;volume&gt;383&lt;/volume&gt;&lt;number&gt;1-2&lt;/number&gt;&lt;dates&gt;&lt;year&gt;2014&lt;/year&gt;&lt;/dates&gt;&lt;isbn&gt;0032-079X&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5" w:tooltip="Calvo, 2014 #34" w:history="1">
        <w:r w:rsidRPr="007923C2">
          <w:rPr>
            <w:rFonts w:ascii="Arial" w:hAnsi="Arial" w:cs="Arial"/>
            <w:noProof/>
            <w:sz w:val="22"/>
            <w:szCs w:val="22"/>
          </w:rPr>
          <w:t>Calvo, Nelson, and Kloepper, 2014</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6A9D5641"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Biotecnología alimentaria</w:t>
      </w:r>
    </w:p>
    <w:p w14:paraId="3102F872"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La Biotecnología alimentaria aprovecha el desarrollo de la microbiología y la biología molecular para innovar en la producción de alimentos de calidad más sanos y seguros, así como en el desarrollo de procesos industriales de producción y control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&lt;EndNote&gt;&lt;Cite&gt;&lt;Author&gt;Perez&lt;/Author&gt;&lt;Year&gt;2012&lt;/Year&gt;&lt;RecNum&gt;45&lt;/RecNum&gt;&lt;DisplayText&gt;(Perez et al., 2012)&lt;/DisplayText&gt;&lt;record&gt;&lt;rec-number&gt;45&lt;/rec-number&gt;&lt;foreign-keys&gt;&lt;key app="EN" db-id="0appdse09tweroewfaux95rra92fvrrppttx"&gt;45&lt;/key&gt;&lt;/foreign-keys&gt;&lt;ref-type name="Journal Article"&gt;17&lt;/ref-type&gt;&lt;contributors&gt;&lt;authors&gt;&lt;author&gt;Perez, INDIRA&lt;/author&gt;&lt;author&gt;AGUILAR, AMARYS&lt;/author&gt;&lt;author&gt;TAPIA, MARIA SOLEDAD&lt;/author&gt;&lt;author&gt;BARRERO, MARINELA&lt;/author&gt;&lt;author&gt;ALONSO, GUILLERMINA&lt;/author&gt;&lt;/authors&gt;&lt;/contributors&gt;&lt;titles&gt;&lt;title&gt;Era Biotecnológica: Usos y Aplicaciones de la Biología Molecular en la Tecnología de Alimentos&lt;/title&gt;&lt;/titles&gt;&lt;dates&gt;&lt;year&gt;2012&lt;/year&gt;&lt;/dates&gt;&lt;urls&gt;&lt;/urls&gt;&lt;/record&gt;&lt;/Cite&gt;&lt;/EndNote&gt;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28" w:tooltip="Perez, 2012 #45" w:history="1">
        <w:r w:rsidRPr="007923C2">
          <w:rPr>
            <w:rFonts w:ascii="Arial" w:hAnsi="Arial" w:cs="Arial"/>
            <w:noProof/>
            <w:sz w:val="22"/>
            <w:szCs w:val="22"/>
          </w:rPr>
          <w:t>Perez et al., 2012</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actualmente la biotecnología alimentaria juega roles muy diversos en la producción de alimentos a continuación se enlistan algunos:</w:t>
      </w:r>
    </w:p>
    <w:p w14:paraId="5A01F86B"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*Las enzimas en el sector alimentario tienen numerosas aplicaciones en las industrias de los alimentos y de las bebidas, para la transformación y producción de aromas y sus productos intermedios, tienen una creciente importancia para los avances científicos y técnicos. Estos progresos estarán especialmente ligados a los bioreactores, a la encapsulación de enzimas y a la remodelación de las proteínas para conseguir enzimas innovadoras , más eficaces con nuevos procesos de biocatálisis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&lt;EndNote&gt;&lt;Cite&gt;&lt;Author&gt;Perez&lt;/Author&gt;&lt;Year&gt;2012&lt;/Year&gt;&lt;RecNum&gt;45&lt;/RecNum&gt;&lt;DisplayText&gt;(Perez et al., 2012)&lt;/DisplayText&gt;&lt;record&gt;&lt;rec-number&gt;45&lt;/rec-number&gt;&lt;foreign-keys&gt;&lt;key app="EN" db-id="0appdse09tweroewfaux95rra92fvrrppttx"&gt;45&lt;/key&gt;&lt;/foreign-keys&gt;&lt;ref-type name="Journal Article"&gt;17&lt;/ref-type&gt;&lt;contributors&gt;&lt;authors&gt;&lt;author&gt;Perez, INDIRA&lt;/author&gt;&lt;author&gt;AGUILAR, AMARYS&lt;/author&gt;&lt;author&gt;TAPIA, MARIA SOLEDAD&lt;/author&gt;&lt;author&gt;BARRERO, MARINELA&lt;/author&gt;&lt;author&gt;ALONSO, GUILLERMINA&lt;/author&gt;&lt;/authors&gt;&lt;/contributors&gt;&lt;titles&gt;&lt;title&gt;Era Biotecnológica: Usos y Aplicaciones de la Biología Molecular en la Tecnología de Alimentos&lt;/title&gt;&lt;/titles&gt;&lt;dates&gt;&lt;year&gt;2012&lt;/year&gt;&lt;/dates&gt;&lt;urls&gt;&lt;/urls&gt;&lt;/record&gt;&lt;/Cite&gt;&lt;/EndNote&gt;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28" w:tooltip="Perez, 2012 #45" w:history="1">
        <w:r w:rsidRPr="007923C2">
          <w:rPr>
            <w:rFonts w:ascii="Arial" w:hAnsi="Arial" w:cs="Arial"/>
            <w:noProof/>
            <w:sz w:val="22"/>
            <w:szCs w:val="22"/>
          </w:rPr>
          <w:t>Perez et al., 2012</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18A3F3E5"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*La biotecnología ofrece nuevos sistemas de conservación biológica a través de microorganismos alimentarios modificados que tienen la capacidad de proporcionar conservación de los alimentos sin utilizar aditivos químicos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&lt;EndNote&gt;&lt;Cite&gt;&lt;Author&gt;Smid&lt;/Author&gt;&lt;Year&gt;1999&lt;/Year&gt;&lt;RecNum&gt;49&lt;/RecNum&gt;&lt;DisplayText&gt;(Smid and Gorris, 1999)&lt;/DisplayText&gt;&lt;record&gt;&lt;rec-number&gt;49&lt;/rec-number&gt;&lt;foreign-keys&gt;&lt;key app="EN" db-id="0appdse09tweroewfaux95rra92fvrrppttx"&gt;49&lt;/key&gt;&lt;/foreign-keys&gt;&lt;ref-type name="Journal Article"&gt;17&lt;/ref-type&gt;&lt;contributors&gt;&lt;authors&gt;&lt;author&gt;Smid, Eddy J&lt;/author&gt;&lt;author&gt;Gorris, Leon GM&lt;/author&gt;&lt;/authors&gt;&lt;/contributors&gt;&lt;titles&gt;&lt;title&gt;Natural antimicrobials for food preservation&lt;/title&gt;&lt;secondary-title&gt;FOOD SCIENCE AND TECHNOLOGY-NEW YORK-MARCEL DEKKER-&lt;/secondary-title&gt;&lt;/titles&gt;&lt;periodical&gt;&lt;full-title&gt;FOOD SCIENCE AND TECHNOLOGY-NEW YORK-MARCEL DEKKER-&lt;/full-title&gt;&lt;/periodical&gt;&lt;pages&gt;285-308&lt;/pages&gt;&lt;dates&gt;&lt;year&gt;1999&lt;/year&gt;&lt;/dates&gt;&lt;isbn&gt;0891-8961&lt;/isbn&gt;&lt;urls&gt;&lt;/urls&gt;&lt;/record&gt;&lt;/Cite&gt;&lt;/EndNote&gt;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37" w:tooltip="Smid, 1999 #49" w:history="1">
        <w:r w:rsidRPr="007923C2">
          <w:rPr>
            <w:rFonts w:ascii="Arial" w:hAnsi="Arial" w:cs="Arial"/>
            <w:noProof/>
            <w:sz w:val="22"/>
            <w:szCs w:val="22"/>
          </w:rPr>
          <w:t>Smid and Gorris, 1999</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64D0558E"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lastRenderedPageBreak/>
        <w:t xml:space="preserve">*Los nuevos alimentos son transformados gracias a la biotecnología, la cual ofrece recursos para crear nuevos nutrientes de calidad para el hombre con una imagen positiva para la salud a partir de materias primas baratas, como proteínas fúngicas con textura adecuada para imitar la carne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&lt;EndNote&gt;&lt;Cite&gt;&lt;Author&gt;Moore&lt;/Author&gt;&lt;Year&gt;2001&lt;/Year&gt;&lt;RecNum&gt;48&lt;/RecNum&gt;&lt;DisplayText&gt;(Moore and Chiu, 2001)&lt;/DisplayText&gt;&lt;record&gt;&lt;rec-number&gt;48&lt;/rec-number&gt;&lt;foreign-keys&gt;&lt;key app="EN" db-id="0appdse09tweroewfaux95rra92fvrrppttx"&gt;48&lt;/key&gt;&lt;/foreign-keys&gt;&lt;ref-type name="Journal Article"&gt;17&lt;/ref-type&gt;&lt;contributors&gt;&lt;authors&gt;&lt;author&gt;Moore, David&lt;/author&gt;&lt;author&gt;Chiu, Siu Wai&lt;/author&gt;&lt;/authors&gt;&lt;/contributors&gt;&lt;titles&gt;&lt;title&gt;Fungal products as food&lt;/title&gt;&lt;secondary-title&gt;eds. Pointing, SB and Hyde, KD in Bio-exploitation of filamentous fungi. Fungal Diversity Research Series&lt;/secondary-title&gt;&lt;/titles&gt;&lt;periodical&gt;&lt;full-title&gt;eds. Pointing, SB and Hyde, KD in Bio-exploitation of filamentous fungi. Fungal Diversity Research Series&lt;/full-title&gt;&lt;/periodical&gt;&lt;pages&gt;223-251&lt;/pages&gt;&lt;volume&gt;6&lt;/volume&gt;&lt;dates&gt;&lt;year&gt;2001&lt;/year&gt;&lt;/dates&gt;&lt;urls&gt;&lt;/urls&gt;&lt;/record&gt;&lt;/Cite&gt;&lt;/EndNote&gt;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22" w:tooltip="Moore, 2001 #48" w:history="1">
        <w:r w:rsidRPr="007923C2">
          <w:rPr>
            <w:rFonts w:ascii="Arial" w:hAnsi="Arial" w:cs="Arial"/>
            <w:noProof/>
            <w:sz w:val="22"/>
            <w:szCs w:val="22"/>
          </w:rPr>
          <w:t>Moore and Chiu, 2001</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276F1FB9"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*Los cultivos de células vegetales ofrecen la oportunidad de obtener gran diversidad de productos alimentarios intermedios y de moléculas nutritivas que pueden ser obtenidas mediante el cultivo celular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&lt;EndNote&gt;&lt;Cite&gt;&lt;Author&gt;Chu&lt;/Author&gt;&lt;Year&gt;2001&lt;/Year&gt;&lt;RecNum&gt;47&lt;/RecNum&gt;&lt;DisplayText&gt;(Chu and Robinson, 2001)&lt;/DisplayText&gt;&lt;record&gt;&lt;rec-number&gt;47&lt;/rec-number&gt;&lt;foreign-keys&gt;&lt;key app="EN" db-id="0appdse09tweroewfaux95rra92fvrrppttx"&gt;47&lt;/key&gt;&lt;/foreign-keys&gt;&lt;ref-type name="Journal Article"&gt;17&lt;/ref-type&gt;&lt;contributors&gt;&lt;authors&gt;&lt;author&gt;Chu, Lily&lt;/author&gt;&lt;author&gt;Robinson, David K&lt;/author&gt;&lt;/authors&gt;&lt;/contributors&gt;&lt;titles&gt;&lt;title&gt;Industrial choices for protein production by large-scale cell culture&lt;/title&gt;&lt;secondary-title&gt;Current opinion in biotechnology&lt;/secondary-title&gt;&lt;/titles&gt;&lt;periodical&gt;&lt;full-title&gt;Current opinion in biotechnology&lt;/full-title&gt;&lt;/periodical&gt;&lt;pages&gt;180-187&lt;/pages&gt;&lt;volume&gt;12&lt;/volume&gt;&lt;number&gt;2&lt;/number&gt;&lt;dates&gt;&lt;year&gt;2001&lt;/year&gt;&lt;/dates&gt;&lt;isbn&gt;0958-1669&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6" w:tooltip="Chu, 2001 #47" w:history="1">
        <w:r w:rsidRPr="007923C2">
          <w:rPr>
            <w:rFonts w:ascii="Arial" w:hAnsi="Arial" w:cs="Arial"/>
            <w:noProof/>
            <w:sz w:val="22"/>
            <w:szCs w:val="22"/>
          </w:rPr>
          <w:t>Chu and Robinson, 2001</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6D20CEB3" w14:textId="77777777" w:rsidR="002D42EB" w:rsidRPr="007923C2" w:rsidRDefault="00CD168C" w:rsidP="002D42EB">
      <w:pPr>
        <w:spacing w:line="360" w:lineRule="auto"/>
        <w:jc w:val="both"/>
        <w:rPr>
          <w:rFonts w:ascii="Arial" w:hAnsi="Arial" w:cs="Arial"/>
          <w:sz w:val="22"/>
          <w:szCs w:val="22"/>
        </w:rPr>
      </w:pPr>
      <w:r w:rsidRPr="007923C2">
        <w:rPr>
          <w:rFonts w:ascii="Arial" w:hAnsi="Arial" w:cs="Arial"/>
          <w:sz w:val="22"/>
          <w:szCs w:val="22"/>
        </w:rPr>
        <w:t xml:space="preserve">*Las microalgas, que han sido la base de la alimentación humana tradicional en muchos países también pueden ser cultivadas para producir una amplia </w:t>
      </w:r>
    </w:p>
    <w:p w14:paraId="1EA6A8B5" w14:textId="77777777" w:rsidR="002D42EB" w:rsidRPr="007923C2" w:rsidRDefault="002D42EB" w:rsidP="002D42EB">
      <w:pPr>
        <w:spacing w:line="360" w:lineRule="auto"/>
        <w:jc w:val="both"/>
        <w:rPr>
          <w:rFonts w:ascii="Arial" w:hAnsi="Arial" w:cs="Arial"/>
          <w:sz w:val="22"/>
          <w:szCs w:val="22"/>
        </w:rPr>
      </w:pPr>
    </w:p>
    <w:p w14:paraId="7AA2EF02" w14:textId="77777777" w:rsidR="002D42EB" w:rsidRPr="007923C2" w:rsidRDefault="002D42EB" w:rsidP="002D42EB">
      <w:pPr>
        <w:spacing w:line="360" w:lineRule="auto"/>
        <w:jc w:val="both"/>
        <w:rPr>
          <w:rFonts w:ascii="Arial" w:hAnsi="Arial" w:cs="Arial"/>
          <w:b/>
          <w:sz w:val="22"/>
          <w:szCs w:val="22"/>
        </w:rPr>
      </w:pPr>
      <w:r w:rsidRPr="007923C2">
        <w:rPr>
          <w:rFonts w:ascii="Arial" w:hAnsi="Arial" w:cs="Arial"/>
          <w:b/>
          <w:sz w:val="22"/>
          <w:szCs w:val="22"/>
        </w:rPr>
        <w:t>4.2.4.5.-Software ESPECIALIZADO</w:t>
      </w:r>
    </w:p>
    <w:p w14:paraId="57B815F6" w14:textId="77777777" w:rsidR="002D42EB" w:rsidRPr="007923C2" w:rsidRDefault="002D42EB" w:rsidP="002D42EB">
      <w:pPr>
        <w:spacing w:line="360" w:lineRule="auto"/>
        <w:jc w:val="both"/>
        <w:rPr>
          <w:rFonts w:ascii="Arial" w:hAnsi="Arial" w:cs="Arial"/>
          <w:b/>
          <w:sz w:val="22"/>
          <w:szCs w:val="22"/>
        </w:rPr>
      </w:pPr>
      <w:r w:rsidRPr="007923C2">
        <w:rPr>
          <w:rFonts w:ascii="Arial" w:hAnsi="Arial" w:cs="Arial"/>
          <w:b/>
          <w:sz w:val="22"/>
          <w:szCs w:val="22"/>
        </w:rPr>
        <w:t>PROGRAMAS COMPUTACIONALES ESPECIALIZADOS</w:t>
      </w:r>
    </w:p>
    <w:p w14:paraId="4C2F707C" w14:textId="77777777" w:rsidR="002D42EB" w:rsidRPr="007923C2" w:rsidRDefault="002D42EB" w:rsidP="002D42EB">
      <w:pPr>
        <w:spacing w:line="360" w:lineRule="auto"/>
        <w:jc w:val="both"/>
        <w:rPr>
          <w:rFonts w:ascii="Arial" w:hAnsi="Arial" w:cs="Arial"/>
          <w:b/>
          <w:sz w:val="22"/>
          <w:szCs w:val="22"/>
        </w:rPr>
      </w:pPr>
      <w:r w:rsidRPr="007923C2">
        <w:rPr>
          <w:rFonts w:ascii="Arial" w:hAnsi="Arial" w:cs="Arial"/>
          <w:b/>
          <w:sz w:val="22"/>
          <w:szCs w:val="22"/>
        </w:rPr>
        <w:t>Programas bioinformáticos</w:t>
      </w:r>
    </w:p>
    <w:p w14:paraId="52FB1106"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 xml:space="preserve">La implementación de experimentos que presentan un gran rendimiento de datos (high throughput) exige nuevos métodos para el análisis de tales datos, en este sentido la bioinformática ha provisto tales datos para el análisis de datos moleculares, </w:t>
      </w:r>
    </w:p>
    <w:p w14:paraId="04C8F411"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 xml:space="preserve">Desde que el fago Φ-X174 fue secuenciado en 1978 se han desarrollado diversas técnicas para el análisis de esta información con la idea de buscar genes, promotores, operones, identificar similaridades o diferencias entre secuencias, o bien la planeación de modificaciones genéticas sitio-dirigidas, diseño de oligonucleótidos para ser usados como sondas o cebadores de PCR. Para 1983 la Protein Sequence Database (PSD) actualmente Uniprot (http://www.uniprot.org/) era la base de datos más grande del mundo, con más de 2’000,000 de nucleótidos secuenciados, con sus respectivas referencias y anotaciones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&lt;EndNote&gt;&lt;Cite&gt;&lt;Author&gt;Franco&lt;/Author&gt;&lt;Year&gt;2013&lt;/Year&gt;&lt;RecNum&gt;52&lt;/RecNum&gt;&lt;DisplayText&gt;(Franco, Cediel, and Payán, 2013)&lt;/DisplayText&gt;&lt;record&gt;&lt;rec-number&gt;52&lt;/rec-number&gt;&lt;foreign-keys&gt;&lt;key app="EN" db-id="0appdse09tweroewfaux95rra92fvrrppttx"&gt;52&lt;/key&gt;&lt;/foreign-keys&gt;&lt;ref-type name="Journal Article"&gt;17&lt;/ref-type&gt;&lt;contributors&gt;&lt;authors&gt;&lt;author&gt;Franco, María Liliana&lt;/author&gt;&lt;author&gt;Cediel, Juan Fernando&lt;/author&gt;&lt;author&gt;Payán, César&lt;/author&gt;&lt;/authors&gt;&lt;/contributors&gt;&lt;titles&gt;&lt;title&gt;Breve historia de la bioinformática&lt;/title&gt;&lt;/titles&gt;&lt;dates&gt;&lt;year&gt;2013&lt;/year&gt;&lt;/dates&gt;&lt;urls&gt;&lt;/urls&gt;&lt;/record&gt;&lt;/Cite&gt;&lt;/EndNote&gt;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11" w:tooltip="Franco, 2013 #52" w:history="1">
        <w:r w:rsidRPr="007923C2">
          <w:rPr>
            <w:rFonts w:ascii="Arial" w:hAnsi="Arial" w:cs="Arial"/>
            <w:noProof/>
            <w:sz w:val="22"/>
            <w:szCs w:val="22"/>
          </w:rPr>
          <w:t>Franco, Cediel, and Payán, 2013</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2C47DE55"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 xml:space="preserve">A finales de la década de 1980 y comienzos de la de 1990 se generaron las bases de datos primarias como GenBank (http://www.ncbi.nlm.nih.gov/genbank/), FASTA (http://www.ebi.ac.uk/Tools/sss/fasta/) y BLAST (http://blast.ncbi.nlm.nih.gov/Blast.cgi). Mientras GenBank almacenaba y catalogaba las secuencias de ADN y de proteínas, BLAST permitía comparar con mayor rapidez que su predecesor FASTA las secuencias de interés contra cada una de las secuencias contenidas dentro de la enorme base de datos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&lt;EndNote&gt;&lt;Cite&gt;&lt;Author&gt;Barnetche&lt;/Author&gt;&lt;Year&gt;2007&lt;/Year&gt;&lt;RecNum&gt;53&lt;/RecNum&gt;&lt;DisplayText&gt;(Barnetche, 2007)&lt;/DisplayText&gt;&lt;record&gt;&lt;rec-number&gt;53&lt;/rec-number&gt;&lt;foreign-keys&gt;&lt;key app="EN" db-id="0appdse09tweroewfaux95rra92fvrrppttx"&gt;53&lt;/key&gt;&lt;/foreign-keys&gt;&lt;ref-type name="Journal Article"&gt;17&lt;/ref-type&gt;&lt;contributors&gt;&lt;authors&gt;&lt;author&gt;Barnetche, Jesús Martínez&lt;/author&gt;&lt;/authors&gt;&lt;/contributors&gt;&lt;titles&gt;&lt;title&gt;La bioinformática como herramienta para la investigación en salud humana&lt;/title&gt;&lt;secondary-title&gt;Salud Pública de México&lt;/secondary-title&gt;&lt;/titles&gt;&lt;periodical&gt;&lt;full-title&gt;Salud Pública de México&lt;/full-title&gt;&lt;/periodical&gt;&lt;pages&gt;64-66&lt;/pages&gt;&lt;volume&gt;49&lt;/volume&gt;&lt;dates&gt;&lt;year&gt;2007&lt;/year&gt;&lt;/dates&gt;&lt;isbn&gt;0036-3634&lt;/isbn&gt;&lt;urls&gt;&lt;/urls&gt;&lt;/record&gt;&lt;/Cite&gt;&lt;/EndNote&gt;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3" w:tooltip="Barnetche, 2007 #53" w:history="1">
        <w:r w:rsidRPr="007923C2">
          <w:rPr>
            <w:rFonts w:ascii="Arial" w:hAnsi="Arial" w:cs="Arial"/>
            <w:noProof/>
            <w:sz w:val="22"/>
            <w:szCs w:val="22"/>
          </w:rPr>
          <w:t>Barnetche, 2007</w:t>
        </w:r>
      </w:hyperlink>
      <w:r w:rsidRPr="007923C2">
        <w:rPr>
          <w:rFonts w:ascii="Arial" w:hAnsi="Arial" w:cs="Arial"/>
          <w:noProof/>
          <w:sz w:val="22"/>
          <w:szCs w:val="22"/>
        </w:rPr>
        <w:t>)</w:t>
      </w:r>
      <w:r w:rsidR="00F93E5C" w:rsidRPr="007923C2">
        <w:rPr>
          <w:rFonts w:ascii="Arial" w:hAnsi="Arial" w:cs="Arial"/>
          <w:sz w:val="22"/>
          <w:szCs w:val="22"/>
        </w:rPr>
        <w:fldChar w:fldCharType="end"/>
      </w:r>
    </w:p>
    <w:p w14:paraId="5C293885"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lastRenderedPageBreak/>
        <w:t xml:space="preserve">A partir del año 2002, PIR-PSD se asoció con EBI (European Bioinformatics Institute) y SIB (Swiss Institute of Bioinformatics), para dar origen a una única base de datos de secuencia y función de proteínas, conocida en la actualidad como UniProt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&lt;EndNote&gt;&lt;Cite&gt;&lt;Author&gt;Wu&lt;/Author&gt;&lt;Year&gt;2003&lt;/Year&gt;&lt;RecNum&gt;54&lt;/RecNum&gt;&lt;DisplayText&gt;(Wu et al., 2003)&lt;/DisplayText&gt;&lt;record&gt;&lt;rec-number&gt;54&lt;/rec-number&gt;&lt;foreign-keys&gt;&lt;key app="EN" db-id="0appdse09tweroewfaux95rra92fvrrppttx"&gt;54&lt;/key&gt;&lt;/foreign-keys&gt;&lt;ref-type name="Journal Article"&gt;17&lt;/ref-type&gt;&lt;contributors&gt;&lt;authors&gt;&lt;author&gt;Wu, Cathy H&lt;/author&gt;&lt;author&gt;Yeh, Lai-Su L&lt;/author&gt;&lt;author&gt;Huang, Hongzhan&lt;/author&gt;&lt;author&gt;Arminski, Leslie&lt;/author&gt;&lt;author&gt;Castro-Alvear, Jorge&lt;/author&gt;&lt;author&gt;Chen, Yongxing&lt;/author&gt;&lt;author&gt;Hu, Zhangzhi&lt;/author&gt;&lt;author&gt;Kourtesis, Panagiotis&lt;/author&gt;&lt;author&gt;Ledley, Robert S&lt;/author&gt;&lt;author&gt;Suzek, Baris E&lt;/author&gt;&lt;/authors&gt;&lt;/contributors&gt;&lt;titles&gt;&lt;title&gt;The protein information resource&lt;/title&gt;&lt;secondary-title&gt;Nucleic acids research&lt;/secondary-title&gt;&lt;/titles&gt;&lt;periodical&gt;&lt;full-title&gt;Nucleic acids research&lt;/full-title&gt;&lt;/periodical&gt;&lt;pages&gt;345-347&lt;/pages&gt;&lt;volume&gt;31&lt;/volume&gt;&lt;number&gt;1&lt;/number&gt;&lt;dates&gt;&lt;year&gt;2003&lt;/year&gt;&lt;/dates&gt;&lt;isbn&gt;0305-1048&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47" w:tooltip="Wu, 2003 #54" w:history="1">
        <w:r w:rsidRPr="007923C2">
          <w:rPr>
            <w:rFonts w:ascii="Arial" w:hAnsi="Arial" w:cs="Arial"/>
            <w:noProof/>
            <w:sz w:val="22"/>
            <w:szCs w:val="22"/>
          </w:rPr>
          <w:t>Wu et al., 2003</w:t>
        </w:r>
      </w:hyperlink>
      <w:r w:rsidRPr="007923C2">
        <w:rPr>
          <w:rFonts w:ascii="Arial" w:hAnsi="Arial" w:cs="Arial"/>
          <w:noProof/>
          <w:sz w:val="22"/>
          <w:szCs w:val="22"/>
        </w:rPr>
        <w:t>)</w:t>
      </w:r>
      <w:r w:rsidR="00F93E5C" w:rsidRPr="007923C2">
        <w:rPr>
          <w:rFonts w:ascii="Arial" w:hAnsi="Arial" w:cs="Arial"/>
          <w:sz w:val="22"/>
          <w:szCs w:val="22"/>
        </w:rPr>
        <w:fldChar w:fldCharType="end"/>
      </w:r>
    </w:p>
    <w:p w14:paraId="346A37C2"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En todas las bases de datos mencionadas y otras bases de datos de diversos países, disponibles libremente en internet, se alojan gran cantidad de recursos en línea para el análisis de datos moleculares. Cada día se están creando nuevas herramientas, en los años mas recientes estas están encaminadas ya no al análisis de secuencias si no a análisis estructurales, de función e interacción</w:t>
      </w:r>
    </w:p>
    <w:p w14:paraId="69E9E777"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http://www.ebi.ac.uk/Tools/msa/clustalo/</w:t>
      </w:r>
    </w:p>
    <w:p w14:paraId="4D619FD7"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programa que permite el alineamiento de múltiples secuencias tanto de acidos nucleicos como de proteínas</w:t>
      </w:r>
    </w:p>
    <w:p w14:paraId="353DCC41"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http://www.openrasmol.org/</w:t>
      </w:r>
    </w:p>
    <w:p w14:paraId="1ED1A897"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permite la visualizacion de la estructura de Acidos nucleicos, proteínas y moléculas pequeñas</w:t>
      </w:r>
    </w:p>
    <w:p w14:paraId="6C3D6D90"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http://www.ebi.ac.uk/Tools/emboss/</w:t>
      </w:r>
    </w:p>
    <w:p w14:paraId="0BA11CCF"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 xml:space="preserve">es un paquete de programas de análisis de datos moleculares disponibles en internet, </w:t>
      </w:r>
    </w:p>
    <w:p w14:paraId="3EDAEF77"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http://www.rcsb.org/pdb/home/home.do</w:t>
      </w:r>
    </w:p>
    <w:p w14:paraId="70217FE5"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es una base de datos sobre proteínas, que permite el análisis de la forma y la estructura de las mismas en línea.</w:t>
      </w:r>
      <w:hyperlink r:id="rId121" w:history="1">
        <w:r w:rsidRPr="007923C2">
          <w:rPr>
            <w:rStyle w:val="Hipervnculo"/>
            <w:rFonts w:ascii="Arial" w:eastAsia="SimSun" w:hAnsi="Arial" w:cs="Arial"/>
            <w:color w:val="auto"/>
            <w:sz w:val="22"/>
            <w:szCs w:val="22"/>
          </w:rPr>
          <w:t>http://string-db.org/</w:t>
        </w:r>
      </w:hyperlink>
    </w:p>
    <w:p w14:paraId="503461F6"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es una base de datos de interacciones de proteínas conocidas experimentalmente y predecidas, incluye interacciones directas (físicas) e indirectas (funcionales).</w:t>
      </w:r>
    </w:p>
    <w:p w14:paraId="049EF842"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Entre muchas otras que existen y se están generando.</w:t>
      </w:r>
    </w:p>
    <w:p w14:paraId="61A69FF1" w14:textId="77777777" w:rsidR="002D42EB" w:rsidRPr="007923C2" w:rsidRDefault="002D42EB" w:rsidP="002D42EB">
      <w:pPr>
        <w:spacing w:line="360" w:lineRule="auto"/>
        <w:jc w:val="both"/>
        <w:rPr>
          <w:rFonts w:ascii="Arial" w:hAnsi="Arial" w:cs="Arial"/>
          <w:b/>
          <w:sz w:val="22"/>
          <w:szCs w:val="22"/>
        </w:rPr>
      </w:pPr>
      <w:r w:rsidRPr="007923C2">
        <w:rPr>
          <w:rFonts w:ascii="Arial" w:hAnsi="Arial" w:cs="Arial"/>
          <w:b/>
          <w:sz w:val="22"/>
          <w:szCs w:val="22"/>
        </w:rPr>
        <w:t>Programas de simulación de sistemas biológicos</w:t>
      </w:r>
    </w:p>
    <w:p w14:paraId="5052C195"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Una manera interesante de poder resolver un problema científico, es hacer uso de un modelo matemático. La modelización es un tema que en los últimos años ha adquirido una gran importancia, por la naturaleza y la complejidad de los problemas a los que se aplica. Las razones que justifican esta gran expansión, hay que buscarlas en el importante desarrollo que ha tenido el uso del ordenador, la aparición de nuevas teorías matemáticas y el análisis de sistemas. Uno de los programas más conocidos utilizar para construir y posteriormente simular un sistema dinámico es Vensim PLE (</w:t>
      </w:r>
      <w:hyperlink r:id="rId122" w:history="1">
        <w:r w:rsidRPr="007923C2">
          <w:rPr>
            <w:rStyle w:val="Hipervnculo"/>
            <w:rFonts w:ascii="Arial" w:eastAsia="SimSun" w:hAnsi="Arial" w:cs="Arial"/>
            <w:color w:val="auto"/>
            <w:sz w:val="22"/>
            <w:szCs w:val="22"/>
          </w:rPr>
          <w:t>http://vensim.com/</w:t>
        </w:r>
      </w:hyperlink>
      <w:r w:rsidRPr="007923C2">
        <w:rPr>
          <w:rFonts w:ascii="Arial" w:hAnsi="Arial" w:cs="Arial"/>
          <w:sz w:val="22"/>
          <w:szCs w:val="22"/>
        </w:rPr>
        <w:t>) cuenta con la ventaja de ofrecer una versión gratuita para fines académicos, sin embargo no es el único, existen otros como dynamo (</w:t>
      </w:r>
      <w:hyperlink r:id="rId123" w:history="1">
        <w:r w:rsidRPr="007923C2">
          <w:rPr>
            <w:rStyle w:val="Hipervnculo"/>
            <w:rFonts w:ascii="Arial" w:eastAsia="SimSun" w:hAnsi="Arial" w:cs="Arial"/>
            <w:color w:val="auto"/>
            <w:sz w:val="22"/>
            <w:szCs w:val="22"/>
          </w:rPr>
          <w:t>http://dynamomd.org/</w:t>
        </w:r>
      </w:hyperlink>
      <w:r w:rsidRPr="007923C2">
        <w:rPr>
          <w:rFonts w:ascii="Arial" w:hAnsi="Arial" w:cs="Arial"/>
          <w:sz w:val="22"/>
          <w:szCs w:val="22"/>
        </w:rPr>
        <w:t>), iThink y stella  (</w:t>
      </w:r>
      <w:hyperlink r:id="rId124" w:history="1">
        <w:r w:rsidRPr="007923C2">
          <w:rPr>
            <w:rStyle w:val="Hipervnculo"/>
            <w:rFonts w:ascii="Arial" w:eastAsia="SimSun" w:hAnsi="Arial" w:cs="Arial"/>
            <w:color w:val="auto"/>
            <w:sz w:val="22"/>
            <w:szCs w:val="22"/>
          </w:rPr>
          <w:t>http://www.iseesystems.com/</w:t>
        </w:r>
      </w:hyperlink>
      <w:r w:rsidRPr="007923C2">
        <w:rPr>
          <w:rFonts w:ascii="Arial" w:hAnsi="Arial" w:cs="Arial"/>
          <w:sz w:val="22"/>
          <w:szCs w:val="22"/>
        </w:rPr>
        <w:t>), Powersim (</w:t>
      </w:r>
      <w:hyperlink r:id="rId125" w:history="1">
        <w:r w:rsidRPr="007923C2">
          <w:rPr>
            <w:rStyle w:val="Hipervnculo"/>
            <w:rFonts w:ascii="Arial" w:eastAsia="SimSun" w:hAnsi="Arial" w:cs="Arial"/>
            <w:color w:val="auto"/>
            <w:sz w:val="22"/>
            <w:szCs w:val="22"/>
          </w:rPr>
          <w:t>http://www.powersim.com/</w:t>
        </w:r>
      </w:hyperlink>
      <w:r w:rsidRPr="007923C2">
        <w:rPr>
          <w:rFonts w:ascii="Arial" w:hAnsi="Arial" w:cs="Arial"/>
          <w:sz w:val="22"/>
          <w:szCs w:val="22"/>
        </w:rPr>
        <w:t>) entre otros.</w:t>
      </w:r>
    </w:p>
    <w:p w14:paraId="11D95396" w14:textId="77777777" w:rsidR="002D42EB" w:rsidRPr="007923C2" w:rsidRDefault="002D42EB" w:rsidP="002D42EB">
      <w:pPr>
        <w:spacing w:line="360" w:lineRule="auto"/>
        <w:jc w:val="both"/>
        <w:rPr>
          <w:rFonts w:ascii="Arial" w:hAnsi="Arial" w:cs="Arial"/>
          <w:b/>
          <w:sz w:val="22"/>
          <w:szCs w:val="22"/>
        </w:rPr>
      </w:pPr>
      <w:r w:rsidRPr="007923C2">
        <w:rPr>
          <w:rFonts w:ascii="Arial" w:hAnsi="Arial" w:cs="Arial"/>
          <w:b/>
          <w:sz w:val="22"/>
          <w:szCs w:val="22"/>
        </w:rPr>
        <w:lastRenderedPageBreak/>
        <w:t>Software de análisis estadístico</w:t>
      </w:r>
    </w:p>
    <w:p w14:paraId="59686EE4" w14:textId="77777777"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El análisis de los datos es una de las partes más relevantes del método científico junto con la interpretación de los resultados del análisis, a medida que: a) los experimentos se han ido haciendo más complejos, b) los experimentos presentan cada vez mayores rendimientos en cuanto a resultados (datos masivos) y la naturaleza de los datos cada vez más variable (datos cuantitativos y cualitativos), se ha hecho necesario el desarrollo de diversas herramientas que nos permitan el análisis de tales resultados, algunos programas más utilizados para el analisis estadistico de los datos en el ámbito agronómico y biológico son: SAS (</w:t>
      </w:r>
      <w:hyperlink r:id="rId126" w:history="1">
        <w:r w:rsidRPr="007923C2">
          <w:rPr>
            <w:rStyle w:val="Hipervnculo"/>
            <w:rFonts w:ascii="Arial" w:eastAsia="SimSun" w:hAnsi="Arial" w:cs="Arial"/>
            <w:color w:val="auto"/>
            <w:sz w:val="22"/>
            <w:szCs w:val="22"/>
          </w:rPr>
          <w:t>http://www.sas.com/es_pe/home.html</w:t>
        </w:r>
      </w:hyperlink>
      <w:r w:rsidRPr="007923C2">
        <w:rPr>
          <w:rFonts w:ascii="Arial" w:hAnsi="Arial" w:cs="Arial"/>
          <w:sz w:val="22"/>
          <w:szCs w:val="22"/>
        </w:rPr>
        <w:t>), R (</w:t>
      </w:r>
      <w:hyperlink r:id="rId127" w:history="1">
        <w:r w:rsidRPr="007923C2">
          <w:rPr>
            <w:rStyle w:val="Hipervnculo"/>
            <w:rFonts w:ascii="Arial" w:eastAsia="SimSun" w:hAnsi="Arial" w:cs="Arial"/>
            <w:color w:val="auto"/>
            <w:sz w:val="22"/>
            <w:szCs w:val="22"/>
          </w:rPr>
          <w:t>https://www.r-project.org/</w:t>
        </w:r>
      </w:hyperlink>
      <w:r w:rsidRPr="007923C2">
        <w:rPr>
          <w:rFonts w:ascii="Arial" w:hAnsi="Arial" w:cs="Arial"/>
          <w:sz w:val="22"/>
          <w:szCs w:val="22"/>
        </w:rPr>
        <w:t>), SPSS (</w:t>
      </w:r>
      <w:hyperlink r:id="rId128" w:history="1">
        <w:r w:rsidRPr="007923C2">
          <w:rPr>
            <w:rStyle w:val="Hipervnculo"/>
            <w:rFonts w:ascii="Arial" w:eastAsia="SimSun" w:hAnsi="Arial" w:cs="Arial"/>
            <w:color w:val="auto"/>
            <w:sz w:val="22"/>
            <w:szCs w:val="22"/>
          </w:rPr>
          <w:t>http://www-01.ibm.com/software/mx/analytics/spss/</w:t>
        </w:r>
      </w:hyperlink>
      <w:r w:rsidRPr="007923C2">
        <w:rPr>
          <w:rFonts w:ascii="Arial" w:hAnsi="Arial" w:cs="Arial"/>
          <w:sz w:val="22"/>
          <w:szCs w:val="22"/>
        </w:rPr>
        <w:t xml:space="preserve">) y Origin </w:t>
      </w:r>
      <w:hyperlink r:id="rId129" w:history="1">
        <w:r w:rsidRPr="007923C2">
          <w:rPr>
            <w:rStyle w:val="Hipervnculo"/>
            <w:rFonts w:ascii="Arial" w:eastAsia="SimSun" w:hAnsi="Arial" w:cs="Arial"/>
            <w:sz w:val="22"/>
            <w:szCs w:val="22"/>
          </w:rPr>
          <w:t>http://www.originlab.com/</w:t>
        </w:r>
      </w:hyperlink>
      <w:r w:rsidRPr="007923C2">
        <w:rPr>
          <w:rFonts w:ascii="Arial" w:hAnsi="Arial" w:cs="Arial"/>
          <w:sz w:val="22"/>
          <w:szCs w:val="22"/>
        </w:rPr>
        <w:t>.</w:t>
      </w:r>
    </w:p>
    <w:p w14:paraId="16731306"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gama de productos útiles, teniendo algunas un gran interés como elementos para la alimentación humana o como moléculas nutritivas especiales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&lt;EndNote&gt;&lt;Cite&gt;&lt;Author&gt;Herrero&lt;/Author&gt;&lt;Year&gt;2006&lt;/Year&gt;&lt;RecNum&gt;46&lt;/RecNum&gt;&lt;DisplayText&gt;(Herrero, Cifuentes, and Ibanez, 2006)&lt;/DisplayText&gt;&lt;record&gt;&lt;rec-number&gt;46&lt;/rec-number&gt;&lt;foreign-keys&gt;&lt;key app="EN" db-id="0appdse09tweroewfaux95rra92fvrrppttx"&gt;46&lt;/key&gt;&lt;/foreign-keys&gt;&lt;ref-type name="Journal Article"&gt;17&lt;/ref-type&gt;&lt;contributors&gt;&lt;authors&gt;&lt;author&gt;Herrero, Miguel&lt;/author&gt;&lt;author&gt;Cifuentes, Alejandro&lt;/author&gt;&lt;author&gt;Ibanez, Elena&lt;/author&gt;&lt;/authors&gt;&lt;/contributors&gt;&lt;titles&gt;&lt;title&gt;Sub-and supercritical fluid extraction of functional ingredients from different natural sources: Plants, food-by-products, algae and microalgae: A review&lt;/title&gt;&lt;secondary-title&gt;Food chemistry&lt;/secondary-title&gt;&lt;/titles&gt;&lt;periodical&gt;&lt;full-title&gt;Food chemistry&lt;/full-title&gt;&lt;/periodical&gt;&lt;pages&gt;136-148&lt;/pages&gt;&lt;volume&gt;98&lt;/volume&gt;&lt;number&gt;1&lt;/number&gt;&lt;dates&gt;&lt;year&gt;2006&lt;/year&gt;&lt;/dates&gt;&lt;isbn&gt;0308-8146&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15" w:tooltip="Herrero, 2006 #46" w:history="1">
        <w:r w:rsidRPr="007923C2">
          <w:rPr>
            <w:rFonts w:ascii="Arial" w:hAnsi="Arial" w:cs="Arial"/>
            <w:noProof/>
            <w:sz w:val="22"/>
            <w:szCs w:val="22"/>
          </w:rPr>
          <w:t>Herrero, Cifuentes, and Ibanez, 2006</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57AD79C3" w14:textId="77777777"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Biotecnología para tipificación de organismos vivos</w:t>
      </w:r>
    </w:p>
    <w:p w14:paraId="35250A9A" w14:textId="77777777"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Desde la prehistoria, el hombre ha seleccionado y mejorado especies vegetales, animales y microbianas basándose en el fenotipo, Sin embargo, con estos métodos quedan muchos aspectos desconocidos, como son el número y efecto de los genes implicados en la expresión de un carácter, la localización de estos genes, y su función fisiológica, suelen ser ambiguos debido a la influencia de factores ambientales, Afortunadamente la aparición de los marcadores moleculares está ayudando a eliminar tanto los inconvenientes de una selección basada en el análisis exclusivo del fenotipo, como la identificación de especies y variedades de una forma más rigurosa y repetitiva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&lt;EndNote&gt;&lt;Cite&gt;&lt;Author&gt;Tester&lt;/Author&gt;&lt;Year&gt;2010&lt;/Year&gt;&lt;RecNum&gt;50&lt;/RecNum&gt;&lt;DisplayText&gt;(Tester and Langridge, 2010)&lt;/DisplayText&gt;&lt;record&gt;&lt;rec-number&gt;50&lt;/rec-number&gt;&lt;foreign-keys&gt;&lt;key app="EN" db-id="0appdse09tweroewfaux95rra92fvrrppttx"&gt;50&lt;/key&gt;&lt;/foreign-keys&gt;&lt;ref-type name="Journal Article"&gt;17&lt;/ref-type&gt;&lt;contributors&gt;&lt;authors&gt;&lt;author&gt;Tester, Mark&lt;/author&gt;&lt;author&gt;Langridge, Peter&lt;/author&gt;&lt;/authors&gt;&lt;/contributors&gt;&lt;titles&gt;&lt;title&gt;Breeding technologies to increase crop production in a changing world&lt;/title&gt;&lt;secondary-title&gt;Science&lt;/secondary-title&gt;&lt;/titles&gt;&lt;periodical&gt;&lt;full-title&gt;Science&lt;/full-title&gt;&lt;/periodical&gt;&lt;pages&gt;818-822&lt;/pages&gt;&lt;volume&gt;327&lt;/volume&gt;&lt;number&gt;5967&lt;/number&gt;&lt;dates&gt;&lt;year&gt;2010&lt;/year&gt;&lt;/dates&gt;&lt;isbn&gt;0036-8075&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40" w:tooltip="Tester, 2010 #50" w:history="1">
        <w:r w:rsidRPr="007923C2">
          <w:rPr>
            <w:rFonts w:ascii="Arial" w:hAnsi="Arial" w:cs="Arial"/>
            <w:noProof/>
            <w:sz w:val="22"/>
            <w:szCs w:val="22"/>
          </w:rPr>
          <w:t>Tester and Langridge, 2010</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 xml:space="preserve">. Los marcadores moleculares incluyen constituyentes bioquímicos tales como metabolitos, proteínas (enzimas e isoenzimas) y ácidos nucleicos </w:t>
      </w:r>
      <w:r w:rsidR="00F93E5C"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&lt;EndNote&gt;&lt;Cite&gt;&lt;Author&gt;Jonah&lt;/Author&gt;&lt;Year&gt;2011&lt;/Year&gt;&lt;RecNum&gt;51&lt;/RecNum&gt;&lt;DisplayText&gt;(Jonah et al., 2011)&lt;/DisplayText&gt;&lt;record&gt;&lt;rec-number&gt;51&lt;/rec-number&gt;&lt;foreign-keys&gt;&lt;key app="EN" db-id="0appdse09tweroewfaux95rra92fvrrppttx"&gt;51&lt;/key&gt;&lt;/foreign-keys&gt;&lt;ref-type name="Journal Article"&gt;17&lt;/ref-type&gt;&lt;contributors&gt;&lt;authors&gt;&lt;author&gt;Jonah, PM&lt;/author&gt;&lt;author&gt;Bello, LL&lt;/author&gt;&lt;author&gt;Lucky, O&lt;/author&gt;&lt;author&gt;Midau, A&lt;/author&gt;&lt;author&gt;Moruppa, SM&lt;/author&gt;&lt;/authors&gt;&lt;/contributors&gt;&lt;titles&gt;&lt;title&gt;Review: the importance of molecular markers in plant breeding programmes&lt;/title&gt;&lt;secondary-title&gt;Global Journal of Science Frontier Research&lt;/secondary-title&gt;&lt;/titles&gt;&lt;periodical&gt;&lt;full-title&gt;Global Journal of Science Frontier Research&lt;/full-title&gt;&lt;/periodical&gt;&lt;volume&gt;11&lt;/volume&gt;&lt;number&gt;5&lt;/number&gt;&lt;dates&gt;&lt;year&gt;2011&lt;/year&gt;&lt;/dates&gt;&lt;isbn&gt;0975-5896&lt;/isbn&gt;&lt;urls&gt;&lt;/urls&gt;&lt;/record&gt;&lt;/Cite&gt;&lt;/EndNote&gt;</w:instrText>
      </w:r>
      <w:r w:rsidR="00F93E5C" w:rsidRPr="007923C2">
        <w:rPr>
          <w:rFonts w:ascii="Arial" w:hAnsi="Arial" w:cs="Arial"/>
          <w:sz w:val="22"/>
          <w:szCs w:val="22"/>
        </w:rPr>
        <w:fldChar w:fldCharType="separate"/>
      </w:r>
      <w:r w:rsidRPr="007923C2">
        <w:rPr>
          <w:rFonts w:ascii="Arial" w:hAnsi="Arial" w:cs="Arial"/>
          <w:noProof/>
          <w:sz w:val="22"/>
          <w:szCs w:val="22"/>
        </w:rPr>
        <w:t>(</w:t>
      </w:r>
      <w:hyperlink w:anchor="_ENREF_17" w:tooltip="Jonah, 2011 #51" w:history="1">
        <w:r w:rsidRPr="007923C2">
          <w:rPr>
            <w:rFonts w:ascii="Arial" w:hAnsi="Arial" w:cs="Arial"/>
            <w:noProof/>
            <w:sz w:val="22"/>
            <w:szCs w:val="22"/>
          </w:rPr>
          <w:t>Jonah et al., 2011</w:t>
        </w:r>
      </w:hyperlink>
      <w:r w:rsidRPr="007923C2">
        <w:rPr>
          <w:rFonts w:ascii="Arial" w:hAnsi="Arial" w:cs="Arial"/>
          <w:noProof/>
          <w:sz w:val="22"/>
          <w:szCs w:val="22"/>
        </w:rPr>
        <w:t>)</w:t>
      </w:r>
      <w:r w:rsidR="00F93E5C" w:rsidRPr="007923C2">
        <w:rPr>
          <w:rFonts w:ascii="Arial" w:hAnsi="Arial" w:cs="Arial"/>
          <w:sz w:val="22"/>
          <w:szCs w:val="22"/>
        </w:rPr>
        <w:fldChar w:fldCharType="end"/>
      </w:r>
      <w:r w:rsidRPr="007923C2">
        <w:rPr>
          <w:rFonts w:ascii="Arial" w:hAnsi="Arial" w:cs="Arial"/>
          <w:sz w:val="22"/>
          <w:szCs w:val="22"/>
        </w:rPr>
        <w:t>.</w:t>
      </w:r>
    </w:p>
    <w:p w14:paraId="69148AD6" w14:textId="77777777" w:rsidR="00EC59D0" w:rsidRPr="007923C2" w:rsidRDefault="00EC59D0" w:rsidP="00CD168C">
      <w:pPr>
        <w:jc w:val="both"/>
        <w:rPr>
          <w:rFonts w:ascii="Arial" w:hAnsi="Arial" w:cs="Arial"/>
          <w:b/>
          <w:sz w:val="22"/>
          <w:szCs w:val="22"/>
        </w:rPr>
      </w:pPr>
      <w:r w:rsidRPr="007923C2">
        <w:rPr>
          <w:rFonts w:ascii="Arial" w:hAnsi="Arial" w:cs="Arial"/>
          <w:b/>
          <w:sz w:val="22"/>
          <w:szCs w:val="22"/>
        </w:rPr>
        <w:t>4.2.5.- VARIABLES DE COMPETENCIA</w:t>
      </w:r>
    </w:p>
    <w:p w14:paraId="541F2C3A" w14:textId="77777777" w:rsidR="00EC59D0" w:rsidRPr="007923C2" w:rsidRDefault="000F5B0B" w:rsidP="00CD168C">
      <w:pPr>
        <w:jc w:val="both"/>
        <w:rPr>
          <w:rFonts w:ascii="Arial" w:hAnsi="Arial" w:cs="Arial"/>
          <w:b/>
          <w:sz w:val="22"/>
          <w:szCs w:val="22"/>
        </w:rPr>
      </w:pPr>
      <w:r w:rsidRPr="007923C2">
        <w:rPr>
          <w:rFonts w:ascii="Arial" w:hAnsi="Arial" w:cs="Arial"/>
          <w:b/>
          <w:sz w:val="22"/>
          <w:szCs w:val="22"/>
        </w:rPr>
        <w:t>4.2.5.1.-CAPACIDAD DE RESPONDER AL CAMBIO</w:t>
      </w:r>
    </w:p>
    <w:p w14:paraId="4AF089E8" w14:textId="77777777" w:rsidR="000F5B0B" w:rsidRPr="007923C2" w:rsidRDefault="00405084" w:rsidP="00CD168C">
      <w:pPr>
        <w:jc w:val="both"/>
        <w:rPr>
          <w:rFonts w:ascii="Arial" w:hAnsi="Arial" w:cs="Arial"/>
          <w:sz w:val="22"/>
          <w:szCs w:val="22"/>
        </w:rPr>
      </w:pPr>
      <w:r w:rsidRPr="007923C2">
        <w:rPr>
          <w:rFonts w:ascii="Arial" w:hAnsi="Arial" w:cs="Arial"/>
          <w:sz w:val="22"/>
          <w:szCs w:val="22"/>
        </w:rPr>
        <w:t>El mercado laboral para los estudiantes de la carrera de Ingeniero en Agrobiología que egresan de la Institución presenta un mosaico múltiple de actividades tanto en empresas gubernamentales como particulares y en el campo de la producción.</w:t>
      </w:r>
    </w:p>
    <w:p w14:paraId="08E76526" w14:textId="77777777" w:rsidR="00405084" w:rsidRPr="007923C2" w:rsidRDefault="00405084" w:rsidP="00CD168C">
      <w:pPr>
        <w:jc w:val="both"/>
        <w:rPr>
          <w:rFonts w:ascii="Arial" w:hAnsi="Arial" w:cs="Arial"/>
          <w:sz w:val="22"/>
          <w:szCs w:val="22"/>
        </w:rPr>
      </w:pPr>
      <w:r w:rsidRPr="007923C2">
        <w:rPr>
          <w:rFonts w:ascii="Arial" w:hAnsi="Arial" w:cs="Arial"/>
          <w:sz w:val="22"/>
          <w:szCs w:val="22"/>
        </w:rPr>
        <w:t>La agrobiología enfoca su estudio dentro de un sistema agroecológico.</w:t>
      </w:r>
    </w:p>
    <w:p w14:paraId="30200A71" w14:textId="77777777" w:rsidR="00405084" w:rsidRPr="007923C2" w:rsidRDefault="00405084" w:rsidP="00CD168C">
      <w:pPr>
        <w:jc w:val="both"/>
        <w:rPr>
          <w:rFonts w:ascii="Arial" w:hAnsi="Arial" w:cs="Arial"/>
          <w:sz w:val="22"/>
          <w:szCs w:val="22"/>
        </w:rPr>
      </w:pPr>
      <w:r w:rsidRPr="007923C2">
        <w:rPr>
          <w:rFonts w:ascii="Arial" w:hAnsi="Arial" w:cs="Arial"/>
          <w:sz w:val="22"/>
          <w:szCs w:val="22"/>
        </w:rPr>
        <w:t>Estudia los sistemas de producción tradicional e industrial, la interacción con el medio ambiente y una producción alimentaria dentro de un contexto sustentable,reduciendo el impacto que ocasiona al medio ambiente.</w:t>
      </w:r>
    </w:p>
    <w:p w14:paraId="583D6E43" w14:textId="77777777" w:rsidR="00405084" w:rsidRPr="007923C2" w:rsidRDefault="00405084" w:rsidP="00CD168C">
      <w:pPr>
        <w:jc w:val="both"/>
        <w:rPr>
          <w:rFonts w:ascii="Arial" w:hAnsi="Arial" w:cs="Arial"/>
          <w:sz w:val="22"/>
          <w:szCs w:val="22"/>
        </w:rPr>
      </w:pPr>
      <w:r w:rsidRPr="007923C2">
        <w:rPr>
          <w:rFonts w:ascii="Arial" w:hAnsi="Arial" w:cs="Arial"/>
          <w:sz w:val="22"/>
          <w:szCs w:val="22"/>
        </w:rPr>
        <w:t>La agrobiología puede incluir: manejo de recursos naturales, la biotecnología y el manejo integrado de cultivos.</w:t>
      </w:r>
    </w:p>
    <w:p w14:paraId="47BBD8AE" w14:textId="77777777" w:rsidR="00405084" w:rsidRPr="007923C2" w:rsidRDefault="00405084" w:rsidP="00CD168C">
      <w:pPr>
        <w:jc w:val="both"/>
        <w:rPr>
          <w:rFonts w:ascii="Arial" w:hAnsi="Arial" w:cs="Arial"/>
          <w:sz w:val="22"/>
          <w:szCs w:val="22"/>
        </w:rPr>
      </w:pPr>
      <w:r w:rsidRPr="007923C2">
        <w:rPr>
          <w:rFonts w:ascii="Arial" w:hAnsi="Arial" w:cs="Arial"/>
          <w:sz w:val="22"/>
          <w:szCs w:val="22"/>
        </w:rPr>
        <w:lastRenderedPageBreak/>
        <w:t>El agrobiólogo está preparado para responder al cambio en la forma de producción y el cuidado de los recursos naturales una necesidad actual del país y a nivel mundial.</w:t>
      </w:r>
    </w:p>
    <w:p w14:paraId="0C746AF9" w14:textId="77777777" w:rsidR="001A7EC2" w:rsidRPr="007923C2" w:rsidRDefault="00405084" w:rsidP="00CD168C">
      <w:pPr>
        <w:jc w:val="both"/>
        <w:rPr>
          <w:rFonts w:ascii="Arial" w:hAnsi="Arial" w:cs="Arial"/>
          <w:sz w:val="22"/>
          <w:szCs w:val="22"/>
        </w:rPr>
      </w:pPr>
      <w:r w:rsidRPr="007923C2">
        <w:rPr>
          <w:rFonts w:ascii="Arial" w:hAnsi="Arial" w:cs="Arial"/>
          <w:sz w:val="22"/>
          <w:szCs w:val="22"/>
        </w:rPr>
        <w:t>El egresado será capaz de aplicar nuevas tecnologías aplicadas para el cuidado del medio ambiente enfocadas a la producción agrícola, manejo de áreas naturales protegidas</w:t>
      </w:r>
      <w:r w:rsidR="001A7EC2" w:rsidRPr="007923C2">
        <w:rPr>
          <w:rFonts w:ascii="Arial" w:hAnsi="Arial" w:cs="Arial"/>
          <w:sz w:val="22"/>
          <w:szCs w:val="22"/>
        </w:rPr>
        <w:t>, reforestación, manejo agroecológico del agua  y del suelo, conservación de flora y fauna.</w:t>
      </w:r>
    </w:p>
    <w:p w14:paraId="69388B2D" w14:textId="77777777"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El Programa Docente de la carrera de Ingeniero en Agrobiología tiene como base la integración de áreas de formación:</w:t>
      </w:r>
    </w:p>
    <w:p w14:paraId="39402A72" w14:textId="77777777" w:rsidR="00AF0490" w:rsidRPr="007923C2" w:rsidRDefault="00AF0490" w:rsidP="00AF0490">
      <w:pPr>
        <w:widowControl w:val="0"/>
        <w:autoSpaceDE w:val="0"/>
        <w:autoSpaceDN w:val="0"/>
        <w:adjustRightInd w:val="0"/>
        <w:spacing w:line="2" w:lineRule="exact"/>
        <w:rPr>
          <w:rFonts w:ascii="Arial" w:hAnsi="Arial" w:cs="Arial"/>
          <w:sz w:val="22"/>
          <w:szCs w:val="22"/>
        </w:rPr>
      </w:pPr>
    </w:p>
    <w:p w14:paraId="6DA91CDF"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1.-Agricultura Alternativa</w:t>
      </w:r>
    </w:p>
    <w:p w14:paraId="0BC57F77"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2.-Ecología y contaminación ambiental (conservación).</w:t>
      </w:r>
    </w:p>
    <w:p w14:paraId="32B7B3CD"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3.-Biotecnología</w:t>
      </w:r>
    </w:p>
    <w:p w14:paraId="4C798275" w14:textId="77777777" w:rsidR="00AF0490" w:rsidRPr="007923C2" w:rsidRDefault="00AF0490" w:rsidP="00AF0490">
      <w:pPr>
        <w:widowControl w:val="0"/>
        <w:overflowPunct w:val="0"/>
        <w:autoSpaceDE w:val="0"/>
        <w:autoSpaceDN w:val="0"/>
        <w:adjustRightInd w:val="0"/>
        <w:spacing w:line="231" w:lineRule="auto"/>
        <w:jc w:val="both"/>
        <w:rPr>
          <w:rFonts w:ascii="Arial" w:hAnsi="Arial" w:cs="Arial"/>
          <w:sz w:val="22"/>
          <w:szCs w:val="22"/>
        </w:rPr>
      </w:pPr>
      <w:r w:rsidRPr="007923C2">
        <w:rPr>
          <w:rFonts w:ascii="Arial" w:hAnsi="Arial" w:cs="Arial"/>
          <w:sz w:val="22"/>
          <w:szCs w:val="22"/>
        </w:rPr>
        <w:t>Incluye un conocimiento muy diverso pero todos ellos encaminados a un mismo objetivo, expresado en la misión de la carrera que establece el formar profesionistas capaces de contribuir al desarrollo del medio rural mediante el uso y manejo del ambiente con métodos alternativos con enfoque a la sostenibilidad, por lo tanto el espacio profesional del Agrobiólogo es muy amplio.</w:t>
      </w:r>
    </w:p>
    <w:p w14:paraId="6C8EAB2D"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El profesionista egresado de ésta carrera, puede desempeñarse en diversos campos:</w:t>
      </w:r>
    </w:p>
    <w:p w14:paraId="3849D409"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PRODUCTIVO</w:t>
      </w:r>
    </w:p>
    <w:p w14:paraId="03582C53"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-Obtención de productos de origen natural.</w:t>
      </w:r>
    </w:p>
    <w:p w14:paraId="68A91177" w14:textId="77777777" w:rsidR="00AF0490" w:rsidRPr="007923C2" w:rsidRDefault="00AF0490" w:rsidP="00AF0490">
      <w:pPr>
        <w:widowControl w:val="0"/>
        <w:overflowPunct w:val="0"/>
        <w:autoSpaceDE w:val="0"/>
        <w:autoSpaceDN w:val="0"/>
        <w:adjustRightInd w:val="0"/>
        <w:spacing w:line="217" w:lineRule="auto"/>
        <w:ind w:right="2000"/>
        <w:rPr>
          <w:rFonts w:ascii="Arial" w:hAnsi="Arial" w:cs="Arial"/>
          <w:sz w:val="22"/>
          <w:szCs w:val="22"/>
        </w:rPr>
      </w:pPr>
      <w:r w:rsidRPr="007923C2">
        <w:rPr>
          <w:rFonts w:ascii="Arial" w:hAnsi="Arial" w:cs="Arial"/>
          <w:sz w:val="22"/>
          <w:szCs w:val="22"/>
        </w:rPr>
        <w:t>-Expandir la frontera agrícola en tierras no aptas para el cultivo. -Aumentar la productividad agrícola.</w:t>
      </w:r>
    </w:p>
    <w:p w14:paraId="390FED9A" w14:textId="77777777" w:rsidR="00413498" w:rsidRPr="007923C2" w:rsidRDefault="00AF0490" w:rsidP="00AF0490">
      <w:pPr>
        <w:widowControl w:val="0"/>
        <w:overflowPunct w:val="0"/>
        <w:autoSpaceDE w:val="0"/>
        <w:autoSpaceDN w:val="0"/>
        <w:adjustRightInd w:val="0"/>
        <w:spacing w:line="225" w:lineRule="auto"/>
        <w:ind w:right="20"/>
        <w:rPr>
          <w:rFonts w:ascii="Arial" w:hAnsi="Arial" w:cs="Arial"/>
          <w:sz w:val="22"/>
          <w:szCs w:val="22"/>
        </w:rPr>
      </w:pPr>
      <w:r w:rsidRPr="007923C2">
        <w:rPr>
          <w:rFonts w:ascii="Arial" w:hAnsi="Arial" w:cs="Arial"/>
          <w:sz w:val="22"/>
          <w:szCs w:val="22"/>
        </w:rPr>
        <w:t>-Obtención de productos agrícolas con nuevas características y de mejor calidad.</w:t>
      </w:r>
    </w:p>
    <w:p w14:paraId="331B11F3" w14:textId="77777777" w:rsidR="00AF0490" w:rsidRPr="007923C2" w:rsidRDefault="00AF0490" w:rsidP="00AF0490">
      <w:pPr>
        <w:widowControl w:val="0"/>
        <w:overflowPunct w:val="0"/>
        <w:autoSpaceDE w:val="0"/>
        <w:autoSpaceDN w:val="0"/>
        <w:adjustRightInd w:val="0"/>
        <w:spacing w:line="225" w:lineRule="auto"/>
        <w:ind w:right="20"/>
        <w:rPr>
          <w:rFonts w:ascii="Arial" w:hAnsi="Arial" w:cs="Arial"/>
          <w:sz w:val="22"/>
          <w:szCs w:val="22"/>
        </w:rPr>
      </w:pPr>
      <w:r w:rsidRPr="007923C2">
        <w:rPr>
          <w:rFonts w:ascii="Arial" w:hAnsi="Arial" w:cs="Arial"/>
          <w:sz w:val="22"/>
          <w:szCs w:val="22"/>
        </w:rPr>
        <w:t xml:space="preserve"> -Manejo y aprovechamiento racional de los recursos naturales, impactando a los pequeños productores principalmente.</w:t>
      </w:r>
    </w:p>
    <w:p w14:paraId="308C6B6C"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SECTOR PÚBLICO Y PRIVADO </w:t>
      </w:r>
      <w:bookmarkStart w:id="43" w:name="page15"/>
      <w:bookmarkEnd w:id="43"/>
    </w:p>
    <w:p w14:paraId="1601E767"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-Apoyo a los órganos de consulta, interesados en la evaluación, recuperación y conservación del medio ambiente.</w:t>
      </w:r>
    </w:p>
    <w:p w14:paraId="621713BD" w14:textId="77777777" w:rsidR="00AF0490" w:rsidRPr="007923C2" w:rsidRDefault="00AF0490" w:rsidP="00AF0490">
      <w:pPr>
        <w:widowControl w:val="0"/>
        <w:overflowPunct w:val="0"/>
        <w:autoSpaceDE w:val="0"/>
        <w:autoSpaceDN w:val="0"/>
        <w:adjustRightInd w:val="0"/>
        <w:spacing w:line="218" w:lineRule="auto"/>
        <w:ind w:right="20"/>
        <w:jc w:val="both"/>
        <w:rPr>
          <w:rFonts w:ascii="Arial" w:hAnsi="Arial" w:cs="Arial"/>
          <w:sz w:val="22"/>
          <w:szCs w:val="22"/>
        </w:rPr>
      </w:pPr>
      <w:r w:rsidRPr="007923C2">
        <w:rPr>
          <w:rFonts w:ascii="Arial" w:hAnsi="Arial" w:cs="Arial"/>
          <w:sz w:val="22"/>
          <w:szCs w:val="22"/>
        </w:rPr>
        <w:t>-Implementación y ejecución de políticas de buen manejo y conservación de los recursos naturales.</w:t>
      </w:r>
    </w:p>
    <w:p w14:paraId="2A5D11C7" w14:textId="77777777" w:rsidR="00AF0490" w:rsidRPr="007923C2" w:rsidRDefault="00AF0490" w:rsidP="00AF0490">
      <w:pPr>
        <w:widowControl w:val="0"/>
        <w:overflowPunct w:val="0"/>
        <w:autoSpaceDE w:val="0"/>
        <w:autoSpaceDN w:val="0"/>
        <w:adjustRightInd w:val="0"/>
        <w:spacing w:line="217" w:lineRule="auto"/>
        <w:ind w:right="60"/>
        <w:rPr>
          <w:rFonts w:ascii="Arial" w:hAnsi="Arial" w:cs="Arial"/>
          <w:sz w:val="22"/>
          <w:szCs w:val="22"/>
        </w:rPr>
      </w:pPr>
      <w:r w:rsidRPr="007923C2">
        <w:rPr>
          <w:rFonts w:ascii="Arial" w:hAnsi="Arial" w:cs="Arial"/>
          <w:sz w:val="22"/>
          <w:szCs w:val="22"/>
        </w:rPr>
        <w:t>-Diseño y supervisión de técnicas adecuadas para el manejo de desechos tóxicos. -Aprovechamiento de aguas residuales.</w:t>
      </w:r>
    </w:p>
    <w:p w14:paraId="4F7FCA25"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ECOLÓGICO</w:t>
      </w:r>
    </w:p>
    <w:p w14:paraId="747AD8E3"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-Promoción de programas de reforestación.</w:t>
      </w:r>
    </w:p>
    <w:p w14:paraId="27DF6870" w14:textId="77777777" w:rsidR="00AF0490" w:rsidRPr="007923C2" w:rsidRDefault="00AF0490" w:rsidP="00AF0490">
      <w:pPr>
        <w:widowControl w:val="0"/>
        <w:overflowPunct w:val="0"/>
        <w:autoSpaceDE w:val="0"/>
        <w:autoSpaceDN w:val="0"/>
        <w:adjustRightInd w:val="0"/>
        <w:spacing w:line="217" w:lineRule="auto"/>
        <w:ind w:right="1800" w:firstLine="68"/>
        <w:rPr>
          <w:rFonts w:ascii="Arial" w:hAnsi="Arial" w:cs="Arial"/>
          <w:sz w:val="22"/>
          <w:szCs w:val="22"/>
        </w:rPr>
      </w:pPr>
      <w:r w:rsidRPr="007923C2">
        <w:rPr>
          <w:rFonts w:ascii="Arial" w:hAnsi="Arial" w:cs="Arial"/>
          <w:sz w:val="22"/>
          <w:szCs w:val="22"/>
        </w:rPr>
        <w:t>-Evaluación de las condiciones ambientales (Impacto ambiental). -Reacondicionamiento y conservación del ecosistema.</w:t>
      </w:r>
    </w:p>
    <w:p w14:paraId="40B660C9"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SERVICIOS</w:t>
      </w:r>
    </w:p>
    <w:p w14:paraId="2FABDF87" w14:textId="77777777" w:rsidR="00AF0490" w:rsidRPr="007923C2" w:rsidRDefault="00AF0490" w:rsidP="00AF0490">
      <w:pPr>
        <w:widowControl w:val="0"/>
        <w:overflowPunct w:val="0"/>
        <w:autoSpaceDE w:val="0"/>
        <w:autoSpaceDN w:val="0"/>
        <w:adjustRightInd w:val="0"/>
        <w:spacing w:line="218" w:lineRule="auto"/>
        <w:ind w:right="20"/>
        <w:jc w:val="both"/>
        <w:rPr>
          <w:rFonts w:ascii="Arial" w:hAnsi="Arial" w:cs="Arial"/>
          <w:sz w:val="22"/>
          <w:szCs w:val="22"/>
        </w:rPr>
      </w:pPr>
      <w:r w:rsidRPr="007923C2">
        <w:rPr>
          <w:rFonts w:ascii="Arial" w:hAnsi="Arial" w:cs="Arial"/>
          <w:sz w:val="22"/>
          <w:szCs w:val="22"/>
        </w:rPr>
        <w:t>-Creación de nuevas patentes para el aprovechamiento de nuevas tecnologías aplicadas en el campo de la biotecnología.</w:t>
      </w:r>
    </w:p>
    <w:p w14:paraId="6FAB1615" w14:textId="77777777" w:rsidR="00AF0490" w:rsidRPr="007923C2" w:rsidRDefault="00AF0490" w:rsidP="00AF0490">
      <w:pPr>
        <w:widowControl w:val="0"/>
        <w:autoSpaceDE w:val="0"/>
        <w:autoSpaceDN w:val="0"/>
        <w:adjustRightInd w:val="0"/>
        <w:spacing w:line="51" w:lineRule="exact"/>
        <w:rPr>
          <w:rFonts w:ascii="Arial" w:hAnsi="Arial" w:cs="Arial"/>
          <w:sz w:val="22"/>
          <w:szCs w:val="22"/>
        </w:rPr>
      </w:pPr>
    </w:p>
    <w:p w14:paraId="117B0DE1" w14:textId="77777777" w:rsidR="00AF0490" w:rsidRPr="007923C2" w:rsidRDefault="00AF0490" w:rsidP="00AF0490">
      <w:pPr>
        <w:widowControl w:val="0"/>
        <w:overflowPunct w:val="0"/>
        <w:autoSpaceDE w:val="0"/>
        <w:autoSpaceDN w:val="0"/>
        <w:adjustRightInd w:val="0"/>
        <w:spacing w:line="218" w:lineRule="auto"/>
        <w:jc w:val="both"/>
        <w:rPr>
          <w:rFonts w:ascii="Arial" w:hAnsi="Arial" w:cs="Arial"/>
          <w:sz w:val="22"/>
          <w:szCs w:val="22"/>
        </w:rPr>
      </w:pPr>
      <w:r w:rsidRPr="007923C2">
        <w:rPr>
          <w:rFonts w:ascii="Arial" w:hAnsi="Arial" w:cs="Arial"/>
          <w:sz w:val="22"/>
          <w:szCs w:val="22"/>
        </w:rPr>
        <w:t>-Formación de empresas dedicadas al diagnóstico ambiental de la calidad de efluentes y residuos sólidos.</w:t>
      </w:r>
    </w:p>
    <w:p w14:paraId="38D03A18" w14:textId="77777777" w:rsidR="00AF0490" w:rsidRPr="007923C2" w:rsidRDefault="00AF0490" w:rsidP="00AF0490">
      <w:pPr>
        <w:widowControl w:val="0"/>
        <w:overflowPunct w:val="0"/>
        <w:autoSpaceDE w:val="0"/>
        <w:autoSpaceDN w:val="0"/>
        <w:adjustRightInd w:val="0"/>
        <w:spacing w:line="228" w:lineRule="auto"/>
        <w:jc w:val="both"/>
        <w:rPr>
          <w:rFonts w:ascii="Arial" w:hAnsi="Arial" w:cs="Arial"/>
          <w:sz w:val="22"/>
          <w:szCs w:val="22"/>
        </w:rPr>
      </w:pPr>
      <w:r w:rsidRPr="007923C2">
        <w:rPr>
          <w:rFonts w:ascii="Arial" w:hAnsi="Arial" w:cs="Arial"/>
          <w:sz w:val="22"/>
          <w:szCs w:val="22"/>
        </w:rPr>
        <w:t xml:space="preserve">El haber establecido como parte del Plan de Estudios desde que se inició la carrera el semestre de </w:t>
      </w:r>
      <w:r w:rsidRPr="007923C2">
        <w:rPr>
          <w:rFonts w:ascii="Arial" w:hAnsi="Arial" w:cs="Arial"/>
          <w:sz w:val="22"/>
          <w:szCs w:val="22"/>
        </w:rPr>
        <w:lastRenderedPageBreak/>
        <w:t>prácticas profesionales nos ha permitido conocer el sector laboral en el cual se puede desempeñar el egresado, así como también evaluar la viabilidad del programa.</w:t>
      </w:r>
    </w:p>
    <w:p w14:paraId="27517DE4" w14:textId="77777777" w:rsidR="00AF0490" w:rsidRPr="007923C2" w:rsidRDefault="00AF0490" w:rsidP="00AF0490">
      <w:pPr>
        <w:widowControl w:val="0"/>
        <w:autoSpaceDE w:val="0"/>
        <w:autoSpaceDN w:val="0"/>
        <w:adjustRightInd w:val="0"/>
        <w:spacing w:line="55" w:lineRule="exact"/>
        <w:rPr>
          <w:rFonts w:ascii="Arial" w:hAnsi="Arial" w:cs="Arial"/>
          <w:sz w:val="22"/>
          <w:szCs w:val="22"/>
        </w:rPr>
      </w:pPr>
    </w:p>
    <w:p w14:paraId="7C575F21" w14:textId="77777777" w:rsidR="00AF0490" w:rsidRPr="007923C2" w:rsidRDefault="00AF0490" w:rsidP="00AF0490">
      <w:pPr>
        <w:widowControl w:val="0"/>
        <w:overflowPunct w:val="0"/>
        <w:autoSpaceDE w:val="0"/>
        <w:autoSpaceDN w:val="0"/>
        <w:adjustRightInd w:val="0"/>
        <w:spacing w:line="218" w:lineRule="auto"/>
        <w:jc w:val="both"/>
        <w:rPr>
          <w:rFonts w:ascii="Arial" w:hAnsi="Arial" w:cs="Arial"/>
          <w:sz w:val="22"/>
          <w:szCs w:val="22"/>
        </w:rPr>
      </w:pPr>
      <w:r w:rsidRPr="007923C2">
        <w:rPr>
          <w:rFonts w:ascii="Arial" w:hAnsi="Arial" w:cs="Arial"/>
          <w:sz w:val="22"/>
          <w:szCs w:val="22"/>
        </w:rPr>
        <w:t>Los alumnos han adquirido experiencia práctica y les ha dado seguridad y decisión para saber el ámbito laboral en donde se van a desempeñar.</w:t>
      </w:r>
    </w:p>
    <w:p w14:paraId="3EE963E2" w14:textId="77777777" w:rsidR="00F86E21" w:rsidRPr="007923C2" w:rsidRDefault="00F86E21" w:rsidP="00AF0490">
      <w:pPr>
        <w:widowControl w:val="0"/>
        <w:overflowPunct w:val="0"/>
        <w:autoSpaceDE w:val="0"/>
        <w:autoSpaceDN w:val="0"/>
        <w:adjustRightInd w:val="0"/>
        <w:spacing w:line="218" w:lineRule="auto"/>
        <w:jc w:val="both"/>
        <w:rPr>
          <w:rFonts w:ascii="Arial" w:hAnsi="Arial" w:cs="Arial"/>
          <w:sz w:val="22"/>
          <w:szCs w:val="22"/>
        </w:rPr>
      </w:pPr>
    </w:p>
    <w:p w14:paraId="1AA9A859"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b/>
          <w:bCs/>
          <w:sz w:val="22"/>
          <w:szCs w:val="22"/>
        </w:rPr>
        <w:t>ESPACIO LABORAL PROFESIONAL QUE OCUPAN LOS INGENIEROS EN AGROBIOLOGÍA</w:t>
      </w:r>
    </w:p>
    <w:p w14:paraId="79AC309A" w14:textId="77777777" w:rsidR="00782E49" w:rsidRPr="007923C2" w:rsidRDefault="00F86E21" w:rsidP="00AF0490">
      <w:pPr>
        <w:widowControl w:val="0"/>
        <w:autoSpaceDE w:val="0"/>
        <w:autoSpaceDN w:val="0"/>
        <w:adjustRightInd w:val="0"/>
        <w:rPr>
          <w:rFonts w:ascii="Arial" w:hAnsi="Arial" w:cs="Arial"/>
          <w:b/>
          <w:bCs/>
          <w:sz w:val="22"/>
          <w:szCs w:val="22"/>
          <w:u w:val="single"/>
        </w:rPr>
      </w:pPr>
      <w:r w:rsidRPr="007923C2">
        <w:rPr>
          <w:rFonts w:ascii="Arial" w:hAnsi="Arial" w:cs="Arial"/>
          <w:b/>
          <w:bCs/>
          <w:sz w:val="22"/>
          <w:szCs w:val="22"/>
          <w:u w:val="single"/>
        </w:rPr>
        <w:t>ORGANIZACIONES E</w:t>
      </w:r>
      <w:r w:rsidR="00F01F3D">
        <w:rPr>
          <w:rFonts w:ascii="Arial" w:hAnsi="Arial" w:cs="Arial"/>
          <w:b/>
          <w:bCs/>
          <w:sz w:val="22"/>
          <w:szCs w:val="22"/>
          <w:u w:val="single"/>
        </w:rPr>
        <w:t xml:space="preserve"> </w:t>
      </w:r>
      <w:r w:rsidRPr="007923C2">
        <w:rPr>
          <w:rFonts w:ascii="Arial" w:hAnsi="Arial" w:cs="Arial"/>
          <w:b/>
          <w:bCs/>
          <w:sz w:val="22"/>
          <w:szCs w:val="22"/>
          <w:u w:val="single"/>
        </w:rPr>
        <w:t>INSTITUCIONES</w:t>
      </w:r>
      <w:r w:rsidR="00F01F3D">
        <w:rPr>
          <w:rFonts w:ascii="Arial" w:hAnsi="Arial" w:cs="Arial"/>
          <w:b/>
          <w:bCs/>
          <w:sz w:val="22"/>
          <w:szCs w:val="22"/>
          <w:u w:val="single"/>
        </w:rPr>
        <w:t xml:space="preserve"> </w:t>
      </w:r>
      <w:r w:rsidRPr="007923C2">
        <w:rPr>
          <w:rFonts w:ascii="Arial" w:hAnsi="Arial" w:cs="Arial"/>
          <w:b/>
          <w:bCs/>
          <w:sz w:val="22"/>
          <w:szCs w:val="22"/>
          <w:u w:val="single"/>
        </w:rPr>
        <w:t>EN</w:t>
      </w:r>
      <w:r w:rsidR="00F01F3D">
        <w:rPr>
          <w:rFonts w:ascii="Arial" w:hAnsi="Arial" w:cs="Arial"/>
          <w:b/>
          <w:bCs/>
          <w:sz w:val="22"/>
          <w:szCs w:val="22"/>
          <w:u w:val="single"/>
        </w:rPr>
        <w:t xml:space="preserve"> </w:t>
      </w:r>
      <w:r w:rsidRPr="007923C2">
        <w:rPr>
          <w:rFonts w:ascii="Arial" w:hAnsi="Arial" w:cs="Arial"/>
          <w:b/>
          <w:bCs/>
          <w:sz w:val="22"/>
          <w:szCs w:val="22"/>
          <w:u w:val="single"/>
        </w:rPr>
        <w:t>LAS</w:t>
      </w:r>
      <w:r w:rsidR="00F01F3D">
        <w:rPr>
          <w:rFonts w:ascii="Arial" w:hAnsi="Arial" w:cs="Arial"/>
          <w:b/>
          <w:bCs/>
          <w:sz w:val="22"/>
          <w:szCs w:val="22"/>
          <w:u w:val="single"/>
        </w:rPr>
        <w:t xml:space="preserve"> </w:t>
      </w:r>
      <w:r w:rsidRPr="007923C2">
        <w:rPr>
          <w:rFonts w:ascii="Arial" w:hAnsi="Arial" w:cs="Arial"/>
          <w:b/>
          <w:bCs/>
          <w:sz w:val="22"/>
          <w:szCs w:val="22"/>
          <w:u w:val="single"/>
        </w:rPr>
        <w:t>QUE</w:t>
      </w:r>
      <w:r w:rsidR="00F01F3D">
        <w:rPr>
          <w:rFonts w:ascii="Arial" w:hAnsi="Arial" w:cs="Arial"/>
          <w:b/>
          <w:bCs/>
          <w:sz w:val="22"/>
          <w:szCs w:val="22"/>
          <w:u w:val="single"/>
        </w:rPr>
        <w:t xml:space="preserve"> </w:t>
      </w:r>
      <w:r w:rsidRPr="007923C2">
        <w:rPr>
          <w:rFonts w:ascii="Arial" w:hAnsi="Arial" w:cs="Arial"/>
          <w:b/>
          <w:bCs/>
          <w:sz w:val="22"/>
          <w:szCs w:val="22"/>
          <w:u w:val="single"/>
        </w:rPr>
        <w:t>SE</w:t>
      </w:r>
      <w:r w:rsidR="00F01F3D">
        <w:rPr>
          <w:rFonts w:ascii="Arial" w:hAnsi="Arial" w:cs="Arial"/>
          <w:b/>
          <w:bCs/>
          <w:sz w:val="22"/>
          <w:szCs w:val="22"/>
          <w:u w:val="single"/>
        </w:rPr>
        <w:t xml:space="preserve"> </w:t>
      </w:r>
      <w:r w:rsidRPr="007923C2">
        <w:rPr>
          <w:rFonts w:ascii="Arial" w:hAnsi="Arial" w:cs="Arial"/>
          <w:b/>
          <w:bCs/>
          <w:sz w:val="22"/>
          <w:szCs w:val="22"/>
          <w:u w:val="single"/>
        </w:rPr>
        <w:t>HAN</w:t>
      </w:r>
      <w:r w:rsidR="00F01F3D">
        <w:rPr>
          <w:rFonts w:ascii="Arial" w:hAnsi="Arial" w:cs="Arial"/>
          <w:b/>
          <w:bCs/>
          <w:sz w:val="22"/>
          <w:szCs w:val="22"/>
          <w:u w:val="single"/>
        </w:rPr>
        <w:t xml:space="preserve"> </w:t>
      </w:r>
      <w:r w:rsidRPr="007923C2">
        <w:rPr>
          <w:rFonts w:ascii="Arial" w:hAnsi="Arial" w:cs="Arial"/>
          <w:b/>
          <w:bCs/>
          <w:sz w:val="22"/>
          <w:szCs w:val="22"/>
          <w:u w:val="single"/>
        </w:rPr>
        <w:t>HECHO</w:t>
      </w:r>
      <w:r w:rsidR="00F01F3D">
        <w:rPr>
          <w:rFonts w:ascii="Arial" w:hAnsi="Arial" w:cs="Arial"/>
          <w:b/>
          <w:bCs/>
          <w:sz w:val="22"/>
          <w:szCs w:val="22"/>
          <w:u w:val="single"/>
        </w:rPr>
        <w:t xml:space="preserve"> </w:t>
      </w:r>
      <w:r w:rsidR="00782E49" w:rsidRPr="007923C2">
        <w:rPr>
          <w:rFonts w:ascii="Arial" w:hAnsi="Arial" w:cs="Arial"/>
          <w:b/>
          <w:bCs/>
          <w:sz w:val="22"/>
          <w:szCs w:val="22"/>
          <w:u w:val="single"/>
        </w:rPr>
        <w:t>PRÁCTICAS PROFESIONALES</w:t>
      </w:r>
    </w:p>
    <w:p w14:paraId="5DD16EB7" w14:textId="77777777" w:rsidR="00AF0490" w:rsidRPr="007923C2" w:rsidRDefault="00AF0490" w:rsidP="00AF0490">
      <w:pPr>
        <w:widowControl w:val="0"/>
        <w:autoSpaceDE w:val="0"/>
        <w:autoSpaceDN w:val="0"/>
        <w:adjustRightInd w:val="0"/>
        <w:rPr>
          <w:rFonts w:ascii="Arial" w:hAnsi="Arial" w:cs="Arial"/>
          <w:color w:val="FF0000"/>
          <w:sz w:val="22"/>
          <w:szCs w:val="22"/>
        </w:rPr>
      </w:pPr>
      <w:r w:rsidRPr="007923C2">
        <w:rPr>
          <w:rFonts w:ascii="Arial" w:hAnsi="Arial" w:cs="Arial"/>
          <w:b/>
          <w:bCs/>
          <w:sz w:val="22"/>
          <w:szCs w:val="22"/>
          <w:u w:val="single"/>
        </w:rPr>
        <w:t xml:space="preserve">Encuesta   </w:t>
      </w:r>
    </w:p>
    <w:p w14:paraId="46915C8A"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1.-CONSEJO TÉCNICO DE AGUAS SUBTERRÁNEAS DE LAGUNA SECA A.C.</w:t>
      </w:r>
    </w:p>
    <w:p w14:paraId="5197EFDA" w14:textId="77777777" w:rsidR="00AF0490" w:rsidRPr="007923C2" w:rsidRDefault="00AF0490" w:rsidP="00460DA3">
      <w:pPr>
        <w:widowControl w:val="0"/>
        <w:overflowPunct w:val="0"/>
        <w:autoSpaceDE w:val="0"/>
        <w:autoSpaceDN w:val="0"/>
        <w:adjustRightInd w:val="0"/>
        <w:spacing w:line="217" w:lineRule="auto"/>
        <w:ind w:right="135"/>
        <w:jc w:val="both"/>
        <w:rPr>
          <w:rFonts w:ascii="Arial" w:hAnsi="Arial" w:cs="Arial"/>
          <w:sz w:val="22"/>
          <w:szCs w:val="22"/>
        </w:rPr>
      </w:pPr>
      <w:r w:rsidRPr="007923C2">
        <w:rPr>
          <w:rFonts w:ascii="Arial" w:hAnsi="Arial" w:cs="Arial"/>
          <w:sz w:val="22"/>
          <w:szCs w:val="22"/>
        </w:rPr>
        <w:t>Desarrolla proyectos en áreas de ecología, medio ambiente y agricultura Sustentable.</w:t>
      </w:r>
    </w:p>
    <w:p w14:paraId="4CD9503E"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47E83064" w14:textId="77777777" w:rsidR="00AF0490" w:rsidRPr="007923C2" w:rsidRDefault="00AF0490" w:rsidP="00AF0490">
      <w:pPr>
        <w:widowControl w:val="0"/>
        <w:autoSpaceDE w:val="0"/>
        <w:autoSpaceDN w:val="0"/>
        <w:adjustRightInd w:val="0"/>
        <w:spacing w:line="51" w:lineRule="exact"/>
        <w:rPr>
          <w:rFonts w:ascii="Arial" w:hAnsi="Arial" w:cs="Arial"/>
          <w:sz w:val="22"/>
          <w:szCs w:val="22"/>
        </w:rPr>
      </w:pPr>
    </w:p>
    <w:p w14:paraId="31954C50" w14:textId="77777777"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 xml:space="preserve">Buena preparación del alumno, ajustar la práctica del conocimiento a la realidad, el campo de trabajo del Agrobiólogo es muy amplio sobre todo aplicado al manejo del medio ambiente. </w:t>
      </w:r>
      <w:bookmarkStart w:id="44" w:name="page17"/>
      <w:bookmarkEnd w:id="44"/>
    </w:p>
    <w:p w14:paraId="479D66B0" w14:textId="77777777"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-COMITÉ ESTATAL DE SANIDAD VEGETAL DEL ESTADO DE CAMPECHE.</w:t>
      </w:r>
    </w:p>
    <w:p w14:paraId="7C794EAB"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Desarrollan programas de control biológico en varias áreas y emplean agricultura sustentable.</w:t>
      </w:r>
    </w:p>
    <w:p w14:paraId="54CBE311"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2CD2E136" w14:textId="77777777" w:rsidR="00AF0490" w:rsidRPr="007923C2" w:rsidRDefault="00AF0490" w:rsidP="00AF0490">
      <w:pPr>
        <w:widowControl w:val="0"/>
        <w:overflowPunct w:val="0"/>
        <w:autoSpaceDE w:val="0"/>
        <w:autoSpaceDN w:val="0"/>
        <w:adjustRightInd w:val="0"/>
        <w:spacing w:line="228" w:lineRule="auto"/>
        <w:jc w:val="both"/>
        <w:rPr>
          <w:rFonts w:ascii="Arial" w:hAnsi="Arial" w:cs="Arial"/>
          <w:sz w:val="22"/>
          <w:szCs w:val="22"/>
        </w:rPr>
      </w:pPr>
      <w:r w:rsidRPr="007923C2">
        <w:rPr>
          <w:rFonts w:ascii="Arial" w:hAnsi="Arial" w:cs="Arial"/>
          <w:sz w:val="22"/>
          <w:szCs w:val="22"/>
        </w:rPr>
        <w:t>Buena preparación, solo incluir más prácticas de campo en sus materias, es una carrera con futuro debido a que a nivel mundial, nacional, estatal reclaman gente preparada en conocer nuestro medio ambiente y saber usar de una manera racional los productos biológicos y la propia tierra.</w:t>
      </w:r>
    </w:p>
    <w:p w14:paraId="3116ACE2"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3.-BIOCAMPO</w:t>
      </w:r>
    </w:p>
    <w:p w14:paraId="4DF332E4"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Desarrolla proyectos enfocados al cuidado del medio ambiente.</w:t>
      </w:r>
    </w:p>
    <w:p w14:paraId="05F43809"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051677A2"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El alumno debe tener más conocimientos sobre tipo de producción en campo.</w:t>
      </w:r>
    </w:p>
    <w:p w14:paraId="49F82478" w14:textId="77777777" w:rsidR="00AF0490" w:rsidRPr="007923C2" w:rsidRDefault="00AF0490" w:rsidP="00AF0490">
      <w:pPr>
        <w:widowControl w:val="0"/>
        <w:autoSpaceDE w:val="0"/>
        <w:autoSpaceDN w:val="0"/>
        <w:adjustRightInd w:val="0"/>
        <w:spacing w:line="51" w:lineRule="exact"/>
        <w:rPr>
          <w:rFonts w:ascii="Arial" w:hAnsi="Arial" w:cs="Arial"/>
          <w:sz w:val="22"/>
          <w:szCs w:val="22"/>
        </w:rPr>
      </w:pPr>
    </w:p>
    <w:p w14:paraId="4F9BE649"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La carrera tiene buen enfoque al medio ambiente y los recursos que hay que cuidarlos.</w:t>
      </w:r>
    </w:p>
    <w:p w14:paraId="2ADE5E6E" w14:textId="77777777" w:rsidR="00AF0490" w:rsidRPr="007923C2" w:rsidRDefault="00AF0490" w:rsidP="00AF0490">
      <w:pPr>
        <w:widowControl w:val="0"/>
        <w:autoSpaceDE w:val="0"/>
        <w:autoSpaceDN w:val="0"/>
        <w:adjustRightInd w:val="0"/>
        <w:spacing w:line="2" w:lineRule="exact"/>
        <w:rPr>
          <w:rFonts w:ascii="Arial" w:hAnsi="Arial" w:cs="Arial"/>
          <w:sz w:val="22"/>
          <w:szCs w:val="22"/>
        </w:rPr>
      </w:pPr>
    </w:p>
    <w:p w14:paraId="2FD9689F"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Pocas universidades cuentan con esta carrera.</w:t>
      </w:r>
    </w:p>
    <w:p w14:paraId="428F5A41"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3.-CINVESTAV UNIDAD IRAPUATO</w:t>
      </w:r>
    </w:p>
    <w:p w14:paraId="108635D3"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07CB9AB3"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El alumno tiene una preparación adecuada, pero necesita más conocimientos de microbiología, biología celular y biología molecular.</w:t>
      </w:r>
    </w:p>
    <w:p w14:paraId="28FA7D9A" w14:textId="77777777" w:rsidR="00AF0490" w:rsidRPr="007923C2" w:rsidRDefault="00AF0490" w:rsidP="00AF0490">
      <w:pPr>
        <w:widowControl w:val="0"/>
        <w:autoSpaceDE w:val="0"/>
        <w:autoSpaceDN w:val="0"/>
        <w:adjustRightInd w:val="0"/>
        <w:spacing w:line="2" w:lineRule="exact"/>
        <w:rPr>
          <w:rFonts w:ascii="Arial" w:hAnsi="Arial" w:cs="Arial"/>
          <w:sz w:val="22"/>
          <w:szCs w:val="22"/>
        </w:rPr>
      </w:pPr>
    </w:p>
    <w:p w14:paraId="2CB135BE"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Es una carrera adecuada a los proyectos del centro de investigación.</w:t>
      </w:r>
    </w:p>
    <w:p w14:paraId="256787BA" w14:textId="77777777" w:rsidR="00AF0490" w:rsidRPr="007923C2" w:rsidRDefault="00AF0490" w:rsidP="00AF0490">
      <w:pPr>
        <w:widowControl w:val="0"/>
        <w:overflowPunct w:val="0"/>
        <w:autoSpaceDE w:val="0"/>
        <w:autoSpaceDN w:val="0"/>
        <w:adjustRightInd w:val="0"/>
        <w:spacing w:line="218" w:lineRule="auto"/>
        <w:jc w:val="both"/>
        <w:rPr>
          <w:rFonts w:ascii="Arial" w:hAnsi="Arial" w:cs="Arial"/>
          <w:sz w:val="22"/>
          <w:szCs w:val="22"/>
        </w:rPr>
      </w:pPr>
      <w:r w:rsidRPr="007923C2">
        <w:rPr>
          <w:rFonts w:ascii="Arial" w:hAnsi="Arial" w:cs="Arial"/>
          <w:sz w:val="22"/>
          <w:szCs w:val="22"/>
        </w:rPr>
        <w:t>Debe ampliar sus conocimientos en los fenómenos bioquímicos y celulares, tener más prácticas de laboratorio y se deben modernizar los planes de estudio.</w:t>
      </w:r>
    </w:p>
    <w:p w14:paraId="0FCEABE9"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4.-MUSEO DE LAS AVES DE MÉXICO</w:t>
      </w:r>
    </w:p>
    <w:p w14:paraId="06A5CC1C"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Los proyectos del Museo son afines a los de la carrera.</w:t>
      </w:r>
    </w:p>
    <w:p w14:paraId="21940612"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46B9A759" w14:textId="77777777" w:rsidR="00AF0490" w:rsidRPr="007923C2" w:rsidRDefault="00AF0490" w:rsidP="00AF0490">
      <w:pPr>
        <w:widowControl w:val="0"/>
        <w:autoSpaceDE w:val="0"/>
        <w:autoSpaceDN w:val="0"/>
        <w:adjustRightInd w:val="0"/>
        <w:spacing w:line="51" w:lineRule="exact"/>
        <w:rPr>
          <w:rFonts w:ascii="Arial" w:hAnsi="Arial" w:cs="Arial"/>
          <w:sz w:val="22"/>
          <w:szCs w:val="22"/>
        </w:rPr>
      </w:pPr>
    </w:p>
    <w:p w14:paraId="5B55CDC2"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La preparación del alumno es buena, solo un poco de desconocimiento en Ornitología, buena disposición al trabajo y aprendizaje.</w:t>
      </w:r>
    </w:p>
    <w:p w14:paraId="05C36FCF"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5.-COLEGIO DE LA FRONTERA SUR CHIAPAS</w:t>
      </w:r>
    </w:p>
    <w:p w14:paraId="35A513FE"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En ésta institución se desarrollan proyectos de Ecología, medio ambiente y agricultura sustentable.</w:t>
      </w:r>
    </w:p>
    <w:p w14:paraId="18FCCF2B"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w:t>
      </w:r>
    </w:p>
    <w:p w14:paraId="35A45A92"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Se  presenta  alguna  deficiencia  en  Estadística  y  Ecología,  experimentación,</w:t>
      </w:r>
      <w:bookmarkStart w:id="45" w:name="page19"/>
      <w:bookmarkEnd w:id="45"/>
      <w:r w:rsidRPr="007923C2">
        <w:rPr>
          <w:rFonts w:ascii="Arial" w:hAnsi="Arial" w:cs="Arial"/>
          <w:sz w:val="22"/>
          <w:szCs w:val="22"/>
        </w:rPr>
        <w:t xml:space="preserve"> Ecología agrícola, sustentabilidad. Deben realizar más prácticas de campo.</w:t>
      </w:r>
    </w:p>
    <w:p w14:paraId="7D33647C" w14:textId="77777777"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La carrera de Agrobiólogo es importante y estratégica para resolver la crisis rural, agrícola y ambiental que vive en este momento México.</w:t>
      </w:r>
    </w:p>
    <w:p w14:paraId="37A2D3E5"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6.-CONAFOR</w:t>
      </w:r>
    </w:p>
    <w:p w14:paraId="7CA7D2ED" w14:textId="77777777"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Se manejan proyectos de reforestación, conservación, restauración de suelos, sanidad forestal, plantaciones comerciales y programas de captura de carbono y conservación y protección de la biodiversidad.</w:t>
      </w:r>
    </w:p>
    <w:p w14:paraId="4D53CD07"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22ED53FF" w14:textId="77777777"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El alumno se pudo incorporar a programas de reforestación, producción de plantas en vivero, sanidad forestal, conservación, aunque le falta un poco de conocimiento de producción de planta y plantaciones comerciales.</w:t>
      </w:r>
    </w:p>
    <w:p w14:paraId="05BC17EF" w14:textId="77777777" w:rsidR="00AF0490" w:rsidRPr="007923C2" w:rsidRDefault="00AF0490" w:rsidP="00AF0490">
      <w:pPr>
        <w:widowControl w:val="0"/>
        <w:autoSpaceDE w:val="0"/>
        <w:autoSpaceDN w:val="0"/>
        <w:adjustRightInd w:val="0"/>
        <w:spacing w:line="2" w:lineRule="exact"/>
        <w:rPr>
          <w:rFonts w:ascii="Arial" w:hAnsi="Arial" w:cs="Arial"/>
          <w:sz w:val="22"/>
          <w:szCs w:val="22"/>
        </w:rPr>
      </w:pPr>
    </w:p>
    <w:p w14:paraId="1BEEEB71"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Capacitarlo en proyectos productivos  y en inglés técnico.</w:t>
      </w:r>
    </w:p>
    <w:p w14:paraId="37CB09B2" w14:textId="77777777" w:rsidR="00AF0490" w:rsidRPr="007923C2" w:rsidRDefault="00AF0490" w:rsidP="00AF0490">
      <w:pPr>
        <w:widowControl w:val="0"/>
        <w:overflowPunct w:val="0"/>
        <w:autoSpaceDE w:val="0"/>
        <w:autoSpaceDN w:val="0"/>
        <w:adjustRightInd w:val="0"/>
        <w:spacing w:line="218" w:lineRule="auto"/>
        <w:jc w:val="both"/>
        <w:rPr>
          <w:rFonts w:ascii="Arial" w:hAnsi="Arial" w:cs="Arial"/>
          <w:sz w:val="22"/>
          <w:szCs w:val="22"/>
        </w:rPr>
      </w:pPr>
      <w:r w:rsidRPr="007923C2">
        <w:rPr>
          <w:rFonts w:ascii="Arial" w:hAnsi="Arial" w:cs="Arial"/>
          <w:sz w:val="22"/>
          <w:szCs w:val="22"/>
        </w:rPr>
        <w:t>El profesionista de la carrera tiene otros campos laborables como SAMARNAT, SAGARPA, PROFEPA, CONABIO, CONANP.</w:t>
      </w:r>
    </w:p>
    <w:p w14:paraId="033FBB9F"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7.-RESERVA DE LA BIOSFERA EL TRIUNFO CHIAPAS</w:t>
      </w:r>
    </w:p>
    <w:p w14:paraId="3F0D80F4"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Desarrollan proyectos sobre áreas naturales protegidas, el manejo sustentable y conservación de los recursos naturales.</w:t>
      </w:r>
    </w:p>
    <w:p w14:paraId="0418E158"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4989A923" w14:textId="77777777"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El alumno presenta un conocimiento general sobre los proyectos de conservación y desarrollo comunitario aunque requiere un poco de mayor preparación en este aspecto ya que el trabajo que se desarrolla es con poblaciones locales.</w:t>
      </w:r>
    </w:p>
    <w:p w14:paraId="412A7816"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Recomiendan más prácticas sobre agricultura orgánica (lombricultura y manejo de plantaciones orgánicas.</w:t>
      </w:r>
    </w:p>
    <w:p w14:paraId="154DABB4" w14:textId="77777777" w:rsidR="00AF0490" w:rsidRPr="007923C2" w:rsidRDefault="00AF0490" w:rsidP="00AF0490">
      <w:pPr>
        <w:widowControl w:val="0"/>
        <w:overflowPunct w:val="0"/>
        <w:autoSpaceDE w:val="0"/>
        <w:autoSpaceDN w:val="0"/>
        <w:adjustRightInd w:val="0"/>
        <w:spacing w:line="225" w:lineRule="auto"/>
        <w:ind w:right="20"/>
        <w:jc w:val="both"/>
        <w:rPr>
          <w:rFonts w:ascii="Arial" w:hAnsi="Arial" w:cs="Arial"/>
          <w:sz w:val="22"/>
          <w:szCs w:val="22"/>
        </w:rPr>
      </w:pPr>
      <w:r w:rsidRPr="007923C2">
        <w:rPr>
          <w:rFonts w:ascii="Arial" w:hAnsi="Arial" w:cs="Arial"/>
          <w:sz w:val="22"/>
          <w:szCs w:val="22"/>
        </w:rPr>
        <w:t>El trabajo del Agrobiólogo es muy amplio presentan conocimientos con los que pueden resolver problemas de actualidad en cuanto a la protección del medio ambiente buscando nuevas soluciones.</w:t>
      </w:r>
    </w:p>
    <w:p w14:paraId="5FC0C559"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8.-MUSEO DEL DESIERTO</w:t>
      </w:r>
    </w:p>
    <w:p w14:paraId="015FC093" w14:textId="77777777"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Su objetivo es producción de plantas del desierto (cactáceas) por semillas o por biotecnología, así como exhibición de diferentes colecciones de plantas y animales.</w:t>
      </w:r>
    </w:p>
    <w:p w14:paraId="516B87B1"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2541654C" w14:textId="77777777" w:rsidR="00AF0490" w:rsidRPr="007923C2" w:rsidRDefault="00AF0490" w:rsidP="00AF0490">
      <w:pPr>
        <w:widowControl w:val="0"/>
        <w:overflowPunct w:val="0"/>
        <w:autoSpaceDE w:val="0"/>
        <w:autoSpaceDN w:val="0"/>
        <w:adjustRightInd w:val="0"/>
        <w:spacing w:line="218" w:lineRule="auto"/>
        <w:jc w:val="both"/>
        <w:rPr>
          <w:rFonts w:ascii="Arial" w:hAnsi="Arial" w:cs="Arial"/>
          <w:sz w:val="22"/>
          <w:szCs w:val="22"/>
        </w:rPr>
      </w:pPr>
      <w:r w:rsidRPr="007923C2">
        <w:rPr>
          <w:rFonts w:ascii="Arial" w:hAnsi="Arial" w:cs="Arial"/>
          <w:sz w:val="22"/>
          <w:szCs w:val="22"/>
        </w:rPr>
        <w:t xml:space="preserve">El alumno cumple con los requisitos necesarios para trabajar en el área de biotecnología </w:t>
      </w:r>
      <w:r w:rsidRPr="007923C2">
        <w:rPr>
          <w:rFonts w:ascii="Arial" w:hAnsi="Arial" w:cs="Arial"/>
          <w:sz w:val="22"/>
          <w:szCs w:val="22"/>
        </w:rPr>
        <w:lastRenderedPageBreak/>
        <w:t>específicamente en la micropropagación de plantas.</w:t>
      </w:r>
    </w:p>
    <w:p w14:paraId="58D7EB4D" w14:textId="77777777"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El área de trabajo de un Agrobiólogo es más amplia, no solo está relacionado con la producción agrícola sino en campos afines.</w:t>
      </w:r>
    </w:p>
    <w:p w14:paraId="6E6AC8E1"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9.-CENTRO DE INVESTIGACIÓN DE QUÍMICA APLICADA  CIQA</w:t>
      </w:r>
    </w:p>
    <w:p w14:paraId="11A94CC3" w14:textId="77777777" w:rsidR="00AF0490" w:rsidRPr="007923C2" w:rsidRDefault="00AF0490" w:rsidP="00AF0490">
      <w:pPr>
        <w:widowControl w:val="0"/>
        <w:overflowPunct w:val="0"/>
        <w:autoSpaceDE w:val="0"/>
        <w:autoSpaceDN w:val="0"/>
        <w:adjustRightInd w:val="0"/>
        <w:spacing w:line="218" w:lineRule="auto"/>
        <w:ind w:right="20"/>
        <w:jc w:val="both"/>
        <w:rPr>
          <w:rFonts w:ascii="Arial" w:hAnsi="Arial" w:cs="Arial"/>
          <w:sz w:val="22"/>
          <w:szCs w:val="22"/>
        </w:rPr>
      </w:pPr>
      <w:r w:rsidRPr="007923C2">
        <w:rPr>
          <w:rFonts w:ascii="Arial" w:hAnsi="Arial" w:cs="Arial"/>
          <w:sz w:val="22"/>
          <w:szCs w:val="22"/>
        </w:rPr>
        <w:t>Desarrolla proyectos de producción en invernaderos controlados, fertirriego, producción por medio de la plasticultura.</w:t>
      </w:r>
    </w:p>
    <w:p w14:paraId="26F29368"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430DC9F5"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La preparación del alumno es muy buena, los objetivos planteados por la carrera de Agrobiología son adecuados a los del centro de investigación.</w:t>
      </w:r>
    </w:p>
    <w:p w14:paraId="0309994B" w14:textId="77777777" w:rsidR="00AF0490" w:rsidRPr="007923C2" w:rsidRDefault="00AF0490" w:rsidP="00AF0490">
      <w:pPr>
        <w:widowControl w:val="0"/>
        <w:autoSpaceDE w:val="0"/>
        <w:autoSpaceDN w:val="0"/>
        <w:adjustRightInd w:val="0"/>
        <w:spacing w:line="2" w:lineRule="exact"/>
        <w:rPr>
          <w:rFonts w:ascii="Arial" w:hAnsi="Arial" w:cs="Arial"/>
          <w:sz w:val="22"/>
          <w:szCs w:val="22"/>
        </w:rPr>
      </w:pPr>
    </w:p>
    <w:p w14:paraId="224A8B32"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La profesión del Agrobiólogo es muy interesante y de gran campo laboral.</w:t>
      </w:r>
    </w:p>
    <w:p w14:paraId="20CAB271"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10.-CAMPO EXPERIMENTAL INIFAP SALTILLO</w:t>
      </w:r>
    </w:p>
    <w:p w14:paraId="1B2C6927"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En el área de producción en invernadero se tiene como objetivo hacer un uso eficiente de los recursos agua y suelo para la producción.</w:t>
      </w:r>
    </w:p>
    <w:p w14:paraId="11CAB751"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28E7501B" w14:textId="77777777" w:rsidR="00AF0490" w:rsidRPr="007923C2" w:rsidRDefault="00AF0490" w:rsidP="00AF0490">
      <w:pPr>
        <w:widowControl w:val="0"/>
        <w:overflowPunct w:val="0"/>
        <w:autoSpaceDE w:val="0"/>
        <w:autoSpaceDN w:val="0"/>
        <w:adjustRightInd w:val="0"/>
        <w:spacing w:line="218" w:lineRule="auto"/>
        <w:jc w:val="both"/>
        <w:rPr>
          <w:rFonts w:ascii="Arial" w:hAnsi="Arial" w:cs="Arial"/>
          <w:sz w:val="22"/>
          <w:szCs w:val="22"/>
        </w:rPr>
      </w:pPr>
      <w:r w:rsidRPr="007923C2">
        <w:rPr>
          <w:rFonts w:ascii="Arial" w:hAnsi="Arial" w:cs="Arial"/>
          <w:sz w:val="22"/>
          <w:szCs w:val="22"/>
        </w:rPr>
        <w:t xml:space="preserve">El alumno debe conocer más a fondo el recurso suelo qué pasa cuando se adicionan los fertilizantes, cómo los toma la planta </w:t>
      </w:r>
      <w:r w:rsidR="00D24156" w:rsidRPr="007923C2">
        <w:rPr>
          <w:rFonts w:ascii="Arial" w:hAnsi="Arial" w:cs="Arial"/>
          <w:sz w:val="22"/>
          <w:szCs w:val="22"/>
        </w:rPr>
        <w:t>y</w:t>
      </w:r>
      <w:r w:rsidRPr="007923C2">
        <w:rPr>
          <w:rFonts w:ascii="Arial" w:hAnsi="Arial" w:cs="Arial"/>
          <w:sz w:val="22"/>
          <w:szCs w:val="22"/>
        </w:rPr>
        <w:t xml:space="preserve"> su efecto en ella.</w:t>
      </w:r>
    </w:p>
    <w:p w14:paraId="4CF8DFB1"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El objetivo planteado por la carrera de Agrobiología es adecuado al objetivo que plantea el campo experimental.</w:t>
      </w:r>
    </w:p>
    <w:p w14:paraId="02AA78E0" w14:textId="77777777" w:rsidR="00AF0490" w:rsidRPr="007923C2" w:rsidRDefault="00AF0490" w:rsidP="00AF0490">
      <w:pPr>
        <w:widowControl w:val="0"/>
        <w:autoSpaceDE w:val="0"/>
        <w:autoSpaceDN w:val="0"/>
        <w:adjustRightInd w:val="0"/>
        <w:spacing w:line="53" w:lineRule="exact"/>
        <w:rPr>
          <w:rFonts w:ascii="Arial" w:hAnsi="Arial" w:cs="Arial"/>
          <w:sz w:val="22"/>
          <w:szCs w:val="22"/>
        </w:rPr>
      </w:pPr>
    </w:p>
    <w:p w14:paraId="60EBC83E"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El campo de trabajo del Agrobiólogo es un campo bastante amplio basado en el uso más eficiente de los recursos naturales.</w:t>
      </w:r>
    </w:p>
    <w:p w14:paraId="506DEC6F"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11.-COLEGIO DE LA FRONTERA SUR  (ECOSUR) UNIDAD TAPACHULA.</w:t>
      </w:r>
    </w:p>
    <w:p w14:paraId="24143D1C" w14:textId="77777777" w:rsidR="00AF0490" w:rsidRPr="007923C2" w:rsidRDefault="00AF0490" w:rsidP="00AF0490">
      <w:pPr>
        <w:widowControl w:val="0"/>
        <w:overflowPunct w:val="0"/>
        <w:autoSpaceDE w:val="0"/>
        <w:autoSpaceDN w:val="0"/>
        <w:adjustRightInd w:val="0"/>
        <w:spacing w:line="218" w:lineRule="auto"/>
        <w:ind w:right="20"/>
        <w:jc w:val="both"/>
        <w:rPr>
          <w:rFonts w:ascii="Arial" w:hAnsi="Arial" w:cs="Arial"/>
          <w:sz w:val="22"/>
          <w:szCs w:val="22"/>
        </w:rPr>
      </w:pPr>
      <w:r w:rsidRPr="007923C2">
        <w:rPr>
          <w:rFonts w:ascii="Arial" w:hAnsi="Arial" w:cs="Arial"/>
          <w:sz w:val="22"/>
          <w:szCs w:val="22"/>
        </w:rPr>
        <w:t>Incluye proyectos de investigación y posgrado relacionados con Ecología, Biotecnología y Desarrollo Sustentable.</w:t>
      </w:r>
    </w:p>
    <w:p w14:paraId="37792C65"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3EA8F4A2" w14:textId="77777777"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Mejorar el inglés, ya que la literatura importante está en este idioma, involucrar al alumno a leer literatura general y científica.</w:t>
      </w:r>
    </w:p>
    <w:p w14:paraId="72BDD1CD" w14:textId="77777777" w:rsidR="00AF0490" w:rsidRPr="007923C2" w:rsidRDefault="00AF0490" w:rsidP="00AF0490">
      <w:pPr>
        <w:widowControl w:val="0"/>
        <w:autoSpaceDE w:val="0"/>
        <w:autoSpaceDN w:val="0"/>
        <w:adjustRightInd w:val="0"/>
        <w:spacing w:line="2" w:lineRule="exact"/>
        <w:rPr>
          <w:rFonts w:ascii="Arial" w:hAnsi="Arial" w:cs="Arial"/>
          <w:sz w:val="22"/>
          <w:szCs w:val="22"/>
        </w:rPr>
      </w:pPr>
    </w:p>
    <w:p w14:paraId="77269556" w14:textId="77777777" w:rsidR="00AF0490" w:rsidRPr="007923C2" w:rsidRDefault="00AF0490" w:rsidP="00AF0490">
      <w:pPr>
        <w:widowControl w:val="0"/>
        <w:autoSpaceDE w:val="0"/>
        <w:autoSpaceDN w:val="0"/>
        <w:adjustRightInd w:val="0"/>
        <w:spacing w:line="239" w:lineRule="auto"/>
        <w:rPr>
          <w:rFonts w:ascii="Arial" w:hAnsi="Arial" w:cs="Arial"/>
          <w:sz w:val="22"/>
          <w:szCs w:val="22"/>
        </w:rPr>
      </w:pPr>
      <w:r w:rsidRPr="007923C2">
        <w:rPr>
          <w:rFonts w:ascii="Arial" w:hAnsi="Arial" w:cs="Arial"/>
          <w:sz w:val="22"/>
          <w:szCs w:val="22"/>
        </w:rPr>
        <w:t>La Agrobiología es una carrera que tiene futuro.</w:t>
      </w:r>
    </w:p>
    <w:p w14:paraId="1E3C0BCA" w14:textId="77777777"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12.-ZONA SUJETA A CONSERVACIÓN ECOLÓGICA SIERRA DE ZAPALINAMÉ, PROTECCIÓN DE LA FAUNA MEXICANA A.C.</w:t>
      </w:r>
    </w:p>
    <w:p w14:paraId="009D0E7E" w14:textId="77777777"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Los proyectos desarrollados en esta organización tienen como base la conservación ecológica de los recursos naturales así como la protección de la flora y la fauna silvestre.</w:t>
      </w:r>
    </w:p>
    <w:p w14:paraId="24419D8A"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04457F98"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La preparación del alumno es adecuada, no tiene carencias para este tipo de trabajo.</w:t>
      </w:r>
    </w:p>
    <w:p w14:paraId="793C9BA1" w14:textId="77777777"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La práctica profesional sería adecuado que se llevara a cabo en semestres intermedios y no en el último así podrían solucionar dudas que hayan surgido.</w:t>
      </w:r>
    </w:p>
    <w:p w14:paraId="252B7AE5" w14:textId="77777777"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La carrera del Agrobiólogo ofrece sistemas de producción amigables con el medio ambiente sin sacrificar la producción por lo que en el paso del tiempo existiría mayor demanda de estos profesionistas.</w:t>
      </w:r>
    </w:p>
    <w:p w14:paraId="101667C1"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13.-PLANTA PURIFICADORA DE AGUA “EL ALMEAL” CUAUTLA MORELOS.</w:t>
      </w:r>
    </w:p>
    <w:p w14:paraId="4697124E"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Programa de control de calidad en el proceso de producción de agua purificada.</w:t>
      </w:r>
    </w:p>
    <w:p w14:paraId="2CA62735"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14:paraId="7D3AF32B"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Desempeño satisfactorio del alumno.</w:t>
      </w:r>
    </w:p>
    <w:p w14:paraId="598FAD6F"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14.-PRESIDENCIA  MUNICIPAL FRONTERA COMALAPA CHIAPAS.</w:t>
      </w:r>
    </w:p>
    <w:p w14:paraId="77FD5C0E"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Desarrolla programas de reforestación de áreas degradadas.</w:t>
      </w:r>
    </w:p>
    <w:p w14:paraId="4DC17208" w14:textId="77777777"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Engorda de peces (Tilapia gris y Pargo), actividades del departamento agropecuario.</w:t>
      </w:r>
    </w:p>
    <w:p w14:paraId="11407AF2"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15.-INIFAP CELAYA GUANAJUATO</w:t>
      </w:r>
    </w:p>
    <w:p w14:paraId="71B947D0"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Campo experimental Bajío</w:t>
      </w:r>
    </w:p>
    <w:p w14:paraId="6C04F5B7" w14:textId="77777777"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Desarrollo de programa de Recursos genéticos.</w:t>
      </w:r>
    </w:p>
    <w:p w14:paraId="155350C3" w14:textId="77777777"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Eficiencia del silo hermético como alternativa para controlar insectos y hongos en maíz almacenado.</w:t>
      </w:r>
    </w:p>
    <w:p w14:paraId="384E163E" w14:textId="77777777" w:rsidR="000F70C2" w:rsidRPr="007923C2" w:rsidRDefault="000F70C2" w:rsidP="000F70C2">
      <w:pPr>
        <w:jc w:val="both"/>
        <w:rPr>
          <w:rFonts w:ascii="Arial" w:hAnsi="Arial" w:cs="Arial"/>
          <w:sz w:val="22"/>
          <w:szCs w:val="22"/>
        </w:rPr>
      </w:pPr>
    </w:p>
    <w:p w14:paraId="26B8145A" w14:textId="77777777" w:rsidR="00092FF9" w:rsidRPr="007078E9" w:rsidRDefault="00092FF9" w:rsidP="00092FF9">
      <w:pPr>
        <w:rPr>
          <w:rFonts w:ascii="Arial" w:hAnsi="Arial" w:cs="Arial"/>
          <w:sz w:val="22"/>
          <w:szCs w:val="22"/>
        </w:rPr>
      </w:pPr>
      <w:r w:rsidRPr="007078E9">
        <w:rPr>
          <w:rFonts w:ascii="Arial" w:hAnsi="Arial" w:cs="Arial"/>
          <w:sz w:val="22"/>
          <w:szCs w:val="22"/>
        </w:rPr>
        <w:t>16.- FERNATOL</w:t>
      </w:r>
      <w:r w:rsidRPr="007078E9">
        <w:rPr>
          <w:rFonts w:ascii="Arial" w:hAnsi="Arial" w:cs="Arial"/>
          <w:b/>
          <w:sz w:val="22"/>
          <w:szCs w:val="22"/>
        </w:rPr>
        <w:t>:</w:t>
      </w:r>
      <w:r w:rsidRPr="007078E9">
        <w:rPr>
          <w:rFonts w:ascii="Arial" w:hAnsi="Arial" w:cs="Arial"/>
          <w:sz w:val="22"/>
          <w:szCs w:val="22"/>
        </w:rPr>
        <w:t xml:space="preserve"> Producción de nutrientes orgánicos y su aplicación en cultivos hortícolas en invernadero y campo abierto.</w:t>
      </w:r>
    </w:p>
    <w:p w14:paraId="7EF193A3" w14:textId="77777777" w:rsidR="00092FF9" w:rsidRPr="007078E9" w:rsidRDefault="00092FF9" w:rsidP="00092FF9">
      <w:pPr>
        <w:rPr>
          <w:rFonts w:ascii="Arial" w:hAnsi="Arial" w:cs="Arial"/>
          <w:sz w:val="22"/>
          <w:szCs w:val="22"/>
        </w:rPr>
      </w:pPr>
      <w:r w:rsidRPr="007078E9">
        <w:rPr>
          <w:rFonts w:ascii="Arial" w:hAnsi="Arial" w:cs="Arial"/>
          <w:sz w:val="22"/>
          <w:szCs w:val="22"/>
        </w:rPr>
        <w:t>17.- CATLQUICHIAJ</w:t>
      </w:r>
      <w:r w:rsidRPr="007078E9">
        <w:rPr>
          <w:rFonts w:ascii="Arial" w:hAnsi="Arial" w:cs="Arial"/>
          <w:b/>
          <w:sz w:val="22"/>
          <w:szCs w:val="22"/>
        </w:rPr>
        <w:t>:</w:t>
      </w:r>
      <w:r w:rsidRPr="007078E9">
        <w:rPr>
          <w:rFonts w:ascii="Arial" w:hAnsi="Arial" w:cs="Arial"/>
          <w:sz w:val="22"/>
          <w:szCs w:val="22"/>
        </w:rPr>
        <w:t xml:space="preserve"> unión de las comunidades de la Huasteca Veracruzana temporal Veracruz.</w:t>
      </w:r>
    </w:p>
    <w:p w14:paraId="14B9D758" w14:textId="77777777" w:rsidR="00092FF9" w:rsidRPr="007078E9" w:rsidRDefault="00092FF9" w:rsidP="00092FF9">
      <w:pPr>
        <w:rPr>
          <w:rFonts w:ascii="Arial" w:hAnsi="Arial" w:cs="Arial"/>
          <w:sz w:val="22"/>
          <w:szCs w:val="22"/>
        </w:rPr>
      </w:pPr>
      <w:r w:rsidRPr="007078E9">
        <w:rPr>
          <w:rFonts w:ascii="Arial" w:hAnsi="Arial" w:cs="Arial"/>
          <w:sz w:val="22"/>
          <w:szCs w:val="22"/>
        </w:rPr>
        <w:t>18.- SERVICIOS Y BENEFICIOS AMBIENTALES CHETUMAL QUINTANA ROO</w:t>
      </w:r>
    </w:p>
    <w:p w14:paraId="3886F9A6" w14:textId="77777777" w:rsidR="00092FF9" w:rsidRPr="007078E9" w:rsidRDefault="00092FF9" w:rsidP="00092FF9">
      <w:pPr>
        <w:rPr>
          <w:rFonts w:ascii="Arial" w:hAnsi="Arial" w:cs="Arial"/>
          <w:sz w:val="22"/>
          <w:szCs w:val="22"/>
        </w:rPr>
      </w:pPr>
      <w:r w:rsidRPr="007078E9">
        <w:rPr>
          <w:rFonts w:ascii="Arial" w:hAnsi="Arial" w:cs="Arial"/>
          <w:sz w:val="22"/>
          <w:szCs w:val="22"/>
        </w:rPr>
        <w:t>19.- MUSEO DEL DESIERTO DE SALTILLO COAHUILA</w:t>
      </w:r>
    </w:p>
    <w:p w14:paraId="2D24355D" w14:textId="77777777" w:rsidR="00092FF9" w:rsidRPr="007078E9" w:rsidRDefault="00092FF9" w:rsidP="00092FF9">
      <w:pPr>
        <w:rPr>
          <w:rFonts w:ascii="Arial" w:hAnsi="Arial" w:cs="Arial"/>
          <w:sz w:val="22"/>
          <w:szCs w:val="22"/>
        </w:rPr>
      </w:pPr>
      <w:r w:rsidRPr="007078E9">
        <w:rPr>
          <w:rFonts w:ascii="Arial" w:hAnsi="Arial" w:cs="Arial"/>
          <w:sz w:val="22"/>
          <w:szCs w:val="22"/>
        </w:rPr>
        <w:t>20.- COMI</w:t>
      </w:r>
      <w:r w:rsidR="0005440E" w:rsidRPr="007078E9">
        <w:rPr>
          <w:rFonts w:ascii="Arial" w:hAnsi="Arial" w:cs="Arial"/>
          <w:sz w:val="22"/>
          <w:szCs w:val="22"/>
        </w:rPr>
        <w:t>S</w:t>
      </w:r>
      <w:r w:rsidRPr="007078E9">
        <w:rPr>
          <w:rFonts w:ascii="Arial" w:hAnsi="Arial" w:cs="Arial"/>
          <w:sz w:val="22"/>
          <w:szCs w:val="22"/>
        </w:rPr>
        <w:t>ION NACIONAL DE A</w:t>
      </w:r>
      <w:r w:rsidR="00D24156" w:rsidRPr="007078E9">
        <w:rPr>
          <w:rFonts w:ascii="Arial" w:hAnsi="Arial" w:cs="Arial"/>
          <w:sz w:val="22"/>
          <w:szCs w:val="22"/>
        </w:rPr>
        <w:t>REAS</w:t>
      </w:r>
      <w:r w:rsidRPr="007078E9">
        <w:rPr>
          <w:rFonts w:ascii="Arial" w:hAnsi="Arial" w:cs="Arial"/>
          <w:sz w:val="22"/>
          <w:szCs w:val="22"/>
        </w:rPr>
        <w:t xml:space="preserve"> PROTEGIDAS</w:t>
      </w:r>
      <w:r w:rsidRPr="007078E9">
        <w:rPr>
          <w:rFonts w:ascii="Arial" w:hAnsi="Arial" w:cs="Arial"/>
          <w:b/>
          <w:sz w:val="22"/>
          <w:szCs w:val="22"/>
        </w:rPr>
        <w:t xml:space="preserve">: </w:t>
      </w:r>
      <w:r w:rsidRPr="007078E9">
        <w:rPr>
          <w:rFonts w:ascii="Arial" w:hAnsi="Arial" w:cs="Arial"/>
          <w:sz w:val="22"/>
          <w:szCs w:val="22"/>
        </w:rPr>
        <w:t>Reserva de la Biosfera Sierra Gorda de Guanajuato- Conservación y manejo de los ecosistemas y su biodiversidad.</w:t>
      </w:r>
    </w:p>
    <w:p w14:paraId="61200561" w14:textId="77777777" w:rsidR="00092FF9" w:rsidRPr="007078E9" w:rsidRDefault="00092FF9" w:rsidP="00092FF9">
      <w:pPr>
        <w:rPr>
          <w:rFonts w:ascii="Arial" w:hAnsi="Arial" w:cs="Arial"/>
          <w:sz w:val="22"/>
          <w:szCs w:val="22"/>
        </w:rPr>
      </w:pPr>
      <w:r w:rsidRPr="007078E9">
        <w:rPr>
          <w:rFonts w:ascii="Arial" w:hAnsi="Arial" w:cs="Arial"/>
          <w:sz w:val="22"/>
          <w:szCs w:val="22"/>
        </w:rPr>
        <w:t>21.- INVERNADEROS GARCÍA</w:t>
      </w:r>
      <w:r w:rsidRPr="007078E9">
        <w:rPr>
          <w:rFonts w:ascii="Arial" w:hAnsi="Arial" w:cs="Arial"/>
          <w:b/>
          <w:sz w:val="22"/>
          <w:szCs w:val="22"/>
        </w:rPr>
        <w:t>:</w:t>
      </w:r>
      <w:r w:rsidRPr="007078E9">
        <w:rPr>
          <w:rFonts w:ascii="Arial" w:hAnsi="Arial" w:cs="Arial"/>
          <w:sz w:val="22"/>
          <w:szCs w:val="22"/>
        </w:rPr>
        <w:t xml:space="preserve"> Tenancingo Estado de México.</w:t>
      </w:r>
    </w:p>
    <w:p w14:paraId="247B36DA" w14:textId="77777777" w:rsidR="00092FF9" w:rsidRPr="007078E9" w:rsidRDefault="00092FF9" w:rsidP="00092FF9">
      <w:pPr>
        <w:rPr>
          <w:rFonts w:ascii="Arial" w:hAnsi="Arial" w:cs="Arial"/>
          <w:sz w:val="22"/>
          <w:szCs w:val="22"/>
        </w:rPr>
      </w:pPr>
      <w:r w:rsidRPr="007078E9">
        <w:rPr>
          <w:rFonts w:ascii="Arial" w:hAnsi="Arial" w:cs="Arial"/>
          <w:sz w:val="22"/>
          <w:szCs w:val="22"/>
        </w:rPr>
        <w:t>22.- ECOSUR</w:t>
      </w:r>
      <w:r w:rsidRPr="007078E9">
        <w:rPr>
          <w:rFonts w:ascii="Arial" w:hAnsi="Arial" w:cs="Arial"/>
          <w:b/>
          <w:sz w:val="22"/>
          <w:szCs w:val="22"/>
        </w:rPr>
        <w:t>:</w:t>
      </w:r>
      <w:r w:rsidRPr="007078E9">
        <w:rPr>
          <w:rFonts w:ascii="Arial" w:hAnsi="Arial" w:cs="Arial"/>
          <w:sz w:val="22"/>
          <w:szCs w:val="22"/>
        </w:rPr>
        <w:t xml:space="preserve"> San Cristóbal de las Casas Chiapas, sistema de Producción alternativos</w:t>
      </w:r>
    </w:p>
    <w:p w14:paraId="25F41028" w14:textId="77777777" w:rsidR="00092FF9" w:rsidRPr="007078E9" w:rsidRDefault="00092FF9" w:rsidP="00092FF9">
      <w:pPr>
        <w:rPr>
          <w:rFonts w:ascii="Arial" w:hAnsi="Arial" w:cs="Arial"/>
          <w:sz w:val="22"/>
          <w:szCs w:val="22"/>
        </w:rPr>
      </w:pPr>
      <w:r w:rsidRPr="007078E9">
        <w:rPr>
          <w:rFonts w:ascii="Arial" w:hAnsi="Arial" w:cs="Arial"/>
          <w:sz w:val="22"/>
          <w:szCs w:val="22"/>
        </w:rPr>
        <w:t xml:space="preserve">23.- FERSINSA GB:Ramos Arizpe Coahuila- Microbiología </w:t>
      </w:r>
    </w:p>
    <w:p w14:paraId="1F1C8289" w14:textId="77777777" w:rsidR="00092FF9" w:rsidRPr="007078E9" w:rsidRDefault="00092FF9" w:rsidP="00092FF9">
      <w:pPr>
        <w:rPr>
          <w:rFonts w:ascii="Arial" w:hAnsi="Arial" w:cs="Arial"/>
          <w:sz w:val="22"/>
          <w:szCs w:val="22"/>
        </w:rPr>
      </w:pPr>
      <w:r w:rsidRPr="007078E9">
        <w:rPr>
          <w:rFonts w:ascii="Arial" w:hAnsi="Arial" w:cs="Arial"/>
          <w:sz w:val="22"/>
          <w:szCs w:val="22"/>
        </w:rPr>
        <w:t>24.- UNIVERSIDAD Tecnologíca  del valle del Mezquital Hidalgo</w:t>
      </w:r>
    </w:p>
    <w:p w14:paraId="23C8777F" w14:textId="77777777" w:rsidR="00092FF9" w:rsidRPr="007078E9" w:rsidRDefault="00092FF9" w:rsidP="00092FF9">
      <w:pPr>
        <w:rPr>
          <w:rFonts w:ascii="Arial" w:hAnsi="Arial" w:cs="Arial"/>
          <w:sz w:val="22"/>
          <w:szCs w:val="22"/>
        </w:rPr>
      </w:pPr>
      <w:r w:rsidRPr="007078E9">
        <w:rPr>
          <w:rFonts w:ascii="Arial" w:hAnsi="Arial" w:cs="Arial"/>
          <w:sz w:val="22"/>
          <w:szCs w:val="22"/>
        </w:rPr>
        <w:t>25.- SERVICIOS AMBIENTALES OAXACA A.C.</w:t>
      </w:r>
    </w:p>
    <w:p w14:paraId="5C9CFFAD" w14:textId="77777777" w:rsidR="00092FF9" w:rsidRPr="007078E9" w:rsidRDefault="00092FF9" w:rsidP="00092FF9">
      <w:pPr>
        <w:rPr>
          <w:rFonts w:ascii="Arial" w:hAnsi="Arial" w:cs="Arial"/>
          <w:sz w:val="22"/>
          <w:szCs w:val="22"/>
        </w:rPr>
      </w:pPr>
      <w:r w:rsidRPr="007078E9">
        <w:rPr>
          <w:rFonts w:ascii="Arial" w:hAnsi="Arial" w:cs="Arial"/>
          <w:sz w:val="22"/>
          <w:szCs w:val="22"/>
        </w:rPr>
        <w:t>26.- SECRETARIA DEL MEDIO AMBIENTE Y RECURSOS NATURALES SEMARNAT Veracruz</w:t>
      </w:r>
    </w:p>
    <w:p w14:paraId="0E098710" w14:textId="77777777" w:rsidR="00092FF9" w:rsidRPr="007078E9" w:rsidRDefault="00092FF9" w:rsidP="00092FF9">
      <w:pPr>
        <w:rPr>
          <w:rFonts w:ascii="Arial" w:hAnsi="Arial" w:cs="Arial"/>
          <w:sz w:val="22"/>
          <w:szCs w:val="22"/>
        </w:rPr>
      </w:pPr>
      <w:r w:rsidRPr="007078E9">
        <w:rPr>
          <w:rFonts w:ascii="Arial" w:hAnsi="Arial" w:cs="Arial"/>
          <w:sz w:val="22"/>
          <w:szCs w:val="22"/>
        </w:rPr>
        <w:t>27.- SAGARPA:04 Distrito de Villaflores Chiapas.</w:t>
      </w:r>
    </w:p>
    <w:p w14:paraId="1E8F23EA" w14:textId="77777777" w:rsidR="00092FF9" w:rsidRPr="007078E9" w:rsidRDefault="00092FF9" w:rsidP="00092FF9">
      <w:pPr>
        <w:rPr>
          <w:rFonts w:ascii="Arial" w:hAnsi="Arial" w:cs="Arial"/>
          <w:sz w:val="22"/>
          <w:szCs w:val="22"/>
        </w:rPr>
      </w:pPr>
      <w:r w:rsidRPr="007078E9">
        <w:rPr>
          <w:rFonts w:ascii="Arial" w:hAnsi="Arial" w:cs="Arial"/>
          <w:sz w:val="22"/>
          <w:szCs w:val="22"/>
        </w:rPr>
        <w:t>28.- INSTITUTO DE INOVACION Y TRANSFERENCIA DE TECNOLOGÍA</w:t>
      </w:r>
    </w:p>
    <w:p w14:paraId="74619D33" w14:textId="77777777" w:rsidR="00092FF9" w:rsidRPr="007078E9" w:rsidRDefault="00092FF9" w:rsidP="00092FF9">
      <w:pPr>
        <w:rPr>
          <w:rFonts w:ascii="Arial" w:hAnsi="Arial" w:cs="Arial"/>
          <w:sz w:val="22"/>
          <w:szCs w:val="22"/>
        </w:rPr>
      </w:pPr>
      <w:r w:rsidRPr="007078E9">
        <w:rPr>
          <w:rFonts w:ascii="Arial" w:hAnsi="Arial" w:cs="Arial"/>
          <w:sz w:val="22"/>
          <w:szCs w:val="22"/>
        </w:rPr>
        <w:t>29.- CEDEPRO</w:t>
      </w:r>
      <w:r w:rsidRPr="007078E9">
        <w:rPr>
          <w:rFonts w:ascii="Arial" w:hAnsi="Arial" w:cs="Arial"/>
          <w:b/>
          <w:sz w:val="22"/>
          <w:szCs w:val="22"/>
        </w:rPr>
        <w:t xml:space="preserve">. </w:t>
      </w:r>
      <w:r w:rsidRPr="007078E9">
        <w:rPr>
          <w:rFonts w:ascii="Arial" w:hAnsi="Arial" w:cs="Arial"/>
          <w:sz w:val="22"/>
          <w:szCs w:val="22"/>
        </w:rPr>
        <w:t>Centro de Evaluación y Desarrollo de Proyectos Producciónde jitomate en Hidroponia bajo invernadero.</w:t>
      </w:r>
    </w:p>
    <w:p w14:paraId="5FD89B85" w14:textId="77777777" w:rsidR="00092FF9" w:rsidRPr="007078E9" w:rsidRDefault="00092FF9" w:rsidP="00092FF9">
      <w:pPr>
        <w:rPr>
          <w:rFonts w:ascii="Arial" w:hAnsi="Arial" w:cs="Arial"/>
          <w:sz w:val="22"/>
          <w:szCs w:val="22"/>
        </w:rPr>
      </w:pPr>
      <w:r w:rsidRPr="007078E9">
        <w:rPr>
          <w:rFonts w:ascii="Arial" w:hAnsi="Arial" w:cs="Arial"/>
          <w:sz w:val="22"/>
          <w:szCs w:val="22"/>
        </w:rPr>
        <w:t>30.- CIQA:</w:t>
      </w:r>
      <w:r w:rsidR="00F01F3D">
        <w:rPr>
          <w:rFonts w:ascii="Arial" w:hAnsi="Arial" w:cs="Arial"/>
          <w:sz w:val="22"/>
          <w:szCs w:val="22"/>
        </w:rPr>
        <w:t xml:space="preserve"> </w:t>
      </w:r>
      <w:r w:rsidRPr="007078E9">
        <w:rPr>
          <w:rFonts w:ascii="Arial" w:hAnsi="Arial" w:cs="Arial"/>
          <w:sz w:val="22"/>
          <w:szCs w:val="22"/>
        </w:rPr>
        <w:t>Departamento de Plásticos.</w:t>
      </w:r>
    </w:p>
    <w:p w14:paraId="13D33009" w14:textId="77777777" w:rsidR="00092FF9" w:rsidRPr="007078E9" w:rsidRDefault="00092FF9" w:rsidP="00092FF9">
      <w:pPr>
        <w:rPr>
          <w:rFonts w:ascii="Arial" w:hAnsi="Arial" w:cs="Arial"/>
          <w:sz w:val="22"/>
          <w:szCs w:val="22"/>
        </w:rPr>
      </w:pPr>
      <w:r w:rsidRPr="007078E9">
        <w:rPr>
          <w:rFonts w:ascii="Arial" w:hAnsi="Arial" w:cs="Arial"/>
          <w:sz w:val="22"/>
          <w:szCs w:val="22"/>
        </w:rPr>
        <w:t>31.- CONANP</w:t>
      </w:r>
      <w:r w:rsidRPr="007078E9">
        <w:rPr>
          <w:rFonts w:ascii="Arial" w:hAnsi="Arial" w:cs="Arial"/>
          <w:b/>
          <w:sz w:val="22"/>
          <w:szCs w:val="22"/>
        </w:rPr>
        <w:t>:</w:t>
      </w:r>
      <w:r w:rsidRPr="007078E9">
        <w:rPr>
          <w:rFonts w:ascii="Arial" w:hAnsi="Arial" w:cs="Arial"/>
          <w:sz w:val="22"/>
          <w:szCs w:val="22"/>
        </w:rPr>
        <w:t xml:space="preserve"> Centro Mexicano de la Tortuga- Mazunte Oaxaca.</w:t>
      </w:r>
    </w:p>
    <w:p w14:paraId="27E68045" w14:textId="77777777" w:rsidR="00092FF9" w:rsidRPr="007078E9" w:rsidRDefault="00092FF9" w:rsidP="00092FF9">
      <w:pPr>
        <w:rPr>
          <w:rFonts w:ascii="Arial" w:hAnsi="Arial" w:cs="Arial"/>
          <w:sz w:val="22"/>
          <w:szCs w:val="22"/>
        </w:rPr>
      </w:pPr>
      <w:r w:rsidRPr="007078E9">
        <w:rPr>
          <w:rFonts w:ascii="Arial" w:hAnsi="Arial" w:cs="Arial"/>
          <w:sz w:val="22"/>
          <w:szCs w:val="22"/>
        </w:rPr>
        <w:t>32.- HOLCIM</w:t>
      </w:r>
      <w:r w:rsidRPr="007078E9">
        <w:rPr>
          <w:rFonts w:ascii="Arial" w:hAnsi="Arial" w:cs="Arial"/>
          <w:b/>
          <w:sz w:val="22"/>
          <w:szCs w:val="22"/>
        </w:rPr>
        <w:t>:</w:t>
      </w:r>
      <w:r w:rsidRPr="007078E9">
        <w:rPr>
          <w:rFonts w:ascii="Arial" w:hAnsi="Arial" w:cs="Arial"/>
          <w:sz w:val="22"/>
          <w:szCs w:val="22"/>
        </w:rPr>
        <w:t xml:space="preserve"> Planta Ramos Arizpe Coahuila, Programa de zona de rescate de especies nativas, implementar mejores técnicas para garantizar el rescate.</w:t>
      </w:r>
    </w:p>
    <w:p w14:paraId="50D396FB" w14:textId="77777777" w:rsidR="00092FF9" w:rsidRPr="007078E9" w:rsidRDefault="00092FF9" w:rsidP="00092FF9">
      <w:pPr>
        <w:rPr>
          <w:rFonts w:ascii="Arial" w:hAnsi="Arial" w:cs="Arial"/>
          <w:sz w:val="22"/>
          <w:szCs w:val="22"/>
        </w:rPr>
      </w:pPr>
      <w:r w:rsidRPr="007078E9">
        <w:rPr>
          <w:rFonts w:ascii="Arial" w:hAnsi="Arial" w:cs="Arial"/>
          <w:sz w:val="22"/>
          <w:szCs w:val="22"/>
        </w:rPr>
        <w:t>33.- CIRNE- INIFAP: Campo Experimental Saltillo.</w:t>
      </w:r>
    </w:p>
    <w:p w14:paraId="6053F2B3"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lastRenderedPageBreak/>
        <w:t>34.-COMISIÓN NACIONAL DE AREAS NATURALES PROTEGIDAS:</w:t>
      </w:r>
    </w:p>
    <w:p w14:paraId="0F929CDD"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35.-Reserva de la Biosfera sierra de Mazatlán.</w:t>
      </w:r>
    </w:p>
    <w:p w14:paraId="069889FA"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36.- AGENCIA DE DESARROLLO RURAL MEXTLALI S.C.</w:t>
      </w:r>
    </w:p>
    <w:p w14:paraId="24F1FE6F"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37.- UNIVERSIDASD AUTONOMA DE NUEVO LEÓN</w:t>
      </w:r>
    </w:p>
    <w:p w14:paraId="72BAAE28"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38.- SECRETARIA DE MEDIO AMBIENTE – SEMA COAHUILA</w:t>
      </w:r>
    </w:p>
    <w:p w14:paraId="7EB81975"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39.- FERNATOL</w:t>
      </w:r>
      <w:r w:rsidRPr="007078E9">
        <w:rPr>
          <w:rFonts w:ascii="Arial" w:hAnsi="Arial" w:cs="Arial"/>
          <w:b/>
          <w:sz w:val="22"/>
          <w:szCs w:val="22"/>
        </w:rPr>
        <w:t>:</w:t>
      </w:r>
      <w:r w:rsidRPr="007078E9">
        <w:rPr>
          <w:rFonts w:ascii="Arial" w:hAnsi="Arial" w:cs="Arial"/>
          <w:sz w:val="22"/>
          <w:szCs w:val="22"/>
        </w:rPr>
        <w:t xml:space="preserve"> Fertilizante Natural por Lombricomposteo </w:t>
      </w:r>
    </w:p>
    <w:p w14:paraId="77B5911D"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40.- COMITÉ NACIONAL SISTEMA PRODUCTO JAMAICA CHILPANSINGO GUERRERO</w:t>
      </w:r>
    </w:p>
    <w:p w14:paraId="0B8D103B"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41.- ACUARIO VERACRUZ, VERACRUZ</w:t>
      </w:r>
    </w:p>
    <w:p w14:paraId="3DB4634D"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42.- DESPACHO DE GESTORIA AMBIENTAL SALTILLO COAHUILA</w:t>
      </w:r>
    </w:p>
    <w:p w14:paraId="4C525FD5"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43.- AGENCIA DE DESARROLLO RURAL MEXTLALI S.C</w:t>
      </w:r>
    </w:p>
    <w:p w14:paraId="0F334693"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44.- INIFAP</w:t>
      </w:r>
      <w:r w:rsidRPr="007078E9">
        <w:rPr>
          <w:rFonts w:ascii="Arial" w:hAnsi="Arial" w:cs="Arial"/>
          <w:b/>
          <w:sz w:val="22"/>
          <w:szCs w:val="22"/>
        </w:rPr>
        <w:t>:</w:t>
      </w:r>
      <w:r w:rsidRPr="007078E9">
        <w:rPr>
          <w:rFonts w:ascii="Arial" w:hAnsi="Arial" w:cs="Arial"/>
          <w:sz w:val="22"/>
          <w:szCs w:val="22"/>
        </w:rPr>
        <w:t xml:space="preserve"> Uruapan Michoacán, Aplicación de tratamientos de biofertilizantes en campo, toma de datos, análisis. Estadísticos del cultivo aguacate</w:t>
      </w:r>
    </w:p>
    <w:p w14:paraId="3D2720DC"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45.- CENTRO DE AGROECOLOGÍA SAN FRANCISCO DE ASIS A,C Tapachula Chiapas</w:t>
      </w:r>
    </w:p>
    <w:p w14:paraId="21247F40"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46.-PROCURADURIA DE PROTECCION AL AMBIENTE DEL ESTADO DE GTO.</w:t>
      </w:r>
    </w:p>
    <w:p w14:paraId="1032803C"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47.- INSTITUTO PARA EL DESARROLLO DE LA MIXTECA A.C.</w:t>
      </w:r>
    </w:p>
    <w:p w14:paraId="7C6E4A4C"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48.- SAGARPA – SNICS</w:t>
      </w:r>
      <w:r w:rsidRPr="007078E9">
        <w:rPr>
          <w:rFonts w:ascii="Arial" w:hAnsi="Arial" w:cs="Arial"/>
          <w:b/>
          <w:sz w:val="22"/>
          <w:szCs w:val="22"/>
        </w:rPr>
        <w:t>-</w:t>
      </w:r>
      <w:r w:rsidRPr="007078E9">
        <w:rPr>
          <w:rFonts w:ascii="Arial" w:hAnsi="Arial" w:cs="Arial"/>
          <w:sz w:val="22"/>
          <w:szCs w:val="22"/>
        </w:rPr>
        <w:t xml:space="preserve"> Sistema Nacional de Recursos Filogenéticos- Conservación conocimiento y uso sustentable de los recursos Filogenéticos.</w:t>
      </w:r>
    </w:p>
    <w:p w14:paraId="2E2530E8"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49.- SECRETARÍA DEL MEDIO AMBIENTE: Vivienda e Historia Natural – Montes azules Chiapas.</w:t>
      </w:r>
    </w:p>
    <w:p w14:paraId="63D21250"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50.- CHRYSLER- RAMOS ARIZPE</w:t>
      </w:r>
      <w:r w:rsidRPr="007078E9">
        <w:rPr>
          <w:rFonts w:ascii="Arial" w:hAnsi="Arial" w:cs="Arial"/>
          <w:b/>
          <w:sz w:val="22"/>
          <w:szCs w:val="22"/>
        </w:rPr>
        <w:t xml:space="preserve">: </w:t>
      </w:r>
      <w:r w:rsidRPr="007078E9">
        <w:rPr>
          <w:rFonts w:ascii="Arial" w:hAnsi="Arial" w:cs="Arial"/>
          <w:sz w:val="22"/>
          <w:szCs w:val="22"/>
        </w:rPr>
        <w:t>Medio Ambiente, Planta tratamiento de Aguas residuales.</w:t>
      </w:r>
    </w:p>
    <w:p w14:paraId="0D1585B2" w14:textId="77777777"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51.- SEMARNAT</w:t>
      </w:r>
      <w:r w:rsidRPr="007078E9">
        <w:rPr>
          <w:rFonts w:ascii="Arial" w:hAnsi="Arial" w:cs="Arial"/>
          <w:b/>
          <w:sz w:val="22"/>
          <w:szCs w:val="22"/>
        </w:rPr>
        <w:t xml:space="preserve">: </w:t>
      </w:r>
      <w:r w:rsidRPr="007078E9">
        <w:rPr>
          <w:rFonts w:ascii="Arial" w:hAnsi="Arial" w:cs="Arial"/>
          <w:sz w:val="22"/>
          <w:szCs w:val="22"/>
        </w:rPr>
        <w:t>Comisión de áreas naturales protegidas área de protección de flora y fauna islas del golfo de California zona sur.</w:t>
      </w:r>
    </w:p>
    <w:p w14:paraId="0DB6B018"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52.- DIRECCIÓN DEL COMITÉ ESTATAL DE SANIDAD VEGETAL NUEVO LEÓN.</w:t>
      </w:r>
    </w:p>
    <w:p w14:paraId="348E4590" w14:textId="77777777" w:rsidR="00092FF9" w:rsidRPr="007078E9" w:rsidRDefault="00092FF9" w:rsidP="00092FF9">
      <w:pPr>
        <w:rPr>
          <w:rFonts w:ascii="Arial" w:hAnsi="Arial" w:cs="Arial"/>
          <w:sz w:val="22"/>
          <w:szCs w:val="22"/>
        </w:rPr>
      </w:pPr>
      <w:r w:rsidRPr="007078E9">
        <w:rPr>
          <w:rFonts w:ascii="Arial" w:hAnsi="Arial" w:cs="Arial"/>
          <w:sz w:val="22"/>
          <w:szCs w:val="22"/>
        </w:rPr>
        <w:t>53.- RESERVA DE LA BIOSFERA EL TRIUNFO</w:t>
      </w:r>
    </w:p>
    <w:p w14:paraId="510F6BAB" w14:textId="77777777" w:rsidR="00092FF9" w:rsidRPr="007078E9" w:rsidRDefault="00092FF9" w:rsidP="00092FF9">
      <w:pPr>
        <w:rPr>
          <w:rFonts w:ascii="Arial" w:hAnsi="Arial" w:cs="Arial"/>
          <w:sz w:val="22"/>
          <w:szCs w:val="22"/>
        </w:rPr>
      </w:pPr>
      <w:r w:rsidRPr="007078E9">
        <w:rPr>
          <w:rFonts w:ascii="Arial" w:hAnsi="Arial" w:cs="Arial"/>
          <w:sz w:val="22"/>
          <w:szCs w:val="22"/>
        </w:rPr>
        <w:t>54.- SECRETARÍA DEL MEDIO AMBIENTE Y RECURSOS NATURALES DELEGACIÓN FEDERAL VERACRUZ.</w:t>
      </w:r>
    </w:p>
    <w:p w14:paraId="57A26E77" w14:textId="77777777" w:rsidR="00092FF9" w:rsidRPr="007078E9" w:rsidRDefault="00092FF9" w:rsidP="00092FF9">
      <w:pPr>
        <w:rPr>
          <w:rFonts w:ascii="Arial" w:hAnsi="Arial" w:cs="Arial"/>
          <w:sz w:val="22"/>
          <w:szCs w:val="22"/>
        </w:rPr>
      </w:pPr>
      <w:r w:rsidRPr="007078E9">
        <w:rPr>
          <w:rFonts w:ascii="Arial" w:hAnsi="Arial" w:cs="Arial"/>
          <w:sz w:val="22"/>
          <w:szCs w:val="22"/>
        </w:rPr>
        <w:t>55.- BENEFICIO CUSTEPEC S.A. DE C.V. La Concordia Chiapas.</w:t>
      </w:r>
    </w:p>
    <w:p w14:paraId="0D74A1ED" w14:textId="77777777" w:rsidR="00092FF9" w:rsidRPr="007078E9" w:rsidRDefault="00092FF9" w:rsidP="00092FF9">
      <w:pPr>
        <w:rPr>
          <w:rFonts w:ascii="Arial" w:hAnsi="Arial" w:cs="Arial"/>
          <w:sz w:val="22"/>
          <w:szCs w:val="22"/>
        </w:rPr>
      </w:pPr>
      <w:r w:rsidRPr="007078E9">
        <w:rPr>
          <w:rFonts w:ascii="Arial" w:hAnsi="Arial" w:cs="Arial"/>
          <w:sz w:val="22"/>
          <w:szCs w:val="22"/>
        </w:rPr>
        <w:lastRenderedPageBreak/>
        <w:t>56.- DEPARTAMENTO DE BIOTECNOLOGÍA</w:t>
      </w:r>
      <w:r w:rsidRPr="007078E9">
        <w:rPr>
          <w:rFonts w:ascii="Arial" w:hAnsi="Arial" w:cs="Arial"/>
          <w:b/>
          <w:sz w:val="22"/>
          <w:szCs w:val="22"/>
        </w:rPr>
        <w:t xml:space="preserve">. </w:t>
      </w:r>
      <w:r w:rsidRPr="007078E9">
        <w:rPr>
          <w:rFonts w:ascii="Arial" w:hAnsi="Arial" w:cs="Arial"/>
          <w:sz w:val="22"/>
          <w:szCs w:val="22"/>
        </w:rPr>
        <w:t xml:space="preserve">Facultad de Ciencias Químicas U.A. de C. </w:t>
      </w:r>
    </w:p>
    <w:p w14:paraId="4E74BAA4" w14:textId="77777777" w:rsidR="00092FF9" w:rsidRPr="007078E9" w:rsidRDefault="00092FF9" w:rsidP="00092FF9">
      <w:pPr>
        <w:rPr>
          <w:rFonts w:ascii="Arial" w:hAnsi="Arial" w:cs="Arial"/>
          <w:sz w:val="22"/>
          <w:szCs w:val="22"/>
        </w:rPr>
      </w:pPr>
      <w:r w:rsidRPr="007078E9">
        <w:rPr>
          <w:rFonts w:ascii="Arial" w:hAnsi="Arial" w:cs="Arial"/>
          <w:sz w:val="22"/>
          <w:szCs w:val="22"/>
        </w:rPr>
        <w:t>57.- HIDROPONIA MAYA S.A. de C.V.Cultivos Hidropónicos bajo ambiente controlado.</w:t>
      </w:r>
    </w:p>
    <w:p w14:paraId="6F291299" w14:textId="77777777" w:rsidR="00092FF9" w:rsidRPr="007078E9" w:rsidRDefault="00092FF9" w:rsidP="00092FF9">
      <w:pPr>
        <w:rPr>
          <w:rFonts w:ascii="Arial" w:hAnsi="Arial" w:cs="Arial"/>
          <w:sz w:val="22"/>
          <w:szCs w:val="22"/>
        </w:rPr>
      </w:pPr>
      <w:r w:rsidRPr="007078E9">
        <w:rPr>
          <w:rFonts w:ascii="Arial" w:hAnsi="Arial" w:cs="Arial"/>
          <w:sz w:val="22"/>
          <w:szCs w:val="22"/>
        </w:rPr>
        <w:t>58.-PROFAUNA- SALTILLO.</w:t>
      </w:r>
    </w:p>
    <w:p w14:paraId="15BB5C70" w14:textId="77777777" w:rsidR="00092FF9" w:rsidRPr="007078E9" w:rsidRDefault="00092FF9" w:rsidP="00092FF9">
      <w:pPr>
        <w:rPr>
          <w:rFonts w:ascii="Arial" w:hAnsi="Arial" w:cs="Arial"/>
          <w:sz w:val="22"/>
          <w:szCs w:val="22"/>
        </w:rPr>
      </w:pPr>
      <w:r w:rsidRPr="007078E9">
        <w:rPr>
          <w:rFonts w:ascii="Arial" w:hAnsi="Arial" w:cs="Arial"/>
          <w:sz w:val="22"/>
          <w:szCs w:val="22"/>
        </w:rPr>
        <w:t>59.- INGENIERIA GEO AMBIENTALConsultores en Geología urbana, gestión e impacto ambiental.</w:t>
      </w:r>
    </w:p>
    <w:p w14:paraId="4FD5FB0B"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 xml:space="preserve">60.- CONSEJO DE CIENCIA Y TECNOLOGÍA DEL ESTADO DE QUERETARO </w:t>
      </w:r>
    </w:p>
    <w:p w14:paraId="5F0CC457"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Centro Queretano de Recursos Naturales manejo de la investigación sobre recursos Naturales y medio manejo de la investigación sobre recursos naturales y medio ambiente a través de Sistemas de Información geografía y percepción remota</w:t>
      </w:r>
    </w:p>
    <w:p w14:paraId="07D5144D" w14:textId="77777777" w:rsidR="00092FF9" w:rsidRPr="007078E9" w:rsidRDefault="00092FF9" w:rsidP="00092FF9">
      <w:pPr>
        <w:rPr>
          <w:rFonts w:ascii="Arial" w:hAnsi="Arial" w:cs="Arial"/>
          <w:b/>
          <w:sz w:val="22"/>
          <w:szCs w:val="22"/>
        </w:rPr>
      </w:pPr>
      <w:r w:rsidRPr="007078E9">
        <w:rPr>
          <w:rFonts w:ascii="Arial" w:hAnsi="Arial" w:cs="Arial"/>
          <w:sz w:val="22"/>
          <w:szCs w:val="22"/>
        </w:rPr>
        <w:t>61.- UNIVERSIDAD TECNOLOGICA DE LOS VALLES CENTRALES OAXACA</w:t>
      </w:r>
      <w:r w:rsidRPr="007078E9">
        <w:rPr>
          <w:rFonts w:ascii="Arial" w:hAnsi="Arial" w:cs="Arial"/>
          <w:b/>
          <w:sz w:val="22"/>
          <w:szCs w:val="22"/>
        </w:rPr>
        <w:t>.</w:t>
      </w:r>
    </w:p>
    <w:p w14:paraId="14788785"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62.- PROCURADURIA AGRARIA- SEDATU</w:t>
      </w:r>
    </w:p>
    <w:p w14:paraId="6EF3BFF9"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63.- ECOSUR</w:t>
      </w:r>
      <w:r w:rsidRPr="007078E9">
        <w:rPr>
          <w:rFonts w:ascii="Arial" w:hAnsi="Arial" w:cs="Arial"/>
          <w:b/>
          <w:sz w:val="22"/>
          <w:szCs w:val="22"/>
        </w:rPr>
        <w:t xml:space="preserve">- </w:t>
      </w:r>
      <w:r w:rsidRPr="007078E9">
        <w:rPr>
          <w:rFonts w:ascii="Arial" w:hAnsi="Arial" w:cs="Arial"/>
          <w:sz w:val="22"/>
          <w:szCs w:val="22"/>
        </w:rPr>
        <w:t>Sistemas de Producción alternativa colegio de la Frontera Sur Chiapas.</w:t>
      </w:r>
    </w:p>
    <w:p w14:paraId="18189850"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64.- INIFAP</w:t>
      </w:r>
      <w:r w:rsidRPr="007078E9">
        <w:rPr>
          <w:rFonts w:ascii="Arial" w:hAnsi="Arial" w:cs="Arial"/>
          <w:b/>
          <w:sz w:val="22"/>
          <w:szCs w:val="22"/>
        </w:rPr>
        <w:t xml:space="preserve">- </w:t>
      </w:r>
      <w:r w:rsidRPr="007078E9">
        <w:rPr>
          <w:rFonts w:ascii="Arial" w:hAnsi="Arial" w:cs="Arial"/>
          <w:sz w:val="22"/>
          <w:szCs w:val="22"/>
        </w:rPr>
        <w:t>Propagación de Noche buena y cactáceas Coahuila, Ornamentales de importancia comercial.</w:t>
      </w:r>
    </w:p>
    <w:p w14:paraId="0297FB6D"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65.- CINVESTAV-Irapuato Guanajuato, laboratorio de Bacteriología  Molecular.</w:t>
      </w:r>
    </w:p>
    <w:p w14:paraId="1B952738"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66.- INVESTIGACIÓN AGROBIOLOGÍA</w:t>
      </w:r>
      <w:r w:rsidRPr="007078E9">
        <w:rPr>
          <w:rFonts w:ascii="Arial" w:hAnsi="Arial" w:cs="Arial"/>
          <w:b/>
          <w:sz w:val="22"/>
          <w:szCs w:val="22"/>
        </w:rPr>
        <w:t>-</w:t>
      </w:r>
      <w:r w:rsidRPr="007078E9">
        <w:rPr>
          <w:rFonts w:ascii="Arial" w:hAnsi="Arial" w:cs="Arial"/>
          <w:sz w:val="22"/>
          <w:szCs w:val="22"/>
        </w:rPr>
        <w:t xml:space="preserve"> Arysta – LifeScience Ensayos de actividades biológica hormonal, enzimática siembra, mantenimiento de plántulas, establecimiento y evaluación de experimentos en invernadero.</w:t>
      </w:r>
    </w:p>
    <w:p w14:paraId="440E3FAD"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67.- SECRETARIA DE MEDIO AMBIENTE Y RECURSOS NATURALES DE GUERRERO.</w:t>
      </w:r>
    </w:p>
    <w:p w14:paraId="71ADA065"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68.- LABORATORIO DE DIAGNOSTICO FITOSANITARIO CESAVEG IRAPUATO GTO.</w:t>
      </w:r>
    </w:p>
    <w:p w14:paraId="2CEF26A6"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69.- ECOSUR</w:t>
      </w:r>
      <w:r w:rsidRPr="007078E9">
        <w:rPr>
          <w:rFonts w:ascii="Arial" w:hAnsi="Arial" w:cs="Arial"/>
          <w:b/>
          <w:sz w:val="22"/>
          <w:szCs w:val="22"/>
        </w:rPr>
        <w:t>-</w:t>
      </w:r>
      <w:r w:rsidRPr="007078E9">
        <w:rPr>
          <w:rFonts w:ascii="Arial" w:hAnsi="Arial" w:cs="Arial"/>
          <w:sz w:val="22"/>
          <w:szCs w:val="22"/>
        </w:rPr>
        <w:t xml:space="preserve"> Ecología para la conservación de la Fauna Silvestre Chiapas.</w:t>
      </w:r>
    </w:p>
    <w:p w14:paraId="6DAA6DC4"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70.- FLORA Y FAUNA CULTURAL XCARERT</w:t>
      </w:r>
      <w:r w:rsidRPr="007078E9">
        <w:rPr>
          <w:rFonts w:ascii="Arial" w:hAnsi="Arial" w:cs="Arial"/>
          <w:b/>
          <w:sz w:val="22"/>
          <w:szCs w:val="22"/>
        </w:rPr>
        <w:t xml:space="preserve">- </w:t>
      </w:r>
      <w:r w:rsidRPr="007078E9">
        <w:rPr>
          <w:rFonts w:ascii="Arial" w:hAnsi="Arial" w:cs="Arial"/>
          <w:sz w:val="22"/>
          <w:szCs w:val="22"/>
        </w:rPr>
        <w:t>Playa del Carmen Quintana Roo</w:t>
      </w:r>
    </w:p>
    <w:p w14:paraId="3E41F2A3"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Conservación de áreas verdes, Escuela verde.</w:t>
      </w:r>
    </w:p>
    <w:p w14:paraId="03062991" w14:textId="77777777" w:rsidR="00092FF9" w:rsidRPr="007078E9" w:rsidRDefault="00F86E21" w:rsidP="00092FF9">
      <w:pPr>
        <w:spacing w:after="0"/>
        <w:rPr>
          <w:rFonts w:ascii="Arial" w:hAnsi="Arial" w:cs="Arial"/>
          <w:sz w:val="22"/>
          <w:szCs w:val="22"/>
        </w:rPr>
      </w:pPr>
      <w:r w:rsidRPr="007078E9">
        <w:rPr>
          <w:rFonts w:ascii="Arial" w:hAnsi="Arial" w:cs="Arial"/>
          <w:sz w:val="22"/>
          <w:szCs w:val="22"/>
        </w:rPr>
        <w:t>71</w:t>
      </w:r>
      <w:r w:rsidR="00092FF9" w:rsidRPr="007078E9">
        <w:rPr>
          <w:rFonts w:ascii="Arial" w:hAnsi="Arial" w:cs="Arial"/>
          <w:sz w:val="22"/>
          <w:szCs w:val="22"/>
        </w:rPr>
        <w:t>.- SERVICIOS DE SALUD DE OAXACA</w:t>
      </w:r>
    </w:p>
    <w:p w14:paraId="1E7544B1" w14:textId="77777777" w:rsidR="00092FF9" w:rsidRPr="007078E9" w:rsidRDefault="00F86E21" w:rsidP="00092FF9">
      <w:pPr>
        <w:spacing w:after="0"/>
        <w:rPr>
          <w:rFonts w:ascii="Arial" w:hAnsi="Arial" w:cs="Arial"/>
          <w:sz w:val="22"/>
          <w:szCs w:val="22"/>
        </w:rPr>
      </w:pPr>
      <w:r w:rsidRPr="007078E9">
        <w:rPr>
          <w:rFonts w:ascii="Arial" w:hAnsi="Arial" w:cs="Arial"/>
          <w:sz w:val="22"/>
          <w:szCs w:val="22"/>
        </w:rPr>
        <w:t>72</w:t>
      </w:r>
      <w:r w:rsidR="00092FF9" w:rsidRPr="007078E9">
        <w:rPr>
          <w:rFonts w:ascii="Arial" w:hAnsi="Arial" w:cs="Arial"/>
          <w:sz w:val="22"/>
          <w:szCs w:val="22"/>
        </w:rPr>
        <w:t>.- ECOSUR-  CHIAPAS- Diversidad y Dinámica de ecosistemas del Sureste de México- Ecología de Orquídeas.</w:t>
      </w:r>
    </w:p>
    <w:p w14:paraId="13D909CE" w14:textId="77777777" w:rsidR="00092FF9" w:rsidRPr="007078E9" w:rsidRDefault="00F86E21" w:rsidP="00092FF9">
      <w:pPr>
        <w:spacing w:after="0"/>
        <w:rPr>
          <w:rFonts w:ascii="Arial" w:hAnsi="Arial" w:cs="Arial"/>
          <w:sz w:val="22"/>
          <w:szCs w:val="22"/>
        </w:rPr>
      </w:pPr>
      <w:r w:rsidRPr="007078E9">
        <w:rPr>
          <w:rFonts w:ascii="Arial" w:hAnsi="Arial" w:cs="Arial"/>
          <w:sz w:val="22"/>
          <w:szCs w:val="22"/>
        </w:rPr>
        <w:t>73</w:t>
      </w:r>
      <w:r w:rsidR="00092FF9" w:rsidRPr="007078E9">
        <w:rPr>
          <w:rFonts w:ascii="Arial" w:hAnsi="Arial" w:cs="Arial"/>
          <w:sz w:val="22"/>
          <w:szCs w:val="22"/>
        </w:rPr>
        <w:t>.- GOBIERNO MUNICIPAL</w:t>
      </w:r>
      <w:r w:rsidR="00092FF9" w:rsidRPr="007078E9">
        <w:rPr>
          <w:rFonts w:ascii="Arial" w:hAnsi="Arial" w:cs="Arial"/>
          <w:b/>
          <w:sz w:val="22"/>
          <w:szCs w:val="22"/>
        </w:rPr>
        <w:t>-</w:t>
      </w:r>
      <w:r w:rsidR="00092FF9" w:rsidRPr="007078E9">
        <w:rPr>
          <w:rFonts w:ascii="Arial" w:hAnsi="Arial" w:cs="Arial"/>
          <w:sz w:val="22"/>
          <w:szCs w:val="22"/>
        </w:rPr>
        <w:t xml:space="preserve"> Álamo Temapache- Veracruz, Fomento Agropecuario.</w:t>
      </w:r>
    </w:p>
    <w:p w14:paraId="0859E39B" w14:textId="77777777" w:rsidR="00092FF9" w:rsidRPr="007078E9" w:rsidRDefault="00F86E21" w:rsidP="00092FF9">
      <w:pPr>
        <w:spacing w:after="0"/>
        <w:rPr>
          <w:rFonts w:ascii="Arial" w:hAnsi="Arial" w:cs="Arial"/>
          <w:sz w:val="22"/>
          <w:szCs w:val="22"/>
        </w:rPr>
      </w:pPr>
      <w:r w:rsidRPr="007078E9">
        <w:rPr>
          <w:rFonts w:ascii="Arial" w:hAnsi="Arial" w:cs="Arial"/>
          <w:sz w:val="22"/>
          <w:szCs w:val="22"/>
        </w:rPr>
        <w:t>74</w:t>
      </w:r>
      <w:r w:rsidR="00092FF9" w:rsidRPr="007078E9">
        <w:rPr>
          <w:rFonts w:ascii="Arial" w:hAnsi="Arial" w:cs="Arial"/>
          <w:sz w:val="22"/>
          <w:szCs w:val="22"/>
        </w:rPr>
        <w:t>.-SERVICIOS SUSTENTABLES</w:t>
      </w:r>
      <w:r w:rsidR="00092FF9" w:rsidRPr="007078E9">
        <w:rPr>
          <w:rFonts w:ascii="Arial" w:hAnsi="Arial" w:cs="Arial"/>
          <w:b/>
          <w:sz w:val="22"/>
          <w:szCs w:val="22"/>
        </w:rPr>
        <w:t>-</w:t>
      </w:r>
      <w:r w:rsidR="00092FF9" w:rsidRPr="007078E9">
        <w:rPr>
          <w:rFonts w:ascii="Arial" w:hAnsi="Arial" w:cs="Arial"/>
          <w:sz w:val="22"/>
          <w:szCs w:val="22"/>
        </w:rPr>
        <w:t xml:space="preserve"> Para el desarrollo integral Marea Verde S.C.</w:t>
      </w:r>
    </w:p>
    <w:p w14:paraId="7B7D5486" w14:textId="77777777" w:rsidR="00092FF9" w:rsidRPr="007078E9" w:rsidRDefault="00092FF9" w:rsidP="00092FF9">
      <w:pPr>
        <w:spacing w:after="0"/>
        <w:rPr>
          <w:rFonts w:ascii="Arial" w:hAnsi="Arial" w:cs="Arial"/>
          <w:sz w:val="22"/>
          <w:szCs w:val="22"/>
        </w:rPr>
      </w:pPr>
      <w:r w:rsidRPr="007078E9">
        <w:rPr>
          <w:rFonts w:ascii="Arial" w:hAnsi="Arial" w:cs="Arial"/>
          <w:sz w:val="22"/>
          <w:szCs w:val="22"/>
        </w:rPr>
        <w:t>Trabajo en comunidades indígenas del Municipio de Ayutla Libres Guerrero- producción Agroecologíca.</w:t>
      </w:r>
    </w:p>
    <w:p w14:paraId="122080C2" w14:textId="77777777" w:rsidR="00092FF9" w:rsidRPr="007078E9" w:rsidRDefault="00F86E21" w:rsidP="00092FF9">
      <w:pPr>
        <w:spacing w:after="0"/>
        <w:rPr>
          <w:rFonts w:ascii="Arial" w:hAnsi="Arial" w:cs="Arial"/>
          <w:sz w:val="22"/>
          <w:szCs w:val="22"/>
        </w:rPr>
      </w:pPr>
      <w:r w:rsidRPr="007078E9">
        <w:rPr>
          <w:rFonts w:ascii="Arial" w:hAnsi="Arial" w:cs="Arial"/>
          <w:sz w:val="22"/>
          <w:szCs w:val="22"/>
        </w:rPr>
        <w:t>75</w:t>
      </w:r>
      <w:r w:rsidR="00092FF9" w:rsidRPr="007078E9">
        <w:rPr>
          <w:rFonts w:ascii="Arial" w:hAnsi="Arial" w:cs="Arial"/>
          <w:sz w:val="22"/>
          <w:szCs w:val="22"/>
        </w:rPr>
        <w:t>.-SECRETARÍA DE LA SAGDR- DURANGO</w:t>
      </w:r>
      <w:r w:rsidR="00092FF9" w:rsidRPr="007078E9">
        <w:rPr>
          <w:rFonts w:ascii="Arial" w:hAnsi="Arial" w:cs="Arial"/>
          <w:b/>
          <w:sz w:val="22"/>
          <w:szCs w:val="22"/>
        </w:rPr>
        <w:t>-</w:t>
      </w:r>
      <w:r w:rsidR="00092FF9" w:rsidRPr="007078E9">
        <w:rPr>
          <w:rFonts w:ascii="Arial" w:hAnsi="Arial" w:cs="Arial"/>
          <w:sz w:val="22"/>
          <w:szCs w:val="22"/>
        </w:rPr>
        <w:t>Agricultura protegida- invernaderos.</w:t>
      </w:r>
    </w:p>
    <w:p w14:paraId="03F8517F" w14:textId="77777777" w:rsidR="00092FF9" w:rsidRPr="007078E9" w:rsidRDefault="00F86E21" w:rsidP="00092FF9">
      <w:pPr>
        <w:spacing w:after="0"/>
        <w:rPr>
          <w:rFonts w:ascii="Arial" w:hAnsi="Arial" w:cs="Arial"/>
          <w:sz w:val="22"/>
          <w:szCs w:val="22"/>
        </w:rPr>
      </w:pPr>
      <w:r w:rsidRPr="007078E9">
        <w:rPr>
          <w:rFonts w:ascii="Arial" w:hAnsi="Arial" w:cs="Arial"/>
          <w:sz w:val="22"/>
          <w:szCs w:val="22"/>
        </w:rPr>
        <w:t>76</w:t>
      </w:r>
      <w:r w:rsidR="00092FF9" w:rsidRPr="007078E9">
        <w:rPr>
          <w:rFonts w:ascii="Arial" w:hAnsi="Arial" w:cs="Arial"/>
          <w:sz w:val="22"/>
          <w:szCs w:val="22"/>
        </w:rPr>
        <w:t>.- CONSEJO DE CIENCIA Y TECNOLOGÍA DEL ESTADO DE QUERÉTARO</w:t>
      </w:r>
      <w:r w:rsidR="00092FF9" w:rsidRPr="007078E9">
        <w:rPr>
          <w:rFonts w:ascii="Arial" w:hAnsi="Arial" w:cs="Arial"/>
          <w:b/>
          <w:sz w:val="22"/>
          <w:szCs w:val="22"/>
        </w:rPr>
        <w:t xml:space="preserve"> –</w:t>
      </w:r>
      <w:r w:rsidR="00092FF9" w:rsidRPr="007078E9">
        <w:rPr>
          <w:rFonts w:ascii="Arial" w:hAnsi="Arial" w:cs="Arial"/>
          <w:sz w:val="22"/>
          <w:szCs w:val="22"/>
        </w:rPr>
        <w:t>Centro Queretano de Recursos Naturales.</w:t>
      </w:r>
    </w:p>
    <w:p w14:paraId="685B1F65" w14:textId="77777777" w:rsidR="00092FF9" w:rsidRPr="007078E9" w:rsidRDefault="00F86E21" w:rsidP="00092FF9">
      <w:pPr>
        <w:spacing w:after="0"/>
        <w:rPr>
          <w:rFonts w:ascii="Arial" w:hAnsi="Arial" w:cs="Arial"/>
          <w:sz w:val="22"/>
          <w:szCs w:val="22"/>
        </w:rPr>
      </w:pPr>
      <w:r w:rsidRPr="007078E9">
        <w:rPr>
          <w:rFonts w:ascii="Arial" w:hAnsi="Arial" w:cs="Arial"/>
          <w:sz w:val="22"/>
          <w:szCs w:val="22"/>
        </w:rPr>
        <w:t>77</w:t>
      </w:r>
      <w:r w:rsidR="00092FF9" w:rsidRPr="007078E9">
        <w:rPr>
          <w:rFonts w:ascii="Arial" w:hAnsi="Arial" w:cs="Arial"/>
          <w:sz w:val="22"/>
          <w:szCs w:val="22"/>
        </w:rPr>
        <w:t>.- AYUNTAMIENTO DE MERIDA</w:t>
      </w:r>
      <w:r w:rsidR="00092FF9" w:rsidRPr="007078E9">
        <w:rPr>
          <w:rFonts w:ascii="Arial" w:hAnsi="Arial" w:cs="Arial"/>
          <w:b/>
          <w:sz w:val="22"/>
          <w:szCs w:val="22"/>
        </w:rPr>
        <w:t xml:space="preserve">- </w:t>
      </w:r>
      <w:r w:rsidR="00092FF9" w:rsidRPr="007078E9">
        <w:rPr>
          <w:rFonts w:ascii="Arial" w:hAnsi="Arial" w:cs="Arial"/>
          <w:sz w:val="22"/>
          <w:szCs w:val="22"/>
        </w:rPr>
        <w:t>Parque zoológico del Bicentenario Animaya- Área técnica de la UMA, manejo; Ecología y conservación de fauna silvestre Cautiverio.</w:t>
      </w:r>
    </w:p>
    <w:p w14:paraId="0AD0509E" w14:textId="77777777" w:rsidR="00092FF9" w:rsidRPr="007078E9" w:rsidRDefault="00F86E21" w:rsidP="00092FF9">
      <w:pPr>
        <w:spacing w:after="0"/>
        <w:rPr>
          <w:rFonts w:ascii="Arial" w:hAnsi="Arial" w:cs="Arial"/>
          <w:sz w:val="22"/>
          <w:szCs w:val="22"/>
        </w:rPr>
      </w:pPr>
      <w:r w:rsidRPr="007078E9">
        <w:rPr>
          <w:rFonts w:ascii="Arial" w:hAnsi="Arial" w:cs="Arial"/>
          <w:sz w:val="22"/>
          <w:szCs w:val="22"/>
        </w:rPr>
        <w:t>78</w:t>
      </w:r>
      <w:r w:rsidR="00092FF9" w:rsidRPr="007078E9">
        <w:rPr>
          <w:rFonts w:ascii="Arial" w:hAnsi="Arial" w:cs="Arial"/>
          <w:sz w:val="22"/>
          <w:szCs w:val="22"/>
        </w:rPr>
        <w:t>.- UNIVERSIDAD DE LA SIERRA JUÁREZ OAXACA</w:t>
      </w:r>
      <w:r w:rsidR="00092FF9" w:rsidRPr="007078E9">
        <w:rPr>
          <w:rFonts w:ascii="Arial" w:hAnsi="Arial" w:cs="Arial"/>
          <w:b/>
          <w:sz w:val="22"/>
          <w:szCs w:val="22"/>
        </w:rPr>
        <w:t>-</w:t>
      </w:r>
      <w:r w:rsidR="00092FF9" w:rsidRPr="007078E9">
        <w:rPr>
          <w:rFonts w:ascii="Arial" w:hAnsi="Arial" w:cs="Arial"/>
          <w:sz w:val="22"/>
          <w:szCs w:val="22"/>
        </w:rPr>
        <w:t>Proyecto de conservación comunitaria.</w:t>
      </w:r>
    </w:p>
    <w:p w14:paraId="74B17897" w14:textId="77777777" w:rsidR="00092FF9" w:rsidRPr="007078E9" w:rsidRDefault="00F86E21" w:rsidP="00092FF9">
      <w:pPr>
        <w:spacing w:after="0"/>
        <w:rPr>
          <w:rFonts w:ascii="Arial" w:hAnsi="Arial" w:cs="Arial"/>
          <w:sz w:val="22"/>
          <w:szCs w:val="22"/>
        </w:rPr>
      </w:pPr>
      <w:r w:rsidRPr="007078E9">
        <w:rPr>
          <w:rFonts w:ascii="Arial" w:hAnsi="Arial" w:cs="Arial"/>
          <w:sz w:val="22"/>
          <w:szCs w:val="22"/>
        </w:rPr>
        <w:t>79</w:t>
      </w:r>
      <w:r w:rsidR="00092FF9" w:rsidRPr="007078E9">
        <w:rPr>
          <w:rFonts w:ascii="Arial" w:hAnsi="Arial" w:cs="Arial"/>
          <w:sz w:val="22"/>
          <w:szCs w:val="22"/>
        </w:rPr>
        <w:t>.- FACULTAD DE CIENCIAS QUÍMICAS</w:t>
      </w:r>
      <w:r w:rsidR="00092FF9" w:rsidRPr="007078E9">
        <w:rPr>
          <w:rFonts w:ascii="Arial" w:hAnsi="Arial" w:cs="Arial"/>
          <w:b/>
          <w:sz w:val="22"/>
          <w:szCs w:val="22"/>
        </w:rPr>
        <w:t xml:space="preserve">- </w:t>
      </w:r>
      <w:r w:rsidR="00092FF9" w:rsidRPr="007078E9">
        <w:rPr>
          <w:rFonts w:ascii="Arial" w:hAnsi="Arial" w:cs="Arial"/>
          <w:sz w:val="22"/>
          <w:szCs w:val="22"/>
        </w:rPr>
        <w:t>Departamento de Biotecnología tratamiento de aguas residuales.</w:t>
      </w:r>
    </w:p>
    <w:p w14:paraId="576C25BA" w14:textId="77777777" w:rsidR="00092FF9" w:rsidRDefault="00F86E21" w:rsidP="00092FF9">
      <w:pPr>
        <w:spacing w:after="0"/>
        <w:rPr>
          <w:rFonts w:ascii="Arial" w:hAnsi="Arial" w:cs="Arial"/>
          <w:sz w:val="22"/>
          <w:szCs w:val="22"/>
        </w:rPr>
      </w:pPr>
      <w:r w:rsidRPr="007078E9">
        <w:rPr>
          <w:rFonts w:ascii="Arial" w:hAnsi="Arial" w:cs="Arial"/>
          <w:sz w:val="22"/>
          <w:szCs w:val="22"/>
        </w:rPr>
        <w:t>80</w:t>
      </w:r>
      <w:r w:rsidR="00092FF9" w:rsidRPr="007078E9">
        <w:rPr>
          <w:rFonts w:ascii="Arial" w:hAnsi="Arial" w:cs="Arial"/>
          <w:sz w:val="22"/>
          <w:szCs w:val="22"/>
        </w:rPr>
        <w:t>.-INTRAKAM</w:t>
      </w:r>
      <w:r w:rsidR="00092FF9" w:rsidRPr="007078E9">
        <w:rPr>
          <w:rFonts w:ascii="Arial" w:hAnsi="Arial" w:cs="Arial"/>
          <w:b/>
          <w:sz w:val="22"/>
          <w:szCs w:val="22"/>
        </w:rPr>
        <w:t xml:space="preserve">- </w:t>
      </w:r>
      <w:r w:rsidR="00092FF9" w:rsidRPr="007078E9">
        <w:rPr>
          <w:rFonts w:ascii="Arial" w:hAnsi="Arial" w:cs="Arial"/>
          <w:sz w:val="22"/>
          <w:szCs w:val="22"/>
        </w:rPr>
        <w:t>Integración de tecnología y recomendaciones Agropecuarias.</w:t>
      </w:r>
    </w:p>
    <w:p w14:paraId="7BC21DAC" w14:textId="77777777" w:rsidR="00313CFA" w:rsidRPr="007078E9" w:rsidRDefault="00313CFA" w:rsidP="00092FF9">
      <w:pPr>
        <w:spacing w:after="0"/>
        <w:rPr>
          <w:rFonts w:ascii="Arial" w:hAnsi="Arial" w:cs="Arial"/>
          <w:sz w:val="22"/>
          <w:szCs w:val="22"/>
        </w:rPr>
      </w:pPr>
    </w:p>
    <w:p w14:paraId="6AF0278F" w14:textId="77777777" w:rsidR="00092FF9" w:rsidRPr="007923C2" w:rsidRDefault="00782E49" w:rsidP="00092FF9">
      <w:pPr>
        <w:spacing w:after="0"/>
        <w:rPr>
          <w:rFonts w:ascii="Arial" w:hAnsi="Arial" w:cs="Arial"/>
          <w:b/>
          <w:sz w:val="22"/>
          <w:szCs w:val="22"/>
        </w:rPr>
      </w:pPr>
      <w:r w:rsidRPr="007923C2">
        <w:rPr>
          <w:rFonts w:ascii="Arial" w:hAnsi="Arial" w:cs="Arial"/>
          <w:b/>
          <w:sz w:val="22"/>
          <w:szCs w:val="22"/>
        </w:rPr>
        <w:t>4.2.5.2.-PARTICIPACIÓN EN EL MERCADO (ESTUDIO DE PERTINENCIA CON EGRESADOS Y EMPLEADORES)</w:t>
      </w:r>
    </w:p>
    <w:p w14:paraId="1A2A94BC" w14:textId="77777777"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 xml:space="preserve">ORGANISMOS E INSTITUCIONES EN DONDE PUEDEN LABORAR LOS INGENIEROS EN </w:t>
      </w:r>
      <w:r w:rsidRPr="007923C2">
        <w:rPr>
          <w:rFonts w:ascii="Arial" w:hAnsi="Arial" w:cs="Arial"/>
          <w:b/>
          <w:bCs/>
          <w:sz w:val="22"/>
          <w:szCs w:val="22"/>
        </w:rPr>
        <w:lastRenderedPageBreak/>
        <w:t xml:space="preserve">AGROBIOLOGÍA </w:t>
      </w:r>
    </w:p>
    <w:p w14:paraId="6E98A678" w14:textId="77777777"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 xml:space="preserve">CINVESTAV: </w:t>
      </w:r>
    </w:p>
    <w:p w14:paraId="71372FF1" w14:textId="77777777" w:rsidR="00F54CB7" w:rsidRPr="007923C2" w:rsidRDefault="00F54CB7" w:rsidP="00F54CB7">
      <w:pPr>
        <w:widowControl w:val="0"/>
        <w:numPr>
          <w:ilvl w:val="0"/>
          <w:numId w:val="1"/>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El Departamento de Biotecnología y Bioquímica desarrolla investigación en dos grandes áreas de la Biología actual: La Bioquímica y la Biología Molecular de Plantas, y la Biotecnología de la Protección de Vegetales.  En el área de la bioquímica y biología molecular de plantas, se investigan aspectos relacionados con la bioenergética, biomembranas, metabolismo secundario, la bioquímica, fisicoquímica y biología molecular de diferentes macromoléculas como proteínas, almidones y lípidos.  Asimismo, se desarrolla investigación para la generación de materiales genéticos con un mejor comportamiento agro-alimentario. Dentro del área de la Biotecnología de la Protección Vegetal, los proyectos de investigación van enfocados al control biológico de enfermedades y plagas de importancia agrícola.  En esta sección se estudian aspectos bioquímicos, ecológicos, genéticos y moleculares implicados en aspectos básicos y aplicados en la interacción planta-patógeno.</w:t>
      </w:r>
    </w:p>
    <w:p w14:paraId="6D37358C" w14:textId="77777777" w:rsidR="00F54CB7" w:rsidRPr="007923C2" w:rsidRDefault="00F54CB7" w:rsidP="00F54CB7">
      <w:pPr>
        <w:widowControl w:val="0"/>
        <w:numPr>
          <w:ilvl w:val="0"/>
          <w:numId w:val="2"/>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El Departamento de Ingeniería Genética comprende diversas áreas cuyo común denominador es el uso de técnicas de biología molecular e ingeniería genética.  Estas herramientas están siendo utilizadas para contribuir a la solución de importantes problemas agrícolas de nuestro país, los cuales han rebasado a las tecnologías agrícolas tradicionales. Se busca la generación de variedades resistentes a diversos patógenos (bacterias, hongos, y virus) así como la producción de frutos con una vida prolongada de anaquel, todo ello por medio de la ingeniería genética.  El aislamiento de genes para su posterior introducción a las plantas Igualmente se busca identificar marcadores moleculares por medio de técnicas como RFLP's.</w:t>
      </w:r>
    </w:p>
    <w:p w14:paraId="7A0E2594" w14:textId="77777777" w:rsidR="00F54CB7" w:rsidRPr="007923C2" w:rsidRDefault="00F54CB7" w:rsidP="00F54CB7">
      <w:pPr>
        <w:widowControl w:val="0"/>
        <w:numPr>
          <w:ilvl w:val="0"/>
          <w:numId w:val="3"/>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El Laboratorio Nacional de Genómica para la Biodiversidad (Langebio) Las actividades centrales de investigación de Langebio están enfocadas al estudio de procesos de desarrollo, diferenciación, metabolismo en plantas y microorganismos, así como estudios evolutivos, de procesos biológicos específicos y de diversidad biológica de plantas y microorganismos originarios de México.</w:t>
      </w:r>
    </w:p>
    <w:p w14:paraId="0BC4AA5C" w14:textId="77777777"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 xml:space="preserve">CINVESTAV-IPN </w:t>
      </w:r>
    </w:p>
    <w:p w14:paraId="12C84E30" w14:textId="77777777"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sz w:val="22"/>
          <w:szCs w:val="22"/>
        </w:rPr>
        <w:t>Se ha responsabilizado del mantenimiento de la viabilidad y de la estabilidad genética de un acervo microbiano heterogéneo de importancia industrial y agrícola que da como resultado la Colección Nacional de Cepas Microbianas y Cultivos Celulares (CDBB). Esta colección es una de las más completas en su género en toda Latinoamérica y prácticamente única en México. Está reconocida internacionalmente por la World Federation for Culture Collection (WFCC) y la World Data Center of Microorganisms (WDC).</w:t>
      </w:r>
    </w:p>
    <w:p w14:paraId="296C34D9" w14:textId="77777777"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IMTA (Instituto Mexicano de Tratamientos de Aguas)</w:t>
      </w:r>
    </w:p>
    <w:p w14:paraId="37341F28" w14:textId="77777777"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sz w:val="22"/>
          <w:szCs w:val="22"/>
        </w:rPr>
        <w:t>Brinda servicios especializados de laboratorio, de asesoría técnica, de elaboración de normas, de diseño, de información, de aseguramiento de calidad y de asimilación de tecnología a los sectores privado y social del país, así como a instituciones y organismos extranjeros e internacionales, en las áreas relacionadas con el manejo, conservación, rehabilitación y tratamiento del agua y recursos asociados al líquido;  contribuyan a asegurar el aprovechamiento y manejo sostenible e integral del agua.</w:t>
      </w:r>
    </w:p>
    <w:p w14:paraId="659C0F74" w14:textId="77777777"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lastRenderedPageBreak/>
        <w:t>SEMARNAT</w:t>
      </w:r>
    </w:p>
    <w:p w14:paraId="2F09D1BF" w14:textId="77777777"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sz w:val="22"/>
          <w:szCs w:val="22"/>
        </w:rPr>
        <w:t>Dependencia de gobierno que tiene como propósito fundamental "fomentar la protección, restauración y conservación de los ecosistemas y recursos naturales, bienes y servicios ambientales, con el fin de propiciar su aprovechamiento y desarrollo sostenible" (Ley Orgánica de la Administración Pública, Artículo 32 bis reformada en el DOF del 25 de febrero de 2003).</w:t>
      </w:r>
    </w:p>
    <w:p w14:paraId="26C068DA" w14:textId="77777777"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PROFEPA</w:t>
      </w:r>
    </w:p>
    <w:p w14:paraId="3E832C37" w14:textId="77777777"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sz w:val="22"/>
          <w:szCs w:val="22"/>
        </w:rPr>
        <w:t>Tiene como tarea principal incrementar los niveles de observancia de la normatividad ambiental, a fin de contribuir al desarrollo sostenible y hacer cumplir las leyes en materia ambiental.</w:t>
      </w:r>
    </w:p>
    <w:p w14:paraId="49441C96" w14:textId="77777777"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sz w:val="22"/>
          <w:szCs w:val="22"/>
        </w:rPr>
        <w:t>La Procuraduría Federal de Protección al Ambiente tiene a su cargo las siguientes facultades:</w:t>
      </w:r>
    </w:p>
    <w:p w14:paraId="550981D4" w14:textId="77777777" w:rsidR="00F54CB7" w:rsidRPr="007923C2" w:rsidRDefault="00F54CB7" w:rsidP="00F54CB7">
      <w:pPr>
        <w:widowControl w:val="0"/>
        <w:numPr>
          <w:ilvl w:val="0"/>
          <w:numId w:val="4"/>
        </w:numPr>
        <w:tabs>
          <w:tab w:val="left" w:pos="720"/>
        </w:tabs>
        <w:autoSpaceDE w:val="0"/>
        <w:autoSpaceDN w:val="0"/>
        <w:adjustRightInd w:val="0"/>
        <w:spacing w:after="200" w:line="288" w:lineRule="auto"/>
        <w:ind w:hanging="360"/>
        <w:jc w:val="both"/>
        <w:rPr>
          <w:rFonts w:ascii="Arial" w:hAnsi="Arial" w:cs="Arial"/>
          <w:sz w:val="22"/>
          <w:szCs w:val="22"/>
          <w:lang w:val="es-ES_tradnl"/>
        </w:rPr>
      </w:pPr>
      <w:r w:rsidRPr="007923C2">
        <w:rPr>
          <w:rFonts w:ascii="Arial" w:hAnsi="Arial" w:cs="Arial"/>
          <w:sz w:val="22"/>
          <w:szCs w:val="22"/>
          <w:lang w:val="es-ES_tradnl"/>
        </w:rPr>
        <w:t xml:space="preserve">Vigilar y evaluar el cumplimiento de las disposiciones jurídicas aplicables a la prevención y control de la contaminación ambiental, </w:t>
      </w:r>
    </w:p>
    <w:p w14:paraId="68C68BF6" w14:textId="77777777" w:rsidR="00F54CB7" w:rsidRPr="007923C2" w:rsidRDefault="00F54CB7" w:rsidP="00F54CB7">
      <w:pPr>
        <w:widowControl w:val="0"/>
        <w:numPr>
          <w:ilvl w:val="0"/>
          <w:numId w:val="5"/>
        </w:numPr>
        <w:tabs>
          <w:tab w:val="left" w:pos="720"/>
        </w:tabs>
        <w:autoSpaceDE w:val="0"/>
        <w:autoSpaceDN w:val="0"/>
        <w:adjustRightInd w:val="0"/>
        <w:spacing w:after="200" w:line="288" w:lineRule="auto"/>
        <w:ind w:hanging="360"/>
        <w:jc w:val="both"/>
        <w:rPr>
          <w:rFonts w:ascii="Arial" w:hAnsi="Arial" w:cs="Arial"/>
          <w:sz w:val="22"/>
          <w:szCs w:val="22"/>
          <w:lang w:val="es-ES_tradnl"/>
        </w:rPr>
      </w:pPr>
      <w:r w:rsidRPr="007923C2">
        <w:rPr>
          <w:rFonts w:ascii="Arial" w:hAnsi="Arial" w:cs="Arial"/>
          <w:sz w:val="22"/>
          <w:szCs w:val="22"/>
          <w:lang w:val="es-ES_tradnl"/>
        </w:rPr>
        <w:t xml:space="preserve"> La restauración de los recursos naturales, </w:t>
      </w:r>
    </w:p>
    <w:p w14:paraId="23F4566D" w14:textId="77777777" w:rsidR="00F54CB7" w:rsidRPr="007923C2" w:rsidRDefault="00F54CB7" w:rsidP="00F54CB7">
      <w:pPr>
        <w:widowControl w:val="0"/>
        <w:numPr>
          <w:ilvl w:val="0"/>
          <w:numId w:val="6"/>
        </w:numPr>
        <w:tabs>
          <w:tab w:val="left" w:pos="720"/>
        </w:tabs>
        <w:autoSpaceDE w:val="0"/>
        <w:autoSpaceDN w:val="0"/>
        <w:adjustRightInd w:val="0"/>
        <w:spacing w:after="200" w:line="288" w:lineRule="auto"/>
        <w:ind w:hanging="360"/>
        <w:jc w:val="both"/>
        <w:rPr>
          <w:rFonts w:ascii="Arial" w:hAnsi="Arial" w:cs="Arial"/>
          <w:sz w:val="22"/>
          <w:szCs w:val="22"/>
          <w:lang w:val="es-ES_tradnl"/>
        </w:rPr>
      </w:pPr>
      <w:r w:rsidRPr="007923C2">
        <w:rPr>
          <w:rFonts w:ascii="Arial" w:hAnsi="Arial" w:cs="Arial"/>
          <w:sz w:val="22"/>
          <w:szCs w:val="22"/>
          <w:lang w:val="es-ES_tradnl"/>
        </w:rPr>
        <w:t xml:space="preserve"> La preservación y protección de los recursos forestales, de vida silvestre,        quelonios, mamíferos marinos y especies acuáticas en riesgo, sus       ecosistemas y recursos genéticos, la zona federal marítimo terrestre,        playas marítimas y terrenos ganados al mar o a cualquier otro depósito de       aguas marítimas, las áreas naturales protegidas, así como en materia de       impacto ambiental y ordenamiento ecológico de competencia federal, y </w:t>
      </w:r>
    </w:p>
    <w:p w14:paraId="6FA46950" w14:textId="77777777" w:rsidR="00F54CB7" w:rsidRPr="007923C2" w:rsidRDefault="00F54CB7" w:rsidP="00F54CB7">
      <w:pPr>
        <w:widowControl w:val="0"/>
        <w:numPr>
          <w:ilvl w:val="0"/>
          <w:numId w:val="7"/>
        </w:numPr>
        <w:tabs>
          <w:tab w:val="left" w:pos="720"/>
        </w:tabs>
        <w:autoSpaceDE w:val="0"/>
        <w:autoSpaceDN w:val="0"/>
        <w:adjustRightInd w:val="0"/>
        <w:spacing w:after="200" w:line="288" w:lineRule="auto"/>
        <w:ind w:hanging="360"/>
        <w:jc w:val="both"/>
        <w:rPr>
          <w:rFonts w:ascii="Arial" w:hAnsi="Arial" w:cs="Arial"/>
          <w:sz w:val="22"/>
          <w:szCs w:val="22"/>
          <w:lang w:val="es-ES_tradnl"/>
        </w:rPr>
      </w:pPr>
      <w:r w:rsidRPr="007923C2">
        <w:rPr>
          <w:rFonts w:ascii="Arial" w:hAnsi="Arial" w:cs="Arial"/>
          <w:sz w:val="22"/>
          <w:szCs w:val="22"/>
          <w:lang w:val="es-ES_tradnl"/>
        </w:rPr>
        <w:t>Establecer políticas y lineamientos administrativos para tal efecto</w:t>
      </w:r>
    </w:p>
    <w:p w14:paraId="11691A7A" w14:textId="77777777" w:rsidR="00F54CB7" w:rsidRPr="007923C2" w:rsidRDefault="00F54CB7" w:rsidP="00F54CB7">
      <w:pPr>
        <w:widowControl w:val="0"/>
        <w:tabs>
          <w:tab w:val="left" w:pos="1068"/>
        </w:tabs>
        <w:autoSpaceDE w:val="0"/>
        <w:autoSpaceDN w:val="0"/>
        <w:adjustRightInd w:val="0"/>
        <w:ind w:hanging="360"/>
        <w:jc w:val="both"/>
        <w:rPr>
          <w:rFonts w:ascii="Arial" w:hAnsi="Arial" w:cs="Arial"/>
          <w:sz w:val="22"/>
          <w:szCs w:val="22"/>
        </w:rPr>
      </w:pPr>
      <w:r w:rsidRPr="007923C2">
        <w:rPr>
          <w:rFonts w:ascii="Arial" w:hAnsi="Arial" w:cs="Arial"/>
          <w:sz w:val="22"/>
          <w:szCs w:val="22"/>
        </w:rPr>
        <w:t>             II. </w:t>
      </w:r>
      <w:r w:rsidRPr="007923C2">
        <w:rPr>
          <w:rFonts w:ascii="Arial" w:hAnsi="Arial" w:cs="Arial"/>
          <w:sz w:val="22"/>
          <w:szCs w:val="22"/>
          <w:lang w:val="es-ES_tradnl"/>
        </w:rPr>
        <w:t>Recibir, investigar y atender o, en su caso, determinar y canalizar ante las autoridades competentes, las denuncias por incumplimiento de las disposiciones jurídicas aplicables a los recursos, bienes, materias y ecosistemas, a las que hace referencia la fracción anterior;</w:t>
      </w:r>
    </w:p>
    <w:p w14:paraId="082969E7" w14:textId="77777777" w:rsidR="00F54CB7" w:rsidRPr="007923C2" w:rsidRDefault="00F54CB7" w:rsidP="00F54CB7">
      <w:pPr>
        <w:widowControl w:val="0"/>
        <w:tabs>
          <w:tab w:val="left" w:pos="1068"/>
        </w:tabs>
        <w:autoSpaceDE w:val="0"/>
        <w:autoSpaceDN w:val="0"/>
        <w:adjustRightInd w:val="0"/>
        <w:ind w:hanging="360"/>
        <w:jc w:val="both"/>
        <w:rPr>
          <w:rFonts w:ascii="Arial" w:hAnsi="Arial" w:cs="Arial"/>
          <w:sz w:val="22"/>
          <w:szCs w:val="22"/>
          <w:lang w:val="es-ES_tradnl"/>
        </w:rPr>
      </w:pPr>
      <w:r w:rsidRPr="007923C2">
        <w:rPr>
          <w:rFonts w:ascii="Arial" w:hAnsi="Arial" w:cs="Arial"/>
          <w:sz w:val="22"/>
          <w:szCs w:val="22"/>
        </w:rPr>
        <w:t>              III. </w:t>
      </w:r>
      <w:r w:rsidRPr="007923C2">
        <w:rPr>
          <w:rFonts w:ascii="Arial" w:hAnsi="Arial" w:cs="Arial"/>
          <w:sz w:val="22"/>
          <w:szCs w:val="22"/>
          <w:lang w:val="es-ES_tradnl"/>
        </w:rPr>
        <w:t>Salvaguardar los intereses de la población y fomentar su participación en el estímulo y vigilancia del cumplimiento de las disposiciones jurídicas ambientales, así como brindarle asesoría en asuntos de protección y defensa del ambiente, la vida silvestre y los recursos naturales competencia de la Secretaría;</w:t>
      </w:r>
    </w:p>
    <w:p w14:paraId="37D08382" w14:textId="77777777" w:rsidR="00F54CB7" w:rsidRPr="007923C2" w:rsidRDefault="00F54CB7" w:rsidP="00F54CB7">
      <w:pPr>
        <w:widowControl w:val="0"/>
        <w:tabs>
          <w:tab w:val="left" w:pos="1068"/>
        </w:tabs>
        <w:autoSpaceDE w:val="0"/>
        <w:autoSpaceDN w:val="0"/>
        <w:adjustRightInd w:val="0"/>
        <w:ind w:hanging="360"/>
        <w:jc w:val="both"/>
        <w:rPr>
          <w:rFonts w:ascii="Arial" w:hAnsi="Arial" w:cs="Arial"/>
          <w:sz w:val="22"/>
          <w:szCs w:val="22"/>
          <w:lang w:val="es-ES_tradnl"/>
        </w:rPr>
      </w:pPr>
      <w:r w:rsidRPr="007923C2">
        <w:rPr>
          <w:rFonts w:ascii="Arial" w:hAnsi="Arial" w:cs="Arial"/>
          <w:sz w:val="22"/>
          <w:szCs w:val="22"/>
        </w:rPr>
        <w:t>              IV. </w:t>
      </w:r>
      <w:r w:rsidRPr="007923C2">
        <w:rPr>
          <w:rFonts w:ascii="Arial" w:hAnsi="Arial" w:cs="Arial"/>
          <w:sz w:val="22"/>
          <w:szCs w:val="22"/>
          <w:lang w:val="es-ES_tradnl"/>
        </w:rPr>
        <w:t>Coordinar el control de la aplicación de la normatividad ambiental con otras autoridades federales, así como de las entidades federativas, municipales, del Distrito Federal y delegacionales que lo soliciten.</w:t>
      </w:r>
    </w:p>
    <w:p w14:paraId="5551DBBB" w14:textId="77777777" w:rsidR="00F54CB7" w:rsidRPr="007923C2" w:rsidRDefault="00F54CB7" w:rsidP="00F54CB7">
      <w:pPr>
        <w:widowControl w:val="0"/>
        <w:tabs>
          <w:tab w:val="left" w:pos="1068"/>
        </w:tabs>
        <w:autoSpaceDE w:val="0"/>
        <w:autoSpaceDN w:val="0"/>
        <w:adjustRightInd w:val="0"/>
        <w:ind w:hanging="360"/>
        <w:jc w:val="both"/>
        <w:rPr>
          <w:rFonts w:ascii="Arial" w:hAnsi="Arial" w:cs="Arial"/>
          <w:sz w:val="22"/>
          <w:szCs w:val="22"/>
        </w:rPr>
      </w:pPr>
      <w:r w:rsidRPr="007923C2">
        <w:rPr>
          <w:rFonts w:ascii="Arial" w:hAnsi="Arial" w:cs="Arial"/>
          <w:sz w:val="22"/>
          <w:szCs w:val="22"/>
        </w:rPr>
        <w:t xml:space="preserve">               V. </w:t>
      </w:r>
      <w:r w:rsidRPr="007923C2">
        <w:rPr>
          <w:rFonts w:ascii="Arial" w:hAnsi="Arial" w:cs="Arial"/>
          <w:sz w:val="22"/>
          <w:szCs w:val="22"/>
          <w:lang w:val="es-ES_tradnl"/>
        </w:rPr>
        <w:t>Emitir resoluciones derivadas de los procedimientos administrativos en el ámbito de su competencia.</w:t>
      </w:r>
    </w:p>
    <w:p w14:paraId="4067760A" w14:textId="77777777"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b/>
          <w:bCs/>
          <w:sz w:val="22"/>
          <w:szCs w:val="22"/>
        </w:rPr>
        <w:t xml:space="preserve">   SAGARPA </w:t>
      </w:r>
    </w:p>
    <w:p w14:paraId="5C28470E" w14:textId="77777777"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A través de la HRZ ofrece orientación sobre los requisitos zoosanitarios que se exigen a las autoridades sanitarias del país exportador para el ingreso de animales, sus productos y subproductos y de productos biológicos, químicos, farmacéuticos o alimenticios, para uso en animales o consumo por éstos. Dicha certificación es expedida únicamente por personal oficial de la SAGARPA</w:t>
      </w:r>
    </w:p>
    <w:p w14:paraId="103AD3BB" w14:textId="77777777"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Otras actividades:</w:t>
      </w:r>
    </w:p>
    <w:p w14:paraId="3BD97923" w14:textId="77777777" w:rsidR="00F54CB7" w:rsidRPr="007923C2" w:rsidRDefault="00F54CB7" w:rsidP="00F54CB7">
      <w:pPr>
        <w:widowControl w:val="0"/>
        <w:numPr>
          <w:ilvl w:val="0"/>
          <w:numId w:val="8"/>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lastRenderedPageBreak/>
        <w:t>La acuicultura es el sector de producción de alimentos que está creciendo más aceleradamente en todo el mundo. Desde 1984 la producción acuícola ha aumentado a una tasa media anual de casi 10%. La acuicultura está surgiendo como importante suministro de alimentos e ingresos, y así, como una de las principales contribuciones a la seguridad alimentaria.</w:t>
      </w:r>
    </w:p>
    <w:p w14:paraId="21090324" w14:textId="77777777" w:rsidR="00F54CB7" w:rsidRPr="007923C2" w:rsidRDefault="00F54CB7" w:rsidP="00F54CB7">
      <w:pPr>
        <w:widowControl w:val="0"/>
        <w:numPr>
          <w:ilvl w:val="0"/>
          <w:numId w:val="9"/>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 xml:space="preserve">En los últimos quinientos años la actividad humana ha causado la extinción de 816 especies. Sólo desde el siglo XVIII han desaparecido 103 especies. Según la Unión Mundial para la Naturaleza (UICN), uno de cada diez pájaros y el 25% de los mamíferos figuran en la Lista Roja de especies amenazadas de desaparición. La extinción de animales se ha acelerado en los últimos 200 años como consecuencia directa o indirecta del crecimiento de la población humana, el despilfarro de los recursos naturales y los cambios asociados al medio ambiente.  </w:t>
      </w:r>
    </w:p>
    <w:p w14:paraId="71CA443B" w14:textId="77777777" w:rsidR="00F54CB7" w:rsidRPr="007923C2" w:rsidRDefault="00F54CB7" w:rsidP="00F54CB7">
      <w:pPr>
        <w:widowControl w:val="0"/>
        <w:numPr>
          <w:ilvl w:val="0"/>
          <w:numId w:val="10"/>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La agricultura convencional despliega en los suelos de cultivo prácticas utilizadas desde hace tiempo, pero que devienen perjudiciales para el medio ambiente. Técnicas como la quema de los restos de la cosecha (rastrojos) o el volteo del suelo o arado (laboreo) para controlar las malas hierbas y preparar el lecho de siembra, incrementan problemas como la erosión y la compactación del suelo. Además, algunas de estas técnicas convencionales contaminan las aguas superficiales con fertilizantes y pesticidas, disminuyen la materia orgánica del suelo y aumentan la emisión de CO</w:t>
      </w:r>
      <w:r w:rsidRPr="007923C2">
        <w:rPr>
          <w:rFonts w:ascii="Arial" w:hAnsi="Arial" w:cs="Arial"/>
          <w:sz w:val="22"/>
          <w:szCs w:val="22"/>
          <w:vertAlign w:val="subscript"/>
        </w:rPr>
        <w:t>2</w:t>
      </w:r>
      <w:r w:rsidRPr="007923C2">
        <w:rPr>
          <w:rFonts w:ascii="Arial" w:hAnsi="Arial" w:cs="Arial"/>
          <w:sz w:val="22"/>
          <w:szCs w:val="22"/>
        </w:rPr>
        <w:t xml:space="preserve"> a la atmósfera. Pero hay otra forma más cuidadosa de cultivar la tierra, la “agricultura de conservación”, que consiste en una serie de prácticas agronómicas que permiten un manejo del suelo que altera menos su composición, estructura y biodiversidad, defendiéndolo de la erosión y la degradación.</w:t>
      </w:r>
    </w:p>
    <w:p w14:paraId="77A88890" w14:textId="77777777" w:rsidR="00F54CB7" w:rsidRPr="007923C2" w:rsidRDefault="00F54CB7" w:rsidP="00460DA3">
      <w:pPr>
        <w:jc w:val="both"/>
        <w:rPr>
          <w:rFonts w:ascii="Arial" w:hAnsi="Arial" w:cs="Arial"/>
          <w:b/>
          <w:sz w:val="22"/>
          <w:szCs w:val="22"/>
        </w:rPr>
      </w:pPr>
      <w:r w:rsidRPr="007923C2">
        <w:rPr>
          <w:rFonts w:ascii="Arial" w:hAnsi="Arial" w:cs="Arial"/>
          <w:b/>
          <w:sz w:val="22"/>
          <w:szCs w:val="22"/>
        </w:rPr>
        <w:t>Comentarios de Encuesta de Egresados 2015</w:t>
      </w:r>
    </w:p>
    <w:p w14:paraId="178BE357"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Desarrollar una visión agrícola, práctica de campo relacionar con productores.</w:t>
      </w:r>
    </w:p>
    <w:p w14:paraId="6C9D5127"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Invitar a alumnos a formar parte de proyectos  de desarrollo, vinculación e investigación con los docentes, instituciones, ONG´s.</w:t>
      </w:r>
    </w:p>
    <w:p w14:paraId="6A3F291F"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Mayor interacción con el campo. Mayor aplicación de la investigación.</w:t>
      </w:r>
    </w:p>
    <w:p w14:paraId="14197018"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Aumentar materias de estadísticas y sistemas de producción.</w:t>
      </w:r>
    </w:p>
    <w:p w14:paraId="2EEDF66D"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Profesionistas con capacidad emprendedora e innovadora.</w:t>
      </w:r>
    </w:p>
    <w:p w14:paraId="7A1385CA"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Exigir más resultados en las prácticas profesionales.</w:t>
      </w:r>
    </w:p>
    <w:p w14:paraId="5A00A08D"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Incluir menos materias optativas.</w:t>
      </w:r>
    </w:p>
    <w:p w14:paraId="651C18F6"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Implementar materias obligatorias.</w:t>
      </w:r>
    </w:p>
    <w:p w14:paraId="01F68A1C"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Fomentar las prácticas de laboratorio y de campo.</w:t>
      </w:r>
    </w:p>
    <w:p w14:paraId="6A1D077F"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El alumno debe ser más participativo en eventos como ponente, que sea más práctico, operativo, administrativo, elaborar proyectos, trabajo de campo, saber tratar a la gente.</w:t>
      </w:r>
    </w:p>
    <w:p w14:paraId="76B57D3C"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Elaborar proyectos productivos.</w:t>
      </w:r>
    </w:p>
    <w:p w14:paraId="2B925F6F"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Vinculación de la Universidad con las instituciones.</w:t>
      </w:r>
    </w:p>
    <w:p w14:paraId="2963E9E3"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Implementar y desarrollar más y nuevas prácticas basadas en hechos o fenómenos naturales y reales para complementar la teoría.</w:t>
      </w:r>
    </w:p>
    <w:p w14:paraId="791064A8"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Dar seguimiento a las materias como etnoecología.</w:t>
      </w:r>
    </w:p>
    <w:p w14:paraId="04F26DE8"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Se debe incluir materias relacionadas a la adaptación y mitigación del cambio climático en los diversos ecosistemas, siendo este uno de los principales asuntos de interés en la actualidad.</w:t>
      </w:r>
    </w:p>
    <w:p w14:paraId="636F0DE8"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lastRenderedPageBreak/>
        <w:t>Los planes de estudio deben estar enfocados a terminar una especialidad en concreto, se debe contar con el personal docente capaz, suficiente y con prácticas de laboratorio enfocadas a cada área de especialización.</w:t>
      </w:r>
    </w:p>
    <w:p w14:paraId="36757910"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Se deben actualizar algunos cursos para que el alumno reciba educación de vanguardia.</w:t>
      </w:r>
    </w:p>
    <w:p w14:paraId="53B23759"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Ampliar los recursos asignados a prácticas y visitas de campo, para complementar la teoría.</w:t>
      </w:r>
    </w:p>
    <w:p w14:paraId="770237AE"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Ser emprendedores capaces de fundar sus propios empresas.</w:t>
      </w:r>
    </w:p>
    <w:p w14:paraId="2B1F130F" w14:textId="77777777" w:rsidR="00F54CB7" w:rsidRPr="007923C2" w:rsidRDefault="00F54CB7" w:rsidP="00460DA3">
      <w:pPr>
        <w:jc w:val="both"/>
        <w:rPr>
          <w:rFonts w:ascii="Arial" w:hAnsi="Arial" w:cs="Arial"/>
          <w:b/>
          <w:sz w:val="22"/>
          <w:szCs w:val="22"/>
        </w:rPr>
      </w:pPr>
      <w:r w:rsidRPr="007923C2">
        <w:rPr>
          <w:rFonts w:ascii="Arial" w:hAnsi="Arial" w:cs="Arial"/>
          <w:b/>
          <w:sz w:val="22"/>
          <w:szCs w:val="22"/>
        </w:rPr>
        <w:t>Documento estudio de pertinencia:</w:t>
      </w:r>
    </w:p>
    <w:p w14:paraId="622B023C"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Actualizar la planta de maestros y personal de los laboratorios.</w:t>
      </w:r>
    </w:p>
    <w:p w14:paraId="2701A532"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Implementar prácticas de campo con protección al medio ambiente.</w:t>
      </w:r>
    </w:p>
    <w:p w14:paraId="052B2A23"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Implementar la materia de microbiología, citopatología, control biológico de microorganismos.</w:t>
      </w:r>
    </w:p>
    <w:p w14:paraId="63FC3251"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Más enfoque en producción artesanal de microorganismos benéficos.</w:t>
      </w:r>
    </w:p>
    <w:p w14:paraId="5D2330B4"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Más clases de inglés.</w:t>
      </w:r>
    </w:p>
    <w:p w14:paraId="2A105D15" w14:textId="77777777" w:rsidR="00F54CB7" w:rsidRPr="007923C2" w:rsidRDefault="00F54CB7" w:rsidP="00460DA3">
      <w:pPr>
        <w:jc w:val="both"/>
        <w:rPr>
          <w:rFonts w:ascii="Arial" w:hAnsi="Arial" w:cs="Arial"/>
          <w:b/>
          <w:sz w:val="22"/>
          <w:szCs w:val="22"/>
        </w:rPr>
      </w:pPr>
      <w:r w:rsidRPr="007923C2">
        <w:rPr>
          <w:rFonts w:ascii="Arial" w:hAnsi="Arial" w:cs="Arial"/>
          <w:b/>
          <w:sz w:val="22"/>
          <w:szCs w:val="22"/>
        </w:rPr>
        <w:t>Comentarios de expertos:</w:t>
      </w:r>
    </w:p>
    <w:p w14:paraId="50CFB37D"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Tendencias de cambio en el campo donde temas recurrentes son: protección del medio ambiente, el desarrollo de agronegocios y agroindustria tecnificación del campo, nuevos sistemas de riego, fortalecimiento de una industria de exportación con productos innovadores y de calidad.</w:t>
      </w:r>
    </w:p>
    <w:p w14:paraId="4B25997A"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Crecimiento de la industria de invernaderos, desarrollo de alimentos funcionales, análisis de propiedades y métodos de conservación de alimentos.</w:t>
      </w:r>
    </w:p>
    <w:p w14:paraId="7C7DB9B4"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Procesos de reconversión forestal y plantaciones forestales, hidroponía.</w:t>
      </w:r>
    </w:p>
    <w:p w14:paraId="7E4A2D2A"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Falta desarrollar habilidades para comunicarse y prácticas de campo.</w:t>
      </w:r>
    </w:p>
    <w:p w14:paraId="7EB3B158"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Enseñan mucho conocimiento, falta preparación para desenvolvimiento fuera, mucha práctica.</w:t>
      </w:r>
    </w:p>
    <w:p w14:paraId="4EA77E5F" w14:textId="77777777"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Comentario sobre las materias más y menos útiles que cursaron.</w:t>
      </w:r>
    </w:p>
    <w:p w14:paraId="0AA7D0AA" w14:textId="77777777" w:rsidR="00F54CB7" w:rsidRPr="007923C2" w:rsidRDefault="00F54CB7" w:rsidP="00F54CB7">
      <w:pPr>
        <w:pStyle w:val="Prrafodelista"/>
        <w:rPr>
          <w:rFonts w:ascii="Arial" w:hAnsi="Arial" w:cs="Arial"/>
          <w:sz w:val="22"/>
          <w:szCs w:val="22"/>
        </w:rPr>
      </w:pPr>
      <w:r w:rsidRPr="007923C2">
        <w:rPr>
          <w:rFonts w:ascii="Arial" w:hAnsi="Arial" w:cs="Arial"/>
          <w:sz w:val="22"/>
          <w:szCs w:val="22"/>
        </w:rPr>
        <w:t>ÚTILES</w:t>
      </w:r>
    </w:p>
    <w:p w14:paraId="62FCCE8A" w14:textId="77777777" w:rsidR="00F54CB7" w:rsidRPr="007923C2" w:rsidRDefault="00F54CB7" w:rsidP="00F54CB7">
      <w:pPr>
        <w:pStyle w:val="Prrafodelista"/>
        <w:numPr>
          <w:ilvl w:val="0"/>
          <w:numId w:val="12"/>
        </w:numPr>
        <w:spacing w:after="200"/>
        <w:contextualSpacing/>
        <w:rPr>
          <w:rFonts w:ascii="Arial" w:hAnsi="Arial" w:cs="Arial"/>
          <w:sz w:val="22"/>
          <w:szCs w:val="22"/>
        </w:rPr>
      </w:pPr>
      <w:r w:rsidRPr="007923C2">
        <w:rPr>
          <w:rFonts w:ascii="Arial" w:hAnsi="Arial" w:cs="Arial"/>
          <w:sz w:val="22"/>
          <w:szCs w:val="22"/>
        </w:rPr>
        <w:t>Botánica</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8. Control Biológico de plagas</w:t>
      </w:r>
    </w:p>
    <w:p w14:paraId="178C7A99" w14:textId="77777777" w:rsidR="00F54CB7" w:rsidRPr="007923C2" w:rsidRDefault="00F54CB7" w:rsidP="00F54CB7">
      <w:pPr>
        <w:pStyle w:val="Prrafodelista"/>
        <w:numPr>
          <w:ilvl w:val="0"/>
          <w:numId w:val="12"/>
        </w:numPr>
        <w:spacing w:after="200"/>
        <w:contextualSpacing/>
        <w:rPr>
          <w:rFonts w:ascii="Arial" w:hAnsi="Arial" w:cs="Arial"/>
          <w:sz w:val="22"/>
          <w:szCs w:val="22"/>
        </w:rPr>
      </w:pPr>
      <w:r w:rsidRPr="007923C2">
        <w:rPr>
          <w:rFonts w:ascii="Arial" w:hAnsi="Arial" w:cs="Arial"/>
          <w:sz w:val="22"/>
          <w:szCs w:val="22"/>
        </w:rPr>
        <w:t>Biología</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9. Química</w:t>
      </w:r>
    </w:p>
    <w:p w14:paraId="0347F9BB" w14:textId="77777777" w:rsidR="00F54CB7" w:rsidRPr="007923C2" w:rsidRDefault="00F54CB7" w:rsidP="00F54CB7">
      <w:pPr>
        <w:pStyle w:val="Prrafodelista"/>
        <w:numPr>
          <w:ilvl w:val="0"/>
          <w:numId w:val="12"/>
        </w:numPr>
        <w:spacing w:after="200"/>
        <w:contextualSpacing/>
        <w:rPr>
          <w:rFonts w:ascii="Arial" w:hAnsi="Arial" w:cs="Arial"/>
          <w:sz w:val="22"/>
          <w:szCs w:val="22"/>
        </w:rPr>
      </w:pPr>
      <w:r w:rsidRPr="007923C2">
        <w:rPr>
          <w:rFonts w:ascii="Arial" w:hAnsi="Arial" w:cs="Arial"/>
          <w:sz w:val="22"/>
          <w:szCs w:val="22"/>
        </w:rPr>
        <w:t>Fisiología</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10. Contaminación ambiental</w:t>
      </w:r>
    </w:p>
    <w:p w14:paraId="7B442C9C" w14:textId="77777777" w:rsidR="00F54CB7" w:rsidRPr="007923C2" w:rsidRDefault="00F54CB7" w:rsidP="00F54CB7">
      <w:pPr>
        <w:pStyle w:val="Prrafodelista"/>
        <w:numPr>
          <w:ilvl w:val="0"/>
          <w:numId w:val="12"/>
        </w:numPr>
        <w:spacing w:after="200"/>
        <w:contextualSpacing/>
        <w:rPr>
          <w:rFonts w:ascii="Arial" w:hAnsi="Arial" w:cs="Arial"/>
          <w:sz w:val="22"/>
          <w:szCs w:val="22"/>
        </w:rPr>
      </w:pPr>
      <w:r w:rsidRPr="007923C2">
        <w:rPr>
          <w:rFonts w:ascii="Arial" w:hAnsi="Arial" w:cs="Arial"/>
          <w:sz w:val="22"/>
          <w:szCs w:val="22"/>
        </w:rPr>
        <w:t>Ecología</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11. Matemáticas</w:t>
      </w:r>
    </w:p>
    <w:p w14:paraId="017046ED" w14:textId="77777777" w:rsidR="00F54CB7" w:rsidRPr="007923C2" w:rsidRDefault="00460DA3" w:rsidP="00F54CB7">
      <w:pPr>
        <w:pStyle w:val="Prrafodelista"/>
        <w:numPr>
          <w:ilvl w:val="0"/>
          <w:numId w:val="12"/>
        </w:numPr>
        <w:spacing w:after="200"/>
        <w:contextualSpacing/>
        <w:rPr>
          <w:rFonts w:ascii="Arial" w:hAnsi="Arial" w:cs="Arial"/>
          <w:sz w:val="22"/>
          <w:szCs w:val="22"/>
        </w:rPr>
      </w:pPr>
      <w:r>
        <w:rPr>
          <w:rFonts w:ascii="Arial" w:hAnsi="Arial" w:cs="Arial"/>
          <w:sz w:val="22"/>
          <w:szCs w:val="22"/>
        </w:rPr>
        <w:t>Modelos Biológicos</w:t>
      </w:r>
      <w:r>
        <w:rPr>
          <w:rFonts w:ascii="Arial" w:hAnsi="Arial" w:cs="Arial"/>
          <w:sz w:val="22"/>
          <w:szCs w:val="22"/>
        </w:rPr>
        <w:tab/>
      </w:r>
      <w:r>
        <w:rPr>
          <w:rFonts w:ascii="Arial" w:hAnsi="Arial" w:cs="Arial"/>
          <w:sz w:val="22"/>
          <w:szCs w:val="22"/>
        </w:rPr>
        <w:tab/>
      </w:r>
      <w:r>
        <w:rPr>
          <w:rFonts w:ascii="Arial" w:hAnsi="Arial" w:cs="Arial"/>
          <w:sz w:val="22"/>
          <w:szCs w:val="22"/>
        </w:rPr>
        <w:tab/>
      </w:r>
      <w:r w:rsidR="00F54CB7" w:rsidRPr="007923C2">
        <w:rPr>
          <w:rFonts w:ascii="Arial" w:hAnsi="Arial" w:cs="Arial"/>
          <w:sz w:val="22"/>
          <w:szCs w:val="22"/>
        </w:rPr>
        <w:t>12. Taller de Investigación</w:t>
      </w:r>
    </w:p>
    <w:p w14:paraId="4B5DAC04" w14:textId="77777777" w:rsidR="00F54CB7" w:rsidRPr="007923C2" w:rsidRDefault="00F54CB7" w:rsidP="00F54CB7">
      <w:pPr>
        <w:pStyle w:val="Prrafodelista"/>
        <w:numPr>
          <w:ilvl w:val="0"/>
          <w:numId w:val="12"/>
        </w:numPr>
        <w:spacing w:after="200"/>
        <w:contextualSpacing/>
        <w:rPr>
          <w:rFonts w:ascii="Arial" w:hAnsi="Arial" w:cs="Arial"/>
          <w:sz w:val="22"/>
          <w:szCs w:val="22"/>
        </w:rPr>
      </w:pPr>
      <w:r w:rsidRPr="007923C2">
        <w:rPr>
          <w:rFonts w:ascii="Arial" w:hAnsi="Arial" w:cs="Arial"/>
          <w:sz w:val="22"/>
          <w:szCs w:val="22"/>
        </w:rPr>
        <w:t>Manejo integrado de plagas</w:t>
      </w:r>
      <w:r w:rsidRPr="007923C2">
        <w:rPr>
          <w:rFonts w:ascii="Arial" w:hAnsi="Arial" w:cs="Arial"/>
          <w:sz w:val="22"/>
          <w:szCs w:val="22"/>
        </w:rPr>
        <w:tab/>
      </w:r>
      <w:r w:rsidRPr="007923C2">
        <w:rPr>
          <w:rFonts w:ascii="Arial" w:hAnsi="Arial" w:cs="Arial"/>
          <w:sz w:val="22"/>
          <w:szCs w:val="22"/>
        </w:rPr>
        <w:tab/>
        <w:t>13. Agroecología</w:t>
      </w:r>
    </w:p>
    <w:p w14:paraId="639CFEF4" w14:textId="77777777" w:rsidR="00F54CB7" w:rsidRPr="007923C2" w:rsidRDefault="00F54CB7" w:rsidP="00F54CB7">
      <w:pPr>
        <w:pStyle w:val="Prrafodelista"/>
        <w:numPr>
          <w:ilvl w:val="0"/>
          <w:numId w:val="12"/>
        </w:numPr>
        <w:spacing w:after="200"/>
        <w:contextualSpacing/>
        <w:rPr>
          <w:rFonts w:ascii="Arial" w:hAnsi="Arial" w:cs="Arial"/>
          <w:sz w:val="22"/>
          <w:szCs w:val="22"/>
        </w:rPr>
      </w:pPr>
      <w:r w:rsidRPr="007923C2">
        <w:rPr>
          <w:rFonts w:ascii="Arial" w:hAnsi="Arial" w:cs="Arial"/>
          <w:sz w:val="22"/>
          <w:szCs w:val="22"/>
        </w:rPr>
        <w:t>Formación y evaluación de proyectos</w:t>
      </w:r>
      <w:r w:rsidRPr="007923C2">
        <w:rPr>
          <w:rFonts w:ascii="Arial" w:hAnsi="Arial" w:cs="Arial"/>
          <w:sz w:val="22"/>
          <w:szCs w:val="22"/>
        </w:rPr>
        <w:tab/>
        <w:t>14. Agrofísica</w:t>
      </w:r>
    </w:p>
    <w:p w14:paraId="18EDB25B" w14:textId="77777777" w:rsidR="00F54CB7" w:rsidRPr="007923C2" w:rsidRDefault="00F54CB7" w:rsidP="00F54CB7">
      <w:pPr>
        <w:ind w:left="720"/>
        <w:rPr>
          <w:rFonts w:ascii="Arial" w:hAnsi="Arial" w:cs="Arial"/>
          <w:sz w:val="22"/>
          <w:szCs w:val="22"/>
        </w:rPr>
      </w:pPr>
      <w:r w:rsidRPr="007923C2">
        <w:rPr>
          <w:rFonts w:ascii="Arial" w:hAnsi="Arial" w:cs="Arial"/>
          <w:sz w:val="22"/>
          <w:szCs w:val="22"/>
        </w:rPr>
        <w:t>MENOS ÚTILES</w:t>
      </w:r>
    </w:p>
    <w:p w14:paraId="71E00D1F" w14:textId="77777777" w:rsidR="00F54CB7" w:rsidRPr="007923C2" w:rsidRDefault="00460DA3" w:rsidP="00F54CB7">
      <w:pPr>
        <w:pStyle w:val="Prrafodelista"/>
        <w:numPr>
          <w:ilvl w:val="0"/>
          <w:numId w:val="13"/>
        </w:numPr>
        <w:spacing w:after="200"/>
        <w:contextualSpacing/>
        <w:rPr>
          <w:rFonts w:ascii="Arial" w:hAnsi="Arial" w:cs="Arial"/>
          <w:sz w:val="22"/>
          <w:szCs w:val="22"/>
        </w:rPr>
      </w:pPr>
      <w:r>
        <w:rPr>
          <w:rFonts w:ascii="Arial" w:hAnsi="Arial" w:cs="Arial"/>
          <w:sz w:val="22"/>
          <w:szCs w:val="22"/>
        </w:rPr>
        <w:t xml:space="preserve">Estadística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F54CB7" w:rsidRPr="007923C2">
        <w:rPr>
          <w:rFonts w:ascii="Arial" w:hAnsi="Arial" w:cs="Arial"/>
          <w:sz w:val="22"/>
          <w:szCs w:val="22"/>
        </w:rPr>
        <w:t>6. Cálculo Diferencial</w:t>
      </w:r>
    </w:p>
    <w:p w14:paraId="3B6443B7" w14:textId="77777777" w:rsidR="00F54CB7" w:rsidRPr="007923C2" w:rsidRDefault="00F54CB7" w:rsidP="00F54CB7">
      <w:pPr>
        <w:pStyle w:val="Prrafodelista"/>
        <w:numPr>
          <w:ilvl w:val="0"/>
          <w:numId w:val="13"/>
        </w:numPr>
        <w:spacing w:after="200"/>
        <w:contextualSpacing/>
        <w:rPr>
          <w:rFonts w:ascii="Arial" w:hAnsi="Arial" w:cs="Arial"/>
          <w:sz w:val="22"/>
          <w:szCs w:val="22"/>
        </w:rPr>
      </w:pPr>
      <w:r w:rsidRPr="007923C2">
        <w:rPr>
          <w:rFonts w:ascii="Arial" w:hAnsi="Arial" w:cs="Arial"/>
          <w:sz w:val="22"/>
          <w:szCs w:val="22"/>
        </w:rPr>
        <w:t>Programación</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7. Modelos biológicos</w:t>
      </w:r>
    </w:p>
    <w:p w14:paraId="10869B3A" w14:textId="77777777" w:rsidR="00F54CB7" w:rsidRPr="007923C2" w:rsidRDefault="00F54CB7" w:rsidP="00F54CB7">
      <w:pPr>
        <w:pStyle w:val="Prrafodelista"/>
        <w:numPr>
          <w:ilvl w:val="0"/>
          <w:numId w:val="13"/>
        </w:numPr>
        <w:spacing w:after="200"/>
        <w:contextualSpacing/>
        <w:rPr>
          <w:rFonts w:ascii="Arial" w:hAnsi="Arial" w:cs="Arial"/>
          <w:sz w:val="22"/>
          <w:szCs w:val="22"/>
        </w:rPr>
      </w:pPr>
      <w:r w:rsidRPr="007923C2">
        <w:rPr>
          <w:rFonts w:ascii="Arial" w:hAnsi="Arial" w:cs="Arial"/>
          <w:sz w:val="22"/>
          <w:szCs w:val="22"/>
        </w:rPr>
        <w:t>Etnoecología</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8. Ecofisiología Vegetal</w:t>
      </w:r>
    </w:p>
    <w:p w14:paraId="16FDA816" w14:textId="77777777" w:rsidR="00F54CB7" w:rsidRPr="007923C2" w:rsidRDefault="00F54CB7" w:rsidP="00F54CB7">
      <w:pPr>
        <w:pStyle w:val="Prrafodelista"/>
        <w:numPr>
          <w:ilvl w:val="0"/>
          <w:numId w:val="13"/>
        </w:numPr>
        <w:spacing w:after="200"/>
        <w:contextualSpacing/>
        <w:rPr>
          <w:rFonts w:ascii="Arial" w:hAnsi="Arial" w:cs="Arial"/>
          <w:sz w:val="22"/>
          <w:szCs w:val="22"/>
        </w:rPr>
      </w:pPr>
      <w:r w:rsidRPr="007923C2">
        <w:rPr>
          <w:rFonts w:ascii="Arial" w:hAnsi="Arial" w:cs="Arial"/>
          <w:sz w:val="22"/>
          <w:szCs w:val="22"/>
        </w:rPr>
        <w:t>Entomología</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9. Biotecnología</w:t>
      </w:r>
    </w:p>
    <w:p w14:paraId="1C260752" w14:textId="77777777" w:rsidR="00F54CB7" w:rsidRPr="007923C2" w:rsidRDefault="00F54CB7" w:rsidP="00F54CB7">
      <w:pPr>
        <w:pStyle w:val="Prrafodelista"/>
        <w:numPr>
          <w:ilvl w:val="0"/>
          <w:numId w:val="13"/>
        </w:numPr>
        <w:spacing w:after="200"/>
        <w:contextualSpacing/>
        <w:rPr>
          <w:rFonts w:ascii="Arial" w:hAnsi="Arial" w:cs="Arial"/>
          <w:sz w:val="22"/>
          <w:szCs w:val="22"/>
        </w:rPr>
      </w:pPr>
      <w:r w:rsidRPr="007923C2">
        <w:rPr>
          <w:rFonts w:ascii="Arial" w:hAnsi="Arial" w:cs="Arial"/>
          <w:sz w:val="22"/>
          <w:szCs w:val="22"/>
        </w:rPr>
        <w:t>Arquitectura del Paisaje</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10. Computación</w:t>
      </w:r>
    </w:p>
    <w:p w14:paraId="79F39885" w14:textId="77777777" w:rsidR="00F54CB7" w:rsidRPr="007923C2" w:rsidRDefault="00F54CB7" w:rsidP="00F54CB7">
      <w:pPr>
        <w:pStyle w:val="Prrafodelista"/>
        <w:rPr>
          <w:rFonts w:ascii="Arial" w:hAnsi="Arial" w:cs="Arial"/>
          <w:sz w:val="22"/>
          <w:szCs w:val="22"/>
        </w:rPr>
      </w:pPr>
    </w:p>
    <w:p w14:paraId="112F2E50" w14:textId="77777777" w:rsidR="00F54CB7" w:rsidRPr="007923C2" w:rsidRDefault="00F54CB7" w:rsidP="00F54CB7">
      <w:pPr>
        <w:pStyle w:val="Prrafodelista"/>
        <w:numPr>
          <w:ilvl w:val="0"/>
          <w:numId w:val="11"/>
        </w:numPr>
        <w:spacing w:after="200"/>
        <w:contextualSpacing/>
        <w:rPr>
          <w:rFonts w:ascii="Arial" w:hAnsi="Arial" w:cs="Arial"/>
          <w:sz w:val="22"/>
          <w:szCs w:val="22"/>
        </w:rPr>
      </w:pPr>
      <w:r w:rsidRPr="007923C2">
        <w:rPr>
          <w:rFonts w:ascii="Arial" w:hAnsi="Arial" w:cs="Arial"/>
          <w:sz w:val="22"/>
          <w:szCs w:val="22"/>
        </w:rPr>
        <w:t>Materias que hace falta reforzar prácticas</w:t>
      </w:r>
    </w:p>
    <w:p w14:paraId="5A10809D" w14:textId="77777777" w:rsidR="00F54CB7" w:rsidRPr="007923C2" w:rsidRDefault="00F54CB7" w:rsidP="00F54CB7">
      <w:pPr>
        <w:pStyle w:val="Prrafodelista"/>
        <w:numPr>
          <w:ilvl w:val="0"/>
          <w:numId w:val="14"/>
        </w:numPr>
        <w:spacing w:after="200"/>
        <w:contextualSpacing/>
        <w:rPr>
          <w:rFonts w:ascii="Arial" w:hAnsi="Arial" w:cs="Arial"/>
          <w:sz w:val="22"/>
          <w:szCs w:val="22"/>
        </w:rPr>
      </w:pPr>
      <w:r w:rsidRPr="007923C2">
        <w:rPr>
          <w:rFonts w:ascii="Arial" w:hAnsi="Arial" w:cs="Arial"/>
          <w:sz w:val="22"/>
          <w:szCs w:val="22"/>
        </w:rPr>
        <w:t>Agricultura orgánica</w:t>
      </w:r>
      <w:r w:rsidRPr="007923C2">
        <w:rPr>
          <w:rFonts w:ascii="Arial" w:hAnsi="Arial" w:cs="Arial"/>
          <w:sz w:val="22"/>
          <w:szCs w:val="22"/>
        </w:rPr>
        <w:tab/>
      </w:r>
      <w:r w:rsidR="00460DA3">
        <w:rPr>
          <w:rFonts w:ascii="Arial" w:hAnsi="Arial" w:cs="Arial"/>
          <w:sz w:val="22"/>
          <w:szCs w:val="22"/>
        </w:rPr>
        <w:tab/>
      </w:r>
      <w:r w:rsidRPr="007923C2">
        <w:rPr>
          <w:rFonts w:ascii="Arial" w:hAnsi="Arial" w:cs="Arial"/>
          <w:sz w:val="22"/>
          <w:szCs w:val="22"/>
        </w:rPr>
        <w:t>5. Entomología</w:t>
      </w:r>
    </w:p>
    <w:p w14:paraId="4622E0CD" w14:textId="60A756FF" w:rsidR="00F54CB7" w:rsidRPr="007923C2" w:rsidRDefault="00F54CB7" w:rsidP="00F54CB7">
      <w:pPr>
        <w:pStyle w:val="Prrafodelista"/>
        <w:numPr>
          <w:ilvl w:val="0"/>
          <w:numId w:val="14"/>
        </w:numPr>
        <w:spacing w:after="200"/>
        <w:contextualSpacing/>
        <w:rPr>
          <w:rFonts w:ascii="Arial" w:hAnsi="Arial" w:cs="Arial"/>
          <w:sz w:val="22"/>
          <w:szCs w:val="22"/>
        </w:rPr>
      </w:pPr>
      <w:r w:rsidRPr="007923C2">
        <w:rPr>
          <w:rFonts w:ascii="Arial" w:hAnsi="Arial" w:cs="Arial"/>
          <w:sz w:val="22"/>
          <w:szCs w:val="22"/>
        </w:rPr>
        <w:lastRenderedPageBreak/>
        <w:t xml:space="preserve">Contaminación Ambiental           </w:t>
      </w:r>
      <w:r w:rsidR="00313CFA">
        <w:rPr>
          <w:rFonts w:ascii="Arial" w:hAnsi="Arial" w:cs="Arial"/>
          <w:sz w:val="22"/>
          <w:szCs w:val="22"/>
        </w:rPr>
        <w:t>6.</w:t>
      </w:r>
      <w:r w:rsidRPr="007923C2">
        <w:rPr>
          <w:rFonts w:ascii="Arial" w:hAnsi="Arial" w:cs="Arial"/>
          <w:sz w:val="22"/>
          <w:szCs w:val="22"/>
        </w:rPr>
        <w:t xml:space="preserve"> Sistema ARBIO</w:t>
      </w:r>
    </w:p>
    <w:p w14:paraId="4316E32D" w14:textId="77777777" w:rsidR="00F54CB7" w:rsidRPr="007923C2" w:rsidRDefault="00F54CB7" w:rsidP="00F54CB7">
      <w:pPr>
        <w:pStyle w:val="Prrafodelista"/>
        <w:numPr>
          <w:ilvl w:val="0"/>
          <w:numId w:val="14"/>
        </w:numPr>
        <w:spacing w:after="200"/>
        <w:contextualSpacing/>
        <w:rPr>
          <w:rFonts w:ascii="Arial" w:hAnsi="Arial" w:cs="Arial"/>
          <w:sz w:val="22"/>
          <w:szCs w:val="22"/>
        </w:rPr>
      </w:pPr>
      <w:r w:rsidRPr="007923C2">
        <w:rPr>
          <w:rFonts w:ascii="Arial" w:hAnsi="Arial" w:cs="Arial"/>
          <w:sz w:val="22"/>
          <w:szCs w:val="22"/>
        </w:rPr>
        <w:t>Control Biológico</w:t>
      </w:r>
      <w:r w:rsidRPr="007923C2">
        <w:rPr>
          <w:rFonts w:ascii="Arial" w:hAnsi="Arial" w:cs="Arial"/>
          <w:sz w:val="22"/>
          <w:szCs w:val="22"/>
        </w:rPr>
        <w:tab/>
      </w:r>
      <w:r w:rsidRPr="007923C2">
        <w:rPr>
          <w:rFonts w:ascii="Arial" w:hAnsi="Arial" w:cs="Arial"/>
          <w:sz w:val="22"/>
          <w:szCs w:val="22"/>
        </w:rPr>
        <w:tab/>
      </w:r>
      <w:r w:rsidR="00460DA3">
        <w:rPr>
          <w:rFonts w:ascii="Arial" w:hAnsi="Arial" w:cs="Arial"/>
          <w:sz w:val="22"/>
          <w:szCs w:val="22"/>
        </w:rPr>
        <w:tab/>
      </w:r>
      <w:r w:rsidR="00CA6993" w:rsidRPr="007923C2">
        <w:rPr>
          <w:rFonts w:ascii="Arial" w:hAnsi="Arial" w:cs="Arial"/>
          <w:sz w:val="22"/>
          <w:szCs w:val="22"/>
        </w:rPr>
        <w:t>7</w:t>
      </w:r>
      <w:r w:rsidRPr="007923C2">
        <w:rPr>
          <w:rFonts w:ascii="Arial" w:hAnsi="Arial" w:cs="Arial"/>
          <w:sz w:val="22"/>
          <w:szCs w:val="22"/>
        </w:rPr>
        <w:t>. Ecología</w:t>
      </w:r>
    </w:p>
    <w:p w14:paraId="601612DB" w14:textId="0D86830C" w:rsidR="00F54CB7" w:rsidRPr="007923C2" w:rsidRDefault="00F54CB7" w:rsidP="00F54CB7">
      <w:pPr>
        <w:pStyle w:val="Prrafodelista"/>
        <w:numPr>
          <w:ilvl w:val="0"/>
          <w:numId w:val="14"/>
        </w:numPr>
        <w:spacing w:after="200"/>
        <w:contextualSpacing/>
        <w:rPr>
          <w:rFonts w:ascii="Arial" w:hAnsi="Arial" w:cs="Arial"/>
          <w:sz w:val="22"/>
          <w:szCs w:val="22"/>
        </w:rPr>
      </w:pPr>
      <w:r w:rsidRPr="007923C2">
        <w:rPr>
          <w:rFonts w:ascii="Arial" w:hAnsi="Arial" w:cs="Arial"/>
          <w:sz w:val="22"/>
          <w:szCs w:val="22"/>
        </w:rPr>
        <w:t>Biología Molecular</w:t>
      </w:r>
      <w:r w:rsidRPr="007923C2">
        <w:rPr>
          <w:rFonts w:ascii="Arial" w:hAnsi="Arial" w:cs="Arial"/>
          <w:sz w:val="22"/>
          <w:szCs w:val="22"/>
        </w:rPr>
        <w:tab/>
      </w:r>
      <w:r w:rsidRPr="007923C2">
        <w:rPr>
          <w:rFonts w:ascii="Arial" w:hAnsi="Arial" w:cs="Arial"/>
          <w:sz w:val="22"/>
          <w:szCs w:val="22"/>
        </w:rPr>
        <w:tab/>
      </w:r>
      <w:r w:rsidR="00313CFA">
        <w:rPr>
          <w:rFonts w:ascii="Arial" w:hAnsi="Arial" w:cs="Arial"/>
          <w:sz w:val="22"/>
          <w:szCs w:val="22"/>
        </w:rPr>
        <w:t>8.</w:t>
      </w:r>
      <w:r w:rsidRPr="007923C2">
        <w:rPr>
          <w:rFonts w:ascii="Arial" w:hAnsi="Arial" w:cs="Arial"/>
          <w:sz w:val="22"/>
          <w:szCs w:val="22"/>
        </w:rPr>
        <w:t xml:space="preserve"> Ordenamiento Ecológico</w:t>
      </w:r>
    </w:p>
    <w:p w14:paraId="49DE4FC6" w14:textId="77777777" w:rsidR="00F54CB7" w:rsidRPr="007923C2" w:rsidRDefault="00F54CB7" w:rsidP="00F54CB7">
      <w:pPr>
        <w:pStyle w:val="Prrafodelista"/>
        <w:ind w:left="1080"/>
        <w:rPr>
          <w:rFonts w:ascii="Arial" w:hAnsi="Arial" w:cs="Arial"/>
          <w:sz w:val="22"/>
          <w:szCs w:val="22"/>
        </w:rPr>
      </w:pPr>
    </w:p>
    <w:p w14:paraId="70A72E34" w14:textId="77777777" w:rsidR="00F54CB7" w:rsidRPr="007923C2" w:rsidRDefault="00F54CB7" w:rsidP="00F54CB7">
      <w:pPr>
        <w:pStyle w:val="Prrafodelista"/>
        <w:numPr>
          <w:ilvl w:val="0"/>
          <w:numId w:val="11"/>
        </w:numPr>
        <w:spacing w:after="200"/>
        <w:contextualSpacing/>
        <w:rPr>
          <w:rFonts w:ascii="Arial" w:hAnsi="Arial" w:cs="Arial"/>
          <w:sz w:val="22"/>
          <w:szCs w:val="22"/>
        </w:rPr>
      </w:pPr>
      <w:r w:rsidRPr="007923C2">
        <w:rPr>
          <w:rFonts w:ascii="Arial" w:hAnsi="Arial" w:cs="Arial"/>
          <w:sz w:val="22"/>
          <w:szCs w:val="22"/>
        </w:rPr>
        <w:t>Recomendaciones</w:t>
      </w:r>
    </w:p>
    <w:p w14:paraId="58A46179" w14:textId="77777777" w:rsidR="00F54CB7" w:rsidRPr="007923C2" w:rsidRDefault="00F54CB7" w:rsidP="00F54CB7">
      <w:pPr>
        <w:pStyle w:val="Prrafodelista"/>
        <w:numPr>
          <w:ilvl w:val="0"/>
          <w:numId w:val="15"/>
        </w:numPr>
        <w:spacing w:after="200"/>
        <w:contextualSpacing/>
        <w:rPr>
          <w:rFonts w:ascii="Arial" w:hAnsi="Arial" w:cs="Arial"/>
          <w:sz w:val="22"/>
          <w:szCs w:val="22"/>
        </w:rPr>
      </w:pPr>
      <w:r w:rsidRPr="007923C2">
        <w:rPr>
          <w:rFonts w:ascii="Arial" w:hAnsi="Arial" w:cs="Arial"/>
          <w:sz w:val="22"/>
          <w:szCs w:val="22"/>
        </w:rPr>
        <w:t>Capacitar; actualizar la planta de maestros.</w:t>
      </w:r>
    </w:p>
    <w:p w14:paraId="353C3E0B" w14:textId="77777777" w:rsidR="00F54CB7" w:rsidRPr="007923C2" w:rsidRDefault="00F54CB7" w:rsidP="00F54CB7">
      <w:pPr>
        <w:pStyle w:val="Prrafodelista"/>
        <w:numPr>
          <w:ilvl w:val="0"/>
          <w:numId w:val="15"/>
        </w:numPr>
        <w:spacing w:after="200"/>
        <w:contextualSpacing/>
        <w:rPr>
          <w:rFonts w:ascii="Arial" w:hAnsi="Arial" w:cs="Arial"/>
          <w:sz w:val="22"/>
          <w:szCs w:val="22"/>
        </w:rPr>
      </w:pPr>
      <w:r w:rsidRPr="007923C2">
        <w:rPr>
          <w:rFonts w:ascii="Arial" w:hAnsi="Arial" w:cs="Arial"/>
          <w:sz w:val="22"/>
          <w:szCs w:val="22"/>
        </w:rPr>
        <w:t>Incorporar más prácticas a la carrera.</w:t>
      </w:r>
    </w:p>
    <w:p w14:paraId="6324F2BA" w14:textId="77777777" w:rsidR="00F54CB7" w:rsidRDefault="00F54CB7" w:rsidP="00F54CB7">
      <w:pPr>
        <w:pStyle w:val="Prrafodelista"/>
        <w:numPr>
          <w:ilvl w:val="0"/>
          <w:numId w:val="15"/>
        </w:numPr>
        <w:spacing w:after="200"/>
        <w:contextualSpacing/>
        <w:rPr>
          <w:rFonts w:ascii="Arial" w:hAnsi="Arial" w:cs="Arial"/>
          <w:sz w:val="22"/>
          <w:szCs w:val="22"/>
        </w:rPr>
      </w:pPr>
      <w:r w:rsidRPr="007923C2">
        <w:rPr>
          <w:rFonts w:ascii="Arial" w:hAnsi="Arial" w:cs="Arial"/>
          <w:sz w:val="22"/>
          <w:szCs w:val="22"/>
        </w:rPr>
        <w:t>Generar más convenios con empresas para el desarrollo de prácticas de campo</w:t>
      </w:r>
    </w:p>
    <w:p w14:paraId="1B80B565" w14:textId="77777777" w:rsidR="00460DA3" w:rsidRPr="007923C2" w:rsidRDefault="00460DA3" w:rsidP="00460DA3">
      <w:pPr>
        <w:pStyle w:val="Prrafodelista"/>
        <w:spacing w:after="200"/>
        <w:ind w:left="1080"/>
        <w:contextualSpacing/>
        <w:rPr>
          <w:rFonts w:ascii="Arial" w:hAnsi="Arial" w:cs="Arial"/>
          <w:sz w:val="22"/>
          <w:szCs w:val="22"/>
        </w:rPr>
      </w:pPr>
    </w:p>
    <w:p w14:paraId="33BBA5C7" w14:textId="77777777" w:rsidR="00F54CB7" w:rsidRPr="007923C2" w:rsidRDefault="00F54CB7" w:rsidP="00F54CB7">
      <w:pPr>
        <w:pStyle w:val="Prrafodelista"/>
        <w:numPr>
          <w:ilvl w:val="0"/>
          <w:numId w:val="11"/>
        </w:numPr>
        <w:spacing w:after="200"/>
        <w:contextualSpacing/>
        <w:rPr>
          <w:rFonts w:ascii="Arial" w:hAnsi="Arial" w:cs="Arial"/>
          <w:sz w:val="22"/>
          <w:szCs w:val="22"/>
        </w:rPr>
      </w:pPr>
      <w:r w:rsidRPr="007923C2">
        <w:rPr>
          <w:rFonts w:ascii="Arial" w:hAnsi="Arial" w:cs="Arial"/>
          <w:sz w:val="22"/>
          <w:szCs w:val="22"/>
        </w:rPr>
        <w:t>Principales tendencias en el sector agropecuario mexicano.</w:t>
      </w:r>
    </w:p>
    <w:p w14:paraId="40D3A513" w14:textId="77777777" w:rsidR="00F54CB7" w:rsidRPr="007923C2" w:rsidRDefault="00F54CB7" w:rsidP="00F54CB7">
      <w:pPr>
        <w:pStyle w:val="Prrafodelista"/>
        <w:numPr>
          <w:ilvl w:val="0"/>
          <w:numId w:val="16"/>
        </w:numPr>
        <w:spacing w:after="200"/>
        <w:contextualSpacing/>
        <w:rPr>
          <w:rFonts w:ascii="Arial" w:hAnsi="Arial" w:cs="Arial"/>
          <w:sz w:val="22"/>
          <w:szCs w:val="22"/>
        </w:rPr>
      </w:pPr>
      <w:r w:rsidRPr="007923C2">
        <w:rPr>
          <w:rFonts w:ascii="Arial" w:hAnsi="Arial" w:cs="Arial"/>
          <w:sz w:val="22"/>
          <w:szCs w:val="22"/>
        </w:rPr>
        <w:t>Reforestación 17%</w:t>
      </w:r>
    </w:p>
    <w:p w14:paraId="1270A551" w14:textId="77777777" w:rsidR="00F54CB7" w:rsidRPr="007923C2" w:rsidRDefault="00F54CB7" w:rsidP="00F54CB7">
      <w:pPr>
        <w:pStyle w:val="Prrafodelista"/>
        <w:numPr>
          <w:ilvl w:val="0"/>
          <w:numId w:val="16"/>
        </w:numPr>
        <w:spacing w:after="200"/>
        <w:contextualSpacing/>
        <w:rPr>
          <w:rFonts w:ascii="Arial" w:hAnsi="Arial" w:cs="Arial"/>
          <w:sz w:val="22"/>
          <w:szCs w:val="22"/>
        </w:rPr>
      </w:pPr>
      <w:r w:rsidRPr="007923C2">
        <w:rPr>
          <w:rFonts w:ascii="Arial" w:hAnsi="Arial" w:cs="Arial"/>
          <w:sz w:val="22"/>
          <w:szCs w:val="22"/>
        </w:rPr>
        <w:t>Producción de orgánicos 32%</w:t>
      </w:r>
    </w:p>
    <w:p w14:paraId="0682DEFC" w14:textId="77777777" w:rsidR="00F54CB7" w:rsidRPr="007923C2" w:rsidRDefault="00F54CB7" w:rsidP="00F54CB7">
      <w:pPr>
        <w:pStyle w:val="Prrafodelista"/>
        <w:numPr>
          <w:ilvl w:val="0"/>
          <w:numId w:val="16"/>
        </w:numPr>
        <w:spacing w:after="200"/>
        <w:contextualSpacing/>
        <w:rPr>
          <w:rFonts w:ascii="Arial" w:hAnsi="Arial" w:cs="Arial"/>
          <w:sz w:val="22"/>
          <w:szCs w:val="22"/>
        </w:rPr>
      </w:pPr>
      <w:r w:rsidRPr="007923C2">
        <w:rPr>
          <w:rFonts w:ascii="Arial" w:hAnsi="Arial" w:cs="Arial"/>
          <w:sz w:val="22"/>
          <w:szCs w:val="22"/>
        </w:rPr>
        <w:t>Control biológico 17%</w:t>
      </w:r>
    </w:p>
    <w:p w14:paraId="65B112C1" w14:textId="77777777" w:rsidR="00F54CB7" w:rsidRDefault="00F54CB7" w:rsidP="00F54CB7">
      <w:pPr>
        <w:pStyle w:val="Prrafodelista"/>
        <w:numPr>
          <w:ilvl w:val="0"/>
          <w:numId w:val="16"/>
        </w:numPr>
        <w:spacing w:after="200"/>
        <w:contextualSpacing/>
        <w:rPr>
          <w:rFonts w:ascii="Arial" w:hAnsi="Arial" w:cs="Arial"/>
          <w:sz w:val="22"/>
          <w:szCs w:val="22"/>
        </w:rPr>
      </w:pPr>
      <w:r w:rsidRPr="007923C2">
        <w:rPr>
          <w:rFonts w:ascii="Arial" w:hAnsi="Arial" w:cs="Arial"/>
          <w:sz w:val="22"/>
          <w:szCs w:val="22"/>
        </w:rPr>
        <w:t>Otros 34%</w:t>
      </w:r>
    </w:p>
    <w:p w14:paraId="55297291" w14:textId="77777777" w:rsidR="00460DA3" w:rsidRPr="007923C2" w:rsidRDefault="00460DA3" w:rsidP="00460DA3">
      <w:pPr>
        <w:pStyle w:val="Prrafodelista"/>
        <w:spacing w:after="200"/>
        <w:ind w:left="1080"/>
        <w:contextualSpacing/>
        <w:rPr>
          <w:rFonts w:ascii="Arial" w:hAnsi="Arial" w:cs="Arial"/>
          <w:sz w:val="22"/>
          <w:szCs w:val="22"/>
        </w:rPr>
      </w:pPr>
    </w:p>
    <w:p w14:paraId="321D1991" w14:textId="77777777" w:rsidR="00F54CB7" w:rsidRPr="007923C2" w:rsidRDefault="00F54CB7" w:rsidP="00F54CB7">
      <w:pPr>
        <w:pStyle w:val="Prrafodelista"/>
        <w:numPr>
          <w:ilvl w:val="0"/>
          <w:numId w:val="11"/>
        </w:numPr>
        <w:spacing w:after="200"/>
        <w:contextualSpacing/>
        <w:rPr>
          <w:rFonts w:ascii="Arial" w:hAnsi="Arial" w:cs="Arial"/>
          <w:sz w:val="22"/>
          <w:szCs w:val="22"/>
        </w:rPr>
      </w:pPr>
      <w:r w:rsidRPr="007923C2">
        <w:rPr>
          <w:rFonts w:ascii="Arial" w:hAnsi="Arial" w:cs="Arial"/>
          <w:sz w:val="22"/>
          <w:szCs w:val="22"/>
        </w:rPr>
        <w:t>Otros comentarios de empresas y Universidades sobre el agrobiologo y el sector que maneja.</w:t>
      </w:r>
    </w:p>
    <w:p w14:paraId="216A90F1" w14:textId="77777777" w:rsidR="00F54CB7" w:rsidRPr="007923C2" w:rsidRDefault="00F54CB7" w:rsidP="00F54CB7">
      <w:pPr>
        <w:pStyle w:val="Prrafodelista"/>
        <w:numPr>
          <w:ilvl w:val="0"/>
          <w:numId w:val="17"/>
        </w:numPr>
        <w:spacing w:after="200"/>
        <w:contextualSpacing/>
        <w:rPr>
          <w:rFonts w:ascii="Arial" w:hAnsi="Arial" w:cs="Arial"/>
          <w:sz w:val="22"/>
          <w:szCs w:val="22"/>
        </w:rPr>
      </w:pPr>
      <w:r w:rsidRPr="007923C2">
        <w:rPr>
          <w:rFonts w:ascii="Arial" w:hAnsi="Arial" w:cs="Arial"/>
          <w:sz w:val="22"/>
          <w:szCs w:val="22"/>
        </w:rPr>
        <w:t>Se continúan con prácticas ancestrales de producción sin ver por la mejora del suelo o la seguridad del trabajador.</w:t>
      </w:r>
    </w:p>
    <w:p w14:paraId="1047290C" w14:textId="77777777" w:rsidR="00F54CB7" w:rsidRPr="007923C2" w:rsidRDefault="00F54CB7" w:rsidP="00F54CB7">
      <w:pPr>
        <w:pStyle w:val="Prrafodelista"/>
        <w:numPr>
          <w:ilvl w:val="0"/>
          <w:numId w:val="17"/>
        </w:numPr>
        <w:spacing w:after="200"/>
        <w:contextualSpacing/>
        <w:rPr>
          <w:rFonts w:ascii="Arial" w:hAnsi="Arial" w:cs="Arial"/>
          <w:sz w:val="22"/>
          <w:szCs w:val="22"/>
        </w:rPr>
      </w:pPr>
      <w:r w:rsidRPr="007923C2">
        <w:rPr>
          <w:rFonts w:ascii="Arial" w:hAnsi="Arial" w:cs="Arial"/>
          <w:sz w:val="22"/>
          <w:szCs w:val="22"/>
        </w:rPr>
        <w:t>De 2-3 años a la fecha son aceptadas las técnicas biológicas debido a la legislación ambiental, empresas grandes tienen programa de investigación y técnicas biológicas.</w:t>
      </w:r>
    </w:p>
    <w:p w14:paraId="14FE6D61" w14:textId="77777777" w:rsidR="00F54CB7" w:rsidRPr="007923C2" w:rsidRDefault="00F54CB7" w:rsidP="00F54CB7">
      <w:pPr>
        <w:pStyle w:val="Prrafodelista"/>
        <w:numPr>
          <w:ilvl w:val="0"/>
          <w:numId w:val="17"/>
        </w:numPr>
        <w:spacing w:after="200"/>
        <w:contextualSpacing/>
        <w:rPr>
          <w:rFonts w:ascii="Arial" w:hAnsi="Arial" w:cs="Arial"/>
          <w:sz w:val="22"/>
          <w:szCs w:val="22"/>
        </w:rPr>
      </w:pPr>
      <w:r w:rsidRPr="007923C2">
        <w:rPr>
          <w:rFonts w:ascii="Arial" w:hAnsi="Arial" w:cs="Arial"/>
          <w:sz w:val="22"/>
          <w:szCs w:val="22"/>
        </w:rPr>
        <w:t>Falta promoción del desarrollo sustentable.</w:t>
      </w:r>
    </w:p>
    <w:p w14:paraId="7FB6E8AB" w14:textId="77777777" w:rsidR="00F54CB7" w:rsidRDefault="00F54CB7" w:rsidP="00F54CB7">
      <w:pPr>
        <w:pStyle w:val="Prrafodelista"/>
        <w:numPr>
          <w:ilvl w:val="0"/>
          <w:numId w:val="17"/>
        </w:numPr>
        <w:spacing w:after="200"/>
        <w:contextualSpacing/>
        <w:rPr>
          <w:rFonts w:ascii="Arial" w:hAnsi="Arial" w:cs="Arial"/>
          <w:sz w:val="22"/>
          <w:szCs w:val="22"/>
        </w:rPr>
      </w:pPr>
      <w:r w:rsidRPr="007923C2">
        <w:rPr>
          <w:rFonts w:ascii="Arial" w:hAnsi="Arial" w:cs="Arial"/>
          <w:sz w:val="22"/>
          <w:szCs w:val="22"/>
        </w:rPr>
        <w:t>El agrónomo debe desarrollar biotecnología y diagnosticar todo tipo de residuos que afectan al ambiente y desarrollo de la producción agrícola para tener alimentos de mejor calidad.</w:t>
      </w:r>
    </w:p>
    <w:p w14:paraId="2708DE6F" w14:textId="77777777" w:rsidR="00460DA3" w:rsidRPr="007923C2" w:rsidRDefault="00460DA3" w:rsidP="00460DA3">
      <w:pPr>
        <w:pStyle w:val="Prrafodelista"/>
        <w:spacing w:after="200"/>
        <w:ind w:left="1080"/>
        <w:contextualSpacing/>
        <w:rPr>
          <w:rFonts w:ascii="Arial" w:hAnsi="Arial" w:cs="Arial"/>
          <w:sz w:val="22"/>
          <w:szCs w:val="22"/>
        </w:rPr>
      </w:pPr>
    </w:p>
    <w:p w14:paraId="1A4A1AF9" w14:textId="77777777" w:rsidR="00F54CB7" w:rsidRPr="007923C2" w:rsidRDefault="00F54CB7" w:rsidP="00F54CB7">
      <w:pPr>
        <w:pStyle w:val="Prrafodelista"/>
        <w:numPr>
          <w:ilvl w:val="0"/>
          <w:numId w:val="11"/>
        </w:numPr>
        <w:spacing w:after="200"/>
        <w:contextualSpacing/>
        <w:rPr>
          <w:rFonts w:ascii="Arial" w:hAnsi="Arial" w:cs="Arial"/>
          <w:sz w:val="22"/>
          <w:szCs w:val="22"/>
        </w:rPr>
      </w:pPr>
      <w:r w:rsidRPr="007923C2">
        <w:rPr>
          <w:rFonts w:ascii="Arial" w:hAnsi="Arial" w:cs="Arial"/>
          <w:sz w:val="22"/>
          <w:szCs w:val="22"/>
        </w:rPr>
        <w:t xml:space="preserve"> Tendencias que vienen para el sector en el que se desenvuelve el agrobiologo.</w:t>
      </w:r>
    </w:p>
    <w:p w14:paraId="27F98359" w14:textId="77777777"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Más producción orgánica</w:t>
      </w:r>
    </w:p>
    <w:p w14:paraId="2A30AC59" w14:textId="77777777"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Monitoreo de insectos benéficos.</w:t>
      </w:r>
    </w:p>
    <w:p w14:paraId="2850A2F5" w14:textId="77777777"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Sistemas más efectivos y cuidado del medio ambiente, así como el cuidado de los trabajadores y del consumidor final.</w:t>
      </w:r>
    </w:p>
    <w:p w14:paraId="38885590" w14:textId="77777777"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Asesoría acerca de herbicidas, insecticidas y pesticidas orgánicos.</w:t>
      </w:r>
    </w:p>
    <w:p w14:paraId="614756DE" w14:textId="77777777"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Más investigación y más desarrollo de productos ya aprobados.</w:t>
      </w:r>
    </w:p>
    <w:p w14:paraId="08DC6F86" w14:textId="77777777"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Aprovechamiento de aguas residuales.</w:t>
      </w:r>
    </w:p>
    <w:p w14:paraId="0BAF183D" w14:textId="77777777"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Manejo y conservación del recursos natura</w:t>
      </w:r>
      <w:r w:rsidR="00976882">
        <w:rPr>
          <w:rFonts w:ascii="Arial" w:hAnsi="Arial" w:cs="Arial"/>
          <w:sz w:val="22"/>
          <w:szCs w:val="22"/>
        </w:rPr>
        <w:t>es</w:t>
      </w:r>
      <w:r w:rsidRPr="007923C2">
        <w:rPr>
          <w:rFonts w:ascii="Arial" w:hAnsi="Arial" w:cs="Arial"/>
          <w:sz w:val="22"/>
          <w:szCs w:val="22"/>
        </w:rPr>
        <w:t>l.</w:t>
      </w:r>
    </w:p>
    <w:p w14:paraId="5741843F" w14:textId="77777777" w:rsidR="00773D65" w:rsidRPr="007923C2" w:rsidRDefault="00F54CB7" w:rsidP="00773D65">
      <w:pPr>
        <w:pStyle w:val="Prrafodelista"/>
        <w:numPr>
          <w:ilvl w:val="0"/>
          <w:numId w:val="18"/>
        </w:numPr>
        <w:spacing w:after="0"/>
        <w:contextualSpacing/>
        <w:rPr>
          <w:rFonts w:ascii="Arial" w:hAnsi="Arial" w:cs="Arial"/>
          <w:b/>
          <w:sz w:val="22"/>
          <w:szCs w:val="22"/>
        </w:rPr>
      </w:pPr>
      <w:r w:rsidRPr="007923C2">
        <w:rPr>
          <w:rFonts w:ascii="Arial" w:hAnsi="Arial" w:cs="Arial"/>
          <w:sz w:val="22"/>
          <w:szCs w:val="22"/>
        </w:rPr>
        <w:t>Combatir la problemática que se tiene con la producción.</w:t>
      </w:r>
    </w:p>
    <w:p w14:paraId="077B458C" w14:textId="77777777" w:rsidR="00773D65" w:rsidRDefault="00773D65" w:rsidP="00773D65">
      <w:pPr>
        <w:pStyle w:val="Prrafodelista"/>
        <w:spacing w:after="0"/>
        <w:ind w:left="1080"/>
        <w:contextualSpacing/>
        <w:rPr>
          <w:rFonts w:ascii="Arial" w:hAnsi="Arial" w:cs="Arial"/>
          <w:b/>
          <w:sz w:val="22"/>
          <w:szCs w:val="22"/>
        </w:rPr>
      </w:pPr>
    </w:p>
    <w:p w14:paraId="5E7D3AC6" w14:textId="77777777" w:rsidR="00D4439D" w:rsidRPr="007923C2" w:rsidRDefault="00D4439D" w:rsidP="00773D65">
      <w:pPr>
        <w:pStyle w:val="Prrafodelista"/>
        <w:spacing w:after="0"/>
        <w:ind w:left="1080"/>
        <w:contextualSpacing/>
        <w:rPr>
          <w:rFonts w:ascii="Arial" w:hAnsi="Arial" w:cs="Arial"/>
          <w:b/>
          <w:sz w:val="22"/>
          <w:szCs w:val="22"/>
        </w:rPr>
      </w:pPr>
    </w:p>
    <w:p w14:paraId="1F27CB7A" w14:textId="77777777" w:rsidR="00092FF9" w:rsidRPr="007923C2" w:rsidRDefault="007837B7" w:rsidP="00773D65">
      <w:pPr>
        <w:pStyle w:val="Prrafodelista"/>
        <w:spacing w:after="0"/>
        <w:ind w:left="1080"/>
        <w:contextualSpacing/>
        <w:rPr>
          <w:rFonts w:ascii="Arial" w:hAnsi="Arial" w:cs="Arial"/>
          <w:b/>
          <w:sz w:val="22"/>
          <w:szCs w:val="22"/>
        </w:rPr>
      </w:pPr>
      <w:r w:rsidRPr="007923C2">
        <w:rPr>
          <w:rFonts w:ascii="Arial" w:hAnsi="Arial" w:cs="Arial"/>
          <w:b/>
          <w:sz w:val="22"/>
          <w:szCs w:val="22"/>
        </w:rPr>
        <w:t>4.2.5.3.-EVALUACIÓN DE FACTORES EXTERNOS</w:t>
      </w:r>
    </w:p>
    <w:p w14:paraId="54B5C2F6" w14:textId="77777777" w:rsidR="007837B7" w:rsidRPr="007923C2" w:rsidRDefault="007837B7" w:rsidP="00092FF9">
      <w:pPr>
        <w:spacing w:after="0"/>
        <w:rPr>
          <w:rFonts w:ascii="Arial" w:hAnsi="Arial" w:cs="Arial"/>
          <w:b/>
          <w:sz w:val="22"/>
          <w:szCs w:val="22"/>
        </w:rPr>
      </w:pPr>
    </w:p>
    <w:p w14:paraId="5C0547AF" w14:textId="77777777" w:rsidR="007837B7" w:rsidRDefault="007837B7" w:rsidP="00092FF9">
      <w:pPr>
        <w:spacing w:after="0"/>
        <w:rPr>
          <w:rFonts w:ascii="Arial" w:hAnsi="Arial" w:cs="Arial"/>
          <w:b/>
          <w:sz w:val="22"/>
          <w:szCs w:val="22"/>
        </w:rPr>
      </w:pPr>
      <w:r w:rsidRPr="007923C2">
        <w:rPr>
          <w:rFonts w:ascii="Arial" w:hAnsi="Arial" w:cs="Arial"/>
          <w:sz w:val="22"/>
          <w:szCs w:val="22"/>
        </w:rPr>
        <w:t>La elaboración de la evaluación externa permite identificar oportunidades y amenazas que afectan el plan de estudios</w:t>
      </w:r>
      <w:r w:rsidRPr="007923C2">
        <w:rPr>
          <w:rFonts w:ascii="Arial" w:hAnsi="Arial" w:cs="Arial"/>
          <w:b/>
          <w:sz w:val="22"/>
          <w:szCs w:val="22"/>
        </w:rPr>
        <w:t>.</w:t>
      </w:r>
    </w:p>
    <w:p w14:paraId="172E70B9" w14:textId="77777777" w:rsidR="00201375" w:rsidRPr="007923C2" w:rsidRDefault="00201375" w:rsidP="00092FF9">
      <w:pPr>
        <w:spacing w:after="0"/>
        <w:rPr>
          <w:rFonts w:ascii="Arial" w:hAnsi="Arial" w:cs="Arial"/>
          <w:b/>
          <w:sz w:val="22"/>
          <w:szCs w:val="22"/>
        </w:rPr>
      </w:pPr>
    </w:p>
    <w:p w14:paraId="3760AD48" w14:textId="77777777" w:rsidR="00D4439D" w:rsidRDefault="00D4439D" w:rsidP="00092FF9">
      <w:pPr>
        <w:spacing w:after="0"/>
        <w:rPr>
          <w:rFonts w:ascii="Arial" w:hAnsi="Arial" w:cs="Arial"/>
          <w:b/>
          <w:sz w:val="22"/>
          <w:szCs w:val="22"/>
        </w:rPr>
      </w:pPr>
    </w:p>
    <w:p w14:paraId="519BE921" w14:textId="77777777" w:rsidR="007837B7" w:rsidRPr="007923C2" w:rsidRDefault="007837B7" w:rsidP="00092FF9">
      <w:pPr>
        <w:spacing w:after="0"/>
        <w:rPr>
          <w:rFonts w:ascii="Arial" w:hAnsi="Arial" w:cs="Arial"/>
          <w:b/>
          <w:sz w:val="22"/>
          <w:szCs w:val="22"/>
        </w:rPr>
      </w:pPr>
      <w:r w:rsidRPr="007923C2">
        <w:rPr>
          <w:rFonts w:ascii="Arial" w:hAnsi="Arial" w:cs="Arial"/>
          <w:b/>
          <w:sz w:val="22"/>
          <w:szCs w:val="22"/>
        </w:rPr>
        <w:lastRenderedPageBreak/>
        <w:t>Identificación de Oportunidades y amenazas</w:t>
      </w:r>
    </w:p>
    <w:p w14:paraId="654B67AF" w14:textId="77777777" w:rsidR="007837B7" w:rsidRPr="007923C2" w:rsidRDefault="007837B7" w:rsidP="00092FF9">
      <w:pPr>
        <w:spacing w:after="0"/>
        <w:rPr>
          <w:rFonts w:ascii="Arial" w:hAnsi="Arial" w:cs="Arial"/>
          <w:b/>
          <w:sz w:val="22"/>
          <w:szCs w:val="22"/>
        </w:rPr>
      </w:pPr>
      <w:r w:rsidRPr="007923C2">
        <w:rPr>
          <w:rFonts w:ascii="Arial" w:hAnsi="Arial" w:cs="Arial"/>
          <w:b/>
          <w:sz w:val="22"/>
          <w:szCs w:val="22"/>
        </w:rPr>
        <w:t>OPORTUNIDADES</w:t>
      </w:r>
    </w:p>
    <w:p w14:paraId="18D59678" w14:textId="77777777" w:rsidR="007837B7" w:rsidRPr="007923C2" w:rsidRDefault="007837B7" w:rsidP="00092FF9">
      <w:pPr>
        <w:spacing w:after="0"/>
        <w:rPr>
          <w:rFonts w:ascii="Arial" w:hAnsi="Arial" w:cs="Arial"/>
          <w:b/>
          <w:sz w:val="22"/>
          <w:szCs w:val="22"/>
        </w:rPr>
      </w:pPr>
    </w:p>
    <w:p w14:paraId="54FA30AA" w14:textId="77777777" w:rsidR="007837B7" w:rsidRPr="007923C2" w:rsidRDefault="007837B7" w:rsidP="00092FF9">
      <w:pPr>
        <w:spacing w:after="0"/>
        <w:rPr>
          <w:rFonts w:ascii="Arial" w:hAnsi="Arial" w:cs="Arial"/>
          <w:sz w:val="22"/>
          <w:szCs w:val="22"/>
        </w:rPr>
      </w:pPr>
      <w:r w:rsidRPr="007923C2">
        <w:rPr>
          <w:rFonts w:ascii="Arial" w:hAnsi="Arial" w:cs="Arial"/>
          <w:sz w:val="22"/>
          <w:szCs w:val="22"/>
        </w:rPr>
        <w:t>1.-</w:t>
      </w:r>
      <w:r w:rsidR="00811364" w:rsidRPr="007923C2">
        <w:rPr>
          <w:rFonts w:ascii="Arial" w:hAnsi="Arial" w:cs="Arial"/>
          <w:sz w:val="22"/>
          <w:szCs w:val="22"/>
        </w:rPr>
        <w:t>El Agrobiólogo se adapta al cambio de una economía de productos a una de servicios.</w:t>
      </w:r>
    </w:p>
    <w:p w14:paraId="1D29D701" w14:textId="77777777" w:rsidR="00811364" w:rsidRPr="007923C2" w:rsidRDefault="00811364" w:rsidP="00092FF9">
      <w:pPr>
        <w:spacing w:after="0"/>
        <w:rPr>
          <w:rFonts w:ascii="Arial" w:hAnsi="Arial" w:cs="Arial"/>
          <w:sz w:val="22"/>
          <w:szCs w:val="22"/>
        </w:rPr>
      </w:pPr>
      <w:r w:rsidRPr="007923C2">
        <w:rPr>
          <w:rFonts w:ascii="Arial" w:hAnsi="Arial" w:cs="Arial"/>
          <w:sz w:val="22"/>
          <w:szCs w:val="22"/>
        </w:rPr>
        <w:t>2.-La producción convencional es difícil que se desplace pero el reporte del daño mundial ha generado un nuevo nicho a la producción agrícola orgánica.</w:t>
      </w:r>
    </w:p>
    <w:p w14:paraId="692A14C2" w14:textId="77777777" w:rsidR="00811364" w:rsidRPr="007923C2" w:rsidRDefault="00811364" w:rsidP="00092FF9">
      <w:pPr>
        <w:spacing w:after="0"/>
        <w:rPr>
          <w:rFonts w:ascii="Arial" w:hAnsi="Arial" w:cs="Arial"/>
          <w:sz w:val="22"/>
          <w:szCs w:val="22"/>
        </w:rPr>
      </w:pPr>
      <w:r w:rsidRPr="007923C2">
        <w:rPr>
          <w:rFonts w:ascii="Arial" w:hAnsi="Arial" w:cs="Arial"/>
          <w:sz w:val="22"/>
          <w:szCs w:val="22"/>
        </w:rPr>
        <w:t>3.-La agricultura orgánica mantiene y mejora la salud del suelo, los ecosistemas y personas con procesos ecológicos, biodiversidad, sin insumos.</w:t>
      </w:r>
    </w:p>
    <w:p w14:paraId="0E6B36B0" w14:textId="77777777" w:rsidR="00811364" w:rsidRPr="007923C2" w:rsidRDefault="00811364" w:rsidP="00092FF9">
      <w:pPr>
        <w:spacing w:after="0"/>
        <w:rPr>
          <w:rFonts w:ascii="Arial" w:hAnsi="Arial" w:cs="Arial"/>
          <w:sz w:val="22"/>
          <w:szCs w:val="22"/>
        </w:rPr>
      </w:pPr>
      <w:r w:rsidRPr="007923C2">
        <w:rPr>
          <w:rFonts w:ascii="Arial" w:hAnsi="Arial" w:cs="Arial"/>
          <w:sz w:val="22"/>
          <w:szCs w:val="22"/>
        </w:rPr>
        <w:t>4.-La agricultura orgánica ha aumentado en 4 mil hectáreas para exportación de tomate, pepino, lechuga, flores.</w:t>
      </w:r>
    </w:p>
    <w:p w14:paraId="421DBA1B" w14:textId="77777777" w:rsidR="00F52655" w:rsidRPr="007923C2" w:rsidRDefault="00811364" w:rsidP="00092FF9">
      <w:pPr>
        <w:spacing w:after="0"/>
        <w:rPr>
          <w:rFonts w:ascii="Arial" w:hAnsi="Arial" w:cs="Arial"/>
          <w:sz w:val="22"/>
          <w:szCs w:val="22"/>
        </w:rPr>
      </w:pPr>
      <w:r w:rsidRPr="007923C2">
        <w:rPr>
          <w:rFonts w:ascii="Arial" w:hAnsi="Arial" w:cs="Arial"/>
          <w:sz w:val="22"/>
          <w:szCs w:val="22"/>
        </w:rPr>
        <w:t>5.-</w:t>
      </w:r>
      <w:r w:rsidR="00F52655" w:rsidRPr="007923C2">
        <w:rPr>
          <w:rFonts w:ascii="Arial" w:hAnsi="Arial" w:cs="Arial"/>
          <w:sz w:val="22"/>
          <w:szCs w:val="22"/>
        </w:rPr>
        <w:t>El desarrollo sostenible se puede lograr modificando los hábitos y consumiendo bienes que requieren menos energía, agua y otros recursos.</w:t>
      </w:r>
    </w:p>
    <w:p w14:paraId="0979722E" w14:textId="77777777" w:rsidR="00F52655" w:rsidRPr="007923C2" w:rsidRDefault="00F52655" w:rsidP="00092FF9">
      <w:pPr>
        <w:spacing w:after="0"/>
        <w:rPr>
          <w:rFonts w:ascii="Arial" w:hAnsi="Arial" w:cs="Arial"/>
          <w:sz w:val="22"/>
          <w:szCs w:val="22"/>
        </w:rPr>
      </w:pPr>
      <w:r w:rsidRPr="007923C2">
        <w:rPr>
          <w:rFonts w:ascii="Arial" w:hAnsi="Arial" w:cs="Arial"/>
          <w:sz w:val="22"/>
          <w:szCs w:val="22"/>
        </w:rPr>
        <w:t>6.-En el país hay 262 zonas de productos orgánicos ubicados en 28 estados.</w:t>
      </w:r>
    </w:p>
    <w:p w14:paraId="131E166C" w14:textId="77777777" w:rsidR="00F52655" w:rsidRPr="007923C2" w:rsidRDefault="00F52655" w:rsidP="00092FF9">
      <w:pPr>
        <w:spacing w:after="0"/>
        <w:rPr>
          <w:rFonts w:ascii="Arial" w:hAnsi="Arial" w:cs="Arial"/>
          <w:sz w:val="22"/>
          <w:szCs w:val="22"/>
        </w:rPr>
      </w:pPr>
      <w:r w:rsidRPr="007923C2">
        <w:rPr>
          <w:rFonts w:ascii="Arial" w:hAnsi="Arial" w:cs="Arial"/>
          <w:sz w:val="22"/>
          <w:szCs w:val="22"/>
        </w:rPr>
        <w:t xml:space="preserve">7.-El agrobiólogo puede incursionar en diversas áreas como reforestación, regulación fitosanitaria, mejoramiento genético, fertilizantes biológicos, legislación     </w:t>
      </w:r>
    </w:p>
    <w:p w14:paraId="044EDA32" w14:textId="77777777" w:rsidR="00F52655" w:rsidRPr="007923C2" w:rsidRDefault="00F52655" w:rsidP="00092FF9">
      <w:pPr>
        <w:spacing w:after="0"/>
        <w:rPr>
          <w:rFonts w:ascii="Arial" w:hAnsi="Arial" w:cs="Arial"/>
          <w:sz w:val="22"/>
          <w:szCs w:val="22"/>
        </w:rPr>
      </w:pPr>
      <w:r w:rsidRPr="007923C2">
        <w:rPr>
          <w:rFonts w:ascii="Arial" w:hAnsi="Arial" w:cs="Arial"/>
          <w:sz w:val="22"/>
          <w:szCs w:val="22"/>
        </w:rPr>
        <w:t xml:space="preserve">    Ambiental.</w:t>
      </w:r>
    </w:p>
    <w:p w14:paraId="6015630A" w14:textId="77777777" w:rsidR="00F52655" w:rsidRPr="007923C2" w:rsidRDefault="00F52655" w:rsidP="00092FF9">
      <w:pPr>
        <w:spacing w:after="0"/>
        <w:rPr>
          <w:rFonts w:ascii="Arial" w:hAnsi="Arial" w:cs="Arial"/>
          <w:sz w:val="22"/>
          <w:szCs w:val="22"/>
        </w:rPr>
      </w:pPr>
      <w:r w:rsidRPr="007923C2">
        <w:rPr>
          <w:rFonts w:ascii="Arial" w:hAnsi="Arial" w:cs="Arial"/>
          <w:sz w:val="22"/>
          <w:szCs w:val="22"/>
        </w:rPr>
        <w:t>8.-La aplicación de la biotecnología en la formación del agrobiólogo diversifica sus opciones en la producción agrícola.</w:t>
      </w:r>
    </w:p>
    <w:p w14:paraId="2F855D49" w14:textId="77777777" w:rsidR="00F52655" w:rsidRPr="007923C2" w:rsidRDefault="00F52655" w:rsidP="00092FF9">
      <w:pPr>
        <w:spacing w:after="0"/>
        <w:rPr>
          <w:rFonts w:ascii="Arial" w:hAnsi="Arial" w:cs="Arial"/>
          <w:sz w:val="22"/>
          <w:szCs w:val="22"/>
        </w:rPr>
      </w:pPr>
      <w:r w:rsidRPr="007923C2">
        <w:rPr>
          <w:rFonts w:ascii="Arial" w:hAnsi="Arial" w:cs="Arial"/>
          <w:sz w:val="22"/>
          <w:szCs w:val="22"/>
        </w:rPr>
        <w:t>9.-A través de la biotecnología se puede realizar sistemas de producción de metano o etanol por fermentación aneorobia.</w:t>
      </w:r>
    </w:p>
    <w:p w14:paraId="2A588D84" w14:textId="77777777" w:rsidR="0010077E" w:rsidRPr="007923C2" w:rsidRDefault="00F52655" w:rsidP="00092FF9">
      <w:pPr>
        <w:spacing w:after="0"/>
        <w:rPr>
          <w:rFonts w:ascii="Arial" w:hAnsi="Arial" w:cs="Arial"/>
          <w:sz w:val="22"/>
          <w:szCs w:val="22"/>
        </w:rPr>
      </w:pPr>
      <w:r w:rsidRPr="007923C2">
        <w:rPr>
          <w:rFonts w:ascii="Arial" w:hAnsi="Arial" w:cs="Arial"/>
          <w:sz w:val="22"/>
          <w:szCs w:val="22"/>
        </w:rPr>
        <w:t>10.-</w:t>
      </w:r>
      <w:r w:rsidR="0010077E" w:rsidRPr="007923C2">
        <w:rPr>
          <w:rFonts w:ascii="Arial" w:hAnsi="Arial" w:cs="Arial"/>
          <w:sz w:val="22"/>
          <w:szCs w:val="22"/>
        </w:rPr>
        <w:t>La conservación de la biodiversidad es un tema importante de nuestro tiempo, la deforestación se ha incrementado y con extinción masiva de especies.</w:t>
      </w:r>
    </w:p>
    <w:p w14:paraId="2239CC2F" w14:textId="77777777" w:rsidR="0010077E" w:rsidRPr="007923C2" w:rsidRDefault="0010077E" w:rsidP="00092FF9">
      <w:pPr>
        <w:spacing w:after="0"/>
        <w:rPr>
          <w:rFonts w:ascii="Arial" w:hAnsi="Arial" w:cs="Arial"/>
          <w:sz w:val="22"/>
          <w:szCs w:val="22"/>
        </w:rPr>
      </w:pPr>
      <w:r w:rsidRPr="007923C2">
        <w:rPr>
          <w:rFonts w:ascii="Arial" w:hAnsi="Arial" w:cs="Arial"/>
          <w:sz w:val="22"/>
          <w:szCs w:val="22"/>
        </w:rPr>
        <w:t>11.-En México se tiene una débil política de conservación basada en un grupo de áreas naturales protegidas.</w:t>
      </w:r>
    </w:p>
    <w:p w14:paraId="1E5AE8A4" w14:textId="77777777" w:rsidR="0010077E" w:rsidRPr="007923C2" w:rsidRDefault="0010077E" w:rsidP="00092FF9">
      <w:pPr>
        <w:spacing w:after="0"/>
        <w:rPr>
          <w:rFonts w:ascii="Arial" w:hAnsi="Arial" w:cs="Arial"/>
          <w:sz w:val="22"/>
          <w:szCs w:val="22"/>
        </w:rPr>
      </w:pPr>
      <w:r w:rsidRPr="007923C2">
        <w:rPr>
          <w:rFonts w:ascii="Arial" w:hAnsi="Arial" w:cs="Arial"/>
          <w:sz w:val="22"/>
          <w:szCs w:val="22"/>
        </w:rPr>
        <w:t>12.-La Agrobiología tiene una gran fuerza en las variables sociales en los problemas ambientales ofreciendo una alternativa en la producción y conservación de los recursos naturales.</w:t>
      </w:r>
    </w:p>
    <w:p w14:paraId="209B8C95" w14:textId="77777777" w:rsidR="00213213" w:rsidRPr="007923C2" w:rsidRDefault="0010077E" w:rsidP="00092FF9">
      <w:pPr>
        <w:spacing w:after="0"/>
        <w:rPr>
          <w:rFonts w:ascii="Arial" w:hAnsi="Arial" w:cs="Arial"/>
          <w:sz w:val="22"/>
          <w:szCs w:val="22"/>
        </w:rPr>
      </w:pPr>
      <w:r w:rsidRPr="007923C2">
        <w:rPr>
          <w:rFonts w:ascii="Arial" w:hAnsi="Arial" w:cs="Arial"/>
          <w:sz w:val="22"/>
          <w:szCs w:val="22"/>
        </w:rPr>
        <w:t>13.-</w:t>
      </w:r>
      <w:r w:rsidR="00213213" w:rsidRPr="007923C2">
        <w:rPr>
          <w:rFonts w:ascii="Arial" w:hAnsi="Arial" w:cs="Arial"/>
          <w:sz w:val="22"/>
          <w:szCs w:val="22"/>
        </w:rPr>
        <w:t>El avance acelerado del conocimiento científico y tecnológico es un apoyo y oportunidad en la educación superior.</w:t>
      </w:r>
    </w:p>
    <w:p w14:paraId="0A6D0207" w14:textId="77777777" w:rsidR="00213213" w:rsidRPr="007923C2" w:rsidRDefault="00213213" w:rsidP="00092FF9">
      <w:pPr>
        <w:spacing w:after="0"/>
        <w:rPr>
          <w:rFonts w:ascii="Arial" w:hAnsi="Arial" w:cs="Arial"/>
          <w:sz w:val="22"/>
          <w:szCs w:val="22"/>
        </w:rPr>
      </w:pPr>
      <w:r w:rsidRPr="007923C2">
        <w:rPr>
          <w:rFonts w:ascii="Arial" w:hAnsi="Arial" w:cs="Arial"/>
          <w:sz w:val="22"/>
          <w:szCs w:val="22"/>
        </w:rPr>
        <w:t xml:space="preserve">14.-Una sociedad mundial y nacional inmersa en un cambio acelerado exige una transformación profunda en las formas de organizar y operar la educación </w:t>
      </w:r>
    </w:p>
    <w:p w14:paraId="12F38E7A" w14:textId="77777777" w:rsidR="00213213" w:rsidRPr="007923C2" w:rsidRDefault="00213213" w:rsidP="00092FF9">
      <w:pPr>
        <w:spacing w:after="0"/>
        <w:rPr>
          <w:rFonts w:ascii="Arial" w:hAnsi="Arial" w:cs="Arial"/>
          <w:sz w:val="22"/>
          <w:szCs w:val="22"/>
        </w:rPr>
      </w:pPr>
      <w:r w:rsidRPr="007923C2">
        <w:rPr>
          <w:rFonts w:ascii="Arial" w:hAnsi="Arial" w:cs="Arial"/>
          <w:sz w:val="22"/>
          <w:szCs w:val="22"/>
        </w:rPr>
        <w:t xml:space="preserve">       Superior.</w:t>
      </w:r>
    </w:p>
    <w:p w14:paraId="24ADA02F" w14:textId="77777777" w:rsidR="00213213" w:rsidRPr="007923C2" w:rsidRDefault="00213213" w:rsidP="00092FF9">
      <w:pPr>
        <w:spacing w:after="0"/>
        <w:rPr>
          <w:rFonts w:ascii="Arial" w:hAnsi="Arial" w:cs="Arial"/>
          <w:sz w:val="22"/>
          <w:szCs w:val="22"/>
        </w:rPr>
      </w:pPr>
      <w:r w:rsidRPr="007923C2">
        <w:rPr>
          <w:rFonts w:ascii="Arial" w:hAnsi="Arial" w:cs="Arial"/>
          <w:sz w:val="22"/>
          <w:szCs w:val="22"/>
        </w:rPr>
        <w:t xml:space="preserve">15.-La educación superior y la investigación forman hoy en día la parte fundamental del desarrollo cultural, socioeconómico y ecológicamente sustentable de los </w:t>
      </w:r>
    </w:p>
    <w:p w14:paraId="33E6F7F4" w14:textId="77777777" w:rsidR="00213213" w:rsidRPr="007923C2" w:rsidRDefault="00213213" w:rsidP="00092FF9">
      <w:pPr>
        <w:spacing w:after="0"/>
        <w:rPr>
          <w:rFonts w:ascii="Arial" w:hAnsi="Arial" w:cs="Arial"/>
          <w:sz w:val="22"/>
          <w:szCs w:val="22"/>
        </w:rPr>
      </w:pPr>
      <w:r w:rsidRPr="007923C2">
        <w:rPr>
          <w:rFonts w:ascii="Arial" w:hAnsi="Arial" w:cs="Arial"/>
          <w:sz w:val="22"/>
          <w:szCs w:val="22"/>
        </w:rPr>
        <w:t xml:space="preserve">      Individuos, las comunidades y las naciones.</w:t>
      </w:r>
    </w:p>
    <w:p w14:paraId="3EC30D0E" w14:textId="77777777" w:rsidR="00CF31F8" w:rsidRPr="007923C2" w:rsidRDefault="00213213" w:rsidP="00092FF9">
      <w:pPr>
        <w:spacing w:after="0"/>
        <w:rPr>
          <w:rFonts w:ascii="Arial" w:hAnsi="Arial" w:cs="Arial"/>
          <w:sz w:val="22"/>
          <w:szCs w:val="22"/>
        </w:rPr>
      </w:pPr>
      <w:r w:rsidRPr="007923C2">
        <w:rPr>
          <w:rFonts w:ascii="Arial" w:hAnsi="Arial" w:cs="Arial"/>
          <w:sz w:val="22"/>
          <w:szCs w:val="22"/>
        </w:rPr>
        <w:t>16.-</w:t>
      </w:r>
      <w:r w:rsidR="00CF31F8" w:rsidRPr="007923C2">
        <w:rPr>
          <w:rFonts w:ascii="Arial" w:hAnsi="Arial" w:cs="Arial"/>
          <w:sz w:val="22"/>
          <w:szCs w:val="22"/>
        </w:rPr>
        <w:t>México ha demostrado un gran compromiso en la agenda internacional del medio ambiente y desarrollo sostenible siendo líder en el cambio climático.</w:t>
      </w:r>
    </w:p>
    <w:p w14:paraId="5BD89B84" w14:textId="77777777" w:rsidR="007837B7" w:rsidRPr="007923C2" w:rsidRDefault="007837B7" w:rsidP="00092FF9">
      <w:pPr>
        <w:spacing w:after="0"/>
        <w:rPr>
          <w:rFonts w:ascii="Arial" w:hAnsi="Arial" w:cs="Arial"/>
          <w:b/>
          <w:sz w:val="22"/>
          <w:szCs w:val="22"/>
        </w:rPr>
      </w:pPr>
    </w:p>
    <w:p w14:paraId="1FD2F118" w14:textId="77777777" w:rsidR="000F70C2" w:rsidRPr="007923C2" w:rsidRDefault="00CF31F8" w:rsidP="000F70C2">
      <w:pPr>
        <w:jc w:val="both"/>
        <w:rPr>
          <w:rFonts w:ascii="Arial" w:hAnsi="Arial" w:cs="Arial"/>
          <w:sz w:val="22"/>
          <w:szCs w:val="22"/>
        </w:rPr>
      </w:pPr>
      <w:r w:rsidRPr="007923C2">
        <w:rPr>
          <w:rFonts w:ascii="Arial" w:hAnsi="Arial" w:cs="Arial"/>
          <w:b/>
          <w:sz w:val="22"/>
          <w:szCs w:val="22"/>
        </w:rPr>
        <w:t>AMENAZAS</w:t>
      </w:r>
    </w:p>
    <w:p w14:paraId="7A77ECE6" w14:textId="77777777" w:rsidR="00F9382E" w:rsidRPr="007923C2" w:rsidRDefault="00CF31F8" w:rsidP="004220B7">
      <w:pPr>
        <w:jc w:val="both"/>
        <w:rPr>
          <w:rFonts w:ascii="Arial" w:hAnsi="Arial" w:cs="Arial"/>
          <w:sz w:val="22"/>
          <w:szCs w:val="22"/>
        </w:rPr>
      </w:pPr>
      <w:r w:rsidRPr="007923C2">
        <w:rPr>
          <w:rFonts w:ascii="Arial" w:hAnsi="Arial" w:cs="Arial"/>
          <w:sz w:val="22"/>
          <w:szCs w:val="22"/>
        </w:rPr>
        <w:t xml:space="preserve">1.- Las políticas gubernamentales han llevado al agro mexicano a beneficiar a unos cuantos pero la mayoría de los campesinos siguen en la pobreza lo que los ha obligado a emigrar </w:t>
      </w:r>
      <w:r w:rsidR="00976882">
        <w:rPr>
          <w:rFonts w:ascii="Arial" w:hAnsi="Arial" w:cs="Arial"/>
          <w:sz w:val="22"/>
          <w:szCs w:val="22"/>
        </w:rPr>
        <w:t>a</w:t>
      </w:r>
      <w:r w:rsidR="00F9382E" w:rsidRPr="007923C2">
        <w:rPr>
          <w:rFonts w:ascii="Arial" w:hAnsi="Arial" w:cs="Arial"/>
          <w:sz w:val="22"/>
          <w:szCs w:val="22"/>
        </w:rPr>
        <w:t xml:space="preserve"> las ciudades o al extranjero.</w:t>
      </w:r>
    </w:p>
    <w:p w14:paraId="65C822D2" w14:textId="77777777" w:rsidR="00F9382E" w:rsidRPr="007923C2" w:rsidRDefault="00F9382E" w:rsidP="004220B7">
      <w:pPr>
        <w:jc w:val="both"/>
        <w:rPr>
          <w:rFonts w:ascii="Arial" w:hAnsi="Arial" w:cs="Arial"/>
          <w:sz w:val="22"/>
          <w:szCs w:val="22"/>
        </w:rPr>
      </w:pPr>
      <w:r w:rsidRPr="007923C2">
        <w:rPr>
          <w:rFonts w:ascii="Arial" w:hAnsi="Arial" w:cs="Arial"/>
          <w:sz w:val="22"/>
          <w:szCs w:val="22"/>
        </w:rPr>
        <w:t>2.-Existe grave rezago tecnológico con fuerte dependencia tecnológica del extranjero, falta de competitividad de las exportaciones mexicanas.</w:t>
      </w:r>
    </w:p>
    <w:p w14:paraId="49ECC873" w14:textId="77777777" w:rsidR="00F9382E" w:rsidRPr="007923C2" w:rsidRDefault="00F9382E" w:rsidP="004220B7">
      <w:pPr>
        <w:jc w:val="both"/>
        <w:rPr>
          <w:rFonts w:ascii="Arial" w:hAnsi="Arial" w:cs="Arial"/>
          <w:sz w:val="22"/>
          <w:szCs w:val="22"/>
        </w:rPr>
      </w:pPr>
      <w:r w:rsidRPr="007923C2">
        <w:rPr>
          <w:rFonts w:ascii="Arial" w:hAnsi="Arial" w:cs="Arial"/>
          <w:sz w:val="22"/>
          <w:szCs w:val="22"/>
        </w:rPr>
        <w:lastRenderedPageBreak/>
        <w:t>3.-El 72 % de la producción rural es trabajada por campesinos indígenas y pequeños productores con superficies menores de 5 ha y producen para autoconsumo, solo el 6 % es de productores empresarios que canalizan la mercancía nacional e internacional.</w:t>
      </w:r>
    </w:p>
    <w:p w14:paraId="1BD2CEC7" w14:textId="77777777" w:rsidR="00F9382E" w:rsidRPr="007923C2" w:rsidRDefault="00F9382E" w:rsidP="004220B7">
      <w:pPr>
        <w:jc w:val="both"/>
        <w:rPr>
          <w:rFonts w:ascii="Arial" w:hAnsi="Arial" w:cs="Arial"/>
          <w:sz w:val="22"/>
          <w:szCs w:val="22"/>
        </w:rPr>
      </w:pPr>
      <w:r w:rsidRPr="007923C2">
        <w:rPr>
          <w:rFonts w:ascii="Arial" w:hAnsi="Arial" w:cs="Arial"/>
          <w:sz w:val="22"/>
          <w:szCs w:val="22"/>
        </w:rPr>
        <w:t>4.-México importa el 43 % de los alimentos básicos que consumimos.</w:t>
      </w:r>
    </w:p>
    <w:p w14:paraId="01536A75" w14:textId="77777777" w:rsidR="00BA2D1E" w:rsidRPr="007923C2" w:rsidRDefault="00F9382E" w:rsidP="004220B7">
      <w:pPr>
        <w:jc w:val="both"/>
        <w:rPr>
          <w:rFonts w:ascii="Arial" w:hAnsi="Arial" w:cs="Arial"/>
          <w:sz w:val="22"/>
          <w:szCs w:val="22"/>
        </w:rPr>
      </w:pPr>
      <w:r w:rsidRPr="007923C2">
        <w:rPr>
          <w:rFonts w:ascii="Arial" w:hAnsi="Arial" w:cs="Arial"/>
          <w:sz w:val="22"/>
          <w:szCs w:val="22"/>
        </w:rPr>
        <w:t>5.-</w:t>
      </w:r>
      <w:r w:rsidR="00BA2D1E" w:rsidRPr="007923C2">
        <w:rPr>
          <w:rFonts w:ascii="Arial" w:hAnsi="Arial" w:cs="Arial"/>
          <w:sz w:val="22"/>
          <w:szCs w:val="22"/>
        </w:rPr>
        <w:t>En el siglo XX se desarrollo una agricultura industrial o convencional y fue una producción de corte empresarial.</w:t>
      </w:r>
    </w:p>
    <w:p w14:paraId="7827CCE3" w14:textId="77777777" w:rsidR="00BA2D1E" w:rsidRPr="007923C2" w:rsidRDefault="00BA2D1E" w:rsidP="004220B7">
      <w:pPr>
        <w:jc w:val="both"/>
        <w:rPr>
          <w:rFonts w:ascii="Arial" w:hAnsi="Arial" w:cs="Arial"/>
          <w:sz w:val="22"/>
          <w:szCs w:val="22"/>
        </w:rPr>
      </w:pPr>
      <w:r w:rsidRPr="007923C2">
        <w:rPr>
          <w:rFonts w:ascii="Arial" w:hAnsi="Arial" w:cs="Arial"/>
          <w:sz w:val="22"/>
          <w:szCs w:val="22"/>
        </w:rPr>
        <w:t>6.-La agricultura proporciona empleo alrededor de 13 % de la fuerza de trabajo.</w:t>
      </w:r>
      <w:r w:rsidR="00F926EA" w:rsidRPr="007923C2">
        <w:rPr>
          <w:rFonts w:ascii="Arial" w:hAnsi="Arial" w:cs="Arial"/>
          <w:sz w:val="22"/>
          <w:szCs w:val="22"/>
        </w:rPr>
        <w:t>Los beneficios que se suponía iba a aportar el TLCAN en México difirió radicalmente, que terminó por    conducir al país al mas grave desastre económico y financiero afectando la producción agrícola.</w:t>
      </w:r>
    </w:p>
    <w:p w14:paraId="29EC1E1F" w14:textId="77777777" w:rsidR="00F926EA" w:rsidRPr="007923C2" w:rsidRDefault="00BA2D1E" w:rsidP="004220B7">
      <w:pPr>
        <w:jc w:val="both"/>
        <w:rPr>
          <w:rFonts w:ascii="Arial" w:hAnsi="Arial" w:cs="Arial"/>
          <w:sz w:val="22"/>
          <w:szCs w:val="22"/>
        </w:rPr>
      </w:pPr>
      <w:r w:rsidRPr="007923C2">
        <w:rPr>
          <w:rFonts w:ascii="Arial" w:hAnsi="Arial" w:cs="Arial"/>
          <w:sz w:val="22"/>
          <w:szCs w:val="22"/>
        </w:rPr>
        <w:t>7.-</w:t>
      </w:r>
      <w:r w:rsidR="00F926EA" w:rsidRPr="007923C2">
        <w:rPr>
          <w:rFonts w:ascii="Arial" w:hAnsi="Arial" w:cs="Arial"/>
          <w:sz w:val="22"/>
          <w:szCs w:val="22"/>
        </w:rPr>
        <w:t>Una sociedad polarizada con un pequeño segmento moderno y una mayoría marginada del desarrollo, no podrá enfrentar los desafíos del nuevo siglo por la educación superior</w:t>
      </w:r>
    </w:p>
    <w:p w14:paraId="624C61CD" w14:textId="77777777" w:rsidR="00F926EA" w:rsidRPr="007923C2" w:rsidRDefault="00F926EA" w:rsidP="004220B7">
      <w:pPr>
        <w:jc w:val="both"/>
        <w:rPr>
          <w:rFonts w:ascii="Arial" w:hAnsi="Arial" w:cs="Arial"/>
          <w:sz w:val="22"/>
          <w:szCs w:val="22"/>
        </w:rPr>
      </w:pPr>
      <w:r w:rsidRPr="007923C2">
        <w:rPr>
          <w:rFonts w:ascii="Arial" w:hAnsi="Arial" w:cs="Arial"/>
          <w:sz w:val="22"/>
          <w:szCs w:val="22"/>
        </w:rPr>
        <w:t xml:space="preserve">     Requerirá programas formativos emergentes para el desarrollo económico, social y político del país.</w:t>
      </w:r>
    </w:p>
    <w:p w14:paraId="2750EDCF" w14:textId="77777777" w:rsidR="00F926EA" w:rsidRPr="007923C2" w:rsidRDefault="00F926EA" w:rsidP="004220B7">
      <w:pPr>
        <w:jc w:val="both"/>
        <w:rPr>
          <w:rFonts w:ascii="Arial" w:hAnsi="Arial" w:cs="Arial"/>
          <w:sz w:val="22"/>
          <w:szCs w:val="22"/>
        </w:rPr>
      </w:pPr>
      <w:r w:rsidRPr="007923C2">
        <w:rPr>
          <w:rFonts w:ascii="Arial" w:hAnsi="Arial" w:cs="Arial"/>
          <w:sz w:val="22"/>
          <w:szCs w:val="22"/>
        </w:rPr>
        <w:t>8.-Cambios rápidos en el entorno global y nacional.</w:t>
      </w:r>
    </w:p>
    <w:p w14:paraId="66BFED19" w14:textId="77777777" w:rsidR="00F926EA" w:rsidRPr="007923C2" w:rsidRDefault="00F926EA" w:rsidP="004220B7">
      <w:pPr>
        <w:jc w:val="both"/>
        <w:rPr>
          <w:rFonts w:ascii="Arial" w:hAnsi="Arial" w:cs="Arial"/>
          <w:sz w:val="22"/>
          <w:szCs w:val="22"/>
        </w:rPr>
      </w:pPr>
      <w:r w:rsidRPr="007923C2">
        <w:rPr>
          <w:rFonts w:ascii="Arial" w:hAnsi="Arial" w:cs="Arial"/>
          <w:sz w:val="22"/>
          <w:szCs w:val="22"/>
        </w:rPr>
        <w:t>9.-La crisis económica de México conlleva a una austeridad en el gasto público que afectará el sector educativo superior.</w:t>
      </w:r>
    </w:p>
    <w:p w14:paraId="6BF7BC2F" w14:textId="77777777" w:rsidR="00BA2D1E" w:rsidRPr="007923C2" w:rsidRDefault="00F926EA" w:rsidP="004220B7">
      <w:pPr>
        <w:jc w:val="both"/>
        <w:rPr>
          <w:rFonts w:ascii="Arial" w:hAnsi="Arial" w:cs="Arial"/>
          <w:sz w:val="22"/>
          <w:szCs w:val="22"/>
        </w:rPr>
      </w:pPr>
      <w:r w:rsidRPr="007923C2">
        <w:rPr>
          <w:rFonts w:ascii="Arial" w:hAnsi="Arial" w:cs="Arial"/>
          <w:sz w:val="22"/>
          <w:szCs w:val="22"/>
        </w:rPr>
        <w:t>10.-</w:t>
      </w:r>
      <w:r w:rsidR="000114B3" w:rsidRPr="007923C2">
        <w:rPr>
          <w:rFonts w:ascii="Arial" w:hAnsi="Arial" w:cs="Arial"/>
          <w:sz w:val="22"/>
          <w:szCs w:val="22"/>
        </w:rPr>
        <w:t>Las IES que continúen con una visión tradicionaly no aprovechen las oportunidades que presenta la cultura, una nueva sociedad del conocimiento serán desplazados</w:t>
      </w:r>
      <w:r w:rsidR="00976882">
        <w:rPr>
          <w:rFonts w:ascii="Arial" w:hAnsi="Arial" w:cs="Arial"/>
          <w:sz w:val="22"/>
          <w:szCs w:val="22"/>
        </w:rPr>
        <w:t xml:space="preserve"> p</w:t>
      </w:r>
      <w:r w:rsidR="000114B3" w:rsidRPr="007923C2">
        <w:rPr>
          <w:rFonts w:ascii="Arial" w:hAnsi="Arial" w:cs="Arial"/>
          <w:sz w:val="22"/>
          <w:szCs w:val="22"/>
        </w:rPr>
        <w:t>or otras instituciones.</w:t>
      </w:r>
    </w:p>
    <w:p w14:paraId="19FB4AB1" w14:textId="77777777" w:rsidR="004220B7" w:rsidRPr="007923C2" w:rsidRDefault="004220B7" w:rsidP="004220B7">
      <w:pPr>
        <w:jc w:val="both"/>
        <w:rPr>
          <w:rFonts w:ascii="Arial" w:hAnsi="Arial" w:cs="Arial"/>
          <w:sz w:val="22"/>
          <w:szCs w:val="22"/>
        </w:rPr>
      </w:pPr>
    </w:p>
    <w:p w14:paraId="586D2644" w14:textId="77777777" w:rsidR="00C70A90" w:rsidRPr="007923C2" w:rsidRDefault="00C70A90" w:rsidP="00C70A90">
      <w:pPr>
        <w:pStyle w:val="Textoindependiente2"/>
        <w:spacing w:line="360" w:lineRule="auto"/>
        <w:rPr>
          <w:rFonts w:cs="Arial"/>
          <w:sz w:val="22"/>
          <w:szCs w:val="22"/>
          <w:lang w:val="es-ES"/>
        </w:rPr>
      </w:pPr>
      <w:r w:rsidRPr="007923C2">
        <w:rPr>
          <w:rFonts w:cs="Arial"/>
          <w:sz w:val="22"/>
          <w:szCs w:val="22"/>
          <w:lang w:val="es-ES"/>
        </w:rPr>
        <w:t>Tabla 1. Matriz de Evaluación de los Factores Externos (EFE)</w:t>
      </w:r>
    </w:p>
    <w:tbl>
      <w:tblPr>
        <w:tblW w:w="89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748"/>
        <w:gridCol w:w="902"/>
        <w:gridCol w:w="1620"/>
        <w:gridCol w:w="1706"/>
      </w:tblGrid>
      <w:tr w:rsidR="00C70A90" w:rsidRPr="007923C2" w14:paraId="4939D107" w14:textId="77777777" w:rsidTr="00C70CE2">
        <w:tc>
          <w:tcPr>
            <w:tcW w:w="4748" w:type="dxa"/>
          </w:tcPr>
          <w:p w14:paraId="6E61E0DB" w14:textId="77777777" w:rsidR="00C70A90" w:rsidRPr="007923C2" w:rsidRDefault="00C70A90" w:rsidP="00D15A3D">
            <w:pPr>
              <w:pStyle w:val="Textoindependiente2"/>
              <w:spacing w:line="360" w:lineRule="auto"/>
              <w:rPr>
                <w:rFonts w:cs="Arial"/>
                <w:b/>
                <w:sz w:val="22"/>
                <w:szCs w:val="22"/>
                <w:lang w:val="es-ES"/>
              </w:rPr>
            </w:pPr>
            <w:r w:rsidRPr="007923C2">
              <w:rPr>
                <w:rFonts w:cs="Arial"/>
                <w:b/>
                <w:sz w:val="22"/>
                <w:szCs w:val="22"/>
                <w:lang w:val="es-ES"/>
              </w:rPr>
              <w:t>Factores clave del éxito</w:t>
            </w:r>
          </w:p>
        </w:tc>
        <w:tc>
          <w:tcPr>
            <w:tcW w:w="902" w:type="dxa"/>
          </w:tcPr>
          <w:p w14:paraId="3BFC2FD0" w14:textId="77777777" w:rsidR="00C70A90" w:rsidRPr="007923C2" w:rsidRDefault="00C70A90" w:rsidP="00D15A3D">
            <w:pPr>
              <w:pStyle w:val="Textoindependiente2"/>
              <w:spacing w:line="360" w:lineRule="auto"/>
              <w:rPr>
                <w:rFonts w:cs="Arial"/>
                <w:b/>
                <w:sz w:val="22"/>
                <w:szCs w:val="22"/>
                <w:lang w:val="es-ES"/>
              </w:rPr>
            </w:pPr>
            <w:r w:rsidRPr="007923C2">
              <w:rPr>
                <w:rFonts w:cs="Arial"/>
                <w:b/>
                <w:sz w:val="22"/>
                <w:szCs w:val="22"/>
                <w:lang w:val="es-ES"/>
              </w:rPr>
              <w:t>Peso</w:t>
            </w:r>
          </w:p>
        </w:tc>
        <w:tc>
          <w:tcPr>
            <w:tcW w:w="1620" w:type="dxa"/>
          </w:tcPr>
          <w:p w14:paraId="54C31AF3" w14:textId="77777777" w:rsidR="00C70A90" w:rsidRPr="007923C2" w:rsidRDefault="00C70A90" w:rsidP="00D15A3D">
            <w:pPr>
              <w:pStyle w:val="Textoindependiente2"/>
              <w:spacing w:line="360" w:lineRule="auto"/>
              <w:rPr>
                <w:rFonts w:cs="Arial"/>
                <w:b/>
                <w:sz w:val="22"/>
                <w:szCs w:val="22"/>
                <w:lang w:val="es-ES"/>
              </w:rPr>
            </w:pPr>
            <w:r w:rsidRPr="007923C2">
              <w:rPr>
                <w:rFonts w:cs="Arial"/>
                <w:b/>
                <w:sz w:val="22"/>
                <w:szCs w:val="22"/>
                <w:lang w:val="es-ES"/>
              </w:rPr>
              <w:t>Calificación</w:t>
            </w:r>
          </w:p>
        </w:tc>
        <w:tc>
          <w:tcPr>
            <w:tcW w:w="1706" w:type="dxa"/>
          </w:tcPr>
          <w:p w14:paraId="5BEDB4B1" w14:textId="77777777" w:rsidR="00C70A90" w:rsidRPr="007923C2" w:rsidRDefault="00C70A90" w:rsidP="00D15A3D">
            <w:pPr>
              <w:pStyle w:val="Textoindependiente2"/>
              <w:spacing w:line="360" w:lineRule="auto"/>
              <w:rPr>
                <w:rFonts w:cs="Arial"/>
                <w:b/>
                <w:sz w:val="22"/>
                <w:szCs w:val="22"/>
                <w:lang w:val="es-ES"/>
              </w:rPr>
            </w:pPr>
            <w:r w:rsidRPr="007923C2">
              <w:rPr>
                <w:rFonts w:cs="Arial"/>
                <w:b/>
                <w:sz w:val="22"/>
                <w:szCs w:val="22"/>
                <w:lang w:val="es-ES"/>
              </w:rPr>
              <w:t>Peso ponderado</w:t>
            </w:r>
          </w:p>
        </w:tc>
      </w:tr>
      <w:tr w:rsidR="00C70A90" w:rsidRPr="007923C2" w14:paraId="2D0DEE51" w14:textId="77777777" w:rsidTr="00C70CE2">
        <w:tc>
          <w:tcPr>
            <w:tcW w:w="4748" w:type="dxa"/>
          </w:tcPr>
          <w:p w14:paraId="4A14D481" w14:textId="77777777" w:rsidR="00C70A90" w:rsidRPr="007923C2" w:rsidRDefault="00C70A90" w:rsidP="00D15A3D">
            <w:pPr>
              <w:pStyle w:val="Textoindependiente2"/>
              <w:spacing w:line="360" w:lineRule="auto"/>
              <w:rPr>
                <w:rFonts w:cs="Arial"/>
                <w:b/>
                <w:sz w:val="22"/>
                <w:szCs w:val="22"/>
                <w:lang w:val="es-ES"/>
              </w:rPr>
            </w:pPr>
            <w:r w:rsidRPr="007923C2">
              <w:rPr>
                <w:rFonts w:cs="Arial"/>
                <w:b/>
                <w:sz w:val="22"/>
                <w:szCs w:val="22"/>
                <w:lang w:val="es-ES"/>
              </w:rPr>
              <w:t>Oportunidades</w:t>
            </w:r>
          </w:p>
        </w:tc>
        <w:tc>
          <w:tcPr>
            <w:tcW w:w="902" w:type="dxa"/>
          </w:tcPr>
          <w:p w14:paraId="1C294656" w14:textId="77777777" w:rsidR="00C70A90" w:rsidRPr="007923C2" w:rsidRDefault="00C70A90" w:rsidP="00D15A3D">
            <w:pPr>
              <w:pStyle w:val="Textoindependiente2"/>
              <w:spacing w:line="360" w:lineRule="auto"/>
              <w:rPr>
                <w:rFonts w:cs="Arial"/>
                <w:sz w:val="22"/>
                <w:szCs w:val="22"/>
                <w:lang w:val="es-ES"/>
              </w:rPr>
            </w:pPr>
          </w:p>
        </w:tc>
        <w:tc>
          <w:tcPr>
            <w:tcW w:w="1620" w:type="dxa"/>
          </w:tcPr>
          <w:p w14:paraId="767C132D" w14:textId="77777777" w:rsidR="00C70A90" w:rsidRPr="007923C2" w:rsidRDefault="00C70A90" w:rsidP="00D15A3D">
            <w:pPr>
              <w:pStyle w:val="Textoindependiente2"/>
              <w:spacing w:line="360" w:lineRule="auto"/>
              <w:rPr>
                <w:rFonts w:cs="Arial"/>
                <w:sz w:val="22"/>
                <w:szCs w:val="22"/>
                <w:lang w:val="es-ES"/>
              </w:rPr>
            </w:pPr>
          </w:p>
        </w:tc>
        <w:tc>
          <w:tcPr>
            <w:tcW w:w="1706" w:type="dxa"/>
          </w:tcPr>
          <w:p w14:paraId="10F89F8F" w14:textId="77777777" w:rsidR="00C70A90" w:rsidRPr="007923C2" w:rsidRDefault="00C70A90" w:rsidP="00D15A3D">
            <w:pPr>
              <w:pStyle w:val="Textoindependiente2"/>
              <w:spacing w:line="360" w:lineRule="auto"/>
              <w:rPr>
                <w:rFonts w:cs="Arial"/>
                <w:sz w:val="22"/>
                <w:szCs w:val="22"/>
                <w:lang w:val="es-ES"/>
              </w:rPr>
            </w:pPr>
          </w:p>
        </w:tc>
      </w:tr>
      <w:tr w:rsidR="00C70A90" w:rsidRPr="007923C2" w14:paraId="0AC8F992" w14:textId="77777777" w:rsidTr="00C70CE2">
        <w:tc>
          <w:tcPr>
            <w:tcW w:w="4748" w:type="dxa"/>
          </w:tcPr>
          <w:p w14:paraId="0A7C6A34" w14:textId="77777777" w:rsidR="00C70A90" w:rsidRPr="007923C2" w:rsidRDefault="00CA6993" w:rsidP="008121AF">
            <w:pPr>
              <w:pStyle w:val="Textoindependiente2"/>
              <w:spacing w:line="360" w:lineRule="auto"/>
              <w:rPr>
                <w:rFonts w:cs="Arial"/>
                <w:sz w:val="22"/>
                <w:szCs w:val="22"/>
                <w:lang w:val="es-ES"/>
              </w:rPr>
            </w:pPr>
            <w:r w:rsidRPr="007923C2">
              <w:rPr>
                <w:rFonts w:cs="Arial"/>
                <w:sz w:val="22"/>
                <w:szCs w:val="22"/>
                <w:lang w:val="es-ES"/>
              </w:rPr>
              <w:t>1.-</w:t>
            </w:r>
            <w:r w:rsidR="006155B3" w:rsidRPr="007923C2">
              <w:rPr>
                <w:rFonts w:cs="Arial"/>
                <w:sz w:val="22"/>
                <w:szCs w:val="22"/>
                <w:lang w:val="es-ES"/>
              </w:rPr>
              <w:t>El agrobiólogo s</w:t>
            </w:r>
            <w:r w:rsidRPr="007923C2">
              <w:rPr>
                <w:rFonts w:cs="Arial"/>
                <w:sz w:val="22"/>
                <w:szCs w:val="22"/>
                <w:lang w:val="es-ES"/>
              </w:rPr>
              <w:t xml:space="preserve">e adapta al cambio </w:t>
            </w:r>
            <w:r w:rsidR="00A4165F" w:rsidRPr="007923C2">
              <w:rPr>
                <w:rFonts w:cs="Arial"/>
                <w:sz w:val="22"/>
                <w:szCs w:val="22"/>
                <w:lang w:val="es-ES"/>
              </w:rPr>
              <w:t xml:space="preserve">de </w:t>
            </w:r>
            <w:r w:rsidRPr="007923C2">
              <w:rPr>
                <w:rFonts w:cs="Arial"/>
                <w:sz w:val="22"/>
                <w:szCs w:val="22"/>
                <w:lang w:val="es-ES"/>
              </w:rPr>
              <w:t xml:space="preserve"> economía de productos a una de servicios</w:t>
            </w:r>
          </w:p>
        </w:tc>
        <w:tc>
          <w:tcPr>
            <w:tcW w:w="902" w:type="dxa"/>
          </w:tcPr>
          <w:p w14:paraId="6202F906" w14:textId="77777777"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.1</w:t>
            </w:r>
          </w:p>
        </w:tc>
        <w:tc>
          <w:tcPr>
            <w:tcW w:w="1620" w:type="dxa"/>
          </w:tcPr>
          <w:p w14:paraId="2718347F" w14:textId="77777777"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4</w:t>
            </w:r>
          </w:p>
        </w:tc>
        <w:tc>
          <w:tcPr>
            <w:tcW w:w="1706" w:type="dxa"/>
          </w:tcPr>
          <w:p w14:paraId="66A2B364" w14:textId="77777777"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.4</w:t>
            </w:r>
          </w:p>
        </w:tc>
      </w:tr>
      <w:tr w:rsidR="00C70A90" w:rsidRPr="007923C2" w14:paraId="495B575B" w14:textId="77777777" w:rsidTr="00C70CE2">
        <w:tc>
          <w:tcPr>
            <w:tcW w:w="4748" w:type="dxa"/>
          </w:tcPr>
          <w:p w14:paraId="5B1AFB47" w14:textId="0A19973D" w:rsidR="00C70A90" w:rsidRPr="007923C2" w:rsidRDefault="00CA6993" w:rsidP="00D15A3D">
            <w:pPr>
              <w:pStyle w:val="Textoindependiente2"/>
              <w:spacing w:line="360" w:lineRule="auto"/>
              <w:rPr>
                <w:rFonts w:cs="Arial"/>
                <w:sz w:val="22"/>
                <w:szCs w:val="22"/>
              </w:rPr>
            </w:pPr>
            <w:r w:rsidRPr="007923C2">
              <w:rPr>
                <w:rFonts w:cs="Arial"/>
                <w:sz w:val="22"/>
                <w:szCs w:val="22"/>
              </w:rPr>
              <w:t xml:space="preserve">2.-La producción agrícola orgánica </w:t>
            </w:r>
            <w:r w:rsidR="00771A49">
              <w:rPr>
                <w:rFonts w:cs="Arial"/>
                <w:sz w:val="22"/>
                <w:szCs w:val="22"/>
              </w:rPr>
              <w:t>h</w:t>
            </w:r>
            <w:r w:rsidRPr="007923C2">
              <w:rPr>
                <w:rFonts w:cs="Arial"/>
                <w:sz w:val="22"/>
                <w:szCs w:val="22"/>
              </w:rPr>
              <w:t>a ganado un nuevo nicho a nivel mundial.</w:t>
            </w:r>
          </w:p>
        </w:tc>
        <w:tc>
          <w:tcPr>
            <w:tcW w:w="902" w:type="dxa"/>
          </w:tcPr>
          <w:p w14:paraId="3526B733" w14:textId="77777777" w:rsidR="00C70A90" w:rsidRPr="007923C2" w:rsidRDefault="00342EAE" w:rsidP="000F4B67">
            <w:pPr>
              <w:pStyle w:val="Textoindependiente2"/>
              <w:spacing w:line="360" w:lineRule="auto"/>
              <w:rPr>
                <w:rFonts w:cs="Arial"/>
                <w:sz w:val="22"/>
                <w:szCs w:val="22"/>
                <w:lang w:val="es-ES"/>
              </w:rPr>
            </w:pPr>
            <w:r w:rsidRPr="007923C2">
              <w:rPr>
                <w:rFonts w:cs="Arial"/>
                <w:sz w:val="22"/>
                <w:szCs w:val="22"/>
                <w:lang w:val="es-ES"/>
              </w:rPr>
              <w:t>.</w:t>
            </w:r>
            <w:r w:rsidR="000F4B67" w:rsidRPr="007923C2">
              <w:rPr>
                <w:rFonts w:cs="Arial"/>
                <w:sz w:val="22"/>
                <w:szCs w:val="22"/>
                <w:lang w:val="es-ES"/>
              </w:rPr>
              <w:t>1</w:t>
            </w:r>
          </w:p>
        </w:tc>
        <w:tc>
          <w:tcPr>
            <w:tcW w:w="1620" w:type="dxa"/>
          </w:tcPr>
          <w:p w14:paraId="294EE24A" w14:textId="77777777"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4</w:t>
            </w:r>
          </w:p>
        </w:tc>
        <w:tc>
          <w:tcPr>
            <w:tcW w:w="1706" w:type="dxa"/>
          </w:tcPr>
          <w:p w14:paraId="524C04A7" w14:textId="77777777" w:rsidR="00C70A90" w:rsidRPr="007923C2" w:rsidRDefault="00342EAE" w:rsidP="000F4B67">
            <w:pPr>
              <w:pStyle w:val="Textoindependiente2"/>
              <w:spacing w:line="360" w:lineRule="auto"/>
              <w:rPr>
                <w:rFonts w:cs="Arial"/>
                <w:sz w:val="22"/>
                <w:szCs w:val="22"/>
                <w:lang w:val="es-ES"/>
              </w:rPr>
            </w:pPr>
            <w:r w:rsidRPr="007923C2">
              <w:rPr>
                <w:rFonts w:cs="Arial"/>
                <w:sz w:val="22"/>
                <w:szCs w:val="22"/>
                <w:lang w:val="es-ES"/>
              </w:rPr>
              <w:t>.</w:t>
            </w:r>
            <w:r w:rsidR="000F4B67" w:rsidRPr="007923C2">
              <w:rPr>
                <w:rFonts w:cs="Arial"/>
                <w:sz w:val="22"/>
                <w:szCs w:val="22"/>
                <w:lang w:val="es-ES"/>
              </w:rPr>
              <w:t>4</w:t>
            </w:r>
          </w:p>
        </w:tc>
      </w:tr>
      <w:tr w:rsidR="00C70A90" w:rsidRPr="007923C2" w14:paraId="0A8297CE" w14:textId="77777777" w:rsidTr="00C70CE2">
        <w:tc>
          <w:tcPr>
            <w:tcW w:w="4748" w:type="dxa"/>
          </w:tcPr>
          <w:p w14:paraId="50330BFC" w14:textId="77777777" w:rsidR="00C70A90" w:rsidRPr="007923C2" w:rsidRDefault="00CA6993" w:rsidP="00A4165F">
            <w:pPr>
              <w:pStyle w:val="Textoindependiente2"/>
              <w:spacing w:line="360" w:lineRule="auto"/>
              <w:rPr>
                <w:rFonts w:cs="Arial"/>
                <w:sz w:val="22"/>
                <w:szCs w:val="22"/>
              </w:rPr>
            </w:pPr>
            <w:r w:rsidRPr="007923C2">
              <w:rPr>
                <w:rFonts w:cs="Arial"/>
                <w:sz w:val="22"/>
                <w:szCs w:val="22"/>
              </w:rPr>
              <w:t xml:space="preserve">3.- </w:t>
            </w:r>
            <w:r w:rsidR="006155B3" w:rsidRPr="007923C2">
              <w:rPr>
                <w:rFonts w:cs="Arial"/>
                <w:sz w:val="22"/>
                <w:szCs w:val="22"/>
              </w:rPr>
              <w:t>El desarrollo sostenible se logra mod</w:t>
            </w:r>
            <w:r w:rsidR="00A4165F" w:rsidRPr="007923C2">
              <w:rPr>
                <w:rFonts w:cs="Arial"/>
                <w:sz w:val="22"/>
                <w:szCs w:val="22"/>
              </w:rPr>
              <w:t>i</w:t>
            </w:r>
            <w:r w:rsidR="006155B3" w:rsidRPr="007923C2">
              <w:rPr>
                <w:rFonts w:cs="Arial"/>
                <w:sz w:val="22"/>
                <w:szCs w:val="22"/>
              </w:rPr>
              <w:t>cando los hábitos de consumo.</w:t>
            </w:r>
          </w:p>
        </w:tc>
        <w:tc>
          <w:tcPr>
            <w:tcW w:w="902" w:type="dxa"/>
          </w:tcPr>
          <w:p w14:paraId="515F98CA" w14:textId="77777777"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.03</w:t>
            </w:r>
          </w:p>
        </w:tc>
        <w:tc>
          <w:tcPr>
            <w:tcW w:w="1620" w:type="dxa"/>
          </w:tcPr>
          <w:p w14:paraId="5B7559D8" w14:textId="77777777"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14:paraId="400492DA" w14:textId="77777777"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.09</w:t>
            </w:r>
          </w:p>
        </w:tc>
      </w:tr>
      <w:tr w:rsidR="00C70A90" w:rsidRPr="007923C2" w14:paraId="111F9065" w14:textId="77777777" w:rsidTr="00C70CE2">
        <w:tc>
          <w:tcPr>
            <w:tcW w:w="4748" w:type="dxa"/>
          </w:tcPr>
          <w:p w14:paraId="4F066ECF" w14:textId="77777777" w:rsidR="00CF67D6" w:rsidRPr="007923C2" w:rsidRDefault="00CA6993" w:rsidP="006155B3">
            <w:pPr>
              <w:pStyle w:val="Textoindependiente2"/>
              <w:spacing w:line="360" w:lineRule="auto"/>
              <w:rPr>
                <w:rFonts w:cs="Arial"/>
                <w:sz w:val="22"/>
                <w:szCs w:val="22"/>
                <w:lang w:val="es-ES"/>
              </w:rPr>
            </w:pPr>
            <w:r w:rsidRPr="007923C2">
              <w:rPr>
                <w:rFonts w:cs="Arial"/>
                <w:sz w:val="22"/>
                <w:szCs w:val="22"/>
                <w:lang w:val="es-ES"/>
              </w:rPr>
              <w:t>4.-</w:t>
            </w:r>
            <w:r w:rsidR="006155B3" w:rsidRPr="007923C2">
              <w:rPr>
                <w:rFonts w:cs="Arial"/>
                <w:sz w:val="22"/>
                <w:szCs w:val="22"/>
                <w:lang w:val="es-ES"/>
              </w:rPr>
              <w:t xml:space="preserve">En el país hay 262 zonas de productos orgánicos en 28 Estados. </w:t>
            </w:r>
          </w:p>
        </w:tc>
        <w:tc>
          <w:tcPr>
            <w:tcW w:w="902" w:type="dxa"/>
          </w:tcPr>
          <w:p w14:paraId="44D5E526" w14:textId="77777777" w:rsidR="00C70A90" w:rsidRPr="007923C2" w:rsidRDefault="00342EAE" w:rsidP="000F4B67">
            <w:pPr>
              <w:pStyle w:val="Textoindependiente2"/>
              <w:spacing w:line="360" w:lineRule="auto"/>
              <w:rPr>
                <w:rFonts w:cs="Arial"/>
                <w:sz w:val="22"/>
                <w:szCs w:val="22"/>
                <w:lang w:val="es-ES"/>
              </w:rPr>
            </w:pPr>
            <w:r w:rsidRPr="007923C2">
              <w:rPr>
                <w:rFonts w:cs="Arial"/>
                <w:sz w:val="22"/>
                <w:szCs w:val="22"/>
                <w:lang w:val="es-ES"/>
              </w:rPr>
              <w:t>.0</w:t>
            </w:r>
            <w:r w:rsidR="000F4B67" w:rsidRPr="007923C2">
              <w:rPr>
                <w:rFonts w:cs="Arial"/>
                <w:sz w:val="22"/>
                <w:szCs w:val="22"/>
                <w:lang w:val="es-ES"/>
              </w:rPr>
              <w:t>3</w:t>
            </w:r>
          </w:p>
        </w:tc>
        <w:tc>
          <w:tcPr>
            <w:tcW w:w="1620" w:type="dxa"/>
          </w:tcPr>
          <w:p w14:paraId="5CC4B680" w14:textId="77777777"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14:paraId="019A2239" w14:textId="77777777"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.09</w:t>
            </w:r>
          </w:p>
        </w:tc>
      </w:tr>
      <w:tr w:rsidR="00C70A90" w:rsidRPr="007923C2" w14:paraId="1E784DBC" w14:textId="77777777" w:rsidTr="00C70CE2">
        <w:tc>
          <w:tcPr>
            <w:tcW w:w="4748" w:type="dxa"/>
          </w:tcPr>
          <w:p w14:paraId="02F32233" w14:textId="77777777" w:rsidR="00C70A90" w:rsidRPr="007923C2" w:rsidRDefault="006155B3" w:rsidP="00D15A3D">
            <w:pPr>
              <w:pStyle w:val="Textoindependiente2"/>
              <w:spacing w:line="360" w:lineRule="auto"/>
              <w:rPr>
                <w:rFonts w:cs="Arial"/>
                <w:sz w:val="22"/>
                <w:szCs w:val="22"/>
                <w:lang w:val="es-ES"/>
              </w:rPr>
            </w:pPr>
            <w:r w:rsidRPr="007923C2">
              <w:rPr>
                <w:rFonts w:cs="Arial"/>
                <w:sz w:val="22"/>
                <w:szCs w:val="22"/>
                <w:lang w:val="es-ES"/>
              </w:rPr>
              <w:t>5.-El agrobiólogo puede incursionar en áreas de reforestación.</w:t>
            </w:r>
          </w:p>
        </w:tc>
        <w:tc>
          <w:tcPr>
            <w:tcW w:w="902" w:type="dxa"/>
          </w:tcPr>
          <w:p w14:paraId="4473C3A6" w14:textId="77777777" w:rsidR="00C70A90" w:rsidRPr="007923C2" w:rsidRDefault="000F4B67" w:rsidP="000F4B67">
            <w:pPr>
              <w:pStyle w:val="Textoindependiente2"/>
              <w:spacing w:line="360" w:lineRule="auto"/>
              <w:rPr>
                <w:rFonts w:cs="Arial"/>
                <w:sz w:val="22"/>
                <w:szCs w:val="22"/>
                <w:lang w:val="es-ES"/>
              </w:rPr>
            </w:pPr>
            <w:r w:rsidRPr="007923C2">
              <w:rPr>
                <w:rFonts w:cs="Arial"/>
                <w:sz w:val="22"/>
                <w:szCs w:val="22"/>
                <w:lang w:val="es-ES"/>
              </w:rPr>
              <w:t>.05</w:t>
            </w:r>
          </w:p>
        </w:tc>
        <w:tc>
          <w:tcPr>
            <w:tcW w:w="1620" w:type="dxa"/>
          </w:tcPr>
          <w:p w14:paraId="28259395" w14:textId="77777777"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14:paraId="449B8CE0" w14:textId="77777777"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1.5</w:t>
            </w:r>
          </w:p>
        </w:tc>
      </w:tr>
      <w:tr w:rsidR="00C70A90" w:rsidRPr="007923C2" w14:paraId="602503C8" w14:textId="77777777" w:rsidTr="00C70CE2">
        <w:tc>
          <w:tcPr>
            <w:tcW w:w="4748" w:type="dxa"/>
          </w:tcPr>
          <w:p w14:paraId="084AEF68" w14:textId="77777777" w:rsidR="00C70A90" w:rsidRPr="007923C2" w:rsidRDefault="006155B3" w:rsidP="00D15A3D">
            <w:pPr>
              <w:pStyle w:val="Textoindependiente2"/>
              <w:spacing w:line="360" w:lineRule="auto"/>
              <w:rPr>
                <w:rFonts w:cs="Arial"/>
                <w:sz w:val="22"/>
                <w:szCs w:val="22"/>
                <w:lang w:val="es-ES"/>
              </w:rPr>
            </w:pPr>
            <w:r w:rsidRPr="007923C2">
              <w:rPr>
                <w:rFonts w:cs="Arial"/>
                <w:sz w:val="22"/>
                <w:szCs w:val="22"/>
                <w:lang w:val="es-ES"/>
              </w:rPr>
              <w:lastRenderedPageBreak/>
              <w:t>6.-La aplicación de la biotecnología diversifica las opciones en la producción agrícola</w:t>
            </w:r>
          </w:p>
        </w:tc>
        <w:tc>
          <w:tcPr>
            <w:tcW w:w="902" w:type="dxa"/>
          </w:tcPr>
          <w:p w14:paraId="3DCF0E8C" w14:textId="77777777" w:rsidR="00C70A90" w:rsidRPr="007923C2" w:rsidRDefault="000F4B67" w:rsidP="000F4B67">
            <w:pPr>
              <w:pStyle w:val="Textoindependiente2"/>
              <w:spacing w:line="360" w:lineRule="auto"/>
              <w:rPr>
                <w:rFonts w:cs="Arial"/>
                <w:sz w:val="22"/>
                <w:szCs w:val="22"/>
                <w:lang w:val="es-ES"/>
              </w:rPr>
            </w:pPr>
            <w:r w:rsidRPr="007923C2">
              <w:rPr>
                <w:rFonts w:cs="Arial"/>
                <w:sz w:val="22"/>
                <w:szCs w:val="22"/>
                <w:lang w:val="es-ES"/>
              </w:rPr>
              <w:t>.03</w:t>
            </w:r>
          </w:p>
        </w:tc>
        <w:tc>
          <w:tcPr>
            <w:tcW w:w="1620" w:type="dxa"/>
          </w:tcPr>
          <w:p w14:paraId="4B6DD951" w14:textId="77777777"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14:paraId="5036C4B4" w14:textId="77777777"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.06</w:t>
            </w:r>
          </w:p>
        </w:tc>
      </w:tr>
      <w:tr w:rsidR="00C70A90" w:rsidRPr="007923C2" w14:paraId="73ACF4ED" w14:textId="77777777" w:rsidTr="00C70CE2">
        <w:tc>
          <w:tcPr>
            <w:tcW w:w="4748" w:type="dxa"/>
          </w:tcPr>
          <w:p w14:paraId="070EFA0F" w14:textId="77777777" w:rsidR="00C70A90" w:rsidRPr="007923C2" w:rsidRDefault="006155B3" w:rsidP="00D15A3D">
            <w:pPr>
              <w:pStyle w:val="Textoindependiente2"/>
              <w:spacing w:line="360" w:lineRule="auto"/>
              <w:rPr>
                <w:rFonts w:cs="Arial"/>
                <w:sz w:val="22"/>
                <w:szCs w:val="22"/>
              </w:rPr>
            </w:pPr>
            <w:r w:rsidRPr="007923C2">
              <w:rPr>
                <w:rFonts w:cs="Arial"/>
                <w:sz w:val="22"/>
                <w:szCs w:val="22"/>
              </w:rPr>
              <w:t>7.-La biotecnología se puede aplicar en la producción de energía alternativa.</w:t>
            </w:r>
          </w:p>
        </w:tc>
        <w:tc>
          <w:tcPr>
            <w:tcW w:w="902" w:type="dxa"/>
          </w:tcPr>
          <w:p w14:paraId="649BC23A" w14:textId="77777777" w:rsidR="00C70A90" w:rsidRPr="007923C2" w:rsidRDefault="000F4B67" w:rsidP="000F4B67">
            <w:pPr>
              <w:pStyle w:val="Textoindependiente2"/>
              <w:spacing w:line="360" w:lineRule="auto"/>
              <w:rPr>
                <w:rFonts w:cs="Arial"/>
                <w:sz w:val="22"/>
                <w:szCs w:val="22"/>
                <w:lang w:val="es-ES"/>
              </w:rPr>
            </w:pPr>
            <w:r w:rsidRPr="007923C2">
              <w:rPr>
                <w:rFonts w:cs="Arial"/>
                <w:sz w:val="22"/>
                <w:szCs w:val="22"/>
                <w:lang w:val="es-ES"/>
              </w:rPr>
              <w:t>.02</w:t>
            </w:r>
          </w:p>
        </w:tc>
        <w:tc>
          <w:tcPr>
            <w:tcW w:w="1620" w:type="dxa"/>
          </w:tcPr>
          <w:p w14:paraId="46770E6D" w14:textId="77777777"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14:paraId="60713FE4" w14:textId="77777777" w:rsidR="00C70A90" w:rsidRPr="007923C2" w:rsidRDefault="000F4B67" w:rsidP="000F4B67">
            <w:pPr>
              <w:pStyle w:val="Textoindependiente2"/>
              <w:spacing w:line="360" w:lineRule="auto"/>
              <w:rPr>
                <w:rFonts w:cs="Arial"/>
                <w:sz w:val="22"/>
                <w:szCs w:val="22"/>
                <w:lang w:val="es-ES"/>
              </w:rPr>
            </w:pPr>
            <w:r w:rsidRPr="007923C2">
              <w:rPr>
                <w:rFonts w:cs="Arial"/>
                <w:sz w:val="22"/>
                <w:szCs w:val="22"/>
                <w:lang w:val="es-ES"/>
              </w:rPr>
              <w:t>.06</w:t>
            </w:r>
          </w:p>
        </w:tc>
      </w:tr>
      <w:tr w:rsidR="00C70A90" w:rsidRPr="007923C2" w14:paraId="61CA9507" w14:textId="77777777" w:rsidTr="00C70CE2">
        <w:tc>
          <w:tcPr>
            <w:tcW w:w="4748" w:type="dxa"/>
          </w:tcPr>
          <w:p w14:paraId="4D3D25E7" w14:textId="77777777" w:rsidR="00C70A90" w:rsidRPr="007923C2" w:rsidRDefault="00A4165F" w:rsidP="00D15A3D">
            <w:pPr>
              <w:pStyle w:val="Textoindependiente2"/>
              <w:spacing w:line="360" w:lineRule="auto"/>
              <w:rPr>
                <w:rFonts w:cs="Arial"/>
                <w:sz w:val="22"/>
                <w:szCs w:val="22"/>
                <w:lang w:val="es-ES"/>
              </w:rPr>
            </w:pPr>
            <w:r w:rsidRPr="007923C2">
              <w:rPr>
                <w:rFonts w:cs="Arial"/>
                <w:sz w:val="22"/>
                <w:szCs w:val="22"/>
                <w:lang w:val="es-ES"/>
              </w:rPr>
              <w:t xml:space="preserve">8.-La conservación de la biodiversidad es tema de importancia de nuestro tiempo. </w:t>
            </w:r>
          </w:p>
        </w:tc>
        <w:tc>
          <w:tcPr>
            <w:tcW w:w="902" w:type="dxa"/>
          </w:tcPr>
          <w:p w14:paraId="3DE3E7DC" w14:textId="77777777"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.05</w:t>
            </w:r>
          </w:p>
        </w:tc>
        <w:tc>
          <w:tcPr>
            <w:tcW w:w="1620" w:type="dxa"/>
          </w:tcPr>
          <w:p w14:paraId="6B42ADB3" w14:textId="77777777"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4</w:t>
            </w:r>
          </w:p>
        </w:tc>
        <w:tc>
          <w:tcPr>
            <w:tcW w:w="1706" w:type="dxa"/>
          </w:tcPr>
          <w:p w14:paraId="780E9081" w14:textId="77777777"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.20</w:t>
            </w:r>
          </w:p>
        </w:tc>
      </w:tr>
      <w:tr w:rsidR="006155B3" w:rsidRPr="007923C2" w14:paraId="119D98C3" w14:textId="77777777" w:rsidTr="00C70CE2">
        <w:tc>
          <w:tcPr>
            <w:tcW w:w="4748" w:type="dxa"/>
          </w:tcPr>
          <w:p w14:paraId="33C42A99" w14:textId="77777777" w:rsidR="00A4165F" w:rsidRPr="007923C2" w:rsidRDefault="00A4165F" w:rsidP="00D15A3D">
            <w:pPr>
              <w:pStyle w:val="Textoindependiente2"/>
              <w:spacing w:line="360" w:lineRule="auto"/>
              <w:rPr>
                <w:rFonts w:cs="Arial"/>
                <w:sz w:val="22"/>
                <w:szCs w:val="22"/>
                <w:lang w:val="es-ES"/>
              </w:rPr>
            </w:pPr>
            <w:r w:rsidRPr="007923C2">
              <w:rPr>
                <w:rFonts w:cs="Arial"/>
                <w:sz w:val="22"/>
                <w:szCs w:val="22"/>
                <w:lang w:val="es-ES"/>
              </w:rPr>
              <w:t>9.-El agrobiólogo ofrece alternativa en la</w:t>
            </w:r>
          </w:p>
          <w:p w14:paraId="07A30F7E" w14:textId="77777777" w:rsidR="006155B3" w:rsidRPr="007923C2" w:rsidRDefault="00A4165F" w:rsidP="00D15A3D">
            <w:pPr>
              <w:pStyle w:val="Textoindependiente2"/>
              <w:spacing w:line="360" w:lineRule="auto"/>
              <w:rPr>
                <w:rFonts w:cs="Arial"/>
                <w:sz w:val="22"/>
                <w:szCs w:val="22"/>
                <w:lang w:val="es-ES"/>
              </w:rPr>
            </w:pPr>
            <w:r w:rsidRPr="007923C2">
              <w:rPr>
                <w:rFonts w:cs="Arial"/>
                <w:sz w:val="22"/>
                <w:szCs w:val="22"/>
                <w:lang w:val="es-ES"/>
              </w:rPr>
              <w:t xml:space="preserve"> producción y conservación de los recursos naturales.</w:t>
            </w:r>
          </w:p>
        </w:tc>
        <w:tc>
          <w:tcPr>
            <w:tcW w:w="902" w:type="dxa"/>
          </w:tcPr>
          <w:p w14:paraId="15961B6F" w14:textId="77777777" w:rsidR="006155B3" w:rsidRPr="007923C2" w:rsidRDefault="000F4B67" w:rsidP="000F4B67">
            <w:pPr>
              <w:pStyle w:val="Textoindependiente2"/>
              <w:spacing w:line="360" w:lineRule="auto"/>
              <w:rPr>
                <w:rFonts w:cs="Arial"/>
                <w:sz w:val="22"/>
                <w:szCs w:val="22"/>
                <w:lang w:val="es-ES"/>
              </w:rPr>
            </w:pPr>
            <w:r w:rsidRPr="007923C2">
              <w:rPr>
                <w:rFonts w:cs="Arial"/>
                <w:sz w:val="22"/>
                <w:szCs w:val="22"/>
                <w:lang w:val="es-ES"/>
              </w:rPr>
              <w:t>.05</w:t>
            </w:r>
          </w:p>
        </w:tc>
        <w:tc>
          <w:tcPr>
            <w:tcW w:w="1620" w:type="dxa"/>
          </w:tcPr>
          <w:p w14:paraId="3AA72FD1"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4</w:t>
            </w:r>
          </w:p>
        </w:tc>
        <w:tc>
          <w:tcPr>
            <w:tcW w:w="1706" w:type="dxa"/>
          </w:tcPr>
          <w:p w14:paraId="3AE22B22" w14:textId="77777777" w:rsidR="006155B3" w:rsidRPr="007923C2" w:rsidRDefault="000F4B67" w:rsidP="000F4B67">
            <w:pPr>
              <w:pStyle w:val="Textoindependiente2"/>
              <w:spacing w:line="360" w:lineRule="auto"/>
              <w:rPr>
                <w:rFonts w:cs="Arial"/>
                <w:sz w:val="22"/>
                <w:szCs w:val="22"/>
                <w:lang w:val="es-ES"/>
              </w:rPr>
            </w:pPr>
            <w:r w:rsidRPr="007923C2">
              <w:rPr>
                <w:rFonts w:cs="Arial"/>
                <w:sz w:val="22"/>
                <w:szCs w:val="22"/>
                <w:lang w:val="es-ES"/>
              </w:rPr>
              <w:t>.20</w:t>
            </w:r>
          </w:p>
        </w:tc>
      </w:tr>
      <w:tr w:rsidR="006155B3" w:rsidRPr="007923C2" w14:paraId="1381C0EC" w14:textId="77777777" w:rsidTr="00C70CE2">
        <w:tc>
          <w:tcPr>
            <w:tcW w:w="4748" w:type="dxa"/>
          </w:tcPr>
          <w:p w14:paraId="65FA2969" w14:textId="77777777" w:rsidR="006155B3" w:rsidRPr="007923C2" w:rsidRDefault="00A4165F" w:rsidP="00D15A3D">
            <w:pPr>
              <w:pStyle w:val="Textoindependiente2"/>
              <w:spacing w:line="360" w:lineRule="auto"/>
              <w:rPr>
                <w:rFonts w:cs="Arial"/>
                <w:sz w:val="22"/>
                <w:szCs w:val="22"/>
              </w:rPr>
            </w:pPr>
            <w:r w:rsidRPr="007923C2">
              <w:rPr>
                <w:rFonts w:cs="Arial"/>
                <w:sz w:val="22"/>
                <w:szCs w:val="22"/>
              </w:rPr>
              <w:t>10.-Una sociedad mundial y nacional tiene un cambio acelerado que exige una transformación en la educación superior.</w:t>
            </w:r>
          </w:p>
        </w:tc>
        <w:tc>
          <w:tcPr>
            <w:tcW w:w="902" w:type="dxa"/>
          </w:tcPr>
          <w:p w14:paraId="4913804E"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.02</w:t>
            </w:r>
          </w:p>
        </w:tc>
        <w:tc>
          <w:tcPr>
            <w:tcW w:w="1620" w:type="dxa"/>
          </w:tcPr>
          <w:p w14:paraId="0C2DFE0A"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14:paraId="5B7786F8"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.06</w:t>
            </w:r>
          </w:p>
        </w:tc>
      </w:tr>
      <w:tr w:rsidR="006155B3" w:rsidRPr="007923C2" w14:paraId="48B8C264" w14:textId="77777777" w:rsidTr="00C70CE2">
        <w:tc>
          <w:tcPr>
            <w:tcW w:w="4748" w:type="dxa"/>
          </w:tcPr>
          <w:p w14:paraId="73D2D5A1" w14:textId="77777777" w:rsidR="006155B3" w:rsidRPr="007923C2" w:rsidRDefault="00A4165F" w:rsidP="00EF5A08">
            <w:pPr>
              <w:pStyle w:val="Textoindependiente2"/>
              <w:spacing w:line="360" w:lineRule="auto"/>
              <w:rPr>
                <w:rFonts w:cs="Arial"/>
                <w:sz w:val="22"/>
                <w:szCs w:val="22"/>
                <w:lang w:val="es-ES"/>
              </w:rPr>
            </w:pPr>
            <w:r w:rsidRPr="007923C2">
              <w:rPr>
                <w:rFonts w:cs="Arial"/>
                <w:sz w:val="22"/>
                <w:szCs w:val="22"/>
                <w:lang w:val="es-ES"/>
              </w:rPr>
              <w:t>11.-La educación superior y la investigación es fundamental para el</w:t>
            </w:r>
            <w:r w:rsidR="00EF5A08" w:rsidRPr="007923C2">
              <w:rPr>
                <w:rFonts w:cs="Arial"/>
                <w:sz w:val="22"/>
                <w:szCs w:val="22"/>
                <w:lang w:val="es-ES"/>
              </w:rPr>
              <w:t xml:space="preserve"> desarrollo cultural, socioeconómico y ecológicamente sustentable de individuos, comunidades y naciones.  </w:t>
            </w:r>
          </w:p>
        </w:tc>
        <w:tc>
          <w:tcPr>
            <w:tcW w:w="902" w:type="dxa"/>
          </w:tcPr>
          <w:p w14:paraId="7A5A6EA8"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.02</w:t>
            </w:r>
          </w:p>
        </w:tc>
        <w:tc>
          <w:tcPr>
            <w:tcW w:w="1620" w:type="dxa"/>
          </w:tcPr>
          <w:p w14:paraId="7A5415E5"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4</w:t>
            </w:r>
          </w:p>
        </w:tc>
        <w:tc>
          <w:tcPr>
            <w:tcW w:w="1706" w:type="dxa"/>
          </w:tcPr>
          <w:p w14:paraId="06D8DD91"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.08</w:t>
            </w:r>
          </w:p>
        </w:tc>
      </w:tr>
      <w:tr w:rsidR="006155B3" w:rsidRPr="007923C2" w14:paraId="1491C5F8" w14:textId="77777777" w:rsidTr="00C70CE2">
        <w:tc>
          <w:tcPr>
            <w:tcW w:w="4748" w:type="dxa"/>
          </w:tcPr>
          <w:p w14:paraId="73065170" w14:textId="77777777" w:rsidR="006155B3" w:rsidRPr="007923C2" w:rsidRDefault="00EF5A08" w:rsidP="007B1E02">
            <w:pPr>
              <w:pStyle w:val="Textoindependiente2"/>
              <w:spacing w:line="360" w:lineRule="auto"/>
              <w:rPr>
                <w:rFonts w:cs="Arial"/>
                <w:sz w:val="22"/>
                <w:szCs w:val="22"/>
                <w:lang w:val="es-ES"/>
              </w:rPr>
            </w:pPr>
            <w:r w:rsidRPr="007923C2">
              <w:rPr>
                <w:rFonts w:cs="Arial"/>
                <w:sz w:val="22"/>
                <w:szCs w:val="22"/>
                <w:lang w:val="es-ES"/>
              </w:rPr>
              <w:t>12.-México ha demostrado un compromiso en la agenda internacional del medio ambiente y cambio climático.</w:t>
            </w:r>
          </w:p>
        </w:tc>
        <w:tc>
          <w:tcPr>
            <w:tcW w:w="902" w:type="dxa"/>
          </w:tcPr>
          <w:p w14:paraId="546F3118"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.05</w:t>
            </w:r>
          </w:p>
        </w:tc>
        <w:tc>
          <w:tcPr>
            <w:tcW w:w="1620" w:type="dxa"/>
          </w:tcPr>
          <w:p w14:paraId="48BB45DA"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4</w:t>
            </w:r>
          </w:p>
        </w:tc>
        <w:tc>
          <w:tcPr>
            <w:tcW w:w="1706" w:type="dxa"/>
          </w:tcPr>
          <w:p w14:paraId="537397C2"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.20</w:t>
            </w:r>
          </w:p>
        </w:tc>
      </w:tr>
      <w:tr w:rsidR="006155B3" w:rsidRPr="007923C2" w14:paraId="698E42C0" w14:textId="77777777" w:rsidTr="00C70CE2">
        <w:tc>
          <w:tcPr>
            <w:tcW w:w="4748" w:type="dxa"/>
          </w:tcPr>
          <w:p w14:paraId="3764826D" w14:textId="77777777" w:rsidR="006155B3" w:rsidRPr="007923C2" w:rsidRDefault="007B1E02" w:rsidP="00D15A3D">
            <w:pPr>
              <w:pStyle w:val="Textoindependiente2"/>
              <w:spacing w:line="360" w:lineRule="auto"/>
              <w:rPr>
                <w:rFonts w:cs="Arial"/>
                <w:b/>
                <w:sz w:val="22"/>
                <w:szCs w:val="22"/>
                <w:lang w:val="es-ES"/>
              </w:rPr>
            </w:pPr>
            <w:r w:rsidRPr="007923C2">
              <w:rPr>
                <w:rFonts w:cs="Arial"/>
                <w:b/>
                <w:sz w:val="22"/>
                <w:szCs w:val="22"/>
                <w:lang w:val="es-ES"/>
              </w:rPr>
              <w:t>AMENAZAS</w:t>
            </w:r>
          </w:p>
        </w:tc>
        <w:tc>
          <w:tcPr>
            <w:tcW w:w="902" w:type="dxa"/>
          </w:tcPr>
          <w:p w14:paraId="25EC6671" w14:textId="77777777" w:rsidR="006155B3" w:rsidRPr="007923C2" w:rsidRDefault="006155B3" w:rsidP="00D15A3D">
            <w:pPr>
              <w:pStyle w:val="Textoindependiente2"/>
              <w:spacing w:line="360" w:lineRule="auto"/>
              <w:rPr>
                <w:rFonts w:cs="Arial"/>
                <w:sz w:val="22"/>
                <w:szCs w:val="22"/>
                <w:lang w:val="es-ES"/>
              </w:rPr>
            </w:pPr>
          </w:p>
        </w:tc>
        <w:tc>
          <w:tcPr>
            <w:tcW w:w="1620" w:type="dxa"/>
          </w:tcPr>
          <w:p w14:paraId="7922C487" w14:textId="77777777" w:rsidR="006155B3" w:rsidRPr="007923C2" w:rsidRDefault="006155B3" w:rsidP="00D15A3D">
            <w:pPr>
              <w:pStyle w:val="Textoindependiente2"/>
              <w:spacing w:line="360" w:lineRule="auto"/>
              <w:rPr>
                <w:rFonts w:cs="Arial"/>
                <w:sz w:val="22"/>
                <w:szCs w:val="22"/>
                <w:lang w:val="es-ES"/>
              </w:rPr>
            </w:pPr>
          </w:p>
        </w:tc>
        <w:tc>
          <w:tcPr>
            <w:tcW w:w="1706" w:type="dxa"/>
          </w:tcPr>
          <w:p w14:paraId="45DA7A2F" w14:textId="77777777" w:rsidR="006155B3" w:rsidRPr="007923C2" w:rsidRDefault="006155B3" w:rsidP="00D15A3D">
            <w:pPr>
              <w:pStyle w:val="Textoindependiente2"/>
              <w:spacing w:line="360" w:lineRule="auto"/>
              <w:rPr>
                <w:rFonts w:cs="Arial"/>
                <w:sz w:val="22"/>
                <w:szCs w:val="22"/>
                <w:lang w:val="es-ES"/>
              </w:rPr>
            </w:pPr>
          </w:p>
        </w:tc>
      </w:tr>
      <w:tr w:rsidR="006155B3" w:rsidRPr="007923C2" w14:paraId="7281EEDA" w14:textId="77777777" w:rsidTr="00C70CE2">
        <w:tc>
          <w:tcPr>
            <w:tcW w:w="4748" w:type="dxa"/>
          </w:tcPr>
          <w:p w14:paraId="11A3AC40" w14:textId="77777777" w:rsidR="006155B3" w:rsidRPr="007923C2" w:rsidRDefault="007B1E02" w:rsidP="00D15A3D">
            <w:pPr>
              <w:pStyle w:val="Textoindependiente2"/>
              <w:spacing w:line="360" w:lineRule="auto"/>
              <w:rPr>
                <w:rFonts w:cs="Arial"/>
                <w:sz w:val="22"/>
                <w:szCs w:val="22"/>
                <w:lang w:val="es-ES"/>
              </w:rPr>
            </w:pPr>
            <w:r w:rsidRPr="007923C2">
              <w:rPr>
                <w:rFonts w:cs="Arial"/>
                <w:sz w:val="22"/>
                <w:szCs w:val="22"/>
                <w:lang w:val="es-ES"/>
              </w:rPr>
              <w:t>1.-Las políticas gubernamentales han llevado al agro-mexicano a beneficiar a unos cuantos y los campesinos siguen en la pobreza o emigran.</w:t>
            </w:r>
          </w:p>
        </w:tc>
        <w:tc>
          <w:tcPr>
            <w:tcW w:w="902" w:type="dxa"/>
          </w:tcPr>
          <w:p w14:paraId="4F13C753"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.1</w:t>
            </w:r>
          </w:p>
        </w:tc>
        <w:tc>
          <w:tcPr>
            <w:tcW w:w="1620" w:type="dxa"/>
          </w:tcPr>
          <w:p w14:paraId="44D29E35"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14:paraId="5F0C3609"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r>
      <w:tr w:rsidR="006155B3" w:rsidRPr="007923C2" w14:paraId="2A4B97E1" w14:textId="77777777" w:rsidTr="00C70CE2">
        <w:tc>
          <w:tcPr>
            <w:tcW w:w="4748" w:type="dxa"/>
          </w:tcPr>
          <w:p w14:paraId="7DB51D7F" w14:textId="77777777" w:rsidR="006155B3" w:rsidRPr="007923C2" w:rsidRDefault="007B1E02" w:rsidP="00D15A3D">
            <w:pPr>
              <w:pStyle w:val="Textoindependiente2"/>
              <w:spacing w:line="360" w:lineRule="auto"/>
              <w:rPr>
                <w:rFonts w:cs="Arial"/>
                <w:sz w:val="22"/>
                <w:szCs w:val="22"/>
              </w:rPr>
            </w:pPr>
            <w:r w:rsidRPr="007923C2">
              <w:rPr>
                <w:rFonts w:cs="Arial"/>
                <w:sz w:val="22"/>
                <w:szCs w:val="22"/>
              </w:rPr>
              <w:t>2.-Existe rezago tecnológico y dependencia del extranjero, falta competitividad.</w:t>
            </w:r>
          </w:p>
        </w:tc>
        <w:tc>
          <w:tcPr>
            <w:tcW w:w="902" w:type="dxa"/>
          </w:tcPr>
          <w:p w14:paraId="28399E87"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.05</w:t>
            </w:r>
          </w:p>
        </w:tc>
        <w:tc>
          <w:tcPr>
            <w:tcW w:w="1620" w:type="dxa"/>
          </w:tcPr>
          <w:p w14:paraId="45837197"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14:paraId="5EA991CF"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.15</w:t>
            </w:r>
          </w:p>
        </w:tc>
      </w:tr>
      <w:tr w:rsidR="006155B3" w:rsidRPr="007923C2" w14:paraId="680D3D7A" w14:textId="77777777" w:rsidTr="00C70CE2">
        <w:tc>
          <w:tcPr>
            <w:tcW w:w="4748" w:type="dxa"/>
          </w:tcPr>
          <w:p w14:paraId="310E58DF" w14:textId="77777777" w:rsidR="006155B3" w:rsidRPr="007923C2" w:rsidRDefault="007B1E02" w:rsidP="00D15A3D">
            <w:pPr>
              <w:pStyle w:val="Textoindependiente2"/>
              <w:spacing w:line="360" w:lineRule="auto"/>
              <w:rPr>
                <w:rFonts w:cs="Arial"/>
                <w:sz w:val="22"/>
                <w:szCs w:val="22"/>
              </w:rPr>
            </w:pPr>
            <w:r w:rsidRPr="007923C2">
              <w:rPr>
                <w:rFonts w:cs="Arial"/>
                <w:sz w:val="22"/>
                <w:szCs w:val="22"/>
              </w:rPr>
              <w:t>3.-El 72 % de la producción rural es trabajada por campesinos indígenas y pequeños productores para el autoconsumo y solo el 6 % es de productores empresarios.</w:t>
            </w:r>
          </w:p>
        </w:tc>
        <w:tc>
          <w:tcPr>
            <w:tcW w:w="902" w:type="dxa"/>
          </w:tcPr>
          <w:p w14:paraId="0E743D74"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.1</w:t>
            </w:r>
          </w:p>
        </w:tc>
        <w:tc>
          <w:tcPr>
            <w:tcW w:w="1620" w:type="dxa"/>
          </w:tcPr>
          <w:p w14:paraId="1C6647D6"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14:paraId="1ADE952A"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r>
      <w:tr w:rsidR="006155B3" w:rsidRPr="007923C2" w14:paraId="692E27E8" w14:textId="77777777" w:rsidTr="00C70CE2">
        <w:tc>
          <w:tcPr>
            <w:tcW w:w="4748" w:type="dxa"/>
          </w:tcPr>
          <w:p w14:paraId="5EFC6DA0" w14:textId="77777777" w:rsidR="006155B3" w:rsidRPr="007923C2" w:rsidRDefault="007B1E02" w:rsidP="00D15A3D">
            <w:pPr>
              <w:pStyle w:val="Textoindependiente2"/>
              <w:spacing w:line="360" w:lineRule="auto"/>
              <w:rPr>
                <w:rFonts w:cs="Arial"/>
                <w:sz w:val="22"/>
                <w:szCs w:val="22"/>
              </w:rPr>
            </w:pPr>
            <w:r w:rsidRPr="007923C2">
              <w:rPr>
                <w:rFonts w:cs="Arial"/>
                <w:sz w:val="22"/>
                <w:szCs w:val="22"/>
              </w:rPr>
              <w:t>4.-México importa el 43 % alimentos básicos de consumo.</w:t>
            </w:r>
          </w:p>
        </w:tc>
        <w:tc>
          <w:tcPr>
            <w:tcW w:w="902" w:type="dxa"/>
          </w:tcPr>
          <w:p w14:paraId="15067A14"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.05</w:t>
            </w:r>
          </w:p>
        </w:tc>
        <w:tc>
          <w:tcPr>
            <w:tcW w:w="1620" w:type="dxa"/>
          </w:tcPr>
          <w:p w14:paraId="34861AC5"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14:paraId="17BDD8AD"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.10</w:t>
            </w:r>
          </w:p>
        </w:tc>
      </w:tr>
      <w:tr w:rsidR="006155B3" w:rsidRPr="007923C2" w14:paraId="0565CA63" w14:textId="77777777" w:rsidTr="00C70CE2">
        <w:tc>
          <w:tcPr>
            <w:tcW w:w="4748" w:type="dxa"/>
          </w:tcPr>
          <w:p w14:paraId="2ABDDEED" w14:textId="77777777" w:rsidR="006155B3" w:rsidRPr="007923C2" w:rsidRDefault="007B1E02" w:rsidP="00D15A3D">
            <w:pPr>
              <w:pStyle w:val="Textoindependiente2"/>
              <w:spacing w:line="360" w:lineRule="auto"/>
              <w:rPr>
                <w:rFonts w:cs="Arial"/>
                <w:sz w:val="22"/>
                <w:szCs w:val="22"/>
              </w:rPr>
            </w:pPr>
            <w:r w:rsidRPr="007923C2">
              <w:rPr>
                <w:rFonts w:cs="Arial"/>
                <w:sz w:val="22"/>
                <w:szCs w:val="22"/>
              </w:rPr>
              <w:lastRenderedPageBreak/>
              <w:t xml:space="preserve">5.-El TLCAN en México terminó por conducir al país al más grave desastre económico afectando a la producción agrícola. </w:t>
            </w:r>
          </w:p>
        </w:tc>
        <w:tc>
          <w:tcPr>
            <w:tcW w:w="902" w:type="dxa"/>
          </w:tcPr>
          <w:p w14:paraId="511DF64D"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.1</w:t>
            </w:r>
          </w:p>
        </w:tc>
        <w:tc>
          <w:tcPr>
            <w:tcW w:w="1620" w:type="dxa"/>
          </w:tcPr>
          <w:p w14:paraId="057EB767"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14:paraId="694E8C35"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r>
      <w:tr w:rsidR="006155B3" w:rsidRPr="007923C2" w14:paraId="61A25F28" w14:textId="77777777" w:rsidTr="00C70CE2">
        <w:tc>
          <w:tcPr>
            <w:tcW w:w="4748" w:type="dxa"/>
          </w:tcPr>
          <w:p w14:paraId="2D11F87B" w14:textId="77777777" w:rsidR="006155B3" w:rsidRPr="007923C2" w:rsidRDefault="007B1E02" w:rsidP="00D15A3D">
            <w:pPr>
              <w:pStyle w:val="Textoindependiente2"/>
              <w:spacing w:line="360" w:lineRule="auto"/>
              <w:rPr>
                <w:rFonts w:cs="Arial"/>
                <w:sz w:val="22"/>
                <w:szCs w:val="22"/>
                <w:lang w:val="es-ES"/>
              </w:rPr>
            </w:pPr>
            <w:r w:rsidRPr="007923C2">
              <w:rPr>
                <w:rFonts w:cs="Arial"/>
                <w:sz w:val="22"/>
                <w:szCs w:val="22"/>
                <w:lang w:val="es-ES"/>
              </w:rPr>
              <w:t>6.-Una sociedad polarizada con un pequeño segmento moderno y una mayoría marginada no podrá enfrentar los desafíos del nuevo siglo por la educación superior.</w:t>
            </w:r>
          </w:p>
        </w:tc>
        <w:tc>
          <w:tcPr>
            <w:tcW w:w="902" w:type="dxa"/>
          </w:tcPr>
          <w:p w14:paraId="25764939"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.02</w:t>
            </w:r>
          </w:p>
        </w:tc>
        <w:tc>
          <w:tcPr>
            <w:tcW w:w="1620" w:type="dxa"/>
          </w:tcPr>
          <w:p w14:paraId="45E3CE92"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14:paraId="4F78A017"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.04</w:t>
            </w:r>
          </w:p>
        </w:tc>
      </w:tr>
      <w:tr w:rsidR="006155B3" w:rsidRPr="007923C2" w14:paraId="0EA95D94" w14:textId="77777777" w:rsidTr="00C70CE2">
        <w:tc>
          <w:tcPr>
            <w:tcW w:w="4748" w:type="dxa"/>
          </w:tcPr>
          <w:p w14:paraId="2D296257" w14:textId="77777777" w:rsidR="006155B3"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7.-Cambios rápidos en el entorno global nacional.</w:t>
            </w:r>
          </w:p>
        </w:tc>
        <w:tc>
          <w:tcPr>
            <w:tcW w:w="902" w:type="dxa"/>
          </w:tcPr>
          <w:p w14:paraId="27AE7128"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0.0</w:t>
            </w:r>
          </w:p>
        </w:tc>
        <w:tc>
          <w:tcPr>
            <w:tcW w:w="1620" w:type="dxa"/>
          </w:tcPr>
          <w:p w14:paraId="6A37E54B"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14:paraId="7D645F4F"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.02</w:t>
            </w:r>
          </w:p>
        </w:tc>
      </w:tr>
      <w:tr w:rsidR="006155B3" w:rsidRPr="007923C2" w14:paraId="6BBEA246" w14:textId="77777777" w:rsidTr="00C70CE2">
        <w:tc>
          <w:tcPr>
            <w:tcW w:w="4748" w:type="dxa"/>
          </w:tcPr>
          <w:p w14:paraId="12779E42" w14:textId="77777777" w:rsidR="006155B3" w:rsidRPr="007923C2" w:rsidRDefault="00342EAE" w:rsidP="00D15A3D">
            <w:pPr>
              <w:pStyle w:val="Textoindependiente2"/>
              <w:spacing w:line="360" w:lineRule="auto"/>
              <w:rPr>
                <w:rFonts w:cs="Arial"/>
                <w:sz w:val="22"/>
                <w:szCs w:val="22"/>
              </w:rPr>
            </w:pPr>
            <w:r w:rsidRPr="007923C2">
              <w:rPr>
                <w:rFonts w:cs="Arial"/>
                <w:sz w:val="22"/>
                <w:szCs w:val="22"/>
              </w:rPr>
              <w:t>8.-La crisis económica de México conlleva a una austeridad en el gasto público que afectan al sector educativo.</w:t>
            </w:r>
          </w:p>
        </w:tc>
        <w:tc>
          <w:tcPr>
            <w:tcW w:w="902" w:type="dxa"/>
          </w:tcPr>
          <w:p w14:paraId="11FEF2E4"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.03</w:t>
            </w:r>
          </w:p>
        </w:tc>
        <w:tc>
          <w:tcPr>
            <w:tcW w:w="1620" w:type="dxa"/>
          </w:tcPr>
          <w:p w14:paraId="7CB8CF0B"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14:paraId="58EBDE5E" w14:textId="77777777"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.09</w:t>
            </w:r>
          </w:p>
        </w:tc>
      </w:tr>
      <w:tr w:rsidR="006155B3" w:rsidRPr="007923C2" w14:paraId="2A04195E" w14:textId="77777777" w:rsidTr="00C70CE2">
        <w:tc>
          <w:tcPr>
            <w:tcW w:w="4748" w:type="dxa"/>
          </w:tcPr>
          <w:p w14:paraId="0B644760" w14:textId="77777777" w:rsidR="006155B3" w:rsidRPr="007923C2" w:rsidRDefault="00342EAE" w:rsidP="00D15A3D">
            <w:pPr>
              <w:pStyle w:val="Textoindependiente2"/>
              <w:spacing w:line="360" w:lineRule="auto"/>
              <w:rPr>
                <w:rFonts w:cs="Arial"/>
                <w:sz w:val="22"/>
                <w:szCs w:val="22"/>
              </w:rPr>
            </w:pPr>
            <w:r w:rsidRPr="007923C2">
              <w:rPr>
                <w:rFonts w:cs="Arial"/>
                <w:sz w:val="22"/>
                <w:szCs w:val="22"/>
              </w:rPr>
              <w:t>9.-Las IES con una visión tradicional que no aprovecha las oportunidades que presenta la cultura, una nueva sociedad del conocimiento serán desplazados por otras instituciones.</w:t>
            </w:r>
          </w:p>
        </w:tc>
        <w:tc>
          <w:tcPr>
            <w:tcW w:w="902" w:type="dxa"/>
          </w:tcPr>
          <w:p w14:paraId="2112EFBD" w14:textId="77777777" w:rsidR="006155B3" w:rsidRPr="007923C2" w:rsidRDefault="00C70CE2" w:rsidP="00D15A3D">
            <w:pPr>
              <w:pStyle w:val="Textoindependiente2"/>
              <w:spacing w:line="360" w:lineRule="auto"/>
              <w:rPr>
                <w:rFonts w:cs="Arial"/>
                <w:sz w:val="22"/>
                <w:szCs w:val="22"/>
                <w:lang w:val="es-ES"/>
              </w:rPr>
            </w:pPr>
            <w:r w:rsidRPr="007923C2">
              <w:rPr>
                <w:rFonts w:cs="Arial"/>
                <w:sz w:val="22"/>
                <w:szCs w:val="22"/>
                <w:lang w:val="es-ES"/>
              </w:rPr>
              <w:t>0.0</w:t>
            </w:r>
          </w:p>
        </w:tc>
        <w:tc>
          <w:tcPr>
            <w:tcW w:w="1620" w:type="dxa"/>
          </w:tcPr>
          <w:p w14:paraId="6E83F289" w14:textId="77777777" w:rsidR="006155B3" w:rsidRPr="007923C2" w:rsidRDefault="00C70CE2"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14:paraId="56FC598B" w14:textId="77777777" w:rsidR="006155B3" w:rsidRPr="007923C2" w:rsidRDefault="00C70CE2" w:rsidP="00D15A3D">
            <w:pPr>
              <w:pStyle w:val="Textoindependiente2"/>
              <w:spacing w:line="360" w:lineRule="auto"/>
              <w:rPr>
                <w:rFonts w:cs="Arial"/>
                <w:sz w:val="22"/>
                <w:szCs w:val="22"/>
                <w:lang w:val="es-ES"/>
              </w:rPr>
            </w:pPr>
            <w:r w:rsidRPr="007923C2">
              <w:rPr>
                <w:rFonts w:cs="Arial"/>
                <w:sz w:val="22"/>
                <w:szCs w:val="22"/>
                <w:lang w:val="es-ES"/>
              </w:rPr>
              <w:t>.02</w:t>
            </w:r>
          </w:p>
        </w:tc>
      </w:tr>
      <w:tr w:rsidR="006155B3" w:rsidRPr="007923C2" w14:paraId="63B17401" w14:textId="77777777" w:rsidTr="00C70CE2">
        <w:tc>
          <w:tcPr>
            <w:tcW w:w="4748" w:type="dxa"/>
          </w:tcPr>
          <w:p w14:paraId="7A4DE5E4" w14:textId="77777777" w:rsidR="006155B3" w:rsidRPr="007923C2" w:rsidRDefault="00342EAE" w:rsidP="00D15A3D">
            <w:pPr>
              <w:pStyle w:val="Textoindependiente2"/>
              <w:spacing w:line="360" w:lineRule="auto"/>
              <w:rPr>
                <w:rFonts w:cs="Arial"/>
                <w:b/>
                <w:sz w:val="22"/>
                <w:szCs w:val="22"/>
                <w:lang w:val="es-ES"/>
              </w:rPr>
            </w:pPr>
            <w:r w:rsidRPr="007923C2">
              <w:rPr>
                <w:rFonts w:cs="Arial"/>
                <w:b/>
                <w:sz w:val="22"/>
                <w:szCs w:val="22"/>
                <w:lang w:val="es-ES"/>
              </w:rPr>
              <w:t>TOTAL</w:t>
            </w:r>
          </w:p>
        </w:tc>
        <w:tc>
          <w:tcPr>
            <w:tcW w:w="902" w:type="dxa"/>
          </w:tcPr>
          <w:p w14:paraId="19794541" w14:textId="77777777" w:rsidR="006155B3"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1.0</w:t>
            </w:r>
          </w:p>
        </w:tc>
        <w:tc>
          <w:tcPr>
            <w:tcW w:w="1620" w:type="dxa"/>
          </w:tcPr>
          <w:p w14:paraId="5C6297F7" w14:textId="77777777" w:rsidR="006155B3" w:rsidRPr="007923C2" w:rsidRDefault="006155B3" w:rsidP="00D15A3D">
            <w:pPr>
              <w:pStyle w:val="Textoindependiente2"/>
              <w:spacing w:line="360" w:lineRule="auto"/>
              <w:rPr>
                <w:rFonts w:cs="Arial"/>
                <w:sz w:val="22"/>
                <w:szCs w:val="22"/>
                <w:lang w:val="es-ES"/>
              </w:rPr>
            </w:pPr>
          </w:p>
        </w:tc>
        <w:tc>
          <w:tcPr>
            <w:tcW w:w="1706" w:type="dxa"/>
          </w:tcPr>
          <w:p w14:paraId="4D6CD843" w14:textId="77777777" w:rsidR="006155B3" w:rsidRPr="007923C2" w:rsidRDefault="00C70CE2" w:rsidP="00D15A3D">
            <w:pPr>
              <w:pStyle w:val="Textoindependiente2"/>
              <w:spacing w:line="360" w:lineRule="auto"/>
              <w:rPr>
                <w:rFonts w:cs="Arial"/>
                <w:sz w:val="22"/>
                <w:szCs w:val="22"/>
                <w:lang w:val="es-ES"/>
              </w:rPr>
            </w:pPr>
            <w:r w:rsidRPr="007923C2">
              <w:rPr>
                <w:rFonts w:cs="Arial"/>
                <w:sz w:val="22"/>
                <w:szCs w:val="22"/>
                <w:lang w:val="es-ES"/>
              </w:rPr>
              <w:t>4.46</w:t>
            </w:r>
          </w:p>
        </w:tc>
      </w:tr>
    </w:tbl>
    <w:p w14:paraId="29BC3942" w14:textId="77777777" w:rsidR="00F17500" w:rsidRPr="007923C2" w:rsidRDefault="00F17500" w:rsidP="004220B7">
      <w:pPr>
        <w:jc w:val="both"/>
        <w:rPr>
          <w:rFonts w:ascii="Arial" w:hAnsi="Arial" w:cs="Arial"/>
          <w:b/>
          <w:sz w:val="22"/>
          <w:szCs w:val="22"/>
        </w:rPr>
      </w:pPr>
    </w:p>
    <w:p w14:paraId="34ED6C39" w14:textId="77777777" w:rsidR="00D15A3D" w:rsidRPr="007923C2" w:rsidRDefault="00D15A3D" w:rsidP="004220B7">
      <w:pPr>
        <w:jc w:val="both"/>
        <w:rPr>
          <w:rFonts w:ascii="Arial" w:hAnsi="Arial" w:cs="Arial"/>
          <w:b/>
          <w:sz w:val="22"/>
          <w:szCs w:val="22"/>
        </w:rPr>
      </w:pPr>
      <w:r w:rsidRPr="007923C2">
        <w:rPr>
          <w:rFonts w:ascii="Arial" w:hAnsi="Arial" w:cs="Arial"/>
          <w:b/>
          <w:sz w:val="22"/>
          <w:szCs w:val="22"/>
        </w:rPr>
        <w:t>4.3.-EVALUACIÓN INTERNA</w:t>
      </w:r>
    </w:p>
    <w:p w14:paraId="135D98FB" w14:textId="77777777" w:rsidR="00F50674" w:rsidRPr="007923C2" w:rsidRDefault="004E5CE4" w:rsidP="00460DA3">
      <w:pPr>
        <w:jc w:val="both"/>
        <w:rPr>
          <w:rFonts w:ascii="Arial" w:hAnsi="Arial" w:cs="Arial"/>
          <w:sz w:val="22"/>
          <w:szCs w:val="22"/>
        </w:rPr>
      </w:pPr>
      <w:r w:rsidRPr="007923C2">
        <w:rPr>
          <w:rFonts w:ascii="Arial" w:hAnsi="Arial" w:cs="Arial"/>
          <w:b/>
          <w:sz w:val="22"/>
          <w:szCs w:val="22"/>
        </w:rPr>
        <w:t>4.3.1.-DOCENCIA</w:t>
      </w:r>
    </w:p>
    <w:p w14:paraId="08C29999" w14:textId="77777777" w:rsidR="00F50674" w:rsidRPr="007923C2" w:rsidRDefault="00F50674" w:rsidP="00F5067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4.3.1.1 Cantidad y calidad de la planta docente</w:t>
      </w:r>
    </w:p>
    <w:p w14:paraId="2C8B2FD7" w14:textId="77777777" w:rsidR="00F50674" w:rsidRPr="007923C2" w:rsidRDefault="00F50674" w:rsidP="00F5067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Departamento de Botánica que administra la carrera de Ingeniero en Agrobiología cuenta con una planta docente de 1</w:t>
      </w:r>
      <w:r w:rsidR="00C0729D" w:rsidRPr="007923C2">
        <w:rPr>
          <w:rFonts w:ascii="Arial" w:hAnsi="Arial" w:cs="Arial"/>
          <w:sz w:val="22"/>
          <w:szCs w:val="22"/>
        </w:rPr>
        <w:t>5</w:t>
      </w:r>
      <w:r w:rsidRPr="007923C2">
        <w:rPr>
          <w:rFonts w:ascii="Arial" w:hAnsi="Arial" w:cs="Arial"/>
          <w:sz w:val="22"/>
          <w:szCs w:val="22"/>
        </w:rPr>
        <w:t xml:space="preserve"> profesores investigadores, </w:t>
      </w:r>
      <w:r w:rsidR="00C0729D" w:rsidRPr="007923C2">
        <w:rPr>
          <w:rFonts w:ascii="Arial" w:hAnsi="Arial" w:cs="Arial"/>
          <w:sz w:val="22"/>
          <w:szCs w:val="22"/>
        </w:rPr>
        <w:t>7</w:t>
      </w:r>
      <w:r w:rsidRPr="007923C2">
        <w:rPr>
          <w:rFonts w:ascii="Arial" w:hAnsi="Arial" w:cs="Arial"/>
          <w:sz w:val="22"/>
          <w:szCs w:val="22"/>
        </w:rPr>
        <w:t xml:space="preserve"> de nivel doctorado, </w:t>
      </w:r>
      <w:r w:rsidR="00C0729D" w:rsidRPr="007923C2">
        <w:rPr>
          <w:rFonts w:ascii="Arial" w:hAnsi="Arial" w:cs="Arial"/>
          <w:sz w:val="22"/>
          <w:szCs w:val="22"/>
        </w:rPr>
        <w:t>5</w:t>
      </w:r>
      <w:r w:rsidRPr="007923C2">
        <w:rPr>
          <w:rFonts w:ascii="Arial" w:hAnsi="Arial" w:cs="Arial"/>
          <w:sz w:val="22"/>
          <w:szCs w:val="22"/>
        </w:rPr>
        <w:t xml:space="preserve"> postgrado y </w:t>
      </w:r>
      <w:r w:rsidR="00C0729D" w:rsidRPr="007923C2">
        <w:rPr>
          <w:rFonts w:ascii="Arial" w:hAnsi="Arial" w:cs="Arial"/>
          <w:sz w:val="22"/>
          <w:szCs w:val="22"/>
        </w:rPr>
        <w:t>3</w:t>
      </w:r>
      <w:r w:rsidRPr="007923C2">
        <w:rPr>
          <w:rFonts w:ascii="Arial" w:hAnsi="Arial" w:cs="Arial"/>
          <w:sz w:val="22"/>
          <w:szCs w:val="22"/>
        </w:rPr>
        <w:t xml:space="preserve"> nivel licenciatura, </w:t>
      </w:r>
      <w:r w:rsidR="00C0729D" w:rsidRPr="007923C2">
        <w:rPr>
          <w:rFonts w:ascii="Arial" w:hAnsi="Arial" w:cs="Arial"/>
          <w:sz w:val="22"/>
          <w:szCs w:val="22"/>
        </w:rPr>
        <w:t>1</w:t>
      </w:r>
      <w:r w:rsidRPr="007923C2">
        <w:rPr>
          <w:rFonts w:ascii="Arial" w:hAnsi="Arial" w:cs="Arial"/>
          <w:sz w:val="22"/>
          <w:szCs w:val="22"/>
        </w:rPr>
        <w:t xml:space="preserve"> de los cuales tienen estudios de maestría sin haber obtenido el grado, pero </w:t>
      </w:r>
      <w:r w:rsidR="00C0729D" w:rsidRPr="007923C2">
        <w:rPr>
          <w:rFonts w:ascii="Arial" w:hAnsi="Arial" w:cs="Arial"/>
          <w:sz w:val="22"/>
          <w:szCs w:val="22"/>
        </w:rPr>
        <w:t>cursól</w:t>
      </w:r>
      <w:r w:rsidRPr="007923C2">
        <w:rPr>
          <w:rFonts w:ascii="Arial" w:hAnsi="Arial" w:cs="Arial"/>
          <w:sz w:val="22"/>
          <w:szCs w:val="22"/>
        </w:rPr>
        <w:t>os créditos del plan de estudios.</w:t>
      </w:r>
    </w:p>
    <w:p w14:paraId="72B719DA" w14:textId="77777777" w:rsidR="00F50674" w:rsidRPr="007923C2" w:rsidRDefault="00F50674" w:rsidP="00F5067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formación de biólogo ha permitido a la mayoría de los profesores ser muy versátiles y especializarse en una determinada área, impartir alguna materia de la carrera de Agrobiología, así también el desarrollo de proyectos de desarrollo e investigación les ha dado una amplia experiencia para impartir</w:t>
      </w:r>
      <w:r w:rsidR="00C0729D" w:rsidRPr="007923C2">
        <w:rPr>
          <w:rFonts w:ascii="Arial" w:hAnsi="Arial" w:cs="Arial"/>
          <w:sz w:val="22"/>
          <w:szCs w:val="22"/>
        </w:rPr>
        <w:t xml:space="preserve"> el aspecto práctico de</w:t>
      </w:r>
      <w:r w:rsidRPr="007923C2">
        <w:rPr>
          <w:rFonts w:ascii="Arial" w:hAnsi="Arial" w:cs="Arial"/>
          <w:sz w:val="22"/>
          <w:szCs w:val="22"/>
        </w:rPr>
        <w:t xml:space="preserve"> las materias del plan de estudios de Agrobiología.</w:t>
      </w:r>
    </w:p>
    <w:p w14:paraId="6BA72FA3" w14:textId="77777777" w:rsidR="00201375" w:rsidRDefault="00201375" w:rsidP="00F50674">
      <w:pPr>
        <w:widowControl w:val="0"/>
        <w:autoSpaceDE w:val="0"/>
        <w:autoSpaceDN w:val="0"/>
        <w:adjustRightInd w:val="0"/>
        <w:jc w:val="both"/>
        <w:rPr>
          <w:rFonts w:ascii="Arial" w:hAnsi="Arial" w:cs="Arial"/>
          <w:b/>
          <w:sz w:val="22"/>
          <w:szCs w:val="22"/>
        </w:rPr>
      </w:pPr>
    </w:p>
    <w:p w14:paraId="7567BCB9" w14:textId="77777777" w:rsidR="00F50674" w:rsidRPr="003F228F" w:rsidRDefault="00181270" w:rsidP="00F50674">
      <w:pPr>
        <w:widowControl w:val="0"/>
        <w:autoSpaceDE w:val="0"/>
        <w:autoSpaceDN w:val="0"/>
        <w:adjustRightInd w:val="0"/>
        <w:jc w:val="both"/>
        <w:rPr>
          <w:rFonts w:ascii="Arial" w:hAnsi="Arial" w:cs="Arial"/>
          <w:b/>
          <w:sz w:val="22"/>
          <w:szCs w:val="22"/>
        </w:rPr>
      </w:pPr>
      <w:r w:rsidRPr="003F228F">
        <w:rPr>
          <w:rFonts w:ascii="Arial" w:hAnsi="Arial" w:cs="Arial"/>
          <w:b/>
          <w:sz w:val="22"/>
          <w:szCs w:val="22"/>
        </w:rPr>
        <w:t>Profesores adscritos al Departamento de Botánica</w:t>
      </w:r>
    </w:p>
    <w:p w14:paraId="27C00137" w14:textId="77777777" w:rsidR="00181270" w:rsidRPr="007923C2" w:rsidRDefault="00181270" w:rsidP="00F50674">
      <w:pPr>
        <w:widowControl w:val="0"/>
        <w:autoSpaceDE w:val="0"/>
        <w:autoSpaceDN w:val="0"/>
        <w:adjustRightInd w:val="0"/>
        <w:jc w:val="both"/>
        <w:rPr>
          <w:rFonts w:ascii="Arial" w:hAnsi="Arial" w:cs="Arial"/>
          <w:sz w:val="22"/>
          <w:szCs w:val="22"/>
        </w:rPr>
      </w:pPr>
      <w:r w:rsidRPr="007923C2">
        <w:rPr>
          <w:rFonts w:ascii="Arial" w:hAnsi="Arial" w:cs="Arial"/>
          <w:sz w:val="22"/>
          <w:szCs w:val="22"/>
        </w:rPr>
        <w:t>1.-Dra Silvia Y. Martínez Amador</w:t>
      </w:r>
    </w:p>
    <w:p w14:paraId="0BFB6623"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2.-Dr Jesús Valdes Reyna</w:t>
      </w:r>
    </w:p>
    <w:p w14:paraId="468A074F"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3.-Dr José Angel Villarreal Quintanilla</w:t>
      </w:r>
    </w:p>
    <w:p w14:paraId="38473D30"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lastRenderedPageBreak/>
        <w:t>4.-Dr Antonio Júarez Maldonado</w:t>
      </w:r>
    </w:p>
    <w:p w14:paraId="20032BF6"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5.-Dr Ismael Cabral Cordero</w:t>
      </w:r>
    </w:p>
    <w:p w14:paraId="34BA47D2"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6.-Dr Manuel De La Rosa Ibarra</w:t>
      </w:r>
    </w:p>
    <w:p w14:paraId="696219C1"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 xml:space="preserve">7.-Dr Miguel Angel Pérez </w:t>
      </w:r>
    </w:p>
    <w:p w14:paraId="7382F27A"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8.-Mc Sofía Comparán Sánchez</w:t>
      </w:r>
    </w:p>
    <w:p w14:paraId="019D2BB5"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9.-Mc Martha Vázquez Rodríguez</w:t>
      </w:r>
    </w:p>
    <w:p w14:paraId="05A27C20"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10.-Mc Leopoldo Arce González</w:t>
      </w:r>
    </w:p>
    <w:p w14:paraId="45808209"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11.-Mc Ma Teresa Ruiz De León</w:t>
      </w:r>
    </w:p>
    <w:p w14:paraId="6E097143"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12.-Mc Laura Ma González Méndez</w:t>
      </w:r>
    </w:p>
    <w:p w14:paraId="7B4AF7B2"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13.-Biol Sergio Pérez Mata</w:t>
      </w:r>
    </w:p>
    <w:p w14:paraId="060D5849"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14.-Biol Miguel Agustín Carranza</w:t>
      </w:r>
    </w:p>
    <w:p w14:paraId="49009C4B" w14:textId="77777777"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15.-Biol Silvia Pérez Cuellar</w:t>
      </w:r>
    </w:p>
    <w:p w14:paraId="3778D6CB" w14:textId="77777777" w:rsidR="00D15FB5" w:rsidRPr="007923C2" w:rsidRDefault="00D15FB5" w:rsidP="00BD5454">
      <w:pPr>
        <w:widowControl w:val="0"/>
        <w:autoSpaceDE w:val="0"/>
        <w:autoSpaceDN w:val="0"/>
        <w:adjustRightInd w:val="0"/>
        <w:rPr>
          <w:rFonts w:ascii="Arial" w:hAnsi="Arial" w:cs="Arial"/>
          <w:b/>
          <w:bCs/>
          <w:i/>
          <w:iCs/>
          <w:sz w:val="22"/>
          <w:szCs w:val="22"/>
        </w:rPr>
      </w:pPr>
    </w:p>
    <w:p w14:paraId="31D4F2A7" w14:textId="77777777" w:rsidR="00BD5454" w:rsidRPr="007923C2" w:rsidRDefault="00BD5454" w:rsidP="00BD5454">
      <w:pPr>
        <w:widowControl w:val="0"/>
        <w:autoSpaceDE w:val="0"/>
        <w:autoSpaceDN w:val="0"/>
        <w:adjustRightInd w:val="0"/>
        <w:rPr>
          <w:rFonts w:ascii="Arial" w:hAnsi="Arial" w:cs="Arial"/>
          <w:b/>
          <w:bCs/>
          <w:i/>
          <w:iCs/>
          <w:sz w:val="22"/>
          <w:szCs w:val="22"/>
        </w:rPr>
      </w:pPr>
      <w:r w:rsidRPr="007923C2">
        <w:rPr>
          <w:rFonts w:ascii="Arial" w:hAnsi="Arial" w:cs="Arial"/>
          <w:b/>
          <w:bCs/>
          <w:i/>
          <w:iCs/>
          <w:sz w:val="22"/>
          <w:szCs w:val="22"/>
        </w:rPr>
        <w:t>Personal Académico adscrito al Departamento Responsable del Programa</w:t>
      </w:r>
    </w:p>
    <w:tbl>
      <w:tblPr>
        <w:tblW w:w="5748" w:type="pct"/>
        <w:jc w:val="center"/>
        <w:tblLayout w:type="fixed"/>
        <w:tblCellMar>
          <w:left w:w="70" w:type="dxa"/>
          <w:right w:w="70" w:type="dxa"/>
        </w:tblCellMar>
        <w:tblLook w:val="0000" w:firstRow="0" w:lastRow="0" w:firstColumn="0" w:lastColumn="0" w:noHBand="0" w:noVBand="0"/>
      </w:tblPr>
      <w:tblGrid>
        <w:gridCol w:w="1251"/>
        <w:gridCol w:w="794"/>
        <w:gridCol w:w="864"/>
        <w:gridCol w:w="1297"/>
        <w:gridCol w:w="1622"/>
        <w:gridCol w:w="742"/>
        <w:gridCol w:w="2012"/>
        <w:gridCol w:w="814"/>
        <w:gridCol w:w="488"/>
        <w:gridCol w:w="973"/>
        <w:gridCol w:w="483"/>
      </w:tblGrid>
      <w:tr w:rsidR="00F17500" w:rsidRPr="007923C2" w14:paraId="56284836" w14:textId="77777777" w:rsidTr="00F17500">
        <w:trPr>
          <w:trHeight w:val="911"/>
          <w:jc w:val="center"/>
        </w:trPr>
        <w:tc>
          <w:tcPr>
            <w:tcW w:w="552" w:type="pct"/>
            <w:tcBorders>
              <w:top w:val="single" w:sz="6" w:space="0" w:color="auto"/>
              <w:left w:val="single" w:sz="6" w:space="0" w:color="auto"/>
              <w:bottom w:val="single" w:sz="6" w:space="0" w:color="auto"/>
              <w:right w:val="single" w:sz="6" w:space="0" w:color="auto"/>
            </w:tcBorders>
          </w:tcPr>
          <w:p w14:paraId="516DC064" w14:textId="77777777"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b/>
                <w:bCs/>
                <w:i/>
                <w:iCs/>
                <w:position w:val="6"/>
                <w:sz w:val="16"/>
                <w:szCs w:val="16"/>
              </w:rPr>
              <w:t>Nombre</w:t>
            </w:r>
          </w:p>
        </w:tc>
        <w:tc>
          <w:tcPr>
            <w:tcW w:w="350" w:type="pct"/>
            <w:tcBorders>
              <w:top w:val="single" w:sz="6" w:space="0" w:color="auto"/>
              <w:left w:val="single" w:sz="6" w:space="0" w:color="auto"/>
              <w:bottom w:val="single" w:sz="6" w:space="0" w:color="auto"/>
              <w:right w:val="single" w:sz="6" w:space="0" w:color="auto"/>
            </w:tcBorders>
          </w:tcPr>
          <w:p w14:paraId="7A7AA05B" w14:textId="77777777" w:rsidR="00BD5454" w:rsidRPr="007512D0" w:rsidRDefault="00BD5454" w:rsidP="00EF25CF">
            <w:pPr>
              <w:widowControl w:val="0"/>
              <w:autoSpaceDE w:val="0"/>
              <w:autoSpaceDN w:val="0"/>
              <w:adjustRightInd w:val="0"/>
              <w:spacing w:before="492"/>
              <w:jc w:val="center"/>
              <w:rPr>
                <w:rFonts w:ascii="Arial" w:hAnsi="Arial" w:cs="Arial"/>
                <w:b/>
                <w:bCs/>
                <w:i/>
                <w:iCs/>
                <w:position w:val="6"/>
                <w:sz w:val="16"/>
                <w:szCs w:val="16"/>
              </w:rPr>
            </w:pPr>
            <w:r w:rsidRPr="007512D0">
              <w:rPr>
                <w:rFonts w:ascii="Arial" w:hAnsi="Arial" w:cs="Arial"/>
                <w:b/>
                <w:bCs/>
                <w:i/>
                <w:iCs/>
                <w:position w:val="6"/>
                <w:sz w:val="16"/>
                <w:szCs w:val="16"/>
              </w:rPr>
              <w:t>Grado</w:t>
            </w:r>
          </w:p>
        </w:tc>
        <w:tc>
          <w:tcPr>
            <w:tcW w:w="381" w:type="pct"/>
            <w:tcBorders>
              <w:top w:val="single" w:sz="6" w:space="0" w:color="auto"/>
              <w:left w:val="single" w:sz="6" w:space="0" w:color="auto"/>
              <w:bottom w:val="single" w:sz="6" w:space="0" w:color="auto"/>
              <w:right w:val="single" w:sz="6" w:space="0" w:color="auto"/>
            </w:tcBorders>
          </w:tcPr>
          <w:p w14:paraId="4D66AFB4" w14:textId="77777777"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b/>
                <w:bCs/>
                <w:i/>
                <w:iCs/>
                <w:position w:val="6"/>
                <w:sz w:val="16"/>
                <w:szCs w:val="16"/>
              </w:rPr>
              <w:t>Egreso</w:t>
            </w:r>
          </w:p>
        </w:tc>
        <w:tc>
          <w:tcPr>
            <w:tcW w:w="572" w:type="pct"/>
            <w:tcBorders>
              <w:top w:val="single" w:sz="6" w:space="0" w:color="auto"/>
              <w:left w:val="single" w:sz="6" w:space="0" w:color="auto"/>
              <w:bottom w:val="single" w:sz="6" w:space="0" w:color="auto"/>
              <w:right w:val="single" w:sz="6" w:space="0" w:color="auto"/>
            </w:tcBorders>
          </w:tcPr>
          <w:p w14:paraId="776F74EA" w14:textId="77777777"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b/>
                <w:bCs/>
                <w:i/>
                <w:iCs/>
                <w:position w:val="6"/>
                <w:sz w:val="16"/>
                <w:szCs w:val="16"/>
              </w:rPr>
              <w:t>Antigüedad</w:t>
            </w:r>
          </w:p>
        </w:tc>
        <w:tc>
          <w:tcPr>
            <w:tcW w:w="715" w:type="pct"/>
            <w:tcBorders>
              <w:top w:val="single" w:sz="6" w:space="0" w:color="auto"/>
              <w:left w:val="single" w:sz="6" w:space="0" w:color="auto"/>
              <w:bottom w:val="single" w:sz="6" w:space="0" w:color="auto"/>
              <w:right w:val="single" w:sz="6" w:space="0" w:color="auto"/>
            </w:tcBorders>
          </w:tcPr>
          <w:p w14:paraId="09E51DC3" w14:textId="77777777"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b/>
                <w:bCs/>
                <w:i/>
                <w:iCs/>
                <w:position w:val="6"/>
                <w:sz w:val="16"/>
                <w:szCs w:val="16"/>
              </w:rPr>
              <w:t>Nombramiento</w:t>
            </w:r>
          </w:p>
        </w:tc>
        <w:tc>
          <w:tcPr>
            <w:tcW w:w="327" w:type="pct"/>
            <w:tcBorders>
              <w:top w:val="single" w:sz="6" w:space="0" w:color="auto"/>
              <w:left w:val="single" w:sz="6" w:space="0" w:color="auto"/>
              <w:bottom w:val="single" w:sz="6" w:space="0" w:color="auto"/>
              <w:right w:val="single" w:sz="6" w:space="0" w:color="auto"/>
            </w:tcBorders>
          </w:tcPr>
          <w:p w14:paraId="35B372EB" w14:textId="77777777"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b/>
                <w:bCs/>
                <w:i/>
                <w:iCs/>
                <w:position w:val="6"/>
                <w:sz w:val="16"/>
                <w:szCs w:val="16"/>
              </w:rPr>
              <w:t>Hrs</w:t>
            </w:r>
          </w:p>
        </w:tc>
        <w:tc>
          <w:tcPr>
            <w:tcW w:w="887" w:type="pct"/>
            <w:tcBorders>
              <w:top w:val="single" w:sz="6" w:space="0" w:color="auto"/>
              <w:left w:val="single" w:sz="6" w:space="0" w:color="auto"/>
              <w:bottom w:val="single" w:sz="6" w:space="0" w:color="auto"/>
              <w:right w:val="single" w:sz="6" w:space="0" w:color="auto"/>
            </w:tcBorders>
          </w:tcPr>
          <w:p w14:paraId="404C7A3D" w14:textId="77777777" w:rsidR="00BD5454" w:rsidRPr="007512D0" w:rsidRDefault="00BD5454" w:rsidP="00EF25CF">
            <w:pPr>
              <w:widowControl w:val="0"/>
              <w:autoSpaceDE w:val="0"/>
              <w:autoSpaceDN w:val="0"/>
              <w:adjustRightInd w:val="0"/>
              <w:spacing w:before="492"/>
              <w:jc w:val="center"/>
              <w:rPr>
                <w:rFonts w:ascii="Arial" w:hAnsi="Arial" w:cs="Arial"/>
                <w:b/>
                <w:bCs/>
                <w:i/>
                <w:iCs/>
                <w:position w:val="6"/>
                <w:sz w:val="16"/>
                <w:szCs w:val="16"/>
              </w:rPr>
            </w:pPr>
            <w:r w:rsidRPr="007512D0">
              <w:rPr>
                <w:rFonts w:ascii="Arial" w:hAnsi="Arial" w:cs="Arial"/>
                <w:b/>
                <w:bCs/>
                <w:i/>
                <w:iCs/>
                <w:position w:val="6"/>
                <w:sz w:val="16"/>
                <w:szCs w:val="16"/>
              </w:rPr>
              <w:t>Materias</w:t>
            </w:r>
          </w:p>
        </w:tc>
        <w:tc>
          <w:tcPr>
            <w:tcW w:w="359" w:type="pct"/>
            <w:tcBorders>
              <w:top w:val="single" w:sz="6" w:space="0" w:color="auto"/>
              <w:left w:val="single" w:sz="6" w:space="0" w:color="auto"/>
              <w:bottom w:val="single" w:sz="6" w:space="0" w:color="auto"/>
              <w:right w:val="single" w:sz="6" w:space="0" w:color="auto"/>
            </w:tcBorders>
          </w:tcPr>
          <w:p w14:paraId="50FA39F8" w14:textId="77777777"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position w:val="6"/>
                <w:sz w:val="16"/>
                <w:szCs w:val="16"/>
              </w:rPr>
              <w:t>PEDPD</w:t>
            </w:r>
          </w:p>
        </w:tc>
        <w:tc>
          <w:tcPr>
            <w:tcW w:w="215" w:type="pct"/>
            <w:tcBorders>
              <w:top w:val="single" w:sz="6" w:space="0" w:color="auto"/>
              <w:left w:val="single" w:sz="6" w:space="0" w:color="auto"/>
              <w:bottom w:val="single" w:sz="6" w:space="0" w:color="auto"/>
              <w:right w:val="single" w:sz="6" w:space="0" w:color="auto"/>
            </w:tcBorders>
          </w:tcPr>
          <w:p w14:paraId="2A8EC7B2" w14:textId="77777777"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b/>
                <w:bCs/>
                <w:i/>
                <w:iCs/>
                <w:position w:val="6"/>
                <w:sz w:val="16"/>
                <w:szCs w:val="16"/>
              </w:rPr>
              <w:t>SNI</w:t>
            </w:r>
          </w:p>
        </w:tc>
        <w:tc>
          <w:tcPr>
            <w:tcW w:w="429" w:type="pct"/>
            <w:tcBorders>
              <w:top w:val="single" w:sz="6" w:space="0" w:color="auto"/>
              <w:left w:val="single" w:sz="6" w:space="0" w:color="auto"/>
              <w:bottom w:val="single" w:sz="6" w:space="0" w:color="auto"/>
              <w:right w:val="single" w:sz="6" w:space="0" w:color="auto"/>
            </w:tcBorders>
          </w:tcPr>
          <w:p w14:paraId="428FC105" w14:textId="77777777"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position w:val="6"/>
                <w:sz w:val="16"/>
                <w:szCs w:val="16"/>
              </w:rPr>
              <w:t>PRODEP</w:t>
            </w:r>
          </w:p>
        </w:tc>
        <w:tc>
          <w:tcPr>
            <w:tcW w:w="213" w:type="pct"/>
            <w:tcBorders>
              <w:top w:val="single" w:sz="6" w:space="0" w:color="auto"/>
              <w:left w:val="single" w:sz="6" w:space="0" w:color="auto"/>
              <w:bottom w:val="single" w:sz="6" w:space="0" w:color="auto"/>
              <w:right w:val="single" w:sz="6" w:space="0" w:color="auto"/>
            </w:tcBorders>
          </w:tcPr>
          <w:p w14:paraId="1FECAFFD" w14:textId="77777777"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position w:val="6"/>
                <w:sz w:val="16"/>
                <w:szCs w:val="16"/>
              </w:rPr>
              <w:t>C.A</w:t>
            </w:r>
          </w:p>
        </w:tc>
      </w:tr>
      <w:tr w:rsidR="00F17500" w:rsidRPr="007923C2" w14:paraId="2E3C626A" w14:textId="77777777" w:rsidTr="00F17500">
        <w:trPr>
          <w:trHeight w:val="861"/>
          <w:jc w:val="center"/>
        </w:trPr>
        <w:tc>
          <w:tcPr>
            <w:tcW w:w="552" w:type="pct"/>
            <w:tcBorders>
              <w:top w:val="single" w:sz="6" w:space="0" w:color="auto"/>
              <w:left w:val="single" w:sz="6" w:space="0" w:color="auto"/>
              <w:bottom w:val="single" w:sz="6" w:space="0" w:color="auto"/>
              <w:right w:val="single" w:sz="6" w:space="0" w:color="auto"/>
            </w:tcBorders>
          </w:tcPr>
          <w:p w14:paraId="62672E82" w14:textId="77777777" w:rsidR="00BD5454" w:rsidRPr="007512D0" w:rsidRDefault="00BD5454" w:rsidP="00EF25CF">
            <w:pPr>
              <w:widowControl w:val="0"/>
              <w:autoSpaceDE w:val="0"/>
              <w:autoSpaceDN w:val="0"/>
              <w:adjustRightInd w:val="0"/>
              <w:spacing w:before="203"/>
              <w:jc w:val="both"/>
              <w:rPr>
                <w:rFonts w:ascii="Arial" w:hAnsi="Arial" w:cs="Arial"/>
                <w:sz w:val="16"/>
                <w:szCs w:val="16"/>
              </w:rPr>
            </w:pPr>
            <w:r w:rsidRPr="007512D0">
              <w:rPr>
                <w:rFonts w:ascii="Arial" w:hAnsi="Arial" w:cs="Arial"/>
                <w:sz w:val="16"/>
                <w:szCs w:val="16"/>
              </w:rPr>
              <w:t>Martínez Amador Silvia Yudith</w:t>
            </w:r>
          </w:p>
        </w:tc>
        <w:tc>
          <w:tcPr>
            <w:tcW w:w="350" w:type="pct"/>
            <w:tcBorders>
              <w:top w:val="single" w:sz="6" w:space="0" w:color="auto"/>
              <w:left w:val="single" w:sz="6" w:space="0" w:color="auto"/>
              <w:bottom w:val="single" w:sz="6" w:space="0" w:color="auto"/>
              <w:right w:val="single" w:sz="6" w:space="0" w:color="auto"/>
            </w:tcBorders>
          </w:tcPr>
          <w:p w14:paraId="2B702AD6" w14:textId="77777777" w:rsidR="00BD5454" w:rsidRPr="007512D0" w:rsidRDefault="00BD5454" w:rsidP="00EF25CF">
            <w:pPr>
              <w:widowControl w:val="0"/>
              <w:autoSpaceDE w:val="0"/>
              <w:autoSpaceDN w:val="0"/>
              <w:adjustRightInd w:val="0"/>
              <w:spacing w:before="203"/>
              <w:jc w:val="both"/>
              <w:rPr>
                <w:rFonts w:ascii="Arial" w:hAnsi="Arial" w:cs="Arial"/>
                <w:sz w:val="16"/>
                <w:szCs w:val="16"/>
              </w:rPr>
            </w:pPr>
            <w:r w:rsidRPr="007512D0">
              <w:rPr>
                <w:rFonts w:ascii="Arial" w:hAnsi="Arial" w:cs="Arial"/>
                <w:sz w:val="16"/>
                <w:szCs w:val="16"/>
              </w:rPr>
              <w:t>DRA</w:t>
            </w:r>
          </w:p>
        </w:tc>
        <w:tc>
          <w:tcPr>
            <w:tcW w:w="381" w:type="pct"/>
            <w:tcBorders>
              <w:top w:val="single" w:sz="6" w:space="0" w:color="auto"/>
              <w:left w:val="single" w:sz="6" w:space="0" w:color="auto"/>
              <w:bottom w:val="single" w:sz="6" w:space="0" w:color="auto"/>
              <w:right w:val="single" w:sz="6" w:space="0" w:color="auto"/>
            </w:tcBorders>
          </w:tcPr>
          <w:p w14:paraId="09282604" w14:textId="77777777" w:rsidR="00BD5454" w:rsidRPr="007512D0" w:rsidRDefault="003F228F" w:rsidP="00EF25CF">
            <w:pPr>
              <w:widowControl w:val="0"/>
              <w:autoSpaceDE w:val="0"/>
              <w:autoSpaceDN w:val="0"/>
              <w:adjustRightInd w:val="0"/>
              <w:spacing w:before="203"/>
              <w:jc w:val="both"/>
              <w:rPr>
                <w:rFonts w:ascii="Arial" w:hAnsi="Arial" w:cs="Arial"/>
                <w:sz w:val="16"/>
                <w:szCs w:val="16"/>
              </w:rPr>
            </w:pPr>
            <w:r>
              <w:rPr>
                <w:rFonts w:ascii="Arial" w:hAnsi="Arial" w:cs="Arial"/>
                <w:sz w:val="16"/>
                <w:szCs w:val="16"/>
              </w:rPr>
              <w:t>UAdeC</w:t>
            </w:r>
          </w:p>
        </w:tc>
        <w:tc>
          <w:tcPr>
            <w:tcW w:w="572" w:type="pct"/>
            <w:tcBorders>
              <w:top w:val="single" w:sz="6" w:space="0" w:color="auto"/>
              <w:left w:val="single" w:sz="6" w:space="0" w:color="auto"/>
              <w:bottom w:val="single" w:sz="6" w:space="0" w:color="auto"/>
              <w:right w:val="single" w:sz="6" w:space="0" w:color="auto"/>
            </w:tcBorders>
          </w:tcPr>
          <w:p w14:paraId="64472BDC" w14:textId="034C302C" w:rsidR="00BD5454" w:rsidRPr="007512D0" w:rsidRDefault="00771A49" w:rsidP="00EF25CF">
            <w:pPr>
              <w:widowControl w:val="0"/>
              <w:autoSpaceDE w:val="0"/>
              <w:autoSpaceDN w:val="0"/>
              <w:adjustRightInd w:val="0"/>
              <w:spacing w:before="203"/>
              <w:jc w:val="both"/>
              <w:rPr>
                <w:rFonts w:ascii="Arial" w:hAnsi="Arial" w:cs="Arial"/>
                <w:sz w:val="16"/>
                <w:szCs w:val="16"/>
              </w:rPr>
            </w:pPr>
            <w:r>
              <w:rPr>
                <w:rFonts w:ascii="Arial" w:hAnsi="Arial" w:cs="Arial"/>
                <w:sz w:val="16"/>
                <w:szCs w:val="16"/>
              </w:rPr>
              <w:t>8</w:t>
            </w:r>
          </w:p>
        </w:tc>
        <w:tc>
          <w:tcPr>
            <w:tcW w:w="715" w:type="pct"/>
            <w:tcBorders>
              <w:top w:val="single" w:sz="6" w:space="0" w:color="auto"/>
              <w:left w:val="single" w:sz="6" w:space="0" w:color="auto"/>
              <w:bottom w:val="single" w:sz="6" w:space="0" w:color="auto"/>
              <w:right w:val="single" w:sz="6" w:space="0" w:color="auto"/>
            </w:tcBorders>
          </w:tcPr>
          <w:p w14:paraId="196A90E8" w14:textId="77777777" w:rsidR="00BD5454" w:rsidRPr="007512D0" w:rsidRDefault="00BD5454" w:rsidP="00EF25CF">
            <w:pPr>
              <w:widowControl w:val="0"/>
              <w:autoSpaceDE w:val="0"/>
              <w:autoSpaceDN w:val="0"/>
              <w:adjustRightInd w:val="0"/>
              <w:spacing w:before="203"/>
              <w:jc w:val="both"/>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2845E308" w14:textId="77777777" w:rsidR="00BD5454" w:rsidRPr="007512D0" w:rsidRDefault="00BD5454" w:rsidP="00EF25CF">
            <w:pPr>
              <w:widowControl w:val="0"/>
              <w:autoSpaceDE w:val="0"/>
              <w:autoSpaceDN w:val="0"/>
              <w:adjustRightInd w:val="0"/>
              <w:spacing w:before="203"/>
              <w:jc w:val="both"/>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1C238014" w14:textId="77777777" w:rsidR="00BD5454" w:rsidRPr="007512D0" w:rsidRDefault="00BD5454" w:rsidP="00C0729D">
            <w:pPr>
              <w:widowControl w:val="0"/>
              <w:tabs>
                <w:tab w:val="left" w:pos="8050"/>
              </w:tabs>
              <w:autoSpaceDE w:val="0"/>
              <w:autoSpaceDN w:val="0"/>
              <w:adjustRightInd w:val="0"/>
              <w:jc w:val="both"/>
              <w:rPr>
                <w:rFonts w:ascii="Arial" w:hAnsi="Arial" w:cs="Arial"/>
                <w:sz w:val="16"/>
                <w:szCs w:val="16"/>
              </w:rPr>
            </w:pPr>
            <w:r w:rsidRPr="007512D0">
              <w:rPr>
                <w:rFonts w:ascii="Arial" w:hAnsi="Arial" w:cs="Arial"/>
                <w:sz w:val="16"/>
                <w:szCs w:val="16"/>
              </w:rPr>
              <w:t xml:space="preserve">Biología, Taller de Investigacíon </w:t>
            </w:r>
            <w:r w:rsidR="00C0729D" w:rsidRPr="007512D0">
              <w:rPr>
                <w:rFonts w:ascii="Arial" w:hAnsi="Arial" w:cs="Arial"/>
                <w:sz w:val="16"/>
                <w:szCs w:val="16"/>
              </w:rPr>
              <w:t>I</w:t>
            </w:r>
            <w:r w:rsidRPr="007512D0">
              <w:rPr>
                <w:rFonts w:ascii="Arial" w:hAnsi="Arial" w:cs="Arial"/>
                <w:sz w:val="16"/>
                <w:szCs w:val="16"/>
              </w:rPr>
              <w:t xml:space="preserve"> y I</w:t>
            </w:r>
            <w:r w:rsidR="00C0729D" w:rsidRPr="007512D0">
              <w:rPr>
                <w:rFonts w:ascii="Arial" w:hAnsi="Arial" w:cs="Arial"/>
                <w:sz w:val="16"/>
                <w:szCs w:val="16"/>
              </w:rPr>
              <w:t>I, Biotecnología ambiental, Biología</w:t>
            </w:r>
            <w:r w:rsidR="00F51929">
              <w:rPr>
                <w:rFonts w:ascii="Arial" w:hAnsi="Arial" w:cs="Arial"/>
                <w:sz w:val="16"/>
                <w:szCs w:val="16"/>
              </w:rPr>
              <w:t xml:space="preserve"> molecular</w:t>
            </w:r>
            <w:r w:rsidR="00C0729D" w:rsidRPr="007512D0">
              <w:rPr>
                <w:rFonts w:ascii="Arial" w:hAnsi="Arial" w:cs="Arial"/>
                <w:sz w:val="16"/>
                <w:szCs w:val="16"/>
              </w:rPr>
              <w:t>, Fisiología</w:t>
            </w:r>
            <w:r w:rsidR="00F51929">
              <w:rPr>
                <w:rFonts w:ascii="Arial" w:hAnsi="Arial" w:cs="Arial"/>
                <w:sz w:val="16"/>
                <w:szCs w:val="16"/>
              </w:rPr>
              <w:t>veg.</w:t>
            </w:r>
          </w:p>
        </w:tc>
        <w:tc>
          <w:tcPr>
            <w:tcW w:w="359" w:type="pct"/>
            <w:tcBorders>
              <w:top w:val="single" w:sz="6" w:space="0" w:color="auto"/>
              <w:left w:val="single" w:sz="6" w:space="0" w:color="auto"/>
              <w:bottom w:val="single" w:sz="6" w:space="0" w:color="auto"/>
              <w:right w:val="single" w:sz="6" w:space="0" w:color="auto"/>
            </w:tcBorders>
          </w:tcPr>
          <w:p w14:paraId="18F52E66" w14:textId="77777777" w:rsidR="00BD5454" w:rsidRPr="007512D0" w:rsidRDefault="00BD5454" w:rsidP="00EF25CF">
            <w:pPr>
              <w:widowControl w:val="0"/>
              <w:autoSpaceDE w:val="0"/>
              <w:autoSpaceDN w:val="0"/>
              <w:adjustRightInd w:val="0"/>
              <w:spacing w:before="203"/>
              <w:jc w:val="both"/>
              <w:rPr>
                <w:rFonts w:ascii="Arial" w:hAnsi="Arial" w:cs="Arial"/>
                <w:sz w:val="16"/>
                <w:szCs w:val="16"/>
              </w:rPr>
            </w:pPr>
            <w:r w:rsidRPr="007512D0">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14:paraId="1101BC33" w14:textId="2BB36756" w:rsidR="00BD5454" w:rsidRPr="007512D0" w:rsidRDefault="00771A49" w:rsidP="00EF25CF">
            <w:pPr>
              <w:widowControl w:val="0"/>
              <w:autoSpaceDE w:val="0"/>
              <w:autoSpaceDN w:val="0"/>
              <w:adjustRightInd w:val="0"/>
              <w:spacing w:before="203"/>
              <w:jc w:val="both"/>
              <w:rPr>
                <w:rFonts w:ascii="Arial" w:hAnsi="Arial" w:cs="Arial"/>
                <w:sz w:val="16"/>
                <w:szCs w:val="16"/>
              </w:rPr>
            </w:pPr>
            <w:r>
              <w:rPr>
                <w:rFonts w:ascii="Arial" w:hAnsi="Arial" w:cs="Arial"/>
                <w:sz w:val="16"/>
                <w:szCs w:val="16"/>
              </w:rPr>
              <w:t>S</w:t>
            </w:r>
            <w:r w:rsidR="00F51929">
              <w:rPr>
                <w:rFonts w:ascii="Arial" w:hAnsi="Arial" w:cs="Arial"/>
                <w:sz w:val="16"/>
                <w:szCs w:val="16"/>
              </w:rPr>
              <w:t>i</w:t>
            </w:r>
          </w:p>
        </w:tc>
        <w:tc>
          <w:tcPr>
            <w:tcW w:w="429" w:type="pct"/>
            <w:tcBorders>
              <w:top w:val="single" w:sz="6" w:space="0" w:color="auto"/>
              <w:left w:val="single" w:sz="6" w:space="0" w:color="auto"/>
              <w:bottom w:val="single" w:sz="6" w:space="0" w:color="auto"/>
              <w:right w:val="single" w:sz="6" w:space="0" w:color="auto"/>
            </w:tcBorders>
          </w:tcPr>
          <w:p w14:paraId="0A9DAC66" w14:textId="77777777" w:rsidR="00BD5454" w:rsidRPr="007512D0" w:rsidRDefault="00BD5454" w:rsidP="00EF25CF">
            <w:pPr>
              <w:widowControl w:val="0"/>
              <w:autoSpaceDE w:val="0"/>
              <w:autoSpaceDN w:val="0"/>
              <w:adjustRightInd w:val="0"/>
              <w:spacing w:before="203"/>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14:paraId="5DEB7D8D" w14:textId="77777777" w:rsidR="00BD5454" w:rsidRPr="007512D0" w:rsidRDefault="00F51929" w:rsidP="00EF25CF">
            <w:pPr>
              <w:widowControl w:val="0"/>
              <w:autoSpaceDE w:val="0"/>
              <w:autoSpaceDN w:val="0"/>
              <w:adjustRightInd w:val="0"/>
              <w:spacing w:before="203"/>
              <w:jc w:val="both"/>
              <w:rPr>
                <w:rFonts w:ascii="Arial" w:hAnsi="Arial" w:cs="Arial"/>
                <w:sz w:val="16"/>
                <w:szCs w:val="16"/>
              </w:rPr>
            </w:pPr>
            <w:r>
              <w:rPr>
                <w:rFonts w:ascii="Arial" w:hAnsi="Arial" w:cs="Arial"/>
                <w:sz w:val="16"/>
                <w:szCs w:val="16"/>
              </w:rPr>
              <w:t>En proceso</w:t>
            </w:r>
          </w:p>
        </w:tc>
      </w:tr>
      <w:tr w:rsidR="00F17500" w:rsidRPr="007923C2" w14:paraId="77C093FA" w14:textId="77777777" w:rsidTr="00F17500">
        <w:trPr>
          <w:jc w:val="center"/>
        </w:trPr>
        <w:tc>
          <w:tcPr>
            <w:tcW w:w="552" w:type="pct"/>
            <w:tcBorders>
              <w:top w:val="single" w:sz="6" w:space="0" w:color="auto"/>
              <w:left w:val="single" w:sz="6" w:space="0" w:color="auto"/>
              <w:bottom w:val="single" w:sz="6" w:space="0" w:color="auto"/>
              <w:right w:val="single" w:sz="6" w:space="0" w:color="auto"/>
            </w:tcBorders>
          </w:tcPr>
          <w:p w14:paraId="5D984E54"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Comparan Sánchez Sofia  </w:t>
            </w:r>
          </w:p>
        </w:tc>
        <w:tc>
          <w:tcPr>
            <w:tcW w:w="350" w:type="pct"/>
            <w:tcBorders>
              <w:top w:val="single" w:sz="6" w:space="0" w:color="auto"/>
              <w:left w:val="single" w:sz="6" w:space="0" w:color="auto"/>
              <w:bottom w:val="single" w:sz="6" w:space="0" w:color="auto"/>
              <w:right w:val="single" w:sz="6" w:space="0" w:color="auto"/>
            </w:tcBorders>
          </w:tcPr>
          <w:p w14:paraId="3701D3D8"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M.C.</w:t>
            </w:r>
          </w:p>
        </w:tc>
        <w:tc>
          <w:tcPr>
            <w:tcW w:w="381" w:type="pct"/>
            <w:tcBorders>
              <w:top w:val="single" w:sz="6" w:space="0" w:color="auto"/>
              <w:left w:val="single" w:sz="6" w:space="0" w:color="auto"/>
              <w:bottom w:val="single" w:sz="6" w:space="0" w:color="auto"/>
              <w:right w:val="single" w:sz="6" w:space="0" w:color="auto"/>
            </w:tcBorders>
          </w:tcPr>
          <w:p w14:paraId="5C28CB73"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IBERO</w:t>
            </w:r>
          </w:p>
        </w:tc>
        <w:tc>
          <w:tcPr>
            <w:tcW w:w="572" w:type="pct"/>
            <w:tcBorders>
              <w:top w:val="single" w:sz="6" w:space="0" w:color="auto"/>
              <w:left w:val="single" w:sz="6" w:space="0" w:color="auto"/>
              <w:bottom w:val="single" w:sz="6" w:space="0" w:color="auto"/>
              <w:right w:val="single" w:sz="6" w:space="0" w:color="auto"/>
            </w:tcBorders>
          </w:tcPr>
          <w:p w14:paraId="2411EDA5" w14:textId="76281CA8" w:rsidR="00BD5454" w:rsidRPr="007512D0" w:rsidRDefault="00BD5454" w:rsidP="00771A49">
            <w:pPr>
              <w:widowControl w:val="0"/>
              <w:autoSpaceDE w:val="0"/>
              <w:autoSpaceDN w:val="0"/>
              <w:adjustRightInd w:val="0"/>
              <w:rPr>
                <w:rFonts w:ascii="Arial" w:hAnsi="Arial" w:cs="Arial"/>
                <w:sz w:val="16"/>
                <w:szCs w:val="16"/>
              </w:rPr>
            </w:pPr>
            <w:r w:rsidRPr="007512D0">
              <w:rPr>
                <w:rFonts w:ascii="Arial" w:hAnsi="Arial" w:cs="Arial"/>
                <w:sz w:val="16"/>
                <w:szCs w:val="16"/>
              </w:rPr>
              <w:t>3</w:t>
            </w:r>
            <w:r w:rsidR="00771A49">
              <w:rPr>
                <w:rFonts w:ascii="Arial" w:hAnsi="Arial" w:cs="Arial"/>
                <w:sz w:val="16"/>
                <w:szCs w:val="16"/>
              </w:rPr>
              <w:t>1</w:t>
            </w:r>
          </w:p>
        </w:tc>
        <w:tc>
          <w:tcPr>
            <w:tcW w:w="715" w:type="pct"/>
            <w:tcBorders>
              <w:top w:val="single" w:sz="6" w:space="0" w:color="auto"/>
              <w:left w:val="single" w:sz="6" w:space="0" w:color="auto"/>
              <w:bottom w:val="single" w:sz="6" w:space="0" w:color="auto"/>
              <w:right w:val="single" w:sz="6" w:space="0" w:color="auto"/>
            </w:tcBorders>
          </w:tcPr>
          <w:p w14:paraId="5ED697E0"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698D4A68"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6C6C7668" w14:textId="77777777" w:rsidR="00BD5454" w:rsidRPr="007512D0" w:rsidRDefault="00BD5454" w:rsidP="00EF25CF">
            <w:pPr>
              <w:widowControl w:val="0"/>
              <w:autoSpaceDE w:val="0"/>
              <w:autoSpaceDN w:val="0"/>
              <w:adjustRightInd w:val="0"/>
              <w:spacing w:before="143"/>
              <w:rPr>
                <w:rFonts w:ascii="Arial" w:hAnsi="Arial" w:cs="Arial"/>
                <w:sz w:val="16"/>
                <w:szCs w:val="16"/>
              </w:rPr>
            </w:pPr>
            <w:r w:rsidRPr="007512D0">
              <w:rPr>
                <w:rFonts w:ascii="Arial" w:hAnsi="Arial" w:cs="Arial"/>
                <w:sz w:val="16"/>
                <w:szCs w:val="16"/>
              </w:rPr>
              <w:t>Biología,</w:t>
            </w:r>
            <w:r w:rsidR="00C0729D" w:rsidRPr="007512D0">
              <w:rPr>
                <w:rFonts w:ascii="Arial" w:hAnsi="Arial" w:cs="Arial"/>
                <w:sz w:val="16"/>
                <w:szCs w:val="16"/>
              </w:rPr>
              <w:t xml:space="preserve"> Biología de las zonas áridas,</w:t>
            </w:r>
            <w:r w:rsidRPr="007512D0">
              <w:rPr>
                <w:rFonts w:ascii="Arial" w:hAnsi="Arial" w:cs="Arial"/>
                <w:sz w:val="16"/>
                <w:szCs w:val="16"/>
              </w:rPr>
              <w:t xml:space="preserve"> Contaminación</w:t>
            </w:r>
          </w:p>
          <w:p w14:paraId="180772F0" w14:textId="77777777" w:rsidR="00BD5454" w:rsidRPr="007512D0" w:rsidRDefault="00BD5454" w:rsidP="00C0729D">
            <w:pPr>
              <w:widowControl w:val="0"/>
              <w:autoSpaceDE w:val="0"/>
              <w:autoSpaceDN w:val="0"/>
              <w:adjustRightInd w:val="0"/>
              <w:spacing w:before="143"/>
              <w:rPr>
                <w:rFonts w:ascii="Arial" w:hAnsi="Arial" w:cs="Arial"/>
                <w:sz w:val="16"/>
                <w:szCs w:val="16"/>
              </w:rPr>
            </w:pPr>
            <w:r w:rsidRPr="007512D0">
              <w:rPr>
                <w:rFonts w:ascii="Arial" w:hAnsi="Arial" w:cs="Arial"/>
                <w:sz w:val="16"/>
                <w:szCs w:val="16"/>
              </w:rPr>
              <w:t>Ambiental ; Biología de la Reproducción</w:t>
            </w:r>
            <w:r w:rsidR="00C0729D" w:rsidRPr="007512D0">
              <w:rPr>
                <w:rFonts w:ascii="Arial" w:hAnsi="Arial" w:cs="Arial"/>
                <w:sz w:val="16"/>
                <w:szCs w:val="16"/>
              </w:rPr>
              <w:t>, Educación ambiental, Botánica</w:t>
            </w:r>
          </w:p>
        </w:tc>
        <w:tc>
          <w:tcPr>
            <w:tcW w:w="359" w:type="pct"/>
            <w:tcBorders>
              <w:top w:val="single" w:sz="6" w:space="0" w:color="auto"/>
              <w:left w:val="single" w:sz="6" w:space="0" w:color="auto"/>
              <w:bottom w:val="single" w:sz="6" w:space="0" w:color="auto"/>
              <w:right w:val="single" w:sz="6" w:space="0" w:color="auto"/>
            </w:tcBorders>
          </w:tcPr>
          <w:p w14:paraId="70D11E1A" w14:textId="77777777"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14:paraId="217CBF23" w14:textId="5FA3D337" w:rsidR="00BD5454" w:rsidRPr="007512D0" w:rsidRDefault="00771A49"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14:paraId="49BD6693" w14:textId="77777777"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14:paraId="0214EC79" w14:textId="77777777" w:rsidR="00BD5454" w:rsidRPr="007512D0" w:rsidRDefault="00F51929"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r>
      <w:tr w:rsidR="00F17500" w:rsidRPr="007923C2" w14:paraId="2FB3493C" w14:textId="77777777" w:rsidTr="00F17500">
        <w:trPr>
          <w:jc w:val="center"/>
        </w:trPr>
        <w:tc>
          <w:tcPr>
            <w:tcW w:w="552" w:type="pct"/>
            <w:tcBorders>
              <w:top w:val="single" w:sz="6" w:space="0" w:color="auto"/>
              <w:left w:val="single" w:sz="6" w:space="0" w:color="auto"/>
              <w:bottom w:val="single" w:sz="6" w:space="0" w:color="auto"/>
              <w:right w:val="single" w:sz="6" w:space="0" w:color="auto"/>
            </w:tcBorders>
          </w:tcPr>
          <w:p w14:paraId="31F9DC9A"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Villarreal Quintanilla José Angel </w:t>
            </w:r>
          </w:p>
        </w:tc>
        <w:tc>
          <w:tcPr>
            <w:tcW w:w="350" w:type="pct"/>
            <w:tcBorders>
              <w:top w:val="single" w:sz="6" w:space="0" w:color="auto"/>
              <w:left w:val="single" w:sz="6" w:space="0" w:color="auto"/>
              <w:bottom w:val="single" w:sz="6" w:space="0" w:color="auto"/>
              <w:right w:val="single" w:sz="6" w:space="0" w:color="auto"/>
            </w:tcBorders>
          </w:tcPr>
          <w:p w14:paraId="5990D763"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DR.</w:t>
            </w:r>
          </w:p>
        </w:tc>
        <w:tc>
          <w:tcPr>
            <w:tcW w:w="381" w:type="pct"/>
            <w:tcBorders>
              <w:top w:val="single" w:sz="6" w:space="0" w:color="auto"/>
              <w:left w:val="single" w:sz="6" w:space="0" w:color="auto"/>
              <w:bottom w:val="single" w:sz="6" w:space="0" w:color="auto"/>
              <w:right w:val="single" w:sz="6" w:space="0" w:color="auto"/>
            </w:tcBorders>
          </w:tcPr>
          <w:p w14:paraId="24A3C9D5"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UAAAN</w:t>
            </w:r>
          </w:p>
        </w:tc>
        <w:tc>
          <w:tcPr>
            <w:tcW w:w="572" w:type="pct"/>
            <w:tcBorders>
              <w:top w:val="single" w:sz="6" w:space="0" w:color="auto"/>
              <w:left w:val="single" w:sz="6" w:space="0" w:color="auto"/>
              <w:bottom w:val="single" w:sz="6" w:space="0" w:color="auto"/>
              <w:right w:val="single" w:sz="6" w:space="0" w:color="auto"/>
            </w:tcBorders>
          </w:tcPr>
          <w:p w14:paraId="3A82B431"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35</w:t>
            </w:r>
          </w:p>
        </w:tc>
        <w:tc>
          <w:tcPr>
            <w:tcW w:w="715" w:type="pct"/>
            <w:tcBorders>
              <w:top w:val="single" w:sz="6" w:space="0" w:color="auto"/>
              <w:left w:val="single" w:sz="6" w:space="0" w:color="auto"/>
              <w:bottom w:val="single" w:sz="6" w:space="0" w:color="auto"/>
              <w:right w:val="single" w:sz="6" w:space="0" w:color="auto"/>
            </w:tcBorders>
          </w:tcPr>
          <w:p w14:paraId="43477E0A"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28BB0EFD"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2B3AD315"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Biología, Botánica I, Botánica II;  Botánica Sistemática; Botánica Forestal,; Taller de Investigación I; Botánica General;</w:t>
            </w:r>
          </w:p>
        </w:tc>
        <w:tc>
          <w:tcPr>
            <w:tcW w:w="359" w:type="pct"/>
            <w:tcBorders>
              <w:top w:val="single" w:sz="6" w:space="0" w:color="auto"/>
              <w:left w:val="single" w:sz="6" w:space="0" w:color="auto"/>
              <w:bottom w:val="single" w:sz="6" w:space="0" w:color="auto"/>
              <w:right w:val="single" w:sz="6" w:space="0" w:color="auto"/>
            </w:tcBorders>
          </w:tcPr>
          <w:p w14:paraId="0AC097EF"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14:paraId="1991745C" w14:textId="0DB52CCA" w:rsidR="00BD5454" w:rsidRPr="007512D0" w:rsidRDefault="00771A49"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w:t>
            </w:r>
            <w:r w:rsidR="00BD5454" w:rsidRPr="007512D0">
              <w:rPr>
                <w:rFonts w:ascii="Arial" w:hAnsi="Arial" w:cs="Arial"/>
                <w:sz w:val="16"/>
                <w:szCs w:val="16"/>
              </w:rPr>
              <w:t>i</w:t>
            </w:r>
          </w:p>
        </w:tc>
        <w:tc>
          <w:tcPr>
            <w:tcW w:w="429" w:type="pct"/>
            <w:tcBorders>
              <w:top w:val="single" w:sz="6" w:space="0" w:color="auto"/>
              <w:left w:val="single" w:sz="6" w:space="0" w:color="auto"/>
              <w:bottom w:val="single" w:sz="6" w:space="0" w:color="auto"/>
              <w:right w:val="single" w:sz="6" w:space="0" w:color="auto"/>
            </w:tcBorders>
          </w:tcPr>
          <w:p w14:paraId="7C299A4D"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14:paraId="6311749B" w14:textId="77777777" w:rsidR="00BD5454" w:rsidRPr="007512D0" w:rsidRDefault="00F51929"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w:t>
            </w:r>
            <w:r w:rsidR="00BD5454" w:rsidRPr="007512D0">
              <w:rPr>
                <w:rFonts w:ascii="Arial" w:hAnsi="Arial" w:cs="Arial"/>
                <w:sz w:val="16"/>
                <w:szCs w:val="16"/>
              </w:rPr>
              <w:t>i</w:t>
            </w:r>
          </w:p>
        </w:tc>
      </w:tr>
      <w:tr w:rsidR="00F17500" w:rsidRPr="007923C2" w14:paraId="1984A219" w14:textId="77777777" w:rsidTr="00F17500">
        <w:trPr>
          <w:jc w:val="center"/>
        </w:trPr>
        <w:tc>
          <w:tcPr>
            <w:tcW w:w="552" w:type="pct"/>
            <w:tcBorders>
              <w:top w:val="single" w:sz="6" w:space="0" w:color="auto"/>
              <w:left w:val="single" w:sz="6" w:space="0" w:color="auto"/>
              <w:bottom w:val="single" w:sz="6" w:space="0" w:color="auto"/>
              <w:right w:val="single" w:sz="6" w:space="0" w:color="auto"/>
            </w:tcBorders>
          </w:tcPr>
          <w:p w14:paraId="0C0D3DFE"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Valdés Reyna Jesús</w:t>
            </w:r>
          </w:p>
        </w:tc>
        <w:tc>
          <w:tcPr>
            <w:tcW w:w="350" w:type="pct"/>
            <w:tcBorders>
              <w:top w:val="single" w:sz="6" w:space="0" w:color="auto"/>
              <w:left w:val="single" w:sz="6" w:space="0" w:color="auto"/>
              <w:bottom w:val="single" w:sz="6" w:space="0" w:color="auto"/>
              <w:right w:val="single" w:sz="6" w:space="0" w:color="auto"/>
            </w:tcBorders>
          </w:tcPr>
          <w:p w14:paraId="730FFFC7"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DR.</w:t>
            </w:r>
          </w:p>
        </w:tc>
        <w:tc>
          <w:tcPr>
            <w:tcW w:w="381" w:type="pct"/>
            <w:tcBorders>
              <w:top w:val="single" w:sz="6" w:space="0" w:color="auto"/>
              <w:left w:val="single" w:sz="6" w:space="0" w:color="auto"/>
              <w:bottom w:val="single" w:sz="6" w:space="0" w:color="auto"/>
              <w:right w:val="single" w:sz="6" w:space="0" w:color="auto"/>
            </w:tcBorders>
          </w:tcPr>
          <w:p w14:paraId="47D47293"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Texas &amp; AM</w:t>
            </w:r>
          </w:p>
        </w:tc>
        <w:tc>
          <w:tcPr>
            <w:tcW w:w="572" w:type="pct"/>
            <w:tcBorders>
              <w:top w:val="single" w:sz="6" w:space="0" w:color="auto"/>
              <w:left w:val="single" w:sz="6" w:space="0" w:color="auto"/>
              <w:bottom w:val="single" w:sz="6" w:space="0" w:color="auto"/>
              <w:right w:val="single" w:sz="6" w:space="0" w:color="auto"/>
            </w:tcBorders>
          </w:tcPr>
          <w:p w14:paraId="3C3C3FDA"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39</w:t>
            </w:r>
          </w:p>
        </w:tc>
        <w:tc>
          <w:tcPr>
            <w:tcW w:w="715" w:type="pct"/>
            <w:tcBorders>
              <w:top w:val="single" w:sz="6" w:space="0" w:color="auto"/>
              <w:left w:val="single" w:sz="6" w:space="0" w:color="auto"/>
              <w:bottom w:val="single" w:sz="6" w:space="0" w:color="auto"/>
              <w:right w:val="single" w:sz="6" w:space="0" w:color="auto"/>
            </w:tcBorders>
          </w:tcPr>
          <w:p w14:paraId="6E6A6EDA"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042B872D"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14ED8512" w14:textId="77777777" w:rsidR="00BD5454" w:rsidRPr="007512D0" w:rsidRDefault="00BD5454" w:rsidP="00C64ED7">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 xml:space="preserve">Botánica General;  </w:t>
            </w:r>
            <w:r w:rsidR="00C64ED7" w:rsidRPr="007512D0">
              <w:rPr>
                <w:rFonts w:ascii="Arial" w:hAnsi="Arial" w:cs="Arial"/>
                <w:sz w:val="16"/>
                <w:szCs w:val="16"/>
              </w:rPr>
              <w:t>Biodiversidad</w:t>
            </w:r>
            <w:r w:rsidRPr="007512D0">
              <w:rPr>
                <w:rFonts w:ascii="Arial" w:hAnsi="Arial" w:cs="Arial"/>
                <w:sz w:val="16"/>
                <w:szCs w:val="16"/>
              </w:rPr>
              <w:t>; Agrostologia; Ecología II; Evolución Orgánica; Biología de Zonas Áridas</w:t>
            </w:r>
          </w:p>
        </w:tc>
        <w:tc>
          <w:tcPr>
            <w:tcW w:w="359" w:type="pct"/>
            <w:tcBorders>
              <w:top w:val="single" w:sz="6" w:space="0" w:color="auto"/>
              <w:left w:val="single" w:sz="6" w:space="0" w:color="auto"/>
              <w:bottom w:val="single" w:sz="6" w:space="0" w:color="auto"/>
              <w:right w:val="single" w:sz="6" w:space="0" w:color="auto"/>
            </w:tcBorders>
          </w:tcPr>
          <w:p w14:paraId="7716AE18"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14:paraId="3C21D584" w14:textId="32023CDB" w:rsidR="00BD5454" w:rsidRPr="007512D0" w:rsidRDefault="00771A49"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w:t>
            </w:r>
            <w:r w:rsidR="00BD5454" w:rsidRPr="007512D0">
              <w:rPr>
                <w:rFonts w:ascii="Arial" w:hAnsi="Arial" w:cs="Arial"/>
                <w:sz w:val="16"/>
                <w:szCs w:val="16"/>
              </w:rPr>
              <w:t>i</w:t>
            </w:r>
          </w:p>
        </w:tc>
        <w:tc>
          <w:tcPr>
            <w:tcW w:w="429" w:type="pct"/>
            <w:tcBorders>
              <w:top w:val="single" w:sz="6" w:space="0" w:color="auto"/>
              <w:left w:val="single" w:sz="6" w:space="0" w:color="auto"/>
              <w:bottom w:val="single" w:sz="6" w:space="0" w:color="auto"/>
              <w:right w:val="single" w:sz="6" w:space="0" w:color="auto"/>
            </w:tcBorders>
          </w:tcPr>
          <w:p w14:paraId="7908FA19"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14:paraId="686F866B" w14:textId="77777777" w:rsidR="00BD5454" w:rsidRPr="007512D0" w:rsidRDefault="00F51929"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w:t>
            </w:r>
            <w:r w:rsidR="00BD5454" w:rsidRPr="007512D0">
              <w:rPr>
                <w:rFonts w:ascii="Arial" w:hAnsi="Arial" w:cs="Arial"/>
                <w:sz w:val="16"/>
                <w:szCs w:val="16"/>
              </w:rPr>
              <w:t>i</w:t>
            </w:r>
          </w:p>
        </w:tc>
      </w:tr>
      <w:tr w:rsidR="00F17500" w:rsidRPr="007923C2" w14:paraId="05AA9049" w14:textId="77777777" w:rsidTr="00F17500">
        <w:trPr>
          <w:jc w:val="center"/>
        </w:trPr>
        <w:tc>
          <w:tcPr>
            <w:tcW w:w="552" w:type="pct"/>
            <w:tcBorders>
              <w:top w:val="single" w:sz="6" w:space="0" w:color="auto"/>
              <w:left w:val="single" w:sz="6" w:space="0" w:color="auto"/>
              <w:bottom w:val="single" w:sz="6" w:space="0" w:color="auto"/>
              <w:right w:val="single" w:sz="6" w:space="0" w:color="auto"/>
            </w:tcBorders>
          </w:tcPr>
          <w:p w14:paraId="104B49CA"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lastRenderedPageBreak/>
              <w:t>Pérez Mata Sergio</w:t>
            </w:r>
          </w:p>
        </w:tc>
        <w:tc>
          <w:tcPr>
            <w:tcW w:w="350" w:type="pct"/>
            <w:tcBorders>
              <w:top w:val="single" w:sz="6" w:space="0" w:color="auto"/>
              <w:left w:val="single" w:sz="6" w:space="0" w:color="auto"/>
              <w:bottom w:val="single" w:sz="6" w:space="0" w:color="auto"/>
              <w:right w:val="single" w:sz="6" w:space="0" w:color="auto"/>
            </w:tcBorders>
          </w:tcPr>
          <w:p w14:paraId="335A8068" w14:textId="77777777" w:rsidR="00BD5454" w:rsidRPr="007512D0" w:rsidRDefault="00F51929" w:rsidP="00EF25CF">
            <w:pPr>
              <w:widowControl w:val="0"/>
              <w:autoSpaceDE w:val="0"/>
              <w:autoSpaceDN w:val="0"/>
              <w:adjustRightInd w:val="0"/>
              <w:spacing w:before="150"/>
              <w:jc w:val="both"/>
              <w:rPr>
                <w:rFonts w:ascii="Arial" w:hAnsi="Arial" w:cs="Arial"/>
                <w:sz w:val="16"/>
                <w:szCs w:val="16"/>
              </w:rPr>
            </w:pPr>
            <w:r>
              <w:rPr>
                <w:rFonts w:ascii="Arial" w:hAnsi="Arial" w:cs="Arial"/>
                <w:sz w:val="16"/>
                <w:szCs w:val="16"/>
              </w:rPr>
              <w:t>Lic.en Biología</w:t>
            </w:r>
          </w:p>
        </w:tc>
        <w:tc>
          <w:tcPr>
            <w:tcW w:w="381" w:type="pct"/>
            <w:tcBorders>
              <w:top w:val="single" w:sz="6" w:space="0" w:color="auto"/>
              <w:left w:val="single" w:sz="6" w:space="0" w:color="auto"/>
              <w:bottom w:val="single" w:sz="6" w:space="0" w:color="auto"/>
              <w:right w:val="single" w:sz="6" w:space="0" w:color="auto"/>
            </w:tcBorders>
          </w:tcPr>
          <w:p w14:paraId="31FCEE33"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UANE</w:t>
            </w:r>
          </w:p>
        </w:tc>
        <w:tc>
          <w:tcPr>
            <w:tcW w:w="572" w:type="pct"/>
            <w:tcBorders>
              <w:top w:val="single" w:sz="6" w:space="0" w:color="auto"/>
              <w:left w:val="single" w:sz="6" w:space="0" w:color="auto"/>
              <w:bottom w:val="single" w:sz="6" w:space="0" w:color="auto"/>
              <w:right w:val="single" w:sz="6" w:space="0" w:color="auto"/>
            </w:tcBorders>
          </w:tcPr>
          <w:p w14:paraId="4F4ADAE4" w14:textId="59D8434C" w:rsidR="00BD5454" w:rsidRPr="007512D0" w:rsidRDefault="00BD5454" w:rsidP="00771A49">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3</w:t>
            </w:r>
            <w:r w:rsidR="00771A49">
              <w:rPr>
                <w:rFonts w:ascii="Arial" w:hAnsi="Arial" w:cs="Arial"/>
                <w:sz w:val="16"/>
                <w:szCs w:val="16"/>
              </w:rPr>
              <w:t>9</w:t>
            </w:r>
          </w:p>
        </w:tc>
        <w:tc>
          <w:tcPr>
            <w:tcW w:w="715" w:type="pct"/>
            <w:tcBorders>
              <w:top w:val="single" w:sz="6" w:space="0" w:color="auto"/>
              <w:left w:val="single" w:sz="6" w:space="0" w:color="auto"/>
              <w:bottom w:val="single" w:sz="6" w:space="0" w:color="auto"/>
              <w:right w:val="single" w:sz="6" w:space="0" w:color="auto"/>
            </w:tcBorders>
          </w:tcPr>
          <w:p w14:paraId="05BC37CC"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20B52DDB"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61ACEC7E" w14:textId="77777777" w:rsidR="00BD5454" w:rsidRPr="007512D0" w:rsidRDefault="00BD5454" w:rsidP="00C64ED7">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Botánica General, Fisiología Vegetal; Fisiología Animal Comparada</w:t>
            </w:r>
            <w:r w:rsidR="00C64ED7" w:rsidRPr="007512D0">
              <w:rPr>
                <w:rFonts w:ascii="Arial" w:hAnsi="Arial" w:cs="Arial"/>
                <w:sz w:val="16"/>
                <w:szCs w:val="16"/>
              </w:rPr>
              <w:t>.</w:t>
            </w:r>
          </w:p>
        </w:tc>
        <w:tc>
          <w:tcPr>
            <w:tcW w:w="359" w:type="pct"/>
            <w:tcBorders>
              <w:top w:val="single" w:sz="6" w:space="0" w:color="auto"/>
              <w:left w:val="single" w:sz="6" w:space="0" w:color="auto"/>
              <w:bottom w:val="single" w:sz="6" w:space="0" w:color="auto"/>
              <w:right w:val="single" w:sz="6" w:space="0" w:color="auto"/>
            </w:tcBorders>
          </w:tcPr>
          <w:p w14:paraId="41F997FB"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14:paraId="1F485BD7" w14:textId="6E33EBF8" w:rsidR="00BD5454" w:rsidRPr="007512D0" w:rsidRDefault="00771A49"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14:paraId="35F810E9"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no</w:t>
            </w:r>
          </w:p>
        </w:tc>
        <w:tc>
          <w:tcPr>
            <w:tcW w:w="213" w:type="pct"/>
            <w:tcBorders>
              <w:top w:val="single" w:sz="6" w:space="0" w:color="auto"/>
              <w:left w:val="single" w:sz="6" w:space="0" w:color="auto"/>
              <w:bottom w:val="single" w:sz="6" w:space="0" w:color="auto"/>
              <w:right w:val="single" w:sz="6" w:space="0" w:color="auto"/>
            </w:tcBorders>
          </w:tcPr>
          <w:p w14:paraId="08AD9144" w14:textId="77777777" w:rsidR="00BD5454" w:rsidRPr="007512D0" w:rsidRDefault="00F51929"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r>
      <w:tr w:rsidR="00F17500" w:rsidRPr="007923C2" w14:paraId="215A51F6" w14:textId="77777777" w:rsidTr="00F17500">
        <w:trPr>
          <w:jc w:val="center"/>
        </w:trPr>
        <w:tc>
          <w:tcPr>
            <w:tcW w:w="552" w:type="pct"/>
            <w:tcBorders>
              <w:top w:val="single" w:sz="6" w:space="0" w:color="auto"/>
              <w:left w:val="single" w:sz="6" w:space="0" w:color="auto"/>
              <w:bottom w:val="single" w:sz="6" w:space="0" w:color="auto"/>
              <w:right w:val="single" w:sz="6" w:space="0" w:color="auto"/>
            </w:tcBorders>
          </w:tcPr>
          <w:p w14:paraId="7B6DE4EE"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 xml:space="preserve"> Pérez    </w:t>
            </w:r>
          </w:p>
          <w:p w14:paraId="41F4894E"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Miguel Angel</w:t>
            </w:r>
          </w:p>
        </w:tc>
        <w:tc>
          <w:tcPr>
            <w:tcW w:w="350" w:type="pct"/>
            <w:tcBorders>
              <w:top w:val="single" w:sz="6" w:space="0" w:color="auto"/>
              <w:left w:val="single" w:sz="6" w:space="0" w:color="auto"/>
              <w:bottom w:val="single" w:sz="6" w:space="0" w:color="auto"/>
              <w:right w:val="single" w:sz="6" w:space="0" w:color="auto"/>
            </w:tcBorders>
          </w:tcPr>
          <w:p w14:paraId="5D443F24"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DR</w:t>
            </w:r>
          </w:p>
        </w:tc>
        <w:tc>
          <w:tcPr>
            <w:tcW w:w="381" w:type="pct"/>
            <w:tcBorders>
              <w:top w:val="single" w:sz="6" w:space="0" w:color="auto"/>
              <w:left w:val="single" w:sz="6" w:space="0" w:color="auto"/>
              <w:bottom w:val="single" w:sz="6" w:space="0" w:color="auto"/>
              <w:right w:val="single" w:sz="6" w:space="0" w:color="auto"/>
            </w:tcBorders>
          </w:tcPr>
          <w:p w14:paraId="1E371EB3" w14:textId="77777777" w:rsidR="00BD5454" w:rsidRPr="007512D0" w:rsidRDefault="00F51929" w:rsidP="00EF25CF">
            <w:pPr>
              <w:widowControl w:val="0"/>
              <w:autoSpaceDE w:val="0"/>
              <w:autoSpaceDN w:val="0"/>
              <w:adjustRightInd w:val="0"/>
              <w:spacing w:before="150"/>
              <w:jc w:val="both"/>
              <w:rPr>
                <w:rFonts w:ascii="Arial" w:hAnsi="Arial" w:cs="Arial"/>
                <w:sz w:val="16"/>
                <w:szCs w:val="16"/>
              </w:rPr>
            </w:pPr>
            <w:r>
              <w:rPr>
                <w:rFonts w:ascii="Arial" w:hAnsi="Arial" w:cs="Arial"/>
                <w:sz w:val="16"/>
                <w:szCs w:val="16"/>
              </w:rPr>
              <w:t>IPN Tams.</w:t>
            </w:r>
          </w:p>
        </w:tc>
        <w:tc>
          <w:tcPr>
            <w:tcW w:w="572" w:type="pct"/>
            <w:tcBorders>
              <w:top w:val="single" w:sz="6" w:space="0" w:color="auto"/>
              <w:left w:val="single" w:sz="6" w:space="0" w:color="auto"/>
              <w:bottom w:val="single" w:sz="6" w:space="0" w:color="auto"/>
              <w:right w:val="single" w:sz="6" w:space="0" w:color="auto"/>
            </w:tcBorders>
          </w:tcPr>
          <w:p w14:paraId="43A16B9B" w14:textId="77777777" w:rsidR="00BD5454" w:rsidRPr="007512D0" w:rsidRDefault="00F51929" w:rsidP="00EF25CF">
            <w:pPr>
              <w:widowControl w:val="0"/>
              <w:autoSpaceDE w:val="0"/>
              <w:autoSpaceDN w:val="0"/>
              <w:adjustRightInd w:val="0"/>
              <w:spacing w:before="150"/>
              <w:jc w:val="both"/>
              <w:rPr>
                <w:rFonts w:ascii="Arial" w:hAnsi="Arial" w:cs="Arial"/>
                <w:sz w:val="16"/>
                <w:szCs w:val="16"/>
              </w:rPr>
            </w:pPr>
            <w:r>
              <w:rPr>
                <w:rFonts w:ascii="Arial" w:hAnsi="Arial" w:cs="Arial"/>
                <w:sz w:val="16"/>
                <w:szCs w:val="16"/>
              </w:rPr>
              <w:t>2</w:t>
            </w:r>
          </w:p>
        </w:tc>
        <w:tc>
          <w:tcPr>
            <w:tcW w:w="715" w:type="pct"/>
            <w:tcBorders>
              <w:top w:val="single" w:sz="6" w:space="0" w:color="auto"/>
              <w:left w:val="single" w:sz="6" w:space="0" w:color="auto"/>
              <w:bottom w:val="single" w:sz="6" w:space="0" w:color="auto"/>
              <w:right w:val="single" w:sz="6" w:space="0" w:color="auto"/>
            </w:tcBorders>
          </w:tcPr>
          <w:p w14:paraId="22A9E417" w14:textId="77777777" w:rsidR="00BD5454" w:rsidRPr="007512D0" w:rsidRDefault="00BD5454" w:rsidP="00F51929">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 xml:space="preserve">TC </w:t>
            </w:r>
          </w:p>
        </w:tc>
        <w:tc>
          <w:tcPr>
            <w:tcW w:w="327" w:type="pct"/>
            <w:tcBorders>
              <w:top w:val="single" w:sz="6" w:space="0" w:color="auto"/>
              <w:left w:val="single" w:sz="6" w:space="0" w:color="auto"/>
              <w:bottom w:val="single" w:sz="6" w:space="0" w:color="auto"/>
              <w:right w:val="single" w:sz="6" w:space="0" w:color="auto"/>
            </w:tcBorders>
          </w:tcPr>
          <w:p w14:paraId="6AA00478" w14:textId="77777777" w:rsidR="00BD5454" w:rsidRPr="007512D0" w:rsidRDefault="00C64ED7"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17D85FB0"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Biol Molecular, Botánica Gral, Sistemas biológicos, Ecología gral.</w:t>
            </w:r>
          </w:p>
        </w:tc>
        <w:tc>
          <w:tcPr>
            <w:tcW w:w="359" w:type="pct"/>
            <w:tcBorders>
              <w:top w:val="single" w:sz="6" w:space="0" w:color="auto"/>
              <w:left w:val="single" w:sz="6" w:space="0" w:color="auto"/>
              <w:bottom w:val="single" w:sz="6" w:space="0" w:color="auto"/>
              <w:right w:val="single" w:sz="6" w:space="0" w:color="auto"/>
            </w:tcBorders>
          </w:tcPr>
          <w:p w14:paraId="62DBB296"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no</w:t>
            </w:r>
          </w:p>
        </w:tc>
        <w:tc>
          <w:tcPr>
            <w:tcW w:w="215" w:type="pct"/>
            <w:tcBorders>
              <w:top w:val="single" w:sz="6" w:space="0" w:color="auto"/>
              <w:left w:val="single" w:sz="6" w:space="0" w:color="auto"/>
              <w:bottom w:val="single" w:sz="6" w:space="0" w:color="auto"/>
              <w:right w:val="single" w:sz="6" w:space="0" w:color="auto"/>
            </w:tcBorders>
          </w:tcPr>
          <w:p w14:paraId="215F018E" w14:textId="1BBC5DCB" w:rsidR="00BD5454" w:rsidRPr="007512D0" w:rsidRDefault="00771A49"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S</w:t>
            </w:r>
            <w:r w:rsidR="00BD5454" w:rsidRPr="007512D0">
              <w:rPr>
                <w:rFonts w:ascii="Arial" w:hAnsi="Arial" w:cs="Arial"/>
                <w:sz w:val="16"/>
                <w:szCs w:val="16"/>
              </w:rPr>
              <w:t>i</w:t>
            </w:r>
          </w:p>
        </w:tc>
        <w:tc>
          <w:tcPr>
            <w:tcW w:w="429" w:type="pct"/>
            <w:tcBorders>
              <w:top w:val="single" w:sz="6" w:space="0" w:color="auto"/>
              <w:left w:val="single" w:sz="6" w:space="0" w:color="auto"/>
              <w:bottom w:val="single" w:sz="6" w:space="0" w:color="auto"/>
              <w:right w:val="single" w:sz="6" w:space="0" w:color="auto"/>
            </w:tcBorders>
          </w:tcPr>
          <w:p w14:paraId="54CB6EFD"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si</w:t>
            </w:r>
          </w:p>
          <w:p w14:paraId="1B6DC7EA" w14:textId="77777777" w:rsidR="00BD5454" w:rsidRPr="007512D0" w:rsidRDefault="00BD5454" w:rsidP="00EF25CF">
            <w:pPr>
              <w:widowControl w:val="0"/>
              <w:autoSpaceDE w:val="0"/>
              <w:autoSpaceDN w:val="0"/>
              <w:adjustRightInd w:val="0"/>
              <w:spacing w:before="150"/>
              <w:jc w:val="both"/>
              <w:rPr>
                <w:rFonts w:ascii="Arial" w:hAnsi="Arial" w:cs="Arial"/>
                <w:sz w:val="16"/>
                <w:szCs w:val="16"/>
              </w:rPr>
            </w:pPr>
          </w:p>
        </w:tc>
        <w:tc>
          <w:tcPr>
            <w:tcW w:w="213" w:type="pct"/>
            <w:tcBorders>
              <w:top w:val="single" w:sz="6" w:space="0" w:color="auto"/>
              <w:left w:val="single" w:sz="6" w:space="0" w:color="auto"/>
              <w:bottom w:val="single" w:sz="6" w:space="0" w:color="auto"/>
              <w:right w:val="single" w:sz="6" w:space="0" w:color="auto"/>
            </w:tcBorders>
          </w:tcPr>
          <w:p w14:paraId="5D9B13FA" w14:textId="77777777" w:rsidR="00BD5454" w:rsidRPr="007512D0" w:rsidRDefault="00C64ED7"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No</w:t>
            </w:r>
          </w:p>
        </w:tc>
      </w:tr>
      <w:tr w:rsidR="00F17500" w:rsidRPr="007923C2" w14:paraId="7B10B4AD" w14:textId="77777777" w:rsidTr="00F17500">
        <w:trPr>
          <w:jc w:val="center"/>
        </w:trPr>
        <w:tc>
          <w:tcPr>
            <w:tcW w:w="552" w:type="pct"/>
            <w:tcBorders>
              <w:top w:val="single" w:sz="6" w:space="0" w:color="auto"/>
              <w:left w:val="single" w:sz="6" w:space="0" w:color="auto"/>
              <w:bottom w:val="single" w:sz="6" w:space="0" w:color="auto"/>
              <w:right w:val="single" w:sz="6" w:space="0" w:color="auto"/>
            </w:tcBorders>
          </w:tcPr>
          <w:p w14:paraId="210712AD" w14:textId="77777777"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González Mendez Laura Ma</w:t>
            </w:r>
          </w:p>
        </w:tc>
        <w:tc>
          <w:tcPr>
            <w:tcW w:w="350" w:type="pct"/>
            <w:tcBorders>
              <w:top w:val="single" w:sz="6" w:space="0" w:color="auto"/>
              <w:left w:val="single" w:sz="6" w:space="0" w:color="auto"/>
              <w:bottom w:val="single" w:sz="6" w:space="0" w:color="auto"/>
              <w:right w:val="single" w:sz="6" w:space="0" w:color="auto"/>
            </w:tcBorders>
          </w:tcPr>
          <w:p w14:paraId="27643531" w14:textId="77777777"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M.C.</w:t>
            </w:r>
          </w:p>
        </w:tc>
        <w:tc>
          <w:tcPr>
            <w:tcW w:w="381" w:type="pct"/>
            <w:tcBorders>
              <w:top w:val="single" w:sz="6" w:space="0" w:color="auto"/>
              <w:left w:val="single" w:sz="6" w:space="0" w:color="auto"/>
              <w:bottom w:val="single" w:sz="6" w:space="0" w:color="auto"/>
              <w:right w:val="single" w:sz="6" w:space="0" w:color="auto"/>
            </w:tcBorders>
          </w:tcPr>
          <w:p w14:paraId="4A595112" w14:textId="77777777"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UAG</w:t>
            </w:r>
          </w:p>
        </w:tc>
        <w:tc>
          <w:tcPr>
            <w:tcW w:w="572" w:type="pct"/>
            <w:tcBorders>
              <w:top w:val="single" w:sz="6" w:space="0" w:color="auto"/>
              <w:left w:val="single" w:sz="6" w:space="0" w:color="auto"/>
              <w:bottom w:val="single" w:sz="6" w:space="0" w:color="auto"/>
              <w:right w:val="single" w:sz="6" w:space="0" w:color="auto"/>
            </w:tcBorders>
          </w:tcPr>
          <w:p w14:paraId="5F880930" w14:textId="3F5D1902" w:rsidR="00BD5454" w:rsidRPr="007512D0" w:rsidRDefault="00BD5454" w:rsidP="00771A49">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2</w:t>
            </w:r>
            <w:r w:rsidR="00771A49">
              <w:rPr>
                <w:rFonts w:ascii="Arial" w:hAnsi="Arial" w:cs="Arial"/>
                <w:sz w:val="16"/>
                <w:szCs w:val="16"/>
              </w:rPr>
              <w:t>3</w:t>
            </w:r>
          </w:p>
        </w:tc>
        <w:tc>
          <w:tcPr>
            <w:tcW w:w="715" w:type="pct"/>
            <w:tcBorders>
              <w:top w:val="single" w:sz="6" w:space="0" w:color="auto"/>
              <w:left w:val="single" w:sz="6" w:space="0" w:color="auto"/>
              <w:bottom w:val="single" w:sz="6" w:space="0" w:color="auto"/>
              <w:right w:val="single" w:sz="6" w:space="0" w:color="auto"/>
            </w:tcBorders>
          </w:tcPr>
          <w:p w14:paraId="00D554A0" w14:textId="77777777"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131C3DF8" w14:textId="77777777"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3D81FD48" w14:textId="77777777" w:rsidR="00BD5454" w:rsidRPr="007512D0" w:rsidRDefault="00BD5454" w:rsidP="00C64ED7">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Botánica General, Anatomia</w:t>
            </w:r>
            <w:r w:rsidR="00C64ED7" w:rsidRPr="007512D0">
              <w:rPr>
                <w:rFonts w:ascii="Arial" w:hAnsi="Arial" w:cs="Arial"/>
                <w:sz w:val="16"/>
                <w:szCs w:val="16"/>
              </w:rPr>
              <w:t xml:space="preserve"> e</w:t>
            </w:r>
            <w:r w:rsidRPr="007512D0">
              <w:rPr>
                <w:rFonts w:ascii="Arial" w:hAnsi="Arial" w:cs="Arial"/>
                <w:sz w:val="16"/>
                <w:szCs w:val="16"/>
              </w:rPr>
              <w:t xml:space="preserve"> Histología Vegetal, </w:t>
            </w:r>
            <w:r w:rsidR="00C64ED7" w:rsidRPr="007512D0">
              <w:rPr>
                <w:rFonts w:ascii="Arial" w:hAnsi="Arial" w:cs="Arial"/>
                <w:sz w:val="16"/>
                <w:szCs w:val="16"/>
              </w:rPr>
              <w:t>Fisiología vegetal.</w:t>
            </w:r>
          </w:p>
        </w:tc>
        <w:tc>
          <w:tcPr>
            <w:tcW w:w="359" w:type="pct"/>
            <w:tcBorders>
              <w:top w:val="single" w:sz="6" w:space="0" w:color="auto"/>
              <w:left w:val="single" w:sz="6" w:space="0" w:color="auto"/>
              <w:bottom w:val="single" w:sz="6" w:space="0" w:color="auto"/>
              <w:right w:val="single" w:sz="6" w:space="0" w:color="auto"/>
            </w:tcBorders>
          </w:tcPr>
          <w:p w14:paraId="3EDE7C40" w14:textId="77777777"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14:paraId="7851712C" w14:textId="77777777"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no</w:t>
            </w:r>
          </w:p>
        </w:tc>
        <w:tc>
          <w:tcPr>
            <w:tcW w:w="429" w:type="pct"/>
            <w:tcBorders>
              <w:top w:val="single" w:sz="6" w:space="0" w:color="auto"/>
              <w:left w:val="single" w:sz="6" w:space="0" w:color="auto"/>
              <w:bottom w:val="single" w:sz="6" w:space="0" w:color="auto"/>
              <w:right w:val="single" w:sz="6" w:space="0" w:color="auto"/>
            </w:tcBorders>
          </w:tcPr>
          <w:p w14:paraId="676FA197" w14:textId="77777777"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no</w:t>
            </w:r>
          </w:p>
        </w:tc>
        <w:tc>
          <w:tcPr>
            <w:tcW w:w="213" w:type="pct"/>
            <w:tcBorders>
              <w:top w:val="single" w:sz="6" w:space="0" w:color="auto"/>
              <w:left w:val="single" w:sz="6" w:space="0" w:color="auto"/>
              <w:bottom w:val="single" w:sz="6" w:space="0" w:color="auto"/>
              <w:right w:val="single" w:sz="6" w:space="0" w:color="auto"/>
            </w:tcBorders>
          </w:tcPr>
          <w:p w14:paraId="4096FA64" w14:textId="389D3717" w:rsidR="00BD5454" w:rsidRPr="007512D0" w:rsidRDefault="00771A49" w:rsidP="00EF25CF">
            <w:pPr>
              <w:widowControl w:val="0"/>
              <w:autoSpaceDE w:val="0"/>
              <w:autoSpaceDN w:val="0"/>
              <w:adjustRightInd w:val="0"/>
              <w:spacing w:before="143"/>
              <w:jc w:val="both"/>
              <w:rPr>
                <w:rFonts w:ascii="Arial" w:hAnsi="Arial" w:cs="Arial"/>
                <w:sz w:val="16"/>
                <w:szCs w:val="16"/>
              </w:rPr>
            </w:pPr>
            <w:r>
              <w:rPr>
                <w:rFonts w:ascii="Arial" w:hAnsi="Arial" w:cs="Arial"/>
                <w:sz w:val="16"/>
                <w:szCs w:val="16"/>
              </w:rPr>
              <w:t>En proceso</w:t>
            </w:r>
          </w:p>
        </w:tc>
      </w:tr>
      <w:tr w:rsidR="00F17500" w:rsidRPr="007923C2" w14:paraId="0828705F" w14:textId="77777777" w:rsidTr="00F17500">
        <w:trPr>
          <w:jc w:val="center"/>
        </w:trPr>
        <w:tc>
          <w:tcPr>
            <w:tcW w:w="552" w:type="pct"/>
            <w:tcBorders>
              <w:top w:val="single" w:sz="6" w:space="0" w:color="auto"/>
              <w:left w:val="single" w:sz="6" w:space="0" w:color="auto"/>
              <w:bottom w:val="single" w:sz="6" w:space="0" w:color="auto"/>
              <w:right w:val="single" w:sz="6" w:space="0" w:color="auto"/>
            </w:tcBorders>
          </w:tcPr>
          <w:p w14:paraId="4AF055B2"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Pérez Cuellar Silvia</w:t>
            </w:r>
          </w:p>
        </w:tc>
        <w:tc>
          <w:tcPr>
            <w:tcW w:w="350" w:type="pct"/>
            <w:tcBorders>
              <w:top w:val="single" w:sz="6" w:space="0" w:color="auto"/>
              <w:left w:val="single" w:sz="6" w:space="0" w:color="auto"/>
              <w:bottom w:val="single" w:sz="6" w:space="0" w:color="auto"/>
              <w:right w:val="single" w:sz="6" w:space="0" w:color="auto"/>
            </w:tcBorders>
          </w:tcPr>
          <w:p w14:paraId="01146975" w14:textId="77777777" w:rsidR="00BD5454" w:rsidRPr="007512D0" w:rsidRDefault="00F51929" w:rsidP="00EF25CF">
            <w:pPr>
              <w:widowControl w:val="0"/>
              <w:autoSpaceDE w:val="0"/>
              <w:autoSpaceDN w:val="0"/>
              <w:adjustRightInd w:val="0"/>
              <w:rPr>
                <w:rFonts w:ascii="Arial" w:hAnsi="Arial" w:cs="Arial"/>
                <w:sz w:val="16"/>
                <w:szCs w:val="16"/>
              </w:rPr>
            </w:pPr>
            <w:r>
              <w:rPr>
                <w:rFonts w:ascii="Arial" w:hAnsi="Arial" w:cs="Arial"/>
                <w:sz w:val="16"/>
                <w:szCs w:val="16"/>
              </w:rPr>
              <w:t xml:space="preserve">Lic. En </w:t>
            </w:r>
            <w:r w:rsidR="00BD5454" w:rsidRPr="007512D0">
              <w:rPr>
                <w:rFonts w:ascii="Arial" w:hAnsi="Arial" w:cs="Arial"/>
                <w:sz w:val="16"/>
                <w:szCs w:val="16"/>
              </w:rPr>
              <w:t>BIOL.</w:t>
            </w:r>
          </w:p>
        </w:tc>
        <w:tc>
          <w:tcPr>
            <w:tcW w:w="381" w:type="pct"/>
            <w:tcBorders>
              <w:top w:val="single" w:sz="6" w:space="0" w:color="auto"/>
              <w:left w:val="single" w:sz="6" w:space="0" w:color="auto"/>
              <w:bottom w:val="single" w:sz="6" w:space="0" w:color="auto"/>
              <w:right w:val="single" w:sz="6" w:space="0" w:color="auto"/>
            </w:tcBorders>
          </w:tcPr>
          <w:p w14:paraId="071E4E2D"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ICCAC</w:t>
            </w:r>
          </w:p>
        </w:tc>
        <w:tc>
          <w:tcPr>
            <w:tcW w:w="572" w:type="pct"/>
            <w:tcBorders>
              <w:top w:val="single" w:sz="6" w:space="0" w:color="auto"/>
              <w:left w:val="single" w:sz="6" w:space="0" w:color="auto"/>
              <w:bottom w:val="single" w:sz="6" w:space="0" w:color="auto"/>
              <w:right w:val="single" w:sz="6" w:space="0" w:color="auto"/>
            </w:tcBorders>
          </w:tcPr>
          <w:p w14:paraId="30A9CF52"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715" w:type="pct"/>
            <w:tcBorders>
              <w:top w:val="single" w:sz="6" w:space="0" w:color="auto"/>
              <w:left w:val="single" w:sz="6" w:space="0" w:color="auto"/>
              <w:bottom w:val="single" w:sz="6" w:space="0" w:color="auto"/>
              <w:right w:val="single" w:sz="6" w:space="0" w:color="auto"/>
            </w:tcBorders>
          </w:tcPr>
          <w:p w14:paraId="7D8339E4"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2E50D1C2"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6D8BCD53"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Botánica General; Ecología General;</w:t>
            </w:r>
          </w:p>
        </w:tc>
        <w:tc>
          <w:tcPr>
            <w:tcW w:w="359" w:type="pct"/>
            <w:tcBorders>
              <w:top w:val="single" w:sz="6" w:space="0" w:color="auto"/>
              <w:left w:val="single" w:sz="6" w:space="0" w:color="auto"/>
              <w:bottom w:val="single" w:sz="6" w:space="0" w:color="auto"/>
              <w:right w:val="single" w:sz="6" w:space="0" w:color="auto"/>
            </w:tcBorders>
          </w:tcPr>
          <w:p w14:paraId="2750DECB"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si</w:t>
            </w:r>
            <w:r w:rsidRPr="007512D0">
              <w:rPr>
                <w:rFonts w:ascii="Arial" w:hAnsi="Arial" w:cs="Arial"/>
                <w:sz w:val="16"/>
                <w:szCs w:val="16"/>
              </w:rPr>
              <w:tab/>
            </w:r>
            <w:r w:rsidRPr="007512D0">
              <w:rPr>
                <w:rFonts w:ascii="Arial" w:hAnsi="Arial" w:cs="Arial"/>
                <w:sz w:val="16"/>
                <w:szCs w:val="16"/>
              </w:rPr>
              <w:tab/>
            </w:r>
          </w:p>
        </w:tc>
        <w:tc>
          <w:tcPr>
            <w:tcW w:w="215" w:type="pct"/>
            <w:tcBorders>
              <w:top w:val="single" w:sz="6" w:space="0" w:color="auto"/>
              <w:left w:val="single" w:sz="6" w:space="0" w:color="auto"/>
              <w:bottom w:val="single" w:sz="6" w:space="0" w:color="auto"/>
              <w:right w:val="single" w:sz="6" w:space="0" w:color="auto"/>
            </w:tcBorders>
          </w:tcPr>
          <w:p w14:paraId="647FCC1D" w14:textId="1E5FDC6B" w:rsidR="00BD5454" w:rsidRPr="007512D0" w:rsidRDefault="00771A49" w:rsidP="00EF25CF">
            <w:pPr>
              <w:widowControl w:val="0"/>
              <w:autoSpaceDE w:val="0"/>
              <w:autoSpaceDN w:val="0"/>
              <w:adjustRightInd w:val="0"/>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14:paraId="15C6617C"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no</w:t>
            </w:r>
          </w:p>
        </w:tc>
        <w:tc>
          <w:tcPr>
            <w:tcW w:w="213" w:type="pct"/>
            <w:tcBorders>
              <w:top w:val="single" w:sz="6" w:space="0" w:color="auto"/>
              <w:left w:val="single" w:sz="6" w:space="0" w:color="auto"/>
              <w:bottom w:val="single" w:sz="6" w:space="0" w:color="auto"/>
              <w:right w:val="single" w:sz="6" w:space="0" w:color="auto"/>
            </w:tcBorders>
          </w:tcPr>
          <w:p w14:paraId="76968991" w14:textId="77777777" w:rsidR="00BD5454" w:rsidRPr="007512D0" w:rsidRDefault="00C64ED7" w:rsidP="00EF25CF">
            <w:pPr>
              <w:widowControl w:val="0"/>
              <w:autoSpaceDE w:val="0"/>
              <w:autoSpaceDN w:val="0"/>
              <w:adjustRightInd w:val="0"/>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r>
      <w:tr w:rsidR="00F17500" w:rsidRPr="007923C2" w14:paraId="77560336" w14:textId="77777777" w:rsidTr="00F17500">
        <w:trPr>
          <w:trHeight w:val="679"/>
          <w:jc w:val="center"/>
        </w:trPr>
        <w:tc>
          <w:tcPr>
            <w:tcW w:w="552" w:type="pct"/>
            <w:tcBorders>
              <w:top w:val="single" w:sz="6" w:space="0" w:color="auto"/>
              <w:left w:val="single" w:sz="6" w:space="0" w:color="auto"/>
              <w:bottom w:val="single" w:sz="6" w:space="0" w:color="auto"/>
              <w:right w:val="single" w:sz="6" w:space="0" w:color="auto"/>
            </w:tcBorders>
          </w:tcPr>
          <w:p w14:paraId="126BA72F"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Vazquez Rodriguez</w:t>
            </w:r>
          </w:p>
          <w:p w14:paraId="46F9722B"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Martha </w:t>
            </w:r>
          </w:p>
        </w:tc>
        <w:tc>
          <w:tcPr>
            <w:tcW w:w="350" w:type="pct"/>
            <w:tcBorders>
              <w:top w:val="single" w:sz="6" w:space="0" w:color="auto"/>
              <w:left w:val="single" w:sz="6" w:space="0" w:color="auto"/>
              <w:bottom w:val="single" w:sz="6" w:space="0" w:color="auto"/>
              <w:right w:val="single" w:sz="6" w:space="0" w:color="auto"/>
            </w:tcBorders>
          </w:tcPr>
          <w:p w14:paraId="6A9DA905"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M.C. </w:t>
            </w:r>
          </w:p>
        </w:tc>
        <w:tc>
          <w:tcPr>
            <w:tcW w:w="381" w:type="pct"/>
            <w:tcBorders>
              <w:top w:val="single" w:sz="6" w:space="0" w:color="auto"/>
              <w:left w:val="single" w:sz="6" w:space="0" w:color="auto"/>
              <w:bottom w:val="single" w:sz="6" w:space="0" w:color="auto"/>
              <w:right w:val="single" w:sz="6" w:space="0" w:color="auto"/>
            </w:tcBorders>
          </w:tcPr>
          <w:p w14:paraId="3D6A1702"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UAAAN</w:t>
            </w:r>
          </w:p>
        </w:tc>
        <w:tc>
          <w:tcPr>
            <w:tcW w:w="572" w:type="pct"/>
            <w:tcBorders>
              <w:top w:val="single" w:sz="6" w:space="0" w:color="auto"/>
              <w:left w:val="single" w:sz="6" w:space="0" w:color="auto"/>
              <w:bottom w:val="single" w:sz="6" w:space="0" w:color="auto"/>
              <w:right w:val="single" w:sz="6" w:space="0" w:color="auto"/>
            </w:tcBorders>
          </w:tcPr>
          <w:p w14:paraId="2A017AAD"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35</w:t>
            </w:r>
          </w:p>
        </w:tc>
        <w:tc>
          <w:tcPr>
            <w:tcW w:w="715" w:type="pct"/>
            <w:tcBorders>
              <w:top w:val="single" w:sz="6" w:space="0" w:color="auto"/>
              <w:left w:val="single" w:sz="6" w:space="0" w:color="auto"/>
              <w:bottom w:val="single" w:sz="6" w:space="0" w:color="auto"/>
              <w:right w:val="single" w:sz="6" w:space="0" w:color="auto"/>
            </w:tcBorders>
          </w:tcPr>
          <w:p w14:paraId="15CBF540"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4C8C46C8"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3C8438C7"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Botánica General;  fisiología vegetal, Botánica Sistemática;</w:t>
            </w:r>
          </w:p>
        </w:tc>
        <w:tc>
          <w:tcPr>
            <w:tcW w:w="359" w:type="pct"/>
            <w:tcBorders>
              <w:top w:val="single" w:sz="6" w:space="0" w:color="auto"/>
              <w:left w:val="single" w:sz="6" w:space="0" w:color="auto"/>
              <w:bottom w:val="single" w:sz="6" w:space="0" w:color="auto"/>
              <w:right w:val="single" w:sz="6" w:space="0" w:color="auto"/>
            </w:tcBorders>
          </w:tcPr>
          <w:p w14:paraId="37830721" w14:textId="77777777" w:rsidR="00BD5454" w:rsidRPr="007512D0" w:rsidRDefault="00BD5454" w:rsidP="00EF25CF">
            <w:pPr>
              <w:widowControl w:val="0"/>
              <w:autoSpaceDE w:val="0"/>
              <w:autoSpaceDN w:val="0"/>
              <w:adjustRightInd w:val="0"/>
              <w:spacing w:before="152"/>
              <w:jc w:val="both"/>
              <w:rPr>
                <w:rFonts w:ascii="Arial" w:hAnsi="Arial" w:cs="Arial"/>
                <w:sz w:val="16"/>
                <w:szCs w:val="16"/>
              </w:rPr>
            </w:pPr>
            <w:r w:rsidRPr="007512D0">
              <w:rPr>
                <w:rFonts w:ascii="Arial" w:hAnsi="Arial" w:cs="Arial"/>
                <w:sz w:val="16"/>
                <w:szCs w:val="16"/>
              </w:rPr>
              <w:t>si</w:t>
            </w:r>
            <w:r w:rsidRPr="007512D0">
              <w:rPr>
                <w:rFonts w:ascii="Arial" w:hAnsi="Arial" w:cs="Arial"/>
                <w:sz w:val="16"/>
                <w:szCs w:val="16"/>
              </w:rPr>
              <w:tab/>
            </w:r>
          </w:p>
        </w:tc>
        <w:tc>
          <w:tcPr>
            <w:tcW w:w="215" w:type="pct"/>
            <w:tcBorders>
              <w:top w:val="single" w:sz="6" w:space="0" w:color="auto"/>
              <w:left w:val="single" w:sz="6" w:space="0" w:color="auto"/>
              <w:bottom w:val="single" w:sz="6" w:space="0" w:color="auto"/>
              <w:right w:val="single" w:sz="6" w:space="0" w:color="auto"/>
            </w:tcBorders>
          </w:tcPr>
          <w:p w14:paraId="38B558DA" w14:textId="7FB41B5D" w:rsidR="00BD5454" w:rsidRPr="007512D0" w:rsidRDefault="00771A49" w:rsidP="00EF25CF">
            <w:pPr>
              <w:widowControl w:val="0"/>
              <w:autoSpaceDE w:val="0"/>
              <w:autoSpaceDN w:val="0"/>
              <w:adjustRightInd w:val="0"/>
              <w:spacing w:before="152"/>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14:paraId="201E7133" w14:textId="77777777" w:rsidR="00BD5454" w:rsidRPr="007512D0" w:rsidRDefault="00BD5454" w:rsidP="00EF25CF">
            <w:pPr>
              <w:widowControl w:val="0"/>
              <w:autoSpaceDE w:val="0"/>
              <w:autoSpaceDN w:val="0"/>
              <w:adjustRightInd w:val="0"/>
              <w:spacing w:before="152"/>
              <w:jc w:val="both"/>
              <w:rPr>
                <w:rFonts w:ascii="Arial" w:hAnsi="Arial" w:cs="Arial"/>
                <w:sz w:val="16"/>
                <w:szCs w:val="16"/>
              </w:rPr>
            </w:pPr>
            <w:r w:rsidRPr="007512D0">
              <w:rPr>
                <w:rFonts w:ascii="Arial" w:hAnsi="Arial" w:cs="Arial"/>
                <w:sz w:val="16"/>
                <w:szCs w:val="16"/>
              </w:rPr>
              <w:t>no</w:t>
            </w:r>
          </w:p>
        </w:tc>
        <w:tc>
          <w:tcPr>
            <w:tcW w:w="213" w:type="pct"/>
            <w:tcBorders>
              <w:top w:val="single" w:sz="6" w:space="0" w:color="auto"/>
              <w:left w:val="single" w:sz="6" w:space="0" w:color="auto"/>
              <w:bottom w:val="single" w:sz="6" w:space="0" w:color="auto"/>
              <w:right w:val="single" w:sz="6" w:space="0" w:color="auto"/>
            </w:tcBorders>
          </w:tcPr>
          <w:p w14:paraId="4AE96860" w14:textId="77777777" w:rsidR="00BD5454" w:rsidRPr="007512D0" w:rsidRDefault="00BD5454" w:rsidP="00EF25CF">
            <w:pPr>
              <w:widowControl w:val="0"/>
              <w:autoSpaceDE w:val="0"/>
              <w:autoSpaceDN w:val="0"/>
              <w:adjustRightInd w:val="0"/>
              <w:spacing w:before="152"/>
              <w:jc w:val="both"/>
              <w:rPr>
                <w:rFonts w:ascii="Arial" w:hAnsi="Arial" w:cs="Arial"/>
                <w:sz w:val="16"/>
                <w:szCs w:val="16"/>
              </w:rPr>
            </w:pPr>
            <w:r w:rsidRPr="007512D0">
              <w:rPr>
                <w:rFonts w:ascii="Arial" w:hAnsi="Arial" w:cs="Arial"/>
                <w:sz w:val="16"/>
                <w:szCs w:val="16"/>
              </w:rPr>
              <w:t>no</w:t>
            </w:r>
          </w:p>
        </w:tc>
      </w:tr>
      <w:tr w:rsidR="00F17500" w:rsidRPr="007923C2" w14:paraId="69B84684" w14:textId="77777777" w:rsidTr="00F17500">
        <w:trPr>
          <w:jc w:val="center"/>
        </w:trPr>
        <w:tc>
          <w:tcPr>
            <w:tcW w:w="552" w:type="pct"/>
            <w:tcBorders>
              <w:top w:val="single" w:sz="6" w:space="0" w:color="auto"/>
              <w:left w:val="single" w:sz="6" w:space="0" w:color="auto"/>
              <w:bottom w:val="single" w:sz="6" w:space="0" w:color="auto"/>
              <w:right w:val="single" w:sz="6" w:space="0" w:color="auto"/>
            </w:tcBorders>
          </w:tcPr>
          <w:p w14:paraId="39C634BD"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Ruiz De León Ma. Teresa </w:t>
            </w:r>
          </w:p>
        </w:tc>
        <w:tc>
          <w:tcPr>
            <w:tcW w:w="350" w:type="pct"/>
            <w:tcBorders>
              <w:top w:val="single" w:sz="6" w:space="0" w:color="auto"/>
              <w:left w:val="single" w:sz="6" w:space="0" w:color="auto"/>
              <w:bottom w:val="single" w:sz="6" w:space="0" w:color="auto"/>
              <w:right w:val="single" w:sz="6" w:space="0" w:color="auto"/>
            </w:tcBorders>
          </w:tcPr>
          <w:p w14:paraId="03E215E6"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M.C</w:t>
            </w:r>
          </w:p>
        </w:tc>
        <w:tc>
          <w:tcPr>
            <w:tcW w:w="381" w:type="pct"/>
            <w:tcBorders>
              <w:top w:val="single" w:sz="6" w:space="0" w:color="auto"/>
              <w:left w:val="single" w:sz="6" w:space="0" w:color="auto"/>
              <w:bottom w:val="single" w:sz="6" w:space="0" w:color="auto"/>
              <w:right w:val="single" w:sz="6" w:space="0" w:color="auto"/>
            </w:tcBorders>
          </w:tcPr>
          <w:p w14:paraId="136EC6DD"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UAAAN</w:t>
            </w:r>
          </w:p>
        </w:tc>
        <w:tc>
          <w:tcPr>
            <w:tcW w:w="572" w:type="pct"/>
            <w:tcBorders>
              <w:top w:val="single" w:sz="6" w:space="0" w:color="auto"/>
              <w:left w:val="single" w:sz="6" w:space="0" w:color="auto"/>
              <w:bottom w:val="single" w:sz="6" w:space="0" w:color="auto"/>
              <w:right w:val="single" w:sz="6" w:space="0" w:color="auto"/>
            </w:tcBorders>
          </w:tcPr>
          <w:p w14:paraId="1BCFC981"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35</w:t>
            </w:r>
          </w:p>
        </w:tc>
        <w:tc>
          <w:tcPr>
            <w:tcW w:w="715" w:type="pct"/>
            <w:tcBorders>
              <w:top w:val="single" w:sz="6" w:space="0" w:color="auto"/>
              <w:left w:val="single" w:sz="6" w:space="0" w:color="auto"/>
              <w:bottom w:val="single" w:sz="6" w:space="0" w:color="auto"/>
              <w:right w:val="single" w:sz="6" w:space="0" w:color="auto"/>
            </w:tcBorders>
          </w:tcPr>
          <w:p w14:paraId="0D721CB4"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6DC3D9C3"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0D860CC6" w14:textId="77777777" w:rsidR="00BD5454" w:rsidRPr="007512D0" w:rsidRDefault="00BD5454" w:rsidP="00C64ED7">
            <w:pPr>
              <w:widowControl w:val="0"/>
              <w:autoSpaceDE w:val="0"/>
              <w:autoSpaceDN w:val="0"/>
              <w:adjustRightInd w:val="0"/>
              <w:rPr>
                <w:rFonts w:ascii="Arial" w:hAnsi="Arial" w:cs="Arial"/>
                <w:sz w:val="16"/>
                <w:szCs w:val="16"/>
              </w:rPr>
            </w:pPr>
            <w:r w:rsidRPr="007512D0">
              <w:rPr>
                <w:rFonts w:ascii="Arial" w:hAnsi="Arial" w:cs="Arial"/>
                <w:sz w:val="16"/>
                <w:szCs w:val="16"/>
              </w:rPr>
              <w:t>Botánica General, Ecología general, Botánica I</w:t>
            </w:r>
            <w:r w:rsidR="00C64ED7" w:rsidRPr="007512D0">
              <w:rPr>
                <w:rFonts w:ascii="Arial" w:hAnsi="Arial" w:cs="Arial"/>
                <w:sz w:val="16"/>
                <w:szCs w:val="16"/>
              </w:rPr>
              <w:t>, Biología Botánica.</w:t>
            </w:r>
          </w:p>
        </w:tc>
        <w:tc>
          <w:tcPr>
            <w:tcW w:w="359" w:type="pct"/>
            <w:tcBorders>
              <w:top w:val="single" w:sz="6" w:space="0" w:color="auto"/>
              <w:left w:val="single" w:sz="6" w:space="0" w:color="auto"/>
              <w:bottom w:val="single" w:sz="6" w:space="0" w:color="auto"/>
              <w:right w:val="single" w:sz="6" w:space="0" w:color="auto"/>
            </w:tcBorders>
          </w:tcPr>
          <w:p w14:paraId="6AA4B004"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si</w:t>
            </w:r>
            <w:r w:rsidRPr="007512D0">
              <w:rPr>
                <w:rFonts w:ascii="Arial" w:hAnsi="Arial" w:cs="Arial"/>
                <w:sz w:val="16"/>
                <w:szCs w:val="16"/>
              </w:rPr>
              <w:tab/>
            </w:r>
            <w:r w:rsidRPr="007512D0">
              <w:rPr>
                <w:rFonts w:ascii="Arial" w:hAnsi="Arial" w:cs="Arial"/>
                <w:sz w:val="16"/>
                <w:szCs w:val="16"/>
              </w:rPr>
              <w:tab/>
            </w:r>
          </w:p>
        </w:tc>
        <w:tc>
          <w:tcPr>
            <w:tcW w:w="215" w:type="pct"/>
            <w:tcBorders>
              <w:top w:val="single" w:sz="6" w:space="0" w:color="auto"/>
              <w:left w:val="single" w:sz="6" w:space="0" w:color="auto"/>
              <w:bottom w:val="single" w:sz="6" w:space="0" w:color="auto"/>
              <w:right w:val="single" w:sz="6" w:space="0" w:color="auto"/>
            </w:tcBorders>
          </w:tcPr>
          <w:p w14:paraId="4B016A1C" w14:textId="56578FDD" w:rsidR="00BD5454" w:rsidRPr="007512D0" w:rsidRDefault="00771A49" w:rsidP="00EF25CF">
            <w:pPr>
              <w:widowControl w:val="0"/>
              <w:autoSpaceDE w:val="0"/>
              <w:autoSpaceDN w:val="0"/>
              <w:adjustRightInd w:val="0"/>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14:paraId="10509A27"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no</w:t>
            </w:r>
          </w:p>
        </w:tc>
        <w:tc>
          <w:tcPr>
            <w:tcW w:w="213" w:type="pct"/>
            <w:tcBorders>
              <w:top w:val="single" w:sz="6" w:space="0" w:color="auto"/>
              <w:left w:val="single" w:sz="6" w:space="0" w:color="auto"/>
              <w:bottom w:val="single" w:sz="6" w:space="0" w:color="auto"/>
              <w:right w:val="single" w:sz="6" w:space="0" w:color="auto"/>
            </w:tcBorders>
          </w:tcPr>
          <w:p w14:paraId="7F3685CF"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no</w:t>
            </w:r>
          </w:p>
        </w:tc>
      </w:tr>
      <w:tr w:rsidR="00F17500" w:rsidRPr="007923C2" w14:paraId="7D823A60" w14:textId="77777777" w:rsidTr="00F17500">
        <w:trPr>
          <w:jc w:val="center"/>
        </w:trPr>
        <w:tc>
          <w:tcPr>
            <w:tcW w:w="552" w:type="pct"/>
            <w:tcBorders>
              <w:top w:val="single" w:sz="6" w:space="0" w:color="auto"/>
              <w:left w:val="single" w:sz="6" w:space="0" w:color="auto"/>
              <w:bottom w:val="single" w:sz="6" w:space="0" w:color="auto"/>
              <w:right w:val="single" w:sz="6" w:space="0" w:color="auto"/>
            </w:tcBorders>
          </w:tcPr>
          <w:p w14:paraId="5D761A95"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Carranza Pérez Miguel</w:t>
            </w:r>
          </w:p>
        </w:tc>
        <w:tc>
          <w:tcPr>
            <w:tcW w:w="350" w:type="pct"/>
            <w:tcBorders>
              <w:top w:val="single" w:sz="6" w:space="0" w:color="auto"/>
              <w:left w:val="single" w:sz="6" w:space="0" w:color="auto"/>
              <w:bottom w:val="single" w:sz="6" w:space="0" w:color="auto"/>
              <w:right w:val="single" w:sz="6" w:space="0" w:color="auto"/>
            </w:tcBorders>
          </w:tcPr>
          <w:p w14:paraId="16E69DCC" w14:textId="77777777" w:rsidR="00BD5454" w:rsidRPr="007512D0" w:rsidRDefault="00433FBC" w:rsidP="00EF25CF">
            <w:pPr>
              <w:widowControl w:val="0"/>
              <w:autoSpaceDE w:val="0"/>
              <w:autoSpaceDN w:val="0"/>
              <w:adjustRightInd w:val="0"/>
              <w:rPr>
                <w:rFonts w:ascii="Arial" w:hAnsi="Arial" w:cs="Arial"/>
                <w:sz w:val="16"/>
                <w:szCs w:val="16"/>
              </w:rPr>
            </w:pPr>
            <w:r>
              <w:rPr>
                <w:rFonts w:ascii="Arial" w:hAnsi="Arial" w:cs="Arial"/>
                <w:sz w:val="16"/>
                <w:szCs w:val="16"/>
              </w:rPr>
              <w:t xml:space="preserve">Lic. En </w:t>
            </w:r>
            <w:r w:rsidR="00BD5454" w:rsidRPr="007512D0">
              <w:rPr>
                <w:rFonts w:ascii="Arial" w:hAnsi="Arial" w:cs="Arial"/>
                <w:sz w:val="16"/>
                <w:szCs w:val="16"/>
              </w:rPr>
              <w:t>BIOL.</w:t>
            </w:r>
          </w:p>
        </w:tc>
        <w:tc>
          <w:tcPr>
            <w:tcW w:w="381" w:type="pct"/>
            <w:tcBorders>
              <w:top w:val="single" w:sz="6" w:space="0" w:color="auto"/>
              <w:left w:val="single" w:sz="6" w:space="0" w:color="auto"/>
              <w:bottom w:val="single" w:sz="6" w:space="0" w:color="auto"/>
              <w:right w:val="single" w:sz="6" w:space="0" w:color="auto"/>
            </w:tcBorders>
          </w:tcPr>
          <w:p w14:paraId="28406285"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UANE</w:t>
            </w:r>
          </w:p>
        </w:tc>
        <w:tc>
          <w:tcPr>
            <w:tcW w:w="572" w:type="pct"/>
            <w:tcBorders>
              <w:top w:val="single" w:sz="6" w:space="0" w:color="auto"/>
              <w:left w:val="single" w:sz="6" w:space="0" w:color="auto"/>
              <w:bottom w:val="single" w:sz="6" w:space="0" w:color="auto"/>
              <w:right w:val="single" w:sz="6" w:space="0" w:color="auto"/>
            </w:tcBorders>
          </w:tcPr>
          <w:p w14:paraId="49103FC3"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36</w:t>
            </w:r>
          </w:p>
        </w:tc>
        <w:tc>
          <w:tcPr>
            <w:tcW w:w="715" w:type="pct"/>
            <w:tcBorders>
              <w:top w:val="single" w:sz="6" w:space="0" w:color="auto"/>
              <w:left w:val="single" w:sz="6" w:space="0" w:color="auto"/>
              <w:bottom w:val="single" w:sz="6" w:space="0" w:color="auto"/>
              <w:right w:val="single" w:sz="6" w:space="0" w:color="auto"/>
            </w:tcBorders>
          </w:tcPr>
          <w:p w14:paraId="0F6B0591"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17C14A78"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6D52994F" w14:textId="77777777" w:rsidR="00BD5454" w:rsidRPr="007512D0" w:rsidRDefault="00BD5454" w:rsidP="00C64ED7">
            <w:pPr>
              <w:widowControl w:val="0"/>
              <w:autoSpaceDE w:val="0"/>
              <w:autoSpaceDN w:val="0"/>
              <w:adjustRightInd w:val="0"/>
              <w:rPr>
                <w:rFonts w:ascii="Arial" w:hAnsi="Arial" w:cs="Arial"/>
                <w:sz w:val="16"/>
                <w:szCs w:val="16"/>
              </w:rPr>
            </w:pPr>
            <w:r w:rsidRPr="007512D0">
              <w:rPr>
                <w:rFonts w:ascii="Arial" w:hAnsi="Arial" w:cs="Arial"/>
                <w:sz w:val="16"/>
                <w:szCs w:val="16"/>
              </w:rPr>
              <w:t>Zoología I;  Zoología II;  Botánica General;  Biodiversidad;  Manejo de los Recursos Bióticos;  Conservación de los Recursos Bióticos; Plantas Útiles de Zonas Áridas</w:t>
            </w:r>
            <w:r w:rsidR="00C64ED7" w:rsidRPr="007512D0">
              <w:rPr>
                <w:rFonts w:ascii="Arial" w:hAnsi="Arial" w:cs="Arial"/>
                <w:sz w:val="16"/>
                <w:szCs w:val="16"/>
              </w:rPr>
              <w:t>.</w:t>
            </w:r>
          </w:p>
        </w:tc>
        <w:tc>
          <w:tcPr>
            <w:tcW w:w="359" w:type="pct"/>
            <w:tcBorders>
              <w:top w:val="single" w:sz="6" w:space="0" w:color="auto"/>
              <w:left w:val="single" w:sz="6" w:space="0" w:color="auto"/>
              <w:bottom w:val="single" w:sz="6" w:space="0" w:color="auto"/>
              <w:right w:val="single" w:sz="6" w:space="0" w:color="auto"/>
            </w:tcBorders>
          </w:tcPr>
          <w:p w14:paraId="14D062FD" w14:textId="77777777" w:rsidR="00BD5454" w:rsidRPr="007512D0" w:rsidRDefault="00BD5454"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si</w:t>
            </w:r>
            <w:r w:rsidRPr="007512D0">
              <w:rPr>
                <w:rFonts w:ascii="Arial" w:hAnsi="Arial" w:cs="Arial"/>
                <w:sz w:val="16"/>
                <w:szCs w:val="16"/>
              </w:rPr>
              <w:tab/>
            </w:r>
            <w:r w:rsidRPr="007512D0">
              <w:rPr>
                <w:rFonts w:ascii="Arial" w:hAnsi="Arial" w:cs="Arial"/>
                <w:sz w:val="16"/>
                <w:szCs w:val="16"/>
              </w:rPr>
              <w:tab/>
            </w:r>
          </w:p>
        </w:tc>
        <w:tc>
          <w:tcPr>
            <w:tcW w:w="215" w:type="pct"/>
            <w:tcBorders>
              <w:top w:val="single" w:sz="6" w:space="0" w:color="auto"/>
              <w:left w:val="single" w:sz="6" w:space="0" w:color="auto"/>
              <w:bottom w:val="single" w:sz="6" w:space="0" w:color="auto"/>
              <w:right w:val="single" w:sz="6" w:space="0" w:color="auto"/>
            </w:tcBorders>
          </w:tcPr>
          <w:p w14:paraId="19723DFB" w14:textId="6F768A51" w:rsidR="00BD5454" w:rsidRPr="007512D0" w:rsidRDefault="00771A49"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14:paraId="4EC09741" w14:textId="77777777" w:rsidR="00BD5454" w:rsidRPr="007512D0" w:rsidRDefault="00BD5454"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no</w:t>
            </w:r>
          </w:p>
        </w:tc>
        <w:tc>
          <w:tcPr>
            <w:tcW w:w="213" w:type="pct"/>
            <w:tcBorders>
              <w:top w:val="single" w:sz="6" w:space="0" w:color="auto"/>
              <w:left w:val="single" w:sz="6" w:space="0" w:color="auto"/>
              <w:bottom w:val="single" w:sz="6" w:space="0" w:color="auto"/>
              <w:right w:val="single" w:sz="6" w:space="0" w:color="auto"/>
            </w:tcBorders>
          </w:tcPr>
          <w:p w14:paraId="4D7786FB" w14:textId="77777777" w:rsidR="00BD5454" w:rsidRPr="007512D0" w:rsidRDefault="00C64ED7"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r>
      <w:tr w:rsidR="00F17500" w:rsidRPr="007923C2" w14:paraId="4CD3637D" w14:textId="77777777" w:rsidTr="00F17500">
        <w:trPr>
          <w:jc w:val="center"/>
        </w:trPr>
        <w:tc>
          <w:tcPr>
            <w:tcW w:w="552" w:type="pct"/>
            <w:tcBorders>
              <w:top w:val="single" w:sz="6" w:space="0" w:color="auto"/>
              <w:left w:val="single" w:sz="6" w:space="0" w:color="auto"/>
              <w:bottom w:val="single" w:sz="6" w:space="0" w:color="auto"/>
              <w:right w:val="single" w:sz="6" w:space="0" w:color="auto"/>
            </w:tcBorders>
          </w:tcPr>
          <w:p w14:paraId="080663FF"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Arce González Leopoldo  </w:t>
            </w:r>
          </w:p>
        </w:tc>
        <w:tc>
          <w:tcPr>
            <w:tcW w:w="350" w:type="pct"/>
            <w:tcBorders>
              <w:top w:val="single" w:sz="6" w:space="0" w:color="auto"/>
              <w:left w:val="single" w:sz="6" w:space="0" w:color="auto"/>
              <w:bottom w:val="single" w:sz="6" w:space="0" w:color="auto"/>
              <w:right w:val="single" w:sz="6" w:space="0" w:color="auto"/>
            </w:tcBorders>
          </w:tcPr>
          <w:p w14:paraId="7836EF7F"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M.C.</w:t>
            </w:r>
          </w:p>
        </w:tc>
        <w:tc>
          <w:tcPr>
            <w:tcW w:w="381" w:type="pct"/>
            <w:tcBorders>
              <w:top w:val="single" w:sz="6" w:space="0" w:color="auto"/>
              <w:left w:val="single" w:sz="6" w:space="0" w:color="auto"/>
              <w:bottom w:val="single" w:sz="6" w:space="0" w:color="auto"/>
              <w:right w:val="single" w:sz="6" w:space="0" w:color="auto"/>
            </w:tcBorders>
          </w:tcPr>
          <w:p w14:paraId="6E8ECE60"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UAAAN</w:t>
            </w:r>
          </w:p>
        </w:tc>
        <w:tc>
          <w:tcPr>
            <w:tcW w:w="572" w:type="pct"/>
            <w:tcBorders>
              <w:top w:val="single" w:sz="6" w:space="0" w:color="auto"/>
              <w:left w:val="single" w:sz="6" w:space="0" w:color="auto"/>
              <w:bottom w:val="single" w:sz="6" w:space="0" w:color="auto"/>
              <w:right w:val="single" w:sz="6" w:space="0" w:color="auto"/>
            </w:tcBorders>
          </w:tcPr>
          <w:p w14:paraId="779020CC" w14:textId="5970AD4F" w:rsidR="00BD5454" w:rsidRPr="007512D0" w:rsidRDefault="00BD5454" w:rsidP="00F96559">
            <w:pPr>
              <w:widowControl w:val="0"/>
              <w:autoSpaceDE w:val="0"/>
              <w:autoSpaceDN w:val="0"/>
              <w:adjustRightInd w:val="0"/>
              <w:rPr>
                <w:rFonts w:ascii="Arial" w:hAnsi="Arial" w:cs="Arial"/>
                <w:sz w:val="16"/>
                <w:szCs w:val="16"/>
              </w:rPr>
            </w:pPr>
            <w:r w:rsidRPr="007512D0">
              <w:rPr>
                <w:rFonts w:ascii="Arial" w:hAnsi="Arial" w:cs="Arial"/>
                <w:sz w:val="16"/>
                <w:szCs w:val="16"/>
              </w:rPr>
              <w:t>3</w:t>
            </w:r>
            <w:r w:rsidR="00F96559">
              <w:rPr>
                <w:rFonts w:ascii="Arial" w:hAnsi="Arial" w:cs="Arial"/>
                <w:sz w:val="16"/>
                <w:szCs w:val="16"/>
              </w:rPr>
              <w:t>9</w:t>
            </w:r>
          </w:p>
        </w:tc>
        <w:tc>
          <w:tcPr>
            <w:tcW w:w="715" w:type="pct"/>
            <w:tcBorders>
              <w:top w:val="single" w:sz="6" w:space="0" w:color="auto"/>
              <w:left w:val="single" w:sz="6" w:space="0" w:color="auto"/>
              <w:bottom w:val="single" w:sz="6" w:space="0" w:color="auto"/>
              <w:right w:val="single" w:sz="6" w:space="0" w:color="auto"/>
            </w:tcBorders>
          </w:tcPr>
          <w:p w14:paraId="6F472FE9"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1905FCF3"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15C5C122" w14:textId="77777777" w:rsidR="00BD5454" w:rsidRPr="007512D0" w:rsidRDefault="00BD5454" w:rsidP="00C64ED7">
            <w:pPr>
              <w:widowControl w:val="0"/>
              <w:autoSpaceDE w:val="0"/>
              <w:autoSpaceDN w:val="0"/>
              <w:adjustRightInd w:val="0"/>
              <w:rPr>
                <w:rFonts w:ascii="Arial" w:hAnsi="Arial" w:cs="Arial"/>
                <w:sz w:val="16"/>
                <w:szCs w:val="16"/>
              </w:rPr>
            </w:pPr>
            <w:r w:rsidRPr="007512D0">
              <w:rPr>
                <w:rFonts w:ascii="Arial" w:hAnsi="Arial" w:cs="Arial"/>
                <w:sz w:val="16"/>
                <w:szCs w:val="16"/>
              </w:rPr>
              <w:t>Ecología General; Ecología I;  Evaluación de Ecosistemas</w:t>
            </w:r>
            <w:r w:rsidR="00C64ED7" w:rsidRPr="007512D0">
              <w:rPr>
                <w:rFonts w:ascii="Arial" w:hAnsi="Arial" w:cs="Arial"/>
                <w:sz w:val="16"/>
                <w:szCs w:val="16"/>
              </w:rPr>
              <w:t>, Plantas medicinales y aromáticas.</w:t>
            </w:r>
          </w:p>
        </w:tc>
        <w:tc>
          <w:tcPr>
            <w:tcW w:w="359" w:type="pct"/>
            <w:tcBorders>
              <w:top w:val="single" w:sz="6" w:space="0" w:color="auto"/>
              <w:left w:val="single" w:sz="6" w:space="0" w:color="auto"/>
              <w:bottom w:val="single" w:sz="6" w:space="0" w:color="auto"/>
              <w:right w:val="single" w:sz="6" w:space="0" w:color="auto"/>
            </w:tcBorders>
          </w:tcPr>
          <w:p w14:paraId="5E8EFA6F" w14:textId="77777777" w:rsidR="00BD5454" w:rsidRPr="007512D0" w:rsidRDefault="00BD5454"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si</w:t>
            </w:r>
            <w:r w:rsidRPr="007512D0">
              <w:rPr>
                <w:rFonts w:ascii="Arial" w:hAnsi="Arial" w:cs="Arial"/>
                <w:sz w:val="16"/>
                <w:szCs w:val="16"/>
              </w:rPr>
              <w:tab/>
            </w:r>
          </w:p>
        </w:tc>
        <w:tc>
          <w:tcPr>
            <w:tcW w:w="215" w:type="pct"/>
            <w:tcBorders>
              <w:top w:val="single" w:sz="6" w:space="0" w:color="auto"/>
              <w:left w:val="single" w:sz="6" w:space="0" w:color="auto"/>
              <w:bottom w:val="single" w:sz="6" w:space="0" w:color="auto"/>
              <w:right w:val="single" w:sz="6" w:space="0" w:color="auto"/>
            </w:tcBorders>
          </w:tcPr>
          <w:p w14:paraId="2E2A604C" w14:textId="2CC33F5B" w:rsidR="00BD5454" w:rsidRPr="007512D0" w:rsidRDefault="00771A49"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14:paraId="2ABD13A2" w14:textId="77777777" w:rsidR="00BD5454" w:rsidRPr="007512D0" w:rsidRDefault="00BD5454"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14:paraId="32A70764" w14:textId="77777777" w:rsidR="00BD5454" w:rsidRPr="007512D0" w:rsidRDefault="00C64ED7"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r>
      <w:tr w:rsidR="00F17500" w:rsidRPr="007923C2" w14:paraId="4D58194B" w14:textId="77777777" w:rsidTr="00F17500">
        <w:trPr>
          <w:jc w:val="center"/>
        </w:trPr>
        <w:tc>
          <w:tcPr>
            <w:tcW w:w="552" w:type="pct"/>
            <w:tcBorders>
              <w:top w:val="single" w:sz="6" w:space="0" w:color="auto"/>
              <w:left w:val="single" w:sz="6" w:space="0" w:color="auto"/>
              <w:bottom w:val="single" w:sz="6" w:space="0" w:color="auto"/>
              <w:right w:val="single" w:sz="6" w:space="0" w:color="auto"/>
            </w:tcBorders>
          </w:tcPr>
          <w:p w14:paraId="649C9C48"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Júarez Maldonado Antonio</w:t>
            </w:r>
          </w:p>
        </w:tc>
        <w:tc>
          <w:tcPr>
            <w:tcW w:w="350" w:type="pct"/>
            <w:tcBorders>
              <w:top w:val="single" w:sz="6" w:space="0" w:color="auto"/>
              <w:left w:val="single" w:sz="6" w:space="0" w:color="auto"/>
              <w:bottom w:val="single" w:sz="6" w:space="0" w:color="auto"/>
              <w:right w:val="single" w:sz="6" w:space="0" w:color="auto"/>
            </w:tcBorders>
          </w:tcPr>
          <w:p w14:paraId="6724693E"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DR.</w:t>
            </w:r>
          </w:p>
        </w:tc>
        <w:tc>
          <w:tcPr>
            <w:tcW w:w="381" w:type="pct"/>
            <w:tcBorders>
              <w:top w:val="single" w:sz="6" w:space="0" w:color="auto"/>
              <w:left w:val="single" w:sz="6" w:space="0" w:color="auto"/>
              <w:bottom w:val="single" w:sz="6" w:space="0" w:color="auto"/>
              <w:right w:val="single" w:sz="6" w:space="0" w:color="auto"/>
            </w:tcBorders>
          </w:tcPr>
          <w:p w14:paraId="7AE66FB9"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UAAAN</w:t>
            </w:r>
          </w:p>
        </w:tc>
        <w:tc>
          <w:tcPr>
            <w:tcW w:w="572" w:type="pct"/>
            <w:tcBorders>
              <w:top w:val="single" w:sz="6" w:space="0" w:color="auto"/>
              <w:left w:val="single" w:sz="6" w:space="0" w:color="auto"/>
              <w:bottom w:val="single" w:sz="6" w:space="0" w:color="auto"/>
              <w:right w:val="single" w:sz="6" w:space="0" w:color="auto"/>
            </w:tcBorders>
          </w:tcPr>
          <w:p w14:paraId="7559043D" w14:textId="77777777" w:rsidR="00BD5454" w:rsidRPr="007512D0" w:rsidRDefault="00433FBC" w:rsidP="00EF25CF">
            <w:pPr>
              <w:widowControl w:val="0"/>
              <w:autoSpaceDE w:val="0"/>
              <w:autoSpaceDN w:val="0"/>
              <w:adjustRightInd w:val="0"/>
              <w:rPr>
                <w:rFonts w:ascii="Arial" w:hAnsi="Arial" w:cs="Arial"/>
                <w:sz w:val="16"/>
                <w:szCs w:val="16"/>
              </w:rPr>
            </w:pPr>
            <w:r>
              <w:rPr>
                <w:rFonts w:ascii="Arial" w:hAnsi="Arial" w:cs="Arial"/>
                <w:sz w:val="16"/>
                <w:szCs w:val="16"/>
              </w:rPr>
              <w:t>2</w:t>
            </w:r>
          </w:p>
        </w:tc>
        <w:tc>
          <w:tcPr>
            <w:tcW w:w="715" w:type="pct"/>
            <w:tcBorders>
              <w:top w:val="single" w:sz="6" w:space="0" w:color="auto"/>
              <w:left w:val="single" w:sz="6" w:space="0" w:color="auto"/>
              <w:bottom w:val="single" w:sz="6" w:space="0" w:color="auto"/>
              <w:right w:val="single" w:sz="6" w:space="0" w:color="auto"/>
            </w:tcBorders>
          </w:tcPr>
          <w:p w14:paraId="7304980F" w14:textId="77777777" w:rsidR="00BD5454" w:rsidRPr="007512D0" w:rsidRDefault="00BD5454" w:rsidP="00433FBC">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T.C. </w:t>
            </w:r>
          </w:p>
        </w:tc>
        <w:tc>
          <w:tcPr>
            <w:tcW w:w="327" w:type="pct"/>
            <w:tcBorders>
              <w:top w:val="single" w:sz="6" w:space="0" w:color="auto"/>
              <w:left w:val="single" w:sz="6" w:space="0" w:color="auto"/>
              <w:bottom w:val="single" w:sz="6" w:space="0" w:color="auto"/>
              <w:right w:val="single" w:sz="6" w:space="0" w:color="auto"/>
            </w:tcBorders>
          </w:tcPr>
          <w:p w14:paraId="124A7A0D"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4E390F47"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 Agroecología; Agricultura Biointensiva, Bioagricultura;  Ecologia y desarrollo sostenible. </w:t>
            </w:r>
          </w:p>
        </w:tc>
        <w:tc>
          <w:tcPr>
            <w:tcW w:w="359" w:type="pct"/>
            <w:tcBorders>
              <w:top w:val="single" w:sz="6" w:space="0" w:color="auto"/>
              <w:left w:val="single" w:sz="6" w:space="0" w:color="auto"/>
              <w:bottom w:val="single" w:sz="6" w:space="0" w:color="auto"/>
              <w:right w:val="single" w:sz="6" w:space="0" w:color="auto"/>
            </w:tcBorders>
          </w:tcPr>
          <w:p w14:paraId="7E0BE65D" w14:textId="77777777" w:rsidR="00BD5454" w:rsidRPr="007512D0" w:rsidRDefault="00BD5454"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no</w:t>
            </w:r>
          </w:p>
        </w:tc>
        <w:tc>
          <w:tcPr>
            <w:tcW w:w="215" w:type="pct"/>
            <w:tcBorders>
              <w:top w:val="single" w:sz="6" w:space="0" w:color="auto"/>
              <w:left w:val="single" w:sz="6" w:space="0" w:color="auto"/>
              <w:bottom w:val="single" w:sz="6" w:space="0" w:color="auto"/>
              <w:right w:val="single" w:sz="6" w:space="0" w:color="auto"/>
            </w:tcBorders>
          </w:tcPr>
          <w:p w14:paraId="29917A3E" w14:textId="2DB82FB8" w:rsidR="00BD5454" w:rsidRPr="007512D0" w:rsidRDefault="00771A49"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S</w:t>
            </w:r>
            <w:r w:rsidR="00BD5454" w:rsidRPr="007512D0">
              <w:rPr>
                <w:rFonts w:ascii="Arial" w:hAnsi="Arial" w:cs="Arial"/>
                <w:sz w:val="16"/>
                <w:szCs w:val="16"/>
              </w:rPr>
              <w:t>i</w:t>
            </w:r>
          </w:p>
        </w:tc>
        <w:tc>
          <w:tcPr>
            <w:tcW w:w="429" w:type="pct"/>
            <w:tcBorders>
              <w:top w:val="single" w:sz="6" w:space="0" w:color="auto"/>
              <w:left w:val="single" w:sz="6" w:space="0" w:color="auto"/>
              <w:bottom w:val="single" w:sz="6" w:space="0" w:color="auto"/>
              <w:right w:val="single" w:sz="6" w:space="0" w:color="auto"/>
            </w:tcBorders>
          </w:tcPr>
          <w:p w14:paraId="4D0B6B1F" w14:textId="77777777" w:rsidR="00BD5454" w:rsidRPr="007512D0" w:rsidRDefault="00BD5454"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14:paraId="4A1972DB" w14:textId="73A7019C" w:rsidR="00BD5454" w:rsidRPr="007512D0" w:rsidRDefault="00771A49" w:rsidP="00EF25CF">
            <w:pPr>
              <w:widowControl w:val="0"/>
              <w:autoSpaceDE w:val="0"/>
              <w:autoSpaceDN w:val="0"/>
              <w:adjustRightInd w:val="0"/>
              <w:jc w:val="both"/>
              <w:rPr>
                <w:rFonts w:ascii="Arial" w:hAnsi="Arial" w:cs="Arial"/>
                <w:sz w:val="16"/>
                <w:szCs w:val="16"/>
              </w:rPr>
            </w:pPr>
            <w:r>
              <w:rPr>
                <w:rFonts w:ascii="Arial" w:hAnsi="Arial" w:cs="Arial"/>
                <w:sz w:val="16"/>
                <w:szCs w:val="16"/>
              </w:rPr>
              <w:t>Si</w:t>
            </w:r>
          </w:p>
        </w:tc>
      </w:tr>
      <w:tr w:rsidR="00F17500" w:rsidRPr="007923C2" w14:paraId="5A648198" w14:textId="77777777" w:rsidTr="00F17500">
        <w:trPr>
          <w:jc w:val="center"/>
        </w:trPr>
        <w:tc>
          <w:tcPr>
            <w:tcW w:w="552" w:type="pct"/>
            <w:tcBorders>
              <w:top w:val="single" w:sz="6" w:space="0" w:color="auto"/>
              <w:left w:val="single" w:sz="6" w:space="0" w:color="auto"/>
              <w:bottom w:val="single" w:sz="6" w:space="0" w:color="auto"/>
              <w:right w:val="single" w:sz="6" w:space="0" w:color="auto"/>
            </w:tcBorders>
          </w:tcPr>
          <w:p w14:paraId="47CF3500"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De La Rosa Ibarra Manuel  </w:t>
            </w:r>
          </w:p>
        </w:tc>
        <w:tc>
          <w:tcPr>
            <w:tcW w:w="350" w:type="pct"/>
            <w:tcBorders>
              <w:top w:val="single" w:sz="6" w:space="0" w:color="auto"/>
              <w:left w:val="single" w:sz="6" w:space="0" w:color="auto"/>
              <w:bottom w:val="single" w:sz="6" w:space="0" w:color="auto"/>
              <w:right w:val="single" w:sz="6" w:space="0" w:color="auto"/>
            </w:tcBorders>
          </w:tcPr>
          <w:p w14:paraId="73312A45"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DR.</w:t>
            </w:r>
          </w:p>
        </w:tc>
        <w:tc>
          <w:tcPr>
            <w:tcW w:w="381" w:type="pct"/>
            <w:tcBorders>
              <w:top w:val="single" w:sz="6" w:space="0" w:color="auto"/>
              <w:left w:val="single" w:sz="6" w:space="0" w:color="auto"/>
              <w:bottom w:val="single" w:sz="6" w:space="0" w:color="auto"/>
              <w:right w:val="single" w:sz="6" w:space="0" w:color="auto"/>
            </w:tcBorders>
          </w:tcPr>
          <w:p w14:paraId="402FA123"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UANL</w:t>
            </w:r>
          </w:p>
        </w:tc>
        <w:tc>
          <w:tcPr>
            <w:tcW w:w="572" w:type="pct"/>
            <w:tcBorders>
              <w:top w:val="single" w:sz="6" w:space="0" w:color="auto"/>
              <w:left w:val="single" w:sz="6" w:space="0" w:color="auto"/>
              <w:bottom w:val="single" w:sz="6" w:space="0" w:color="auto"/>
              <w:right w:val="single" w:sz="6" w:space="0" w:color="auto"/>
            </w:tcBorders>
          </w:tcPr>
          <w:p w14:paraId="7E459028" w14:textId="1CF0DC33" w:rsidR="00BD5454" w:rsidRPr="007512D0" w:rsidRDefault="00BD5454" w:rsidP="00F96559">
            <w:pPr>
              <w:widowControl w:val="0"/>
              <w:autoSpaceDE w:val="0"/>
              <w:autoSpaceDN w:val="0"/>
              <w:adjustRightInd w:val="0"/>
              <w:rPr>
                <w:rFonts w:ascii="Arial" w:hAnsi="Arial" w:cs="Arial"/>
                <w:sz w:val="16"/>
                <w:szCs w:val="16"/>
              </w:rPr>
            </w:pPr>
            <w:r w:rsidRPr="007512D0">
              <w:rPr>
                <w:rFonts w:ascii="Arial" w:hAnsi="Arial" w:cs="Arial"/>
                <w:sz w:val="16"/>
                <w:szCs w:val="16"/>
              </w:rPr>
              <w:t>3</w:t>
            </w:r>
            <w:r w:rsidR="00F96559">
              <w:rPr>
                <w:rFonts w:ascii="Arial" w:hAnsi="Arial" w:cs="Arial"/>
                <w:sz w:val="16"/>
                <w:szCs w:val="16"/>
              </w:rPr>
              <w:t>5</w:t>
            </w:r>
          </w:p>
        </w:tc>
        <w:tc>
          <w:tcPr>
            <w:tcW w:w="715" w:type="pct"/>
            <w:tcBorders>
              <w:top w:val="single" w:sz="6" w:space="0" w:color="auto"/>
              <w:left w:val="single" w:sz="6" w:space="0" w:color="auto"/>
              <w:bottom w:val="single" w:sz="6" w:space="0" w:color="auto"/>
              <w:right w:val="single" w:sz="6" w:space="0" w:color="auto"/>
            </w:tcBorders>
          </w:tcPr>
          <w:p w14:paraId="4DB84392"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31050764"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28F94884" w14:textId="77777777"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Fisiologia Vegetal; ; Taller de Investigación I y II;</w:t>
            </w:r>
          </w:p>
        </w:tc>
        <w:tc>
          <w:tcPr>
            <w:tcW w:w="359" w:type="pct"/>
            <w:tcBorders>
              <w:top w:val="single" w:sz="6" w:space="0" w:color="auto"/>
              <w:left w:val="single" w:sz="6" w:space="0" w:color="auto"/>
              <w:bottom w:val="single" w:sz="6" w:space="0" w:color="auto"/>
              <w:right w:val="single" w:sz="6" w:space="0" w:color="auto"/>
            </w:tcBorders>
          </w:tcPr>
          <w:p w14:paraId="7E5FCAD6"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r w:rsidRPr="007512D0">
              <w:rPr>
                <w:rFonts w:ascii="Arial" w:hAnsi="Arial" w:cs="Arial"/>
                <w:sz w:val="16"/>
                <w:szCs w:val="16"/>
              </w:rPr>
              <w:tab/>
            </w:r>
            <w:r w:rsidRPr="007512D0">
              <w:rPr>
                <w:rFonts w:ascii="Arial" w:hAnsi="Arial" w:cs="Arial"/>
                <w:sz w:val="16"/>
                <w:szCs w:val="16"/>
              </w:rPr>
              <w:tab/>
            </w:r>
          </w:p>
        </w:tc>
        <w:tc>
          <w:tcPr>
            <w:tcW w:w="215" w:type="pct"/>
            <w:tcBorders>
              <w:top w:val="single" w:sz="6" w:space="0" w:color="auto"/>
              <w:left w:val="single" w:sz="6" w:space="0" w:color="auto"/>
              <w:bottom w:val="single" w:sz="6" w:space="0" w:color="auto"/>
              <w:right w:val="single" w:sz="6" w:space="0" w:color="auto"/>
            </w:tcBorders>
          </w:tcPr>
          <w:p w14:paraId="3BF5809C"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p>
        </w:tc>
        <w:tc>
          <w:tcPr>
            <w:tcW w:w="429" w:type="pct"/>
            <w:tcBorders>
              <w:top w:val="single" w:sz="6" w:space="0" w:color="auto"/>
              <w:left w:val="single" w:sz="6" w:space="0" w:color="auto"/>
              <w:bottom w:val="single" w:sz="6" w:space="0" w:color="auto"/>
              <w:right w:val="single" w:sz="6" w:space="0" w:color="auto"/>
            </w:tcBorders>
          </w:tcPr>
          <w:p w14:paraId="5453A6BB" w14:textId="77777777"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14:paraId="28302768" w14:textId="3868483A" w:rsidR="00BD5454" w:rsidRPr="007512D0" w:rsidRDefault="00F96559" w:rsidP="00EF25CF">
            <w:pPr>
              <w:widowControl w:val="0"/>
              <w:autoSpaceDE w:val="0"/>
              <w:autoSpaceDN w:val="0"/>
              <w:adjustRightInd w:val="0"/>
              <w:spacing w:before="157"/>
              <w:jc w:val="both"/>
              <w:rPr>
                <w:rFonts w:ascii="Arial" w:hAnsi="Arial" w:cs="Arial"/>
                <w:sz w:val="16"/>
                <w:szCs w:val="16"/>
              </w:rPr>
            </w:pPr>
            <w:r>
              <w:rPr>
                <w:rFonts w:ascii="Arial" w:hAnsi="Arial" w:cs="Arial"/>
                <w:sz w:val="16"/>
                <w:szCs w:val="16"/>
              </w:rPr>
              <w:t>En proceso</w:t>
            </w:r>
          </w:p>
        </w:tc>
      </w:tr>
      <w:tr w:rsidR="00A14AF9" w:rsidRPr="007923C2" w14:paraId="04519C05" w14:textId="77777777" w:rsidTr="00A14AF9">
        <w:trPr>
          <w:jc w:val="center"/>
        </w:trPr>
        <w:tc>
          <w:tcPr>
            <w:tcW w:w="552" w:type="pct"/>
            <w:tcBorders>
              <w:top w:val="single" w:sz="6" w:space="0" w:color="auto"/>
              <w:left w:val="single" w:sz="6" w:space="0" w:color="auto"/>
              <w:bottom w:val="single" w:sz="6" w:space="0" w:color="auto"/>
              <w:right w:val="single" w:sz="6" w:space="0" w:color="auto"/>
            </w:tcBorders>
          </w:tcPr>
          <w:p w14:paraId="2C93F5E1" w14:textId="6BD41EDB" w:rsidR="00A14AF9" w:rsidRPr="007512D0" w:rsidRDefault="00A14AF9" w:rsidP="00A14AF9">
            <w:pPr>
              <w:widowControl w:val="0"/>
              <w:autoSpaceDE w:val="0"/>
              <w:autoSpaceDN w:val="0"/>
              <w:adjustRightInd w:val="0"/>
              <w:rPr>
                <w:rFonts w:ascii="Arial" w:hAnsi="Arial" w:cs="Arial"/>
                <w:sz w:val="16"/>
                <w:szCs w:val="16"/>
              </w:rPr>
            </w:pPr>
            <w:r>
              <w:rPr>
                <w:rFonts w:ascii="Arial" w:hAnsi="Arial" w:cs="Arial"/>
                <w:sz w:val="16"/>
                <w:szCs w:val="16"/>
              </w:rPr>
              <w:t>Cabral Cordero Ismael</w:t>
            </w:r>
            <w:r w:rsidRPr="007512D0">
              <w:rPr>
                <w:rFonts w:ascii="Arial" w:hAnsi="Arial" w:cs="Arial"/>
                <w:sz w:val="16"/>
                <w:szCs w:val="16"/>
              </w:rPr>
              <w:t xml:space="preserve">  </w:t>
            </w:r>
          </w:p>
        </w:tc>
        <w:tc>
          <w:tcPr>
            <w:tcW w:w="350" w:type="pct"/>
            <w:tcBorders>
              <w:top w:val="single" w:sz="6" w:space="0" w:color="auto"/>
              <w:left w:val="single" w:sz="6" w:space="0" w:color="auto"/>
              <w:bottom w:val="single" w:sz="6" w:space="0" w:color="auto"/>
              <w:right w:val="single" w:sz="6" w:space="0" w:color="auto"/>
            </w:tcBorders>
          </w:tcPr>
          <w:p w14:paraId="434C9068" w14:textId="77777777" w:rsidR="00A14AF9" w:rsidRPr="007512D0" w:rsidRDefault="00A14AF9" w:rsidP="00A14AF9">
            <w:pPr>
              <w:widowControl w:val="0"/>
              <w:autoSpaceDE w:val="0"/>
              <w:autoSpaceDN w:val="0"/>
              <w:adjustRightInd w:val="0"/>
              <w:rPr>
                <w:rFonts w:ascii="Arial" w:hAnsi="Arial" w:cs="Arial"/>
                <w:sz w:val="16"/>
                <w:szCs w:val="16"/>
              </w:rPr>
            </w:pPr>
            <w:r w:rsidRPr="007512D0">
              <w:rPr>
                <w:rFonts w:ascii="Arial" w:hAnsi="Arial" w:cs="Arial"/>
                <w:sz w:val="16"/>
                <w:szCs w:val="16"/>
              </w:rPr>
              <w:t>DR.</w:t>
            </w:r>
          </w:p>
        </w:tc>
        <w:tc>
          <w:tcPr>
            <w:tcW w:w="381" w:type="pct"/>
            <w:tcBorders>
              <w:top w:val="single" w:sz="6" w:space="0" w:color="auto"/>
              <w:left w:val="single" w:sz="6" w:space="0" w:color="auto"/>
              <w:bottom w:val="single" w:sz="6" w:space="0" w:color="auto"/>
              <w:right w:val="single" w:sz="6" w:space="0" w:color="auto"/>
            </w:tcBorders>
          </w:tcPr>
          <w:p w14:paraId="6B4CAD30" w14:textId="72E9E17D" w:rsidR="00A14AF9" w:rsidRPr="007512D0" w:rsidRDefault="00766AB2" w:rsidP="00A14AF9">
            <w:pPr>
              <w:widowControl w:val="0"/>
              <w:autoSpaceDE w:val="0"/>
              <w:autoSpaceDN w:val="0"/>
              <w:adjustRightInd w:val="0"/>
              <w:rPr>
                <w:rFonts w:ascii="Arial" w:hAnsi="Arial" w:cs="Arial"/>
                <w:sz w:val="16"/>
                <w:szCs w:val="16"/>
              </w:rPr>
            </w:pPr>
            <w:r>
              <w:rPr>
                <w:rFonts w:ascii="Arial" w:hAnsi="Arial" w:cs="Arial"/>
                <w:sz w:val="16"/>
                <w:szCs w:val="16"/>
              </w:rPr>
              <w:t>UANL</w:t>
            </w:r>
          </w:p>
        </w:tc>
        <w:tc>
          <w:tcPr>
            <w:tcW w:w="572" w:type="pct"/>
            <w:tcBorders>
              <w:top w:val="single" w:sz="6" w:space="0" w:color="auto"/>
              <w:left w:val="single" w:sz="6" w:space="0" w:color="auto"/>
              <w:bottom w:val="single" w:sz="6" w:space="0" w:color="auto"/>
              <w:right w:val="single" w:sz="6" w:space="0" w:color="auto"/>
            </w:tcBorders>
          </w:tcPr>
          <w:p w14:paraId="779CE83F" w14:textId="117C7EFC" w:rsidR="00A14AF9" w:rsidRPr="007512D0" w:rsidRDefault="00766AB2" w:rsidP="00A14AF9">
            <w:pPr>
              <w:widowControl w:val="0"/>
              <w:autoSpaceDE w:val="0"/>
              <w:autoSpaceDN w:val="0"/>
              <w:adjustRightInd w:val="0"/>
              <w:rPr>
                <w:rFonts w:ascii="Arial" w:hAnsi="Arial" w:cs="Arial"/>
                <w:sz w:val="16"/>
                <w:szCs w:val="16"/>
              </w:rPr>
            </w:pPr>
            <w:r>
              <w:rPr>
                <w:rFonts w:ascii="Arial" w:hAnsi="Arial" w:cs="Arial"/>
                <w:sz w:val="16"/>
                <w:szCs w:val="16"/>
              </w:rPr>
              <w:t>6</w:t>
            </w:r>
          </w:p>
        </w:tc>
        <w:tc>
          <w:tcPr>
            <w:tcW w:w="715" w:type="pct"/>
            <w:tcBorders>
              <w:top w:val="single" w:sz="6" w:space="0" w:color="auto"/>
              <w:left w:val="single" w:sz="6" w:space="0" w:color="auto"/>
              <w:bottom w:val="single" w:sz="6" w:space="0" w:color="auto"/>
              <w:right w:val="single" w:sz="6" w:space="0" w:color="auto"/>
            </w:tcBorders>
          </w:tcPr>
          <w:p w14:paraId="5986A29C" w14:textId="702045B6" w:rsidR="00A14AF9" w:rsidRPr="007512D0" w:rsidRDefault="00766AB2" w:rsidP="00A14AF9">
            <w:pPr>
              <w:widowControl w:val="0"/>
              <w:autoSpaceDE w:val="0"/>
              <w:autoSpaceDN w:val="0"/>
              <w:adjustRightInd w:val="0"/>
              <w:rPr>
                <w:rFonts w:ascii="Arial" w:hAnsi="Arial" w:cs="Arial"/>
                <w:sz w:val="16"/>
                <w:szCs w:val="16"/>
              </w:rPr>
            </w:pPr>
            <w:r>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14:paraId="1D191FE7" w14:textId="211F51DA" w:rsidR="00A14AF9" w:rsidRPr="007512D0" w:rsidRDefault="00766AB2" w:rsidP="00A14AF9">
            <w:pPr>
              <w:widowControl w:val="0"/>
              <w:autoSpaceDE w:val="0"/>
              <w:autoSpaceDN w:val="0"/>
              <w:adjustRightInd w:val="0"/>
              <w:rPr>
                <w:rFonts w:ascii="Arial" w:hAnsi="Arial" w:cs="Arial"/>
                <w:sz w:val="16"/>
                <w:szCs w:val="16"/>
              </w:rPr>
            </w:pPr>
            <w:r>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14:paraId="67E9A39A" w14:textId="6D57249A" w:rsidR="00A14AF9" w:rsidRPr="007512D0" w:rsidRDefault="00766AB2" w:rsidP="00766AB2">
            <w:pPr>
              <w:widowControl w:val="0"/>
              <w:autoSpaceDE w:val="0"/>
              <w:autoSpaceDN w:val="0"/>
              <w:adjustRightInd w:val="0"/>
              <w:rPr>
                <w:rFonts w:ascii="Arial" w:hAnsi="Arial" w:cs="Arial"/>
                <w:sz w:val="16"/>
                <w:szCs w:val="16"/>
              </w:rPr>
            </w:pPr>
            <w:r>
              <w:rPr>
                <w:rFonts w:ascii="Arial" w:hAnsi="Arial" w:cs="Arial"/>
                <w:sz w:val="16"/>
                <w:szCs w:val="16"/>
              </w:rPr>
              <w:t>Ecología II, Agrecología, Manejo de áreas naturales protegidas, Etnoecología.</w:t>
            </w:r>
          </w:p>
        </w:tc>
        <w:tc>
          <w:tcPr>
            <w:tcW w:w="359" w:type="pct"/>
            <w:tcBorders>
              <w:top w:val="single" w:sz="6" w:space="0" w:color="auto"/>
              <w:left w:val="single" w:sz="6" w:space="0" w:color="auto"/>
              <w:bottom w:val="single" w:sz="6" w:space="0" w:color="auto"/>
              <w:right w:val="single" w:sz="6" w:space="0" w:color="auto"/>
            </w:tcBorders>
          </w:tcPr>
          <w:p w14:paraId="09363E1D" w14:textId="432428F9" w:rsidR="00A14AF9" w:rsidRPr="007512D0" w:rsidRDefault="00766AB2" w:rsidP="00A14AF9">
            <w:pPr>
              <w:widowControl w:val="0"/>
              <w:autoSpaceDE w:val="0"/>
              <w:autoSpaceDN w:val="0"/>
              <w:adjustRightInd w:val="0"/>
              <w:spacing w:before="157"/>
              <w:jc w:val="both"/>
              <w:rPr>
                <w:rFonts w:ascii="Arial" w:hAnsi="Arial" w:cs="Arial"/>
                <w:sz w:val="16"/>
                <w:szCs w:val="16"/>
              </w:rPr>
            </w:pPr>
            <w:r>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14:paraId="00F998FC" w14:textId="5D44AA34" w:rsidR="00A14AF9" w:rsidRPr="007512D0" w:rsidRDefault="00766AB2" w:rsidP="00A14AF9">
            <w:pPr>
              <w:widowControl w:val="0"/>
              <w:autoSpaceDE w:val="0"/>
              <w:autoSpaceDN w:val="0"/>
              <w:adjustRightInd w:val="0"/>
              <w:spacing w:before="157"/>
              <w:jc w:val="both"/>
              <w:rPr>
                <w:rFonts w:ascii="Arial" w:hAnsi="Arial" w:cs="Arial"/>
                <w:sz w:val="16"/>
                <w:szCs w:val="16"/>
              </w:rPr>
            </w:pPr>
            <w:r>
              <w:rPr>
                <w:rFonts w:ascii="Arial" w:hAnsi="Arial" w:cs="Arial"/>
                <w:sz w:val="16"/>
                <w:szCs w:val="16"/>
              </w:rPr>
              <w:t>si</w:t>
            </w:r>
          </w:p>
        </w:tc>
        <w:tc>
          <w:tcPr>
            <w:tcW w:w="429" w:type="pct"/>
            <w:tcBorders>
              <w:top w:val="single" w:sz="6" w:space="0" w:color="auto"/>
              <w:left w:val="single" w:sz="6" w:space="0" w:color="auto"/>
              <w:bottom w:val="single" w:sz="6" w:space="0" w:color="auto"/>
              <w:right w:val="single" w:sz="6" w:space="0" w:color="auto"/>
            </w:tcBorders>
          </w:tcPr>
          <w:p w14:paraId="026EA2BD" w14:textId="2E426D40" w:rsidR="00A14AF9" w:rsidRPr="007512D0" w:rsidRDefault="00766AB2" w:rsidP="00A14AF9">
            <w:pPr>
              <w:widowControl w:val="0"/>
              <w:autoSpaceDE w:val="0"/>
              <w:autoSpaceDN w:val="0"/>
              <w:adjustRightInd w:val="0"/>
              <w:spacing w:before="157"/>
              <w:jc w:val="both"/>
              <w:rPr>
                <w:rFonts w:ascii="Arial" w:hAnsi="Arial" w:cs="Arial"/>
                <w:sz w:val="16"/>
                <w:szCs w:val="16"/>
              </w:rPr>
            </w:pPr>
            <w:r>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14:paraId="6965E00F" w14:textId="2CCB96E5" w:rsidR="00A14AF9" w:rsidRPr="007512D0" w:rsidRDefault="00766AB2" w:rsidP="00A14AF9">
            <w:pPr>
              <w:widowControl w:val="0"/>
              <w:autoSpaceDE w:val="0"/>
              <w:autoSpaceDN w:val="0"/>
              <w:adjustRightInd w:val="0"/>
              <w:spacing w:before="157"/>
              <w:jc w:val="both"/>
              <w:rPr>
                <w:rFonts w:ascii="Arial" w:hAnsi="Arial" w:cs="Arial"/>
                <w:sz w:val="16"/>
                <w:szCs w:val="16"/>
              </w:rPr>
            </w:pPr>
            <w:r>
              <w:rPr>
                <w:rFonts w:ascii="Arial" w:hAnsi="Arial" w:cs="Arial"/>
                <w:sz w:val="16"/>
                <w:szCs w:val="16"/>
              </w:rPr>
              <w:t>Si</w:t>
            </w:r>
          </w:p>
        </w:tc>
      </w:tr>
    </w:tbl>
    <w:p w14:paraId="5CCC82A1" w14:textId="77777777" w:rsidR="00BD5454" w:rsidRPr="007923C2" w:rsidRDefault="00BD5454" w:rsidP="00BD5454">
      <w:pPr>
        <w:widowControl w:val="0"/>
        <w:autoSpaceDE w:val="0"/>
        <w:autoSpaceDN w:val="0"/>
        <w:adjustRightInd w:val="0"/>
        <w:rPr>
          <w:rFonts w:ascii="Arial" w:hAnsi="Arial" w:cs="Arial"/>
          <w:b/>
          <w:bCs/>
          <w:i/>
          <w:iCs/>
          <w:sz w:val="22"/>
          <w:szCs w:val="22"/>
        </w:rPr>
      </w:pPr>
    </w:p>
    <w:p w14:paraId="4A6CD4FB" w14:textId="77777777" w:rsidR="00BD5454" w:rsidRPr="007923C2" w:rsidRDefault="003C7713" w:rsidP="00BD5454">
      <w:pPr>
        <w:widowControl w:val="0"/>
        <w:autoSpaceDE w:val="0"/>
        <w:autoSpaceDN w:val="0"/>
        <w:adjustRightInd w:val="0"/>
        <w:rPr>
          <w:rFonts w:ascii="Arial" w:hAnsi="Arial" w:cs="Arial"/>
          <w:b/>
          <w:bCs/>
          <w:i/>
          <w:iCs/>
          <w:sz w:val="22"/>
          <w:szCs w:val="22"/>
        </w:rPr>
      </w:pPr>
      <w:r w:rsidRPr="007923C2">
        <w:rPr>
          <w:rFonts w:ascii="Arial" w:hAnsi="Arial" w:cs="Arial"/>
          <w:b/>
          <w:bCs/>
          <w:i/>
          <w:iCs/>
          <w:sz w:val="22"/>
          <w:szCs w:val="22"/>
        </w:rPr>
        <w:t>PROFESORES EXTERNOS QUE APOYAN AL PROGRAMA DOCENTE DE LA CARRERA DE INGENIERO EN AGROBIOLOGÍA.</w:t>
      </w:r>
    </w:p>
    <w:p w14:paraId="4C338643" w14:textId="77777777" w:rsidR="003C7713" w:rsidRPr="007923C2" w:rsidRDefault="003C7713"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Los profesores que imparten las materias de estos departamentos cuentan con experiencia y especialización. Por lo anterior la preparación de los alumnos de Agrobiología no depende 100% del departamento de Botánica.</w:t>
      </w:r>
    </w:p>
    <w:p w14:paraId="6FB29373" w14:textId="77777777" w:rsidR="003C7713" w:rsidRPr="007923C2" w:rsidRDefault="003C7713"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La Universidad cuenta con una planta de profesores investigadores de los cuales la mayoría están próximo a su jubilación por lo que se está en un momento crucial en el cual se debe contratar personal joven con ganas de superase lo que se podría aprovechar para renovar las carreras y darles mayor vitalidad y empuje</w:t>
      </w:r>
    </w:p>
    <w:p w14:paraId="30CF9E2F" w14:textId="77777777" w:rsidR="003C7713" w:rsidRPr="007923C2" w:rsidRDefault="003C7713"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profesores que estamos actualmente tenemos la obligación de implementar en nuestras carreras la calidad que con la experiencia se puede lograr.</w:t>
      </w:r>
    </w:p>
    <w:p w14:paraId="27F45136" w14:textId="77777777" w:rsidR="003C7713" w:rsidRDefault="003C7713"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La mayoría de los profesores del  Departamento de Botánica tienen una edad de entre los 47-60 años y más de 2</w:t>
      </w:r>
      <w:r w:rsidR="002270A0" w:rsidRPr="007923C2">
        <w:rPr>
          <w:rFonts w:ascii="Arial" w:hAnsi="Arial" w:cs="Arial"/>
          <w:sz w:val="22"/>
          <w:szCs w:val="22"/>
        </w:rPr>
        <w:t>5</w:t>
      </w:r>
      <w:r w:rsidRPr="007923C2">
        <w:rPr>
          <w:rFonts w:ascii="Arial" w:hAnsi="Arial" w:cs="Arial"/>
          <w:sz w:val="22"/>
          <w:szCs w:val="22"/>
        </w:rPr>
        <w:t xml:space="preserve"> años de servicio.</w:t>
      </w:r>
    </w:p>
    <w:p w14:paraId="62DC39D1" w14:textId="77777777" w:rsidR="007512D0" w:rsidRPr="007923C2" w:rsidRDefault="007512D0" w:rsidP="00F17500">
      <w:pPr>
        <w:widowControl w:val="0"/>
        <w:autoSpaceDE w:val="0"/>
        <w:autoSpaceDN w:val="0"/>
        <w:adjustRightInd w:val="0"/>
        <w:jc w:val="both"/>
        <w:rPr>
          <w:rFonts w:ascii="Arial" w:hAnsi="Arial" w:cs="Arial"/>
          <w:sz w:val="22"/>
          <w:szCs w:val="22"/>
        </w:rPr>
      </w:pPr>
    </w:p>
    <w:p w14:paraId="35A2DF6B" w14:textId="77777777" w:rsidR="00181270" w:rsidRPr="007923C2" w:rsidRDefault="00181270"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Otros departamentos que apoyan en impartir  materias son:</w:t>
      </w:r>
    </w:p>
    <w:p w14:paraId="4461D334" w14:textId="77777777" w:rsidR="00181270" w:rsidRPr="007923C2" w:rsidRDefault="00181270" w:rsidP="00181270">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Departamento de:</w:t>
      </w:r>
    </w:p>
    <w:p w14:paraId="77F048BB"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1.- Parasitología</w:t>
      </w:r>
    </w:p>
    <w:p w14:paraId="58231BC7"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2.- Fitomejoramiento</w:t>
      </w:r>
    </w:p>
    <w:p w14:paraId="55ED8638"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3.- Ciencias del Suelo</w:t>
      </w:r>
    </w:p>
    <w:p w14:paraId="144305E3"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4.- Recursos Naturales</w:t>
      </w:r>
    </w:p>
    <w:p w14:paraId="6A458C63"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5.- Forestal</w:t>
      </w:r>
    </w:p>
    <w:p w14:paraId="09279147"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6.- Sociología</w:t>
      </w:r>
    </w:p>
    <w:p w14:paraId="4DFD0611"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7.- Administración</w:t>
      </w:r>
    </w:p>
    <w:p w14:paraId="7EDE99A2"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8.- Riego y drenaje</w:t>
      </w:r>
    </w:p>
    <w:p w14:paraId="3CB8C56D"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9.- Agrofísica</w:t>
      </w:r>
    </w:p>
    <w:p w14:paraId="177ABDE4"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10.- Estadística y Cálculo</w:t>
      </w:r>
    </w:p>
    <w:p w14:paraId="5AD39EC1"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11.- Ciencias Básicas</w:t>
      </w:r>
    </w:p>
    <w:p w14:paraId="037E4488"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12.- Idiomas</w:t>
      </w:r>
    </w:p>
    <w:p w14:paraId="1E17D6E5" w14:textId="77777777"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13.- Agrometeorología</w:t>
      </w:r>
    </w:p>
    <w:p w14:paraId="139BDF98" w14:textId="77777777" w:rsidR="00181270"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14.- Horticultura</w:t>
      </w:r>
    </w:p>
    <w:p w14:paraId="14994DEF" w14:textId="77777777" w:rsidR="00181270" w:rsidRPr="007923C2" w:rsidRDefault="002C667B" w:rsidP="00F17500">
      <w:pPr>
        <w:jc w:val="both"/>
        <w:rPr>
          <w:rFonts w:ascii="Arial" w:hAnsi="Arial" w:cs="Arial"/>
          <w:sz w:val="22"/>
          <w:szCs w:val="22"/>
        </w:rPr>
      </w:pPr>
      <w:r w:rsidRPr="007923C2">
        <w:rPr>
          <w:rFonts w:ascii="Arial" w:hAnsi="Arial" w:cs="Arial"/>
          <w:sz w:val="22"/>
          <w:szCs w:val="22"/>
        </w:rPr>
        <w:t>Se ha</w:t>
      </w:r>
      <w:r w:rsidR="00F254FA" w:rsidRPr="007923C2">
        <w:rPr>
          <w:rFonts w:ascii="Arial" w:hAnsi="Arial" w:cs="Arial"/>
          <w:sz w:val="22"/>
          <w:szCs w:val="22"/>
        </w:rPr>
        <w:t>n</w:t>
      </w:r>
      <w:r w:rsidRPr="007923C2">
        <w:rPr>
          <w:rFonts w:ascii="Arial" w:hAnsi="Arial" w:cs="Arial"/>
          <w:sz w:val="22"/>
          <w:szCs w:val="22"/>
        </w:rPr>
        <w:t xml:space="preserve"> seleccionado las materias que conforman el Plan de Estudios de acuerdo al Perfil de Egreso sobre todo las materias profesionalizantes que requieren de profesores especializados que han desarrollado el aspecto práctico con los proyectos de investigación lo que les permite ejemplificar el conocimiento teórico.</w:t>
      </w:r>
    </w:p>
    <w:p w14:paraId="584F8F35" w14:textId="77777777" w:rsidR="002C667B" w:rsidRPr="007923C2" w:rsidRDefault="002C667B" w:rsidP="00F17500">
      <w:pPr>
        <w:jc w:val="both"/>
        <w:rPr>
          <w:rFonts w:ascii="Arial" w:hAnsi="Arial" w:cs="Arial"/>
          <w:sz w:val="22"/>
          <w:szCs w:val="22"/>
        </w:rPr>
      </w:pPr>
      <w:r w:rsidRPr="007923C2">
        <w:rPr>
          <w:rFonts w:ascii="Arial" w:hAnsi="Arial" w:cs="Arial"/>
          <w:sz w:val="22"/>
          <w:szCs w:val="22"/>
        </w:rPr>
        <w:t>Es una ventaja que se ofrece a los estudiantes la diversificación de Departamentos cada uno de ellos dedicados a un área del conocimiento</w:t>
      </w:r>
      <w:r w:rsidR="00F254FA" w:rsidRPr="007923C2">
        <w:rPr>
          <w:rFonts w:ascii="Arial" w:hAnsi="Arial" w:cs="Arial"/>
          <w:sz w:val="22"/>
          <w:szCs w:val="22"/>
        </w:rPr>
        <w:t>.</w:t>
      </w:r>
    </w:p>
    <w:p w14:paraId="7F35C5BB" w14:textId="77777777" w:rsidR="00F254FA" w:rsidRPr="007923C2" w:rsidRDefault="00F254FA" w:rsidP="00F17500">
      <w:pPr>
        <w:jc w:val="both"/>
        <w:rPr>
          <w:rFonts w:ascii="Arial" w:hAnsi="Arial" w:cs="Arial"/>
          <w:sz w:val="22"/>
          <w:szCs w:val="22"/>
        </w:rPr>
      </w:pPr>
      <w:r w:rsidRPr="007923C2">
        <w:rPr>
          <w:rFonts w:ascii="Arial" w:hAnsi="Arial" w:cs="Arial"/>
          <w:sz w:val="22"/>
          <w:szCs w:val="22"/>
        </w:rPr>
        <w:lastRenderedPageBreak/>
        <w:t>Aunque en algunos casos existe el inconveniente de que el profesor le de un determinado enfoque a la impartición del conocimiento que en ocaciones no corresponde cien por ciento al perfil de egreso del agrobiólogo.</w:t>
      </w:r>
    </w:p>
    <w:p w14:paraId="4CEFA333" w14:textId="77777777" w:rsidR="00181270" w:rsidRPr="007923C2" w:rsidRDefault="00F254FA"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La diversidad de Departamentos que imparten las materias a los estudiantes de Agrobiología se debe al manejo de diferentes áreas del conocimiento con las cuales está fundamentado el Plan de Estudios. Agricultura alternativa, Ecología y contaminación, Biotecnología.</w:t>
      </w:r>
    </w:p>
    <w:p w14:paraId="072E90BC" w14:textId="77777777" w:rsidR="00F96559" w:rsidRDefault="00F96559" w:rsidP="00F13DD0">
      <w:pPr>
        <w:spacing w:after="0" w:line="240" w:lineRule="auto"/>
        <w:rPr>
          <w:rFonts w:ascii="Arial" w:hAnsi="Arial" w:cs="Arial"/>
          <w:b/>
          <w:color w:val="000000"/>
          <w:sz w:val="22"/>
          <w:szCs w:val="22"/>
        </w:rPr>
      </w:pPr>
    </w:p>
    <w:p w14:paraId="20733A57" w14:textId="77777777" w:rsidR="00F96559" w:rsidRDefault="00F96559" w:rsidP="00F13DD0">
      <w:pPr>
        <w:spacing w:after="0" w:line="240" w:lineRule="auto"/>
        <w:rPr>
          <w:rFonts w:ascii="Arial" w:hAnsi="Arial" w:cs="Arial"/>
          <w:b/>
          <w:color w:val="000000"/>
          <w:sz w:val="22"/>
          <w:szCs w:val="22"/>
        </w:rPr>
      </w:pPr>
    </w:p>
    <w:p w14:paraId="2054B691" w14:textId="77777777" w:rsidR="00621076" w:rsidRDefault="00F13DD0" w:rsidP="00F13DD0">
      <w:pPr>
        <w:spacing w:after="0" w:line="240" w:lineRule="auto"/>
        <w:rPr>
          <w:rFonts w:ascii="Arial" w:hAnsi="Arial" w:cs="Arial"/>
          <w:b/>
          <w:color w:val="000000"/>
          <w:sz w:val="22"/>
          <w:szCs w:val="22"/>
        </w:rPr>
      </w:pPr>
      <w:r w:rsidRPr="007923C2">
        <w:rPr>
          <w:rFonts w:ascii="Arial" w:hAnsi="Arial" w:cs="Arial"/>
          <w:b/>
          <w:color w:val="000000"/>
          <w:sz w:val="22"/>
          <w:szCs w:val="22"/>
        </w:rPr>
        <w:t xml:space="preserve">INFORMACIÓN BÁSICA DEL PERSONAL DE OTROS DEPARTAMENTOS QUE APOYAN AL PROGRAMA DOCENTE DE INGENIERO EN AGROBIOLOGÍA </w:t>
      </w:r>
    </w:p>
    <w:p w14:paraId="6CECA6C0" w14:textId="77777777" w:rsidR="00621076" w:rsidRDefault="00621076" w:rsidP="00F13DD0">
      <w:pPr>
        <w:spacing w:after="0" w:line="240" w:lineRule="auto"/>
        <w:rPr>
          <w:rFonts w:ascii="Arial" w:hAnsi="Arial" w:cs="Arial"/>
          <w:b/>
          <w:color w:val="000000"/>
          <w:sz w:val="22"/>
          <w:szCs w:val="22"/>
        </w:rPr>
      </w:pPr>
    </w:p>
    <w:p w14:paraId="2F458837" w14:textId="77777777" w:rsidR="00F13DD0" w:rsidRPr="007923C2" w:rsidRDefault="00F13DD0" w:rsidP="00F13DD0">
      <w:pPr>
        <w:spacing w:after="0" w:line="240" w:lineRule="auto"/>
        <w:rPr>
          <w:rFonts w:ascii="Arial" w:hAnsi="Arial" w:cs="Arial"/>
          <w:color w:val="000000"/>
          <w:sz w:val="22"/>
          <w:szCs w:val="22"/>
        </w:rPr>
      </w:pPr>
    </w:p>
    <w:tbl>
      <w:tblPr>
        <w:tblStyle w:val="Tablaconcuadrcula"/>
        <w:tblW w:w="10207" w:type="dxa"/>
        <w:tblInd w:w="-714" w:type="dxa"/>
        <w:tblLayout w:type="fixed"/>
        <w:tblLook w:val="04A0" w:firstRow="1" w:lastRow="0" w:firstColumn="1" w:lastColumn="0" w:noHBand="0" w:noVBand="1"/>
      </w:tblPr>
      <w:tblGrid>
        <w:gridCol w:w="425"/>
        <w:gridCol w:w="2269"/>
        <w:gridCol w:w="709"/>
        <w:gridCol w:w="850"/>
        <w:gridCol w:w="709"/>
        <w:gridCol w:w="1701"/>
        <w:gridCol w:w="709"/>
        <w:gridCol w:w="567"/>
        <w:gridCol w:w="850"/>
        <w:gridCol w:w="1418"/>
      </w:tblGrid>
      <w:tr w:rsidR="00D716C5" w:rsidRPr="007923C2" w14:paraId="1976B642" w14:textId="77777777" w:rsidTr="00D716C5">
        <w:trPr>
          <w:trHeight w:val="300"/>
        </w:trPr>
        <w:tc>
          <w:tcPr>
            <w:tcW w:w="425" w:type="dxa"/>
            <w:hideMark/>
          </w:tcPr>
          <w:p w14:paraId="19877D6D" w14:textId="77777777" w:rsidR="00D716C5" w:rsidRPr="007512D0" w:rsidRDefault="00D716C5" w:rsidP="00D716C5">
            <w:pPr>
              <w:rPr>
                <w:rFonts w:ascii="Arial" w:hAnsi="Arial" w:cs="Arial"/>
                <w:color w:val="000000"/>
                <w:sz w:val="16"/>
                <w:szCs w:val="16"/>
              </w:rPr>
            </w:pPr>
          </w:p>
        </w:tc>
        <w:tc>
          <w:tcPr>
            <w:tcW w:w="9782" w:type="dxa"/>
            <w:gridSpan w:val="9"/>
            <w:hideMark/>
          </w:tcPr>
          <w:p w14:paraId="7DE37119" w14:textId="77777777"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 xml:space="preserve">              Información Básica del Personal de otros Departamentos que apoya al Programa IAB</w:t>
            </w:r>
          </w:p>
        </w:tc>
      </w:tr>
      <w:tr w:rsidR="00D716C5" w:rsidRPr="007923C2" w14:paraId="36D7FAD6" w14:textId="77777777" w:rsidTr="00D716C5">
        <w:trPr>
          <w:trHeight w:val="600"/>
        </w:trPr>
        <w:tc>
          <w:tcPr>
            <w:tcW w:w="425" w:type="dxa"/>
            <w:vMerge w:val="restart"/>
            <w:hideMark/>
          </w:tcPr>
          <w:p w14:paraId="7A3AC44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2269" w:type="dxa"/>
            <w:vMerge w:val="restart"/>
            <w:hideMark/>
          </w:tcPr>
          <w:p w14:paraId="3B891B35" w14:textId="77777777"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Nombre</w:t>
            </w:r>
          </w:p>
        </w:tc>
        <w:tc>
          <w:tcPr>
            <w:tcW w:w="709" w:type="dxa"/>
            <w:vMerge w:val="restart"/>
            <w:hideMark/>
          </w:tcPr>
          <w:p w14:paraId="15E58F4E" w14:textId="77777777"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Grado</w:t>
            </w:r>
          </w:p>
        </w:tc>
        <w:tc>
          <w:tcPr>
            <w:tcW w:w="850" w:type="dxa"/>
            <w:vMerge w:val="restart"/>
            <w:hideMark/>
          </w:tcPr>
          <w:p w14:paraId="22B76F04" w14:textId="77777777"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Nombramiento</w:t>
            </w:r>
          </w:p>
        </w:tc>
        <w:tc>
          <w:tcPr>
            <w:tcW w:w="709" w:type="dxa"/>
            <w:vMerge w:val="restart"/>
            <w:hideMark/>
          </w:tcPr>
          <w:p w14:paraId="722AB176" w14:textId="77777777"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N° Hrs</w:t>
            </w:r>
          </w:p>
        </w:tc>
        <w:tc>
          <w:tcPr>
            <w:tcW w:w="1701" w:type="dxa"/>
            <w:vMerge w:val="restart"/>
            <w:hideMark/>
          </w:tcPr>
          <w:p w14:paraId="6AE6E0DE" w14:textId="77777777"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Materias que imparten</w:t>
            </w:r>
          </w:p>
        </w:tc>
        <w:tc>
          <w:tcPr>
            <w:tcW w:w="709" w:type="dxa"/>
            <w:vMerge w:val="restart"/>
            <w:hideMark/>
          </w:tcPr>
          <w:p w14:paraId="364D9F28" w14:textId="77777777"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PEDPD</w:t>
            </w:r>
          </w:p>
        </w:tc>
        <w:tc>
          <w:tcPr>
            <w:tcW w:w="567" w:type="dxa"/>
            <w:vMerge w:val="restart"/>
            <w:hideMark/>
          </w:tcPr>
          <w:p w14:paraId="5ADF9AC5" w14:textId="77777777"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SNI</w:t>
            </w:r>
          </w:p>
        </w:tc>
        <w:tc>
          <w:tcPr>
            <w:tcW w:w="850" w:type="dxa"/>
            <w:vMerge w:val="restart"/>
            <w:hideMark/>
          </w:tcPr>
          <w:p w14:paraId="4F415E38" w14:textId="77777777"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PRODEP</w:t>
            </w:r>
          </w:p>
        </w:tc>
        <w:tc>
          <w:tcPr>
            <w:tcW w:w="1418" w:type="dxa"/>
            <w:vMerge w:val="restart"/>
            <w:hideMark/>
          </w:tcPr>
          <w:p w14:paraId="19C85E57" w14:textId="77777777"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Proyecto de Investigación  o desarrollo</w:t>
            </w:r>
          </w:p>
        </w:tc>
      </w:tr>
      <w:tr w:rsidR="00D716C5" w:rsidRPr="007923C2" w14:paraId="29D30436" w14:textId="77777777" w:rsidTr="00D716C5">
        <w:trPr>
          <w:trHeight w:val="300"/>
        </w:trPr>
        <w:tc>
          <w:tcPr>
            <w:tcW w:w="425" w:type="dxa"/>
            <w:vMerge/>
            <w:hideMark/>
          </w:tcPr>
          <w:p w14:paraId="16BEA54F" w14:textId="77777777" w:rsidR="00D716C5" w:rsidRPr="007512D0" w:rsidRDefault="00D716C5" w:rsidP="00D716C5">
            <w:pPr>
              <w:rPr>
                <w:rFonts w:ascii="Arial" w:hAnsi="Arial" w:cs="Arial"/>
                <w:color w:val="000000"/>
                <w:sz w:val="16"/>
                <w:szCs w:val="16"/>
              </w:rPr>
            </w:pPr>
          </w:p>
        </w:tc>
        <w:tc>
          <w:tcPr>
            <w:tcW w:w="2269" w:type="dxa"/>
            <w:vMerge/>
            <w:hideMark/>
          </w:tcPr>
          <w:p w14:paraId="2AD878B4" w14:textId="77777777" w:rsidR="00D716C5" w:rsidRPr="007512D0" w:rsidRDefault="00D716C5" w:rsidP="00D716C5">
            <w:pPr>
              <w:rPr>
                <w:rFonts w:ascii="Arial" w:hAnsi="Arial" w:cs="Arial"/>
                <w:b/>
                <w:bCs/>
                <w:color w:val="000000"/>
                <w:sz w:val="16"/>
                <w:szCs w:val="16"/>
              </w:rPr>
            </w:pPr>
          </w:p>
        </w:tc>
        <w:tc>
          <w:tcPr>
            <w:tcW w:w="709" w:type="dxa"/>
            <w:vMerge/>
            <w:hideMark/>
          </w:tcPr>
          <w:p w14:paraId="4D9B6349" w14:textId="77777777" w:rsidR="00D716C5" w:rsidRPr="007512D0" w:rsidRDefault="00D716C5" w:rsidP="00D716C5">
            <w:pPr>
              <w:rPr>
                <w:rFonts w:ascii="Arial" w:hAnsi="Arial" w:cs="Arial"/>
                <w:b/>
                <w:bCs/>
                <w:color w:val="000000"/>
                <w:sz w:val="16"/>
                <w:szCs w:val="16"/>
              </w:rPr>
            </w:pPr>
          </w:p>
        </w:tc>
        <w:tc>
          <w:tcPr>
            <w:tcW w:w="850" w:type="dxa"/>
            <w:vMerge/>
            <w:hideMark/>
          </w:tcPr>
          <w:p w14:paraId="5D3CD5D0" w14:textId="77777777" w:rsidR="00D716C5" w:rsidRPr="007512D0" w:rsidRDefault="00D716C5" w:rsidP="00D716C5">
            <w:pPr>
              <w:rPr>
                <w:rFonts w:ascii="Arial" w:hAnsi="Arial" w:cs="Arial"/>
                <w:b/>
                <w:bCs/>
                <w:color w:val="000000"/>
                <w:sz w:val="16"/>
                <w:szCs w:val="16"/>
              </w:rPr>
            </w:pPr>
          </w:p>
        </w:tc>
        <w:tc>
          <w:tcPr>
            <w:tcW w:w="709" w:type="dxa"/>
            <w:vMerge/>
            <w:hideMark/>
          </w:tcPr>
          <w:p w14:paraId="01E374CB" w14:textId="77777777" w:rsidR="00D716C5" w:rsidRPr="007512D0" w:rsidRDefault="00D716C5" w:rsidP="00D716C5">
            <w:pPr>
              <w:rPr>
                <w:rFonts w:ascii="Arial" w:hAnsi="Arial" w:cs="Arial"/>
                <w:b/>
                <w:bCs/>
                <w:color w:val="000000"/>
                <w:sz w:val="16"/>
                <w:szCs w:val="16"/>
              </w:rPr>
            </w:pPr>
          </w:p>
        </w:tc>
        <w:tc>
          <w:tcPr>
            <w:tcW w:w="1701" w:type="dxa"/>
            <w:vMerge/>
            <w:hideMark/>
          </w:tcPr>
          <w:p w14:paraId="0E043643" w14:textId="77777777" w:rsidR="00D716C5" w:rsidRPr="007512D0" w:rsidRDefault="00D716C5" w:rsidP="00D716C5">
            <w:pPr>
              <w:rPr>
                <w:rFonts w:ascii="Arial" w:hAnsi="Arial" w:cs="Arial"/>
                <w:b/>
                <w:bCs/>
                <w:color w:val="000000"/>
                <w:sz w:val="16"/>
                <w:szCs w:val="16"/>
              </w:rPr>
            </w:pPr>
          </w:p>
        </w:tc>
        <w:tc>
          <w:tcPr>
            <w:tcW w:w="709" w:type="dxa"/>
            <w:vMerge/>
            <w:hideMark/>
          </w:tcPr>
          <w:p w14:paraId="52A269C1" w14:textId="77777777" w:rsidR="00D716C5" w:rsidRPr="007512D0" w:rsidRDefault="00D716C5" w:rsidP="00D716C5">
            <w:pPr>
              <w:rPr>
                <w:rFonts w:ascii="Arial" w:hAnsi="Arial" w:cs="Arial"/>
                <w:b/>
                <w:bCs/>
                <w:color w:val="000000"/>
                <w:sz w:val="16"/>
                <w:szCs w:val="16"/>
              </w:rPr>
            </w:pPr>
          </w:p>
        </w:tc>
        <w:tc>
          <w:tcPr>
            <w:tcW w:w="567" w:type="dxa"/>
            <w:vMerge/>
            <w:hideMark/>
          </w:tcPr>
          <w:p w14:paraId="3BBFF18C" w14:textId="77777777" w:rsidR="00D716C5" w:rsidRPr="007512D0" w:rsidRDefault="00D716C5" w:rsidP="00D716C5">
            <w:pPr>
              <w:rPr>
                <w:rFonts w:ascii="Arial" w:hAnsi="Arial" w:cs="Arial"/>
                <w:b/>
                <w:bCs/>
                <w:color w:val="000000"/>
                <w:sz w:val="16"/>
                <w:szCs w:val="16"/>
              </w:rPr>
            </w:pPr>
          </w:p>
        </w:tc>
        <w:tc>
          <w:tcPr>
            <w:tcW w:w="850" w:type="dxa"/>
            <w:vMerge/>
            <w:hideMark/>
          </w:tcPr>
          <w:p w14:paraId="4DA258EE" w14:textId="77777777" w:rsidR="00D716C5" w:rsidRPr="007512D0" w:rsidRDefault="00D716C5" w:rsidP="00D716C5">
            <w:pPr>
              <w:rPr>
                <w:rFonts w:ascii="Arial" w:hAnsi="Arial" w:cs="Arial"/>
                <w:b/>
                <w:bCs/>
                <w:color w:val="000000"/>
                <w:sz w:val="16"/>
                <w:szCs w:val="16"/>
              </w:rPr>
            </w:pPr>
          </w:p>
        </w:tc>
        <w:tc>
          <w:tcPr>
            <w:tcW w:w="1418" w:type="dxa"/>
            <w:vMerge/>
            <w:hideMark/>
          </w:tcPr>
          <w:p w14:paraId="683A90D4" w14:textId="77777777" w:rsidR="00D716C5" w:rsidRPr="007512D0" w:rsidRDefault="00D716C5" w:rsidP="00D716C5">
            <w:pPr>
              <w:rPr>
                <w:rFonts w:ascii="Arial" w:hAnsi="Arial" w:cs="Arial"/>
                <w:b/>
                <w:bCs/>
                <w:color w:val="000000"/>
                <w:sz w:val="16"/>
                <w:szCs w:val="16"/>
              </w:rPr>
            </w:pPr>
          </w:p>
        </w:tc>
      </w:tr>
      <w:tr w:rsidR="00D716C5" w:rsidRPr="007923C2" w14:paraId="3CB4B193" w14:textId="77777777" w:rsidTr="00D716C5">
        <w:trPr>
          <w:trHeight w:val="390"/>
        </w:trPr>
        <w:tc>
          <w:tcPr>
            <w:tcW w:w="425" w:type="dxa"/>
            <w:hideMark/>
          </w:tcPr>
          <w:p w14:paraId="1F55546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w:t>
            </w:r>
          </w:p>
        </w:tc>
        <w:tc>
          <w:tcPr>
            <w:tcW w:w="2269" w:type="dxa"/>
            <w:hideMark/>
          </w:tcPr>
          <w:p w14:paraId="2792A8A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Agurre Uribe Luis Alberto</w:t>
            </w:r>
          </w:p>
        </w:tc>
        <w:tc>
          <w:tcPr>
            <w:tcW w:w="709" w:type="dxa"/>
            <w:hideMark/>
          </w:tcPr>
          <w:p w14:paraId="405D47A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14:paraId="559330A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0ABE661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455F37A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Manejo integral de plagas, Entomologia</w:t>
            </w:r>
          </w:p>
        </w:tc>
        <w:tc>
          <w:tcPr>
            <w:tcW w:w="709" w:type="dxa"/>
            <w:hideMark/>
          </w:tcPr>
          <w:p w14:paraId="70E6DD7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63CA988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6E4AA11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40133A6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1FEF7D0E" w14:textId="77777777" w:rsidTr="00D716C5">
        <w:trPr>
          <w:trHeight w:val="300"/>
        </w:trPr>
        <w:tc>
          <w:tcPr>
            <w:tcW w:w="425" w:type="dxa"/>
            <w:hideMark/>
          </w:tcPr>
          <w:p w14:paraId="7B0D2FA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w:t>
            </w:r>
          </w:p>
        </w:tc>
        <w:tc>
          <w:tcPr>
            <w:tcW w:w="2269" w:type="dxa"/>
            <w:hideMark/>
          </w:tcPr>
          <w:p w14:paraId="43EA6FB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Alvarado Martínez Tomas E.</w:t>
            </w:r>
          </w:p>
        </w:tc>
        <w:tc>
          <w:tcPr>
            <w:tcW w:w="709" w:type="dxa"/>
            <w:hideMark/>
          </w:tcPr>
          <w:p w14:paraId="13CD7D8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4D56668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06A8673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058C93D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Administración</w:t>
            </w:r>
          </w:p>
        </w:tc>
        <w:tc>
          <w:tcPr>
            <w:tcW w:w="709" w:type="dxa"/>
            <w:hideMark/>
          </w:tcPr>
          <w:p w14:paraId="7D10069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6ADA32E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4FE0F7B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048C92F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4BE87567" w14:textId="77777777" w:rsidTr="00D716C5">
        <w:trPr>
          <w:trHeight w:val="300"/>
        </w:trPr>
        <w:tc>
          <w:tcPr>
            <w:tcW w:w="425" w:type="dxa"/>
            <w:hideMark/>
          </w:tcPr>
          <w:p w14:paraId="419D3BB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w:t>
            </w:r>
          </w:p>
        </w:tc>
        <w:tc>
          <w:tcPr>
            <w:tcW w:w="2269" w:type="dxa"/>
            <w:hideMark/>
          </w:tcPr>
          <w:p w14:paraId="48085C6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Ayala López Carmen L.</w:t>
            </w:r>
          </w:p>
        </w:tc>
        <w:tc>
          <w:tcPr>
            <w:tcW w:w="709" w:type="dxa"/>
            <w:hideMark/>
          </w:tcPr>
          <w:p w14:paraId="03CCD5F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6439780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0BBEF58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37DDB9A5" w14:textId="77777777" w:rsidR="00D716C5" w:rsidRPr="007512D0" w:rsidRDefault="00D716C5" w:rsidP="00433FBC">
            <w:pPr>
              <w:rPr>
                <w:rFonts w:ascii="Arial" w:hAnsi="Arial" w:cs="Arial"/>
                <w:color w:val="000000"/>
                <w:sz w:val="16"/>
                <w:szCs w:val="16"/>
              </w:rPr>
            </w:pPr>
            <w:r w:rsidRPr="007512D0">
              <w:rPr>
                <w:rFonts w:ascii="Arial" w:hAnsi="Arial" w:cs="Arial"/>
                <w:color w:val="000000"/>
                <w:sz w:val="16"/>
                <w:szCs w:val="16"/>
              </w:rPr>
              <w:t>Tall. De com. Oral y escr</w:t>
            </w:r>
            <w:r w:rsidR="00433FBC">
              <w:rPr>
                <w:rFonts w:ascii="Arial" w:hAnsi="Arial" w:cs="Arial"/>
                <w:color w:val="000000"/>
                <w:sz w:val="16"/>
                <w:szCs w:val="16"/>
              </w:rPr>
              <w:t>i</w:t>
            </w:r>
            <w:r w:rsidRPr="007512D0">
              <w:rPr>
                <w:rFonts w:ascii="Arial" w:hAnsi="Arial" w:cs="Arial"/>
                <w:color w:val="000000"/>
                <w:sz w:val="16"/>
                <w:szCs w:val="16"/>
              </w:rPr>
              <w:t>t</w:t>
            </w:r>
            <w:r w:rsidR="00433FBC">
              <w:rPr>
                <w:rFonts w:ascii="Arial" w:hAnsi="Arial" w:cs="Arial"/>
                <w:color w:val="000000"/>
                <w:sz w:val="16"/>
                <w:szCs w:val="16"/>
              </w:rPr>
              <w:t>a.</w:t>
            </w:r>
          </w:p>
        </w:tc>
        <w:tc>
          <w:tcPr>
            <w:tcW w:w="709" w:type="dxa"/>
            <w:hideMark/>
          </w:tcPr>
          <w:p w14:paraId="5027CFF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226265E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33EC8F6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15467AF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06C734E4" w14:textId="77777777" w:rsidTr="00D716C5">
        <w:trPr>
          <w:trHeight w:val="300"/>
        </w:trPr>
        <w:tc>
          <w:tcPr>
            <w:tcW w:w="425" w:type="dxa"/>
            <w:hideMark/>
          </w:tcPr>
          <w:p w14:paraId="2FECCD2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w:t>
            </w:r>
          </w:p>
        </w:tc>
        <w:tc>
          <w:tcPr>
            <w:tcW w:w="2269" w:type="dxa"/>
            <w:hideMark/>
          </w:tcPr>
          <w:p w14:paraId="2A88329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Barrera P. María Magdalena</w:t>
            </w:r>
          </w:p>
        </w:tc>
        <w:tc>
          <w:tcPr>
            <w:tcW w:w="709" w:type="dxa"/>
            <w:hideMark/>
          </w:tcPr>
          <w:p w14:paraId="460A366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Dra.</w:t>
            </w:r>
          </w:p>
        </w:tc>
        <w:tc>
          <w:tcPr>
            <w:tcW w:w="850" w:type="dxa"/>
            <w:hideMark/>
          </w:tcPr>
          <w:p w14:paraId="10D6F6C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21C6CBF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628BDD7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Administración I</w:t>
            </w:r>
          </w:p>
        </w:tc>
        <w:tc>
          <w:tcPr>
            <w:tcW w:w="709" w:type="dxa"/>
            <w:hideMark/>
          </w:tcPr>
          <w:p w14:paraId="2ABBAEB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7D2A7AD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61B6AA0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37A66D9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Colaborador</w:t>
            </w:r>
          </w:p>
        </w:tc>
      </w:tr>
      <w:tr w:rsidR="00D716C5" w:rsidRPr="007923C2" w14:paraId="20AA39A1" w14:textId="77777777" w:rsidTr="00D716C5">
        <w:trPr>
          <w:trHeight w:val="300"/>
        </w:trPr>
        <w:tc>
          <w:tcPr>
            <w:tcW w:w="425" w:type="dxa"/>
            <w:hideMark/>
          </w:tcPr>
          <w:p w14:paraId="2344CC0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5</w:t>
            </w:r>
          </w:p>
        </w:tc>
        <w:tc>
          <w:tcPr>
            <w:tcW w:w="2269" w:type="dxa"/>
            <w:hideMark/>
          </w:tcPr>
          <w:p w14:paraId="2154AB3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Cabello Palacios Eleazar</w:t>
            </w:r>
          </w:p>
        </w:tc>
        <w:tc>
          <w:tcPr>
            <w:tcW w:w="709" w:type="dxa"/>
            <w:hideMark/>
          </w:tcPr>
          <w:p w14:paraId="483877E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395CB17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3411B05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25A7190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Valores Socioculturales</w:t>
            </w:r>
          </w:p>
        </w:tc>
        <w:tc>
          <w:tcPr>
            <w:tcW w:w="709" w:type="dxa"/>
            <w:hideMark/>
          </w:tcPr>
          <w:p w14:paraId="1678F5F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397FFFC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7E85793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61875A9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7875C539" w14:textId="77777777" w:rsidTr="00D716C5">
        <w:trPr>
          <w:trHeight w:val="300"/>
        </w:trPr>
        <w:tc>
          <w:tcPr>
            <w:tcW w:w="425" w:type="dxa"/>
            <w:hideMark/>
          </w:tcPr>
          <w:p w14:paraId="3D719DD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6</w:t>
            </w:r>
          </w:p>
        </w:tc>
        <w:tc>
          <w:tcPr>
            <w:tcW w:w="2269" w:type="dxa"/>
            <w:hideMark/>
          </w:tcPr>
          <w:p w14:paraId="4AC2395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Cabezas Melara Fidel A.</w:t>
            </w:r>
          </w:p>
        </w:tc>
        <w:tc>
          <w:tcPr>
            <w:tcW w:w="709" w:type="dxa"/>
            <w:hideMark/>
          </w:tcPr>
          <w:p w14:paraId="181DD94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14:paraId="4C2648F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73CB394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5662109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Entomología</w:t>
            </w:r>
          </w:p>
        </w:tc>
        <w:tc>
          <w:tcPr>
            <w:tcW w:w="709" w:type="dxa"/>
            <w:hideMark/>
          </w:tcPr>
          <w:p w14:paraId="0B22838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461CF81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60662B3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4A96062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0EBCCA94" w14:textId="77777777" w:rsidTr="00D716C5">
        <w:trPr>
          <w:trHeight w:val="345"/>
        </w:trPr>
        <w:tc>
          <w:tcPr>
            <w:tcW w:w="425" w:type="dxa"/>
            <w:hideMark/>
          </w:tcPr>
          <w:p w14:paraId="591C267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7</w:t>
            </w:r>
          </w:p>
        </w:tc>
        <w:tc>
          <w:tcPr>
            <w:tcW w:w="2269" w:type="dxa"/>
            <w:hideMark/>
          </w:tcPr>
          <w:p w14:paraId="27FCD91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Cardenas Blanco Alejandro</w:t>
            </w:r>
          </w:p>
        </w:tc>
        <w:tc>
          <w:tcPr>
            <w:tcW w:w="709" w:type="dxa"/>
            <w:hideMark/>
          </w:tcPr>
          <w:p w14:paraId="2A20CE6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Lic.</w:t>
            </w:r>
          </w:p>
        </w:tc>
        <w:tc>
          <w:tcPr>
            <w:tcW w:w="850" w:type="dxa"/>
            <w:hideMark/>
          </w:tcPr>
          <w:p w14:paraId="479AFBB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1FB875F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0291C18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Intr. A la Ciencia del Suelo y fertilizantes del suelo</w:t>
            </w:r>
          </w:p>
        </w:tc>
        <w:tc>
          <w:tcPr>
            <w:tcW w:w="709" w:type="dxa"/>
            <w:hideMark/>
          </w:tcPr>
          <w:p w14:paraId="2CB9E7C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72FD9CA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0670927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27AF64D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48B23EBA" w14:textId="77777777" w:rsidTr="00D716C5">
        <w:trPr>
          <w:trHeight w:val="375"/>
        </w:trPr>
        <w:tc>
          <w:tcPr>
            <w:tcW w:w="425" w:type="dxa"/>
            <w:hideMark/>
          </w:tcPr>
          <w:p w14:paraId="7BB438E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8</w:t>
            </w:r>
          </w:p>
        </w:tc>
        <w:tc>
          <w:tcPr>
            <w:tcW w:w="2269" w:type="dxa"/>
            <w:hideMark/>
          </w:tcPr>
          <w:p w14:paraId="4BF7C50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Castro Narro Efrain</w:t>
            </w:r>
          </w:p>
        </w:tc>
        <w:tc>
          <w:tcPr>
            <w:tcW w:w="709" w:type="dxa"/>
            <w:hideMark/>
          </w:tcPr>
          <w:p w14:paraId="7B4F09A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14:paraId="2231BFD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69990D8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2FA96C0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Quimica, bioquim</w:t>
            </w:r>
            <w:r w:rsidR="00433FBC">
              <w:rPr>
                <w:rFonts w:ascii="Arial" w:hAnsi="Arial" w:cs="Arial"/>
                <w:color w:val="000000"/>
                <w:sz w:val="16"/>
                <w:szCs w:val="16"/>
              </w:rPr>
              <w:t>ic</w:t>
            </w:r>
            <w:r w:rsidRPr="007512D0">
              <w:rPr>
                <w:rFonts w:ascii="Arial" w:hAnsi="Arial" w:cs="Arial"/>
                <w:color w:val="000000"/>
                <w:sz w:val="16"/>
                <w:szCs w:val="16"/>
              </w:rPr>
              <w:t>a, analitica cua</w:t>
            </w:r>
            <w:r w:rsidR="00433FBC">
              <w:rPr>
                <w:rFonts w:ascii="Arial" w:hAnsi="Arial" w:cs="Arial"/>
                <w:color w:val="000000"/>
                <w:sz w:val="16"/>
                <w:szCs w:val="16"/>
              </w:rPr>
              <w:t>n</w:t>
            </w:r>
            <w:r w:rsidRPr="007512D0">
              <w:rPr>
                <w:rFonts w:ascii="Arial" w:hAnsi="Arial" w:cs="Arial"/>
                <w:color w:val="000000"/>
                <w:sz w:val="16"/>
                <w:szCs w:val="16"/>
              </w:rPr>
              <w:t>ti</w:t>
            </w:r>
            <w:r w:rsidR="00433FBC">
              <w:rPr>
                <w:rFonts w:ascii="Arial" w:hAnsi="Arial" w:cs="Arial"/>
                <w:color w:val="000000"/>
                <w:sz w:val="16"/>
                <w:szCs w:val="16"/>
              </w:rPr>
              <w:t>tativa</w:t>
            </w:r>
          </w:p>
        </w:tc>
        <w:tc>
          <w:tcPr>
            <w:tcW w:w="709" w:type="dxa"/>
            <w:hideMark/>
          </w:tcPr>
          <w:p w14:paraId="11A337C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3D9F3C8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20E12D0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798A462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r w:rsidR="00433FBC">
              <w:rPr>
                <w:rFonts w:ascii="Arial" w:hAnsi="Arial" w:cs="Arial"/>
                <w:color w:val="000000"/>
                <w:sz w:val="16"/>
                <w:szCs w:val="16"/>
              </w:rPr>
              <w:t>x</w:t>
            </w:r>
          </w:p>
        </w:tc>
      </w:tr>
      <w:tr w:rsidR="00D716C5" w:rsidRPr="007923C2" w14:paraId="62E7D877" w14:textId="77777777" w:rsidTr="00D716C5">
        <w:trPr>
          <w:trHeight w:val="300"/>
        </w:trPr>
        <w:tc>
          <w:tcPr>
            <w:tcW w:w="425" w:type="dxa"/>
            <w:hideMark/>
          </w:tcPr>
          <w:p w14:paraId="791D497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9</w:t>
            </w:r>
          </w:p>
        </w:tc>
        <w:tc>
          <w:tcPr>
            <w:tcW w:w="2269" w:type="dxa"/>
            <w:hideMark/>
          </w:tcPr>
          <w:p w14:paraId="73979F7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Castro Tavares Víctor H.</w:t>
            </w:r>
          </w:p>
        </w:tc>
        <w:tc>
          <w:tcPr>
            <w:tcW w:w="709" w:type="dxa"/>
            <w:hideMark/>
          </w:tcPr>
          <w:p w14:paraId="1ACE48A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14:paraId="76C67BE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378BEDB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0E2C34B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Diseños Experimentales</w:t>
            </w:r>
          </w:p>
        </w:tc>
        <w:tc>
          <w:tcPr>
            <w:tcW w:w="709" w:type="dxa"/>
            <w:hideMark/>
          </w:tcPr>
          <w:p w14:paraId="50EF2E2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02C9F6D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191069A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25B3198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42A37720" w14:textId="77777777" w:rsidTr="00D716C5">
        <w:trPr>
          <w:trHeight w:val="300"/>
        </w:trPr>
        <w:tc>
          <w:tcPr>
            <w:tcW w:w="425" w:type="dxa"/>
            <w:hideMark/>
          </w:tcPr>
          <w:p w14:paraId="7368277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10</w:t>
            </w:r>
          </w:p>
        </w:tc>
        <w:tc>
          <w:tcPr>
            <w:tcW w:w="2269" w:type="dxa"/>
            <w:hideMark/>
          </w:tcPr>
          <w:p w14:paraId="7DBE0E90" w14:textId="77777777" w:rsidR="00D716C5" w:rsidRPr="007512D0" w:rsidRDefault="00D716C5" w:rsidP="00433FBC">
            <w:pPr>
              <w:rPr>
                <w:rFonts w:ascii="Arial" w:hAnsi="Arial" w:cs="Arial"/>
                <w:color w:val="000000"/>
                <w:sz w:val="16"/>
                <w:szCs w:val="16"/>
              </w:rPr>
            </w:pPr>
            <w:r w:rsidRPr="007512D0">
              <w:rPr>
                <w:rFonts w:ascii="Arial" w:hAnsi="Arial" w:cs="Arial"/>
                <w:color w:val="000000"/>
                <w:sz w:val="16"/>
                <w:szCs w:val="16"/>
              </w:rPr>
              <w:t>Cepeda D</w:t>
            </w:r>
            <w:r w:rsidR="00433FBC">
              <w:rPr>
                <w:rFonts w:ascii="Arial" w:hAnsi="Arial" w:cs="Arial"/>
                <w:color w:val="000000"/>
                <w:sz w:val="16"/>
                <w:szCs w:val="16"/>
              </w:rPr>
              <w:t>o</w:t>
            </w:r>
            <w:r w:rsidRPr="007512D0">
              <w:rPr>
                <w:rFonts w:ascii="Arial" w:hAnsi="Arial" w:cs="Arial"/>
                <w:color w:val="000000"/>
                <w:sz w:val="16"/>
                <w:szCs w:val="16"/>
              </w:rPr>
              <w:t>val</w:t>
            </w:r>
            <w:r w:rsidR="00433FBC">
              <w:rPr>
                <w:rFonts w:ascii="Arial" w:hAnsi="Arial" w:cs="Arial"/>
                <w:color w:val="000000"/>
                <w:sz w:val="16"/>
                <w:szCs w:val="16"/>
              </w:rPr>
              <w:t>a</w:t>
            </w:r>
            <w:r w:rsidRPr="007512D0">
              <w:rPr>
                <w:rFonts w:ascii="Arial" w:hAnsi="Arial" w:cs="Arial"/>
                <w:color w:val="000000"/>
                <w:sz w:val="16"/>
                <w:szCs w:val="16"/>
              </w:rPr>
              <w:t xml:space="preserve"> Angel E.</w:t>
            </w:r>
          </w:p>
        </w:tc>
        <w:tc>
          <w:tcPr>
            <w:tcW w:w="709" w:type="dxa"/>
            <w:hideMark/>
          </w:tcPr>
          <w:p w14:paraId="7F41958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12127FE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6AC1F11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2D4A412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fertilidad y fertilizantes de suelos</w:t>
            </w:r>
          </w:p>
        </w:tc>
        <w:tc>
          <w:tcPr>
            <w:tcW w:w="709" w:type="dxa"/>
            <w:hideMark/>
          </w:tcPr>
          <w:p w14:paraId="14B2CB3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2A2BBAF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6AB0DE2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1E47C6D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11ACF95E" w14:textId="77777777" w:rsidTr="00D716C5">
        <w:trPr>
          <w:trHeight w:val="300"/>
        </w:trPr>
        <w:tc>
          <w:tcPr>
            <w:tcW w:w="425" w:type="dxa"/>
            <w:hideMark/>
          </w:tcPr>
          <w:p w14:paraId="141DE4B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11</w:t>
            </w:r>
          </w:p>
        </w:tc>
        <w:tc>
          <w:tcPr>
            <w:tcW w:w="2269" w:type="dxa"/>
            <w:hideMark/>
          </w:tcPr>
          <w:p w14:paraId="59DCDF8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Cepeda Dovala Juan M.</w:t>
            </w:r>
          </w:p>
        </w:tc>
        <w:tc>
          <w:tcPr>
            <w:tcW w:w="709" w:type="dxa"/>
            <w:hideMark/>
          </w:tcPr>
          <w:p w14:paraId="0978391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6432717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7E3864E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54830CD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quimica del suelo</w:t>
            </w:r>
          </w:p>
        </w:tc>
        <w:tc>
          <w:tcPr>
            <w:tcW w:w="709" w:type="dxa"/>
            <w:hideMark/>
          </w:tcPr>
          <w:p w14:paraId="42906CB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39A8B0A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178DEBA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3A956E1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69E0FA58" w14:textId="77777777" w:rsidTr="00D716C5">
        <w:trPr>
          <w:trHeight w:val="300"/>
        </w:trPr>
        <w:tc>
          <w:tcPr>
            <w:tcW w:w="425" w:type="dxa"/>
            <w:hideMark/>
          </w:tcPr>
          <w:p w14:paraId="33E7478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12</w:t>
            </w:r>
          </w:p>
        </w:tc>
        <w:tc>
          <w:tcPr>
            <w:tcW w:w="2269" w:type="dxa"/>
            <w:hideMark/>
          </w:tcPr>
          <w:p w14:paraId="4AB0626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Corrales R. Jorge</w:t>
            </w:r>
          </w:p>
        </w:tc>
        <w:tc>
          <w:tcPr>
            <w:tcW w:w="709" w:type="dxa"/>
            <w:hideMark/>
          </w:tcPr>
          <w:p w14:paraId="6BBC117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Lic.</w:t>
            </w:r>
          </w:p>
        </w:tc>
        <w:tc>
          <w:tcPr>
            <w:tcW w:w="850" w:type="dxa"/>
            <w:hideMark/>
          </w:tcPr>
          <w:p w14:paraId="28F7BCD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4314EC4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14BA68D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Manejo de plagas</w:t>
            </w:r>
          </w:p>
        </w:tc>
        <w:tc>
          <w:tcPr>
            <w:tcW w:w="709" w:type="dxa"/>
            <w:hideMark/>
          </w:tcPr>
          <w:p w14:paraId="4E55E22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4FD1629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2EBFD05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0FA9384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Colaborador</w:t>
            </w:r>
          </w:p>
        </w:tc>
      </w:tr>
      <w:tr w:rsidR="00D716C5" w:rsidRPr="007923C2" w14:paraId="26FFA7C0" w14:textId="77777777" w:rsidTr="00D716C5">
        <w:trPr>
          <w:trHeight w:val="300"/>
        </w:trPr>
        <w:tc>
          <w:tcPr>
            <w:tcW w:w="425" w:type="dxa"/>
            <w:hideMark/>
          </w:tcPr>
          <w:p w14:paraId="76F0FA2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13</w:t>
            </w:r>
          </w:p>
        </w:tc>
        <w:tc>
          <w:tcPr>
            <w:tcW w:w="2269" w:type="dxa"/>
            <w:hideMark/>
          </w:tcPr>
          <w:p w14:paraId="15B9917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Davila Flores Mariano</w:t>
            </w:r>
          </w:p>
        </w:tc>
        <w:tc>
          <w:tcPr>
            <w:tcW w:w="709" w:type="dxa"/>
            <w:hideMark/>
          </w:tcPr>
          <w:p w14:paraId="0B0F7B3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14:paraId="6BF600A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57832E0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5E89A10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Entomología</w:t>
            </w:r>
          </w:p>
        </w:tc>
        <w:tc>
          <w:tcPr>
            <w:tcW w:w="709" w:type="dxa"/>
            <w:hideMark/>
          </w:tcPr>
          <w:p w14:paraId="60F3654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7480550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7A4B461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34CC91B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7E50D82E" w14:textId="77777777" w:rsidTr="00D716C5">
        <w:trPr>
          <w:trHeight w:val="300"/>
        </w:trPr>
        <w:tc>
          <w:tcPr>
            <w:tcW w:w="425" w:type="dxa"/>
            <w:hideMark/>
          </w:tcPr>
          <w:p w14:paraId="38D32B0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14</w:t>
            </w:r>
          </w:p>
        </w:tc>
        <w:tc>
          <w:tcPr>
            <w:tcW w:w="2269" w:type="dxa"/>
            <w:hideMark/>
          </w:tcPr>
          <w:p w14:paraId="18272AF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De León Gámez Manuel</w:t>
            </w:r>
          </w:p>
        </w:tc>
        <w:tc>
          <w:tcPr>
            <w:tcW w:w="709" w:type="dxa"/>
            <w:hideMark/>
          </w:tcPr>
          <w:p w14:paraId="31A8747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2688C33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67B4C6A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1D34DF3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Matm. Para la cien. Forest. Y Matemat.</w:t>
            </w:r>
          </w:p>
        </w:tc>
        <w:tc>
          <w:tcPr>
            <w:tcW w:w="709" w:type="dxa"/>
            <w:hideMark/>
          </w:tcPr>
          <w:p w14:paraId="1062FFF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4102842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18952C8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2DD9244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Colaborador</w:t>
            </w:r>
          </w:p>
        </w:tc>
      </w:tr>
      <w:tr w:rsidR="00D716C5" w:rsidRPr="007923C2" w14:paraId="39CA38B9" w14:textId="77777777" w:rsidTr="00D716C5">
        <w:trPr>
          <w:trHeight w:val="300"/>
        </w:trPr>
        <w:tc>
          <w:tcPr>
            <w:tcW w:w="425" w:type="dxa"/>
            <w:hideMark/>
          </w:tcPr>
          <w:p w14:paraId="7E82659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15</w:t>
            </w:r>
          </w:p>
        </w:tc>
        <w:tc>
          <w:tcPr>
            <w:tcW w:w="2269" w:type="dxa"/>
            <w:hideMark/>
          </w:tcPr>
          <w:p w14:paraId="6B80BFC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xml:space="preserve">Dorantes Gonzalez Adriana </w:t>
            </w:r>
          </w:p>
        </w:tc>
        <w:tc>
          <w:tcPr>
            <w:tcW w:w="709" w:type="dxa"/>
            <w:hideMark/>
          </w:tcPr>
          <w:p w14:paraId="45491DD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Ing.</w:t>
            </w:r>
          </w:p>
        </w:tc>
        <w:tc>
          <w:tcPr>
            <w:tcW w:w="850" w:type="dxa"/>
            <w:hideMark/>
          </w:tcPr>
          <w:p w14:paraId="210B7D8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50DB808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0FDDB44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Ingles I</w:t>
            </w:r>
          </w:p>
        </w:tc>
        <w:tc>
          <w:tcPr>
            <w:tcW w:w="709" w:type="dxa"/>
            <w:hideMark/>
          </w:tcPr>
          <w:p w14:paraId="4758B77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3184381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3869741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40989CF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6E11B20B" w14:textId="77777777" w:rsidTr="00D716C5">
        <w:trPr>
          <w:trHeight w:val="300"/>
        </w:trPr>
        <w:tc>
          <w:tcPr>
            <w:tcW w:w="425" w:type="dxa"/>
            <w:hideMark/>
          </w:tcPr>
          <w:p w14:paraId="1DEEE34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16</w:t>
            </w:r>
          </w:p>
        </w:tc>
        <w:tc>
          <w:tcPr>
            <w:tcW w:w="2269" w:type="dxa"/>
            <w:hideMark/>
          </w:tcPr>
          <w:p w14:paraId="70910A7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Escobedo Bocardo Leticia</w:t>
            </w:r>
          </w:p>
        </w:tc>
        <w:tc>
          <w:tcPr>
            <w:tcW w:w="709" w:type="dxa"/>
            <w:hideMark/>
          </w:tcPr>
          <w:p w14:paraId="074BF0A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075C9DD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071F68F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5B0B9AB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Genética</w:t>
            </w:r>
            <w:r w:rsidR="00433FBC">
              <w:rPr>
                <w:rFonts w:ascii="Arial" w:hAnsi="Arial" w:cs="Arial"/>
                <w:color w:val="000000"/>
                <w:sz w:val="16"/>
                <w:szCs w:val="16"/>
              </w:rPr>
              <w:t xml:space="preserve"> y biotecnología</w:t>
            </w:r>
          </w:p>
        </w:tc>
        <w:tc>
          <w:tcPr>
            <w:tcW w:w="709" w:type="dxa"/>
            <w:hideMark/>
          </w:tcPr>
          <w:p w14:paraId="673BFC8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0354C0C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65739EE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14:paraId="1FA3E84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5FD87CDA" w14:textId="77777777" w:rsidTr="00D716C5">
        <w:trPr>
          <w:trHeight w:val="300"/>
        </w:trPr>
        <w:tc>
          <w:tcPr>
            <w:tcW w:w="425" w:type="dxa"/>
            <w:hideMark/>
          </w:tcPr>
          <w:p w14:paraId="37E8452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17</w:t>
            </w:r>
          </w:p>
        </w:tc>
        <w:tc>
          <w:tcPr>
            <w:tcW w:w="2269" w:type="dxa"/>
            <w:hideMark/>
          </w:tcPr>
          <w:p w14:paraId="64B2F93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Espinoza Zapata Roberto</w:t>
            </w:r>
          </w:p>
        </w:tc>
        <w:tc>
          <w:tcPr>
            <w:tcW w:w="709" w:type="dxa"/>
            <w:hideMark/>
          </w:tcPr>
          <w:p w14:paraId="410F5DFD" w14:textId="77777777" w:rsidR="00D716C5" w:rsidRPr="007512D0" w:rsidRDefault="00433FBC" w:rsidP="00D716C5">
            <w:pPr>
              <w:rPr>
                <w:rFonts w:ascii="Arial" w:hAnsi="Arial" w:cs="Arial"/>
                <w:color w:val="000000"/>
                <w:sz w:val="16"/>
                <w:szCs w:val="16"/>
              </w:rPr>
            </w:pPr>
            <w:r>
              <w:rPr>
                <w:rFonts w:ascii="Arial" w:hAnsi="Arial" w:cs="Arial"/>
                <w:color w:val="000000"/>
                <w:sz w:val="16"/>
                <w:szCs w:val="16"/>
              </w:rPr>
              <w:t>Ing.</w:t>
            </w:r>
            <w:r w:rsidR="00D716C5" w:rsidRPr="007512D0">
              <w:rPr>
                <w:rFonts w:ascii="Arial" w:hAnsi="Arial" w:cs="Arial"/>
                <w:color w:val="000000"/>
                <w:sz w:val="16"/>
                <w:szCs w:val="16"/>
              </w:rPr>
              <w:t>.</w:t>
            </w:r>
          </w:p>
        </w:tc>
        <w:tc>
          <w:tcPr>
            <w:tcW w:w="850" w:type="dxa"/>
            <w:hideMark/>
          </w:tcPr>
          <w:p w14:paraId="059596C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56C6A21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1D453CF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Genética</w:t>
            </w:r>
          </w:p>
        </w:tc>
        <w:tc>
          <w:tcPr>
            <w:tcW w:w="709" w:type="dxa"/>
            <w:hideMark/>
          </w:tcPr>
          <w:p w14:paraId="0440F68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4B3E32E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2C33483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46665BB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67E65FA9" w14:textId="77777777" w:rsidTr="00D716C5">
        <w:trPr>
          <w:trHeight w:val="300"/>
        </w:trPr>
        <w:tc>
          <w:tcPr>
            <w:tcW w:w="425" w:type="dxa"/>
            <w:hideMark/>
          </w:tcPr>
          <w:p w14:paraId="0F3A921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18</w:t>
            </w:r>
          </w:p>
        </w:tc>
        <w:tc>
          <w:tcPr>
            <w:tcW w:w="2269" w:type="dxa"/>
            <w:hideMark/>
          </w:tcPr>
          <w:p w14:paraId="5503162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Flores Davila Mariano</w:t>
            </w:r>
          </w:p>
        </w:tc>
        <w:tc>
          <w:tcPr>
            <w:tcW w:w="709" w:type="dxa"/>
            <w:hideMark/>
          </w:tcPr>
          <w:p w14:paraId="7274DC6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14:paraId="08387B9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79EB1D5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4BD23EC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Entomología</w:t>
            </w:r>
          </w:p>
        </w:tc>
        <w:tc>
          <w:tcPr>
            <w:tcW w:w="709" w:type="dxa"/>
            <w:hideMark/>
          </w:tcPr>
          <w:p w14:paraId="5BBED83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4379AF3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2E43A6C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14:paraId="7461D2F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3AEB2023" w14:textId="77777777" w:rsidTr="00D716C5">
        <w:trPr>
          <w:trHeight w:val="300"/>
        </w:trPr>
        <w:tc>
          <w:tcPr>
            <w:tcW w:w="425" w:type="dxa"/>
            <w:hideMark/>
          </w:tcPr>
          <w:p w14:paraId="0BF0B6D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19</w:t>
            </w:r>
          </w:p>
        </w:tc>
        <w:tc>
          <w:tcPr>
            <w:tcW w:w="2269" w:type="dxa"/>
            <w:hideMark/>
          </w:tcPr>
          <w:p w14:paraId="2CA2B41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Gallegos M. Gabriel</w:t>
            </w:r>
          </w:p>
        </w:tc>
        <w:tc>
          <w:tcPr>
            <w:tcW w:w="709" w:type="dxa"/>
            <w:hideMark/>
          </w:tcPr>
          <w:p w14:paraId="78E39E5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14:paraId="4F3F1E9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43865C2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148A2C5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Microbiologia indus.</w:t>
            </w:r>
          </w:p>
        </w:tc>
        <w:tc>
          <w:tcPr>
            <w:tcW w:w="709" w:type="dxa"/>
            <w:hideMark/>
          </w:tcPr>
          <w:p w14:paraId="13D30BB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2274979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6DE7385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14:paraId="5A6A4BC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55ED5553" w14:textId="77777777" w:rsidTr="00D716C5">
        <w:trPr>
          <w:trHeight w:val="300"/>
        </w:trPr>
        <w:tc>
          <w:tcPr>
            <w:tcW w:w="425" w:type="dxa"/>
            <w:hideMark/>
          </w:tcPr>
          <w:p w14:paraId="693CB3A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20</w:t>
            </w:r>
          </w:p>
        </w:tc>
        <w:tc>
          <w:tcPr>
            <w:tcW w:w="2269" w:type="dxa"/>
            <w:hideMark/>
          </w:tcPr>
          <w:p w14:paraId="58C619A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García Martínez Oswaldo</w:t>
            </w:r>
          </w:p>
        </w:tc>
        <w:tc>
          <w:tcPr>
            <w:tcW w:w="709" w:type="dxa"/>
            <w:hideMark/>
          </w:tcPr>
          <w:p w14:paraId="42D3677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14:paraId="4335693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73116DA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7EA81B8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Ecologia de plagas y enf.</w:t>
            </w:r>
          </w:p>
        </w:tc>
        <w:tc>
          <w:tcPr>
            <w:tcW w:w="709" w:type="dxa"/>
            <w:hideMark/>
          </w:tcPr>
          <w:p w14:paraId="1235A42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2EE71B0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730396A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6BB6913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1B3AA8BA" w14:textId="77777777" w:rsidTr="00D716C5">
        <w:trPr>
          <w:trHeight w:val="300"/>
        </w:trPr>
        <w:tc>
          <w:tcPr>
            <w:tcW w:w="425" w:type="dxa"/>
            <w:hideMark/>
          </w:tcPr>
          <w:p w14:paraId="0CEF3E7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21</w:t>
            </w:r>
          </w:p>
        </w:tc>
        <w:tc>
          <w:tcPr>
            <w:tcW w:w="2269" w:type="dxa"/>
            <w:hideMark/>
          </w:tcPr>
          <w:p w14:paraId="513C825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García M. Bruno</w:t>
            </w:r>
          </w:p>
        </w:tc>
        <w:tc>
          <w:tcPr>
            <w:tcW w:w="709" w:type="dxa"/>
            <w:hideMark/>
          </w:tcPr>
          <w:p w14:paraId="19605FE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214AF74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53FD560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38D93DD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meteorología yclimatología</w:t>
            </w:r>
          </w:p>
        </w:tc>
        <w:tc>
          <w:tcPr>
            <w:tcW w:w="709" w:type="dxa"/>
            <w:hideMark/>
          </w:tcPr>
          <w:p w14:paraId="0125C33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20BEB64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850" w:type="dxa"/>
            <w:hideMark/>
          </w:tcPr>
          <w:p w14:paraId="4F62819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1112D9D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06A29018" w14:textId="77777777" w:rsidTr="00D716C5">
        <w:trPr>
          <w:trHeight w:val="300"/>
        </w:trPr>
        <w:tc>
          <w:tcPr>
            <w:tcW w:w="425" w:type="dxa"/>
            <w:hideMark/>
          </w:tcPr>
          <w:p w14:paraId="3467A8D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22</w:t>
            </w:r>
          </w:p>
        </w:tc>
        <w:tc>
          <w:tcPr>
            <w:tcW w:w="2269" w:type="dxa"/>
            <w:hideMark/>
          </w:tcPr>
          <w:p w14:paraId="07C4D53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Garza Q. Amador</w:t>
            </w:r>
          </w:p>
        </w:tc>
        <w:tc>
          <w:tcPr>
            <w:tcW w:w="709" w:type="dxa"/>
            <w:hideMark/>
          </w:tcPr>
          <w:p w14:paraId="2535412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0712482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6366836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6ECB65E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Formulación y Evaluación de Proy.</w:t>
            </w:r>
          </w:p>
        </w:tc>
        <w:tc>
          <w:tcPr>
            <w:tcW w:w="709" w:type="dxa"/>
            <w:hideMark/>
          </w:tcPr>
          <w:p w14:paraId="0C1108D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048CE35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2BF971A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1B898AE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4608F855" w14:textId="77777777" w:rsidTr="00D716C5">
        <w:trPr>
          <w:trHeight w:val="300"/>
        </w:trPr>
        <w:tc>
          <w:tcPr>
            <w:tcW w:w="425" w:type="dxa"/>
            <w:hideMark/>
          </w:tcPr>
          <w:p w14:paraId="257EA9D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lastRenderedPageBreak/>
              <w:t>23</w:t>
            </w:r>
          </w:p>
        </w:tc>
        <w:tc>
          <w:tcPr>
            <w:tcW w:w="2269" w:type="dxa"/>
            <w:hideMark/>
          </w:tcPr>
          <w:p w14:paraId="0746244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Gómez Martínez Susana</w:t>
            </w:r>
          </w:p>
        </w:tc>
        <w:tc>
          <w:tcPr>
            <w:tcW w:w="709" w:type="dxa"/>
            <w:hideMark/>
          </w:tcPr>
          <w:p w14:paraId="28EB623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Dra.</w:t>
            </w:r>
          </w:p>
        </w:tc>
        <w:tc>
          <w:tcPr>
            <w:tcW w:w="850" w:type="dxa"/>
            <w:hideMark/>
          </w:tcPr>
          <w:p w14:paraId="69245D7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33230EA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62F6D84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Ing. Génetica</w:t>
            </w:r>
          </w:p>
        </w:tc>
        <w:tc>
          <w:tcPr>
            <w:tcW w:w="709" w:type="dxa"/>
            <w:hideMark/>
          </w:tcPr>
          <w:p w14:paraId="32D3853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77AB5B8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03E28F1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2597A7B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43B840DD" w14:textId="77777777" w:rsidTr="00D716C5">
        <w:trPr>
          <w:trHeight w:val="300"/>
        </w:trPr>
        <w:tc>
          <w:tcPr>
            <w:tcW w:w="425" w:type="dxa"/>
            <w:hideMark/>
          </w:tcPr>
          <w:p w14:paraId="612BB63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24</w:t>
            </w:r>
          </w:p>
        </w:tc>
        <w:tc>
          <w:tcPr>
            <w:tcW w:w="2269" w:type="dxa"/>
            <w:hideMark/>
          </w:tcPr>
          <w:p w14:paraId="64FA0D9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Gonzalez Uribe Dino</w:t>
            </w:r>
          </w:p>
        </w:tc>
        <w:tc>
          <w:tcPr>
            <w:tcW w:w="709" w:type="dxa"/>
            <w:hideMark/>
          </w:tcPr>
          <w:p w14:paraId="67E7F06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14:paraId="47FEB97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121E1BD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281DF7F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Computación</w:t>
            </w:r>
          </w:p>
        </w:tc>
        <w:tc>
          <w:tcPr>
            <w:tcW w:w="709" w:type="dxa"/>
            <w:hideMark/>
          </w:tcPr>
          <w:p w14:paraId="20BFA7A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738FD6C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7030A9E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15F3C42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29C0C020" w14:textId="77777777" w:rsidTr="00D716C5">
        <w:trPr>
          <w:trHeight w:val="300"/>
        </w:trPr>
        <w:tc>
          <w:tcPr>
            <w:tcW w:w="425" w:type="dxa"/>
            <w:hideMark/>
          </w:tcPr>
          <w:p w14:paraId="0E9D497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25</w:t>
            </w:r>
          </w:p>
        </w:tc>
        <w:tc>
          <w:tcPr>
            <w:tcW w:w="2269" w:type="dxa"/>
            <w:hideMark/>
          </w:tcPr>
          <w:p w14:paraId="4316F76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HernándezJavalera Iliana</w:t>
            </w:r>
          </w:p>
        </w:tc>
        <w:tc>
          <w:tcPr>
            <w:tcW w:w="709" w:type="dxa"/>
            <w:hideMark/>
          </w:tcPr>
          <w:p w14:paraId="631ECAB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Dra.</w:t>
            </w:r>
          </w:p>
        </w:tc>
        <w:tc>
          <w:tcPr>
            <w:tcW w:w="850" w:type="dxa"/>
            <w:hideMark/>
          </w:tcPr>
          <w:p w14:paraId="2F54B31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5F66570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7426CA0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Percepcion Remota</w:t>
            </w:r>
          </w:p>
        </w:tc>
        <w:tc>
          <w:tcPr>
            <w:tcW w:w="709" w:type="dxa"/>
            <w:hideMark/>
          </w:tcPr>
          <w:p w14:paraId="0F20E70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7C4CB14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25396BD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26EB3E4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377F9875" w14:textId="77777777" w:rsidTr="00D716C5">
        <w:trPr>
          <w:trHeight w:val="300"/>
        </w:trPr>
        <w:tc>
          <w:tcPr>
            <w:tcW w:w="425" w:type="dxa"/>
            <w:hideMark/>
          </w:tcPr>
          <w:p w14:paraId="6297440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26</w:t>
            </w:r>
          </w:p>
        </w:tc>
        <w:tc>
          <w:tcPr>
            <w:tcW w:w="2269" w:type="dxa"/>
            <w:hideMark/>
          </w:tcPr>
          <w:p w14:paraId="601A519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Hernandez Torres Idalia</w:t>
            </w:r>
          </w:p>
        </w:tc>
        <w:tc>
          <w:tcPr>
            <w:tcW w:w="709" w:type="dxa"/>
            <w:hideMark/>
          </w:tcPr>
          <w:p w14:paraId="6CB8971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0088747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0DE9CF6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5DC777A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intr. Cien. Del sue, fert. Sue.y cont amb</w:t>
            </w:r>
          </w:p>
        </w:tc>
        <w:tc>
          <w:tcPr>
            <w:tcW w:w="709" w:type="dxa"/>
            <w:hideMark/>
          </w:tcPr>
          <w:p w14:paraId="4845BB4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362DD20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16E03F5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33EA1DA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Colaborador</w:t>
            </w:r>
          </w:p>
        </w:tc>
      </w:tr>
      <w:tr w:rsidR="00D716C5" w:rsidRPr="007923C2" w14:paraId="1E857E5E" w14:textId="77777777" w:rsidTr="00D716C5">
        <w:trPr>
          <w:trHeight w:val="300"/>
        </w:trPr>
        <w:tc>
          <w:tcPr>
            <w:tcW w:w="425" w:type="dxa"/>
            <w:hideMark/>
          </w:tcPr>
          <w:p w14:paraId="35089AB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27</w:t>
            </w:r>
          </w:p>
        </w:tc>
        <w:tc>
          <w:tcPr>
            <w:tcW w:w="2269" w:type="dxa"/>
            <w:hideMark/>
          </w:tcPr>
          <w:p w14:paraId="262452F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Mendoza H. Juana Ma.</w:t>
            </w:r>
          </w:p>
        </w:tc>
        <w:tc>
          <w:tcPr>
            <w:tcW w:w="709" w:type="dxa"/>
            <w:hideMark/>
          </w:tcPr>
          <w:p w14:paraId="5A90C56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Dra.</w:t>
            </w:r>
          </w:p>
        </w:tc>
        <w:tc>
          <w:tcPr>
            <w:tcW w:w="850" w:type="dxa"/>
            <w:hideMark/>
          </w:tcPr>
          <w:p w14:paraId="7EF2905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3A97ED6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717AC70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Climatología y meteorología, agrom.</w:t>
            </w:r>
          </w:p>
        </w:tc>
        <w:tc>
          <w:tcPr>
            <w:tcW w:w="709" w:type="dxa"/>
            <w:hideMark/>
          </w:tcPr>
          <w:p w14:paraId="0E315B9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16945F6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551C527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3A95C3C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Colaborador</w:t>
            </w:r>
          </w:p>
        </w:tc>
      </w:tr>
      <w:tr w:rsidR="00D716C5" w:rsidRPr="007923C2" w14:paraId="0C40B4D5" w14:textId="77777777" w:rsidTr="00D716C5">
        <w:trPr>
          <w:trHeight w:val="300"/>
        </w:trPr>
        <w:tc>
          <w:tcPr>
            <w:tcW w:w="425" w:type="dxa"/>
            <w:hideMark/>
          </w:tcPr>
          <w:p w14:paraId="024DAF6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28</w:t>
            </w:r>
          </w:p>
        </w:tc>
        <w:tc>
          <w:tcPr>
            <w:tcW w:w="2269" w:type="dxa"/>
            <w:hideMark/>
          </w:tcPr>
          <w:p w14:paraId="794E87F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Morales Luna Felipa</w:t>
            </w:r>
          </w:p>
        </w:tc>
        <w:tc>
          <w:tcPr>
            <w:tcW w:w="709" w:type="dxa"/>
            <w:hideMark/>
          </w:tcPr>
          <w:p w14:paraId="54C2D32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512AF6B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78471D1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5B3338E5" w14:textId="77777777" w:rsidR="00D716C5" w:rsidRPr="007512D0" w:rsidRDefault="00D716C5" w:rsidP="00F37838">
            <w:pPr>
              <w:rPr>
                <w:rFonts w:ascii="Arial" w:hAnsi="Arial" w:cs="Arial"/>
                <w:color w:val="000000"/>
                <w:sz w:val="16"/>
                <w:szCs w:val="16"/>
                <w:lang w:val="en-US"/>
              </w:rPr>
            </w:pPr>
            <w:r w:rsidRPr="007512D0">
              <w:rPr>
                <w:rFonts w:ascii="Arial" w:hAnsi="Arial" w:cs="Arial"/>
                <w:color w:val="000000"/>
                <w:sz w:val="16"/>
                <w:szCs w:val="16"/>
                <w:lang w:val="en-US"/>
              </w:rPr>
              <w:t xml:space="preserve">Princ. Prod., </w:t>
            </w:r>
            <w:r w:rsidR="00F37838">
              <w:rPr>
                <w:rFonts w:ascii="Arial" w:hAnsi="Arial" w:cs="Arial"/>
                <w:color w:val="000000"/>
                <w:sz w:val="16"/>
                <w:szCs w:val="16"/>
                <w:lang w:val="en-US"/>
              </w:rPr>
              <w:t>P</w:t>
            </w:r>
            <w:r w:rsidRPr="007512D0">
              <w:rPr>
                <w:rFonts w:ascii="Arial" w:hAnsi="Arial" w:cs="Arial"/>
                <w:color w:val="000000"/>
                <w:sz w:val="16"/>
                <w:szCs w:val="16"/>
                <w:lang w:val="en-US"/>
              </w:rPr>
              <w:t>rod. Hongos C.</w:t>
            </w:r>
          </w:p>
        </w:tc>
        <w:tc>
          <w:tcPr>
            <w:tcW w:w="709" w:type="dxa"/>
            <w:hideMark/>
          </w:tcPr>
          <w:p w14:paraId="571A7EAF" w14:textId="77777777" w:rsidR="00D716C5" w:rsidRPr="007512D0" w:rsidRDefault="00D716C5" w:rsidP="00D716C5">
            <w:pPr>
              <w:rPr>
                <w:rFonts w:ascii="Arial" w:hAnsi="Arial" w:cs="Arial"/>
                <w:color w:val="000000"/>
                <w:sz w:val="16"/>
                <w:szCs w:val="16"/>
                <w:lang w:val="en-US"/>
              </w:rPr>
            </w:pPr>
            <w:r w:rsidRPr="007512D0">
              <w:rPr>
                <w:rFonts w:ascii="Arial" w:hAnsi="Arial" w:cs="Arial"/>
                <w:color w:val="000000"/>
                <w:sz w:val="16"/>
                <w:szCs w:val="16"/>
                <w:lang w:val="en-US"/>
              </w:rPr>
              <w:t> </w:t>
            </w:r>
          </w:p>
        </w:tc>
        <w:tc>
          <w:tcPr>
            <w:tcW w:w="567" w:type="dxa"/>
            <w:hideMark/>
          </w:tcPr>
          <w:p w14:paraId="2E7AE31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850" w:type="dxa"/>
            <w:hideMark/>
          </w:tcPr>
          <w:p w14:paraId="3B66587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605DDEF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03D6E429" w14:textId="77777777" w:rsidTr="00D716C5">
        <w:trPr>
          <w:trHeight w:val="300"/>
        </w:trPr>
        <w:tc>
          <w:tcPr>
            <w:tcW w:w="425" w:type="dxa"/>
            <w:hideMark/>
          </w:tcPr>
          <w:p w14:paraId="2965FAD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29</w:t>
            </w:r>
          </w:p>
        </w:tc>
        <w:tc>
          <w:tcPr>
            <w:tcW w:w="2269" w:type="dxa"/>
            <w:hideMark/>
          </w:tcPr>
          <w:p w14:paraId="4854CB1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Muñoz Romero Luis A.</w:t>
            </w:r>
          </w:p>
        </w:tc>
        <w:tc>
          <w:tcPr>
            <w:tcW w:w="709" w:type="dxa"/>
            <w:hideMark/>
          </w:tcPr>
          <w:p w14:paraId="77FF378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1501DC2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0368BC1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640456A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Genética</w:t>
            </w:r>
          </w:p>
        </w:tc>
        <w:tc>
          <w:tcPr>
            <w:tcW w:w="709" w:type="dxa"/>
            <w:hideMark/>
          </w:tcPr>
          <w:p w14:paraId="157C590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5E6F07C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648B232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48D08DA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4BA7662B" w14:textId="77777777" w:rsidTr="00D716C5">
        <w:trPr>
          <w:trHeight w:val="300"/>
        </w:trPr>
        <w:tc>
          <w:tcPr>
            <w:tcW w:w="425" w:type="dxa"/>
            <w:hideMark/>
          </w:tcPr>
          <w:p w14:paraId="65FBBDF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30</w:t>
            </w:r>
          </w:p>
        </w:tc>
        <w:tc>
          <w:tcPr>
            <w:tcW w:w="2269" w:type="dxa"/>
            <w:hideMark/>
          </w:tcPr>
          <w:p w14:paraId="05B40BC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Orejon G. Esteban</w:t>
            </w:r>
          </w:p>
        </w:tc>
        <w:tc>
          <w:tcPr>
            <w:tcW w:w="709" w:type="dxa"/>
            <w:hideMark/>
          </w:tcPr>
          <w:p w14:paraId="67353AC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001C711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5E2BF4F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5761B7F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Administración</w:t>
            </w:r>
          </w:p>
        </w:tc>
        <w:tc>
          <w:tcPr>
            <w:tcW w:w="709" w:type="dxa"/>
            <w:hideMark/>
          </w:tcPr>
          <w:p w14:paraId="5ADB803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31D2464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6ADFB1A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22AFC1B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4980DEF6" w14:textId="77777777" w:rsidTr="00D716C5">
        <w:trPr>
          <w:trHeight w:val="300"/>
        </w:trPr>
        <w:tc>
          <w:tcPr>
            <w:tcW w:w="425" w:type="dxa"/>
            <w:hideMark/>
          </w:tcPr>
          <w:p w14:paraId="70074D8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31</w:t>
            </w:r>
          </w:p>
        </w:tc>
        <w:tc>
          <w:tcPr>
            <w:tcW w:w="2269" w:type="dxa"/>
            <w:hideMark/>
          </w:tcPr>
          <w:p w14:paraId="6336CA1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Padrón G. San Juana</w:t>
            </w:r>
          </w:p>
        </w:tc>
        <w:tc>
          <w:tcPr>
            <w:tcW w:w="709" w:type="dxa"/>
            <w:hideMark/>
          </w:tcPr>
          <w:p w14:paraId="47F423F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Lic.</w:t>
            </w:r>
          </w:p>
        </w:tc>
        <w:tc>
          <w:tcPr>
            <w:tcW w:w="850" w:type="dxa"/>
            <w:hideMark/>
          </w:tcPr>
          <w:p w14:paraId="7C153A8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5573784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49D9316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Administración</w:t>
            </w:r>
          </w:p>
        </w:tc>
        <w:tc>
          <w:tcPr>
            <w:tcW w:w="709" w:type="dxa"/>
            <w:hideMark/>
          </w:tcPr>
          <w:p w14:paraId="2C49037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0816341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56D9EE2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0191980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6AE39888" w14:textId="77777777" w:rsidTr="00D716C5">
        <w:trPr>
          <w:trHeight w:val="300"/>
        </w:trPr>
        <w:tc>
          <w:tcPr>
            <w:tcW w:w="425" w:type="dxa"/>
            <w:hideMark/>
          </w:tcPr>
          <w:p w14:paraId="6FF66E9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32</w:t>
            </w:r>
          </w:p>
        </w:tc>
        <w:tc>
          <w:tcPr>
            <w:tcW w:w="2269" w:type="dxa"/>
            <w:hideMark/>
          </w:tcPr>
          <w:p w14:paraId="5BFD796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Peña Ramos Fidel M.</w:t>
            </w:r>
          </w:p>
        </w:tc>
        <w:tc>
          <w:tcPr>
            <w:tcW w:w="709" w:type="dxa"/>
            <w:hideMark/>
          </w:tcPr>
          <w:p w14:paraId="26269F6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32BE4DD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49BC407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5602D50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Sist. Biologico</w:t>
            </w:r>
          </w:p>
        </w:tc>
        <w:tc>
          <w:tcPr>
            <w:tcW w:w="709" w:type="dxa"/>
            <w:hideMark/>
          </w:tcPr>
          <w:p w14:paraId="45B32A4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056AFE7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74B0753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14:paraId="308EA1D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23CF93E4" w14:textId="77777777" w:rsidTr="00D716C5">
        <w:trPr>
          <w:trHeight w:val="300"/>
        </w:trPr>
        <w:tc>
          <w:tcPr>
            <w:tcW w:w="425" w:type="dxa"/>
            <w:hideMark/>
          </w:tcPr>
          <w:p w14:paraId="385F9B0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33</w:t>
            </w:r>
          </w:p>
        </w:tc>
        <w:tc>
          <w:tcPr>
            <w:tcW w:w="2269" w:type="dxa"/>
            <w:hideMark/>
          </w:tcPr>
          <w:p w14:paraId="46CB650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Ramirez G. Francisca</w:t>
            </w:r>
          </w:p>
        </w:tc>
        <w:tc>
          <w:tcPr>
            <w:tcW w:w="709" w:type="dxa"/>
            <w:hideMark/>
          </w:tcPr>
          <w:p w14:paraId="03EFF00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Dra.</w:t>
            </w:r>
          </w:p>
        </w:tc>
        <w:tc>
          <w:tcPr>
            <w:tcW w:w="850" w:type="dxa"/>
            <w:hideMark/>
          </w:tcPr>
          <w:p w14:paraId="26D7E34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4337177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338C606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Genética</w:t>
            </w:r>
            <w:r w:rsidR="00F37838">
              <w:rPr>
                <w:rFonts w:ascii="Arial" w:hAnsi="Arial" w:cs="Arial"/>
                <w:color w:val="000000"/>
                <w:sz w:val="16"/>
                <w:szCs w:val="16"/>
              </w:rPr>
              <w:t xml:space="preserve"> y BiotecnologíaII</w:t>
            </w:r>
          </w:p>
        </w:tc>
        <w:tc>
          <w:tcPr>
            <w:tcW w:w="709" w:type="dxa"/>
            <w:hideMark/>
          </w:tcPr>
          <w:p w14:paraId="2B5A913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4C82410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3C06678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14:paraId="5CBEEE7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5B809E1E" w14:textId="77777777" w:rsidTr="00D716C5">
        <w:trPr>
          <w:trHeight w:val="300"/>
        </w:trPr>
        <w:tc>
          <w:tcPr>
            <w:tcW w:w="425" w:type="dxa"/>
            <w:hideMark/>
          </w:tcPr>
          <w:p w14:paraId="6D6955E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34</w:t>
            </w:r>
          </w:p>
        </w:tc>
        <w:tc>
          <w:tcPr>
            <w:tcW w:w="2269" w:type="dxa"/>
            <w:hideMark/>
          </w:tcPr>
          <w:p w14:paraId="7D12B64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Rodríguez G. Armando</w:t>
            </w:r>
          </w:p>
        </w:tc>
        <w:tc>
          <w:tcPr>
            <w:tcW w:w="709" w:type="dxa"/>
            <w:hideMark/>
          </w:tcPr>
          <w:p w14:paraId="51E860D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14:paraId="5AD8133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2E65E92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16AED55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Sist. De Producción</w:t>
            </w:r>
          </w:p>
        </w:tc>
        <w:tc>
          <w:tcPr>
            <w:tcW w:w="709" w:type="dxa"/>
            <w:hideMark/>
          </w:tcPr>
          <w:p w14:paraId="4C3B1F5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132EBB1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02CCB48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02358D7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4BBED31D" w14:textId="77777777" w:rsidTr="00D716C5">
        <w:trPr>
          <w:trHeight w:val="300"/>
        </w:trPr>
        <w:tc>
          <w:tcPr>
            <w:tcW w:w="425" w:type="dxa"/>
            <w:hideMark/>
          </w:tcPr>
          <w:p w14:paraId="703EC2D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35</w:t>
            </w:r>
          </w:p>
        </w:tc>
        <w:tc>
          <w:tcPr>
            <w:tcW w:w="2269" w:type="dxa"/>
            <w:hideMark/>
          </w:tcPr>
          <w:p w14:paraId="32C6153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Rodríguez Hernandez A.</w:t>
            </w:r>
          </w:p>
        </w:tc>
        <w:tc>
          <w:tcPr>
            <w:tcW w:w="709" w:type="dxa"/>
            <w:hideMark/>
          </w:tcPr>
          <w:p w14:paraId="7428A7B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56B7BF7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623864D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2881393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709" w:type="dxa"/>
            <w:hideMark/>
          </w:tcPr>
          <w:p w14:paraId="007CB3C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4B0A512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65D8404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3426B37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32F57333" w14:textId="77777777" w:rsidTr="00D716C5">
        <w:trPr>
          <w:trHeight w:val="300"/>
        </w:trPr>
        <w:tc>
          <w:tcPr>
            <w:tcW w:w="425" w:type="dxa"/>
            <w:hideMark/>
          </w:tcPr>
          <w:p w14:paraId="72B5C9F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36</w:t>
            </w:r>
          </w:p>
        </w:tc>
        <w:tc>
          <w:tcPr>
            <w:tcW w:w="2269" w:type="dxa"/>
            <w:hideMark/>
          </w:tcPr>
          <w:p w14:paraId="4310E43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Sánchez Marínez Gerardo</w:t>
            </w:r>
          </w:p>
        </w:tc>
        <w:tc>
          <w:tcPr>
            <w:tcW w:w="709" w:type="dxa"/>
            <w:hideMark/>
          </w:tcPr>
          <w:p w14:paraId="7A0EE3C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2844F0B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77D3183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78549BE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Calculo Dif. e integral</w:t>
            </w:r>
          </w:p>
        </w:tc>
        <w:tc>
          <w:tcPr>
            <w:tcW w:w="709" w:type="dxa"/>
            <w:hideMark/>
          </w:tcPr>
          <w:p w14:paraId="60ED76B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10F0DC5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0341F1D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13E77EB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38011528" w14:textId="77777777" w:rsidTr="00D716C5">
        <w:trPr>
          <w:trHeight w:val="300"/>
        </w:trPr>
        <w:tc>
          <w:tcPr>
            <w:tcW w:w="425" w:type="dxa"/>
            <w:hideMark/>
          </w:tcPr>
          <w:p w14:paraId="0D513CE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37</w:t>
            </w:r>
          </w:p>
        </w:tc>
        <w:tc>
          <w:tcPr>
            <w:tcW w:w="2269" w:type="dxa"/>
            <w:hideMark/>
          </w:tcPr>
          <w:p w14:paraId="009A277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Sánchez Martínez Sergio</w:t>
            </w:r>
          </w:p>
        </w:tc>
        <w:tc>
          <w:tcPr>
            <w:tcW w:w="709" w:type="dxa"/>
            <w:hideMark/>
          </w:tcPr>
          <w:p w14:paraId="34E7AC0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36BF9F8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7057BD3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7103E8B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Computación</w:t>
            </w:r>
          </w:p>
        </w:tc>
        <w:tc>
          <w:tcPr>
            <w:tcW w:w="709" w:type="dxa"/>
            <w:hideMark/>
          </w:tcPr>
          <w:p w14:paraId="3E036B4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24366E1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5729204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5FC8DE3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34BBF388" w14:textId="77777777" w:rsidTr="00D716C5">
        <w:trPr>
          <w:trHeight w:val="300"/>
        </w:trPr>
        <w:tc>
          <w:tcPr>
            <w:tcW w:w="425" w:type="dxa"/>
            <w:hideMark/>
          </w:tcPr>
          <w:p w14:paraId="1C95761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38</w:t>
            </w:r>
          </w:p>
        </w:tc>
        <w:tc>
          <w:tcPr>
            <w:tcW w:w="2269" w:type="dxa"/>
            <w:hideMark/>
          </w:tcPr>
          <w:p w14:paraId="2CDF88E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Torres Tapia Ma. Alejandra</w:t>
            </w:r>
          </w:p>
        </w:tc>
        <w:tc>
          <w:tcPr>
            <w:tcW w:w="709" w:type="dxa"/>
            <w:hideMark/>
          </w:tcPr>
          <w:p w14:paraId="1692C84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181A098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39EC9A0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44DD961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Biotecnilogía, I Y II</w:t>
            </w:r>
          </w:p>
        </w:tc>
        <w:tc>
          <w:tcPr>
            <w:tcW w:w="709" w:type="dxa"/>
            <w:hideMark/>
          </w:tcPr>
          <w:p w14:paraId="03D30BB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5275BA9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xml:space="preserve">         X</w:t>
            </w:r>
          </w:p>
        </w:tc>
        <w:tc>
          <w:tcPr>
            <w:tcW w:w="850" w:type="dxa"/>
            <w:hideMark/>
          </w:tcPr>
          <w:p w14:paraId="0983C21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14:paraId="1EB8DB2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7A5B4904" w14:textId="77777777" w:rsidTr="00D716C5">
        <w:trPr>
          <w:trHeight w:val="300"/>
        </w:trPr>
        <w:tc>
          <w:tcPr>
            <w:tcW w:w="425" w:type="dxa"/>
            <w:hideMark/>
          </w:tcPr>
          <w:p w14:paraId="297A812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39</w:t>
            </w:r>
          </w:p>
        </w:tc>
        <w:tc>
          <w:tcPr>
            <w:tcW w:w="2269" w:type="dxa"/>
            <w:hideMark/>
          </w:tcPr>
          <w:p w14:paraId="5BB85E7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Villarreal M. Gustavo</w:t>
            </w:r>
          </w:p>
        </w:tc>
        <w:tc>
          <w:tcPr>
            <w:tcW w:w="709" w:type="dxa"/>
            <w:hideMark/>
          </w:tcPr>
          <w:p w14:paraId="4B0E1EF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77C74BC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33B35E9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0340E1B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Quimica organica</w:t>
            </w:r>
          </w:p>
        </w:tc>
        <w:tc>
          <w:tcPr>
            <w:tcW w:w="709" w:type="dxa"/>
            <w:hideMark/>
          </w:tcPr>
          <w:p w14:paraId="6B20AE1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5FC32BB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5D71761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64CBD29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15C22D86" w14:textId="77777777" w:rsidTr="00D716C5">
        <w:trPr>
          <w:trHeight w:val="300"/>
        </w:trPr>
        <w:tc>
          <w:tcPr>
            <w:tcW w:w="425" w:type="dxa"/>
            <w:hideMark/>
          </w:tcPr>
          <w:p w14:paraId="1B0D0DF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2269" w:type="dxa"/>
            <w:hideMark/>
          </w:tcPr>
          <w:p w14:paraId="5EDCE18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Yaber P. Juana Yanira</w:t>
            </w:r>
          </w:p>
        </w:tc>
        <w:tc>
          <w:tcPr>
            <w:tcW w:w="709" w:type="dxa"/>
            <w:hideMark/>
          </w:tcPr>
          <w:p w14:paraId="5AC5692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Lic.</w:t>
            </w:r>
          </w:p>
        </w:tc>
        <w:tc>
          <w:tcPr>
            <w:tcW w:w="850" w:type="dxa"/>
            <w:hideMark/>
          </w:tcPr>
          <w:p w14:paraId="626037A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2044529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78206E6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Ingles</w:t>
            </w:r>
          </w:p>
        </w:tc>
        <w:tc>
          <w:tcPr>
            <w:tcW w:w="709" w:type="dxa"/>
            <w:hideMark/>
          </w:tcPr>
          <w:p w14:paraId="0F38243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77D1E77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4AAA5EE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0507C2A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787532AB" w14:textId="77777777" w:rsidTr="00D716C5">
        <w:trPr>
          <w:trHeight w:val="300"/>
        </w:trPr>
        <w:tc>
          <w:tcPr>
            <w:tcW w:w="425" w:type="dxa"/>
            <w:hideMark/>
          </w:tcPr>
          <w:p w14:paraId="5559266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41</w:t>
            </w:r>
          </w:p>
        </w:tc>
        <w:tc>
          <w:tcPr>
            <w:tcW w:w="2269" w:type="dxa"/>
            <w:hideMark/>
          </w:tcPr>
          <w:p w14:paraId="5823042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Pérez Mata Luz Elena</w:t>
            </w:r>
          </w:p>
        </w:tc>
        <w:tc>
          <w:tcPr>
            <w:tcW w:w="709" w:type="dxa"/>
            <w:hideMark/>
          </w:tcPr>
          <w:p w14:paraId="526311A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3DA80F9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736A5C2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525F527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xml:space="preserve">Bioquímica </w:t>
            </w:r>
          </w:p>
        </w:tc>
        <w:tc>
          <w:tcPr>
            <w:tcW w:w="709" w:type="dxa"/>
            <w:hideMark/>
          </w:tcPr>
          <w:p w14:paraId="2DEC4FF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5DC4864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5761346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47252E7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66A5DC7C" w14:textId="77777777" w:rsidTr="00D716C5">
        <w:trPr>
          <w:trHeight w:val="300"/>
        </w:trPr>
        <w:tc>
          <w:tcPr>
            <w:tcW w:w="425" w:type="dxa"/>
            <w:hideMark/>
          </w:tcPr>
          <w:p w14:paraId="4325D25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42</w:t>
            </w:r>
          </w:p>
        </w:tc>
        <w:tc>
          <w:tcPr>
            <w:tcW w:w="2269" w:type="dxa"/>
            <w:hideMark/>
          </w:tcPr>
          <w:p w14:paraId="1D03362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Muñoz R. Luis A.</w:t>
            </w:r>
          </w:p>
        </w:tc>
        <w:tc>
          <w:tcPr>
            <w:tcW w:w="709" w:type="dxa"/>
            <w:hideMark/>
          </w:tcPr>
          <w:p w14:paraId="1F40B116"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0FD660B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2E48865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2F56DD9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Genética</w:t>
            </w:r>
          </w:p>
        </w:tc>
        <w:tc>
          <w:tcPr>
            <w:tcW w:w="709" w:type="dxa"/>
            <w:hideMark/>
          </w:tcPr>
          <w:p w14:paraId="327F10B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4FB02A4B"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345370D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001CA9A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75133B82" w14:textId="77777777" w:rsidTr="00D716C5">
        <w:trPr>
          <w:trHeight w:val="300"/>
        </w:trPr>
        <w:tc>
          <w:tcPr>
            <w:tcW w:w="425" w:type="dxa"/>
            <w:hideMark/>
          </w:tcPr>
          <w:p w14:paraId="04087950"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43</w:t>
            </w:r>
          </w:p>
        </w:tc>
        <w:tc>
          <w:tcPr>
            <w:tcW w:w="2269" w:type="dxa"/>
            <w:hideMark/>
          </w:tcPr>
          <w:p w14:paraId="5422A20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Ma. Elizabeth Jurado</w:t>
            </w:r>
          </w:p>
        </w:tc>
        <w:tc>
          <w:tcPr>
            <w:tcW w:w="709" w:type="dxa"/>
            <w:hideMark/>
          </w:tcPr>
          <w:p w14:paraId="4FAE56E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14:paraId="6E47F75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59E98DC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6FF0701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xml:space="preserve">Bioquímica </w:t>
            </w:r>
          </w:p>
        </w:tc>
        <w:tc>
          <w:tcPr>
            <w:tcW w:w="709" w:type="dxa"/>
            <w:hideMark/>
          </w:tcPr>
          <w:p w14:paraId="7609250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57DE755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0C48E89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6410D6F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4E969F97" w14:textId="77777777" w:rsidTr="00D716C5">
        <w:trPr>
          <w:trHeight w:val="300"/>
        </w:trPr>
        <w:tc>
          <w:tcPr>
            <w:tcW w:w="425" w:type="dxa"/>
            <w:hideMark/>
          </w:tcPr>
          <w:p w14:paraId="7DDEE781"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44</w:t>
            </w:r>
          </w:p>
        </w:tc>
        <w:tc>
          <w:tcPr>
            <w:tcW w:w="2269" w:type="dxa"/>
            <w:hideMark/>
          </w:tcPr>
          <w:p w14:paraId="6B6434A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Martínez Alfaro Graciela</w:t>
            </w:r>
          </w:p>
        </w:tc>
        <w:tc>
          <w:tcPr>
            <w:tcW w:w="709" w:type="dxa"/>
            <w:hideMark/>
          </w:tcPr>
          <w:p w14:paraId="7E45B19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Lic.</w:t>
            </w:r>
          </w:p>
        </w:tc>
        <w:tc>
          <w:tcPr>
            <w:tcW w:w="850" w:type="dxa"/>
            <w:hideMark/>
          </w:tcPr>
          <w:p w14:paraId="52BA67C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542C6EF2"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47A92D7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Economia Gral.</w:t>
            </w:r>
          </w:p>
        </w:tc>
        <w:tc>
          <w:tcPr>
            <w:tcW w:w="709" w:type="dxa"/>
            <w:hideMark/>
          </w:tcPr>
          <w:p w14:paraId="4041986D"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14:paraId="2F816CE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133BDBE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7A70A5D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14:paraId="3F92EBAF" w14:textId="77777777" w:rsidTr="00D716C5">
        <w:trPr>
          <w:trHeight w:val="300"/>
        </w:trPr>
        <w:tc>
          <w:tcPr>
            <w:tcW w:w="425" w:type="dxa"/>
            <w:hideMark/>
          </w:tcPr>
          <w:p w14:paraId="03753B2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45</w:t>
            </w:r>
          </w:p>
        </w:tc>
        <w:tc>
          <w:tcPr>
            <w:tcW w:w="2269" w:type="dxa"/>
            <w:hideMark/>
          </w:tcPr>
          <w:p w14:paraId="436AEBB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Zarate L. Alejandro</w:t>
            </w:r>
          </w:p>
        </w:tc>
        <w:tc>
          <w:tcPr>
            <w:tcW w:w="709" w:type="dxa"/>
            <w:hideMark/>
          </w:tcPr>
          <w:p w14:paraId="77E25759"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14:paraId="413DD92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7CC1B09E"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2DA1A7B8"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r w:rsidR="00F37838">
              <w:rPr>
                <w:rFonts w:ascii="Arial" w:hAnsi="Arial" w:cs="Arial"/>
                <w:color w:val="000000"/>
                <w:sz w:val="16"/>
                <w:szCs w:val="16"/>
              </w:rPr>
              <w:t>Evaluación de Impacto ambiental</w:t>
            </w:r>
          </w:p>
        </w:tc>
        <w:tc>
          <w:tcPr>
            <w:tcW w:w="709" w:type="dxa"/>
            <w:hideMark/>
          </w:tcPr>
          <w:p w14:paraId="2DABFD4F"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14:paraId="3A2193C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352EBEC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14:paraId="5D5922A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14:paraId="1430B0B1" w14:textId="77777777" w:rsidTr="00D716C5">
        <w:trPr>
          <w:trHeight w:val="300"/>
        </w:trPr>
        <w:tc>
          <w:tcPr>
            <w:tcW w:w="425" w:type="dxa"/>
            <w:hideMark/>
          </w:tcPr>
          <w:p w14:paraId="026866F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46</w:t>
            </w:r>
          </w:p>
        </w:tc>
        <w:tc>
          <w:tcPr>
            <w:tcW w:w="2269" w:type="dxa"/>
            <w:hideMark/>
          </w:tcPr>
          <w:p w14:paraId="7A4251F7"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Zuñiga Enriquez Juan C.</w:t>
            </w:r>
          </w:p>
        </w:tc>
        <w:tc>
          <w:tcPr>
            <w:tcW w:w="709" w:type="dxa"/>
            <w:hideMark/>
          </w:tcPr>
          <w:p w14:paraId="5D4F5AD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14:paraId="485C6FBA"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14:paraId="1D36FDF3"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14:paraId="61B922C6" w14:textId="77777777" w:rsidR="00D716C5" w:rsidRPr="007512D0" w:rsidRDefault="00F37838" w:rsidP="00D716C5">
            <w:pPr>
              <w:rPr>
                <w:rFonts w:ascii="Arial" w:hAnsi="Arial" w:cs="Arial"/>
                <w:color w:val="000000"/>
                <w:sz w:val="16"/>
                <w:szCs w:val="16"/>
              </w:rPr>
            </w:pPr>
            <w:r>
              <w:rPr>
                <w:rFonts w:ascii="Arial" w:hAnsi="Arial" w:cs="Arial"/>
                <w:color w:val="000000"/>
                <w:sz w:val="16"/>
                <w:szCs w:val="16"/>
              </w:rPr>
              <w:t xml:space="preserve">Agricultura sustentable </w:t>
            </w:r>
            <w:r w:rsidR="00D716C5" w:rsidRPr="007512D0">
              <w:rPr>
                <w:rFonts w:ascii="Arial" w:hAnsi="Arial" w:cs="Arial"/>
                <w:color w:val="000000"/>
                <w:sz w:val="16"/>
                <w:szCs w:val="16"/>
              </w:rPr>
              <w:t> </w:t>
            </w:r>
          </w:p>
        </w:tc>
        <w:tc>
          <w:tcPr>
            <w:tcW w:w="709" w:type="dxa"/>
            <w:hideMark/>
          </w:tcPr>
          <w:p w14:paraId="1677FB6C"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r w:rsidR="00F37838">
              <w:rPr>
                <w:rFonts w:ascii="Arial" w:hAnsi="Arial" w:cs="Arial"/>
                <w:color w:val="000000"/>
                <w:sz w:val="16"/>
                <w:szCs w:val="16"/>
              </w:rPr>
              <w:t>x</w:t>
            </w:r>
          </w:p>
        </w:tc>
        <w:tc>
          <w:tcPr>
            <w:tcW w:w="567" w:type="dxa"/>
            <w:hideMark/>
          </w:tcPr>
          <w:p w14:paraId="13F50A85"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14:paraId="3AA15134" w14:textId="77777777"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14:paraId="59B51D44" w14:textId="77777777" w:rsidR="00D716C5" w:rsidRPr="007512D0" w:rsidRDefault="00F37838" w:rsidP="00D716C5">
            <w:pPr>
              <w:rPr>
                <w:rFonts w:ascii="Arial" w:hAnsi="Arial" w:cs="Arial"/>
                <w:color w:val="000000"/>
                <w:sz w:val="16"/>
                <w:szCs w:val="16"/>
              </w:rPr>
            </w:pPr>
            <w:r>
              <w:rPr>
                <w:rFonts w:ascii="Arial" w:hAnsi="Arial" w:cs="Arial"/>
                <w:color w:val="000000"/>
                <w:sz w:val="16"/>
                <w:szCs w:val="16"/>
              </w:rPr>
              <w:t>x</w:t>
            </w:r>
            <w:r w:rsidR="00D716C5" w:rsidRPr="007512D0">
              <w:rPr>
                <w:rFonts w:ascii="Arial" w:hAnsi="Arial" w:cs="Arial"/>
                <w:color w:val="000000"/>
                <w:sz w:val="16"/>
                <w:szCs w:val="16"/>
              </w:rPr>
              <w:t> </w:t>
            </w:r>
          </w:p>
        </w:tc>
      </w:tr>
    </w:tbl>
    <w:p w14:paraId="2AF73ADD" w14:textId="77777777" w:rsidR="00F13DD0" w:rsidRPr="007923C2" w:rsidRDefault="00F13DD0" w:rsidP="00F13DD0">
      <w:pPr>
        <w:spacing w:after="0" w:line="240" w:lineRule="auto"/>
        <w:rPr>
          <w:rFonts w:ascii="Arial" w:hAnsi="Arial" w:cs="Arial"/>
          <w:color w:val="000000"/>
          <w:sz w:val="22"/>
          <w:szCs w:val="22"/>
        </w:rPr>
      </w:pPr>
    </w:p>
    <w:p w14:paraId="6999EB7A" w14:textId="77777777" w:rsidR="00F13DD0" w:rsidRPr="007923C2" w:rsidRDefault="00F13DD0" w:rsidP="00F13DD0">
      <w:pPr>
        <w:spacing w:after="0" w:line="240" w:lineRule="auto"/>
        <w:rPr>
          <w:rFonts w:ascii="Arial" w:hAnsi="Arial" w:cs="Arial"/>
          <w:b/>
          <w:color w:val="000000"/>
          <w:sz w:val="22"/>
          <w:szCs w:val="22"/>
        </w:rPr>
      </w:pPr>
      <w:r w:rsidRPr="007923C2">
        <w:rPr>
          <w:rFonts w:ascii="Arial" w:hAnsi="Arial" w:cs="Arial"/>
          <w:b/>
          <w:color w:val="000000"/>
          <w:sz w:val="22"/>
          <w:szCs w:val="22"/>
        </w:rPr>
        <w:t>4.3.1.2.-ESTRUCTURA CONTENIDO Y FLEXIBILIDAD DEL PLAN DE ESTUDIOS</w:t>
      </w:r>
      <w:r w:rsidR="00F37838">
        <w:rPr>
          <w:rFonts w:ascii="Arial" w:hAnsi="Arial" w:cs="Arial"/>
          <w:b/>
          <w:color w:val="000000"/>
          <w:sz w:val="22"/>
          <w:szCs w:val="22"/>
        </w:rPr>
        <w:t xml:space="preserve"> 2016</w:t>
      </w:r>
    </w:p>
    <w:p w14:paraId="50EB9431" w14:textId="77777777" w:rsidR="00621552" w:rsidRPr="007923C2" w:rsidRDefault="00621552" w:rsidP="00F13DD0">
      <w:pPr>
        <w:widowControl w:val="0"/>
        <w:autoSpaceDE w:val="0"/>
        <w:autoSpaceDN w:val="0"/>
        <w:adjustRightInd w:val="0"/>
        <w:rPr>
          <w:rFonts w:ascii="Arial" w:hAnsi="Arial" w:cs="Arial"/>
          <w:sz w:val="22"/>
          <w:szCs w:val="22"/>
        </w:rPr>
      </w:pPr>
    </w:p>
    <w:p w14:paraId="78A0F2B7" w14:textId="54B2C180" w:rsidR="00F13DD0" w:rsidRPr="007923C2" w:rsidRDefault="00E61B98"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La carrera de Ingeniero en Agrobiología considera 3 áreas de formación que contienen asignaturas generales que establecen las bases y los principos  para poder entender el conocimiento especializado en el que culminan las áreas de formación.</w:t>
      </w:r>
    </w:p>
    <w:p w14:paraId="518C4B4B" w14:textId="1466E21F" w:rsidR="00F13DD0" w:rsidRPr="007923C2" w:rsidRDefault="00621552"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Plan de Estudios consta de 56 asignaturas de las cuales 46 son obligatorias y 10 son optativas, además se incluirán materias cocurriculares: tres estarán enfocadas a un aprendizaje práctico especializado impartido como taller y cursarán además de</w:t>
      </w:r>
      <w:r w:rsidR="00CF53CC" w:rsidRPr="007923C2">
        <w:rPr>
          <w:rFonts w:ascii="Arial" w:hAnsi="Arial" w:cs="Arial"/>
          <w:sz w:val="22"/>
          <w:szCs w:val="22"/>
        </w:rPr>
        <w:t xml:space="preserve"> los</w:t>
      </w:r>
      <w:r w:rsidRPr="007923C2">
        <w:rPr>
          <w:rFonts w:ascii="Arial" w:hAnsi="Arial" w:cs="Arial"/>
          <w:sz w:val="22"/>
          <w:szCs w:val="22"/>
        </w:rPr>
        <w:t xml:space="preserve"> 2 niveles de inglés otros más que sean necesarios para que el alumno alcance 350 puntos de nivel </w:t>
      </w:r>
      <w:r w:rsidR="00F96559">
        <w:rPr>
          <w:rFonts w:ascii="Arial" w:hAnsi="Arial" w:cs="Arial"/>
          <w:sz w:val="22"/>
          <w:szCs w:val="22"/>
        </w:rPr>
        <w:t>T</w:t>
      </w:r>
      <w:r w:rsidRPr="007923C2">
        <w:rPr>
          <w:rFonts w:ascii="Arial" w:hAnsi="Arial" w:cs="Arial"/>
          <w:sz w:val="22"/>
          <w:szCs w:val="22"/>
        </w:rPr>
        <w:t>o</w:t>
      </w:r>
      <w:r w:rsidR="00F96559">
        <w:rPr>
          <w:rFonts w:ascii="Arial" w:hAnsi="Arial" w:cs="Arial"/>
          <w:sz w:val="22"/>
          <w:szCs w:val="22"/>
        </w:rPr>
        <w:t>e</w:t>
      </w:r>
      <w:r w:rsidRPr="007923C2">
        <w:rPr>
          <w:rFonts w:ascii="Arial" w:hAnsi="Arial" w:cs="Arial"/>
          <w:sz w:val="22"/>
          <w:szCs w:val="22"/>
        </w:rPr>
        <w:t xml:space="preserve">fl </w:t>
      </w:r>
      <w:r w:rsidR="00F96559">
        <w:rPr>
          <w:rFonts w:ascii="Arial" w:hAnsi="Arial" w:cs="Arial"/>
          <w:sz w:val="22"/>
          <w:szCs w:val="22"/>
        </w:rPr>
        <w:t xml:space="preserve">como parte de los requisitos </w:t>
      </w:r>
      <w:r w:rsidRPr="007923C2">
        <w:rPr>
          <w:rFonts w:ascii="Arial" w:hAnsi="Arial" w:cs="Arial"/>
          <w:sz w:val="22"/>
          <w:szCs w:val="22"/>
        </w:rPr>
        <w:t>para poder titularse.</w:t>
      </w:r>
    </w:p>
    <w:p w14:paraId="0E315CFB" w14:textId="77777777" w:rsidR="00D4618C" w:rsidRPr="007923C2" w:rsidRDefault="00621552"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Plan de estudios está integrado de 22 materias generales que establecen el conocimiento fundamental para entender las materias especializadas</w:t>
      </w:r>
      <w:r w:rsidR="00D4618C" w:rsidRPr="007923C2">
        <w:rPr>
          <w:rFonts w:ascii="Arial" w:hAnsi="Arial" w:cs="Arial"/>
          <w:sz w:val="22"/>
          <w:szCs w:val="22"/>
        </w:rPr>
        <w:t>.</w:t>
      </w:r>
    </w:p>
    <w:p w14:paraId="16C8CFC5" w14:textId="78B68186" w:rsidR="00D4618C" w:rsidRPr="007923C2" w:rsidRDefault="00D4618C"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 las materias especializadas o profesionalizantes son 24 asignaturas  que establecen el </w:t>
      </w:r>
      <w:r w:rsidRPr="007923C2">
        <w:rPr>
          <w:rFonts w:ascii="Arial" w:hAnsi="Arial" w:cs="Arial"/>
          <w:sz w:val="22"/>
          <w:szCs w:val="22"/>
        </w:rPr>
        <w:lastRenderedPageBreak/>
        <w:t>conocimiento teórico-práctico encaminado al conocimiento de la agricultura alternativa, la ecología y contaminación (conservación) y biotecnología</w:t>
      </w:r>
      <w:r w:rsidR="00682F54">
        <w:rPr>
          <w:rFonts w:ascii="Arial" w:hAnsi="Arial" w:cs="Arial"/>
          <w:sz w:val="22"/>
          <w:szCs w:val="22"/>
        </w:rPr>
        <w:t>,</w:t>
      </w:r>
      <w:r w:rsidRPr="007923C2">
        <w:rPr>
          <w:rFonts w:ascii="Arial" w:hAnsi="Arial" w:cs="Arial"/>
          <w:sz w:val="22"/>
          <w:szCs w:val="22"/>
        </w:rPr>
        <w:t xml:space="preserve"> todas ellas para lograr el manejo sustentable de los recursos naturales.</w:t>
      </w:r>
    </w:p>
    <w:p w14:paraId="30D77017" w14:textId="77777777" w:rsidR="00D4618C" w:rsidRPr="007923C2" w:rsidRDefault="00D4618C"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Con la elección de las 10 materias optativas el estudiante tendrá la oportunidad de </w:t>
      </w:r>
      <w:r w:rsidR="00CF53CC" w:rsidRPr="007923C2">
        <w:rPr>
          <w:rFonts w:ascii="Arial" w:hAnsi="Arial" w:cs="Arial"/>
          <w:sz w:val="22"/>
          <w:szCs w:val="22"/>
        </w:rPr>
        <w:t xml:space="preserve">ampliar su </w:t>
      </w:r>
      <w:r w:rsidRPr="007923C2">
        <w:rPr>
          <w:rFonts w:ascii="Arial" w:hAnsi="Arial" w:cs="Arial"/>
          <w:sz w:val="22"/>
          <w:szCs w:val="22"/>
        </w:rPr>
        <w:t>especializa</w:t>
      </w:r>
      <w:r w:rsidR="00CF53CC" w:rsidRPr="007923C2">
        <w:rPr>
          <w:rFonts w:ascii="Arial" w:hAnsi="Arial" w:cs="Arial"/>
          <w:sz w:val="22"/>
          <w:szCs w:val="22"/>
        </w:rPr>
        <w:t>ción</w:t>
      </w:r>
      <w:r w:rsidRPr="007923C2">
        <w:rPr>
          <w:rFonts w:ascii="Arial" w:hAnsi="Arial" w:cs="Arial"/>
          <w:sz w:val="22"/>
          <w:szCs w:val="22"/>
        </w:rPr>
        <w:t xml:space="preserve"> en alguna de éstas áreas del conocimiento que conforma</w:t>
      </w:r>
      <w:r w:rsidR="00CF53CC" w:rsidRPr="007923C2">
        <w:rPr>
          <w:rFonts w:ascii="Arial" w:hAnsi="Arial" w:cs="Arial"/>
          <w:sz w:val="22"/>
          <w:szCs w:val="22"/>
        </w:rPr>
        <w:t>n</w:t>
      </w:r>
      <w:r w:rsidRPr="007923C2">
        <w:rPr>
          <w:rFonts w:ascii="Arial" w:hAnsi="Arial" w:cs="Arial"/>
          <w:sz w:val="22"/>
          <w:szCs w:val="22"/>
        </w:rPr>
        <w:t xml:space="preserve"> el plan de estudios o si así lo prefiere puede seleccionar materias diversas del total de optativas.</w:t>
      </w:r>
    </w:p>
    <w:p w14:paraId="53F3ECAF" w14:textId="77777777" w:rsidR="00F37838" w:rsidRDefault="00D4618C"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plan de estudios tiene amplia flexibilidad </w:t>
      </w:r>
      <w:r w:rsidR="00CF53CC" w:rsidRPr="007923C2">
        <w:rPr>
          <w:rFonts w:ascii="Arial" w:hAnsi="Arial" w:cs="Arial"/>
          <w:sz w:val="22"/>
          <w:szCs w:val="22"/>
        </w:rPr>
        <w:t>está constituido por 45 materias optativas de las cuales se seleccionan 10 que son las que deben cursar los estudiantes.</w:t>
      </w:r>
    </w:p>
    <w:p w14:paraId="4FCBD69B" w14:textId="3FDE7D3D" w:rsidR="00432430" w:rsidRDefault="00432430" w:rsidP="00F17500">
      <w:pPr>
        <w:widowControl w:val="0"/>
        <w:autoSpaceDE w:val="0"/>
        <w:autoSpaceDN w:val="0"/>
        <w:adjustRightInd w:val="0"/>
        <w:jc w:val="both"/>
        <w:rPr>
          <w:rFonts w:ascii="Arial" w:hAnsi="Arial" w:cs="Arial"/>
          <w:sz w:val="22"/>
          <w:szCs w:val="22"/>
        </w:rPr>
      </w:pPr>
      <w:r>
        <w:rPr>
          <w:rFonts w:ascii="Arial" w:hAnsi="Arial" w:cs="Arial"/>
          <w:sz w:val="22"/>
          <w:szCs w:val="22"/>
        </w:rPr>
        <w:t xml:space="preserve">El análisis del documento Estudio de Pertinencia  de la Carrera IAB </w:t>
      </w:r>
      <w:r w:rsidR="00682F54">
        <w:rPr>
          <w:rFonts w:ascii="Arial" w:hAnsi="Arial" w:cs="Arial"/>
          <w:sz w:val="22"/>
          <w:szCs w:val="22"/>
        </w:rPr>
        <w:t xml:space="preserve"> </w:t>
      </w:r>
      <w:r>
        <w:rPr>
          <w:rFonts w:ascii="Arial" w:hAnsi="Arial" w:cs="Arial"/>
          <w:sz w:val="22"/>
          <w:szCs w:val="22"/>
        </w:rPr>
        <w:t xml:space="preserve"> brindó apoyo para fundamentar los cambios estructurales que se iban a realizar en el Plan de Estudios 2016.</w:t>
      </w:r>
    </w:p>
    <w:p w14:paraId="59F4DAC3" w14:textId="77777777" w:rsidR="00432430" w:rsidRDefault="00432430" w:rsidP="00F17500">
      <w:pPr>
        <w:widowControl w:val="0"/>
        <w:autoSpaceDE w:val="0"/>
        <w:autoSpaceDN w:val="0"/>
        <w:adjustRightInd w:val="0"/>
        <w:jc w:val="both"/>
        <w:rPr>
          <w:rFonts w:ascii="Arial" w:hAnsi="Arial" w:cs="Arial"/>
          <w:sz w:val="22"/>
          <w:szCs w:val="22"/>
        </w:rPr>
      </w:pPr>
      <w:r>
        <w:rPr>
          <w:rFonts w:ascii="Arial" w:hAnsi="Arial" w:cs="Arial"/>
          <w:sz w:val="22"/>
          <w:szCs w:val="22"/>
        </w:rPr>
        <w:t>Así también se aplicaron encuestas a otros egresado de generaciones mas recientes que habían cursado su carrera con el Plan de Estudios 2006.</w:t>
      </w:r>
    </w:p>
    <w:p w14:paraId="21795E9B" w14:textId="77777777" w:rsidR="00432430" w:rsidRDefault="00432430" w:rsidP="00F17500">
      <w:pPr>
        <w:widowControl w:val="0"/>
        <w:autoSpaceDE w:val="0"/>
        <w:autoSpaceDN w:val="0"/>
        <w:adjustRightInd w:val="0"/>
        <w:jc w:val="both"/>
        <w:rPr>
          <w:rFonts w:ascii="Arial" w:hAnsi="Arial" w:cs="Arial"/>
          <w:sz w:val="22"/>
          <w:szCs w:val="22"/>
        </w:rPr>
      </w:pPr>
      <w:r>
        <w:rPr>
          <w:rFonts w:ascii="Arial" w:hAnsi="Arial" w:cs="Arial"/>
          <w:sz w:val="22"/>
          <w:szCs w:val="22"/>
        </w:rPr>
        <w:t>Se tuvo como resultado lo siguiente:</w:t>
      </w:r>
    </w:p>
    <w:p w14:paraId="482F2C23" w14:textId="77777777" w:rsidR="00733947" w:rsidRDefault="00432430" w:rsidP="00F17500">
      <w:pPr>
        <w:widowControl w:val="0"/>
        <w:autoSpaceDE w:val="0"/>
        <w:autoSpaceDN w:val="0"/>
        <w:adjustRightInd w:val="0"/>
        <w:jc w:val="both"/>
        <w:rPr>
          <w:rFonts w:ascii="Arial" w:hAnsi="Arial" w:cs="Arial"/>
          <w:sz w:val="22"/>
          <w:szCs w:val="22"/>
        </w:rPr>
      </w:pPr>
      <w:r>
        <w:rPr>
          <w:rFonts w:ascii="Arial" w:hAnsi="Arial" w:cs="Arial"/>
          <w:sz w:val="22"/>
          <w:szCs w:val="22"/>
        </w:rPr>
        <w:t>1.- Se modificó el Perfil de egreso no perdiendo el fundamento de la carrera sino solo dando un mayor enfoque  al área de agricultura alternativa que es lo que más comentaron los egresados  que carecían de conocimiento teórico-práctico en esa área, en segundo término se consideró el área de conservación</w:t>
      </w:r>
      <w:r w:rsidR="00733947">
        <w:rPr>
          <w:rFonts w:ascii="Arial" w:hAnsi="Arial" w:cs="Arial"/>
          <w:sz w:val="22"/>
          <w:szCs w:val="22"/>
        </w:rPr>
        <w:t xml:space="preserve"> (ecología y contaminación) y el área de biotecnología.</w:t>
      </w:r>
    </w:p>
    <w:p w14:paraId="54BD0DA9" w14:textId="77777777" w:rsidR="00733947" w:rsidRDefault="00733947" w:rsidP="00F17500">
      <w:pPr>
        <w:widowControl w:val="0"/>
        <w:autoSpaceDE w:val="0"/>
        <w:autoSpaceDN w:val="0"/>
        <w:adjustRightInd w:val="0"/>
        <w:jc w:val="both"/>
        <w:rPr>
          <w:rFonts w:ascii="Arial" w:hAnsi="Arial" w:cs="Arial"/>
          <w:sz w:val="22"/>
          <w:szCs w:val="22"/>
        </w:rPr>
      </w:pPr>
      <w:r>
        <w:rPr>
          <w:rFonts w:ascii="Arial" w:hAnsi="Arial" w:cs="Arial"/>
          <w:sz w:val="22"/>
          <w:szCs w:val="22"/>
        </w:rPr>
        <w:t>2.-Se eliminaron asignaturas no muy importantes en la formación del estudiante para incluir aquellas que le van a ser mas útiles en su formación como agrobiólogo.</w:t>
      </w:r>
    </w:p>
    <w:p w14:paraId="73C1E927" w14:textId="77777777" w:rsidR="00733947" w:rsidRDefault="00733947" w:rsidP="00F17500">
      <w:pPr>
        <w:widowControl w:val="0"/>
        <w:autoSpaceDE w:val="0"/>
        <w:autoSpaceDN w:val="0"/>
        <w:adjustRightInd w:val="0"/>
        <w:jc w:val="both"/>
        <w:rPr>
          <w:rFonts w:ascii="Arial" w:hAnsi="Arial" w:cs="Arial"/>
          <w:sz w:val="22"/>
          <w:szCs w:val="22"/>
        </w:rPr>
      </w:pPr>
      <w:r>
        <w:rPr>
          <w:rFonts w:ascii="Arial" w:hAnsi="Arial" w:cs="Arial"/>
          <w:sz w:val="22"/>
          <w:szCs w:val="22"/>
        </w:rPr>
        <w:t>3.-Se aumentan el número de materias optativas en el Plan de estudios.</w:t>
      </w:r>
    </w:p>
    <w:p w14:paraId="711A786C" w14:textId="77777777" w:rsidR="00621552" w:rsidRPr="007923C2" w:rsidRDefault="00733947" w:rsidP="00F17500">
      <w:pPr>
        <w:widowControl w:val="0"/>
        <w:autoSpaceDE w:val="0"/>
        <w:autoSpaceDN w:val="0"/>
        <w:adjustRightInd w:val="0"/>
        <w:jc w:val="both"/>
        <w:rPr>
          <w:rFonts w:ascii="Arial" w:hAnsi="Arial" w:cs="Arial"/>
          <w:sz w:val="22"/>
          <w:szCs w:val="22"/>
        </w:rPr>
      </w:pPr>
      <w:r>
        <w:rPr>
          <w:rFonts w:ascii="Arial" w:hAnsi="Arial" w:cs="Arial"/>
          <w:sz w:val="22"/>
          <w:szCs w:val="22"/>
        </w:rPr>
        <w:t>4.-Incluir materias cocurriculares será de mucho apoyo para fundamentar el aspecto práctico de la formación del estudiante.</w:t>
      </w:r>
    </w:p>
    <w:p w14:paraId="1F8ABFCC" w14:textId="77777777" w:rsidR="0011484B" w:rsidRPr="007923C2" w:rsidRDefault="00CF53CC" w:rsidP="003C7713">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w:t>
      </w:r>
      <w:r w:rsidR="0011484B" w:rsidRPr="007923C2">
        <w:rPr>
          <w:rFonts w:ascii="Arial" w:hAnsi="Arial" w:cs="Arial"/>
          <w:b/>
          <w:sz w:val="22"/>
          <w:szCs w:val="22"/>
        </w:rPr>
        <w:t>.3.1.3.- MATRÍCULA</w:t>
      </w:r>
    </w:p>
    <w:p w14:paraId="28ECB2A1" w14:textId="77777777" w:rsidR="00DB324E" w:rsidRPr="007923C2" w:rsidRDefault="00DB324E" w:rsidP="003C7713">
      <w:pPr>
        <w:widowControl w:val="0"/>
        <w:autoSpaceDE w:val="0"/>
        <w:autoSpaceDN w:val="0"/>
        <w:adjustRightInd w:val="0"/>
        <w:jc w:val="both"/>
        <w:rPr>
          <w:rFonts w:ascii="Arial" w:hAnsi="Arial" w:cs="Arial"/>
          <w:sz w:val="22"/>
          <w:szCs w:val="22"/>
        </w:rPr>
      </w:pPr>
      <w:r w:rsidRPr="007923C2">
        <w:rPr>
          <w:rFonts w:ascii="Arial" w:hAnsi="Arial" w:cs="Arial"/>
          <w:sz w:val="22"/>
          <w:szCs w:val="22"/>
        </w:rPr>
        <w:t>El comportamiento de la matrícula de los alumnos de la carrera IAB ha variad</w:t>
      </w:r>
      <w:r w:rsidR="00045A85" w:rsidRPr="007923C2">
        <w:rPr>
          <w:rFonts w:ascii="Arial" w:hAnsi="Arial" w:cs="Arial"/>
          <w:sz w:val="22"/>
          <w:szCs w:val="22"/>
        </w:rPr>
        <w:t>o</w:t>
      </w:r>
      <w:r w:rsidRPr="007923C2">
        <w:rPr>
          <w:rFonts w:ascii="Arial" w:hAnsi="Arial" w:cs="Arial"/>
          <w:sz w:val="22"/>
          <w:szCs w:val="22"/>
        </w:rPr>
        <w:t>, despúes de la acreditación de la carrera (2006) el número de alumnos de nuevo ingreso se incrementó hasta un promedio de 200 alumnos, posteriormente empezó a bajar la inscripción de alumnos despúes del 2012 quizá por las políticas de la universidad sobre las carreras que no lograron su refrendo, posteriormente la inscripción se mantuvo en un promedio de 130 alumnos.</w:t>
      </w:r>
    </w:p>
    <w:p w14:paraId="1B8D82D6" w14:textId="77777777" w:rsidR="00045A85" w:rsidRPr="007923C2" w:rsidRDefault="00DB324E" w:rsidP="003C7713">
      <w:pPr>
        <w:widowControl w:val="0"/>
        <w:autoSpaceDE w:val="0"/>
        <w:autoSpaceDN w:val="0"/>
        <w:adjustRightInd w:val="0"/>
        <w:jc w:val="both"/>
        <w:rPr>
          <w:rFonts w:ascii="Arial" w:hAnsi="Arial" w:cs="Arial"/>
          <w:sz w:val="22"/>
          <w:szCs w:val="22"/>
        </w:rPr>
      </w:pPr>
      <w:r w:rsidRPr="007923C2">
        <w:rPr>
          <w:rFonts w:ascii="Arial" w:hAnsi="Arial" w:cs="Arial"/>
          <w:sz w:val="22"/>
          <w:szCs w:val="22"/>
        </w:rPr>
        <w:t>La universidad ha establecido</w:t>
      </w:r>
      <w:r w:rsidR="00733947">
        <w:rPr>
          <w:rFonts w:ascii="Arial" w:hAnsi="Arial" w:cs="Arial"/>
          <w:sz w:val="22"/>
          <w:szCs w:val="22"/>
        </w:rPr>
        <w:t xml:space="preserve"> que</w:t>
      </w:r>
      <w:r w:rsidRPr="007923C2">
        <w:rPr>
          <w:rFonts w:ascii="Arial" w:hAnsi="Arial" w:cs="Arial"/>
          <w:sz w:val="22"/>
          <w:szCs w:val="22"/>
        </w:rPr>
        <w:t xml:space="preserve"> el total de las carreras</w:t>
      </w:r>
      <w:r w:rsidR="00733947">
        <w:rPr>
          <w:rFonts w:ascii="Arial" w:hAnsi="Arial" w:cs="Arial"/>
          <w:sz w:val="22"/>
          <w:szCs w:val="22"/>
        </w:rPr>
        <w:t xml:space="preserve"> de la Institución estén </w:t>
      </w:r>
      <w:r w:rsidRPr="007923C2">
        <w:rPr>
          <w:rFonts w:ascii="Arial" w:hAnsi="Arial" w:cs="Arial"/>
          <w:sz w:val="22"/>
          <w:szCs w:val="22"/>
        </w:rPr>
        <w:t>acreditadas para mantener la calidad de la oferta educativa es por eso que el Programa Docente IAB se ha trazado el compromiso de volver a acreditar la carrera</w:t>
      </w:r>
      <w:r w:rsidR="00045A85" w:rsidRPr="007923C2">
        <w:rPr>
          <w:rFonts w:ascii="Arial" w:hAnsi="Arial" w:cs="Arial"/>
          <w:sz w:val="22"/>
          <w:szCs w:val="22"/>
        </w:rPr>
        <w:t>, haciendo un análisis de la pertinencia del plan de estudios para lograr una buena formación del estudiante.</w:t>
      </w:r>
    </w:p>
    <w:p w14:paraId="1EE11600" w14:textId="77777777" w:rsidR="000F1CC9" w:rsidRPr="007923C2" w:rsidRDefault="00733947" w:rsidP="003C7713">
      <w:pPr>
        <w:widowControl w:val="0"/>
        <w:autoSpaceDE w:val="0"/>
        <w:autoSpaceDN w:val="0"/>
        <w:adjustRightInd w:val="0"/>
        <w:jc w:val="both"/>
        <w:rPr>
          <w:rFonts w:ascii="Arial" w:hAnsi="Arial" w:cs="Arial"/>
          <w:sz w:val="22"/>
          <w:szCs w:val="22"/>
        </w:rPr>
      </w:pPr>
      <w:r>
        <w:rPr>
          <w:rFonts w:ascii="Arial" w:hAnsi="Arial" w:cs="Arial"/>
          <w:sz w:val="22"/>
          <w:szCs w:val="22"/>
        </w:rPr>
        <w:t>MATRÍCULA 2016 DEL PROGRAMA DOCENTE IAB</w:t>
      </w:r>
    </w:p>
    <w:tbl>
      <w:tblPr>
        <w:tblW w:w="8931" w:type="dxa"/>
        <w:tblInd w:w="-10" w:type="dxa"/>
        <w:tblCellMar>
          <w:left w:w="70" w:type="dxa"/>
          <w:right w:w="70" w:type="dxa"/>
        </w:tblCellMar>
        <w:tblLook w:val="04A0" w:firstRow="1" w:lastRow="0" w:firstColumn="1" w:lastColumn="0" w:noHBand="0" w:noVBand="1"/>
      </w:tblPr>
      <w:tblGrid>
        <w:gridCol w:w="852"/>
        <w:gridCol w:w="1414"/>
        <w:gridCol w:w="1420"/>
        <w:gridCol w:w="709"/>
        <w:gridCol w:w="425"/>
        <w:gridCol w:w="567"/>
        <w:gridCol w:w="1276"/>
        <w:gridCol w:w="2268"/>
      </w:tblGrid>
      <w:tr w:rsidR="00EF25CF" w:rsidRPr="007923C2" w14:paraId="4E87A3F3" w14:textId="77777777" w:rsidTr="00261A88">
        <w:trPr>
          <w:trHeight w:val="315"/>
        </w:trPr>
        <w:tc>
          <w:tcPr>
            <w:tcW w:w="852"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15B1B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Matricula</w:t>
            </w:r>
          </w:p>
        </w:tc>
        <w:tc>
          <w:tcPr>
            <w:tcW w:w="1414" w:type="dxa"/>
            <w:tcBorders>
              <w:top w:val="single" w:sz="8" w:space="0" w:color="000000"/>
              <w:left w:val="nil"/>
              <w:bottom w:val="single" w:sz="8" w:space="0" w:color="000000"/>
              <w:right w:val="single" w:sz="8" w:space="0" w:color="000000"/>
            </w:tcBorders>
            <w:shd w:val="clear" w:color="auto" w:fill="auto"/>
            <w:vAlign w:val="center"/>
            <w:hideMark/>
          </w:tcPr>
          <w:p w14:paraId="274F069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Nombre</w:t>
            </w:r>
          </w:p>
        </w:tc>
        <w:tc>
          <w:tcPr>
            <w:tcW w:w="1420" w:type="dxa"/>
            <w:tcBorders>
              <w:top w:val="single" w:sz="8" w:space="0" w:color="000000"/>
              <w:left w:val="nil"/>
              <w:bottom w:val="single" w:sz="8" w:space="0" w:color="000000"/>
              <w:right w:val="single" w:sz="8" w:space="0" w:color="000000"/>
            </w:tcBorders>
            <w:shd w:val="clear" w:color="auto" w:fill="auto"/>
            <w:vAlign w:val="center"/>
            <w:hideMark/>
          </w:tcPr>
          <w:p w14:paraId="1DBD355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Carrera</w:t>
            </w:r>
          </w:p>
        </w:tc>
        <w:tc>
          <w:tcPr>
            <w:tcW w:w="709" w:type="dxa"/>
            <w:tcBorders>
              <w:top w:val="single" w:sz="8" w:space="0" w:color="000000"/>
              <w:left w:val="nil"/>
              <w:bottom w:val="single" w:sz="8" w:space="0" w:color="000000"/>
              <w:right w:val="single" w:sz="8" w:space="0" w:color="000000"/>
            </w:tcBorders>
            <w:shd w:val="clear" w:color="auto" w:fill="auto"/>
            <w:vAlign w:val="center"/>
            <w:hideMark/>
          </w:tcPr>
          <w:p w14:paraId="7EB3F39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Ingreso</w:t>
            </w:r>
          </w:p>
        </w:tc>
        <w:tc>
          <w:tcPr>
            <w:tcW w:w="425" w:type="dxa"/>
            <w:tcBorders>
              <w:top w:val="single" w:sz="8" w:space="0" w:color="000000"/>
              <w:left w:val="nil"/>
              <w:bottom w:val="single" w:sz="8" w:space="0" w:color="000000"/>
              <w:right w:val="single" w:sz="8" w:space="0" w:color="000000"/>
            </w:tcBorders>
            <w:shd w:val="clear" w:color="auto" w:fill="auto"/>
            <w:vAlign w:val="center"/>
            <w:hideMark/>
          </w:tcPr>
          <w:p w14:paraId="5894CF6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Sex</w:t>
            </w:r>
          </w:p>
        </w:tc>
        <w:tc>
          <w:tcPr>
            <w:tcW w:w="567" w:type="dxa"/>
            <w:tcBorders>
              <w:top w:val="single" w:sz="8" w:space="0" w:color="000000"/>
              <w:left w:val="nil"/>
              <w:bottom w:val="single" w:sz="8" w:space="0" w:color="000000"/>
              <w:right w:val="single" w:sz="8" w:space="0" w:color="000000"/>
            </w:tcBorders>
            <w:shd w:val="clear" w:color="auto" w:fill="auto"/>
            <w:vAlign w:val="center"/>
            <w:hideMark/>
          </w:tcPr>
          <w:p w14:paraId="5FE5A3D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Con</w:t>
            </w:r>
          </w:p>
        </w:tc>
        <w:tc>
          <w:tcPr>
            <w:tcW w:w="1276" w:type="dxa"/>
            <w:tcBorders>
              <w:top w:val="single" w:sz="8" w:space="0" w:color="000000"/>
              <w:left w:val="nil"/>
              <w:bottom w:val="single" w:sz="8" w:space="0" w:color="000000"/>
              <w:right w:val="single" w:sz="8" w:space="0" w:color="000000"/>
            </w:tcBorders>
            <w:shd w:val="clear" w:color="auto" w:fill="auto"/>
            <w:vAlign w:val="center"/>
            <w:hideMark/>
          </w:tcPr>
          <w:p w14:paraId="07CA7D5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Edo.Nacimiento</w:t>
            </w:r>
          </w:p>
        </w:tc>
        <w:tc>
          <w:tcPr>
            <w:tcW w:w="2268" w:type="dxa"/>
            <w:tcBorders>
              <w:top w:val="single" w:sz="8" w:space="0" w:color="000000"/>
              <w:left w:val="nil"/>
              <w:bottom w:val="single" w:sz="8" w:space="0" w:color="000000"/>
              <w:right w:val="single" w:sz="8" w:space="0" w:color="000000"/>
            </w:tcBorders>
            <w:shd w:val="clear" w:color="auto" w:fill="auto"/>
            <w:vAlign w:val="center"/>
            <w:hideMark/>
          </w:tcPr>
          <w:p w14:paraId="7E383CF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Curp</w:t>
            </w:r>
          </w:p>
        </w:tc>
      </w:tr>
      <w:tr w:rsidR="00EF25CF" w:rsidRPr="007923C2" w14:paraId="0A6EC92F"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4A9816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41146101</w:t>
            </w:r>
          </w:p>
        </w:tc>
        <w:tc>
          <w:tcPr>
            <w:tcW w:w="1414" w:type="dxa"/>
            <w:tcBorders>
              <w:top w:val="nil"/>
              <w:left w:val="nil"/>
              <w:bottom w:val="single" w:sz="8" w:space="0" w:color="000000"/>
              <w:right w:val="single" w:sz="8" w:space="0" w:color="000000"/>
            </w:tcBorders>
            <w:shd w:val="clear" w:color="auto" w:fill="auto"/>
            <w:vAlign w:val="center"/>
            <w:hideMark/>
          </w:tcPr>
          <w:p w14:paraId="35D674B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AGUERO GUTIÉRREZ EVERARDO</w:t>
            </w:r>
          </w:p>
        </w:tc>
        <w:tc>
          <w:tcPr>
            <w:tcW w:w="1420" w:type="dxa"/>
            <w:tcBorders>
              <w:top w:val="nil"/>
              <w:left w:val="nil"/>
              <w:bottom w:val="single" w:sz="8" w:space="0" w:color="000000"/>
              <w:right w:val="single" w:sz="8" w:space="0" w:color="000000"/>
            </w:tcBorders>
            <w:shd w:val="clear" w:color="auto" w:fill="auto"/>
            <w:vAlign w:val="center"/>
            <w:hideMark/>
          </w:tcPr>
          <w:p w14:paraId="7F481C3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C70643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4EC18F2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729EEBE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5CD7B2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Zacatecas</w:t>
            </w:r>
          </w:p>
        </w:tc>
        <w:tc>
          <w:tcPr>
            <w:tcW w:w="2268" w:type="dxa"/>
            <w:tcBorders>
              <w:top w:val="nil"/>
              <w:left w:val="nil"/>
              <w:bottom w:val="single" w:sz="8" w:space="0" w:color="000000"/>
              <w:right w:val="single" w:sz="8" w:space="0" w:color="000000"/>
            </w:tcBorders>
            <w:shd w:val="clear" w:color="auto" w:fill="auto"/>
            <w:vAlign w:val="center"/>
            <w:hideMark/>
          </w:tcPr>
          <w:p w14:paraId="46FA467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AUGE951128HZSGTV03</w:t>
            </w:r>
          </w:p>
        </w:tc>
      </w:tr>
      <w:tr w:rsidR="00EF25CF" w:rsidRPr="007923C2" w14:paraId="759BC65A"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5728C42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41110834</w:t>
            </w:r>
          </w:p>
        </w:tc>
        <w:tc>
          <w:tcPr>
            <w:tcW w:w="1414" w:type="dxa"/>
            <w:tcBorders>
              <w:top w:val="nil"/>
              <w:left w:val="nil"/>
              <w:bottom w:val="single" w:sz="8" w:space="0" w:color="000000"/>
              <w:right w:val="single" w:sz="8" w:space="0" w:color="000000"/>
            </w:tcBorders>
            <w:shd w:val="clear" w:color="auto" w:fill="auto"/>
            <w:vAlign w:val="center"/>
            <w:hideMark/>
          </w:tcPr>
          <w:p w14:paraId="51F9C8D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AGUILAR GARCÍA JOSÉ ENOC</w:t>
            </w:r>
          </w:p>
        </w:tc>
        <w:tc>
          <w:tcPr>
            <w:tcW w:w="1420" w:type="dxa"/>
            <w:tcBorders>
              <w:top w:val="nil"/>
              <w:left w:val="nil"/>
              <w:bottom w:val="single" w:sz="8" w:space="0" w:color="000000"/>
              <w:right w:val="single" w:sz="8" w:space="0" w:color="000000"/>
            </w:tcBorders>
            <w:shd w:val="clear" w:color="auto" w:fill="auto"/>
            <w:vAlign w:val="center"/>
            <w:hideMark/>
          </w:tcPr>
          <w:p w14:paraId="769B7EB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4658B6F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54706AC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77BCA1C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1A97B24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489E226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AUGE910828HCSGRN03</w:t>
            </w:r>
          </w:p>
        </w:tc>
      </w:tr>
      <w:tr w:rsidR="00EF25CF" w:rsidRPr="007923C2" w14:paraId="500DFEDB"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7415563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41134933</w:t>
            </w:r>
          </w:p>
        </w:tc>
        <w:tc>
          <w:tcPr>
            <w:tcW w:w="1414" w:type="dxa"/>
            <w:tcBorders>
              <w:top w:val="nil"/>
              <w:left w:val="nil"/>
              <w:bottom w:val="single" w:sz="8" w:space="0" w:color="000000"/>
              <w:right w:val="single" w:sz="8" w:space="0" w:color="000000"/>
            </w:tcBorders>
            <w:shd w:val="clear" w:color="auto" w:fill="auto"/>
            <w:vAlign w:val="center"/>
            <w:hideMark/>
          </w:tcPr>
          <w:p w14:paraId="71996EF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AGUILAR MONRREAL KENNYA ÉVELIN</w:t>
            </w:r>
          </w:p>
        </w:tc>
        <w:tc>
          <w:tcPr>
            <w:tcW w:w="1420" w:type="dxa"/>
            <w:tcBorders>
              <w:top w:val="nil"/>
              <w:left w:val="nil"/>
              <w:bottom w:val="single" w:sz="8" w:space="0" w:color="000000"/>
              <w:right w:val="single" w:sz="8" w:space="0" w:color="000000"/>
            </w:tcBorders>
            <w:shd w:val="clear" w:color="auto" w:fill="auto"/>
            <w:vAlign w:val="center"/>
            <w:hideMark/>
          </w:tcPr>
          <w:p w14:paraId="2643FF9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9B0D3F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2FC0869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07F8433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A37988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21E457E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AUMK940529MCLGNN00</w:t>
            </w:r>
          </w:p>
        </w:tc>
      </w:tr>
      <w:tr w:rsidR="00EF25CF" w:rsidRPr="007923C2" w14:paraId="4049BE54"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3F6F6A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41135070</w:t>
            </w:r>
          </w:p>
        </w:tc>
        <w:tc>
          <w:tcPr>
            <w:tcW w:w="1414" w:type="dxa"/>
            <w:tcBorders>
              <w:top w:val="nil"/>
              <w:left w:val="nil"/>
              <w:bottom w:val="single" w:sz="8" w:space="0" w:color="000000"/>
              <w:right w:val="single" w:sz="8" w:space="0" w:color="000000"/>
            </w:tcBorders>
            <w:shd w:val="clear" w:color="auto" w:fill="auto"/>
            <w:vAlign w:val="center"/>
            <w:hideMark/>
          </w:tcPr>
          <w:p w14:paraId="7460DEA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ALCÁZAR VILLARREAL ADRIANA JAQUELINE</w:t>
            </w:r>
          </w:p>
        </w:tc>
        <w:tc>
          <w:tcPr>
            <w:tcW w:w="1420" w:type="dxa"/>
            <w:tcBorders>
              <w:top w:val="nil"/>
              <w:left w:val="nil"/>
              <w:bottom w:val="single" w:sz="8" w:space="0" w:color="000000"/>
              <w:right w:val="single" w:sz="8" w:space="0" w:color="000000"/>
            </w:tcBorders>
            <w:shd w:val="clear" w:color="auto" w:fill="auto"/>
            <w:vAlign w:val="center"/>
            <w:hideMark/>
          </w:tcPr>
          <w:p w14:paraId="434B584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3C8790D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37CD30A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55D10DC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00A563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379A94C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AAVA960827MCLLLD09</w:t>
            </w:r>
          </w:p>
        </w:tc>
      </w:tr>
      <w:tr w:rsidR="00EF25CF" w:rsidRPr="007923C2" w14:paraId="5D92E120"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68176CE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41154527</w:t>
            </w:r>
          </w:p>
        </w:tc>
        <w:tc>
          <w:tcPr>
            <w:tcW w:w="1414" w:type="dxa"/>
            <w:tcBorders>
              <w:top w:val="nil"/>
              <w:left w:val="nil"/>
              <w:bottom w:val="single" w:sz="8" w:space="0" w:color="000000"/>
              <w:right w:val="single" w:sz="8" w:space="0" w:color="000000"/>
            </w:tcBorders>
            <w:shd w:val="clear" w:color="auto" w:fill="auto"/>
            <w:vAlign w:val="center"/>
            <w:hideMark/>
          </w:tcPr>
          <w:p w14:paraId="65BA230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ALFONSO TRINIDAD MIGUEL</w:t>
            </w:r>
          </w:p>
        </w:tc>
        <w:tc>
          <w:tcPr>
            <w:tcW w:w="1420" w:type="dxa"/>
            <w:tcBorders>
              <w:top w:val="nil"/>
              <w:left w:val="nil"/>
              <w:bottom w:val="single" w:sz="8" w:space="0" w:color="000000"/>
              <w:right w:val="single" w:sz="8" w:space="0" w:color="000000"/>
            </w:tcBorders>
            <w:shd w:val="clear" w:color="auto" w:fill="auto"/>
            <w:vAlign w:val="center"/>
            <w:hideMark/>
          </w:tcPr>
          <w:p w14:paraId="30DE8B1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48B29D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49D08B7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60846D0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5357F3A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Veracruz</w:t>
            </w:r>
          </w:p>
        </w:tc>
        <w:tc>
          <w:tcPr>
            <w:tcW w:w="2268" w:type="dxa"/>
            <w:tcBorders>
              <w:top w:val="nil"/>
              <w:left w:val="nil"/>
              <w:bottom w:val="single" w:sz="8" w:space="0" w:color="000000"/>
              <w:right w:val="single" w:sz="8" w:space="0" w:color="000000"/>
            </w:tcBorders>
            <w:shd w:val="clear" w:color="auto" w:fill="auto"/>
            <w:vAlign w:val="center"/>
            <w:hideMark/>
          </w:tcPr>
          <w:p w14:paraId="702BDB8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AOTM960311HVZLRG08</w:t>
            </w:r>
          </w:p>
        </w:tc>
      </w:tr>
      <w:tr w:rsidR="00EF25CF" w:rsidRPr="007923C2" w14:paraId="476044B7"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66D3834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41154659</w:t>
            </w:r>
          </w:p>
        </w:tc>
        <w:tc>
          <w:tcPr>
            <w:tcW w:w="1414" w:type="dxa"/>
            <w:tcBorders>
              <w:top w:val="nil"/>
              <w:left w:val="nil"/>
              <w:bottom w:val="single" w:sz="8" w:space="0" w:color="000000"/>
              <w:right w:val="single" w:sz="8" w:space="0" w:color="000000"/>
            </w:tcBorders>
            <w:shd w:val="clear" w:color="auto" w:fill="auto"/>
            <w:vAlign w:val="center"/>
            <w:hideMark/>
          </w:tcPr>
          <w:p w14:paraId="5B60484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ALVA ATILANO ELIZABETH</w:t>
            </w:r>
          </w:p>
        </w:tc>
        <w:tc>
          <w:tcPr>
            <w:tcW w:w="1420" w:type="dxa"/>
            <w:tcBorders>
              <w:top w:val="nil"/>
              <w:left w:val="nil"/>
              <w:bottom w:val="single" w:sz="8" w:space="0" w:color="000000"/>
              <w:right w:val="single" w:sz="8" w:space="0" w:color="000000"/>
            </w:tcBorders>
            <w:shd w:val="clear" w:color="auto" w:fill="auto"/>
            <w:vAlign w:val="center"/>
            <w:hideMark/>
          </w:tcPr>
          <w:p w14:paraId="17C0E36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DE158B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29160E7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4E35FA3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07CC198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Puebla</w:t>
            </w:r>
          </w:p>
        </w:tc>
        <w:tc>
          <w:tcPr>
            <w:tcW w:w="2268" w:type="dxa"/>
            <w:tcBorders>
              <w:top w:val="nil"/>
              <w:left w:val="nil"/>
              <w:bottom w:val="single" w:sz="8" w:space="0" w:color="000000"/>
              <w:right w:val="single" w:sz="8" w:space="0" w:color="000000"/>
            </w:tcBorders>
            <w:shd w:val="clear" w:color="auto" w:fill="auto"/>
            <w:vAlign w:val="center"/>
            <w:hideMark/>
          </w:tcPr>
          <w:p w14:paraId="3BFBD67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AAAE970420MPLLTL07</w:t>
            </w:r>
          </w:p>
        </w:tc>
      </w:tr>
      <w:tr w:rsidR="00EF25CF" w:rsidRPr="007923C2" w14:paraId="50C406C5"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5338E90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41122581</w:t>
            </w:r>
          </w:p>
        </w:tc>
        <w:tc>
          <w:tcPr>
            <w:tcW w:w="1414" w:type="dxa"/>
            <w:tcBorders>
              <w:top w:val="nil"/>
              <w:left w:val="nil"/>
              <w:bottom w:val="single" w:sz="8" w:space="0" w:color="000000"/>
              <w:right w:val="single" w:sz="8" w:space="0" w:color="000000"/>
            </w:tcBorders>
            <w:shd w:val="clear" w:color="auto" w:fill="auto"/>
            <w:vAlign w:val="center"/>
            <w:hideMark/>
          </w:tcPr>
          <w:p w14:paraId="494FEB5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ÁLVAREZ ESPINOZA JULIO CÉSAR</w:t>
            </w:r>
          </w:p>
        </w:tc>
        <w:tc>
          <w:tcPr>
            <w:tcW w:w="1420" w:type="dxa"/>
            <w:tcBorders>
              <w:top w:val="nil"/>
              <w:left w:val="nil"/>
              <w:bottom w:val="single" w:sz="8" w:space="0" w:color="000000"/>
              <w:right w:val="single" w:sz="8" w:space="0" w:color="000000"/>
            </w:tcBorders>
            <w:shd w:val="clear" w:color="auto" w:fill="auto"/>
            <w:vAlign w:val="center"/>
            <w:hideMark/>
          </w:tcPr>
          <w:p w14:paraId="1A04148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993D05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26AD536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62658B8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6CA6B69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14:paraId="52B6FAE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AAEJ861226HGTLSL01</w:t>
            </w:r>
          </w:p>
        </w:tc>
      </w:tr>
      <w:tr w:rsidR="00EF25CF" w:rsidRPr="007923C2" w14:paraId="1F037763"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B449CC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41122599</w:t>
            </w:r>
          </w:p>
        </w:tc>
        <w:tc>
          <w:tcPr>
            <w:tcW w:w="1414" w:type="dxa"/>
            <w:tcBorders>
              <w:top w:val="nil"/>
              <w:left w:val="nil"/>
              <w:bottom w:val="single" w:sz="8" w:space="0" w:color="000000"/>
              <w:right w:val="single" w:sz="8" w:space="0" w:color="000000"/>
            </w:tcBorders>
            <w:shd w:val="clear" w:color="auto" w:fill="auto"/>
            <w:vAlign w:val="center"/>
            <w:hideMark/>
          </w:tcPr>
          <w:p w14:paraId="623EE5F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ÁNGEL SÁNCHEZ LORENZO</w:t>
            </w:r>
          </w:p>
        </w:tc>
        <w:tc>
          <w:tcPr>
            <w:tcW w:w="1420" w:type="dxa"/>
            <w:tcBorders>
              <w:top w:val="nil"/>
              <w:left w:val="nil"/>
              <w:bottom w:val="single" w:sz="8" w:space="0" w:color="000000"/>
              <w:right w:val="single" w:sz="8" w:space="0" w:color="000000"/>
            </w:tcBorders>
            <w:shd w:val="clear" w:color="auto" w:fill="auto"/>
            <w:vAlign w:val="center"/>
            <w:hideMark/>
          </w:tcPr>
          <w:p w14:paraId="2208271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DD1783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57FD0F3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223ED21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F0F3710"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14:paraId="65C0582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AESL940112HGTNNR07</w:t>
            </w:r>
          </w:p>
        </w:tc>
      </w:tr>
      <w:tr w:rsidR="00EF25CF" w:rsidRPr="007923C2" w14:paraId="1CA32AF5"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6307DDE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41154667</w:t>
            </w:r>
          </w:p>
        </w:tc>
        <w:tc>
          <w:tcPr>
            <w:tcW w:w="1414" w:type="dxa"/>
            <w:tcBorders>
              <w:top w:val="nil"/>
              <w:left w:val="nil"/>
              <w:bottom w:val="single" w:sz="8" w:space="0" w:color="000000"/>
              <w:right w:val="single" w:sz="8" w:space="0" w:color="000000"/>
            </w:tcBorders>
            <w:shd w:val="clear" w:color="auto" w:fill="auto"/>
            <w:vAlign w:val="center"/>
            <w:hideMark/>
          </w:tcPr>
          <w:p w14:paraId="3FD948C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ARANDA RAMÍREZ CRISELDA NICOLASA</w:t>
            </w:r>
          </w:p>
        </w:tc>
        <w:tc>
          <w:tcPr>
            <w:tcW w:w="1420" w:type="dxa"/>
            <w:tcBorders>
              <w:top w:val="nil"/>
              <w:left w:val="nil"/>
              <w:bottom w:val="single" w:sz="8" w:space="0" w:color="000000"/>
              <w:right w:val="single" w:sz="8" w:space="0" w:color="000000"/>
            </w:tcBorders>
            <w:shd w:val="clear" w:color="auto" w:fill="auto"/>
            <w:vAlign w:val="center"/>
            <w:hideMark/>
          </w:tcPr>
          <w:p w14:paraId="0DC8D96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D49DEB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45F32F6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1D6EA9E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39781BA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4FCA3D6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AARC950910MCSRMR06</w:t>
            </w:r>
          </w:p>
        </w:tc>
      </w:tr>
      <w:tr w:rsidR="00EF25CF" w:rsidRPr="007923C2" w14:paraId="31092ECA"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3AB3C0D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41122607</w:t>
            </w:r>
          </w:p>
        </w:tc>
        <w:tc>
          <w:tcPr>
            <w:tcW w:w="1414" w:type="dxa"/>
            <w:tcBorders>
              <w:top w:val="nil"/>
              <w:left w:val="nil"/>
              <w:bottom w:val="single" w:sz="8" w:space="0" w:color="000000"/>
              <w:right w:val="single" w:sz="8" w:space="0" w:color="000000"/>
            </w:tcBorders>
            <w:shd w:val="clear" w:color="auto" w:fill="auto"/>
            <w:vAlign w:val="center"/>
            <w:hideMark/>
          </w:tcPr>
          <w:p w14:paraId="1CFA992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ARELLANO DIEZ DE URDANIVIA PATRICIO</w:t>
            </w:r>
          </w:p>
        </w:tc>
        <w:tc>
          <w:tcPr>
            <w:tcW w:w="1420" w:type="dxa"/>
            <w:tcBorders>
              <w:top w:val="nil"/>
              <w:left w:val="nil"/>
              <w:bottom w:val="single" w:sz="8" w:space="0" w:color="000000"/>
              <w:right w:val="single" w:sz="8" w:space="0" w:color="000000"/>
            </w:tcBorders>
            <w:shd w:val="clear" w:color="auto" w:fill="auto"/>
            <w:vAlign w:val="center"/>
            <w:hideMark/>
          </w:tcPr>
          <w:p w14:paraId="54D34AB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48E5E92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372E707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0B9E0D6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4975FA4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Baja California Sur</w:t>
            </w:r>
          </w:p>
        </w:tc>
        <w:tc>
          <w:tcPr>
            <w:tcW w:w="2268" w:type="dxa"/>
            <w:tcBorders>
              <w:top w:val="nil"/>
              <w:left w:val="nil"/>
              <w:bottom w:val="single" w:sz="8" w:space="0" w:color="000000"/>
              <w:right w:val="single" w:sz="8" w:space="0" w:color="000000"/>
            </w:tcBorders>
            <w:shd w:val="clear" w:color="auto" w:fill="auto"/>
            <w:vAlign w:val="center"/>
            <w:hideMark/>
          </w:tcPr>
          <w:p w14:paraId="4E0F039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AEDP920512HDFRZT08</w:t>
            </w:r>
          </w:p>
        </w:tc>
      </w:tr>
      <w:tr w:rsidR="00EF25CF" w:rsidRPr="007923C2" w14:paraId="131BD50D"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854D60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41134842</w:t>
            </w:r>
          </w:p>
        </w:tc>
        <w:tc>
          <w:tcPr>
            <w:tcW w:w="1414" w:type="dxa"/>
            <w:tcBorders>
              <w:top w:val="nil"/>
              <w:left w:val="nil"/>
              <w:bottom w:val="single" w:sz="8" w:space="0" w:color="000000"/>
              <w:right w:val="single" w:sz="8" w:space="0" w:color="000000"/>
            </w:tcBorders>
            <w:shd w:val="clear" w:color="auto" w:fill="auto"/>
            <w:vAlign w:val="center"/>
            <w:hideMark/>
          </w:tcPr>
          <w:p w14:paraId="79A45BF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AVILÉS TEJEDA ANA KAREN</w:t>
            </w:r>
          </w:p>
        </w:tc>
        <w:tc>
          <w:tcPr>
            <w:tcW w:w="1420" w:type="dxa"/>
            <w:tcBorders>
              <w:top w:val="nil"/>
              <w:left w:val="nil"/>
              <w:bottom w:val="single" w:sz="8" w:space="0" w:color="000000"/>
              <w:right w:val="single" w:sz="8" w:space="0" w:color="000000"/>
            </w:tcBorders>
            <w:shd w:val="clear" w:color="auto" w:fill="auto"/>
            <w:vAlign w:val="center"/>
            <w:hideMark/>
          </w:tcPr>
          <w:p w14:paraId="3168986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4AC5FF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33E9924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229E16B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25DB6C8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Hidalgo</w:t>
            </w:r>
          </w:p>
        </w:tc>
        <w:tc>
          <w:tcPr>
            <w:tcW w:w="2268" w:type="dxa"/>
            <w:tcBorders>
              <w:top w:val="nil"/>
              <w:left w:val="nil"/>
              <w:bottom w:val="single" w:sz="8" w:space="0" w:color="000000"/>
              <w:right w:val="single" w:sz="8" w:space="0" w:color="000000"/>
            </w:tcBorders>
            <w:shd w:val="clear" w:color="auto" w:fill="auto"/>
            <w:vAlign w:val="center"/>
            <w:hideMark/>
          </w:tcPr>
          <w:p w14:paraId="6DDEB03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AITA930117MHGVJN09</w:t>
            </w:r>
          </w:p>
        </w:tc>
      </w:tr>
      <w:tr w:rsidR="00EF25CF" w:rsidRPr="007923C2" w14:paraId="5DE25BF5"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DC912E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41122623</w:t>
            </w:r>
          </w:p>
        </w:tc>
        <w:tc>
          <w:tcPr>
            <w:tcW w:w="1414" w:type="dxa"/>
            <w:tcBorders>
              <w:top w:val="nil"/>
              <w:left w:val="nil"/>
              <w:bottom w:val="single" w:sz="8" w:space="0" w:color="000000"/>
              <w:right w:val="single" w:sz="8" w:space="0" w:color="000000"/>
            </w:tcBorders>
            <w:shd w:val="clear" w:color="auto" w:fill="auto"/>
            <w:vAlign w:val="center"/>
            <w:hideMark/>
          </w:tcPr>
          <w:p w14:paraId="15E66D0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BAÑOS ROJAS FERNANDO</w:t>
            </w:r>
          </w:p>
        </w:tc>
        <w:tc>
          <w:tcPr>
            <w:tcW w:w="1420" w:type="dxa"/>
            <w:tcBorders>
              <w:top w:val="nil"/>
              <w:left w:val="nil"/>
              <w:bottom w:val="single" w:sz="8" w:space="0" w:color="000000"/>
              <w:right w:val="single" w:sz="8" w:space="0" w:color="000000"/>
            </w:tcBorders>
            <w:shd w:val="clear" w:color="auto" w:fill="auto"/>
            <w:vAlign w:val="center"/>
            <w:hideMark/>
          </w:tcPr>
          <w:p w14:paraId="43F161D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E44173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353BF1E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57BBD8A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C72445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26B3E19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BARF941108HOCXJR03</w:t>
            </w:r>
          </w:p>
        </w:tc>
      </w:tr>
      <w:tr w:rsidR="00EF25CF" w:rsidRPr="007923C2" w14:paraId="6E59CCB0"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FEEBAB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41146044</w:t>
            </w:r>
          </w:p>
        </w:tc>
        <w:tc>
          <w:tcPr>
            <w:tcW w:w="1414" w:type="dxa"/>
            <w:tcBorders>
              <w:top w:val="nil"/>
              <w:left w:val="nil"/>
              <w:bottom w:val="single" w:sz="8" w:space="0" w:color="000000"/>
              <w:right w:val="single" w:sz="8" w:space="0" w:color="000000"/>
            </w:tcBorders>
            <w:shd w:val="clear" w:color="auto" w:fill="auto"/>
            <w:vAlign w:val="center"/>
            <w:hideMark/>
          </w:tcPr>
          <w:p w14:paraId="147EE4B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BARBOZA SÁNCHEZ AGAR ABIGAIL</w:t>
            </w:r>
          </w:p>
        </w:tc>
        <w:tc>
          <w:tcPr>
            <w:tcW w:w="1420" w:type="dxa"/>
            <w:tcBorders>
              <w:top w:val="nil"/>
              <w:left w:val="nil"/>
              <w:bottom w:val="single" w:sz="8" w:space="0" w:color="000000"/>
              <w:right w:val="single" w:sz="8" w:space="0" w:color="000000"/>
            </w:tcBorders>
            <w:shd w:val="clear" w:color="auto" w:fill="auto"/>
            <w:vAlign w:val="center"/>
            <w:hideMark/>
          </w:tcPr>
          <w:p w14:paraId="6319043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1C3939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5702BB8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1EE0636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21519BC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14:paraId="52D2718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BASA960716MGTRNG05</w:t>
            </w:r>
          </w:p>
        </w:tc>
      </w:tr>
      <w:tr w:rsidR="00EF25CF" w:rsidRPr="007923C2" w14:paraId="4C4D9469"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60E5FD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41122631</w:t>
            </w:r>
          </w:p>
        </w:tc>
        <w:tc>
          <w:tcPr>
            <w:tcW w:w="1414" w:type="dxa"/>
            <w:tcBorders>
              <w:top w:val="nil"/>
              <w:left w:val="nil"/>
              <w:bottom w:val="single" w:sz="8" w:space="0" w:color="000000"/>
              <w:right w:val="single" w:sz="8" w:space="0" w:color="000000"/>
            </w:tcBorders>
            <w:shd w:val="clear" w:color="auto" w:fill="auto"/>
            <w:vAlign w:val="center"/>
            <w:hideMark/>
          </w:tcPr>
          <w:p w14:paraId="707EB3B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BARRANCO LEZAMA JULIO SERGIO</w:t>
            </w:r>
          </w:p>
        </w:tc>
        <w:tc>
          <w:tcPr>
            <w:tcW w:w="1420" w:type="dxa"/>
            <w:tcBorders>
              <w:top w:val="nil"/>
              <w:left w:val="nil"/>
              <w:bottom w:val="single" w:sz="8" w:space="0" w:color="000000"/>
              <w:right w:val="single" w:sz="8" w:space="0" w:color="000000"/>
            </w:tcBorders>
            <w:shd w:val="clear" w:color="auto" w:fill="auto"/>
            <w:vAlign w:val="center"/>
            <w:hideMark/>
          </w:tcPr>
          <w:p w14:paraId="47C11E5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6B5C58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166872D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40095F1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4290F04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Puebla</w:t>
            </w:r>
          </w:p>
        </w:tc>
        <w:tc>
          <w:tcPr>
            <w:tcW w:w="2268" w:type="dxa"/>
            <w:tcBorders>
              <w:top w:val="nil"/>
              <w:left w:val="nil"/>
              <w:bottom w:val="single" w:sz="8" w:space="0" w:color="000000"/>
              <w:right w:val="single" w:sz="8" w:space="0" w:color="000000"/>
            </w:tcBorders>
            <w:shd w:val="clear" w:color="auto" w:fill="auto"/>
            <w:vAlign w:val="center"/>
            <w:hideMark/>
          </w:tcPr>
          <w:p w14:paraId="4D5EE39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BALJ930111HPLRZL05</w:t>
            </w:r>
          </w:p>
        </w:tc>
      </w:tr>
      <w:tr w:rsidR="00EF25CF" w:rsidRPr="007923C2" w14:paraId="1DE39CDB"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57434C5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41138470</w:t>
            </w:r>
          </w:p>
        </w:tc>
        <w:tc>
          <w:tcPr>
            <w:tcW w:w="1414" w:type="dxa"/>
            <w:tcBorders>
              <w:top w:val="nil"/>
              <w:left w:val="nil"/>
              <w:bottom w:val="single" w:sz="8" w:space="0" w:color="000000"/>
              <w:right w:val="single" w:sz="8" w:space="0" w:color="000000"/>
            </w:tcBorders>
            <w:shd w:val="clear" w:color="auto" w:fill="auto"/>
            <w:vAlign w:val="center"/>
            <w:hideMark/>
          </w:tcPr>
          <w:p w14:paraId="4BD4C1C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BASURTO MÉNERA JOSÉ CAMILO</w:t>
            </w:r>
          </w:p>
        </w:tc>
        <w:tc>
          <w:tcPr>
            <w:tcW w:w="1420" w:type="dxa"/>
            <w:tcBorders>
              <w:top w:val="nil"/>
              <w:left w:val="nil"/>
              <w:bottom w:val="single" w:sz="8" w:space="0" w:color="000000"/>
              <w:right w:val="single" w:sz="8" w:space="0" w:color="000000"/>
            </w:tcBorders>
            <w:shd w:val="clear" w:color="auto" w:fill="auto"/>
            <w:vAlign w:val="center"/>
            <w:hideMark/>
          </w:tcPr>
          <w:p w14:paraId="3C19F7A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4B3DD89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1EAC0C4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495FC25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79AEF5B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Michoacán</w:t>
            </w:r>
          </w:p>
        </w:tc>
        <w:tc>
          <w:tcPr>
            <w:tcW w:w="2268" w:type="dxa"/>
            <w:tcBorders>
              <w:top w:val="nil"/>
              <w:left w:val="nil"/>
              <w:bottom w:val="single" w:sz="8" w:space="0" w:color="000000"/>
              <w:right w:val="single" w:sz="8" w:space="0" w:color="000000"/>
            </w:tcBorders>
            <w:shd w:val="clear" w:color="auto" w:fill="auto"/>
            <w:vAlign w:val="center"/>
            <w:hideMark/>
          </w:tcPr>
          <w:p w14:paraId="4816631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BAMC950714HMNSNM05</w:t>
            </w:r>
          </w:p>
        </w:tc>
      </w:tr>
      <w:tr w:rsidR="00EF25CF" w:rsidRPr="007923C2" w14:paraId="430DA4C1"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00545F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41110073</w:t>
            </w:r>
          </w:p>
        </w:tc>
        <w:tc>
          <w:tcPr>
            <w:tcW w:w="1414" w:type="dxa"/>
            <w:tcBorders>
              <w:top w:val="nil"/>
              <w:left w:val="nil"/>
              <w:bottom w:val="single" w:sz="8" w:space="0" w:color="000000"/>
              <w:right w:val="single" w:sz="8" w:space="0" w:color="000000"/>
            </w:tcBorders>
            <w:shd w:val="clear" w:color="auto" w:fill="auto"/>
            <w:vAlign w:val="center"/>
            <w:hideMark/>
          </w:tcPr>
          <w:p w14:paraId="2558F3D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BENÍTEZ TAPIA MARIO FERNANDO</w:t>
            </w:r>
          </w:p>
        </w:tc>
        <w:tc>
          <w:tcPr>
            <w:tcW w:w="1420" w:type="dxa"/>
            <w:tcBorders>
              <w:top w:val="nil"/>
              <w:left w:val="nil"/>
              <w:bottom w:val="single" w:sz="8" w:space="0" w:color="000000"/>
              <w:right w:val="single" w:sz="8" w:space="0" w:color="000000"/>
            </w:tcBorders>
            <w:shd w:val="clear" w:color="auto" w:fill="auto"/>
            <w:vAlign w:val="center"/>
            <w:hideMark/>
          </w:tcPr>
          <w:p w14:paraId="6090196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32CA15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3236ADF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76BDE13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6D768D3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78146FB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BETM931007HOCNPR08</w:t>
            </w:r>
          </w:p>
        </w:tc>
      </w:tr>
      <w:tr w:rsidR="00EF25CF" w:rsidRPr="007923C2" w14:paraId="49653815"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7D7656A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41110075</w:t>
            </w:r>
          </w:p>
        </w:tc>
        <w:tc>
          <w:tcPr>
            <w:tcW w:w="1414" w:type="dxa"/>
            <w:tcBorders>
              <w:top w:val="nil"/>
              <w:left w:val="nil"/>
              <w:bottom w:val="single" w:sz="8" w:space="0" w:color="000000"/>
              <w:right w:val="single" w:sz="8" w:space="0" w:color="000000"/>
            </w:tcBorders>
            <w:shd w:val="clear" w:color="auto" w:fill="auto"/>
            <w:vAlign w:val="center"/>
            <w:hideMark/>
          </w:tcPr>
          <w:p w14:paraId="3FE73D0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CARMONA RODRÍGUEZ EVA</w:t>
            </w:r>
          </w:p>
        </w:tc>
        <w:tc>
          <w:tcPr>
            <w:tcW w:w="1420" w:type="dxa"/>
            <w:tcBorders>
              <w:top w:val="nil"/>
              <w:left w:val="nil"/>
              <w:bottom w:val="single" w:sz="8" w:space="0" w:color="000000"/>
              <w:right w:val="single" w:sz="8" w:space="0" w:color="000000"/>
            </w:tcBorders>
            <w:shd w:val="clear" w:color="auto" w:fill="auto"/>
            <w:vAlign w:val="center"/>
            <w:hideMark/>
          </w:tcPr>
          <w:p w14:paraId="251C1E6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42C7942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7D8CBA7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1AD98C6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26ECB90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14:paraId="6282A79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CARE921214MMSRDV02</w:t>
            </w:r>
          </w:p>
        </w:tc>
      </w:tr>
      <w:tr w:rsidR="00EF25CF" w:rsidRPr="007923C2" w14:paraId="037FE75C"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B2555B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41154410</w:t>
            </w:r>
          </w:p>
        </w:tc>
        <w:tc>
          <w:tcPr>
            <w:tcW w:w="1414" w:type="dxa"/>
            <w:tcBorders>
              <w:top w:val="nil"/>
              <w:left w:val="nil"/>
              <w:bottom w:val="single" w:sz="8" w:space="0" w:color="000000"/>
              <w:right w:val="single" w:sz="8" w:space="0" w:color="000000"/>
            </w:tcBorders>
            <w:shd w:val="clear" w:color="auto" w:fill="auto"/>
            <w:vAlign w:val="center"/>
            <w:hideMark/>
          </w:tcPr>
          <w:p w14:paraId="72574B3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CARRASCO RODRÍGUEZ OCTAVIO JEAN MICHEL</w:t>
            </w:r>
          </w:p>
        </w:tc>
        <w:tc>
          <w:tcPr>
            <w:tcW w:w="1420" w:type="dxa"/>
            <w:tcBorders>
              <w:top w:val="nil"/>
              <w:left w:val="nil"/>
              <w:bottom w:val="single" w:sz="8" w:space="0" w:color="000000"/>
              <w:right w:val="single" w:sz="8" w:space="0" w:color="000000"/>
            </w:tcBorders>
            <w:shd w:val="clear" w:color="auto" w:fill="auto"/>
            <w:vAlign w:val="center"/>
            <w:hideMark/>
          </w:tcPr>
          <w:p w14:paraId="19EE4E9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64A7C6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529465E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2216E00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629D6FD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14:paraId="4CD787C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CARO930225HMSRDC07</w:t>
            </w:r>
          </w:p>
        </w:tc>
      </w:tr>
      <w:tr w:rsidR="00EF25CF" w:rsidRPr="007923C2" w14:paraId="30854A14"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5CDB6BA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41134818</w:t>
            </w:r>
          </w:p>
        </w:tc>
        <w:tc>
          <w:tcPr>
            <w:tcW w:w="1414" w:type="dxa"/>
            <w:tcBorders>
              <w:top w:val="nil"/>
              <w:left w:val="nil"/>
              <w:bottom w:val="single" w:sz="8" w:space="0" w:color="000000"/>
              <w:right w:val="single" w:sz="8" w:space="0" w:color="000000"/>
            </w:tcBorders>
            <w:shd w:val="clear" w:color="auto" w:fill="auto"/>
            <w:vAlign w:val="center"/>
            <w:hideMark/>
          </w:tcPr>
          <w:p w14:paraId="68BD6DC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CASTILLO BALCÁZAR LETICIA</w:t>
            </w:r>
          </w:p>
        </w:tc>
        <w:tc>
          <w:tcPr>
            <w:tcW w:w="1420" w:type="dxa"/>
            <w:tcBorders>
              <w:top w:val="nil"/>
              <w:left w:val="nil"/>
              <w:bottom w:val="single" w:sz="8" w:space="0" w:color="000000"/>
              <w:right w:val="single" w:sz="8" w:space="0" w:color="000000"/>
            </w:tcBorders>
            <w:shd w:val="clear" w:color="auto" w:fill="auto"/>
            <w:vAlign w:val="center"/>
            <w:hideMark/>
          </w:tcPr>
          <w:p w14:paraId="46289CF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F1B9D3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016BBBE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1D151E4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4E36956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14:paraId="1F0F7EE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CABL920928MMSSLT07</w:t>
            </w:r>
          </w:p>
        </w:tc>
      </w:tr>
      <w:tr w:rsidR="00EF25CF" w:rsidRPr="007923C2" w14:paraId="703331C0"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4779E0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41154584</w:t>
            </w:r>
          </w:p>
        </w:tc>
        <w:tc>
          <w:tcPr>
            <w:tcW w:w="1414" w:type="dxa"/>
            <w:tcBorders>
              <w:top w:val="nil"/>
              <w:left w:val="nil"/>
              <w:bottom w:val="single" w:sz="8" w:space="0" w:color="000000"/>
              <w:right w:val="single" w:sz="8" w:space="0" w:color="000000"/>
            </w:tcBorders>
            <w:shd w:val="clear" w:color="auto" w:fill="auto"/>
            <w:vAlign w:val="center"/>
            <w:hideMark/>
          </w:tcPr>
          <w:p w14:paraId="7BF67EA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CASTILLO GUTIÉRREZ SAGRARIO</w:t>
            </w:r>
          </w:p>
        </w:tc>
        <w:tc>
          <w:tcPr>
            <w:tcW w:w="1420" w:type="dxa"/>
            <w:tcBorders>
              <w:top w:val="nil"/>
              <w:left w:val="nil"/>
              <w:bottom w:val="single" w:sz="8" w:space="0" w:color="000000"/>
              <w:right w:val="single" w:sz="8" w:space="0" w:color="000000"/>
            </w:tcBorders>
            <w:shd w:val="clear" w:color="auto" w:fill="auto"/>
            <w:vAlign w:val="center"/>
            <w:hideMark/>
          </w:tcPr>
          <w:p w14:paraId="3A65E67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2486C8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5F78617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283F033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146A522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14:paraId="4DDE9CD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CAGS960612MMSSTG08</w:t>
            </w:r>
          </w:p>
        </w:tc>
      </w:tr>
      <w:tr w:rsidR="00EF25CF" w:rsidRPr="007923C2" w14:paraId="671513B3"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7708908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41122649</w:t>
            </w:r>
          </w:p>
        </w:tc>
        <w:tc>
          <w:tcPr>
            <w:tcW w:w="1414" w:type="dxa"/>
            <w:tcBorders>
              <w:top w:val="nil"/>
              <w:left w:val="nil"/>
              <w:bottom w:val="single" w:sz="8" w:space="0" w:color="000000"/>
              <w:right w:val="single" w:sz="8" w:space="0" w:color="000000"/>
            </w:tcBorders>
            <w:shd w:val="clear" w:color="auto" w:fill="auto"/>
            <w:vAlign w:val="center"/>
            <w:hideMark/>
          </w:tcPr>
          <w:p w14:paraId="1E9E708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CASTRO ROSALEZ LAURA</w:t>
            </w:r>
          </w:p>
        </w:tc>
        <w:tc>
          <w:tcPr>
            <w:tcW w:w="1420" w:type="dxa"/>
            <w:tcBorders>
              <w:top w:val="nil"/>
              <w:left w:val="nil"/>
              <w:bottom w:val="single" w:sz="8" w:space="0" w:color="000000"/>
              <w:right w:val="single" w:sz="8" w:space="0" w:color="000000"/>
            </w:tcBorders>
            <w:shd w:val="clear" w:color="auto" w:fill="auto"/>
            <w:vAlign w:val="center"/>
            <w:hideMark/>
          </w:tcPr>
          <w:p w14:paraId="3F4FB5E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001FDA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176C423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2F33FB8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7845974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Michoacán</w:t>
            </w:r>
          </w:p>
        </w:tc>
        <w:tc>
          <w:tcPr>
            <w:tcW w:w="2268" w:type="dxa"/>
            <w:tcBorders>
              <w:top w:val="nil"/>
              <w:left w:val="nil"/>
              <w:bottom w:val="single" w:sz="8" w:space="0" w:color="000000"/>
              <w:right w:val="single" w:sz="8" w:space="0" w:color="000000"/>
            </w:tcBorders>
            <w:shd w:val="clear" w:color="auto" w:fill="auto"/>
            <w:vAlign w:val="center"/>
            <w:hideMark/>
          </w:tcPr>
          <w:p w14:paraId="20C956D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CARL941020MMNSSR08</w:t>
            </w:r>
          </w:p>
        </w:tc>
      </w:tr>
      <w:tr w:rsidR="00EF25CF" w:rsidRPr="007923C2" w14:paraId="5395DF9C"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EA1B09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41146267</w:t>
            </w:r>
          </w:p>
        </w:tc>
        <w:tc>
          <w:tcPr>
            <w:tcW w:w="1414" w:type="dxa"/>
            <w:tcBorders>
              <w:top w:val="nil"/>
              <w:left w:val="nil"/>
              <w:bottom w:val="single" w:sz="8" w:space="0" w:color="000000"/>
              <w:right w:val="single" w:sz="8" w:space="0" w:color="000000"/>
            </w:tcBorders>
            <w:shd w:val="clear" w:color="auto" w:fill="auto"/>
            <w:vAlign w:val="center"/>
            <w:hideMark/>
          </w:tcPr>
          <w:p w14:paraId="0BFF6BC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CHÁVEZ ISIDRO BRISEIDA</w:t>
            </w:r>
          </w:p>
        </w:tc>
        <w:tc>
          <w:tcPr>
            <w:tcW w:w="1420" w:type="dxa"/>
            <w:tcBorders>
              <w:top w:val="nil"/>
              <w:left w:val="nil"/>
              <w:bottom w:val="single" w:sz="8" w:space="0" w:color="000000"/>
              <w:right w:val="single" w:sz="8" w:space="0" w:color="000000"/>
            </w:tcBorders>
            <w:shd w:val="clear" w:color="auto" w:fill="auto"/>
            <w:vAlign w:val="center"/>
            <w:hideMark/>
          </w:tcPr>
          <w:p w14:paraId="60D6F84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32008C9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5A1E8F4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616AFAB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6020541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Hidalgo</w:t>
            </w:r>
          </w:p>
        </w:tc>
        <w:tc>
          <w:tcPr>
            <w:tcW w:w="2268" w:type="dxa"/>
            <w:tcBorders>
              <w:top w:val="nil"/>
              <w:left w:val="nil"/>
              <w:bottom w:val="single" w:sz="8" w:space="0" w:color="000000"/>
              <w:right w:val="single" w:sz="8" w:space="0" w:color="000000"/>
            </w:tcBorders>
            <w:shd w:val="clear" w:color="auto" w:fill="auto"/>
            <w:vAlign w:val="center"/>
            <w:hideMark/>
          </w:tcPr>
          <w:p w14:paraId="5346862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CAIB960830MHGHSR03</w:t>
            </w:r>
          </w:p>
        </w:tc>
      </w:tr>
      <w:tr w:rsidR="00EF25CF" w:rsidRPr="007923C2" w14:paraId="1638E643"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37B0422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41110078</w:t>
            </w:r>
          </w:p>
        </w:tc>
        <w:tc>
          <w:tcPr>
            <w:tcW w:w="1414" w:type="dxa"/>
            <w:tcBorders>
              <w:top w:val="nil"/>
              <w:left w:val="nil"/>
              <w:bottom w:val="single" w:sz="8" w:space="0" w:color="000000"/>
              <w:right w:val="single" w:sz="8" w:space="0" w:color="000000"/>
            </w:tcBorders>
            <w:shd w:val="clear" w:color="auto" w:fill="auto"/>
            <w:vAlign w:val="center"/>
            <w:hideMark/>
          </w:tcPr>
          <w:p w14:paraId="7FE6D43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CUMPLIDO NÁJERA CLAUDIA FRANCELY</w:t>
            </w:r>
          </w:p>
        </w:tc>
        <w:tc>
          <w:tcPr>
            <w:tcW w:w="1420" w:type="dxa"/>
            <w:tcBorders>
              <w:top w:val="nil"/>
              <w:left w:val="nil"/>
              <w:bottom w:val="single" w:sz="8" w:space="0" w:color="000000"/>
              <w:right w:val="single" w:sz="8" w:space="0" w:color="000000"/>
            </w:tcBorders>
            <w:shd w:val="clear" w:color="auto" w:fill="auto"/>
            <w:vAlign w:val="center"/>
            <w:hideMark/>
          </w:tcPr>
          <w:p w14:paraId="556934F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402133C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54CD446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61C5B95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796553D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Durango</w:t>
            </w:r>
          </w:p>
        </w:tc>
        <w:tc>
          <w:tcPr>
            <w:tcW w:w="2268" w:type="dxa"/>
            <w:tcBorders>
              <w:top w:val="nil"/>
              <w:left w:val="nil"/>
              <w:bottom w:val="single" w:sz="8" w:space="0" w:color="000000"/>
              <w:right w:val="single" w:sz="8" w:space="0" w:color="000000"/>
            </w:tcBorders>
            <w:shd w:val="clear" w:color="auto" w:fill="auto"/>
            <w:vAlign w:val="center"/>
            <w:hideMark/>
          </w:tcPr>
          <w:p w14:paraId="3F4D5EC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CUNC930331MDGMJL00</w:t>
            </w:r>
          </w:p>
        </w:tc>
      </w:tr>
      <w:tr w:rsidR="00EF25CF" w:rsidRPr="007923C2" w14:paraId="1D3DB6B1" w14:textId="77777777"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1FE64B2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41134974</w:t>
            </w:r>
          </w:p>
        </w:tc>
        <w:tc>
          <w:tcPr>
            <w:tcW w:w="1414" w:type="dxa"/>
            <w:tcBorders>
              <w:top w:val="nil"/>
              <w:left w:val="nil"/>
              <w:bottom w:val="single" w:sz="8" w:space="0" w:color="000000"/>
              <w:right w:val="single" w:sz="8" w:space="0" w:color="000000"/>
            </w:tcBorders>
            <w:shd w:val="clear" w:color="auto" w:fill="auto"/>
            <w:vAlign w:val="center"/>
            <w:hideMark/>
          </w:tcPr>
          <w:p w14:paraId="60DD83C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DE LEÓN ORTIZ ÉRICK</w:t>
            </w:r>
          </w:p>
        </w:tc>
        <w:tc>
          <w:tcPr>
            <w:tcW w:w="1420" w:type="dxa"/>
            <w:tcBorders>
              <w:top w:val="nil"/>
              <w:left w:val="nil"/>
              <w:bottom w:val="single" w:sz="8" w:space="0" w:color="000000"/>
              <w:right w:val="single" w:sz="8" w:space="0" w:color="000000"/>
            </w:tcBorders>
            <w:shd w:val="clear" w:color="auto" w:fill="auto"/>
            <w:vAlign w:val="center"/>
            <w:hideMark/>
          </w:tcPr>
          <w:p w14:paraId="2D14A7F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C7C2CD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12D1B90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12B3475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02C47E4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472CD03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LEOE940430HCSNRR07</w:t>
            </w:r>
          </w:p>
        </w:tc>
      </w:tr>
      <w:tr w:rsidR="00EF25CF" w:rsidRPr="007923C2" w14:paraId="621AF4C1"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6396587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41134867</w:t>
            </w:r>
          </w:p>
        </w:tc>
        <w:tc>
          <w:tcPr>
            <w:tcW w:w="1414" w:type="dxa"/>
            <w:tcBorders>
              <w:top w:val="nil"/>
              <w:left w:val="nil"/>
              <w:bottom w:val="single" w:sz="8" w:space="0" w:color="000000"/>
              <w:right w:val="single" w:sz="8" w:space="0" w:color="000000"/>
            </w:tcBorders>
            <w:shd w:val="clear" w:color="auto" w:fill="auto"/>
            <w:vAlign w:val="center"/>
            <w:hideMark/>
          </w:tcPr>
          <w:p w14:paraId="19CC1DC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DÍAZ QUINTERO CARLOS</w:t>
            </w:r>
          </w:p>
        </w:tc>
        <w:tc>
          <w:tcPr>
            <w:tcW w:w="1420" w:type="dxa"/>
            <w:tcBorders>
              <w:top w:val="nil"/>
              <w:left w:val="nil"/>
              <w:bottom w:val="single" w:sz="8" w:space="0" w:color="000000"/>
              <w:right w:val="single" w:sz="8" w:space="0" w:color="000000"/>
            </w:tcBorders>
            <w:shd w:val="clear" w:color="auto" w:fill="auto"/>
            <w:vAlign w:val="center"/>
            <w:hideMark/>
          </w:tcPr>
          <w:p w14:paraId="46A01C2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7643C5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2B6A9B7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33DBB66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0EF10C1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14:paraId="5068DE0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DIQC921114HGTZNR03</w:t>
            </w:r>
          </w:p>
        </w:tc>
      </w:tr>
      <w:tr w:rsidR="00EF25CF" w:rsidRPr="007923C2" w14:paraId="77B5868D"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3F2C891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41122664</w:t>
            </w:r>
          </w:p>
        </w:tc>
        <w:tc>
          <w:tcPr>
            <w:tcW w:w="1414" w:type="dxa"/>
            <w:tcBorders>
              <w:top w:val="nil"/>
              <w:left w:val="nil"/>
              <w:bottom w:val="single" w:sz="8" w:space="0" w:color="000000"/>
              <w:right w:val="single" w:sz="8" w:space="0" w:color="000000"/>
            </w:tcBorders>
            <w:shd w:val="clear" w:color="auto" w:fill="auto"/>
            <w:vAlign w:val="center"/>
            <w:hideMark/>
          </w:tcPr>
          <w:p w14:paraId="2A95518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DURÁN MARTÍNEZ BLANCA ESTELA</w:t>
            </w:r>
          </w:p>
        </w:tc>
        <w:tc>
          <w:tcPr>
            <w:tcW w:w="1420" w:type="dxa"/>
            <w:tcBorders>
              <w:top w:val="nil"/>
              <w:left w:val="nil"/>
              <w:bottom w:val="single" w:sz="8" w:space="0" w:color="000000"/>
              <w:right w:val="single" w:sz="8" w:space="0" w:color="000000"/>
            </w:tcBorders>
            <w:shd w:val="clear" w:color="auto" w:fill="auto"/>
            <w:vAlign w:val="center"/>
            <w:hideMark/>
          </w:tcPr>
          <w:p w14:paraId="3D64F3F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4F041B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7015F46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154DF4F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6ABBE17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Durango</w:t>
            </w:r>
          </w:p>
        </w:tc>
        <w:tc>
          <w:tcPr>
            <w:tcW w:w="2268" w:type="dxa"/>
            <w:tcBorders>
              <w:top w:val="nil"/>
              <w:left w:val="nil"/>
              <w:bottom w:val="single" w:sz="8" w:space="0" w:color="000000"/>
              <w:right w:val="single" w:sz="8" w:space="0" w:color="000000"/>
            </w:tcBorders>
            <w:shd w:val="clear" w:color="auto" w:fill="auto"/>
            <w:vAlign w:val="center"/>
            <w:hideMark/>
          </w:tcPr>
          <w:p w14:paraId="44C5EA2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DUMB940621MDGRRL01</w:t>
            </w:r>
          </w:p>
        </w:tc>
      </w:tr>
      <w:tr w:rsidR="00EF25CF" w:rsidRPr="007923C2" w14:paraId="0AA2E2B9"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9F7D6F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41148503</w:t>
            </w:r>
          </w:p>
        </w:tc>
        <w:tc>
          <w:tcPr>
            <w:tcW w:w="1414" w:type="dxa"/>
            <w:tcBorders>
              <w:top w:val="nil"/>
              <w:left w:val="nil"/>
              <w:bottom w:val="single" w:sz="8" w:space="0" w:color="000000"/>
              <w:right w:val="single" w:sz="8" w:space="0" w:color="000000"/>
            </w:tcBorders>
            <w:shd w:val="clear" w:color="auto" w:fill="auto"/>
            <w:vAlign w:val="center"/>
            <w:hideMark/>
          </w:tcPr>
          <w:p w14:paraId="03FFAD3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DURANTES RAMOS ROLANDO</w:t>
            </w:r>
          </w:p>
        </w:tc>
        <w:tc>
          <w:tcPr>
            <w:tcW w:w="1420" w:type="dxa"/>
            <w:tcBorders>
              <w:top w:val="nil"/>
              <w:left w:val="nil"/>
              <w:bottom w:val="single" w:sz="8" w:space="0" w:color="000000"/>
              <w:right w:val="single" w:sz="8" w:space="0" w:color="000000"/>
            </w:tcBorders>
            <w:shd w:val="clear" w:color="auto" w:fill="auto"/>
            <w:vAlign w:val="center"/>
            <w:hideMark/>
          </w:tcPr>
          <w:p w14:paraId="02A4A96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204153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71AE79F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4D89857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2FD1F3E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2487D92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DURR940601HCSRML03</w:t>
            </w:r>
          </w:p>
        </w:tc>
      </w:tr>
      <w:tr w:rsidR="00EF25CF" w:rsidRPr="007923C2" w14:paraId="480500B9"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5E08B1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41146226</w:t>
            </w:r>
          </w:p>
        </w:tc>
        <w:tc>
          <w:tcPr>
            <w:tcW w:w="1414" w:type="dxa"/>
            <w:tcBorders>
              <w:top w:val="nil"/>
              <w:left w:val="nil"/>
              <w:bottom w:val="single" w:sz="8" w:space="0" w:color="000000"/>
              <w:right w:val="single" w:sz="8" w:space="0" w:color="000000"/>
            </w:tcBorders>
            <w:shd w:val="clear" w:color="auto" w:fill="auto"/>
            <w:vAlign w:val="center"/>
            <w:hideMark/>
          </w:tcPr>
          <w:p w14:paraId="3245519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ELEUTERIO GARCÍA NORMA</w:t>
            </w:r>
          </w:p>
        </w:tc>
        <w:tc>
          <w:tcPr>
            <w:tcW w:w="1420" w:type="dxa"/>
            <w:tcBorders>
              <w:top w:val="nil"/>
              <w:left w:val="nil"/>
              <w:bottom w:val="single" w:sz="8" w:space="0" w:color="000000"/>
              <w:right w:val="single" w:sz="8" w:space="0" w:color="000000"/>
            </w:tcBorders>
            <w:shd w:val="clear" w:color="auto" w:fill="auto"/>
            <w:vAlign w:val="center"/>
            <w:hideMark/>
          </w:tcPr>
          <w:p w14:paraId="2858E6D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59C10F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7F444F5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7AA494A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16E7684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14:paraId="4697C8F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EEGN950827MMCLRR04</w:t>
            </w:r>
          </w:p>
        </w:tc>
      </w:tr>
      <w:tr w:rsidR="00EF25CF" w:rsidRPr="007923C2" w14:paraId="06405258"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2F9890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41110080</w:t>
            </w:r>
          </w:p>
        </w:tc>
        <w:tc>
          <w:tcPr>
            <w:tcW w:w="1414" w:type="dxa"/>
            <w:tcBorders>
              <w:top w:val="nil"/>
              <w:left w:val="nil"/>
              <w:bottom w:val="single" w:sz="8" w:space="0" w:color="000000"/>
              <w:right w:val="single" w:sz="8" w:space="0" w:color="000000"/>
            </w:tcBorders>
            <w:shd w:val="clear" w:color="auto" w:fill="auto"/>
            <w:vAlign w:val="center"/>
            <w:hideMark/>
          </w:tcPr>
          <w:p w14:paraId="3A09D65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ESPARZA ARREDONDO ITANDEHUI JUANITA ERE</w:t>
            </w:r>
          </w:p>
        </w:tc>
        <w:tc>
          <w:tcPr>
            <w:tcW w:w="1420" w:type="dxa"/>
            <w:tcBorders>
              <w:top w:val="nil"/>
              <w:left w:val="nil"/>
              <w:bottom w:val="single" w:sz="8" w:space="0" w:color="000000"/>
              <w:right w:val="single" w:sz="8" w:space="0" w:color="000000"/>
            </w:tcBorders>
            <w:shd w:val="clear" w:color="auto" w:fill="auto"/>
            <w:vAlign w:val="center"/>
            <w:hideMark/>
          </w:tcPr>
          <w:p w14:paraId="26716FF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8E096A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0B00EC5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3D77DE1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3A8FBDF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3777B3F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EAAI930331MCLSRT08</w:t>
            </w:r>
          </w:p>
        </w:tc>
      </w:tr>
      <w:tr w:rsidR="00EF25CF" w:rsidRPr="007923C2" w14:paraId="250DF37D"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6CA3A93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41122672</w:t>
            </w:r>
          </w:p>
        </w:tc>
        <w:tc>
          <w:tcPr>
            <w:tcW w:w="1414" w:type="dxa"/>
            <w:tcBorders>
              <w:top w:val="nil"/>
              <w:left w:val="nil"/>
              <w:bottom w:val="single" w:sz="8" w:space="0" w:color="000000"/>
              <w:right w:val="single" w:sz="8" w:space="0" w:color="000000"/>
            </w:tcBorders>
            <w:shd w:val="clear" w:color="auto" w:fill="auto"/>
            <w:vAlign w:val="center"/>
            <w:hideMark/>
          </w:tcPr>
          <w:p w14:paraId="5DA0C75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ESPIRIDIÓN HERNÁNDEZ JOSÉ RENE</w:t>
            </w:r>
          </w:p>
        </w:tc>
        <w:tc>
          <w:tcPr>
            <w:tcW w:w="1420" w:type="dxa"/>
            <w:tcBorders>
              <w:top w:val="nil"/>
              <w:left w:val="nil"/>
              <w:bottom w:val="single" w:sz="8" w:space="0" w:color="000000"/>
              <w:right w:val="single" w:sz="8" w:space="0" w:color="000000"/>
            </w:tcBorders>
            <w:shd w:val="clear" w:color="auto" w:fill="auto"/>
            <w:vAlign w:val="center"/>
            <w:hideMark/>
          </w:tcPr>
          <w:p w14:paraId="7C0BBBA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92AE33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2D5B7E0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29FEFCE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363A1240"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14:paraId="6CDAE84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EIHR940227HDFSRN04</w:t>
            </w:r>
          </w:p>
        </w:tc>
      </w:tr>
      <w:tr w:rsidR="00EF25CF" w:rsidRPr="007923C2" w14:paraId="11C40DBB"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342DA7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41145871</w:t>
            </w:r>
          </w:p>
        </w:tc>
        <w:tc>
          <w:tcPr>
            <w:tcW w:w="1414" w:type="dxa"/>
            <w:tcBorders>
              <w:top w:val="nil"/>
              <w:left w:val="nil"/>
              <w:bottom w:val="single" w:sz="8" w:space="0" w:color="000000"/>
              <w:right w:val="single" w:sz="8" w:space="0" w:color="000000"/>
            </w:tcBorders>
            <w:shd w:val="clear" w:color="auto" w:fill="auto"/>
            <w:vAlign w:val="center"/>
            <w:hideMark/>
          </w:tcPr>
          <w:p w14:paraId="56C3580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GAONA LÓPEZ EDÉN ORLANDO</w:t>
            </w:r>
          </w:p>
        </w:tc>
        <w:tc>
          <w:tcPr>
            <w:tcW w:w="1420" w:type="dxa"/>
            <w:tcBorders>
              <w:top w:val="nil"/>
              <w:left w:val="nil"/>
              <w:bottom w:val="single" w:sz="8" w:space="0" w:color="000000"/>
              <w:right w:val="single" w:sz="8" w:space="0" w:color="000000"/>
            </w:tcBorders>
            <w:shd w:val="clear" w:color="auto" w:fill="auto"/>
            <w:vAlign w:val="center"/>
            <w:hideMark/>
          </w:tcPr>
          <w:p w14:paraId="1F14CDC0"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C2603F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5973AE1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45EA969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539F66A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2532326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GALE960225HCLNPD01</w:t>
            </w:r>
          </w:p>
        </w:tc>
      </w:tr>
      <w:tr w:rsidR="00EF25CF" w:rsidRPr="007923C2" w14:paraId="011C1065" w14:textId="77777777"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94F8BE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41154642</w:t>
            </w:r>
          </w:p>
        </w:tc>
        <w:tc>
          <w:tcPr>
            <w:tcW w:w="1414" w:type="dxa"/>
            <w:tcBorders>
              <w:top w:val="nil"/>
              <w:left w:val="nil"/>
              <w:bottom w:val="single" w:sz="8" w:space="0" w:color="000000"/>
              <w:right w:val="single" w:sz="8" w:space="0" w:color="000000"/>
            </w:tcBorders>
            <w:shd w:val="clear" w:color="auto" w:fill="auto"/>
            <w:vAlign w:val="center"/>
            <w:hideMark/>
          </w:tcPr>
          <w:p w14:paraId="6BB64BD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GARCÍA CRUZ JOSÉ RUBICEL</w:t>
            </w:r>
          </w:p>
        </w:tc>
        <w:tc>
          <w:tcPr>
            <w:tcW w:w="1420" w:type="dxa"/>
            <w:tcBorders>
              <w:top w:val="nil"/>
              <w:left w:val="nil"/>
              <w:bottom w:val="single" w:sz="8" w:space="0" w:color="000000"/>
              <w:right w:val="single" w:sz="8" w:space="0" w:color="000000"/>
            </w:tcBorders>
            <w:shd w:val="clear" w:color="auto" w:fill="auto"/>
            <w:vAlign w:val="center"/>
            <w:hideMark/>
          </w:tcPr>
          <w:p w14:paraId="4B88892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00204A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7879DEB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7663424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58F3094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7EB8582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GACR970713HCSRRB00</w:t>
            </w:r>
          </w:p>
        </w:tc>
      </w:tr>
      <w:tr w:rsidR="00EF25CF" w:rsidRPr="007923C2" w14:paraId="40A67529"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CAD95F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41100947</w:t>
            </w:r>
          </w:p>
        </w:tc>
        <w:tc>
          <w:tcPr>
            <w:tcW w:w="1414" w:type="dxa"/>
            <w:tcBorders>
              <w:top w:val="nil"/>
              <w:left w:val="nil"/>
              <w:bottom w:val="single" w:sz="8" w:space="0" w:color="000000"/>
              <w:right w:val="single" w:sz="8" w:space="0" w:color="000000"/>
            </w:tcBorders>
            <w:shd w:val="clear" w:color="auto" w:fill="auto"/>
            <w:vAlign w:val="center"/>
            <w:hideMark/>
          </w:tcPr>
          <w:p w14:paraId="1A5FAD3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GARCÍA HERNÁNDEZ JOSÉ ELMER</w:t>
            </w:r>
          </w:p>
        </w:tc>
        <w:tc>
          <w:tcPr>
            <w:tcW w:w="1420" w:type="dxa"/>
            <w:tcBorders>
              <w:top w:val="nil"/>
              <w:left w:val="nil"/>
              <w:bottom w:val="single" w:sz="8" w:space="0" w:color="000000"/>
              <w:right w:val="single" w:sz="8" w:space="0" w:color="000000"/>
            </w:tcBorders>
            <w:shd w:val="clear" w:color="auto" w:fill="auto"/>
            <w:vAlign w:val="center"/>
            <w:hideMark/>
          </w:tcPr>
          <w:p w14:paraId="638576C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229A2C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shd w:val="clear" w:color="auto" w:fill="auto"/>
            <w:vAlign w:val="center"/>
            <w:hideMark/>
          </w:tcPr>
          <w:p w14:paraId="62570B4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4058923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20EDFF4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6567229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GAHE920102HCSRRL00</w:t>
            </w:r>
          </w:p>
        </w:tc>
      </w:tr>
      <w:tr w:rsidR="00EF25CF" w:rsidRPr="007923C2" w14:paraId="01507D72"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CE9873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41146093</w:t>
            </w:r>
          </w:p>
        </w:tc>
        <w:tc>
          <w:tcPr>
            <w:tcW w:w="1414" w:type="dxa"/>
            <w:tcBorders>
              <w:top w:val="nil"/>
              <w:left w:val="nil"/>
              <w:bottom w:val="single" w:sz="8" w:space="0" w:color="000000"/>
              <w:right w:val="single" w:sz="8" w:space="0" w:color="000000"/>
            </w:tcBorders>
            <w:shd w:val="clear" w:color="auto" w:fill="auto"/>
            <w:vAlign w:val="center"/>
            <w:hideMark/>
          </w:tcPr>
          <w:p w14:paraId="35F5940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GARCÍA MENDOZA JANETH</w:t>
            </w:r>
          </w:p>
        </w:tc>
        <w:tc>
          <w:tcPr>
            <w:tcW w:w="1420" w:type="dxa"/>
            <w:tcBorders>
              <w:top w:val="nil"/>
              <w:left w:val="nil"/>
              <w:bottom w:val="single" w:sz="8" w:space="0" w:color="000000"/>
              <w:right w:val="single" w:sz="8" w:space="0" w:color="000000"/>
            </w:tcBorders>
            <w:shd w:val="clear" w:color="auto" w:fill="auto"/>
            <w:vAlign w:val="center"/>
            <w:hideMark/>
          </w:tcPr>
          <w:p w14:paraId="293D008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44AEE8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69AE5C1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610F68B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2730510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03A2382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GAMJ960720MOCRNN00</w:t>
            </w:r>
          </w:p>
        </w:tc>
      </w:tr>
      <w:tr w:rsidR="00EF25CF" w:rsidRPr="007923C2" w14:paraId="4A090937"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7E9330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41110816</w:t>
            </w:r>
          </w:p>
        </w:tc>
        <w:tc>
          <w:tcPr>
            <w:tcW w:w="1414" w:type="dxa"/>
            <w:tcBorders>
              <w:top w:val="nil"/>
              <w:left w:val="nil"/>
              <w:bottom w:val="single" w:sz="8" w:space="0" w:color="000000"/>
              <w:right w:val="single" w:sz="8" w:space="0" w:color="000000"/>
            </w:tcBorders>
            <w:shd w:val="clear" w:color="auto" w:fill="auto"/>
            <w:vAlign w:val="center"/>
            <w:hideMark/>
          </w:tcPr>
          <w:p w14:paraId="1856E790"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GARCÍA MORENO DALILA</w:t>
            </w:r>
          </w:p>
        </w:tc>
        <w:tc>
          <w:tcPr>
            <w:tcW w:w="1420" w:type="dxa"/>
            <w:tcBorders>
              <w:top w:val="nil"/>
              <w:left w:val="nil"/>
              <w:bottom w:val="single" w:sz="8" w:space="0" w:color="000000"/>
              <w:right w:val="single" w:sz="8" w:space="0" w:color="000000"/>
            </w:tcBorders>
            <w:shd w:val="clear" w:color="auto" w:fill="auto"/>
            <w:vAlign w:val="center"/>
            <w:hideMark/>
          </w:tcPr>
          <w:p w14:paraId="58FE4CC0"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ED3443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79EDE2A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361C07B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6C61C1F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14:paraId="7D5BE91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GAMD931127MMCRRL07</w:t>
            </w:r>
          </w:p>
        </w:tc>
      </w:tr>
      <w:tr w:rsidR="00EF25CF" w:rsidRPr="007923C2" w14:paraId="0F00D005"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57B36D4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41122706</w:t>
            </w:r>
          </w:p>
        </w:tc>
        <w:tc>
          <w:tcPr>
            <w:tcW w:w="1414" w:type="dxa"/>
            <w:tcBorders>
              <w:top w:val="nil"/>
              <w:left w:val="nil"/>
              <w:bottom w:val="single" w:sz="8" w:space="0" w:color="000000"/>
              <w:right w:val="single" w:sz="8" w:space="0" w:color="000000"/>
            </w:tcBorders>
            <w:shd w:val="clear" w:color="auto" w:fill="auto"/>
            <w:vAlign w:val="center"/>
            <w:hideMark/>
          </w:tcPr>
          <w:p w14:paraId="1975198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GARCÍA SALGADO MARY CRUZ</w:t>
            </w:r>
          </w:p>
        </w:tc>
        <w:tc>
          <w:tcPr>
            <w:tcW w:w="1420" w:type="dxa"/>
            <w:tcBorders>
              <w:top w:val="nil"/>
              <w:left w:val="nil"/>
              <w:bottom w:val="single" w:sz="8" w:space="0" w:color="000000"/>
              <w:right w:val="single" w:sz="8" w:space="0" w:color="000000"/>
            </w:tcBorders>
            <w:shd w:val="clear" w:color="auto" w:fill="auto"/>
            <w:vAlign w:val="center"/>
            <w:hideMark/>
          </w:tcPr>
          <w:p w14:paraId="3C6077B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BDD084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4994A95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67309AD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4EB0DAB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14:paraId="71C433B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GASM940107MMCRLR06</w:t>
            </w:r>
          </w:p>
        </w:tc>
      </w:tr>
      <w:tr w:rsidR="00EF25CF" w:rsidRPr="007923C2" w14:paraId="151E0DFA" w14:textId="77777777"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D390FE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41139314</w:t>
            </w:r>
          </w:p>
        </w:tc>
        <w:tc>
          <w:tcPr>
            <w:tcW w:w="1414" w:type="dxa"/>
            <w:tcBorders>
              <w:top w:val="nil"/>
              <w:left w:val="nil"/>
              <w:bottom w:val="single" w:sz="8" w:space="0" w:color="000000"/>
              <w:right w:val="single" w:sz="8" w:space="0" w:color="000000"/>
            </w:tcBorders>
            <w:shd w:val="clear" w:color="auto" w:fill="auto"/>
            <w:vAlign w:val="center"/>
            <w:hideMark/>
          </w:tcPr>
          <w:p w14:paraId="0123103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GASPAR ALVA RAMÓN</w:t>
            </w:r>
          </w:p>
        </w:tc>
        <w:tc>
          <w:tcPr>
            <w:tcW w:w="1420" w:type="dxa"/>
            <w:tcBorders>
              <w:top w:val="nil"/>
              <w:left w:val="nil"/>
              <w:bottom w:val="single" w:sz="8" w:space="0" w:color="000000"/>
              <w:right w:val="single" w:sz="8" w:space="0" w:color="000000"/>
            </w:tcBorders>
            <w:shd w:val="clear" w:color="auto" w:fill="auto"/>
            <w:vAlign w:val="center"/>
            <w:hideMark/>
          </w:tcPr>
          <w:p w14:paraId="3930FF6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7C2862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6CA08D6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665CC9E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10BBADD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Puebla</w:t>
            </w:r>
          </w:p>
        </w:tc>
        <w:tc>
          <w:tcPr>
            <w:tcW w:w="2268" w:type="dxa"/>
            <w:tcBorders>
              <w:top w:val="nil"/>
              <w:left w:val="nil"/>
              <w:bottom w:val="single" w:sz="8" w:space="0" w:color="000000"/>
              <w:right w:val="single" w:sz="8" w:space="0" w:color="000000"/>
            </w:tcBorders>
            <w:shd w:val="clear" w:color="auto" w:fill="auto"/>
            <w:vAlign w:val="center"/>
            <w:hideMark/>
          </w:tcPr>
          <w:p w14:paraId="0B09E18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GAAR941118HPLSLM00</w:t>
            </w:r>
          </w:p>
        </w:tc>
      </w:tr>
      <w:tr w:rsidR="00EF25CF" w:rsidRPr="007923C2" w14:paraId="5305BCE1"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3D0AF50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41146184</w:t>
            </w:r>
          </w:p>
        </w:tc>
        <w:tc>
          <w:tcPr>
            <w:tcW w:w="1414" w:type="dxa"/>
            <w:tcBorders>
              <w:top w:val="nil"/>
              <w:left w:val="nil"/>
              <w:bottom w:val="single" w:sz="8" w:space="0" w:color="000000"/>
              <w:right w:val="single" w:sz="8" w:space="0" w:color="000000"/>
            </w:tcBorders>
            <w:shd w:val="clear" w:color="auto" w:fill="auto"/>
            <w:vAlign w:val="center"/>
            <w:hideMark/>
          </w:tcPr>
          <w:p w14:paraId="6867EDA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GASPAR PABLO XÓCHITL</w:t>
            </w:r>
          </w:p>
        </w:tc>
        <w:tc>
          <w:tcPr>
            <w:tcW w:w="1420" w:type="dxa"/>
            <w:tcBorders>
              <w:top w:val="nil"/>
              <w:left w:val="nil"/>
              <w:bottom w:val="single" w:sz="8" w:space="0" w:color="000000"/>
              <w:right w:val="single" w:sz="8" w:space="0" w:color="000000"/>
            </w:tcBorders>
            <w:shd w:val="clear" w:color="auto" w:fill="auto"/>
            <w:vAlign w:val="center"/>
            <w:hideMark/>
          </w:tcPr>
          <w:p w14:paraId="761427A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E414C2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2A12D64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2FB3032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018C290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14:paraId="790F178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GAPX961007MMCSBC00</w:t>
            </w:r>
          </w:p>
        </w:tc>
      </w:tr>
      <w:tr w:rsidR="00EF25CF" w:rsidRPr="007923C2" w14:paraId="1A9E3724"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1E2BE34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41154675</w:t>
            </w:r>
          </w:p>
        </w:tc>
        <w:tc>
          <w:tcPr>
            <w:tcW w:w="1414" w:type="dxa"/>
            <w:tcBorders>
              <w:top w:val="nil"/>
              <w:left w:val="nil"/>
              <w:bottom w:val="single" w:sz="8" w:space="0" w:color="000000"/>
              <w:right w:val="single" w:sz="8" w:space="0" w:color="000000"/>
            </w:tcBorders>
            <w:shd w:val="clear" w:color="auto" w:fill="auto"/>
            <w:vAlign w:val="center"/>
            <w:hideMark/>
          </w:tcPr>
          <w:p w14:paraId="14BABE9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GATÍCA SÁNCHEZ OLI ADELA</w:t>
            </w:r>
          </w:p>
        </w:tc>
        <w:tc>
          <w:tcPr>
            <w:tcW w:w="1420" w:type="dxa"/>
            <w:tcBorders>
              <w:top w:val="nil"/>
              <w:left w:val="nil"/>
              <w:bottom w:val="single" w:sz="8" w:space="0" w:color="000000"/>
              <w:right w:val="single" w:sz="8" w:space="0" w:color="000000"/>
            </w:tcBorders>
            <w:shd w:val="clear" w:color="auto" w:fill="auto"/>
            <w:vAlign w:val="center"/>
            <w:hideMark/>
          </w:tcPr>
          <w:p w14:paraId="5B2F39C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3DC7FEE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3C8AB09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2FA4A3E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5A30F770"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Guerrero</w:t>
            </w:r>
          </w:p>
        </w:tc>
        <w:tc>
          <w:tcPr>
            <w:tcW w:w="2268" w:type="dxa"/>
            <w:tcBorders>
              <w:top w:val="nil"/>
              <w:left w:val="nil"/>
              <w:bottom w:val="single" w:sz="8" w:space="0" w:color="000000"/>
              <w:right w:val="single" w:sz="8" w:space="0" w:color="000000"/>
            </w:tcBorders>
            <w:shd w:val="clear" w:color="auto" w:fill="auto"/>
            <w:vAlign w:val="center"/>
            <w:hideMark/>
          </w:tcPr>
          <w:p w14:paraId="23915CB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GASO970603MGRTNL02</w:t>
            </w:r>
          </w:p>
        </w:tc>
      </w:tr>
      <w:tr w:rsidR="00EF25CF" w:rsidRPr="007923C2" w14:paraId="4F9DD082"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2B61A1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41158908</w:t>
            </w:r>
          </w:p>
        </w:tc>
        <w:tc>
          <w:tcPr>
            <w:tcW w:w="1414" w:type="dxa"/>
            <w:tcBorders>
              <w:top w:val="nil"/>
              <w:left w:val="nil"/>
              <w:bottom w:val="single" w:sz="8" w:space="0" w:color="000000"/>
              <w:right w:val="single" w:sz="8" w:space="0" w:color="000000"/>
            </w:tcBorders>
            <w:shd w:val="clear" w:color="auto" w:fill="auto"/>
            <w:vAlign w:val="center"/>
            <w:hideMark/>
          </w:tcPr>
          <w:p w14:paraId="5F13150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GÓMEZ GUTIÉRREZ LUIS MANUEL</w:t>
            </w:r>
          </w:p>
        </w:tc>
        <w:tc>
          <w:tcPr>
            <w:tcW w:w="1420" w:type="dxa"/>
            <w:tcBorders>
              <w:top w:val="nil"/>
              <w:left w:val="nil"/>
              <w:bottom w:val="single" w:sz="8" w:space="0" w:color="000000"/>
              <w:right w:val="single" w:sz="8" w:space="0" w:color="000000"/>
            </w:tcBorders>
            <w:shd w:val="clear" w:color="auto" w:fill="auto"/>
            <w:vAlign w:val="center"/>
            <w:hideMark/>
          </w:tcPr>
          <w:p w14:paraId="7A19B9D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47FBCF0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224198C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498FF43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3298087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14:paraId="0D88AE9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GOGL970426HMSMTS00</w:t>
            </w:r>
          </w:p>
        </w:tc>
      </w:tr>
      <w:tr w:rsidR="00EF25CF" w:rsidRPr="007923C2" w14:paraId="3145400A"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7454F14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41154592</w:t>
            </w:r>
          </w:p>
        </w:tc>
        <w:tc>
          <w:tcPr>
            <w:tcW w:w="1414" w:type="dxa"/>
            <w:tcBorders>
              <w:top w:val="nil"/>
              <w:left w:val="nil"/>
              <w:bottom w:val="single" w:sz="8" w:space="0" w:color="000000"/>
              <w:right w:val="single" w:sz="8" w:space="0" w:color="000000"/>
            </w:tcBorders>
            <w:shd w:val="clear" w:color="auto" w:fill="auto"/>
            <w:vAlign w:val="center"/>
            <w:hideMark/>
          </w:tcPr>
          <w:p w14:paraId="79B919C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GÓMEZ SANTOS MARISOL</w:t>
            </w:r>
          </w:p>
        </w:tc>
        <w:tc>
          <w:tcPr>
            <w:tcW w:w="1420" w:type="dxa"/>
            <w:tcBorders>
              <w:top w:val="nil"/>
              <w:left w:val="nil"/>
              <w:bottom w:val="single" w:sz="8" w:space="0" w:color="000000"/>
              <w:right w:val="single" w:sz="8" w:space="0" w:color="000000"/>
            </w:tcBorders>
            <w:shd w:val="clear" w:color="auto" w:fill="auto"/>
            <w:vAlign w:val="center"/>
            <w:hideMark/>
          </w:tcPr>
          <w:p w14:paraId="4D1E607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167EDE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2B1F937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7569D59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7833B7A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73196BB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GOSM970515MOCMNR07</w:t>
            </w:r>
          </w:p>
        </w:tc>
      </w:tr>
      <w:tr w:rsidR="00EF25CF" w:rsidRPr="007923C2" w14:paraId="36A204C2"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8B6984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41158874</w:t>
            </w:r>
          </w:p>
        </w:tc>
        <w:tc>
          <w:tcPr>
            <w:tcW w:w="1414" w:type="dxa"/>
            <w:tcBorders>
              <w:top w:val="nil"/>
              <w:left w:val="nil"/>
              <w:bottom w:val="single" w:sz="8" w:space="0" w:color="000000"/>
              <w:right w:val="single" w:sz="8" w:space="0" w:color="000000"/>
            </w:tcBorders>
            <w:shd w:val="clear" w:color="auto" w:fill="auto"/>
            <w:vAlign w:val="center"/>
            <w:hideMark/>
          </w:tcPr>
          <w:p w14:paraId="1FFC8AB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GONZÁLEZ HERNÁNDEZ EDGAR DAVID</w:t>
            </w:r>
          </w:p>
        </w:tc>
        <w:tc>
          <w:tcPr>
            <w:tcW w:w="1420" w:type="dxa"/>
            <w:tcBorders>
              <w:top w:val="nil"/>
              <w:left w:val="nil"/>
              <w:bottom w:val="single" w:sz="8" w:space="0" w:color="000000"/>
              <w:right w:val="single" w:sz="8" w:space="0" w:color="000000"/>
            </w:tcBorders>
            <w:shd w:val="clear" w:color="auto" w:fill="auto"/>
            <w:vAlign w:val="center"/>
            <w:hideMark/>
          </w:tcPr>
          <w:p w14:paraId="3661C3A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F9ABFB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4EB9D39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49F6B78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18EB529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16CC4C9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GOHE971208HCSNRD02</w:t>
            </w:r>
          </w:p>
        </w:tc>
      </w:tr>
      <w:tr w:rsidR="00EF25CF" w:rsidRPr="007923C2" w14:paraId="24017964"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09D552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41128018</w:t>
            </w:r>
          </w:p>
        </w:tc>
        <w:tc>
          <w:tcPr>
            <w:tcW w:w="1414" w:type="dxa"/>
            <w:tcBorders>
              <w:top w:val="nil"/>
              <w:left w:val="nil"/>
              <w:bottom w:val="single" w:sz="8" w:space="0" w:color="000000"/>
              <w:right w:val="single" w:sz="8" w:space="0" w:color="000000"/>
            </w:tcBorders>
            <w:shd w:val="clear" w:color="auto" w:fill="auto"/>
            <w:vAlign w:val="center"/>
            <w:hideMark/>
          </w:tcPr>
          <w:p w14:paraId="2ED8885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GONZÁLEZ RAMÍREZ ABIGAIL</w:t>
            </w:r>
          </w:p>
        </w:tc>
        <w:tc>
          <w:tcPr>
            <w:tcW w:w="1420" w:type="dxa"/>
            <w:tcBorders>
              <w:top w:val="nil"/>
              <w:left w:val="nil"/>
              <w:bottom w:val="single" w:sz="8" w:space="0" w:color="000000"/>
              <w:right w:val="single" w:sz="8" w:space="0" w:color="000000"/>
            </w:tcBorders>
            <w:shd w:val="clear" w:color="auto" w:fill="auto"/>
            <w:vAlign w:val="center"/>
            <w:hideMark/>
          </w:tcPr>
          <w:p w14:paraId="43F457C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FD7C27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634C6A0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058C991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7DD9B53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14:paraId="2409B8C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GORA931029MDFNMB08</w:t>
            </w:r>
          </w:p>
        </w:tc>
      </w:tr>
      <w:tr w:rsidR="00EF25CF" w:rsidRPr="007923C2" w14:paraId="722F8CD0"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679AAA6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41146374</w:t>
            </w:r>
          </w:p>
        </w:tc>
        <w:tc>
          <w:tcPr>
            <w:tcW w:w="1414" w:type="dxa"/>
            <w:tcBorders>
              <w:top w:val="nil"/>
              <w:left w:val="nil"/>
              <w:bottom w:val="single" w:sz="8" w:space="0" w:color="000000"/>
              <w:right w:val="single" w:sz="8" w:space="0" w:color="000000"/>
            </w:tcBorders>
            <w:shd w:val="clear" w:color="auto" w:fill="auto"/>
            <w:vAlign w:val="center"/>
            <w:hideMark/>
          </w:tcPr>
          <w:p w14:paraId="3388DAC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GONZÁLEZ RUIZ ALFONSO</w:t>
            </w:r>
          </w:p>
        </w:tc>
        <w:tc>
          <w:tcPr>
            <w:tcW w:w="1420" w:type="dxa"/>
            <w:tcBorders>
              <w:top w:val="nil"/>
              <w:left w:val="nil"/>
              <w:bottom w:val="single" w:sz="8" w:space="0" w:color="000000"/>
              <w:right w:val="single" w:sz="8" w:space="0" w:color="000000"/>
            </w:tcBorders>
            <w:shd w:val="clear" w:color="auto" w:fill="auto"/>
            <w:vAlign w:val="center"/>
            <w:hideMark/>
          </w:tcPr>
          <w:p w14:paraId="243F0E6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218E2D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2FC2D58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608769B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45EECBF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7512ED8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GORA960209HCSNZL06</w:t>
            </w:r>
          </w:p>
        </w:tc>
      </w:tr>
      <w:tr w:rsidR="00EF25CF" w:rsidRPr="007923C2" w14:paraId="1B3A62E5"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53A051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41110084</w:t>
            </w:r>
          </w:p>
        </w:tc>
        <w:tc>
          <w:tcPr>
            <w:tcW w:w="1414" w:type="dxa"/>
            <w:tcBorders>
              <w:top w:val="nil"/>
              <w:left w:val="nil"/>
              <w:bottom w:val="single" w:sz="8" w:space="0" w:color="000000"/>
              <w:right w:val="single" w:sz="8" w:space="0" w:color="000000"/>
            </w:tcBorders>
            <w:shd w:val="clear" w:color="auto" w:fill="auto"/>
            <w:vAlign w:val="center"/>
            <w:hideMark/>
          </w:tcPr>
          <w:p w14:paraId="3DE1409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GONZÁLEZ TAPIA ÉVELYN</w:t>
            </w:r>
          </w:p>
        </w:tc>
        <w:tc>
          <w:tcPr>
            <w:tcW w:w="1420" w:type="dxa"/>
            <w:tcBorders>
              <w:top w:val="nil"/>
              <w:left w:val="nil"/>
              <w:bottom w:val="single" w:sz="8" w:space="0" w:color="000000"/>
              <w:right w:val="single" w:sz="8" w:space="0" w:color="000000"/>
            </w:tcBorders>
            <w:shd w:val="clear" w:color="auto" w:fill="auto"/>
            <w:vAlign w:val="center"/>
            <w:hideMark/>
          </w:tcPr>
          <w:p w14:paraId="0578559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477A50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2D0288A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5540843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271C47B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14:paraId="02F8BB6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GOTE920314MMSNPV07</w:t>
            </w:r>
          </w:p>
        </w:tc>
      </w:tr>
      <w:tr w:rsidR="00EF25CF" w:rsidRPr="007923C2" w14:paraId="109ED6CF" w14:textId="77777777"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9F0A41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41135013</w:t>
            </w:r>
          </w:p>
        </w:tc>
        <w:tc>
          <w:tcPr>
            <w:tcW w:w="1414" w:type="dxa"/>
            <w:tcBorders>
              <w:top w:val="nil"/>
              <w:left w:val="nil"/>
              <w:bottom w:val="single" w:sz="8" w:space="0" w:color="000000"/>
              <w:right w:val="single" w:sz="8" w:space="0" w:color="000000"/>
            </w:tcBorders>
            <w:shd w:val="clear" w:color="auto" w:fill="auto"/>
            <w:vAlign w:val="center"/>
            <w:hideMark/>
          </w:tcPr>
          <w:p w14:paraId="0FD2E57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GRANADOS LÓPEZ ISAÍ</w:t>
            </w:r>
          </w:p>
        </w:tc>
        <w:tc>
          <w:tcPr>
            <w:tcW w:w="1420" w:type="dxa"/>
            <w:tcBorders>
              <w:top w:val="nil"/>
              <w:left w:val="nil"/>
              <w:bottom w:val="single" w:sz="8" w:space="0" w:color="000000"/>
              <w:right w:val="single" w:sz="8" w:space="0" w:color="000000"/>
            </w:tcBorders>
            <w:shd w:val="clear" w:color="auto" w:fill="auto"/>
            <w:vAlign w:val="center"/>
            <w:hideMark/>
          </w:tcPr>
          <w:p w14:paraId="28BAA090"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AAE77F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323D661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788384D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688CBE5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7A6F085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GALI920503HCSRPS07</w:t>
            </w:r>
          </w:p>
        </w:tc>
      </w:tr>
      <w:tr w:rsidR="00EF25CF" w:rsidRPr="007923C2" w14:paraId="06E359D8"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38A36C7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41154485</w:t>
            </w:r>
          </w:p>
        </w:tc>
        <w:tc>
          <w:tcPr>
            <w:tcW w:w="1414" w:type="dxa"/>
            <w:tcBorders>
              <w:top w:val="nil"/>
              <w:left w:val="nil"/>
              <w:bottom w:val="single" w:sz="8" w:space="0" w:color="000000"/>
              <w:right w:val="single" w:sz="8" w:space="0" w:color="000000"/>
            </w:tcBorders>
            <w:shd w:val="clear" w:color="auto" w:fill="auto"/>
            <w:vAlign w:val="center"/>
            <w:hideMark/>
          </w:tcPr>
          <w:p w14:paraId="7085AE1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GUDIÑO DE SANTIAGO YOHANI</w:t>
            </w:r>
          </w:p>
        </w:tc>
        <w:tc>
          <w:tcPr>
            <w:tcW w:w="1420" w:type="dxa"/>
            <w:tcBorders>
              <w:top w:val="nil"/>
              <w:left w:val="nil"/>
              <w:bottom w:val="single" w:sz="8" w:space="0" w:color="000000"/>
              <w:right w:val="single" w:sz="8" w:space="0" w:color="000000"/>
            </w:tcBorders>
            <w:shd w:val="clear" w:color="auto" w:fill="auto"/>
            <w:vAlign w:val="center"/>
            <w:hideMark/>
          </w:tcPr>
          <w:p w14:paraId="5375329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222197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013842A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6660BDC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285D6A5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Querétaro</w:t>
            </w:r>
          </w:p>
        </w:tc>
        <w:tc>
          <w:tcPr>
            <w:tcW w:w="2268" w:type="dxa"/>
            <w:tcBorders>
              <w:top w:val="nil"/>
              <w:left w:val="nil"/>
              <w:bottom w:val="single" w:sz="8" w:space="0" w:color="000000"/>
              <w:right w:val="single" w:sz="8" w:space="0" w:color="000000"/>
            </w:tcBorders>
            <w:shd w:val="clear" w:color="auto" w:fill="auto"/>
            <w:vAlign w:val="center"/>
            <w:hideMark/>
          </w:tcPr>
          <w:p w14:paraId="22C551E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GUSY970828HQTDNH06</w:t>
            </w:r>
          </w:p>
        </w:tc>
      </w:tr>
      <w:tr w:rsidR="00EF25CF" w:rsidRPr="007923C2" w14:paraId="413B5DFE"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5AFA67E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41146275</w:t>
            </w:r>
          </w:p>
        </w:tc>
        <w:tc>
          <w:tcPr>
            <w:tcW w:w="1414" w:type="dxa"/>
            <w:tcBorders>
              <w:top w:val="nil"/>
              <w:left w:val="nil"/>
              <w:bottom w:val="single" w:sz="8" w:space="0" w:color="000000"/>
              <w:right w:val="single" w:sz="8" w:space="0" w:color="000000"/>
            </w:tcBorders>
            <w:shd w:val="clear" w:color="auto" w:fill="auto"/>
            <w:vAlign w:val="center"/>
            <w:hideMark/>
          </w:tcPr>
          <w:p w14:paraId="537181E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GURGÚA JIMÉNEZ MAYELI MIRALDA</w:t>
            </w:r>
          </w:p>
        </w:tc>
        <w:tc>
          <w:tcPr>
            <w:tcW w:w="1420" w:type="dxa"/>
            <w:tcBorders>
              <w:top w:val="nil"/>
              <w:left w:val="nil"/>
              <w:bottom w:val="single" w:sz="8" w:space="0" w:color="000000"/>
              <w:right w:val="single" w:sz="8" w:space="0" w:color="000000"/>
            </w:tcBorders>
            <w:shd w:val="clear" w:color="auto" w:fill="auto"/>
            <w:vAlign w:val="center"/>
            <w:hideMark/>
          </w:tcPr>
          <w:p w14:paraId="44916B7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9D460F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0398A81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127460D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15B377E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210B154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GUJM911008MCSRMY01</w:t>
            </w:r>
          </w:p>
        </w:tc>
      </w:tr>
      <w:tr w:rsidR="00EF25CF" w:rsidRPr="007923C2" w14:paraId="3F173267"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1D91AB0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41122714</w:t>
            </w:r>
          </w:p>
        </w:tc>
        <w:tc>
          <w:tcPr>
            <w:tcW w:w="1414" w:type="dxa"/>
            <w:tcBorders>
              <w:top w:val="nil"/>
              <w:left w:val="nil"/>
              <w:bottom w:val="single" w:sz="8" w:space="0" w:color="000000"/>
              <w:right w:val="single" w:sz="8" w:space="0" w:color="000000"/>
            </w:tcBorders>
            <w:shd w:val="clear" w:color="auto" w:fill="auto"/>
            <w:vAlign w:val="center"/>
            <w:hideMark/>
          </w:tcPr>
          <w:p w14:paraId="785ABF2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GUTIÉRREZ ALDAVALDE HUGO ENRIQUE</w:t>
            </w:r>
          </w:p>
        </w:tc>
        <w:tc>
          <w:tcPr>
            <w:tcW w:w="1420" w:type="dxa"/>
            <w:tcBorders>
              <w:top w:val="nil"/>
              <w:left w:val="nil"/>
              <w:bottom w:val="single" w:sz="8" w:space="0" w:color="000000"/>
              <w:right w:val="single" w:sz="8" w:space="0" w:color="000000"/>
            </w:tcBorders>
            <w:shd w:val="clear" w:color="auto" w:fill="auto"/>
            <w:vAlign w:val="center"/>
            <w:hideMark/>
          </w:tcPr>
          <w:p w14:paraId="4C64EB7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6A98D5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41A0386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3AA042D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3131559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14:paraId="4CADB57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GUAH901112HGTTLG03</w:t>
            </w:r>
          </w:p>
        </w:tc>
      </w:tr>
      <w:tr w:rsidR="00EF25CF" w:rsidRPr="007923C2" w14:paraId="0679E175"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77F57EA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41110814</w:t>
            </w:r>
          </w:p>
        </w:tc>
        <w:tc>
          <w:tcPr>
            <w:tcW w:w="1414" w:type="dxa"/>
            <w:tcBorders>
              <w:top w:val="nil"/>
              <w:left w:val="nil"/>
              <w:bottom w:val="single" w:sz="8" w:space="0" w:color="000000"/>
              <w:right w:val="single" w:sz="8" w:space="0" w:color="000000"/>
            </w:tcBorders>
            <w:shd w:val="clear" w:color="auto" w:fill="auto"/>
            <w:vAlign w:val="center"/>
            <w:hideMark/>
          </w:tcPr>
          <w:p w14:paraId="200868F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HERNÁNDEZ BAUTISTA SOLEDAD</w:t>
            </w:r>
          </w:p>
        </w:tc>
        <w:tc>
          <w:tcPr>
            <w:tcW w:w="1420" w:type="dxa"/>
            <w:tcBorders>
              <w:top w:val="nil"/>
              <w:left w:val="nil"/>
              <w:bottom w:val="single" w:sz="8" w:space="0" w:color="000000"/>
              <w:right w:val="single" w:sz="8" w:space="0" w:color="000000"/>
            </w:tcBorders>
            <w:shd w:val="clear" w:color="auto" w:fill="auto"/>
            <w:vAlign w:val="center"/>
            <w:hideMark/>
          </w:tcPr>
          <w:p w14:paraId="7DB0A53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CBF6A7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5663A99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486E3B1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47DE638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Hidalgo</w:t>
            </w:r>
          </w:p>
        </w:tc>
        <w:tc>
          <w:tcPr>
            <w:tcW w:w="2268" w:type="dxa"/>
            <w:tcBorders>
              <w:top w:val="nil"/>
              <w:left w:val="nil"/>
              <w:bottom w:val="single" w:sz="8" w:space="0" w:color="000000"/>
              <w:right w:val="single" w:sz="8" w:space="0" w:color="000000"/>
            </w:tcBorders>
            <w:shd w:val="clear" w:color="auto" w:fill="auto"/>
            <w:vAlign w:val="center"/>
            <w:hideMark/>
          </w:tcPr>
          <w:p w14:paraId="399E3C3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HEBS931109MHGRTL02</w:t>
            </w:r>
          </w:p>
        </w:tc>
      </w:tr>
      <w:tr w:rsidR="00EF25CF" w:rsidRPr="007923C2" w14:paraId="2D42F77B"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CCAEB3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41126228</w:t>
            </w:r>
          </w:p>
        </w:tc>
        <w:tc>
          <w:tcPr>
            <w:tcW w:w="1414" w:type="dxa"/>
            <w:tcBorders>
              <w:top w:val="nil"/>
              <w:left w:val="nil"/>
              <w:bottom w:val="single" w:sz="8" w:space="0" w:color="000000"/>
              <w:right w:val="single" w:sz="8" w:space="0" w:color="000000"/>
            </w:tcBorders>
            <w:shd w:val="clear" w:color="auto" w:fill="auto"/>
            <w:vAlign w:val="center"/>
            <w:hideMark/>
          </w:tcPr>
          <w:p w14:paraId="5FAD9EA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HERNÁNDEZ MÉNDEZ DAVID BLADIMIR</w:t>
            </w:r>
          </w:p>
        </w:tc>
        <w:tc>
          <w:tcPr>
            <w:tcW w:w="1420" w:type="dxa"/>
            <w:tcBorders>
              <w:top w:val="nil"/>
              <w:left w:val="nil"/>
              <w:bottom w:val="single" w:sz="8" w:space="0" w:color="000000"/>
              <w:right w:val="single" w:sz="8" w:space="0" w:color="000000"/>
            </w:tcBorders>
            <w:shd w:val="clear" w:color="auto" w:fill="auto"/>
            <w:vAlign w:val="center"/>
            <w:hideMark/>
          </w:tcPr>
          <w:p w14:paraId="22AC3D1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44AF8B3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1D7BC4B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3036B29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3D6E2C5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46A7C52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HEMD930330HCSRNV09</w:t>
            </w:r>
          </w:p>
        </w:tc>
      </w:tr>
      <w:tr w:rsidR="00EF25CF" w:rsidRPr="007923C2" w14:paraId="15F4DD99"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7D1CF7C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41128026</w:t>
            </w:r>
          </w:p>
        </w:tc>
        <w:tc>
          <w:tcPr>
            <w:tcW w:w="1414" w:type="dxa"/>
            <w:tcBorders>
              <w:top w:val="nil"/>
              <w:left w:val="nil"/>
              <w:bottom w:val="single" w:sz="8" w:space="0" w:color="000000"/>
              <w:right w:val="single" w:sz="8" w:space="0" w:color="000000"/>
            </w:tcBorders>
            <w:shd w:val="clear" w:color="auto" w:fill="auto"/>
            <w:vAlign w:val="center"/>
            <w:hideMark/>
          </w:tcPr>
          <w:p w14:paraId="5B59B1A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HERNÁNDEZ PÉREZ HILARIA</w:t>
            </w:r>
          </w:p>
        </w:tc>
        <w:tc>
          <w:tcPr>
            <w:tcW w:w="1420" w:type="dxa"/>
            <w:tcBorders>
              <w:top w:val="nil"/>
              <w:left w:val="nil"/>
              <w:bottom w:val="single" w:sz="8" w:space="0" w:color="000000"/>
              <w:right w:val="single" w:sz="8" w:space="0" w:color="000000"/>
            </w:tcBorders>
            <w:shd w:val="clear" w:color="auto" w:fill="auto"/>
            <w:vAlign w:val="center"/>
            <w:hideMark/>
          </w:tcPr>
          <w:p w14:paraId="1B014E5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C26AD4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12D16E0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0777E7F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1E0A3F7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0A31076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HEPH940228MCSRRL04</w:t>
            </w:r>
          </w:p>
        </w:tc>
      </w:tr>
      <w:tr w:rsidR="00EF25CF" w:rsidRPr="007923C2" w14:paraId="3C1F7C02"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6DE5E36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41110828</w:t>
            </w:r>
          </w:p>
        </w:tc>
        <w:tc>
          <w:tcPr>
            <w:tcW w:w="1414" w:type="dxa"/>
            <w:tcBorders>
              <w:top w:val="nil"/>
              <w:left w:val="nil"/>
              <w:bottom w:val="single" w:sz="8" w:space="0" w:color="000000"/>
              <w:right w:val="single" w:sz="8" w:space="0" w:color="000000"/>
            </w:tcBorders>
            <w:shd w:val="clear" w:color="auto" w:fill="auto"/>
            <w:vAlign w:val="center"/>
            <w:hideMark/>
          </w:tcPr>
          <w:p w14:paraId="27513EA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HERNÁNDEZ RAMÍREZ EDITH</w:t>
            </w:r>
          </w:p>
        </w:tc>
        <w:tc>
          <w:tcPr>
            <w:tcW w:w="1420" w:type="dxa"/>
            <w:tcBorders>
              <w:top w:val="nil"/>
              <w:left w:val="nil"/>
              <w:bottom w:val="single" w:sz="8" w:space="0" w:color="000000"/>
              <w:right w:val="single" w:sz="8" w:space="0" w:color="000000"/>
            </w:tcBorders>
            <w:shd w:val="clear" w:color="auto" w:fill="auto"/>
            <w:vAlign w:val="center"/>
            <w:hideMark/>
          </w:tcPr>
          <w:p w14:paraId="72DC957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35E83B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2BEFF7F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3009B66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7FA81D5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Guerrero</w:t>
            </w:r>
          </w:p>
        </w:tc>
        <w:tc>
          <w:tcPr>
            <w:tcW w:w="2268" w:type="dxa"/>
            <w:tcBorders>
              <w:top w:val="nil"/>
              <w:left w:val="nil"/>
              <w:bottom w:val="single" w:sz="8" w:space="0" w:color="000000"/>
              <w:right w:val="single" w:sz="8" w:space="0" w:color="000000"/>
            </w:tcBorders>
            <w:shd w:val="clear" w:color="auto" w:fill="auto"/>
            <w:vAlign w:val="center"/>
            <w:hideMark/>
          </w:tcPr>
          <w:p w14:paraId="6F7A266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HERE930602MGRRMD06</w:t>
            </w:r>
          </w:p>
        </w:tc>
      </w:tr>
      <w:tr w:rsidR="00EF25CF" w:rsidRPr="007923C2" w14:paraId="184CCCA7"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1EE51CB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41139130</w:t>
            </w:r>
          </w:p>
        </w:tc>
        <w:tc>
          <w:tcPr>
            <w:tcW w:w="1414" w:type="dxa"/>
            <w:tcBorders>
              <w:top w:val="nil"/>
              <w:left w:val="nil"/>
              <w:bottom w:val="single" w:sz="8" w:space="0" w:color="000000"/>
              <w:right w:val="single" w:sz="8" w:space="0" w:color="000000"/>
            </w:tcBorders>
            <w:shd w:val="clear" w:color="auto" w:fill="auto"/>
            <w:vAlign w:val="center"/>
            <w:hideMark/>
          </w:tcPr>
          <w:p w14:paraId="568A5C1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HERRERA RODRÍGUEZ IMELDA</w:t>
            </w:r>
          </w:p>
        </w:tc>
        <w:tc>
          <w:tcPr>
            <w:tcW w:w="1420" w:type="dxa"/>
            <w:tcBorders>
              <w:top w:val="nil"/>
              <w:left w:val="nil"/>
              <w:bottom w:val="single" w:sz="8" w:space="0" w:color="000000"/>
              <w:right w:val="single" w:sz="8" w:space="0" w:color="000000"/>
            </w:tcBorders>
            <w:shd w:val="clear" w:color="auto" w:fill="auto"/>
            <w:vAlign w:val="center"/>
            <w:hideMark/>
          </w:tcPr>
          <w:p w14:paraId="14FC85A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36A0053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33F5465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6397F08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6F49B4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00F6D4C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HERI920513MOCRDM03</w:t>
            </w:r>
          </w:p>
        </w:tc>
      </w:tr>
      <w:tr w:rsidR="00EF25CF" w:rsidRPr="007923C2" w14:paraId="64CC1E23"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5553E2A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41147786</w:t>
            </w:r>
          </w:p>
        </w:tc>
        <w:tc>
          <w:tcPr>
            <w:tcW w:w="1414" w:type="dxa"/>
            <w:tcBorders>
              <w:top w:val="nil"/>
              <w:left w:val="nil"/>
              <w:bottom w:val="single" w:sz="8" w:space="0" w:color="000000"/>
              <w:right w:val="single" w:sz="8" w:space="0" w:color="000000"/>
            </w:tcBorders>
            <w:shd w:val="clear" w:color="auto" w:fill="auto"/>
            <w:vAlign w:val="center"/>
            <w:hideMark/>
          </w:tcPr>
          <w:p w14:paraId="0E2B310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HILERIO ÁNGEL MICI NAYELI</w:t>
            </w:r>
          </w:p>
        </w:tc>
        <w:tc>
          <w:tcPr>
            <w:tcW w:w="1420" w:type="dxa"/>
            <w:tcBorders>
              <w:top w:val="nil"/>
              <w:left w:val="nil"/>
              <w:bottom w:val="single" w:sz="8" w:space="0" w:color="000000"/>
              <w:right w:val="single" w:sz="8" w:space="0" w:color="000000"/>
            </w:tcBorders>
            <w:shd w:val="clear" w:color="auto" w:fill="auto"/>
            <w:vAlign w:val="center"/>
            <w:hideMark/>
          </w:tcPr>
          <w:p w14:paraId="2A0450D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29E925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1860D09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552F51E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1364FC7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2436C91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HIAM950920MCSLNC01</w:t>
            </w:r>
          </w:p>
        </w:tc>
      </w:tr>
      <w:tr w:rsidR="00EF25CF" w:rsidRPr="007923C2" w14:paraId="4EBB75DB"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5AD0ED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41154402</w:t>
            </w:r>
          </w:p>
        </w:tc>
        <w:tc>
          <w:tcPr>
            <w:tcW w:w="1414" w:type="dxa"/>
            <w:tcBorders>
              <w:top w:val="nil"/>
              <w:left w:val="nil"/>
              <w:bottom w:val="single" w:sz="8" w:space="0" w:color="000000"/>
              <w:right w:val="single" w:sz="8" w:space="0" w:color="000000"/>
            </w:tcBorders>
            <w:shd w:val="clear" w:color="auto" w:fill="auto"/>
            <w:vAlign w:val="center"/>
            <w:hideMark/>
          </w:tcPr>
          <w:p w14:paraId="5B1E233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LARA IBARRA ANDREA NAOMI</w:t>
            </w:r>
          </w:p>
        </w:tc>
        <w:tc>
          <w:tcPr>
            <w:tcW w:w="1420" w:type="dxa"/>
            <w:tcBorders>
              <w:top w:val="nil"/>
              <w:left w:val="nil"/>
              <w:bottom w:val="single" w:sz="8" w:space="0" w:color="000000"/>
              <w:right w:val="single" w:sz="8" w:space="0" w:color="000000"/>
            </w:tcBorders>
            <w:shd w:val="clear" w:color="auto" w:fill="auto"/>
            <w:vAlign w:val="center"/>
            <w:hideMark/>
          </w:tcPr>
          <w:p w14:paraId="2E3902A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C27205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6411D1B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1AA69D2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04E825A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58F8755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LAIA970728MCSRBN01</w:t>
            </w:r>
          </w:p>
        </w:tc>
      </w:tr>
      <w:tr w:rsidR="00EF25CF" w:rsidRPr="007923C2" w14:paraId="7328A31C" w14:textId="77777777"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8A5432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41146341</w:t>
            </w:r>
          </w:p>
        </w:tc>
        <w:tc>
          <w:tcPr>
            <w:tcW w:w="1414" w:type="dxa"/>
            <w:tcBorders>
              <w:top w:val="nil"/>
              <w:left w:val="nil"/>
              <w:bottom w:val="single" w:sz="8" w:space="0" w:color="000000"/>
              <w:right w:val="single" w:sz="8" w:space="0" w:color="000000"/>
            </w:tcBorders>
            <w:shd w:val="clear" w:color="auto" w:fill="auto"/>
            <w:vAlign w:val="center"/>
            <w:hideMark/>
          </w:tcPr>
          <w:p w14:paraId="470EEF6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LINARES NIETO ULICES</w:t>
            </w:r>
          </w:p>
        </w:tc>
        <w:tc>
          <w:tcPr>
            <w:tcW w:w="1420" w:type="dxa"/>
            <w:tcBorders>
              <w:top w:val="nil"/>
              <w:left w:val="nil"/>
              <w:bottom w:val="single" w:sz="8" w:space="0" w:color="000000"/>
              <w:right w:val="single" w:sz="8" w:space="0" w:color="000000"/>
            </w:tcBorders>
            <w:shd w:val="clear" w:color="auto" w:fill="auto"/>
            <w:vAlign w:val="center"/>
            <w:hideMark/>
          </w:tcPr>
          <w:p w14:paraId="230375B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6C8073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52CA582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37A46AF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39A96D2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14:paraId="33CDA46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LINU950420HGTNTL10</w:t>
            </w:r>
          </w:p>
        </w:tc>
      </w:tr>
      <w:tr w:rsidR="00EF25CF" w:rsidRPr="007923C2" w14:paraId="3DF985B9"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7906630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41154576</w:t>
            </w:r>
          </w:p>
        </w:tc>
        <w:tc>
          <w:tcPr>
            <w:tcW w:w="1414" w:type="dxa"/>
            <w:tcBorders>
              <w:top w:val="nil"/>
              <w:left w:val="nil"/>
              <w:bottom w:val="single" w:sz="8" w:space="0" w:color="000000"/>
              <w:right w:val="single" w:sz="8" w:space="0" w:color="000000"/>
            </w:tcBorders>
            <w:shd w:val="clear" w:color="auto" w:fill="auto"/>
            <w:vAlign w:val="center"/>
            <w:hideMark/>
          </w:tcPr>
          <w:p w14:paraId="051104B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LÓPEZ DOMÍNGUEZ NANGLIS</w:t>
            </w:r>
          </w:p>
        </w:tc>
        <w:tc>
          <w:tcPr>
            <w:tcW w:w="1420" w:type="dxa"/>
            <w:tcBorders>
              <w:top w:val="nil"/>
              <w:left w:val="nil"/>
              <w:bottom w:val="single" w:sz="8" w:space="0" w:color="000000"/>
              <w:right w:val="single" w:sz="8" w:space="0" w:color="000000"/>
            </w:tcBorders>
            <w:shd w:val="clear" w:color="auto" w:fill="auto"/>
            <w:vAlign w:val="center"/>
            <w:hideMark/>
          </w:tcPr>
          <w:p w14:paraId="78EDC05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3F95CE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206D7E2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238D8A8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0807B67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2AEF6B7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LODN941228HCSPMN09</w:t>
            </w:r>
          </w:p>
        </w:tc>
      </w:tr>
      <w:tr w:rsidR="00EF25CF" w:rsidRPr="007923C2" w14:paraId="32FC7638"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88BE27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41110090</w:t>
            </w:r>
          </w:p>
        </w:tc>
        <w:tc>
          <w:tcPr>
            <w:tcW w:w="1414" w:type="dxa"/>
            <w:tcBorders>
              <w:top w:val="nil"/>
              <w:left w:val="nil"/>
              <w:bottom w:val="single" w:sz="8" w:space="0" w:color="000000"/>
              <w:right w:val="single" w:sz="8" w:space="0" w:color="000000"/>
            </w:tcBorders>
            <w:shd w:val="clear" w:color="auto" w:fill="auto"/>
            <w:vAlign w:val="center"/>
            <w:hideMark/>
          </w:tcPr>
          <w:p w14:paraId="197C14C0"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LÓPEZ GARCÍA ANGÉLICA</w:t>
            </w:r>
          </w:p>
        </w:tc>
        <w:tc>
          <w:tcPr>
            <w:tcW w:w="1420" w:type="dxa"/>
            <w:tcBorders>
              <w:top w:val="nil"/>
              <w:left w:val="nil"/>
              <w:bottom w:val="single" w:sz="8" w:space="0" w:color="000000"/>
              <w:right w:val="single" w:sz="8" w:space="0" w:color="000000"/>
            </w:tcBorders>
            <w:shd w:val="clear" w:color="auto" w:fill="auto"/>
            <w:vAlign w:val="center"/>
            <w:hideMark/>
          </w:tcPr>
          <w:p w14:paraId="4834C69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BB37B9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1F98A5C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3E1B671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3C4E4A2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2280670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LOGA911024MOCPRN00</w:t>
            </w:r>
          </w:p>
        </w:tc>
      </w:tr>
      <w:tr w:rsidR="00EF25CF" w:rsidRPr="007923C2" w14:paraId="23C4473B"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1A50088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41122771</w:t>
            </w:r>
          </w:p>
        </w:tc>
        <w:tc>
          <w:tcPr>
            <w:tcW w:w="1414" w:type="dxa"/>
            <w:tcBorders>
              <w:top w:val="nil"/>
              <w:left w:val="nil"/>
              <w:bottom w:val="single" w:sz="8" w:space="0" w:color="000000"/>
              <w:right w:val="single" w:sz="8" w:space="0" w:color="000000"/>
            </w:tcBorders>
            <w:shd w:val="clear" w:color="auto" w:fill="auto"/>
            <w:vAlign w:val="center"/>
            <w:hideMark/>
          </w:tcPr>
          <w:p w14:paraId="0B64EAA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MAGDALENO GARCÍA GUADALUPE</w:t>
            </w:r>
          </w:p>
        </w:tc>
        <w:tc>
          <w:tcPr>
            <w:tcW w:w="1420" w:type="dxa"/>
            <w:tcBorders>
              <w:top w:val="nil"/>
              <w:left w:val="nil"/>
              <w:bottom w:val="single" w:sz="8" w:space="0" w:color="000000"/>
              <w:right w:val="single" w:sz="8" w:space="0" w:color="000000"/>
            </w:tcBorders>
            <w:shd w:val="clear" w:color="auto" w:fill="auto"/>
            <w:vAlign w:val="center"/>
            <w:hideMark/>
          </w:tcPr>
          <w:p w14:paraId="398A016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E656B6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13D5CF6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0C82171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75BD303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14:paraId="75F06E4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MAGG931213MGTGRD03</w:t>
            </w:r>
          </w:p>
        </w:tc>
      </w:tr>
      <w:tr w:rsidR="00EF25CF" w:rsidRPr="007923C2" w14:paraId="7A3D52EA"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3BED726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41159807</w:t>
            </w:r>
          </w:p>
        </w:tc>
        <w:tc>
          <w:tcPr>
            <w:tcW w:w="1414" w:type="dxa"/>
            <w:tcBorders>
              <w:top w:val="nil"/>
              <w:left w:val="nil"/>
              <w:bottom w:val="single" w:sz="8" w:space="0" w:color="000000"/>
              <w:right w:val="single" w:sz="8" w:space="0" w:color="000000"/>
            </w:tcBorders>
            <w:shd w:val="clear" w:color="auto" w:fill="auto"/>
            <w:vAlign w:val="center"/>
            <w:hideMark/>
          </w:tcPr>
          <w:p w14:paraId="1F49EC2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MARINES ALONSO SALVADOR OTONIEL</w:t>
            </w:r>
          </w:p>
        </w:tc>
        <w:tc>
          <w:tcPr>
            <w:tcW w:w="1420" w:type="dxa"/>
            <w:tcBorders>
              <w:top w:val="nil"/>
              <w:left w:val="nil"/>
              <w:bottom w:val="single" w:sz="8" w:space="0" w:color="000000"/>
              <w:right w:val="single" w:sz="8" w:space="0" w:color="000000"/>
            </w:tcBorders>
            <w:shd w:val="clear" w:color="auto" w:fill="auto"/>
            <w:vAlign w:val="center"/>
            <w:hideMark/>
          </w:tcPr>
          <w:p w14:paraId="71F6344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D3FFE3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6B07E12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2854EA2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5CA7F6D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32B58F0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MAAS961208HCLRLL06</w:t>
            </w:r>
          </w:p>
        </w:tc>
      </w:tr>
      <w:tr w:rsidR="00EF25CF" w:rsidRPr="007923C2" w14:paraId="6E2B5C36"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1DA2C48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41134909</w:t>
            </w:r>
          </w:p>
        </w:tc>
        <w:tc>
          <w:tcPr>
            <w:tcW w:w="1414" w:type="dxa"/>
            <w:tcBorders>
              <w:top w:val="nil"/>
              <w:left w:val="nil"/>
              <w:bottom w:val="single" w:sz="8" w:space="0" w:color="000000"/>
              <w:right w:val="single" w:sz="8" w:space="0" w:color="000000"/>
            </w:tcBorders>
            <w:shd w:val="clear" w:color="auto" w:fill="auto"/>
            <w:vAlign w:val="center"/>
            <w:hideMark/>
          </w:tcPr>
          <w:p w14:paraId="08597F7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MÉNDEZ ÁLVAREZ DOMINGO</w:t>
            </w:r>
          </w:p>
        </w:tc>
        <w:tc>
          <w:tcPr>
            <w:tcW w:w="1420" w:type="dxa"/>
            <w:tcBorders>
              <w:top w:val="nil"/>
              <w:left w:val="nil"/>
              <w:bottom w:val="single" w:sz="8" w:space="0" w:color="000000"/>
              <w:right w:val="single" w:sz="8" w:space="0" w:color="000000"/>
            </w:tcBorders>
            <w:shd w:val="clear" w:color="auto" w:fill="auto"/>
            <w:vAlign w:val="center"/>
            <w:hideMark/>
          </w:tcPr>
          <w:p w14:paraId="6C7C336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3CCC63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11DD170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69CA3D4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0E9E2B7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64F6E13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MEAD950605HCSNLM00</w:t>
            </w:r>
          </w:p>
        </w:tc>
      </w:tr>
      <w:tr w:rsidR="00EF25CF" w:rsidRPr="007923C2" w14:paraId="5A16A271"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107D844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41110763</w:t>
            </w:r>
          </w:p>
        </w:tc>
        <w:tc>
          <w:tcPr>
            <w:tcW w:w="1414" w:type="dxa"/>
            <w:tcBorders>
              <w:top w:val="nil"/>
              <w:left w:val="nil"/>
              <w:bottom w:val="single" w:sz="8" w:space="0" w:color="000000"/>
              <w:right w:val="single" w:sz="8" w:space="0" w:color="000000"/>
            </w:tcBorders>
            <w:shd w:val="clear" w:color="auto" w:fill="auto"/>
            <w:vAlign w:val="center"/>
            <w:hideMark/>
          </w:tcPr>
          <w:p w14:paraId="3A48204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MÉNDEZ HERNÁNDEZ CLARICELDA</w:t>
            </w:r>
          </w:p>
        </w:tc>
        <w:tc>
          <w:tcPr>
            <w:tcW w:w="1420" w:type="dxa"/>
            <w:tcBorders>
              <w:top w:val="nil"/>
              <w:left w:val="nil"/>
              <w:bottom w:val="single" w:sz="8" w:space="0" w:color="000000"/>
              <w:right w:val="single" w:sz="8" w:space="0" w:color="000000"/>
            </w:tcBorders>
            <w:shd w:val="clear" w:color="auto" w:fill="auto"/>
            <w:vAlign w:val="center"/>
            <w:hideMark/>
          </w:tcPr>
          <w:p w14:paraId="7C0A71F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37C329C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5527C7A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72227F1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3072B57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3BA8E99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MEHC930325MCSNRL07</w:t>
            </w:r>
          </w:p>
        </w:tc>
      </w:tr>
      <w:tr w:rsidR="00EF25CF" w:rsidRPr="007923C2" w14:paraId="7F20482D"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3162BFA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41100371</w:t>
            </w:r>
          </w:p>
        </w:tc>
        <w:tc>
          <w:tcPr>
            <w:tcW w:w="1414" w:type="dxa"/>
            <w:tcBorders>
              <w:top w:val="nil"/>
              <w:left w:val="nil"/>
              <w:bottom w:val="single" w:sz="8" w:space="0" w:color="000000"/>
              <w:right w:val="single" w:sz="8" w:space="0" w:color="000000"/>
            </w:tcBorders>
            <w:shd w:val="clear" w:color="auto" w:fill="auto"/>
            <w:vAlign w:val="center"/>
            <w:hideMark/>
          </w:tcPr>
          <w:p w14:paraId="345FA4D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MÉNDEZ POSADAS ADILENE</w:t>
            </w:r>
          </w:p>
        </w:tc>
        <w:tc>
          <w:tcPr>
            <w:tcW w:w="1420" w:type="dxa"/>
            <w:tcBorders>
              <w:top w:val="nil"/>
              <w:left w:val="nil"/>
              <w:bottom w:val="single" w:sz="8" w:space="0" w:color="000000"/>
              <w:right w:val="single" w:sz="8" w:space="0" w:color="000000"/>
            </w:tcBorders>
            <w:shd w:val="clear" w:color="auto" w:fill="auto"/>
            <w:vAlign w:val="center"/>
            <w:hideMark/>
          </w:tcPr>
          <w:p w14:paraId="54439BE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40C0D7E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shd w:val="clear" w:color="auto" w:fill="auto"/>
            <w:vAlign w:val="center"/>
            <w:hideMark/>
          </w:tcPr>
          <w:p w14:paraId="4128148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39A88E2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12626BD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Veracruz</w:t>
            </w:r>
          </w:p>
        </w:tc>
        <w:tc>
          <w:tcPr>
            <w:tcW w:w="2268" w:type="dxa"/>
            <w:tcBorders>
              <w:top w:val="nil"/>
              <w:left w:val="nil"/>
              <w:bottom w:val="single" w:sz="8" w:space="0" w:color="000000"/>
              <w:right w:val="single" w:sz="8" w:space="0" w:color="000000"/>
            </w:tcBorders>
            <w:shd w:val="clear" w:color="auto" w:fill="auto"/>
            <w:vAlign w:val="center"/>
            <w:hideMark/>
          </w:tcPr>
          <w:p w14:paraId="64CF489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MEPA920624MVZNSD00</w:t>
            </w:r>
          </w:p>
        </w:tc>
      </w:tr>
      <w:tr w:rsidR="00EF25CF" w:rsidRPr="007923C2" w14:paraId="5C8F5C25" w14:textId="77777777"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147DF49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41110092</w:t>
            </w:r>
          </w:p>
        </w:tc>
        <w:tc>
          <w:tcPr>
            <w:tcW w:w="1414" w:type="dxa"/>
            <w:tcBorders>
              <w:top w:val="nil"/>
              <w:left w:val="nil"/>
              <w:bottom w:val="single" w:sz="8" w:space="0" w:color="000000"/>
              <w:right w:val="single" w:sz="8" w:space="0" w:color="000000"/>
            </w:tcBorders>
            <w:shd w:val="clear" w:color="auto" w:fill="auto"/>
            <w:vAlign w:val="center"/>
            <w:hideMark/>
          </w:tcPr>
          <w:p w14:paraId="3F1C08D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MENDOZA GARCÍA LENIN</w:t>
            </w:r>
          </w:p>
        </w:tc>
        <w:tc>
          <w:tcPr>
            <w:tcW w:w="1420" w:type="dxa"/>
            <w:tcBorders>
              <w:top w:val="nil"/>
              <w:left w:val="nil"/>
              <w:bottom w:val="single" w:sz="8" w:space="0" w:color="000000"/>
              <w:right w:val="single" w:sz="8" w:space="0" w:color="000000"/>
            </w:tcBorders>
            <w:shd w:val="clear" w:color="auto" w:fill="auto"/>
            <w:vAlign w:val="center"/>
            <w:hideMark/>
          </w:tcPr>
          <w:p w14:paraId="318CC3E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0434E0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3116353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3C047FC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13A70D1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0AAE521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MEGL910515HOCNRN07</w:t>
            </w:r>
          </w:p>
        </w:tc>
      </w:tr>
      <w:tr w:rsidR="00EF25CF" w:rsidRPr="007923C2" w14:paraId="23EDE15F" w14:textId="77777777"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2CEEEF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41146168</w:t>
            </w:r>
          </w:p>
        </w:tc>
        <w:tc>
          <w:tcPr>
            <w:tcW w:w="1414" w:type="dxa"/>
            <w:tcBorders>
              <w:top w:val="nil"/>
              <w:left w:val="nil"/>
              <w:bottom w:val="single" w:sz="8" w:space="0" w:color="000000"/>
              <w:right w:val="single" w:sz="8" w:space="0" w:color="000000"/>
            </w:tcBorders>
            <w:shd w:val="clear" w:color="auto" w:fill="auto"/>
            <w:vAlign w:val="center"/>
            <w:hideMark/>
          </w:tcPr>
          <w:p w14:paraId="57B1D59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MENDOZA LARA WILVER</w:t>
            </w:r>
          </w:p>
        </w:tc>
        <w:tc>
          <w:tcPr>
            <w:tcW w:w="1420" w:type="dxa"/>
            <w:tcBorders>
              <w:top w:val="nil"/>
              <w:left w:val="nil"/>
              <w:bottom w:val="single" w:sz="8" w:space="0" w:color="000000"/>
              <w:right w:val="single" w:sz="8" w:space="0" w:color="000000"/>
            </w:tcBorders>
            <w:shd w:val="clear" w:color="auto" w:fill="auto"/>
            <w:vAlign w:val="center"/>
            <w:hideMark/>
          </w:tcPr>
          <w:p w14:paraId="5C5CD31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01BB94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72A0C0E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1C15103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6F1B238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Puebla</w:t>
            </w:r>
          </w:p>
        </w:tc>
        <w:tc>
          <w:tcPr>
            <w:tcW w:w="2268" w:type="dxa"/>
            <w:tcBorders>
              <w:top w:val="nil"/>
              <w:left w:val="nil"/>
              <w:bottom w:val="single" w:sz="8" w:space="0" w:color="000000"/>
              <w:right w:val="single" w:sz="8" w:space="0" w:color="000000"/>
            </w:tcBorders>
            <w:shd w:val="clear" w:color="auto" w:fill="auto"/>
            <w:vAlign w:val="center"/>
            <w:hideMark/>
          </w:tcPr>
          <w:p w14:paraId="7F2E07C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MELW960708HPLNRL08</w:t>
            </w:r>
          </w:p>
        </w:tc>
      </w:tr>
      <w:tr w:rsidR="00EF25CF" w:rsidRPr="007923C2" w14:paraId="28E18E85"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77EBBF4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41154550</w:t>
            </w:r>
          </w:p>
        </w:tc>
        <w:tc>
          <w:tcPr>
            <w:tcW w:w="1414" w:type="dxa"/>
            <w:tcBorders>
              <w:top w:val="nil"/>
              <w:left w:val="nil"/>
              <w:bottom w:val="single" w:sz="8" w:space="0" w:color="000000"/>
              <w:right w:val="single" w:sz="8" w:space="0" w:color="000000"/>
            </w:tcBorders>
            <w:shd w:val="clear" w:color="auto" w:fill="auto"/>
            <w:vAlign w:val="center"/>
            <w:hideMark/>
          </w:tcPr>
          <w:p w14:paraId="2A15980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MERLÍN TRUJILLO JOAQUÍN ANTONIO</w:t>
            </w:r>
          </w:p>
        </w:tc>
        <w:tc>
          <w:tcPr>
            <w:tcW w:w="1420" w:type="dxa"/>
            <w:tcBorders>
              <w:top w:val="nil"/>
              <w:left w:val="nil"/>
              <w:bottom w:val="single" w:sz="8" w:space="0" w:color="000000"/>
              <w:right w:val="single" w:sz="8" w:space="0" w:color="000000"/>
            </w:tcBorders>
            <w:shd w:val="clear" w:color="auto" w:fill="auto"/>
            <w:vAlign w:val="center"/>
            <w:hideMark/>
          </w:tcPr>
          <w:p w14:paraId="197615F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23675C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5E506E1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4E9B4CC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36DE516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09E4C83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METJ971119HCSRRQ03</w:t>
            </w:r>
          </w:p>
        </w:tc>
      </w:tr>
      <w:tr w:rsidR="00EF25CF" w:rsidRPr="007923C2" w14:paraId="69268C49"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7025420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41138926</w:t>
            </w:r>
          </w:p>
        </w:tc>
        <w:tc>
          <w:tcPr>
            <w:tcW w:w="1414" w:type="dxa"/>
            <w:tcBorders>
              <w:top w:val="nil"/>
              <w:left w:val="nil"/>
              <w:bottom w:val="single" w:sz="8" w:space="0" w:color="000000"/>
              <w:right w:val="single" w:sz="8" w:space="0" w:color="000000"/>
            </w:tcBorders>
            <w:shd w:val="clear" w:color="auto" w:fill="auto"/>
            <w:vAlign w:val="center"/>
            <w:hideMark/>
          </w:tcPr>
          <w:p w14:paraId="606406B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MORALES CASIANO ANALADY</w:t>
            </w:r>
          </w:p>
        </w:tc>
        <w:tc>
          <w:tcPr>
            <w:tcW w:w="1420" w:type="dxa"/>
            <w:tcBorders>
              <w:top w:val="nil"/>
              <w:left w:val="nil"/>
              <w:bottom w:val="single" w:sz="8" w:space="0" w:color="000000"/>
              <w:right w:val="single" w:sz="8" w:space="0" w:color="000000"/>
            </w:tcBorders>
            <w:shd w:val="clear" w:color="auto" w:fill="auto"/>
            <w:vAlign w:val="center"/>
            <w:hideMark/>
          </w:tcPr>
          <w:p w14:paraId="7861E55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EA8B63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0963340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3DCF8E1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E89EB6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Guerrero</w:t>
            </w:r>
          </w:p>
        </w:tc>
        <w:tc>
          <w:tcPr>
            <w:tcW w:w="2268" w:type="dxa"/>
            <w:tcBorders>
              <w:top w:val="nil"/>
              <w:left w:val="nil"/>
              <w:bottom w:val="single" w:sz="8" w:space="0" w:color="000000"/>
              <w:right w:val="single" w:sz="8" w:space="0" w:color="000000"/>
            </w:tcBorders>
            <w:shd w:val="clear" w:color="auto" w:fill="auto"/>
            <w:vAlign w:val="center"/>
            <w:hideMark/>
          </w:tcPr>
          <w:p w14:paraId="6C17D3D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MOCA941030MGRRSN06</w:t>
            </w:r>
          </w:p>
        </w:tc>
      </w:tr>
      <w:tr w:rsidR="00EF25CF" w:rsidRPr="007923C2" w14:paraId="72CD2FF0"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6E0BAB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41125337</w:t>
            </w:r>
          </w:p>
        </w:tc>
        <w:tc>
          <w:tcPr>
            <w:tcW w:w="1414" w:type="dxa"/>
            <w:tcBorders>
              <w:top w:val="nil"/>
              <w:left w:val="nil"/>
              <w:bottom w:val="single" w:sz="8" w:space="0" w:color="000000"/>
              <w:right w:val="single" w:sz="8" w:space="0" w:color="000000"/>
            </w:tcBorders>
            <w:shd w:val="clear" w:color="auto" w:fill="auto"/>
            <w:vAlign w:val="center"/>
            <w:hideMark/>
          </w:tcPr>
          <w:p w14:paraId="7668C5E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MORALES GARCÍA RODRIGO</w:t>
            </w:r>
          </w:p>
        </w:tc>
        <w:tc>
          <w:tcPr>
            <w:tcW w:w="1420" w:type="dxa"/>
            <w:tcBorders>
              <w:top w:val="nil"/>
              <w:left w:val="nil"/>
              <w:bottom w:val="single" w:sz="8" w:space="0" w:color="000000"/>
              <w:right w:val="single" w:sz="8" w:space="0" w:color="000000"/>
            </w:tcBorders>
            <w:shd w:val="clear" w:color="auto" w:fill="auto"/>
            <w:vAlign w:val="center"/>
            <w:hideMark/>
          </w:tcPr>
          <w:p w14:paraId="2C7D995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971929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4512D80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7EF7089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6612817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Durango</w:t>
            </w:r>
          </w:p>
        </w:tc>
        <w:tc>
          <w:tcPr>
            <w:tcW w:w="2268" w:type="dxa"/>
            <w:tcBorders>
              <w:top w:val="nil"/>
              <w:left w:val="nil"/>
              <w:bottom w:val="single" w:sz="8" w:space="0" w:color="000000"/>
              <w:right w:val="single" w:sz="8" w:space="0" w:color="000000"/>
            </w:tcBorders>
            <w:shd w:val="clear" w:color="auto" w:fill="auto"/>
            <w:vAlign w:val="center"/>
            <w:hideMark/>
          </w:tcPr>
          <w:p w14:paraId="6EFCC98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MOGR940719HDGRRD03</w:t>
            </w:r>
          </w:p>
        </w:tc>
      </w:tr>
      <w:tr w:rsidR="00EF25CF" w:rsidRPr="007923C2" w14:paraId="1F2A3E9C"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4B504F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41146218</w:t>
            </w:r>
          </w:p>
        </w:tc>
        <w:tc>
          <w:tcPr>
            <w:tcW w:w="1414" w:type="dxa"/>
            <w:tcBorders>
              <w:top w:val="nil"/>
              <w:left w:val="nil"/>
              <w:bottom w:val="single" w:sz="8" w:space="0" w:color="000000"/>
              <w:right w:val="single" w:sz="8" w:space="0" w:color="000000"/>
            </w:tcBorders>
            <w:shd w:val="clear" w:color="auto" w:fill="auto"/>
            <w:vAlign w:val="center"/>
            <w:hideMark/>
          </w:tcPr>
          <w:p w14:paraId="6F8D796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MORALES MELÉNDEZ RAÚL</w:t>
            </w:r>
          </w:p>
        </w:tc>
        <w:tc>
          <w:tcPr>
            <w:tcW w:w="1420" w:type="dxa"/>
            <w:tcBorders>
              <w:top w:val="nil"/>
              <w:left w:val="nil"/>
              <w:bottom w:val="single" w:sz="8" w:space="0" w:color="000000"/>
              <w:right w:val="single" w:sz="8" w:space="0" w:color="000000"/>
            </w:tcBorders>
            <w:shd w:val="clear" w:color="auto" w:fill="auto"/>
            <w:vAlign w:val="center"/>
            <w:hideMark/>
          </w:tcPr>
          <w:p w14:paraId="2176A12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F106AF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13E583B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66FADD7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410F243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Distrito Federal</w:t>
            </w:r>
          </w:p>
        </w:tc>
        <w:tc>
          <w:tcPr>
            <w:tcW w:w="2268" w:type="dxa"/>
            <w:tcBorders>
              <w:top w:val="nil"/>
              <w:left w:val="nil"/>
              <w:bottom w:val="single" w:sz="8" w:space="0" w:color="000000"/>
              <w:right w:val="single" w:sz="8" w:space="0" w:color="000000"/>
            </w:tcBorders>
            <w:shd w:val="clear" w:color="auto" w:fill="auto"/>
            <w:vAlign w:val="center"/>
            <w:hideMark/>
          </w:tcPr>
          <w:p w14:paraId="7CECB00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MOMR960404HDFRLL09</w:t>
            </w:r>
          </w:p>
        </w:tc>
      </w:tr>
      <w:tr w:rsidR="00EF25CF" w:rsidRPr="007923C2" w14:paraId="731EDB33"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32B0AB8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41154337</w:t>
            </w:r>
          </w:p>
        </w:tc>
        <w:tc>
          <w:tcPr>
            <w:tcW w:w="1414" w:type="dxa"/>
            <w:tcBorders>
              <w:top w:val="nil"/>
              <w:left w:val="nil"/>
              <w:bottom w:val="single" w:sz="8" w:space="0" w:color="000000"/>
              <w:right w:val="single" w:sz="8" w:space="0" w:color="000000"/>
            </w:tcBorders>
            <w:shd w:val="clear" w:color="auto" w:fill="auto"/>
            <w:vAlign w:val="center"/>
            <w:hideMark/>
          </w:tcPr>
          <w:p w14:paraId="3EB1577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MORENO DE LA PEÑA DANIEL SANTIAGO</w:t>
            </w:r>
          </w:p>
        </w:tc>
        <w:tc>
          <w:tcPr>
            <w:tcW w:w="1420" w:type="dxa"/>
            <w:tcBorders>
              <w:top w:val="nil"/>
              <w:left w:val="nil"/>
              <w:bottom w:val="single" w:sz="8" w:space="0" w:color="000000"/>
              <w:right w:val="single" w:sz="8" w:space="0" w:color="000000"/>
            </w:tcBorders>
            <w:shd w:val="clear" w:color="auto" w:fill="auto"/>
            <w:vAlign w:val="center"/>
            <w:hideMark/>
          </w:tcPr>
          <w:p w14:paraId="3475995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E889D6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7A0A9F5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048F347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04DD19F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3139026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MOPD951208HCLRXN00</w:t>
            </w:r>
          </w:p>
        </w:tc>
      </w:tr>
      <w:tr w:rsidR="00EF25CF" w:rsidRPr="007923C2" w14:paraId="00242A30"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1CC17E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41135088</w:t>
            </w:r>
          </w:p>
        </w:tc>
        <w:tc>
          <w:tcPr>
            <w:tcW w:w="1414" w:type="dxa"/>
            <w:tcBorders>
              <w:top w:val="nil"/>
              <w:left w:val="nil"/>
              <w:bottom w:val="single" w:sz="8" w:space="0" w:color="000000"/>
              <w:right w:val="single" w:sz="8" w:space="0" w:color="000000"/>
            </w:tcBorders>
            <w:shd w:val="clear" w:color="auto" w:fill="auto"/>
            <w:vAlign w:val="center"/>
            <w:hideMark/>
          </w:tcPr>
          <w:p w14:paraId="0DBEEE9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MORENO GÓMEZ TOMÁS</w:t>
            </w:r>
          </w:p>
        </w:tc>
        <w:tc>
          <w:tcPr>
            <w:tcW w:w="1420" w:type="dxa"/>
            <w:tcBorders>
              <w:top w:val="nil"/>
              <w:left w:val="nil"/>
              <w:bottom w:val="single" w:sz="8" w:space="0" w:color="000000"/>
              <w:right w:val="single" w:sz="8" w:space="0" w:color="000000"/>
            </w:tcBorders>
            <w:shd w:val="clear" w:color="auto" w:fill="auto"/>
            <w:vAlign w:val="center"/>
            <w:hideMark/>
          </w:tcPr>
          <w:p w14:paraId="70D3C44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71D320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061521C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73BD334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3C64BA7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7F51CCA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MOGT950310HCSRMM01</w:t>
            </w:r>
          </w:p>
        </w:tc>
      </w:tr>
      <w:tr w:rsidR="00EF25CF" w:rsidRPr="007923C2" w14:paraId="3B6806CE"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67323E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41122813</w:t>
            </w:r>
          </w:p>
        </w:tc>
        <w:tc>
          <w:tcPr>
            <w:tcW w:w="1414" w:type="dxa"/>
            <w:tcBorders>
              <w:top w:val="nil"/>
              <w:left w:val="nil"/>
              <w:bottom w:val="single" w:sz="8" w:space="0" w:color="000000"/>
              <w:right w:val="single" w:sz="8" w:space="0" w:color="000000"/>
            </w:tcBorders>
            <w:shd w:val="clear" w:color="auto" w:fill="auto"/>
            <w:vAlign w:val="center"/>
            <w:hideMark/>
          </w:tcPr>
          <w:p w14:paraId="0A35B5D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MURGUÍA MAYA BÁRBARA AZUCENA</w:t>
            </w:r>
          </w:p>
        </w:tc>
        <w:tc>
          <w:tcPr>
            <w:tcW w:w="1420" w:type="dxa"/>
            <w:tcBorders>
              <w:top w:val="nil"/>
              <w:left w:val="nil"/>
              <w:bottom w:val="single" w:sz="8" w:space="0" w:color="000000"/>
              <w:right w:val="single" w:sz="8" w:space="0" w:color="000000"/>
            </w:tcBorders>
            <w:shd w:val="clear" w:color="auto" w:fill="auto"/>
            <w:vAlign w:val="center"/>
            <w:hideMark/>
          </w:tcPr>
          <w:p w14:paraId="498E5F5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5ECA33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123F9C2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2D57409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0755BD5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7F4CABC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MUMB940409MCLRYR07</w:t>
            </w:r>
          </w:p>
        </w:tc>
      </w:tr>
      <w:tr w:rsidR="00EF25CF" w:rsidRPr="007923C2" w14:paraId="7E1DC32E"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0D9E82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41134834</w:t>
            </w:r>
          </w:p>
        </w:tc>
        <w:tc>
          <w:tcPr>
            <w:tcW w:w="1414" w:type="dxa"/>
            <w:tcBorders>
              <w:top w:val="nil"/>
              <w:left w:val="nil"/>
              <w:bottom w:val="single" w:sz="8" w:space="0" w:color="000000"/>
              <w:right w:val="single" w:sz="8" w:space="0" w:color="000000"/>
            </w:tcBorders>
            <w:shd w:val="clear" w:color="auto" w:fill="auto"/>
            <w:vAlign w:val="center"/>
            <w:hideMark/>
          </w:tcPr>
          <w:p w14:paraId="62ACC9E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NAVARRETE ANDRADE SAHARA CRISTINA</w:t>
            </w:r>
          </w:p>
        </w:tc>
        <w:tc>
          <w:tcPr>
            <w:tcW w:w="1420" w:type="dxa"/>
            <w:tcBorders>
              <w:top w:val="nil"/>
              <w:left w:val="nil"/>
              <w:bottom w:val="single" w:sz="8" w:space="0" w:color="000000"/>
              <w:right w:val="single" w:sz="8" w:space="0" w:color="000000"/>
            </w:tcBorders>
            <w:shd w:val="clear" w:color="auto" w:fill="auto"/>
            <w:vAlign w:val="center"/>
            <w:hideMark/>
          </w:tcPr>
          <w:p w14:paraId="19CBA98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3533290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06BA105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2B10C94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3E07223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14:paraId="32B8FF0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NAAS950114MGTVNH02</w:t>
            </w:r>
          </w:p>
        </w:tc>
      </w:tr>
      <w:tr w:rsidR="00EF25CF" w:rsidRPr="007923C2" w14:paraId="2C3A0A65"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56D5A8A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308312</w:t>
            </w:r>
          </w:p>
        </w:tc>
        <w:tc>
          <w:tcPr>
            <w:tcW w:w="1414" w:type="dxa"/>
            <w:tcBorders>
              <w:top w:val="nil"/>
              <w:left w:val="nil"/>
              <w:bottom w:val="single" w:sz="8" w:space="0" w:color="000000"/>
              <w:right w:val="single" w:sz="8" w:space="0" w:color="000000"/>
            </w:tcBorders>
            <w:shd w:val="clear" w:color="auto" w:fill="auto"/>
            <w:vAlign w:val="center"/>
            <w:hideMark/>
          </w:tcPr>
          <w:p w14:paraId="5DB4131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ORTIZ ANACLETO MARCO ANTONIO</w:t>
            </w:r>
          </w:p>
        </w:tc>
        <w:tc>
          <w:tcPr>
            <w:tcW w:w="1420" w:type="dxa"/>
            <w:tcBorders>
              <w:top w:val="nil"/>
              <w:left w:val="nil"/>
              <w:bottom w:val="single" w:sz="8" w:space="0" w:color="000000"/>
              <w:right w:val="single" w:sz="8" w:space="0" w:color="000000"/>
            </w:tcBorders>
            <w:shd w:val="clear" w:color="auto" w:fill="auto"/>
            <w:vAlign w:val="center"/>
            <w:hideMark/>
          </w:tcPr>
          <w:p w14:paraId="604C4B7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9F706D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2009</w:t>
            </w:r>
          </w:p>
        </w:tc>
        <w:tc>
          <w:tcPr>
            <w:tcW w:w="425" w:type="dxa"/>
            <w:tcBorders>
              <w:top w:val="nil"/>
              <w:left w:val="nil"/>
              <w:bottom w:val="single" w:sz="8" w:space="0" w:color="000000"/>
              <w:right w:val="single" w:sz="8" w:space="0" w:color="000000"/>
            </w:tcBorders>
            <w:shd w:val="clear" w:color="auto" w:fill="auto"/>
            <w:vAlign w:val="center"/>
            <w:hideMark/>
          </w:tcPr>
          <w:p w14:paraId="44CE495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38DF486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68EA203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14:paraId="78E2B4A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OIAM891126HMSRNR08</w:t>
            </w:r>
          </w:p>
        </w:tc>
      </w:tr>
      <w:tr w:rsidR="00EF25CF" w:rsidRPr="007923C2" w14:paraId="7A634B94"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9AD8B5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41154360</w:t>
            </w:r>
          </w:p>
        </w:tc>
        <w:tc>
          <w:tcPr>
            <w:tcW w:w="1414" w:type="dxa"/>
            <w:tcBorders>
              <w:top w:val="nil"/>
              <w:left w:val="nil"/>
              <w:bottom w:val="single" w:sz="8" w:space="0" w:color="000000"/>
              <w:right w:val="single" w:sz="8" w:space="0" w:color="000000"/>
            </w:tcBorders>
            <w:shd w:val="clear" w:color="auto" w:fill="auto"/>
            <w:vAlign w:val="center"/>
            <w:hideMark/>
          </w:tcPr>
          <w:p w14:paraId="21C7BA30"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PADILLA TOVAR LEONARDO ALONSO</w:t>
            </w:r>
          </w:p>
        </w:tc>
        <w:tc>
          <w:tcPr>
            <w:tcW w:w="1420" w:type="dxa"/>
            <w:tcBorders>
              <w:top w:val="nil"/>
              <w:left w:val="nil"/>
              <w:bottom w:val="single" w:sz="8" w:space="0" w:color="000000"/>
              <w:right w:val="single" w:sz="8" w:space="0" w:color="000000"/>
            </w:tcBorders>
            <w:shd w:val="clear" w:color="auto" w:fill="auto"/>
            <w:vAlign w:val="center"/>
            <w:hideMark/>
          </w:tcPr>
          <w:p w14:paraId="063E89A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833605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5604154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75B0B0D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167DDBF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756D3A5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PATL970218HCLDVN08</w:t>
            </w:r>
          </w:p>
        </w:tc>
      </w:tr>
      <w:tr w:rsidR="00EF25CF" w:rsidRPr="007923C2" w14:paraId="0DB2D083"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E576D4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41110094</w:t>
            </w:r>
          </w:p>
        </w:tc>
        <w:tc>
          <w:tcPr>
            <w:tcW w:w="1414" w:type="dxa"/>
            <w:tcBorders>
              <w:top w:val="nil"/>
              <w:left w:val="nil"/>
              <w:bottom w:val="single" w:sz="8" w:space="0" w:color="000000"/>
              <w:right w:val="single" w:sz="8" w:space="0" w:color="000000"/>
            </w:tcBorders>
            <w:shd w:val="clear" w:color="auto" w:fill="auto"/>
            <w:vAlign w:val="center"/>
            <w:hideMark/>
          </w:tcPr>
          <w:p w14:paraId="0B07B75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PASCUAL CRUZ HUMBERTO</w:t>
            </w:r>
          </w:p>
        </w:tc>
        <w:tc>
          <w:tcPr>
            <w:tcW w:w="1420" w:type="dxa"/>
            <w:tcBorders>
              <w:top w:val="nil"/>
              <w:left w:val="nil"/>
              <w:bottom w:val="single" w:sz="8" w:space="0" w:color="000000"/>
              <w:right w:val="single" w:sz="8" w:space="0" w:color="000000"/>
            </w:tcBorders>
            <w:shd w:val="clear" w:color="auto" w:fill="auto"/>
            <w:vAlign w:val="center"/>
            <w:hideMark/>
          </w:tcPr>
          <w:p w14:paraId="4210BB0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6E3C72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3B5BBAD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491BD99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4C776FF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1D10199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PACH930327HOCSRM08</w:t>
            </w:r>
          </w:p>
        </w:tc>
      </w:tr>
      <w:tr w:rsidR="00EF25CF" w:rsidRPr="007923C2" w14:paraId="2176F5B1"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1FF5E17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41100364</w:t>
            </w:r>
          </w:p>
        </w:tc>
        <w:tc>
          <w:tcPr>
            <w:tcW w:w="1414" w:type="dxa"/>
            <w:tcBorders>
              <w:top w:val="nil"/>
              <w:left w:val="nil"/>
              <w:bottom w:val="single" w:sz="8" w:space="0" w:color="000000"/>
              <w:right w:val="single" w:sz="8" w:space="0" w:color="000000"/>
            </w:tcBorders>
            <w:shd w:val="clear" w:color="auto" w:fill="auto"/>
            <w:vAlign w:val="center"/>
            <w:hideMark/>
          </w:tcPr>
          <w:p w14:paraId="36D7950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PÉREZ GARCÍA MARIANA</w:t>
            </w:r>
          </w:p>
        </w:tc>
        <w:tc>
          <w:tcPr>
            <w:tcW w:w="1420" w:type="dxa"/>
            <w:tcBorders>
              <w:top w:val="nil"/>
              <w:left w:val="nil"/>
              <w:bottom w:val="single" w:sz="8" w:space="0" w:color="000000"/>
              <w:right w:val="single" w:sz="8" w:space="0" w:color="000000"/>
            </w:tcBorders>
            <w:shd w:val="clear" w:color="auto" w:fill="auto"/>
            <w:vAlign w:val="center"/>
            <w:hideMark/>
          </w:tcPr>
          <w:p w14:paraId="077E197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BA3F33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shd w:val="clear" w:color="auto" w:fill="auto"/>
            <w:vAlign w:val="center"/>
            <w:hideMark/>
          </w:tcPr>
          <w:p w14:paraId="2BB5C6D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779AF63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0EE52F7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14:paraId="095BCA9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PEGM910722MGTRRR18</w:t>
            </w:r>
          </w:p>
        </w:tc>
      </w:tr>
      <w:tr w:rsidR="00EF25CF" w:rsidRPr="007923C2" w14:paraId="75431A68" w14:textId="77777777"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6BBC590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41146382</w:t>
            </w:r>
          </w:p>
        </w:tc>
        <w:tc>
          <w:tcPr>
            <w:tcW w:w="1414" w:type="dxa"/>
            <w:tcBorders>
              <w:top w:val="nil"/>
              <w:left w:val="nil"/>
              <w:bottom w:val="single" w:sz="8" w:space="0" w:color="000000"/>
              <w:right w:val="single" w:sz="8" w:space="0" w:color="000000"/>
            </w:tcBorders>
            <w:shd w:val="clear" w:color="auto" w:fill="auto"/>
            <w:vAlign w:val="center"/>
            <w:hideMark/>
          </w:tcPr>
          <w:p w14:paraId="33B101B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PÉREZ PEÑA MIGUEL</w:t>
            </w:r>
          </w:p>
        </w:tc>
        <w:tc>
          <w:tcPr>
            <w:tcW w:w="1420" w:type="dxa"/>
            <w:tcBorders>
              <w:top w:val="nil"/>
              <w:left w:val="nil"/>
              <w:bottom w:val="single" w:sz="8" w:space="0" w:color="000000"/>
              <w:right w:val="single" w:sz="8" w:space="0" w:color="000000"/>
            </w:tcBorders>
            <w:shd w:val="clear" w:color="auto" w:fill="auto"/>
            <w:vAlign w:val="center"/>
            <w:hideMark/>
          </w:tcPr>
          <w:p w14:paraId="289BBA1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93F2B2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0767110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1804B9E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085D42B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Puebla</w:t>
            </w:r>
          </w:p>
        </w:tc>
        <w:tc>
          <w:tcPr>
            <w:tcW w:w="2268" w:type="dxa"/>
            <w:tcBorders>
              <w:top w:val="nil"/>
              <w:left w:val="nil"/>
              <w:bottom w:val="single" w:sz="8" w:space="0" w:color="000000"/>
              <w:right w:val="single" w:sz="8" w:space="0" w:color="000000"/>
            </w:tcBorders>
            <w:shd w:val="clear" w:color="auto" w:fill="auto"/>
            <w:vAlign w:val="center"/>
            <w:hideMark/>
          </w:tcPr>
          <w:p w14:paraId="7CD43D5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PEPM950308HPLRXG04</w:t>
            </w:r>
          </w:p>
        </w:tc>
      </w:tr>
      <w:tr w:rsidR="00EF25CF" w:rsidRPr="007923C2" w14:paraId="11762582" w14:textId="77777777"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A59114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41135138</w:t>
            </w:r>
          </w:p>
        </w:tc>
        <w:tc>
          <w:tcPr>
            <w:tcW w:w="1414" w:type="dxa"/>
            <w:tcBorders>
              <w:top w:val="nil"/>
              <w:left w:val="nil"/>
              <w:bottom w:val="single" w:sz="8" w:space="0" w:color="000000"/>
              <w:right w:val="single" w:sz="8" w:space="0" w:color="000000"/>
            </w:tcBorders>
            <w:shd w:val="clear" w:color="auto" w:fill="auto"/>
            <w:vAlign w:val="center"/>
            <w:hideMark/>
          </w:tcPr>
          <w:p w14:paraId="35F8904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PÉREZ PÉREZ JOSÉ ELDER</w:t>
            </w:r>
          </w:p>
        </w:tc>
        <w:tc>
          <w:tcPr>
            <w:tcW w:w="1420" w:type="dxa"/>
            <w:tcBorders>
              <w:top w:val="nil"/>
              <w:left w:val="nil"/>
              <w:bottom w:val="single" w:sz="8" w:space="0" w:color="000000"/>
              <w:right w:val="single" w:sz="8" w:space="0" w:color="000000"/>
            </w:tcBorders>
            <w:shd w:val="clear" w:color="auto" w:fill="auto"/>
            <w:vAlign w:val="center"/>
            <w:hideMark/>
          </w:tcPr>
          <w:p w14:paraId="1BC3080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418868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5BEED96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7516A91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0160E5E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7D611BD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PEPE940314HCSRRL02</w:t>
            </w:r>
          </w:p>
        </w:tc>
      </w:tr>
      <w:tr w:rsidR="00EF25CF" w:rsidRPr="007923C2" w14:paraId="3CCA6F04"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7C89AAC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41128059</w:t>
            </w:r>
          </w:p>
        </w:tc>
        <w:tc>
          <w:tcPr>
            <w:tcW w:w="1414" w:type="dxa"/>
            <w:tcBorders>
              <w:top w:val="nil"/>
              <w:left w:val="nil"/>
              <w:bottom w:val="single" w:sz="8" w:space="0" w:color="000000"/>
              <w:right w:val="single" w:sz="8" w:space="0" w:color="000000"/>
            </w:tcBorders>
            <w:shd w:val="clear" w:color="auto" w:fill="auto"/>
            <w:vAlign w:val="center"/>
            <w:hideMark/>
          </w:tcPr>
          <w:p w14:paraId="4869FAE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PUENTE ALCALÁ FÁTIMA EDLITAM</w:t>
            </w:r>
          </w:p>
        </w:tc>
        <w:tc>
          <w:tcPr>
            <w:tcW w:w="1420" w:type="dxa"/>
            <w:tcBorders>
              <w:top w:val="nil"/>
              <w:left w:val="nil"/>
              <w:bottom w:val="single" w:sz="8" w:space="0" w:color="000000"/>
              <w:right w:val="single" w:sz="8" w:space="0" w:color="000000"/>
            </w:tcBorders>
            <w:shd w:val="clear" w:color="auto" w:fill="auto"/>
            <w:vAlign w:val="center"/>
            <w:hideMark/>
          </w:tcPr>
          <w:p w14:paraId="24CC0D2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432217D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0DFA730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5C1C4D3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44CAA66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2D5F519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PUAF950921MCLNLT06</w:t>
            </w:r>
          </w:p>
        </w:tc>
      </w:tr>
      <w:tr w:rsidR="00EF25CF" w:rsidRPr="007923C2" w14:paraId="23D52EFF"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3D11BFC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41110847</w:t>
            </w:r>
          </w:p>
        </w:tc>
        <w:tc>
          <w:tcPr>
            <w:tcW w:w="1414" w:type="dxa"/>
            <w:tcBorders>
              <w:top w:val="nil"/>
              <w:left w:val="nil"/>
              <w:bottom w:val="single" w:sz="8" w:space="0" w:color="000000"/>
              <w:right w:val="single" w:sz="8" w:space="0" w:color="000000"/>
            </w:tcBorders>
            <w:shd w:val="clear" w:color="auto" w:fill="auto"/>
            <w:vAlign w:val="center"/>
            <w:hideMark/>
          </w:tcPr>
          <w:p w14:paraId="6CF6E82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QUINTANA MONROY ADELA</w:t>
            </w:r>
          </w:p>
        </w:tc>
        <w:tc>
          <w:tcPr>
            <w:tcW w:w="1420" w:type="dxa"/>
            <w:tcBorders>
              <w:top w:val="nil"/>
              <w:left w:val="nil"/>
              <w:bottom w:val="single" w:sz="8" w:space="0" w:color="000000"/>
              <w:right w:val="single" w:sz="8" w:space="0" w:color="000000"/>
            </w:tcBorders>
            <w:shd w:val="clear" w:color="auto" w:fill="auto"/>
            <w:vAlign w:val="center"/>
            <w:hideMark/>
          </w:tcPr>
          <w:p w14:paraId="5735A04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3F52719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58DBED9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0835B35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0F2EA88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14:paraId="0C0480F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QUMA931107MMCNND06</w:t>
            </w:r>
          </w:p>
        </w:tc>
      </w:tr>
      <w:tr w:rsidR="00EF25CF" w:rsidRPr="007923C2" w14:paraId="072AB859"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478B23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41125428</w:t>
            </w:r>
          </w:p>
        </w:tc>
        <w:tc>
          <w:tcPr>
            <w:tcW w:w="1414" w:type="dxa"/>
            <w:tcBorders>
              <w:top w:val="nil"/>
              <w:left w:val="nil"/>
              <w:bottom w:val="single" w:sz="8" w:space="0" w:color="000000"/>
              <w:right w:val="single" w:sz="8" w:space="0" w:color="000000"/>
            </w:tcBorders>
            <w:shd w:val="clear" w:color="auto" w:fill="auto"/>
            <w:vAlign w:val="center"/>
            <w:hideMark/>
          </w:tcPr>
          <w:p w14:paraId="655AEAE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RAMÍREZ MÉNDEZ JESÚS EDUARDO</w:t>
            </w:r>
          </w:p>
        </w:tc>
        <w:tc>
          <w:tcPr>
            <w:tcW w:w="1420" w:type="dxa"/>
            <w:tcBorders>
              <w:top w:val="nil"/>
              <w:left w:val="nil"/>
              <w:bottom w:val="single" w:sz="8" w:space="0" w:color="000000"/>
              <w:right w:val="single" w:sz="8" w:space="0" w:color="000000"/>
            </w:tcBorders>
            <w:shd w:val="clear" w:color="auto" w:fill="auto"/>
            <w:vAlign w:val="center"/>
            <w:hideMark/>
          </w:tcPr>
          <w:p w14:paraId="6BF2C62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BA9D53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1D6648D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78047AF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EEDB43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14:paraId="60285AA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RAMJ930307HMCMNS07</w:t>
            </w:r>
          </w:p>
        </w:tc>
      </w:tr>
      <w:tr w:rsidR="00EF25CF" w:rsidRPr="007923C2" w14:paraId="53E37A2E"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CEEF59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41153917</w:t>
            </w:r>
          </w:p>
        </w:tc>
        <w:tc>
          <w:tcPr>
            <w:tcW w:w="1414" w:type="dxa"/>
            <w:tcBorders>
              <w:top w:val="nil"/>
              <w:left w:val="nil"/>
              <w:bottom w:val="single" w:sz="8" w:space="0" w:color="000000"/>
              <w:right w:val="single" w:sz="8" w:space="0" w:color="000000"/>
            </w:tcBorders>
            <w:shd w:val="clear" w:color="auto" w:fill="auto"/>
            <w:vAlign w:val="center"/>
            <w:hideMark/>
          </w:tcPr>
          <w:p w14:paraId="465071B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REMIGIO ESPINO CARELY YASENET</w:t>
            </w:r>
          </w:p>
        </w:tc>
        <w:tc>
          <w:tcPr>
            <w:tcW w:w="1420" w:type="dxa"/>
            <w:tcBorders>
              <w:top w:val="nil"/>
              <w:left w:val="nil"/>
              <w:bottom w:val="single" w:sz="8" w:space="0" w:color="000000"/>
              <w:right w:val="single" w:sz="8" w:space="0" w:color="000000"/>
            </w:tcBorders>
            <w:shd w:val="clear" w:color="auto" w:fill="auto"/>
            <w:vAlign w:val="center"/>
            <w:hideMark/>
          </w:tcPr>
          <w:p w14:paraId="1727DE8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F91122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2B730B1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777E050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38934E1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0628522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REEC971109MOCMSR00</w:t>
            </w:r>
          </w:p>
        </w:tc>
      </w:tr>
      <w:tr w:rsidR="00EF25CF" w:rsidRPr="007923C2" w14:paraId="024D2470"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58D3076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41134941</w:t>
            </w:r>
          </w:p>
        </w:tc>
        <w:tc>
          <w:tcPr>
            <w:tcW w:w="1414" w:type="dxa"/>
            <w:tcBorders>
              <w:top w:val="nil"/>
              <w:left w:val="nil"/>
              <w:bottom w:val="single" w:sz="8" w:space="0" w:color="000000"/>
              <w:right w:val="single" w:sz="8" w:space="0" w:color="000000"/>
            </w:tcBorders>
            <w:shd w:val="clear" w:color="auto" w:fill="auto"/>
            <w:vAlign w:val="center"/>
            <w:hideMark/>
          </w:tcPr>
          <w:p w14:paraId="32D012A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RESÉNDIZ MARTÍNEZ REMEDIOS</w:t>
            </w:r>
          </w:p>
        </w:tc>
        <w:tc>
          <w:tcPr>
            <w:tcW w:w="1420" w:type="dxa"/>
            <w:tcBorders>
              <w:top w:val="nil"/>
              <w:left w:val="nil"/>
              <w:bottom w:val="single" w:sz="8" w:space="0" w:color="000000"/>
              <w:right w:val="single" w:sz="8" w:space="0" w:color="000000"/>
            </w:tcBorders>
            <w:shd w:val="clear" w:color="auto" w:fill="auto"/>
            <w:vAlign w:val="center"/>
            <w:hideMark/>
          </w:tcPr>
          <w:p w14:paraId="73692DE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5137D9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77C6E9F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2509B0B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7FCC771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14:paraId="6202038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REMR940901HGTSRM09</w:t>
            </w:r>
          </w:p>
        </w:tc>
      </w:tr>
      <w:tr w:rsidR="00EF25CF" w:rsidRPr="007923C2" w14:paraId="1D37F7F6"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647B957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41146085</w:t>
            </w:r>
          </w:p>
        </w:tc>
        <w:tc>
          <w:tcPr>
            <w:tcW w:w="1414" w:type="dxa"/>
            <w:tcBorders>
              <w:top w:val="nil"/>
              <w:left w:val="nil"/>
              <w:bottom w:val="single" w:sz="8" w:space="0" w:color="000000"/>
              <w:right w:val="single" w:sz="8" w:space="0" w:color="000000"/>
            </w:tcBorders>
            <w:shd w:val="clear" w:color="auto" w:fill="auto"/>
            <w:vAlign w:val="center"/>
            <w:hideMark/>
          </w:tcPr>
          <w:p w14:paraId="742283B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RIVERA GONZÁLEZ FERNANDO</w:t>
            </w:r>
          </w:p>
        </w:tc>
        <w:tc>
          <w:tcPr>
            <w:tcW w:w="1420" w:type="dxa"/>
            <w:tcBorders>
              <w:top w:val="nil"/>
              <w:left w:val="nil"/>
              <w:bottom w:val="single" w:sz="8" w:space="0" w:color="000000"/>
              <w:right w:val="single" w:sz="8" w:space="0" w:color="000000"/>
            </w:tcBorders>
            <w:shd w:val="clear" w:color="auto" w:fill="auto"/>
            <w:vAlign w:val="center"/>
            <w:hideMark/>
          </w:tcPr>
          <w:p w14:paraId="6B25351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D72933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7F857E9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3F554A4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460E87D7"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14:paraId="367E0FF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RIGF901231HGTVNR06</w:t>
            </w:r>
          </w:p>
        </w:tc>
      </w:tr>
      <w:tr w:rsidR="00EF25CF" w:rsidRPr="007923C2" w14:paraId="1BD3BA09"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73061C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41122870</w:t>
            </w:r>
          </w:p>
        </w:tc>
        <w:tc>
          <w:tcPr>
            <w:tcW w:w="1414" w:type="dxa"/>
            <w:tcBorders>
              <w:top w:val="nil"/>
              <w:left w:val="nil"/>
              <w:bottom w:val="single" w:sz="8" w:space="0" w:color="000000"/>
              <w:right w:val="single" w:sz="8" w:space="0" w:color="000000"/>
            </w:tcBorders>
            <w:shd w:val="clear" w:color="auto" w:fill="auto"/>
            <w:vAlign w:val="center"/>
            <w:hideMark/>
          </w:tcPr>
          <w:p w14:paraId="6624A93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RIVERA JARAMILLO YOSELIN ATHALIA</w:t>
            </w:r>
          </w:p>
        </w:tc>
        <w:tc>
          <w:tcPr>
            <w:tcW w:w="1420" w:type="dxa"/>
            <w:tcBorders>
              <w:top w:val="nil"/>
              <w:left w:val="nil"/>
              <w:bottom w:val="single" w:sz="8" w:space="0" w:color="000000"/>
              <w:right w:val="single" w:sz="8" w:space="0" w:color="000000"/>
            </w:tcBorders>
            <w:shd w:val="clear" w:color="auto" w:fill="auto"/>
            <w:vAlign w:val="center"/>
            <w:hideMark/>
          </w:tcPr>
          <w:p w14:paraId="277DC36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EBF423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2A5CA12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3E9F5F9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0321DD9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453EF89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RIJY930418MCLVRS05</w:t>
            </w:r>
          </w:p>
        </w:tc>
      </w:tr>
      <w:tr w:rsidR="00EF25CF" w:rsidRPr="007923C2" w14:paraId="2077667C"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494BB7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41122888</w:t>
            </w:r>
          </w:p>
        </w:tc>
        <w:tc>
          <w:tcPr>
            <w:tcW w:w="1414" w:type="dxa"/>
            <w:tcBorders>
              <w:top w:val="nil"/>
              <w:left w:val="nil"/>
              <w:bottom w:val="single" w:sz="8" w:space="0" w:color="000000"/>
              <w:right w:val="single" w:sz="8" w:space="0" w:color="000000"/>
            </w:tcBorders>
            <w:shd w:val="clear" w:color="auto" w:fill="auto"/>
            <w:vAlign w:val="center"/>
            <w:hideMark/>
          </w:tcPr>
          <w:p w14:paraId="78E7C58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RODRÍGUEZ LÓPEZ KARINA</w:t>
            </w:r>
          </w:p>
        </w:tc>
        <w:tc>
          <w:tcPr>
            <w:tcW w:w="1420" w:type="dxa"/>
            <w:tcBorders>
              <w:top w:val="nil"/>
              <w:left w:val="nil"/>
              <w:bottom w:val="single" w:sz="8" w:space="0" w:color="000000"/>
              <w:right w:val="single" w:sz="8" w:space="0" w:color="000000"/>
            </w:tcBorders>
            <w:shd w:val="clear" w:color="auto" w:fill="auto"/>
            <w:vAlign w:val="center"/>
            <w:hideMark/>
          </w:tcPr>
          <w:p w14:paraId="6E919FF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3B28AF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538AF80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155A28D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3EDE9DF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14:paraId="7D5E29D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ROLK940105MMCDPR06</w:t>
            </w:r>
          </w:p>
        </w:tc>
      </w:tr>
      <w:tr w:rsidR="00EF25CF" w:rsidRPr="007923C2" w14:paraId="00388A0D"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1FA36D0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41110804</w:t>
            </w:r>
          </w:p>
        </w:tc>
        <w:tc>
          <w:tcPr>
            <w:tcW w:w="1414" w:type="dxa"/>
            <w:tcBorders>
              <w:top w:val="nil"/>
              <w:left w:val="nil"/>
              <w:bottom w:val="single" w:sz="8" w:space="0" w:color="000000"/>
              <w:right w:val="single" w:sz="8" w:space="0" w:color="000000"/>
            </w:tcBorders>
            <w:shd w:val="clear" w:color="auto" w:fill="auto"/>
            <w:vAlign w:val="center"/>
            <w:hideMark/>
          </w:tcPr>
          <w:p w14:paraId="5B997D8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RODRÍGUEZ MARTÍNEZ JOSÉ EDUARDO</w:t>
            </w:r>
          </w:p>
        </w:tc>
        <w:tc>
          <w:tcPr>
            <w:tcW w:w="1420" w:type="dxa"/>
            <w:tcBorders>
              <w:top w:val="nil"/>
              <w:left w:val="nil"/>
              <w:bottom w:val="single" w:sz="8" w:space="0" w:color="000000"/>
              <w:right w:val="single" w:sz="8" w:space="0" w:color="000000"/>
            </w:tcBorders>
            <w:shd w:val="clear" w:color="auto" w:fill="auto"/>
            <w:vAlign w:val="center"/>
            <w:hideMark/>
          </w:tcPr>
          <w:p w14:paraId="2A72814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5D6990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14BA3EC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4807DEF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710289A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0968455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ROME930925HCLDRD08</w:t>
            </w:r>
          </w:p>
        </w:tc>
      </w:tr>
      <w:tr w:rsidR="00EF25CF" w:rsidRPr="007923C2" w14:paraId="25D93858"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1414C2B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41146283</w:t>
            </w:r>
          </w:p>
        </w:tc>
        <w:tc>
          <w:tcPr>
            <w:tcW w:w="1414" w:type="dxa"/>
            <w:tcBorders>
              <w:top w:val="nil"/>
              <w:left w:val="nil"/>
              <w:bottom w:val="single" w:sz="8" w:space="0" w:color="000000"/>
              <w:right w:val="single" w:sz="8" w:space="0" w:color="000000"/>
            </w:tcBorders>
            <w:shd w:val="clear" w:color="auto" w:fill="auto"/>
            <w:vAlign w:val="center"/>
            <w:hideMark/>
          </w:tcPr>
          <w:p w14:paraId="7B7F47A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RODRÍGUEZ MARTÍNEZ MARY CRUZ</w:t>
            </w:r>
          </w:p>
        </w:tc>
        <w:tc>
          <w:tcPr>
            <w:tcW w:w="1420" w:type="dxa"/>
            <w:tcBorders>
              <w:top w:val="nil"/>
              <w:left w:val="nil"/>
              <w:bottom w:val="single" w:sz="8" w:space="0" w:color="000000"/>
              <w:right w:val="single" w:sz="8" w:space="0" w:color="000000"/>
            </w:tcBorders>
            <w:shd w:val="clear" w:color="auto" w:fill="auto"/>
            <w:vAlign w:val="center"/>
            <w:hideMark/>
          </w:tcPr>
          <w:p w14:paraId="5CEC404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E6A4D1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7F1C43C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7A60C34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6D30EF4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14:paraId="095891A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ROMM960720MGTDRR09</w:t>
            </w:r>
          </w:p>
        </w:tc>
      </w:tr>
      <w:tr w:rsidR="00EF25CF" w:rsidRPr="007923C2" w14:paraId="30D222FB"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19535F0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41154436</w:t>
            </w:r>
          </w:p>
        </w:tc>
        <w:tc>
          <w:tcPr>
            <w:tcW w:w="1414" w:type="dxa"/>
            <w:tcBorders>
              <w:top w:val="nil"/>
              <w:left w:val="nil"/>
              <w:bottom w:val="single" w:sz="8" w:space="0" w:color="000000"/>
              <w:right w:val="single" w:sz="8" w:space="0" w:color="000000"/>
            </w:tcBorders>
            <w:shd w:val="clear" w:color="auto" w:fill="auto"/>
            <w:vAlign w:val="center"/>
            <w:hideMark/>
          </w:tcPr>
          <w:p w14:paraId="2E71B8A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ROMÁN BLANCAS ALESIS</w:t>
            </w:r>
          </w:p>
        </w:tc>
        <w:tc>
          <w:tcPr>
            <w:tcW w:w="1420" w:type="dxa"/>
            <w:tcBorders>
              <w:top w:val="nil"/>
              <w:left w:val="nil"/>
              <w:bottom w:val="single" w:sz="8" w:space="0" w:color="000000"/>
              <w:right w:val="single" w:sz="8" w:space="0" w:color="000000"/>
            </w:tcBorders>
            <w:shd w:val="clear" w:color="auto" w:fill="auto"/>
            <w:vAlign w:val="center"/>
            <w:hideMark/>
          </w:tcPr>
          <w:p w14:paraId="5BC5DD7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0CD452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6DE2510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1E4BDA1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EFAFFD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Michoacán</w:t>
            </w:r>
          </w:p>
        </w:tc>
        <w:tc>
          <w:tcPr>
            <w:tcW w:w="2268" w:type="dxa"/>
            <w:tcBorders>
              <w:top w:val="nil"/>
              <w:left w:val="nil"/>
              <w:bottom w:val="single" w:sz="8" w:space="0" w:color="000000"/>
              <w:right w:val="single" w:sz="8" w:space="0" w:color="000000"/>
            </w:tcBorders>
            <w:shd w:val="clear" w:color="auto" w:fill="auto"/>
            <w:vAlign w:val="center"/>
            <w:hideMark/>
          </w:tcPr>
          <w:p w14:paraId="5E34F61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RXBA951024MMNMLL16</w:t>
            </w:r>
          </w:p>
        </w:tc>
      </w:tr>
      <w:tr w:rsidR="00EF25CF" w:rsidRPr="007923C2" w14:paraId="6BDE84D1"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894C15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41110741</w:t>
            </w:r>
          </w:p>
        </w:tc>
        <w:tc>
          <w:tcPr>
            <w:tcW w:w="1414" w:type="dxa"/>
            <w:tcBorders>
              <w:top w:val="nil"/>
              <w:left w:val="nil"/>
              <w:bottom w:val="single" w:sz="8" w:space="0" w:color="000000"/>
              <w:right w:val="single" w:sz="8" w:space="0" w:color="000000"/>
            </w:tcBorders>
            <w:shd w:val="clear" w:color="auto" w:fill="auto"/>
            <w:vAlign w:val="center"/>
            <w:hideMark/>
          </w:tcPr>
          <w:p w14:paraId="4DCADFE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RUIZ PATISHTÁN MARÍA</w:t>
            </w:r>
          </w:p>
        </w:tc>
        <w:tc>
          <w:tcPr>
            <w:tcW w:w="1420" w:type="dxa"/>
            <w:tcBorders>
              <w:top w:val="nil"/>
              <w:left w:val="nil"/>
              <w:bottom w:val="single" w:sz="8" w:space="0" w:color="000000"/>
              <w:right w:val="single" w:sz="8" w:space="0" w:color="000000"/>
            </w:tcBorders>
            <w:shd w:val="clear" w:color="auto" w:fill="auto"/>
            <w:vAlign w:val="center"/>
            <w:hideMark/>
          </w:tcPr>
          <w:p w14:paraId="7AFBA56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306865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4C5C8A8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153C1FF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3EA3DB71"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2F26502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RUPM901119MCSZTR05</w:t>
            </w:r>
          </w:p>
        </w:tc>
      </w:tr>
      <w:tr w:rsidR="00EF25CF" w:rsidRPr="007923C2" w14:paraId="14A14D92"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529A482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41122896</w:t>
            </w:r>
          </w:p>
        </w:tc>
        <w:tc>
          <w:tcPr>
            <w:tcW w:w="1414" w:type="dxa"/>
            <w:tcBorders>
              <w:top w:val="nil"/>
              <w:left w:val="nil"/>
              <w:bottom w:val="single" w:sz="8" w:space="0" w:color="000000"/>
              <w:right w:val="single" w:sz="8" w:space="0" w:color="000000"/>
            </w:tcBorders>
            <w:shd w:val="clear" w:color="auto" w:fill="auto"/>
            <w:vAlign w:val="center"/>
            <w:hideMark/>
          </w:tcPr>
          <w:p w14:paraId="03CECE5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SALINAS ROMERO MAYRA</w:t>
            </w:r>
          </w:p>
        </w:tc>
        <w:tc>
          <w:tcPr>
            <w:tcW w:w="1420" w:type="dxa"/>
            <w:tcBorders>
              <w:top w:val="nil"/>
              <w:left w:val="nil"/>
              <w:bottom w:val="single" w:sz="8" w:space="0" w:color="000000"/>
              <w:right w:val="single" w:sz="8" w:space="0" w:color="000000"/>
            </w:tcBorders>
            <w:shd w:val="clear" w:color="auto" w:fill="auto"/>
            <w:vAlign w:val="center"/>
            <w:hideMark/>
          </w:tcPr>
          <w:p w14:paraId="2FCDE49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8C6AB8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48AE2E0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5D27DAC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D007B7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Veracruz</w:t>
            </w:r>
          </w:p>
        </w:tc>
        <w:tc>
          <w:tcPr>
            <w:tcW w:w="2268" w:type="dxa"/>
            <w:tcBorders>
              <w:top w:val="nil"/>
              <w:left w:val="nil"/>
              <w:bottom w:val="single" w:sz="8" w:space="0" w:color="000000"/>
              <w:right w:val="single" w:sz="8" w:space="0" w:color="000000"/>
            </w:tcBorders>
            <w:shd w:val="clear" w:color="auto" w:fill="auto"/>
            <w:vAlign w:val="center"/>
            <w:hideMark/>
          </w:tcPr>
          <w:p w14:paraId="768CDA5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SARM930824MVZLMY07</w:t>
            </w:r>
          </w:p>
        </w:tc>
      </w:tr>
      <w:tr w:rsidR="00EF25CF" w:rsidRPr="007923C2" w14:paraId="32FCBD6C"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B29873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41110803</w:t>
            </w:r>
          </w:p>
        </w:tc>
        <w:tc>
          <w:tcPr>
            <w:tcW w:w="1414" w:type="dxa"/>
            <w:tcBorders>
              <w:top w:val="nil"/>
              <w:left w:val="nil"/>
              <w:bottom w:val="single" w:sz="8" w:space="0" w:color="000000"/>
              <w:right w:val="single" w:sz="8" w:space="0" w:color="000000"/>
            </w:tcBorders>
            <w:shd w:val="clear" w:color="auto" w:fill="auto"/>
            <w:vAlign w:val="center"/>
            <w:hideMark/>
          </w:tcPr>
          <w:p w14:paraId="53355D7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SÁNCHEZ ZACATECO ELIZABETH</w:t>
            </w:r>
          </w:p>
        </w:tc>
        <w:tc>
          <w:tcPr>
            <w:tcW w:w="1420" w:type="dxa"/>
            <w:tcBorders>
              <w:top w:val="nil"/>
              <w:left w:val="nil"/>
              <w:bottom w:val="single" w:sz="8" w:space="0" w:color="000000"/>
              <w:right w:val="single" w:sz="8" w:space="0" w:color="000000"/>
            </w:tcBorders>
            <w:shd w:val="clear" w:color="auto" w:fill="auto"/>
            <w:vAlign w:val="center"/>
            <w:hideMark/>
          </w:tcPr>
          <w:p w14:paraId="41505EB3"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434DCE2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1AEA487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28EAF41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8A20D2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Puebla</w:t>
            </w:r>
          </w:p>
        </w:tc>
        <w:tc>
          <w:tcPr>
            <w:tcW w:w="2268" w:type="dxa"/>
            <w:tcBorders>
              <w:top w:val="nil"/>
              <w:left w:val="nil"/>
              <w:bottom w:val="single" w:sz="8" w:space="0" w:color="000000"/>
              <w:right w:val="single" w:sz="8" w:space="0" w:color="000000"/>
            </w:tcBorders>
            <w:shd w:val="clear" w:color="auto" w:fill="auto"/>
            <w:vAlign w:val="center"/>
            <w:hideMark/>
          </w:tcPr>
          <w:p w14:paraId="5BDFC7B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SAZE921106MPLNCL03</w:t>
            </w:r>
          </w:p>
        </w:tc>
      </w:tr>
      <w:tr w:rsidR="00EF25CF" w:rsidRPr="007923C2" w14:paraId="00262942"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4FBB63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41110099</w:t>
            </w:r>
          </w:p>
        </w:tc>
        <w:tc>
          <w:tcPr>
            <w:tcW w:w="1414" w:type="dxa"/>
            <w:tcBorders>
              <w:top w:val="nil"/>
              <w:left w:val="nil"/>
              <w:bottom w:val="single" w:sz="8" w:space="0" w:color="000000"/>
              <w:right w:val="single" w:sz="8" w:space="0" w:color="000000"/>
            </w:tcBorders>
            <w:shd w:val="clear" w:color="auto" w:fill="auto"/>
            <w:vAlign w:val="center"/>
            <w:hideMark/>
          </w:tcPr>
          <w:p w14:paraId="67896D7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SÁNCHEZ ZÁRATE OCTAVIA</w:t>
            </w:r>
          </w:p>
        </w:tc>
        <w:tc>
          <w:tcPr>
            <w:tcW w:w="1420" w:type="dxa"/>
            <w:tcBorders>
              <w:top w:val="nil"/>
              <w:left w:val="nil"/>
              <w:bottom w:val="single" w:sz="8" w:space="0" w:color="000000"/>
              <w:right w:val="single" w:sz="8" w:space="0" w:color="000000"/>
            </w:tcBorders>
            <w:shd w:val="clear" w:color="auto" w:fill="auto"/>
            <w:vAlign w:val="center"/>
            <w:hideMark/>
          </w:tcPr>
          <w:p w14:paraId="1E3924C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144C92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16E49A8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5B08247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626B249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4367CCB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SAZO920322MOCNRC08</w:t>
            </w:r>
          </w:p>
        </w:tc>
      </w:tr>
      <w:tr w:rsidR="00EF25CF" w:rsidRPr="007923C2" w14:paraId="5FE6A674" w14:textId="77777777" w:rsidTr="00261A88">
        <w:trPr>
          <w:trHeight w:val="45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53097E1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41146309</w:t>
            </w:r>
          </w:p>
        </w:tc>
        <w:tc>
          <w:tcPr>
            <w:tcW w:w="1414" w:type="dxa"/>
            <w:tcBorders>
              <w:top w:val="nil"/>
              <w:left w:val="nil"/>
              <w:bottom w:val="single" w:sz="8" w:space="0" w:color="000000"/>
              <w:right w:val="single" w:sz="8" w:space="0" w:color="000000"/>
            </w:tcBorders>
            <w:shd w:val="clear" w:color="auto" w:fill="auto"/>
            <w:vAlign w:val="center"/>
            <w:hideMark/>
          </w:tcPr>
          <w:p w14:paraId="2E377CF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SANTIAGO GÓMEZ FILEMÓN</w:t>
            </w:r>
          </w:p>
        </w:tc>
        <w:tc>
          <w:tcPr>
            <w:tcW w:w="1420" w:type="dxa"/>
            <w:tcBorders>
              <w:top w:val="nil"/>
              <w:left w:val="nil"/>
              <w:bottom w:val="single" w:sz="8" w:space="0" w:color="000000"/>
              <w:right w:val="single" w:sz="8" w:space="0" w:color="000000"/>
            </w:tcBorders>
            <w:shd w:val="clear" w:color="auto" w:fill="auto"/>
            <w:vAlign w:val="center"/>
            <w:hideMark/>
          </w:tcPr>
          <w:p w14:paraId="21C20FE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CEA157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2B47828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7167434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218C79D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252A395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SAGF960527HOCNML06</w:t>
            </w:r>
          </w:p>
        </w:tc>
      </w:tr>
      <w:tr w:rsidR="00EF25CF" w:rsidRPr="007923C2" w14:paraId="388A8468"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E8CA6E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41110100</w:t>
            </w:r>
          </w:p>
        </w:tc>
        <w:tc>
          <w:tcPr>
            <w:tcW w:w="1414" w:type="dxa"/>
            <w:tcBorders>
              <w:top w:val="nil"/>
              <w:left w:val="nil"/>
              <w:bottom w:val="single" w:sz="8" w:space="0" w:color="000000"/>
              <w:right w:val="single" w:sz="8" w:space="0" w:color="000000"/>
            </w:tcBorders>
            <w:shd w:val="clear" w:color="auto" w:fill="auto"/>
            <w:vAlign w:val="center"/>
            <w:hideMark/>
          </w:tcPr>
          <w:p w14:paraId="64EBC1E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SANTIAGO VELASCO EFRAÍN</w:t>
            </w:r>
          </w:p>
        </w:tc>
        <w:tc>
          <w:tcPr>
            <w:tcW w:w="1420" w:type="dxa"/>
            <w:tcBorders>
              <w:top w:val="nil"/>
              <w:left w:val="nil"/>
              <w:bottom w:val="single" w:sz="8" w:space="0" w:color="000000"/>
              <w:right w:val="single" w:sz="8" w:space="0" w:color="000000"/>
            </w:tcBorders>
            <w:shd w:val="clear" w:color="auto" w:fill="auto"/>
            <w:vAlign w:val="center"/>
            <w:hideMark/>
          </w:tcPr>
          <w:p w14:paraId="437BDBB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1A9F3C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6FF9AE0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5896E84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305938E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69E95C6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SAVE921220HOCNLF03</w:t>
            </w:r>
          </w:p>
        </w:tc>
      </w:tr>
      <w:tr w:rsidR="00EF25CF" w:rsidRPr="007923C2" w14:paraId="3F013FEF"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35064AF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41154394</w:t>
            </w:r>
          </w:p>
        </w:tc>
        <w:tc>
          <w:tcPr>
            <w:tcW w:w="1414" w:type="dxa"/>
            <w:tcBorders>
              <w:top w:val="nil"/>
              <w:left w:val="nil"/>
              <w:bottom w:val="single" w:sz="8" w:space="0" w:color="000000"/>
              <w:right w:val="single" w:sz="8" w:space="0" w:color="000000"/>
            </w:tcBorders>
            <w:shd w:val="clear" w:color="auto" w:fill="auto"/>
            <w:vAlign w:val="center"/>
            <w:hideMark/>
          </w:tcPr>
          <w:p w14:paraId="4D76E6F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SANTILLANA SAUCEDA LUIS JOAQUÍN</w:t>
            </w:r>
          </w:p>
        </w:tc>
        <w:tc>
          <w:tcPr>
            <w:tcW w:w="1420" w:type="dxa"/>
            <w:tcBorders>
              <w:top w:val="nil"/>
              <w:left w:val="nil"/>
              <w:bottom w:val="single" w:sz="8" w:space="0" w:color="000000"/>
              <w:right w:val="single" w:sz="8" w:space="0" w:color="000000"/>
            </w:tcBorders>
            <w:shd w:val="clear" w:color="auto" w:fill="auto"/>
            <w:vAlign w:val="center"/>
            <w:hideMark/>
          </w:tcPr>
          <w:p w14:paraId="658811A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301B52F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234BD41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2F14F6F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253FFF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San Luis Potosí</w:t>
            </w:r>
          </w:p>
        </w:tc>
        <w:tc>
          <w:tcPr>
            <w:tcW w:w="2268" w:type="dxa"/>
            <w:tcBorders>
              <w:top w:val="nil"/>
              <w:left w:val="nil"/>
              <w:bottom w:val="single" w:sz="8" w:space="0" w:color="000000"/>
              <w:right w:val="single" w:sz="8" w:space="0" w:color="000000"/>
            </w:tcBorders>
            <w:shd w:val="clear" w:color="auto" w:fill="auto"/>
            <w:vAlign w:val="center"/>
            <w:hideMark/>
          </w:tcPr>
          <w:p w14:paraId="7B8F2EB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SASL980809HSPNCS05</w:t>
            </w:r>
          </w:p>
        </w:tc>
      </w:tr>
      <w:tr w:rsidR="00EF25CF" w:rsidRPr="007923C2" w14:paraId="735E35E7"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DFE990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41110805</w:t>
            </w:r>
          </w:p>
        </w:tc>
        <w:tc>
          <w:tcPr>
            <w:tcW w:w="1414" w:type="dxa"/>
            <w:tcBorders>
              <w:top w:val="nil"/>
              <w:left w:val="nil"/>
              <w:bottom w:val="single" w:sz="8" w:space="0" w:color="000000"/>
              <w:right w:val="single" w:sz="8" w:space="0" w:color="000000"/>
            </w:tcBorders>
            <w:shd w:val="clear" w:color="auto" w:fill="auto"/>
            <w:vAlign w:val="center"/>
            <w:hideMark/>
          </w:tcPr>
          <w:p w14:paraId="1B4270C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SIFUENTES GARCÍA CARLOS INDOLFO</w:t>
            </w:r>
          </w:p>
        </w:tc>
        <w:tc>
          <w:tcPr>
            <w:tcW w:w="1420" w:type="dxa"/>
            <w:tcBorders>
              <w:top w:val="nil"/>
              <w:left w:val="nil"/>
              <w:bottom w:val="single" w:sz="8" w:space="0" w:color="000000"/>
              <w:right w:val="single" w:sz="8" w:space="0" w:color="000000"/>
            </w:tcBorders>
            <w:shd w:val="clear" w:color="auto" w:fill="auto"/>
            <w:vAlign w:val="center"/>
            <w:hideMark/>
          </w:tcPr>
          <w:p w14:paraId="5EED28B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4B406EB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01E53C9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5251AD2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226D155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4DD805A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SIGC861104HCLFRR18</w:t>
            </w:r>
          </w:p>
        </w:tc>
      </w:tr>
      <w:tr w:rsidR="00EF25CF" w:rsidRPr="007923C2" w14:paraId="78DC3F87"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046D56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41154451</w:t>
            </w:r>
          </w:p>
        </w:tc>
        <w:tc>
          <w:tcPr>
            <w:tcW w:w="1414" w:type="dxa"/>
            <w:tcBorders>
              <w:top w:val="nil"/>
              <w:left w:val="nil"/>
              <w:bottom w:val="single" w:sz="8" w:space="0" w:color="000000"/>
              <w:right w:val="single" w:sz="8" w:space="0" w:color="000000"/>
            </w:tcBorders>
            <w:shd w:val="clear" w:color="auto" w:fill="auto"/>
            <w:vAlign w:val="center"/>
            <w:hideMark/>
          </w:tcPr>
          <w:p w14:paraId="3874CAD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SILVESTRE MARTÍNEZ ALONDRA</w:t>
            </w:r>
          </w:p>
        </w:tc>
        <w:tc>
          <w:tcPr>
            <w:tcW w:w="1420" w:type="dxa"/>
            <w:tcBorders>
              <w:top w:val="nil"/>
              <w:left w:val="nil"/>
              <w:bottom w:val="single" w:sz="8" w:space="0" w:color="000000"/>
              <w:right w:val="single" w:sz="8" w:space="0" w:color="000000"/>
            </w:tcBorders>
            <w:shd w:val="clear" w:color="auto" w:fill="auto"/>
            <w:vAlign w:val="center"/>
            <w:hideMark/>
          </w:tcPr>
          <w:p w14:paraId="7395B94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1F28D1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611CC97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286A711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168241E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1E27D32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SIMA970425MCLLRL08</w:t>
            </w:r>
          </w:p>
        </w:tc>
      </w:tr>
      <w:tr w:rsidR="00EF25CF" w:rsidRPr="007923C2" w14:paraId="09FC7A1A"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347E1F5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41154386</w:t>
            </w:r>
          </w:p>
        </w:tc>
        <w:tc>
          <w:tcPr>
            <w:tcW w:w="1414" w:type="dxa"/>
            <w:tcBorders>
              <w:top w:val="nil"/>
              <w:left w:val="nil"/>
              <w:bottom w:val="single" w:sz="8" w:space="0" w:color="000000"/>
              <w:right w:val="single" w:sz="8" w:space="0" w:color="000000"/>
            </w:tcBorders>
            <w:shd w:val="clear" w:color="auto" w:fill="auto"/>
            <w:vAlign w:val="center"/>
            <w:hideMark/>
          </w:tcPr>
          <w:p w14:paraId="658646C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SIMENTAL DE LA PAZ JOSÉ RODOLFO</w:t>
            </w:r>
          </w:p>
        </w:tc>
        <w:tc>
          <w:tcPr>
            <w:tcW w:w="1420" w:type="dxa"/>
            <w:tcBorders>
              <w:top w:val="nil"/>
              <w:left w:val="nil"/>
              <w:bottom w:val="single" w:sz="8" w:space="0" w:color="000000"/>
              <w:right w:val="single" w:sz="8" w:space="0" w:color="000000"/>
            </w:tcBorders>
            <w:shd w:val="clear" w:color="auto" w:fill="auto"/>
            <w:vAlign w:val="center"/>
            <w:hideMark/>
          </w:tcPr>
          <w:p w14:paraId="6B55C370"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43791A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72DB982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6D68B38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64BC5E6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Baja California</w:t>
            </w:r>
          </w:p>
        </w:tc>
        <w:tc>
          <w:tcPr>
            <w:tcW w:w="2268" w:type="dxa"/>
            <w:tcBorders>
              <w:top w:val="nil"/>
              <w:left w:val="nil"/>
              <w:bottom w:val="single" w:sz="8" w:space="0" w:color="000000"/>
              <w:right w:val="single" w:sz="8" w:space="0" w:color="000000"/>
            </w:tcBorders>
            <w:shd w:val="clear" w:color="auto" w:fill="auto"/>
            <w:vAlign w:val="center"/>
            <w:hideMark/>
          </w:tcPr>
          <w:p w14:paraId="297F0C0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SIPR970925HNTMZD05</w:t>
            </w:r>
          </w:p>
        </w:tc>
      </w:tr>
      <w:tr w:rsidR="00EF25CF" w:rsidRPr="007923C2" w14:paraId="79E5EBE7"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35E4F4F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41128075</w:t>
            </w:r>
          </w:p>
        </w:tc>
        <w:tc>
          <w:tcPr>
            <w:tcW w:w="1414" w:type="dxa"/>
            <w:tcBorders>
              <w:top w:val="nil"/>
              <w:left w:val="nil"/>
              <w:bottom w:val="single" w:sz="8" w:space="0" w:color="000000"/>
              <w:right w:val="single" w:sz="8" w:space="0" w:color="000000"/>
            </w:tcBorders>
            <w:shd w:val="clear" w:color="auto" w:fill="auto"/>
            <w:vAlign w:val="center"/>
            <w:hideMark/>
          </w:tcPr>
          <w:p w14:paraId="2B96601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SOTO VÉLEZ CARLOS MANUEL</w:t>
            </w:r>
          </w:p>
        </w:tc>
        <w:tc>
          <w:tcPr>
            <w:tcW w:w="1420" w:type="dxa"/>
            <w:tcBorders>
              <w:top w:val="nil"/>
              <w:left w:val="nil"/>
              <w:bottom w:val="single" w:sz="8" w:space="0" w:color="000000"/>
              <w:right w:val="single" w:sz="8" w:space="0" w:color="000000"/>
            </w:tcBorders>
            <w:shd w:val="clear" w:color="auto" w:fill="auto"/>
            <w:vAlign w:val="center"/>
            <w:hideMark/>
          </w:tcPr>
          <w:p w14:paraId="42F0A98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5A42D6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14:paraId="266DC8D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5CBDC6F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77864DF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766ACA7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SOVC911130HCLTLR05</w:t>
            </w:r>
          </w:p>
        </w:tc>
      </w:tr>
      <w:tr w:rsidR="00EF25CF" w:rsidRPr="007923C2" w14:paraId="426DC162"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497F16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41146192</w:t>
            </w:r>
          </w:p>
        </w:tc>
        <w:tc>
          <w:tcPr>
            <w:tcW w:w="1414" w:type="dxa"/>
            <w:tcBorders>
              <w:top w:val="nil"/>
              <w:left w:val="nil"/>
              <w:bottom w:val="single" w:sz="8" w:space="0" w:color="000000"/>
              <w:right w:val="single" w:sz="8" w:space="0" w:color="000000"/>
            </w:tcBorders>
            <w:shd w:val="clear" w:color="auto" w:fill="auto"/>
            <w:vAlign w:val="center"/>
            <w:hideMark/>
          </w:tcPr>
          <w:p w14:paraId="5415F42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TAMEZ OLLOQUI ÁNGEL EDUARDO</w:t>
            </w:r>
          </w:p>
        </w:tc>
        <w:tc>
          <w:tcPr>
            <w:tcW w:w="1420" w:type="dxa"/>
            <w:tcBorders>
              <w:top w:val="nil"/>
              <w:left w:val="nil"/>
              <w:bottom w:val="single" w:sz="8" w:space="0" w:color="000000"/>
              <w:right w:val="single" w:sz="8" w:space="0" w:color="000000"/>
            </w:tcBorders>
            <w:shd w:val="clear" w:color="auto" w:fill="auto"/>
            <w:vAlign w:val="center"/>
            <w:hideMark/>
          </w:tcPr>
          <w:p w14:paraId="6945862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B37EF7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1BEA80A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0E5620A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19301B1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658BE21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TAOA940909HCLMLN03</w:t>
            </w:r>
          </w:p>
        </w:tc>
      </w:tr>
      <w:tr w:rsidR="00EF25CF" w:rsidRPr="007923C2" w14:paraId="391049F1" w14:textId="77777777"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7A0A07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41146119</w:t>
            </w:r>
          </w:p>
        </w:tc>
        <w:tc>
          <w:tcPr>
            <w:tcW w:w="1414" w:type="dxa"/>
            <w:tcBorders>
              <w:top w:val="nil"/>
              <w:left w:val="nil"/>
              <w:bottom w:val="single" w:sz="8" w:space="0" w:color="000000"/>
              <w:right w:val="single" w:sz="8" w:space="0" w:color="000000"/>
            </w:tcBorders>
            <w:shd w:val="clear" w:color="auto" w:fill="auto"/>
            <w:vAlign w:val="center"/>
            <w:hideMark/>
          </w:tcPr>
          <w:p w14:paraId="3838191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UCAN TUCUCH OMAR</w:t>
            </w:r>
          </w:p>
        </w:tc>
        <w:tc>
          <w:tcPr>
            <w:tcW w:w="1420" w:type="dxa"/>
            <w:tcBorders>
              <w:top w:val="nil"/>
              <w:left w:val="nil"/>
              <w:bottom w:val="single" w:sz="8" w:space="0" w:color="000000"/>
              <w:right w:val="single" w:sz="8" w:space="0" w:color="000000"/>
            </w:tcBorders>
            <w:shd w:val="clear" w:color="auto" w:fill="auto"/>
            <w:vAlign w:val="center"/>
            <w:hideMark/>
          </w:tcPr>
          <w:p w14:paraId="5B26915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71A2B395"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09D05A7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14:paraId="192A1F2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7FFAECC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Campeche</w:t>
            </w:r>
          </w:p>
        </w:tc>
        <w:tc>
          <w:tcPr>
            <w:tcW w:w="2268" w:type="dxa"/>
            <w:tcBorders>
              <w:top w:val="nil"/>
              <w:left w:val="nil"/>
              <w:bottom w:val="single" w:sz="8" w:space="0" w:color="000000"/>
              <w:right w:val="single" w:sz="8" w:space="0" w:color="000000"/>
            </w:tcBorders>
            <w:shd w:val="clear" w:color="auto" w:fill="auto"/>
            <w:vAlign w:val="center"/>
            <w:hideMark/>
          </w:tcPr>
          <w:p w14:paraId="585B13B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UATO951126HCCCCM03</w:t>
            </w:r>
          </w:p>
        </w:tc>
      </w:tr>
      <w:tr w:rsidR="00EF25CF" w:rsidRPr="007923C2" w14:paraId="59F40310"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0F1830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41154535</w:t>
            </w:r>
          </w:p>
        </w:tc>
        <w:tc>
          <w:tcPr>
            <w:tcW w:w="1414" w:type="dxa"/>
            <w:tcBorders>
              <w:top w:val="nil"/>
              <w:left w:val="nil"/>
              <w:bottom w:val="single" w:sz="8" w:space="0" w:color="000000"/>
              <w:right w:val="single" w:sz="8" w:space="0" w:color="000000"/>
            </w:tcBorders>
            <w:shd w:val="clear" w:color="auto" w:fill="auto"/>
            <w:vAlign w:val="center"/>
            <w:hideMark/>
          </w:tcPr>
          <w:p w14:paraId="0C3DAE7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VÁSQUEZ CASTAÑEDA BRENDA YURITZI</w:t>
            </w:r>
          </w:p>
        </w:tc>
        <w:tc>
          <w:tcPr>
            <w:tcW w:w="1420" w:type="dxa"/>
            <w:tcBorders>
              <w:top w:val="nil"/>
              <w:left w:val="nil"/>
              <w:bottom w:val="single" w:sz="8" w:space="0" w:color="000000"/>
              <w:right w:val="single" w:sz="8" w:space="0" w:color="000000"/>
            </w:tcBorders>
            <w:shd w:val="clear" w:color="auto" w:fill="auto"/>
            <w:vAlign w:val="center"/>
            <w:hideMark/>
          </w:tcPr>
          <w:p w14:paraId="355BDBA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006AB9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3AF1F82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6FCAD041"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52A43BC2"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01955BE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VACB970504MOCSSR01</w:t>
            </w:r>
          </w:p>
        </w:tc>
      </w:tr>
      <w:tr w:rsidR="00EF25CF" w:rsidRPr="007923C2" w14:paraId="1F4F93D0"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01265B9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41146366</w:t>
            </w:r>
          </w:p>
        </w:tc>
        <w:tc>
          <w:tcPr>
            <w:tcW w:w="1414" w:type="dxa"/>
            <w:tcBorders>
              <w:top w:val="nil"/>
              <w:left w:val="nil"/>
              <w:bottom w:val="single" w:sz="8" w:space="0" w:color="000000"/>
              <w:right w:val="single" w:sz="8" w:space="0" w:color="000000"/>
            </w:tcBorders>
            <w:shd w:val="clear" w:color="auto" w:fill="auto"/>
            <w:vAlign w:val="center"/>
            <w:hideMark/>
          </w:tcPr>
          <w:p w14:paraId="3794D94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VÁSQUEZ GARCÍA VICTORIA</w:t>
            </w:r>
          </w:p>
        </w:tc>
        <w:tc>
          <w:tcPr>
            <w:tcW w:w="1420" w:type="dxa"/>
            <w:tcBorders>
              <w:top w:val="nil"/>
              <w:left w:val="nil"/>
              <w:bottom w:val="single" w:sz="8" w:space="0" w:color="000000"/>
              <w:right w:val="single" w:sz="8" w:space="0" w:color="000000"/>
            </w:tcBorders>
            <w:shd w:val="clear" w:color="auto" w:fill="auto"/>
            <w:vAlign w:val="center"/>
            <w:hideMark/>
          </w:tcPr>
          <w:p w14:paraId="645FF9F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10666FB"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7DA97FA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6A921229"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00CFA49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38EAB5DC"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VAGV920219MOCSRC07</w:t>
            </w:r>
          </w:p>
        </w:tc>
      </w:tr>
      <w:tr w:rsidR="00EF25CF" w:rsidRPr="007923C2" w14:paraId="6970FBEF"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4AE65E2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41146259</w:t>
            </w:r>
          </w:p>
        </w:tc>
        <w:tc>
          <w:tcPr>
            <w:tcW w:w="1414" w:type="dxa"/>
            <w:tcBorders>
              <w:top w:val="nil"/>
              <w:left w:val="nil"/>
              <w:bottom w:val="single" w:sz="8" w:space="0" w:color="000000"/>
              <w:right w:val="single" w:sz="8" w:space="0" w:color="000000"/>
            </w:tcBorders>
            <w:shd w:val="clear" w:color="auto" w:fill="auto"/>
            <w:vAlign w:val="center"/>
            <w:hideMark/>
          </w:tcPr>
          <w:p w14:paraId="02B755A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VÁSQUEZ LÓPEZ AMISADAÍ CATALINA</w:t>
            </w:r>
          </w:p>
        </w:tc>
        <w:tc>
          <w:tcPr>
            <w:tcW w:w="1420" w:type="dxa"/>
            <w:tcBorders>
              <w:top w:val="nil"/>
              <w:left w:val="nil"/>
              <w:bottom w:val="single" w:sz="8" w:space="0" w:color="000000"/>
              <w:right w:val="single" w:sz="8" w:space="0" w:color="000000"/>
            </w:tcBorders>
            <w:shd w:val="clear" w:color="auto" w:fill="auto"/>
            <w:vAlign w:val="center"/>
            <w:hideMark/>
          </w:tcPr>
          <w:p w14:paraId="4E5E1D85"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0B9F4B1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14:paraId="79107EA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08D8C47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14:paraId="7EF4AD76"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14:paraId="0BAF919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VALA960219MOCSPM03</w:t>
            </w:r>
          </w:p>
        </w:tc>
      </w:tr>
      <w:tr w:rsidR="00EF25CF" w:rsidRPr="007923C2" w14:paraId="28ABF0F4"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E7DF4D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41110103</w:t>
            </w:r>
          </w:p>
        </w:tc>
        <w:tc>
          <w:tcPr>
            <w:tcW w:w="1414" w:type="dxa"/>
            <w:tcBorders>
              <w:top w:val="nil"/>
              <w:left w:val="nil"/>
              <w:bottom w:val="single" w:sz="8" w:space="0" w:color="000000"/>
              <w:right w:val="single" w:sz="8" w:space="0" w:color="000000"/>
            </w:tcBorders>
            <w:shd w:val="clear" w:color="auto" w:fill="auto"/>
            <w:vAlign w:val="center"/>
            <w:hideMark/>
          </w:tcPr>
          <w:p w14:paraId="3127917C"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VÁZQUEZ BAXCAJAY CAROLINA</w:t>
            </w:r>
          </w:p>
        </w:tc>
        <w:tc>
          <w:tcPr>
            <w:tcW w:w="1420" w:type="dxa"/>
            <w:tcBorders>
              <w:top w:val="nil"/>
              <w:left w:val="nil"/>
              <w:bottom w:val="single" w:sz="8" w:space="0" w:color="000000"/>
              <w:right w:val="single" w:sz="8" w:space="0" w:color="000000"/>
            </w:tcBorders>
            <w:shd w:val="clear" w:color="auto" w:fill="auto"/>
            <w:vAlign w:val="center"/>
            <w:hideMark/>
          </w:tcPr>
          <w:p w14:paraId="56051BA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1D03058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17F7CB6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18442E6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0AB5E1EB"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Hidalgo</w:t>
            </w:r>
          </w:p>
        </w:tc>
        <w:tc>
          <w:tcPr>
            <w:tcW w:w="2268" w:type="dxa"/>
            <w:tcBorders>
              <w:top w:val="nil"/>
              <w:left w:val="nil"/>
              <w:bottom w:val="single" w:sz="8" w:space="0" w:color="000000"/>
              <w:right w:val="single" w:sz="8" w:space="0" w:color="000000"/>
            </w:tcBorders>
            <w:shd w:val="clear" w:color="auto" w:fill="auto"/>
            <w:vAlign w:val="center"/>
            <w:hideMark/>
          </w:tcPr>
          <w:p w14:paraId="7EA8B16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VABC901107MHGZXR05</w:t>
            </w:r>
          </w:p>
        </w:tc>
      </w:tr>
      <w:tr w:rsidR="00EF25CF" w:rsidRPr="007923C2" w14:paraId="79616A38"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67477D68"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41110102</w:t>
            </w:r>
          </w:p>
        </w:tc>
        <w:tc>
          <w:tcPr>
            <w:tcW w:w="1414" w:type="dxa"/>
            <w:tcBorders>
              <w:top w:val="nil"/>
              <w:left w:val="nil"/>
              <w:bottom w:val="single" w:sz="8" w:space="0" w:color="000000"/>
              <w:right w:val="single" w:sz="8" w:space="0" w:color="000000"/>
            </w:tcBorders>
            <w:shd w:val="clear" w:color="auto" w:fill="auto"/>
            <w:vAlign w:val="center"/>
            <w:hideMark/>
          </w:tcPr>
          <w:p w14:paraId="3CA2E489"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VÁZQUEZ LÓPEZ MERARI SUJEY</w:t>
            </w:r>
          </w:p>
        </w:tc>
        <w:tc>
          <w:tcPr>
            <w:tcW w:w="1420" w:type="dxa"/>
            <w:tcBorders>
              <w:top w:val="nil"/>
              <w:left w:val="nil"/>
              <w:bottom w:val="single" w:sz="8" w:space="0" w:color="000000"/>
              <w:right w:val="single" w:sz="8" w:space="0" w:color="000000"/>
            </w:tcBorders>
            <w:shd w:val="clear" w:color="auto" w:fill="auto"/>
            <w:vAlign w:val="center"/>
            <w:hideMark/>
          </w:tcPr>
          <w:p w14:paraId="502628DF"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62FAC95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4A0A7EF2"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0FB4E52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29C8D25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Veracruz</w:t>
            </w:r>
          </w:p>
        </w:tc>
        <w:tc>
          <w:tcPr>
            <w:tcW w:w="2268" w:type="dxa"/>
            <w:tcBorders>
              <w:top w:val="nil"/>
              <w:left w:val="nil"/>
              <w:bottom w:val="single" w:sz="8" w:space="0" w:color="000000"/>
              <w:right w:val="single" w:sz="8" w:space="0" w:color="000000"/>
            </w:tcBorders>
            <w:shd w:val="clear" w:color="auto" w:fill="auto"/>
            <w:vAlign w:val="center"/>
            <w:hideMark/>
          </w:tcPr>
          <w:p w14:paraId="1839B85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VALM930810MVZZPR01</w:t>
            </w:r>
          </w:p>
        </w:tc>
      </w:tr>
      <w:tr w:rsidR="00EF25CF" w:rsidRPr="007923C2" w14:paraId="565F6F06" w14:textId="77777777"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934E24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41154493</w:t>
            </w:r>
          </w:p>
        </w:tc>
        <w:tc>
          <w:tcPr>
            <w:tcW w:w="1414" w:type="dxa"/>
            <w:tcBorders>
              <w:top w:val="nil"/>
              <w:left w:val="nil"/>
              <w:bottom w:val="single" w:sz="8" w:space="0" w:color="000000"/>
              <w:right w:val="single" w:sz="8" w:space="0" w:color="000000"/>
            </w:tcBorders>
            <w:shd w:val="clear" w:color="auto" w:fill="auto"/>
            <w:vAlign w:val="center"/>
            <w:hideMark/>
          </w:tcPr>
          <w:p w14:paraId="6CD9820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VÁZQUEZ ROQUE JUANA DE JESÚS</w:t>
            </w:r>
          </w:p>
        </w:tc>
        <w:tc>
          <w:tcPr>
            <w:tcW w:w="1420" w:type="dxa"/>
            <w:tcBorders>
              <w:top w:val="nil"/>
              <w:left w:val="nil"/>
              <w:bottom w:val="single" w:sz="8" w:space="0" w:color="000000"/>
              <w:right w:val="single" w:sz="8" w:space="0" w:color="000000"/>
            </w:tcBorders>
            <w:shd w:val="clear" w:color="auto" w:fill="auto"/>
            <w:vAlign w:val="center"/>
            <w:hideMark/>
          </w:tcPr>
          <w:p w14:paraId="6F5F18C4"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E4614B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14:paraId="5195472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66D8B156"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2218133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14:paraId="10A6498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VARJ870623MCSZQN04</w:t>
            </w:r>
          </w:p>
        </w:tc>
      </w:tr>
      <w:tr w:rsidR="00EF25CF" w:rsidRPr="007923C2" w14:paraId="5743C817" w14:textId="77777777"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26330EC0"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41137738</w:t>
            </w:r>
          </w:p>
        </w:tc>
        <w:tc>
          <w:tcPr>
            <w:tcW w:w="1414" w:type="dxa"/>
            <w:tcBorders>
              <w:top w:val="nil"/>
              <w:left w:val="nil"/>
              <w:bottom w:val="single" w:sz="8" w:space="0" w:color="000000"/>
              <w:right w:val="single" w:sz="8" w:space="0" w:color="000000"/>
            </w:tcBorders>
            <w:shd w:val="clear" w:color="auto" w:fill="auto"/>
            <w:vAlign w:val="center"/>
            <w:hideMark/>
          </w:tcPr>
          <w:p w14:paraId="0FC99FD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VEGA GARCÍA TEOCALLI ARYDIANA</w:t>
            </w:r>
          </w:p>
        </w:tc>
        <w:tc>
          <w:tcPr>
            <w:tcW w:w="1420" w:type="dxa"/>
            <w:tcBorders>
              <w:top w:val="nil"/>
              <w:left w:val="nil"/>
              <w:bottom w:val="single" w:sz="8" w:space="0" w:color="000000"/>
              <w:right w:val="single" w:sz="8" w:space="0" w:color="000000"/>
            </w:tcBorders>
            <w:shd w:val="clear" w:color="auto" w:fill="auto"/>
            <w:vAlign w:val="center"/>
            <w:hideMark/>
          </w:tcPr>
          <w:p w14:paraId="45069908"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2929A72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14:paraId="3DFDE4BF"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503D56F7"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5C3E2AE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14:paraId="5801C733"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VEGT950708MCLGRC06</w:t>
            </w:r>
          </w:p>
        </w:tc>
      </w:tr>
      <w:tr w:rsidR="00EF25CF" w:rsidRPr="007923C2" w14:paraId="43B8E37E" w14:textId="77777777"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14:paraId="5E600F04"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41110106</w:t>
            </w:r>
          </w:p>
        </w:tc>
        <w:tc>
          <w:tcPr>
            <w:tcW w:w="1414" w:type="dxa"/>
            <w:tcBorders>
              <w:top w:val="nil"/>
              <w:left w:val="nil"/>
              <w:bottom w:val="single" w:sz="8" w:space="0" w:color="000000"/>
              <w:right w:val="single" w:sz="8" w:space="0" w:color="000000"/>
            </w:tcBorders>
            <w:shd w:val="clear" w:color="auto" w:fill="auto"/>
            <w:vAlign w:val="center"/>
            <w:hideMark/>
          </w:tcPr>
          <w:p w14:paraId="262D058A"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VIVEROS MAR ANA LIDIA</w:t>
            </w:r>
          </w:p>
        </w:tc>
        <w:tc>
          <w:tcPr>
            <w:tcW w:w="1420" w:type="dxa"/>
            <w:tcBorders>
              <w:top w:val="nil"/>
              <w:left w:val="nil"/>
              <w:bottom w:val="single" w:sz="8" w:space="0" w:color="000000"/>
              <w:right w:val="single" w:sz="8" w:space="0" w:color="000000"/>
            </w:tcBorders>
            <w:shd w:val="clear" w:color="auto" w:fill="auto"/>
            <w:vAlign w:val="center"/>
            <w:hideMark/>
          </w:tcPr>
          <w:p w14:paraId="283A46FE"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14:paraId="5EC2392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14:paraId="5C17F79E"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14:paraId="1E834FCD"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14:paraId="2E99386D" w14:textId="77777777"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Veracruz</w:t>
            </w:r>
          </w:p>
        </w:tc>
        <w:tc>
          <w:tcPr>
            <w:tcW w:w="2268" w:type="dxa"/>
            <w:tcBorders>
              <w:top w:val="nil"/>
              <w:left w:val="nil"/>
              <w:bottom w:val="single" w:sz="8" w:space="0" w:color="000000"/>
              <w:right w:val="single" w:sz="8" w:space="0" w:color="000000"/>
            </w:tcBorders>
            <w:shd w:val="clear" w:color="auto" w:fill="auto"/>
            <w:vAlign w:val="center"/>
            <w:hideMark/>
          </w:tcPr>
          <w:p w14:paraId="471675FA" w14:textId="77777777"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VIMA930803MVZVRN09</w:t>
            </w:r>
          </w:p>
        </w:tc>
      </w:tr>
    </w:tbl>
    <w:p w14:paraId="26FC334A" w14:textId="77777777" w:rsidR="0011484B" w:rsidRDefault="0011484B" w:rsidP="003C7713">
      <w:pPr>
        <w:widowControl w:val="0"/>
        <w:autoSpaceDE w:val="0"/>
        <w:autoSpaceDN w:val="0"/>
        <w:adjustRightInd w:val="0"/>
        <w:jc w:val="both"/>
        <w:rPr>
          <w:rFonts w:ascii="Arial" w:hAnsi="Arial" w:cs="Arial"/>
          <w:sz w:val="22"/>
          <w:szCs w:val="22"/>
        </w:rPr>
      </w:pPr>
    </w:p>
    <w:p w14:paraId="3448618B" w14:textId="77777777" w:rsidR="007512D0" w:rsidRPr="007923C2" w:rsidRDefault="007512D0" w:rsidP="003C7713">
      <w:pPr>
        <w:widowControl w:val="0"/>
        <w:autoSpaceDE w:val="0"/>
        <w:autoSpaceDN w:val="0"/>
        <w:adjustRightInd w:val="0"/>
        <w:jc w:val="both"/>
        <w:rPr>
          <w:rFonts w:ascii="Arial" w:hAnsi="Arial" w:cs="Arial"/>
          <w:sz w:val="22"/>
          <w:szCs w:val="22"/>
        </w:rPr>
      </w:pPr>
    </w:p>
    <w:p w14:paraId="57D2EC28" w14:textId="77777777" w:rsidR="0011484B" w:rsidRPr="007923C2" w:rsidRDefault="00EF25CF" w:rsidP="001631FF">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4.3.2.-</w:t>
      </w:r>
      <w:r w:rsidR="00E351CC" w:rsidRPr="007923C2">
        <w:rPr>
          <w:rFonts w:ascii="Arial" w:hAnsi="Arial" w:cs="Arial"/>
          <w:b/>
          <w:sz w:val="22"/>
          <w:szCs w:val="22"/>
        </w:rPr>
        <w:t>INVESTIGACIÓN</w:t>
      </w:r>
    </w:p>
    <w:p w14:paraId="51BAB27E" w14:textId="77777777" w:rsidR="00E351CC" w:rsidRPr="007923C2" w:rsidRDefault="00E351CC" w:rsidP="001631FF">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4.3.2.1.-CANTIDAD Y CALIDAD DE PROYECTOS DE INVESTIGACIÓN</w:t>
      </w:r>
    </w:p>
    <w:p w14:paraId="025E5E33" w14:textId="77777777"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líneas y programas de investigación del programa están registrados ante la dirección de investigación y son aprobados por un órgano colegiado.</w:t>
      </w:r>
    </w:p>
    <w:p w14:paraId="79507682" w14:textId="77777777"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La dirección de investigación aporta presupuesto para su operación y tiene establecidos mecanismos de supervisión y evaluación técnica y financiera de los proyectos.</w:t>
      </w:r>
    </w:p>
    <w:p w14:paraId="1EDF4AF9" w14:textId="77777777"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departamento de Botánica cuenta en la actualidad con </w:t>
      </w:r>
      <w:r w:rsidR="00F02191">
        <w:rPr>
          <w:rFonts w:ascii="Arial" w:hAnsi="Arial" w:cs="Arial"/>
          <w:sz w:val="22"/>
          <w:szCs w:val="22"/>
        </w:rPr>
        <w:t>20</w:t>
      </w:r>
      <w:r w:rsidRPr="007923C2">
        <w:rPr>
          <w:rFonts w:ascii="Arial" w:hAnsi="Arial" w:cs="Arial"/>
          <w:sz w:val="22"/>
          <w:szCs w:val="22"/>
        </w:rPr>
        <w:t xml:space="preserve"> proyectos de investigación que aparecen en la relación de proyectos de investigación donde se involucran el </w:t>
      </w:r>
      <w:r w:rsidR="00F02191">
        <w:rPr>
          <w:rFonts w:ascii="Arial" w:hAnsi="Arial" w:cs="Arial"/>
          <w:sz w:val="22"/>
          <w:szCs w:val="22"/>
        </w:rPr>
        <w:t>73</w:t>
      </w:r>
      <w:r w:rsidRPr="007923C2">
        <w:rPr>
          <w:rFonts w:ascii="Arial" w:hAnsi="Arial" w:cs="Arial"/>
          <w:sz w:val="22"/>
          <w:szCs w:val="22"/>
        </w:rPr>
        <w:t>% de los profesores adscritos al Departamento y alumnos del Programa.</w:t>
      </w:r>
    </w:p>
    <w:p w14:paraId="774BF2AB" w14:textId="77777777"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proyectos de investigación se realizan en el área de influencia de la Universidad y aportan conocimientos para el mejor manejo y aprovechamiento de los recursos naturales.</w:t>
      </w:r>
    </w:p>
    <w:p w14:paraId="37A97D83" w14:textId="77777777"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Los convenios firmados por la universidad muestran la existencia de influencia por parte de la </w:t>
      </w:r>
      <w:r w:rsidRPr="007923C2">
        <w:rPr>
          <w:rFonts w:ascii="Arial" w:hAnsi="Arial" w:cs="Arial"/>
          <w:sz w:val="22"/>
          <w:szCs w:val="22"/>
        </w:rPr>
        <w:lastRenderedPageBreak/>
        <w:t>Universidad en el ámbito local, nacional, e internacional.</w:t>
      </w:r>
    </w:p>
    <w:p w14:paraId="7C40D9F0" w14:textId="77777777"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El departamento de Botánica organiza anualmente un ciclo de conferencias con temas del programa y participa en la semana de Agronomía.</w:t>
      </w:r>
    </w:p>
    <w:p w14:paraId="5EF5B3BD" w14:textId="77777777"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Aunque los profesores investigadores no todos son responsables de un proyecto sí participan como co-autores tanto en los proyectos con financiamiento interno como de financiamiento externo por lo que de alguna manera cumplen con la investigación que se debe realizar.</w:t>
      </w:r>
    </w:p>
    <w:p w14:paraId="12FD34B3" w14:textId="77777777"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proyectos funcionan en parte con la participación de un alumno el cual realiza su tesis y con esto ayuda al avance de la investigación y aprende la parte práctica de su carrera.</w:t>
      </w:r>
    </w:p>
    <w:p w14:paraId="16DB851B" w14:textId="77777777"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proyectos de investigación y Desarrollo son muy diversos y todos ellos giran alrededor de los objetivos del programa de Agrobiología.</w:t>
      </w:r>
    </w:p>
    <w:p w14:paraId="7E8E1A9F" w14:textId="77777777" w:rsidR="0090124E"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proyectos de tesis no necesariamente se derivan de los proyectos de investigación sino también se derivan del interés del alumno por un tema que haya tratado en sus materias y que quiera investigar, por lo que pide apoyo al profesor que le impartió la materia y desarrolla la investigación.</w:t>
      </w:r>
    </w:p>
    <w:p w14:paraId="4EC18674" w14:textId="77777777" w:rsidR="005648B0" w:rsidRPr="007923C2" w:rsidRDefault="005648B0" w:rsidP="001631FF">
      <w:pPr>
        <w:widowControl w:val="0"/>
        <w:autoSpaceDE w:val="0"/>
        <w:autoSpaceDN w:val="0"/>
        <w:adjustRightInd w:val="0"/>
        <w:jc w:val="both"/>
        <w:rPr>
          <w:rFonts w:ascii="Arial" w:hAnsi="Arial" w:cs="Arial"/>
          <w:sz w:val="22"/>
          <w:szCs w:val="22"/>
        </w:rPr>
      </w:pPr>
    </w:p>
    <w:p w14:paraId="2CA04059" w14:textId="77777777" w:rsidR="0090124E" w:rsidRPr="007923C2" w:rsidRDefault="0090124E" w:rsidP="001631FF">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PROYECTOS DE INVESTIGACIÓN Y DESARROLLO QUE REALIZAN LOS PROFESORES INVESTIGADORES DEL DEPARTAMENTO DE BOTÁNICA</w:t>
      </w:r>
      <w:r w:rsidR="001761D4" w:rsidRPr="007923C2">
        <w:rPr>
          <w:rFonts w:ascii="Arial" w:hAnsi="Arial" w:cs="Arial"/>
          <w:b/>
          <w:sz w:val="22"/>
          <w:szCs w:val="22"/>
        </w:rPr>
        <w:t xml:space="preserve"> Y DE APOYO.</w:t>
      </w:r>
    </w:p>
    <w:p w14:paraId="6AFAD101"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Proyectos de Investigación 2012</w:t>
      </w:r>
    </w:p>
    <w:p w14:paraId="33311238"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Profesores Investigadores Departamento de Botánica</w:t>
      </w:r>
    </w:p>
    <w:p w14:paraId="7C94B5BF" w14:textId="77777777" w:rsidR="001761D4" w:rsidRPr="007923C2" w:rsidRDefault="001761D4" w:rsidP="001631FF">
      <w:pPr>
        <w:jc w:val="both"/>
        <w:rPr>
          <w:rFonts w:ascii="Arial" w:hAnsi="Arial" w:cs="Arial"/>
          <w:sz w:val="22"/>
          <w:szCs w:val="22"/>
        </w:rPr>
      </w:pPr>
      <w:r w:rsidRPr="007923C2">
        <w:rPr>
          <w:rFonts w:ascii="Arial" w:hAnsi="Arial" w:cs="Arial"/>
          <w:b/>
          <w:bCs/>
          <w:i/>
          <w:iCs/>
          <w:sz w:val="22"/>
          <w:szCs w:val="22"/>
        </w:rPr>
        <w:t>ARCE GONZALEZ LEOPOLDO (665) </w:t>
      </w:r>
    </w:p>
    <w:tbl>
      <w:tblPr>
        <w:tblW w:w="9264" w:type="dxa"/>
        <w:jc w:val="center"/>
        <w:tblCellMar>
          <w:left w:w="0" w:type="dxa"/>
          <w:right w:w="0" w:type="dxa"/>
        </w:tblCellMar>
        <w:tblLook w:val="04A0" w:firstRow="1" w:lastRow="0" w:firstColumn="1" w:lastColumn="0" w:noHBand="0" w:noVBand="1"/>
      </w:tblPr>
      <w:tblGrid>
        <w:gridCol w:w="9264"/>
      </w:tblGrid>
      <w:tr w:rsidR="001761D4" w:rsidRPr="007923C2" w14:paraId="3D5421E6" w14:textId="77777777" w:rsidTr="00AC6A89">
        <w:trPr>
          <w:jc w:val="center"/>
        </w:trPr>
        <w:tc>
          <w:tcPr>
            <w:tcW w:w="9264" w:type="dxa"/>
            <w:tcBorders>
              <w:top w:val="nil"/>
              <w:left w:val="nil"/>
              <w:bottom w:val="nil"/>
              <w:right w:val="nil"/>
            </w:tcBorders>
            <w:shd w:val="clear" w:color="auto" w:fill="auto"/>
            <w:vAlign w:val="center"/>
            <w:hideMark/>
          </w:tcPr>
          <w:p w14:paraId="700D648F" w14:textId="77777777" w:rsidR="001761D4" w:rsidRPr="007923C2" w:rsidRDefault="001761D4" w:rsidP="001631FF">
            <w:pPr>
              <w:spacing w:after="0" w:line="240" w:lineRule="auto"/>
              <w:jc w:val="both"/>
              <w:rPr>
                <w:rFonts w:ascii="Arial" w:hAnsi="Arial" w:cs="Arial"/>
                <w:bCs/>
                <w:sz w:val="22"/>
                <w:szCs w:val="22"/>
              </w:rPr>
            </w:pPr>
            <w:r w:rsidRPr="007923C2">
              <w:rPr>
                <w:rFonts w:ascii="Arial" w:hAnsi="Arial" w:cs="Arial"/>
                <w:bCs/>
                <w:sz w:val="22"/>
                <w:szCs w:val="22"/>
              </w:rPr>
              <w:t>Colaborador </w:t>
            </w:r>
          </w:p>
          <w:p w14:paraId="4CD7ABAC" w14:textId="77777777" w:rsidR="001761D4" w:rsidRPr="007923C2" w:rsidRDefault="001761D4" w:rsidP="001631FF">
            <w:pPr>
              <w:spacing w:after="0" w:line="240" w:lineRule="auto"/>
              <w:jc w:val="both"/>
              <w:rPr>
                <w:rFonts w:ascii="Arial" w:hAnsi="Arial" w:cs="Arial"/>
                <w:bCs/>
                <w:sz w:val="22"/>
                <w:szCs w:val="22"/>
              </w:rPr>
            </w:pPr>
          </w:p>
          <w:p w14:paraId="08E1CAB7" w14:textId="77777777" w:rsidR="001761D4" w:rsidRPr="007923C2" w:rsidRDefault="001761D4" w:rsidP="001631FF">
            <w:pPr>
              <w:pStyle w:val="Prrafodelista"/>
              <w:numPr>
                <w:ilvl w:val="0"/>
                <w:numId w:val="19"/>
              </w:numPr>
              <w:spacing w:after="0" w:line="240" w:lineRule="auto"/>
              <w:contextualSpacing/>
              <w:jc w:val="both"/>
              <w:rPr>
                <w:rFonts w:ascii="Arial" w:hAnsi="Arial" w:cs="Arial"/>
                <w:bCs/>
                <w:sz w:val="22"/>
                <w:szCs w:val="22"/>
              </w:rPr>
            </w:pPr>
            <w:r w:rsidRPr="007923C2">
              <w:rPr>
                <w:rFonts w:ascii="Arial" w:hAnsi="Arial" w:cs="Arial"/>
                <w:bCs/>
                <w:sz w:val="22"/>
                <w:szCs w:val="22"/>
              </w:rPr>
              <w:t>Recubrimientos de semillas de especies forrajeras utilizando diferentes tratamientos.</w:t>
            </w:r>
          </w:p>
          <w:p w14:paraId="592A912A" w14:textId="77777777" w:rsidR="001761D4" w:rsidRPr="007923C2" w:rsidRDefault="001761D4" w:rsidP="001631FF">
            <w:pPr>
              <w:pStyle w:val="Prrafodelista"/>
              <w:spacing w:after="0" w:line="240" w:lineRule="auto"/>
              <w:jc w:val="both"/>
              <w:rPr>
                <w:rFonts w:ascii="Arial" w:hAnsi="Arial" w:cs="Arial"/>
                <w:bCs/>
                <w:sz w:val="22"/>
                <w:szCs w:val="22"/>
              </w:rPr>
            </w:pPr>
          </w:p>
          <w:p w14:paraId="510FEB6C" w14:textId="77777777" w:rsidR="001761D4" w:rsidRPr="007923C2" w:rsidRDefault="001761D4" w:rsidP="001631FF">
            <w:pPr>
              <w:pStyle w:val="Prrafodelista"/>
              <w:numPr>
                <w:ilvl w:val="0"/>
                <w:numId w:val="19"/>
              </w:numPr>
              <w:spacing w:after="0" w:line="240" w:lineRule="auto"/>
              <w:contextualSpacing/>
              <w:jc w:val="both"/>
              <w:rPr>
                <w:rFonts w:ascii="Arial" w:hAnsi="Arial" w:cs="Arial"/>
                <w:bCs/>
                <w:sz w:val="22"/>
                <w:szCs w:val="22"/>
              </w:rPr>
            </w:pPr>
            <w:r w:rsidRPr="007923C2">
              <w:rPr>
                <w:rFonts w:ascii="Arial" w:hAnsi="Arial" w:cs="Arial"/>
                <w:bCs/>
                <w:sz w:val="22"/>
                <w:szCs w:val="22"/>
              </w:rPr>
              <w:t>Tratamientos físicos, químicos y mecánicos para romper la latencia en semilla de Atriplex nummularia bajo condiciones de laboratorio e invernadero.   </w:t>
            </w:r>
          </w:p>
          <w:p w14:paraId="6AC76F0A" w14:textId="77777777" w:rsidR="001761D4" w:rsidRPr="007923C2" w:rsidRDefault="001761D4" w:rsidP="001631FF">
            <w:pPr>
              <w:spacing w:after="0" w:line="240" w:lineRule="auto"/>
              <w:jc w:val="both"/>
              <w:rPr>
                <w:rFonts w:ascii="Arial" w:hAnsi="Arial" w:cs="Arial"/>
                <w:bCs/>
                <w:sz w:val="22"/>
                <w:szCs w:val="22"/>
              </w:rPr>
            </w:pPr>
          </w:p>
          <w:p w14:paraId="7FFBC68B" w14:textId="77777777" w:rsidR="001761D4" w:rsidRPr="007923C2" w:rsidRDefault="001761D4" w:rsidP="001631FF">
            <w:pPr>
              <w:pStyle w:val="Prrafodelista"/>
              <w:numPr>
                <w:ilvl w:val="0"/>
                <w:numId w:val="19"/>
              </w:numPr>
              <w:spacing w:after="0" w:line="240" w:lineRule="auto"/>
              <w:contextualSpacing/>
              <w:jc w:val="both"/>
              <w:rPr>
                <w:rFonts w:ascii="Arial" w:hAnsi="Arial" w:cs="Arial"/>
                <w:b/>
                <w:bCs/>
                <w:sz w:val="22"/>
                <w:szCs w:val="22"/>
              </w:rPr>
            </w:pPr>
            <w:r w:rsidRPr="007923C2">
              <w:rPr>
                <w:rFonts w:ascii="Arial" w:hAnsi="Arial" w:cs="Arial"/>
                <w:bCs/>
                <w:sz w:val="22"/>
                <w:szCs w:val="22"/>
              </w:rPr>
              <w:t>La subfamilia panicoideae (Poaceae) en Coahuila, México: Gramíneas Invasoras</w:t>
            </w:r>
            <w:r w:rsidRPr="007923C2">
              <w:rPr>
                <w:rFonts w:ascii="Arial" w:hAnsi="Arial" w:cs="Arial"/>
                <w:b/>
                <w:bCs/>
                <w:sz w:val="22"/>
                <w:szCs w:val="22"/>
              </w:rPr>
              <w:t>.</w:t>
            </w:r>
          </w:p>
          <w:p w14:paraId="78FCC2B2" w14:textId="77777777" w:rsidR="001761D4" w:rsidRPr="007923C2" w:rsidRDefault="001761D4" w:rsidP="001631FF">
            <w:pPr>
              <w:spacing w:after="0" w:line="240" w:lineRule="auto"/>
              <w:jc w:val="both"/>
              <w:rPr>
                <w:rFonts w:ascii="Arial" w:hAnsi="Arial" w:cs="Arial"/>
                <w:b/>
                <w:bCs/>
                <w:sz w:val="22"/>
                <w:szCs w:val="22"/>
              </w:rPr>
            </w:pPr>
          </w:p>
          <w:p w14:paraId="13C61EC7" w14:textId="77777777" w:rsidR="001761D4" w:rsidRPr="007923C2" w:rsidRDefault="001761D4" w:rsidP="001631FF">
            <w:pPr>
              <w:pStyle w:val="Prrafodelista"/>
              <w:numPr>
                <w:ilvl w:val="0"/>
                <w:numId w:val="19"/>
              </w:numPr>
              <w:spacing w:after="0" w:line="240" w:lineRule="auto"/>
              <w:contextualSpacing/>
              <w:jc w:val="both"/>
              <w:rPr>
                <w:rFonts w:ascii="Arial" w:hAnsi="Arial" w:cs="Arial"/>
                <w:sz w:val="22"/>
                <w:szCs w:val="22"/>
              </w:rPr>
            </w:pPr>
            <w:r w:rsidRPr="007923C2">
              <w:rPr>
                <w:rFonts w:ascii="Arial" w:hAnsi="Arial" w:cs="Arial"/>
                <w:bCs/>
                <w:sz w:val="22"/>
                <w:szCs w:val="22"/>
              </w:rPr>
              <w:t>RECICLADO DE DESECHOS.</w:t>
            </w:r>
          </w:p>
          <w:p w14:paraId="3297725D" w14:textId="77777777" w:rsidR="00AC6A89" w:rsidRPr="007923C2" w:rsidRDefault="00AC6A89" w:rsidP="001631FF">
            <w:pPr>
              <w:spacing w:after="0" w:line="240" w:lineRule="auto"/>
              <w:ind w:left="360"/>
              <w:contextualSpacing/>
              <w:jc w:val="both"/>
              <w:rPr>
                <w:rFonts w:ascii="Arial" w:hAnsi="Arial" w:cs="Arial"/>
                <w:sz w:val="22"/>
                <w:szCs w:val="22"/>
              </w:rPr>
            </w:pPr>
          </w:p>
          <w:p w14:paraId="770B2ADB" w14:textId="77777777"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DE LA ROSA IBARRA MANUEL (1018) </w:t>
            </w:r>
          </w:p>
          <w:p w14:paraId="027801EF" w14:textId="77777777" w:rsidR="001761D4" w:rsidRPr="007923C2" w:rsidRDefault="001761D4" w:rsidP="001631FF">
            <w:pPr>
              <w:spacing w:after="0" w:line="240" w:lineRule="auto"/>
              <w:jc w:val="both"/>
              <w:rPr>
                <w:rFonts w:ascii="Arial" w:hAnsi="Arial" w:cs="Arial"/>
                <w:b/>
                <w:bCs/>
                <w:i/>
                <w:iCs/>
                <w:sz w:val="22"/>
                <w:szCs w:val="22"/>
              </w:rPr>
            </w:pPr>
          </w:p>
          <w:p w14:paraId="50EED05E" w14:textId="77777777" w:rsidR="001761D4" w:rsidRPr="007923C2" w:rsidRDefault="001761D4" w:rsidP="001631FF">
            <w:pPr>
              <w:spacing w:after="0" w:line="240" w:lineRule="auto"/>
              <w:jc w:val="both"/>
              <w:rPr>
                <w:rFonts w:ascii="Arial" w:hAnsi="Arial" w:cs="Arial"/>
                <w:bCs/>
                <w:i/>
                <w:iCs/>
                <w:sz w:val="22"/>
                <w:szCs w:val="22"/>
              </w:rPr>
            </w:pPr>
            <w:r w:rsidRPr="007923C2">
              <w:rPr>
                <w:rFonts w:ascii="Arial" w:hAnsi="Arial" w:cs="Arial"/>
                <w:bCs/>
                <w:i/>
                <w:iCs/>
                <w:sz w:val="22"/>
                <w:szCs w:val="22"/>
              </w:rPr>
              <w:t>Responsable</w:t>
            </w:r>
          </w:p>
          <w:p w14:paraId="74BC75DF" w14:textId="77777777" w:rsidR="001761D4" w:rsidRPr="007923C2" w:rsidRDefault="001761D4" w:rsidP="001631FF">
            <w:pPr>
              <w:spacing w:after="0" w:line="240" w:lineRule="auto"/>
              <w:jc w:val="both"/>
              <w:rPr>
                <w:rFonts w:ascii="Arial" w:hAnsi="Arial" w:cs="Arial"/>
                <w:bCs/>
                <w:i/>
                <w:iCs/>
                <w:sz w:val="22"/>
                <w:szCs w:val="22"/>
              </w:rPr>
            </w:pPr>
          </w:p>
          <w:p w14:paraId="7D02E70A" w14:textId="77777777" w:rsidR="001761D4" w:rsidRPr="007512D0" w:rsidRDefault="001761D4" w:rsidP="007512D0">
            <w:pPr>
              <w:pStyle w:val="Prrafodelista"/>
              <w:numPr>
                <w:ilvl w:val="0"/>
                <w:numId w:val="20"/>
              </w:numPr>
              <w:spacing w:after="0" w:line="240" w:lineRule="auto"/>
              <w:contextualSpacing/>
              <w:jc w:val="both"/>
              <w:rPr>
                <w:rFonts w:ascii="Arial" w:hAnsi="Arial" w:cs="Arial"/>
                <w:bCs/>
                <w:sz w:val="22"/>
                <w:szCs w:val="22"/>
              </w:rPr>
            </w:pPr>
            <w:r w:rsidRPr="007923C2">
              <w:rPr>
                <w:rFonts w:ascii="Arial" w:hAnsi="Arial" w:cs="Arial"/>
                <w:bCs/>
                <w:sz w:val="22"/>
                <w:szCs w:val="22"/>
              </w:rPr>
              <w:t>Efecto del ácido salicilico en el crecimiento y rendimiento del hongo Pleurotus ostreatus cultivado en diferentes sustratos</w:t>
            </w:r>
            <w:r w:rsidR="007512D0">
              <w:rPr>
                <w:rFonts w:ascii="Arial" w:hAnsi="Arial" w:cs="Arial"/>
                <w:bCs/>
                <w:sz w:val="22"/>
                <w:szCs w:val="22"/>
              </w:rPr>
              <w:t xml:space="preserve">.                            </w:t>
            </w:r>
            <w:r w:rsidRPr="007512D0">
              <w:rPr>
                <w:rFonts w:ascii="Arial" w:hAnsi="Arial" w:cs="Arial"/>
                <w:bCs/>
                <w:sz w:val="22"/>
                <w:szCs w:val="22"/>
              </w:rPr>
              <w:t xml:space="preserve">   </w:t>
            </w:r>
            <w:r w:rsidRPr="007512D0">
              <w:rPr>
                <w:rFonts w:ascii="Arial" w:hAnsi="Arial" w:cs="Arial"/>
                <w:bCs/>
                <w:sz w:val="22"/>
                <w:szCs w:val="22"/>
              </w:rPr>
              <w:br/>
            </w:r>
          </w:p>
          <w:p w14:paraId="736674B9" w14:textId="77777777" w:rsidR="001761D4" w:rsidRPr="007923C2" w:rsidRDefault="001761D4" w:rsidP="001631FF">
            <w:pPr>
              <w:pStyle w:val="Prrafodelista"/>
              <w:numPr>
                <w:ilvl w:val="0"/>
                <w:numId w:val="20"/>
              </w:numPr>
              <w:spacing w:after="0" w:line="240" w:lineRule="auto"/>
              <w:contextualSpacing/>
              <w:jc w:val="both"/>
              <w:rPr>
                <w:rFonts w:ascii="Arial" w:hAnsi="Arial" w:cs="Arial"/>
                <w:sz w:val="22"/>
                <w:szCs w:val="22"/>
              </w:rPr>
            </w:pPr>
            <w:r w:rsidRPr="007923C2">
              <w:rPr>
                <w:rFonts w:ascii="Arial" w:hAnsi="Arial" w:cs="Arial"/>
                <w:bCs/>
                <w:sz w:val="22"/>
                <w:szCs w:val="22"/>
              </w:rPr>
              <w:t>Evaluación de películas para invernadero con manoparticulas y pigmentos flourescentes que modifiquen sus propieddes ópticas para un mejor desarrollo de los cultivos   </w:t>
            </w:r>
          </w:p>
          <w:p w14:paraId="3C98D46B" w14:textId="77777777" w:rsidR="001761D4" w:rsidRPr="007923C2" w:rsidRDefault="001761D4" w:rsidP="001631FF">
            <w:pPr>
              <w:spacing w:after="0" w:line="240" w:lineRule="auto"/>
              <w:jc w:val="both"/>
              <w:rPr>
                <w:rFonts w:ascii="Arial" w:hAnsi="Arial" w:cs="Arial"/>
                <w:sz w:val="22"/>
                <w:szCs w:val="22"/>
              </w:rPr>
            </w:pPr>
          </w:p>
          <w:p w14:paraId="4E19E669" w14:textId="77777777"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CABRAL CORDERO ISMAEL (3772) </w:t>
            </w:r>
          </w:p>
          <w:p w14:paraId="52A9264E" w14:textId="77777777" w:rsidR="001761D4" w:rsidRPr="007923C2" w:rsidRDefault="001761D4" w:rsidP="001631FF">
            <w:pPr>
              <w:spacing w:after="0" w:line="240" w:lineRule="auto"/>
              <w:jc w:val="both"/>
              <w:rPr>
                <w:rFonts w:ascii="Arial" w:hAnsi="Arial" w:cs="Arial"/>
                <w:sz w:val="22"/>
                <w:szCs w:val="22"/>
              </w:rPr>
            </w:pPr>
          </w:p>
          <w:p w14:paraId="3E2F6836" w14:textId="77777777" w:rsidR="001761D4" w:rsidRPr="007923C2" w:rsidRDefault="001761D4" w:rsidP="001631FF">
            <w:pPr>
              <w:spacing w:after="0" w:line="240" w:lineRule="auto"/>
              <w:jc w:val="both"/>
              <w:rPr>
                <w:rFonts w:ascii="Arial" w:hAnsi="Arial" w:cs="Arial"/>
                <w:sz w:val="22"/>
                <w:szCs w:val="22"/>
              </w:rPr>
            </w:pPr>
            <w:r w:rsidRPr="007923C2">
              <w:rPr>
                <w:rFonts w:ascii="Arial" w:hAnsi="Arial" w:cs="Arial"/>
                <w:sz w:val="22"/>
                <w:szCs w:val="22"/>
              </w:rPr>
              <w:lastRenderedPageBreak/>
              <w:t>Responsable</w:t>
            </w:r>
          </w:p>
          <w:p w14:paraId="3BBDAC58" w14:textId="77777777" w:rsidR="001761D4" w:rsidRPr="007923C2" w:rsidRDefault="001761D4" w:rsidP="001631FF">
            <w:pPr>
              <w:spacing w:after="0" w:line="240" w:lineRule="auto"/>
              <w:jc w:val="both"/>
              <w:rPr>
                <w:rFonts w:ascii="Arial" w:hAnsi="Arial" w:cs="Arial"/>
                <w:sz w:val="22"/>
                <w:szCs w:val="22"/>
              </w:rPr>
            </w:pPr>
          </w:p>
          <w:p w14:paraId="768985CE" w14:textId="77777777" w:rsidR="001761D4" w:rsidRPr="007923C2" w:rsidRDefault="001761D4" w:rsidP="001631FF">
            <w:pPr>
              <w:pStyle w:val="Prrafodelista"/>
              <w:numPr>
                <w:ilvl w:val="0"/>
                <w:numId w:val="25"/>
              </w:numPr>
              <w:spacing w:after="0" w:line="240" w:lineRule="auto"/>
              <w:contextualSpacing/>
              <w:jc w:val="both"/>
              <w:rPr>
                <w:rFonts w:ascii="Arial" w:hAnsi="Arial" w:cs="Arial"/>
                <w:bCs/>
                <w:sz w:val="22"/>
                <w:szCs w:val="22"/>
              </w:rPr>
            </w:pPr>
            <w:r w:rsidRPr="007923C2">
              <w:rPr>
                <w:rFonts w:ascii="Arial" w:hAnsi="Arial" w:cs="Arial"/>
                <w:bCs/>
                <w:sz w:val="22"/>
                <w:szCs w:val="22"/>
              </w:rPr>
              <w:t>Entobotánica de la familia Agavaceae en el estado de Coahuila   </w:t>
            </w:r>
          </w:p>
          <w:p w14:paraId="14DF27E0" w14:textId="77777777" w:rsidR="001761D4" w:rsidRPr="007923C2" w:rsidRDefault="001761D4" w:rsidP="001631FF">
            <w:pPr>
              <w:spacing w:after="0" w:line="240" w:lineRule="auto"/>
              <w:jc w:val="both"/>
              <w:rPr>
                <w:rFonts w:ascii="Arial" w:hAnsi="Arial" w:cs="Arial"/>
                <w:bCs/>
                <w:sz w:val="22"/>
                <w:szCs w:val="22"/>
              </w:rPr>
            </w:pPr>
          </w:p>
          <w:p w14:paraId="50096F8D" w14:textId="77777777" w:rsidR="001761D4" w:rsidRPr="007923C2" w:rsidRDefault="001761D4" w:rsidP="001631FF">
            <w:pPr>
              <w:pStyle w:val="Prrafodelista"/>
              <w:numPr>
                <w:ilvl w:val="0"/>
                <w:numId w:val="25"/>
              </w:numPr>
              <w:spacing w:after="0" w:line="240" w:lineRule="auto"/>
              <w:contextualSpacing/>
              <w:jc w:val="both"/>
              <w:rPr>
                <w:rFonts w:ascii="Arial" w:hAnsi="Arial" w:cs="Arial"/>
                <w:bCs/>
                <w:sz w:val="22"/>
                <w:szCs w:val="22"/>
              </w:rPr>
            </w:pPr>
            <w:r w:rsidRPr="007923C2">
              <w:rPr>
                <w:rFonts w:ascii="Arial" w:hAnsi="Arial" w:cs="Arial"/>
                <w:bCs/>
                <w:sz w:val="22"/>
                <w:szCs w:val="22"/>
              </w:rPr>
              <w:t>Distribución geográfica de la familia Agavaceae en el estado de Coahuila</w:t>
            </w:r>
          </w:p>
          <w:p w14:paraId="15095063" w14:textId="77777777" w:rsidR="001761D4" w:rsidRPr="007923C2" w:rsidRDefault="001761D4" w:rsidP="001631FF">
            <w:pPr>
              <w:spacing w:after="0" w:line="240" w:lineRule="auto"/>
              <w:jc w:val="both"/>
              <w:rPr>
                <w:rFonts w:ascii="Arial" w:hAnsi="Arial" w:cs="Arial"/>
                <w:bCs/>
                <w:sz w:val="22"/>
                <w:szCs w:val="22"/>
              </w:rPr>
            </w:pPr>
          </w:p>
          <w:p w14:paraId="213B7A0D" w14:textId="77777777"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COMPARAN SANCHEZ SOFIA (1989) </w:t>
            </w:r>
          </w:p>
          <w:p w14:paraId="01C5F834" w14:textId="77777777" w:rsidR="001761D4" w:rsidRPr="007923C2" w:rsidRDefault="001761D4" w:rsidP="001631FF">
            <w:pPr>
              <w:spacing w:after="0" w:line="240" w:lineRule="auto"/>
              <w:jc w:val="both"/>
              <w:rPr>
                <w:rFonts w:ascii="Arial" w:hAnsi="Arial" w:cs="Arial"/>
                <w:bCs/>
                <w:i/>
                <w:iCs/>
                <w:sz w:val="22"/>
                <w:szCs w:val="22"/>
              </w:rPr>
            </w:pPr>
          </w:p>
          <w:p w14:paraId="22CF8E34" w14:textId="77777777" w:rsidR="001761D4" w:rsidRPr="007923C2" w:rsidRDefault="001761D4" w:rsidP="001631FF">
            <w:pPr>
              <w:spacing w:after="0" w:line="240" w:lineRule="auto"/>
              <w:jc w:val="both"/>
              <w:rPr>
                <w:rFonts w:ascii="Arial" w:hAnsi="Arial" w:cs="Arial"/>
                <w:bCs/>
                <w:i/>
                <w:iCs/>
                <w:sz w:val="22"/>
                <w:szCs w:val="22"/>
              </w:rPr>
            </w:pPr>
            <w:r w:rsidRPr="007923C2">
              <w:rPr>
                <w:rFonts w:ascii="Arial" w:hAnsi="Arial" w:cs="Arial"/>
                <w:bCs/>
                <w:i/>
                <w:iCs/>
                <w:sz w:val="22"/>
                <w:szCs w:val="22"/>
              </w:rPr>
              <w:t>Responsable</w:t>
            </w:r>
          </w:p>
          <w:p w14:paraId="0F8F13EC" w14:textId="77777777" w:rsidR="001761D4" w:rsidRPr="007923C2" w:rsidRDefault="001761D4" w:rsidP="001631FF">
            <w:pPr>
              <w:spacing w:after="0" w:line="240" w:lineRule="auto"/>
              <w:jc w:val="both"/>
              <w:rPr>
                <w:rFonts w:ascii="Arial" w:hAnsi="Arial" w:cs="Arial"/>
                <w:bCs/>
                <w:i/>
                <w:iCs/>
                <w:sz w:val="22"/>
                <w:szCs w:val="22"/>
              </w:rPr>
            </w:pPr>
          </w:p>
          <w:p w14:paraId="7EFC0398" w14:textId="77777777" w:rsidR="001761D4" w:rsidRPr="007923C2" w:rsidRDefault="001761D4" w:rsidP="001631FF">
            <w:pPr>
              <w:pStyle w:val="Prrafodelista"/>
              <w:numPr>
                <w:ilvl w:val="0"/>
                <w:numId w:val="24"/>
              </w:numPr>
              <w:spacing w:after="0" w:line="240" w:lineRule="auto"/>
              <w:contextualSpacing/>
              <w:jc w:val="both"/>
              <w:rPr>
                <w:rFonts w:ascii="Arial" w:hAnsi="Arial" w:cs="Arial"/>
                <w:bCs/>
                <w:sz w:val="22"/>
                <w:szCs w:val="22"/>
              </w:rPr>
            </w:pPr>
            <w:r w:rsidRPr="007923C2">
              <w:rPr>
                <w:rFonts w:ascii="Arial" w:hAnsi="Arial" w:cs="Arial"/>
                <w:bCs/>
                <w:sz w:val="22"/>
                <w:szCs w:val="22"/>
              </w:rPr>
              <w:t>Propagación localización y comparación morfológica de las especies del Género Echinocereus cactácea de Coahuila   </w:t>
            </w:r>
          </w:p>
          <w:p w14:paraId="2522EDA2" w14:textId="77777777" w:rsidR="001761D4" w:rsidRPr="007923C2" w:rsidRDefault="001761D4" w:rsidP="001631FF">
            <w:pPr>
              <w:spacing w:after="0" w:line="240" w:lineRule="auto"/>
              <w:jc w:val="both"/>
              <w:rPr>
                <w:rFonts w:ascii="Arial" w:hAnsi="Arial" w:cs="Arial"/>
                <w:bCs/>
                <w:sz w:val="22"/>
                <w:szCs w:val="22"/>
              </w:rPr>
            </w:pPr>
          </w:p>
          <w:p w14:paraId="48032CCE" w14:textId="77777777" w:rsidR="001761D4" w:rsidRPr="007923C2" w:rsidRDefault="001761D4" w:rsidP="001631FF">
            <w:pPr>
              <w:spacing w:after="0" w:line="240" w:lineRule="auto"/>
              <w:jc w:val="both"/>
              <w:rPr>
                <w:rFonts w:ascii="Arial" w:hAnsi="Arial" w:cs="Arial"/>
                <w:bCs/>
                <w:sz w:val="22"/>
                <w:szCs w:val="22"/>
              </w:rPr>
            </w:pPr>
            <w:r w:rsidRPr="007923C2">
              <w:rPr>
                <w:rFonts w:ascii="Arial" w:hAnsi="Arial" w:cs="Arial"/>
                <w:bCs/>
                <w:sz w:val="22"/>
                <w:szCs w:val="22"/>
              </w:rPr>
              <w:t>Colaborador</w:t>
            </w:r>
          </w:p>
          <w:p w14:paraId="3CDAA338" w14:textId="77777777" w:rsidR="001761D4" w:rsidRPr="007923C2" w:rsidRDefault="001761D4" w:rsidP="001631FF">
            <w:pPr>
              <w:spacing w:after="0" w:line="240" w:lineRule="auto"/>
              <w:jc w:val="both"/>
              <w:rPr>
                <w:rFonts w:ascii="Arial" w:hAnsi="Arial" w:cs="Arial"/>
                <w:bCs/>
                <w:sz w:val="22"/>
                <w:szCs w:val="22"/>
              </w:rPr>
            </w:pPr>
          </w:p>
          <w:p w14:paraId="2AB460A7" w14:textId="77777777" w:rsidR="001761D4" w:rsidRPr="007923C2" w:rsidRDefault="001761D4" w:rsidP="001631FF">
            <w:pPr>
              <w:pStyle w:val="Prrafodelista"/>
              <w:numPr>
                <w:ilvl w:val="0"/>
                <w:numId w:val="23"/>
              </w:numPr>
              <w:spacing w:after="0" w:line="240" w:lineRule="auto"/>
              <w:contextualSpacing/>
              <w:jc w:val="both"/>
              <w:rPr>
                <w:rFonts w:ascii="Arial" w:hAnsi="Arial" w:cs="Arial"/>
                <w:bCs/>
                <w:sz w:val="22"/>
                <w:szCs w:val="22"/>
              </w:rPr>
            </w:pPr>
            <w:r w:rsidRPr="007923C2">
              <w:rPr>
                <w:rFonts w:ascii="Arial" w:hAnsi="Arial" w:cs="Arial"/>
                <w:bCs/>
                <w:sz w:val="22"/>
                <w:szCs w:val="22"/>
              </w:rPr>
              <w:t>Efecto de la radiación solar sobre la estructura anatómico-histológica foliar de ceratonia silicua L. (algarrobo) en el municipio de Lampazos, N.L.)   </w:t>
            </w:r>
          </w:p>
          <w:p w14:paraId="64ECC12E" w14:textId="77777777" w:rsidR="001761D4" w:rsidRPr="007923C2" w:rsidRDefault="001761D4" w:rsidP="001631FF">
            <w:pPr>
              <w:spacing w:after="0" w:line="240" w:lineRule="auto"/>
              <w:jc w:val="both"/>
              <w:rPr>
                <w:rFonts w:ascii="Arial" w:hAnsi="Arial" w:cs="Arial"/>
                <w:bCs/>
                <w:sz w:val="22"/>
                <w:szCs w:val="22"/>
              </w:rPr>
            </w:pPr>
          </w:p>
          <w:p w14:paraId="69BBEBBB" w14:textId="77777777" w:rsidR="001761D4" w:rsidRPr="007923C2" w:rsidRDefault="001761D4" w:rsidP="001631FF">
            <w:pPr>
              <w:pStyle w:val="Prrafodelista"/>
              <w:numPr>
                <w:ilvl w:val="0"/>
                <w:numId w:val="23"/>
              </w:numPr>
              <w:spacing w:after="0" w:line="240" w:lineRule="auto"/>
              <w:contextualSpacing/>
              <w:jc w:val="both"/>
              <w:rPr>
                <w:rFonts w:ascii="Arial" w:hAnsi="Arial" w:cs="Arial"/>
                <w:bCs/>
                <w:sz w:val="22"/>
                <w:szCs w:val="22"/>
              </w:rPr>
            </w:pPr>
            <w:r w:rsidRPr="007923C2">
              <w:rPr>
                <w:rFonts w:ascii="Arial" w:hAnsi="Arial" w:cs="Arial"/>
                <w:bCs/>
                <w:sz w:val="22"/>
                <w:szCs w:val="22"/>
              </w:rPr>
              <w:t>Biotransformación anaerobia de nitrato presente en agua residual.   </w:t>
            </w:r>
          </w:p>
          <w:p w14:paraId="694F65F5" w14:textId="77777777" w:rsidR="001761D4" w:rsidRPr="007923C2" w:rsidRDefault="001761D4" w:rsidP="001631FF">
            <w:pPr>
              <w:spacing w:after="0" w:line="240" w:lineRule="auto"/>
              <w:jc w:val="both"/>
              <w:rPr>
                <w:rFonts w:ascii="Arial" w:hAnsi="Arial" w:cs="Arial"/>
                <w:bCs/>
                <w:sz w:val="22"/>
                <w:szCs w:val="22"/>
              </w:rPr>
            </w:pPr>
          </w:p>
          <w:p w14:paraId="26075FF7" w14:textId="77777777" w:rsidR="001761D4" w:rsidRPr="007923C2" w:rsidRDefault="001761D4" w:rsidP="001631FF">
            <w:pPr>
              <w:pStyle w:val="Prrafodelista"/>
              <w:numPr>
                <w:ilvl w:val="0"/>
                <w:numId w:val="23"/>
              </w:numPr>
              <w:spacing w:after="0" w:line="240" w:lineRule="auto"/>
              <w:contextualSpacing/>
              <w:jc w:val="both"/>
              <w:rPr>
                <w:rFonts w:ascii="Arial" w:hAnsi="Arial" w:cs="Arial"/>
                <w:bCs/>
                <w:sz w:val="22"/>
                <w:szCs w:val="22"/>
              </w:rPr>
            </w:pPr>
            <w:r w:rsidRPr="007923C2">
              <w:rPr>
                <w:rFonts w:ascii="Arial" w:hAnsi="Arial" w:cs="Arial"/>
                <w:bCs/>
                <w:sz w:val="22"/>
                <w:szCs w:val="22"/>
              </w:rPr>
              <w:t>Determinación del nivel de ploidia cromosómica en Tidestromía lanuginosa (Nutt.) Standl (espantavaqueros) en los municipios de lampazos de Naranjo, N.L. y Salillo, Coah. México.   </w:t>
            </w:r>
          </w:p>
          <w:p w14:paraId="0FDDFF84" w14:textId="77777777" w:rsidR="001761D4" w:rsidRPr="007923C2" w:rsidRDefault="001761D4" w:rsidP="001631FF">
            <w:pPr>
              <w:spacing w:after="0" w:line="240" w:lineRule="auto"/>
              <w:jc w:val="both"/>
              <w:rPr>
                <w:rFonts w:ascii="Arial" w:hAnsi="Arial" w:cs="Arial"/>
                <w:vanish/>
                <w:sz w:val="22"/>
                <w:szCs w:val="22"/>
              </w:rPr>
            </w:pPr>
          </w:p>
          <w:p w14:paraId="52A03655" w14:textId="77777777" w:rsidR="001761D4" w:rsidRPr="007923C2" w:rsidRDefault="001761D4" w:rsidP="001631FF">
            <w:pPr>
              <w:spacing w:after="0" w:line="240" w:lineRule="auto"/>
              <w:jc w:val="both"/>
              <w:rPr>
                <w:rFonts w:ascii="Arial" w:hAnsi="Arial" w:cs="Arial"/>
                <w:vanish/>
                <w:sz w:val="22"/>
                <w:szCs w:val="22"/>
              </w:rPr>
            </w:pPr>
          </w:p>
          <w:p w14:paraId="67512A60" w14:textId="77777777" w:rsidR="001761D4" w:rsidRPr="007923C2" w:rsidRDefault="001761D4" w:rsidP="001631FF">
            <w:pPr>
              <w:spacing w:after="0" w:line="240" w:lineRule="auto"/>
              <w:jc w:val="both"/>
              <w:rPr>
                <w:rFonts w:ascii="Arial" w:hAnsi="Arial" w:cs="Arial"/>
                <w:sz w:val="22"/>
                <w:szCs w:val="22"/>
              </w:rPr>
            </w:pPr>
          </w:p>
          <w:p w14:paraId="2FD39A5D" w14:textId="77777777" w:rsidR="001761D4" w:rsidRPr="007923C2" w:rsidRDefault="001761D4" w:rsidP="001631FF">
            <w:pPr>
              <w:spacing w:after="0" w:line="240" w:lineRule="auto"/>
              <w:jc w:val="both"/>
              <w:rPr>
                <w:rFonts w:ascii="Arial" w:hAnsi="Arial" w:cs="Arial"/>
                <w:sz w:val="22"/>
                <w:szCs w:val="22"/>
              </w:rPr>
            </w:pPr>
            <w:r w:rsidRPr="007923C2">
              <w:rPr>
                <w:rFonts w:ascii="Arial" w:hAnsi="Arial" w:cs="Arial"/>
                <w:b/>
                <w:bCs/>
                <w:i/>
                <w:iCs/>
                <w:sz w:val="22"/>
                <w:szCs w:val="22"/>
              </w:rPr>
              <w:t>SILVIA YUDITH MARTINEZ AMADOR (3796) </w:t>
            </w:r>
          </w:p>
          <w:p w14:paraId="63D5B46E" w14:textId="77777777" w:rsidR="001761D4" w:rsidRPr="007923C2" w:rsidRDefault="001761D4" w:rsidP="001631FF">
            <w:pPr>
              <w:spacing w:after="0" w:line="240" w:lineRule="auto"/>
              <w:jc w:val="both"/>
              <w:rPr>
                <w:rFonts w:ascii="Arial" w:hAnsi="Arial" w:cs="Arial"/>
                <w:sz w:val="22"/>
                <w:szCs w:val="22"/>
              </w:rPr>
            </w:pPr>
          </w:p>
          <w:p w14:paraId="1877C737" w14:textId="77777777" w:rsidR="001761D4" w:rsidRPr="007923C2" w:rsidRDefault="001761D4" w:rsidP="001631FF">
            <w:pPr>
              <w:spacing w:after="0" w:line="240" w:lineRule="auto"/>
              <w:jc w:val="both"/>
              <w:rPr>
                <w:rFonts w:ascii="Arial" w:hAnsi="Arial" w:cs="Arial"/>
                <w:sz w:val="22"/>
                <w:szCs w:val="22"/>
              </w:rPr>
            </w:pPr>
            <w:r w:rsidRPr="007923C2">
              <w:rPr>
                <w:rFonts w:ascii="Arial" w:hAnsi="Arial" w:cs="Arial"/>
                <w:sz w:val="22"/>
                <w:szCs w:val="22"/>
              </w:rPr>
              <w:t>Responsable</w:t>
            </w:r>
          </w:p>
          <w:p w14:paraId="462247FF" w14:textId="77777777" w:rsidR="001761D4" w:rsidRPr="007923C2" w:rsidRDefault="001761D4" w:rsidP="001631FF">
            <w:pPr>
              <w:spacing w:after="0" w:line="240" w:lineRule="auto"/>
              <w:jc w:val="both"/>
              <w:rPr>
                <w:rFonts w:ascii="Arial" w:hAnsi="Arial" w:cs="Arial"/>
                <w:sz w:val="22"/>
                <w:szCs w:val="22"/>
              </w:rPr>
            </w:pPr>
          </w:p>
          <w:p w14:paraId="2C30D243" w14:textId="77777777" w:rsidR="001761D4" w:rsidRPr="007923C2" w:rsidRDefault="001761D4" w:rsidP="001631FF">
            <w:pPr>
              <w:pStyle w:val="Prrafodelista"/>
              <w:numPr>
                <w:ilvl w:val="0"/>
                <w:numId w:val="22"/>
              </w:numPr>
              <w:spacing w:after="0" w:line="240" w:lineRule="auto"/>
              <w:contextualSpacing/>
              <w:jc w:val="both"/>
              <w:rPr>
                <w:rFonts w:ascii="Arial" w:hAnsi="Arial" w:cs="Arial"/>
                <w:bCs/>
                <w:sz w:val="22"/>
                <w:szCs w:val="22"/>
              </w:rPr>
            </w:pPr>
            <w:r w:rsidRPr="007923C2">
              <w:rPr>
                <w:rFonts w:ascii="Arial" w:hAnsi="Arial" w:cs="Arial"/>
                <w:bCs/>
                <w:sz w:val="22"/>
                <w:szCs w:val="22"/>
              </w:rPr>
              <w:t>Evaluación del rendimiento y determinación de la calidad microbiológica de un cultivo de rábano (Raphanus sativus. var. champion) regado con un efluente proveniente de un sistema de tratamiento de biopelícula secuencial anaerobio-aerobio.   </w:t>
            </w:r>
          </w:p>
          <w:p w14:paraId="67FF18E6" w14:textId="77777777" w:rsidR="001761D4" w:rsidRPr="007923C2" w:rsidRDefault="001761D4" w:rsidP="001631FF">
            <w:pPr>
              <w:spacing w:after="0" w:line="240" w:lineRule="auto"/>
              <w:jc w:val="both"/>
              <w:rPr>
                <w:rFonts w:ascii="Arial" w:hAnsi="Arial" w:cs="Arial"/>
                <w:bCs/>
                <w:sz w:val="22"/>
                <w:szCs w:val="22"/>
              </w:rPr>
            </w:pPr>
          </w:p>
          <w:p w14:paraId="406B111D" w14:textId="77777777" w:rsidR="001761D4" w:rsidRPr="007923C2" w:rsidRDefault="001761D4" w:rsidP="001631FF">
            <w:pPr>
              <w:pStyle w:val="Prrafodelista"/>
              <w:numPr>
                <w:ilvl w:val="0"/>
                <w:numId w:val="22"/>
              </w:numPr>
              <w:spacing w:after="0" w:line="240" w:lineRule="auto"/>
              <w:contextualSpacing/>
              <w:jc w:val="both"/>
              <w:rPr>
                <w:rFonts w:ascii="Arial" w:hAnsi="Arial" w:cs="Arial"/>
                <w:bCs/>
                <w:sz w:val="22"/>
                <w:szCs w:val="22"/>
              </w:rPr>
            </w:pPr>
            <w:r w:rsidRPr="007923C2">
              <w:rPr>
                <w:rFonts w:ascii="Arial" w:hAnsi="Arial" w:cs="Arial"/>
                <w:bCs/>
                <w:sz w:val="22"/>
                <w:szCs w:val="22"/>
              </w:rPr>
              <w:t>Biotransformación anaerobia de nitrato presente en agua residual.   </w:t>
            </w:r>
          </w:p>
          <w:p w14:paraId="667C4C0A" w14:textId="77777777" w:rsidR="001761D4" w:rsidRPr="007923C2" w:rsidRDefault="001761D4" w:rsidP="001631FF">
            <w:pPr>
              <w:spacing w:after="0" w:line="240" w:lineRule="auto"/>
              <w:jc w:val="both"/>
              <w:rPr>
                <w:rFonts w:ascii="Arial" w:hAnsi="Arial" w:cs="Arial"/>
                <w:bCs/>
                <w:sz w:val="22"/>
                <w:szCs w:val="22"/>
              </w:rPr>
            </w:pPr>
          </w:p>
          <w:p w14:paraId="497E18EA" w14:textId="77777777" w:rsidR="001761D4" w:rsidRPr="007923C2" w:rsidRDefault="001761D4" w:rsidP="001631FF">
            <w:pPr>
              <w:spacing w:after="0" w:line="240" w:lineRule="auto"/>
              <w:jc w:val="both"/>
              <w:rPr>
                <w:rFonts w:ascii="Arial" w:hAnsi="Arial" w:cs="Arial"/>
                <w:bCs/>
                <w:sz w:val="22"/>
                <w:szCs w:val="22"/>
              </w:rPr>
            </w:pPr>
            <w:r w:rsidRPr="007923C2">
              <w:rPr>
                <w:rFonts w:ascii="Arial" w:hAnsi="Arial" w:cs="Arial"/>
                <w:bCs/>
                <w:sz w:val="22"/>
                <w:szCs w:val="22"/>
              </w:rPr>
              <w:t>Colaborador</w:t>
            </w:r>
          </w:p>
          <w:p w14:paraId="058E9776" w14:textId="77777777" w:rsidR="001761D4" w:rsidRPr="007923C2" w:rsidRDefault="001761D4" w:rsidP="001631FF">
            <w:pPr>
              <w:spacing w:after="0" w:line="240" w:lineRule="auto"/>
              <w:jc w:val="both"/>
              <w:rPr>
                <w:rFonts w:ascii="Arial" w:hAnsi="Arial" w:cs="Arial"/>
                <w:bCs/>
                <w:sz w:val="22"/>
                <w:szCs w:val="22"/>
              </w:rPr>
            </w:pPr>
          </w:p>
          <w:p w14:paraId="4A554429" w14:textId="77777777" w:rsidR="001761D4" w:rsidRPr="007923C2" w:rsidRDefault="001761D4" w:rsidP="001631FF">
            <w:pPr>
              <w:pStyle w:val="Prrafodelista"/>
              <w:numPr>
                <w:ilvl w:val="0"/>
                <w:numId w:val="21"/>
              </w:numPr>
              <w:spacing w:after="0" w:line="240" w:lineRule="auto"/>
              <w:contextualSpacing/>
              <w:jc w:val="both"/>
              <w:rPr>
                <w:rFonts w:ascii="Arial" w:hAnsi="Arial" w:cs="Arial"/>
                <w:bCs/>
                <w:sz w:val="22"/>
                <w:szCs w:val="22"/>
              </w:rPr>
            </w:pPr>
            <w:r w:rsidRPr="007923C2">
              <w:rPr>
                <w:rFonts w:ascii="Arial" w:hAnsi="Arial" w:cs="Arial"/>
                <w:bCs/>
                <w:sz w:val="22"/>
                <w:szCs w:val="22"/>
              </w:rPr>
              <w:t>Propagación localización y comparación morfológica de las especies del Género Echinocereus cactácea de Coahuila   </w:t>
            </w:r>
          </w:p>
          <w:p w14:paraId="4424BEDF" w14:textId="77777777" w:rsidR="001761D4" w:rsidRPr="007923C2" w:rsidRDefault="001761D4" w:rsidP="001631FF">
            <w:pPr>
              <w:spacing w:after="0" w:line="240" w:lineRule="auto"/>
              <w:jc w:val="both"/>
              <w:rPr>
                <w:rFonts w:ascii="Arial" w:hAnsi="Arial" w:cs="Arial"/>
                <w:bCs/>
                <w:sz w:val="22"/>
                <w:szCs w:val="22"/>
              </w:rPr>
            </w:pPr>
          </w:p>
          <w:p w14:paraId="50BB5304" w14:textId="77777777" w:rsidR="001761D4" w:rsidRPr="007923C2" w:rsidRDefault="001761D4" w:rsidP="001631FF">
            <w:pPr>
              <w:pStyle w:val="Prrafodelista"/>
              <w:numPr>
                <w:ilvl w:val="0"/>
                <w:numId w:val="21"/>
              </w:numPr>
              <w:spacing w:after="0" w:line="240" w:lineRule="auto"/>
              <w:contextualSpacing/>
              <w:jc w:val="both"/>
              <w:rPr>
                <w:rFonts w:ascii="Arial" w:hAnsi="Arial" w:cs="Arial"/>
                <w:bCs/>
                <w:sz w:val="22"/>
                <w:szCs w:val="22"/>
              </w:rPr>
            </w:pPr>
            <w:r w:rsidRPr="007923C2">
              <w:rPr>
                <w:rFonts w:ascii="Arial" w:hAnsi="Arial" w:cs="Arial"/>
                <w:bCs/>
                <w:sz w:val="22"/>
                <w:szCs w:val="22"/>
              </w:rPr>
              <w:t>Efecto de la radiación solar sobre la estructura anatómico-histológica foliar de ceratonia silicua L. (algarrobo) en el municipio de Lampazos, N.L.)   </w:t>
            </w:r>
          </w:p>
          <w:p w14:paraId="3D6CB0C5" w14:textId="77777777" w:rsidR="001761D4" w:rsidRPr="007923C2" w:rsidRDefault="001761D4" w:rsidP="001631FF">
            <w:pPr>
              <w:spacing w:after="0" w:line="240" w:lineRule="auto"/>
              <w:jc w:val="both"/>
              <w:rPr>
                <w:rFonts w:ascii="Arial" w:hAnsi="Arial" w:cs="Arial"/>
                <w:bCs/>
                <w:sz w:val="22"/>
                <w:szCs w:val="22"/>
              </w:rPr>
            </w:pPr>
          </w:p>
          <w:p w14:paraId="0DC65A20" w14:textId="77777777" w:rsidR="001761D4" w:rsidRPr="007923C2" w:rsidRDefault="001761D4" w:rsidP="001631FF">
            <w:pPr>
              <w:pStyle w:val="Prrafodelista"/>
              <w:numPr>
                <w:ilvl w:val="0"/>
                <w:numId w:val="21"/>
              </w:numPr>
              <w:spacing w:after="0" w:line="240" w:lineRule="auto"/>
              <w:contextualSpacing/>
              <w:jc w:val="both"/>
              <w:rPr>
                <w:rFonts w:ascii="Arial" w:hAnsi="Arial" w:cs="Arial"/>
                <w:sz w:val="22"/>
                <w:szCs w:val="22"/>
              </w:rPr>
            </w:pPr>
            <w:r w:rsidRPr="007923C2">
              <w:rPr>
                <w:rFonts w:ascii="Arial" w:hAnsi="Arial" w:cs="Arial"/>
                <w:bCs/>
                <w:sz w:val="22"/>
                <w:szCs w:val="22"/>
              </w:rPr>
              <w:t>Determinación del nivel de ploidia cromosómica en Tidestromía lanuginosa (Nutt.) Standl (espantavaqueros) en los municipios de lampazos de Naranjo, N.L. y Salillo, Coah. México</w:t>
            </w:r>
            <w:r w:rsidRPr="007923C2">
              <w:rPr>
                <w:rFonts w:ascii="Arial" w:hAnsi="Arial" w:cs="Arial"/>
                <w:b/>
                <w:bCs/>
                <w:sz w:val="22"/>
                <w:szCs w:val="22"/>
              </w:rPr>
              <w:t>.   </w:t>
            </w:r>
          </w:p>
          <w:p w14:paraId="0D7C27F7" w14:textId="77777777" w:rsidR="001761D4" w:rsidRPr="007923C2" w:rsidRDefault="001761D4" w:rsidP="001631FF">
            <w:pPr>
              <w:pStyle w:val="Prrafodelista"/>
              <w:jc w:val="both"/>
              <w:rPr>
                <w:rFonts w:ascii="Arial" w:hAnsi="Arial" w:cs="Arial"/>
                <w:sz w:val="22"/>
                <w:szCs w:val="22"/>
              </w:rPr>
            </w:pPr>
          </w:p>
          <w:p w14:paraId="6F15D3E4" w14:textId="77777777"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VALDES REYNA JESUS (566) </w:t>
            </w:r>
          </w:p>
          <w:p w14:paraId="336ED5A1" w14:textId="77777777" w:rsidR="001761D4" w:rsidRPr="007923C2" w:rsidRDefault="001761D4" w:rsidP="001631FF">
            <w:pPr>
              <w:spacing w:after="0" w:line="240" w:lineRule="auto"/>
              <w:jc w:val="both"/>
              <w:rPr>
                <w:rFonts w:ascii="Arial" w:hAnsi="Arial" w:cs="Arial"/>
                <w:b/>
                <w:bCs/>
                <w:i/>
                <w:iCs/>
                <w:sz w:val="22"/>
                <w:szCs w:val="22"/>
              </w:rPr>
            </w:pPr>
          </w:p>
          <w:p w14:paraId="3E064872" w14:textId="77777777" w:rsidR="001761D4" w:rsidRPr="007923C2" w:rsidRDefault="001761D4" w:rsidP="001631FF">
            <w:pPr>
              <w:spacing w:after="0" w:line="240" w:lineRule="auto"/>
              <w:jc w:val="both"/>
              <w:rPr>
                <w:rFonts w:ascii="Arial" w:hAnsi="Arial" w:cs="Arial"/>
                <w:sz w:val="22"/>
                <w:szCs w:val="22"/>
              </w:rPr>
            </w:pPr>
            <w:r w:rsidRPr="007923C2">
              <w:rPr>
                <w:rFonts w:ascii="Arial" w:hAnsi="Arial" w:cs="Arial"/>
                <w:sz w:val="22"/>
                <w:szCs w:val="22"/>
              </w:rPr>
              <w:t>Responsable</w:t>
            </w:r>
          </w:p>
          <w:p w14:paraId="121617C8" w14:textId="77777777" w:rsidR="001761D4" w:rsidRPr="007923C2" w:rsidRDefault="001761D4" w:rsidP="001631FF">
            <w:pPr>
              <w:spacing w:after="0" w:line="240" w:lineRule="auto"/>
              <w:jc w:val="both"/>
              <w:rPr>
                <w:rFonts w:ascii="Arial" w:hAnsi="Arial" w:cs="Arial"/>
                <w:sz w:val="22"/>
                <w:szCs w:val="22"/>
              </w:rPr>
            </w:pPr>
          </w:p>
          <w:p w14:paraId="749B0961" w14:textId="77777777" w:rsidR="001761D4" w:rsidRPr="007923C2" w:rsidRDefault="001761D4" w:rsidP="001631FF">
            <w:pPr>
              <w:pStyle w:val="Prrafodelista"/>
              <w:numPr>
                <w:ilvl w:val="0"/>
                <w:numId w:val="26"/>
              </w:numPr>
              <w:spacing w:after="0" w:line="240" w:lineRule="auto"/>
              <w:contextualSpacing/>
              <w:jc w:val="both"/>
              <w:rPr>
                <w:rFonts w:ascii="Arial" w:hAnsi="Arial" w:cs="Arial"/>
                <w:bCs/>
                <w:sz w:val="22"/>
                <w:szCs w:val="22"/>
              </w:rPr>
            </w:pPr>
            <w:r w:rsidRPr="007923C2">
              <w:rPr>
                <w:rFonts w:ascii="Arial" w:hAnsi="Arial" w:cs="Arial"/>
                <w:bCs/>
                <w:sz w:val="22"/>
                <w:szCs w:val="22"/>
              </w:rPr>
              <w:lastRenderedPageBreak/>
              <w:t>Estructura, diversidad y aspectos ecológicos del bosque de Pinus cembroides Zucc. De la sierra de Zapalinamé, Coahuila, México.   </w:t>
            </w:r>
          </w:p>
          <w:p w14:paraId="7AC3B124" w14:textId="77777777" w:rsidR="001761D4" w:rsidRPr="007923C2" w:rsidRDefault="001761D4" w:rsidP="001631FF">
            <w:pPr>
              <w:spacing w:after="0" w:line="240" w:lineRule="auto"/>
              <w:jc w:val="both"/>
              <w:rPr>
                <w:rFonts w:ascii="Arial" w:hAnsi="Arial" w:cs="Arial"/>
                <w:bCs/>
                <w:sz w:val="22"/>
                <w:szCs w:val="22"/>
              </w:rPr>
            </w:pPr>
          </w:p>
          <w:p w14:paraId="406FA94A" w14:textId="77777777" w:rsidR="001761D4" w:rsidRPr="007923C2" w:rsidRDefault="001761D4" w:rsidP="001631FF">
            <w:pPr>
              <w:pStyle w:val="Prrafodelista"/>
              <w:numPr>
                <w:ilvl w:val="0"/>
                <w:numId w:val="26"/>
              </w:numPr>
              <w:spacing w:after="0" w:line="240" w:lineRule="auto"/>
              <w:contextualSpacing/>
              <w:jc w:val="both"/>
              <w:rPr>
                <w:rFonts w:ascii="Arial" w:hAnsi="Arial" w:cs="Arial"/>
                <w:bCs/>
                <w:sz w:val="22"/>
                <w:szCs w:val="22"/>
              </w:rPr>
            </w:pPr>
            <w:r w:rsidRPr="007923C2">
              <w:rPr>
                <w:rFonts w:ascii="Arial" w:hAnsi="Arial" w:cs="Arial"/>
                <w:bCs/>
                <w:sz w:val="22"/>
                <w:szCs w:val="22"/>
              </w:rPr>
              <w:t>La subfamilia panicoideae (Poaceae) en Coahuila, México: Gramíneas Invasoras   </w:t>
            </w:r>
          </w:p>
          <w:p w14:paraId="16BE556D" w14:textId="77777777" w:rsidR="001761D4" w:rsidRPr="007923C2" w:rsidRDefault="001761D4" w:rsidP="001631FF">
            <w:pPr>
              <w:spacing w:after="0" w:line="240" w:lineRule="auto"/>
              <w:jc w:val="both"/>
              <w:rPr>
                <w:rFonts w:ascii="Arial" w:hAnsi="Arial" w:cs="Arial"/>
                <w:bCs/>
                <w:sz w:val="22"/>
                <w:szCs w:val="22"/>
              </w:rPr>
            </w:pPr>
          </w:p>
          <w:p w14:paraId="1EDFEC66" w14:textId="77777777" w:rsidR="001761D4" w:rsidRPr="007923C2" w:rsidRDefault="001761D4" w:rsidP="001631FF">
            <w:pPr>
              <w:spacing w:after="0" w:line="240" w:lineRule="auto"/>
              <w:jc w:val="both"/>
              <w:rPr>
                <w:rFonts w:ascii="Arial" w:hAnsi="Arial" w:cs="Arial"/>
                <w:bCs/>
                <w:sz w:val="22"/>
                <w:szCs w:val="22"/>
              </w:rPr>
            </w:pPr>
            <w:r w:rsidRPr="007923C2">
              <w:rPr>
                <w:rFonts w:ascii="Arial" w:hAnsi="Arial" w:cs="Arial"/>
                <w:bCs/>
                <w:sz w:val="22"/>
                <w:szCs w:val="22"/>
              </w:rPr>
              <w:t>Colaborador</w:t>
            </w:r>
          </w:p>
          <w:p w14:paraId="0F7CC892" w14:textId="77777777" w:rsidR="001761D4" w:rsidRPr="007923C2" w:rsidRDefault="001761D4" w:rsidP="001631FF">
            <w:pPr>
              <w:spacing w:after="0" w:line="240" w:lineRule="auto"/>
              <w:jc w:val="both"/>
              <w:rPr>
                <w:rFonts w:ascii="Arial" w:hAnsi="Arial" w:cs="Arial"/>
                <w:bCs/>
                <w:sz w:val="22"/>
                <w:szCs w:val="22"/>
              </w:rPr>
            </w:pPr>
          </w:p>
          <w:p w14:paraId="41272F67" w14:textId="77777777" w:rsidR="001761D4" w:rsidRPr="007923C2" w:rsidRDefault="001761D4" w:rsidP="001631FF">
            <w:pPr>
              <w:pStyle w:val="Prrafodelista"/>
              <w:numPr>
                <w:ilvl w:val="0"/>
                <w:numId w:val="27"/>
              </w:numPr>
              <w:spacing w:after="0" w:line="240" w:lineRule="auto"/>
              <w:contextualSpacing/>
              <w:jc w:val="both"/>
              <w:rPr>
                <w:rFonts w:ascii="Arial" w:hAnsi="Arial" w:cs="Arial"/>
                <w:bCs/>
                <w:sz w:val="22"/>
                <w:szCs w:val="22"/>
              </w:rPr>
            </w:pPr>
            <w:r w:rsidRPr="007923C2">
              <w:rPr>
                <w:rFonts w:ascii="Arial" w:hAnsi="Arial" w:cs="Arial"/>
                <w:bCs/>
                <w:sz w:val="22"/>
                <w:szCs w:val="22"/>
              </w:rPr>
              <w:t>Plantas endémicas y raras de Coahuila   </w:t>
            </w:r>
          </w:p>
          <w:p w14:paraId="17525C43" w14:textId="77777777" w:rsidR="001761D4" w:rsidRPr="007923C2" w:rsidRDefault="001761D4" w:rsidP="001631FF">
            <w:pPr>
              <w:spacing w:after="0" w:line="240" w:lineRule="auto"/>
              <w:jc w:val="both"/>
              <w:rPr>
                <w:rFonts w:ascii="Arial" w:hAnsi="Arial" w:cs="Arial"/>
                <w:bCs/>
                <w:sz w:val="22"/>
                <w:szCs w:val="22"/>
              </w:rPr>
            </w:pPr>
          </w:p>
          <w:p w14:paraId="4DAA21A6" w14:textId="77777777" w:rsidR="001761D4" w:rsidRPr="007923C2" w:rsidRDefault="001761D4" w:rsidP="001631FF">
            <w:pPr>
              <w:pStyle w:val="Prrafodelista"/>
              <w:numPr>
                <w:ilvl w:val="0"/>
                <w:numId w:val="27"/>
              </w:numPr>
              <w:spacing w:after="0" w:line="240" w:lineRule="auto"/>
              <w:contextualSpacing/>
              <w:jc w:val="both"/>
              <w:rPr>
                <w:rFonts w:ascii="Arial" w:hAnsi="Arial" w:cs="Arial"/>
                <w:bCs/>
                <w:sz w:val="22"/>
                <w:szCs w:val="22"/>
              </w:rPr>
            </w:pPr>
            <w:r w:rsidRPr="007923C2">
              <w:rPr>
                <w:rFonts w:ascii="Arial" w:hAnsi="Arial" w:cs="Arial"/>
                <w:bCs/>
                <w:sz w:val="22"/>
                <w:szCs w:val="22"/>
              </w:rPr>
              <w:t>Evaluación de diluciones de extracto de gobernadora (Larrea tridentata) en el control de garrapata   </w:t>
            </w:r>
          </w:p>
          <w:p w14:paraId="12D9B6B2" w14:textId="77777777" w:rsidR="001761D4" w:rsidRPr="007923C2" w:rsidRDefault="001761D4" w:rsidP="001631FF">
            <w:pPr>
              <w:spacing w:after="0" w:line="240" w:lineRule="auto"/>
              <w:jc w:val="both"/>
              <w:rPr>
                <w:rFonts w:ascii="Arial" w:hAnsi="Arial" w:cs="Arial"/>
                <w:bCs/>
                <w:sz w:val="22"/>
                <w:szCs w:val="22"/>
              </w:rPr>
            </w:pPr>
          </w:p>
          <w:p w14:paraId="454298E4" w14:textId="77777777" w:rsidR="001761D4" w:rsidRPr="007923C2" w:rsidRDefault="001761D4" w:rsidP="001631FF">
            <w:pPr>
              <w:pStyle w:val="Prrafodelista"/>
              <w:numPr>
                <w:ilvl w:val="0"/>
                <w:numId w:val="27"/>
              </w:numPr>
              <w:spacing w:after="0" w:line="240" w:lineRule="auto"/>
              <w:contextualSpacing/>
              <w:jc w:val="both"/>
              <w:rPr>
                <w:rFonts w:ascii="Arial" w:hAnsi="Arial" w:cs="Arial"/>
                <w:sz w:val="22"/>
                <w:szCs w:val="22"/>
              </w:rPr>
            </w:pPr>
            <w:r w:rsidRPr="007923C2">
              <w:rPr>
                <w:rFonts w:ascii="Arial" w:hAnsi="Arial" w:cs="Arial"/>
                <w:bCs/>
                <w:sz w:val="22"/>
                <w:szCs w:val="22"/>
              </w:rPr>
              <w:t>Restauración agroecológica de pastizales deteriorados aplicando nodricismo   </w:t>
            </w:r>
          </w:p>
          <w:p w14:paraId="26F02E95" w14:textId="77777777" w:rsidR="001761D4" w:rsidRPr="007923C2" w:rsidRDefault="001761D4" w:rsidP="001631FF">
            <w:pPr>
              <w:pStyle w:val="Prrafodelista"/>
              <w:jc w:val="both"/>
              <w:rPr>
                <w:rFonts w:ascii="Arial" w:hAnsi="Arial" w:cs="Arial"/>
                <w:bCs/>
                <w:sz w:val="22"/>
                <w:szCs w:val="22"/>
              </w:rPr>
            </w:pPr>
          </w:p>
          <w:p w14:paraId="6737D61B"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VILLARREAL QUINTANILLA JOSE ANGEL (1061) </w:t>
            </w:r>
          </w:p>
          <w:p w14:paraId="641DAAB0" w14:textId="77777777"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14:paraId="612A1CD1" w14:textId="77777777" w:rsidR="001761D4" w:rsidRPr="007923C2" w:rsidRDefault="001761D4" w:rsidP="001631FF">
            <w:pPr>
              <w:pStyle w:val="Prrafodelista"/>
              <w:numPr>
                <w:ilvl w:val="0"/>
                <w:numId w:val="29"/>
              </w:numPr>
              <w:spacing w:after="200"/>
              <w:contextualSpacing/>
              <w:jc w:val="both"/>
              <w:rPr>
                <w:rFonts w:ascii="Arial" w:hAnsi="Arial" w:cs="Arial"/>
                <w:bCs/>
                <w:sz w:val="22"/>
                <w:szCs w:val="22"/>
              </w:rPr>
            </w:pPr>
            <w:r w:rsidRPr="007923C2">
              <w:rPr>
                <w:rFonts w:ascii="Arial" w:hAnsi="Arial" w:cs="Arial"/>
                <w:bCs/>
                <w:sz w:val="22"/>
                <w:szCs w:val="22"/>
              </w:rPr>
              <w:t>Plantas endémicas y raras de Coahuila   </w:t>
            </w:r>
          </w:p>
          <w:p w14:paraId="27A079EF" w14:textId="77777777" w:rsidR="001761D4" w:rsidRPr="007923C2" w:rsidRDefault="001761D4" w:rsidP="001631FF">
            <w:pPr>
              <w:pStyle w:val="Prrafodelista"/>
              <w:numPr>
                <w:ilvl w:val="0"/>
                <w:numId w:val="29"/>
              </w:numPr>
              <w:spacing w:after="200"/>
              <w:contextualSpacing/>
              <w:jc w:val="both"/>
              <w:rPr>
                <w:rFonts w:ascii="Arial" w:hAnsi="Arial" w:cs="Arial"/>
                <w:bCs/>
                <w:sz w:val="22"/>
                <w:szCs w:val="22"/>
              </w:rPr>
            </w:pPr>
            <w:r w:rsidRPr="007923C2">
              <w:rPr>
                <w:rFonts w:ascii="Arial" w:hAnsi="Arial" w:cs="Arial"/>
                <w:bCs/>
                <w:sz w:val="22"/>
                <w:szCs w:val="22"/>
              </w:rPr>
              <w:t>Polinización de agaves en gradientes altitudinales en la porción norte de la sierra madre oriental   </w:t>
            </w:r>
          </w:p>
          <w:p w14:paraId="527290E7"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102DC7E9" w14:textId="77777777" w:rsidR="001761D4" w:rsidRPr="007923C2" w:rsidRDefault="001761D4" w:rsidP="001631FF">
            <w:pPr>
              <w:pStyle w:val="Prrafodelista"/>
              <w:numPr>
                <w:ilvl w:val="0"/>
                <w:numId w:val="28"/>
              </w:numPr>
              <w:spacing w:after="200"/>
              <w:contextualSpacing/>
              <w:jc w:val="both"/>
              <w:rPr>
                <w:rFonts w:ascii="Arial" w:hAnsi="Arial" w:cs="Arial"/>
                <w:bCs/>
                <w:sz w:val="22"/>
                <w:szCs w:val="22"/>
              </w:rPr>
            </w:pPr>
            <w:r w:rsidRPr="007923C2">
              <w:rPr>
                <w:rFonts w:ascii="Arial" w:hAnsi="Arial" w:cs="Arial"/>
                <w:bCs/>
                <w:sz w:val="22"/>
                <w:szCs w:val="22"/>
              </w:rPr>
              <w:t>Estudios de producción y fitoquímica de especies y cultivos con potencial industrial y actividad citotóxica de extractos de plantas medicinales del semidesierto sobre células cancerígenas humanas.   </w:t>
            </w:r>
          </w:p>
          <w:p w14:paraId="475AEEE4" w14:textId="77777777" w:rsidR="001761D4" w:rsidRPr="007923C2" w:rsidRDefault="001761D4" w:rsidP="001631FF">
            <w:pPr>
              <w:pStyle w:val="Prrafodelista"/>
              <w:numPr>
                <w:ilvl w:val="0"/>
                <w:numId w:val="28"/>
              </w:numPr>
              <w:spacing w:after="200"/>
              <w:contextualSpacing/>
              <w:jc w:val="both"/>
              <w:rPr>
                <w:rFonts w:ascii="Arial" w:hAnsi="Arial" w:cs="Arial"/>
                <w:bCs/>
                <w:sz w:val="22"/>
                <w:szCs w:val="22"/>
              </w:rPr>
            </w:pPr>
            <w:r w:rsidRPr="007923C2">
              <w:rPr>
                <w:rFonts w:ascii="Arial" w:hAnsi="Arial" w:cs="Arial"/>
                <w:bCs/>
                <w:sz w:val="22"/>
                <w:szCs w:val="22"/>
              </w:rPr>
              <w:t>extractos de plantas del semidesierto para el conrol de hongos y como inductores de fitoalexinas   </w:t>
            </w:r>
          </w:p>
          <w:p w14:paraId="068B71FB" w14:textId="77777777" w:rsidR="001761D4" w:rsidRPr="007923C2" w:rsidRDefault="001761D4" w:rsidP="001631FF">
            <w:pPr>
              <w:pStyle w:val="Prrafodelista"/>
              <w:numPr>
                <w:ilvl w:val="0"/>
                <w:numId w:val="28"/>
              </w:numPr>
              <w:spacing w:after="200"/>
              <w:contextualSpacing/>
              <w:jc w:val="both"/>
              <w:rPr>
                <w:rFonts w:ascii="Arial" w:hAnsi="Arial" w:cs="Arial"/>
                <w:bCs/>
                <w:sz w:val="22"/>
                <w:szCs w:val="22"/>
              </w:rPr>
            </w:pPr>
            <w:r w:rsidRPr="007923C2">
              <w:rPr>
                <w:rFonts w:ascii="Arial" w:hAnsi="Arial" w:cs="Arial"/>
                <w:bCs/>
                <w:sz w:val="22"/>
                <w:szCs w:val="22"/>
              </w:rPr>
              <w:t>Efecto del ácido salicilico en el crecimiento y rendimiento del hongo Pleurotus ostreatus cultivado en diferentes sustratos   </w:t>
            </w:r>
          </w:p>
          <w:p w14:paraId="2EA052CC" w14:textId="77777777" w:rsidR="001761D4" w:rsidRPr="007923C2" w:rsidRDefault="001761D4" w:rsidP="001631FF">
            <w:pPr>
              <w:pStyle w:val="Prrafodelista"/>
              <w:numPr>
                <w:ilvl w:val="0"/>
                <w:numId w:val="28"/>
              </w:numPr>
              <w:spacing w:after="200"/>
              <w:contextualSpacing/>
              <w:jc w:val="both"/>
              <w:rPr>
                <w:rFonts w:ascii="Arial" w:hAnsi="Arial" w:cs="Arial"/>
                <w:bCs/>
                <w:sz w:val="22"/>
                <w:szCs w:val="22"/>
              </w:rPr>
            </w:pPr>
            <w:r w:rsidRPr="007923C2">
              <w:rPr>
                <w:rFonts w:ascii="Arial" w:hAnsi="Arial" w:cs="Arial"/>
                <w:bCs/>
                <w:sz w:val="22"/>
                <w:szCs w:val="22"/>
              </w:rPr>
              <w:t>La subfamilia panicoideae (Poaceae) en Coahuila, México: Gramíneas Invasoras.</w:t>
            </w:r>
          </w:p>
          <w:p w14:paraId="579520D1" w14:textId="77777777" w:rsidR="001761D4" w:rsidRPr="007923C2" w:rsidRDefault="001761D4" w:rsidP="001631FF">
            <w:pPr>
              <w:pStyle w:val="Prrafodelista"/>
              <w:numPr>
                <w:ilvl w:val="0"/>
                <w:numId w:val="28"/>
              </w:numPr>
              <w:spacing w:after="200"/>
              <w:contextualSpacing/>
              <w:jc w:val="both"/>
              <w:rPr>
                <w:rFonts w:ascii="Arial" w:hAnsi="Arial" w:cs="Arial"/>
                <w:bCs/>
                <w:sz w:val="22"/>
                <w:szCs w:val="22"/>
              </w:rPr>
            </w:pPr>
            <w:r w:rsidRPr="007923C2">
              <w:rPr>
                <w:rFonts w:ascii="Arial" w:hAnsi="Arial" w:cs="Arial"/>
                <w:bCs/>
                <w:sz w:val="22"/>
                <w:szCs w:val="22"/>
              </w:rPr>
              <w:t>Entobotánica de la familia Agavaceae en el estado de Coahuila   </w:t>
            </w:r>
            <w:r w:rsidRPr="007923C2">
              <w:rPr>
                <w:rFonts w:ascii="Arial" w:hAnsi="Arial" w:cs="Arial"/>
                <w:bCs/>
                <w:sz w:val="22"/>
                <w:szCs w:val="22"/>
              </w:rPr>
              <w:br/>
            </w:r>
          </w:p>
          <w:p w14:paraId="0F18E16C"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CARRANZA PEREZ MIGUEL AGUSTIN (1491) </w:t>
            </w:r>
          </w:p>
          <w:p w14:paraId="488CAA80" w14:textId="77777777" w:rsidR="001761D4" w:rsidRPr="007923C2" w:rsidRDefault="001761D4" w:rsidP="001631FF">
            <w:pPr>
              <w:jc w:val="both"/>
              <w:rPr>
                <w:rFonts w:ascii="Arial" w:hAnsi="Arial" w:cs="Arial"/>
                <w:bCs/>
                <w:sz w:val="22"/>
                <w:szCs w:val="22"/>
              </w:rPr>
            </w:pPr>
            <w:r w:rsidRPr="007923C2">
              <w:rPr>
                <w:rFonts w:ascii="Arial" w:hAnsi="Arial" w:cs="Arial"/>
                <w:bCs/>
                <w:i/>
                <w:iCs/>
                <w:sz w:val="22"/>
                <w:szCs w:val="22"/>
              </w:rPr>
              <w:t>Colaborador</w:t>
            </w:r>
          </w:p>
          <w:p w14:paraId="5775C82A" w14:textId="77777777" w:rsidR="001761D4" w:rsidRPr="007923C2" w:rsidRDefault="001761D4" w:rsidP="001631FF">
            <w:pPr>
              <w:pStyle w:val="Prrafodelista"/>
              <w:numPr>
                <w:ilvl w:val="0"/>
                <w:numId w:val="35"/>
              </w:numPr>
              <w:spacing w:after="200"/>
              <w:contextualSpacing/>
              <w:jc w:val="both"/>
              <w:rPr>
                <w:rFonts w:ascii="Arial" w:hAnsi="Arial" w:cs="Arial"/>
                <w:bCs/>
                <w:sz w:val="22"/>
                <w:szCs w:val="22"/>
              </w:rPr>
            </w:pPr>
            <w:r w:rsidRPr="007923C2">
              <w:rPr>
                <w:rFonts w:ascii="Arial" w:hAnsi="Arial" w:cs="Arial"/>
                <w:bCs/>
                <w:sz w:val="22"/>
                <w:szCs w:val="22"/>
              </w:rPr>
              <w:t>Propagación localización y comparación morfológica de las especies del Género Echinocereus cactácea de Coahuila   </w:t>
            </w:r>
          </w:p>
          <w:p w14:paraId="5C8CE107"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Proyectos de Desarrollo</w:t>
            </w:r>
          </w:p>
          <w:p w14:paraId="23A1A75B" w14:textId="77777777" w:rsidR="001761D4" w:rsidRPr="007512D0" w:rsidRDefault="001761D4" w:rsidP="001631FF">
            <w:pPr>
              <w:jc w:val="both"/>
              <w:rPr>
                <w:rFonts w:ascii="Arial" w:hAnsi="Arial" w:cs="Arial"/>
                <w:b/>
                <w:bCs/>
                <w:i/>
                <w:iCs/>
                <w:sz w:val="22"/>
                <w:szCs w:val="22"/>
              </w:rPr>
            </w:pPr>
            <w:r w:rsidRPr="007512D0">
              <w:rPr>
                <w:rFonts w:ascii="Arial" w:hAnsi="Arial" w:cs="Arial"/>
                <w:b/>
                <w:bCs/>
                <w:i/>
                <w:iCs/>
                <w:sz w:val="22"/>
                <w:szCs w:val="22"/>
              </w:rPr>
              <w:t>PEREZ CUELLAR SILVIA (575) </w:t>
            </w:r>
          </w:p>
          <w:p w14:paraId="0B9E116C" w14:textId="77777777" w:rsidR="001761D4" w:rsidRPr="007923C2" w:rsidRDefault="001761D4" w:rsidP="001631FF">
            <w:pPr>
              <w:pStyle w:val="Prrafodelista"/>
              <w:numPr>
                <w:ilvl w:val="0"/>
                <w:numId w:val="36"/>
              </w:numPr>
              <w:spacing w:after="200"/>
              <w:contextualSpacing/>
              <w:jc w:val="both"/>
              <w:rPr>
                <w:rFonts w:ascii="Arial" w:hAnsi="Arial" w:cs="Arial"/>
                <w:b/>
                <w:bCs/>
                <w:sz w:val="22"/>
                <w:szCs w:val="22"/>
              </w:rPr>
            </w:pPr>
            <w:r w:rsidRPr="007923C2">
              <w:rPr>
                <w:rFonts w:ascii="Arial" w:hAnsi="Arial" w:cs="Arial"/>
                <w:bCs/>
                <w:sz w:val="22"/>
                <w:szCs w:val="22"/>
              </w:rPr>
              <w:t>Composta Orgánica</w:t>
            </w:r>
            <w:r w:rsidRPr="007923C2">
              <w:rPr>
                <w:rFonts w:ascii="Arial" w:hAnsi="Arial" w:cs="Arial"/>
                <w:b/>
                <w:bCs/>
                <w:sz w:val="22"/>
                <w:szCs w:val="22"/>
              </w:rPr>
              <w:t xml:space="preserve">   </w:t>
            </w:r>
          </w:p>
          <w:p w14:paraId="4A0F1B06" w14:textId="77777777" w:rsidR="001761D4" w:rsidRPr="007923C2" w:rsidRDefault="001761D4" w:rsidP="001631FF">
            <w:pPr>
              <w:pStyle w:val="Prrafodelista"/>
              <w:numPr>
                <w:ilvl w:val="0"/>
                <w:numId w:val="36"/>
              </w:numPr>
              <w:spacing w:after="200"/>
              <w:contextualSpacing/>
              <w:jc w:val="both"/>
              <w:rPr>
                <w:rFonts w:ascii="Arial" w:hAnsi="Arial" w:cs="Arial"/>
                <w:bCs/>
                <w:sz w:val="22"/>
                <w:szCs w:val="22"/>
              </w:rPr>
            </w:pPr>
            <w:r w:rsidRPr="007923C2">
              <w:rPr>
                <w:rFonts w:ascii="Arial" w:hAnsi="Arial" w:cs="Arial"/>
                <w:bCs/>
                <w:sz w:val="22"/>
                <w:szCs w:val="22"/>
              </w:rPr>
              <w:t>Reciclado de Desechos</w:t>
            </w:r>
          </w:p>
          <w:p w14:paraId="408C9743"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Profesores Investigadores Departamentos de Apoyo</w:t>
            </w:r>
          </w:p>
          <w:p w14:paraId="6C93B643" w14:textId="77777777" w:rsidR="00AC6A89" w:rsidRPr="007923C2" w:rsidRDefault="00AC6A89" w:rsidP="001631FF">
            <w:pPr>
              <w:jc w:val="both"/>
              <w:rPr>
                <w:rFonts w:ascii="Arial" w:hAnsi="Arial" w:cs="Arial"/>
                <w:b/>
                <w:bCs/>
                <w:i/>
                <w:iCs/>
                <w:sz w:val="22"/>
                <w:szCs w:val="22"/>
              </w:rPr>
            </w:pPr>
          </w:p>
          <w:p w14:paraId="79C408C5"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GALLEGOS MORALES GABRIEL (3237) </w:t>
            </w:r>
          </w:p>
          <w:p w14:paraId="70916513" w14:textId="77777777"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14:paraId="14DF7F51" w14:textId="77777777" w:rsidR="001761D4" w:rsidRPr="007923C2" w:rsidRDefault="001761D4" w:rsidP="001631FF">
            <w:pPr>
              <w:pStyle w:val="Prrafodelista"/>
              <w:numPr>
                <w:ilvl w:val="0"/>
                <w:numId w:val="31"/>
              </w:numPr>
              <w:spacing w:after="200"/>
              <w:contextualSpacing/>
              <w:jc w:val="both"/>
              <w:rPr>
                <w:rFonts w:ascii="Arial" w:hAnsi="Arial" w:cs="Arial"/>
                <w:bCs/>
                <w:sz w:val="22"/>
                <w:szCs w:val="22"/>
              </w:rPr>
            </w:pPr>
            <w:r w:rsidRPr="007923C2">
              <w:rPr>
                <w:rFonts w:ascii="Arial" w:hAnsi="Arial" w:cs="Arial"/>
                <w:bCs/>
                <w:sz w:val="22"/>
                <w:szCs w:val="22"/>
              </w:rPr>
              <w:t>Caracterización y evaluación de metabolitos de actinomicetos con actividades antagonistas contra fitopatógenos de importancia económica   </w:t>
            </w:r>
          </w:p>
          <w:p w14:paraId="5D24122D" w14:textId="77777777" w:rsidR="001761D4" w:rsidRPr="007923C2" w:rsidRDefault="001761D4" w:rsidP="001631FF">
            <w:pPr>
              <w:pStyle w:val="Prrafodelista"/>
              <w:numPr>
                <w:ilvl w:val="0"/>
                <w:numId w:val="31"/>
              </w:numPr>
              <w:spacing w:after="200"/>
              <w:contextualSpacing/>
              <w:jc w:val="both"/>
              <w:rPr>
                <w:rFonts w:ascii="Arial" w:hAnsi="Arial" w:cs="Arial"/>
                <w:bCs/>
                <w:sz w:val="22"/>
                <w:szCs w:val="22"/>
              </w:rPr>
            </w:pPr>
            <w:r w:rsidRPr="007923C2">
              <w:rPr>
                <w:rFonts w:ascii="Arial" w:hAnsi="Arial" w:cs="Arial"/>
                <w:bCs/>
                <w:sz w:val="22"/>
                <w:szCs w:val="22"/>
              </w:rPr>
              <w:t>Caracterización de enemigos naturales de Monoctenus sanchezi Smith (Hymenopter: Diprionidae) en la Sierra de Álvarez, San Luis Potosí   </w:t>
            </w:r>
          </w:p>
          <w:p w14:paraId="4BDA3AB0" w14:textId="77777777" w:rsidR="001761D4" w:rsidRPr="007923C2" w:rsidRDefault="001761D4" w:rsidP="001631FF">
            <w:pPr>
              <w:pStyle w:val="Prrafodelista"/>
              <w:numPr>
                <w:ilvl w:val="0"/>
                <w:numId w:val="31"/>
              </w:numPr>
              <w:spacing w:after="200"/>
              <w:contextualSpacing/>
              <w:jc w:val="both"/>
              <w:rPr>
                <w:rFonts w:ascii="Arial" w:hAnsi="Arial" w:cs="Arial"/>
                <w:bCs/>
                <w:sz w:val="22"/>
                <w:szCs w:val="22"/>
              </w:rPr>
            </w:pPr>
            <w:r w:rsidRPr="007923C2">
              <w:rPr>
                <w:rFonts w:ascii="Arial" w:hAnsi="Arial" w:cs="Arial"/>
                <w:bCs/>
                <w:sz w:val="22"/>
                <w:szCs w:val="22"/>
              </w:rPr>
              <w:t>Pleiotropismo en la variabilidad genética de Bactericera cockerelli (sulc) resultado de la resistencia a insecticidas   </w:t>
            </w:r>
          </w:p>
          <w:p w14:paraId="0E0A52D3"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3D1816CF" w14:textId="77777777" w:rsidR="001761D4" w:rsidRPr="007923C2" w:rsidRDefault="001761D4" w:rsidP="001631FF">
            <w:pPr>
              <w:pStyle w:val="Prrafodelista"/>
              <w:numPr>
                <w:ilvl w:val="0"/>
                <w:numId w:val="30"/>
              </w:numPr>
              <w:spacing w:after="200"/>
              <w:contextualSpacing/>
              <w:jc w:val="both"/>
              <w:rPr>
                <w:rFonts w:ascii="Arial" w:hAnsi="Arial" w:cs="Arial"/>
                <w:bCs/>
                <w:sz w:val="22"/>
                <w:szCs w:val="22"/>
              </w:rPr>
            </w:pPr>
            <w:r w:rsidRPr="007923C2">
              <w:rPr>
                <w:rFonts w:ascii="Arial" w:hAnsi="Arial" w:cs="Arial"/>
                <w:bCs/>
                <w:sz w:val="22"/>
                <w:szCs w:val="22"/>
              </w:rPr>
              <w:t>Extractos de ac. Jasmonico de Botryodiplodia theobromae como inductor de resistencia a fusarium oxysporum en plantas de tomate   </w:t>
            </w:r>
          </w:p>
          <w:p w14:paraId="602FD8D7" w14:textId="77777777" w:rsidR="001761D4" w:rsidRPr="007923C2" w:rsidRDefault="001761D4" w:rsidP="001631FF">
            <w:pPr>
              <w:pStyle w:val="Prrafodelista"/>
              <w:numPr>
                <w:ilvl w:val="0"/>
                <w:numId w:val="30"/>
              </w:numPr>
              <w:spacing w:after="200"/>
              <w:contextualSpacing/>
              <w:jc w:val="both"/>
              <w:rPr>
                <w:rFonts w:ascii="Arial" w:hAnsi="Arial" w:cs="Arial"/>
                <w:bCs/>
                <w:sz w:val="22"/>
                <w:szCs w:val="22"/>
              </w:rPr>
            </w:pPr>
            <w:r w:rsidRPr="007923C2">
              <w:rPr>
                <w:rFonts w:ascii="Arial" w:hAnsi="Arial" w:cs="Arial"/>
                <w:bCs/>
                <w:sz w:val="22"/>
                <w:szCs w:val="22"/>
              </w:rPr>
              <w:t>Inducción de resistencia sistemática a Fusarium oxysporum en plantas de tomate utilizando Bacillus subtilis y Trichoderma</w:t>
            </w:r>
          </w:p>
          <w:p w14:paraId="269EA18C" w14:textId="77777777" w:rsidR="001761D4" w:rsidRPr="007923C2" w:rsidRDefault="001761D4" w:rsidP="001631FF">
            <w:pPr>
              <w:pStyle w:val="Prrafodelista"/>
              <w:numPr>
                <w:ilvl w:val="0"/>
                <w:numId w:val="30"/>
              </w:numPr>
              <w:spacing w:after="200"/>
              <w:contextualSpacing/>
              <w:jc w:val="both"/>
              <w:rPr>
                <w:rFonts w:ascii="Arial" w:hAnsi="Arial" w:cs="Arial"/>
                <w:bCs/>
                <w:i/>
                <w:iCs/>
                <w:sz w:val="22"/>
                <w:szCs w:val="22"/>
              </w:rPr>
            </w:pPr>
            <w:r w:rsidRPr="007923C2">
              <w:rPr>
                <w:rFonts w:ascii="Arial" w:hAnsi="Arial" w:cs="Arial"/>
                <w:bCs/>
                <w:sz w:val="22"/>
                <w:szCs w:val="22"/>
              </w:rPr>
              <w:t>Desarrollo de un modelo de planeación y utilización de infraestructura subutilizada para incrementar la rentabilidad de cultivos en agricultura protegida en el sureste de Coahuila.   </w:t>
            </w:r>
          </w:p>
          <w:p w14:paraId="2EA851DA" w14:textId="77777777" w:rsidR="001761D4" w:rsidRPr="007923C2" w:rsidRDefault="001761D4" w:rsidP="001631FF">
            <w:pPr>
              <w:spacing w:after="0" w:line="240" w:lineRule="auto"/>
              <w:jc w:val="both"/>
              <w:rPr>
                <w:rFonts w:ascii="Arial" w:hAnsi="Arial" w:cs="Arial"/>
                <w:b/>
                <w:bCs/>
                <w:i/>
                <w:iCs/>
                <w:sz w:val="22"/>
                <w:szCs w:val="22"/>
              </w:rPr>
            </w:pPr>
          </w:p>
          <w:p w14:paraId="0A58D172" w14:textId="77777777"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RAMIREZ GODINA FRANCISCA (1145) </w:t>
            </w:r>
          </w:p>
          <w:p w14:paraId="0C67AD34" w14:textId="77777777" w:rsidR="001761D4" w:rsidRPr="007923C2" w:rsidRDefault="001761D4" w:rsidP="001631FF">
            <w:pPr>
              <w:spacing w:after="0" w:line="240" w:lineRule="auto"/>
              <w:jc w:val="both"/>
              <w:rPr>
                <w:rFonts w:ascii="Arial" w:hAnsi="Arial" w:cs="Arial"/>
                <w:b/>
                <w:bCs/>
                <w:i/>
                <w:iCs/>
                <w:sz w:val="22"/>
                <w:szCs w:val="22"/>
              </w:rPr>
            </w:pPr>
          </w:p>
          <w:p w14:paraId="006C4C82" w14:textId="77777777" w:rsidR="001761D4" w:rsidRPr="007923C2" w:rsidRDefault="001761D4" w:rsidP="001631FF">
            <w:pPr>
              <w:spacing w:after="0" w:line="240" w:lineRule="auto"/>
              <w:jc w:val="both"/>
              <w:rPr>
                <w:rFonts w:ascii="Arial" w:hAnsi="Arial" w:cs="Arial"/>
                <w:bCs/>
                <w:i/>
                <w:iCs/>
                <w:sz w:val="22"/>
                <w:szCs w:val="22"/>
              </w:rPr>
            </w:pPr>
            <w:r w:rsidRPr="007923C2">
              <w:rPr>
                <w:rFonts w:ascii="Arial" w:hAnsi="Arial" w:cs="Arial"/>
                <w:bCs/>
                <w:i/>
                <w:iCs/>
                <w:sz w:val="22"/>
                <w:szCs w:val="22"/>
              </w:rPr>
              <w:t>Colaborador</w:t>
            </w:r>
          </w:p>
          <w:p w14:paraId="55BFB592" w14:textId="77777777" w:rsidR="001761D4" w:rsidRPr="007923C2" w:rsidRDefault="001761D4" w:rsidP="001631FF">
            <w:pPr>
              <w:spacing w:after="0" w:line="240" w:lineRule="auto"/>
              <w:jc w:val="both"/>
              <w:rPr>
                <w:rFonts w:ascii="Arial" w:hAnsi="Arial" w:cs="Arial"/>
                <w:bCs/>
                <w:i/>
                <w:iCs/>
                <w:sz w:val="22"/>
                <w:szCs w:val="22"/>
              </w:rPr>
            </w:pPr>
          </w:p>
          <w:p w14:paraId="36A59189" w14:textId="77777777" w:rsidR="001761D4" w:rsidRPr="007923C2" w:rsidRDefault="001761D4" w:rsidP="001631FF">
            <w:pPr>
              <w:spacing w:after="0" w:line="240" w:lineRule="auto"/>
              <w:jc w:val="both"/>
              <w:rPr>
                <w:rFonts w:ascii="Arial" w:hAnsi="Arial" w:cs="Arial"/>
                <w:bCs/>
                <w:sz w:val="22"/>
                <w:szCs w:val="22"/>
              </w:rPr>
            </w:pPr>
            <w:r w:rsidRPr="007923C2">
              <w:rPr>
                <w:rFonts w:ascii="Arial" w:hAnsi="Arial" w:cs="Arial"/>
                <w:bCs/>
                <w:sz w:val="22"/>
                <w:szCs w:val="22"/>
              </w:rPr>
              <w:t>Estudio comparativo de marcadores moleculares y vaores C de DNA entre plantas estaminadas y pistiladas de sotol (Dasylirion cedrosanum)   </w:t>
            </w:r>
          </w:p>
          <w:p w14:paraId="08CCFE81" w14:textId="77777777" w:rsidR="001761D4" w:rsidRPr="007923C2" w:rsidRDefault="001761D4" w:rsidP="001631FF">
            <w:pPr>
              <w:spacing w:after="0" w:line="240" w:lineRule="auto"/>
              <w:jc w:val="both"/>
              <w:rPr>
                <w:rFonts w:ascii="Arial" w:hAnsi="Arial" w:cs="Arial"/>
                <w:bCs/>
                <w:sz w:val="22"/>
                <w:szCs w:val="22"/>
              </w:rPr>
            </w:pPr>
          </w:p>
          <w:p w14:paraId="3B4C4426" w14:textId="77777777" w:rsidR="001761D4" w:rsidRPr="007923C2" w:rsidRDefault="001761D4" w:rsidP="001631FF">
            <w:pPr>
              <w:spacing w:after="0" w:line="240" w:lineRule="auto"/>
              <w:jc w:val="both"/>
              <w:rPr>
                <w:rFonts w:ascii="Arial" w:hAnsi="Arial" w:cs="Arial"/>
                <w:bCs/>
                <w:sz w:val="22"/>
                <w:szCs w:val="22"/>
              </w:rPr>
            </w:pPr>
            <w:r w:rsidRPr="007923C2">
              <w:rPr>
                <w:rFonts w:ascii="Arial" w:hAnsi="Arial" w:cs="Arial"/>
                <w:bCs/>
                <w:sz w:val="22"/>
                <w:szCs w:val="22"/>
              </w:rPr>
              <w:t>Rendimiento y calidad de fruto de cuatro generaciones de autotetraploides en tomate de cáscara Physalis ixocarpa Brot.   </w:t>
            </w:r>
          </w:p>
          <w:p w14:paraId="4B15090D" w14:textId="77777777" w:rsidR="001761D4" w:rsidRPr="007923C2" w:rsidRDefault="001761D4" w:rsidP="001631FF">
            <w:pPr>
              <w:spacing w:after="0" w:line="240" w:lineRule="auto"/>
              <w:jc w:val="both"/>
              <w:rPr>
                <w:rFonts w:ascii="Arial" w:hAnsi="Arial" w:cs="Arial"/>
                <w:b/>
                <w:bCs/>
                <w:sz w:val="22"/>
                <w:szCs w:val="22"/>
              </w:rPr>
            </w:pPr>
          </w:p>
          <w:p w14:paraId="01091FCD" w14:textId="77777777"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TORRES TAPIA MARIA ALEJANDRA (2771) </w:t>
            </w:r>
          </w:p>
          <w:p w14:paraId="7DFD5B3E" w14:textId="77777777" w:rsidR="000418BD" w:rsidRDefault="000418BD" w:rsidP="001631FF">
            <w:pPr>
              <w:spacing w:after="0" w:line="240" w:lineRule="auto"/>
              <w:jc w:val="both"/>
              <w:rPr>
                <w:rFonts w:ascii="Arial" w:hAnsi="Arial" w:cs="Arial"/>
                <w:sz w:val="22"/>
                <w:szCs w:val="22"/>
              </w:rPr>
            </w:pPr>
          </w:p>
          <w:p w14:paraId="1A9D3E2B" w14:textId="77777777" w:rsidR="001761D4" w:rsidRPr="007923C2" w:rsidRDefault="001761D4" w:rsidP="001631FF">
            <w:pPr>
              <w:spacing w:after="0" w:line="240" w:lineRule="auto"/>
              <w:jc w:val="both"/>
              <w:rPr>
                <w:rFonts w:ascii="Arial" w:hAnsi="Arial" w:cs="Arial"/>
                <w:sz w:val="22"/>
                <w:szCs w:val="22"/>
              </w:rPr>
            </w:pPr>
            <w:r w:rsidRPr="007923C2">
              <w:rPr>
                <w:rFonts w:ascii="Arial" w:hAnsi="Arial" w:cs="Arial"/>
                <w:sz w:val="22"/>
                <w:szCs w:val="22"/>
              </w:rPr>
              <w:t>Responsable</w:t>
            </w:r>
          </w:p>
          <w:p w14:paraId="1D66A568" w14:textId="77777777" w:rsidR="001761D4" w:rsidRPr="007923C2" w:rsidRDefault="001761D4" w:rsidP="001631FF">
            <w:pPr>
              <w:spacing w:after="0" w:line="240" w:lineRule="auto"/>
              <w:jc w:val="both"/>
              <w:rPr>
                <w:rFonts w:ascii="Arial" w:hAnsi="Arial" w:cs="Arial"/>
                <w:sz w:val="22"/>
                <w:szCs w:val="22"/>
              </w:rPr>
            </w:pPr>
          </w:p>
          <w:p w14:paraId="05E43996" w14:textId="77777777" w:rsidR="001761D4" w:rsidRPr="007923C2" w:rsidRDefault="001761D4" w:rsidP="001631FF">
            <w:pPr>
              <w:pStyle w:val="Prrafodelista"/>
              <w:numPr>
                <w:ilvl w:val="0"/>
                <w:numId w:val="34"/>
              </w:numPr>
              <w:spacing w:after="0" w:line="240" w:lineRule="auto"/>
              <w:contextualSpacing/>
              <w:jc w:val="both"/>
              <w:rPr>
                <w:rFonts w:ascii="Arial" w:hAnsi="Arial" w:cs="Arial"/>
                <w:bCs/>
                <w:sz w:val="22"/>
                <w:szCs w:val="22"/>
              </w:rPr>
            </w:pPr>
            <w:r w:rsidRPr="007923C2">
              <w:rPr>
                <w:rFonts w:ascii="Arial" w:hAnsi="Arial" w:cs="Arial"/>
                <w:bCs/>
                <w:sz w:val="22"/>
                <w:szCs w:val="22"/>
              </w:rPr>
              <w:t>Evaluación fisiológica en cuatro híbridos de maíz a diferentes condiciones de beneficio bajo dos métodos de siembra   </w:t>
            </w:r>
          </w:p>
          <w:p w14:paraId="1F81E8D1" w14:textId="77777777" w:rsidR="001761D4" w:rsidRPr="007923C2" w:rsidRDefault="001761D4" w:rsidP="001631FF">
            <w:pPr>
              <w:spacing w:after="0" w:line="240" w:lineRule="auto"/>
              <w:jc w:val="both"/>
              <w:rPr>
                <w:rFonts w:ascii="Arial" w:hAnsi="Arial" w:cs="Arial"/>
                <w:sz w:val="22"/>
                <w:szCs w:val="22"/>
              </w:rPr>
            </w:pPr>
          </w:p>
          <w:p w14:paraId="55CD4BAD" w14:textId="77777777" w:rsidR="00435E2B" w:rsidRPr="00435E2B" w:rsidRDefault="001761D4" w:rsidP="00435E2B">
            <w:pPr>
              <w:pStyle w:val="Prrafodelista"/>
              <w:numPr>
                <w:ilvl w:val="0"/>
                <w:numId w:val="34"/>
              </w:numPr>
              <w:spacing w:after="0" w:line="240" w:lineRule="auto"/>
              <w:contextualSpacing/>
              <w:jc w:val="both"/>
              <w:rPr>
                <w:rFonts w:ascii="Arial" w:hAnsi="Arial" w:cs="Arial"/>
                <w:sz w:val="22"/>
                <w:szCs w:val="22"/>
              </w:rPr>
            </w:pPr>
            <w:r w:rsidRPr="007923C2">
              <w:rPr>
                <w:rFonts w:ascii="Arial" w:hAnsi="Arial" w:cs="Arial"/>
                <w:bCs/>
                <w:sz w:val="22"/>
                <w:szCs w:val="22"/>
              </w:rPr>
              <w:t>Proteínas estructurales implicadas en la calidad fisiológica en diferentes genotipos y condiciones de semilla de maíz</w:t>
            </w:r>
            <w:r w:rsidR="00435E2B">
              <w:rPr>
                <w:rFonts w:ascii="Arial" w:hAnsi="Arial" w:cs="Arial"/>
                <w:bCs/>
                <w:sz w:val="22"/>
                <w:szCs w:val="22"/>
              </w:rPr>
              <w:t>.</w:t>
            </w:r>
          </w:p>
          <w:p w14:paraId="3FDD1D11" w14:textId="77777777" w:rsidR="001761D4" w:rsidRPr="00435E2B" w:rsidRDefault="001761D4" w:rsidP="00435E2B">
            <w:pPr>
              <w:spacing w:after="0" w:line="240" w:lineRule="auto"/>
              <w:contextualSpacing/>
              <w:jc w:val="both"/>
              <w:rPr>
                <w:rFonts w:ascii="Arial" w:hAnsi="Arial" w:cs="Arial"/>
                <w:sz w:val="22"/>
                <w:szCs w:val="22"/>
              </w:rPr>
            </w:pPr>
          </w:p>
          <w:p w14:paraId="20B0DA43" w14:textId="77777777" w:rsidR="001761D4" w:rsidRPr="007923C2" w:rsidRDefault="001761D4" w:rsidP="001631FF">
            <w:pPr>
              <w:spacing w:after="0" w:line="240" w:lineRule="auto"/>
              <w:jc w:val="both"/>
              <w:rPr>
                <w:rFonts w:ascii="Arial" w:hAnsi="Arial" w:cs="Arial"/>
                <w:sz w:val="22"/>
                <w:szCs w:val="22"/>
              </w:rPr>
            </w:pPr>
            <w:r w:rsidRPr="007923C2">
              <w:rPr>
                <w:rFonts w:ascii="Arial" w:hAnsi="Arial" w:cs="Arial"/>
                <w:sz w:val="22"/>
                <w:szCs w:val="22"/>
              </w:rPr>
              <w:t>Colaborador</w:t>
            </w:r>
          </w:p>
          <w:p w14:paraId="3BB201F3" w14:textId="77777777" w:rsidR="001761D4" w:rsidRPr="007923C2" w:rsidRDefault="001761D4" w:rsidP="001631FF">
            <w:pPr>
              <w:spacing w:after="0" w:line="240" w:lineRule="auto"/>
              <w:jc w:val="both"/>
              <w:rPr>
                <w:rFonts w:ascii="Arial" w:hAnsi="Arial" w:cs="Arial"/>
                <w:sz w:val="22"/>
                <w:szCs w:val="22"/>
              </w:rPr>
            </w:pPr>
          </w:p>
          <w:p w14:paraId="3701974D" w14:textId="77777777" w:rsidR="001761D4" w:rsidRPr="007923C2" w:rsidRDefault="001761D4" w:rsidP="001631FF">
            <w:pPr>
              <w:pStyle w:val="Prrafodelista"/>
              <w:numPr>
                <w:ilvl w:val="0"/>
                <w:numId w:val="32"/>
              </w:numPr>
              <w:spacing w:after="0" w:line="240" w:lineRule="auto"/>
              <w:contextualSpacing/>
              <w:jc w:val="both"/>
              <w:rPr>
                <w:rFonts w:ascii="Arial" w:hAnsi="Arial" w:cs="Arial"/>
                <w:bCs/>
                <w:sz w:val="22"/>
                <w:szCs w:val="22"/>
              </w:rPr>
            </w:pPr>
            <w:r w:rsidRPr="007923C2">
              <w:rPr>
                <w:rFonts w:ascii="Arial" w:hAnsi="Arial" w:cs="Arial"/>
                <w:bCs/>
                <w:sz w:val="22"/>
                <w:szCs w:val="22"/>
              </w:rPr>
              <w:t>Mejoramiento genético de Cebada para el norte de México.   </w:t>
            </w:r>
          </w:p>
          <w:p w14:paraId="53163E83" w14:textId="77777777" w:rsidR="001761D4" w:rsidRPr="007923C2" w:rsidRDefault="001761D4" w:rsidP="001631FF">
            <w:pPr>
              <w:spacing w:after="0" w:line="240" w:lineRule="auto"/>
              <w:jc w:val="both"/>
              <w:rPr>
                <w:rFonts w:ascii="Arial" w:hAnsi="Arial" w:cs="Arial"/>
                <w:bCs/>
                <w:sz w:val="22"/>
                <w:szCs w:val="22"/>
              </w:rPr>
            </w:pPr>
          </w:p>
          <w:p w14:paraId="176903C1" w14:textId="77777777" w:rsidR="001761D4" w:rsidRPr="007923C2" w:rsidRDefault="001761D4" w:rsidP="001631FF">
            <w:pPr>
              <w:pStyle w:val="Prrafodelista"/>
              <w:numPr>
                <w:ilvl w:val="0"/>
                <w:numId w:val="32"/>
              </w:numPr>
              <w:spacing w:after="0" w:line="240" w:lineRule="auto"/>
              <w:contextualSpacing/>
              <w:jc w:val="both"/>
              <w:rPr>
                <w:rFonts w:ascii="Arial" w:hAnsi="Arial" w:cs="Arial"/>
                <w:bCs/>
                <w:sz w:val="22"/>
                <w:szCs w:val="22"/>
              </w:rPr>
            </w:pPr>
            <w:r w:rsidRPr="007923C2">
              <w:rPr>
                <w:rFonts w:ascii="Arial" w:hAnsi="Arial" w:cs="Arial"/>
                <w:bCs/>
                <w:sz w:val="22"/>
                <w:szCs w:val="22"/>
              </w:rPr>
              <w:t>Embriogénesis somática para la producción in vitro de plantas de sotol (Desylirion cedrosanum Trel.)   </w:t>
            </w:r>
          </w:p>
          <w:p w14:paraId="32C1C6A0" w14:textId="77777777" w:rsidR="001761D4" w:rsidRPr="007923C2" w:rsidRDefault="001761D4" w:rsidP="001631FF">
            <w:pPr>
              <w:pStyle w:val="Prrafodelista"/>
              <w:numPr>
                <w:ilvl w:val="0"/>
                <w:numId w:val="32"/>
              </w:numPr>
              <w:spacing w:after="0" w:line="240" w:lineRule="auto"/>
              <w:contextualSpacing/>
              <w:jc w:val="both"/>
              <w:rPr>
                <w:rFonts w:ascii="Arial" w:hAnsi="Arial" w:cs="Arial"/>
                <w:bCs/>
                <w:sz w:val="22"/>
                <w:szCs w:val="22"/>
              </w:rPr>
            </w:pPr>
            <w:r w:rsidRPr="007923C2">
              <w:rPr>
                <w:rFonts w:ascii="Arial" w:hAnsi="Arial" w:cs="Arial"/>
                <w:bCs/>
                <w:sz w:val="22"/>
                <w:szCs w:val="22"/>
              </w:rPr>
              <w:lastRenderedPageBreak/>
              <w:t>Extractos de gobernadora y nopal como promotores de germinación y vigor en semillas de maíz.   </w:t>
            </w:r>
          </w:p>
          <w:p w14:paraId="4EEDB4DA" w14:textId="77777777" w:rsidR="001761D4" w:rsidRPr="007923C2" w:rsidRDefault="001761D4" w:rsidP="001631FF">
            <w:pPr>
              <w:pStyle w:val="Prrafodelista"/>
              <w:numPr>
                <w:ilvl w:val="0"/>
                <w:numId w:val="32"/>
              </w:numPr>
              <w:spacing w:after="0" w:line="240" w:lineRule="auto"/>
              <w:contextualSpacing/>
              <w:jc w:val="both"/>
              <w:rPr>
                <w:rFonts w:ascii="Arial" w:hAnsi="Arial" w:cs="Arial"/>
                <w:sz w:val="22"/>
                <w:szCs w:val="22"/>
              </w:rPr>
            </w:pPr>
            <w:r w:rsidRPr="007923C2">
              <w:rPr>
                <w:rFonts w:ascii="Arial" w:hAnsi="Arial" w:cs="Arial"/>
                <w:bCs/>
                <w:sz w:val="22"/>
                <w:szCs w:val="22"/>
              </w:rPr>
              <w:t>Tratamientos pregerminativos en la germinación yu vigor de semilla de nogal.</w:t>
            </w:r>
          </w:p>
          <w:p w14:paraId="103FE90A" w14:textId="77777777" w:rsidR="001761D4" w:rsidRPr="007923C2" w:rsidRDefault="001761D4" w:rsidP="001631FF">
            <w:pPr>
              <w:spacing w:after="0" w:line="240" w:lineRule="auto"/>
              <w:jc w:val="both"/>
              <w:rPr>
                <w:rFonts w:ascii="Arial" w:hAnsi="Arial" w:cs="Arial"/>
                <w:sz w:val="22"/>
                <w:szCs w:val="22"/>
              </w:rPr>
            </w:pPr>
          </w:p>
          <w:p w14:paraId="7EDBCFF0" w14:textId="77777777"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ZARATE LUPERCIO ALEJANDRO (1917) </w:t>
            </w:r>
          </w:p>
          <w:p w14:paraId="51C529F1" w14:textId="77777777" w:rsidR="001761D4" w:rsidRPr="007923C2" w:rsidRDefault="001761D4" w:rsidP="001631FF">
            <w:pPr>
              <w:spacing w:after="0" w:line="240" w:lineRule="auto"/>
              <w:jc w:val="both"/>
              <w:rPr>
                <w:rFonts w:ascii="Arial" w:hAnsi="Arial" w:cs="Arial"/>
                <w:b/>
                <w:bCs/>
                <w:i/>
                <w:iCs/>
                <w:sz w:val="22"/>
                <w:szCs w:val="22"/>
              </w:rPr>
            </w:pPr>
          </w:p>
          <w:p w14:paraId="13E6D0DB" w14:textId="77777777" w:rsidR="001761D4" w:rsidRPr="007923C2" w:rsidRDefault="001761D4" w:rsidP="001631FF">
            <w:pPr>
              <w:spacing w:after="0" w:line="240" w:lineRule="auto"/>
              <w:jc w:val="both"/>
              <w:rPr>
                <w:rFonts w:ascii="Arial" w:hAnsi="Arial" w:cs="Arial"/>
                <w:sz w:val="22"/>
                <w:szCs w:val="22"/>
              </w:rPr>
            </w:pPr>
            <w:r w:rsidRPr="007923C2">
              <w:rPr>
                <w:rFonts w:ascii="Arial" w:hAnsi="Arial" w:cs="Arial"/>
                <w:sz w:val="22"/>
                <w:szCs w:val="22"/>
              </w:rPr>
              <w:t>Colaborador</w:t>
            </w:r>
          </w:p>
          <w:p w14:paraId="18E70DEB" w14:textId="77777777" w:rsidR="001761D4" w:rsidRPr="007923C2" w:rsidRDefault="001761D4" w:rsidP="001631FF">
            <w:pPr>
              <w:spacing w:after="0" w:line="240" w:lineRule="auto"/>
              <w:jc w:val="both"/>
              <w:rPr>
                <w:rFonts w:ascii="Arial" w:hAnsi="Arial" w:cs="Arial"/>
                <w:sz w:val="22"/>
                <w:szCs w:val="22"/>
              </w:rPr>
            </w:pPr>
          </w:p>
          <w:p w14:paraId="730DB839" w14:textId="77777777" w:rsidR="001761D4" w:rsidRPr="007923C2" w:rsidRDefault="001761D4" w:rsidP="001631FF">
            <w:pPr>
              <w:pStyle w:val="Prrafodelista"/>
              <w:numPr>
                <w:ilvl w:val="0"/>
                <w:numId w:val="33"/>
              </w:numPr>
              <w:spacing w:after="0" w:line="240" w:lineRule="auto"/>
              <w:contextualSpacing/>
              <w:jc w:val="both"/>
              <w:rPr>
                <w:rFonts w:ascii="Arial" w:hAnsi="Arial" w:cs="Arial"/>
                <w:bCs/>
                <w:sz w:val="22"/>
                <w:szCs w:val="22"/>
              </w:rPr>
            </w:pPr>
            <w:r w:rsidRPr="007923C2">
              <w:rPr>
                <w:rFonts w:ascii="Arial" w:hAnsi="Arial" w:cs="Arial"/>
                <w:bCs/>
                <w:sz w:val="22"/>
                <w:szCs w:val="22"/>
              </w:rPr>
              <w:t>Estructura, diversidad y aspectos ecológicos del bosque de Pinus cembroides Zucc. De la sierra de Zapalinamé, Coahuila, México.   </w:t>
            </w:r>
          </w:p>
          <w:p w14:paraId="70616A53" w14:textId="77777777" w:rsidR="001761D4" w:rsidRPr="007923C2" w:rsidRDefault="001761D4" w:rsidP="001631FF">
            <w:pPr>
              <w:spacing w:after="0" w:line="240" w:lineRule="auto"/>
              <w:jc w:val="both"/>
              <w:rPr>
                <w:rFonts w:ascii="Arial" w:hAnsi="Arial" w:cs="Arial"/>
                <w:bCs/>
                <w:sz w:val="22"/>
                <w:szCs w:val="22"/>
              </w:rPr>
            </w:pPr>
          </w:p>
          <w:p w14:paraId="6438E9A9" w14:textId="77777777" w:rsidR="001761D4" w:rsidRPr="007923C2" w:rsidRDefault="001761D4" w:rsidP="001631FF">
            <w:pPr>
              <w:pStyle w:val="Prrafodelista"/>
              <w:numPr>
                <w:ilvl w:val="0"/>
                <w:numId w:val="33"/>
              </w:numPr>
              <w:spacing w:after="0" w:line="240" w:lineRule="auto"/>
              <w:contextualSpacing/>
              <w:jc w:val="both"/>
              <w:rPr>
                <w:rFonts w:ascii="Arial" w:hAnsi="Arial" w:cs="Arial"/>
                <w:bCs/>
                <w:sz w:val="22"/>
                <w:szCs w:val="22"/>
              </w:rPr>
            </w:pPr>
            <w:r w:rsidRPr="007923C2">
              <w:rPr>
                <w:rFonts w:ascii="Arial" w:hAnsi="Arial" w:cs="Arial"/>
                <w:bCs/>
                <w:sz w:val="22"/>
                <w:szCs w:val="22"/>
              </w:rPr>
              <w:t>Diversidad y estructura de manglares en Oaxaca, Tamaulipas y Colima.</w:t>
            </w:r>
          </w:p>
          <w:p w14:paraId="7668EDCE" w14:textId="77777777" w:rsidR="001761D4" w:rsidRPr="007923C2" w:rsidRDefault="001761D4" w:rsidP="001631FF">
            <w:pPr>
              <w:spacing w:after="0" w:line="240" w:lineRule="auto"/>
              <w:jc w:val="both"/>
              <w:rPr>
                <w:rFonts w:ascii="Arial" w:hAnsi="Arial" w:cs="Arial"/>
                <w:bCs/>
                <w:sz w:val="22"/>
                <w:szCs w:val="22"/>
              </w:rPr>
            </w:pPr>
          </w:p>
          <w:p w14:paraId="3277E9E1" w14:textId="77777777" w:rsidR="001761D4" w:rsidRPr="007923C2" w:rsidRDefault="001761D4" w:rsidP="001631FF">
            <w:pPr>
              <w:pStyle w:val="Prrafodelista"/>
              <w:numPr>
                <w:ilvl w:val="0"/>
                <w:numId w:val="33"/>
              </w:numPr>
              <w:spacing w:after="0" w:line="240" w:lineRule="auto"/>
              <w:contextualSpacing/>
              <w:jc w:val="both"/>
              <w:rPr>
                <w:rFonts w:ascii="Arial" w:hAnsi="Arial" w:cs="Arial"/>
                <w:sz w:val="22"/>
                <w:szCs w:val="22"/>
              </w:rPr>
            </w:pPr>
            <w:r w:rsidRPr="007923C2">
              <w:rPr>
                <w:rFonts w:ascii="Arial" w:hAnsi="Arial" w:cs="Arial"/>
                <w:bCs/>
                <w:sz w:val="22"/>
                <w:szCs w:val="22"/>
              </w:rPr>
              <w:t>GRUPO CÍVICO FORESTAL UAAAN</w:t>
            </w:r>
            <w:r w:rsidRPr="007923C2">
              <w:rPr>
                <w:rFonts w:ascii="Arial" w:hAnsi="Arial" w:cs="Arial"/>
                <w:b/>
                <w:bCs/>
                <w:sz w:val="22"/>
                <w:szCs w:val="22"/>
              </w:rPr>
              <w:t>  </w:t>
            </w:r>
          </w:p>
        </w:tc>
      </w:tr>
    </w:tbl>
    <w:p w14:paraId="5FA54121" w14:textId="77777777" w:rsidR="001761D4" w:rsidRPr="007923C2" w:rsidRDefault="001761D4" w:rsidP="001631FF">
      <w:pPr>
        <w:jc w:val="both"/>
        <w:rPr>
          <w:rFonts w:ascii="Arial" w:hAnsi="Arial" w:cs="Arial"/>
          <w:sz w:val="22"/>
          <w:szCs w:val="22"/>
        </w:rPr>
      </w:pPr>
    </w:p>
    <w:p w14:paraId="61C08141"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Proyectos de Investigación 2013</w:t>
      </w:r>
    </w:p>
    <w:p w14:paraId="312B7487"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Profesores Investigadores Departamento de Botánica</w:t>
      </w:r>
    </w:p>
    <w:p w14:paraId="6B2237AE"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SILVIA YUDITH MARTINEZ AMADOR (3796) </w:t>
      </w:r>
    </w:p>
    <w:p w14:paraId="1ABF09D8" w14:textId="77777777"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14:paraId="2DE97238" w14:textId="77777777" w:rsidR="001761D4" w:rsidRPr="007923C2" w:rsidRDefault="001761D4" w:rsidP="001631FF">
      <w:pPr>
        <w:pStyle w:val="Prrafodelista"/>
        <w:numPr>
          <w:ilvl w:val="0"/>
          <w:numId w:val="40"/>
        </w:numPr>
        <w:spacing w:after="200"/>
        <w:contextualSpacing/>
        <w:jc w:val="both"/>
        <w:rPr>
          <w:rFonts w:ascii="Arial" w:hAnsi="Arial" w:cs="Arial"/>
          <w:bCs/>
          <w:sz w:val="22"/>
          <w:szCs w:val="22"/>
        </w:rPr>
      </w:pPr>
      <w:r w:rsidRPr="007923C2">
        <w:rPr>
          <w:rFonts w:ascii="Arial" w:hAnsi="Arial" w:cs="Arial"/>
          <w:bCs/>
          <w:sz w:val="22"/>
          <w:szCs w:val="22"/>
        </w:rPr>
        <w:t>Evaluación de la calidad fisiológica de cultivos de frijol y amaranto regados con agua residual tratada con reactores de biopelícula anaerobia.   </w:t>
      </w:r>
    </w:p>
    <w:p w14:paraId="6FCFA482" w14:textId="77777777" w:rsidR="001761D4" w:rsidRPr="007923C2" w:rsidRDefault="001761D4" w:rsidP="001631FF">
      <w:pPr>
        <w:pStyle w:val="Prrafodelista"/>
        <w:numPr>
          <w:ilvl w:val="0"/>
          <w:numId w:val="40"/>
        </w:numPr>
        <w:spacing w:after="200"/>
        <w:contextualSpacing/>
        <w:jc w:val="both"/>
        <w:rPr>
          <w:rFonts w:ascii="Arial" w:hAnsi="Arial" w:cs="Arial"/>
          <w:bCs/>
          <w:sz w:val="22"/>
          <w:szCs w:val="22"/>
        </w:rPr>
      </w:pPr>
      <w:r w:rsidRPr="007923C2">
        <w:rPr>
          <w:rFonts w:ascii="Arial" w:hAnsi="Arial" w:cs="Arial"/>
          <w:bCs/>
          <w:sz w:val="22"/>
          <w:szCs w:val="22"/>
        </w:rPr>
        <w:t>Biotransformación anaerobia de nitrato presente en agua residual.   </w:t>
      </w:r>
    </w:p>
    <w:p w14:paraId="0BE70B16" w14:textId="77777777" w:rsidR="001761D4" w:rsidRPr="007923C2" w:rsidRDefault="001761D4" w:rsidP="001631FF">
      <w:pPr>
        <w:pStyle w:val="Prrafodelista"/>
        <w:numPr>
          <w:ilvl w:val="0"/>
          <w:numId w:val="40"/>
        </w:numPr>
        <w:spacing w:after="200"/>
        <w:contextualSpacing/>
        <w:jc w:val="both"/>
        <w:rPr>
          <w:rFonts w:ascii="Arial" w:hAnsi="Arial" w:cs="Arial"/>
          <w:bCs/>
          <w:sz w:val="22"/>
          <w:szCs w:val="22"/>
        </w:rPr>
      </w:pPr>
      <w:r w:rsidRPr="007923C2">
        <w:rPr>
          <w:rFonts w:ascii="Arial" w:hAnsi="Arial" w:cs="Arial"/>
          <w:bCs/>
          <w:sz w:val="22"/>
          <w:szCs w:val="22"/>
        </w:rPr>
        <w:t>Estimación del rendimiento, calidad microbiológica y contenido de minerales del rábano regado con agua residual doméstica tratada   </w:t>
      </w:r>
    </w:p>
    <w:p w14:paraId="39A10836"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71C4C273" w14:textId="77777777" w:rsidR="001761D4" w:rsidRPr="007923C2" w:rsidRDefault="001761D4" w:rsidP="001631FF">
      <w:pPr>
        <w:pStyle w:val="Prrafodelista"/>
        <w:numPr>
          <w:ilvl w:val="0"/>
          <w:numId w:val="41"/>
        </w:numPr>
        <w:spacing w:after="200"/>
        <w:contextualSpacing/>
        <w:jc w:val="both"/>
        <w:rPr>
          <w:rFonts w:ascii="Arial" w:hAnsi="Arial" w:cs="Arial"/>
          <w:bCs/>
          <w:sz w:val="22"/>
          <w:szCs w:val="22"/>
        </w:rPr>
      </w:pPr>
      <w:r w:rsidRPr="007923C2">
        <w:rPr>
          <w:rFonts w:ascii="Arial" w:hAnsi="Arial" w:cs="Arial"/>
          <w:bCs/>
          <w:sz w:val="22"/>
          <w:szCs w:val="22"/>
        </w:rPr>
        <w:t>Efecto de la radiación solar sobre la estructura anatómico-histológica foliar de ceratonia silicua L. (algarrobo) en el municipio de Lampazos, N.L.)   </w:t>
      </w:r>
    </w:p>
    <w:p w14:paraId="2464B6E1" w14:textId="77777777" w:rsidR="001761D4" w:rsidRPr="007923C2" w:rsidRDefault="001761D4" w:rsidP="001631FF">
      <w:pPr>
        <w:pStyle w:val="Prrafodelista"/>
        <w:numPr>
          <w:ilvl w:val="0"/>
          <w:numId w:val="41"/>
        </w:numPr>
        <w:spacing w:after="200"/>
        <w:contextualSpacing/>
        <w:jc w:val="both"/>
        <w:rPr>
          <w:rFonts w:ascii="Arial" w:hAnsi="Arial" w:cs="Arial"/>
          <w:bCs/>
          <w:sz w:val="22"/>
          <w:szCs w:val="22"/>
        </w:rPr>
      </w:pPr>
      <w:r w:rsidRPr="007923C2">
        <w:rPr>
          <w:rFonts w:ascii="Arial" w:hAnsi="Arial" w:cs="Arial"/>
          <w:bCs/>
          <w:sz w:val="22"/>
          <w:szCs w:val="22"/>
        </w:rPr>
        <w:t>Determinación del nivel de ploidia cromosómica en Tidestromía lanuginosa (Nutt.) Standl (espantavaqueros) en los municipios de lampazos de Naranjo, N.L. y Salillo, Coah. México.   </w:t>
      </w:r>
    </w:p>
    <w:p w14:paraId="46C8AE61" w14:textId="77777777" w:rsidR="001761D4" w:rsidRPr="007923C2" w:rsidRDefault="001761D4" w:rsidP="001631FF">
      <w:pPr>
        <w:pStyle w:val="Prrafodelista"/>
        <w:numPr>
          <w:ilvl w:val="0"/>
          <w:numId w:val="41"/>
        </w:numPr>
        <w:spacing w:after="200"/>
        <w:contextualSpacing/>
        <w:jc w:val="both"/>
        <w:rPr>
          <w:rFonts w:ascii="Arial" w:hAnsi="Arial" w:cs="Arial"/>
          <w:bCs/>
          <w:sz w:val="22"/>
          <w:szCs w:val="22"/>
        </w:rPr>
      </w:pPr>
      <w:r w:rsidRPr="007923C2">
        <w:rPr>
          <w:rFonts w:ascii="Arial" w:hAnsi="Arial" w:cs="Arial"/>
          <w:bCs/>
          <w:sz w:val="22"/>
          <w:szCs w:val="22"/>
        </w:rPr>
        <w:t>Aplicación de selenito de sodio en semillas y plántulas de hortalizas para modificar el potencial antioxidante</w:t>
      </w:r>
      <w:r w:rsidR="007512D0">
        <w:rPr>
          <w:rFonts w:ascii="Arial" w:hAnsi="Arial" w:cs="Arial"/>
          <w:bCs/>
          <w:sz w:val="22"/>
          <w:szCs w:val="22"/>
        </w:rPr>
        <w:t>.</w:t>
      </w:r>
      <w:r w:rsidRPr="007923C2">
        <w:rPr>
          <w:rFonts w:ascii="Arial" w:hAnsi="Arial" w:cs="Arial"/>
          <w:bCs/>
          <w:sz w:val="22"/>
          <w:szCs w:val="22"/>
        </w:rPr>
        <w:t> </w:t>
      </w:r>
    </w:p>
    <w:p w14:paraId="1BD69482"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VILLARREAL QUINTANILLA JOSE ANGEL (1061)</w:t>
      </w:r>
    </w:p>
    <w:p w14:paraId="120C0DD4"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14:paraId="737B463E" w14:textId="77777777"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Plantas endémicas y raras de Coahuila   </w:t>
      </w:r>
    </w:p>
    <w:p w14:paraId="5B42BC9F"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2A4B0298" w14:textId="77777777"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Estudios de producción y fitoquímica de especies y cultivos con potencial industrial y actividad citotóxica de extractos de plantas medicinales del semidesierto sobre células cancerígenas   </w:t>
      </w:r>
    </w:p>
    <w:p w14:paraId="1AAF4B1A" w14:textId="77777777" w:rsidR="001761D4" w:rsidRPr="007923C2" w:rsidRDefault="001761D4" w:rsidP="001631FF">
      <w:pPr>
        <w:pStyle w:val="Prrafodelista"/>
        <w:jc w:val="both"/>
        <w:rPr>
          <w:rFonts w:ascii="Arial" w:hAnsi="Arial" w:cs="Arial"/>
          <w:bCs/>
          <w:sz w:val="22"/>
          <w:szCs w:val="22"/>
        </w:rPr>
      </w:pPr>
    </w:p>
    <w:p w14:paraId="51E0DBAB" w14:textId="77777777"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lastRenderedPageBreak/>
        <w:t>extractos de plantas del semidesierto para el conrol de hongos y como inductores de fitoalexinas   </w:t>
      </w:r>
    </w:p>
    <w:p w14:paraId="3A5803F1" w14:textId="77777777"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Efecto del ácido salicílico en el crecimiento, desarrollo y rendimiento de un cultivo de frijol bajo condiciones de temporal.   </w:t>
      </w:r>
    </w:p>
    <w:p w14:paraId="5D9BFFB4" w14:textId="77777777"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La subfamilia Chloridoideae (Poaceae) en Coahuila, México: Gramíneas Invasoras   </w:t>
      </w:r>
    </w:p>
    <w:p w14:paraId="44AD7D59" w14:textId="77777777"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Etnobotánica de especies de Agavaceas en el sur de Coahuila   </w:t>
      </w:r>
    </w:p>
    <w:p w14:paraId="4EAE9AD2" w14:textId="77777777"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Producción der bio-materiales con hongos y cubiertas comestibles, alternativos al poliestireno expandido   </w:t>
      </w:r>
    </w:p>
    <w:p w14:paraId="1B763BD0" w14:textId="77777777" w:rsidR="001761D4" w:rsidRPr="007923C2" w:rsidRDefault="001761D4" w:rsidP="001631FF">
      <w:pPr>
        <w:pStyle w:val="Prrafodelista"/>
        <w:jc w:val="both"/>
        <w:rPr>
          <w:rFonts w:ascii="Arial" w:hAnsi="Arial" w:cs="Arial"/>
          <w:bCs/>
          <w:sz w:val="22"/>
          <w:szCs w:val="22"/>
        </w:rPr>
      </w:pPr>
    </w:p>
    <w:p w14:paraId="21E16604"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VALDES REYNA JESUS (566) </w:t>
      </w:r>
    </w:p>
    <w:p w14:paraId="5F137DEB" w14:textId="77777777"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14:paraId="09D291BE" w14:textId="77777777" w:rsidR="001761D4" w:rsidRPr="007923C2" w:rsidRDefault="001761D4" w:rsidP="001631FF">
      <w:pPr>
        <w:pStyle w:val="Prrafodelista"/>
        <w:numPr>
          <w:ilvl w:val="0"/>
          <w:numId w:val="38"/>
        </w:numPr>
        <w:spacing w:after="200"/>
        <w:contextualSpacing/>
        <w:jc w:val="both"/>
        <w:rPr>
          <w:rFonts w:ascii="Arial" w:hAnsi="Arial" w:cs="Arial"/>
          <w:bCs/>
          <w:sz w:val="22"/>
          <w:szCs w:val="22"/>
        </w:rPr>
      </w:pPr>
      <w:r w:rsidRPr="007923C2">
        <w:rPr>
          <w:rFonts w:ascii="Arial" w:hAnsi="Arial" w:cs="Arial"/>
          <w:bCs/>
          <w:sz w:val="22"/>
          <w:szCs w:val="22"/>
        </w:rPr>
        <w:t>Comunidades vegetales y uso del suelo de la sierra de zapaliname, Coahuila, México.   </w:t>
      </w:r>
    </w:p>
    <w:p w14:paraId="6E2DD2AE" w14:textId="77777777" w:rsidR="001761D4" w:rsidRPr="007923C2" w:rsidRDefault="001761D4" w:rsidP="001631FF">
      <w:pPr>
        <w:pStyle w:val="Prrafodelista"/>
        <w:numPr>
          <w:ilvl w:val="0"/>
          <w:numId w:val="38"/>
        </w:numPr>
        <w:spacing w:after="200"/>
        <w:contextualSpacing/>
        <w:jc w:val="both"/>
        <w:rPr>
          <w:rFonts w:ascii="Arial" w:hAnsi="Arial" w:cs="Arial"/>
          <w:bCs/>
          <w:sz w:val="22"/>
          <w:szCs w:val="22"/>
        </w:rPr>
      </w:pPr>
      <w:r w:rsidRPr="007923C2">
        <w:rPr>
          <w:rFonts w:ascii="Arial" w:hAnsi="Arial" w:cs="Arial"/>
          <w:bCs/>
          <w:sz w:val="22"/>
          <w:szCs w:val="22"/>
        </w:rPr>
        <w:t>La subfamilia Chloridoideae (Poaceae) en Coahuila, México: Gramíneas Invasoras   </w:t>
      </w:r>
    </w:p>
    <w:p w14:paraId="6EF840F0"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44E02E66" w14:textId="77777777" w:rsidR="001761D4" w:rsidRPr="007923C2" w:rsidRDefault="001761D4" w:rsidP="001631FF">
      <w:pPr>
        <w:pStyle w:val="Prrafodelista"/>
        <w:numPr>
          <w:ilvl w:val="0"/>
          <w:numId w:val="39"/>
        </w:numPr>
        <w:spacing w:after="200"/>
        <w:contextualSpacing/>
        <w:jc w:val="both"/>
        <w:rPr>
          <w:rFonts w:ascii="Arial" w:hAnsi="Arial" w:cs="Arial"/>
          <w:bCs/>
          <w:sz w:val="22"/>
          <w:szCs w:val="22"/>
        </w:rPr>
      </w:pPr>
      <w:r w:rsidRPr="007923C2">
        <w:rPr>
          <w:rFonts w:ascii="Arial" w:hAnsi="Arial" w:cs="Arial"/>
          <w:bCs/>
          <w:sz w:val="22"/>
          <w:szCs w:val="22"/>
        </w:rPr>
        <w:t>Plantas endémicas y raras de Coahuila   </w:t>
      </w:r>
    </w:p>
    <w:p w14:paraId="6760D898" w14:textId="77777777" w:rsidR="001761D4" w:rsidRPr="007923C2" w:rsidRDefault="001761D4" w:rsidP="001631FF">
      <w:pPr>
        <w:pStyle w:val="Prrafodelista"/>
        <w:numPr>
          <w:ilvl w:val="0"/>
          <w:numId w:val="39"/>
        </w:numPr>
        <w:spacing w:after="200"/>
        <w:contextualSpacing/>
        <w:jc w:val="both"/>
        <w:rPr>
          <w:rFonts w:ascii="Arial" w:hAnsi="Arial" w:cs="Arial"/>
          <w:bCs/>
          <w:sz w:val="22"/>
          <w:szCs w:val="22"/>
        </w:rPr>
      </w:pPr>
      <w:r w:rsidRPr="007923C2">
        <w:rPr>
          <w:rFonts w:ascii="Arial" w:hAnsi="Arial" w:cs="Arial"/>
          <w:bCs/>
          <w:sz w:val="22"/>
          <w:szCs w:val="22"/>
        </w:rPr>
        <w:t>Evaluación de diluciones de extracto de gobernadora (Larrea tridentata) en el control de garrapata   </w:t>
      </w:r>
    </w:p>
    <w:p w14:paraId="09621B62" w14:textId="77777777" w:rsidR="001761D4" w:rsidRPr="007923C2" w:rsidRDefault="001761D4" w:rsidP="001631FF">
      <w:pPr>
        <w:pStyle w:val="Prrafodelista"/>
        <w:numPr>
          <w:ilvl w:val="0"/>
          <w:numId w:val="39"/>
        </w:numPr>
        <w:spacing w:after="200"/>
        <w:contextualSpacing/>
        <w:jc w:val="both"/>
        <w:rPr>
          <w:rFonts w:ascii="Arial" w:hAnsi="Arial" w:cs="Arial"/>
          <w:bCs/>
          <w:sz w:val="22"/>
          <w:szCs w:val="22"/>
        </w:rPr>
      </w:pPr>
      <w:r w:rsidRPr="007923C2">
        <w:rPr>
          <w:rFonts w:ascii="Arial" w:hAnsi="Arial" w:cs="Arial"/>
          <w:bCs/>
          <w:sz w:val="22"/>
          <w:szCs w:val="22"/>
        </w:rPr>
        <w:t>Restauración agroecológica de pastizales deteriorados aplicando nodricismo   </w:t>
      </w:r>
    </w:p>
    <w:p w14:paraId="13C1421D" w14:textId="77777777" w:rsidR="001761D4" w:rsidRPr="007923C2" w:rsidRDefault="001761D4" w:rsidP="001631FF">
      <w:pPr>
        <w:jc w:val="both"/>
        <w:rPr>
          <w:rFonts w:ascii="Arial" w:hAnsi="Arial" w:cs="Arial"/>
          <w:bCs/>
          <w:sz w:val="22"/>
          <w:szCs w:val="22"/>
        </w:rPr>
      </w:pPr>
    </w:p>
    <w:p w14:paraId="78121F42"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RUIZ DE LEON MARIA TERESA (1710) </w:t>
      </w:r>
    </w:p>
    <w:p w14:paraId="6A46272D"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2059E176" w14:textId="77777777" w:rsidR="001761D4" w:rsidRPr="007923C2" w:rsidRDefault="001761D4" w:rsidP="001631FF">
      <w:pPr>
        <w:pStyle w:val="Prrafodelista"/>
        <w:numPr>
          <w:ilvl w:val="0"/>
          <w:numId w:val="42"/>
        </w:numPr>
        <w:spacing w:after="200"/>
        <w:contextualSpacing/>
        <w:jc w:val="both"/>
        <w:rPr>
          <w:rFonts w:ascii="Arial" w:hAnsi="Arial" w:cs="Arial"/>
          <w:bCs/>
          <w:sz w:val="22"/>
          <w:szCs w:val="22"/>
        </w:rPr>
      </w:pPr>
      <w:r w:rsidRPr="007923C2">
        <w:rPr>
          <w:rFonts w:ascii="Arial" w:hAnsi="Arial" w:cs="Arial"/>
          <w:bCs/>
          <w:sz w:val="22"/>
          <w:szCs w:val="22"/>
        </w:rPr>
        <w:t>Biotransformación anaerobia de nitrato presente en agua residual.   </w:t>
      </w:r>
    </w:p>
    <w:p w14:paraId="332B25DD" w14:textId="77777777" w:rsidR="001761D4" w:rsidRPr="007923C2" w:rsidRDefault="001761D4" w:rsidP="001631FF">
      <w:pPr>
        <w:jc w:val="both"/>
        <w:rPr>
          <w:rStyle w:val="apple-converted-space"/>
          <w:rFonts w:ascii="Arial" w:eastAsia="SimSun" w:hAnsi="Arial" w:cs="Arial"/>
          <w:b/>
          <w:bCs/>
          <w:i/>
          <w:iCs/>
          <w:sz w:val="22"/>
          <w:szCs w:val="22"/>
        </w:rPr>
      </w:pPr>
      <w:r w:rsidRPr="007923C2">
        <w:rPr>
          <w:rStyle w:val="Textoennegrita"/>
          <w:rFonts w:ascii="Arial" w:eastAsia="SimSun" w:hAnsi="Arial" w:cs="Arial"/>
          <w:i/>
          <w:iCs/>
          <w:sz w:val="22"/>
          <w:szCs w:val="22"/>
        </w:rPr>
        <w:t>COMPARAN SANCHEZ SOFIA (1989)</w:t>
      </w:r>
      <w:r w:rsidRPr="007923C2">
        <w:rPr>
          <w:rStyle w:val="apple-converted-space"/>
          <w:rFonts w:ascii="Arial" w:eastAsia="SimSun" w:hAnsi="Arial" w:cs="Arial"/>
          <w:b/>
          <w:bCs/>
          <w:i/>
          <w:iCs/>
          <w:sz w:val="22"/>
          <w:szCs w:val="22"/>
        </w:rPr>
        <w:t> </w:t>
      </w:r>
    </w:p>
    <w:p w14:paraId="19585964" w14:textId="77777777" w:rsidR="001761D4" w:rsidRPr="007923C2" w:rsidRDefault="001761D4" w:rsidP="001631FF">
      <w:pPr>
        <w:jc w:val="both"/>
        <w:rPr>
          <w:rStyle w:val="apple-converted-space"/>
          <w:rFonts w:ascii="Arial" w:eastAsia="SimSun" w:hAnsi="Arial" w:cs="Arial"/>
          <w:bCs/>
          <w:i/>
          <w:iCs/>
          <w:sz w:val="22"/>
          <w:szCs w:val="22"/>
        </w:rPr>
      </w:pPr>
      <w:r w:rsidRPr="007923C2">
        <w:rPr>
          <w:rStyle w:val="apple-converted-space"/>
          <w:rFonts w:ascii="Arial" w:eastAsia="SimSun" w:hAnsi="Arial" w:cs="Arial"/>
          <w:bCs/>
          <w:i/>
          <w:iCs/>
          <w:sz w:val="22"/>
          <w:szCs w:val="22"/>
        </w:rPr>
        <w:t>Responsable</w:t>
      </w:r>
    </w:p>
    <w:p w14:paraId="6D6A1D74" w14:textId="77777777" w:rsidR="001761D4" w:rsidRPr="007923C2" w:rsidRDefault="001761D4" w:rsidP="001631FF">
      <w:pPr>
        <w:pStyle w:val="Prrafodelista"/>
        <w:numPr>
          <w:ilvl w:val="0"/>
          <w:numId w:val="43"/>
        </w:numPr>
        <w:spacing w:after="200"/>
        <w:contextualSpacing/>
        <w:jc w:val="both"/>
        <w:rPr>
          <w:rStyle w:val="apple-converted-space"/>
          <w:rFonts w:ascii="Arial" w:eastAsia="SimSun" w:hAnsi="Arial" w:cs="Arial"/>
          <w:bCs/>
          <w:sz w:val="22"/>
          <w:szCs w:val="22"/>
        </w:rPr>
      </w:pPr>
      <w:r w:rsidRPr="007923C2">
        <w:rPr>
          <w:rFonts w:ascii="Arial" w:hAnsi="Arial" w:cs="Arial"/>
          <w:bCs/>
          <w:sz w:val="22"/>
          <w:szCs w:val="22"/>
        </w:rPr>
        <w:t>Propagación localización y comparación morfológica de las especies del Género Echinocereus cactácea de Coahuila  </w:t>
      </w:r>
      <w:r w:rsidRPr="007923C2">
        <w:rPr>
          <w:rStyle w:val="apple-converted-space"/>
          <w:rFonts w:ascii="Arial" w:eastAsia="SimSun" w:hAnsi="Arial" w:cs="Arial"/>
          <w:bCs/>
          <w:sz w:val="22"/>
          <w:szCs w:val="22"/>
        </w:rPr>
        <w:t> </w:t>
      </w:r>
    </w:p>
    <w:p w14:paraId="1AF8D9F6"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57CE7EB8" w14:textId="77777777" w:rsidR="001761D4" w:rsidRPr="007923C2" w:rsidRDefault="001761D4" w:rsidP="001631FF">
      <w:pPr>
        <w:pStyle w:val="Prrafodelista"/>
        <w:numPr>
          <w:ilvl w:val="0"/>
          <w:numId w:val="44"/>
        </w:numPr>
        <w:spacing w:after="200"/>
        <w:contextualSpacing/>
        <w:jc w:val="both"/>
        <w:rPr>
          <w:rStyle w:val="apple-converted-space"/>
          <w:rFonts w:ascii="Arial" w:eastAsia="SimSun" w:hAnsi="Arial" w:cs="Arial"/>
          <w:bCs/>
          <w:sz w:val="22"/>
          <w:szCs w:val="22"/>
        </w:rPr>
      </w:pPr>
      <w:r w:rsidRPr="007923C2">
        <w:rPr>
          <w:rFonts w:ascii="Arial" w:hAnsi="Arial" w:cs="Arial"/>
          <w:bCs/>
          <w:sz w:val="22"/>
          <w:szCs w:val="22"/>
        </w:rPr>
        <w:t>Efecto de la radiación solar sobre la estructura anatómico-histológica foliar de ceratonia silicua L. (algarrobo) en el municipio de Lampazos, N.L.)  </w:t>
      </w:r>
      <w:r w:rsidRPr="007923C2">
        <w:rPr>
          <w:rStyle w:val="apple-converted-space"/>
          <w:rFonts w:ascii="Arial" w:eastAsia="SimSun" w:hAnsi="Arial" w:cs="Arial"/>
          <w:bCs/>
          <w:sz w:val="22"/>
          <w:szCs w:val="22"/>
        </w:rPr>
        <w:t> </w:t>
      </w:r>
    </w:p>
    <w:p w14:paraId="27E03635" w14:textId="77777777" w:rsidR="001761D4" w:rsidRPr="007923C2" w:rsidRDefault="001761D4" w:rsidP="001631FF">
      <w:pPr>
        <w:pStyle w:val="Prrafodelista"/>
        <w:numPr>
          <w:ilvl w:val="0"/>
          <w:numId w:val="44"/>
        </w:numPr>
        <w:spacing w:after="200"/>
        <w:contextualSpacing/>
        <w:jc w:val="both"/>
        <w:rPr>
          <w:rStyle w:val="apple-converted-space"/>
          <w:rFonts w:ascii="Arial" w:eastAsia="SimSun" w:hAnsi="Arial" w:cs="Arial"/>
          <w:bCs/>
          <w:sz w:val="22"/>
          <w:szCs w:val="22"/>
        </w:rPr>
      </w:pPr>
      <w:r w:rsidRPr="007923C2">
        <w:rPr>
          <w:rFonts w:ascii="Arial" w:hAnsi="Arial" w:cs="Arial"/>
          <w:bCs/>
          <w:sz w:val="22"/>
          <w:szCs w:val="22"/>
        </w:rPr>
        <w:t>Determinación del nivel de ploidia cromosómica en Tidestromía lanuginosa (Nutt.) Standl (espantavaqueros) en los municipios de lampazos de Naranjo, N.L. y Salillo, Coah. México.  </w:t>
      </w:r>
      <w:r w:rsidRPr="007923C2">
        <w:rPr>
          <w:rStyle w:val="apple-converted-space"/>
          <w:rFonts w:ascii="Arial" w:eastAsia="SimSun" w:hAnsi="Arial" w:cs="Arial"/>
          <w:bCs/>
          <w:sz w:val="22"/>
          <w:szCs w:val="22"/>
        </w:rPr>
        <w:t> </w:t>
      </w:r>
    </w:p>
    <w:p w14:paraId="5F8C4F2B"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PEREZ CUELLAR SILVIA (575) </w:t>
      </w:r>
    </w:p>
    <w:p w14:paraId="24C5FC24"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14:paraId="5A66AA8C" w14:textId="77777777" w:rsidR="001761D4" w:rsidRPr="007923C2" w:rsidRDefault="00037CC2" w:rsidP="001631FF">
      <w:pPr>
        <w:pStyle w:val="Prrafodelista"/>
        <w:numPr>
          <w:ilvl w:val="0"/>
          <w:numId w:val="45"/>
        </w:numPr>
        <w:spacing w:after="200"/>
        <w:contextualSpacing/>
        <w:jc w:val="both"/>
        <w:rPr>
          <w:rFonts w:ascii="Arial" w:hAnsi="Arial" w:cs="Arial"/>
          <w:bCs/>
          <w:sz w:val="22"/>
          <w:szCs w:val="22"/>
        </w:rPr>
      </w:pPr>
      <w:r>
        <w:rPr>
          <w:rFonts w:ascii="Arial" w:hAnsi="Arial" w:cs="Arial"/>
          <w:bCs/>
          <w:sz w:val="22"/>
          <w:szCs w:val="22"/>
        </w:rPr>
        <w:t>C</w:t>
      </w:r>
      <w:r w:rsidRPr="007923C2">
        <w:rPr>
          <w:rFonts w:ascii="Arial" w:hAnsi="Arial" w:cs="Arial"/>
          <w:bCs/>
          <w:sz w:val="22"/>
          <w:szCs w:val="22"/>
        </w:rPr>
        <w:t>omposta orgánica  </w:t>
      </w:r>
    </w:p>
    <w:p w14:paraId="2FA9A2EA" w14:textId="77777777" w:rsidR="001761D4" w:rsidRPr="007923C2" w:rsidRDefault="00037CC2" w:rsidP="001631FF">
      <w:pPr>
        <w:pStyle w:val="Prrafodelista"/>
        <w:numPr>
          <w:ilvl w:val="0"/>
          <w:numId w:val="45"/>
        </w:numPr>
        <w:spacing w:after="200"/>
        <w:contextualSpacing/>
        <w:jc w:val="both"/>
        <w:rPr>
          <w:rFonts w:ascii="Arial" w:hAnsi="Arial" w:cs="Arial"/>
          <w:bCs/>
          <w:sz w:val="22"/>
          <w:szCs w:val="22"/>
        </w:rPr>
      </w:pPr>
      <w:r>
        <w:rPr>
          <w:rFonts w:ascii="Arial" w:hAnsi="Arial" w:cs="Arial"/>
          <w:bCs/>
          <w:sz w:val="22"/>
          <w:szCs w:val="22"/>
        </w:rPr>
        <w:lastRenderedPageBreak/>
        <w:t>R</w:t>
      </w:r>
      <w:r w:rsidRPr="007923C2">
        <w:rPr>
          <w:rFonts w:ascii="Arial" w:hAnsi="Arial" w:cs="Arial"/>
          <w:bCs/>
          <w:sz w:val="22"/>
          <w:szCs w:val="22"/>
        </w:rPr>
        <w:t>eciclado de desechos   </w:t>
      </w:r>
    </w:p>
    <w:p w14:paraId="19DBAD9F"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1BA07299" w14:textId="77777777" w:rsidR="001761D4" w:rsidRPr="007923C2" w:rsidRDefault="001761D4" w:rsidP="001631FF">
      <w:pPr>
        <w:pStyle w:val="Prrafodelista"/>
        <w:numPr>
          <w:ilvl w:val="0"/>
          <w:numId w:val="46"/>
        </w:numPr>
        <w:spacing w:after="200"/>
        <w:contextualSpacing/>
        <w:jc w:val="both"/>
        <w:rPr>
          <w:rFonts w:ascii="Arial" w:hAnsi="Arial" w:cs="Arial"/>
          <w:bCs/>
          <w:sz w:val="22"/>
          <w:szCs w:val="22"/>
        </w:rPr>
      </w:pPr>
      <w:r w:rsidRPr="007923C2">
        <w:rPr>
          <w:rFonts w:ascii="Arial" w:hAnsi="Arial" w:cs="Arial"/>
          <w:bCs/>
          <w:sz w:val="22"/>
          <w:szCs w:val="22"/>
        </w:rPr>
        <w:t>Efecto de las bacterias fijadoras de nitrógeno y productos derivados de sábila sobre el manejo y desarrollo en diferentes etapas vegetativas de especies ornamentales herbáceas producidas en contenedor.   </w:t>
      </w:r>
    </w:p>
    <w:p w14:paraId="75591625" w14:textId="77777777" w:rsidR="001761D4" w:rsidRPr="007923C2" w:rsidRDefault="001761D4" w:rsidP="001631FF">
      <w:pPr>
        <w:pStyle w:val="Prrafodelista"/>
        <w:numPr>
          <w:ilvl w:val="0"/>
          <w:numId w:val="46"/>
        </w:numPr>
        <w:spacing w:after="200"/>
        <w:contextualSpacing/>
        <w:jc w:val="both"/>
        <w:rPr>
          <w:rFonts w:ascii="Arial" w:hAnsi="Arial" w:cs="Arial"/>
          <w:bCs/>
          <w:sz w:val="22"/>
          <w:szCs w:val="22"/>
        </w:rPr>
      </w:pPr>
      <w:r w:rsidRPr="007923C2">
        <w:rPr>
          <w:rFonts w:ascii="Arial" w:hAnsi="Arial" w:cs="Arial"/>
          <w:bCs/>
          <w:sz w:val="22"/>
          <w:szCs w:val="22"/>
        </w:rPr>
        <w:t>Manejo y establecimiento de césped ornamental como alternativa de producción en el municipio de General Terán, Nuevo León, México.</w:t>
      </w:r>
    </w:p>
    <w:p w14:paraId="75B37CFA" w14:textId="77777777" w:rsidR="001761D4" w:rsidRPr="007923C2" w:rsidRDefault="00037CC2" w:rsidP="001631FF">
      <w:pPr>
        <w:pStyle w:val="Prrafodelista"/>
        <w:numPr>
          <w:ilvl w:val="0"/>
          <w:numId w:val="46"/>
        </w:numPr>
        <w:spacing w:after="200"/>
        <w:contextualSpacing/>
        <w:jc w:val="both"/>
        <w:rPr>
          <w:rFonts w:ascii="Arial" w:hAnsi="Arial" w:cs="Arial"/>
          <w:bCs/>
          <w:sz w:val="22"/>
          <w:szCs w:val="22"/>
        </w:rPr>
      </w:pPr>
      <w:r>
        <w:rPr>
          <w:rFonts w:ascii="Arial" w:hAnsi="Arial" w:cs="Arial"/>
          <w:bCs/>
          <w:sz w:val="22"/>
          <w:szCs w:val="22"/>
        </w:rPr>
        <w:t>E</w:t>
      </w:r>
      <w:r w:rsidRPr="007923C2">
        <w:rPr>
          <w:rFonts w:ascii="Arial" w:hAnsi="Arial" w:cs="Arial"/>
          <w:bCs/>
          <w:sz w:val="22"/>
          <w:szCs w:val="22"/>
        </w:rPr>
        <w:t>stablecimiento de parcelas demostrativas en diferentes localidades con cuatro genotipos de tomate extrafirmes tipo beef tsan indeterminados.</w:t>
      </w:r>
    </w:p>
    <w:p w14:paraId="01CE86A0" w14:textId="77777777" w:rsidR="001761D4" w:rsidRPr="007923C2" w:rsidRDefault="00037CC2" w:rsidP="001631FF">
      <w:pPr>
        <w:pStyle w:val="Prrafodelista"/>
        <w:numPr>
          <w:ilvl w:val="0"/>
          <w:numId w:val="46"/>
        </w:numPr>
        <w:spacing w:after="200"/>
        <w:contextualSpacing/>
        <w:jc w:val="both"/>
        <w:rPr>
          <w:rFonts w:ascii="Arial" w:hAnsi="Arial" w:cs="Arial"/>
          <w:bCs/>
          <w:sz w:val="22"/>
          <w:szCs w:val="22"/>
        </w:rPr>
      </w:pPr>
      <w:r>
        <w:rPr>
          <w:rFonts w:ascii="Arial" w:hAnsi="Arial" w:cs="Arial"/>
          <w:bCs/>
          <w:sz w:val="22"/>
          <w:szCs w:val="22"/>
        </w:rPr>
        <w:t>L</w:t>
      </w:r>
      <w:r w:rsidRPr="007923C2">
        <w:rPr>
          <w:rFonts w:ascii="Arial" w:hAnsi="Arial" w:cs="Arial"/>
          <w:bCs/>
          <w:sz w:val="22"/>
          <w:szCs w:val="22"/>
        </w:rPr>
        <w:t>a imagen pública en el desarrollo comunitario a través de la horticultura ornamental  </w:t>
      </w:r>
    </w:p>
    <w:p w14:paraId="6B0F48B7" w14:textId="77777777" w:rsidR="001761D4" w:rsidRPr="007923C2" w:rsidRDefault="00037CC2" w:rsidP="001631FF">
      <w:pPr>
        <w:pStyle w:val="Prrafodelista"/>
        <w:ind w:left="1080"/>
        <w:jc w:val="both"/>
        <w:rPr>
          <w:rFonts w:ascii="Arial" w:hAnsi="Arial" w:cs="Arial"/>
          <w:bCs/>
          <w:sz w:val="22"/>
          <w:szCs w:val="22"/>
        </w:rPr>
      </w:pPr>
      <w:r w:rsidRPr="007923C2">
        <w:rPr>
          <w:rFonts w:ascii="Arial" w:hAnsi="Arial" w:cs="Arial"/>
          <w:bCs/>
          <w:sz w:val="22"/>
          <w:szCs w:val="22"/>
        </w:rPr>
        <w:t> </w:t>
      </w:r>
    </w:p>
    <w:p w14:paraId="44659536" w14:textId="77777777" w:rsidR="001761D4" w:rsidRPr="007923C2" w:rsidRDefault="001761D4" w:rsidP="001631FF">
      <w:pPr>
        <w:jc w:val="both"/>
        <w:rPr>
          <w:rFonts w:ascii="Arial" w:hAnsi="Arial" w:cs="Arial"/>
          <w:b/>
          <w:bCs/>
          <w:sz w:val="22"/>
          <w:szCs w:val="22"/>
        </w:rPr>
      </w:pPr>
      <w:r w:rsidRPr="007923C2">
        <w:rPr>
          <w:rFonts w:ascii="Arial" w:hAnsi="Arial" w:cs="Arial"/>
          <w:b/>
          <w:bCs/>
          <w:i/>
          <w:iCs/>
          <w:sz w:val="22"/>
          <w:szCs w:val="22"/>
        </w:rPr>
        <w:t>PEREZ MATA SERGIO ANTONIO (668) </w:t>
      </w:r>
      <w:r w:rsidRPr="007923C2">
        <w:rPr>
          <w:rFonts w:ascii="Arial" w:hAnsi="Arial" w:cs="Arial"/>
          <w:b/>
          <w:bCs/>
          <w:sz w:val="22"/>
          <w:szCs w:val="22"/>
        </w:rPr>
        <w:t> </w:t>
      </w:r>
    </w:p>
    <w:p w14:paraId="081A056C"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694EBAAD" w14:textId="77777777" w:rsidR="001761D4" w:rsidRDefault="001761D4" w:rsidP="001631FF">
      <w:pPr>
        <w:pStyle w:val="Prrafodelista"/>
        <w:numPr>
          <w:ilvl w:val="0"/>
          <w:numId w:val="47"/>
        </w:numPr>
        <w:spacing w:after="200"/>
        <w:contextualSpacing/>
        <w:jc w:val="both"/>
        <w:rPr>
          <w:rFonts w:ascii="Arial" w:hAnsi="Arial" w:cs="Arial"/>
          <w:bCs/>
          <w:sz w:val="22"/>
          <w:szCs w:val="22"/>
        </w:rPr>
      </w:pPr>
      <w:r w:rsidRPr="007923C2">
        <w:rPr>
          <w:rFonts w:ascii="Arial" w:hAnsi="Arial" w:cs="Arial"/>
          <w:bCs/>
          <w:sz w:val="22"/>
          <w:szCs w:val="22"/>
        </w:rPr>
        <w:t>Efecto de la radiación solar sobre la estructura anatómico-histológica foliar de ceratonia silicua L. (algarrobo) en el municipio de Lampazos, N.L.)   </w:t>
      </w:r>
    </w:p>
    <w:p w14:paraId="0C5C72C4"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DE LA ROSA IBARRA MANUEL (1018) </w:t>
      </w:r>
    </w:p>
    <w:p w14:paraId="51AB7C9A"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14:paraId="3AD81103" w14:textId="77777777" w:rsidR="001761D4" w:rsidRPr="007923C2" w:rsidRDefault="001761D4" w:rsidP="001631FF">
      <w:pPr>
        <w:pStyle w:val="Prrafodelista"/>
        <w:numPr>
          <w:ilvl w:val="0"/>
          <w:numId w:val="48"/>
        </w:numPr>
        <w:spacing w:after="200"/>
        <w:contextualSpacing/>
        <w:jc w:val="both"/>
        <w:rPr>
          <w:rFonts w:ascii="Arial" w:hAnsi="Arial" w:cs="Arial"/>
          <w:bCs/>
          <w:sz w:val="22"/>
          <w:szCs w:val="22"/>
        </w:rPr>
      </w:pPr>
      <w:r w:rsidRPr="007923C2">
        <w:rPr>
          <w:rFonts w:ascii="Arial" w:hAnsi="Arial" w:cs="Arial"/>
          <w:bCs/>
          <w:sz w:val="22"/>
          <w:szCs w:val="22"/>
        </w:rPr>
        <w:t>Evaluación de películas para invernadero con nanoparticulas y pigmentos flourescentes que modifiquen sus propiedades ópticas para un mejor desarrollo de los cultivos.   </w:t>
      </w:r>
    </w:p>
    <w:p w14:paraId="0E117D9B" w14:textId="77777777" w:rsidR="001761D4" w:rsidRPr="007923C2" w:rsidRDefault="001761D4" w:rsidP="001631FF">
      <w:pPr>
        <w:pStyle w:val="Prrafodelista"/>
        <w:numPr>
          <w:ilvl w:val="0"/>
          <w:numId w:val="48"/>
        </w:numPr>
        <w:spacing w:after="200"/>
        <w:contextualSpacing/>
        <w:jc w:val="both"/>
        <w:rPr>
          <w:rFonts w:ascii="Arial" w:hAnsi="Arial" w:cs="Arial"/>
          <w:bCs/>
          <w:sz w:val="22"/>
          <w:szCs w:val="22"/>
        </w:rPr>
      </w:pPr>
      <w:r w:rsidRPr="007923C2">
        <w:rPr>
          <w:rFonts w:ascii="Arial" w:hAnsi="Arial" w:cs="Arial"/>
          <w:bCs/>
          <w:sz w:val="22"/>
          <w:szCs w:val="22"/>
        </w:rPr>
        <w:t>Efecto del ácido salicílico en el crecimiento, desarrollo y rendimiento de un cultivo de frijol bajo condiciones de temporal.   </w:t>
      </w:r>
    </w:p>
    <w:p w14:paraId="500C4ACC"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029E4363" w14:textId="77777777" w:rsidR="001761D4" w:rsidRPr="007923C2" w:rsidRDefault="001761D4" w:rsidP="001631FF">
      <w:pPr>
        <w:pStyle w:val="Prrafodelista"/>
        <w:numPr>
          <w:ilvl w:val="0"/>
          <w:numId w:val="49"/>
        </w:numPr>
        <w:spacing w:after="200"/>
        <w:contextualSpacing/>
        <w:jc w:val="both"/>
        <w:rPr>
          <w:rFonts w:ascii="Arial" w:hAnsi="Arial" w:cs="Arial"/>
          <w:bCs/>
          <w:sz w:val="22"/>
          <w:szCs w:val="22"/>
        </w:rPr>
      </w:pPr>
      <w:r w:rsidRPr="007923C2">
        <w:rPr>
          <w:rFonts w:ascii="Arial" w:hAnsi="Arial" w:cs="Arial"/>
          <w:bCs/>
          <w:sz w:val="22"/>
          <w:szCs w:val="22"/>
        </w:rPr>
        <w:t>Plantas endémicas y raras de Coahuila   </w:t>
      </w:r>
    </w:p>
    <w:p w14:paraId="0C8BE730"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CABRAL CORDERO ISMAEL (3772) </w:t>
      </w:r>
    </w:p>
    <w:p w14:paraId="6E30D515" w14:textId="77777777"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14:paraId="626B83BF" w14:textId="77777777" w:rsidR="001761D4" w:rsidRPr="007923C2" w:rsidRDefault="001761D4" w:rsidP="001631FF">
      <w:pPr>
        <w:pStyle w:val="Prrafodelista"/>
        <w:numPr>
          <w:ilvl w:val="0"/>
          <w:numId w:val="50"/>
        </w:numPr>
        <w:spacing w:after="200"/>
        <w:contextualSpacing/>
        <w:jc w:val="both"/>
        <w:rPr>
          <w:rFonts w:ascii="Arial" w:hAnsi="Arial" w:cs="Arial"/>
          <w:bCs/>
          <w:sz w:val="22"/>
          <w:szCs w:val="22"/>
        </w:rPr>
      </w:pPr>
      <w:r w:rsidRPr="007923C2">
        <w:rPr>
          <w:rFonts w:ascii="Arial" w:hAnsi="Arial" w:cs="Arial"/>
          <w:bCs/>
          <w:sz w:val="22"/>
          <w:szCs w:val="22"/>
        </w:rPr>
        <w:t>Etnobotánica de especies de Agavaceas en el sur de Coahuila   </w:t>
      </w:r>
    </w:p>
    <w:p w14:paraId="51AA347E" w14:textId="77777777" w:rsidR="001761D4" w:rsidRPr="007923C2" w:rsidRDefault="001761D4" w:rsidP="001631FF">
      <w:pPr>
        <w:pStyle w:val="Prrafodelista"/>
        <w:numPr>
          <w:ilvl w:val="0"/>
          <w:numId w:val="50"/>
        </w:numPr>
        <w:spacing w:after="200"/>
        <w:contextualSpacing/>
        <w:jc w:val="both"/>
        <w:rPr>
          <w:rFonts w:ascii="Arial" w:hAnsi="Arial" w:cs="Arial"/>
          <w:bCs/>
          <w:sz w:val="22"/>
          <w:szCs w:val="22"/>
        </w:rPr>
      </w:pPr>
      <w:r w:rsidRPr="007923C2">
        <w:rPr>
          <w:rFonts w:ascii="Arial" w:hAnsi="Arial" w:cs="Arial"/>
          <w:bCs/>
          <w:sz w:val="22"/>
          <w:szCs w:val="22"/>
        </w:rPr>
        <w:t>Distribución de especies de la familia Agavaceas en el Sur de Coahuila.   </w:t>
      </w:r>
    </w:p>
    <w:p w14:paraId="09AC9427"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3CBC4F7F" w14:textId="77777777" w:rsidR="001761D4" w:rsidRPr="007923C2" w:rsidRDefault="001761D4" w:rsidP="001631FF">
      <w:pPr>
        <w:pStyle w:val="Prrafodelista"/>
        <w:numPr>
          <w:ilvl w:val="0"/>
          <w:numId w:val="51"/>
        </w:numPr>
        <w:spacing w:after="200"/>
        <w:contextualSpacing/>
        <w:jc w:val="both"/>
        <w:rPr>
          <w:rFonts w:ascii="Arial" w:hAnsi="Arial" w:cs="Arial"/>
          <w:bCs/>
          <w:sz w:val="22"/>
          <w:szCs w:val="22"/>
        </w:rPr>
      </w:pPr>
      <w:r w:rsidRPr="007923C2">
        <w:rPr>
          <w:rFonts w:ascii="Arial" w:hAnsi="Arial" w:cs="Arial"/>
          <w:bCs/>
          <w:sz w:val="22"/>
          <w:szCs w:val="22"/>
        </w:rPr>
        <w:t>Estimación del modelo de hábitat para Cynomys mexicanus en el Noreste de</w:t>
      </w:r>
    </w:p>
    <w:p w14:paraId="1F427EE0" w14:textId="77777777" w:rsidR="001761D4" w:rsidRPr="007923C2" w:rsidRDefault="001761D4" w:rsidP="001631FF">
      <w:pPr>
        <w:pStyle w:val="Prrafodelista"/>
        <w:numPr>
          <w:ilvl w:val="0"/>
          <w:numId w:val="51"/>
        </w:numPr>
        <w:spacing w:after="200"/>
        <w:contextualSpacing/>
        <w:jc w:val="both"/>
        <w:rPr>
          <w:rFonts w:ascii="Arial" w:hAnsi="Arial" w:cs="Arial"/>
          <w:bCs/>
          <w:sz w:val="22"/>
          <w:szCs w:val="22"/>
        </w:rPr>
      </w:pPr>
      <w:r w:rsidRPr="007923C2">
        <w:rPr>
          <w:rFonts w:ascii="Arial" w:hAnsi="Arial" w:cs="Arial"/>
          <w:bCs/>
          <w:sz w:val="22"/>
          <w:szCs w:val="22"/>
        </w:rPr>
        <w:t>Modelos por máxima entroía en hábitat fragmentados para vida silvestre.   </w:t>
      </w:r>
    </w:p>
    <w:p w14:paraId="550A12A4" w14:textId="77777777" w:rsidR="001761D4" w:rsidRPr="007923C2" w:rsidRDefault="001761D4" w:rsidP="001631FF">
      <w:pPr>
        <w:pStyle w:val="Prrafodelista"/>
        <w:numPr>
          <w:ilvl w:val="0"/>
          <w:numId w:val="51"/>
        </w:numPr>
        <w:spacing w:after="200"/>
        <w:contextualSpacing/>
        <w:jc w:val="both"/>
        <w:rPr>
          <w:rFonts w:ascii="Arial" w:hAnsi="Arial" w:cs="Arial"/>
          <w:bCs/>
          <w:sz w:val="22"/>
          <w:szCs w:val="22"/>
        </w:rPr>
      </w:pPr>
      <w:r w:rsidRPr="007923C2">
        <w:rPr>
          <w:rFonts w:ascii="Arial" w:hAnsi="Arial" w:cs="Arial"/>
          <w:bCs/>
          <w:sz w:val="22"/>
          <w:szCs w:val="22"/>
        </w:rPr>
        <w:t>Desarrollo y analisis de un sistema de monitoreo de los agostaderos para el estado de Coahuila, mediante un sistema de información geográfica y un modelo de simulación   </w:t>
      </w:r>
    </w:p>
    <w:p w14:paraId="7E7A116A" w14:textId="77777777" w:rsidR="001761D4" w:rsidRPr="007923C2" w:rsidRDefault="001761D4" w:rsidP="001631FF">
      <w:pPr>
        <w:pStyle w:val="Prrafodelista"/>
        <w:numPr>
          <w:ilvl w:val="0"/>
          <w:numId w:val="51"/>
        </w:numPr>
        <w:spacing w:after="200"/>
        <w:contextualSpacing/>
        <w:jc w:val="both"/>
        <w:rPr>
          <w:rFonts w:ascii="Arial" w:hAnsi="Arial" w:cs="Arial"/>
          <w:bCs/>
          <w:sz w:val="22"/>
          <w:szCs w:val="22"/>
        </w:rPr>
      </w:pPr>
      <w:r w:rsidRPr="007923C2">
        <w:rPr>
          <w:rFonts w:ascii="Arial" w:hAnsi="Arial" w:cs="Arial"/>
          <w:bCs/>
          <w:sz w:val="22"/>
          <w:szCs w:val="22"/>
        </w:rPr>
        <w:t>Diseño y Evaluación de un sistema para estimar la dinámica de los agostaderos del estado de Chihuahua   </w:t>
      </w:r>
    </w:p>
    <w:p w14:paraId="2BFB08AB" w14:textId="77777777" w:rsidR="001761D4" w:rsidRPr="007923C2" w:rsidRDefault="001761D4" w:rsidP="001631FF">
      <w:pPr>
        <w:pStyle w:val="Prrafodelista"/>
        <w:numPr>
          <w:ilvl w:val="0"/>
          <w:numId w:val="51"/>
        </w:numPr>
        <w:spacing w:after="200"/>
        <w:contextualSpacing/>
        <w:jc w:val="both"/>
        <w:rPr>
          <w:rFonts w:ascii="Arial" w:hAnsi="Arial" w:cs="Arial"/>
          <w:bCs/>
          <w:sz w:val="22"/>
          <w:szCs w:val="22"/>
        </w:rPr>
      </w:pPr>
      <w:r w:rsidRPr="007923C2">
        <w:rPr>
          <w:rFonts w:ascii="Arial" w:hAnsi="Arial" w:cs="Arial"/>
          <w:bCs/>
          <w:sz w:val="22"/>
          <w:szCs w:val="22"/>
        </w:rPr>
        <w:t>Distribución actual y uso de hábitat del Gorrión de Worthen (Spizella wortheni) en las colonias de perro de la pradera en el estado de Coahuila.   </w:t>
      </w:r>
    </w:p>
    <w:p w14:paraId="58885705" w14:textId="77777777" w:rsidR="001761D4" w:rsidRPr="007923C2" w:rsidRDefault="001761D4" w:rsidP="001631FF">
      <w:pPr>
        <w:jc w:val="both"/>
        <w:rPr>
          <w:rFonts w:ascii="Arial" w:hAnsi="Arial" w:cs="Arial"/>
          <w:b/>
          <w:bCs/>
          <w:sz w:val="22"/>
          <w:szCs w:val="22"/>
        </w:rPr>
      </w:pPr>
      <w:r w:rsidRPr="007923C2">
        <w:rPr>
          <w:rFonts w:ascii="Arial" w:hAnsi="Arial" w:cs="Arial"/>
          <w:b/>
          <w:bCs/>
          <w:sz w:val="22"/>
          <w:szCs w:val="22"/>
        </w:rPr>
        <w:lastRenderedPageBreak/>
        <w:t>Profesores Externos Proyectos de Investigación 2013</w:t>
      </w:r>
    </w:p>
    <w:p w14:paraId="017F3EED"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TORRES TAPIA MARIA ALEJANDRA (2771) </w:t>
      </w:r>
    </w:p>
    <w:p w14:paraId="099DB0FD"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14:paraId="019B97CE" w14:textId="77777777" w:rsidR="001761D4" w:rsidRPr="007923C2" w:rsidRDefault="001761D4" w:rsidP="001631FF">
      <w:pPr>
        <w:pStyle w:val="Prrafodelista"/>
        <w:numPr>
          <w:ilvl w:val="0"/>
          <w:numId w:val="52"/>
        </w:numPr>
        <w:spacing w:after="200"/>
        <w:contextualSpacing/>
        <w:jc w:val="both"/>
        <w:rPr>
          <w:rFonts w:ascii="Arial" w:hAnsi="Arial" w:cs="Arial"/>
          <w:bCs/>
          <w:sz w:val="22"/>
          <w:szCs w:val="22"/>
        </w:rPr>
      </w:pPr>
      <w:r w:rsidRPr="007923C2">
        <w:rPr>
          <w:rFonts w:ascii="Arial" w:hAnsi="Arial" w:cs="Arial"/>
          <w:bCs/>
          <w:sz w:val="22"/>
          <w:szCs w:val="22"/>
        </w:rPr>
        <w:t>Evaluación de efectos quimicos y fisiológicos en diferentes especies de semilla con aplicación de extracto de guiche(Ricinus communisL</w:t>
      </w:r>
    </w:p>
    <w:p w14:paraId="491B7A29" w14:textId="77777777" w:rsidR="001761D4" w:rsidRPr="007923C2" w:rsidRDefault="001761D4" w:rsidP="001631FF">
      <w:pPr>
        <w:pStyle w:val="Prrafodelista"/>
        <w:numPr>
          <w:ilvl w:val="0"/>
          <w:numId w:val="52"/>
        </w:numPr>
        <w:spacing w:after="200"/>
        <w:contextualSpacing/>
        <w:jc w:val="both"/>
        <w:rPr>
          <w:rFonts w:ascii="Arial" w:hAnsi="Arial" w:cs="Arial"/>
          <w:bCs/>
          <w:sz w:val="22"/>
          <w:szCs w:val="22"/>
        </w:rPr>
      </w:pPr>
      <w:r w:rsidRPr="007923C2">
        <w:rPr>
          <w:rFonts w:ascii="Arial" w:hAnsi="Arial" w:cs="Arial"/>
          <w:bCs/>
          <w:sz w:val="22"/>
          <w:szCs w:val="22"/>
        </w:rPr>
        <w:t>Comparación de calidad de forraje y grano en mezclas de cuatro cereales de grano pequeño con diferentes densidades al norte de México</w:t>
      </w:r>
    </w:p>
    <w:p w14:paraId="3E2A618E"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7AED6C6F" w14:textId="77777777"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Mejoramiento Genetico de trigo harinero para doble proposito en el norte de mexico.   </w:t>
      </w:r>
    </w:p>
    <w:p w14:paraId="0165D517" w14:textId="77777777"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Estudios Geneticos y mejoramieento de trigo Harinero en el norte de México</w:t>
      </w:r>
    </w:p>
    <w:p w14:paraId="3AAC8316" w14:textId="77777777"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Mejoramiento genético de Cebada para el norte de México.   </w:t>
      </w:r>
    </w:p>
    <w:p w14:paraId="072DB186" w14:textId="77777777"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Embriogénesis somática para la producción in vitro de plantas de sotol (Desylirion cedrosanum Trel.)   </w:t>
      </w:r>
    </w:p>
    <w:p w14:paraId="7F00080A" w14:textId="77777777"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Selección de autotetraploides de physalis ixocarpa, en cuatro generaciones, en base a estabilidad meiótica, viabilidad de polen y rendimiento de fruto.   </w:t>
      </w:r>
    </w:p>
    <w:p w14:paraId="3F4167D6" w14:textId="77777777"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Extractos de gobernadora y nopal como promotores de germinación y vigor en semillas de maíz.   </w:t>
      </w:r>
    </w:p>
    <w:p w14:paraId="4B394E7D" w14:textId="77777777"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Aplicación de cargas eléctricas a semillas de maíz para evaluar su efecto en tiempo y calidad de la germinación fisiólogica y vigor   </w:t>
      </w:r>
    </w:p>
    <w:p w14:paraId="7084F1C4"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CASTRO NARRO EFRAIN (3652) </w:t>
      </w:r>
    </w:p>
    <w:p w14:paraId="373BDCAC" w14:textId="77777777"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14:paraId="0E8D7EB1" w14:textId="77777777" w:rsidR="001761D4" w:rsidRPr="007923C2" w:rsidRDefault="001761D4" w:rsidP="001631FF">
      <w:pPr>
        <w:pStyle w:val="Prrafodelista"/>
        <w:numPr>
          <w:ilvl w:val="0"/>
          <w:numId w:val="54"/>
        </w:numPr>
        <w:spacing w:after="200"/>
        <w:contextualSpacing/>
        <w:jc w:val="both"/>
        <w:rPr>
          <w:rFonts w:ascii="Arial" w:hAnsi="Arial" w:cs="Arial"/>
          <w:bCs/>
          <w:sz w:val="22"/>
          <w:szCs w:val="22"/>
        </w:rPr>
      </w:pPr>
      <w:r w:rsidRPr="007923C2">
        <w:rPr>
          <w:rFonts w:ascii="Arial" w:hAnsi="Arial" w:cs="Arial"/>
          <w:bCs/>
          <w:sz w:val="22"/>
          <w:szCs w:val="22"/>
        </w:rPr>
        <w:t>Fabricacion de un Biosensor para la Determinación de Lactato en Productos Lácteos.   </w:t>
      </w:r>
    </w:p>
    <w:p w14:paraId="6541F55C" w14:textId="77777777" w:rsidR="001761D4" w:rsidRPr="007923C2" w:rsidRDefault="001761D4" w:rsidP="001631FF">
      <w:pPr>
        <w:pStyle w:val="Prrafodelista"/>
        <w:numPr>
          <w:ilvl w:val="0"/>
          <w:numId w:val="54"/>
        </w:numPr>
        <w:spacing w:after="200"/>
        <w:contextualSpacing/>
        <w:jc w:val="both"/>
        <w:rPr>
          <w:rFonts w:ascii="Arial" w:hAnsi="Arial" w:cs="Arial"/>
          <w:bCs/>
          <w:sz w:val="22"/>
          <w:szCs w:val="22"/>
        </w:rPr>
      </w:pPr>
      <w:r w:rsidRPr="007923C2">
        <w:rPr>
          <w:rFonts w:ascii="Arial" w:hAnsi="Arial" w:cs="Arial"/>
          <w:bCs/>
          <w:sz w:val="22"/>
          <w:szCs w:val="22"/>
        </w:rPr>
        <w:t>Analisis de Agua para uso y consumo humano proveniente de Zonas Áridas del Sureste de Coahuila para apoyar la Valoración de su calidad.   </w:t>
      </w:r>
    </w:p>
    <w:p w14:paraId="2E6EB8F1" w14:textId="77777777" w:rsidR="001761D4" w:rsidRPr="007923C2" w:rsidRDefault="00037CC2" w:rsidP="001631FF">
      <w:pPr>
        <w:pStyle w:val="Prrafodelista"/>
        <w:numPr>
          <w:ilvl w:val="0"/>
          <w:numId w:val="54"/>
        </w:numPr>
        <w:spacing w:after="200"/>
        <w:contextualSpacing/>
        <w:jc w:val="both"/>
        <w:rPr>
          <w:rFonts w:ascii="Arial" w:hAnsi="Arial" w:cs="Arial"/>
          <w:bCs/>
          <w:sz w:val="22"/>
          <w:szCs w:val="22"/>
        </w:rPr>
      </w:pPr>
      <w:r>
        <w:rPr>
          <w:rFonts w:ascii="Arial" w:hAnsi="Arial" w:cs="Arial"/>
          <w:bCs/>
          <w:sz w:val="22"/>
          <w:szCs w:val="22"/>
        </w:rPr>
        <w:t>C</w:t>
      </w:r>
      <w:r w:rsidRPr="007923C2">
        <w:rPr>
          <w:rFonts w:ascii="Arial" w:hAnsi="Arial" w:cs="Arial"/>
          <w:bCs/>
          <w:sz w:val="22"/>
          <w:szCs w:val="22"/>
        </w:rPr>
        <w:t>oncientizar al productor de granos básicos de la bondad del buen uso y conservación del suelo y agua   </w:t>
      </w:r>
    </w:p>
    <w:p w14:paraId="68B9CC51" w14:textId="77777777" w:rsidR="001761D4" w:rsidRPr="007923C2" w:rsidRDefault="00037CC2" w:rsidP="001631FF">
      <w:pPr>
        <w:pStyle w:val="Prrafodelista"/>
        <w:numPr>
          <w:ilvl w:val="0"/>
          <w:numId w:val="54"/>
        </w:numPr>
        <w:spacing w:after="200"/>
        <w:contextualSpacing/>
        <w:jc w:val="both"/>
        <w:rPr>
          <w:rFonts w:ascii="Arial" w:hAnsi="Arial" w:cs="Arial"/>
          <w:bCs/>
          <w:sz w:val="22"/>
          <w:szCs w:val="22"/>
        </w:rPr>
      </w:pPr>
      <w:r>
        <w:rPr>
          <w:rFonts w:ascii="Arial" w:hAnsi="Arial" w:cs="Arial"/>
          <w:bCs/>
          <w:sz w:val="22"/>
          <w:szCs w:val="22"/>
        </w:rPr>
        <w:t>B</w:t>
      </w:r>
      <w:r w:rsidRPr="007923C2">
        <w:rPr>
          <w:rFonts w:ascii="Arial" w:hAnsi="Arial" w:cs="Arial"/>
          <w:bCs/>
          <w:sz w:val="22"/>
          <w:szCs w:val="22"/>
        </w:rPr>
        <w:t>ioenergía y fertilizante a partir del estiércol del ganado vacuno   </w:t>
      </w:r>
    </w:p>
    <w:p w14:paraId="3AE0264E"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442A40DF" w14:textId="77777777" w:rsidR="001761D4" w:rsidRPr="007923C2" w:rsidRDefault="001761D4" w:rsidP="001631FF">
      <w:pPr>
        <w:pStyle w:val="Prrafodelista"/>
        <w:numPr>
          <w:ilvl w:val="0"/>
          <w:numId w:val="55"/>
        </w:numPr>
        <w:spacing w:after="200"/>
        <w:contextualSpacing/>
        <w:jc w:val="both"/>
        <w:rPr>
          <w:rFonts w:ascii="Arial" w:hAnsi="Arial" w:cs="Arial"/>
          <w:bCs/>
          <w:sz w:val="22"/>
          <w:szCs w:val="22"/>
        </w:rPr>
      </w:pPr>
      <w:r w:rsidRPr="007923C2">
        <w:rPr>
          <w:rFonts w:ascii="Arial" w:hAnsi="Arial" w:cs="Arial"/>
          <w:bCs/>
          <w:sz w:val="22"/>
          <w:szCs w:val="22"/>
        </w:rPr>
        <w:t>Evaluación de la Adición de Harina de sorgo Blanco a la Harina de Maíz para elaborar Tortillas.   </w:t>
      </w:r>
    </w:p>
    <w:p w14:paraId="2407903E" w14:textId="77777777" w:rsidR="001761D4" w:rsidRPr="007923C2" w:rsidRDefault="001761D4" w:rsidP="001631FF">
      <w:pPr>
        <w:pStyle w:val="Prrafodelista"/>
        <w:numPr>
          <w:ilvl w:val="0"/>
          <w:numId w:val="55"/>
        </w:numPr>
        <w:spacing w:after="200"/>
        <w:contextualSpacing/>
        <w:jc w:val="both"/>
        <w:rPr>
          <w:rFonts w:ascii="Arial" w:hAnsi="Arial" w:cs="Arial"/>
          <w:b/>
          <w:bCs/>
          <w:sz w:val="22"/>
          <w:szCs w:val="22"/>
        </w:rPr>
      </w:pPr>
      <w:r w:rsidRPr="007923C2">
        <w:rPr>
          <w:rFonts w:ascii="Arial" w:hAnsi="Arial" w:cs="Arial"/>
          <w:bCs/>
          <w:sz w:val="22"/>
          <w:szCs w:val="22"/>
        </w:rPr>
        <w:t>Formulación y desarrollo de nuevos productos funcionales de planificación para individuos con trastornos</w:t>
      </w:r>
      <w:r w:rsidRPr="007923C2">
        <w:rPr>
          <w:rFonts w:ascii="Arial" w:hAnsi="Arial" w:cs="Arial"/>
          <w:b/>
          <w:bCs/>
          <w:sz w:val="22"/>
          <w:szCs w:val="22"/>
        </w:rPr>
        <w:t xml:space="preserve">   </w:t>
      </w:r>
    </w:p>
    <w:p w14:paraId="51355D35"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PEÑA RAMOS FIDEL MAXIMIANO (3717) </w:t>
      </w:r>
    </w:p>
    <w:p w14:paraId="0745AD6C" w14:textId="77777777"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Colaborador</w:t>
      </w:r>
    </w:p>
    <w:p w14:paraId="171AC2AE" w14:textId="77777777" w:rsidR="001761D4" w:rsidRPr="007923C2" w:rsidRDefault="001761D4" w:rsidP="001631FF">
      <w:pPr>
        <w:pStyle w:val="Prrafodelista"/>
        <w:numPr>
          <w:ilvl w:val="0"/>
          <w:numId w:val="56"/>
        </w:numPr>
        <w:spacing w:after="200"/>
        <w:contextualSpacing/>
        <w:jc w:val="both"/>
        <w:rPr>
          <w:rFonts w:ascii="Arial" w:hAnsi="Arial" w:cs="Arial"/>
          <w:bCs/>
          <w:sz w:val="22"/>
          <w:szCs w:val="22"/>
        </w:rPr>
      </w:pPr>
      <w:r w:rsidRPr="007923C2">
        <w:rPr>
          <w:rFonts w:ascii="Arial" w:hAnsi="Arial" w:cs="Arial"/>
          <w:bCs/>
          <w:sz w:val="22"/>
          <w:szCs w:val="22"/>
        </w:rPr>
        <w:t>Biotransformación anaerobia de nitrato presente en agua residual.   </w:t>
      </w:r>
    </w:p>
    <w:p w14:paraId="78AB5AC2" w14:textId="77777777" w:rsidR="001761D4" w:rsidRPr="007923C2" w:rsidRDefault="001761D4" w:rsidP="001631FF">
      <w:pPr>
        <w:pStyle w:val="Prrafodelista"/>
        <w:numPr>
          <w:ilvl w:val="0"/>
          <w:numId w:val="56"/>
        </w:numPr>
        <w:spacing w:after="200"/>
        <w:contextualSpacing/>
        <w:jc w:val="both"/>
        <w:rPr>
          <w:rFonts w:ascii="Arial" w:hAnsi="Arial" w:cs="Arial"/>
          <w:bCs/>
          <w:sz w:val="22"/>
          <w:szCs w:val="22"/>
        </w:rPr>
      </w:pPr>
      <w:r w:rsidRPr="007923C2">
        <w:rPr>
          <w:rFonts w:ascii="Arial" w:hAnsi="Arial" w:cs="Arial"/>
          <w:bCs/>
          <w:sz w:val="22"/>
          <w:szCs w:val="22"/>
        </w:rPr>
        <w:t>Compostado y lombricompostado de residuos agropecuarios su utilidad en a agricultura.   </w:t>
      </w:r>
    </w:p>
    <w:p w14:paraId="60C5C49A" w14:textId="77777777" w:rsidR="001761D4" w:rsidRPr="007923C2" w:rsidRDefault="001761D4" w:rsidP="001631FF">
      <w:pPr>
        <w:pStyle w:val="Prrafodelista"/>
        <w:numPr>
          <w:ilvl w:val="0"/>
          <w:numId w:val="56"/>
        </w:numPr>
        <w:spacing w:after="200"/>
        <w:contextualSpacing/>
        <w:jc w:val="both"/>
        <w:rPr>
          <w:rFonts w:ascii="Arial" w:hAnsi="Arial" w:cs="Arial"/>
          <w:bCs/>
          <w:sz w:val="22"/>
          <w:szCs w:val="22"/>
        </w:rPr>
      </w:pPr>
      <w:r w:rsidRPr="007923C2">
        <w:rPr>
          <w:rFonts w:ascii="Arial" w:hAnsi="Arial" w:cs="Arial"/>
          <w:bCs/>
          <w:sz w:val="22"/>
          <w:szCs w:val="22"/>
        </w:rPr>
        <w:t>Determinación de nitratos en lechuga   </w:t>
      </w:r>
    </w:p>
    <w:p w14:paraId="1E14392A" w14:textId="77777777" w:rsidR="001761D4" w:rsidRPr="007923C2" w:rsidRDefault="001761D4" w:rsidP="001631FF">
      <w:pPr>
        <w:pStyle w:val="Prrafodelista"/>
        <w:numPr>
          <w:ilvl w:val="0"/>
          <w:numId w:val="56"/>
        </w:numPr>
        <w:spacing w:after="200"/>
        <w:contextualSpacing/>
        <w:jc w:val="both"/>
        <w:rPr>
          <w:rFonts w:ascii="Arial" w:hAnsi="Arial" w:cs="Arial"/>
          <w:bCs/>
          <w:sz w:val="22"/>
          <w:szCs w:val="22"/>
        </w:rPr>
      </w:pPr>
      <w:r w:rsidRPr="007923C2">
        <w:rPr>
          <w:rFonts w:ascii="Arial" w:hAnsi="Arial" w:cs="Arial"/>
          <w:bCs/>
          <w:sz w:val="22"/>
          <w:szCs w:val="22"/>
        </w:rPr>
        <w:lastRenderedPageBreak/>
        <w:t>Estudio hidrologico de la Cuenca del Rio Sabinas   </w:t>
      </w:r>
    </w:p>
    <w:p w14:paraId="08E1C558" w14:textId="77777777" w:rsidR="001761D4" w:rsidRPr="007923C2" w:rsidRDefault="001761D4" w:rsidP="001631FF">
      <w:pPr>
        <w:pStyle w:val="Prrafodelista"/>
        <w:numPr>
          <w:ilvl w:val="0"/>
          <w:numId w:val="56"/>
        </w:numPr>
        <w:spacing w:after="200"/>
        <w:contextualSpacing/>
        <w:jc w:val="both"/>
        <w:rPr>
          <w:rFonts w:ascii="Arial" w:hAnsi="Arial" w:cs="Arial"/>
          <w:bCs/>
          <w:sz w:val="22"/>
          <w:szCs w:val="22"/>
        </w:rPr>
      </w:pPr>
      <w:r w:rsidRPr="007923C2">
        <w:rPr>
          <w:rFonts w:ascii="Arial" w:hAnsi="Arial" w:cs="Arial"/>
          <w:bCs/>
          <w:sz w:val="22"/>
          <w:szCs w:val="22"/>
        </w:rPr>
        <w:t>Monitoreo de la dinámica poblacional de la lombriz de tierra roja californiana (Eisenia Foetida L) con un modelo dinámico de simulación y producción sustentable de huevo para consumo   </w:t>
      </w:r>
    </w:p>
    <w:p w14:paraId="585C8693"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RAMIREZ GODINA FRANCISCA (1145) </w:t>
      </w:r>
    </w:p>
    <w:p w14:paraId="70A3ABC9"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14:paraId="52023DEC" w14:textId="77777777"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Selección de autotetraploides de physalis ixocarpa, en cuatro generaciones, en base a estabilidad meiótica, viabilidad de polen y rendimiento de fruto.   </w:t>
      </w:r>
    </w:p>
    <w:p w14:paraId="3B0E62F9" w14:textId="77777777"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Colaborador</w:t>
      </w:r>
    </w:p>
    <w:p w14:paraId="31F7B4F0" w14:textId="77777777"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Embriogénesis somática para la producción in vitro de plantas de sotol (Desylirion cedrosanum Trel.)   </w:t>
      </w:r>
    </w:p>
    <w:p w14:paraId="06E523CC" w14:textId="77777777"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Estudio comparativo de la recombinación genética entre girasol cultivado y silvestre (Helianthus annuus L.).   </w:t>
      </w:r>
    </w:p>
    <w:p w14:paraId="1F9AFCF6" w14:textId="77777777"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Comparación de calidad de forraje y grano en mezclas de cuatro cereales de grano pequeño con diferentes densidades al norte de México.   </w:t>
      </w:r>
    </w:p>
    <w:p w14:paraId="17E73785" w14:textId="77777777"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Estimación de la heterosis en cruzas intervarietales de Capsicum annuum desarrollado bajo condiciones de inver   </w:t>
      </w:r>
    </w:p>
    <w:p w14:paraId="1C49AE1A" w14:textId="77777777"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Formación de triploides y estimación de la heterosis en poblaciones triploides de tomate de cáscara (Phisalis ixocarpa Brot.)   </w:t>
      </w:r>
    </w:p>
    <w:p w14:paraId="51A8EB8B" w14:textId="77777777"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Irradiación Ultravioleta-B a Semillas de Melón (Cucumis melo) y su Efecto en el Crecimiento, Composicion Quimica, Morfología y Producción de Fruto.   </w:t>
      </w:r>
    </w:p>
    <w:p w14:paraId="58611401" w14:textId="77777777"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p-Ca, 6BA y 6FA Una alternativa para el control de Crecimiento en Manzano cv. Golden Delicius.   </w:t>
      </w:r>
    </w:p>
    <w:p w14:paraId="1F494268" w14:textId="77777777" w:rsidR="001761D4" w:rsidRPr="007923C2" w:rsidRDefault="001761D4" w:rsidP="001631FF">
      <w:pPr>
        <w:pStyle w:val="Prrafodelista"/>
        <w:numPr>
          <w:ilvl w:val="0"/>
          <w:numId w:val="57"/>
        </w:numPr>
        <w:spacing w:after="200"/>
        <w:contextualSpacing/>
        <w:jc w:val="both"/>
        <w:rPr>
          <w:rFonts w:ascii="Arial" w:hAnsi="Arial" w:cs="Arial"/>
          <w:b/>
          <w:bCs/>
          <w:sz w:val="22"/>
          <w:szCs w:val="22"/>
        </w:rPr>
      </w:pPr>
      <w:r w:rsidRPr="007923C2">
        <w:rPr>
          <w:rFonts w:ascii="Arial" w:hAnsi="Arial" w:cs="Arial"/>
          <w:bCs/>
          <w:sz w:val="22"/>
          <w:szCs w:val="22"/>
        </w:rPr>
        <w:t>Capacidad de los ácidos salicílico y benzoico para modificar la expresión génetica y la actividad enzimática antioxidante en hortalizas</w:t>
      </w:r>
      <w:r w:rsidRPr="007923C2">
        <w:rPr>
          <w:rFonts w:ascii="Arial" w:hAnsi="Arial" w:cs="Arial"/>
          <w:b/>
          <w:bCs/>
          <w:sz w:val="22"/>
          <w:szCs w:val="22"/>
        </w:rPr>
        <w:t>.</w:t>
      </w:r>
    </w:p>
    <w:p w14:paraId="588553AA"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GALLEGOS MORALES GABRIEL (3237) </w:t>
      </w:r>
    </w:p>
    <w:p w14:paraId="0DE79054"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14:paraId="0798ABC1" w14:textId="77777777" w:rsidR="001761D4" w:rsidRPr="007923C2" w:rsidRDefault="001761D4" w:rsidP="001631FF">
      <w:pPr>
        <w:pStyle w:val="Prrafodelista"/>
        <w:numPr>
          <w:ilvl w:val="0"/>
          <w:numId w:val="58"/>
        </w:numPr>
        <w:spacing w:after="200"/>
        <w:contextualSpacing/>
        <w:jc w:val="both"/>
        <w:rPr>
          <w:rFonts w:ascii="Arial" w:hAnsi="Arial" w:cs="Arial"/>
          <w:bCs/>
          <w:sz w:val="22"/>
          <w:szCs w:val="22"/>
        </w:rPr>
      </w:pPr>
      <w:r w:rsidRPr="007923C2">
        <w:rPr>
          <w:rFonts w:ascii="Arial" w:hAnsi="Arial" w:cs="Arial"/>
          <w:bCs/>
          <w:sz w:val="22"/>
          <w:szCs w:val="22"/>
        </w:rPr>
        <w:t>Inducción de Resistencia Sistématica a Xanthomonas axonopodis por Trichoderma asperellum en Diferentes Especies Vegetales</w:t>
      </w:r>
    </w:p>
    <w:p w14:paraId="0701B84D" w14:textId="77777777" w:rsidR="001761D4" w:rsidRPr="007923C2" w:rsidRDefault="001761D4" w:rsidP="001631FF">
      <w:pPr>
        <w:pStyle w:val="Prrafodelista"/>
        <w:numPr>
          <w:ilvl w:val="0"/>
          <w:numId w:val="58"/>
        </w:numPr>
        <w:spacing w:after="200"/>
        <w:contextualSpacing/>
        <w:jc w:val="both"/>
        <w:rPr>
          <w:rFonts w:ascii="Arial" w:hAnsi="Arial" w:cs="Arial"/>
          <w:bCs/>
          <w:sz w:val="22"/>
          <w:szCs w:val="22"/>
        </w:rPr>
      </w:pPr>
      <w:r w:rsidRPr="007923C2">
        <w:rPr>
          <w:rFonts w:ascii="Arial" w:hAnsi="Arial" w:cs="Arial"/>
          <w:bCs/>
          <w:sz w:val="22"/>
          <w:szCs w:val="22"/>
        </w:rPr>
        <w:t>Caracterización de enemigos naturales de Monoctenus sanchezi Smith (Hymenoptera: Diprionidae) en la Sierra de Álvarez, San Luis Potosí   </w:t>
      </w:r>
    </w:p>
    <w:p w14:paraId="68080363" w14:textId="77777777" w:rsidR="001761D4" w:rsidRPr="007923C2" w:rsidRDefault="001761D4" w:rsidP="001631FF">
      <w:pPr>
        <w:pStyle w:val="Prrafodelista"/>
        <w:numPr>
          <w:ilvl w:val="0"/>
          <w:numId w:val="58"/>
        </w:numPr>
        <w:spacing w:after="200"/>
        <w:contextualSpacing/>
        <w:jc w:val="both"/>
        <w:rPr>
          <w:rFonts w:ascii="Arial" w:hAnsi="Arial" w:cs="Arial"/>
          <w:bCs/>
          <w:sz w:val="22"/>
          <w:szCs w:val="22"/>
        </w:rPr>
      </w:pPr>
      <w:r w:rsidRPr="007923C2">
        <w:rPr>
          <w:rFonts w:ascii="Arial" w:hAnsi="Arial" w:cs="Arial"/>
          <w:bCs/>
          <w:sz w:val="22"/>
          <w:szCs w:val="22"/>
        </w:rPr>
        <w:t>Agentes de control biológico asociados al barrenador de ramas del aguacate Copturus aguacatae Kissinger (Coleoptera: curculionidae) en Tingüindín Michoacán   </w:t>
      </w:r>
    </w:p>
    <w:p w14:paraId="1676ED9F"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6B869B84" w14:textId="77777777"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Inducción de resistencia sistemática a Fusarium oxysporum en plantas de tomate utilizando Bacillus subtilis y Trichoderma asperellum   </w:t>
      </w:r>
    </w:p>
    <w:p w14:paraId="2608FDFB" w14:textId="77777777"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Pleiotropismo en la variabilidad genética de Bactericera cockerelli (sulc) resultado de la resistencia a insecticidas   </w:t>
      </w:r>
    </w:p>
    <w:p w14:paraId="420456BB" w14:textId="77777777"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Caracterización de Germoplasma de maíz para su respuesta a Fusarium Verticilloides   </w:t>
      </w:r>
    </w:p>
    <w:p w14:paraId="3B8027E3" w14:textId="77777777"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Especies de Fusarium asociadas a la pudricion basal del ajo en el Centro Norte de Mexico y su patogenicidad.   </w:t>
      </w:r>
    </w:p>
    <w:p w14:paraId="3E871525" w14:textId="77777777"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lastRenderedPageBreak/>
        <w:t>Producción de enzimas hidrolícas de trichoderma asperellum en medio sumergido</w:t>
      </w:r>
    </w:p>
    <w:p w14:paraId="5F42F293" w14:textId="77777777"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Agentes microbianos y extractos vegetales como inductores de resistencia contra phytophthora infestans (Mont) de Bary   </w:t>
      </w:r>
    </w:p>
    <w:p w14:paraId="2660CBD8" w14:textId="77777777"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Colaborador</w:t>
      </w:r>
    </w:p>
    <w:p w14:paraId="6A78DA29" w14:textId="77777777"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Efecto de los extractos libres de céluas de Pseudomonas, lactobacillus y enterococusen plantas de tomate sobre Clavibacter michiganensis michiganensis</w:t>
      </w:r>
    </w:p>
    <w:p w14:paraId="395635AE" w14:textId="77777777"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Efecto del microencapsulado de Bacillus y Trichderma en el desarrollo de plantas y en la insidencia de enfermedades causadas por hongos en el cultivo de chile</w:t>
      </w:r>
    </w:p>
    <w:p w14:paraId="3B56256F" w14:textId="77777777"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Reporte de la efectividadbiológica de extractos vegetales obtenidos con diferentes métodos con solventes agua y etanol en la inhibición de Fusarium oxysporum y Phythophthora capsici.   </w:t>
      </w:r>
    </w:p>
    <w:p w14:paraId="72E6E944"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GARCIA MARTINEZ OSWALDO (957) </w:t>
      </w:r>
    </w:p>
    <w:p w14:paraId="1F8FBCA8" w14:textId="77777777"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14:paraId="684542AF" w14:textId="77777777" w:rsidR="001761D4" w:rsidRPr="007923C2" w:rsidRDefault="001761D4" w:rsidP="001631FF">
      <w:pPr>
        <w:pStyle w:val="Prrafodelista"/>
        <w:numPr>
          <w:ilvl w:val="0"/>
          <w:numId w:val="60"/>
        </w:numPr>
        <w:spacing w:after="200"/>
        <w:contextualSpacing/>
        <w:jc w:val="both"/>
        <w:rPr>
          <w:rFonts w:ascii="Arial" w:hAnsi="Arial" w:cs="Arial"/>
          <w:bCs/>
          <w:sz w:val="22"/>
          <w:szCs w:val="22"/>
        </w:rPr>
      </w:pPr>
      <w:r w:rsidRPr="007923C2">
        <w:rPr>
          <w:rFonts w:ascii="Arial" w:hAnsi="Arial" w:cs="Arial"/>
          <w:bCs/>
          <w:sz w:val="22"/>
          <w:szCs w:val="22"/>
        </w:rPr>
        <w:t>Especies de Eulophidae (Hymenoptera) presentes en la zona costera del estado de Nayarit, México.  </w:t>
      </w:r>
    </w:p>
    <w:p w14:paraId="441C229E" w14:textId="77777777" w:rsidR="001761D4" w:rsidRPr="007923C2" w:rsidRDefault="001761D4" w:rsidP="001631FF">
      <w:pPr>
        <w:pStyle w:val="Prrafodelista"/>
        <w:numPr>
          <w:ilvl w:val="0"/>
          <w:numId w:val="60"/>
        </w:numPr>
        <w:spacing w:after="200"/>
        <w:contextualSpacing/>
        <w:jc w:val="both"/>
        <w:rPr>
          <w:rFonts w:ascii="Arial" w:hAnsi="Arial" w:cs="Arial"/>
          <w:bCs/>
          <w:sz w:val="22"/>
          <w:szCs w:val="22"/>
        </w:rPr>
      </w:pPr>
      <w:r w:rsidRPr="007923C2">
        <w:rPr>
          <w:rFonts w:ascii="Arial" w:hAnsi="Arial" w:cs="Arial"/>
          <w:bCs/>
          <w:sz w:val="22"/>
          <w:szCs w:val="22"/>
        </w:rPr>
        <w:t>Seguimiento a la presencia del pequeño escarabajo de las colmenas Aethina tumida (Coleoptera: nitidulidae) en el norte de Coahuila utilizando la trampa Narro.   </w:t>
      </w:r>
    </w:p>
    <w:p w14:paraId="0668E896" w14:textId="77777777" w:rsidR="001761D4" w:rsidRPr="007923C2" w:rsidRDefault="001761D4" w:rsidP="001631FF">
      <w:pPr>
        <w:pStyle w:val="Prrafodelista"/>
        <w:numPr>
          <w:ilvl w:val="0"/>
          <w:numId w:val="60"/>
        </w:numPr>
        <w:spacing w:after="200"/>
        <w:contextualSpacing/>
        <w:jc w:val="both"/>
        <w:rPr>
          <w:rFonts w:ascii="Arial" w:hAnsi="Arial" w:cs="Arial"/>
          <w:bCs/>
          <w:sz w:val="22"/>
          <w:szCs w:val="22"/>
        </w:rPr>
      </w:pPr>
      <w:r w:rsidRPr="007923C2">
        <w:rPr>
          <w:rFonts w:ascii="Arial" w:hAnsi="Arial" w:cs="Arial"/>
          <w:bCs/>
          <w:sz w:val="22"/>
          <w:szCs w:val="22"/>
        </w:rPr>
        <w:t>Especies de afelinados parasitoides de Moscas Blancas del Norte de Veracruz   </w:t>
      </w:r>
    </w:p>
    <w:p w14:paraId="01AF662A" w14:textId="77777777" w:rsidR="001761D4" w:rsidRPr="007923C2" w:rsidRDefault="001761D4" w:rsidP="001631FF">
      <w:pPr>
        <w:pStyle w:val="Prrafodelista"/>
        <w:numPr>
          <w:ilvl w:val="0"/>
          <w:numId w:val="60"/>
        </w:numPr>
        <w:spacing w:after="200"/>
        <w:contextualSpacing/>
        <w:jc w:val="both"/>
        <w:rPr>
          <w:rFonts w:ascii="Arial" w:hAnsi="Arial" w:cs="Arial"/>
          <w:bCs/>
          <w:sz w:val="22"/>
          <w:szCs w:val="22"/>
        </w:rPr>
      </w:pPr>
      <w:r w:rsidRPr="007923C2">
        <w:rPr>
          <w:rFonts w:ascii="Arial" w:hAnsi="Arial" w:cs="Arial"/>
          <w:bCs/>
          <w:sz w:val="22"/>
          <w:szCs w:val="22"/>
        </w:rPr>
        <w:t>Contribución al conocimiento de hymenoptera parasítica del sur de Coahuila   </w:t>
      </w:r>
    </w:p>
    <w:p w14:paraId="40EEF80E"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2AAEFDAB" w14:textId="77777777" w:rsidR="001761D4" w:rsidRPr="007923C2" w:rsidRDefault="001761D4" w:rsidP="001631FF">
      <w:pPr>
        <w:pStyle w:val="Prrafodelista"/>
        <w:numPr>
          <w:ilvl w:val="0"/>
          <w:numId w:val="61"/>
        </w:numPr>
        <w:spacing w:after="200"/>
        <w:contextualSpacing/>
        <w:jc w:val="both"/>
        <w:rPr>
          <w:rFonts w:ascii="Arial" w:hAnsi="Arial" w:cs="Arial"/>
          <w:bCs/>
          <w:sz w:val="22"/>
          <w:szCs w:val="22"/>
        </w:rPr>
      </w:pPr>
      <w:r w:rsidRPr="007923C2">
        <w:rPr>
          <w:rFonts w:ascii="Arial" w:hAnsi="Arial" w:cs="Arial"/>
          <w:bCs/>
          <w:sz w:val="22"/>
          <w:szCs w:val="22"/>
        </w:rPr>
        <w:t>Hongos entomopatógenos para el conrol de Diaphorina citri kuwayana en limón persa (Citrus latifolia)   </w:t>
      </w:r>
    </w:p>
    <w:p w14:paraId="164645AB" w14:textId="77777777" w:rsidR="001761D4" w:rsidRPr="007923C2" w:rsidRDefault="001761D4" w:rsidP="001631FF">
      <w:pPr>
        <w:pStyle w:val="Prrafodelista"/>
        <w:numPr>
          <w:ilvl w:val="0"/>
          <w:numId w:val="61"/>
        </w:numPr>
        <w:spacing w:after="200"/>
        <w:contextualSpacing/>
        <w:jc w:val="both"/>
        <w:rPr>
          <w:rFonts w:ascii="Arial" w:hAnsi="Arial" w:cs="Arial"/>
          <w:bCs/>
          <w:sz w:val="22"/>
          <w:szCs w:val="22"/>
        </w:rPr>
      </w:pPr>
      <w:r w:rsidRPr="007923C2">
        <w:rPr>
          <w:rFonts w:ascii="Arial" w:hAnsi="Arial" w:cs="Arial"/>
          <w:bCs/>
          <w:sz w:val="22"/>
          <w:szCs w:val="22"/>
        </w:rPr>
        <w:t>Caracterización de enemigos naturales de Monoctenus sanchezi Smith (Hymenoptera: Diprionidae) en la Sierra de Álvarez, San Luis Potosí   </w:t>
      </w:r>
    </w:p>
    <w:p w14:paraId="20EB5B9C" w14:textId="77777777" w:rsidR="001761D4" w:rsidRPr="007923C2" w:rsidRDefault="001761D4" w:rsidP="001631FF">
      <w:pPr>
        <w:pStyle w:val="Prrafodelista"/>
        <w:numPr>
          <w:ilvl w:val="0"/>
          <w:numId w:val="61"/>
        </w:numPr>
        <w:spacing w:after="200"/>
        <w:contextualSpacing/>
        <w:jc w:val="both"/>
        <w:rPr>
          <w:rFonts w:ascii="Arial" w:hAnsi="Arial" w:cs="Arial"/>
          <w:bCs/>
          <w:sz w:val="22"/>
          <w:szCs w:val="22"/>
        </w:rPr>
      </w:pPr>
      <w:r w:rsidRPr="007923C2">
        <w:rPr>
          <w:rFonts w:ascii="Arial" w:hAnsi="Arial" w:cs="Arial"/>
          <w:bCs/>
          <w:sz w:val="22"/>
          <w:szCs w:val="22"/>
        </w:rPr>
        <w:t>Pleiotropismo en la variabilidad genética de Bactericera cockerelli (sulc) resultado de la resistencia a insecticidas   </w:t>
      </w:r>
    </w:p>
    <w:p w14:paraId="002622C7" w14:textId="77777777" w:rsidR="001761D4" w:rsidRPr="007923C2" w:rsidRDefault="001761D4" w:rsidP="001631FF">
      <w:pPr>
        <w:pStyle w:val="Prrafodelista"/>
        <w:numPr>
          <w:ilvl w:val="0"/>
          <w:numId w:val="61"/>
        </w:numPr>
        <w:spacing w:after="200"/>
        <w:contextualSpacing/>
        <w:jc w:val="both"/>
        <w:rPr>
          <w:rFonts w:ascii="Arial" w:hAnsi="Arial" w:cs="Arial"/>
          <w:bCs/>
          <w:sz w:val="22"/>
          <w:szCs w:val="22"/>
        </w:rPr>
      </w:pPr>
      <w:r w:rsidRPr="007923C2">
        <w:rPr>
          <w:rFonts w:ascii="Arial" w:hAnsi="Arial" w:cs="Arial"/>
          <w:bCs/>
          <w:sz w:val="22"/>
          <w:szCs w:val="22"/>
        </w:rPr>
        <w:t>Agentes de control biológico asociados al barrenador de ramas del aguacate Copturus aguacatae Kissinger (Coleoptera: curculionidae) en Tingüindín Michoacán  </w:t>
      </w:r>
    </w:p>
    <w:p w14:paraId="5210DB1F"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GOMEZ MARTINEZ SUSANA (2310) </w:t>
      </w:r>
    </w:p>
    <w:p w14:paraId="6BB32241" w14:textId="77777777"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14:paraId="523618B7" w14:textId="77777777" w:rsidR="001761D4" w:rsidRPr="007923C2" w:rsidRDefault="001761D4" w:rsidP="001631FF">
      <w:pPr>
        <w:pStyle w:val="Prrafodelista"/>
        <w:numPr>
          <w:ilvl w:val="0"/>
          <w:numId w:val="62"/>
        </w:numPr>
        <w:spacing w:after="200"/>
        <w:contextualSpacing/>
        <w:jc w:val="both"/>
        <w:rPr>
          <w:rFonts w:ascii="Arial" w:hAnsi="Arial" w:cs="Arial"/>
          <w:bCs/>
          <w:sz w:val="22"/>
          <w:szCs w:val="22"/>
        </w:rPr>
      </w:pPr>
      <w:r w:rsidRPr="007923C2">
        <w:rPr>
          <w:rFonts w:ascii="Arial" w:hAnsi="Arial" w:cs="Arial"/>
          <w:bCs/>
          <w:sz w:val="22"/>
          <w:szCs w:val="22"/>
        </w:rPr>
        <w:t>Determinación de la Variabilidad para Germinaciones de Sequía Artificial en grupo élite de híbridos de Zacate Buffel.   </w:t>
      </w:r>
    </w:p>
    <w:p w14:paraId="005EFD20" w14:textId="77777777" w:rsidR="001761D4" w:rsidRPr="007923C2" w:rsidRDefault="001761D4" w:rsidP="001631FF">
      <w:pPr>
        <w:pStyle w:val="Prrafodelista"/>
        <w:numPr>
          <w:ilvl w:val="0"/>
          <w:numId w:val="62"/>
        </w:numPr>
        <w:spacing w:after="200"/>
        <w:contextualSpacing/>
        <w:jc w:val="both"/>
        <w:rPr>
          <w:rFonts w:ascii="Arial" w:hAnsi="Arial" w:cs="Arial"/>
          <w:bCs/>
          <w:sz w:val="22"/>
          <w:szCs w:val="22"/>
        </w:rPr>
      </w:pPr>
      <w:r w:rsidRPr="007923C2">
        <w:rPr>
          <w:rFonts w:ascii="Arial" w:hAnsi="Arial" w:cs="Arial"/>
          <w:bCs/>
          <w:sz w:val="22"/>
          <w:szCs w:val="22"/>
        </w:rPr>
        <w:t>Formación de poblaciones segregantes y desarrollo de híbridos rizomatosos de zacate Buffel (Pennisetum CiliareL).   </w:t>
      </w:r>
    </w:p>
    <w:p w14:paraId="57216387"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14:paraId="36F42702" w14:textId="77777777" w:rsidR="001761D4" w:rsidRPr="007923C2" w:rsidRDefault="001761D4" w:rsidP="001631FF">
      <w:pPr>
        <w:pStyle w:val="Prrafodelista"/>
        <w:numPr>
          <w:ilvl w:val="0"/>
          <w:numId w:val="63"/>
        </w:numPr>
        <w:spacing w:after="200"/>
        <w:contextualSpacing/>
        <w:jc w:val="both"/>
        <w:rPr>
          <w:rFonts w:ascii="Arial" w:hAnsi="Arial" w:cs="Arial"/>
          <w:bCs/>
          <w:sz w:val="22"/>
          <w:szCs w:val="22"/>
        </w:rPr>
      </w:pPr>
      <w:r w:rsidRPr="007923C2">
        <w:rPr>
          <w:rFonts w:ascii="Arial" w:hAnsi="Arial" w:cs="Arial"/>
          <w:bCs/>
          <w:sz w:val="22"/>
          <w:szCs w:val="22"/>
        </w:rPr>
        <w:t>Desarrollo del endospermo en cruzamientos interploidales de Zacate Búfalo (Buchloe dactyloides) y evaluación de calidad de césped.   </w:t>
      </w:r>
    </w:p>
    <w:p w14:paraId="4F894E58" w14:textId="77777777" w:rsidR="001761D4" w:rsidRPr="007923C2" w:rsidRDefault="001761D4" w:rsidP="001631FF">
      <w:pPr>
        <w:pStyle w:val="Prrafodelista"/>
        <w:numPr>
          <w:ilvl w:val="0"/>
          <w:numId w:val="63"/>
        </w:numPr>
        <w:spacing w:after="200"/>
        <w:contextualSpacing/>
        <w:jc w:val="both"/>
        <w:rPr>
          <w:rFonts w:ascii="Arial" w:hAnsi="Arial" w:cs="Arial"/>
          <w:bCs/>
          <w:sz w:val="22"/>
          <w:szCs w:val="22"/>
        </w:rPr>
      </w:pPr>
      <w:r w:rsidRPr="007923C2">
        <w:rPr>
          <w:rFonts w:ascii="Arial" w:hAnsi="Arial" w:cs="Arial"/>
          <w:bCs/>
          <w:sz w:val="22"/>
          <w:szCs w:val="22"/>
        </w:rPr>
        <w:t>Evaluación de híbridos experimentales y testigos comerciales de zacate Buffel para seleccionar genotipos para captura de C02   </w:t>
      </w:r>
    </w:p>
    <w:p w14:paraId="618F5EE8" w14:textId="77777777" w:rsidR="001761D4" w:rsidRPr="007923C2" w:rsidRDefault="001761D4" w:rsidP="001631FF">
      <w:pPr>
        <w:pStyle w:val="Prrafodelista"/>
        <w:numPr>
          <w:ilvl w:val="0"/>
          <w:numId w:val="63"/>
        </w:numPr>
        <w:spacing w:after="200"/>
        <w:contextualSpacing/>
        <w:jc w:val="both"/>
        <w:rPr>
          <w:rFonts w:ascii="Arial" w:hAnsi="Arial" w:cs="Arial"/>
          <w:bCs/>
          <w:sz w:val="22"/>
          <w:szCs w:val="22"/>
        </w:rPr>
      </w:pPr>
      <w:r w:rsidRPr="007923C2">
        <w:rPr>
          <w:rFonts w:ascii="Arial" w:hAnsi="Arial" w:cs="Arial"/>
          <w:bCs/>
          <w:sz w:val="22"/>
          <w:szCs w:val="22"/>
        </w:rPr>
        <w:lastRenderedPageBreak/>
        <w:t>Determinación de la variabilidad para germinación bajo condiciones de salinidad en un grupo elite de híbridos de zacate Buffel.  </w:t>
      </w:r>
    </w:p>
    <w:p w14:paraId="5438DB6C" w14:textId="77777777" w:rsidR="001761D4" w:rsidRPr="007923C2" w:rsidRDefault="001761D4" w:rsidP="001631FF">
      <w:pPr>
        <w:pStyle w:val="Prrafodelista"/>
        <w:jc w:val="both"/>
        <w:rPr>
          <w:rFonts w:ascii="Arial" w:hAnsi="Arial" w:cs="Arial"/>
          <w:bCs/>
          <w:sz w:val="22"/>
          <w:szCs w:val="22"/>
        </w:rPr>
      </w:pPr>
      <w:r w:rsidRPr="007923C2">
        <w:rPr>
          <w:rFonts w:ascii="Arial" w:hAnsi="Arial" w:cs="Arial"/>
          <w:bCs/>
          <w:sz w:val="22"/>
          <w:szCs w:val="22"/>
        </w:rPr>
        <w:t> </w:t>
      </w:r>
    </w:p>
    <w:p w14:paraId="2446A2B7" w14:textId="77777777"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ZARATE LUPERCIO ALEJANDRO (1917) </w:t>
      </w:r>
    </w:p>
    <w:p w14:paraId="44DD1036" w14:textId="77777777"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 xml:space="preserve">Responsable </w:t>
      </w:r>
    </w:p>
    <w:p w14:paraId="6FC3B743" w14:textId="77777777" w:rsidR="001761D4" w:rsidRPr="007923C2" w:rsidRDefault="001761D4" w:rsidP="001631FF">
      <w:pPr>
        <w:pStyle w:val="Prrafodelista"/>
        <w:numPr>
          <w:ilvl w:val="0"/>
          <w:numId w:val="64"/>
        </w:numPr>
        <w:spacing w:after="200"/>
        <w:contextualSpacing/>
        <w:jc w:val="both"/>
        <w:rPr>
          <w:rFonts w:ascii="Arial" w:hAnsi="Arial" w:cs="Arial"/>
          <w:bCs/>
          <w:sz w:val="22"/>
          <w:szCs w:val="22"/>
        </w:rPr>
      </w:pPr>
      <w:r w:rsidRPr="007923C2">
        <w:rPr>
          <w:rFonts w:ascii="Arial" w:hAnsi="Arial" w:cs="Arial"/>
          <w:bCs/>
          <w:sz w:val="22"/>
          <w:szCs w:val="22"/>
        </w:rPr>
        <w:t>Comunidades vegetales y uso del suelo de la sierra de zapaliname, Coahuila, México.   </w:t>
      </w:r>
    </w:p>
    <w:p w14:paraId="425A88C4" w14:textId="77777777" w:rsidR="001761D4" w:rsidRPr="007923C2" w:rsidRDefault="001761D4" w:rsidP="001631FF">
      <w:pPr>
        <w:pStyle w:val="Prrafodelista"/>
        <w:numPr>
          <w:ilvl w:val="0"/>
          <w:numId w:val="64"/>
        </w:numPr>
        <w:spacing w:after="200"/>
        <w:contextualSpacing/>
        <w:jc w:val="both"/>
        <w:rPr>
          <w:rFonts w:ascii="Arial" w:hAnsi="Arial" w:cs="Arial"/>
          <w:bCs/>
          <w:sz w:val="22"/>
          <w:szCs w:val="22"/>
        </w:rPr>
      </w:pPr>
      <w:r w:rsidRPr="007923C2">
        <w:rPr>
          <w:rFonts w:ascii="Arial" w:hAnsi="Arial" w:cs="Arial"/>
          <w:bCs/>
          <w:sz w:val="22"/>
          <w:szCs w:val="22"/>
        </w:rPr>
        <w:t>Producción de semilla e indicadores reproductivos de Pinus johannis M. F-Robert, Pinus coulteri D. Don Pinus maximartinezii Rzendowski en México   </w:t>
      </w:r>
    </w:p>
    <w:p w14:paraId="263D91C2"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Titular</w:t>
      </w:r>
    </w:p>
    <w:p w14:paraId="230D8F0D" w14:textId="77777777" w:rsidR="001761D4" w:rsidRPr="007923C2" w:rsidRDefault="001761D4" w:rsidP="001631FF">
      <w:pPr>
        <w:pStyle w:val="Prrafodelista"/>
        <w:numPr>
          <w:ilvl w:val="0"/>
          <w:numId w:val="65"/>
        </w:numPr>
        <w:spacing w:after="200"/>
        <w:contextualSpacing/>
        <w:jc w:val="both"/>
        <w:rPr>
          <w:rFonts w:ascii="Arial" w:hAnsi="Arial" w:cs="Arial"/>
          <w:bCs/>
          <w:sz w:val="22"/>
          <w:szCs w:val="22"/>
        </w:rPr>
      </w:pPr>
      <w:r w:rsidRPr="007923C2">
        <w:rPr>
          <w:rFonts w:ascii="Arial" w:hAnsi="Arial" w:cs="Arial"/>
          <w:bCs/>
          <w:sz w:val="22"/>
          <w:szCs w:val="22"/>
        </w:rPr>
        <w:t>Estudio técnico justificativo del proyecto Ampliación del Proyecto de Exploración Camino Rojo y Obras Auxiliares   </w:t>
      </w:r>
    </w:p>
    <w:p w14:paraId="5A35BBD0" w14:textId="77777777" w:rsidR="001761D4" w:rsidRPr="007923C2" w:rsidRDefault="001761D4" w:rsidP="001631FF">
      <w:pPr>
        <w:pStyle w:val="Prrafodelista"/>
        <w:numPr>
          <w:ilvl w:val="0"/>
          <w:numId w:val="65"/>
        </w:numPr>
        <w:spacing w:after="200"/>
        <w:contextualSpacing/>
        <w:jc w:val="both"/>
        <w:rPr>
          <w:rFonts w:ascii="Arial" w:hAnsi="Arial" w:cs="Arial"/>
          <w:bCs/>
          <w:sz w:val="22"/>
          <w:szCs w:val="22"/>
        </w:rPr>
      </w:pPr>
      <w:r w:rsidRPr="007923C2">
        <w:rPr>
          <w:rFonts w:ascii="Arial" w:hAnsi="Arial" w:cs="Arial"/>
          <w:bCs/>
          <w:sz w:val="22"/>
          <w:szCs w:val="22"/>
        </w:rPr>
        <w:t>Diagnóstico Social Proyecto L.T. Cereso-Moctezuma localizado en el estado de Chihuahua.   </w:t>
      </w:r>
    </w:p>
    <w:p w14:paraId="5A730F73" w14:textId="77777777" w:rsidR="001761D4" w:rsidRPr="007923C2" w:rsidRDefault="001761D4" w:rsidP="001631FF">
      <w:pPr>
        <w:pStyle w:val="Prrafodelista"/>
        <w:numPr>
          <w:ilvl w:val="0"/>
          <w:numId w:val="65"/>
        </w:numPr>
        <w:spacing w:after="200"/>
        <w:contextualSpacing/>
        <w:jc w:val="both"/>
        <w:rPr>
          <w:rFonts w:ascii="Arial" w:hAnsi="Arial" w:cs="Arial"/>
          <w:bCs/>
          <w:sz w:val="22"/>
          <w:szCs w:val="22"/>
        </w:rPr>
      </w:pPr>
      <w:r w:rsidRPr="007923C2">
        <w:rPr>
          <w:rFonts w:ascii="Arial" w:hAnsi="Arial" w:cs="Arial"/>
          <w:bCs/>
          <w:sz w:val="22"/>
          <w:szCs w:val="22"/>
        </w:rPr>
        <w:t>Estudio Técnico Justificativo del Proyecto L.T. Escobedo-Mitras localizado en el Estado de Nuevo león.  </w:t>
      </w:r>
    </w:p>
    <w:p w14:paraId="0B249668" w14:textId="77777777"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14:paraId="15AACF47" w14:textId="77777777" w:rsidR="001761D4" w:rsidRPr="007923C2" w:rsidRDefault="001761D4" w:rsidP="001631FF">
      <w:pPr>
        <w:pStyle w:val="Prrafodelista"/>
        <w:numPr>
          <w:ilvl w:val="0"/>
          <w:numId w:val="66"/>
        </w:numPr>
        <w:spacing w:after="200"/>
        <w:contextualSpacing/>
        <w:jc w:val="both"/>
        <w:rPr>
          <w:rFonts w:ascii="Arial" w:hAnsi="Arial" w:cs="Arial"/>
          <w:bCs/>
          <w:sz w:val="22"/>
          <w:szCs w:val="22"/>
        </w:rPr>
      </w:pPr>
      <w:r w:rsidRPr="007923C2">
        <w:rPr>
          <w:rFonts w:ascii="Arial" w:hAnsi="Arial" w:cs="Arial"/>
          <w:bCs/>
          <w:sz w:val="22"/>
          <w:szCs w:val="22"/>
        </w:rPr>
        <w:t>Proyectos Electricos de las LST Moctezuma- Valle Esperanza y maniobras- Vaquerias de la paz- Maniobras- Chinampas, en los Estados de Chihuahua y Jalisco    </w:t>
      </w:r>
    </w:p>
    <w:p w14:paraId="54DE92CF" w14:textId="77777777" w:rsidR="001761D4" w:rsidRPr="007923C2" w:rsidRDefault="001761D4" w:rsidP="001631FF">
      <w:pPr>
        <w:pStyle w:val="Prrafodelista"/>
        <w:numPr>
          <w:ilvl w:val="0"/>
          <w:numId w:val="66"/>
        </w:numPr>
        <w:spacing w:after="200"/>
        <w:contextualSpacing/>
        <w:jc w:val="both"/>
        <w:rPr>
          <w:rFonts w:ascii="Arial" w:hAnsi="Arial" w:cs="Arial"/>
          <w:bCs/>
          <w:sz w:val="22"/>
          <w:szCs w:val="22"/>
        </w:rPr>
      </w:pPr>
      <w:r w:rsidRPr="007923C2">
        <w:rPr>
          <w:rFonts w:ascii="Arial" w:hAnsi="Arial" w:cs="Arial"/>
          <w:bCs/>
          <w:sz w:val="22"/>
          <w:szCs w:val="22"/>
        </w:rPr>
        <w:t>Proyecto Panuco  Coahuila. </w:t>
      </w:r>
    </w:p>
    <w:p w14:paraId="79B2FBFE" w14:textId="77777777" w:rsidR="001761D4" w:rsidRPr="007923C2" w:rsidRDefault="001761D4" w:rsidP="001631FF">
      <w:pPr>
        <w:pStyle w:val="Prrafodelista"/>
        <w:numPr>
          <w:ilvl w:val="0"/>
          <w:numId w:val="66"/>
        </w:numPr>
        <w:spacing w:after="200"/>
        <w:contextualSpacing/>
        <w:jc w:val="both"/>
        <w:rPr>
          <w:rFonts w:ascii="Arial" w:hAnsi="Arial" w:cs="Arial"/>
          <w:bCs/>
          <w:sz w:val="22"/>
          <w:szCs w:val="22"/>
        </w:rPr>
      </w:pPr>
      <w:r w:rsidRPr="007923C2">
        <w:rPr>
          <w:rFonts w:ascii="Arial" w:hAnsi="Arial" w:cs="Arial"/>
          <w:bCs/>
          <w:sz w:val="22"/>
          <w:szCs w:val="22"/>
        </w:rPr>
        <w:t>Rehabilitacion de Minas a cielo abierto en el estado de Coahuila   </w:t>
      </w:r>
      <w:r w:rsidRPr="007923C2">
        <w:rPr>
          <w:rFonts w:ascii="Arial" w:hAnsi="Arial" w:cs="Arial"/>
          <w:bCs/>
          <w:sz w:val="22"/>
          <w:szCs w:val="22"/>
        </w:rPr>
        <w:br/>
        <w:t>coahuila   </w:t>
      </w:r>
    </w:p>
    <w:p w14:paraId="627A3595" w14:textId="77777777" w:rsidR="001761D4" w:rsidRPr="007923C2" w:rsidRDefault="001761D4" w:rsidP="001631FF">
      <w:pPr>
        <w:pStyle w:val="Prrafodelista"/>
        <w:numPr>
          <w:ilvl w:val="0"/>
          <w:numId w:val="66"/>
        </w:numPr>
        <w:spacing w:after="200"/>
        <w:contextualSpacing/>
        <w:jc w:val="both"/>
        <w:rPr>
          <w:rFonts w:ascii="Arial" w:hAnsi="Arial" w:cs="Arial"/>
          <w:bCs/>
          <w:sz w:val="22"/>
          <w:szCs w:val="22"/>
        </w:rPr>
      </w:pPr>
      <w:r w:rsidRPr="007923C2">
        <w:rPr>
          <w:rFonts w:ascii="Arial" w:hAnsi="Arial" w:cs="Arial"/>
          <w:bCs/>
          <w:sz w:val="22"/>
          <w:szCs w:val="22"/>
        </w:rPr>
        <w:t>Elaboracion De diagnóstico social Para LA L.T. CEREZO.MOCTEZUMA 400KV.2C.160.00KM.1113ACSR   </w:t>
      </w:r>
      <w:r w:rsidRPr="007923C2">
        <w:rPr>
          <w:rFonts w:ascii="Arial" w:hAnsi="Arial" w:cs="Arial"/>
          <w:bCs/>
          <w:sz w:val="22"/>
          <w:szCs w:val="22"/>
        </w:rPr>
        <w:br/>
        <w:t>coahuila   </w:t>
      </w:r>
    </w:p>
    <w:p w14:paraId="05668E24" w14:textId="77777777" w:rsidR="0090124E" w:rsidRPr="007923C2" w:rsidRDefault="003D7D5E" w:rsidP="001631FF">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4.3.2.2.-PUBLICACIONES, TESIS, MONOGRAFÍAS</w:t>
      </w:r>
    </w:p>
    <w:p w14:paraId="4A67BBF7"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VILLARREAL QUINTANILLA JOSE ANGEL (1061) </w:t>
      </w:r>
    </w:p>
    <w:p w14:paraId="08A2D81D"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 xml:space="preserve">PUBLICACIONES </w:t>
      </w:r>
    </w:p>
    <w:p w14:paraId="6A497ACB"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COAUTOR</w:t>
      </w:r>
    </w:p>
    <w:p w14:paraId="1FF8A8AC"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PLANTAS UTILES EN EL CENTRO-SUR DEL ESTADO DE NUEVO LEON.   </w:t>
      </w:r>
    </w:p>
    <w:p w14:paraId="216B89AE"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Clasificación, estructura y diversidad del matorral submontano adyacente a la planicie costera del Golfo en el noreste de México</w:t>
      </w:r>
    </w:p>
    <w:p w14:paraId="358D9EB8"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Germinación de semillas de chile simojovel (Capsicum annuum L.) previamente expuestas a NaCl y ácido giberelico   </w:t>
      </w:r>
    </w:p>
    <w:p w14:paraId="150ECFC3" w14:textId="77777777" w:rsidR="00454DA4" w:rsidRPr="007923C2" w:rsidRDefault="00454DA4" w:rsidP="001631FF">
      <w:pPr>
        <w:jc w:val="both"/>
        <w:rPr>
          <w:rFonts w:ascii="Arial" w:hAnsi="Arial" w:cs="Arial"/>
          <w:bCs/>
          <w:sz w:val="22"/>
          <w:szCs w:val="22"/>
          <w:lang w:val="en-US"/>
        </w:rPr>
      </w:pPr>
      <w:r w:rsidRPr="007923C2">
        <w:rPr>
          <w:rFonts w:ascii="Arial" w:hAnsi="Arial" w:cs="Arial"/>
          <w:bCs/>
          <w:sz w:val="22"/>
          <w:szCs w:val="22"/>
          <w:lang w:val="en-US"/>
        </w:rPr>
        <w:t>Medicinal plants in the southern region of the state of Nuevo León, México   </w:t>
      </w:r>
    </w:p>
    <w:p w14:paraId="74453A49"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Análisis Multitemporal del Cambio de Uso de Suelo y Vegetación en las Áreas Naturales Protegidas con Perrito Llanero Mexicano (Cynomys mexicanus Merrian</w:t>
      </w:r>
    </w:p>
    <w:p w14:paraId="1EDA098B"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RESPONSABLE</w:t>
      </w:r>
    </w:p>
    <w:p w14:paraId="2DACD943"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lastRenderedPageBreak/>
        <w:t>Plantas endémicas y raras de Coahuila   </w:t>
      </w:r>
    </w:p>
    <w:p w14:paraId="5B17A8EB"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Polinización de agaves en gradientes altitudinales en la porción norte de la sierra madre oriental   </w:t>
      </w:r>
    </w:p>
    <w:p w14:paraId="35B82773"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COLABORADOR</w:t>
      </w:r>
    </w:p>
    <w:p w14:paraId="74CE25B7"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Estudios de producción y fitoquímica de especies y cultivos con potencial industrial y actividad citotóxica de extractos de plantas medicinales del semidesierto sobre células cancerígenas humanas.   </w:t>
      </w:r>
    </w:p>
    <w:p w14:paraId="2389CD80"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extractos de plantas del semidesierto para el conrol de hongos y como inductores de fitoalexinas   </w:t>
      </w:r>
    </w:p>
    <w:p w14:paraId="789D7041"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del ácido salicilico en el crecimiento y rendimiento del hongo Pleurotus ostreatus cultivado en diferentes sustratos   </w:t>
      </w:r>
    </w:p>
    <w:p w14:paraId="4AE855C3"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La subfamilia panicoideae (Poaceae) en Coahuila, México: Gramíneas Invasoras   </w:t>
      </w:r>
    </w:p>
    <w:p w14:paraId="4E2F0643"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Entobotánica de la familia Agavaceae en el estado de Coahuila   </w:t>
      </w:r>
    </w:p>
    <w:p w14:paraId="7D100BCE"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14:paraId="6BA1EB60"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Investigación Descriptiva: Gramíneas invasoras de Coahuila, México: Tribu Paniceae (Poaceae, Panicoi   </w:t>
      </w:r>
    </w:p>
    <w:p w14:paraId="3DCFA05C"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Hongos frecuentes de la hoja de yucca spp. y evaluación de la incidencia y severidad de daños en el  </w:t>
      </w:r>
    </w:p>
    <w:p w14:paraId="6147C535"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   </w:t>
      </w:r>
    </w:p>
    <w:p w14:paraId="19656FA7"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Etnobotánica del Municipio de Rayones, Nuevo León, México UANL-FCB   </w:t>
      </w:r>
    </w:p>
    <w:p w14:paraId="637914A2"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El género Quercus L. (FAGACEAE) en la Sierra Cerro de la Silla, Nuevo León, México UANL-FCB   </w:t>
      </w:r>
    </w:p>
    <w:p w14:paraId="3719892E" w14:textId="77777777" w:rsidR="00454DA4" w:rsidRPr="007923C2" w:rsidRDefault="00465D79" w:rsidP="001631FF">
      <w:pPr>
        <w:jc w:val="both"/>
        <w:rPr>
          <w:rFonts w:ascii="Arial" w:hAnsi="Arial" w:cs="Arial"/>
          <w:bCs/>
          <w:sz w:val="22"/>
          <w:szCs w:val="22"/>
        </w:rPr>
      </w:pPr>
      <w:r w:rsidRPr="007923C2">
        <w:rPr>
          <w:rFonts w:ascii="Arial" w:hAnsi="Arial" w:cs="Arial"/>
          <w:bCs/>
          <w:sz w:val="22"/>
          <w:szCs w:val="22"/>
        </w:rPr>
        <w:t>Efecto del ácido salicílico en el crecimiento y desarrollo de un cultivo de tomate solanum lycopersicon l. bajo condiciones de invernadero.   </w:t>
      </w:r>
    </w:p>
    <w:p w14:paraId="69B08CFD" w14:textId="77777777" w:rsidR="00454DA4" w:rsidRPr="007923C2" w:rsidRDefault="00465D79" w:rsidP="001631FF">
      <w:pPr>
        <w:jc w:val="both"/>
        <w:rPr>
          <w:rFonts w:ascii="Arial" w:hAnsi="Arial" w:cs="Arial"/>
          <w:bCs/>
          <w:sz w:val="22"/>
          <w:szCs w:val="22"/>
        </w:rPr>
      </w:pPr>
      <w:r w:rsidRPr="007923C2">
        <w:rPr>
          <w:rFonts w:ascii="Arial" w:hAnsi="Arial" w:cs="Arial"/>
          <w:bCs/>
          <w:sz w:val="22"/>
          <w:szCs w:val="22"/>
        </w:rPr>
        <w:t>Hongos frecuentes de la hoja de la yucca spp. y evaluación de la incidencia y severidad de daños en el sur de coahuila.   </w:t>
      </w:r>
    </w:p>
    <w:p w14:paraId="351DB99A"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w:t>
      </w:r>
      <w:r w:rsidR="00465D79" w:rsidRPr="007923C2">
        <w:rPr>
          <w:rFonts w:ascii="Arial" w:hAnsi="Arial" w:cs="Arial"/>
          <w:bCs/>
          <w:sz w:val="22"/>
          <w:szCs w:val="22"/>
        </w:rPr>
        <w:t>structura y diversidad del bosque de pinus cembroides zucc. de la sierra de zapalinamé, coahuila, méxico.   </w:t>
      </w:r>
    </w:p>
    <w:p w14:paraId="50660DCE"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w:t>
      </w:r>
      <w:r w:rsidR="00465D79" w:rsidRPr="007923C2">
        <w:rPr>
          <w:rFonts w:ascii="Arial" w:hAnsi="Arial" w:cs="Arial"/>
          <w:bCs/>
          <w:sz w:val="22"/>
          <w:szCs w:val="22"/>
        </w:rPr>
        <w:t>fecto de películas para invernadero con propiedades ópticas especiales, sobre el crecimiento y rendimiento de un cultivo de pepino cucumis sativus l..   </w:t>
      </w:r>
    </w:p>
    <w:p w14:paraId="762C6EE6"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G</w:t>
      </w:r>
      <w:r w:rsidR="00465D79" w:rsidRPr="007923C2">
        <w:rPr>
          <w:rFonts w:ascii="Arial" w:hAnsi="Arial" w:cs="Arial"/>
          <w:bCs/>
          <w:sz w:val="22"/>
          <w:szCs w:val="22"/>
        </w:rPr>
        <w:t>ramíneas invasoras de coahuila, méxico: tribu paniceae, poaceae: panicoideae.   </w:t>
      </w:r>
    </w:p>
    <w:p w14:paraId="21A7704F"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w:t>
      </w:r>
      <w:r w:rsidR="00465D79" w:rsidRPr="007923C2">
        <w:rPr>
          <w:rFonts w:ascii="Arial" w:hAnsi="Arial" w:cs="Arial"/>
          <w:bCs/>
          <w:sz w:val="22"/>
          <w:szCs w:val="22"/>
        </w:rPr>
        <w:t>structura y diversidad del bosque de pinus cembroides zucc. de la sierra de zapalinamé, coahuila, méxico</w:t>
      </w:r>
    </w:p>
    <w:p w14:paraId="2F8C38D4"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w:t>
      </w:r>
      <w:r w:rsidR="00465D79" w:rsidRPr="007923C2">
        <w:rPr>
          <w:rFonts w:ascii="Arial" w:hAnsi="Arial" w:cs="Arial"/>
          <w:bCs/>
          <w:sz w:val="22"/>
          <w:szCs w:val="22"/>
        </w:rPr>
        <w:t>fecto del ácido salicílico en el crecimiento y desarrollo de un cultivo de tomate solanum lycopersicon l. bajo condiciones de invernadero.   </w:t>
      </w:r>
    </w:p>
    <w:p w14:paraId="316CE459"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w:t>
      </w:r>
      <w:r w:rsidR="00465D79" w:rsidRPr="007923C2">
        <w:rPr>
          <w:rFonts w:ascii="Arial" w:hAnsi="Arial" w:cs="Arial"/>
          <w:bCs/>
          <w:sz w:val="22"/>
          <w:szCs w:val="22"/>
        </w:rPr>
        <w:t>fecto de películas para invernadero con propiedades ópticas especiales, sobre el crecimiento y rendimiento de un cultivo de pepino cucumis sativus l..   </w:t>
      </w:r>
    </w:p>
    <w:p w14:paraId="3981012D"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G</w:t>
      </w:r>
      <w:r w:rsidR="00465D79" w:rsidRPr="007923C2">
        <w:rPr>
          <w:rFonts w:ascii="Arial" w:hAnsi="Arial" w:cs="Arial"/>
          <w:bCs/>
          <w:sz w:val="22"/>
          <w:szCs w:val="22"/>
        </w:rPr>
        <w:t>ramíneas invasoras de coahuila, méxico: tribu paniceae, poaceae: panicoideae.   </w:t>
      </w:r>
    </w:p>
    <w:p w14:paraId="2516E2D5"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lastRenderedPageBreak/>
        <w:t>H</w:t>
      </w:r>
      <w:r w:rsidR="00465D79" w:rsidRPr="007923C2">
        <w:rPr>
          <w:rFonts w:ascii="Arial" w:hAnsi="Arial" w:cs="Arial"/>
          <w:bCs/>
          <w:sz w:val="22"/>
          <w:szCs w:val="22"/>
        </w:rPr>
        <w:t>ongos frecuentes de la hoja de la yucca spp. y evaluación de la incidencia y severidad de daños en el sur de coahuila.   </w:t>
      </w:r>
    </w:p>
    <w:p w14:paraId="7A08C3CA" w14:textId="77777777" w:rsidR="00454DA4" w:rsidRPr="007923C2" w:rsidRDefault="00454DA4" w:rsidP="001631FF">
      <w:pPr>
        <w:jc w:val="both"/>
        <w:rPr>
          <w:rFonts w:ascii="Arial" w:hAnsi="Arial" w:cs="Arial"/>
          <w:bCs/>
          <w:i/>
          <w:iCs/>
          <w:sz w:val="22"/>
          <w:szCs w:val="22"/>
        </w:rPr>
      </w:pPr>
    </w:p>
    <w:p w14:paraId="3D4C2859"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PEREZ MATA SERGIO ANTONIO (668) </w:t>
      </w:r>
    </w:p>
    <w:p w14:paraId="2DB4C3DC"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14:paraId="0ACAAD7C"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Determinación de prácticas agroecológicas del cultivo del cafeto coffea arabica l. en dos comunidades del municipio de santiago atitlán, mixe, oaxaca   </w:t>
      </w:r>
    </w:p>
    <w:p w14:paraId="1C6E2A5E"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Germinación de semillas de echinocereus freudenbengeri n.p. taylor y echinocereus merkeri hildm, mediante las concentraciones de nutrientes y estimuladores.   </w:t>
      </w:r>
    </w:p>
    <w:p w14:paraId="495C1417"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Germinación in vitro en un medio murashige y skoog con la aplicación de escarificado y del regulador de crecimiento ácido giberelico ag3, en alicoche echinocereus longisetus subespecie delaetii gurke n.p. taylor.   </w:t>
      </w:r>
    </w:p>
    <w:p w14:paraId="6C7B9C2E"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Evaluación del rendimiento y calidad nutricional en la producción de un cultivo de acelga beta vulgaris l. var. fordhook giant bajo dos sistemas de producción agrícola.   </w:t>
      </w:r>
    </w:p>
    <w:p w14:paraId="5D238B24"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Germinación de semillas de echinocereus freudenbengeri n.p. taylor y echinocereus merkeri hildm, mediante las concentraciones de nutrientes y estimuladores</w:t>
      </w:r>
    </w:p>
    <w:p w14:paraId="379DDCCA"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Germinación in vitro en un medio murashige y skoog con la aplicación de escarificado y del regulador de crecimiento ácido giberelico ag3, en alicoche echinocereus longisetus subespecie delaetii gurke n.p. taylor.   </w:t>
      </w:r>
    </w:p>
    <w:p w14:paraId="3E2BFCC3" w14:textId="77777777" w:rsidR="00C2614F" w:rsidRDefault="00285F11" w:rsidP="001631FF">
      <w:pPr>
        <w:jc w:val="both"/>
        <w:rPr>
          <w:rFonts w:ascii="Arial" w:hAnsi="Arial" w:cs="Arial"/>
          <w:bCs/>
          <w:sz w:val="22"/>
          <w:szCs w:val="22"/>
        </w:rPr>
      </w:pPr>
      <w:r w:rsidRPr="007923C2">
        <w:rPr>
          <w:rFonts w:ascii="Arial" w:hAnsi="Arial" w:cs="Arial"/>
          <w:bCs/>
          <w:sz w:val="22"/>
          <w:szCs w:val="22"/>
        </w:rPr>
        <w:t xml:space="preserve">Determinación de prácticas agroecológicas del cultivo del cafeto coffea arabica l. en dos comunidades del municipio de santiago atitlán, mixe, </w:t>
      </w:r>
      <w:r w:rsidR="00C2614F">
        <w:rPr>
          <w:rFonts w:ascii="Arial" w:hAnsi="Arial" w:cs="Arial"/>
          <w:bCs/>
          <w:sz w:val="22"/>
          <w:szCs w:val="22"/>
        </w:rPr>
        <w:t>Oaxaca.</w:t>
      </w:r>
    </w:p>
    <w:p w14:paraId="388C9457"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 xml:space="preserve">   </w:t>
      </w:r>
    </w:p>
    <w:p w14:paraId="04239CBC"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RUIZ DE LEON MARIA TERESA (1710) </w:t>
      </w:r>
    </w:p>
    <w:p w14:paraId="65408494"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14:paraId="772B0904"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biosfera   </w:t>
      </w:r>
    </w:p>
    <w:p w14:paraId="4905C3D5"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del ácido salicilico sobre un cultivo de frijol (Phaseolus vulgaris L.) Var. flor de mayo som   </w:t>
      </w:r>
    </w:p>
    <w:p w14:paraId="7D369313"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del ácido salicílico en el crecimiento y desarrollo de un cultivo de pepino cucumis sativus l.   </w:t>
      </w:r>
    </w:p>
    <w:p w14:paraId="31B531CB"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 estomática.   </w:t>
      </w:r>
    </w:p>
    <w:p w14:paraId="0F44162F"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lycopersicum mill tratado con ácido salicílico.   </w:t>
      </w:r>
    </w:p>
    <w:p w14:paraId="4213CFF5"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 triticum aestivum l. con tolerancia a sequía</w:t>
      </w:r>
    </w:p>
    <w:p w14:paraId="0D1DBD67"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   </w:t>
      </w:r>
    </w:p>
    <w:p w14:paraId="48F7D243"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lastRenderedPageBreak/>
        <w:t>Evaluación de la interacción genotipo ambiente de 46 genotipos de sorgo escobero sorghum bicolor l. tecnicum en las localidades de zaragoza y general cepeda, coahuila.   </w:t>
      </w:r>
    </w:p>
    <w:p w14:paraId="664A36DE"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14:paraId="4827DD61"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de un cultivo de pepino cucumis sativus l..   </w:t>
      </w:r>
    </w:p>
    <w:p w14:paraId="3C64C04F"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 bacterias solubilizadoras de fósforo en plantas de tomate bajo condiciones de invernadero en un suelo alcalino.   </w:t>
      </w:r>
    </w:p>
    <w:p w14:paraId="00326A06"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del ácido salicílico sobre un cultivo de frijol phaseolus vulgaris l. var. flor de mayo sometido a estrés hídrico bajo condiciones de invernadero.   </w:t>
      </w:r>
    </w:p>
    <w:p w14:paraId="291A1B0F"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14:paraId="698CCEBD" w14:textId="77777777" w:rsidR="007923C2" w:rsidRDefault="00285F11"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 estomática.</w:t>
      </w:r>
    </w:p>
    <w:p w14:paraId="59E40B0A"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br/>
        <w:t>Promoción de una cultura de conservación para el desarrollo sustentable en la reserva de la biósfera sierra gorda de guanajuato.   </w:t>
      </w:r>
    </w:p>
    <w:p w14:paraId="1C886B6E"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 triticum aestivum l. con tolerancia a sequía.   </w:t>
      </w:r>
    </w:p>
    <w:p w14:paraId="388E2AE9"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lycopersicum mill tratado con ácido salicílico.   </w:t>
      </w:r>
    </w:p>
    <w:p w14:paraId="4110FF37"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de un cultivo de pepino cucumis sativus l..   </w:t>
      </w:r>
    </w:p>
    <w:p w14:paraId="441BC143"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Evaluación de la interacción genotipo ambiente de 46 genotipos de sorgo escobero sorghum bicolor l. tecnicum en las localidades de zaragoza y general cepeda, coahuila.   </w:t>
      </w:r>
    </w:p>
    <w:p w14:paraId="77D210D6"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 bacterias solubilizadoras de fósforo en plantas de tomate bajo condiciones de invernadero en un suelo alcalino.   </w:t>
      </w:r>
    </w:p>
    <w:p w14:paraId="50DCD85A" w14:textId="77777777"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del ácido salicílico sobre un cultivo de frijol phaseolus vulgaris l. var. flor de mayo sometido a estrés hídrico bajo condiciones de invernadero.   </w:t>
      </w:r>
    </w:p>
    <w:p w14:paraId="4364E337"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RUIZ DE LEON MARIA TERESA (1710) </w:t>
      </w:r>
    </w:p>
    <w:p w14:paraId="106D8BC0"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CO-ASESOR</w:t>
      </w:r>
    </w:p>
    <w:p w14:paraId="55970543"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biosfera   </w:t>
      </w:r>
    </w:p>
    <w:p w14:paraId="1DB1C43E"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del ácido salicilico sobre un cultivo de frijol (Phaseolus vulgaris L.) Var. flor de mayo som</w:t>
      </w:r>
    </w:p>
    <w:p w14:paraId="47C23D63"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 xml:space="preserve">Efecto del ácido salicílico en el crecimiento y desarrollo de un cultivo de pepino </w:t>
      </w:r>
      <w:r w:rsidR="00454DA4" w:rsidRPr="007923C2">
        <w:rPr>
          <w:rFonts w:ascii="Arial" w:hAnsi="Arial" w:cs="Arial"/>
          <w:bCs/>
          <w:sz w:val="22"/>
          <w:szCs w:val="22"/>
        </w:rPr>
        <w:t>Cucumis sativus L.   </w:t>
      </w:r>
    </w:p>
    <w:p w14:paraId="01B9E805"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 estomática.   </w:t>
      </w:r>
    </w:p>
    <w:p w14:paraId="5406AE41"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lycopersicum mill tratado con ácido salicílico</w:t>
      </w:r>
    </w:p>
    <w:p w14:paraId="1F57D46D"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lastRenderedPageBreak/>
        <w:t>Efecto del polietilenglicol en la respuesta fisiológica y hormonal de líneas elite de trigo triticum aestivum l. con tolerancia a sequía.   </w:t>
      </w:r>
    </w:p>
    <w:p w14:paraId="077D17CB"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   </w:t>
      </w:r>
    </w:p>
    <w:p w14:paraId="65067114"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Evaluación de la interacción genotipo ambiente de 46 genotipos de sorgo escobero sorghum bicolor l. tecnicum en las localidades de zaragoza y general cepeda, coahuila.   </w:t>
      </w:r>
    </w:p>
    <w:p w14:paraId="432CFE28"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14:paraId="301F21F8"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de un cultivo de pepino cucumis sativus l..   </w:t>
      </w:r>
    </w:p>
    <w:p w14:paraId="3566EDFA"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 bacterias solubilizadoras de fósforo en plantas de tomate bajo condiciones de invernadero en un suelo alcalino</w:t>
      </w:r>
    </w:p>
    <w:p w14:paraId="48C46337"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del ácido salicílico sobre un cultivo de frijol phaseolus vulgaris l. var. flor de mayo sometido a estrés hídrico bajo condiciones de invernadero.   </w:t>
      </w:r>
    </w:p>
    <w:p w14:paraId="311F1531"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14:paraId="107CB4F9" w14:textId="77777777" w:rsidR="007923C2" w:rsidRDefault="00C232E2"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 estomática.</w:t>
      </w:r>
    </w:p>
    <w:p w14:paraId="1B376277"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   </w:t>
      </w:r>
    </w:p>
    <w:p w14:paraId="36C936F0"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 triticum aestivum l. con tolerancia a sequía</w:t>
      </w:r>
    </w:p>
    <w:p w14:paraId="604D6882"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lycopersicum mill tratado con ácido salicílico.   </w:t>
      </w:r>
    </w:p>
    <w:p w14:paraId="14AF1C78"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de un cultivo de pepino cucumis sativus l..   </w:t>
      </w:r>
    </w:p>
    <w:p w14:paraId="1CE3E7E2"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Evaluación de la interacción genotipo ambiente de 46 genotipos de sorgo escobero sorghum bicolor l. tecnicum en las localidades de zaragoza y general cepeda, coahuila.   </w:t>
      </w:r>
    </w:p>
    <w:p w14:paraId="6E439D18"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 bacterias solubilizadoras de fósforo en plantas de tomate bajo condiciones de invernadero en un suelo alcalino.   </w:t>
      </w:r>
    </w:p>
    <w:p w14:paraId="32EE9350"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del ácido salicílico sobre un cultivo de frijol phaseolus vulgaris l. var. flor de mayo sometido a estrés hídrico bajo condiciones de invernadero.   </w:t>
      </w:r>
    </w:p>
    <w:p w14:paraId="059625A1" w14:textId="77777777"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del ácido salicílico en el crecimiento y desarrollo de un cultivo de pepino cucumis sativus l.   </w:t>
      </w:r>
    </w:p>
    <w:p w14:paraId="6C2E427D" w14:textId="77777777" w:rsidR="00454DA4" w:rsidRPr="007923C2" w:rsidRDefault="00454DA4" w:rsidP="001631FF">
      <w:pPr>
        <w:jc w:val="both"/>
        <w:rPr>
          <w:rFonts w:ascii="Arial" w:hAnsi="Arial" w:cs="Arial"/>
          <w:b/>
          <w:bCs/>
          <w:sz w:val="22"/>
          <w:szCs w:val="22"/>
        </w:rPr>
      </w:pPr>
      <w:r w:rsidRPr="007923C2">
        <w:rPr>
          <w:rFonts w:ascii="Arial" w:hAnsi="Arial" w:cs="Arial"/>
          <w:b/>
          <w:bCs/>
          <w:sz w:val="22"/>
          <w:szCs w:val="22"/>
        </w:rPr>
        <w:t>VÁZQUEZ RODRIGUEZ MARTHA 1711</w:t>
      </w:r>
    </w:p>
    <w:p w14:paraId="45B9ADAC"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14:paraId="7F48677D"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del ácido salcílico en el crecimiento y desarrollo de un cultivo de tomate (Solanum lycopersi   </w:t>
      </w:r>
    </w:p>
    <w:p w14:paraId="17B7159B"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w:t>
      </w:r>
      <w:r w:rsidR="00C232E2" w:rsidRPr="007923C2">
        <w:rPr>
          <w:rFonts w:ascii="Arial" w:hAnsi="Arial" w:cs="Arial"/>
          <w:bCs/>
          <w:sz w:val="22"/>
          <w:szCs w:val="22"/>
        </w:rPr>
        <w:t>valuación de metales pesados en plantas de acelga beta vulgaris l. var. lyon regadas con agua residual tratada.   </w:t>
      </w:r>
    </w:p>
    <w:p w14:paraId="65C4A410"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lastRenderedPageBreak/>
        <w:t>E</w:t>
      </w:r>
      <w:r w:rsidR="00C232E2" w:rsidRPr="007923C2">
        <w:rPr>
          <w:rFonts w:ascii="Arial" w:hAnsi="Arial" w:cs="Arial"/>
          <w:bCs/>
          <w:sz w:val="22"/>
          <w:szCs w:val="22"/>
        </w:rPr>
        <w:t>fecto del ácido salicílico en el crecimiento y desarrollo de un cultivo de tomate solanum lycopersicon l. bajo condiciones de invernadero.   </w:t>
      </w:r>
    </w:p>
    <w:p w14:paraId="43D6E1F7"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w:t>
      </w:r>
      <w:r w:rsidR="00C232E2" w:rsidRPr="007923C2">
        <w:rPr>
          <w:rFonts w:ascii="Arial" w:hAnsi="Arial" w:cs="Arial"/>
          <w:bCs/>
          <w:sz w:val="22"/>
          <w:szCs w:val="22"/>
        </w:rPr>
        <w:t>valuación de metales pesados en plantas de acelga beta vulgaris l. var. lyon regadas con agua residual tratada.   </w:t>
      </w:r>
    </w:p>
    <w:p w14:paraId="25A786A4"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VALDES REYNA JESUS (566) </w:t>
      </w:r>
    </w:p>
    <w:p w14:paraId="26E5071D"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PUBLICACIONES</w:t>
      </w:r>
    </w:p>
    <w:p w14:paraId="3B4EAC97"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COAUTOR</w:t>
      </w:r>
    </w:p>
    <w:p w14:paraId="543FFA84"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Morfología y Anatomía de radículas múltiples en plántulas de maíz derivadas de cariopsis con poliembrionía   </w:t>
      </w:r>
    </w:p>
    <w:p w14:paraId="357A75BE"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Composición florística y ecología del matorral submontano de rosáceas de la Sierra de Zapalinamé, Coahuila, México   </w:t>
      </w:r>
    </w:p>
    <w:p w14:paraId="3603C10E"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Análisis Multitemporal del Cambio de Uso de Suelo y Vegetación en las Áreas Naturales Protegidas con Perrito Llanero Mexicano (Cynomys mexicanus Merrian   </w:t>
      </w:r>
    </w:p>
    <w:p w14:paraId="4912176B" w14:textId="77777777" w:rsidR="00454DA4" w:rsidRDefault="00454DA4" w:rsidP="001631FF">
      <w:pPr>
        <w:jc w:val="both"/>
        <w:rPr>
          <w:rFonts w:ascii="Arial" w:hAnsi="Arial" w:cs="Arial"/>
          <w:bCs/>
          <w:sz w:val="22"/>
          <w:szCs w:val="22"/>
        </w:rPr>
      </w:pPr>
      <w:r w:rsidRPr="007923C2">
        <w:rPr>
          <w:rFonts w:ascii="Arial" w:hAnsi="Arial" w:cs="Arial"/>
          <w:bCs/>
          <w:sz w:val="22"/>
          <w:szCs w:val="22"/>
        </w:rPr>
        <w:t>Agraria Nueva Época   </w:t>
      </w:r>
    </w:p>
    <w:p w14:paraId="56193BD6"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SILVIA YUDITH MARTINEZ AMADOR (3796) </w:t>
      </w:r>
    </w:p>
    <w:p w14:paraId="21196406"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14:paraId="661F0781"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Asesor principal</w:t>
      </w:r>
    </w:p>
    <w:p w14:paraId="4F6FCB16"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Rendimiento del rábano (Raphanus sativus L.) var. Champion)   </w:t>
      </w:r>
    </w:p>
    <w:p w14:paraId="0ECEE210"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Promoción de una cuyltura de conservación para el desarrollo sustentable en la reserva de la biosfer   </w:t>
      </w:r>
    </w:p>
    <w:p w14:paraId="31C335D6"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Rendimiento del rábano raphanus sativus l.,var. champion regado con diferentes efluentes en condiciones de invernadero.   </w:t>
      </w:r>
    </w:p>
    <w:p w14:paraId="28F52B29"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 bacterias solubilizadoras de fósforo en plantas de tomate bajo condiciones de invernadero en un suelo alcalino.   </w:t>
      </w:r>
    </w:p>
    <w:p w14:paraId="60858442"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 bacterias solubilizadoras de fósforo en el crecimiento y desarrollo de plantas de tomate solanum lycopersicum l. bajo condiciones de invernadero.   </w:t>
      </w:r>
    </w:p>
    <w:p w14:paraId="7D2FB2F0"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w:t>
      </w:r>
    </w:p>
    <w:p w14:paraId="29F08EA9"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 bacterias solubilizadoras de fósforo en plantas de tomate bajo condiciones de invernadero en un suelo alcalino.   </w:t>
      </w:r>
    </w:p>
    <w:p w14:paraId="0C9DAB69"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Rendimiento del rábano raphanus sativus l.,var. champion regado con diferentes efluentes en condiciones de invernadero.   </w:t>
      </w:r>
    </w:p>
    <w:p w14:paraId="17C58F99"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   </w:t>
      </w:r>
    </w:p>
    <w:p w14:paraId="112299C1"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 bacterias solubilizadoras de fósforo en el crecimiento y desarrollo de plantas de tomate solanum lycopersicum l. bajo condiciones de invernadero.   </w:t>
      </w:r>
    </w:p>
    <w:p w14:paraId="77714B4A"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lastRenderedPageBreak/>
        <w:t>CO-ASESOR</w:t>
      </w:r>
    </w:p>
    <w:p w14:paraId="50624F57" w14:textId="77777777" w:rsidR="00454DA4" w:rsidRPr="007923C2" w:rsidRDefault="00454DA4" w:rsidP="00435E2B">
      <w:pPr>
        <w:jc w:val="both"/>
        <w:rPr>
          <w:rFonts w:ascii="Arial" w:hAnsi="Arial" w:cs="Arial"/>
          <w:bCs/>
          <w:sz w:val="22"/>
          <w:szCs w:val="22"/>
        </w:rPr>
      </w:pPr>
      <w:r w:rsidRPr="007923C2">
        <w:rPr>
          <w:rFonts w:ascii="Arial" w:hAnsi="Arial" w:cs="Arial"/>
          <w:bCs/>
          <w:sz w:val="22"/>
          <w:szCs w:val="22"/>
        </w:rPr>
        <w:t>Evaluación del rendimiento y calidad nutricional en la producción de un cultivo de acel   </w:t>
      </w:r>
    </w:p>
    <w:p w14:paraId="668AA760" w14:textId="77777777" w:rsidR="00454DA4" w:rsidRPr="007923C2" w:rsidRDefault="00454DA4" w:rsidP="00435E2B">
      <w:pPr>
        <w:jc w:val="both"/>
        <w:rPr>
          <w:rFonts w:ascii="Arial" w:hAnsi="Arial" w:cs="Arial"/>
          <w:bCs/>
          <w:sz w:val="22"/>
          <w:szCs w:val="22"/>
        </w:rPr>
      </w:pPr>
      <w:r w:rsidRPr="007923C2">
        <w:rPr>
          <w:rFonts w:ascii="Arial" w:hAnsi="Arial" w:cs="Arial"/>
          <w:bCs/>
          <w:sz w:val="22"/>
          <w:szCs w:val="22"/>
        </w:rPr>
        <w:t>Determinación de prácticas agroecológico del cultivo del Cafeto (Coffea arabica L.) en dos comunidad   </w:t>
      </w:r>
    </w:p>
    <w:p w14:paraId="704407DB" w14:textId="77777777" w:rsidR="00454DA4" w:rsidRPr="007923C2" w:rsidRDefault="00454DA4" w:rsidP="00435E2B">
      <w:pPr>
        <w:jc w:val="both"/>
        <w:rPr>
          <w:rFonts w:ascii="Arial" w:hAnsi="Arial" w:cs="Arial"/>
          <w:bCs/>
          <w:sz w:val="22"/>
          <w:szCs w:val="22"/>
        </w:rPr>
      </w:pPr>
      <w:r w:rsidRPr="007923C2">
        <w:rPr>
          <w:rFonts w:ascii="Arial" w:hAnsi="Arial" w:cs="Arial"/>
          <w:bCs/>
          <w:sz w:val="22"/>
          <w:szCs w:val="22"/>
        </w:rPr>
        <w:t>Efecto en el potencial antioxidante, vitamina C, pH y grados Brix en tomate (Solanum lycopersicum L.   </w:t>
      </w:r>
    </w:p>
    <w:p w14:paraId="7CEE51AB" w14:textId="77777777" w:rsidR="00454DA4" w:rsidRPr="007923C2" w:rsidRDefault="00454DA4" w:rsidP="00435E2B">
      <w:pPr>
        <w:jc w:val="both"/>
        <w:rPr>
          <w:rFonts w:ascii="Arial" w:hAnsi="Arial" w:cs="Arial"/>
          <w:bCs/>
          <w:sz w:val="22"/>
          <w:szCs w:val="22"/>
        </w:rPr>
      </w:pPr>
      <w:r w:rsidRPr="007923C2">
        <w:rPr>
          <w:rFonts w:ascii="Arial" w:hAnsi="Arial" w:cs="Arial"/>
          <w:bCs/>
          <w:sz w:val="22"/>
          <w:szCs w:val="22"/>
        </w:rPr>
        <w:t>Efecto del ácido salicilico sobre un cultivo de frijol (Phaseolus vulgaris L.) Var. flor de mayo som   </w:t>
      </w:r>
    </w:p>
    <w:p w14:paraId="5DC009BA" w14:textId="77777777" w:rsidR="00454DA4" w:rsidRPr="007923C2" w:rsidRDefault="00454DA4" w:rsidP="00435E2B">
      <w:pPr>
        <w:jc w:val="both"/>
        <w:rPr>
          <w:rFonts w:ascii="Arial" w:hAnsi="Arial" w:cs="Arial"/>
          <w:bCs/>
          <w:sz w:val="22"/>
          <w:szCs w:val="22"/>
        </w:rPr>
      </w:pPr>
      <w:r w:rsidRPr="007923C2">
        <w:rPr>
          <w:rFonts w:ascii="Arial" w:hAnsi="Arial" w:cs="Arial"/>
          <w:bCs/>
          <w:sz w:val="22"/>
          <w:szCs w:val="22"/>
        </w:rPr>
        <w:t>Efecto de bacterias solubilizadoras de fósforo en el crecimiento y desarrollo de plantas de tomate</w:t>
      </w:r>
      <w:r w:rsidR="000D333D" w:rsidRPr="007923C2">
        <w:rPr>
          <w:rFonts w:ascii="Arial" w:hAnsi="Arial" w:cs="Arial"/>
          <w:bCs/>
          <w:sz w:val="22"/>
          <w:szCs w:val="22"/>
        </w:rPr>
        <w:t>.</w:t>
      </w:r>
      <w:r w:rsidRPr="007923C2">
        <w:rPr>
          <w:rFonts w:ascii="Arial" w:hAnsi="Arial" w:cs="Arial"/>
          <w:bCs/>
          <w:sz w:val="22"/>
          <w:szCs w:val="22"/>
        </w:rPr>
        <w:t xml:space="preserve">   </w:t>
      </w:r>
    </w:p>
    <w:p w14:paraId="2B42011C" w14:textId="77777777" w:rsidR="00454DA4" w:rsidRPr="007923C2" w:rsidRDefault="00454DA4" w:rsidP="00435E2B">
      <w:pPr>
        <w:jc w:val="both"/>
        <w:rPr>
          <w:rFonts w:ascii="Arial" w:hAnsi="Arial" w:cs="Arial"/>
          <w:bCs/>
          <w:sz w:val="22"/>
          <w:szCs w:val="22"/>
        </w:rPr>
      </w:pPr>
      <w:r w:rsidRPr="007923C2">
        <w:rPr>
          <w:rFonts w:ascii="Arial" w:hAnsi="Arial" w:cs="Arial"/>
          <w:bCs/>
          <w:sz w:val="22"/>
          <w:szCs w:val="22"/>
        </w:rPr>
        <w:t>Evaluación de las propiedades ópticas de películas para invernadero y efectos sobre el Microclima y  </w:t>
      </w:r>
    </w:p>
    <w:p w14:paraId="1E314F2A" w14:textId="77777777" w:rsidR="00454DA4" w:rsidRPr="007923C2" w:rsidRDefault="00454DA4" w:rsidP="00435E2B">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w:t>
      </w:r>
    </w:p>
    <w:p w14:paraId="64B6B661" w14:textId="77777777" w:rsidR="00454DA4" w:rsidRPr="007923C2" w:rsidRDefault="00454DA4" w:rsidP="00435E2B">
      <w:pPr>
        <w:jc w:val="both"/>
        <w:rPr>
          <w:rFonts w:ascii="Arial" w:hAnsi="Arial" w:cs="Arial"/>
          <w:bCs/>
          <w:sz w:val="22"/>
          <w:szCs w:val="22"/>
        </w:rPr>
      </w:pPr>
      <w:r w:rsidRPr="007923C2">
        <w:rPr>
          <w:rFonts w:ascii="Arial" w:hAnsi="Arial" w:cs="Arial"/>
          <w:bCs/>
          <w:sz w:val="22"/>
          <w:szCs w:val="22"/>
        </w:rPr>
        <w:t>Efecto de polietilenglicol en la respuesta fisiológica y hormonal de líneas Elite de Trigo (Triticum   </w:t>
      </w:r>
    </w:p>
    <w:p w14:paraId="507F82F3" w14:textId="77777777" w:rsidR="00454DA4" w:rsidRPr="007923C2" w:rsidRDefault="00454DA4" w:rsidP="00435E2B">
      <w:pPr>
        <w:jc w:val="both"/>
        <w:rPr>
          <w:rFonts w:ascii="Arial" w:hAnsi="Arial" w:cs="Arial"/>
          <w:bCs/>
          <w:sz w:val="22"/>
          <w:szCs w:val="22"/>
        </w:rPr>
      </w:pPr>
      <w:r w:rsidRPr="007923C2">
        <w:rPr>
          <w:rFonts w:ascii="Arial" w:hAnsi="Arial" w:cs="Arial"/>
          <w:bCs/>
          <w:sz w:val="22"/>
          <w:szCs w:val="22"/>
        </w:rPr>
        <w:t>Efecto de la Aplicación de Lodos Textiles sobre la Biomasa, el contenido de nutrimentos minerales, l   </w:t>
      </w:r>
    </w:p>
    <w:p w14:paraId="46CF8AB4" w14:textId="77777777" w:rsidR="00454DA4" w:rsidRPr="007923C2" w:rsidRDefault="00454DA4" w:rsidP="00435E2B">
      <w:pPr>
        <w:jc w:val="both"/>
        <w:rPr>
          <w:rFonts w:ascii="Arial" w:hAnsi="Arial" w:cs="Arial"/>
          <w:bCs/>
          <w:sz w:val="22"/>
          <w:szCs w:val="22"/>
        </w:rPr>
      </w:pPr>
      <w:r w:rsidRPr="007923C2">
        <w:rPr>
          <w:rFonts w:ascii="Arial" w:hAnsi="Arial" w:cs="Arial"/>
          <w:bCs/>
          <w:sz w:val="22"/>
          <w:szCs w:val="22"/>
        </w:rPr>
        <w:t>Efecto de bacterias solubilizadoras de fosforo en plantas de tomate bajo condiciones de invernadero   </w:t>
      </w:r>
    </w:p>
    <w:p w14:paraId="230900D8" w14:textId="77777777" w:rsidR="00454DA4" w:rsidRPr="007923C2" w:rsidRDefault="000D333D" w:rsidP="00435E2B">
      <w:pPr>
        <w:jc w:val="both"/>
        <w:rPr>
          <w:rFonts w:ascii="Arial" w:hAnsi="Arial" w:cs="Arial"/>
          <w:bCs/>
          <w:sz w:val="22"/>
          <w:szCs w:val="22"/>
        </w:rPr>
      </w:pPr>
      <w:r w:rsidRPr="007923C2">
        <w:rPr>
          <w:rFonts w:ascii="Arial" w:hAnsi="Arial" w:cs="Arial"/>
          <w:bCs/>
          <w:sz w:val="22"/>
          <w:szCs w:val="22"/>
        </w:rPr>
        <w:t>Evaluación del rendimiento y calidad nutricional en la producción de un cultivo de acelga beta vulgaris l. var. fordhook giant bajo dos sistemas de producción agrícola.   </w:t>
      </w:r>
    </w:p>
    <w:p w14:paraId="2B723610" w14:textId="77777777" w:rsidR="00454DA4" w:rsidRPr="007923C2" w:rsidRDefault="000D333D" w:rsidP="00435E2B">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14:paraId="5790C440"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 triticum aestivum l. con tolerancia a sequía.   </w:t>
      </w:r>
    </w:p>
    <w:p w14:paraId="67C5AD2E"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del ácido salicílico sobre un cultivo de frijol phaseolus vulgaris l. var. flor de mayo sometido a estrés hídrico bajo condiciones de invernadero.   </w:t>
      </w:r>
    </w:p>
    <w:p w14:paraId="2591A710"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 la aplicación de lodos textiles sobre la biomasa, el contenido de nutrimentos minerales, la producción y características del tomate solanum lycopersicum l.   </w:t>
      </w:r>
    </w:p>
    <w:p w14:paraId="5FC2D31F"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en el potencial antioxidante, vitamina c, ph y grados brix en tomate solanum lycopersicum l. mediante la aplicación de lodos textiles.   </w:t>
      </w:r>
    </w:p>
    <w:p w14:paraId="502A42F3"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Determinación de prácticas agroecológicas del cultivo del cafeto coffea arabica l. en dos comunidades del municipio de santiago atitlán, mixe, oaxaca   </w:t>
      </w:r>
    </w:p>
    <w:p w14:paraId="00573355"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Evaluación de las propiedades ópticas de películas para invernadero y efectos sobre el microclima y rendimiento del cultivo de pepino cucumis sativus l..   </w:t>
      </w:r>
    </w:p>
    <w:p w14:paraId="2C58E932"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en el potencial antioxidante, vitamina c, ph y grados brix en tomate solanum lycopersicum l. mediante la aplicación de lodos textiles.   </w:t>
      </w:r>
    </w:p>
    <w:p w14:paraId="69F6E82C"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Evaluación del rendimiento y calidad nutricional en la producción de un cultivo de acelga beta vulgaris l. var. fordhook giant bajo dos sistemas de producción agrícola.   </w:t>
      </w:r>
    </w:p>
    <w:p w14:paraId="4035D360"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Determinación de prácticas agroecológicas del cultivo del cafeto coffea arabica l. en dos comunidades del municipio de santiago atitlán, mixe, oaxaca   </w:t>
      </w:r>
    </w:p>
    <w:p w14:paraId="6BFAD939"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lastRenderedPageBreak/>
        <w:t>Evaluación de las propiedades ópticas de películas para invernadero y efectos sobre el microclima y rendimiento del cultivo de pepino cucumis sativus l..   </w:t>
      </w:r>
    </w:p>
    <w:p w14:paraId="116C4743"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14:paraId="01F68A05"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 la aplicación de lodos textiles sobre la biomasa, el contenido de nutrimentos minerales, la producción y características del tomate solanum lycopersicum l.   </w:t>
      </w:r>
    </w:p>
    <w:p w14:paraId="6A198987"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 triticum aestivum l. con tolerancia a sequía.   </w:t>
      </w:r>
    </w:p>
    <w:p w14:paraId="70BDE439"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del ácido salicílico sobre un cultivo de frijol phaseolus vulgaris l. var. flor de mayo sometido a estrés hídrico bajo condiciones de invernadero.   </w:t>
      </w:r>
    </w:p>
    <w:p w14:paraId="3FE949EE"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COMPARAN SANCHEZ SOFIA (1989) </w:t>
      </w:r>
    </w:p>
    <w:p w14:paraId="73C6069A"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14:paraId="0EF8254E"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Asesor Principal</w:t>
      </w:r>
    </w:p>
    <w:p w14:paraId="60BBCF6A"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Efectividad biológica de la toxina Cry 1Ac y Cry2Ab en la madurez del algodón genéticamente modifica   </w:t>
      </w:r>
    </w:p>
    <w:p w14:paraId="20110A8C"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Evaluación del cultivo de acelgas (Beta vulgaris L. var. Fordhook giant) usando diferentes sustratos  </w:t>
      </w:r>
    </w:p>
    <w:p w14:paraId="48CE6C0F"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Germinación In vitro en un medio Murashige y Skoog con la aplicación de escarificado y del regulador   </w:t>
      </w:r>
    </w:p>
    <w:p w14:paraId="32145511"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Germinación de semillas de Enchinaereus freudenbergeri (N.P.Taylor) y Enchinacereus merkeri ( Hildm)   </w:t>
      </w:r>
    </w:p>
    <w:p w14:paraId="511029F1"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Germinación in vitro en un medio Murashige y Skoog con la aplicación de escarificado y del regulador de crecimiento ácido giberelico ag3, en alicoche Echinocereus longisetus subespecie delaetii gurke n.p. Taylor.   </w:t>
      </w:r>
    </w:p>
    <w:p w14:paraId="7425E84D"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Efectividad biológica de la toxina cry1ac y cry2ab en la madurez del algodón genéticamente modificado bt resistente a insectos</w:t>
      </w:r>
    </w:p>
    <w:p w14:paraId="6D4DC56F"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Germinación de semillas de Echinocereus freudenbengeri n.p. Taylor y Echinocereus merkeri Hildm, mediante las concentraciones de nutrientes y estimuladores.   </w:t>
      </w:r>
    </w:p>
    <w:p w14:paraId="5B9C3014"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Evaluación del cultivo de acelga beta vulgaris l. var. fordhook giant usando diferentes sustratos orgánicos y fertilizante químico, con aplicaciones periodicas de humus líquido de lombriz.   </w:t>
      </w:r>
    </w:p>
    <w:p w14:paraId="11ED59BE"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Germinación in vitro en un medio Murashige y Skoog con la aplicación de escarificado y del regulador de crecimiento ácido giberelico ag3, en alicoche Echinocereus longisetus subespecie delaetii gurke n.p. Taylor.   </w:t>
      </w:r>
    </w:p>
    <w:p w14:paraId="599885C5"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Evaluación del cultivo de acelga Beta vulgaris l. var. fordhook giant usando diferentes sustratos orgánicos y fertilizante químico, con aplicaciones periodicas de humus líquido de lombriz.   </w:t>
      </w:r>
    </w:p>
    <w:p w14:paraId="4B50B5CD"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Efectividad biológica de la toxina cry1ac y cry2ab en la madurez del algodón genéticamente modificado bt resistente a insectos</w:t>
      </w:r>
    </w:p>
    <w:p w14:paraId="725B4E24" w14:textId="77777777" w:rsidR="00454DA4" w:rsidRPr="007923C2" w:rsidRDefault="000D333D" w:rsidP="001631FF">
      <w:pPr>
        <w:jc w:val="both"/>
        <w:rPr>
          <w:rFonts w:ascii="Arial" w:hAnsi="Arial" w:cs="Arial"/>
          <w:bCs/>
          <w:sz w:val="22"/>
          <w:szCs w:val="22"/>
        </w:rPr>
      </w:pPr>
      <w:r w:rsidRPr="007923C2">
        <w:rPr>
          <w:rFonts w:ascii="Arial" w:hAnsi="Arial" w:cs="Arial"/>
          <w:bCs/>
          <w:sz w:val="22"/>
          <w:szCs w:val="22"/>
        </w:rPr>
        <w:t>Germinación de semillas de Echinocereus freudenbengeri n.p. Taylor y Echinocereus merkeri Hildm, mediante las concentraciones de nutrientes y estimuladores.   </w:t>
      </w:r>
    </w:p>
    <w:p w14:paraId="33D19EA9"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lastRenderedPageBreak/>
        <w:t>Co asesor</w:t>
      </w:r>
    </w:p>
    <w:p w14:paraId="0BC07C4F"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Evaluación del rendimiento y calidad nutricional en la producción de un cultivo de acelga (Beta vulg  </w:t>
      </w:r>
    </w:p>
    <w:p w14:paraId="726D9E0A"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Determinación de prácticas agroecológico del cultivo del Cafeto (Coffea arabica L.) en dos comunidad   </w:t>
      </w:r>
    </w:p>
    <w:p w14:paraId="7254E070"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Evaluación en rendimiento y correlaciones entre seis características en 51 híbridos experimentales de sorgo para grano sorghum bicolor l. moench.   </w:t>
      </w:r>
    </w:p>
    <w:p w14:paraId="3D331DCD"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Evaluación de cinco tipos de estaciones matadoras para el control de la mosca mexicana de la fruta Anastrepha ludens Loew.   </w:t>
      </w:r>
    </w:p>
    <w:p w14:paraId="6D0B17B6"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Estudio comparativo de caracteres morfológicos y estomáticos en tres niveles de ploidía en Physalis ixocarpa Brot.   </w:t>
      </w:r>
    </w:p>
    <w:p w14:paraId="5D99A3F1"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Potencial del cultivo del sorgo en la producción de biocombustibles.   </w:t>
      </w:r>
    </w:p>
    <w:p w14:paraId="6A333415"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Evaluación en tres ambientes de 53 híbridos de sorgo para grano Sorghum bicolor l. Moench.   </w:t>
      </w:r>
    </w:p>
    <w:p w14:paraId="4961FA2C"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Determinación de prácticas agroecológicas del cultivo del cafeto coffea arabica l. en dos comunidades del municipio de Santiago Atitlán, Mixe, Oaxaca   </w:t>
      </w:r>
    </w:p>
    <w:p w14:paraId="4EC73D14"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Evaluación del rendimiento y calidad nutricional en la producción de un cultivo de acelga Beta vulgaris l. var. Fordhook giant bajo dos sistemas de producción agrícola.   </w:t>
      </w:r>
    </w:p>
    <w:p w14:paraId="4C7F12F7"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Evaluación en rendimiento y correlaciones entre seis características en 51 híbridos experimentales de sorgo para grano Sorghum bicolor l. Moench</w:t>
      </w:r>
    </w:p>
    <w:p w14:paraId="42075A62"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Estudio comparativo de caracteres morfológicos y estomáticos en tres niveles de ploidía en Physalis ixocarpa Brot.   </w:t>
      </w:r>
    </w:p>
    <w:p w14:paraId="2F233479"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Potencial del cultivo del sorgo en la producción de biocombustibles</w:t>
      </w:r>
    </w:p>
    <w:p w14:paraId="74A0DBBF"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Evaluación de cinco tipos de estaciones matadoras para el control de la mosca mexicana de la fruta Anastrepha ludens Loew.   </w:t>
      </w:r>
    </w:p>
    <w:p w14:paraId="5A1B2DC3" w14:textId="77777777" w:rsidR="00454DA4" w:rsidRDefault="00C41B7C" w:rsidP="001631FF">
      <w:pPr>
        <w:jc w:val="both"/>
        <w:rPr>
          <w:rFonts w:ascii="Arial" w:hAnsi="Arial" w:cs="Arial"/>
          <w:bCs/>
          <w:sz w:val="22"/>
          <w:szCs w:val="22"/>
        </w:rPr>
      </w:pPr>
      <w:r w:rsidRPr="007923C2">
        <w:rPr>
          <w:rFonts w:ascii="Arial" w:hAnsi="Arial" w:cs="Arial"/>
          <w:bCs/>
          <w:sz w:val="22"/>
          <w:szCs w:val="22"/>
        </w:rPr>
        <w:t>Evaluación en tres ambientes de 53 híbridos de sorgo para grano Sorghum bicolor l. Moench.   </w:t>
      </w:r>
    </w:p>
    <w:p w14:paraId="5FB789F3" w14:textId="77777777" w:rsidR="00CE21FB" w:rsidRPr="007923C2" w:rsidRDefault="00CE21FB" w:rsidP="001631FF">
      <w:pPr>
        <w:jc w:val="both"/>
        <w:rPr>
          <w:rFonts w:ascii="Arial" w:hAnsi="Arial" w:cs="Arial"/>
          <w:bCs/>
          <w:sz w:val="22"/>
          <w:szCs w:val="22"/>
        </w:rPr>
      </w:pPr>
    </w:p>
    <w:p w14:paraId="1F340FA3"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CABRAL CORDERO ISMAEL (3772) </w:t>
      </w:r>
    </w:p>
    <w:p w14:paraId="2B48AA52"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14:paraId="1DBAD7EB"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 Asesor</w:t>
      </w:r>
    </w:p>
    <w:p w14:paraId="23FA1AD4"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del Acido Salicilico en el crecimiento y desarrollo en un cultivo de pepino (Cucumis sativus   </w:t>
      </w:r>
    </w:p>
    <w:p w14:paraId="4CE4034B"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Efecto del ácido salicílico en el crecimiento y desarrollo de un cultivo de pepino Cucumis sativus L.   </w:t>
      </w:r>
    </w:p>
    <w:p w14:paraId="625F2AA3"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Efect del ácido salicílico en el crecimiento y desarrollo de un cultivo de acelga Beta vulgaris L. var. fordhook</w:t>
      </w:r>
    </w:p>
    <w:p w14:paraId="77F3999C" w14:textId="77777777" w:rsidR="00454DA4" w:rsidRPr="007923C2" w:rsidRDefault="00C41B7C" w:rsidP="001631FF">
      <w:pPr>
        <w:jc w:val="both"/>
        <w:rPr>
          <w:rFonts w:ascii="Arial" w:hAnsi="Arial" w:cs="Arial"/>
          <w:bCs/>
          <w:sz w:val="22"/>
          <w:szCs w:val="22"/>
        </w:rPr>
      </w:pPr>
      <w:r w:rsidRPr="007923C2">
        <w:rPr>
          <w:rFonts w:ascii="Arial" w:hAnsi="Arial" w:cs="Arial"/>
          <w:bCs/>
          <w:sz w:val="22"/>
          <w:szCs w:val="22"/>
        </w:rPr>
        <w:t>Maestría co asesor</w:t>
      </w:r>
    </w:p>
    <w:p w14:paraId="5758F32D" w14:textId="77777777" w:rsidR="00CE21FB" w:rsidRDefault="00C41B7C" w:rsidP="001631FF">
      <w:pPr>
        <w:jc w:val="both"/>
        <w:rPr>
          <w:rFonts w:ascii="Arial" w:hAnsi="Arial" w:cs="Arial"/>
          <w:bCs/>
          <w:sz w:val="22"/>
          <w:szCs w:val="22"/>
        </w:rPr>
      </w:pPr>
      <w:r w:rsidRPr="007923C2">
        <w:rPr>
          <w:rFonts w:ascii="Arial" w:hAnsi="Arial" w:cs="Arial"/>
          <w:bCs/>
          <w:sz w:val="22"/>
          <w:szCs w:val="22"/>
        </w:rPr>
        <w:lastRenderedPageBreak/>
        <w:t xml:space="preserve">Polinización en el género Abave subgen. agave agaveaceae en un gradiente altitudinal en el noroeste de </w:t>
      </w:r>
      <w:r w:rsidR="00CE21FB">
        <w:rPr>
          <w:rFonts w:ascii="Arial" w:hAnsi="Arial" w:cs="Arial"/>
          <w:bCs/>
          <w:sz w:val="22"/>
          <w:szCs w:val="22"/>
        </w:rPr>
        <w:t>México.</w:t>
      </w:r>
    </w:p>
    <w:p w14:paraId="0A75E8C8" w14:textId="6C0FBF69" w:rsidR="00454DA4" w:rsidRPr="007923C2" w:rsidRDefault="00454DA4" w:rsidP="001631FF">
      <w:pPr>
        <w:jc w:val="both"/>
        <w:rPr>
          <w:rFonts w:ascii="Arial" w:hAnsi="Arial" w:cs="Arial"/>
          <w:bCs/>
          <w:sz w:val="22"/>
          <w:szCs w:val="22"/>
        </w:rPr>
      </w:pPr>
    </w:p>
    <w:p w14:paraId="686FF58E"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DE LA ROSA IBARRA MANUEL (1018) </w:t>
      </w:r>
    </w:p>
    <w:p w14:paraId="2A2C2B91"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14:paraId="7B90317D" w14:textId="77777777" w:rsidR="00454DA4" w:rsidRDefault="00454DA4" w:rsidP="001631FF">
      <w:pPr>
        <w:jc w:val="both"/>
        <w:rPr>
          <w:rFonts w:ascii="Arial" w:hAnsi="Arial" w:cs="Arial"/>
          <w:bCs/>
          <w:sz w:val="22"/>
          <w:szCs w:val="22"/>
        </w:rPr>
      </w:pPr>
      <w:r w:rsidRPr="007923C2">
        <w:rPr>
          <w:rFonts w:ascii="Arial" w:hAnsi="Arial" w:cs="Arial"/>
          <w:bCs/>
          <w:sz w:val="22"/>
          <w:szCs w:val="22"/>
        </w:rPr>
        <w:t>Asesor Principal</w:t>
      </w:r>
    </w:p>
    <w:p w14:paraId="65C7841D" w14:textId="77777777" w:rsidR="008F6CBB" w:rsidRDefault="008F6CBB" w:rsidP="001631FF">
      <w:pPr>
        <w:jc w:val="both"/>
        <w:rPr>
          <w:rFonts w:ascii="Arial" w:hAnsi="Arial" w:cs="Arial"/>
          <w:bCs/>
          <w:sz w:val="22"/>
          <w:szCs w:val="22"/>
        </w:rPr>
      </w:pPr>
      <w:r w:rsidRPr="007923C2">
        <w:rPr>
          <w:rFonts w:ascii="Arial" w:hAnsi="Arial" w:cs="Arial"/>
          <w:bCs/>
          <w:sz w:val="22"/>
          <w:szCs w:val="22"/>
        </w:rPr>
        <w:t>Efecto del ácido salcílico en el crecimiento y desarrollo de un cultivo de tomate (Solanum lycopersicom L.  </w:t>
      </w:r>
    </w:p>
    <w:p w14:paraId="3224488B" w14:textId="77777777" w:rsidR="008F6CBB" w:rsidRDefault="008F6CBB"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lycopersicom L.) tratado con ácido salicílico.   </w:t>
      </w:r>
    </w:p>
    <w:p w14:paraId="34FFC793" w14:textId="77777777" w:rsidR="008F6CBB" w:rsidRDefault="008F6CBB"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w:t>
      </w:r>
    </w:p>
    <w:p w14:paraId="53982C64" w14:textId="77777777" w:rsidR="008F6CBB" w:rsidRDefault="008F6CBB" w:rsidP="001631FF">
      <w:pPr>
        <w:jc w:val="both"/>
        <w:rPr>
          <w:rFonts w:ascii="Arial" w:hAnsi="Arial" w:cs="Arial"/>
          <w:bCs/>
          <w:sz w:val="22"/>
          <w:szCs w:val="22"/>
        </w:rPr>
      </w:pPr>
      <w:r w:rsidRPr="007923C2">
        <w:rPr>
          <w:rFonts w:ascii="Arial" w:hAnsi="Arial" w:cs="Arial"/>
          <w:bCs/>
          <w:sz w:val="22"/>
          <w:szCs w:val="22"/>
        </w:rPr>
        <w:t xml:space="preserve">Efecto del ácido Salcílico en el crecimiento y desarrollo de un cultivo de acelga (Beta vulgaris L. </w:t>
      </w:r>
      <w:r>
        <w:rPr>
          <w:rFonts w:ascii="Arial" w:hAnsi="Arial" w:cs="Arial"/>
          <w:bCs/>
          <w:sz w:val="22"/>
          <w:szCs w:val="22"/>
        </w:rPr>
        <w:t>)</w:t>
      </w:r>
      <w:r w:rsidRPr="007923C2">
        <w:rPr>
          <w:rFonts w:ascii="Arial" w:hAnsi="Arial" w:cs="Arial"/>
          <w:bCs/>
          <w:sz w:val="22"/>
          <w:szCs w:val="22"/>
        </w:rPr>
        <w:t> </w:t>
      </w:r>
    </w:p>
    <w:p w14:paraId="0FEBD7F1" w14:textId="77777777" w:rsidR="008F6CBB" w:rsidRDefault="008F6CBB"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w:t>
      </w:r>
      <w:r>
        <w:rPr>
          <w:rFonts w:ascii="Arial" w:hAnsi="Arial" w:cs="Arial"/>
          <w:bCs/>
          <w:sz w:val="22"/>
          <w:szCs w:val="22"/>
        </w:rPr>
        <w:t>.</w:t>
      </w:r>
      <w:r w:rsidRPr="007923C2">
        <w:rPr>
          <w:rFonts w:ascii="Arial" w:hAnsi="Arial" w:cs="Arial"/>
          <w:bCs/>
          <w:sz w:val="22"/>
          <w:szCs w:val="22"/>
        </w:rPr>
        <w:t xml:space="preserve">     </w:t>
      </w:r>
    </w:p>
    <w:p w14:paraId="65C7E355" w14:textId="77777777" w:rsidR="008F6CBB" w:rsidRDefault="008F6CBB" w:rsidP="001631FF">
      <w:pPr>
        <w:jc w:val="both"/>
        <w:rPr>
          <w:rFonts w:ascii="Arial" w:hAnsi="Arial" w:cs="Arial"/>
          <w:bCs/>
          <w:sz w:val="22"/>
          <w:szCs w:val="22"/>
        </w:rPr>
      </w:pPr>
      <w:r w:rsidRPr="007923C2">
        <w:rPr>
          <w:rFonts w:ascii="Arial" w:hAnsi="Arial" w:cs="Arial"/>
          <w:bCs/>
          <w:sz w:val="22"/>
          <w:szCs w:val="22"/>
        </w:rPr>
        <w:t>Efecto del Acido Salicilico en el crecimiento y desarrollo en un cultivo de pepino (Cucumis sativus</w:t>
      </w:r>
      <w:r>
        <w:rPr>
          <w:rFonts w:ascii="Arial" w:hAnsi="Arial" w:cs="Arial"/>
          <w:bCs/>
          <w:sz w:val="22"/>
          <w:szCs w:val="22"/>
        </w:rPr>
        <w:t>.</w:t>
      </w:r>
      <w:r w:rsidRPr="007923C2">
        <w:rPr>
          <w:rFonts w:ascii="Arial" w:hAnsi="Arial" w:cs="Arial"/>
          <w:bCs/>
          <w:sz w:val="22"/>
          <w:szCs w:val="22"/>
        </w:rPr>
        <w:t xml:space="preserve">     </w:t>
      </w:r>
    </w:p>
    <w:p w14:paraId="40692938" w14:textId="77777777" w:rsidR="008F6CBB" w:rsidRDefault="008F6CBB" w:rsidP="001631FF">
      <w:pPr>
        <w:jc w:val="both"/>
        <w:rPr>
          <w:rFonts w:ascii="Arial" w:hAnsi="Arial" w:cs="Arial"/>
          <w:bCs/>
          <w:sz w:val="22"/>
          <w:szCs w:val="22"/>
        </w:rPr>
      </w:pPr>
      <w:r w:rsidRPr="007923C2">
        <w:rPr>
          <w:rFonts w:ascii="Arial" w:hAnsi="Arial" w:cs="Arial"/>
          <w:bCs/>
          <w:sz w:val="22"/>
          <w:szCs w:val="22"/>
        </w:rPr>
        <w:t>Efecto del ácido salicilico sobre un cultivo de frijol (Phaseolus vulgaris L.) Var. flor de mayo</w:t>
      </w:r>
      <w:r>
        <w:rPr>
          <w:rFonts w:ascii="Arial" w:hAnsi="Arial" w:cs="Arial"/>
          <w:bCs/>
          <w:sz w:val="22"/>
          <w:szCs w:val="22"/>
        </w:rPr>
        <w:t>.</w:t>
      </w:r>
      <w:r w:rsidRPr="007923C2">
        <w:rPr>
          <w:rFonts w:ascii="Arial" w:hAnsi="Arial" w:cs="Arial"/>
          <w:bCs/>
          <w:sz w:val="22"/>
          <w:szCs w:val="22"/>
        </w:rPr>
        <w:t xml:space="preserve">   </w:t>
      </w:r>
    </w:p>
    <w:p w14:paraId="1D5F0E0E" w14:textId="77777777" w:rsidR="008F6CBB" w:rsidRDefault="008F6CBB" w:rsidP="001631FF">
      <w:pPr>
        <w:jc w:val="both"/>
        <w:rPr>
          <w:rFonts w:ascii="Arial" w:hAnsi="Arial" w:cs="Arial"/>
          <w:bCs/>
          <w:sz w:val="22"/>
          <w:szCs w:val="22"/>
        </w:rPr>
      </w:pPr>
      <w:r w:rsidRPr="007923C2">
        <w:rPr>
          <w:rFonts w:ascii="Arial" w:hAnsi="Arial" w:cs="Arial"/>
          <w:bCs/>
          <w:sz w:val="22"/>
          <w:szCs w:val="22"/>
        </w:rPr>
        <w:t xml:space="preserve">Efecto del ácido salicílico sobre un cultivo de frijol phaseolus vulgaris l. var. flor de mayo sometido a estrés hídrico bajo condiciones de invernadero. </w:t>
      </w:r>
    </w:p>
    <w:p w14:paraId="62AAF837" w14:textId="77777777" w:rsidR="008F6CBB" w:rsidRDefault="008F6CBB" w:rsidP="001631FF">
      <w:pPr>
        <w:jc w:val="both"/>
        <w:rPr>
          <w:rFonts w:ascii="Arial" w:hAnsi="Arial" w:cs="Arial"/>
          <w:bCs/>
          <w:sz w:val="22"/>
          <w:szCs w:val="22"/>
        </w:rPr>
      </w:pPr>
    </w:p>
    <w:p w14:paraId="54013A9C" w14:textId="77777777" w:rsidR="008F6CBB" w:rsidRDefault="008F6CBB" w:rsidP="001631FF">
      <w:pPr>
        <w:jc w:val="both"/>
        <w:rPr>
          <w:rFonts w:ascii="Arial" w:hAnsi="Arial" w:cs="Arial"/>
          <w:bCs/>
          <w:sz w:val="22"/>
          <w:szCs w:val="22"/>
        </w:rPr>
      </w:pPr>
      <w:r w:rsidRPr="007923C2">
        <w:rPr>
          <w:rFonts w:ascii="Arial" w:hAnsi="Arial" w:cs="Arial"/>
          <w:bCs/>
          <w:sz w:val="22"/>
          <w:szCs w:val="22"/>
        </w:rPr>
        <w:t>Efecto del ácido salicílico en el crecimiento y desarrollo de un cultivo de pepino cucumis sativus L.     </w:t>
      </w:r>
    </w:p>
    <w:p w14:paraId="4E324A56" w14:textId="77777777" w:rsidR="008F6CBB" w:rsidRDefault="008F6CBB" w:rsidP="001631FF">
      <w:pPr>
        <w:jc w:val="both"/>
        <w:rPr>
          <w:rFonts w:ascii="Arial" w:hAnsi="Arial" w:cs="Arial"/>
          <w:bCs/>
          <w:sz w:val="22"/>
          <w:szCs w:val="22"/>
        </w:rPr>
      </w:pPr>
      <w:r>
        <w:rPr>
          <w:rFonts w:ascii="Arial" w:hAnsi="Arial" w:cs="Arial"/>
          <w:bCs/>
          <w:sz w:val="22"/>
          <w:szCs w:val="22"/>
        </w:rPr>
        <w:t>E</w:t>
      </w:r>
      <w:r w:rsidRPr="007923C2">
        <w:rPr>
          <w:rFonts w:ascii="Arial" w:hAnsi="Arial" w:cs="Arial"/>
          <w:bCs/>
          <w:sz w:val="22"/>
          <w:szCs w:val="22"/>
        </w:rPr>
        <w:t>fect del ácido salicílico en el crecimiento y desarrollo de un cultivo de acelga beta vulgaris l. var. fordhook.     </w:t>
      </w:r>
    </w:p>
    <w:p w14:paraId="7A5AB302" w14:textId="77777777" w:rsidR="008F6CBB" w:rsidRDefault="008F6CBB" w:rsidP="001631FF">
      <w:pPr>
        <w:jc w:val="both"/>
        <w:rPr>
          <w:rFonts w:ascii="Arial" w:hAnsi="Arial" w:cs="Arial"/>
          <w:bCs/>
          <w:sz w:val="22"/>
          <w:szCs w:val="22"/>
        </w:rPr>
      </w:pPr>
      <w:r w:rsidRPr="007923C2">
        <w:rPr>
          <w:rFonts w:ascii="Arial" w:hAnsi="Arial" w:cs="Arial"/>
          <w:bCs/>
          <w:sz w:val="22"/>
          <w:szCs w:val="22"/>
        </w:rPr>
        <w:t>Efecto del ácido salicílico en el crecimiento y desarrollo de un cultivo de tomate Solanum lycopersicon L. bajo condiciones de invernadero.     </w:t>
      </w:r>
    </w:p>
    <w:p w14:paraId="049257E7" w14:textId="77777777" w:rsidR="008F6CBB" w:rsidRDefault="008F6CBB"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 estomática.     </w:t>
      </w:r>
    </w:p>
    <w:p w14:paraId="7D42FC46" w14:textId="77777777" w:rsidR="008F6CBB" w:rsidRDefault="008F6CBB"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de un cultivo de pepino Cucumis sativus L..     </w:t>
      </w:r>
    </w:p>
    <w:p w14:paraId="0DD514F3" w14:textId="77777777" w:rsidR="008F6CBB" w:rsidRDefault="008F6CBB" w:rsidP="001631FF">
      <w:pPr>
        <w:jc w:val="both"/>
        <w:rPr>
          <w:rFonts w:ascii="Arial" w:hAnsi="Arial" w:cs="Arial"/>
          <w:bCs/>
          <w:sz w:val="22"/>
          <w:szCs w:val="22"/>
        </w:rPr>
      </w:pPr>
      <w:r w:rsidRPr="007923C2">
        <w:rPr>
          <w:rFonts w:ascii="Arial" w:hAnsi="Arial" w:cs="Arial"/>
          <w:bCs/>
          <w:sz w:val="22"/>
          <w:szCs w:val="22"/>
        </w:rPr>
        <w:t>Efecto de tres cubiertas diferentes para invernaderos sobre el desarrollo y rendimiento del cultivo de tomate tipo uva Solanum lycopersicon L. cv.sweet hearts.   </w:t>
      </w:r>
    </w:p>
    <w:p w14:paraId="42916A25" w14:textId="77777777" w:rsidR="008F6CBB" w:rsidRDefault="008F6CBB"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lycopersicum Mill tratado con ácido salicílico.   </w:t>
      </w:r>
    </w:p>
    <w:p w14:paraId="5FA1EC4D" w14:textId="77777777" w:rsidR="008F6CBB" w:rsidRDefault="008F6CBB"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 estomática.     </w:t>
      </w:r>
    </w:p>
    <w:p w14:paraId="61F31E29" w14:textId="77777777" w:rsidR="008F6CBB" w:rsidRDefault="008F6CBB" w:rsidP="001631FF">
      <w:pPr>
        <w:jc w:val="both"/>
        <w:rPr>
          <w:rFonts w:ascii="Arial" w:hAnsi="Arial" w:cs="Arial"/>
          <w:bCs/>
          <w:sz w:val="22"/>
          <w:szCs w:val="22"/>
        </w:rPr>
      </w:pPr>
      <w:r w:rsidRPr="007923C2">
        <w:rPr>
          <w:rFonts w:ascii="Arial" w:hAnsi="Arial" w:cs="Arial"/>
          <w:bCs/>
          <w:sz w:val="22"/>
          <w:szCs w:val="22"/>
        </w:rPr>
        <w:lastRenderedPageBreak/>
        <w:t>Efecto del ácido salicílico en el crecimiento y desarrollo de un cultivo de pepino Cucumis sativus L.   </w:t>
      </w:r>
    </w:p>
    <w:p w14:paraId="46D90314" w14:textId="77777777" w:rsidR="008F6CBB" w:rsidRDefault="008F6CBB"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de un cultivo de pepino Cucumis sativus L.     </w:t>
      </w:r>
    </w:p>
    <w:p w14:paraId="0E57FD98" w14:textId="77777777" w:rsidR="008F6CBB" w:rsidRPr="007923C2" w:rsidRDefault="008F6CBB"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lycopersicum mill tratado con ácido salicílico.     </w:t>
      </w:r>
    </w:p>
    <w:p w14:paraId="60A87633" w14:textId="77777777" w:rsidR="00454DA4" w:rsidRPr="007923C2" w:rsidRDefault="00454DA4" w:rsidP="008F6CBB">
      <w:pPr>
        <w:spacing w:after="0" w:line="240" w:lineRule="auto"/>
        <w:jc w:val="both"/>
        <w:rPr>
          <w:rFonts w:ascii="Arial" w:hAnsi="Arial" w:cs="Arial"/>
          <w:vanish/>
          <w:sz w:val="22"/>
          <w:szCs w:val="22"/>
        </w:rPr>
      </w:pPr>
    </w:p>
    <w:p w14:paraId="39CB7565" w14:textId="77777777" w:rsidR="00454DA4" w:rsidRPr="007923C2" w:rsidRDefault="00454DA4" w:rsidP="008F6CBB">
      <w:pPr>
        <w:spacing w:after="0" w:line="240" w:lineRule="auto"/>
        <w:jc w:val="both"/>
        <w:rPr>
          <w:rFonts w:ascii="Arial" w:hAnsi="Arial" w:cs="Arial"/>
          <w:vanish/>
          <w:sz w:val="22"/>
          <w:szCs w:val="22"/>
        </w:rPr>
      </w:pPr>
    </w:p>
    <w:p w14:paraId="4D6368A0" w14:textId="77777777" w:rsidR="00454DA4" w:rsidRPr="007923C2" w:rsidRDefault="00454DA4" w:rsidP="008F6CBB">
      <w:pPr>
        <w:spacing w:after="0" w:line="240" w:lineRule="auto"/>
        <w:jc w:val="both"/>
        <w:rPr>
          <w:rFonts w:ascii="Arial" w:hAnsi="Arial" w:cs="Arial"/>
          <w:vanish/>
          <w:sz w:val="22"/>
          <w:szCs w:val="22"/>
        </w:rPr>
      </w:pPr>
    </w:p>
    <w:p w14:paraId="79B1A028" w14:textId="77777777" w:rsidR="00454DA4" w:rsidRPr="007923C2" w:rsidRDefault="00454DA4" w:rsidP="008F6CBB">
      <w:pPr>
        <w:spacing w:after="0" w:line="240" w:lineRule="auto"/>
        <w:jc w:val="both"/>
        <w:rPr>
          <w:rFonts w:ascii="Arial" w:hAnsi="Arial" w:cs="Arial"/>
          <w:vanish/>
          <w:sz w:val="22"/>
          <w:szCs w:val="22"/>
        </w:rPr>
      </w:pPr>
    </w:p>
    <w:p w14:paraId="2E5A1D29" w14:textId="77777777" w:rsidR="00454DA4" w:rsidRPr="007923C2" w:rsidRDefault="00454DA4" w:rsidP="001631FF">
      <w:pPr>
        <w:spacing w:after="0" w:line="240" w:lineRule="auto"/>
        <w:jc w:val="both"/>
        <w:rPr>
          <w:rFonts w:ascii="Arial" w:hAnsi="Arial" w:cs="Arial"/>
          <w:vanish/>
          <w:sz w:val="22"/>
          <w:szCs w:val="22"/>
        </w:rPr>
      </w:pPr>
    </w:p>
    <w:p w14:paraId="521D86D5" w14:textId="77777777" w:rsidR="00454DA4" w:rsidRPr="007923C2" w:rsidRDefault="00454DA4" w:rsidP="001631FF">
      <w:pPr>
        <w:jc w:val="both"/>
        <w:rPr>
          <w:rFonts w:ascii="Arial" w:hAnsi="Arial" w:cs="Arial"/>
          <w:bCs/>
          <w:i/>
          <w:iCs/>
          <w:sz w:val="22"/>
          <w:szCs w:val="22"/>
        </w:rPr>
      </w:pPr>
    </w:p>
    <w:p w14:paraId="51CA8A85"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ARCE GONZALEZ LEOPOLDO (665) </w:t>
      </w:r>
    </w:p>
    <w:p w14:paraId="6230F4CB"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Publicación</w:t>
      </w:r>
    </w:p>
    <w:p w14:paraId="0B2BFFD8"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 Autor</w:t>
      </w:r>
    </w:p>
    <w:p w14:paraId="3202AAC1"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 diferentes Niveles de Salinidad en la germinación y vigor de semillas de cinco gramíneas forrajeras   </w:t>
      </w:r>
    </w:p>
    <w:p w14:paraId="2B5D8B2D"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14:paraId="3EB107C0"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w:t>
      </w:r>
    </w:p>
    <w:p w14:paraId="288338C1" w14:textId="77777777" w:rsidR="00454DA4" w:rsidRPr="007923C2" w:rsidRDefault="00954682" w:rsidP="001631FF">
      <w:pPr>
        <w:jc w:val="both"/>
        <w:rPr>
          <w:rFonts w:ascii="Arial" w:hAnsi="Arial" w:cs="Arial"/>
          <w:bCs/>
          <w:sz w:val="22"/>
          <w:szCs w:val="22"/>
        </w:rPr>
      </w:pPr>
      <w:r>
        <w:rPr>
          <w:rFonts w:ascii="Arial" w:hAnsi="Arial" w:cs="Arial"/>
          <w:bCs/>
          <w:sz w:val="22"/>
          <w:szCs w:val="22"/>
        </w:rPr>
        <w:t>E</w:t>
      </w:r>
      <w:r w:rsidR="001C4951" w:rsidRPr="007923C2">
        <w:rPr>
          <w:rFonts w:ascii="Arial" w:hAnsi="Arial" w:cs="Arial"/>
          <w:bCs/>
          <w:sz w:val="22"/>
          <w:szCs w:val="22"/>
        </w:rPr>
        <w:t>iminación de latencia en semilla de zacate buffel Cenchrus ciliaris l. variedad común.   </w:t>
      </w:r>
    </w:p>
    <w:p w14:paraId="4D24FC16" w14:textId="77777777" w:rsidR="00454DA4" w:rsidRPr="007923C2" w:rsidRDefault="001C4951" w:rsidP="001631FF">
      <w:pPr>
        <w:jc w:val="both"/>
        <w:rPr>
          <w:rFonts w:ascii="Arial" w:hAnsi="Arial" w:cs="Arial"/>
          <w:bCs/>
          <w:sz w:val="22"/>
          <w:szCs w:val="22"/>
        </w:rPr>
      </w:pPr>
      <w:r w:rsidRPr="007923C2">
        <w:rPr>
          <w:rFonts w:ascii="Arial" w:hAnsi="Arial" w:cs="Arial"/>
          <w:bCs/>
          <w:sz w:val="22"/>
          <w:szCs w:val="22"/>
        </w:rPr>
        <w:t>Efecto de tres cubiertas diferentes para invernaderos sobre el desarrollo y rendimiento del cultivo de tomate tipo uva Solanum lycopersicon L. cv.sweet hearts.   </w:t>
      </w:r>
    </w:p>
    <w:p w14:paraId="1EE7A5C5" w14:textId="77777777" w:rsidR="00454DA4" w:rsidRPr="007923C2" w:rsidRDefault="001C4951" w:rsidP="001631FF">
      <w:pPr>
        <w:jc w:val="both"/>
        <w:rPr>
          <w:rFonts w:ascii="Arial" w:hAnsi="Arial" w:cs="Arial"/>
          <w:bCs/>
          <w:sz w:val="22"/>
          <w:szCs w:val="22"/>
        </w:rPr>
      </w:pPr>
      <w:r w:rsidRPr="007923C2">
        <w:rPr>
          <w:rFonts w:ascii="Arial" w:hAnsi="Arial" w:cs="Arial"/>
          <w:bCs/>
          <w:sz w:val="22"/>
          <w:szCs w:val="22"/>
        </w:rPr>
        <w:t>Abundancia relativa de mamíferos terrestres grandes y medianos en el área reforestada de la sierra de zapalinamé, coahuila méxico.   </w:t>
      </w:r>
    </w:p>
    <w:p w14:paraId="37CF3EDF" w14:textId="77777777" w:rsidR="00454DA4" w:rsidRPr="007923C2" w:rsidRDefault="001C4951" w:rsidP="001631FF">
      <w:pPr>
        <w:jc w:val="both"/>
        <w:rPr>
          <w:rFonts w:ascii="Arial" w:hAnsi="Arial" w:cs="Arial"/>
          <w:bCs/>
          <w:sz w:val="22"/>
          <w:szCs w:val="22"/>
        </w:rPr>
      </w:pPr>
      <w:r w:rsidRPr="007923C2">
        <w:rPr>
          <w:rFonts w:ascii="Arial" w:hAnsi="Arial" w:cs="Arial"/>
          <w:bCs/>
          <w:sz w:val="22"/>
          <w:szCs w:val="22"/>
        </w:rPr>
        <w:t>Efecto de tres cubiertas diferentes para invernaderos sobre el desarrollo y rendimiento del cultivo de tomate tipo uva Solanum lycopersicon L. cv.sweet hearts</w:t>
      </w:r>
    </w:p>
    <w:p w14:paraId="24ABD5B8" w14:textId="77777777" w:rsidR="00454DA4" w:rsidRPr="007923C2" w:rsidRDefault="00454DA4" w:rsidP="001631FF">
      <w:pPr>
        <w:jc w:val="both"/>
        <w:rPr>
          <w:rFonts w:ascii="Arial" w:hAnsi="Arial" w:cs="Arial"/>
          <w:bCs/>
          <w:sz w:val="22"/>
          <w:szCs w:val="22"/>
        </w:rPr>
      </w:pPr>
    </w:p>
    <w:p w14:paraId="6F32AC1D"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MAESTRÍA - CO-ASESOR </w:t>
      </w:r>
    </w:p>
    <w:p w14:paraId="0601BE30" w14:textId="77777777" w:rsidR="00454DA4" w:rsidRPr="007923C2" w:rsidRDefault="001C4951" w:rsidP="001631FF">
      <w:pPr>
        <w:jc w:val="both"/>
        <w:rPr>
          <w:rFonts w:ascii="Arial" w:hAnsi="Arial" w:cs="Arial"/>
          <w:bCs/>
          <w:sz w:val="22"/>
          <w:szCs w:val="22"/>
        </w:rPr>
      </w:pPr>
      <w:r w:rsidRPr="007923C2">
        <w:rPr>
          <w:rFonts w:ascii="Arial" w:hAnsi="Arial" w:cs="Arial"/>
          <w:bCs/>
          <w:sz w:val="22"/>
          <w:szCs w:val="22"/>
        </w:rPr>
        <w:t>Calidad fisiológica de tres semillas de gramíneas</w:t>
      </w:r>
    </w:p>
    <w:p w14:paraId="0BE9EF6A" w14:textId="77777777" w:rsidR="00454DA4" w:rsidRPr="007923C2" w:rsidRDefault="00954682" w:rsidP="001631FF">
      <w:pPr>
        <w:jc w:val="both"/>
        <w:rPr>
          <w:rFonts w:ascii="Arial" w:hAnsi="Arial" w:cs="Arial"/>
          <w:bCs/>
          <w:sz w:val="22"/>
          <w:szCs w:val="22"/>
        </w:rPr>
      </w:pPr>
      <w:r>
        <w:rPr>
          <w:rFonts w:ascii="Arial" w:hAnsi="Arial" w:cs="Arial"/>
          <w:bCs/>
          <w:sz w:val="22"/>
          <w:szCs w:val="22"/>
        </w:rPr>
        <w:t>B</w:t>
      </w:r>
      <w:r w:rsidR="001C4951" w:rsidRPr="007923C2">
        <w:rPr>
          <w:rFonts w:ascii="Arial" w:hAnsi="Arial" w:cs="Arial"/>
          <w:bCs/>
          <w:sz w:val="22"/>
          <w:szCs w:val="22"/>
        </w:rPr>
        <w:t>ioestimulantes aplicados a semillas Echinacea purpurea L Moench y su efecto en algunas características fenológicas en invernadero y calidad de semilla   </w:t>
      </w:r>
    </w:p>
    <w:p w14:paraId="1203920B"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CARRANZA PEREZ MIGUEL AGUSTIN (1491) </w:t>
      </w:r>
    </w:p>
    <w:p w14:paraId="2E066E56"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Publicaciones</w:t>
      </w:r>
    </w:p>
    <w:p w14:paraId="47C3B7E0"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Autor</w:t>
      </w:r>
    </w:p>
    <w:p w14:paraId="3A71F606"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Micropropagaciòn y producciòn de Turbinicarpus knuthianus (Boed.) John &amp; Riha Cactacea ornamental del Desierto Chihuahuense   </w:t>
      </w:r>
    </w:p>
    <w:p w14:paraId="40F8225D"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Micropropagaciòn y producciòn de Epithelantha micromeris (Engelm.) F.A.C. Weber ex Britt. &amp; Rose Cactacea ornamental del Desierto Chihuahuense   </w:t>
      </w:r>
    </w:p>
    <w:p w14:paraId="0A4B2FFE"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14:paraId="017CCD76"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w:t>
      </w:r>
    </w:p>
    <w:p w14:paraId="2BE2E576"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lastRenderedPageBreak/>
        <w:t>Efecto del ácido Salcílico en el crecimiento y desarrollo de un cultivo de acelga (Beta vulgaris L.   </w:t>
      </w:r>
    </w:p>
    <w:p w14:paraId="3A899F2F"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w:t>
      </w:r>
    </w:p>
    <w:p w14:paraId="4CAC9FB5"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en el potencial antioxidante, vitamina C, pH y grados Brix en tomate (Solanum lycopersicum L.   </w:t>
      </w:r>
    </w:p>
    <w:p w14:paraId="1577CBCE"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Germinación de semillas de Enchin</w:t>
      </w:r>
      <w:r w:rsidR="00954682">
        <w:rPr>
          <w:rFonts w:ascii="Arial" w:hAnsi="Arial" w:cs="Arial"/>
          <w:bCs/>
          <w:sz w:val="22"/>
          <w:szCs w:val="22"/>
        </w:rPr>
        <w:t>oc</w:t>
      </w:r>
      <w:r w:rsidRPr="007923C2">
        <w:rPr>
          <w:rFonts w:ascii="Arial" w:hAnsi="Arial" w:cs="Arial"/>
          <w:bCs/>
          <w:sz w:val="22"/>
          <w:szCs w:val="22"/>
        </w:rPr>
        <w:t>ereus freudenbergeri (N.P.Taylor) y Enchinacereus merkeri ( Hildm)   </w:t>
      </w:r>
    </w:p>
    <w:p w14:paraId="2FD26AA4" w14:textId="77777777" w:rsidR="00454DA4" w:rsidRPr="007923C2" w:rsidRDefault="001C4951"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w:t>
      </w:r>
    </w:p>
    <w:p w14:paraId="3651D006" w14:textId="77777777" w:rsidR="00454DA4" w:rsidRPr="007923C2" w:rsidRDefault="001C4951" w:rsidP="001631FF">
      <w:pPr>
        <w:jc w:val="both"/>
        <w:rPr>
          <w:rFonts w:ascii="Arial" w:hAnsi="Arial" w:cs="Arial"/>
          <w:bCs/>
          <w:sz w:val="22"/>
          <w:szCs w:val="22"/>
        </w:rPr>
      </w:pPr>
      <w:r w:rsidRPr="007923C2">
        <w:rPr>
          <w:rFonts w:ascii="Arial" w:hAnsi="Arial" w:cs="Arial"/>
          <w:bCs/>
          <w:sz w:val="22"/>
          <w:szCs w:val="22"/>
        </w:rPr>
        <w:t>Gramíneas invasoras de coahuila, méxico: tribu paniceae, poaceae: panicoideae.   </w:t>
      </w:r>
    </w:p>
    <w:p w14:paraId="7BA643BA" w14:textId="77777777" w:rsidR="00454DA4" w:rsidRPr="007923C2" w:rsidRDefault="001C4951" w:rsidP="001631FF">
      <w:pPr>
        <w:jc w:val="both"/>
        <w:rPr>
          <w:rFonts w:ascii="Arial" w:hAnsi="Arial" w:cs="Arial"/>
          <w:bCs/>
          <w:sz w:val="22"/>
          <w:szCs w:val="22"/>
        </w:rPr>
      </w:pPr>
      <w:r w:rsidRPr="007923C2">
        <w:rPr>
          <w:rFonts w:ascii="Arial" w:hAnsi="Arial" w:cs="Arial"/>
          <w:bCs/>
          <w:sz w:val="22"/>
          <w:szCs w:val="22"/>
        </w:rPr>
        <w:t>Germinación de semillas de Echinocereus freudenbengeri n.p. Taylor y Echinocereus merkeri Hildm, mediante las concentraciones de nutrientes y estimuladores.   </w:t>
      </w:r>
    </w:p>
    <w:p w14:paraId="348136B3" w14:textId="77777777" w:rsidR="00454DA4" w:rsidRPr="007923C2" w:rsidRDefault="001C4951" w:rsidP="001631FF">
      <w:pPr>
        <w:jc w:val="both"/>
        <w:rPr>
          <w:rFonts w:ascii="Arial" w:hAnsi="Arial" w:cs="Arial"/>
          <w:bCs/>
          <w:sz w:val="22"/>
          <w:szCs w:val="22"/>
        </w:rPr>
      </w:pPr>
      <w:r w:rsidRPr="007923C2">
        <w:rPr>
          <w:rFonts w:ascii="Arial" w:hAnsi="Arial" w:cs="Arial"/>
          <w:bCs/>
          <w:sz w:val="22"/>
          <w:szCs w:val="22"/>
        </w:rPr>
        <w:t>Efecto del ácido salicílico sobre un cultivo de frijol Phaseolus vulgaris L. var. flor de mayo sometido a estrés hídrico bajo condiciones de invernadero.   </w:t>
      </w:r>
    </w:p>
    <w:p w14:paraId="5C1C3BE1" w14:textId="77777777" w:rsidR="00454DA4" w:rsidRPr="007923C2" w:rsidRDefault="001C4951"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14:paraId="42321230" w14:textId="77777777" w:rsidR="00454DA4" w:rsidRPr="007923C2" w:rsidRDefault="001C4951" w:rsidP="001631FF">
      <w:pPr>
        <w:jc w:val="both"/>
        <w:rPr>
          <w:rFonts w:ascii="Arial" w:hAnsi="Arial" w:cs="Arial"/>
          <w:bCs/>
          <w:sz w:val="22"/>
          <w:szCs w:val="22"/>
        </w:rPr>
      </w:pPr>
      <w:r w:rsidRPr="007923C2">
        <w:rPr>
          <w:rFonts w:ascii="Arial" w:hAnsi="Arial" w:cs="Arial"/>
          <w:bCs/>
          <w:sz w:val="22"/>
          <w:szCs w:val="22"/>
        </w:rPr>
        <w:t>Efecto en el potencial antioxidante, vitamina c, ph y grados brix en tomate Solanum lycopersicum L. mediante la aplicación de lodos textiles.   </w:t>
      </w:r>
    </w:p>
    <w:p w14:paraId="15F0810C" w14:textId="77777777" w:rsidR="00454DA4" w:rsidRPr="007923C2" w:rsidRDefault="001C4951" w:rsidP="001631FF">
      <w:pPr>
        <w:jc w:val="both"/>
        <w:rPr>
          <w:rFonts w:ascii="Arial" w:hAnsi="Arial" w:cs="Arial"/>
          <w:bCs/>
          <w:sz w:val="22"/>
          <w:szCs w:val="22"/>
        </w:rPr>
      </w:pPr>
      <w:r w:rsidRPr="007923C2">
        <w:rPr>
          <w:rFonts w:ascii="Arial" w:hAnsi="Arial" w:cs="Arial"/>
          <w:bCs/>
          <w:sz w:val="22"/>
          <w:szCs w:val="22"/>
        </w:rPr>
        <w:t>Efect del ácido salicílico en el crecimiento y desarrollo de un cultivo de acelga Beta vulgaris L. var. fordhook.   </w:t>
      </w:r>
    </w:p>
    <w:p w14:paraId="46937962"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E</w:t>
      </w:r>
      <w:r w:rsidR="001C4951" w:rsidRPr="007923C2">
        <w:rPr>
          <w:rFonts w:ascii="Arial" w:hAnsi="Arial" w:cs="Arial"/>
          <w:bCs/>
          <w:sz w:val="22"/>
          <w:szCs w:val="22"/>
        </w:rPr>
        <w:t xml:space="preserve">fecto de bacterias solubilizadoras de fósforo en el crecimiento y desarrollo de plantas de tomate </w:t>
      </w:r>
      <w:r w:rsidRPr="007923C2">
        <w:rPr>
          <w:rFonts w:ascii="Arial" w:hAnsi="Arial" w:cs="Arial"/>
          <w:bCs/>
          <w:sz w:val="22"/>
          <w:szCs w:val="22"/>
        </w:rPr>
        <w:t>S</w:t>
      </w:r>
      <w:r w:rsidR="001C4951" w:rsidRPr="007923C2">
        <w:rPr>
          <w:rFonts w:ascii="Arial" w:hAnsi="Arial" w:cs="Arial"/>
          <w:bCs/>
          <w:sz w:val="22"/>
          <w:szCs w:val="22"/>
        </w:rPr>
        <w:t xml:space="preserve">olanum lycopersicum </w:t>
      </w:r>
      <w:r w:rsidRPr="007923C2">
        <w:rPr>
          <w:rFonts w:ascii="Arial" w:hAnsi="Arial" w:cs="Arial"/>
          <w:bCs/>
          <w:sz w:val="22"/>
          <w:szCs w:val="22"/>
        </w:rPr>
        <w:t>L</w:t>
      </w:r>
      <w:r w:rsidR="001C4951" w:rsidRPr="007923C2">
        <w:rPr>
          <w:rFonts w:ascii="Arial" w:hAnsi="Arial" w:cs="Arial"/>
          <w:bCs/>
          <w:sz w:val="22"/>
          <w:szCs w:val="22"/>
        </w:rPr>
        <w:t>. bajo condiciones de invernadero.   </w:t>
      </w:r>
    </w:p>
    <w:p w14:paraId="22A47E25"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G</w:t>
      </w:r>
      <w:r w:rsidR="001C4951" w:rsidRPr="007923C2">
        <w:rPr>
          <w:rFonts w:ascii="Arial" w:hAnsi="Arial" w:cs="Arial"/>
          <w:bCs/>
          <w:sz w:val="22"/>
          <w:szCs w:val="22"/>
        </w:rPr>
        <w:t xml:space="preserve">erminación de semillas de </w:t>
      </w:r>
      <w:r w:rsidRPr="007923C2">
        <w:rPr>
          <w:rFonts w:ascii="Arial" w:hAnsi="Arial" w:cs="Arial"/>
          <w:bCs/>
          <w:sz w:val="22"/>
          <w:szCs w:val="22"/>
        </w:rPr>
        <w:t>E</w:t>
      </w:r>
      <w:r w:rsidR="001C4951" w:rsidRPr="007923C2">
        <w:rPr>
          <w:rFonts w:ascii="Arial" w:hAnsi="Arial" w:cs="Arial"/>
          <w:bCs/>
          <w:sz w:val="22"/>
          <w:szCs w:val="22"/>
        </w:rPr>
        <w:t xml:space="preserve">chinocereus freudenbengeri n.p. </w:t>
      </w:r>
      <w:r w:rsidRPr="007923C2">
        <w:rPr>
          <w:rFonts w:ascii="Arial" w:hAnsi="Arial" w:cs="Arial"/>
          <w:bCs/>
          <w:sz w:val="22"/>
          <w:szCs w:val="22"/>
        </w:rPr>
        <w:t>T</w:t>
      </w:r>
      <w:r w:rsidR="001C4951" w:rsidRPr="007923C2">
        <w:rPr>
          <w:rFonts w:ascii="Arial" w:hAnsi="Arial" w:cs="Arial"/>
          <w:bCs/>
          <w:sz w:val="22"/>
          <w:szCs w:val="22"/>
        </w:rPr>
        <w:t xml:space="preserve">aylor y </w:t>
      </w:r>
      <w:r w:rsidRPr="007923C2">
        <w:rPr>
          <w:rFonts w:ascii="Arial" w:hAnsi="Arial" w:cs="Arial"/>
          <w:bCs/>
          <w:sz w:val="22"/>
          <w:szCs w:val="22"/>
        </w:rPr>
        <w:t>E</w:t>
      </w:r>
      <w:r w:rsidR="001C4951" w:rsidRPr="007923C2">
        <w:rPr>
          <w:rFonts w:ascii="Arial" w:hAnsi="Arial" w:cs="Arial"/>
          <w:bCs/>
          <w:sz w:val="22"/>
          <w:szCs w:val="22"/>
        </w:rPr>
        <w:t xml:space="preserve">chinocereus merkeri </w:t>
      </w:r>
      <w:r w:rsidRPr="007923C2">
        <w:rPr>
          <w:rFonts w:ascii="Arial" w:hAnsi="Arial" w:cs="Arial"/>
          <w:bCs/>
          <w:sz w:val="22"/>
          <w:szCs w:val="22"/>
        </w:rPr>
        <w:t>H</w:t>
      </w:r>
      <w:r w:rsidR="001C4951" w:rsidRPr="007923C2">
        <w:rPr>
          <w:rFonts w:ascii="Arial" w:hAnsi="Arial" w:cs="Arial"/>
          <w:bCs/>
          <w:sz w:val="22"/>
          <w:szCs w:val="22"/>
        </w:rPr>
        <w:t>ildm, mediante las concentraciones de nutrientes y estimuladores.   </w:t>
      </w:r>
    </w:p>
    <w:p w14:paraId="1B88073E"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E</w:t>
      </w:r>
      <w:r w:rsidR="001C4951" w:rsidRPr="007923C2">
        <w:rPr>
          <w:rFonts w:ascii="Arial" w:hAnsi="Arial" w:cs="Arial"/>
          <w:bCs/>
          <w:sz w:val="22"/>
          <w:szCs w:val="22"/>
        </w:rPr>
        <w:t xml:space="preserve">fecto del ácido salicílico sobre un cultivo de frijol </w:t>
      </w:r>
      <w:r w:rsidRPr="007923C2">
        <w:rPr>
          <w:rFonts w:ascii="Arial" w:hAnsi="Arial" w:cs="Arial"/>
          <w:bCs/>
          <w:sz w:val="22"/>
          <w:szCs w:val="22"/>
        </w:rPr>
        <w:t>P</w:t>
      </w:r>
      <w:r w:rsidR="001C4951" w:rsidRPr="007923C2">
        <w:rPr>
          <w:rFonts w:ascii="Arial" w:hAnsi="Arial" w:cs="Arial"/>
          <w:bCs/>
          <w:sz w:val="22"/>
          <w:szCs w:val="22"/>
        </w:rPr>
        <w:t>phaseolus vulgaris l. var. flor de mayo sometido a estrés hídrico bajo condiciones de invernadero.   </w:t>
      </w:r>
    </w:p>
    <w:p w14:paraId="4C8A9909"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A</w:t>
      </w:r>
      <w:r w:rsidR="001C4951" w:rsidRPr="007923C2">
        <w:rPr>
          <w:rFonts w:ascii="Arial" w:hAnsi="Arial" w:cs="Arial"/>
          <w:bCs/>
          <w:sz w:val="22"/>
          <w:szCs w:val="22"/>
        </w:rPr>
        <w:t xml:space="preserve">ctividad bactericida de filtrados antagónicos de </w:t>
      </w:r>
      <w:r w:rsidRPr="007923C2">
        <w:rPr>
          <w:rFonts w:ascii="Arial" w:hAnsi="Arial" w:cs="Arial"/>
          <w:bCs/>
          <w:sz w:val="22"/>
          <w:szCs w:val="22"/>
        </w:rPr>
        <w:t>B</w:t>
      </w:r>
      <w:r w:rsidR="001C4951" w:rsidRPr="007923C2">
        <w:rPr>
          <w:rFonts w:ascii="Arial" w:hAnsi="Arial" w:cs="Arial"/>
          <w:bCs/>
          <w:sz w:val="22"/>
          <w:szCs w:val="22"/>
        </w:rPr>
        <w:t>acillus licheniformis para bacterias fitopatógenas.   </w:t>
      </w:r>
    </w:p>
    <w:p w14:paraId="7C1DBAFE"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E</w:t>
      </w:r>
      <w:r w:rsidR="001C4951" w:rsidRPr="007923C2">
        <w:rPr>
          <w:rFonts w:ascii="Arial" w:hAnsi="Arial" w:cs="Arial"/>
          <w:bCs/>
          <w:sz w:val="22"/>
          <w:szCs w:val="22"/>
        </w:rPr>
        <w:t xml:space="preserve">fecto en el potencial antioxidante, vitamina c, ph </w:t>
      </w:r>
      <w:r w:rsidR="00454DA4" w:rsidRPr="007923C2">
        <w:rPr>
          <w:rFonts w:ascii="Arial" w:hAnsi="Arial" w:cs="Arial"/>
          <w:bCs/>
          <w:sz w:val="22"/>
          <w:szCs w:val="22"/>
        </w:rPr>
        <w:t xml:space="preserve">Y GRADOS BRIX EN TOMATE Solanum lycopersicum L. </w:t>
      </w:r>
      <w:r w:rsidRPr="007923C2">
        <w:rPr>
          <w:rFonts w:ascii="Arial" w:hAnsi="Arial" w:cs="Arial"/>
          <w:bCs/>
          <w:sz w:val="22"/>
          <w:szCs w:val="22"/>
        </w:rPr>
        <w:t>mediante la aplicación de lodos textiles.   </w:t>
      </w:r>
    </w:p>
    <w:p w14:paraId="1B9BA27A"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Efect del ácido salicílico en el crecimiento y desarrollo de un cultivo de acelga Beta vulgaris L. var. fordhook.   </w:t>
      </w:r>
    </w:p>
    <w:p w14:paraId="3CB4F411"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Efecto de bacterias solubilizadoras de fósforo en el crecimiento y desarrollo de plantas de tomateSolanum lycopersicum l. bajo condiciones de invernadero.   </w:t>
      </w:r>
    </w:p>
    <w:p w14:paraId="0504108A"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Germinación de semillas de Echinocereus freudenbengeri n.p. Taylor y Echinocereus merkeri Hildm, mediante las concentraciones de nutrientes y estimuladores.   </w:t>
      </w:r>
    </w:p>
    <w:p w14:paraId="07FB21E1"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   </w:t>
      </w:r>
    </w:p>
    <w:p w14:paraId="484F5A81"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lastRenderedPageBreak/>
        <w:t>Efecto de bacterias solubilizadoras de fósforo en el crecimiento y desarrollo de plantas de tomate Solanum lycopersicum L. bajo condiciones de invernadero.   </w:t>
      </w:r>
    </w:p>
    <w:p w14:paraId="274FCF52"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Gramíneas invasoras de coahuila, méxico: tribu paniceae, poaceae: panicoideae.   </w:t>
      </w:r>
    </w:p>
    <w:p w14:paraId="3BD14911"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Efecto en el potencial antioxidante, vitamina c, ph y grados brix en tomate Solanum lycopersicum L. mediante la aplicación de lodos textiles.   </w:t>
      </w:r>
    </w:p>
    <w:p w14:paraId="66ECE791"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Efect del ácido salicílico en el crecimiento y desarrollo de un cultivo de acelga Beta vulgaris L. var. fordhook.   </w:t>
      </w:r>
    </w:p>
    <w:p w14:paraId="297C9013"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14:paraId="2AB0000C" w14:textId="77777777" w:rsidR="00454DA4" w:rsidRDefault="00BE4656" w:rsidP="001631FF">
      <w:pPr>
        <w:jc w:val="both"/>
        <w:rPr>
          <w:rFonts w:ascii="Arial" w:hAnsi="Arial" w:cs="Arial"/>
          <w:bCs/>
          <w:sz w:val="22"/>
          <w:szCs w:val="22"/>
        </w:rPr>
      </w:pPr>
      <w:r w:rsidRPr="007923C2">
        <w:rPr>
          <w:rFonts w:ascii="Arial" w:hAnsi="Arial" w:cs="Arial"/>
          <w:bCs/>
          <w:sz w:val="22"/>
          <w:szCs w:val="22"/>
        </w:rPr>
        <w:t>Efecto del ácido salicílico sobre un cultivo de frijol Phaseolus vulgaris L. var. flor de mayo sometido a estrés hídrico bajo condiciones de invernadero.   </w:t>
      </w:r>
    </w:p>
    <w:p w14:paraId="3CFE895A" w14:textId="77777777" w:rsidR="008F6CBB" w:rsidRPr="007923C2" w:rsidRDefault="008F6CBB" w:rsidP="001631FF">
      <w:pPr>
        <w:jc w:val="both"/>
        <w:rPr>
          <w:rFonts w:ascii="Arial" w:hAnsi="Arial" w:cs="Arial"/>
          <w:bCs/>
          <w:sz w:val="22"/>
          <w:szCs w:val="22"/>
        </w:rPr>
      </w:pPr>
    </w:p>
    <w:p w14:paraId="0BE815FE"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PEREZ CUELLAR SILVIA (575) </w:t>
      </w:r>
    </w:p>
    <w:p w14:paraId="61A07202"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14:paraId="6342B488"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Asesor principal</w:t>
      </w:r>
    </w:p>
    <w:p w14:paraId="11149E46"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Evaluación de cera orgánica sobre frutos de Litchi (Litchi chinensis Sonn) en manejo de postcosecha  </w:t>
      </w:r>
    </w:p>
    <w:p w14:paraId="5F08A73D"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Evaluación de cera orgánica aplicada sobre frutos de Litchi litchi chinensis sonn en manejo postcosecha.   </w:t>
      </w:r>
    </w:p>
    <w:p w14:paraId="6A04B7C2"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w:t>
      </w:r>
    </w:p>
    <w:p w14:paraId="520A7D32"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Respuesta de diez variedades de Lilis (Lilium spp) al uso de mallas de color   </w:t>
      </w:r>
    </w:p>
    <w:p w14:paraId="7771BA55" w14:textId="77777777" w:rsidR="00454DA4" w:rsidRPr="007923C2" w:rsidRDefault="00BE4656" w:rsidP="001631FF">
      <w:pPr>
        <w:jc w:val="both"/>
        <w:rPr>
          <w:rFonts w:ascii="Arial" w:hAnsi="Arial" w:cs="Arial"/>
          <w:bCs/>
          <w:sz w:val="22"/>
          <w:szCs w:val="22"/>
        </w:rPr>
      </w:pPr>
      <w:r w:rsidRPr="007923C2">
        <w:rPr>
          <w:rFonts w:ascii="Arial" w:hAnsi="Arial" w:cs="Arial"/>
          <w:bCs/>
          <w:sz w:val="22"/>
          <w:szCs w:val="22"/>
        </w:rPr>
        <w:t>Respuesta de diez variedades de Lilis lilium spp. al uso de mallas de color   </w:t>
      </w:r>
    </w:p>
    <w:p w14:paraId="6106408B" w14:textId="77777777" w:rsidR="00454DA4" w:rsidRPr="008F6CBB" w:rsidRDefault="008F6CBB" w:rsidP="001631FF">
      <w:pPr>
        <w:jc w:val="both"/>
        <w:rPr>
          <w:rFonts w:ascii="Arial" w:hAnsi="Arial" w:cs="Arial"/>
          <w:b/>
          <w:bCs/>
          <w:sz w:val="22"/>
          <w:szCs w:val="22"/>
        </w:rPr>
      </w:pPr>
      <w:r w:rsidRPr="008F6CBB">
        <w:rPr>
          <w:rFonts w:ascii="Arial" w:hAnsi="Arial" w:cs="Arial"/>
          <w:b/>
          <w:bCs/>
          <w:sz w:val="22"/>
          <w:szCs w:val="22"/>
        </w:rPr>
        <w:t>EXTERNOS</w:t>
      </w:r>
    </w:p>
    <w:p w14:paraId="47E70377"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GALLEGOS MORALES GABRIEL (3237) </w:t>
      </w:r>
    </w:p>
    <w:p w14:paraId="047CC673"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Publicaciones</w:t>
      </w:r>
    </w:p>
    <w:p w14:paraId="41D5D191"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 autor</w:t>
      </w:r>
    </w:p>
    <w:p w14:paraId="42D56C76"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Evaluación en campo de granulovirus CpGV sobre Cydia pomonella L. (Lepidoptera: Tortricidae)   </w:t>
      </w:r>
    </w:p>
    <w:p w14:paraId="10AEBAF8" w14:textId="77777777" w:rsidR="00454DA4" w:rsidRPr="007923C2" w:rsidRDefault="00454DA4" w:rsidP="001631FF">
      <w:pPr>
        <w:jc w:val="both"/>
        <w:rPr>
          <w:rFonts w:ascii="Arial" w:hAnsi="Arial" w:cs="Arial"/>
          <w:bCs/>
          <w:sz w:val="22"/>
          <w:szCs w:val="22"/>
          <w:lang w:val="en-US"/>
        </w:rPr>
      </w:pPr>
      <w:r w:rsidRPr="007923C2">
        <w:rPr>
          <w:rFonts w:ascii="Arial" w:hAnsi="Arial" w:cs="Arial"/>
          <w:bCs/>
          <w:sz w:val="22"/>
          <w:szCs w:val="22"/>
          <w:lang w:val="en-US"/>
        </w:rPr>
        <w:t>Characterization of baculovirus isolates obtained from soil by restriction fragment patterns   </w:t>
      </w:r>
    </w:p>
    <w:p w14:paraId="1A47763E"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Identificacion de Fusarium en semilla de ajo en Aguascalientes</w:t>
      </w:r>
    </w:p>
    <w:p w14:paraId="428FDA33" w14:textId="77777777" w:rsidR="00454DA4" w:rsidRPr="007923C2" w:rsidRDefault="00454DA4" w:rsidP="001631FF">
      <w:pPr>
        <w:jc w:val="both"/>
        <w:rPr>
          <w:rFonts w:ascii="Arial" w:hAnsi="Arial" w:cs="Arial"/>
          <w:bCs/>
          <w:sz w:val="22"/>
          <w:szCs w:val="22"/>
          <w:lang w:val="en-US"/>
        </w:rPr>
      </w:pPr>
      <w:r w:rsidRPr="007923C2">
        <w:rPr>
          <w:rFonts w:ascii="Arial" w:hAnsi="Arial" w:cs="Arial"/>
          <w:bCs/>
          <w:sz w:val="22"/>
          <w:szCs w:val="22"/>
          <w:lang w:val="en-US"/>
        </w:rPr>
        <w:t>Integration of biorational Tactics for Management of Codling Moth, 2005   </w:t>
      </w:r>
    </w:p>
    <w:p w14:paraId="23B2C0C7" w14:textId="77777777" w:rsidR="00454DA4" w:rsidRPr="007923C2" w:rsidRDefault="00454DA4" w:rsidP="001631FF">
      <w:pPr>
        <w:jc w:val="both"/>
        <w:rPr>
          <w:rFonts w:ascii="Arial" w:hAnsi="Arial" w:cs="Arial"/>
          <w:bCs/>
          <w:sz w:val="22"/>
          <w:szCs w:val="22"/>
          <w:lang w:val="en-US"/>
        </w:rPr>
      </w:pPr>
      <w:r w:rsidRPr="007923C2">
        <w:rPr>
          <w:rFonts w:ascii="Arial" w:hAnsi="Arial" w:cs="Arial"/>
          <w:bCs/>
          <w:sz w:val="22"/>
          <w:szCs w:val="22"/>
          <w:lang w:val="en-US"/>
        </w:rPr>
        <w:t>Characterization of baculovirus isolates obtained from soil by restriction fragment patterns   </w:t>
      </w:r>
    </w:p>
    <w:p w14:paraId="1B9A5B80" w14:textId="77777777" w:rsidR="00454DA4" w:rsidRPr="007923C2" w:rsidRDefault="00454DA4" w:rsidP="001631FF">
      <w:pPr>
        <w:jc w:val="both"/>
        <w:rPr>
          <w:rFonts w:ascii="Arial" w:hAnsi="Arial" w:cs="Arial"/>
          <w:bCs/>
          <w:sz w:val="22"/>
          <w:szCs w:val="22"/>
          <w:lang w:val="en-US"/>
        </w:rPr>
      </w:pPr>
      <w:r w:rsidRPr="007923C2">
        <w:rPr>
          <w:rFonts w:ascii="Arial" w:hAnsi="Arial" w:cs="Arial"/>
          <w:bCs/>
          <w:sz w:val="22"/>
          <w:szCs w:val="22"/>
          <w:lang w:val="en-US"/>
        </w:rPr>
        <w:t>Mortality and Production of Occlusion Bodies in Spodoptera   </w:t>
      </w:r>
    </w:p>
    <w:p w14:paraId="0BB502BD"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Antifungal Properties of   </w:t>
      </w:r>
    </w:p>
    <w:p w14:paraId="3A36B9D8"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Evaluación en campo del granulovirus CpGV sobre Cydia   </w:t>
      </w:r>
    </w:p>
    <w:p w14:paraId="60845B40"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14:paraId="50AD808A"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lastRenderedPageBreak/>
        <w:t>Asesor Principal</w:t>
      </w:r>
    </w:p>
    <w:p w14:paraId="2B290341"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Sinergismo de conidios y extractos de crecimiento de hongosentomopatógenos sobre spodoptera frugiper   </w:t>
      </w:r>
    </w:p>
    <w:p w14:paraId="5F6E9546"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Evaluación de Antagonistas Microbianas de fitopatógenos en el cultivo de melón (Cucumis melo L.)  </w:t>
      </w:r>
    </w:p>
    <w:p w14:paraId="30619544"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w:t>
      </w:r>
    </w:p>
    <w:p w14:paraId="2AA82EB1"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Sinergismo de conidos y extractos de crecimiento de hongos entomopatógenos sobre Spodoptera frugiperda lepidoptera:noctuidae.   </w:t>
      </w:r>
    </w:p>
    <w:p w14:paraId="1113FFBD"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14:paraId="4746BB6B"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Evaluación de antagonistas microbianos de fitopatógenos en el cultivo de melón Cucumis melo L.   </w:t>
      </w:r>
    </w:p>
    <w:p w14:paraId="7F90D5D4"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14:paraId="72681DAC"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Sinergismo de conidos y extractos de crecimiento de hongos entomopatógenos sobre Spodoptera frugiperda lepidoptera:noctuidae</w:t>
      </w:r>
    </w:p>
    <w:p w14:paraId="1F4752D6"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  Licenciatura</w:t>
      </w:r>
    </w:p>
    <w:p w14:paraId="0E419F42"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 bioestimulantes químicos y orgánicos en la calidad fisiológica de la semilla de frijol (Ph   </w:t>
      </w:r>
    </w:p>
    <w:p w14:paraId="06874D58"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Hongos micotoxigénicos y aflatoxinas en granos de maíz de diferentes orígenes geográficos de la república mexicana.   </w:t>
      </w:r>
    </w:p>
    <w:p w14:paraId="0FAEDC73"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Evaluación del fungicida experimental penthiopyrad 20 sc para el control de la roña de la manzana venturia inaequalis cke wint en la sierra de arteaga, coahuila.   </w:t>
      </w:r>
    </w:p>
    <w:p w14:paraId="424BD316"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Efecto de bioestimulantes químicos y orgánicos en la calidad fisiológica de la semilla de frijol Phaseolus vulgaris variedad pinto saltillo.   </w:t>
      </w:r>
    </w:p>
    <w:p w14:paraId="71EDCC61"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Efecto de bioestimulantes químicos y orgánicos en la calidad fisiológica de la semilla de frijol Phaseolus vulgaris variedad pinto saltillo.   </w:t>
      </w:r>
    </w:p>
    <w:p w14:paraId="4AC699D4"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Evaluación del fungicida experimental penthiopyrad 20 sc para el control de la roña de la manzana Venturia inaequalis cke wint en la sierra de arteaga, coahuila.   </w:t>
      </w:r>
    </w:p>
    <w:p w14:paraId="400825C5"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Hongos micotoxigénicos y aflatoxinas en granos de maíz de diferentes orígenes geográficos de la república mexicana</w:t>
      </w:r>
      <w:r w:rsidR="00454DA4" w:rsidRPr="007923C2">
        <w:rPr>
          <w:rFonts w:ascii="Arial" w:hAnsi="Arial" w:cs="Arial"/>
          <w:bCs/>
          <w:sz w:val="22"/>
          <w:szCs w:val="22"/>
        </w:rPr>
        <w:t>.   </w:t>
      </w:r>
    </w:p>
    <w:p w14:paraId="139DC28C"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 Maestría</w:t>
      </w:r>
    </w:p>
    <w:p w14:paraId="263D2F61"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Cuantificación de enzimas de resistencia en Tribolium castaneum Herbst coleoptera: tenebrionidae   </w:t>
      </w:r>
    </w:p>
    <w:p w14:paraId="144F70C3"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Genetica de poblaciones resistencia y expresion diferencial de rhizoctonia a fungicidas   </w:t>
      </w:r>
    </w:p>
    <w:p w14:paraId="46A5981F" w14:textId="77777777" w:rsidR="00454DA4" w:rsidRPr="007923C2" w:rsidRDefault="00643BCD" w:rsidP="001631FF">
      <w:pPr>
        <w:jc w:val="both"/>
        <w:rPr>
          <w:rFonts w:ascii="Arial" w:hAnsi="Arial" w:cs="Arial"/>
          <w:bCs/>
          <w:sz w:val="22"/>
          <w:szCs w:val="22"/>
        </w:rPr>
      </w:pPr>
      <w:r w:rsidRPr="007923C2">
        <w:rPr>
          <w:rFonts w:ascii="Arial" w:hAnsi="Arial" w:cs="Arial"/>
          <w:bCs/>
          <w:sz w:val="22"/>
          <w:szCs w:val="22"/>
        </w:rPr>
        <w:t xml:space="preserve">Genética de poblaciones, resistencia y expresión diferencial de rhizoctonia solani khn a fungicidas, su respuesta a antagonistas y fitoquímicas    </w:t>
      </w:r>
      <w:r w:rsidR="00454DA4" w:rsidRPr="007923C2">
        <w:rPr>
          <w:rFonts w:ascii="Arial" w:hAnsi="Arial" w:cs="Arial"/>
          <w:bCs/>
          <w:sz w:val="22"/>
          <w:szCs w:val="22"/>
        </w:rPr>
        <w:t>Co asesor Doctorado</w:t>
      </w:r>
    </w:p>
    <w:p w14:paraId="59C9A857"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MORALES LUNA FELIPA (1335) </w:t>
      </w:r>
    </w:p>
    <w:p w14:paraId="284BEB99"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14:paraId="039A05D5"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 Asesor</w:t>
      </w:r>
    </w:p>
    <w:p w14:paraId="46DE672A"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lastRenderedPageBreak/>
        <w:t xml:space="preserve">Tesis </w:t>
      </w:r>
    </w:p>
    <w:p w14:paraId="5D28853B"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 licenciatura</w:t>
      </w:r>
    </w:p>
    <w:p w14:paraId="768C1381"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Rendimiento del rábano (Raphanus sativus L.) var. Champion</w:t>
      </w:r>
    </w:p>
    <w:p w14:paraId="76D52B5B" w14:textId="77777777" w:rsidR="00454DA4" w:rsidRPr="007923C2" w:rsidRDefault="003D17CB" w:rsidP="001631FF">
      <w:pPr>
        <w:jc w:val="both"/>
        <w:rPr>
          <w:rFonts w:ascii="Arial" w:hAnsi="Arial" w:cs="Arial"/>
          <w:bCs/>
          <w:sz w:val="22"/>
          <w:szCs w:val="22"/>
        </w:rPr>
      </w:pPr>
      <w:r w:rsidRPr="007923C2">
        <w:rPr>
          <w:rFonts w:ascii="Arial" w:hAnsi="Arial" w:cs="Arial"/>
          <w:bCs/>
          <w:sz w:val="22"/>
          <w:szCs w:val="22"/>
        </w:rPr>
        <w:t>Rendimiento del rábano Raphanus sativus l.,var. champion regado con diferentes efluentes en condiciones de invernadero.   </w:t>
      </w:r>
    </w:p>
    <w:p w14:paraId="6AED26AF" w14:textId="77777777"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GOMEZ MARTINEZ SUSANA (2310) </w:t>
      </w:r>
    </w:p>
    <w:p w14:paraId="26F205AE"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Publicaciones</w:t>
      </w:r>
    </w:p>
    <w:p w14:paraId="2DD0B2AA" w14:textId="77777777"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Autor</w:t>
      </w:r>
    </w:p>
    <w:p w14:paraId="3A62DE0D"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Efectos de la salinidad en la germinación del híbrido Pecos de zacate buffel   </w:t>
      </w:r>
    </w:p>
    <w:p w14:paraId="7DED7EB2"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Rizomas, apomixis y transplante: Certidumbre en la obtención de pastizales inducidos de zacate buffel   </w:t>
      </w:r>
    </w:p>
    <w:p w14:paraId="1B227B09" w14:textId="77777777"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14:paraId="14D6D23A" w14:textId="77777777" w:rsidR="00454DA4" w:rsidRDefault="00454DA4" w:rsidP="00454DA4">
      <w:pPr>
        <w:jc w:val="both"/>
        <w:rPr>
          <w:rFonts w:ascii="Arial" w:hAnsi="Arial" w:cs="Arial"/>
          <w:bCs/>
          <w:sz w:val="22"/>
          <w:szCs w:val="22"/>
        </w:rPr>
      </w:pPr>
      <w:r w:rsidRPr="007923C2">
        <w:rPr>
          <w:rFonts w:ascii="Arial" w:hAnsi="Arial" w:cs="Arial"/>
          <w:bCs/>
          <w:sz w:val="22"/>
          <w:szCs w:val="22"/>
        </w:rPr>
        <w:t>Licenciatura Co Asesor</w:t>
      </w:r>
    </w:p>
    <w:p w14:paraId="104BB944" w14:textId="77777777" w:rsidR="008F6CBB" w:rsidRDefault="008F6CBB" w:rsidP="00454DA4">
      <w:pPr>
        <w:jc w:val="both"/>
        <w:rPr>
          <w:rFonts w:ascii="Arial" w:hAnsi="Arial" w:cs="Arial"/>
          <w:bCs/>
          <w:sz w:val="22"/>
          <w:szCs w:val="22"/>
        </w:rPr>
      </w:pPr>
      <w:r w:rsidRPr="007923C2">
        <w:rPr>
          <w:rFonts w:ascii="Arial" w:hAnsi="Arial" w:cs="Arial"/>
          <w:bCs/>
          <w:sz w:val="22"/>
          <w:szCs w:val="22"/>
        </w:rPr>
        <w:t>Aptitud combinatoria general y específica de líneas de maíz para tolerancia a sequía y a Fusarium sp     </w:t>
      </w:r>
    </w:p>
    <w:p w14:paraId="440F100A" w14:textId="77777777" w:rsidR="008F6CBB" w:rsidRDefault="008F6CBB" w:rsidP="00454DA4">
      <w:pPr>
        <w:jc w:val="both"/>
        <w:rPr>
          <w:rFonts w:ascii="Arial" w:hAnsi="Arial" w:cs="Arial"/>
          <w:bCs/>
          <w:sz w:val="22"/>
          <w:szCs w:val="22"/>
        </w:rPr>
      </w:pPr>
      <w:r w:rsidRPr="007923C2">
        <w:rPr>
          <w:rFonts w:ascii="Arial" w:hAnsi="Arial" w:cs="Arial"/>
          <w:bCs/>
          <w:sz w:val="22"/>
          <w:szCs w:val="22"/>
        </w:rPr>
        <w:t>Evaluación de diferentes dosis de fertilizante de lenta liberación en la producción de plántula de t    </w:t>
      </w:r>
    </w:p>
    <w:p w14:paraId="10E71B2A" w14:textId="77777777" w:rsidR="008F6CBB" w:rsidRDefault="008F6CBB" w:rsidP="008F6CBB">
      <w:pPr>
        <w:spacing w:after="0" w:line="240" w:lineRule="auto"/>
        <w:jc w:val="both"/>
        <w:rPr>
          <w:rFonts w:ascii="Arial" w:hAnsi="Arial" w:cs="Arial"/>
          <w:bCs/>
          <w:sz w:val="22"/>
          <w:szCs w:val="22"/>
        </w:rPr>
      </w:pPr>
      <w:r w:rsidRPr="007923C2">
        <w:rPr>
          <w:rFonts w:ascii="Arial" w:hAnsi="Arial" w:cs="Arial"/>
          <w:bCs/>
          <w:sz w:val="22"/>
          <w:szCs w:val="22"/>
        </w:rPr>
        <w:t> Evaluación de diferentes dosis de fertilizante saluble en la producción de plántulas de tomate (solanum lycopersicum)   </w:t>
      </w:r>
    </w:p>
    <w:p w14:paraId="0D09D155" w14:textId="77777777" w:rsidR="008F6CBB" w:rsidRDefault="008F6CBB" w:rsidP="008F6CBB">
      <w:pPr>
        <w:spacing w:after="0" w:line="240" w:lineRule="auto"/>
        <w:jc w:val="both"/>
        <w:rPr>
          <w:rFonts w:ascii="Arial" w:hAnsi="Arial" w:cs="Arial"/>
          <w:bCs/>
          <w:sz w:val="22"/>
          <w:szCs w:val="22"/>
        </w:rPr>
      </w:pPr>
    </w:p>
    <w:p w14:paraId="4CB070C3" w14:textId="77777777" w:rsidR="008F6CBB" w:rsidRDefault="008F6CBB" w:rsidP="008F6CBB">
      <w:pPr>
        <w:spacing w:after="0" w:line="240" w:lineRule="auto"/>
        <w:jc w:val="both"/>
        <w:rPr>
          <w:rFonts w:ascii="Arial" w:hAnsi="Arial" w:cs="Arial"/>
          <w:bCs/>
          <w:sz w:val="22"/>
          <w:szCs w:val="22"/>
        </w:rPr>
      </w:pPr>
      <w:r w:rsidRPr="007923C2">
        <w:rPr>
          <w:rFonts w:ascii="Arial" w:hAnsi="Arial" w:cs="Arial"/>
          <w:bCs/>
          <w:sz w:val="22"/>
          <w:szCs w:val="22"/>
        </w:rPr>
        <w:t>Evaluación de diferentes dosis de fertilizante soluble en la producción de plántula de tomate s</w:t>
      </w:r>
      <w:r>
        <w:rPr>
          <w:rFonts w:ascii="Arial" w:hAnsi="Arial" w:cs="Arial"/>
          <w:bCs/>
          <w:sz w:val="22"/>
          <w:szCs w:val="22"/>
        </w:rPr>
        <w:t>olanum lycopersicum mill, var. Río G</w:t>
      </w:r>
      <w:r w:rsidRPr="007923C2">
        <w:rPr>
          <w:rFonts w:ascii="Arial" w:hAnsi="Arial" w:cs="Arial"/>
          <w:bCs/>
          <w:sz w:val="22"/>
          <w:szCs w:val="22"/>
        </w:rPr>
        <w:t>rande bajo condiciones de invernadero.     </w:t>
      </w:r>
    </w:p>
    <w:p w14:paraId="27E2BC3D" w14:textId="77777777" w:rsidR="008F6CBB" w:rsidRDefault="008F6CBB" w:rsidP="008F6CBB">
      <w:pPr>
        <w:spacing w:after="0" w:line="240" w:lineRule="auto"/>
        <w:jc w:val="both"/>
        <w:rPr>
          <w:rFonts w:ascii="Arial" w:hAnsi="Arial" w:cs="Arial"/>
          <w:bCs/>
          <w:sz w:val="22"/>
          <w:szCs w:val="22"/>
        </w:rPr>
      </w:pPr>
      <w:r w:rsidRPr="007923C2">
        <w:rPr>
          <w:rFonts w:ascii="Arial" w:hAnsi="Arial" w:cs="Arial"/>
          <w:bCs/>
          <w:sz w:val="22"/>
          <w:szCs w:val="22"/>
        </w:rPr>
        <w:t>Evaluación de diferentes dosis de fertilizante de lenta liberación en la producción de plántula de tomate Solanum l</w:t>
      </w:r>
      <w:r>
        <w:rPr>
          <w:rFonts w:ascii="Arial" w:hAnsi="Arial" w:cs="Arial"/>
          <w:bCs/>
          <w:sz w:val="22"/>
          <w:szCs w:val="22"/>
        </w:rPr>
        <w:t>ycopersicum mill, var. florarade</w:t>
      </w:r>
      <w:r w:rsidRPr="007923C2">
        <w:rPr>
          <w:rFonts w:ascii="Arial" w:hAnsi="Arial" w:cs="Arial"/>
          <w:bCs/>
          <w:sz w:val="22"/>
          <w:szCs w:val="22"/>
        </w:rPr>
        <w:t xml:space="preserve"> bajo condiciones de inverandero.     </w:t>
      </w:r>
    </w:p>
    <w:p w14:paraId="405C2A01" w14:textId="77777777" w:rsidR="008F6CBB" w:rsidRDefault="008F6CBB" w:rsidP="008F6CBB">
      <w:pPr>
        <w:spacing w:after="0" w:line="240" w:lineRule="auto"/>
        <w:jc w:val="both"/>
        <w:rPr>
          <w:rFonts w:ascii="Arial" w:hAnsi="Arial" w:cs="Arial"/>
          <w:bCs/>
          <w:sz w:val="22"/>
          <w:szCs w:val="22"/>
        </w:rPr>
      </w:pPr>
    </w:p>
    <w:p w14:paraId="2AC44AE5" w14:textId="77777777" w:rsidR="008F6CBB" w:rsidRDefault="008F6CBB" w:rsidP="008F6CBB">
      <w:pPr>
        <w:jc w:val="both"/>
        <w:rPr>
          <w:rFonts w:ascii="Arial" w:hAnsi="Arial" w:cs="Arial"/>
          <w:bCs/>
          <w:sz w:val="22"/>
          <w:szCs w:val="22"/>
        </w:rPr>
      </w:pPr>
      <w:r w:rsidRPr="007923C2">
        <w:rPr>
          <w:rFonts w:ascii="Arial" w:hAnsi="Arial" w:cs="Arial"/>
          <w:bCs/>
          <w:sz w:val="22"/>
          <w:szCs w:val="22"/>
        </w:rPr>
        <w:t>Aptitud combinatoria general y específica de líneas de maíz para tolerancia a sequía y a fusarium spp. usando probadores.  </w:t>
      </w:r>
    </w:p>
    <w:p w14:paraId="477A078F" w14:textId="77777777" w:rsidR="008F6CBB" w:rsidRDefault="008F6CBB" w:rsidP="008F6CBB">
      <w:pPr>
        <w:jc w:val="both"/>
        <w:rPr>
          <w:rFonts w:ascii="Arial" w:hAnsi="Arial" w:cs="Arial"/>
          <w:bCs/>
          <w:sz w:val="22"/>
          <w:szCs w:val="22"/>
        </w:rPr>
      </w:pPr>
      <w:r>
        <w:rPr>
          <w:rFonts w:ascii="Arial" w:hAnsi="Arial" w:cs="Arial"/>
          <w:bCs/>
          <w:sz w:val="22"/>
          <w:szCs w:val="22"/>
        </w:rPr>
        <w:t>A</w:t>
      </w:r>
      <w:r w:rsidRPr="007923C2">
        <w:rPr>
          <w:rFonts w:ascii="Arial" w:hAnsi="Arial" w:cs="Arial"/>
          <w:bCs/>
          <w:sz w:val="22"/>
          <w:szCs w:val="22"/>
        </w:rPr>
        <w:t>ptitud combinatoria general y específica de líneas de maíz para tolerancia a sequía y a fusarium spp. usando probadores.     </w:t>
      </w:r>
    </w:p>
    <w:p w14:paraId="2F80E705" w14:textId="77777777" w:rsidR="008F6CBB" w:rsidRDefault="008F6CBB" w:rsidP="008F6CBB">
      <w:pPr>
        <w:jc w:val="both"/>
        <w:rPr>
          <w:rFonts w:ascii="Arial" w:hAnsi="Arial" w:cs="Arial"/>
          <w:bCs/>
          <w:sz w:val="22"/>
          <w:szCs w:val="22"/>
        </w:rPr>
      </w:pPr>
      <w:r>
        <w:rPr>
          <w:rFonts w:ascii="Arial" w:hAnsi="Arial" w:cs="Arial"/>
          <w:bCs/>
          <w:sz w:val="22"/>
          <w:szCs w:val="22"/>
        </w:rPr>
        <w:t>E</w:t>
      </w:r>
      <w:r w:rsidRPr="007923C2">
        <w:rPr>
          <w:rFonts w:ascii="Arial" w:hAnsi="Arial" w:cs="Arial"/>
          <w:bCs/>
          <w:sz w:val="22"/>
          <w:szCs w:val="22"/>
        </w:rPr>
        <w:t>valuación de diferentes dosis de fertilizante soluble en la producción de plántula de tomate solanum lycopersicum mill, var. río grande bajo condiciones de invernadero.     </w:t>
      </w:r>
    </w:p>
    <w:p w14:paraId="7F2B7E22" w14:textId="77777777" w:rsidR="008F6CBB" w:rsidRDefault="008F6CBB" w:rsidP="008F6CBB">
      <w:pPr>
        <w:jc w:val="both"/>
        <w:rPr>
          <w:rFonts w:ascii="Arial" w:hAnsi="Arial" w:cs="Arial"/>
          <w:bCs/>
          <w:sz w:val="22"/>
          <w:szCs w:val="22"/>
        </w:rPr>
      </w:pPr>
      <w:r>
        <w:rPr>
          <w:rFonts w:ascii="Arial" w:hAnsi="Arial" w:cs="Arial"/>
          <w:bCs/>
          <w:sz w:val="22"/>
          <w:szCs w:val="22"/>
        </w:rPr>
        <w:t>E</w:t>
      </w:r>
      <w:r w:rsidRPr="007923C2">
        <w:rPr>
          <w:rFonts w:ascii="Arial" w:hAnsi="Arial" w:cs="Arial"/>
          <w:bCs/>
          <w:sz w:val="22"/>
          <w:szCs w:val="22"/>
        </w:rPr>
        <w:t>valuación de diferentes dosis de fertilizante de lenta liberación en la producción de plántula de tomate solanum lycopersicum mill, var. floradade bajo condiciones de inverandero.     </w:t>
      </w:r>
    </w:p>
    <w:p w14:paraId="4292DDF4" w14:textId="77777777" w:rsidR="00454DA4" w:rsidRPr="007923C2" w:rsidRDefault="00454DA4" w:rsidP="008F6CBB">
      <w:pPr>
        <w:jc w:val="both"/>
        <w:rPr>
          <w:rFonts w:ascii="Arial" w:hAnsi="Arial" w:cs="Arial"/>
          <w:vanish/>
          <w:sz w:val="22"/>
          <w:szCs w:val="22"/>
        </w:rPr>
      </w:pPr>
    </w:p>
    <w:p w14:paraId="1759C05F" w14:textId="77777777" w:rsidR="00454DA4" w:rsidRPr="007923C2" w:rsidRDefault="00454DA4" w:rsidP="00454DA4">
      <w:pPr>
        <w:jc w:val="both"/>
        <w:rPr>
          <w:rFonts w:ascii="Arial" w:hAnsi="Arial" w:cs="Arial"/>
          <w:b/>
          <w:bCs/>
          <w:i/>
          <w:iCs/>
          <w:sz w:val="22"/>
          <w:szCs w:val="22"/>
        </w:rPr>
      </w:pPr>
      <w:r w:rsidRPr="007923C2">
        <w:rPr>
          <w:rFonts w:ascii="Arial" w:hAnsi="Arial" w:cs="Arial"/>
          <w:b/>
          <w:bCs/>
          <w:i/>
          <w:iCs/>
          <w:sz w:val="22"/>
          <w:szCs w:val="22"/>
        </w:rPr>
        <w:t>RAMIREZ GODINA FRANCISCA (1145) </w:t>
      </w:r>
    </w:p>
    <w:p w14:paraId="6935B11C" w14:textId="77777777" w:rsidR="00454DA4" w:rsidRPr="007923C2" w:rsidRDefault="00454DA4" w:rsidP="00454DA4">
      <w:pPr>
        <w:jc w:val="both"/>
        <w:rPr>
          <w:rFonts w:ascii="Arial" w:hAnsi="Arial" w:cs="Arial"/>
          <w:bCs/>
          <w:i/>
          <w:iCs/>
          <w:sz w:val="22"/>
          <w:szCs w:val="22"/>
        </w:rPr>
      </w:pPr>
      <w:r w:rsidRPr="007923C2">
        <w:rPr>
          <w:rFonts w:ascii="Arial" w:hAnsi="Arial" w:cs="Arial"/>
          <w:bCs/>
          <w:i/>
          <w:iCs/>
          <w:sz w:val="22"/>
          <w:szCs w:val="22"/>
        </w:rPr>
        <w:t>Publicaciones</w:t>
      </w:r>
    </w:p>
    <w:p w14:paraId="4BD86CA4" w14:textId="77777777" w:rsidR="00454DA4" w:rsidRPr="007923C2" w:rsidRDefault="00454DA4" w:rsidP="00454DA4">
      <w:pPr>
        <w:jc w:val="both"/>
        <w:rPr>
          <w:rFonts w:ascii="Arial" w:hAnsi="Arial" w:cs="Arial"/>
          <w:bCs/>
          <w:i/>
          <w:iCs/>
          <w:sz w:val="22"/>
          <w:szCs w:val="22"/>
        </w:rPr>
      </w:pPr>
      <w:r w:rsidRPr="007923C2">
        <w:rPr>
          <w:rFonts w:ascii="Arial" w:hAnsi="Arial" w:cs="Arial"/>
          <w:bCs/>
          <w:i/>
          <w:iCs/>
          <w:sz w:val="22"/>
          <w:szCs w:val="22"/>
        </w:rPr>
        <w:t>Co autor</w:t>
      </w:r>
    </w:p>
    <w:p w14:paraId="48CCB7E1"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t>Calidad de fruto de genotipos tetraploides de tomate de cáscara (Physalis ixocarpa Brot.)  </w:t>
      </w:r>
    </w:p>
    <w:p w14:paraId="70B70695"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lastRenderedPageBreak/>
        <w:t>Tesis</w:t>
      </w:r>
    </w:p>
    <w:p w14:paraId="388465C9"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t>Licenciatura Asesor Principal</w:t>
      </w:r>
    </w:p>
    <w:p w14:paraId="4A4199F9"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t>Estudio comparativo de caracteres morfológicos y estomáticos en tres niveles de ploidía en Physalis   </w:t>
      </w:r>
    </w:p>
    <w:p w14:paraId="51BCCA03"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t>Estudio del rendimiento y componentes del rendimiento en híbridos Triploides y progenitores Diploide   </w:t>
      </w:r>
    </w:p>
    <w:p w14:paraId="529EA5C9" w14:textId="77777777" w:rsidR="00454DA4" w:rsidRPr="007923C2" w:rsidRDefault="003D17CB" w:rsidP="00454DA4">
      <w:pPr>
        <w:jc w:val="both"/>
        <w:rPr>
          <w:rFonts w:ascii="Arial" w:hAnsi="Arial" w:cs="Arial"/>
          <w:bCs/>
          <w:sz w:val="22"/>
          <w:szCs w:val="22"/>
        </w:rPr>
      </w:pPr>
      <w:r w:rsidRPr="007923C2">
        <w:rPr>
          <w:rFonts w:ascii="Arial" w:hAnsi="Arial" w:cs="Arial"/>
          <w:bCs/>
          <w:sz w:val="22"/>
          <w:szCs w:val="22"/>
        </w:rPr>
        <w:t>Estudio del rendimiento y componentes del rendimiento en híbridos triploides y progenitores diploides y tetraploides de tomate cáscara Physalis ixocarpa brot..   </w:t>
      </w:r>
    </w:p>
    <w:p w14:paraId="2B4B01EA" w14:textId="77777777" w:rsidR="00454DA4" w:rsidRPr="007923C2" w:rsidRDefault="003D17CB" w:rsidP="00454DA4">
      <w:pPr>
        <w:jc w:val="both"/>
        <w:rPr>
          <w:rFonts w:ascii="Arial" w:hAnsi="Arial" w:cs="Arial"/>
          <w:bCs/>
          <w:sz w:val="22"/>
          <w:szCs w:val="22"/>
        </w:rPr>
      </w:pPr>
      <w:r w:rsidRPr="007923C2">
        <w:rPr>
          <w:rFonts w:ascii="Arial" w:hAnsi="Arial" w:cs="Arial"/>
          <w:bCs/>
          <w:sz w:val="22"/>
          <w:szCs w:val="22"/>
        </w:rPr>
        <w:t>Estudio comparativo de caracteres morfológicos y estomáticos en tres niveles de ploidía en Physalis ixocarpa Brot.   </w:t>
      </w:r>
    </w:p>
    <w:p w14:paraId="77952514" w14:textId="77777777" w:rsidR="00454DA4" w:rsidRPr="007923C2" w:rsidRDefault="003D17CB" w:rsidP="00454DA4">
      <w:pPr>
        <w:jc w:val="both"/>
        <w:rPr>
          <w:rFonts w:ascii="Arial" w:hAnsi="Arial" w:cs="Arial"/>
          <w:bCs/>
          <w:sz w:val="22"/>
          <w:szCs w:val="22"/>
        </w:rPr>
      </w:pPr>
      <w:r w:rsidRPr="007923C2">
        <w:rPr>
          <w:rFonts w:ascii="Arial" w:hAnsi="Arial" w:cs="Arial"/>
          <w:bCs/>
          <w:sz w:val="22"/>
          <w:szCs w:val="22"/>
        </w:rPr>
        <w:t>Estudio del rendimiento y componentes del rendimiento en híbridos triploides y progenitores diploides y tetraploides de tomate cáscara Physalis ixocarpa Brot</w:t>
      </w:r>
      <w:r w:rsidR="00454DA4" w:rsidRPr="007923C2">
        <w:rPr>
          <w:rFonts w:ascii="Arial" w:hAnsi="Arial" w:cs="Arial"/>
          <w:bCs/>
          <w:sz w:val="22"/>
          <w:szCs w:val="22"/>
        </w:rPr>
        <w:t>..   </w:t>
      </w:r>
    </w:p>
    <w:p w14:paraId="2FBC5D83" w14:textId="77777777" w:rsidR="00454DA4" w:rsidRDefault="00454DA4" w:rsidP="00454DA4">
      <w:pPr>
        <w:jc w:val="both"/>
        <w:rPr>
          <w:rFonts w:ascii="Arial" w:hAnsi="Arial" w:cs="Arial"/>
          <w:bCs/>
          <w:sz w:val="22"/>
          <w:szCs w:val="22"/>
        </w:rPr>
      </w:pPr>
      <w:r w:rsidRPr="007923C2">
        <w:rPr>
          <w:rFonts w:ascii="Arial" w:hAnsi="Arial" w:cs="Arial"/>
          <w:bCs/>
          <w:sz w:val="22"/>
          <w:szCs w:val="22"/>
        </w:rPr>
        <w:t>Licenciatura Co Asesor </w:t>
      </w:r>
    </w:p>
    <w:p w14:paraId="685C3E22" w14:textId="77777777" w:rsidR="00AA5273" w:rsidRDefault="00AA5273" w:rsidP="00454DA4">
      <w:pPr>
        <w:jc w:val="both"/>
        <w:rPr>
          <w:rFonts w:ascii="Arial" w:hAnsi="Arial" w:cs="Arial"/>
          <w:bCs/>
          <w:sz w:val="22"/>
          <w:szCs w:val="22"/>
        </w:rPr>
      </w:pPr>
      <w:r w:rsidRPr="007923C2">
        <w:rPr>
          <w:rFonts w:ascii="Arial" w:hAnsi="Arial" w:cs="Arial"/>
          <w:bCs/>
          <w:sz w:val="22"/>
          <w:szCs w:val="22"/>
        </w:rPr>
        <w:t>Análisis de correlación y sendero en diploides y tetraploides de tomate de cáscara   </w:t>
      </w:r>
    </w:p>
    <w:p w14:paraId="35C88C7F" w14:textId="77777777" w:rsidR="00AA5273" w:rsidRDefault="00AA5273" w:rsidP="00454DA4">
      <w:pPr>
        <w:jc w:val="both"/>
        <w:rPr>
          <w:rFonts w:ascii="Arial" w:hAnsi="Arial" w:cs="Arial"/>
          <w:bCs/>
          <w:sz w:val="22"/>
          <w:szCs w:val="22"/>
        </w:rPr>
      </w:pPr>
      <w:r w:rsidRPr="007923C2">
        <w:rPr>
          <w:rFonts w:ascii="Arial" w:hAnsi="Arial" w:cs="Arial"/>
          <w:bCs/>
          <w:sz w:val="22"/>
          <w:szCs w:val="22"/>
        </w:rPr>
        <w:t>Estimación del rendimiento, componentes del rendimiento y heterosis en triploides de tomate de cásca       </w:t>
      </w:r>
    </w:p>
    <w:p w14:paraId="69C2BE6C" w14:textId="77777777" w:rsidR="00AA5273" w:rsidRDefault="00AA5273" w:rsidP="00454DA4">
      <w:pPr>
        <w:jc w:val="both"/>
        <w:rPr>
          <w:rFonts w:ascii="Arial" w:hAnsi="Arial" w:cs="Arial"/>
          <w:bCs/>
          <w:sz w:val="22"/>
          <w:szCs w:val="22"/>
        </w:rPr>
      </w:pPr>
      <w:r w:rsidRPr="007923C2">
        <w:rPr>
          <w:rFonts w:ascii="Arial" w:hAnsi="Arial" w:cs="Arial"/>
          <w:bCs/>
          <w:sz w:val="22"/>
          <w:szCs w:val="22"/>
        </w:rPr>
        <w:t>Efecto de bacterias fijadoras de nitrógeno y halofilas en la promoción del crecimiento de plántulas de tomateLlycopersicon esculentum mill.   </w:t>
      </w:r>
    </w:p>
    <w:p w14:paraId="6F1030B7" w14:textId="77777777" w:rsidR="00AA5273" w:rsidRDefault="00AA5273" w:rsidP="00454DA4">
      <w:pPr>
        <w:jc w:val="both"/>
        <w:rPr>
          <w:rFonts w:ascii="Arial" w:hAnsi="Arial" w:cs="Arial"/>
          <w:bCs/>
          <w:sz w:val="22"/>
          <w:szCs w:val="22"/>
        </w:rPr>
      </w:pPr>
      <w:r w:rsidRPr="007923C2">
        <w:rPr>
          <w:rFonts w:ascii="Arial" w:hAnsi="Arial" w:cs="Arial"/>
          <w:bCs/>
          <w:sz w:val="22"/>
          <w:szCs w:val="22"/>
        </w:rPr>
        <w:t>Estimación del rendimiento, componentes del rendimiento y heterosis en tiploides de tomate de cáscara Physalis ixocarpa Brot. en General Cepeda, Coahuila.     </w:t>
      </w:r>
    </w:p>
    <w:p w14:paraId="5B29C381" w14:textId="77777777" w:rsidR="00AA5273" w:rsidRDefault="00AA5273" w:rsidP="00454DA4">
      <w:pPr>
        <w:jc w:val="both"/>
        <w:rPr>
          <w:rFonts w:ascii="Arial" w:hAnsi="Arial" w:cs="Arial"/>
          <w:bCs/>
          <w:sz w:val="22"/>
          <w:szCs w:val="22"/>
        </w:rPr>
      </w:pPr>
      <w:r w:rsidRPr="007923C2">
        <w:rPr>
          <w:rFonts w:ascii="Arial" w:hAnsi="Arial" w:cs="Arial"/>
          <w:bCs/>
          <w:sz w:val="22"/>
          <w:szCs w:val="22"/>
        </w:rPr>
        <w:t>Análisis de correlación y sendero de diploides y tetraploides de tomate de cáscara Physalis ixocarpa brot..    </w:t>
      </w:r>
    </w:p>
    <w:p w14:paraId="6C3E22C6" w14:textId="77777777" w:rsidR="00AA5273" w:rsidRDefault="00AA5273" w:rsidP="00454DA4">
      <w:pPr>
        <w:jc w:val="both"/>
        <w:rPr>
          <w:rFonts w:ascii="Arial" w:hAnsi="Arial" w:cs="Arial"/>
          <w:bCs/>
          <w:sz w:val="22"/>
          <w:szCs w:val="22"/>
        </w:rPr>
      </w:pPr>
      <w:r w:rsidRPr="007923C2">
        <w:rPr>
          <w:rFonts w:ascii="Arial" w:hAnsi="Arial" w:cs="Arial"/>
          <w:bCs/>
          <w:sz w:val="22"/>
          <w:szCs w:val="22"/>
        </w:rPr>
        <w:t>Estimación del rendimiento, componentes del rendimiento y heterosis en tiploides de tomate de cáscara Physalis ixocarpa Brot. en General Cepeda, Coahuila</w:t>
      </w:r>
    </w:p>
    <w:p w14:paraId="26C8E9E3" w14:textId="77777777" w:rsidR="00AA5273" w:rsidRDefault="00AA5273" w:rsidP="00454DA4">
      <w:pPr>
        <w:jc w:val="both"/>
        <w:rPr>
          <w:rFonts w:ascii="Arial" w:hAnsi="Arial" w:cs="Arial"/>
          <w:bCs/>
          <w:sz w:val="22"/>
          <w:szCs w:val="22"/>
        </w:rPr>
      </w:pPr>
      <w:r w:rsidRPr="007923C2">
        <w:rPr>
          <w:rFonts w:ascii="Arial" w:hAnsi="Arial" w:cs="Arial"/>
          <w:bCs/>
          <w:sz w:val="22"/>
          <w:szCs w:val="22"/>
        </w:rPr>
        <w:t>Efecto de bacterias fijadoras de nitrógeno y halofilas en la promoción del crecimiento de plántulas de tomate Lycopersicon esculentum Mill.  </w:t>
      </w:r>
    </w:p>
    <w:p w14:paraId="04C168EF" w14:textId="77777777" w:rsidR="00AA5273" w:rsidRDefault="00AA5273" w:rsidP="00454DA4">
      <w:pPr>
        <w:jc w:val="both"/>
        <w:rPr>
          <w:rFonts w:ascii="Arial" w:hAnsi="Arial" w:cs="Arial"/>
          <w:bCs/>
          <w:sz w:val="22"/>
          <w:szCs w:val="22"/>
        </w:rPr>
      </w:pPr>
      <w:r w:rsidRPr="007923C2">
        <w:rPr>
          <w:rFonts w:ascii="Arial" w:hAnsi="Arial" w:cs="Arial"/>
          <w:bCs/>
          <w:sz w:val="22"/>
          <w:szCs w:val="22"/>
        </w:rPr>
        <w:t>Análisis de correlación y sendero de diploides y tetraploides de tomate de cáscara Physalis ixocarpa Brot..  </w:t>
      </w:r>
    </w:p>
    <w:p w14:paraId="0AE34689" w14:textId="77777777" w:rsidR="00AA5273" w:rsidRDefault="00AA5273" w:rsidP="00454DA4">
      <w:pPr>
        <w:jc w:val="both"/>
        <w:rPr>
          <w:rFonts w:ascii="Arial" w:hAnsi="Arial" w:cs="Arial"/>
          <w:bCs/>
          <w:sz w:val="22"/>
          <w:szCs w:val="22"/>
        </w:rPr>
      </w:pPr>
      <w:r w:rsidRPr="007923C2">
        <w:rPr>
          <w:rFonts w:ascii="Arial" w:hAnsi="Arial" w:cs="Arial"/>
          <w:bCs/>
          <w:sz w:val="22"/>
          <w:szCs w:val="22"/>
        </w:rPr>
        <w:t>MAESTRÍA - CO-ASESOR </w:t>
      </w:r>
    </w:p>
    <w:p w14:paraId="4C15A19A" w14:textId="77777777" w:rsidR="00AA5273" w:rsidRDefault="00AA5273" w:rsidP="00454DA4">
      <w:pPr>
        <w:jc w:val="both"/>
        <w:rPr>
          <w:rFonts w:ascii="Arial" w:hAnsi="Arial" w:cs="Arial"/>
          <w:bCs/>
          <w:sz w:val="22"/>
          <w:szCs w:val="22"/>
        </w:rPr>
      </w:pPr>
      <w:r w:rsidRPr="007923C2">
        <w:rPr>
          <w:rFonts w:ascii="Arial" w:hAnsi="Arial" w:cs="Arial"/>
          <w:bCs/>
          <w:sz w:val="22"/>
          <w:szCs w:val="22"/>
        </w:rPr>
        <w:t>Estudio cromosómico y de la estructura de la proporción de sexos en sotol Dasylirion cedrosanum  </w:t>
      </w:r>
    </w:p>
    <w:p w14:paraId="74E574BF" w14:textId="77777777" w:rsidR="00AA5273" w:rsidRDefault="00AA5273" w:rsidP="00454DA4">
      <w:pPr>
        <w:jc w:val="both"/>
        <w:rPr>
          <w:rFonts w:ascii="Arial" w:hAnsi="Arial" w:cs="Arial"/>
          <w:bCs/>
          <w:sz w:val="22"/>
          <w:szCs w:val="22"/>
        </w:rPr>
      </w:pPr>
      <w:r w:rsidRPr="007923C2">
        <w:rPr>
          <w:rFonts w:ascii="Arial" w:hAnsi="Arial" w:cs="Arial"/>
          <w:bCs/>
          <w:sz w:val="22"/>
          <w:szCs w:val="22"/>
        </w:rPr>
        <w:t>Estudio de la dinámica genómica y selección para estabilidad meiótica en una población autotetraploide de tomatillo Physalis ixcarpa Brot.     </w:t>
      </w:r>
    </w:p>
    <w:p w14:paraId="21BCC17E" w14:textId="77777777" w:rsidR="00AA5273" w:rsidRDefault="00AA5273" w:rsidP="00454DA4">
      <w:pPr>
        <w:jc w:val="both"/>
        <w:rPr>
          <w:rFonts w:ascii="Arial" w:hAnsi="Arial" w:cs="Arial"/>
          <w:bCs/>
          <w:sz w:val="22"/>
          <w:szCs w:val="22"/>
        </w:rPr>
      </w:pPr>
      <w:r w:rsidRPr="007923C2">
        <w:rPr>
          <w:rFonts w:ascii="Arial" w:hAnsi="Arial" w:cs="Arial"/>
          <w:bCs/>
          <w:sz w:val="22"/>
          <w:szCs w:val="22"/>
        </w:rPr>
        <w:t>La aplicación de silicio en tomate saladette Lycopersicon esculentum Mill y su efecto en la calidad nutricional del fruto</w:t>
      </w:r>
      <w:r>
        <w:rPr>
          <w:rFonts w:ascii="Arial" w:hAnsi="Arial" w:cs="Arial"/>
          <w:bCs/>
          <w:sz w:val="22"/>
          <w:szCs w:val="22"/>
        </w:rPr>
        <w:t>.</w:t>
      </w:r>
      <w:r w:rsidRPr="007923C2">
        <w:rPr>
          <w:rFonts w:ascii="Arial" w:hAnsi="Arial" w:cs="Arial"/>
          <w:bCs/>
          <w:sz w:val="22"/>
          <w:szCs w:val="22"/>
        </w:rPr>
        <w:t xml:space="preserve">     </w:t>
      </w:r>
    </w:p>
    <w:tbl>
      <w:tblPr>
        <w:tblW w:w="8372" w:type="dxa"/>
        <w:jc w:val="center"/>
        <w:shd w:val="clear" w:color="auto" w:fill="FFFFFF"/>
        <w:tblCellMar>
          <w:left w:w="0" w:type="dxa"/>
          <w:right w:w="0" w:type="dxa"/>
        </w:tblCellMar>
        <w:tblLook w:val="04A0" w:firstRow="1" w:lastRow="0" w:firstColumn="1" w:lastColumn="0" w:noHBand="0" w:noVBand="1"/>
      </w:tblPr>
      <w:tblGrid>
        <w:gridCol w:w="8372"/>
      </w:tblGrid>
      <w:tr w:rsidR="00454DA4" w:rsidRPr="007923C2" w14:paraId="0068E45E" w14:textId="77777777" w:rsidTr="00AA5273">
        <w:trPr>
          <w:jc w:val="center"/>
        </w:trPr>
        <w:tc>
          <w:tcPr>
            <w:tcW w:w="0" w:type="auto"/>
            <w:tcBorders>
              <w:top w:val="nil"/>
              <w:left w:val="nil"/>
              <w:bottom w:val="nil"/>
              <w:right w:val="nil"/>
            </w:tcBorders>
            <w:shd w:val="clear" w:color="auto" w:fill="FFFFFF"/>
            <w:vAlign w:val="center"/>
            <w:hideMark/>
          </w:tcPr>
          <w:p w14:paraId="6157CD39" w14:textId="77777777" w:rsidR="00454DA4" w:rsidRPr="007923C2" w:rsidRDefault="00454DA4" w:rsidP="00454DA4">
            <w:pPr>
              <w:spacing w:after="0" w:line="240" w:lineRule="auto"/>
              <w:jc w:val="both"/>
              <w:rPr>
                <w:rFonts w:ascii="Arial" w:hAnsi="Arial" w:cs="Arial"/>
                <w:sz w:val="22"/>
                <w:szCs w:val="22"/>
              </w:rPr>
            </w:pPr>
          </w:p>
        </w:tc>
      </w:tr>
    </w:tbl>
    <w:p w14:paraId="530DA9C3" w14:textId="77777777" w:rsidR="00454DA4" w:rsidRPr="007923C2" w:rsidRDefault="00454DA4" w:rsidP="00454DA4">
      <w:pPr>
        <w:jc w:val="both"/>
        <w:rPr>
          <w:rFonts w:ascii="Arial" w:hAnsi="Arial" w:cs="Arial"/>
          <w:b/>
          <w:bCs/>
          <w:i/>
          <w:iCs/>
          <w:sz w:val="22"/>
          <w:szCs w:val="22"/>
        </w:rPr>
      </w:pPr>
      <w:r w:rsidRPr="007923C2">
        <w:rPr>
          <w:rFonts w:ascii="Arial" w:hAnsi="Arial" w:cs="Arial"/>
          <w:b/>
          <w:bCs/>
          <w:i/>
          <w:iCs/>
          <w:sz w:val="22"/>
          <w:szCs w:val="22"/>
        </w:rPr>
        <w:t>TORRES TAPIA MARIA ALEJANDRA (2771) </w:t>
      </w:r>
    </w:p>
    <w:p w14:paraId="4E367FD9" w14:textId="77777777" w:rsidR="00454DA4" w:rsidRPr="007923C2" w:rsidRDefault="00454DA4" w:rsidP="00454DA4">
      <w:pPr>
        <w:jc w:val="both"/>
        <w:rPr>
          <w:rFonts w:ascii="Arial" w:hAnsi="Arial" w:cs="Arial"/>
          <w:bCs/>
          <w:i/>
          <w:iCs/>
          <w:sz w:val="22"/>
          <w:szCs w:val="22"/>
        </w:rPr>
      </w:pPr>
      <w:r w:rsidRPr="007923C2">
        <w:rPr>
          <w:rFonts w:ascii="Arial" w:hAnsi="Arial" w:cs="Arial"/>
          <w:bCs/>
          <w:i/>
          <w:iCs/>
          <w:sz w:val="22"/>
          <w:szCs w:val="22"/>
        </w:rPr>
        <w:t>Publicaciones</w:t>
      </w:r>
    </w:p>
    <w:p w14:paraId="1BD3802D" w14:textId="77777777" w:rsidR="00454DA4" w:rsidRPr="007923C2" w:rsidRDefault="00454DA4" w:rsidP="00454DA4">
      <w:pPr>
        <w:jc w:val="both"/>
        <w:rPr>
          <w:rFonts w:ascii="Arial" w:hAnsi="Arial" w:cs="Arial"/>
          <w:bCs/>
          <w:i/>
          <w:iCs/>
          <w:sz w:val="22"/>
          <w:szCs w:val="22"/>
        </w:rPr>
      </w:pPr>
      <w:r w:rsidRPr="007923C2">
        <w:rPr>
          <w:rFonts w:ascii="Arial" w:hAnsi="Arial" w:cs="Arial"/>
          <w:bCs/>
          <w:i/>
          <w:iCs/>
          <w:sz w:val="22"/>
          <w:szCs w:val="22"/>
        </w:rPr>
        <w:lastRenderedPageBreak/>
        <w:t>Autor</w:t>
      </w:r>
    </w:p>
    <w:p w14:paraId="1BE8F7BF"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t>Calidad fìsica, fisiológica y bioquímica en genotipos de maíz que combina poliembrionia y alto contenido de aceite   </w:t>
      </w:r>
    </w:p>
    <w:p w14:paraId="5375131B"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t>Efecto de la Capacidad Fisiológica en Semilla de Sotol (Dasylition cedrosanum TREL.) aplicando biorreguladores   </w:t>
      </w:r>
    </w:p>
    <w:p w14:paraId="4D6ADFE7"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t>Co Autor</w:t>
      </w:r>
    </w:p>
    <w:p w14:paraId="181C8CBE" w14:textId="77777777" w:rsidR="00454DA4" w:rsidRPr="007923C2" w:rsidRDefault="003D17CB" w:rsidP="00454DA4">
      <w:pPr>
        <w:jc w:val="both"/>
        <w:rPr>
          <w:rFonts w:ascii="Arial" w:hAnsi="Arial" w:cs="Arial"/>
          <w:bCs/>
          <w:sz w:val="22"/>
          <w:szCs w:val="22"/>
        </w:rPr>
      </w:pPr>
      <w:r w:rsidRPr="007923C2">
        <w:rPr>
          <w:rFonts w:ascii="Arial" w:hAnsi="Arial" w:cs="Arial"/>
          <w:bCs/>
          <w:sz w:val="22"/>
          <w:szCs w:val="22"/>
        </w:rPr>
        <w:t>Comparación de tratamientos pregerminativos en la germinación y vigor de semilla de nogal   </w:t>
      </w:r>
    </w:p>
    <w:p w14:paraId="1A50171D" w14:textId="77777777" w:rsidR="00454DA4" w:rsidRPr="007923C2" w:rsidRDefault="00ED0A86" w:rsidP="00454DA4">
      <w:pPr>
        <w:jc w:val="both"/>
        <w:rPr>
          <w:rFonts w:ascii="Arial" w:hAnsi="Arial" w:cs="Arial"/>
          <w:bCs/>
          <w:sz w:val="22"/>
          <w:szCs w:val="22"/>
        </w:rPr>
      </w:pPr>
      <w:r w:rsidRPr="007923C2">
        <w:rPr>
          <w:rFonts w:ascii="Arial" w:hAnsi="Arial" w:cs="Arial"/>
          <w:bCs/>
          <w:sz w:val="22"/>
          <w:szCs w:val="22"/>
        </w:rPr>
        <w:t xml:space="preserve"> Con </w:t>
      </w:r>
      <w:r w:rsidR="003728DA" w:rsidRPr="007923C2">
        <w:rPr>
          <w:rFonts w:ascii="Arial" w:hAnsi="Arial" w:cs="Arial"/>
          <w:bCs/>
          <w:sz w:val="22"/>
          <w:szCs w:val="22"/>
        </w:rPr>
        <w:t>biorreguladores aplicados</w:t>
      </w:r>
      <w:r w:rsidRPr="007923C2">
        <w:rPr>
          <w:rFonts w:ascii="Arial" w:hAnsi="Arial" w:cs="Arial"/>
          <w:bCs/>
          <w:sz w:val="22"/>
          <w:szCs w:val="22"/>
        </w:rPr>
        <w:t>.</w:t>
      </w:r>
      <w:r w:rsidR="003D17CB" w:rsidRPr="007923C2">
        <w:rPr>
          <w:rFonts w:ascii="Arial" w:hAnsi="Arial" w:cs="Arial"/>
          <w:bCs/>
          <w:sz w:val="22"/>
          <w:szCs w:val="22"/>
        </w:rPr>
        <w:t xml:space="preserve">   </w:t>
      </w:r>
    </w:p>
    <w:p w14:paraId="0D936EF5" w14:textId="77777777" w:rsidR="00454DA4" w:rsidRPr="007923C2" w:rsidRDefault="003D17CB" w:rsidP="00454DA4">
      <w:pPr>
        <w:jc w:val="both"/>
        <w:rPr>
          <w:rFonts w:ascii="Arial" w:hAnsi="Arial" w:cs="Arial"/>
          <w:bCs/>
          <w:sz w:val="22"/>
          <w:szCs w:val="22"/>
        </w:rPr>
      </w:pPr>
      <w:r w:rsidRPr="007923C2">
        <w:rPr>
          <w:rFonts w:ascii="Arial" w:hAnsi="Arial" w:cs="Arial"/>
          <w:bCs/>
          <w:sz w:val="22"/>
          <w:szCs w:val="22"/>
        </w:rPr>
        <w:t>Relaciones entre variables agronómicas y calidad en</w:t>
      </w:r>
      <w:r w:rsidR="003728DA" w:rsidRPr="007923C2">
        <w:rPr>
          <w:rFonts w:ascii="Arial" w:hAnsi="Arial" w:cs="Arial"/>
          <w:bCs/>
          <w:sz w:val="22"/>
          <w:szCs w:val="22"/>
        </w:rPr>
        <w:t xml:space="preserve"> cereales forrajeros imberbes  </w:t>
      </w:r>
      <w:r w:rsidRPr="007923C2">
        <w:rPr>
          <w:rFonts w:ascii="Arial" w:hAnsi="Arial" w:cs="Arial"/>
          <w:bCs/>
          <w:sz w:val="22"/>
          <w:szCs w:val="22"/>
        </w:rPr>
        <w:t xml:space="preserve">fracciones de materia seca </w:t>
      </w:r>
      <w:r w:rsidR="003728DA" w:rsidRPr="007923C2">
        <w:rPr>
          <w:rFonts w:ascii="Arial" w:hAnsi="Arial" w:cs="Arial"/>
          <w:bCs/>
          <w:sz w:val="22"/>
          <w:szCs w:val="22"/>
        </w:rPr>
        <w:t>en trigos imberbes y su calidad.</w:t>
      </w:r>
      <w:r w:rsidRPr="007923C2">
        <w:rPr>
          <w:rFonts w:ascii="Arial" w:hAnsi="Arial" w:cs="Arial"/>
          <w:bCs/>
          <w:sz w:val="22"/>
          <w:szCs w:val="22"/>
        </w:rPr>
        <w:t>  </w:t>
      </w:r>
    </w:p>
    <w:p w14:paraId="6C14620D" w14:textId="77777777" w:rsidR="00454DA4" w:rsidRPr="007923C2" w:rsidRDefault="003D17CB" w:rsidP="00454DA4">
      <w:pPr>
        <w:jc w:val="both"/>
        <w:rPr>
          <w:rFonts w:ascii="Arial" w:hAnsi="Arial" w:cs="Arial"/>
          <w:bCs/>
          <w:sz w:val="22"/>
          <w:szCs w:val="22"/>
        </w:rPr>
      </w:pPr>
      <w:r w:rsidRPr="007923C2">
        <w:rPr>
          <w:rFonts w:ascii="Arial" w:hAnsi="Arial" w:cs="Arial"/>
          <w:bCs/>
          <w:sz w:val="22"/>
          <w:szCs w:val="22"/>
        </w:rPr>
        <w:t xml:space="preserve">Caracterización parcial y porciento de rendimiento de alcaloides en </w:t>
      </w:r>
      <w:r w:rsidR="00454DA4" w:rsidRPr="007923C2">
        <w:rPr>
          <w:rFonts w:ascii="Arial" w:hAnsi="Arial" w:cs="Arial"/>
          <w:bCs/>
          <w:sz w:val="22"/>
          <w:szCs w:val="22"/>
        </w:rPr>
        <w:t>Turbinicarpus valdezianus   </w:t>
      </w:r>
    </w:p>
    <w:p w14:paraId="65027DA3"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t>Co Autor</w:t>
      </w:r>
    </w:p>
    <w:p w14:paraId="2B9ACC3A"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t>Calidad de Semilla de Maíz Tratada con Extractos de Hojas de Melia Azedarach L. Contra Sitophilus zeamais Motschulsky en Almacén   </w:t>
      </w:r>
    </w:p>
    <w:p w14:paraId="6C99AA21"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t>Aceite de Orégano (Lippia berlandieri) de Diferentes Orígenes para el Control de Sitophiluz zeamais Motchulsky y su Efecto en la Calidad de Semilla de Maíz Almacenada   </w:t>
      </w:r>
    </w:p>
    <w:p w14:paraId="5E20A4C1"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t>Tesis</w:t>
      </w:r>
    </w:p>
    <w:p w14:paraId="255D6831" w14:textId="77777777" w:rsidR="00454DA4" w:rsidRDefault="00454DA4" w:rsidP="00454DA4">
      <w:pPr>
        <w:jc w:val="both"/>
        <w:rPr>
          <w:rFonts w:ascii="Arial" w:hAnsi="Arial" w:cs="Arial"/>
          <w:bCs/>
          <w:sz w:val="22"/>
          <w:szCs w:val="22"/>
        </w:rPr>
      </w:pPr>
      <w:r w:rsidRPr="007923C2">
        <w:rPr>
          <w:rFonts w:ascii="Arial" w:hAnsi="Arial" w:cs="Arial"/>
          <w:bCs/>
          <w:sz w:val="22"/>
          <w:szCs w:val="22"/>
        </w:rPr>
        <w:t>Asesor Principal</w:t>
      </w:r>
    </w:p>
    <w:p w14:paraId="0B72DEBE" w14:textId="77777777" w:rsidR="00AA5273" w:rsidRDefault="00AA5273" w:rsidP="00454DA4">
      <w:pPr>
        <w:jc w:val="both"/>
        <w:rPr>
          <w:rFonts w:ascii="Arial" w:hAnsi="Arial" w:cs="Arial"/>
          <w:bCs/>
          <w:sz w:val="22"/>
          <w:szCs w:val="22"/>
        </w:rPr>
      </w:pPr>
      <w:r w:rsidRPr="007923C2">
        <w:rPr>
          <w:rFonts w:ascii="Arial" w:hAnsi="Arial" w:cs="Arial"/>
          <w:bCs/>
          <w:sz w:val="22"/>
          <w:szCs w:val="22"/>
        </w:rPr>
        <w:t>Estudio de características morfológicas en semillas de papaya maradol (Carica Papaya L.) y su respuesta</w:t>
      </w:r>
      <w:r>
        <w:rPr>
          <w:rFonts w:ascii="Arial" w:hAnsi="Arial" w:cs="Arial"/>
          <w:bCs/>
          <w:sz w:val="22"/>
          <w:szCs w:val="22"/>
        </w:rPr>
        <w:t>.</w:t>
      </w:r>
    </w:p>
    <w:p w14:paraId="50D7E8AD" w14:textId="77777777" w:rsidR="00407B20" w:rsidRDefault="00407B20" w:rsidP="00407B20">
      <w:pPr>
        <w:spacing w:after="0" w:line="240" w:lineRule="auto"/>
        <w:jc w:val="both"/>
        <w:rPr>
          <w:rFonts w:ascii="Arial" w:hAnsi="Arial" w:cs="Arial"/>
          <w:bCs/>
          <w:sz w:val="22"/>
          <w:szCs w:val="22"/>
        </w:rPr>
      </w:pPr>
      <w:r w:rsidRPr="007923C2">
        <w:rPr>
          <w:rFonts w:ascii="Arial" w:hAnsi="Arial" w:cs="Arial"/>
          <w:bCs/>
          <w:sz w:val="22"/>
          <w:szCs w:val="22"/>
        </w:rPr>
        <w:t>Cereales de grano pequeño bajo condiciones de Estrés con cloruro de sodio (NaCI)     </w:t>
      </w:r>
    </w:p>
    <w:p w14:paraId="060623E5" w14:textId="77777777" w:rsidR="00407B20" w:rsidRDefault="00407B20" w:rsidP="00407B20">
      <w:pPr>
        <w:spacing w:after="0" w:line="240" w:lineRule="auto"/>
        <w:jc w:val="both"/>
        <w:rPr>
          <w:rFonts w:ascii="Arial" w:hAnsi="Arial" w:cs="Arial"/>
          <w:bCs/>
          <w:sz w:val="22"/>
          <w:szCs w:val="22"/>
        </w:rPr>
      </w:pPr>
    </w:p>
    <w:p w14:paraId="349BC303" w14:textId="77777777" w:rsidR="00407B20" w:rsidRDefault="00407B20" w:rsidP="00407B20">
      <w:pPr>
        <w:spacing w:after="0" w:line="240" w:lineRule="auto"/>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trigoTtriticum aestivum L. con tolerancia a sequía.    </w:t>
      </w:r>
    </w:p>
    <w:p w14:paraId="5695141E" w14:textId="77777777" w:rsidR="00407B20" w:rsidRDefault="00407B20" w:rsidP="00407B20">
      <w:pPr>
        <w:spacing w:after="0" w:line="240" w:lineRule="auto"/>
        <w:jc w:val="both"/>
        <w:rPr>
          <w:rFonts w:ascii="Arial" w:hAnsi="Arial" w:cs="Arial"/>
          <w:bCs/>
          <w:sz w:val="22"/>
          <w:szCs w:val="22"/>
        </w:rPr>
      </w:pPr>
    </w:p>
    <w:p w14:paraId="3031AE6C" w14:textId="77777777" w:rsidR="00407B20" w:rsidRDefault="00407B20" w:rsidP="00407B20">
      <w:pPr>
        <w:spacing w:after="0" w:line="240" w:lineRule="auto"/>
        <w:jc w:val="both"/>
        <w:rPr>
          <w:rFonts w:ascii="Arial" w:hAnsi="Arial" w:cs="Arial"/>
          <w:bCs/>
          <w:sz w:val="22"/>
          <w:szCs w:val="22"/>
        </w:rPr>
      </w:pPr>
      <w:r w:rsidRPr="007923C2">
        <w:rPr>
          <w:rFonts w:ascii="Arial" w:hAnsi="Arial" w:cs="Arial"/>
          <w:bCs/>
          <w:sz w:val="22"/>
          <w:szCs w:val="22"/>
        </w:rPr>
        <w:t>Control de calidad de granos y semillas y problema especial fertirriego y plasticultura de los cursos de opción a titulación impartidos en marzo-mayo 2012.     </w:t>
      </w:r>
    </w:p>
    <w:p w14:paraId="7CFD31CF" w14:textId="77777777" w:rsidR="00407B20" w:rsidRDefault="00407B20" w:rsidP="00407B20">
      <w:pPr>
        <w:spacing w:after="0" w:line="240" w:lineRule="auto"/>
        <w:jc w:val="both"/>
        <w:rPr>
          <w:rFonts w:ascii="Arial" w:hAnsi="Arial" w:cs="Arial"/>
          <w:bCs/>
          <w:sz w:val="22"/>
          <w:szCs w:val="22"/>
        </w:rPr>
      </w:pPr>
    </w:p>
    <w:p w14:paraId="186CC478" w14:textId="77777777" w:rsidR="00407B20" w:rsidRDefault="00407B20" w:rsidP="00407B20">
      <w:pPr>
        <w:spacing w:after="0" w:line="240" w:lineRule="auto"/>
        <w:jc w:val="both"/>
        <w:rPr>
          <w:rFonts w:ascii="Arial" w:hAnsi="Arial" w:cs="Arial"/>
          <w:bCs/>
          <w:sz w:val="22"/>
          <w:szCs w:val="22"/>
        </w:rPr>
      </w:pPr>
      <w:r w:rsidRPr="007923C2">
        <w:rPr>
          <w:rFonts w:ascii="Arial" w:hAnsi="Arial" w:cs="Arial"/>
          <w:bCs/>
          <w:sz w:val="22"/>
          <w:szCs w:val="22"/>
        </w:rPr>
        <w:t>Cereales de grano pequeño bajo condiciones de estrés con cloruro de sodio nacl.   </w:t>
      </w:r>
    </w:p>
    <w:p w14:paraId="1FB9E339" w14:textId="77777777" w:rsidR="00407B20" w:rsidRDefault="00407B20" w:rsidP="00407B20">
      <w:pPr>
        <w:spacing w:after="0" w:line="240" w:lineRule="auto"/>
        <w:jc w:val="both"/>
        <w:rPr>
          <w:rFonts w:ascii="Arial" w:hAnsi="Arial" w:cs="Arial"/>
          <w:bCs/>
          <w:sz w:val="22"/>
          <w:szCs w:val="22"/>
        </w:rPr>
      </w:pPr>
    </w:p>
    <w:p w14:paraId="394EBAF4" w14:textId="77777777" w:rsidR="00407B20" w:rsidRDefault="00407B20" w:rsidP="00407B20">
      <w:pPr>
        <w:spacing w:after="0" w:line="240" w:lineRule="auto"/>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 triticum aestivum l. con tolerancia a sequía.   </w:t>
      </w:r>
    </w:p>
    <w:p w14:paraId="1C66F3CA" w14:textId="77777777" w:rsidR="00407B20" w:rsidRDefault="00407B20" w:rsidP="00407B20">
      <w:pPr>
        <w:spacing w:after="0" w:line="240" w:lineRule="auto"/>
        <w:jc w:val="both"/>
        <w:rPr>
          <w:rFonts w:ascii="Arial" w:hAnsi="Arial" w:cs="Arial"/>
          <w:bCs/>
          <w:sz w:val="22"/>
          <w:szCs w:val="22"/>
        </w:rPr>
      </w:pPr>
    </w:p>
    <w:tbl>
      <w:tblPr>
        <w:tblW w:w="11915" w:type="dxa"/>
        <w:jc w:val="center"/>
        <w:shd w:val="clear" w:color="auto" w:fill="FFFFFF"/>
        <w:tblCellMar>
          <w:left w:w="0" w:type="dxa"/>
          <w:right w:w="0" w:type="dxa"/>
        </w:tblCellMar>
        <w:tblLook w:val="04A0" w:firstRow="1" w:lastRow="0" w:firstColumn="1" w:lastColumn="0" w:noHBand="0" w:noVBand="1"/>
      </w:tblPr>
      <w:tblGrid>
        <w:gridCol w:w="1276"/>
        <w:gridCol w:w="142"/>
        <w:gridCol w:w="9221"/>
        <w:gridCol w:w="134"/>
        <w:gridCol w:w="1000"/>
        <w:gridCol w:w="142"/>
      </w:tblGrid>
      <w:tr w:rsidR="00454DA4" w:rsidRPr="007923C2" w14:paraId="79F49D21" w14:textId="77777777" w:rsidTr="00407B20">
        <w:trPr>
          <w:gridBefore w:val="2"/>
          <w:gridAfter w:val="1"/>
          <w:wBefore w:w="1418" w:type="dxa"/>
          <w:wAfter w:w="142" w:type="dxa"/>
          <w:jc w:val="center"/>
        </w:trPr>
        <w:tc>
          <w:tcPr>
            <w:tcW w:w="10355" w:type="dxa"/>
            <w:gridSpan w:val="3"/>
            <w:tcBorders>
              <w:top w:val="nil"/>
              <w:left w:val="nil"/>
              <w:bottom w:val="nil"/>
              <w:right w:val="nil"/>
            </w:tcBorders>
            <w:shd w:val="clear" w:color="auto" w:fill="FFFFFF"/>
            <w:vAlign w:val="center"/>
            <w:hideMark/>
          </w:tcPr>
          <w:p w14:paraId="34A35B5C" w14:textId="77777777" w:rsidR="00454DA4" w:rsidRPr="007923C2" w:rsidRDefault="00407B20" w:rsidP="00407B20">
            <w:pPr>
              <w:rPr>
                <w:rFonts w:ascii="Arial" w:hAnsi="Arial" w:cs="Arial"/>
                <w:sz w:val="22"/>
                <w:szCs w:val="22"/>
              </w:rPr>
            </w:pPr>
            <w:r w:rsidRPr="007923C2">
              <w:rPr>
                <w:rFonts w:ascii="Arial" w:hAnsi="Arial" w:cs="Arial"/>
                <w:bCs/>
                <w:sz w:val="22"/>
                <w:szCs w:val="22"/>
              </w:rPr>
              <w:t>LICENCIATURA - CO-ASESOR</w:t>
            </w:r>
          </w:p>
        </w:tc>
      </w:tr>
      <w:tr w:rsidR="003728DA" w:rsidRPr="007923C2" w14:paraId="13FC5551" w14:textId="77777777" w:rsidTr="00407B20">
        <w:trPr>
          <w:gridAfter w:val="3"/>
          <w:wAfter w:w="1276" w:type="dxa"/>
          <w:jc w:val="center"/>
        </w:trPr>
        <w:tc>
          <w:tcPr>
            <w:tcW w:w="10639" w:type="dxa"/>
            <w:gridSpan w:val="3"/>
            <w:tcBorders>
              <w:top w:val="nil"/>
              <w:left w:val="nil"/>
              <w:bottom w:val="nil"/>
              <w:right w:val="nil"/>
            </w:tcBorders>
            <w:shd w:val="clear" w:color="auto" w:fill="FFFFFF"/>
            <w:vAlign w:val="center"/>
          </w:tcPr>
          <w:p w14:paraId="383CEA7B" w14:textId="77777777" w:rsidR="003728DA" w:rsidRPr="007923C2" w:rsidRDefault="003728DA" w:rsidP="00454DA4">
            <w:pPr>
              <w:spacing w:after="0" w:line="240" w:lineRule="auto"/>
              <w:jc w:val="both"/>
              <w:rPr>
                <w:rFonts w:ascii="Arial" w:hAnsi="Arial" w:cs="Arial"/>
                <w:bCs/>
                <w:sz w:val="22"/>
                <w:szCs w:val="22"/>
              </w:rPr>
            </w:pPr>
          </w:p>
        </w:tc>
      </w:tr>
      <w:tr w:rsidR="00454DA4" w:rsidRPr="007923C2" w14:paraId="204DB24C" w14:textId="77777777" w:rsidTr="00407B20">
        <w:trPr>
          <w:gridBefore w:val="2"/>
          <w:gridAfter w:val="2"/>
          <w:wBefore w:w="1418" w:type="dxa"/>
          <w:wAfter w:w="1142" w:type="dxa"/>
          <w:jc w:val="center"/>
          <w:hidden/>
        </w:trPr>
        <w:tc>
          <w:tcPr>
            <w:tcW w:w="9355" w:type="dxa"/>
            <w:gridSpan w:val="2"/>
            <w:tcBorders>
              <w:top w:val="nil"/>
              <w:left w:val="nil"/>
              <w:bottom w:val="nil"/>
              <w:right w:val="nil"/>
            </w:tcBorders>
            <w:shd w:val="clear" w:color="auto" w:fill="FFFFFF"/>
            <w:vAlign w:val="center"/>
            <w:hideMark/>
          </w:tcPr>
          <w:p w14:paraId="5261B5BA" w14:textId="77777777" w:rsidR="00454DA4" w:rsidRPr="007923C2" w:rsidRDefault="00454DA4" w:rsidP="00454DA4">
            <w:pPr>
              <w:spacing w:after="0" w:line="240" w:lineRule="auto"/>
              <w:jc w:val="both"/>
              <w:rPr>
                <w:rFonts w:ascii="Arial" w:hAnsi="Arial" w:cs="Arial"/>
                <w:vanish/>
                <w:sz w:val="22"/>
                <w:szCs w:val="22"/>
              </w:rPr>
            </w:pPr>
          </w:p>
          <w:p w14:paraId="09858E58" w14:textId="77777777" w:rsidR="00454DA4" w:rsidRPr="007923C2" w:rsidRDefault="00454DA4" w:rsidP="00454DA4">
            <w:pPr>
              <w:spacing w:after="0" w:line="240" w:lineRule="auto"/>
              <w:jc w:val="both"/>
              <w:rPr>
                <w:rFonts w:ascii="Arial" w:hAnsi="Arial" w:cs="Arial"/>
                <w:vanish/>
                <w:sz w:val="22"/>
                <w:szCs w:val="22"/>
              </w:rPr>
            </w:pPr>
          </w:p>
          <w:p w14:paraId="63B27D6A" w14:textId="77777777" w:rsidR="00454DA4" w:rsidRPr="007923C2" w:rsidRDefault="00454DA4" w:rsidP="00454DA4">
            <w:pPr>
              <w:spacing w:after="0" w:line="240" w:lineRule="auto"/>
              <w:jc w:val="both"/>
              <w:rPr>
                <w:rFonts w:ascii="Arial" w:hAnsi="Arial" w:cs="Arial"/>
                <w:bCs/>
                <w:color w:val="000066"/>
                <w:sz w:val="22"/>
                <w:szCs w:val="22"/>
              </w:rPr>
            </w:pPr>
          </w:p>
          <w:p w14:paraId="5182353B" w14:textId="77777777" w:rsidR="00407B20" w:rsidRDefault="00407B20" w:rsidP="00454DA4">
            <w:pPr>
              <w:spacing w:after="0" w:line="240" w:lineRule="auto"/>
              <w:jc w:val="both"/>
              <w:rPr>
                <w:rFonts w:ascii="Arial" w:hAnsi="Arial" w:cs="Arial"/>
                <w:bCs/>
                <w:sz w:val="22"/>
                <w:szCs w:val="22"/>
              </w:rPr>
            </w:pPr>
            <w:r w:rsidRPr="007923C2">
              <w:rPr>
                <w:rFonts w:ascii="Arial" w:hAnsi="Arial" w:cs="Arial"/>
                <w:bCs/>
                <w:sz w:val="22"/>
                <w:szCs w:val="22"/>
              </w:rPr>
              <w:t>Efecto de bioestimulantes químicos y orgánicos en la calidad fisiológica de la semilla de frijol (Ph     </w:t>
            </w:r>
          </w:p>
          <w:p w14:paraId="0B40FD97" w14:textId="77777777" w:rsidR="00407B20" w:rsidRDefault="00407B20" w:rsidP="00454DA4">
            <w:pPr>
              <w:spacing w:after="0" w:line="240" w:lineRule="auto"/>
              <w:jc w:val="both"/>
              <w:rPr>
                <w:rFonts w:ascii="Arial" w:hAnsi="Arial" w:cs="Arial"/>
                <w:bCs/>
                <w:sz w:val="22"/>
                <w:szCs w:val="22"/>
              </w:rPr>
            </w:pPr>
          </w:p>
          <w:p w14:paraId="574D4592" w14:textId="77777777" w:rsidR="00407B20" w:rsidRDefault="00407B20" w:rsidP="00454DA4">
            <w:pPr>
              <w:spacing w:after="0" w:line="240" w:lineRule="auto"/>
              <w:jc w:val="both"/>
              <w:rPr>
                <w:rFonts w:ascii="Arial" w:hAnsi="Arial" w:cs="Arial"/>
                <w:bCs/>
                <w:sz w:val="22"/>
                <w:szCs w:val="22"/>
              </w:rPr>
            </w:pPr>
            <w:r w:rsidRPr="007923C2">
              <w:rPr>
                <w:rFonts w:ascii="Arial" w:hAnsi="Arial" w:cs="Arial"/>
                <w:bCs/>
                <w:sz w:val="22"/>
                <w:szCs w:val="22"/>
              </w:rPr>
              <w:lastRenderedPageBreak/>
              <w:t>Estudio comparativo de caracteres morfológicos y estomáticos en tres niveles de ploidía en Physalis     </w:t>
            </w:r>
          </w:p>
          <w:p w14:paraId="4A72E953" w14:textId="77777777" w:rsidR="00407B20" w:rsidRDefault="00407B20" w:rsidP="00454DA4">
            <w:pPr>
              <w:spacing w:after="0" w:line="240" w:lineRule="auto"/>
              <w:jc w:val="both"/>
              <w:rPr>
                <w:rFonts w:ascii="Arial" w:hAnsi="Arial" w:cs="Arial"/>
                <w:bCs/>
                <w:sz w:val="22"/>
                <w:szCs w:val="22"/>
              </w:rPr>
            </w:pPr>
          </w:p>
          <w:p w14:paraId="356DF596" w14:textId="77777777" w:rsidR="00407B20" w:rsidRDefault="00407B20" w:rsidP="00454DA4">
            <w:pPr>
              <w:spacing w:after="0" w:line="240" w:lineRule="auto"/>
              <w:jc w:val="both"/>
              <w:rPr>
                <w:rFonts w:ascii="Arial" w:hAnsi="Arial" w:cs="Arial"/>
                <w:bCs/>
                <w:sz w:val="22"/>
                <w:szCs w:val="22"/>
              </w:rPr>
            </w:pPr>
            <w:r w:rsidRPr="007923C2">
              <w:rPr>
                <w:rFonts w:ascii="Arial" w:hAnsi="Arial" w:cs="Arial"/>
                <w:bCs/>
                <w:sz w:val="22"/>
                <w:szCs w:val="22"/>
              </w:rPr>
              <w:t>Evaluación del rendimiento de grano y sus componentes en Triticale (X Triticosecale Wittmack), de di     </w:t>
            </w:r>
          </w:p>
          <w:p w14:paraId="56734C90" w14:textId="77777777" w:rsidR="00407B20" w:rsidRDefault="00407B20" w:rsidP="00454DA4">
            <w:pPr>
              <w:spacing w:after="0" w:line="240" w:lineRule="auto"/>
              <w:jc w:val="both"/>
              <w:rPr>
                <w:rFonts w:ascii="Arial" w:hAnsi="Arial" w:cs="Arial"/>
                <w:bCs/>
                <w:sz w:val="22"/>
                <w:szCs w:val="22"/>
              </w:rPr>
            </w:pPr>
          </w:p>
          <w:p w14:paraId="204D1EAF" w14:textId="77777777" w:rsidR="00407B20" w:rsidRDefault="00407B20" w:rsidP="00454DA4">
            <w:pPr>
              <w:spacing w:after="0" w:line="240" w:lineRule="auto"/>
              <w:jc w:val="both"/>
              <w:rPr>
                <w:rFonts w:ascii="Arial" w:hAnsi="Arial" w:cs="Arial"/>
                <w:bCs/>
                <w:sz w:val="22"/>
                <w:szCs w:val="22"/>
              </w:rPr>
            </w:pPr>
            <w:r w:rsidRPr="007923C2">
              <w:rPr>
                <w:rFonts w:ascii="Arial" w:hAnsi="Arial" w:cs="Arial"/>
                <w:bCs/>
                <w:sz w:val="22"/>
                <w:szCs w:val="22"/>
              </w:rPr>
              <w:t>Efecto de bioestimulantes químicos y orgánicos en la calidad fisiológica de la semilla de frijol Phaseolus vulgaris variedad pinto saltillo.     </w:t>
            </w:r>
          </w:p>
          <w:p w14:paraId="499EE867" w14:textId="77777777" w:rsidR="00407B20" w:rsidRDefault="00407B20" w:rsidP="00454DA4">
            <w:pPr>
              <w:spacing w:after="0" w:line="240" w:lineRule="auto"/>
              <w:jc w:val="both"/>
              <w:rPr>
                <w:rFonts w:ascii="Arial" w:hAnsi="Arial" w:cs="Arial"/>
                <w:bCs/>
                <w:sz w:val="22"/>
                <w:szCs w:val="22"/>
              </w:rPr>
            </w:pPr>
          </w:p>
          <w:p w14:paraId="7046A689" w14:textId="77777777" w:rsidR="00407B20" w:rsidRDefault="00407B20" w:rsidP="00454DA4">
            <w:pPr>
              <w:spacing w:after="0" w:line="240" w:lineRule="auto"/>
              <w:jc w:val="both"/>
              <w:rPr>
                <w:rFonts w:ascii="Arial" w:hAnsi="Arial" w:cs="Arial"/>
                <w:sz w:val="22"/>
                <w:szCs w:val="22"/>
              </w:rPr>
            </w:pPr>
            <w:r w:rsidRPr="007923C2">
              <w:rPr>
                <w:rFonts w:ascii="Arial" w:hAnsi="Arial" w:cs="Arial"/>
                <w:bCs/>
                <w:sz w:val="22"/>
                <w:szCs w:val="22"/>
              </w:rPr>
              <w:t>Caracterización de los híbridos de sorgo atx625 x pan 37 y atx625 x forrajero café Sorghum bicolor L. con propósito de registro.   </w:t>
            </w:r>
          </w:p>
          <w:p w14:paraId="616FBDEB" w14:textId="77777777" w:rsidR="00407B20" w:rsidRDefault="00407B20" w:rsidP="00454DA4">
            <w:pPr>
              <w:spacing w:after="0" w:line="240" w:lineRule="auto"/>
              <w:jc w:val="both"/>
              <w:rPr>
                <w:rFonts w:ascii="Arial" w:hAnsi="Arial" w:cs="Arial"/>
                <w:sz w:val="22"/>
                <w:szCs w:val="22"/>
              </w:rPr>
            </w:pPr>
          </w:p>
          <w:p w14:paraId="16D5CCCC" w14:textId="77777777" w:rsidR="00407B20" w:rsidRDefault="00407B20" w:rsidP="00454DA4">
            <w:pPr>
              <w:spacing w:after="0" w:line="240" w:lineRule="auto"/>
              <w:jc w:val="both"/>
              <w:rPr>
                <w:rFonts w:ascii="Arial" w:hAnsi="Arial" w:cs="Arial"/>
                <w:sz w:val="22"/>
                <w:szCs w:val="22"/>
              </w:rPr>
            </w:pPr>
            <w:r w:rsidRPr="007923C2">
              <w:rPr>
                <w:rFonts w:ascii="Arial" w:hAnsi="Arial" w:cs="Arial"/>
                <w:bCs/>
                <w:sz w:val="22"/>
                <w:szCs w:val="22"/>
              </w:rPr>
              <w:t>Evaluación del rendimiento de grano y sus componentes en Triticales x triticosecale wittmack de diferentes hábitos de crecimiento en tres localidades del norte de méxico. ciclo 2011-2012.     </w:t>
            </w:r>
          </w:p>
          <w:p w14:paraId="231E5B38" w14:textId="77777777" w:rsidR="00407B20" w:rsidRDefault="00407B20" w:rsidP="00454DA4">
            <w:pPr>
              <w:spacing w:after="0" w:line="240" w:lineRule="auto"/>
              <w:jc w:val="both"/>
              <w:rPr>
                <w:rFonts w:ascii="Arial" w:hAnsi="Arial" w:cs="Arial"/>
                <w:sz w:val="22"/>
                <w:szCs w:val="22"/>
              </w:rPr>
            </w:pPr>
          </w:p>
          <w:p w14:paraId="5E9E3428" w14:textId="77777777" w:rsidR="00454DA4" w:rsidRDefault="00407B20" w:rsidP="00454DA4">
            <w:pPr>
              <w:spacing w:after="0" w:line="240" w:lineRule="auto"/>
              <w:jc w:val="both"/>
              <w:rPr>
                <w:rFonts w:ascii="Arial" w:hAnsi="Arial" w:cs="Arial"/>
                <w:sz w:val="22"/>
                <w:szCs w:val="22"/>
              </w:rPr>
            </w:pPr>
            <w:r w:rsidRPr="007923C2">
              <w:rPr>
                <w:rFonts w:ascii="Arial" w:hAnsi="Arial" w:cs="Arial"/>
                <w:bCs/>
                <w:sz w:val="22"/>
                <w:szCs w:val="22"/>
              </w:rPr>
              <w:t>Uso de antioxidantes en el combate de punta morada en papa Solanum tubersosum l.    </w:t>
            </w:r>
          </w:p>
          <w:p w14:paraId="7643C0F0" w14:textId="77777777" w:rsidR="00407B20" w:rsidRPr="007923C2" w:rsidRDefault="00407B20" w:rsidP="00454DA4">
            <w:pPr>
              <w:spacing w:after="0" w:line="240" w:lineRule="auto"/>
              <w:jc w:val="both"/>
              <w:rPr>
                <w:rFonts w:ascii="Arial" w:hAnsi="Arial" w:cs="Arial"/>
                <w:sz w:val="22"/>
                <w:szCs w:val="22"/>
              </w:rPr>
            </w:pPr>
          </w:p>
        </w:tc>
      </w:tr>
      <w:tr w:rsidR="00454DA4" w:rsidRPr="007923C2" w14:paraId="3CD2E5FE" w14:textId="77777777" w:rsidTr="00407B20">
        <w:trPr>
          <w:gridBefore w:val="2"/>
          <w:gridAfter w:val="2"/>
          <w:wBefore w:w="1418" w:type="dxa"/>
          <w:wAfter w:w="1142" w:type="dxa"/>
          <w:jc w:val="center"/>
        </w:trPr>
        <w:tc>
          <w:tcPr>
            <w:tcW w:w="9355" w:type="dxa"/>
            <w:gridSpan w:val="2"/>
            <w:tcBorders>
              <w:top w:val="nil"/>
              <w:left w:val="nil"/>
              <w:bottom w:val="nil"/>
              <w:right w:val="nil"/>
            </w:tcBorders>
            <w:shd w:val="clear" w:color="auto" w:fill="FFFFFF"/>
            <w:vAlign w:val="center"/>
            <w:hideMark/>
          </w:tcPr>
          <w:p w14:paraId="5FBDD1DE" w14:textId="77777777" w:rsidR="00407B20" w:rsidRDefault="00407B20" w:rsidP="00454DA4">
            <w:pPr>
              <w:spacing w:after="0" w:line="240" w:lineRule="auto"/>
              <w:jc w:val="both"/>
              <w:rPr>
                <w:rFonts w:ascii="Arial" w:hAnsi="Arial" w:cs="Arial"/>
                <w:bCs/>
                <w:sz w:val="22"/>
                <w:szCs w:val="22"/>
              </w:rPr>
            </w:pPr>
            <w:r w:rsidRPr="007923C2">
              <w:rPr>
                <w:rFonts w:ascii="Arial" w:hAnsi="Arial" w:cs="Arial"/>
                <w:bCs/>
                <w:sz w:val="22"/>
                <w:szCs w:val="22"/>
              </w:rPr>
              <w:lastRenderedPageBreak/>
              <w:t>Estudio comparativo de caracteres morfológicos y estomáticos en tres niveles de ploidía en Physalis ixocarpa Brot.     </w:t>
            </w:r>
            <w:r w:rsidR="00454DA4" w:rsidRPr="007923C2">
              <w:rPr>
                <w:rFonts w:ascii="Arial" w:hAnsi="Arial" w:cs="Arial"/>
                <w:bCs/>
                <w:sz w:val="22"/>
                <w:szCs w:val="22"/>
              </w:rPr>
              <w:t xml:space="preserve">    </w:t>
            </w:r>
          </w:p>
          <w:p w14:paraId="10291DB3" w14:textId="77777777" w:rsidR="00407B20" w:rsidRDefault="00407B20" w:rsidP="00454DA4">
            <w:pPr>
              <w:spacing w:after="0" w:line="240" w:lineRule="auto"/>
              <w:jc w:val="both"/>
              <w:rPr>
                <w:rFonts w:ascii="Arial" w:hAnsi="Arial" w:cs="Arial"/>
                <w:bCs/>
                <w:sz w:val="22"/>
                <w:szCs w:val="22"/>
              </w:rPr>
            </w:pPr>
          </w:p>
          <w:p w14:paraId="14650CA9" w14:textId="77777777" w:rsidR="00407B20" w:rsidRDefault="00407B20" w:rsidP="00454DA4">
            <w:pPr>
              <w:spacing w:after="0" w:line="240" w:lineRule="auto"/>
              <w:jc w:val="both"/>
              <w:rPr>
                <w:rFonts w:ascii="Arial" w:hAnsi="Arial" w:cs="Arial"/>
                <w:bCs/>
                <w:sz w:val="22"/>
                <w:szCs w:val="22"/>
              </w:rPr>
            </w:pPr>
          </w:p>
          <w:p w14:paraId="03A35E74" w14:textId="77777777" w:rsidR="00486680" w:rsidRDefault="00454DA4" w:rsidP="00454DA4">
            <w:pPr>
              <w:spacing w:after="0" w:line="240" w:lineRule="auto"/>
              <w:jc w:val="both"/>
              <w:rPr>
                <w:rFonts w:ascii="Arial" w:hAnsi="Arial" w:cs="Arial"/>
                <w:bCs/>
                <w:sz w:val="22"/>
                <w:szCs w:val="22"/>
              </w:rPr>
            </w:pPr>
            <w:r w:rsidRPr="007923C2">
              <w:rPr>
                <w:rFonts w:ascii="Arial" w:hAnsi="Arial" w:cs="Arial"/>
                <w:bCs/>
                <w:sz w:val="22"/>
                <w:szCs w:val="22"/>
              </w:rPr>
              <w:t>MAESTRÍA- ASESOR PRINCIPAL </w:t>
            </w:r>
          </w:p>
          <w:p w14:paraId="2D6B3E51" w14:textId="77777777" w:rsidR="00486680" w:rsidRDefault="00486680" w:rsidP="00454DA4">
            <w:pPr>
              <w:spacing w:after="0" w:line="240" w:lineRule="auto"/>
              <w:jc w:val="both"/>
              <w:rPr>
                <w:rFonts w:ascii="Arial" w:hAnsi="Arial" w:cs="Arial"/>
                <w:bCs/>
                <w:sz w:val="22"/>
                <w:szCs w:val="22"/>
              </w:rPr>
            </w:pPr>
          </w:p>
          <w:p w14:paraId="0642696B" w14:textId="77777777" w:rsidR="00454DA4" w:rsidRPr="00486680" w:rsidRDefault="00486680" w:rsidP="00454DA4">
            <w:pPr>
              <w:spacing w:after="0" w:line="240" w:lineRule="auto"/>
              <w:jc w:val="both"/>
              <w:rPr>
                <w:rFonts w:ascii="Arial" w:hAnsi="Arial" w:cs="Arial"/>
                <w:bCs/>
                <w:sz w:val="22"/>
                <w:szCs w:val="22"/>
              </w:rPr>
            </w:pPr>
            <w:r w:rsidRPr="007923C2">
              <w:rPr>
                <w:rFonts w:ascii="Arial" w:hAnsi="Arial" w:cs="Arial"/>
                <w:bCs/>
                <w:sz w:val="22"/>
                <w:szCs w:val="22"/>
              </w:rPr>
              <w:t>Estudio molecular morfológico y fisiológico de semilla de papaya variedad maradol Carica papaya L asociado con el sexo de las plantas     </w:t>
            </w:r>
          </w:p>
        </w:tc>
      </w:tr>
      <w:tr w:rsidR="00407B20" w:rsidRPr="007923C2" w14:paraId="5B3AD5F9" w14:textId="77777777" w:rsidTr="00407B20">
        <w:trPr>
          <w:gridBefore w:val="2"/>
          <w:gridAfter w:val="2"/>
          <w:wBefore w:w="1418" w:type="dxa"/>
          <w:wAfter w:w="1142" w:type="dxa"/>
          <w:jc w:val="center"/>
        </w:trPr>
        <w:tc>
          <w:tcPr>
            <w:tcW w:w="9355" w:type="dxa"/>
            <w:gridSpan w:val="2"/>
            <w:tcBorders>
              <w:top w:val="nil"/>
              <w:left w:val="nil"/>
              <w:bottom w:val="nil"/>
              <w:right w:val="nil"/>
            </w:tcBorders>
            <w:shd w:val="clear" w:color="auto" w:fill="FFFFFF"/>
            <w:vAlign w:val="center"/>
          </w:tcPr>
          <w:p w14:paraId="01CE1CFD" w14:textId="77777777" w:rsidR="00407B20" w:rsidRPr="007923C2" w:rsidRDefault="00407B20" w:rsidP="00454DA4">
            <w:pPr>
              <w:spacing w:after="0" w:line="240" w:lineRule="auto"/>
              <w:jc w:val="both"/>
              <w:rPr>
                <w:rFonts w:ascii="Arial" w:hAnsi="Arial" w:cs="Arial"/>
                <w:bCs/>
                <w:sz w:val="22"/>
                <w:szCs w:val="22"/>
              </w:rPr>
            </w:pPr>
          </w:p>
        </w:tc>
      </w:tr>
      <w:tr w:rsidR="00486680" w:rsidRPr="007923C2" w14:paraId="6BBD573D" w14:textId="77777777" w:rsidTr="00407B20">
        <w:trPr>
          <w:gridAfter w:val="3"/>
          <w:wAfter w:w="1276" w:type="dxa"/>
          <w:jc w:val="center"/>
        </w:trPr>
        <w:tc>
          <w:tcPr>
            <w:tcW w:w="10639" w:type="dxa"/>
            <w:gridSpan w:val="3"/>
            <w:tcBorders>
              <w:top w:val="nil"/>
              <w:left w:val="nil"/>
              <w:bottom w:val="nil"/>
              <w:right w:val="nil"/>
            </w:tcBorders>
            <w:shd w:val="clear" w:color="auto" w:fill="FFFFFF"/>
            <w:vAlign w:val="center"/>
          </w:tcPr>
          <w:p w14:paraId="7B2F96E9" w14:textId="77777777" w:rsidR="00486680" w:rsidRPr="007923C2" w:rsidRDefault="00486680" w:rsidP="00454DA4">
            <w:pPr>
              <w:spacing w:after="0" w:line="240" w:lineRule="auto"/>
              <w:jc w:val="both"/>
              <w:rPr>
                <w:rFonts w:ascii="Arial" w:hAnsi="Arial" w:cs="Arial"/>
                <w:bCs/>
                <w:sz w:val="22"/>
                <w:szCs w:val="22"/>
              </w:rPr>
            </w:pPr>
          </w:p>
        </w:tc>
      </w:tr>
      <w:tr w:rsidR="00486680" w:rsidRPr="007923C2" w14:paraId="0037E007" w14:textId="77777777" w:rsidTr="00407B20">
        <w:trPr>
          <w:gridAfter w:val="3"/>
          <w:wAfter w:w="1276" w:type="dxa"/>
          <w:jc w:val="center"/>
        </w:trPr>
        <w:tc>
          <w:tcPr>
            <w:tcW w:w="10639" w:type="dxa"/>
            <w:gridSpan w:val="3"/>
            <w:tcBorders>
              <w:top w:val="nil"/>
              <w:left w:val="nil"/>
              <w:bottom w:val="nil"/>
              <w:right w:val="nil"/>
            </w:tcBorders>
            <w:shd w:val="clear" w:color="auto" w:fill="FFFFFF"/>
            <w:vAlign w:val="center"/>
          </w:tcPr>
          <w:p w14:paraId="59C89CE5" w14:textId="77777777" w:rsidR="00486680" w:rsidRPr="007923C2" w:rsidRDefault="00486680" w:rsidP="00454DA4">
            <w:pPr>
              <w:spacing w:after="0" w:line="240" w:lineRule="auto"/>
              <w:jc w:val="both"/>
              <w:rPr>
                <w:rFonts w:ascii="Arial" w:hAnsi="Arial" w:cs="Arial"/>
                <w:bCs/>
                <w:sz w:val="22"/>
                <w:szCs w:val="22"/>
              </w:rPr>
            </w:pPr>
          </w:p>
        </w:tc>
      </w:tr>
      <w:tr w:rsidR="00454DA4" w:rsidRPr="007923C2" w14:paraId="556D1915" w14:textId="77777777" w:rsidTr="00407B20">
        <w:trPr>
          <w:gridBefore w:val="1"/>
          <w:wBefore w:w="1276" w:type="dxa"/>
          <w:jc w:val="center"/>
        </w:trPr>
        <w:tc>
          <w:tcPr>
            <w:tcW w:w="10639" w:type="dxa"/>
            <w:gridSpan w:val="5"/>
            <w:tcBorders>
              <w:top w:val="nil"/>
              <w:left w:val="nil"/>
              <w:bottom w:val="nil"/>
              <w:right w:val="nil"/>
            </w:tcBorders>
            <w:shd w:val="clear" w:color="auto" w:fill="FFFFFF"/>
            <w:vAlign w:val="center"/>
            <w:hideMark/>
          </w:tcPr>
          <w:p w14:paraId="7A9A100E" w14:textId="77777777" w:rsidR="00454DA4" w:rsidRDefault="00454DA4" w:rsidP="00454DA4">
            <w:pPr>
              <w:spacing w:after="0" w:line="240" w:lineRule="auto"/>
              <w:jc w:val="both"/>
              <w:rPr>
                <w:rFonts w:ascii="Arial" w:hAnsi="Arial" w:cs="Arial"/>
                <w:bCs/>
                <w:sz w:val="22"/>
                <w:szCs w:val="22"/>
              </w:rPr>
            </w:pPr>
            <w:r w:rsidRPr="007923C2">
              <w:rPr>
                <w:rFonts w:ascii="Arial" w:hAnsi="Arial" w:cs="Arial"/>
                <w:bCs/>
                <w:sz w:val="22"/>
                <w:szCs w:val="22"/>
              </w:rPr>
              <w:t xml:space="preserve">    MAESTRÍA - CO-ASESOR </w:t>
            </w:r>
          </w:p>
          <w:p w14:paraId="0366ED0A" w14:textId="77777777" w:rsidR="00486680" w:rsidRDefault="00486680" w:rsidP="00454DA4">
            <w:pPr>
              <w:spacing w:after="0" w:line="240" w:lineRule="auto"/>
              <w:jc w:val="both"/>
              <w:rPr>
                <w:rFonts w:ascii="Arial" w:hAnsi="Arial" w:cs="Arial"/>
                <w:bCs/>
                <w:sz w:val="22"/>
                <w:szCs w:val="22"/>
              </w:rPr>
            </w:pPr>
            <w:r w:rsidRPr="007923C2">
              <w:rPr>
                <w:rFonts w:ascii="Arial" w:hAnsi="Arial" w:cs="Arial"/>
                <w:bCs/>
                <w:sz w:val="22"/>
                <w:szCs w:val="22"/>
              </w:rPr>
              <w:t>Bioestimulantes aplicados a semillas Echinacea purpurea L Moench y su efecto en algunas características fenológicas en invernadero y calidad de semilla</w:t>
            </w:r>
            <w:r>
              <w:rPr>
                <w:rFonts w:ascii="Arial" w:hAnsi="Arial" w:cs="Arial"/>
                <w:bCs/>
                <w:sz w:val="22"/>
                <w:szCs w:val="22"/>
              </w:rPr>
              <w:t>.</w:t>
            </w:r>
          </w:p>
          <w:p w14:paraId="1EA0558D" w14:textId="77777777" w:rsidR="00486680" w:rsidRDefault="00486680" w:rsidP="00454DA4">
            <w:pPr>
              <w:spacing w:after="0" w:line="240" w:lineRule="auto"/>
              <w:jc w:val="both"/>
              <w:rPr>
                <w:rFonts w:ascii="Arial" w:hAnsi="Arial" w:cs="Arial"/>
                <w:bCs/>
                <w:sz w:val="22"/>
                <w:szCs w:val="22"/>
              </w:rPr>
            </w:pPr>
          </w:p>
          <w:p w14:paraId="07FECF8D" w14:textId="77777777" w:rsidR="00486680" w:rsidRPr="007923C2" w:rsidRDefault="00486680" w:rsidP="00454DA4">
            <w:pPr>
              <w:spacing w:after="0" w:line="240" w:lineRule="auto"/>
              <w:jc w:val="both"/>
              <w:rPr>
                <w:rFonts w:ascii="Arial" w:hAnsi="Arial" w:cs="Arial"/>
                <w:sz w:val="22"/>
                <w:szCs w:val="22"/>
              </w:rPr>
            </w:pPr>
            <w:r w:rsidRPr="007923C2">
              <w:rPr>
                <w:rFonts w:ascii="Arial" w:hAnsi="Arial" w:cs="Arial"/>
                <w:bCs/>
                <w:sz w:val="22"/>
                <w:szCs w:val="22"/>
              </w:rPr>
              <w:t>Determinación de metabolitos secundarios y código de barras de adn de vitroplantas deTurbinicarpus valdezianus         </w:t>
            </w:r>
          </w:p>
        </w:tc>
      </w:tr>
      <w:tr w:rsidR="00454DA4" w:rsidRPr="007923C2" w14:paraId="5613CA71" w14:textId="77777777" w:rsidTr="00407B20">
        <w:trPr>
          <w:gridBefore w:val="1"/>
          <w:wBefore w:w="1276" w:type="dxa"/>
          <w:jc w:val="center"/>
        </w:trPr>
        <w:tc>
          <w:tcPr>
            <w:tcW w:w="10639" w:type="dxa"/>
            <w:gridSpan w:val="5"/>
            <w:tcBorders>
              <w:top w:val="nil"/>
              <w:left w:val="nil"/>
              <w:bottom w:val="nil"/>
              <w:right w:val="nil"/>
            </w:tcBorders>
            <w:shd w:val="clear" w:color="auto" w:fill="FFFFFF"/>
            <w:vAlign w:val="center"/>
            <w:hideMark/>
          </w:tcPr>
          <w:p w14:paraId="556811B2" w14:textId="77777777" w:rsidR="00486680" w:rsidRDefault="00454DA4" w:rsidP="00454DA4">
            <w:pPr>
              <w:spacing w:after="0" w:line="240" w:lineRule="auto"/>
              <w:jc w:val="both"/>
              <w:rPr>
                <w:rFonts w:ascii="Arial" w:hAnsi="Arial" w:cs="Arial"/>
                <w:sz w:val="22"/>
                <w:szCs w:val="22"/>
              </w:rPr>
            </w:pPr>
            <w:r w:rsidRPr="007923C2">
              <w:rPr>
                <w:rFonts w:ascii="Arial" w:hAnsi="Arial" w:cs="Arial"/>
                <w:sz w:val="22"/>
                <w:szCs w:val="22"/>
              </w:rPr>
              <w:t> </w:t>
            </w:r>
          </w:p>
          <w:p w14:paraId="147BB60E" w14:textId="77777777" w:rsidR="00486680" w:rsidRDefault="00486680" w:rsidP="00454DA4">
            <w:pPr>
              <w:spacing w:after="0" w:line="240" w:lineRule="auto"/>
              <w:jc w:val="both"/>
              <w:rPr>
                <w:rFonts w:ascii="Arial" w:hAnsi="Arial" w:cs="Arial"/>
                <w:sz w:val="22"/>
                <w:szCs w:val="22"/>
              </w:rPr>
            </w:pPr>
          </w:p>
          <w:p w14:paraId="6903E923" w14:textId="77777777" w:rsidR="00454DA4" w:rsidRPr="007923C2" w:rsidRDefault="00454DA4" w:rsidP="00454DA4">
            <w:pPr>
              <w:spacing w:after="0" w:line="240" w:lineRule="auto"/>
              <w:jc w:val="both"/>
              <w:rPr>
                <w:rFonts w:ascii="Arial" w:hAnsi="Arial" w:cs="Arial"/>
                <w:b/>
                <w:sz w:val="22"/>
                <w:szCs w:val="22"/>
              </w:rPr>
            </w:pPr>
            <w:r w:rsidRPr="007923C2">
              <w:rPr>
                <w:rFonts w:ascii="Arial" w:hAnsi="Arial" w:cs="Arial"/>
                <w:b/>
                <w:bCs/>
                <w:i/>
                <w:iCs/>
                <w:sz w:val="22"/>
                <w:szCs w:val="22"/>
              </w:rPr>
              <w:t>ZARATE LUPERCIO ALEJANDRO (1917) </w:t>
            </w:r>
          </w:p>
        </w:tc>
      </w:tr>
    </w:tbl>
    <w:p w14:paraId="48875C8F" w14:textId="77777777" w:rsidR="00454DA4" w:rsidRPr="007923C2" w:rsidRDefault="00454DA4" w:rsidP="00454DA4">
      <w:pPr>
        <w:jc w:val="both"/>
        <w:rPr>
          <w:rFonts w:ascii="Arial" w:hAnsi="Arial" w:cs="Arial"/>
          <w:bCs/>
          <w:sz w:val="22"/>
          <w:szCs w:val="22"/>
        </w:rPr>
      </w:pPr>
      <w:r w:rsidRPr="007923C2">
        <w:rPr>
          <w:rFonts w:ascii="Arial" w:hAnsi="Arial" w:cs="Arial"/>
          <w:bCs/>
          <w:sz w:val="22"/>
          <w:szCs w:val="22"/>
        </w:rPr>
        <w:t>Tesis</w:t>
      </w:r>
    </w:p>
    <w:p w14:paraId="0BF6C241" w14:textId="77777777" w:rsidR="00454DA4" w:rsidRDefault="00454DA4" w:rsidP="00454DA4">
      <w:pPr>
        <w:jc w:val="both"/>
        <w:rPr>
          <w:rFonts w:ascii="Arial" w:hAnsi="Arial" w:cs="Arial"/>
          <w:bCs/>
          <w:sz w:val="22"/>
          <w:szCs w:val="22"/>
        </w:rPr>
      </w:pPr>
      <w:r w:rsidRPr="007923C2">
        <w:rPr>
          <w:rFonts w:ascii="Arial" w:hAnsi="Arial" w:cs="Arial"/>
          <w:bCs/>
          <w:sz w:val="22"/>
          <w:szCs w:val="22"/>
        </w:rPr>
        <w:t>Asesor Principal Licenciatura</w:t>
      </w:r>
    </w:p>
    <w:p w14:paraId="1486E519" w14:textId="77777777" w:rsidR="00486680" w:rsidRDefault="00486680" w:rsidP="00454DA4">
      <w:pPr>
        <w:jc w:val="both"/>
        <w:rPr>
          <w:rFonts w:ascii="Arial" w:hAnsi="Arial" w:cs="Arial"/>
          <w:bCs/>
          <w:sz w:val="22"/>
          <w:szCs w:val="22"/>
        </w:rPr>
      </w:pPr>
      <w:r w:rsidRPr="007923C2">
        <w:rPr>
          <w:rFonts w:ascii="Arial" w:hAnsi="Arial" w:cs="Arial"/>
          <w:bCs/>
          <w:sz w:val="22"/>
          <w:szCs w:val="22"/>
        </w:rPr>
        <w:t>Investigación Descriptiva: Propagación de cenizo (Leucophyllum frutescens) por medio de estacas</w:t>
      </w:r>
      <w:r>
        <w:rPr>
          <w:rFonts w:ascii="Arial" w:hAnsi="Arial" w:cs="Arial"/>
          <w:bCs/>
          <w:sz w:val="22"/>
          <w:szCs w:val="22"/>
        </w:rPr>
        <w:t>.</w:t>
      </w:r>
    </w:p>
    <w:p w14:paraId="160FAD60" w14:textId="77777777" w:rsidR="00486680" w:rsidRDefault="00486680" w:rsidP="00454DA4">
      <w:pPr>
        <w:jc w:val="both"/>
        <w:rPr>
          <w:rFonts w:ascii="Arial" w:hAnsi="Arial" w:cs="Arial"/>
          <w:bCs/>
          <w:sz w:val="22"/>
          <w:szCs w:val="22"/>
        </w:rPr>
      </w:pPr>
      <w:r w:rsidRPr="007923C2">
        <w:rPr>
          <w:rFonts w:ascii="Arial" w:hAnsi="Arial" w:cs="Arial"/>
          <w:bCs/>
          <w:sz w:val="22"/>
          <w:szCs w:val="22"/>
        </w:rPr>
        <w:t>Estructura y diversidad arbórea de los manglares de las Lagunas de Alvarado, Veracruz, México</w:t>
      </w:r>
      <w:r>
        <w:rPr>
          <w:rFonts w:ascii="Arial" w:hAnsi="Arial" w:cs="Arial"/>
          <w:bCs/>
          <w:sz w:val="22"/>
          <w:szCs w:val="22"/>
        </w:rPr>
        <w:t>.</w:t>
      </w:r>
      <w:r w:rsidRPr="007923C2">
        <w:rPr>
          <w:rFonts w:ascii="Arial" w:hAnsi="Arial" w:cs="Arial"/>
          <w:bCs/>
          <w:sz w:val="22"/>
          <w:szCs w:val="22"/>
        </w:rPr>
        <w:t xml:space="preserve">   </w:t>
      </w:r>
    </w:p>
    <w:p w14:paraId="727B05AD" w14:textId="77777777" w:rsidR="00486680" w:rsidRDefault="00486680" w:rsidP="00454DA4">
      <w:pPr>
        <w:jc w:val="both"/>
        <w:rPr>
          <w:rFonts w:ascii="Arial" w:hAnsi="Arial" w:cs="Arial"/>
          <w:bCs/>
          <w:sz w:val="22"/>
          <w:szCs w:val="22"/>
        </w:rPr>
      </w:pPr>
      <w:r w:rsidRPr="007923C2">
        <w:rPr>
          <w:rFonts w:ascii="Arial" w:hAnsi="Arial" w:cs="Arial"/>
          <w:bCs/>
          <w:sz w:val="22"/>
          <w:szCs w:val="22"/>
        </w:rPr>
        <w:t>Estructura y diversidad arbórea de los manglares de las lagunas de alvarado, veracruz, méxico.   </w:t>
      </w:r>
    </w:p>
    <w:p w14:paraId="7495BAD3" w14:textId="77777777" w:rsidR="00486680" w:rsidRDefault="00486680" w:rsidP="00454DA4">
      <w:pPr>
        <w:jc w:val="both"/>
        <w:rPr>
          <w:rFonts w:ascii="Arial" w:hAnsi="Arial" w:cs="Arial"/>
          <w:bCs/>
          <w:sz w:val="22"/>
          <w:szCs w:val="22"/>
        </w:rPr>
      </w:pPr>
      <w:r w:rsidRPr="007923C2">
        <w:rPr>
          <w:rFonts w:ascii="Arial" w:hAnsi="Arial" w:cs="Arial"/>
          <w:bCs/>
          <w:sz w:val="22"/>
          <w:szCs w:val="22"/>
        </w:rPr>
        <w:t>Propagación de cenizo Leucophyllum frutescens por medio de estacas con diferentes sustratos y enraizador algaenzims.     </w:t>
      </w:r>
    </w:p>
    <w:tbl>
      <w:tblPr>
        <w:tblW w:w="8250" w:type="dxa"/>
        <w:jc w:val="center"/>
        <w:shd w:val="clear" w:color="auto" w:fill="FFFFFF"/>
        <w:tblCellMar>
          <w:left w:w="0" w:type="dxa"/>
          <w:right w:w="0" w:type="dxa"/>
        </w:tblCellMar>
        <w:tblLook w:val="04A0" w:firstRow="1" w:lastRow="0" w:firstColumn="1" w:lastColumn="0" w:noHBand="0" w:noVBand="1"/>
      </w:tblPr>
      <w:tblGrid>
        <w:gridCol w:w="8250"/>
      </w:tblGrid>
      <w:tr w:rsidR="00454DA4" w:rsidRPr="007923C2" w14:paraId="17894602" w14:textId="77777777" w:rsidTr="00486680">
        <w:trPr>
          <w:jc w:val="center"/>
        </w:trPr>
        <w:tc>
          <w:tcPr>
            <w:tcW w:w="0" w:type="auto"/>
            <w:tcBorders>
              <w:top w:val="nil"/>
              <w:left w:val="nil"/>
              <w:bottom w:val="nil"/>
              <w:right w:val="nil"/>
            </w:tcBorders>
            <w:shd w:val="clear" w:color="auto" w:fill="FFFFFF"/>
            <w:vAlign w:val="center"/>
            <w:hideMark/>
          </w:tcPr>
          <w:p w14:paraId="2F2D2FF5" w14:textId="77777777" w:rsidR="00454DA4" w:rsidRDefault="00454DA4" w:rsidP="00454DA4">
            <w:pPr>
              <w:spacing w:after="0" w:line="240" w:lineRule="auto"/>
              <w:jc w:val="both"/>
              <w:rPr>
                <w:rFonts w:ascii="Arial" w:hAnsi="Arial" w:cs="Arial"/>
                <w:bCs/>
                <w:sz w:val="22"/>
                <w:szCs w:val="22"/>
              </w:rPr>
            </w:pPr>
            <w:r w:rsidRPr="007923C2">
              <w:rPr>
                <w:rFonts w:ascii="Arial" w:hAnsi="Arial" w:cs="Arial"/>
                <w:bCs/>
                <w:sz w:val="22"/>
                <w:szCs w:val="22"/>
              </w:rPr>
              <w:t>LICENCIATURA - CO-ASESOR </w:t>
            </w:r>
          </w:p>
          <w:p w14:paraId="739594DB" w14:textId="77777777" w:rsidR="00486680" w:rsidRDefault="00486680" w:rsidP="00454DA4">
            <w:pPr>
              <w:spacing w:after="0" w:line="240" w:lineRule="auto"/>
              <w:jc w:val="both"/>
              <w:rPr>
                <w:rFonts w:ascii="Arial" w:hAnsi="Arial" w:cs="Arial"/>
                <w:bCs/>
                <w:sz w:val="22"/>
                <w:szCs w:val="22"/>
              </w:rPr>
            </w:pPr>
            <w:r w:rsidRPr="007923C2">
              <w:rPr>
                <w:rFonts w:ascii="Arial" w:hAnsi="Arial" w:cs="Arial"/>
                <w:bCs/>
                <w:sz w:val="22"/>
                <w:szCs w:val="22"/>
              </w:rPr>
              <w:lastRenderedPageBreak/>
              <w:t>Diversidad de especies en Manglares de Soto La Marina, Tamaulipas y Tecomán , Colima</w:t>
            </w:r>
            <w:r>
              <w:rPr>
                <w:rFonts w:ascii="Arial" w:hAnsi="Arial" w:cs="Arial"/>
                <w:bCs/>
                <w:sz w:val="22"/>
                <w:szCs w:val="22"/>
              </w:rPr>
              <w:t>.</w:t>
            </w:r>
          </w:p>
          <w:p w14:paraId="4C7C8101" w14:textId="77777777" w:rsidR="00486680" w:rsidRDefault="00486680" w:rsidP="00454DA4">
            <w:pPr>
              <w:spacing w:after="0" w:line="240" w:lineRule="auto"/>
              <w:jc w:val="both"/>
              <w:rPr>
                <w:rFonts w:ascii="Arial" w:hAnsi="Arial" w:cs="Arial"/>
                <w:bCs/>
                <w:sz w:val="22"/>
                <w:szCs w:val="22"/>
              </w:rPr>
            </w:pPr>
            <w:r w:rsidRPr="007923C2">
              <w:rPr>
                <w:rFonts w:ascii="Arial" w:hAnsi="Arial" w:cs="Arial"/>
                <w:bCs/>
                <w:sz w:val="22"/>
                <w:szCs w:val="22"/>
              </w:rPr>
              <w:t>Análisis de crecimiento en diámetro y altura de tres especies tropicales en plantación de enriquecimiento.   </w:t>
            </w:r>
          </w:p>
          <w:p w14:paraId="5F6DEF7C" w14:textId="77777777" w:rsidR="00486680" w:rsidRPr="007923C2" w:rsidRDefault="00486680" w:rsidP="00454DA4">
            <w:pPr>
              <w:spacing w:after="0" w:line="240" w:lineRule="auto"/>
              <w:jc w:val="both"/>
              <w:rPr>
                <w:rFonts w:ascii="Arial" w:hAnsi="Arial" w:cs="Arial"/>
                <w:sz w:val="22"/>
                <w:szCs w:val="22"/>
              </w:rPr>
            </w:pPr>
          </w:p>
        </w:tc>
      </w:tr>
    </w:tbl>
    <w:p w14:paraId="084F8C07" w14:textId="77777777" w:rsidR="003D7D5E" w:rsidRPr="007923C2" w:rsidRDefault="003D7D5E" w:rsidP="003C7713">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lastRenderedPageBreak/>
        <w:t>4.3.2.3.-INFRAESTRUCTURA Y EQUIPO</w:t>
      </w:r>
    </w:p>
    <w:p w14:paraId="6EBB9F17"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departamento de Botánica que es donde se administra la carrera de Ingeniero en Agrobiología cuenta con:</w:t>
      </w:r>
    </w:p>
    <w:p w14:paraId="2ED31830"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LABORATORIOS  Y UNIDADES</w:t>
      </w:r>
    </w:p>
    <w:p w14:paraId="7353B364"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Laboratorios:</w:t>
      </w:r>
    </w:p>
    <w:p w14:paraId="6D15E7E1"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1.- Fisiología Vegetal</w:t>
      </w:r>
    </w:p>
    <w:p w14:paraId="7C6D99F2"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2.- Ecología</w:t>
      </w:r>
    </w:p>
    <w:p w14:paraId="13B7D8D2"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3.- Botánica</w:t>
      </w:r>
    </w:p>
    <w:p w14:paraId="0F05A62A"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4.- Botánica Sistemática</w:t>
      </w:r>
    </w:p>
    <w:p w14:paraId="66C463BC"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5.- Anatomía e Histología Vegetal</w:t>
      </w:r>
    </w:p>
    <w:p w14:paraId="17331245" w14:textId="77777777" w:rsidR="004F16F4"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6.- Biología</w:t>
      </w:r>
    </w:p>
    <w:p w14:paraId="33C99C98" w14:textId="279FFBA3" w:rsidR="000F7448" w:rsidRPr="007923C2" w:rsidRDefault="000F7448" w:rsidP="004F16F4">
      <w:pPr>
        <w:widowControl w:val="0"/>
        <w:autoSpaceDE w:val="0"/>
        <w:autoSpaceDN w:val="0"/>
        <w:adjustRightInd w:val="0"/>
        <w:jc w:val="both"/>
        <w:rPr>
          <w:rFonts w:ascii="Arial" w:hAnsi="Arial" w:cs="Arial"/>
          <w:sz w:val="22"/>
          <w:szCs w:val="22"/>
        </w:rPr>
      </w:pPr>
      <w:r>
        <w:rPr>
          <w:rFonts w:ascii="Arial" w:hAnsi="Arial" w:cs="Arial"/>
          <w:sz w:val="22"/>
          <w:szCs w:val="22"/>
        </w:rPr>
        <w:t>7.-Zoología</w:t>
      </w:r>
    </w:p>
    <w:p w14:paraId="1D5094EB"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Cada laboratorio consta de un área de trabajo, bodega de materiales, área de preparación de reactivos, un cubículo para un profesor y uno para la técnica laboratorista.</w:t>
      </w:r>
    </w:p>
    <w:p w14:paraId="376DC986"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coordinador  del área de laboratorio así como la técnica  laboratorista son los encargados de que se lleven a cabo las prácticas de las materias.</w:t>
      </w:r>
    </w:p>
    <w:p w14:paraId="09D8DE78"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coordinador debe estar al día en el funcionamiento del laboratorio en cuanto a los materiales que se requieren (reactivos y equipo) las prácticas que se van a realizar, manuales de prácticas, la distribución de tiempo del trabajo en el laboratorio etc.</w:t>
      </w:r>
    </w:p>
    <w:p w14:paraId="5FDB4B54" w14:textId="77777777" w:rsidR="00E6591C"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coordinador del área junto con la academia de profesores que imparten la o las materias que le corresponde revisa</w:t>
      </w:r>
      <w:r w:rsidR="00461951">
        <w:rPr>
          <w:rFonts w:ascii="Arial" w:hAnsi="Arial" w:cs="Arial"/>
          <w:sz w:val="22"/>
          <w:szCs w:val="22"/>
        </w:rPr>
        <w:t>n</w:t>
      </w:r>
      <w:r w:rsidRPr="007923C2">
        <w:rPr>
          <w:rFonts w:ascii="Arial" w:hAnsi="Arial" w:cs="Arial"/>
          <w:sz w:val="22"/>
          <w:szCs w:val="22"/>
        </w:rPr>
        <w:t xml:space="preserve"> los programas para adecuar cambios así como las prácticas de laboratorio.</w:t>
      </w:r>
    </w:p>
    <w:p w14:paraId="7AE5B605" w14:textId="77777777" w:rsidR="004F16F4" w:rsidRPr="007923C2" w:rsidRDefault="00E6591C"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 la acreditación de la carrera IAB 2006 se realizó una revisión de los laboratorios y se unificó los estándares a cumplir según los requerimientos solicitados, cada laboratorio cuenta con un manual de prácticas, manual de procedimientos de cada práctica, manual de manejo del equipo, inventario de reactivos y equipo, registro de prácticas de laboratorio, los equipos etiquetados para su registro. </w:t>
      </w:r>
    </w:p>
    <w:p w14:paraId="5984DC38"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Debido a que el Departamento de Botánica da apoyo a otras carreras en materias básicas como Biología, Ecología, Fisiología Vegetal, Botánica general se reciben en gran número de alumnos</w:t>
      </w:r>
      <w:r w:rsidR="00FA5F0D">
        <w:rPr>
          <w:rFonts w:ascii="Arial" w:hAnsi="Arial" w:cs="Arial"/>
          <w:sz w:val="22"/>
          <w:szCs w:val="22"/>
        </w:rPr>
        <w:t xml:space="preserve"> de casi todas las carreras de la Universidad</w:t>
      </w:r>
      <w:r w:rsidRPr="007923C2">
        <w:rPr>
          <w:rFonts w:ascii="Arial" w:hAnsi="Arial" w:cs="Arial"/>
          <w:sz w:val="22"/>
          <w:szCs w:val="22"/>
        </w:rPr>
        <w:t xml:space="preserve"> en esos laboratorios, por lo que el requerimiento de reposición de material de laboratorio es constante y el deterioro del equipo como los microscopios demanda de servicio también constante.</w:t>
      </w:r>
    </w:p>
    <w:p w14:paraId="59013AAA"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laboratorios del Departamento cuentan con equipo</w:t>
      </w:r>
      <w:r w:rsidR="00E6591C" w:rsidRPr="007923C2">
        <w:rPr>
          <w:rFonts w:ascii="Arial" w:hAnsi="Arial" w:cs="Arial"/>
          <w:sz w:val="22"/>
          <w:szCs w:val="22"/>
        </w:rPr>
        <w:t>que se</w:t>
      </w:r>
      <w:r w:rsidRPr="007923C2">
        <w:rPr>
          <w:rFonts w:ascii="Arial" w:hAnsi="Arial" w:cs="Arial"/>
          <w:sz w:val="22"/>
          <w:szCs w:val="22"/>
        </w:rPr>
        <w:t xml:space="preserve"> deteriora</w:t>
      </w:r>
      <w:r w:rsidR="00ED0A86" w:rsidRPr="007923C2">
        <w:rPr>
          <w:rFonts w:ascii="Arial" w:hAnsi="Arial" w:cs="Arial"/>
          <w:sz w:val="22"/>
          <w:szCs w:val="22"/>
        </w:rPr>
        <w:t xml:space="preserve"> debido al uso intensivo que se le dá</w:t>
      </w:r>
      <w:r w:rsidRPr="007923C2">
        <w:rPr>
          <w:rFonts w:ascii="Arial" w:hAnsi="Arial" w:cs="Arial"/>
          <w:sz w:val="22"/>
          <w:szCs w:val="22"/>
        </w:rPr>
        <w:t xml:space="preserve">, se requieren de equipos  mas actualizados sobre todo los que se necesitan para la carrera de </w:t>
      </w:r>
      <w:r w:rsidRPr="007923C2">
        <w:rPr>
          <w:rFonts w:ascii="Arial" w:hAnsi="Arial" w:cs="Arial"/>
          <w:sz w:val="22"/>
          <w:szCs w:val="22"/>
        </w:rPr>
        <w:lastRenderedPageBreak/>
        <w:t>Agrobiología.</w:t>
      </w:r>
    </w:p>
    <w:p w14:paraId="1F34824C"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Cada laboratorio cuenta con la infraestructura básica para la realización de las prácticas, au</w:t>
      </w:r>
      <w:r w:rsidR="00ED0A86" w:rsidRPr="007923C2">
        <w:rPr>
          <w:rFonts w:ascii="Arial" w:hAnsi="Arial" w:cs="Arial"/>
          <w:sz w:val="22"/>
          <w:szCs w:val="22"/>
        </w:rPr>
        <w:t>n</w:t>
      </w:r>
      <w:r w:rsidRPr="007923C2">
        <w:rPr>
          <w:rFonts w:ascii="Arial" w:hAnsi="Arial" w:cs="Arial"/>
          <w:sz w:val="22"/>
          <w:szCs w:val="22"/>
        </w:rPr>
        <w:t xml:space="preserve">que algún equipo </w:t>
      </w:r>
      <w:r w:rsidR="00956844" w:rsidRPr="007923C2">
        <w:rPr>
          <w:rFonts w:ascii="Arial" w:hAnsi="Arial" w:cs="Arial"/>
          <w:sz w:val="22"/>
          <w:szCs w:val="22"/>
        </w:rPr>
        <w:t>requiere de reposición</w:t>
      </w:r>
      <w:r w:rsidRPr="007923C2">
        <w:rPr>
          <w:rFonts w:ascii="Arial" w:hAnsi="Arial" w:cs="Arial"/>
          <w:sz w:val="22"/>
          <w:szCs w:val="22"/>
        </w:rPr>
        <w:t xml:space="preserve"> y se carece del suficiente sobre todo para impartir las prácticas de las materias más recientes de la carrera de Agrobiología.</w:t>
      </w:r>
    </w:p>
    <w:p w14:paraId="3C775EB9" w14:textId="77777777" w:rsidR="00956844" w:rsidRPr="007923C2" w:rsidRDefault="0095684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tiene un laboratorio de investigación enfocado a proyectos de investigación sobre contaminación ambiental, en el cual los alumnos de la carrera realizan tesis o servicio social.</w:t>
      </w:r>
    </w:p>
    <w:p w14:paraId="4A79B320" w14:textId="77777777" w:rsidR="004F16F4" w:rsidRPr="007923C2" w:rsidRDefault="0095684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ha tenido avance en la adquisición de equipo y reactivos para los laboratorios y otro tipo de materiales.</w:t>
      </w:r>
    </w:p>
    <w:p w14:paraId="39D9BD40"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Los laboratorios cuentan con los reactivos </w:t>
      </w:r>
      <w:r w:rsidR="00461951">
        <w:rPr>
          <w:rFonts w:ascii="Arial" w:hAnsi="Arial" w:cs="Arial"/>
          <w:sz w:val="22"/>
          <w:szCs w:val="22"/>
        </w:rPr>
        <w:t>indispensables</w:t>
      </w:r>
      <w:r w:rsidRPr="007923C2">
        <w:rPr>
          <w:rFonts w:ascii="Arial" w:hAnsi="Arial" w:cs="Arial"/>
          <w:sz w:val="22"/>
          <w:szCs w:val="22"/>
        </w:rPr>
        <w:t xml:space="preserve"> pero no lo suficiente para impartir prácticas más acorde al avance de la ciencia y tecnología moderna.</w:t>
      </w:r>
    </w:p>
    <w:p w14:paraId="713E05EE"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Así también el programa docente de Agrobiología cuenta con el apoyo de diferentes departamentos académicos de la Universidad.</w:t>
      </w:r>
    </w:p>
    <w:p w14:paraId="737678D0"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A continuación se muestra una relación de los departamentos que dan apoyo al programa y las </w:t>
      </w:r>
      <w:r w:rsidR="0078244D" w:rsidRPr="007923C2">
        <w:rPr>
          <w:rFonts w:ascii="Arial" w:hAnsi="Arial" w:cs="Arial"/>
          <w:sz w:val="22"/>
          <w:szCs w:val="22"/>
        </w:rPr>
        <w:t>m</w:t>
      </w:r>
      <w:r w:rsidRPr="007923C2">
        <w:rPr>
          <w:rFonts w:ascii="Arial" w:hAnsi="Arial" w:cs="Arial"/>
          <w:sz w:val="22"/>
          <w:szCs w:val="22"/>
        </w:rPr>
        <w:t>aterias que imparten.</w:t>
      </w:r>
    </w:p>
    <w:p w14:paraId="2305BF6C"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ESTADÍSTICA Y CÁLCULO</w:t>
      </w:r>
    </w:p>
    <w:p w14:paraId="2E8D4F74" w14:textId="77777777" w:rsidR="004F16F4" w:rsidRPr="007923C2" w:rsidRDefault="0078244D"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Matemáticas</w:t>
      </w:r>
      <w:r w:rsidR="004F16F4" w:rsidRPr="007923C2">
        <w:rPr>
          <w:rFonts w:ascii="Arial" w:hAnsi="Arial" w:cs="Arial"/>
          <w:sz w:val="22"/>
          <w:szCs w:val="22"/>
        </w:rPr>
        <w:t xml:space="preserve"> DEC-4</w:t>
      </w:r>
      <w:r w:rsidRPr="007923C2">
        <w:rPr>
          <w:rFonts w:ascii="Arial" w:hAnsi="Arial" w:cs="Arial"/>
          <w:sz w:val="22"/>
          <w:szCs w:val="22"/>
        </w:rPr>
        <w:t>10,</w:t>
      </w:r>
      <w:r w:rsidR="0077065B">
        <w:rPr>
          <w:rFonts w:ascii="Arial" w:hAnsi="Arial" w:cs="Arial"/>
          <w:sz w:val="22"/>
          <w:szCs w:val="22"/>
        </w:rPr>
        <w:t xml:space="preserve"> </w:t>
      </w:r>
      <w:r w:rsidRPr="007923C2">
        <w:rPr>
          <w:rFonts w:ascii="Arial" w:hAnsi="Arial" w:cs="Arial"/>
          <w:sz w:val="22"/>
          <w:szCs w:val="22"/>
        </w:rPr>
        <w:t>Cálculo diferencial e integral</w:t>
      </w:r>
      <w:r w:rsidR="004F16F4" w:rsidRPr="007923C2">
        <w:rPr>
          <w:rFonts w:ascii="Arial" w:hAnsi="Arial" w:cs="Arial"/>
          <w:sz w:val="22"/>
          <w:szCs w:val="22"/>
        </w:rPr>
        <w:t xml:space="preserve"> DEC-4</w:t>
      </w:r>
      <w:r w:rsidRPr="007923C2">
        <w:rPr>
          <w:rFonts w:ascii="Arial" w:hAnsi="Arial" w:cs="Arial"/>
          <w:sz w:val="22"/>
          <w:szCs w:val="22"/>
        </w:rPr>
        <w:t>05, Diseños experimentales DEC-430.</w:t>
      </w:r>
    </w:p>
    <w:p w14:paraId="7E2DD7F9"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SUELOS</w:t>
      </w:r>
    </w:p>
    <w:p w14:paraId="3FC36C8F"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Introducción a la Ciencia del Suelo SUE-403, Arquitectura del Paisaje SUE-409, </w:t>
      </w:r>
      <w:r w:rsidR="0078244D" w:rsidRPr="007923C2">
        <w:rPr>
          <w:rFonts w:ascii="Arial" w:hAnsi="Arial" w:cs="Arial"/>
          <w:sz w:val="22"/>
          <w:szCs w:val="22"/>
        </w:rPr>
        <w:t>M</w:t>
      </w:r>
      <w:r w:rsidRPr="007923C2">
        <w:rPr>
          <w:rFonts w:ascii="Arial" w:hAnsi="Arial" w:cs="Arial"/>
          <w:sz w:val="22"/>
          <w:szCs w:val="22"/>
        </w:rPr>
        <w:t>anejo Agroecológico del Suelo SUE-486, Toxicología Ambiental SUE-483</w:t>
      </w:r>
      <w:r w:rsidR="0078244D" w:rsidRPr="007923C2">
        <w:rPr>
          <w:rFonts w:ascii="Arial" w:hAnsi="Arial" w:cs="Arial"/>
          <w:sz w:val="22"/>
          <w:szCs w:val="22"/>
        </w:rPr>
        <w:t>,</w:t>
      </w:r>
      <w:r w:rsidR="0077065B">
        <w:rPr>
          <w:rFonts w:ascii="Arial" w:hAnsi="Arial" w:cs="Arial"/>
          <w:sz w:val="22"/>
          <w:szCs w:val="22"/>
        </w:rPr>
        <w:t xml:space="preserve"> </w:t>
      </w:r>
      <w:r w:rsidR="00840CBE" w:rsidRPr="007923C2">
        <w:rPr>
          <w:rFonts w:ascii="Arial" w:hAnsi="Arial" w:cs="Arial"/>
          <w:sz w:val="22"/>
          <w:szCs w:val="22"/>
        </w:rPr>
        <w:t>Fertilidad y fertilización de suelos SUE-420, Conservación de suelo y agua SUE-462.</w:t>
      </w:r>
    </w:p>
    <w:p w14:paraId="47288297"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AGROFÍSICA</w:t>
      </w:r>
    </w:p>
    <w:p w14:paraId="7826B01F"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Agrofísica I AGF-403</w:t>
      </w:r>
      <w:r w:rsidR="00840CBE" w:rsidRPr="007923C2">
        <w:rPr>
          <w:rFonts w:ascii="Arial" w:hAnsi="Arial" w:cs="Arial"/>
          <w:sz w:val="22"/>
          <w:szCs w:val="22"/>
        </w:rPr>
        <w:t>.</w:t>
      </w:r>
    </w:p>
    <w:p w14:paraId="7F3F8A39"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AGROMETEOROLOGÍA</w:t>
      </w:r>
    </w:p>
    <w:p w14:paraId="43A69B60"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Meteorología y Climatología AGM-407.</w:t>
      </w:r>
    </w:p>
    <w:p w14:paraId="69A396A7"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CIENCIAS BÁSICAS</w:t>
      </w:r>
    </w:p>
    <w:p w14:paraId="43D76A45"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Química I CSB-403, CSB-415, Bioquímica CSB-421</w:t>
      </w:r>
      <w:r w:rsidR="00840CBE" w:rsidRPr="007923C2">
        <w:rPr>
          <w:rFonts w:ascii="Arial" w:hAnsi="Arial" w:cs="Arial"/>
          <w:sz w:val="22"/>
          <w:szCs w:val="22"/>
        </w:rPr>
        <w:t>, Topografía general CSB-416</w:t>
      </w:r>
    </w:p>
    <w:p w14:paraId="3A14BE98"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FORESTAL</w:t>
      </w:r>
    </w:p>
    <w:p w14:paraId="48E0ABC7"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Ordenamiento Ecológico FOR-482, Evaluación de Impacto Ambiental FOR-466</w:t>
      </w:r>
      <w:r w:rsidR="00840CBE" w:rsidRPr="007923C2">
        <w:rPr>
          <w:rFonts w:ascii="Arial" w:hAnsi="Arial" w:cs="Arial"/>
          <w:sz w:val="22"/>
          <w:szCs w:val="22"/>
        </w:rPr>
        <w:t xml:space="preserve">, </w:t>
      </w:r>
    </w:p>
    <w:p w14:paraId="6E2AD3F9" w14:textId="77777777" w:rsidR="004F16F4" w:rsidRPr="007923C2" w:rsidRDefault="00840CBE"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Legislación forestal y ambiental FOR-436, Recursos renovables de zonas áridas FOR-474, Sensores remotos FOR-433, Manejo de áreas naturales protegidas FOR-475.</w:t>
      </w:r>
    </w:p>
    <w:p w14:paraId="7C12D9C2"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ADMINISTRACIÓN AGROPECUARIA</w:t>
      </w:r>
    </w:p>
    <w:p w14:paraId="7A38F3AA"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Formulación y Evaluación de Proyectos ADM-459, Administración I ADM-403.</w:t>
      </w:r>
    </w:p>
    <w:p w14:paraId="75E8BB43"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ECONOMÍA AGRÍCOLA</w:t>
      </w:r>
    </w:p>
    <w:p w14:paraId="7C64F8F0"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Economía Ambiental ECA-497</w:t>
      </w:r>
    </w:p>
    <w:p w14:paraId="48AF1C47"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DEPARTAMENTO DE RIEGO Y DRENAJE</w:t>
      </w:r>
    </w:p>
    <w:p w14:paraId="00DCAAD6"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Manejo Agroecológico del Agua</w:t>
      </w:r>
      <w:r w:rsidR="00840CBE" w:rsidRPr="007923C2">
        <w:rPr>
          <w:rFonts w:ascii="Arial" w:hAnsi="Arial" w:cs="Arial"/>
          <w:sz w:val="22"/>
          <w:szCs w:val="22"/>
        </w:rPr>
        <w:t xml:space="preserve"> RYD-483. </w:t>
      </w:r>
    </w:p>
    <w:p w14:paraId="2C927B75"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FITOMEJORAMIENTO</w:t>
      </w:r>
    </w:p>
    <w:p w14:paraId="0A96F553"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Ingeniería Genética FIT-498, Biotecnología I FIT-492, Biotecnología II FIT-493, Genética FIT-401, </w:t>
      </w:r>
      <w:r w:rsidR="00BE2513" w:rsidRPr="007923C2">
        <w:rPr>
          <w:rFonts w:ascii="Arial" w:hAnsi="Arial" w:cs="Arial"/>
          <w:sz w:val="22"/>
          <w:szCs w:val="22"/>
        </w:rPr>
        <w:t>Organismos transgénicos FIT-481, Producción de hongos comestibles FIT-496, Recursos genéticos FIT-459, Productividad agroecológica FIT-427, Producción en invernadero FIT-477, Agricultura sustentable e inocuidad FIT-471, Producción de cultivos básicos FIT-450, Principios de producción FIT-423.</w:t>
      </w:r>
    </w:p>
    <w:p w14:paraId="5C4E2A82"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PARASITOLOGÍA</w:t>
      </w:r>
    </w:p>
    <w:p w14:paraId="3DC1AC02"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Manejo Integrado de Plagas PAR-498, Ecología de Plagas y Enfermedades PAR-497, Microbiología Industrial PAR-496, </w:t>
      </w:r>
      <w:r w:rsidR="00BE2513" w:rsidRPr="007923C2">
        <w:rPr>
          <w:rFonts w:ascii="Arial" w:hAnsi="Arial" w:cs="Arial"/>
          <w:sz w:val="22"/>
          <w:szCs w:val="22"/>
        </w:rPr>
        <w:t>Entomología PAR-486, Introducción a la biotecnología molecular PAR-478.</w:t>
      </w:r>
    </w:p>
    <w:p w14:paraId="49F0A4BD"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SOCIOLOGÍA</w:t>
      </w:r>
    </w:p>
    <w:p w14:paraId="2FECC299" w14:textId="77777777" w:rsidR="004F16F4" w:rsidRPr="007923C2" w:rsidRDefault="00BE2513"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Taller de comunica</w:t>
      </w:r>
      <w:r w:rsidR="001E1AB5" w:rsidRPr="007923C2">
        <w:rPr>
          <w:rFonts w:ascii="Arial" w:hAnsi="Arial" w:cs="Arial"/>
          <w:sz w:val="22"/>
          <w:szCs w:val="22"/>
        </w:rPr>
        <w:t>c</w:t>
      </w:r>
      <w:r w:rsidRPr="007923C2">
        <w:rPr>
          <w:rFonts w:ascii="Arial" w:hAnsi="Arial" w:cs="Arial"/>
          <w:sz w:val="22"/>
          <w:szCs w:val="22"/>
        </w:rPr>
        <w:t>ión oral y escrita SOC-</w:t>
      </w:r>
      <w:r w:rsidR="00E6591C" w:rsidRPr="007923C2">
        <w:rPr>
          <w:rFonts w:ascii="Arial" w:hAnsi="Arial" w:cs="Arial"/>
          <w:sz w:val="22"/>
          <w:szCs w:val="22"/>
        </w:rPr>
        <w:t>405.</w:t>
      </w:r>
    </w:p>
    <w:p w14:paraId="28F23C8D" w14:textId="77777777" w:rsidR="004F16F4" w:rsidRPr="007923C2" w:rsidRDefault="00461951" w:rsidP="004F16F4">
      <w:pPr>
        <w:widowControl w:val="0"/>
        <w:autoSpaceDE w:val="0"/>
        <w:autoSpaceDN w:val="0"/>
        <w:adjustRightInd w:val="0"/>
        <w:jc w:val="both"/>
        <w:rPr>
          <w:rFonts w:ascii="Arial" w:hAnsi="Arial" w:cs="Arial"/>
          <w:sz w:val="22"/>
          <w:szCs w:val="22"/>
        </w:rPr>
      </w:pPr>
      <w:r>
        <w:rPr>
          <w:rFonts w:ascii="Arial" w:hAnsi="Arial" w:cs="Arial"/>
          <w:sz w:val="22"/>
          <w:szCs w:val="22"/>
        </w:rPr>
        <w:t>Las materias que incluyen prácticas de laboratorio son impartidas en</w:t>
      </w:r>
      <w:r w:rsidR="004F16F4" w:rsidRPr="007923C2">
        <w:rPr>
          <w:rFonts w:ascii="Arial" w:hAnsi="Arial" w:cs="Arial"/>
          <w:sz w:val="22"/>
          <w:szCs w:val="22"/>
        </w:rPr>
        <w:t xml:space="preserve"> laboratorios</w:t>
      </w:r>
      <w:r>
        <w:rPr>
          <w:rFonts w:ascii="Arial" w:hAnsi="Arial" w:cs="Arial"/>
          <w:sz w:val="22"/>
          <w:szCs w:val="22"/>
        </w:rPr>
        <w:t xml:space="preserve"> que</w:t>
      </w:r>
      <w:r w:rsidR="004F16F4" w:rsidRPr="007923C2">
        <w:rPr>
          <w:rFonts w:ascii="Arial" w:hAnsi="Arial" w:cs="Arial"/>
          <w:sz w:val="22"/>
          <w:szCs w:val="22"/>
        </w:rPr>
        <w:t xml:space="preserve"> cuentan con el equipo adecuado y suficiente para dar </w:t>
      </w:r>
      <w:r w:rsidR="00FA5F0D">
        <w:rPr>
          <w:rFonts w:ascii="Arial" w:hAnsi="Arial" w:cs="Arial"/>
          <w:sz w:val="22"/>
          <w:szCs w:val="22"/>
        </w:rPr>
        <w:t>las prácticas</w:t>
      </w:r>
      <w:r w:rsidR="004F16F4" w:rsidRPr="007923C2">
        <w:rPr>
          <w:rFonts w:ascii="Arial" w:hAnsi="Arial" w:cs="Arial"/>
          <w:sz w:val="22"/>
          <w:szCs w:val="22"/>
        </w:rPr>
        <w:t xml:space="preserve"> a los alumnos de la carrera de Ingeniero en Agrobiología, </w:t>
      </w:r>
      <w:r w:rsidR="00A411B8">
        <w:rPr>
          <w:rFonts w:ascii="Arial" w:hAnsi="Arial" w:cs="Arial"/>
          <w:sz w:val="22"/>
          <w:szCs w:val="22"/>
        </w:rPr>
        <w:t>cuentan con</w:t>
      </w:r>
      <w:r w:rsidR="004F16F4" w:rsidRPr="007923C2">
        <w:rPr>
          <w:rFonts w:ascii="Arial" w:hAnsi="Arial" w:cs="Arial"/>
          <w:sz w:val="22"/>
          <w:szCs w:val="22"/>
        </w:rPr>
        <w:t xml:space="preserve"> los manuales de operación de los equipos y aparatos necesarios para el buen funcionamiento y realización de las prácticas. Los manuales de prácticas la mayoría se encuentran elaborados y editados por los propios profesores responsables de los cursos. La persona encargada del laboratorio es  la  responsable de la programación del uso adecuado del laboratorio bajo su supervisión, y de llevar el inventario de material y equipo actualizado. También es responsable del buen uso y orden que deben seguir los usuarios </w:t>
      </w:r>
      <w:r w:rsidR="00FA5F0D">
        <w:rPr>
          <w:rFonts w:ascii="Arial" w:hAnsi="Arial" w:cs="Arial"/>
          <w:sz w:val="22"/>
          <w:szCs w:val="22"/>
        </w:rPr>
        <w:t>y</w:t>
      </w:r>
      <w:r w:rsidR="004F16F4" w:rsidRPr="007923C2">
        <w:rPr>
          <w:rFonts w:ascii="Arial" w:hAnsi="Arial" w:cs="Arial"/>
          <w:sz w:val="22"/>
          <w:szCs w:val="22"/>
        </w:rPr>
        <w:t xml:space="preserve"> que se basa</w:t>
      </w:r>
      <w:r w:rsidR="00FA5F0D">
        <w:rPr>
          <w:rFonts w:ascii="Arial" w:hAnsi="Arial" w:cs="Arial"/>
          <w:sz w:val="22"/>
          <w:szCs w:val="22"/>
        </w:rPr>
        <w:t>n</w:t>
      </w:r>
      <w:r w:rsidR="004F16F4" w:rsidRPr="007923C2">
        <w:rPr>
          <w:rFonts w:ascii="Arial" w:hAnsi="Arial" w:cs="Arial"/>
          <w:sz w:val="22"/>
          <w:szCs w:val="22"/>
        </w:rPr>
        <w:t xml:space="preserve"> en el reglamento interno de cada laboratorio.</w:t>
      </w:r>
    </w:p>
    <w:p w14:paraId="7009C64F"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general cada uno de los laboratorios presenta una infraestructura adecuada y aceptable.</w:t>
      </w:r>
    </w:p>
    <w:p w14:paraId="4209C3C7"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laboratorios con que se cuenta</w:t>
      </w:r>
      <w:r w:rsidR="00A411B8">
        <w:rPr>
          <w:rFonts w:ascii="Arial" w:hAnsi="Arial" w:cs="Arial"/>
          <w:sz w:val="22"/>
          <w:szCs w:val="22"/>
        </w:rPr>
        <w:t>n</w:t>
      </w:r>
      <w:r w:rsidRPr="007923C2">
        <w:rPr>
          <w:rFonts w:ascii="Arial" w:hAnsi="Arial" w:cs="Arial"/>
          <w:sz w:val="22"/>
          <w:szCs w:val="22"/>
        </w:rPr>
        <w:t xml:space="preserve"> son suficientes</w:t>
      </w:r>
      <w:r w:rsidR="00A411B8">
        <w:rPr>
          <w:rFonts w:ascii="Arial" w:hAnsi="Arial" w:cs="Arial"/>
          <w:sz w:val="22"/>
          <w:szCs w:val="22"/>
        </w:rPr>
        <w:t>,</w:t>
      </w:r>
      <w:r w:rsidRPr="007923C2">
        <w:rPr>
          <w:rFonts w:ascii="Arial" w:hAnsi="Arial" w:cs="Arial"/>
          <w:sz w:val="22"/>
          <w:szCs w:val="22"/>
        </w:rPr>
        <w:t xml:space="preserve"> están bien iluminados y ventilados, sin embargo no en todos ellos establecen los procedimientos, medidas y cuidado que se deben tener con cada instrumento</w:t>
      </w:r>
      <w:r w:rsidR="00A411B8">
        <w:rPr>
          <w:rFonts w:ascii="Arial" w:hAnsi="Arial" w:cs="Arial"/>
          <w:sz w:val="22"/>
          <w:szCs w:val="22"/>
        </w:rPr>
        <w:t xml:space="preserve"> y</w:t>
      </w:r>
      <w:r w:rsidRPr="007923C2">
        <w:rPr>
          <w:rFonts w:ascii="Arial" w:hAnsi="Arial" w:cs="Arial"/>
          <w:sz w:val="22"/>
          <w:szCs w:val="22"/>
        </w:rPr>
        <w:t xml:space="preserve"> equipo disponible.</w:t>
      </w:r>
    </w:p>
    <w:p w14:paraId="0BA88589"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mantenimiento de los equipos es adecuado sin embargo el del mobiliario requiere más atención.</w:t>
      </w:r>
    </w:p>
    <w:p w14:paraId="5B177CE2"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Falta</w:t>
      </w:r>
      <w:r w:rsidR="00A411B8">
        <w:rPr>
          <w:rFonts w:ascii="Arial" w:hAnsi="Arial" w:cs="Arial"/>
          <w:sz w:val="22"/>
          <w:szCs w:val="22"/>
        </w:rPr>
        <w:t>n en algunos laboratorios</w:t>
      </w:r>
      <w:r w:rsidRPr="007923C2">
        <w:rPr>
          <w:rFonts w:ascii="Arial" w:hAnsi="Arial" w:cs="Arial"/>
          <w:sz w:val="22"/>
          <w:szCs w:val="22"/>
        </w:rPr>
        <w:t xml:space="preserve"> campanas de extracción o extractores y equipos contra incendios </w:t>
      </w:r>
      <w:r w:rsidR="00A411B8">
        <w:rPr>
          <w:rFonts w:ascii="Arial" w:hAnsi="Arial" w:cs="Arial"/>
          <w:sz w:val="22"/>
          <w:szCs w:val="22"/>
        </w:rPr>
        <w:t>(extinguidores) y</w:t>
      </w:r>
      <w:r w:rsidRPr="007923C2">
        <w:rPr>
          <w:rFonts w:ascii="Arial" w:hAnsi="Arial" w:cs="Arial"/>
          <w:sz w:val="22"/>
          <w:szCs w:val="22"/>
        </w:rPr>
        <w:t xml:space="preserve"> señalamientos de seguridad.</w:t>
      </w:r>
    </w:p>
    <w:p w14:paraId="2F1ED912" w14:textId="77777777" w:rsidR="004F16F4" w:rsidRPr="00A411B8" w:rsidRDefault="004F16F4" w:rsidP="004F16F4">
      <w:pPr>
        <w:widowControl w:val="0"/>
        <w:autoSpaceDE w:val="0"/>
        <w:autoSpaceDN w:val="0"/>
        <w:adjustRightInd w:val="0"/>
        <w:jc w:val="both"/>
        <w:rPr>
          <w:rFonts w:ascii="Arial" w:hAnsi="Arial" w:cs="Arial"/>
          <w:b/>
          <w:sz w:val="22"/>
          <w:szCs w:val="22"/>
        </w:rPr>
      </w:pPr>
      <w:r w:rsidRPr="00A411B8">
        <w:rPr>
          <w:rFonts w:ascii="Arial" w:hAnsi="Arial" w:cs="Arial"/>
          <w:b/>
          <w:sz w:val="22"/>
          <w:szCs w:val="22"/>
        </w:rPr>
        <w:t>UNIDADES DEL DEPARTAMENTO DE BOTÁNICA</w:t>
      </w:r>
    </w:p>
    <w:p w14:paraId="4D7A61C1"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1.-Jardín Botánico “Ing Gustavo Aguirre Benavides”</w:t>
      </w:r>
    </w:p>
    <w:p w14:paraId="6B04F743"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2.-Herbario ANSM</w:t>
      </w:r>
    </w:p>
    <w:p w14:paraId="388EB07D"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3.-Vivero UAAAN</w:t>
      </w:r>
    </w:p>
    <w:p w14:paraId="55157BA8"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función del vivero, herbario y jardín botánico son de gran apoyo para las prácticas de campo de los alumnos de Agrobiología, como también para los proyectos de tesis e investigación.</w:t>
      </w:r>
    </w:p>
    <w:p w14:paraId="3435CA7A"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establecen programas de educación continua dirigida a la comunidad en general.</w:t>
      </w:r>
    </w:p>
    <w:p w14:paraId="0EA57A1F"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El Jardín Botánico recibe grupos de alumnos de todos los niveles educativos de Saltillo y otras ciudades de la República Mexicana, se realizan programas de Educación Ambiental, conoce tu vegetación, conservación de especies etc.</w:t>
      </w:r>
    </w:p>
    <w:p w14:paraId="7D4ABBE5"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el Herbario se tiene una amplia colección de plantas herborizadas de Coahuila y de otros estados de México, el cual recibe grupos de investigadores nacionales y extranjeros, grupos de alumnos de diferentes facultades y se desarrollan proyectos de investigación relacionados con la identificación de especies, conteo de poblaciones etc.</w:t>
      </w:r>
    </w:p>
    <w:p w14:paraId="371728B8"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el vivero existe una producción forestal muy importante tanto de especies de pinos utilizados para reforestar así como de otras especies que se designan en convenio con otras instituciones como la CONAFOR.</w:t>
      </w:r>
    </w:p>
    <w:p w14:paraId="0E81DD4F"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las tres unidades los alumnos de Agrobiología realizan su servicio social, prácticas de campo, desarrollo de proyectos de investigación o de tesis, por lo que se convierten en importantes centros de aprendizaje práctico para los alumnos de la carrera.</w:t>
      </w:r>
    </w:p>
    <w:p w14:paraId="2713D799"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Dentro de la Universidad se cuenta además con 8 naves de invernaderos que dan apoyo a la investigación y la docencia para los alumnos y profesores investigadores de todas las especialidades.</w:t>
      </w:r>
    </w:p>
    <w:p w14:paraId="3F42CF64" w14:textId="77777777" w:rsidR="00BB1E91" w:rsidRPr="007923C2" w:rsidRDefault="002C2DA7"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UNIDADES DE INVESTIGACIÓN Y PRÁCTICAS</w:t>
      </w:r>
    </w:p>
    <w:p w14:paraId="011AFBC2" w14:textId="77777777" w:rsidR="00BB1E91" w:rsidRPr="007923C2" w:rsidRDefault="002C2DA7"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Departamento de Botánica cuenta con 2 invernaderos enfocados a la investigación</w:t>
      </w:r>
      <w:r w:rsidR="00FE7F7A" w:rsidRPr="007923C2">
        <w:rPr>
          <w:rFonts w:ascii="Arial" w:hAnsi="Arial" w:cs="Arial"/>
          <w:sz w:val="22"/>
          <w:szCs w:val="22"/>
        </w:rPr>
        <w:t xml:space="preserve"> en donde los alumnos de la carrera IAB realizan servicio soci</w:t>
      </w:r>
      <w:r w:rsidR="002D3310">
        <w:rPr>
          <w:rFonts w:ascii="Arial" w:hAnsi="Arial" w:cs="Arial"/>
          <w:sz w:val="22"/>
          <w:szCs w:val="22"/>
        </w:rPr>
        <w:t>al</w:t>
      </w:r>
      <w:r w:rsidR="00FE7F7A" w:rsidRPr="007923C2">
        <w:rPr>
          <w:rFonts w:ascii="Arial" w:hAnsi="Arial" w:cs="Arial"/>
          <w:sz w:val="22"/>
          <w:szCs w:val="22"/>
        </w:rPr>
        <w:t xml:space="preserve"> y tesis a nivel licenciatura y maestría.</w:t>
      </w:r>
    </w:p>
    <w:p w14:paraId="0338FF72" w14:textId="77777777" w:rsidR="00FE7F7A" w:rsidRPr="007923C2" w:rsidRDefault="00FE7F7A"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un área del Jardín Botánico se tiene destinado a realizar prácticas agrícolas de las diferentes asignaturas enfocadas a la producción agr</w:t>
      </w:r>
      <w:r w:rsidR="002D3310">
        <w:rPr>
          <w:rFonts w:ascii="Arial" w:hAnsi="Arial" w:cs="Arial"/>
          <w:sz w:val="22"/>
          <w:szCs w:val="22"/>
        </w:rPr>
        <w:t>icola</w:t>
      </w:r>
      <w:r w:rsidRPr="007923C2">
        <w:rPr>
          <w:rFonts w:ascii="Arial" w:hAnsi="Arial" w:cs="Arial"/>
          <w:sz w:val="22"/>
          <w:szCs w:val="22"/>
        </w:rPr>
        <w:t xml:space="preserve"> o manejo de otro tipo de plantas, en donde los alumnos tienen la </w:t>
      </w:r>
      <w:r w:rsidR="002D3310">
        <w:rPr>
          <w:rFonts w:ascii="Arial" w:hAnsi="Arial" w:cs="Arial"/>
          <w:sz w:val="22"/>
          <w:szCs w:val="22"/>
        </w:rPr>
        <w:t xml:space="preserve">oportunidad </w:t>
      </w:r>
      <w:r w:rsidRPr="007923C2">
        <w:rPr>
          <w:rFonts w:ascii="Arial" w:hAnsi="Arial" w:cs="Arial"/>
          <w:sz w:val="22"/>
          <w:szCs w:val="22"/>
        </w:rPr>
        <w:t xml:space="preserve">de poner en práctica el conocimiento teórico. </w:t>
      </w:r>
    </w:p>
    <w:p w14:paraId="3EF2F8A5"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AULAS</w:t>
      </w:r>
    </w:p>
    <w:p w14:paraId="0A39A5F1"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Universidad cuenta con 7 edificios con aulas  de una capacidad de entre </w:t>
      </w:r>
      <w:smartTag w:uri="urn:schemas-microsoft-com:office:smarttags" w:element="metricconverter">
        <w:smartTagPr>
          <w:attr w:name="ProductID" w:val="40 a"/>
        </w:smartTagPr>
        <w:r w:rsidRPr="007923C2">
          <w:rPr>
            <w:rFonts w:ascii="Arial" w:hAnsi="Arial" w:cs="Arial"/>
            <w:sz w:val="22"/>
            <w:szCs w:val="22"/>
          </w:rPr>
          <w:t>40 a</w:t>
        </w:r>
      </w:smartTag>
      <w:r w:rsidRPr="007923C2">
        <w:rPr>
          <w:rFonts w:ascii="Arial" w:hAnsi="Arial" w:cs="Arial"/>
          <w:sz w:val="22"/>
          <w:szCs w:val="22"/>
        </w:rPr>
        <w:t xml:space="preserve"> 25 alumnos, generalmente bien iluminados.  </w:t>
      </w:r>
    </w:p>
    <w:p w14:paraId="609FB36A"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aulas cuentan con lo mínimo necesario bancas, pizarrones para gis y marcador</w:t>
      </w:r>
      <w:r w:rsidR="00BB1E91" w:rsidRPr="007923C2">
        <w:rPr>
          <w:rFonts w:ascii="Arial" w:hAnsi="Arial" w:cs="Arial"/>
          <w:sz w:val="22"/>
          <w:szCs w:val="22"/>
        </w:rPr>
        <w:t xml:space="preserve"> y</w:t>
      </w:r>
      <w:r w:rsidRPr="007923C2">
        <w:rPr>
          <w:rFonts w:ascii="Arial" w:hAnsi="Arial" w:cs="Arial"/>
          <w:sz w:val="22"/>
          <w:szCs w:val="22"/>
        </w:rPr>
        <w:t xml:space="preserve">  escritorio para el profesor.</w:t>
      </w:r>
    </w:p>
    <w:p w14:paraId="69B2D16E"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ocasiones se presentan situaciones inadecuadas, es el caso que se asignan aulas pequeñas para grupos grandes  por lo que se deben hacer adecuaciones.</w:t>
      </w:r>
    </w:p>
    <w:p w14:paraId="0C1966B2"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La asignación de aulas a veces resulta inadecuado ya que el alumno se debe desplazar a distancias grandes lo que le hace retrazarse  en llegar a la clase siguiente.    </w:t>
      </w:r>
    </w:p>
    <w:p w14:paraId="45856633"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Debido a las condiciones de los edificios y a la presencia de alumnos internos no se puede acondicionar las aulas con equipo complementario, como proyectores de acetato, cañón u otro equipo  por lo que el profesor debe llevarlo al aula.</w:t>
      </w:r>
    </w:p>
    <w:p w14:paraId="29AE7A76"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AUDITORIOS</w:t>
      </w:r>
    </w:p>
    <w:p w14:paraId="259CC2BB"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UAAAN unidad Saltillo cuenta con dos auditorios grandes El Carlos E Martínez y  El  Eulalio Gutiérrez  antes de Traducción Simultánea en donde se realizan los eventos de mayor relevancia de la universidad.</w:t>
      </w:r>
    </w:p>
    <w:p w14:paraId="09E74CD0"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En la actualidad varios Departamentos cuentan con pequeños auditorios en donde realizan sus eventos o son prestados a otras carreras de la misma universidad, entre ellos están:</w:t>
      </w:r>
    </w:p>
    <w:p w14:paraId="097A88FB"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Recursos Naturales</w:t>
      </w:r>
    </w:p>
    <w:p w14:paraId="3CE5A840"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Maquinaria Agrícola</w:t>
      </w:r>
    </w:p>
    <w:p w14:paraId="51747963"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Riego y Drenaje</w:t>
      </w:r>
    </w:p>
    <w:p w14:paraId="7C61B882"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Zootecnia</w:t>
      </w:r>
    </w:p>
    <w:p w14:paraId="4BF0427F"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Pos</w:t>
      </w:r>
      <w:r w:rsidR="002D3310">
        <w:rPr>
          <w:rFonts w:ascii="Arial" w:hAnsi="Arial" w:cs="Arial"/>
          <w:sz w:val="22"/>
          <w:szCs w:val="22"/>
        </w:rPr>
        <w:t>g</w:t>
      </w:r>
      <w:r w:rsidRPr="007923C2">
        <w:rPr>
          <w:rFonts w:ascii="Arial" w:hAnsi="Arial" w:cs="Arial"/>
          <w:sz w:val="22"/>
          <w:szCs w:val="22"/>
        </w:rPr>
        <w:t>rado</w:t>
      </w:r>
    </w:p>
    <w:p w14:paraId="5B33D1EF" w14:textId="77777777" w:rsidR="00BB1E91" w:rsidRPr="007923C2" w:rsidRDefault="00BB1E91"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Fitomejoramiento</w:t>
      </w:r>
    </w:p>
    <w:p w14:paraId="6E09A8D2" w14:textId="77777777" w:rsidR="00BB1E91" w:rsidRPr="007923C2" w:rsidRDefault="002C2DA7"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Botánica</w:t>
      </w:r>
    </w:p>
    <w:p w14:paraId="039E68D1"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CUBÍCULOS DE PROFESORES</w:t>
      </w:r>
    </w:p>
    <w:p w14:paraId="6F27DC62"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Departamento de Botánica está ubicado en </w:t>
      </w:r>
      <w:r w:rsidR="002C2DA7" w:rsidRPr="007923C2">
        <w:rPr>
          <w:rFonts w:ascii="Arial" w:hAnsi="Arial" w:cs="Arial"/>
          <w:sz w:val="22"/>
          <w:szCs w:val="22"/>
        </w:rPr>
        <w:t>3</w:t>
      </w:r>
      <w:r w:rsidRPr="007923C2">
        <w:rPr>
          <w:rFonts w:ascii="Arial" w:hAnsi="Arial" w:cs="Arial"/>
          <w:sz w:val="22"/>
          <w:szCs w:val="22"/>
        </w:rPr>
        <w:t xml:space="preserve"> edificios en los que se encuentran los laboratorios  y los cubículos de los profesores en total se cuenta con 19 cubículos y 6 laboratorios incluyendo el Herbario.</w:t>
      </w:r>
    </w:p>
    <w:p w14:paraId="673EA039"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Existen 2 áreas  secretariales, una sala de juntas y 6 baños.</w:t>
      </w:r>
    </w:p>
    <w:p w14:paraId="68959806"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Todos los profesores de medio tiempo y tiempo completo tienen un cubículo, dos cubículos están asignados para las jefaturas, una la del Departamento y la otra la del programa de Agrobiología.</w:t>
      </w:r>
    </w:p>
    <w:p w14:paraId="4DF61EE8"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Cada maestro tiene una computadora, su escritorio, librero, archivero y generalmente el área de trabajo presenta comodidad para realizar </w:t>
      </w:r>
      <w:r w:rsidR="002D3310">
        <w:rPr>
          <w:rFonts w:ascii="Arial" w:hAnsi="Arial" w:cs="Arial"/>
          <w:sz w:val="22"/>
          <w:szCs w:val="22"/>
        </w:rPr>
        <w:t>sus actividades</w:t>
      </w:r>
      <w:r w:rsidRPr="007923C2">
        <w:rPr>
          <w:rFonts w:ascii="Arial" w:hAnsi="Arial" w:cs="Arial"/>
          <w:sz w:val="22"/>
          <w:szCs w:val="22"/>
        </w:rPr>
        <w:t>.</w:t>
      </w:r>
    </w:p>
    <w:p w14:paraId="760C865D"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Programa Docente de Agrobiología cuenta con un pequeño centro de cómputo para los alumnos de la carrera.</w:t>
      </w:r>
    </w:p>
    <w:p w14:paraId="598BA70D"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Adicionalmente hay un cubículo con una computadora e impresora para uso general del personal académico con una pequeña área de cafetería.</w:t>
      </w:r>
    </w:p>
    <w:p w14:paraId="5D9494EF"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CENTRO DE INFORMACIÓN Y DOCUMENTACIÓN  (Biblioteca)</w:t>
      </w:r>
    </w:p>
    <w:p w14:paraId="28226E4A"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centro de Información y Documentación es uno de los edificios mas grandes de la Universidad, en el está la biblioteca</w:t>
      </w:r>
      <w:r w:rsidR="002C2DA7" w:rsidRPr="007923C2">
        <w:rPr>
          <w:rFonts w:ascii="Arial" w:hAnsi="Arial" w:cs="Arial"/>
          <w:sz w:val="22"/>
          <w:szCs w:val="22"/>
        </w:rPr>
        <w:t xml:space="preserve"> y</w:t>
      </w:r>
      <w:r w:rsidRPr="007923C2">
        <w:rPr>
          <w:rFonts w:ascii="Arial" w:hAnsi="Arial" w:cs="Arial"/>
          <w:sz w:val="22"/>
          <w:szCs w:val="22"/>
        </w:rPr>
        <w:t xml:space="preserve"> el Centro de Cómputo general para todos los alumnos de la institución.</w:t>
      </w:r>
    </w:p>
    <w:p w14:paraId="4BEDE213" w14:textId="77777777" w:rsidR="004F16F4" w:rsidRPr="007923C2" w:rsidRDefault="002C2DA7"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w:t>
      </w:r>
      <w:r w:rsidR="004F16F4" w:rsidRPr="007923C2">
        <w:rPr>
          <w:rFonts w:ascii="Arial" w:hAnsi="Arial" w:cs="Arial"/>
          <w:sz w:val="22"/>
          <w:szCs w:val="22"/>
        </w:rPr>
        <w:t>stas dos áreas importantes y otras son  administradas y organizadas por la Dirección de Comunicación y Desarrollo.</w:t>
      </w:r>
    </w:p>
    <w:p w14:paraId="0006E0E7"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el edificio se encuentra una explanada en donde se realizan exposiciones artísticas, culturales y de investigación.</w:t>
      </w:r>
    </w:p>
    <w:p w14:paraId="22EEA3E9" w14:textId="77777777"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encuentran las oficinas encargadas a todo tipo de vinculación con la sociedad, desde las culturales hasta la de los proyectos de desarrollo y vinculación con las comunidades urbanas y campesinas.</w:t>
      </w:r>
    </w:p>
    <w:p w14:paraId="3812D8A5" w14:textId="77777777" w:rsidR="004F16F4" w:rsidRPr="007923C2" w:rsidRDefault="00FE7F7A"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general los estudiantes de la Institución tienen la oportunidad de hacer uso de todas las  instalaciones como son:El área deportiva; canchas</w:t>
      </w:r>
      <w:r w:rsidR="005D772B" w:rsidRPr="007923C2">
        <w:rPr>
          <w:rFonts w:ascii="Arial" w:hAnsi="Arial" w:cs="Arial"/>
          <w:sz w:val="22"/>
          <w:szCs w:val="22"/>
        </w:rPr>
        <w:t xml:space="preserve">, gimnasios etc. auditorios, áreas de recreación y esparcimiento, áreas productivas entre otras. </w:t>
      </w:r>
    </w:p>
    <w:p w14:paraId="460DFF7E" w14:textId="77777777" w:rsidR="003D7D5E" w:rsidRPr="007923C2" w:rsidRDefault="005D772B" w:rsidP="003C7713">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 acuerdo a la política que es parte fundamental de la Universidad al estudiante se le proporciona </w:t>
      </w:r>
      <w:r w:rsidRPr="007923C2">
        <w:rPr>
          <w:rFonts w:ascii="Arial" w:hAnsi="Arial" w:cs="Arial"/>
          <w:sz w:val="22"/>
          <w:szCs w:val="22"/>
        </w:rPr>
        <w:lastRenderedPageBreak/>
        <w:t>apoyos para facilitar su estancia y realizar sus estudios como son: Comedor, internados, biblioteca, transporte de esa manera la filosofía altruista establecida por el fundado</w:t>
      </w:r>
      <w:r w:rsidR="00223519">
        <w:rPr>
          <w:rFonts w:ascii="Arial" w:hAnsi="Arial" w:cs="Arial"/>
          <w:sz w:val="22"/>
          <w:szCs w:val="22"/>
        </w:rPr>
        <w:t>r</w:t>
      </w:r>
      <w:r w:rsidRPr="007923C2">
        <w:rPr>
          <w:rFonts w:ascii="Arial" w:hAnsi="Arial" w:cs="Arial"/>
          <w:sz w:val="22"/>
          <w:szCs w:val="22"/>
        </w:rPr>
        <w:t xml:space="preserve"> de la institución se está cumpliendo.</w:t>
      </w:r>
    </w:p>
    <w:p w14:paraId="220F5E8A" w14:textId="77777777" w:rsidR="0090124E" w:rsidRPr="007923C2" w:rsidRDefault="0090124E" w:rsidP="003C7713">
      <w:pPr>
        <w:widowControl w:val="0"/>
        <w:autoSpaceDE w:val="0"/>
        <w:autoSpaceDN w:val="0"/>
        <w:adjustRightInd w:val="0"/>
        <w:jc w:val="both"/>
        <w:rPr>
          <w:rFonts w:ascii="Arial" w:hAnsi="Arial" w:cs="Arial"/>
          <w:sz w:val="22"/>
          <w:szCs w:val="22"/>
        </w:rPr>
      </w:pPr>
    </w:p>
    <w:p w14:paraId="42AA9ED6" w14:textId="77777777" w:rsidR="0090124E" w:rsidRPr="007923C2" w:rsidRDefault="007E42D3" w:rsidP="003C7713">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 xml:space="preserve">4.3.3.-DESARROLLO/VINCULACIÓN </w:t>
      </w:r>
    </w:p>
    <w:p w14:paraId="269C5541" w14:textId="77777777" w:rsidR="007E42D3" w:rsidRPr="007923C2" w:rsidRDefault="007E42D3" w:rsidP="003C7713">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4.3.3.1.-PROGRAMAS DE EDUCACIÓN CONTINUA (SERVICIOS A LA COMUNIDAD)</w:t>
      </w:r>
    </w:p>
    <w:p w14:paraId="567F6C76" w14:textId="77777777"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 Programas de educación continua</w:t>
      </w:r>
    </w:p>
    <w:p w14:paraId="7170E080" w14:textId="77777777" w:rsidR="005E47E4" w:rsidRPr="007923C2" w:rsidRDefault="008C2DB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Como parte de programas de</w:t>
      </w:r>
      <w:r w:rsidR="005E47E4" w:rsidRPr="007923C2">
        <w:rPr>
          <w:rFonts w:ascii="Arial" w:hAnsi="Arial" w:cs="Arial"/>
          <w:sz w:val="22"/>
          <w:szCs w:val="22"/>
        </w:rPr>
        <w:t xml:space="preserve"> educación continua en las unidades de Jardín Botánico, Vivero y Herbario</w:t>
      </w:r>
      <w:r w:rsidRPr="007923C2">
        <w:rPr>
          <w:rFonts w:ascii="Arial" w:hAnsi="Arial" w:cs="Arial"/>
          <w:sz w:val="22"/>
          <w:szCs w:val="22"/>
        </w:rPr>
        <w:t xml:space="preserve"> se reciben visitas de todos los niveles educativos y centros de investigación.</w:t>
      </w:r>
    </w:p>
    <w:p w14:paraId="12619573" w14:textId="77777777"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establecen programas de Educación Continua dirigidas a la comunidad en general.</w:t>
      </w:r>
    </w:p>
    <w:p w14:paraId="44AF1580" w14:textId="77777777"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reciben alumnos de escuelas de diferentes niveles educativos a los que se le</w:t>
      </w:r>
      <w:r w:rsidR="008C2DB5" w:rsidRPr="007923C2">
        <w:rPr>
          <w:rFonts w:ascii="Arial" w:hAnsi="Arial" w:cs="Arial"/>
          <w:sz w:val="22"/>
          <w:szCs w:val="22"/>
        </w:rPr>
        <w:t>s</w:t>
      </w:r>
      <w:r w:rsidRPr="007923C2">
        <w:rPr>
          <w:rFonts w:ascii="Arial" w:hAnsi="Arial" w:cs="Arial"/>
          <w:sz w:val="22"/>
          <w:szCs w:val="22"/>
        </w:rPr>
        <w:t xml:space="preserve"> imparten pláticas del medio ambiente, la importancia de la vegetación, etc.</w:t>
      </w:r>
    </w:p>
    <w:p w14:paraId="0BD8963C" w14:textId="77777777" w:rsidR="007C4232" w:rsidRPr="007923C2" w:rsidRDefault="007C42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JARDÍN BOTÁNICO “ING. GUSTAVO AGUIRRE BENAVIDES”</w:t>
      </w:r>
    </w:p>
    <w:p w14:paraId="0F084142" w14:textId="77777777"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Jardín Botánico recibe grupos de alumnos de todos los niveles educativos de Saltillo y otras ciudades de la República Mexicana, se realizan programas de educación ambiental, conoce tu vegetación, conservación de especies.</w:t>
      </w:r>
    </w:p>
    <w:p w14:paraId="4ABC4310" w14:textId="77777777"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Objetivos</w:t>
      </w:r>
    </w:p>
    <w:p w14:paraId="33659E98" w14:textId="77777777"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-Investigación</w:t>
      </w:r>
    </w:p>
    <w:p w14:paraId="5C8208A1" w14:textId="77777777"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-Docencia</w:t>
      </w:r>
    </w:p>
    <w:p w14:paraId="0391F969" w14:textId="77777777"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-Difusión</w:t>
      </w:r>
    </w:p>
    <w:p w14:paraId="1219DA5C" w14:textId="77777777"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-Educación ambiental</w:t>
      </w:r>
    </w:p>
    <w:p w14:paraId="04DAAB28" w14:textId="77777777"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-Conservación</w:t>
      </w:r>
    </w:p>
    <w:p w14:paraId="53E4C5B1" w14:textId="77777777" w:rsidR="00BF3D61" w:rsidRDefault="00BF3D61" w:rsidP="00030011">
      <w:pPr>
        <w:jc w:val="both"/>
        <w:rPr>
          <w:rFonts w:ascii="Arial" w:hAnsi="Arial" w:cs="Arial"/>
        </w:rPr>
      </w:pPr>
      <w:r>
        <w:rPr>
          <w:rFonts w:ascii="Arial" w:hAnsi="Arial" w:cs="Arial"/>
        </w:rPr>
        <w:t>JARDIN BOTÁNICO “ING. GUSTAVO AGUIRRE BENAVIDES UAAAN”</w:t>
      </w:r>
    </w:p>
    <w:p w14:paraId="0A80FEEE" w14:textId="77777777" w:rsidR="00BF3D61" w:rsidRDefault="00BF3D61" w:rsidP="00030011">
      <w:pPr>
        <w:jc w:val="both"/>
        <w:rPr>
          <w:rFonts w:ascii="Arial" w:hAnsi="Arial" w:cs="Arial"/>
        </w:rPr>
      </w:pPr>
      <w:r>
        <w:rPr>
          <w:rFonts w:ascii="Arial" w:hAnsi="Arial" w:cs="Arial"/>
        </w:rPr>
        <w:t>Los jardines botánicos son convencionalmete reconocidos como áreas naturales y/o artificiales donde se mantienen en exhibición permanente, colecciones de plantas vivas con arreglo y control determinado, así como debidamente identificadas y etiquetadas.</w:t>
      </w:r>
    </w:p>
    <w:p w14:paraId="11C0ABF5" w14:textId="77777777" w:rsidR="00BF3D61" w:rsidRDefault="00BF3D61" w:rsidP="00030011">
      <w:pPr>
        <w:jc w:val="both"/>
        <w:rPr>
          <w:rFonts w:ascii="Arial" w:hAnsi="Arial" w:cs="Arial"/>
        </w:rPr>
      </w:pPr>
      <w:r>
        <w:rPr>
          <w:rFonts w:ascii="Arial" w:hAnsi="Arial" w:cs="Arial"/>
        </w:rPr>
        <w:t>El Jardín Botánico Ing. Gustavo Aguirre Benavides de ésta universidad es reconocido desde los años 1967, cuenta con una superficie de 4 ha., las coordenadas geográficas donde se localiza son: 25° 22´ 41´´ de longitud  W y 101° 00´ 00´´ de latitud nte. Aa 1743 m sobre el nivel del mar. Precipitación promedio anual de 170-635 mm.</w:t>
      </w:r>
    </w:p>
    <w:p w14:paraId="27919206" w14:textId="77777777" w:rsidR="00BF3D61" w:rsidRDefault="00BF3D61" w:rsidP="00030011">
      <w:pPr>
        <w:jc w:val="both"/>
        <w:rPr>
          <w:rFonts w:ascii="Arial" w:hAnsi="Arial" w:cs="Arial"/>
        </w:rPr>
      </w:pPr>
      <w:r>
        <w:rPr>
          <w:rFonts w:ascii="Arial" w:hAnsi="Arial" w:cs="Arial"/>
        </w:rPr>
        <w:t>El Jardín Botánico está dedicado principalmente a representar la flora silvestre del Estado de Coahuila.</w:t>
      </w:r>
    </w:p>
    <w:p w14:paraId="169BB69D" w14:textId="77777777" w:rsidR="00BF3D61" w:rsidRDefault="00BF3D61" w:rsidP="00030011">
      <w:pPr>
        <w:jc w:val="both"/>
        <w:rPr>
          <w:rFonts w:ascii="Arial" w:hAnsi="Arial" w:cs="Arial"/>
        </w:rPr>
      </w:pPr>
      <w:r>
        <w:rPr>
          <w:rFonts w:ascii="Arial" w:hAnsi="Arial" w:cs="Arial"/>
        </w:rPr>
        <w:t>El Jardín cuenta con una colección de 300</w:t>
      </w:r>
      <w:r w:rsidR="007C1F7A">
        <w:rPr>
          <w:rFonts w:ascii="Arial" w:hAnsi="Arial" w:cs="Arial"/>
        </w:rPr>
        <w:t>0</w:t>
      </w:r>
      <w:r>
        <w:rPr>
          <w:rFonts w:ascii="Arial" w:hAnsi="Arial" w:cs="Arial"/>
        </w:rPr>
        <w:t xml:space="preserve"> especies, las cuales incluyen 51 familias y 171 géneros. Las familias con mayor número de especies son las siguientes: Cactáceas (75), Poaceas (38), Asteraceae (28). Agavaceae (24) y Leguminosae (12),</w:t>
      </w:r>
    </w:p>
    <w:p w14:paraId="6EB974FB" w14:textId="77777777" w:rsidR="00BF3D61" w:rsidRDefault="00BF3D61" w:rsidP="00030011">
      <w:pPr>
        <w:jc w:val="both"/>
        <w:rPr>
          <w:rFonts w:ascii="Arial" w:hAnsi="Arial" w:cs="Arial"/>
        </w:rPr>
      </w:pPr>
      <w:r>
        <w:rPr>
          <w:rFonts w:ascii="Arial" w:hAnsi="Arial" w:cs="Arial"/>
        </w:rPr>
        <w:t>La flora del Estado de Coahuila está representada por 3207 especies.</w:t>
      </w:r>
    </w:p>
    <w:p w14:paraId="5BC9BA1E" w14:textId="77777777" w:rsidR="00BF3D61" w:rsidRDefault="00BF3D61" w:rsidP="00030011">
      <w:pPr>
        <w:jc w:val="both"/>
        <w:rPr>
          <w:rFonts w:ascii="Arial" w:hAnsi="Arial" w:cs="Arial"/>
        </w:rPr>
      </w:pPr>
      <w:r>
        <w:rPr>
          <w:rFonts w:ascii="Arial" w:hAnsi="Arial" w:cs="Arial"/>
        </w:rPr>
        <w:lastRenderedPageBreak/>
        <w:t>El conocimiento de la distribución de especies endémicas de Coahuila es información valiosa para el establecimiento de estrategias de conservación y manejo de esta región, el estado de Coahuila cuenta con aproximadamente 370 especies endémicas en el Jardín Botánico se tienen 20 especies endémicas en la diferentes categorías de peligro de extinción.</w:t>
      </w:r>
    </w:p>
    <w:p w14:paraId="64F5F154" w14:textId="77777777" w:rsidR="00BF3D61" w:rsidRDefault="00BF3D61" w:rsidP="00030011">
      <w:pPr>
        <w:jc w:val="both"/>
        <w:rPr>
          <w:rFonts w:ascii="Arial" w:hAnsi="Arial" w:cs="Arial"/>
        </w:rPr>
      </w:pPr>
      <w:r>
        <w:rPr>
          <w:rFonts w:ascii="Arial" w:hAnsi="Arial" w:cs="Arial"/>
        </w:rPr>
        <w:t>Una de las funciones mas importantes del Jardín es que los estudiantes y público en general encuentra información, orientación y fuentes de estudio, para llevar a cabo investigaciones y al mismo tiempo proteger y propagar plantas en peligro de extinción así como mantener vivos genotipos raros, endémicos y tener banco de germoplasma y donde también el aficionado encuentra ideas para mejorar y reproducir plantas ornamentales de la región y conocer nuevas especies.</w:t>
      </w:r>
    </w:p>
    <w:p w14:paraId="4A381AF3" w14:textId="77777777" w:rsidR="00BF3D61" w:rsidRDefault="00BF3D61" w:rsidP="00030011">
      <w:pPr>
        <w:jc w:val="both"/>
        <w:rPr>
          <w:rFonts w:ascii="Arial" w:hAnsi="Arial" w:cs="Arial"/>
        </w:rPr>
      </w:pPr>
      <w:r>
        <w:rPr>
          <w:rFonts w:ascii="Arial" w:hAnsi="Arial" w:cs="Arial"/>
        </w:rPr>
        <w:t>OBJETIVOS</w:t>
      </w:r>
    </w:p>
    <w:p w14:paraId="656ECAA5" w14:textId="77777777" w:rsidR="00BF3D61" w:rsidRDefault="00BF3D61" w:rsidP="00030011">
      <w:pPr>
        <w:jc w:val="both"/>
        <w:rPr>
          <w:rFonts w:ascii="Arial" w:hAnsi="Arial" w:cs="Arial"/>
        </w:rPr>
      </w:pPr>
      <w:r>
        <w:rPr>
          <w:rFonts w:ascii="Arial" w:hAnsi="Arial" w:cs="Arial"/>
        </w:rPr>
        <w:t>ENSEÑANZA</w:t>
      </w:r>
    </w:p>
    <w:p w14:paraId="66610B22" w14:textId="77777777" w:rsidR="00BF3D61" w:rsidRDefault="00BF3D61" w:rsidP="00030011">
      <w:pPr>
        <w:jc w:val="both"/>
        <w:rPr>
          <w:rFonts w:ascii="Arial" w:hAnsi="Arial" w:cs="Arial"/>
        </w:rPr>
      </w:pPr>
      <w:r>
        <w:rPr>
          <w:rFonts w:ascii="Arial" w:hAnsi="Arial" w:cs="Arial"/>
        </w:rPr>
        <w:t>Las labores de enseñanza se enfocan al público en general, alumnos y trabajadores a través de asesorías personales además de ofrecer visitas guiadas al Jardín a los alumnos de los distintos niveles (preescolar, primaria, secundaria, media superior y superior) Además se tienen programas para los alumnos que quieran realizar su servicio social.</w:t>
      </w:r>
    </w:p>
    <w:p w14:paraId="33F50679" w14:textId="77777777" w:rsidR="00BF3D61" w:rsidRDefault="00BF3D61" w:rsidP="00030011">
      <w:pPr>
        <w:jc w:val="both"/>
        <w:rPr>
          <w:rFonts w:ascii="Arial" w:hAnsi="Arial" w:cs="Arial"/>
        </w:rPr>
      </w:pPr>
      <w:r>
        <w:rPr>
          <w:rFonts w:ascii="Arial" w:hAnsi="Arial" w:cs="Arial"/>
        </w:rPr>
        <w:t>DIFUSIÓN</w:t>
      </w:r>
    </w:p>
    <w:p w14:paraId="5A0611BE" w14:textId="77777777" w:rsidR="00BF3D61" w:rsidRDefault="00BF3D61" w:rsidP="00030011">
      <w:pPr>
        <w:jc w:val="both"/>
        <w:rPr>
          <w:rFonts w:ascii="Arial" w:hAnsi="Arial" w:cs="Arial"/>
        </w:rPr>
      </w:pPr>
      <w:r>
        <w:rPr>
          <w:rFonts w:ascii="Arial" w:hAnsi="Arial" w:cs="Arial"/>
        </w:rPr>
        <w:t>La  difusión es local, por medio de exposiciones de material vivo y la elaboraciónde artículos de divulgación.</w:t>
      </w:r>
    </w:p>
    <w:p w14:paraId="35E3924C" w14:textId="77777777" w:rsidR="00BF3D61" w:rsidRDefault="00BF3D61" w:rsidP="00030011">
      <w:pPr>
        <w:jc w:val="both"/>
        <w:rPr>
          <w:rFonts w:ascii="Arial" w:hAnsi="Arial" w:cs="Arial"/>
        </w:rPr>
      </w:pPr>
      <w:r>
        <w:rPr>
          <w:rFonts w:ascii="Arial" w:hAnsi="Arial" w:cs="Arial"/>
        </w:rPr>
        <w:t>APOYO A LA DOCENCIA Y A LA COMUNIDAD.</w:t>
      </w:r>
    </w:p>
    <w:p w14:paraId="76703324" w14:textId="77777777" w:rsidR="00BF3D61" w:rsidRDefault="00BF3D61" w:rsidP="00030011">
      <w:pPr>
        <w:jc w:val="both"/>
        <w:rPr>
          <w:rFonts w:ascii="Arial" w:hAnsi="Arial" w:cs="Arial"/>
        </w:rPr>
      </w:pPr>
      <w:r>
        <w:rPr>
          <w:rFonts w:ascii="Arial" w:hAnsi="Arial" w:cs="Arial"/>
        </w:rPr>
        <w:t>El apoyo a la docencia se cubre al ofrecer el área de investigación, brindandoespacios en el Jardín Botánico o en el invernadero, préstamo de herramientas, así como la asesoría pertinente en cada caso y para los proyectos de investigación o tesis de los alumnos.</w:t>
      </w:r>
    </w:p>
    <w:p w14:paraId="4966DB7F" w14:textId="77777777" w:rsidR="00BF3D61" w:rsidRDefault="00BF3D61" w:rsidP="00030011">
      <w:pPr>
        <w:jc w:val="both"/>
        <w:rPr>
          <w:rFonts w:ascii="Arial" w:hAnsi="Arial" w:cs="Arial"/>
        </w:rPr>
      </w:pPr>
      <w:r>
        <w:rPr>
          <w:rFonts w:ascii="Arial" w:hAnsi="Arial" w:cs="Arial"/>
        </w:rPr>
        <w:t>CONSERVACIÓN</w:t>
      </w:r>
    </w:p>
    <w:p w14:paraId="09FF74E0" w14:textId="77777777" w:rsidR="00BF3D61" w:rsidRDefault="00BF3D61" w:rsidP="00030011">
      <w:pPr>
        <w:jc w:val="both"/>
        <w:rPr>
          <w:rFonts w:ascii="Arial" w:hAnsi="Arial" w:cs="Arial"/>
        </w:rPr>
      </w:pPr>
      <w:r>
        <w:rPr>
          <w:rFonts w:ascii="Arial" w:hAnsi="Arial" w:cs="Arial"/>
        </w:rPr>
        <w:t>Dentro de la conservación se realizan actividades de propagación, tantosexual como asexual, principalmente de las familias que se encuentran en vía de extinción,como las cactáceas con el fin de tener representadas en nuestra escuela las especies que no pueden colectarse, ya que su colecta es penada por las leyes mexicanas.</w:t>
      </w:r>
    </w:p>
    <w:p w14:paraId="283371C5" w14:textId="77777777" w:rsidR="00BF3D61" w:rsidRDefault="00BF3D61" w:rsidP="00030011">
      <w:pPr>
        <w:jc w:val="both"/>
        <w:rPr>
          <w:rFonts w:ascii="Arial" w:hAnsi="Arial" w:cs="Arial"/>
        </w:rPr>
      </w:pPr>
      <w:r>
        <w:rPr>
          <w:rFonts w:ascii="Arial" w:hAnsi="Arial" w:cs="Arial"/>
        </w:rPr>
        <w:t>INVESTIGACIÓN.</w:t>
      </w:r>
    </w:p>
    <w:p w14:paraId="58A0557A" w14:textId="77777777" w:rsidR="00BF3D61" w:rsidRDefault="00BF3D61" w:rsidP="00030011">
      <w:pPr>
        <w:jc w:val="both"/>
        <w:rPr>
          <w:rFonts w:ascii="Arial" w:hAnsi="Arial" w:cs="Arial"/>
        </w:rPr>
      </w:pPr>
      <w:r>
        <w:rPr>
          <w:rFonts w:ascii="Arial" w:hAnsi="Arial" w:cs="Arial"/>
        </w:rPr>
        <w:t>Con respecto a la investigación se han conformado 2 líneas principales:</w:t>
      </w:r>
    </w:p>
    <w:p w14:paraId="19FC0B08" w14:textId="77777777" w:rsidR="00BF3D61" w:rsidRDefault="00BF3D61" w:rsidP="00030011">
      <w:pPr>
        <w:jc w:val="both"/>
        <w:rPr>
          <w:rFonts w:ascii="Arial" w:hAnsi="Arial" w:cs="Arial"/>
        </w:rPr>
      </w:pPr>
      <w:r>
        <w:rPr>
          <w:rFonts w:ascii="Arial" w:hAnsi="Arial" w:cs="Arial"/>
        </w:rPr>
        <w:t>-Cactáceas en peligro de extinción.</w:t>
      </w:r>
    </w:p>
    <w:p w14:paraId="753FDFFC" w14:textId="77777777" w:rsidR="00BF3D61" w:rsidRDefault="00BF3D61" w:rsidP="00030011">
      <w:pPr>
        <w:jc w:val="both"/>
        <w:rPr>
          <w:rFonts w:ascii="Arial" w:hAnsi="Arial" w:cs="Arial"/>
        </w:rPr>
      </w:pPr>
      <w:r>
        <w:rPr>
          <w:rFonts w:ascii="Arial" w:hAnsi="Arial" w:cs="Arial"/>
        </w:rPr>
        <w:t>-Plantas medicinales</w:t>
      </w:r>
    </w:p>
    <w:p w14:paraId="2E80BB96" w14:textId="77777777" w:rsidR="00BF3D61" w:rsidRDefault="00BF3D61" w:rsidP="00030011">
      <w:pPr>
        <w:jc w:val="both"/>
        <w:rPr>
          <w:rFonts w:ascii="Arial" w:hAnsi="Arial" w:cs="Arial"/>
        </w:rPr>
      </w:pPr>
      <w:r>
        <w:rPr>
          <w:rFonts w:ascii="Arial" w:hAnsi="Arial" w:cs="Arial"/>
        </w:rPr>
        <w:t>Dentro de las especies amenazadas por la destrucción de su hábitat, sobreexplotación o recolección excesiva por tráfico ilegal, es la familia de las cactáceas una de las más afectadas por lo que la recuperación de su germoplasma y la reproducción sexual ha permitido que se cuente con ejemplares propagados además de contar con donaciones de los decomisos de cactáceas realizadas por SEMARNAT.</w:t>
      </w:r>
    </w:p>
    <w:p w14:paraId="1BA938D8" w14:textId="77777777" w:rsidR="00BF3D61" w:rsidRDefault="00BF3D61" w:rsidP="00030011">
      <w:pPr>
        <w:jc w:val="both"/>
        <w:rPr>
          <w:rFonts w:ascii="Arial" w:hAnsi="Arial" w:cs="Arial"/>
        </w:rPr>
      </w:pPr>
      <w:r>
        <w:rPr>
          <w:rFonts w:ascii="Arial" w:hAnsi="Arial" w:cs="Arial"/>
        </w:rPr>
        <w:t>La propagación de especies de plantas medicinales, forrajeras, industriales ornamentales se practica a través de técnicas tradicionales con la finalidad de tener la mayor cantidad de plantas útiles para el hombre para no sobreexplotar los recursos naturales y coadyuvar  a la conservación de la diversidad biológica en el estado de Coahuila.</w:t>
      </w:r>
    </w:p>
    <w:p w14:paraId="45F677A8" w14:textId="77777777" w:rsidR="00BF3D61" w:rsidRDefault="00BF3D61" w:rsidP="00030011">
      <w:pPr>
        <w:jc w:val="both"/>
        <w:rPr>
          <w:rFonts w:ascii="Arial" w:hAnsi="Arial" w:cs="Arial"/>
        </w:rPr>
      </w:pPr>
    </w:p>
    <w:p w14:paraId="1B5942EC" w14:textId="77777777" w:rsidR="007C4232" w:rsidRPr="007923C2" w:rsidRDefault="007C4232"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HERBARIO</w:t>
      </w:r>
    </w:p>
    <w:p w14:paraId="4A6917DF" w14:textId="77777777" w:rsidR="00B70A36" w:rsidRPr="007923C2" w:rsidRDefault="005E47E4"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En el herbario se tiene una colección de plantas herborizadas de Coahuila y otrosestados de México, el cual recibe investigadores nacionales y del extranjero</w:t>
      </w:r>
      <w:r w:rsidR="00B70A36" w:rsidRPr="007923C2">
        <w:rPr>
          <w:rFonts w:ascii="Arial" w:hAnsi="Arial" w:cs="Arial"/>
          <w:sz w:val="22"/>
          <w:szCs w:val="22"/>
        </w:rPr>
        <w:t>, grupos de alumnos de diferentes facultades.</w:t>
      </w:r>
    </w:p>
    <w:p w14:paraId="3CC5B26F" w14:textId="77777777"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Objetivos</w:t>
      </w:r>
    </w:p>
    <w:p w14:paraId="075B1FCC" w14:textId="77777777"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-Integrar las especies representativas del norte de México en una colección de plantas herborizadas.</w:t>
      </w:r>
    </w:p>
    <w:p w14:paraId="4DDF95EC" w14:textId="77777777"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-Intercambio de especies para su comparación taxonómica</w:t>
      </w:r>
    </w:p>
    <w:p w14:paraId="15875D26" w14:textId="77777777"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-Identificación de especies.</w:t>
      </w:r>
    </w:p>
    <w:p w14:paraId="050D2930" w14:textId="77777777" w:rsidR="007C4232" w:rsidRPr="007923C2" w:rsidRDefault="007C4232"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VIVERO</w:t>
      </w:r>
    </w:p>
    <w:p w14:paraId="64F1DA9F" w14:textId="77777777"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En el vivero existe una producción forestal importante de especies de pinos utilizadas para reforestar.</w:t>
      </w:r>
    </w:p>
    <w:p w14:paraId="2D5CEAD7" w14:textId="77777777"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Objetivos</w:t>
      </w:r>
    </w:p>
    <w:p w14:paraId="60AA1537" w14:textId="77777777"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-Producción de plantas forestales y forrajeras.</w:t>
      </w:r>
    </w:p>
    <w:p w14:paraId="77FCDA62" w14:textId="77777777" w:rsidR="00B70A36"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-Producción de plantas de interés industrial.</w:t>
      </w:r>
    </w:p>
    <w:p w14:paraId="3A52E806" w14:textId="77777777" w:rsidR="00BF3D61" w:rsidRDefault="00BF3D61" w:rsidP="00030011">
      <w:pPr>
        <w:jc w:val="both"/>
        <w:rPr>
          <w:rFonts w:ascii="Arial" w:hAnsi="Arial" w:cs="Arial"/>
        </w:rPr>
      </w:pPr>
      <w:r>
        <w:rPr>
          <w:rFonts w:ascii="Arial" w:hAnsi="Arial" w:cs="Arial"/>
        </w:rPr>
        <w:t>VIVERO  UAAAN</w:t>
      </w:r>
    </w:p>
    <w:p w14:paraId="199C02ED" w14:textId="77777777" w:rsidR="00BF3D61" w:rsidRDefault="00BF3D61" w:rsidP="00030011">
      <w:pPr>
        <w:jc w:val="both"/>
        <w:rPr>
          <w:rFonts w:ascii="Arial" w:hAnsi="Arial" w:cs="Arial"/>
        </w:rPr>
      </w:pPr>
      <w:r>
        <w:rPr>
          <w:rFonts w:ascii="Arial" w:hAnsi="Arial" w:cs="Arial"/>
        </w:rPr>
        <w:t>Un vivero se define como el área y sus instalaciones que están dedicadas a la producción de plantas en donde se les proporcionen todos los cuidados para su manejo, traslado y plantación en un lugar definitivo.</w:t>
      </w:r>
    </w:p>
    <w:p w14:paraId="11290249" w14:textId="77777777" w:rsidR="00BF3D61" w:rsidRDefault="00BF3D61" w:rsidP="00030011">
      <w:pPr>
        <w:jc w:val="both"/>
        <w:rPr>
          <w:rFonts w:ascii="Arial" w:hAnsi="Arial" w:cs="Arial"/>
        </w:rPr>
      </w:pPr>
      <w:r>
        <w:rPr>
          <w:rFonts w:ascii="Arial" w:hAnsi="Arial" w:cs="Arial"/>
        </w:rPr>
        <w:t>La propagación de plantas tiene como función obtener plántulas de calidad superior, es decir de tamaño adecuado, libre de plagas y enfermedades para asegurar el éxito de la producción para lo cual resulta necesario que la persona encargada de dirigir la actividad del vivero conozca y aplique las principales etapas y técnicas que permitan abastecer los materiales vegetativos requeridos.</w:t>
      </w:r>
    </w:p>
    <w:p w14:paraId="6D49693B" w14:textId="77777777" w:rsidR="00BF3D61" w:rsidRDefault="00BF3D61" w:rsidP="00030011">
      <w:pPr>
        <w:jc w:val="both"/>
        <w:rPr>
          <w:rFonts w:ascii="Arial" w:hAnsi="Arial" w:cs="Arial"/>
        </w:rPr>
      </w:pPr>
      <w:r>
        <w:rPr>
          <w:rFonts w:ascii="Arial" w:hAnsi="Arial" w:cs="Arial"/>
        </w:rPr>
        <w:t>Se han desarrollado métodos de regeneración o producción natural y artificial. Una forma de reproducción es la regeneración natural mediante la siembra directa de semillas o su obtención a través de un vivero.</w:t>
      </w:r>
    </w:p>
    <w:p w14:paraId="3456FDE9" w14:textId="77777777" w:rsidR="00BF3D61" w:rsidRDefault="00BF3D61" w:rsidP="00030011">
      <w:pPr>
        <w:jc w:val="both"/>
        <w:rPr>
          <w:rFonts w:ascii="Arial" w:hAnsi="Arial" w:cs="Arial"/>
        </w:rPr>
      </w:pPr>
      <w:r>
        <w:rPr>
          <w:rFonts w:ascii="Arial" w:hAnsi="Arial" w:cs="Arial"/>
        </w:rPr>
        <w:t>Como consecuencia de las actividades humanas, se ha incrementado la superficie improductiva por lo que se hace urgente que se lleven a vabo campañas de reforestación  que conlleven a aumentar su productividad.</w:t>
      </w:r>
    </w:p>
    <w:p w14:paraId="0857A8B1" w14:textId="77777777" w:rsidR="00BF3D61" w:rsidRDefault="00BF3D61" w:rsidP="00030011">
      <w:pPr>
        <w:jc w:val="both"/>
        <w:rPr>
          <w:rFonts w:ascii="Arial" w:hAnsi="Arial" w:cs="Arial"/>
        </w:rPr>
      </w:pPr>
      <w:r>
        <w:rPr>
          <w:rFonts w:ascii="Arial" w:hAnsi="Arial" w:cs="Arial"/>
        </w:rPr>
        <w:t>El papel de los viveros es de suma importancia ya que proveen de grandes cantidades de plantas que son producidas a un costo mínimo sin que ello signifique un sacrificio en la calidad de los materiales.</w:t>
      </w:r>
    </w:p>
    <w:p w14:paraId="25EF47FF" w14:textId="77777777" w:rsidR="00BF3D61" w:rsidRDefault="00BF3D61" w:rsidP="00030011">
      <w:pPr>
        <w:jc w:val="both"/>
        <w:rPr>
          <w:rFonts w:ascii="Arial" w:hAnsi="Arial" w:cs="Arial"/>
        </w:rPr>
      </w:pPr>
      <w:r>
        <w:rPr>
          <w:rFonts w:ascii="Arial" w:hAnsi="Arial" w:cs="Arial"/>
        </w:rPr>
        <w:t>OBJETIVOS</w:t>
      </w:r>
    </w:p>
    <w:p w14:paraId="67A9D63B" w14:textId="77777777" w:rsidR="00BF3D61" w:rsidRDefault="00BF3D61" w:rsidP="00030011">
      <w:pPr>
        <w:jc w:val="both"/>
        <w:rPr>
          <w:rFonts w:ascii="Arial" w:hAnsi="Arial" w:cs="Arial"/>
        </w:rPr>
      </w:pPr>
      <w:r>
        <w:rPr>
          <w:rFonts w:ascii="Arial" w:hAnsi="Arial" w:cs="Arial"/>
        </w:rPr>
        <w:t>-Formar actitudes positivas hacia los recursos naturales.</w:t>
      </w:r>
    </w:p>
    <w:p w14:paraId="798C720B" w14:textId="77777777" w:rsidR="00BF3D61" w:rsidRDefault="00BF3D61" w:rsidP="00030011">
      <w:pPr>
        <w:jc w:val="both"/>
        <w:rPr>
          <w:rFonts w:ascii="Arial" w:hAnsi="Arial" w:cs="Arial"/>
        </w:rPr>
      </w:pPr>
      <w:r>
        <w:rPr>
          <w:rFonts w:ascii="Arial" w:hAnsi="Arial" w:cs="Arial"/>
        </w:rPr>
        <w:t>-Producir plantas de la región para ser utilizadas en actividades de reforestación en áreas todos los niveles educativos para recibir de la misma comunidad o bien para su comercialización.</w:t>
      </w:r>
    </w:p>
    <w:p w14:paraId="1BFFFD52" w14:textId="77777777" w:rsidR="00BF3D61" w:rsidRDefault="00BF3D61" w:rsidP="00030011">
      <w:pPr>
        <w:jc w:val="both"/>
        <w:rPr>
          <w:rFonts w:ascii="Arial" w:hAnsi="Arial" w:cs="Arial"/>
        </w:rPr>
      </w:pPr>
      <w:r>
        <w:rPr>
          <w:rFonts w:ascii="Arial" w:hAnsi="Arial" w:cs="Arial"/>
        </w:rPr>
        <w:t>-Conocer el proceso de crecimiento y protección de las plantas a través de la práctica y la observación.</w:t>
      </w:r>
    </w:p>
    <w:p w14:paraId="46A5E6DD" w14:textId="77777777" w:rsidR="00BF3D61" w:rsidRDefault="00BF3D61" w:rsidP="00030011">
      <w:pPr>
        <w:jc w:val="both"/>
        <w:rPr>
          <w:rFonts w:ascii="Arial" w:hAnsi="Arial" w:cs="Arial"/>
        </w:rPr>
      </w:pPr>
      <w:r>
        <w:rPr>
          <w:rFonts w:ascii="Arial" w:hAnsi="Arial" w:cs="Arial"/>
        </w:rPr>
        <w:t>La estructura del vivero consiste en la formación de almácigos o semilleros, platabandas un área para envasado y preparación de la tierra.</w:t>
      </w:r>
    </w:p>
    <w:p w14:paraId="65968F57" w14:textId="77777777" w:rsidR="00BF3D61" w:rsidRDefault="00BF3D61" w:rsidP="00030011">
      <w:pPr>
        <w:jc w:val="both"/>
        <w:rPr>
          <w:rFonts w:ascii="Arial" w:hAnsi="Arial" w:cs="Arial"/>
        </w:rPr>
      </w:pPr>
      <w:r>
        <w:rPr>
          <w:rFonts w:ascii="Arial" w:hAnsi="Arial" w:cs="Arial"/>
        </w:rPr>
        <w:t>Se realiza una serie de actividades como recolección de semillas, la siembra y trasplante de las plantas.</w:t>
      </w:r>
    </w:p>
    <w:p w14:paraId="5C05DB63" w14:textId="77777777" w:rsidR="00BF3D61" w:rsidRDefault="00BF3D61" w:rsidP="00030011">
      <w:pPr>
        <w:jc w:val="both"/>
        <w:rPr>
          <w:rFonts w:ascii="Arial" w:hAnsi="Arial" w:cs="Arial"/>
        </w:rPr>
      </w:pPr>
      <w:r>
        <w:rPr>
          <w:rFonts w:ascii="Arial" w:hAnsi="Arial" w:cs="Arial"/>
        </w:rPr>
        <w:lastRenderedPageBreak/>
        <w:t>El vivero tiene en función más de 30 años ha destacado como el primer vivero de la institución en donde la producción forestal  ha sido constante y por razones de presupuesto ha disminuido en algo su producción,</w:t>
      </w:r>
    </w:p>
    <w:p w14:paraId="67BE5C8C" w14:textId="77777777" w:rsidR="00BF3D61" w:rsidRDefault="00BF3D61" w:rsidP="00030011">
      <w:pPr>
        <w:jc w:val="both"/>
        <w:rPr>
          <w:rFonts w:ascii="Arial" w:hAnsi="Arial" w:cs="Arial"/>
        </w:rPr>
      </w:pPr>
      <w:r>
        <w:rPr>
          <w:rFonts w:ascii="Arial" w:hAnsi="Arial" w:cs="Arial"/>
        </w:rPr>
        <w:t>Continua  el cumplimiento de sus objetivos:</w:t>
      </w:r>
    </w:p>
    <w:p w14:paraId="0CF1632B" w14:textId="77777777" w:rsidR="00BF3D61" w:rsidRDefault="00BF3D61" w:rsidP="00030011">
      <w:pPr>
        <w:jc w:val="both"/>
        <w:rPr>
          <w:rFonts w:ascii="Arial" w:hAnsi="Arial" w:cs="Arial"/>
        </w:rPr>
      </w:pPr>
      <w:r>
        <w:rPr>
          <w:rFonts w:ascii="Arial" w:hAnsi="Arial" w:cs="Arial"/>
        </w:rPr>
        <w:t>-Producción de plantas de importancia forestal.</w:t>
      </w:r>
    </w:p>
    <w:p w14:paraId="23762936" w14:textId="77777777" w:rsidR="00BF3D61" w:rsidRDefault="00BF3D61" w:rsidP="00030011">
      <w:pPr>
        <w:jc w:val="both"/>
        <w:rPr>
          <w:rFonts w:ascii="Arial" w:hAnsi="Arial" w:cs="Arial"/>
        </w:rPr>
      </w:pPr>
      <w:r>
        <w:rPr>
          <w:rFonts w:ascii="Arial" w:hAnsi="Arial" w:cs="Arial"/>
        </w:rPr>
        <w:t>-Desarrollo de servicio social.</w:t>
      </w:r>
    </w:p>
    <w:p w14:paraId="0717C620" w14:textId="77777777" w:rsidR="00BF3D61" w:rsidRPr="00B47976" w:rsidRDefault="00BF3D61" w:rsidP="00030011">
      <w:pPr>
        <w:jc w:val="both"/>
        <w:rPr>
          <w:rFonts w:ascii="Arial" w:hAnsi="Arial" w:cs="Arial"/>
        </w:rPr>
      </w:pPr>
      <w:r>
        <w:rPr>
          <w:rFonts w:ascii="Arial" w:hAnsi="Arial" w:cs="Arial"/>
        </w:rPr>
        <w:t>-Visitas de estudiantes de todos los niveles escolares para recibir pláticas sobre educación ambiental y la importancia de la vegetación y desarrollo de las áreas forestales.</w:t>
      </w:r>
    </w:p>
    <w:p w14:paraId="3618745F" w14:textId="77777777" w:rsidR="00BF3D61" w:rsidRDefault="00BF3D61" w:rsidP="00030011">
      <w:pPr>
        <w:widowControl w:val="0"/>
        <w:autoSpaceDE w:val="0"/>
        <w:autoSpaceDN w:val="0"/>
        <w:adjustRightInd w:val="0"/>
        <w:jc w:val="both"/>
        <w:rPr>
          <w:rFonts w:ascii="Arial" w:hAnsi="Arial" w:cs="Arial"/>
          <w:sz w:val="22"/>
          <w:szCs w:val="22"/>
        </w:rPr>
      </w:pPr>
    </w:p>
    <w:p w14:paraId="63352392" w14:textId="77777777"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las tres unidades los alumnos de Agrobiología y de otras instituciones realizan el servicio social.</w:t>
      </w:r>
    </w:p>
    <w:p w14:paraId="08A287B0" w14:textId="77777777"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Se han convertido en importantes centros de docencia e investigación.</w:t>
      </w:r>
    </w:p>
    <w:p w14:paraId="5E3C10C6" w14:textId="77777777" w:rsidR="005E47E4" w:rsidRPr="007923C2" w:rsidRDefault="005E47E4" w:rsidP="00030011">
      <w:pPr>
        <w:widowControl w:val="0"/>
        <w:autoSpaceDE w:val="0"/>
        <w:autoSpaceDN w:val="0"/>
        <w:adjustRightInd w:val="0"/>
        <w:jc w:val="both"/>
        <w:rPr>
          <w:rFonts w:ascii="Arial" w:hAnsi="Arial" w:cs="Arial"/>
          <w:sz w:val="22"/>
          <w:szCs w:val="22"/>
        </w:rPr>
      </w:pPr>
    </w:p>
    <w:p w14:paraId="415C71B8" w14:textId="77777777" w:rsidR="005E47E4" w:rsidRPr="007923C2" w:rsidRDefault="005E47E4" w:rsidP="00030011">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4.3.3.2.- Servicios a la comunidad</w:t>
      </w:r>
    </w:p>
    <w:p w14:paraId="12836801" w14:textId="77777777" w:rsidR="005E47E4" w:rsidRPr="007923C2" w:rsidRDefault="005E47E4"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alumnos de Agrobiología que participan en los diferentes proyectos o actividades de alguna materia realizan servicio a la comunidad como:</w:t>
      </w:r>
    </w:p>
    <w:p w14:paraId="56399EC4" w14:textId="77777777" w:rsidR="005E47E4" w:rsidRPr="007923C2" w:rsidRDefault="005E47E4"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Reforestación</w:t>
      </w:r>
    </w:p>
    <w:p w14:paraId="7B8CAC14" w14:textId="77777777" w:rsidR="005E47E4" w:rsidRPr="007923C2" w:rsidRDefault="005E47E4"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Elaboración de Jardines Botánicos</w:t>
      </w:r>
    </w:p>
    <w:p w14:paraId="5EB2642A" w14:textId="77777777" w:rsidR="00B70A36" w:rsidRPr="007923C2" w:rsidRDefault="005E47E4"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Taller de reciclado, industrialización de plantas, conferencias de educación ambiental etc</w:t>
      </w:r>
    </w:p>
    <w:p w14:paraId="7CB9847C" w14:textId="77777777" w:rsidR="00084A6E"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proyectos de desarrollo son una forma de vinculación al área rural</w:t>
      </w:r>
      <w:r w:rsidR="00084A6E" w:rsidRPr="007923C2">
        <w:rPr>
          <w:rFonts w:ascii="Arial" w:hAnsi="Arial" w:cs="Arial"/>
          <w:sz w:val="22"/>
          <w:szCs w:val="22"/>
        </w:rPr>
        <w:t>, se han desarrollado proyectos como:</w:t>
      </w:r>
    </w:p>
    <w:p w14:paraId="741C7218" w14:textId="77777777" w:rsidR="005E47E4"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1.-Proyecto de reciclaje para la elaboración de artesanías útiles como una forma de comercio</w:t>
      </w:r>
      <w:r w:rsidR="005E47E4" w:rsidRPr="007923C2">
        <w:rPr>
          <w:rFonts w:ascii="Arial" w:hAnsi="Arial" w:cs="Arial"/>
          <w:sz w:val="22"/>
          <w:szCs w:val="22"/>
        </w:rPr>
        <w:t>.</w:t>
      </w:r>
    </w:p>
    <w:p w14:paraId="0251F60A" w14:textId="77777777" w:rsidR="00084A6E"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2.-Proyecto de cultivo del nopal como una forma de subsistencia en las regiones áridas y semiáridas.</w:t>
      </w:r>
    </w:p>
    <w:p w14:paraId="1D587FBA" w14:textId="77777777" w:rsidR="002D434D" w:rsidRPr="007923C2" w:rsidRDefault="002D434D" w:rsidP="00030011">
      <w:pPr>
        <w:widowControl w:val="0"/>
        <w:autoSpaceDE w:val="0"/>
        <w:autoSpaceDN w:val="0"/>
        <w:adjustRightInd w:val="0"/>
        <w:jc w:val="both"/>
        <w:rPr>
          <w:rFonts w:ascii="Arial" w:hAnsi="Arial" w:cs="Arial"/>
          <w:sz w:val="22"/>
          <w:szCs w:val="22"/>
        </w:rPr>
      </w:pPr>
    </w:p>
    <w:p w14:paraId="6728CED9" w14:textId="77777777" w:rsidR="00084A6E"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Cursos-taller dirigidos a egresados,  estudiantes y público en general.</w:t>
      </w:r>
    </w:p>
    <w:p w14:paraId="2394483B" w14:textId="77777777" w:rsidR="00084A6E"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1.-Descripción morfológica, identificación y propagación de cactáceas de Coahuila.</w:t>
      </w:r>
    </w:p>
    <w:p w14:paraId="0AA3BA68" w14:textId="77777777" w:rsidR="00084A6E"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2.-Técnica de elaboración de preparaciones histológicas de plantas.</w:t>
      </w:r>
    </w:p>
    <w:p w14:paraId="4632D962" w14:textId="77777777" w:rsidR="00084A6E"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3.-Taxidermia de animales</w:t>
      </w:r>
    </w:p>
    <w:p w14:paraId="27CA67E2" w14:textId="77777777" w:rsidR="00084A6E"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4.-Sistemas cartográficos, aplicación de programas para el estudio e identificación de áreas geográficas</w:t>
      </w:r>
    </w:p>
    <w:p w14:paraId="1B00166E" w14:textId="77777777" w:rsidR="001213F1"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5.-Legislación ambiental análisis de las normas</w:t>
      </w:r>
      <w:r w:rsidR="001213F1" w:rsidRPr="007923C2">
        <w:rPr>
          <w:rFonts w:ascii="Arial" w:hAnsi="Arial" w:cs="Arial"/>
          <w:sz w:val="22"/>
          <w:szCs w:val="22"/>
        </w:rPr>
        <w:t xml:space="preserve"> de la LGEPA.</w:t>
      </w:r>
    </w:p>
    <w:p w14:paraId="6D693ED1" w14:textId="77777777" w:rsidR="001213F1" w:rsidRPr="007923C2" w:rsidRDefault="001213F1"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2 últimos cursos talleres fueron impartidos por egresados que han adquirido experiencias en su desempeño profesional y han querido transmitirlo a los estudiantes que están cursando la carrera IAB.</w:t>
      </w:r>
    </w:p>
    <w:p w14:paraId="799BD55A" w14:textId="77777777" w:rsidR="001213F1" w:rsidRPr="007923C2" w:rsidRDefault="001213F1" w:rsidP="00030011">
      <w:pPr>
        <w:widowControl w:val="0"/>
        <w:autoSpaceDE w:val="0"/>
        <w:autoSpaceDN w:val="0"/>
        <w:adjustRightInd w:val="0"/>
        <w:jc w:val="both"/>
        <w:rPr>
          <w:rFonts w:ascii="Arial" w:hAnsi="Arial" w:cs="Arial"/>
          <w:sz w:val="22"/>
          <w:szCs w:val="22"/>
        </w:rPr>
      </w:pPr>
    </w:p>
    <w:p w14:paraId="62531A9B" w14:textId="77777777" w:rsidR="00A11D72" w:rsidRDefault="00A11D72" w:rsidP="00030011">
      <w:pPr>
        <w:widowControl w:val="0"/>
        <w:autoSpaceDE w:val="0"/>
        <w:autoSpaceDN w:val="0"/>
        <w:adjustRightInd w:val="0"/>
        <w:jc w:val="both"/>
        <w:rPr>
          <w:rFonts w:ascii="Arial" w:hAnsi="Arial" w:cs="Arial"/>
          <w:b/>
          <w:sz w:val="22"/>
          <w:szCs w:val="22"/>
        </w:rPr>
      </w:pPr>
    </w:p>
    <w:p w14:paraId="6A54E098" w14:textId="77777777" w:rsidR="001213F1" w:rsidRPr="007923C2" w:rsidRDefault="001213F1" w:rsidP="00030011">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lastRenderedPageBreak/>
        <w:t>4.4.-IDENTIFICAR LAS FORTALEZAS Y DEBILIDADES QUE AFECTAN EL PLAN DE ESTUDIOS</w:t>
      </w:r>
    </w:p>
    <w:p w14:paraId="55390DA5" w14:textId="77777777" w:rsidR="001213F1" w:rsidRPr="007923C2" w:rsidRDefault="001213F1" w:rsidP="00030011">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FORTALEZAS</w:t>
      </w:r>
    </w:p>
    <w:p w14:paraId="08CD5866" w14:textId="77777777" w:rsidR="00426DCA" w:rsidRPr="007923C2" w:rsidRDefault="00426DCA" w:rsidP="00030011">
      <w:pPr>
        <w:widowControl w:val="0"/>
        <w:numPr>
          <w:ilvl w:val="0"/>
          <w:numId w:val="67"/>
        </w:numPr>
        <w:tabs>
          <w:tab w:val="left" w:pos="417"/>
        </w:tabs>
        <w:autoSpaceDE w:val="0"/>
        <w:autoSpaceDN w:val="0"/>
        <w:adjustRightInd w:val="0"/>
        <w:spacing w:after="200" w:line="288" w:lineRule="auto"/>
        <w:ind w:left="426" w:hanging="426"/>
        <w:jc w:val="both"/>
        <w:rPr>
          <w:rFonts w:ascii="Arial" w:hAnsi="Arial" w:cs="Arial"/>
          <w:sz w:val="22"/>
          <w:szCs w:val="22"/>
        </w:rPr>
      </w:pPr>
      <w:r w:rsidRPr="007923C2">
        <w:rPr>
          <w:rFonts w:ascii="Arial" w:hAnsi="Arial" w:cs="Arial"/>
          <w:sz w:val="22"/>
          <w:szCs w:val="22"/>
        </w:rPr>
        <w:t xml:space="preserve">El personal académico del Departamento cuenta con gran experiencia y preparación, el </w:t>
      </w:r>
      <w:r w:rsidR="002F467E" w:rsidRPr="007923C2">
        <w:rPr>
          <w:rFonts w:ascii="Arial" w:hAnsi="Arial" w:cs="Arial"/>
          <w:sz w:val="22"/>
          <w:szCs w:val="22"/>
        </w:rPr>
        <w:t>46</w:t>
      </w:r>
      <w:r w:rsidRPr="007923C2">
        <w:rPr>
          <w:rFonts w:ascii="Arial" w:hAnsi="Arial" w:cs="Arial"/>
          <w:sz w:val="22"/>
          <w:szCs w:val="22"/>
        </w:rPr>
        <w:t xml:space="preserve">% posee estudio de doctorado y </w:t>
      </w:r>
      <w:r w:rsidR="002F467E" w:rsidRPr="007923C2">
        <w:rPr>
          <w:rFonts w:ascii="Arial" w:hAnsi="Arial" w:cs="Arial"/>
          <w:sz w:val="22"/>
          <w:szCs w:val="22"/>
        </w:rPr>
        <w:t>33</w:t>
      </w:r>
      <w:r w:rsidRPr="007923C2">
        <w:rPr>
          <w:rFonts w:ascii="Arial" w:hAnsi="Arial" w:cs="Arial"/>
          <w:sz w:val="22"/>
          <w:szCs w:val="22"/>
        </w:rPr>
        <w:t>%  con maestria</w:t>
      </w:r>
      <w:r w:rsidR="002F467E" w:rsidRPr="007923C2">
        <w:rPr>
          <w:rFonts w:ascii="Arial" w:hAnsi="Arial" w:cs="Arial"/>
          <w:sz w:val="22"/>
          <w:szCs w:val="22"/>
        </w:rPr>
        <w:t xml:space="preserve"> y 20 % licenciatura.</w:t>
      </w:r>
    </w:p>
    <w:p w14:paraId="48C4F248" w14:textId="77777777" w:rsidR="00426DCA" w:rsidRPr="007923C2" w:rsidRDefault="00426DCA" w:rsidP="00030011">
      <w:pPr>
        <w:widowControl w:val="0"/>
        <w:numPr>
          <w:ilvl w:val="0"/>
          <w:numId w:val="68"/>
        </w:numPr>
        <w:tabs>
          <w:tab w:val="left" w:pos="417"/>
        </w:tabs>
        <w:autoSpaceDE w:val="0"/>
        <w:autoSpaceDN w:val="0"/>
        <w:adjustRightInd w:val="0"/>
        <w:spacing w:after="200" w:line="288" w:lineRule="auto"/>
        <w:ind w:left="426" w:hanging="426"/>
        <w:jc w:val="both"/>
        <w:rPr>
          <w:rFonts w:ascii="Arial" w:hAnsi="Arial" w:cs="Arial"/>
          <w:sz w:val="22"/>
          <w:szCs w:val="22"/>
        </w:rPr>
      </w:pPr>
      <w:r w:rsidRPr="007923C2">
        <w:rPr>
          <w:rFonts w:ascii="Arial" w:hAnsi="Arial" w:cs="Arial"/>
          <w:sz w:val="22"/>
          <w:szCs w:val="22"/>
        </w:rPr>
        <w:t>Las unidades con que cuenta el Departamento (Herbario, vivero, jardín Botánico) han sido de gran proyección para la Universidad, han logrado hacer  vinculación a travès del servicio que prestan a  la Sociedad.</w:t>
      </w:r>
    </w:p>
    <w:p w14:paraId="468F9AF5" w14:textId="77777777" w:rsidR="00426DCA" w:rsidRPr="007923C2" w:rsidRDefault="00426DCA" w:rsidP="00030011">
      <w:pPr>
        <w:widowControl w:val="0"/>
        <w:numPr>
          <w:ilvl w:val="0"/>
          <w:numId w:val="69"/>
        </w:numPr>
        <w:tabs>
          <w:tab w:val="left" w:pos="417"/>
        </w:tabs>
        <w:autoSpaceDE w:val="0"/>
        <w:autoSpaceDN w:val="0"/>
        <w:adjustRightInd w:val="0"/>
        <w:spacing w:after="200" w:line="288" w:lineRule="auto"/>
        <w:ind w:left="426" w:hanging="426"/>
        <w:jc w:val="both"/>
        <w:rPr>
          <w:rFonts w:ascii="Arial" w:hAnsi="Arial" w:cs="Arial"/>
          <w:sz w:val="22"/>
          <w:szCs w:val="22"/>
        </w:rPr>
      </w:pPr>
      <w:r w:rsidRPr="007923C2">
        <w:rPr>
          <w:rFonts w:ascii="Arial" w:hAnsi="Arial" w:cs="Arial"/>
          <w:sz w:val="22"/>
          <w:szCs w:val="22"/>
        </w:rPr>
        <w:t>Durante el desarrollo de la carrera se han generado proyectos de investigación diferentes, no solo encaminados a la producción agrícola , como son los de la mayoría de los Departamentos sino además de conservación y manejo de los recursos naturales.</w:t>
      </w:r>
    </w:p>
    <w:p w14:paraId="0E388AF0" w14:textId="77777777" w:rsidR="00426DCA" w:rsidRPr="00D15A0E" w:rsidRDefault="00426DCA" w:rsidP="00030011">
      <w:pPr>
        <w:pStyle w:val="Prrafodelista"/>
        <w:widowControl w:val="0"/>
        <w:numPr>
          <w:ilvl w:val="0"/>
          <w:numId w:val="3"/>
        </w:numPr>
        <w:tabs>
          <w:tab w:val="left" w:pos="417"/>
        </w:tabs>
        <w:autoSpaceDE w:val="0"/>
        <w:autoSpaceDN w:val="0"/>
        <w:adjustRightInd w:val="0"/>
        <w:spacing w:after="200" w:line="288" w:lineRule="auto"/>
        <w:ind w:left="426" w:hanging="426"/>
        <w:jc w:val="both"/>
        <w:rPr>
          <w:rFonts w:ascii="Arial" w:hAnsi="Arial" w:cs="Arial"/>
          <w:sz w:val="22"/>
          <w:szCs w:val="22"/>
        </w:rPr>
      </w:pPr>
      <w:r w:rsidRPr="00D15A0E">
        <w:rPr>
          <w:rFonts w:ascii="Arial" w:hAnsi="Arial" w:cs="Arial"/>
          <w:sz w:val="22"/>
          <w:szCs w:val="22"/>
        </w:rPr>
        <w:t xml:space="preserve">El área de conocimiento alrededor del cual gira el objetivo de la carrera maneja una </w:t>
      </w:r>
      <w:r w:rsidR="002F467E" w:rsidRPr="00D15A0E">
        <w:rPr>
          <w:rFonts w:ascii="Arial" w:hAnsi="Arial" w:cs="Arial"/>
          <w:sz w:val="22"/>
          <w:szCs w:val="22"/>
        </w:rPr>
        <w:t xml:space="preserve">Problemática de actualidad.           </w:t>
      </w:r>
    </w:p>
    <w:p w14:paraId="2A36DC2D" w14:textId="77777777" w:rsidR="00AB6ED8" w:rsidRPr="00D15A0E" w:rsidRDefault="00426DCA" w:rsidP="00030011">
      <w:pPr>
        <w:pStyle w:val="Prrafodelista"/>
        <w:widowControl w:val="0"/>
        <w:numPr>
          <w:ilvl w:val="0"/>
          <w:numId w:val="3"/>
        </w:numPr>
        <w:tabs>
          <w:tab w:val="left" w:pos="417"/>
        </w:tabs>
        <w:autoSpaceDE w:val="0"/>
        <w:autoSpaceDN w:val="0"/>
        <w:adjustRightInd w:val="0"/>
        <w:spacing w:after="200" w:line="288" w:lineRule="auto"/>
        <w:ind w:left="426" w:hanging="426"/>
        <w:jc w:val="both"/>
        <w:rPr>
          <w:rFonts w:ascii="Arial" w:hAnsi="Arial" w:cs="Arial"/>
          <w:sz w:val="22"/>
          <w:szCs w:val="22"/>
        </w:rPr>
      </w:pPr>
      <w:r w:rsidRPr="00D15A0E">
        <w:rPr>
          <w:rFonts w:ascii="Arial" w:hAnsi="Arial" w:cs="Arial"/>
          <w:sz w:val="22"/>
          <w:szCs w:val="22"/>
        </w:rPr>
        <w:t>A pesar de que es una carrera nueva en la institución (</w:t>
      </w:r>
      <w:r w:rsidR="002F467E" w:rsidRPr="00D15A0E">
        <w:rPr>
          <w:rFonts w:ascii="Arial" w:hAnsi="Arial" w:cs="Arial"/>
          <w:sz w:val="22"/>
          <w:szCs w:val="22"/>
        </w:rPr>
        <w:t>1</w:t>
      </w:r>
      <w:r w:rsidRPr="00D15A0E">
        <w:rPr>
          <w:rFonts w:ascii="Arial" w:hAnsi="Arial" w:cs="Arial"/>
          <w:sz w:val="22"/>
          <w:szCs w:val="22"/>
        </w:rPr>
        <w:t xml:space="preserve">9 años) se ha consolidado </w:t>
      </w:r>
      <w:r w:rsidR="002F467E" w:rsidRPr="00D15A0E">
        <w:rPr>
          <w:rFonts w:ascii="Arial" w:hAnsi="Arial" w:cs="Arial"/>
          <w:sz w:val="22"/>
          <w:szCs w:val="22"/>
        </w:rPr>
        <w:t>en la preferencia de los alumnos</w:t>
      </w:r>
      <w:r w:rsidR="00AB6ED8" w:rsidRPr="00D15A0E">
        <w:rPr>
          <w:rFonts w:ascii="Arial" w:hAnsi="Arial" w:cs="Arial"/>
          <w:sz w:val="22"/>
          <w:szCs w:val="22"/>
        </w:rPr>
        <w:t xml:space="preserve"> por estar fundamentada en un tema actual y por la versatilidad del Plan de Estudios</w:t>
      </w:r>
      <w:r w:rsidR="00D15A0E">
        <w:rPr>
          <w:rFonts w:ascii="Arial" w:hAnsi="Arial" w:cs="Arial"/>
          <w:sz w:val="22"/>
          <w:szCs w:val="22"/>
        </w:rPr>
        <w:t>.</w:t>
      </w:r>
    </w:p>
    <w:p w14:paraId="15A96CA9" w14:textId="77777777" w:rsidR="001D3149" w:rsidRPr="00D15A0E" w:rsidRDefault="00426DCA" w:rsidP="00030011">
      <w:pPr>
        <w:pStyle w:val="Prrafodelista"/>
        <w:widowControl w:val="0"/>
        <w:numPr>
          <w:ilvl w:val="0"/>
          <w:numId w:val="3"/>
        </w:numPr>
        <w:tabs>
          <w:tab w:val="left" w:pos="417"/>
        </w:tabs>
        <w:autoSpaceDE w:val="0"/>
        <w:autoSpaceDN w:val="0"/>
        <w:adjustRightInd w:val="0"/>
        <w:spacing w:after="200" w:line="288" w:lineRule="auto"/>
        <w:ind w:left="426" w:hanging="426"/>
        <w:jc w:val="both"/>
        <w:rPr>
          <w:rFonts w:ascii="Arial" w:hAnsi="Arial" w:cs="Arial"/>
          <w:sz w:val="22"/>
          <w:szCs w:val="22"/>
        </w:rPr>
      </w:pPr>
      <w:r w:rsidRPr="00D15A0E">
        <w:rPr>
          <w:rFonts w:ascii="Arial" w:hAnsi="Arial" w:cs="Arial"/>
          <w:sz w:val="22"/>
          <w:szCs w:val="22"/>
        </w:rPr>
        <w:t xml:space="preserve">El personal académico del Departamento participa en los convenios institucionales </w:t>
      </w:r>
      <w:r w:rsidR="00AB6ED8" w:rsidRPr="00D15A0E">
        <w:rPr>
          <w:rFonts w:ascii="Arial" w:hAnsi="Arial" w:cs="Arial"/>
          <w:sz w:val="22"/>
          <w:szCs w:val="22"/>
        </w:rPr>
        <w:t>d</w:t>
      </w:r>
      <w:r w:rsidR="002F467E" w:rsidRPr="00D15A0E">
        <w:rPr>
          <w:rFonts w:ascii="Arial" w:hAnsi="Arial" w:cs="Arial"/>
          <w:sz w:val="22"/>
          <w:szCs w:val="22"/>
        </w:rPr>
        <w:t xml:space="preserve">e </w:t>
      </w:r>
      <w:r w:rsidR="00C01150" w:rsidRPr="00D15A0E">
        <w:rPr>
          <w:rFonts w:ascii="Arial" w:hAnsi="Arial" w:cs="Arial"/>
          <w:sz w:val="22"/>
          <w:szCs w:val="22"/>
        </w:rPr>
        <w:t>colaboración e intercambio.</w:t>
      </w:r>
    </w:p>
    <w:p w14:paraId="1FBA5FB8" w14:textId="77777777" w:rsidR="00426DCA" w:rsidRPr="007923C2" w:rsidRDefault="00030011" w:rsidP="00030011">
      <w:pPr>
        <w:widowControl w:val="0"/>
        <w:tabs>
          <w:tab w:val="left" w:pos="417"/>
        </w:tabs>
        <w:autoSpaceDE w:val="0"/>
        <w:autoSpaceDN w:val="0"/>
        <w:adjustRightInd w:val="0"/>
        <w:spacing w:after="200" w:line="288" w:lineRule="auto"/>
        <w:ind w:left="426" w:hanging="426"/>
        <w:jc w:val="both"/>
        <w:rPr>
          <w:rFonts w:ascii="Arial" w:hAnsi="Arial" w:cs="Arial"/>
          <w:sz w:val="22"/>
          <w:szCs w:val="22"/>
        </w:rPr>
      </w:pPr>
      <w:r>
        <w:rPr>
          <w:rFonts w:ascii="Arial" w:hAnsi="Arial" w:cs="Arial"/>
          <w:sz w:val="22"/>
          <w:szCs w:val="22"/>
        </w:rPr>
        <w:t xml:space="preserve">7   </w:t>
      </w:r>
      <w:r w:rsidR="001D3149" w:rsidRPr="007923C2">
        <w:rPr>
          <w:rFonts w:ascii="Arial" w:hAnsi="Arial" w:cs="Arial"/>
          <w:sz w:val="22"/>
          <w:szCs w:val="22"/>
        </w:rPr>
        <w:t xml:space="preserve">Se está renovando el personal académico con profesores investigadores a </w:t>
      </w:r>
      <w:r w:rsidR="00D15A0E">
        <w:rPr>
          <w:rFonts w:ascii="Arial" w:hAnsi="Arial" w:cs="Arial"/>
          <w:sz w:val="22"/>
          <w:szCs w:val="22"/>
        </w:rPr>
        <w:t>n</w:t>
      </w:r>
      <w:r w:rsidR="001D3149" w:rsidRPr="007923C2">
        <w:rPr>
          <w:rFonts w:ascii="Arial" w:hAnsi="Arial" w:cs="Arial"/>
          <w:sz w:val="22"/>
          <w:szCs w:val="22"/>
        </w:rPr>
        <w:t>ivelDoctorado especializados en un área del conocimiento del Plan de Estudios.</w:t>
      </w:r>
    </w:p>
    <w:p w14:paraId="4BF6E4E5" w14:textId="77777777" w:rsidR="001D3149" w:rsidRPr="007923C2" w:rsidRDefault="00030011" w:rsidP="00030011">
      <w:pPr>
        <w:widowControl w:val="0"/>
        <w:tabs>
          <w:tab w:val="left" w:pos="417"/>
        </w:tabs>
        <w:autoSpaceDE w:val="0"/>
        <w:autoSpaceDN w:val="0"/>
        <w:adjustRightInd w:val="0"/>
        <w:ind w:left="426" w:hanging="426"/>
        <w:jc w:val="both"/>
        <w:rPr>
          <w:rFonts w:ascii="Arial" w:hAnsi="Arial" w:cs="Arial"/>
          <w:sz w:val="22"/>
          <w:szCs w:val="22"/>
        </w:rPr>
      </w:pPr>
      <w:r>
        <w:rPr>
          <w:rFonts w:ascii="Arial" w:hAnsi="Arial" w:cs="Arial"/>
          <w:sz w:val="22"/>
          <w:szCs w:val="22"/>
        </w:rPr>
        <w:t xml:space="preserve">8    </w:t>
      </w:r>
      <w:r>
        <w:rPr>
          <w:rFonts w:ascii="Arial" w:hAnsi="Arial" w:cs="Arial"/>
          <w:sz w:val="22"/>
          <w:szCs w:val="22"/>
        </w:rPr>
        <w:tab/>
      </w:r>
      <w:r w:rsidR="001D3149" w:rsidRPr="007923C2">
        <w:rPr>
          <w:rFonts w:ascii="Arial" w:hAnsi="Arial" w:cs="Arial"/>
          <w:sz w:val="22"/>
          <w:szCs w:val="22"/>
        </w:rPr>
        <w:t>El personal de doctorado y maestria est</w:t>
      </w:r>
      <w:r>
        <w:rPr>
          <w:rFonts w:ascii="Arial" w:hAnsi="Arial" w:cs="Arial"/>
          <w:sz w:val="22"/>
          <w:szCs w:val="22"/>
        </w:rPr>
        <w:t>án obteniendo el nivel PRODEP</w:t>
      </w:r>
      <w:r w:rsidR="00AB6ED8" w:rsidRPr="007923C2">
        <w:rPr>
          <w:rFonts w:ascii="Arial" w:hAnsi="Arial" w:cs="Arial"/>
          <w:sz w:val="22"/>
          <w:szCs w:val="22"/>
        </w:rPr>
        <w:t>p</w:t>
      </w:r>
      <w:r w:rsidR="001D3149" w:rsidRPr="007923C2">
        <w:rPr>
          <w:rFonts w:ascii="Arial" w:hAnsi="Arial" w:cs="Arial"/>
          <w:sz w:val="22"/>
          <w:szCs w:val="22"/>
        </w:rPr>
        <w:t>roporcionado por la SEP.</w:t>
      </w:r>
    </w:p>
    <w:p w14:paraId="59B7F0DE" w14:textId="77777777" w:rsidR="001D3149" w:rsidRPr="007923C2" w:rsidRDefault="00C97013" w:rsidP="00030011">
      <w:pPr>
        <w:pStyle w:val="Prrafodelista"/>
        <w:widowControl w:val="0"/>
        <w:numPr>
          <w:ilvl w:val="0"/>
          <w:numId w:val="110"/>
        </w:numPr>
        <w:tabs>
          <w:tab w:val="left" w:pos="417"/>
        </w:tabs>
        <w:autoSpaceDE w:val="0"/>
        <w:autoSpaceDN w:val="0"/>
        <w:adjustRightInd w:val="0"/>
        <w:ind w:left="426" w:hanging="426"/>
        <w:jc w:val="both"/>
        <w:rPr>
          <w:rFonts w:ascii="Arial" w:hAnsi="Arial" w:cs="Arial"/>
          <w:sz w:val="22"/>
          <w:szCs w:val="22"/>
        </w:rPr>
      </w:pPr>
      <w:r w:rsidRPr="007923C2">
        <w:rPr>
          <w:rFonts w:ascii="Arial" w:hAnsi="Arial" w:cs="Arial"/>
          <w:sz w:val="22"/>
          <w:szCs w:val="22"/>
        </w:rPr>
        <w:t>E</w:t>
      </w:r>
      <w:r w:rsidR="001D3149" w:rsidRPr="007923C2">
        <w:rPr>
          <w:rFonts w:ascii="Arial" w:hAnsi="Arial" w:cs="Arial"/>
          <w:sz w:val="22"/>
          <w:szCs w:val="22"/>
        </w:rPr>
        <w:t>l 33 % de profesores investigadores forman parte de cuerpos académicos.</w:t>
      </w:r>
    </w:p>
    <w:p w14:paraId="00A06006" w14:textId="77777777" w:rsidR="001D3149" w:rsidRPr="00D15A0E" w:rsidRDefault="001D3149" w:rsidP="00030011">
      <w:pPr>
        <w:pStyle w:val="Prrafodelista"/>
        <w:widowControl w:val="0"/>
        <w:numPr>
          <w:ilvl w:val="0"/>
          <w:numId w:val="110"/>
        </w:numPr>
        <w:tabs>
          <w:tab w:val="left" w:pos="417"/>
        </w:tabs>
        <w:autoSpaceDE w:val="0"/>
        <w:autoSpaceDN w:val="0"/>
        <w:adjustRightInd w:val="0"/>
        <w:ind w:left="426" w:hanging="426"/>
        <w:jc w:val="both"/>
        <w:rPr>
          <w:rFonts w:ascii="Arial" w:hAnsi="Arial" w:cs="Arial"/>
          <w:sz w:val="22"/>
          <w:szCs w:val="22"/>
        </w:rPr>
      </w:pPr>
      <w:r w:rsidRPr="00D15A0E">
        <w:rPr>
          <w:rFonts w:ascii="Arial" w:hAnsi="Arial" w:cs="Arial"/>
          <w:sz w:val="22"/>
          <w:szCs w:val="22"/>
        </w:rPr>
        <w:t xml:space="preserve">La carrera IAB se está favoreciendo con los proyectos de investigación que han </w:t>
      </w:r>
      <w:r w:rsidR="00D15A0E">
        <w:rPr>
          <w:rFonts w:ascii="Arial" w:hAnsi="Arial" w:cs="Arial"/>
          <w:sz w:val="22"/>
          <w:szCs w:val="22"/>
        </w:rPr>
        <w:t xml:space="preserve"> t</w:t>
      </w:r>
      <w:r w:rsidR="00AB6ED8" w:rsidRPr="00D15A0E">
        <w:rPr>
          <w:rFonts w:ascii="Arial" w:hAnsi="Arial" w:cs="Arial"/>
          <w:sz w:val="22"/>
          <w:szCs w:val="22"/>
        </w:rPr>
        <w:t>raido f</w:t>
      </w:r>
      <w:r w:rsidRPr="00D15A0E">
        <w:rPr>
          <w:rFonts w:ascii="Arial" w:hAnsi="Arial" w:cs="Arial"/>
          <w:sz w:val="22"/>
          <w:szCs w:val="22"/>
        </w:rPr>
        <w:t xml:space="preserve">ondos con los que se han equipado laboratorios y unidades productivas.        </w:t>
      </w:r>
    </w:p>
    <w:p w14:paraId="239084D2" w14:textId="77777777" w:rsidR="00426DCA" w:rsidRPr="007923C2" w:rsidRDefault="00426DCA" w:rsidP="00426DCA">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DEBILIDADES:</w:t>
      </w:r>
    </w:p>
    <w:p w14:paraId="7A44406E" w14:textId="77777777" w:rsidR="00426DCA" w:rsidRPr="007923C2" w:rsidRDefault="00426DCA" w:rsidP="00A60C78">
      <w:pPr>
        <w:widowControl w:val="0"/>
        <w:numPr>
          <w:ilvl w:val="0"/>
          <w:numId w:val="70"/>
        </w:numPr>
        <w:tabs>
          <w:tab w:val="left" w:pos="417"/>
        </w:tabs>
        <w:autoSpaceDE w:val="0"/>
        <w:autoSpaceDN w:val="0"/>
        <w:adjustRightInd w:val="0"/>
        <w:spacing w:after="200" w:line="288" w:lineRule="auto"/>
        <w:ind w:hanging="340"/>
        <w:jc w:val="both"/>
        <w:rPr>
          <w:rFonts w:ascii="Arial" w:hAnsi="Arial" w:cs="Arial"/>
          <w:sz w:val="22"/>
          <w:szCs w:val="22"/>
        </w:rPr>
      </w:pPr>
      <w:r w:rsidRPr="007923C2">
        <w:rPr>
          <w:rFonts w:ascii="Arial" w:hAnsi="Arial" w:cs="Arial"/>
          <w:sz w:val="22"/>
          <w:szCs w:val="22"/>
        </w:rPr>
        <w:t>La distribución actual del presupuesto asignado al departamento, limita los recursos financieros aplicados a la docencia e investigación.</w:t>
      </w:r>
    </w:p>
    <w:p w14:paraId="2768C6FE" w14:textId="77777777" w:rsidR="00426DCA" w:rsidRPr="007923C2" w:rsidRDefault="00426DCA" w:rsidP="00A60C78">
      <w:pPr>
        <w:widowControl w:val="0"/>
        <w:numPr>
          <w:ilvl w:val="0"/>
          <w:numId w:val="71"/>
        </w:numPr>
        <w:tabs>
          <w:tab w:val="left" w:pos="417"/>
        </w:tabs>
        <w:autoSpaceDE w:val="0"/>
        <w:autoSpaceDN w:val="0"/>
        <w:adjustRightInd w:val="0"/>
        <w:spacing w:after="200" w:line="288" w:lineRule="auto"/>
        <w:ind w:hanging="340"/>
        <w:jc w:val="both"/>
        <w:rPr>
          <w:rFonts w:ascii="Arial" w:hAnsi="Arial" w:cs="Arial"/>
          <w:sz w:val="22"/>
          <w:szCs w:val="22"/>
        </w:rPr>
      </w:pPr>
      <w:r w:rsidRPr="007923C2">
        <w:rPr>
          <w:rFonts w:ascii="Arial" w:hAnsi="Arial" w:cs="Arial"/>
          <w:sz w:val="22"/>
          <w:szCs w:val="22"/>
        </w:rPr>
        <w:t>La planta académica reducida con demasiada carga docente, limita a los profesores investigadores a realizar investigación y desarrollo.</w:t>
      </w:r>
    </w:p>
    <w:p w14:paraId="79A6C647" w14:textId="77777777" w:rsidR="00426DCA" w:rsidRPr="007923C2" w:rsidRDefault="00426DCA" w:rsidP="00A60C78">
      <w:pPr>
        <w:widowControl w:val="0"/>
        <w:numPr>
          <w:ilvl w:val="0"/>
          <w:numId w:val="72"/>
        </w:numPr>
        <w:tabs>
          <w:tab w:val="left" w:pos="417"/>
        </w:tabs>
        <w:autoSpaceDE w:val="0"/>
        <w:autoSpaceDN w:val="0"/>
        <w:adjustRightInd w:val="0"/>
        <w:spacing w:after="200" w:line="288" w:lineRule="auto"/>
        <w:ind w:hanging="340"/>
        <w:jc w:val="both"/>
        <w:rPr>
          <w:rFonts w:ascii="Arial" w:hAnsi="Arial" w:cs="Arial"/>
          <w:sz w:val="22"/>
          <w:szCs w:val="22"/>
        </w:rPr>
      </w:pPr>
      <w:r w:rsidRPr="007923C2">
        <w:rPr>
          <w:rFonts w:ascii="Arial" w:hAnsi="Arial" w:cs="Arial"/>
          <w:sz w:val="22"/>
          <w:szCs w:val="22"/>
        </w:rPr>
        <w:t>La infraestructura y equipo del Departamento ha tenido baja o nula actualización y mantenimiento, lo cual refleja que ningún laboratorio esté certificado e incide en la formación práctica de los alumnos.</w:t>
      </w:r>
    </w:p>
    <w:p w14:paraId="0E1180FD" w14:textId="77777777" w:rsidR="00426DCA" w:rsidRPr="007923C2" w:rsidRDefault="00426DCA" w:rsidP="00A60C78">
      <w:pPr>
        <w:widowControl w:val="0"/>
        <w:numPr>
          <w:ilvl w:val="0"/>
          <w:numId w:val="73"/>
        </w:numPr>
        <w:tabs>
          <w:tab w:val="left" w:pos="417"/>
        </w:tabs>
        <w:autoSpaceDE w:val="0"/>
        <w:autoSpaceDN w:val="0"/>
        <w:adjustRightInd w:val="0"/>
        <w:spacing w:after="200" w:line="288" w:lineRule="auto"/>
        <w:ind w:hanging="340"/>
        <w:jc w:val="both"/>
        <w:rPr>
          <w:rFonts w:ascii="Arial" w:hAnsi="Arial" w:cs="Arial"/>
          <w:sz w:val="22"/>
          <w:szCs w:val="22"/>
        </w:rPr>
      </w:pPr>
      <w:r w:rsidRPr="007923C2">
        <w:rPr>
          <w:rFonts w:ascii="Arial" w:hAnsi="Arial" w:cs="Arial"/>
          <w:sz w:val="22"/>
          <w:szCs w:val="22"/>
        </w:rPr>
        <w:t>La próxima jubilación de profesores investigadores del Departamento les da poca motivación a integrarse al programa de mejora continua.</w:t>
      </w:r>
    </w:p>
    <w:p w14:paraId="508E32AA" w14:textId="77777777" w:rsidR="00426DCA" w:rsidRPr="007923C2" w:rsidRDefault="00426DCA" w:rsidP="00A60C78">
      <w:pPr>
        <w:widowControl w:val="0"/>
        <w:numPr>
          <w:ilvl w:val="0"/>
          <w:numId w:val="74"/>
        </w:numPr>
        <w:tabs>
          <w:tab w:val="left" w:pos="417"/>
        </w:tabs>
        <w:autoSpaceDE w:val="0"/>
        <w:autoSpaceDN w:val="0"/>
        <w:adjustRightInd w:val="0"/>
        <w:spacing w:after="200" w:line="288" w:lineRule="auto"/>
        <w:ind w:hanging="340"/>
        <w:jc w:val="both"/>
        <w:rPr>
          <w:rFonts w:ascii="Arial" w:hAnsi="Arial" w:cs="Arial"/>
          <w:sz w:val="22"/>
          <w:szCs w:val="22"/>
        </w:rPr>
      </w:pPr>
      <w:r w:rsidRPr="007923C2">
        <w:rPr>
          <w:rFonts w:ascii="Arial" w:hAnsi="Arial" w:cs="Arial"/>
          <w:sz w:val="22"/>
          <w:szCs w:val="22"/>
        </w:rPr>
        <w:t xml:space="preserve">La educación continua se realiza </w:t>
      </w:r>
      <w:r w:rsidR="00FB06FD" w:rsidRPr="007923C2">
        <w:rPr>
          <w:rFonts w:ascii="Arial" w:hAnsi="Arial" w:cs="Arial"/>
          <w:sz w:val="22"/>
          <w:szCs w:val="22"/>
        </w:rPr>
        <w:t>no de forma muy continua que</w:t>
      </w:r>
      <w:r w:rsidRPr="007923C2">
        <w:rPr>
          <w:rFonts w:ascii="Arial" w:hAnsi="Arial" w:cs="Arial"/>
          <w:sz w:val="22"/>
          <w:szCs w:val="22"/>
        </w:rPr>
        <w:t xml:space="preserve"> aunque se tiene presencia a nivel </w:t>
      </w:r>
      <w:r w:rsidRPr="007923C2">
        <w:rPr>
          <w:rFonts w:ascii="Arial" w:hAnsi="Arial" w:cs="Arial"/>
          <w:sz w:val="22"/>
          <w:szCs w:val="22"/>
        </w:rPr>
        <w:lastRenderedPageBreak/>
        <w:t>internacional, falta organización y compromiso de los investigadores a realizar el proceso de vinculación.</w:t>
      </w:r>
    </w:p>
    <w:p w14:paraId="33162F8E" w14:textId="77777777" w:rsidR="00426DCA" w:rsidRPr="007923C2" w:rsidRDefault="00426DCA" w:rsidP="00426DCA">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4.4.1.-Matriz de los Factores Internos (EFI)</w:t>
      </w:r>
    </w:p>
    <w:tbl>
      <w:tblPr>
        <w:tblW w:w="0" w:type="auto"/>
        <w:tblInd w:w="-38" w:type="dxa"/>
        <w:tblLayout w:type="fixed"/>
        <w:tblCellMar>
          <w:left w:w="70" w:type="dxa"/>
          <w:right w:w="70" w:type="dxa"/>
        </w:tblCellMar>
        <w:tblLook w:val="0000" w:firstRow="0" w:lastRow="0" w:firstColumn="0" w:lastColumn="0" w:noHBand="0" w:noVBand="0"/>
      </w:tblPr>
      <w:tblGrid>
        <w:gridCol w:w="5258"/>
        <w:gridCol w:w="790"/>
        <w:gridCol w:w="1620"/>
        <w:gridCol w:w="1510"/>
      </w:tblGrid>
      <w:tr w:rsidR="00426DCA" w:rsidRPr="007923C2" w14:paraId="292ED10F" w14:textId="77777777" w:rsidTr="00E163F5">
        <w:tc>
          <w:tcPr>
            <w:tcW w:w="5258" w:type="dxa"/>
            <w:tcBorders>
              <w:top w:val="single" w:sz="6" w:space="0" w:color="auto"/>
              <w:left w:val="single" w:sz="6" w:space="0" w:color="auto"/>
              <w:bottom w:val="single" w:sz="6" w:space="0" w:color="auto"/>
              <w:right w:val="single" w:sz="6" w:space="0" w:color="auto"/>
            </w:tcBorders>
          </w:tcPr>
          <w:p w14:paraId="752B2031" w14:textId="77777777" w:rsidR="00426DCA" w:rsidRPr="007923C2" w:rsidRDefault="00426DCA"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Factores Críticos para el éxito</w:t>
            </w:r>
          </w:p>
        </w:tc>
        <w:tc>
          <w:tcPr>
            <w:tcW w:w="790" w:type="dxa"/>
            <w:tcBorders>
              <w:top w:val="single" w:sz="6" w:space="0" w:color="auto"/>
              <w:left w:val="single" w:sz="6" w:space="0" w:color="auto"/>
              <w:bottom w:val="single" w:sz="6" w:space="0" w:color="auto"/>
              <w:right w:val="single" w:sz="6" w:space="0" w:color="auto"/>
            </w:tcBorders>
          </w:tcPr>
          <w:p w14:paraId="127EEE31" w14:textId="77777777" w:rsidR="00426DCA" w:rsidRPr="007923C2" w:rsidRDefault="00426DCA"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 xml:space="preserve">Peso </w:t>
            </w:r>
          </w:p>
        </w:tc>
        <w:tc>
          <w:tcPr>
            <w:tcW w:w="1620" w:type="dxa"/>
            <w:tcBorders>
              <w:top w:val="single" w:sz="6" w:space="0" w:color="auto"/>
              <w:left w:val="single" w:sz="6" w:space="0" w:color="auto"/>
              <w:bottom w:val="single" w:sz="6" w:space="0" w:color="auto"/>
              <w:right w:val="single" w:sz="6" w:space="0" w:color="auto"/>
            </w:tcBorders>
          </w:tcPr>
          <w:p w14:paraId="2A8480FA" w14:textId="77777777" w:rsidR="00426DCA" w:rsidRPr="007923C2" w:rsidRDefault="00426DCA"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 xml:space="preserve">Calificación </w:t>
            </w:r>
          </w:p>
        </w:tc>
        <w:tc>
          <w:tcPr>
            <w:tcW w:w="1510" w:type="dxa"/>
            <w:tcBorders>
              <w:top w:val="single" w:sz="6" w:space="0" w:color="auto"/>
              <w:left w:val="single" w:sz="6" w:space="0" w:color="auto"/>
              <w:bottom w:val="single" w:sz="6" w:space="0" w:color="auto"/>
              <w:right w:val="single" w:sz="6" w:space="0" w:color="auto"/>
            </w:tcBorders>
          </w:tcPr>
          <w:p w14:paraId="3854D2FC" w14:textId="77777777" w:rsidR="00426DCA" w:rsidRPr="007923C2" w:rsidRDefault="00426DCA"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Peso ponderado</w:t>
            </w:r>
          </w:p>
        </w:tc>
      </w:tr>
      <w:tr w:rsidR="00426DCA" w:rsidRPr="007923C2" w14:paraId="10F50BED" w14:textId="77777777" w:rsidTr="00E163F5">
        <w:tc>
          <w:tcPr>
            <w:tcW w:w="5258" w:type="dxa"/>
            <w:tcBorders>
              <w:top w:val="single" w:sz="6" w:space="0" w:color="auto"/>
              <w:left w:val="single" w:sz="6" w:space="0" w:color="auto"/>
              <w:bottom w:val="single" w:sz="6" w:space="0" w:color="auto"/>
              <w:right w:val="single" w:sz="6" w:space="0" w:color="auto"/>
            </w:tcBorders>
          </w:tcPr>
          <w:p w14:paraId="0416F92E" w14:textId="77777777" w:rsidR="00426DCA" w:rsidRPr="007923C2" w:rsidRDefault="00426DCA"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 xml:space="preserve">FORTALEZAS </w:t>
            </w:r>
          </w:p>
        </w:tc>
        <w:tc>
          <w:tcPr>
            <w:tcW w:w="790" w:type="dxa"/>
            <w:tcBorders>
              <w:top w:val="single" w:sz="6" w:space="0" w:color="auto"/>
              <w:left w:val="single" w:sz="6" w:space="0" w:color="auto"/>
              <w:bottom w:val="single" w:sz="6" w:space="0" w:color="auto"/>
              <w:right w:val="single" w:sz="6" w:space="0" w:color="auto"/>
            </w:tcBorders>
          </w:tcPr>
          <w:p w14:paraId="00620D31" w14:textId="77777777" w:rsidR="00426DCA" w:rsidRPr="007923C2" w:rsidRDefault="00426DCA" w:rsidP="00E163F5">
            <w:pPr>
              <w:widowControl w:val="0"/>
              <w:autoSpaceDE w:val="0"/>
              <w:autoSpaceDN w:val="0"/>
              <w:adjustRightInd w:val="0"/>
              <w:jc w:val="both"/>
              <w:rPr>
                <w:rFonts w:ascii="Arial" w:hAnsi="Arial" w:cs="Arial"/>
                <w:b/>
                <w:bCs/>
                <w:sz w:val="22"/>
                <w:szCs w:val="22"/>
              </w:rPr>
            </w:pPr>
          </w:p>
        </w:tc>
        <w:tc>
          <w:tcPr>
            <w:tcW w:w="1620" w:type="dxa"/>
            <w:tcBorders>
              <w:top w:val="single" w:sz="6" w:space="0" w:color="auto"/>
              <w:left w:val="single" w:sz="6" w:space="0" w:color="auto"/>
              <w:bottom w:val="single" w:sz="6" w:space="0" w:color="auto"/>
              <w:right w:val="single" w:sz="6" w:space="0" w:color="auto"/>
            </w:tcBorders>
          </w:tcPr>
          <w:p w14:paraId="4CA0BC1C" w14:textId="77777777" w:rsidR="00426DCA" w:rsidRPr="007923C2" w:rsidRDefault="00426DCA" w:rsidP="00E163F5">
            <w:pPr>
              <w:widowControl w:val="0"/>
              <w:autoSpaceDE w:val="0"/>
              <w:autoSpaceDN w:val="0"/>
              <w:adjustRightInd w:val="0"/>
              <w:jc w:val="both"/>
              <w:rPr>
                <w:rFonts w:ascii="Arial" w:hAnsi="Arial" w:cs="Arial"/>
                <w:b/>
                <w:bCs/>
                <w:sz w:val="22"/>
                <w:szCs w:val="22"/>
              </w:rPr>
            </w:pPr>
          </w:p>
        </w:tc>
        <w:tc>
          <w:tcPr>
            <w:tcW w:w="1510" w:type="dxa"/>
            <w:tcBorders>
              <w:top w:val="single" w:sz="6" w:space="0" w:color="auto"/>
              <w:left w:val="single" w:sz="6" w:space="0" w:color="auto"/>
              <w:bottom w:val="single" w:sz="6" w:space="0" w:color="auto"/>
              <w:right w:val="single" w:sz="6" w:space="0" w:color="auto"/>
            </w:tcBorders>
          </w:tcPr>
          <w:p w14:paraId="4D5D5790" w14:textId="77777777" w:rsidR="00426DCA" w:rsidRPr="007923C2" w:rsidRDefault="00426DCA" w:rsidP="00E163F5">
            <w:pPr>
              <w:widowControl w:val="0"/>
              <w:autoSpaceDE w:val="0"/>
              <w:autoSpaceDN w:val="0"/>
              <w:adjustRightInd w:val="0"/>
              <w:jc w:val="both"/>
              <w:rPr>
                <w:rFonts w:ascii="Arial" w:hAnsi="Arial" w:cs="Arial"/>
                <w:b/>
                <w:bCs/>
                <w:sz w:val="22"/>
                <w:szCs w:val="22"/>
              </w:rPr>
            </w:pPr>
          </w:p>
        </w:tc>
      </w:tr>
      <w:tr w:rsidR="00426DCA" w:rsidRPr="007923C2" w14:paraId="1937BDA7" w14:textId="77777777" w:rsidTr="00E163F5">
        <w:tc>
          <w:tcPr>
            <w:tcW w:w="5258" w:type="dxa"/>
            <w:tcBorders>
              <w:top w:val="single" w:sz="6" w:space="0" w:color="auto"/>
              <w:left w:val="single" w:sz="6" w:space="0" w:color="auto"/>
              <w:bottom w:val="single" w:sz="6" w:space="0" w:color="auto"/>
              <w:right w:val="single" w:sz="6" w:space="0" w:color="auto"/>
            </w:tcBorders>
          </w:tcPr>
          <w:p w14:paraId="23D74A0F" w14:textId="77777777" w:rsidR="00426DCA" w:rsidRPr="007923C2" w:rsidRDefault="00426DCA" w:rsidP="00AB6ED8">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 xml:space="preserve">El personal académico del Departamento cuenta con gran experiencia y preparación, el </w:t>
            </w:r>
            <w:r w:rsidR="00AB6ED8" w:rsidRPr="007923C2">
              <w:rPr>
                <w:rFonts w:ascii="Arial" w:hAnsi="Arial" w:cs="Arial"/>
                <w:sz w:val="22"/>
                <w:szCs w:val="22"/>
              </w:rPr>
              <w:t>46</w:t>
            </w:r>
            <w:r w:rsidRPr="007923C2">
              <w:rPr>
                <w:rFonts w:ascii="Arial" w:hAnsi="Arial" w:cs="Arial"/>
                <w:sz w:val="22"/>
                <w:szCs w:val="22"/>
              </w:rPr>
              <w:t xml:space="preserve">% posee estudio de doctorado y </w:t>
            </w:r>
            <w:r w:rsidR="00AB6ED8" w:rsidRPr="007923C2">
              <w:rPr>
                <w:rFonts w:ascii="Arial" w:hAnsi="Arial" w:cs="Arial"/>
                <w:sz w:val="22"/>
                <w:szCs w:val="22"/>
              </w:rPr>
              <w:t>33</w:t>
            </w:r>
            <w:r w:rsidRPr="007923C2">
              <w:rPr>
                <w:rFonts w:ascii="Arial" w:hAnsi="Arial" w:cs="Arial"/>
                <w:sz w:val="22"/>
                <w:szCs w:val="22"/>
              </w:rPr>
              <w:t>%  con maestria</w:t>
            </w:r>
            <w:r w:rsidR="00AB6ED8" w:rsidRPr="007923C2">
              <w:rPr>
                <w:rFonts w:ascii="Arial" w:hAnsi="Arial" w:cs="Arial"/>
                <w:sz w:val="22"/>
                <w:szCs w:val="22"/>
              </w:rPr>
              <w:t xml:space="preserve"> y 20% licenciatura.</w:t>
            </w:r>
          </w:p>
        </w:tc>
        <w:tc>
          <w:tcPr>
            <w:tcW w:w="790" w:type="dxa"/>
            <w:tcBorders>
              <w:top w:val="single" w:sz="6" w:space="0" w:color="auto"/>
              <w:left w:val="single" w:sz="6" w:space="0" w:color="auto"/>
              <w:bottom w:val="single" w:sz="6" w:space="0" w:color="auto"/>
              <w:right w:val="single" w:sz="6" w:space="0" w:color="auto"/>
            </w:tcBorders>
          </w:tcPr>
          <w:p w14:paraId="1540D574" w14:textId="77777777" w:rsidR="00426DCA"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0.2</w:t>
            </w:r>
          </w:p>
        </w:tc>
        <w:tc>
          <w:tcPr>
            <w:tcW w:w="1620" w:type="dxa"/>
            <w:tcBorders>
              <w:top w:val="single" w:sz="6" w:space="0" w:color="auto"/>
              <w:left w:val="single" w:sz="6" w:space="0" w:color="auto"/>
              <w:bottom w:val="single" w:sz="6" w:space="0" w:color="auto"/>
              <w:right w:val="single" w:sz="6" w:space="0" w:color="auto"/>
            </w:tcBorders>
          </w:tcPr>
          <w:p w14:paraId="734978DD"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w:t>
            </w:r>
          </w:p>
        </w:tc>
        <w:tc>
          <w:tcPr>
            <w:tcW w:w="1510" w:type="dxa"/>
            <w:tcBorders>
              <w:top w:val="single" w:sz="6" w:space="0" w:color="auto"/>
              <w:left w:val="single" w:sz="6" w:space="0" w:color="auto"/>
              <w:bottom w:val="single" w:sz="6" w:space="0" w:color="auto"/>
              <w:right w:val="single" w:sz="6" w:space="0" w:color="auto"/>
            </w:tcBorders>
          </w:tcPr>
          <w:p w14:paraId="64AE9930" w14:textId="77777777"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0.8</w:t>
            </w:r>
          </w:p>
        </w:tc>
      </w:tr>
      <w:tr w:rsidR="00426DCA" w:rsidRPr="007923C2" w14:paraId="6367EE0F" w14:textId="77777777" w:rsidTr="00E163F5">
        <w:tc>
          <w:tcPr>
            <w:tcW w:w="5258" w:type="dxa"/>
            <w:tcBorders>
              <w:top w:val="single" w:sz="6" w:space="0" w:color="auto"/>
              <w:left w:val="single" w:sz="6" w:space="0" w:color="auto"/>
              <w:bottom w:val="single" w:sz="6" w:space="0" w:color="auto"/>
              <w:right w:val="single" w:sz="6" w:space="0" w:color="auto"/>
            </w:tcBorders>
          </w:tcPr>
          <w:p w14:paraId="0A7362C6" w14:textId="77777777"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Las unidades con que cuenta el Departamento (Herbario, vivero, jardín Botánico) han sido de gran proyección para la Universidad, han logrado hacer  vinculación a travès del servicio que prestan a  la Sociedad.</w:t>
            </w:r>
          </w:p>
        </w:tc>
        <w:tc>
          <w:tcPr>
            <w:tcW w:w="790" w:type="dxa"/>
            <w:tcBorders>
              <w:top w:val="single" w:sz="6" w:space="0" w:color="auto"/>
              <w:left w:val="single" w:sz="6" w:space="0" w:color="auto"/>
              <w:bottom w:val="single" w:sz="6" w:space="0" w:color="auto"/>
              <w:right w:val="single" w:sz="6" w:space="0" w:color="auto"/>
            </w:tcBorders>
          </w:tcPr>
          <w:p w14:paraId="07A0F4C3" w14:textId="77777777" w:rsidR="00426DCA"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c>
          <w:tcPr>
            <w:tcW w:w="1620" w:type="dxa"/>
            <w:tcBorders>
              <w:top w:val="single" w:sz="6" w:space="0" w:color="auto"/>
              <w:left w:val="single" w:sz="6" w:space="0" w:color="auto"/>
              <w:bottom w:val="single" w:sz="6" w:space="0" w:color="auto"/>
              <w:right w:val="single" w:sz="6" w:space="0" w:color="auto"/>
            </w:tcBorders>
          </w:tcPr>
          <w:p w14:paraId="44DAA479"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3</w:t>
            </w:r>
          </w:p>
        </w:tc>
        <w:tc>
          <w:tcPr>
            <w:tcW w:w="1510" w:type="dxa"/>
            <w:tcBorders>
              <w:top w:val="single" w:sz="6" w:space="0" w:color="auto"/>
              <w:left w:val="single" w:sz="6" w:space="0" w:color="auto"/>
              <w:bottom w:val="single" w:sz="6" w:space="0" w:color="auto"/>
              <w:right w:val="single" w:sz="6" w:space="0" w:color="auto"/>
            </w:tcBorders>
          </w:tcPr>
          <w:p w14:paraId="12E48250" w14:textId="77777777"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0.15</w:t>
            </w:r>
          </w:p>
        </w:tc>
      </w:tr>
      <w:tr w:rsidR="00426DCA" w:rsidRPr="007923C2" w14:paraId="735FB75D" w14:textId="77777777" w:rsidTr="00E163F5">
        <w:tc>
          <w:tcPr>
            <w:tcW w:w="5258" w:type="dxa"/>
            <w:tcBorders>
              <w:top w:val="single" w:sz="6" w:space="0" w:color="auto"/>
              <w:left w:val="single" w:sz="6" w:space="0" w:color="auto"/>
              <w:bottom w:val="single" w:sz="6" w:space="0" w:color="auto"/>
              <w:right w:val="single" w:sz="6" w:space="0" w:color="auto"/>
            </w:tcBorders>
          </w:tcPr>
          <w:p w14:paraId="25249BBA" w14:textId="77777777" w:rsidR="00426DCA" w:rsidRPr="007923C2" w:rsidRDefault="00426DCA" w:rsidP="00C01150">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Durante el desarrollo de la carrera se han generado proyectos de investigación diferentes, no solo encaminados a la producción agrícola , como son los de la mayoría de los Departamentos sino además de conservación y manejo de los recursos naturales.</w:t>
            </w:r>
          </w:p>
        </w:tc>
        <w:tc>
          <w:tcPr>
            <w:tcW w:w="790" w:type="dxa"/>
            <w:tcBorders>
              <w:top w:val="single" w:sz="6" w:space="0" w:color="auto"/>
              <w:left w:val="single" w:sz="6" w:space="0" w:color="auto"/>
              <w:bottom w:val="single" w:sz="6" w:space="0" w:color="auto"/>
              <w:right w:val="single" w:sz="6" w:space="0" w:color="auto"/>
            </w:tcBorders>
          </w:tcPr>
          <w:p w14:paraId="08770617" w14:textId="77777777" w:rsidR="00426DCA"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w:t>
            </w:r>
          </w:p>
        </w:tc>
        <w:tc>
          <w:tcPr>
            <w:tcW w:w="1620" w:type="dxa"/>
            <w:tcBorders>
              <w:top w:val="single" w:sz="6" w:space="0" w:color="auto"/>
              <w:left w:val="single" w:sz="6" w:space="0" w:color="auto"/>
              <w:bottom w:val="single" w:sz="6" w:space="0" w:color="auto"/>
              <w:right w:val="single" w:sz="6" w:space="0" w:color="auto"/>
            </w:tcBorders>
          </w:tcPr>
          <w:p w14:paraId="593159D3"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w:t>
            </w:r>
          </w:p>
        </w:tc>
        <w:tc>
          <w:tcPr>
            <w:tcW w:w="1510" w:type="dxa"/>
            <w:tcBorders>
              <w:top w:val="single" w:sz="6" w:space="0" w:color="auto"/>
              <w:left w:val="single" w:sz="6" w:space="0" w:color="auto"/>
              <w:bottom w:val="single" w:sz="6" w:space="0" w:color="auto"/>
              <w:right w:val="single" w:sz="6" w:space="0" w:color="auto"/>
            </w:tcBorders>
          </w:tcPr>
          <w:p w14:paraId="554FD9B4" w14:textId="77777777"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0.4</w:t>
            </w:r>
          </w:p>
        </w:tc>
      </w:tr>
      <w:tr w:rsidR="00426DCA" w:rsidRPr="007923C2" w14:paraId="6040D2BA" w14:textId="77777777" w:rsidTr="00E163F5">
        <w:tc>
          <w:tcPr>
            <w:tcW w:w="5258" w:type="dxa"/>
            <w:tcBorders>
              <w:top w:val="single" w:sz="6" w:space="0" w:color="auto"/>
              <w:left w:val="single" w:sz="6" w:space="0" w:color="auto"/>
              <w:bottom w:val="single" w:sz="6" w:space="0" w:color="auto"/>
              <w:right w:val="single" w:sz="6" w:space="0" w:color="auto"/>
            </w:tcBorders>
          </w:tcPr>
          <w:p w14:paraId="3A0A56FB" w14:textId="77777777"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El área de conocimiento alrededor del cual gira el objetivo de la carrera maneja una problemática de actualidad.</w:t>
            </w:r>
          </w:p>
        </w:tc>
        <w:tc>
          <w:tcPr>
            <w:tcW w:w="790" w:type="dxa"/>
            <w:tcBorders>
              <w:top w:val="single" w:sz="6" w:space="0" w:color="auto"/>
              <w:left w:val="single" w:sz="6" w:space="0" w:color="auto"/>
              <w:bottom w:val="single" w:sz="6" w:space="0" w:color="auto"/>
              <w:right w:val="single" w:sz="6" w:space="0" w:color="auto"/>
            </w:tcBorders>
          </w:tcPr>
          <w:p w14:paraId="39B7C01D" w14:textId="77777777" w:rsidR="00426DCA" w:rsidRPr="007923C2" w:rsidRDefault="00293734" w:rsidP="00293734">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w:t>
            </w:r>
          </w:p>
        </w:tc>
        <w:tc>
          <w:tcPr>
            <w:tcW w:w="1620" w:type="dxa"/>
            <w:tcBorders>
              <w:top w:val="single" w:sz="6" w:space="0" w:color="auto"/>
              <w:left w:val="single" w:sz="6" w:space="0" w:color="auto"/>
              <w:bottom w:val="single" w:sz="6" w:space="0" w:color="auto"/>
              <w:right w:val="single" w:sz="6" w:space="0" w:color="auto"/>
            </w:tcBorders>
          </w:tcPr>
          <w:p w14:paraId="5951E5B6"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w:t>
            </w:r>
          </w:p>
        </w:tc>
        <w:tc>
          <w:tcPr>
            <w:tcW w:w="1510" w:type="dxa"/>
            <w:tcBorders>
              <w:top w:val="single" w:sz="6" w:space="0" w:color="auto"/>
              <w:left w:val="single" w:sz="6" w:space="0" w:color="auto"/>
              <w:bottom w:val="single" w:sz="6" w:space="0" w:color="auto"/>
              <w:right w:val="single" w:sz="6" w:space="0" w:color="auto"/>
            </w:tcBorders>
          </w:tcPr>
          <w:p w14:paraId="35E65467" w14:textId="77777777"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0.4</w:t>
            </w:r>
          </w:p>
        </w:tc>
      </w:tr>
      <w:tr w:rsidR="00426DCA" w:rsidRPr="007923C2" w14:paraId="7A1B8746" w14:textId="77777777" w:rsidTr="00E163F5">
        <w:tc>
          <w:tcPr>
            <w:tcW w:w="5258" w:type="dxa"/>
            <w:tcBorders>
              <w:top w:val="single" w:sz="6" w:space="0" w:color="auto"/>
              <w:left w:val="single" w:sz="6" w:space="0" w:color="auto"/>
              <w:bottom w:val="single" w:sz="6" w:space="0" w:color="auto"/>
              <w:right w:val="single" w:sz="6" w:space="0" w:color="auto"/>
            </w:tcBorders>
          </w:tcPr>
          <w:p w14:paraId="31E10535" w14:textId="77777777" w:rsidR="00426DCA" w:rsidRPr="007923C2" w:rsidRDefault="00426DCA" w:rsidP="00C01150">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A pesar de que es una carrera nueva en la institución (</w:t>
            </w:r>
            <w:r w:rsidR="00C01150" w:rsidRPr="007923C2">
              <w:rPr>
                <w:rFonts w:ascii="Arial" w:hAnsi="Arial" w:cs="Arial"/>
                <w:sz w:val="22"/>
                <w:szCs w:val="22"/>
              </w:rPr>
              <w:t>1</w:t>
            </w:r>
            <w:r w:rsidRPr="007923C2">
              <w:rPr>
                <w:rFonts w:ascii="Arial" w:hAnsi="Arial" w:cs="Arial"/>
                <w:sz w:val="22"/>
                <w:szCs w:val="22"/>
              </w:rPr>
              <w:t>9 años) se ha consolidado en la preferencia de los alumnos</w:t>
            </w:r>
            <w:r w:rsidR="00C01150" w:rsidRPr="007923C2">
              <w:rPr>
                <w:rFonts w:ascii="Arial" w:hAnsi="Arial" w:cs="Arial"/>
                <w:sz w:val="22"/>
                <w:szCs w:val="22"/>
              </w:rPr>
              <w:t xml:space="preserve"> por estar fundamentada en un tema actual y por la versatilidad del Plan de Estudos.</w:t>
            </w:r>
          </w:p>
        </w:tc>
        <w:tc>
          <w:tcPr>
            <w:tcW w:w="790" w:type="dxa"/>
            <w:tcBorders>
              <w:top w:val="single" w:sz="6" w:space="0" w:color="auto"/>
              <w:left w:val="single" w:sz="6" w:space="0" w:color="auto"/>
              <w:bottom w:val="single" w:sz="6" w:space="0" w:color="auto"/>
              <w:right w:val="single" w:sz="6" w:space="0" w:color="auto"/>
            </w:tcBorders>
          </w:tcPr>
          <w:p w14:paraId="2091A1B7" w14:textId="77777777" w:rsidR="00426DCA" w:rsidRPr="007923C2" w:rsidRDefault="00293734" w:rsidP="005E5D0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w:t>
            </w:r>
            <w:r w:rsidR="005E5D07" w:rsidRPr="007923C2">
              <w:rPr>
                <w:rFonts w:ascii="Arial" w:hAnsi="Arial" w:cs="Arial"/>
                <w:b/>
                <w:bCs/>
                <w:sz w:val="22"/>
                <w:szCs w:val="22"/>
              </w:rPr>
              <w:t>1</w:t>
            </w:r>
          </w:p>
        </w:tc>
        <w:tc>
          <w:tcPr>
            <w:tcW w:w="1620" w:type="dxa"/>
            <w:tcBorders>
              <w:top w:val="single" w:sz="6" w:space="0" w:color="auto"/>
              <w:left w:val="single" w:sz="6" w:space="0" w:color="auto"/>
              <w:bottom w:val="single" w:sz="6" w:space="0" w:color="auto"/>
              <w:right w:val="single" w:sz="6" w:space="0" w:color="auto"/>
            </w:tcBorders>
          </w:tcPr>
          <w:p w14:paraId="0DF5ACB2"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w:t>
            </w:r>
          </w:p>
        </w:tc>
        <w:tc>
          <w:tcPr>
            <w:tcW w:w="1510" w:type="dxa"/>
            <w:tcBorders>
              <w:top w:val="single" w:sz="6" w:space="0" w:color="auto"/>
              <w:left w:val="single" w:sz="6" w:space="0" w:color="auto"/>
              <w:bottom w:val="single" w:sz="6" w:space="0" w:color="auto"/>
              <w:right w:val="single" w:sz="6" w:space="0" w:color="auto"/>
            </w:tcBorders>
          </w:tcPr>
          <w:p w14:paraId="24EED985" w14:textId="77777777"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0.4</w:t>
            </w:r>
          </w:p>
        </w:tc>
      </w:tr>
      <w:tr w:rsidR="00426DCA" w:rsidRPr="007923C2" w14:paraId="1B7A22D7" w14:textId="77777777" w:rsidTr="00E163F5">
        <w:tc>
          <w:tcPr>
            <w:tcW w:w="5258" w:type="dxa"/>
            <w:tcBorders>
              <w:top w:val="single" w:sz="6" w:space="0" w:color="auto"/>
              <w:left w:val="single" w:sz="6" w:space="0" w:color="auto"/>
              <w:bottom w:val="single" w:sz="6" w:space="0" w:color="auto"/>
              <w:right w:val="single" w:sz="6" w:space="0" w:color="auto"/>
            </w:tcBorders>
          </w:tcPr>
          <w:p w14:paraId="0D217EF8" w14:textId="77777777"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El personal académico del Departamento participa en los convenios institucionales de colaboración e intercambio.</w:t>
            </w:r>
          </w:p>
        </w:tc>
        <w:tc>
          <w:tcPr>
            <w:tcW w:w="790" w:type="dxa"/>
            <w:tcBorders>
              <w:top w:val="single" w:sz="6" w:space="0" w:color="auto"/>
              <w:left w:val="single" w:sz="6" w:space="0" w:color="auto"/>
              <w:bottom w:val="single" w:sz="6" w:space="0" w:color="auto"/>
              <w:right w:val="single" w:sz="6" w:space="0" w:color="auto"/>
            </w:tcBorders>
          </w:tcPr>
          <w:p w14:paraId="5910B15B" w14:textId="77777777" w:rsidR="00426DCA"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c>
          <w:tcPr>
            <w:tcW w:w="1620" w:type="dxa"/>
            <w:tcBorders>
              <w:top w:val="single" w:sz="6" w:space="0" w:color="auto"/>
              <w:left w:val="single" w:sz="6" w:space="0" w:color="auto"/>
              <w:bottom w:val="single" w:sz="6" w:space="0" w:color="auto"/>
              <w:right w:val="single" w:sz="6" w:space="0" w:color="auto"/>
            </w:tcBorders>
          </w:tcPr>
          <w:p w14:paraId="7070D1EA"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3</w:t>
            </w:r>
          </w:p>
        </w:tc>
        <w:tc>
          <w:tcPr>
            <w:tcW w:w="1510" w:type="dxa"/>
            <w:tcBorders>
              <w:top w:val="single" w:sz="6" w:space="0" w:color="auto"/>
              <w:left w:val="single" w:sz="6" w:space="0" w:color="auto"/>
              <w:bottom w:val="single" w:sz="6" w:space="0" w:color="auto"/>
              <w:right w:val="single" w:sz="6" w:space="0" w:color="auto"/>
            </w:tcBorders>
          </w:tcPr>
          <w:p w14:paraId="3331E064" w14:textId="77777777"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0.15</w:t>
            </w:r>
          </w:p>
        </w:tc>
      </w:tr>
      <w:tr w:rsidR="000D33E1" w:rsidRPr="007923C2" w14:paraId="527240F3" w14:textId="77777777" w:rsidTr="00E163F5">
        <w:tc>
          <w:tcPr>
            <w:tcW w:w="5258" w:type="dxa"/>
            <w:tcBorders>
              <w:top w:val="single" w:sz="6" w:space="0" w:color="auto"/>
              <w:left w:val="single" w:sz="6" w:space="0" w:color="auto"/>
              <w:bottom w:val="single" w:sz="6" w:space="0" w:color="auto"/>
              <w:right w:val="single" w:sz="6" w:space="0" w:color="auto"/>
            </w:tcBorders>
          </w:tcPr>
          <w:p w14:paraId="379742A9" w14:textId="77777777" w:rsidR="000D33E1" w:rsidRPr="007923C2" w:rsidRDefault="00440D27"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hhSe está renovando el personal académico con profesores investigadores de nivel doctorado especializados en un área del conocimiento del Plan de Estudios.</w:t>
            </w:r>
          </w:p>
        </w:tc>
        <w:tc>
          <w:tcPr>
            <w:tcW w:w="790" w:type="dxa"/>
            <w:tcBorders>
              <w:top w:val="single" w:sz="6" w:space="0" w:color="auto"/>
              <w:left w:val="single" w:sz="6" w:space="0" w:color="auto"/>
              <w:bottom w:val="single" w:sz="6" w:space="0" w:color="auto"/>
              <w:right w:val="single" w:sz="6" w:space="0" w:color="auto"/>
            </w:tcBorders>
          </w:tcPr>
          <w:p w14:paraId="40E51BD8" w14:textId="77777777" w:rsidR="000D33E1" w:rsidRPr="007923C2" w:rsidRDefault="00293734" w:rsidP="00293734">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c>
          <w:tcPr>
            <w:tcW w:w="1620" w:type="dxa"/>
            <w:tcBorders>
              <w:top w:val="single" w:sz="6" w:space="0" w:color="auto"/>
              <w:left w:val="single" w:sz="6" w:space="0" w:color="auto"/>
              <w:bottom w:val="single" w:sz="6" w:space="0" w:color="auto"/>
              <w:right w:val="single" w:sz="6" w:space="0" w:color="auto"/>
            </w:tcBorders>
          </w:tcPr>
          <w:p w14:paraId="306A0E21" w14:textId="77777777" w:rsidR="000D33E1"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w:t>
            </w:r>
          </w:p>
        </w:tc>
        <w:tc>
          <w:tcPr>
            <w:tcW w:w="1510" w:type="dxa"/>
            <w:tcBorders>
              <w:top w:val="single" w:sz="6" w:space="0" w:color="auto"/>
              <w:left w:val="single" w:sz="6" w:space="0" w:color="auto"/>
              <w:bottom w:val="single" w:sz="6" w:space="0" w:color="auto"/>
              <w:right w:val="single" w:sz="6" w:space="0" w:color="auto"/>
            </w:tcBorders>
          </w:tcPr>
          <w:p w14:paraId="6FACC79A" w14:textId="77777777" w:rsidR="000D33E1"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0.20</w:t>
            </w:r>
          </w:p>
        </w:tc>
      </w:tr>
      <w:tr w:rsidR="000D33E1" w:rsidRPr="007923C2" w14:paraId="07F69FE4" w14:textId="77777777" w:rsidTr="00E163F5">
        <w:tc>
          <w:tcPr>
            <w:tcW w:w="5258" w:type="dxa"/>
            <w:tcBorders>
              <w:top w:val="single" w:sz="6" w:space="0" w:color="auto"/>
              <w:left w:val="single" w:sz="6" w:space="0" w:color="auto"/>
              <w:bottom w:val="single" w:sz="6" w:space="0" w:color="auto"/>
              <w:right w:val="single" w:sz="6" w:space="0" w:color="auto"/>
            </w:tcBorders>
          </w:tcPr>
          <w:p w14:paraId="04329A99" w14:textId="77777777" w:rsidR="000D33E1" w:rsidRPr="007923C2" w:rsidRDefault="00440D27" w:rsidP="00440D27">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EEEl personal de doctorado y maestría está obteniendo el nivel PRODEP proporcionado por la SEP.</w:t>
            </w:r>
          </w:p>
        </w:tc>
        <w:tc>
          <w:tcPr>
            <w:tcW w:w="790" w:type="dxa"/>
            <w:tcBorders>
              <w:top w:val="single" w:sz="6" w:space="0" w:color="auto"/>
              <w:left w:val="single" w:sz="6" w:space="0" w:color="auto"/>
              <w:bottom w:val="single" w:sz="6" w:space="0" w:color="auto"/>
              <w:right w:val="single" w:sz="6" w:space="0" w:color="auto"/>
            </w:tcBorders>
          </w:tcPr>
          <w:p w14:paraId="24619DC6" w14:textId="77777777" w:rsidR="000D33E1"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c>
          <w:tcPr>
            <w:tcW w:w="1620" w:type="dxa"/>
            <w:tcBorders>
              <w:top w:val="single" w:sz="6" w:space="0" w:color="auto"/>
              <w:left w:val="single" w:sz="6" w:space="0" w:color="auto"/>
              <w:bottom w:val="single" w:sz="6" w:space="0" w:color="auto"/>
              <w:right w:val="single" w:sz="6" w:space="0" w:color="auto"/>
            </w:tcBorders>
          </w:tcPr>
          <w:p w14:paraId="4FEE85A0" w14:textId="77777777" w:rsidR="000D33E1"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3</w:t>
            </w:r>
          </w:p>
        </w:tc>
        <w:tc>
          <w:tcPr>
            <w:tcW w:w="1510" w:type="dxa"/>
            <w:tcBorders>
              <w:top w:val="single" w:sz="6" w:space="0" w:color="auto"/>
              <w:left w:val="single" w:sz="6" w:space="0" w:color="auto"/>
              <w:bottom w:val="single" w:sz="6" w:space="0" w:color="auto"/>
              <w:right w:val="single" w:sz="6" w:space="0" w:color="auto"/>
            </w:tcBorders>
          </w:tcPr>
          <w:p w14:paraId="0C893D05" w14:textId="77777777" w:rsidR="000D33E1"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0.15</w:t>
            </w:r>
          </w:p>
        </w:tc>
      </w:tr>
      <w:tr w:rsidR="000D33E1" w:rsidRPr="007923C2" w14:paraId="309845F3" w14:textId="77777777" w:rsidTr="00E163F5">
        <w:tc>
          <w:tcPr>
            <w:tcW w:w="5258" w:type="dxa"/>
            <w:tcBorders>
              <w:top w:val="single" w:sz="6" w:space="0" w:color="auto"/>
              <w:left w:val="single" w:sz="6" w:space="0" w:color="auto"/>
              <w:bottom w:val="single" w:sz="6" w:space="0" w:color="auto"/>
              <w:right w:val="single" w:sz="6" w:space="0" w:color="auto"/>
            </w:tcBorders>
          </w:tcPr>
          <w:p w14:paraId="1B60B4B6" w14:textId="77777777" w:rsidR="000D33E1" w:rsidRPr="007923C2" w:rsidRDefault="00440D27"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lastRenderedPageBreak/>
              <w:t>ElEl 33 % de profesores investigadores forman parte de cuerpos académicos.</w:t>
            </w:r>
          </w:p>
        </w:tc>
        <w:tc>
          <w:tcPr>
            <w:tcW w:w="790" w:type="dxa"/>
            <w:tcBorders>
              <w:top w:val="single" w:sz="6" w:space="0" w:color="auto"/>
              <w:left w:val="single" w:sz="6" w:space="0" w:color="auto"/>
              <w:bottom w:val="single" w:sz="6" w:space="0" w:color="auto"/>
              <w:right w:val="single" w:sz="6" w:space="0" w:color="auto"/>
            </w:tcBorders>
          </w:tcPr>
          <w:p w14:paraId="68017D83" w14:textId="77777777" w:rsidR="000D33E1"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0.03</w:t>
            </w:r>
          </w:p>
        </w:tc>
        <w:tc>
          <w:tcPr>
            <w:tcW w:w="1620" w:type="dxa"/>
            <w:tcBorders>
              <w:top w:val="single" w:sz="6" w:space="0" w:color="auto"/>
              <w:left w:val="single" w:sz="6" w:space="0" w:color="auto"/>
              <w:bottom w:val="single" w:sz="6" w:space="0" w:color="auto"/>
              <w:right w:val="single" w:sz="6" w:space="0" w:color="auto"/>
            </w:tcBorders>
          </w:tcPr>
          <w:p w14:paraId="1C38EACD" w14:textId="77777777" w:rsidR="000D33E1"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3</w:t>
            </w:r>
          </w:p>
        </w:tc>
        <w:tc>
          <w:tcPr>
            <w:tcW w:w="1510" w:type="dxa"/>
            <w:tcBorders>
              <w:top w:val="single" w:sz="6" w:space="0" w:color="auto"/>
              <w:left w:val="single" w:sz="6" w:space="0" w:color="auto"/>
              <w:bottom w:val="single" w:sz="6" w:space="0" w:color="auto"/>
              <w:right w:val="single" w:sz="6" w:space="0" w:color="auto"/>
            </w:tcBorders>
          </w:tcPr>
          <w:p w14:paraId="4E9476A4" w14:textId="77777777" w:rsidR="000D33E1" w:rsidRPr="007923C2" w:rsidRDefault="007125FF" w:rsidP="002334C6">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w:t>
            </w:r>
            <w:r w:rsidR="002334C6" w:rsidRPr="007923C2">
              <w:rPr>
                <w:rFonts w:ascii="Arial" w:hAnsi="Arial" w:cs="Arial"/>
                <w:b/>
                <w:bCs/>
                <w:sz w:val="22"/>
                <w:szCs w:val="22"/>
              </w:rPr>
              <w:t>09</w:t>
            </w:r>
          </w:p>
        </w:tc>
      </w:tr>
      <w:tr w:rsidR="000D33E1" w:rsidRPr="007923C2" w14:paraId="7A4D46E4" w14:textId="77777777" w:rsidTr="00E163F5">
        <w:tc>
          <w:tcPr>
            <w:tcW w:w="5258" w:type="dxa"/>
            <w:tcBorders>
              <w:top w:val="single" w:sz="6" w:space="0" w:color="auto"/>
              <w:left w:val="single" w:sz="6" w:space="0" w:color="auto"/>
              <w:bottom w:val="single" w:sz="6" w:space="0" w:color="auto"/>
              <w:right w:val="single" w:sz="6" w:space="0" w:color="auto"/>
            </w:tcBorders>
          </w:tcPr>
          <w:p w14:paraId="5CC042FB" w14:textId="77777777" w:rsidR="000D33E1" w:rsidRPr="007923C2" w:rsidRDefault="00440D27"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La La carrera</w:t>
            </w:r>
            <w:r w:rsidR="00C97013" w:rsidRPr="007923C2">
              <w:rPr>
                <w:rFonts w:ascii="Arial" w:hAnsi="Arial" w:cs="Arial"/>
                <w:sz w:val="22"/>
                <w:szCs w:val="22"/>
              </w:rPr>
              <w:t xml:space="preserve"> IAB se está favoreciendo con los proyectos de investigación que han traido fondos con los que se han equipado laboratorios y unidades productivas.</w:t>
            </w:r>
          </w:p>
        </w:tc>
        <w:tc>
          <w:tcPr>
            <w:tcW w:w="790" w:type="dxa"/>
            <w:tcBorders>
              <w:top w:val="single" w:sz="6" w:space="0" w:color="auto"/>
              <w:left w:val="single" w:sz="6" w:space="0" w:color="auto"/>
              <w:bottom w:val="single" w:sz="6" w:space="0" w:color="auto"/>
              <w:right w:val="single" w:sz="6" w:space="0" w:color="auto"/>
            </w:tcBorders>
          </w:tcPr>
          <w:p w14:paraId="56D690DE" w14:textId="77777777" w:rsidR="000D33E1"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0.02</w:t>
            </w:r>
          </w:p>
        </w:tc>
        <w:tc>
          <w:tcPr>
            <w:tcW w:w="1620" w:type="dxa"/>
            <w:tcBorders>
              <w:top w:val="single" w:sz="6" w:space="0" w:color="auto"/>
              <w:left w:val="single" w:sz="6" w:space="0" w:color="auto"/>
              <w:bottom w:val="single" w:sz="6" w:space="0" w:color="auto"/>
              <w:right w:val="single" w:sz="6" w:space="0" w:color="auto"/>
            </w:tcBorders>
          </w:tcPr>
          <w:p w14:paraId="00806DE4" w14:textId="77777777" w:rsidR="000D33E1"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3</w:t>
            </w:r>
          </w:p>
        </w:tc>
        <w:tc>
          <w:tcPr>
            <w:tcW w:w="1510" w:type="dxa"/>
            <w:tcBorders>
              <w:top w:val="single" w:sz="6" w:space="0" w:color="auto"/>
              <w:left w:val="single" w:sz="6" w:space="0" w:color="auto"/>
              <w:bottom w:val="single" w:sz="6" w:space="0" w:color="auto"/>
              <w:right w:val="single" w:sz="6" w:space="0" w:color="auto"/>
            </w:tcBorders>
          </w:tcPr>
          <w:p w14:paraId="5A04841E" w14:textId="77777777" w:rsidR="000D33E1" w:rsidRPr="007923C2" w:rsidRDefault="002334C6"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0.06</w:t>
            </w:r>
          </w:p>
        </w:tc>
      </w:tr>
      <w:tr w:rsidR="00426DCA" w:rsidRPr="007923C2" w14:paraId="6CB93D25" w14:textId="77777777" w:rsidTr="00E163F5">
        <w:tc>
          <w:tcPr>
            <w:tcW w:w="5258" w:type="dxa"/>
            <w:tcBorders>
              <w:top w:val="single" w:sz="6" w:space="0" w:color="auto"/>
              <w:left w:val="single" w:sz="6" w:space="0" w:color="auto"/>
              <w:bottom w:val="single" w:sz="6" w:space="0" w:color="auto"/>
              <w:right w:val="single" w:sz="6" w:space="0" w:color="auto"/>
            </w:tcBorders>
          </w:tcPr>
          <w:p w14:paraId="01A595E3" w14:textId="77777777" w:rsidR="00426DCA" w:rsidRPr="007923C2" w:rsidRDefault="00C97013"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DEBILIDADES</w:t>
            </w:r>
          </w:p>
        </w:tc>
        <w:tc>
          <w:tcPr>
            <w:tcW w:w="790" w:type="dxa"/>
            <w:tcBorders>
              <w:top w:val="single" w:sz="6" w:space="0" w:color="auto"/>
              <w:left w:val="single" w:sz="6" w:space="0" w:color="auto"/>
              <w:bottom w:val="single" w:sz="6" w:space="0" w:color="auto"/>
              <w:right w:val="single" w:sz="6" w:space="0" w:color="auto"/>
            </w:tcBorders>
          </w:tcPr>
          <w:p w14:paraId="4873DF16" w14:textId="77777777" w:rsidR="00426DCA" w:rsidRPr="007923C2" w:rsidRDefault="00426DCA" w:rsidP="00E163F5">
            <w:pPr>
              <w:widowControl w:val="0"/>
              <w:autoSpaceDE w:val="0"/>
              <w:autoSpaceDN w:val="0"/>
              <w:adjustRightInd w:val="0"/>
              <w:jc w:val="both"/>
              <w:rPr>
                <w:rFonts w:ascii="Arial" w:hAnsi="Arial" w:cs="Arial"/>
                <w:b/>
                <w:bCs/>
                <w:sz w:val="22"/>
                <w:szCs w:val="22"/>
              </w:rPr>
            </w:pPr>
          </w:p>
        </w:tc>
        <w:tc>
          <w:tcPr>
            <w:tcW w:w="1620" w:type="dxa"/>
            <w:tcBorders>
              <w:top w:val="single" w:sz="6" w:space="0" w:color="auto"/>
              <w:left w:val="single" w:sz="6" w:space="0" w:color="auto"/>
              <w:bottom w:val="single" w:sz="6" w:space="0" w:color="auto"/>
              <w:right w:val="single" w:sz="6" w:space="0" w:color="auto"/>
            </w:tcBorders>
          </w:tcPr>
          <w:p w14:paraId="20421C9F" w14:textId="77777777" w:rsidR="00426DCA" w:rsidRPr="007923C2" w:rsidRDefault="00426DCA" w:rsidP="00E163F5">
            <w:pPr>
              <w:widowControl w:val="0"/>
              <w:autoSpaceDE w:val="0"/>
              <w:autoSpaceDN w:val="0"/>
              <w:adjustRightInd w:val="0"/>
              <w:jc w:val="both"/>
              <w:rPr>
                <w:rFonts w:ascii="Arial" w:hAnsi="Arial" w:cs="Arial"/>
                <w:b/>
                <w:bCs/>
                <w:sz w:val="22"/>
                <w:szCs w:val="22"/>
              </w:rPr>
            </w:pPr>
          </w:p>
        </w:tc>
        <w:tc>
          <w:tcPr>
            <w:tcW w:w="1510" w:type="dxa"/>
            <w:tcBorders>
              <w:top w:val="single" w:sz="6" w:space="0" w:color="auto"/>
              <w:left w:val="single" w:sz="6" w:space="0" w:color="auto"/>
              <w:bottom w:val="single" w:sz="6" w:space="0" w:color="auto"/>
              <w:right w:val="single" w:sz="6" w:space="0" w:color="auto"/>
            </w:tcBorders>
          </w:tcPr>
          <w:p w14:paraId="2350C599" w14:textId="77777777" w:rsidR="00426DCA" w:rsidRPr="007923C2" w:rsidRDefault="00426DCA" w:rsidP="00E163F5">
            <w:pPr>
              <w:widowControl w:val="0"/>
              <w:autoSpaceDE w:val="0"/>
              <w:autoSpaceDN w:val="0"/>
              <w:adjustRightInd w:val="0"/>
              <w:jc w:val="both"/>
              <w:rPr>
                <w:rFonts w:ascii="Arial" w:hAnsi="Arial" w:cs="Arial"/>
                <w:b/>
                <w:bCs/>
                <w:sz w:val="22"/>
                <w:szCs w:val="22"/>
              </w:rPr>
            </w:pPr>
          </w:p>
        </w:tc>
      </w:tr>
      <w:tr w:rsidR="00426DCA" w:rsidRPr="007923C2" w14:paraId="3C7B9F73" w14:textId="77777777" w:rsidTr="00E163F5">
        <w:tc>
          <w:tcPr>
            <w:tcW w:w="5258" w:type="dxa"/>
            <w:tcBorders>
              <w:top w:val="single" w:sz="6" w:space="0" w:color="auto"/>
              <w:left w:val="single" w:sz="6" w:space="0" w:color="auto"/>
              <w:bottom w:val="single" w:sz="6" w:space="0" w:color="auto"/>
              <w:right w:val="single" w:sz="6" w:space="0" w:color="auto"/>
            </w:tcBorders>
          </w:tcPr>
          <w:p w14:paraId="196BA7FC" w14:textId="77777777"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La distribución actual del presupuesto asignado al departamento, limita los recursos financieros aplicados a la docencia e investigación.</w:t>
            </w:r>
          </w:p>
        </w:tc>
        <w:tc>
          <w:tcPr>
            <w:tcW w:w="790" w:type="dxa"/>
            <w:tcBorders>
              <w:top w:val="single" w:sz="6" w:space="0" w:color="auto"/>
              <w:left w:val="single" w:sz="6" w:space="0" w:color="auto"/>
              <w:bottom w:val="single" w:sz="6" w:space="0" w:color="auto"/>
              <w:right w:val="single" w:sz="6" w:space="0" w:color="auto"/>
            </w:tcBorders>
          </w:tcPr>
          <w:p w14:paraId="5218259E" w14:textId="77777777" w:rsidR="00426DCA"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c>
          <w:tcPr>
            <w:tcW w:w="1620" w:type="dxa"/>
            <w:tcBorders>
              <w:top w:val="single" w:sz="6" w:space="0" w:color="auto"/>
              <w:left w:val="single" w:sz="6" w:space="0" w:color="auto"/>
              <w:bottom w:val="single" w:sz="6" w:space="0" w:color="auto"/>
              <w:right w:val="single" w:sz="6" w:space="0" w:color="auto"/>
            </w:tcBorders>
          </w:tcPr>
          <w:p w14:paraId="03680BA6"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1</w:t>
            </w:r>
          </w:p>
        </w:tc>
        <w:tc>
          <w:tcPr>
            <w:tcW w:w="1510" w:type="dxa"/>
            <w:tcBorders>
              <w:top w:val="single" w:sz="6" w:space="0" w:color="auto"/>
              <w:left w:val="single" w:sz="6" w:space="0" w:color="auto"/>
              <w:bottom w:val="single" w:sz="6" w:space="0" w:color="auto"/>
              <w:right w:val="single" w:sz="6" w:space="0" w:color="auto"/>
            </w:tcBorders>
          </w:tcPr>
          <w:p w14:paraId="49938C56" w14:textId="77777777" w:rsidR="00426DCA" w:rsidRPr="007923C2" w:rsidRDefault="002334C6"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r>
      <w:tr w:rsidR="00426DCA" w:rsidRPr="007923C2" w14:paraId="67FB2446" w14:textId="77777777" w:rsidTr="00E163F5">
        <w:tc>
          <w:tcPr>
            <w:tcW w:w="5258" w:type="dxa"/>
            <w:tcBorders>
              <w:top w:val="single" w:sz="6" w:space="0" w:color="auto"/>
              <w:left w:val="single" w:sz="6" w:space="0" w:color="auto"/>
              <w:bottom w:val="single" w:sz="6" w:space="0" w:color="auto"/>
              <w:right w:val="single" w:sz="6" w:space="0" w:color="auto"/>
            </w:tcBorders>
          </w:tcPr>
          <w:p w14:paraId="6DA0E14E" w14:textId="77777777"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La planta académica reducida con demasiada carga docente, limita a los profesores investigadores a realizar investigación y desarrollo.</w:t>
            </w:r>
          </w:p>
        </w:tc>
        <w:tc>
          <w:tcPr>
            <w:tcW w:w="790" w:type="dxa"/>
            <w:tcBorders>
              <w:top w:val="single" w:sz="6" w:space="0" w:color="auto"/>
              <w:left w:val="single" w:sz="6" w:space="0" w:color="auto"/>
              <w:bottom w:val="single" w:sz="6" w:space="0" w:color="auto"/>
              <w:right w:val="single" w:sz="6" w:space="0" w:color="auto"/>
            </w:tcBorders>
          </w:tcPr>
          <w:p w14:paraId="4FF06811"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w:t>
            </w:r>
          </w:p>
        </w:tc>
        <w:tc>
          <w:tcPr>
            <w:tcW w:w="1620" w:type="dxa"/>
            <w:tcBorders>
              <w:top w:val="single" w:sz="6" w:space="0" w:color="auto"/>
              <w:left w:val="single" w:sz="6" w:space="0" w:color="auto"/>
              <w:bottom w:val="single" w:sz="6" w:space="0" w:color="auto"/>
              <w:right w:val="single" w:sz="6" w:space="0" w:color="auto"/>
            </w:tcBorders>
          </w:tcPr>
          <w:p w14:paraId="54D54265"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1</w:t>
            </w:r>
          </w:p>
        </w:tc>
        <w:tc>
          <w:tcPr>
            <w:tcW w:w="1510" w:type="dxa"/>
            <w:tcBorders>
              <w:top w:val="single" w:sz="6" w:space="0" w:color="auto"/>
              <w:left w:val="single" w:sz="6" w:space="0" w:color="auto"/>
              <w:bottom w:val="single" w:sz="6" w:space="0" w:color="auto"/>
              <w:right w:val="single" w:sz="6" w:space="0" w:color="auto"/>
            </w:tcBorders>
          </w:tcPr>
          <w:p w14:paraId="1460FDF4" w14:textId="77777777" w:rsidR="00426DCA" w:rsidRPr="007923C2" w:rsidRDefault="002334C6"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w:t>
            </w:r>
          </w:p>
        </w:tc>
      </w:tr>
      <w:tr w:rsidR="00426DCA" w:rsidRPr="007923C2" w14:paraId="7F47EAD1" w14:textId="77777777" w:rsidTr="00E163F5">
        <w:tc>
          <w:tcPr>
            <w:tcW w:w="5258" w:type="dxa"/>
            <w:tcBorders>
              <w:top w:val="single" w:sz="6" w:space="0" w:color="auto"/>
              <w:left w:val="single" w:sz="6" w:space="0" w:color="auto"/>
              <w:bottom w:val="single" w:sz="6" w:space="0" w:color="auto"/>
              <w:right w:val="single" w:sz="6" w:space="0" w:color="auto"/>
            </w:tcBorders>
          </w:tcPr>
          <w:p w14:paraId="28AB78D5" w14:textId="77777777"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La infraestructura y equipo del Departamento ha tenido baja o nula actualización y mantenimiento, lo cual refleja que ningún laboratorio esté certificado e incide en la formación práctica de los alumnos.</w:t>
            </w:r>
          </w:p>
        </w:tc>
        <w:tc>
          <w:tcPr>
            <w:tcW w:w="790" w:type="dxa"/>
            <w:tcBorders>
              <w:top w:val="single" w:sz="6" w:space="0" w:color="auto"/>
              <w:left w:val="single" w:sz="6" w:space="0" w:color="auto"/>
              <w:bottom w:val="single" w:sz="6" w:space="0" w:color="auto"/>
              <w:right w:val="single" w:sz="6" w:space="0" w:color="auto"/>
            </w:tcBorders>
          </w:tcPr>
          <w:p w14:paraId="55475054"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0.03</w:t>
            </w:r>
          </w:p>
        </w:tc>
        <w:tc>
          <w:tcPr>
            <w:tcW w:w="1620" w:type="dxa"/>
            <w:tcBorders>
              <w:top w:val="single" w:sz="6" w:space="0" w:color="auto"/>
              <w:left w:val="single" w:sz="6" w:space="0" w:color="auto"/>
              <w:bottom w:val="single" w:sz="6" w:space="0" w:color="auto"/>
              <w:right w:val="single" w:sz="6" w:space="0" w:color="auto"/>
            </w:tcBorders>
          </w:tcPr>
          <w:p w14:paraId="2BE19543"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2</w:t>
            </w:r>
          </w:p>
        </w:tc>
        <w:tc>
          <w:tcPr>
            <w:tcW w:w="1510" w:type="dxa"/>
            <w:tcBorders>
              <w:top w:val="single" w:sz="6" w:space="0" w:color="auto"/>
              <w:left w:val="single" w:sz="6" w:space="0" w:color="auto"/>
              <w:bottom w:val="single" w:sz="6" w:space="0" w:color="auto"/>
              <w:right w:val="single" w:sz="6" w:space="0" w:color="auto"/>
            </w:tcBorders>
          </w:tcPr>
          <w:p w14:paraId="0827F0A7" w14:textId="77777777" w:rsidR="00426DCA" w:rsidRPr="007923C2" w:rsidRDefault="002334C6"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0.06</w:t>
            </w:r>
          </w:p>
        </w:tc>
      </w:tr>
      <w:tr w:rsidR="00426DCA" w:rsidRPr="007923C2" w14:paraId="1BED8F9F" w14:textId="77777777" w:rsidTr="00E163F5">
        <w:tc>
          <w:tcPr>
            <w:tcW w:w="5258" w:type="dxa"/>
            <w:tcBorders>
              <w:top w:val="single" w:sz="6" w:space="0" w:color="auto"/>
              <w:left w:val="single" w:sz="6" w:space="0" w:color="auto"/>
              <w:bottom w:val="single" w:sz="6" w:space="0" w:color="auto"/>
              <w:right w:val="single" w:sz="6" w:space="0" w:color="auto"/>
            </w:tcBorders>
          </w:tcPr>
          <w:p w14:paraId="05083DF4" w14:textId="77777777"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La próxima jubilación de profesores investigadores del Departamento les da poca motivación a integrarse al programa de mejora continua.</w:t>
            </w:r>
          </w:p>
        </w:tc>
        <w:tc>
          <w:tcPr>
            <w:tcW w:w="790" w:type="dxa"/>
            <w:tcBorders>
              <w:top w:val="single" w:sz="6" w:space="0" w:color="auto"/>
              <w:left w:val="single" w:sz="6" w:space="0" w:color="auto"/>
              <w:bottom w:val="single" w:sz="6" w:space="0" w:color="auto"/>
              <w:right w:val="single" w:sz="6" w:space="0" w:color="auto"/>
            </w:tcBorders>
          </w:tcPr>
          <w:p w14:paraId="283D6E04"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0.02</w:t>
            </w:r>
          </w:p>
        </w:tc>
        <w:tc>
          <w:tcPr>
            <w:tcW w:w="1620" w:type="dxa"/>
            <w:tcBorders>
              <w:top w:val="single" w:sz="6" w:space="0" w:color="auto"/>
              <w:left w:val="single" w:sz="6" w:space="0" w:color="auto"/>
              <w:bottom w:val="single" w:sz="6" w:space="0" w:color="auto"/>
              <w:right w:val="single" w:sz="6" w:space="0" w:color="auto"/>
            </w:tcBorders>
          </w:tcPr>
          <w:p w14:paraId="57B26804" w14:textId="77777777"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2</w:t>
            </w:r>
          </w:p>
        </w:tc>
        <w:tc>
          <w:tcPr>
            <w:tcW w:w="1510" w:type="dxa"/>
            <w:tcBorders>
              <w:top w:val="single" w:sz="6" w:space="0" w:color="auto"/>
              <w:left w:val="single" w:sz="6" w:space="0" w:color="auto"/>
              <w:bottom w:val="single" w:sz="6" w:space="0" w:color="auto"/>
              <w:right w:val="single" w:sz="6" w:space="0" w:color="auto"/>
            </w:tcBorders>
          </w:tcPr>
          <w:p w14:paraId="724D561D" w14:textId="77777777" w:rsidR="00426DCA" w:rsidRPr="007923C2" w:rsidRDefault="002334C6"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0.04</w:t>
            </w:r>
          </w:p>
        </w:tc>
      </w:tr>
      <w:tr w:rsidR="00426DCA" w:rsidRPr="007923C2" w14:paraId="2FFE021B" w14:textId="77777777" w:rsidTr="00E163F5">
        <w:tc>
          <w:tcPr>
            <w:tcW w:w="5258" w:type="dxa"/>
            <w:tcBorders>
              <w:top w:val="single" w:sz="6" w:space="0" w:color="auto"/>
              <w:left w:val="single" w:sz="6" w:space="0" w:color="auto"/>
              <w:bottom w:val="single" w:sz="6" w:space="0" w:color="auto"/>
              <w:right w:val="single" w:sz="6" w:space="0" w:color="auto"/>
            </w:tcBorders>
          </w:tcPr>
          <w:p w14:paraId="03AB8E9F" w14:textId="77777777"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 xml:space="preserve">La educación continua se realiza </w:t>
            </w:r>
            <w:r w:rsidR="00C01150" w:rsidRPr="007923C2">
              <w:rPr>
                <w:rFonts w:ascii="Arial" w:hAnsi="Arial" w:cs="Arial"/>
                <w:sz w:val="22"/>
                <w:szCs w:val="22"/>
              </w:rPr>
              <w:t>no de forma muy continua</w:t>
            </w:r>
            <w:r w:rsidRPr="007923C2">
              <w:rPr>
                <w:rFonts w:ascii="Arial" w:hAnsi="Arial" w:cs="Arial"/>
                <w:sz w:val="22"/>
                <w:szCs w:val="22"/>
              </w:rPr>
              <w:t>,</w:t>
            </w:r>
            <w:r w:rsidR="00C01150" w:rsidRPr="007923C2">
              <w:rPr>
                <w:rFonts w:ascii="Arial" w:hAnsi="Arial" w:cs="Arial"/>
                <w:sz w:val="22"/>
                <w:szCs w:val="22"/>
              </w:rPr>
              <w:t xml:space="preserve"> que </w:t>
            </w:r>
            <w:r w:rsidRPr="007923C2">
              <w:rPr>
                <w:rFonts w:ascii="Arial" w:hAnsi="Arial" w:cs="Arial"/>
                <w:sz w:val="22"/>
                <w:szCs w:val="22"/>
              </w:rPr>
              <w:t>aunque se tiene presencia a nivel internacional, falta organización y compromiso de los investigadores a realizar el proceso de vinculación.</w:t>
            </w:r>
          </w:p>
          <w:p w14:paraId="678B24A7" w14:textId="77777777" w:rsidR="00426DCA" w:rsidRPr="007923C2" w:rsidRDefault="00426DCA" w:rsidP="00E163F5">
            <w:pPr>
              <w:widowControl w:val="0"/>
              <w:autoSpaceDE w:val="0"/>
              <w:autoSpaceDN w:val="0"/>
              <w:adjustRightInd w:val="0"/>
              <w:jc w:val="both"/>
              <w:rPr>
                <w:rFonts w:ascii="Arial" w:hAnsi="Arial" w:cs="Arial"/>
                <w:sz w:val="22"/>
                <w:szCs w:val="22"/>
              </w:rPr>
            </w:pPr>
          </w:p>
        </w:tc>
        <w:tc>
          <w:tcPr>
            <w:tcW w:w="790" w:type="dxa"/>
            <w:tcBorders>
              <w:top w:val="single" w:sz="6" w:space="0" w:color="auto"/>
              <w:left w:val="single" w:sz="6" w:space="0" w:color="auto"/>
              <w:bottom w:val="single" w:sz="6" w:space="0" w:color="auto"/>
              <w:right w:val="single" w:sz="6" w:space="0" w:color="auto"/>
            </w:tcBorders>
          </w:tcPr>
          <w:p w14:paraId="600A1207" w14:textId="77777777"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c>
          <w:tcPr>
            <w:tcW w:w="1620" w:type="dxa"/>
            <w:tcBorders>
              <w:top w:val="single" w:sz="6" w:space="0" w:color="auto"/>
              <w:left w:val="single" w:sz="6" w:space="0" w:color="auto"/>
              <w:bottom w:val="single" w:sz="6" w:space="0" w:color="auto"/>
              <w:right w:val="single" w:sz="6" w:space="0" w:color="auto"/>
            </w:tcBorders>
          </w:tcPr>
          <w:p w14:paraId="7D627DF1" w14:textId="77777777"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2</w:t>
            </w:r>
          </w:p>
        </w:tc>
        <w:tc>
          <w:tcPr>
            <w:tcW w:w="1510" w:type="dxa"/>
            <w:tcBorders>
              <w:top w:val="single" w:sz="6" w:space="0" w:color="auto"/>
              <w:left w:val="single" w:sz="6" w:space="0" w:color="auto"/>
              <w:bottom w:val="single" w:sz="6" w:space="0" w:color="auto"/>
              <w:right w:val="single" w:sz="6" w:space="0" w:color="auto"/>
            </w:tcBorders>
          </w:tcPr>
          <w:p w14:paraId="468679DE" w14:textId="77777777" w:rsidR="00426DCA" w:rsidRPr="007923C2" w:rsidRDefault="002334C6"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0.10</w:t>
            </w:r>
          </w:p>
        </w:tc>
      </w:tr>
    </w:tbl>
    <w:p w14:paraId="3EA39216" w14:textId="77777777" w:rsidR="000E2872" w:rsidRPr="007923C2" w:rsidRDefault="000E2872" w:rsidP="005E47E4">
      <w:pPr>
        <w:widowControl w:val="0"/>
        <w:autoSpaceDE w:val="0"/>
        <w:autoSpaceDN w:val="0"/>
        <w:adjustRightInd w:val="0"/>
        <w:jc w:val="both"/>
        <w:rPr>
          <w:rFonts w:ascii="Arial" w:hAnsi="Arial" w:cs="Arial"/>
          <w:b/>
          <w:sz w:val="22"/>
          <w:szCs w:val="22"/>
        </w:rPr>
      </w:pPr>
    </w:p>
    <w:p w14:paraId="24282C63" w14:textId="77777777" w:rsidR="00EB24AA" w:rsidRPr="007923C2" w:rsidRDefault="00EB24AA"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4.5.-MATRIZ DEL PERFIL INTERNO Y EXTERNO  (DOFA o FODA)</w:t>
      </w:r>
    </w:p>
    <w:p w14:paraId="343B9600" w14:textId="77777777" w:rsidR="00EB24AA" w:rsidRDefault="00EB24A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Esta matríz permite diagnosticar el ambiente interno del programa, constituido por fortalezas y debilidades y el ambiente externo por las oportunidades y amenazas, utilizando los resultados de las matrices de la evaluación interna y externa.</w:t>
      </w:r>
    </w:p>
    <w:p w14:paraId="6CF65524" w14:textId="77777777" w:rsidR="00030011" w:rsidRPr="007923C2" w:rsidRDefault="00030011" w:rsidP="005E47E4">
      <w:pPr>
        <w:widowControl w:val="0"/>
        <w:autoSpaceDE w:val="0"/>
        <w:autoSpaceDN w:val="0"/>
        <w:adjustRightInd w:val="0"/>
        <w:jc w:val="both"/>
        <w:rPr>
          <w:rFonts w:ascii="Arial" w:hAnsi="Arial" w:cs="Arial"/>
          <w:sz w:val="22"/>
          <w:szCs w:val="22"/>
        </w:rPr>
      </w:pPr>
    </w:p>
    <w:p w14:paraId="412D296F" w14:textId="293085C6" w:rsidR="00EB24AA" w:rsidRPr="007923C2" w:rsidRDefault="00A11D72" w:rsidP="00EB24AA">
      <w:pPr>
        <w:widowControl w:val="0"/>
        <w:autoSpaceDE w:val="0"/>
        <w:autoSpaceDN w:val="0"/>
        <w:adjustRightInd w:val="0"/>
        <w:jc w:val="both"/>
        <w:rPr>
          <w:rFonts w:ascii="Arial" w:hAnsi="Arial" w:cs="Arial"/>
          <w:b/>
          <w:bCs/>
          <w:sz w:val="22"/>
          <w:szCs w:val="22"/>
        </w:rPr>
      </w:pPr>
      <w:r>
        <w:rPr>
          <w:rFonts w:ascii="Arial" w:hAnsi="Arial" w:cs="Arial"/>
          <w:b/>
          <w:bCs/>
          <w:sz w:val="22"/>
          <w:szCs w:val="22"/>
        </w:rPr>
        <w:t xml:space="preserve">                    </w:t>
      </w:r>
      <w:r w:rsidR="00EB24AA" w:rsidRPr="007923C2">
        <w:rPr>
          <w:rFonts w:ascii="Arial" w:hAnsi="Arial" w:cs="Arial"/>
          <w:b/>
          <w:bCs/>
          <w:sz w:val="22"/>
          <w:szCs w:val="22"/>
        </w:rPr>
        <w:t>MATRIZ DEL PERFIL INTERNO Y EXTERNO ( DOFA o FODA )</w:t>
      </w:r>
    </w:p>
    <w:tbl>
      <w:tblPr>
        <w:tblW w:w="8644" w:type="dxa"/>
        <w:jc w:val="center"/>
        <w:tblLayout w:type="fixed"/>
        <w:tblCellMar>
          <w:left w:w="70" w:type="dxa"/>
          <w:right w:w="70" w:type="dxa"/>
        </w:tblCellMar>
        <w:tblLook w:val="0000" w:firstRow="0" w:lastRow="0" w:firstColumn="0" w:lastColumn="0" w:noHBand="0" w:noVBand="0"/>
      </w:tblPr>
      <w:tblGrid>
        <w:gridCol w:w="2881"/>
        <w:gridCol w:w="2881"/>
        <w:gridCol w:w="2882"/>
      </w:tblGrid>
      <w:tr w:rsidR="00EB24AA" w:rsidRPr="007923C2" w14:paraId="33FC86B6" w14:textId="77777777" w:rsidTr="00030011">
        <w:trPr>
          <w:jc w:val="center"/>
        </w:trPr>
        <w:tc>
          <w:tcPr>
            <w:tcW w:w="2881" w:type="dxa"/>
            <w:tcBorders>
              <w:top w:val="single" w:sz="6" w:space="0" w:color="auto"/>
              <w:left w:val="single" w:sz="6" w:space="0" w:color="auto"/>
              <w:bottom w:val="single" w:sz="6" w:space="0" w:color="auto"/>
              <w:right w:val="single" w:sz="6" w:space="0" w:color="auto"/>
            </w:tcBorders>
          </w:tcPr>
          <w:p w14:paraId="7C9B5BC4" w14:textId="77777777" w:rsidR="00EB24AA" w:rsidRPr="007923C2" w:rsidRDefault="00EB24AA" w:rsidP="00E163F5">
            <w:pPr>
              <w:widowControl w:val="0"/>
              <w:autoSpaceDE w:val="0"/>
              <w:autoSpaceDN w:val="0"/>
              <w:adjustRightInd w:val="0"/>
              <w:rPr>
                <w:rFonts w:ascii="Arial" w:hAnsi="Arial" w:cs="Arial"/>
                <w:sz w:val="22"/>
                <w:szCs w:val="22"/>
              </w:rPr>
            </w:pPr>
          </w:p>
        </w:tc>
        <w:tc>
          <w:tcPr>
            <w:tcW w:w="2881" w:type="dxa"/>
            <w:tcBorders>
              <w:top w:val="single" w:sz="6" w:space="0" w:color="auto"/>
              <w:left w:val="single" w:sz="6" w:space="0" w:color="auto"/>
              <w:bottom w:val="single" w:sz="6" w:space="0" w:color="auto"/>
              <w:right w:val="single" w:sz="6" w:space="0" w:color="auto"/>
            </w:tcBorders>
          </w:tcPr>
          <w:p w14:paraId="6F1C633D" w14:textId="77777777" w:rsidR="00CE32EB" w:rsidRPr="007923C2" w:rsidRDefault="00C97832" w:rsidP="00CE32EB">
            <w:pPr>
              <w:widowControl w:val="0"/>
              <w:autoSpaceDE w:val="0"/>
              <w:autoSpaceDN w:val="0"/>
              <w:adjustRightInd w:val="0"/>
              <w:rPr>
                <w:rFonts w:ascii="Arial" w:hAnsi="Arial" w:cs="Arial"/>
                <w:b/>
                <w:sz w:val="22"/>
                <w:szCs w:val="22"/>
              </w:rPr>
            </w:pPr>
            <w:r w:rsidRPr="007923C2">
              <w:rPr>
                <w:rFonts w:ascii="Arial" w:hAnsi="Arial" w:cs="Arial"/>
                <w:b/>
                <w:sz w:val="22"/>
                <w:szCs w:val="22"/>
              </w:rPr>
              <w:t>OPORTUNIDADES</w:t>
            </w:r>
          </w:p>
          <w:p w14:paraId="2F1810E0" w14:textId="77777777"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b/>
                <w:sz w:val="22"/>
                <w:szCs w:val="22"/>
              </w:rPr>
              <w:t>-</w:t>
            </w:r>
            <w:r w:rsidRPr="007923C2">
              <w:rPr>
                <w:rFonts w:ascii="Arial" w:hAnsi="Arial" w:cs="Arial"/>
                <w:sz w:val="22"/>
                <w:szCs w:val="22"/>
              </w:rPr>
              <w:t>Adaptación al cambio de una economía de productos a una de servicios.</w:t>
            </w:r>
          </w:p>
          <w:p w14:paraId="494C22A3" w14:textId="77777777"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-La producción agrícola orgánica a ganado un nuevo nicho mundial.</w:t>
            </w:r>
          </w:p>
          <w:p w14:paraId="08D9A913" w14:textId="77777777"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t>-El desarrollo sostenible se logra modificando los hábitos de consumo.</w:t>
            </w:r>
          </w:p>
          <w:p w14:paraId="2137F9EC" w14:textId="77777777"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t>En el país hay 262 zonas de productos orgánicos en 28 estados.</w:t>
            </w:r>
          </w:p>
          <w:p w14:paraId="7B7B992A" w14:textId="77777777"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t>-El agrobiólogo puede incursionar en áreas de reforestación.</w:t>
            </w:r>
          </w:p>
          <w:p w14:paraId="4FAFD692" w14:textId="77777777"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t>-La aplicación de la biotecnplogía diversifica las opciones en la producción agrícola.</w:t>
            </w:r>
          </w:p>
          <w:p w14:paraId="27C771B0" w14:textId="77777777"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t>-La biotecnología la puede aplicar en la producción de energía alternativa.</w:t>
            </w:r>
          </w:p>
          <w:p w14:paraId="29612DD4" w14:textId="77777777"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t>-La conservación de la biodiversidad es tema importante de nuestro tiempo.</w:t>
            </w:r>
          </w:p>
          <w:p w14:paraId="1027DD09" w14:textId="77777777" w:rsidR="006E7207" w:rsidRPr="007923C2" w:rsidRDefault="006E7207" w:rsidP="006E7207">
            <w:pPr>
              <w:widowControl w:val="0"/>
              <w:autoSpaceDE w:val="0"/>
              <w:autoSpaceDN w:val="0"/>
              <w:adjustRightInd w:val="0"/>
              <w:rPr>
                <w:rFonts w:ascii="Arial" w:hAnsi="Arial" w:cs="Arial"/>
                <w:sz w:val="22"/>
                <w:szCs w:val="22"/>
              </w:rPr>
            </w:pPr>
            <w:r w:rsidRPr="007923C2">
              <w:rPr>
                <w:rFonts w:ascii="Arial" w:hAnsi="Arial" w:cs="Arial"/>
                <w:sz w:val="22"/>
                <w:szCs w:val="22"/>
              </w:rPr>
              <w:t>-El agrobiólogo ofrece alternativas en la producción y conservación de los recursos naturales.</w:t>
            </w:r>
          </w:p>
          <w:p w14:paraId="64574C87" w14:textId="77777777" w:rsidR="006E7207" w:rsidRPr="007923C2" w:rsidRDefault="006E7207" w:rsidP="006E7207">
            <w:pPr>
              <w:widowControl w:val="0"/>
              <w:autoSpaceDE w:val="0"/>
              <w:autoSpaceDN w:val="0"/>
              <w:adjustRightInd w:val="0"/>
              <w:rPr>
                <w:rFonts w:ascii="Arial" w:hAnsi="Arial" w:cs="Arial"/>
                <w:sz w:val="22"/>
                <w:szCs w:val="22"/>
              </w:rPr>
            </w:pPr>
            <w:r w:rsidRPr="007923C2">
              <w:rPr>
                <w:rFonts w:ascii="Arial" w:hAnsi="Arial" w:cs="Arial"/>
                <w:sz w:val="22"/>
                <w:szCs w:val="22"/>
              </w:rPr>
              <w:t>-Una sociedad mundial y nacional tiene un cambio acelerado que exsige una transformación en la educación superior.</w:t>
            </w:r>
          </w:p>
          <w:p w14:paraId="041FC1F8" w14:textId="77777777" w:rsidR="00EB5059" w:rsidRPr="007923C2" w:rsidRDefault="006E7207" w:rsidP="00EB5059">
            <w:pPr>
              <w:widowControl w:val="0"/>
              <w:autoSpaceDE w:val="0"/>
              <w:autoSpaceDN w:val="0"/>
              <w:adjustRightInd w:val="0"/>
              <w:rPr>
                <w:rFonts w:ascii="Arial" w:hAnsi="Arial" w:cs="Arial"/>
                <w:b/>
                <w:sz w:val="22"/>
                <w:szCs w:val="22"/>
              </w:rPr>
            </w:pPr>
            <w:r w:rsidRPr="007923C2">
              <w:rPr>
                <w:rFonts w:ascii="Arial" w:hAnsi="Arial" w:cs="Arial"/>
                <w:sz w:val="22"/>
                <w:szCs w:val="22"/>
              </w:rPr>
              <w:t>-</w:t>
            </w:r>
            <w:r w:rsidR="00EB5059" w:rsidRPr="007923C2">
              <w:rPr>
                <w:rFonts w:ascii="Arial" w:hAnsi="Arial" w:cs="Arial"/>
                <w:sz w:val="22"/>
                <w:szCs w:val="22"/>
              </w:rPr>
              <w:t>La educación superior es fundamental para el desarrollo sustentable de individuos, comunidad y naciones.</w:t>
            </w:r>
          </w:p>
        </w:tc>
        <w:tc>
          <w:tcPr>
            <w:tcW w:w="2882" w:type="dxa"/>
            <w:tcBorders>
              <w:top w:val="single" w:sz="6" w:space="0" w:color="auto"/>
              <w:left w:val="single" w:sz="6" w:space="0" w:color="auto"/>
              <w:bottom w:val="single" w:sz="6" w:space="0" w:color="auto"/>
              <w:right w:val="single" w:sz="6" w:space="0" w:color="auto"/>
            </w:tcBorders>
          </w:tcPr>
          <w:p w14:paraId="51610249" w14:textId="77777777"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lastRenderedPageBreak/>
              <w:t>AMENAZAS</w:t>
            </w:r>
          </w:p>
          <w:p w14:paraId="11A19765"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CE32EB" w:rsidRPr="007923C2">
              <w:rPr>
                <w:rFonts w:ascii="Arial" w:hAnsi="Arial" w:cs="Arial"/>
                <w:sz w:val="22"/>
                <w:szCs w:val="22"/>
              </w:rPr>
              <w:t xml:space="preserve">Las políticas gubernamentales han llevado al agro mexicano a beneficiar a unos cuantos y </w:t>
            </w:r>
            <w:r w:rsidR="00CE32EB" w:rsidRPr="007923C2">
              <w:rPr>
                <w:rFonts w:ascii="Arial" w:hAnsi="Arial" w:cs="Arial"/>
                <w:sz w:val="22"/>
                <w:szCs w:val="22"/>
              </w:rPr>
              <w:lastRenderedPageBreak/>
              <w:t>los campesinos siguen en la pobreza</w:t>
            </w:r>
            <w:r w:rsidRPr="007923C2">
              <w:rPr>
                <w:rFonts w:ascii="Arial" w:hAnsi="Arial" w:cs="Arial"/>
                <w:sz w:val="22"/>
                <w:szCs w:val="22"/>
              </w:rPr>
              <w:t>.</w:t>
            </w:r>
          </w:p>
          <w:p w14:paraId="7F39AE3E"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CE32EB" w:rsidRPr="007923C2">
              <w:rPr>
                <w:rFonts w:ascii="Arial" w:hAnsi="Arial" w:cs="Arial"/>
                <w:sz w:val="22"/>
                <w:szCs w:val="22"/>
              </w:rPr>
              <w:t>Existe rezago tecnológico y dependencia del e</w:t>
            </w:r>
            <w:r w:rsidR="00D15A0E">
              <w:rPr>
                <w:rFonts w:ascii="Arial" w:hAnsi="Arial" w:cs="Arial"/>
                <w:sz w:val="22"/>
                <w:szCs w:val="22"/>
              </w:rPr>
              <w:t>xtranjero, falta competitividad</w:t>
            </w:r>
            <w:r w:rsidRPr="007923C2">
              <w:rPr>
                <w:rFonts w:ascii="Arial" w:hAnsi="Arial" w:cs="Arial"/>
                <w:sz w:val="22"/>
                <w:szCs w:val="22"/>
              </w:rPr>
              <w:t>.</w:t>
            </w:r>
          </w:p>
          <w:p w14:paraId="62DE7556"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C85792" w:rsidRPr="007923C2">
              <w:rPr>
                <w:rFonts w:ascii="Arial" w:hAnsi="Arial" w:cs="Arial"/>
                <w:sz w:val="22"/>
                <w:szCs w:val="22"/>
              </w:rPr>
              <w:t>El 72 % de la producción rural es hecha por indígenas y pequeños productores para autoconsumo y solo el 6 % es de productos de empresarios</w:t>
            </w:r>
            <w:r w:rsidRPr="007923C2">
              <w:rPr>
                <w:rFonts w:ascii="Arial" w:hAnsi="Arial" w:cs="Arial"/>
                <w:sz w:val="22"/>
                <w:szCs w:val="22"/>
              </w:rPr>
              <w:t>.</w:t>
            </w:r>
          </w:p>
          <w:p w14:paraId="0B4844FA"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C85792" w:rsidRPr="007923C2">
              <w:rPr>
                <w:rFonts w:ascii="Arial" w:hAnsi="Arial" w:cs="Arial"/>
                <w:sz w:val="22"/>
                <w:szCs w:val="22"/>
              </w:rPr>
              <w:t>México importa el 43 % de de alimentos básicos de consumo.</w:t>
            </w:r>
          </w:p>
          <w:p w14:paraId="6E8AF166"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C85792" w:rsidRPr="007923C2">
              <w:rPr>
                <w:rFonts w:ascii="Arial" w:hAnsi="Arial" w:cs="Arial"/>
                <w:sz w:val="22"/>
                <w:szCs w:val="22"/>
              </w:rPr>
              <w:t>El TLCAN en México terminó de conducir al país al más grande desastre económico a</w:t>
            </w:r>
            <w:r w:rsidR="00D15A0E">
              <w:rPr>
                <w:rFonts w:ascii="Arial" w:hAnsi="Arial" w:cs="Arial"/>
                <w:sz w:val="22"/>
                <w:szCs w:val="22"/>
              </w:rPr>
              <w:t>fectando la producción agrícola</w:t>
            </w:r>
            <w:r w:rsidRPr="007923C2">
              <w:rPr>
                <w:rFonts w:ascii="Arial" w:hAnsi="Arial" w:cs="Arial"/>
                <w:sz w:val="22"/>
                <w:szCs w:val="22"/>
              </w:rPr>
              <w:t>.</w:t>
            </w:r>
          </w:p>
          <w:p w14:paraId="635BDA4D"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-Cambios rápidos en el entorno global y nacional.</w:t>
            </w:r>
            <w:r w:rsidR="00C85792" w:rsidRPr="007923C2">
              <w:rPr>
                <w:rFonts w:ascii="Arial" w:hAnsi="Arial" w:cs="Arial"/>
                <w:sz w:val="22"/>
                <w:szCs w:val="22"/>
              </w:rPr>
              <w:t>d</w:t>
            </w:r>
          </w:p>
          <w:p w14:paraId="55D2ACBD" w14:textId="77777777" w:rsidR="00C97832" w:rsidRPr="007923C2" w:rsidRDefault="00C85792" w:rsidP="00C97832">
            <w:pPr>
              <w:widowControl w:val="0"/>
              <w:autoSpaceDE w:val="0"/>
              <w:autoSpaceDN w:val="0"/>
              <w:adjustRightInd w:val="0"/>
              <w:rPr>
                <w:rFonts w:ascii="Arial" w:hAnsi="Arial" w:cs="Arial"/>
                <w:sz w:val="22"/>
                <w:szCs w:val="22"/>
              </w:rPr>
            </w:pPr>
            <w:r w:rsidRPr="007923C2">
              <w:rPr>
                <w:rFonts w:ascii="Arial" w:hAnsi="Arial" w:cs="Arial"/>
                <w:sz w:val="22"/>
                <w:szCs w:val="22"/>
              </w:rPr>
              <w:t>-Una sociedad polarizada</w:t>
            </w:r>
            <w:r w:rsidR="00C97832" w:rsidRPr="007923C2">
              <w:rPr>
                <w:rFonts w:ascii="Arial" w:hAnsi="Arial" w:cs="Arial"/>
                <w:sz w:val="22"/>
                <w:szCs w:val="22"/>
              </w:rPr>
              <w:t xml:space="preserve"> con un segmento pequeño moderno y la mayoría marginada  </w:t>
            </w:r>
            <w:r w:rsidRPr="007923C2">
              <w:rPr>
                <w:rFonts w:ascii="Arial" w:hAnsi="Arial" w:cs="Arial"/>
                <w:sz w:val="22"/>
                <w:szCs w:val="22"/>
              </w:rPr>
              <w:t>enfrentar los desafíos del nuevo siglo</w:t>
            </w:r>
            <w:r w:rsidR="00C97832" w:rsidRPr="007923C2">
              <w:rPr>
                <w:rFonts w:ascii="Arial" w:hAnsi="Arial" w:cs="Arial"/>
                <w:sz w:val="22"/>
                <w:szCs w:val="22"/>
              </w:rPr>
              <w:t xml:space="preserve"> porla educación superior.</w:t>
            </w:r>
          </w:p>
          <w:p w14:paraId="0E39B6AA" w14:textId="77777777" w:rsidR="00C97832" w:rsidRPr="007923C2" w:rsidRDefault="00C97832" w:rsidP="00C97832">
            <w:pPr>
              <w:widowControl w:val="0"/>
              <w:autoSpaceDE w:val="0"/>
              <w:autoSpaceDN w:val="0"/>
              <w:adjustRightInd w:val="0"/>
              <w:rPr>
                <w:rFonts w:ascii="Arial" w:hAnsi="Arial" w:cs="Arial"/>
                <w:sz w:val="22"/>
                <w:szCs w:val="22"/>
              </w:rPr>
            </w:pPr>
            <w:r w:rsidRPr="007923C2">
              <w:rPr>
                <w:rFonts w:ascii="Arial" w:hAnsi="Arial" w:cs="Arial"/>
                <w:sz w:val="22"/>
                <w:szCs w:val="22"/>
              </w:rPr>
              <w:t>-La crisis económica de México conlleva a una austeridad en el gasto público que afecta al sector educativo.</w:t>
            </w:r>
          </w:p>
          <w:p w14:paraId="57214FBA" w14:textId="77777777" w:rsidR="00C85792" w:rsidRPr="007923C2" w:rsidRDefault="00C97832" w:rsidP="00C97832">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-Las IES con una visión tradicional pueden ser desplazadas por otras instituciones.  </w:t>
            </w:r>
          </w:p>
        </w:tc>
      </w:tr>
      <w:tr w:rsidR="00EB24AA" w:rsidRPr="007923C2" w14:paraId="0A8512E1" w14:textId="77777777" w:rsidTr="00030011">
        <w:trPr>
          <w:jc w:val="center"/>
        </w:trPr>
        <w:tc>
          <w:tcPr>
            <w:tcW w:w="2881" w:type="dxa"/>
            <w:tcBorders>
              <w:top w:val="single" w:sz="6" w:space="0" w:color="auto"/>
              <w:left w:val="single" w:sz="6" w:space="0" w:color="auto"/>
              <w:bottom w:val="single" w:sz="6" w:space="0" w:color="auto"/>
              <w:right w:val="single" w:sz="6" w:space="0" w:color="auto"/>
            </w:tcBorders>
          </w:tcPr>
          <w:p w14:paraId="79C8BC6B" w14:textId="77777777"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lastRenderedPageBreak/>
              <w:t>FORTALEZAS</w:t>
            </w:r>
          </w:p>
          <w:p w14:paraId="24F15FF1"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-Gran experiencia y preparación del personal académico</w:t>
            </w:r>
            <w:r w:rsidR="00EB5059" w:rsidRPr="007923C2">
              <w:rPr>
                <w:rFonts w:ascii="Arial" w:hAnsi="Arial" w:cs="Arial"/>
                <w:sz w:val="22"/>
                <w:szCs w:val="22"/>
              </w:rPr>
              <w:t xml:space="preserve"> el 46 % posee doctorado el 33 % maestría y 33 % licenciatura. </w:t>
            </w:r>
          </w:p>
          <w:p w14:paraId="5AFA58D2"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-Cuenta con unidades como Herbario, Vivero y Jardín Botánico, con los que se ha hecho vinculación y dado prestigio.</w:t>
            </w:r>
          </w:p>
          <w:p w14:paraId="512E59F0"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-Se han generado proyectos de conservación y manejo de recursos naturales.</w:t>
            </w:r>
          </w:p>
          <w:p w14:paraId="7A3D2A5E"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-El objetivo de la Carrera maneja una problemática de actualidad.</w:t>
            </w:r>
          </w:p>
          <w:p w14:paraId="178F64B7"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-La carrera ha tenido gran preferencia entre los alumnos.</w:t>
            </w:r>
          </w:p>
          <w:p w14:paraId="73179107"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-Participación en convenios institucionales.</w:t>
            </w:r>
          </w:p>
          <w:p w14:paraId="6A239D7F" w14:textId="77777777" w:rsidR="00EB5059" w:rsidRPr="007923C2" w:rsidRDefault="00EB5059" w:rsidP="00E163F5">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D74562" w:rsidRPr="007923C2">
              <w:rPr>
                <w:rFonts w:ascii="Arial" w:hAnsi="Arial" w:cs="Arial"/>
                <w:sz w:val="22"/>
                <w:szCs w:val="22"/>
              </w:rPr>
              <w:t>Renovación del personal académico con profesores investigadores a nivel doctorado especializados en un área del conocimiento del plan de estudios.</w:t>
            </w:r>
          </w:p>
          <w:p w14:paraId="735DF6F6" w14:textId="77777777" w:rsidR="00D74562" w:rsidRPr="007923C2" w:rsidRDefault="00D74562" w:rsidP="00E163F5">
            <w:pPr>
              <w:widowControl w:val="0"/>
              <w:autoSpaceDE w:val="0"/>
              <w:autoSpaceDN w:val="0"/>
              <w:adjustRightInd w:val="0"/>
              <w:rPr>
                <w:rFonts w:ascii="Arial" w:hAnsi="Arial" w:cs="Arial"/>
                <w:sz w:val="22"/>
                <w:szCs w:val="22"/>
              </w:rPr>
            </w:pPr>
            <w:r w:rsidRPr="007923C2">
              <w:rPr>
                <w:rFonts w:ascii="Arial" w:hAnsi="Arial" w:cs="Arial"/>
                <w:sz w:val="22"/>
                <w:szCs w:val="22"/>
              </w:rPr>
              <w:t>El personal de doctorado y maestría están obteniendo el nivel PRODEP.</w:t>
            </w:r>
          </w:p>
          <w:p w14:paraId="76D835CC" w14:textId="77777777" w:rsidR="00D74562" w:rsidRPr="007923C2" w:rsidRDefault="00D74562" w:rsidP="00D74562">
            <w:pPr>
              <w:widowControl w:val="0"/>
              <w:autoSpaceDE w:val="0"/>
              <w:autoSpaceDN w:val="0"/>
              <w:adjustRightInd w:val="0"/>
              <w:rPr>
                <w:rFonts w:ascii="Arial" w:hAnsi="Arial" w:cs="Arial"/>
                <w:sz w:val="22"/>
                <w:szCs w:val="22"/>
              </w:rPr>
            </w:pPr>
            <w:r w:rsidRPr="007923C2">
              <w:rPr>
                <w:rFonts w:ascii="Arial" w:hAnsi="Arial" w:cs="Arial"/>
                <w:sz w:val="22"/>
                <w:szCs w:val="22"/>
              </w:rPr>
              <w:t>-El 33 % de profesores investigadores forman parte de cuerpos académicos.</w:t>
            </w:r>
          </w:p>
          <w:p w14:paraId="5F94CBD1" w14:textId="77777777" w:rsidR="00D74562" w:rsidRPr="007923C2" w:rsidRDefault="00D74562" w:rsidP="00D74562">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-La carrera IAB se está favoreciendo con los </w:t>
            </w:r>
            <w:r w:rsidRPr="007923C2">
              <w:rPr>
                <w:rFonts w:ascii="Arial" w:hAnsi="Arial" w:cs="Arial"/>
                <w:sz w:val="22"/>
                <w:szCs w:val="22"/>
              </w:rPr>
              <w:lastRenderedPageBreak/>
              <w:t>proyectos de investigación que han traido fondos con los que se han equipado los laboratorios y las unidades productivas.</w:t>
            </w:r>
          </w:p>
        </w:tc>
        <w:tc>
          <w:tcPr>
            <w:tcW w:w="2881" w:type="dxa"/>
            <w:tcBorders>
              <w:top w:val="single" w:sz="6" w:space="0" w:color="auto"/>
              <w:left w:val="single" w:sz="6" w:space="0" w:color="auto"/>
              <w:bottom w:val="single" w:sz="6" w:space="0" w:color="auto"/>
              <w:right w:val="single" w:sz="6" w:space="0" w:color="auto"/>
            </w:tcBorders>
          </w:tcPr>
          <w:p w14:paraId="6A5C02BD" w14:textId="77777777"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lastRenderedPageBreak/>
              <w:t>ESTRATEGIAS F-O</w:t>
            </w:r>
          </w:p>
          <w:p w14:paraId="66E2097D" w14:textId="77777777" w:rsidR="005E4D3F"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Fincar el esfuerzo en el desarrollo, de la Carrera de Ingeniero en Agrobiología, generando innovadores proyectos de investigación y desarrollo, cuyos conocimientos generados capaciten al alumno y permita al profesor vincular proyectos importantes de interés a la sociedad.</w:t>
            </w:r>
          </w:p>
          <w:p w14:paraId="0892F1C8" w14:textId="77777777" w:rsidR="005E4D3F" w:rsidRPr="007923C2" w:rsidRDefault="005E4D3F" w:rsidP="005E4D3F">
            <w:pPr>
              <w:widowControl w:val="0"/>
              <w:autoSpaceDE w:val="0"/>
              <w:autoSpaceDN w:val="0"/>
              <w:adjustRightInd w:val="0"/>
              <w:rPr>
                <w:rFonts w:ascii="Arial" w:hAnsi="Arial" w:cs="Arial"/>
                <w:sz w:val="22"/>
                <w:szCs w:val="22"/>
              </w:rPr>
            </w:pPr>
            <w:r w:rsidRPr="007923C2">
              <w:rPr>
                <w:rFonts w:ascii="Arial" w:hAnsi="Arial" w:cs="Arial"/>
                <w:sz w:val="22"/>
                <w:szCs w:val="22"/>
              </w:rPr>
              <w:t>-Desarrollar el programa IAB aprovechando la coyontura que ofrece el despunte en la temática del desarrollo sustentable  y el cuidado del medio ambiente.</w:t>
            </w:r>
          </w:p>
          <w:p w14:paraId="08523251" w14:textId="77777777" w:rsidR="00EB24AA" w:rsidRPr="007923C2" w:rsidRDefault="005E4D3F" w:rsidP="00A1443E">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A1443E" w:rsidRPr="007923C2">
              <w:rPr>
                <w:rFonts w:ascii="Arial" w:hAnsi="Arial" w:cs="Arial"/>
                <w:sz w:val="22"/>
                <w:szCs w:val="22"/>
              </w:rPr>
              <w:t xml:space="preserve">El avance en la producción orgánica ofrece al agrobiólogo desarrollarse en este tipo de producción alternativa. </w:t>
            </w:r>
          </w:p>
        </w:tc>
        <w:tc>
          <w:tcPr>
            <w:tcW w:w="2882" w:type="dxa"/>
            <w:tcBorders>
              <w:top w:val="single" w:sz="6" w:space="0" w:color="auto"/>
              <w:left w:val="single" w:sz="6" w:space="0" w:color="auto"/>
              <w:bottom w:val="single" w:sz="6" w:space="0" w:color="auto"/>
              <w:right w:val="single" w:sz="6" w:space="0" w:color="auto"/>
            </w:tcBorders>
          </w:tcPr>
          <w:p w14:paraId="54610ACB" w14:textId="77777777"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t>ESTRATEGIAS F-A</w:t>
            </w:r>
          </w:p>
          <w:p w14:paraId="29E7DE85"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Con la constante actualización de los docentes, cubrir las necesidades del conocimiento actualizado de acuerdo al objetivo del programa, definir líneas de investigación importantes para la carrera.</w:t>
            </w:r>
          </w:p>
          <w:p w14:paraId="3F5066D0" w14:textId="77777777" w:rsidR="00A1443E" w:rsidRPr="007923C2" w:rsidRDefault="00A1443E" w:rsidP="00E163F5">
            <w:pPr>
              <w:widowControl w:val="0"/>
              <w:autoSpaceDE w:val="0"/>
              <w:autoSpaceDN w:val="0"/>
              <w:adjustRightInd w:val="0"/>
              <w:rPr>
                <w:rFonts w:ascii="Arial" w:hAnsi="Arial" w:cs="Arial"/>
                <w:sz w:val="22"/>
                <w:szCs w:val="22"/>
              </w:rPr>
            </w:pPr>
            <w:r w:rsidRPr="007923C2">
              <w:rPr>
                <w:rFonts w:ascii="Arial" w:hAnsi="Arial" w:cs="Arial"/>
                <w:sz w:val="22"/>
                <w:szCs w:val="22"/>
              </w:rPr>
              <w:t>-La renovación del personal docente ofrece a la carrera conocimientos actualizados e innovadoras tecnologías.</w:t>
            </w:r>
          </w:p>
        </w:tc>
      </w:tr>
      <w:tr w:rsidR="00EB24AA" w:rsidRPr="007923C2" w14:paraId="478608BC" w14:textId="77777777" w:rsidTr="00030011">
        <w:trPr>
          <w:jc w:val="center"/>
        </w:trPr>
        <w:tc>
          <w:tcPr>
            <w:tcW w:w="2881" w:type="dxa"/>
            <w:tcBorders>
              <w:top w:val="single" w:sz="6" w:space="0" w:color="auto"/>
              <w:left w:val="single" w:sz="6" w:space="0" w:color="auto"/>
              <w:bottom w:val="single" w:sz="6" w:space="0" w:color="auto"/>
              <w:right w:val="single" w:sz="6" w:space="0" w:color="auto"/>
            </w:tcBorders>
          </w:tcPr>
          <w:p w14:paraId="2E3208FF" w14:textId="77777777"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lastRenderedPageBreak/>
              <w:t>DEBILIDADES</w:t>
            </w:r>
          </w:p>
          <w:p w14:paraId="508FEE82"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-Recursos financieros limitados aplicados a docencia e investigación.</w:t>
            </w:r>
          </w:p>
          <w:p w14:paraId="3CBDE331"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-Planta académica  reducida con demasiada carga docente, limita a profesores a investigar.</w:t>
            </w:r>
          </w:p>
          <w:p w14:paraId="5BC1B334"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-Infraestructura deficiente lo que incide en la formación práctica del alumno.</w:t>
            </w:r>
          </w:p>
          <w:p w14:paraId="3104BB04"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-Poca integración de profesores a programa de educación continua por falta de compromiso de los investigadores.</w:t>
            </w:r>
          </w:p>
          <w:p w14:paraId="1D875C3A" w14:textId="77777777" w:rsidR="005E4D3F" w:rsidRPr="007923C2" w:rsidRDefault="005E4D3F" w:rsidP="00E163F5">
            <w:pPr>
              <w:widowControl w:val="0"/>
              <w:autoSpaceDE w:val="0"/>
              <w:autoSpaceDN w:val="0"/>
              <w:adjustRightInd w:val="0"/>
              <w:rPr>
                <w:rFonts w:ascii="Arial" w:hAnsi="Arial" w:cs="Arial"/>
                <w:sz w:val="22"/>
                <w:szCs w:val="22"/>
              </w:rPr>
            </w:pPr>
            <w:r w:rsidRPr="007923C2">
              <w:rPr>
                <w:rFonts w:ascii="Arial" w:hAnsi="Arial" w:cs="Arial"/>
                <w:sz w:val="22"/>
                <w:szCs w:val="22"/>
              </w:rPr>
              <w:t>-La próxima jubilación de profesores investigadores del Departamento les da poca motivación para integrarse al programa de mejora continua.</w:t>
            </w:r>
          </w:p>
        </w:tc>
        <w:tc>
          <w:tcPr>
            <w:tcW w:w="2881" w:type="dxa"/>
            <w:tcBorders>
              <w:top w:val="single" w:sz="6" w:space="0" w:color="auto"/>
              <w:left w:val="single" w:sz="6" w:space="0" w:color="auto"/>
              <w:bottom w:val="single" w:sz="6" w:space="0" w:color="auto"/>
              <w:right w:val="single" w:sz="6" w:space="0" w:color="auto"/>
            </w:tcBorders>
          </w:tcPr>
          <w:p w14:paraId="6CE9D364" w14:textId="77777777"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t>ESTRATEGIAS D-O</w:t>
            </w:r>
          </w:p>
          <w:p w14:paraId="615F979D"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-Mejoramiento de la infraestructura de laboratorios.</w:t>
            </w:r>
          </w:p>
          <w:p w14:paraId="2B485EA4"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-Generar proyectos de investigación y desarrollo con los cuales se generan apoyos económicos.</w:t>
            </w:r>
          </w:p>
          <w:p w14:paraId="1263960B" w14:textId="77777777" w:rsidR="00EB24AA" w:rsidRPr="007923C2" w:rsidRDefault="00EB24AA" w:rsidP="00A1443E">
            <w:pPr>
              <w:widowControl w:val="0"/>
              <w:autoSpaceDE w:val="0"/>
              <w:autoSpaceDN w:val="0"/>
              <w:adjustRightInd w:val="0"/>
              <w:rPr>
                <w:rFonts w:ascii="Arial" w:hAnsi="Arial" w:cs="Arial"/>
                <w:sz w:val="22"/>
                <w:szCs w:val="22"/>
              </w:rPr>
            </w:pPr>
            <w:r w:rsidRPr="007923C2">
              <w:rPr>
                <w:rFonts w:ascii="Arial" w:hAnsi="Arial" w:cs="Arial"/>
                <w:sz w:val="22"/>
                <w:szCs w:val="22"/>
              </w:rPr>
              <w:t>-Implementar mejora continua del persona</w:t>
            </w:r>
            <w:r w:rsidR="00BE604E" w:rsidRPr="007923C2">
              <w:rPr>
                <w:rFonts w:ascii="Arial" w:hAnsi="Arial" w:cs="Arial"/>
                <w:sz w:val="22"/>
                <w:szCs w:val="22"/>
              </w:rPr>
              <w:t>l</w:t>
            </w:r>
            <w:r w:rsidR="00A1443E" w:rsidRPr="007923C2">
              <w:rPr>
                <w:rFonts w:ascii="Arial" w:hAnsi="Arial" w:cs="Arial"/>
                <w:sz w:val="22"/>
                <w:szCs w:val="22"/>
              </w:rPr>
              <w:t xml:space="preserve"> creando el compromiso con el Programa IAB</w:t>
            </w:r>
            <w:r w:rsidRPr="007923C2">
              <w:rPr>
                <w:rFonts w:ascii="Arial" w:hAnsi="Arial" w:cs="Arial"/>
                <w:sz w:val="22"/>
                <w:szCs w:val="22"/>
              </w:rPr>
              <w:t>.</w:t>
            </w:r>
          </w:p>
          <w:p w14:paraId="117FDD05" w14:textId="77777777" w:rsidR="00A1443E" w:rsidRPr="007923C2" w:rsidRDefault="00A1443E" w:rsidP="00BE604E">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BE604E" w:rsidRPr="007923C2">
              <w:rPr>
                <w:rFonts w:ascii="Arial" w:hAnsi="Arial" w:cs="Arial"/>
                <w:sz w:val="22"/>
                <w:szCs w:val="22"/>
              </w:rPr>
              <w:t>Desarrollar a través de los proyectos la vinculación para que el alumno tenga la oportunidad de relacionarse con la producción agrícola y la problemática del medio ambiente.</w:t>
            </w:r>
          </w:p>
        </w:tc>
        <w:tc>
          <w:tcPr>
            <w:tcW w:w="2882" w:type="dxa"/>
            <w:tcBorders>
              <w:top w:val="single" w:sz="6" w:space="0" w:color="auto"/>
              <w:left w:val="single" w:sz="6" w:space="0" w:color="auto"/>
              <w:bottom w:val="single" w:sz="6" w:space="0" w:color="auto"/>
              <w:right w:val="single" w:sz="6" w:space="0" w:color="auto"/>
            </w:tcBorders>
          </w:tcPr>
          <w:p w14:paraId="714EC50E" w14:textId="77777777"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t>ESTRATEGIAS D-A</w:t>
            </w:r>
          </w:p>
          <w:p w14:paraId="75EAABC9" w14:textId="77777777"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Interesar a profesores y alumnos del programa, a participar en su mejora continua y contribuir a obtener resultados que lo</w:t>
            </w:r>
            <w:r w:rsidR="00BE604E" w:rsidRPr="007923C2">
              <w:rPr>
                <w:rFonts w:ascii="Arial" w:hAnsi="Arial" w:cs="Arial"/>
                <w:sz w:val="22"/>
                <w:szCs w:val="22"/>
              </w:rPr>
              <w:t>s</w:t>
            </w:r>
            <w:r w:rsidRPr="007923C2">
              <w:rPr>
                <w:rFonts w:ascii="Arial" w:hAnsi="Arial" w:cs="Arial"/>
                <w:sz w:val="22"/>
                <w:szCs w:val="22"/>
              </w:rPr>
              <w:t xml:space="preserve"> beneficie</w:t>
            </w:r>
            <w:r w:rsidR="00BE604E" w:rsidRPr="007923C2">
              <w:rPr>
                <w:rFonts w:ascii="Arial" w:hAnsi="Arial" w:cs="Arial"/>
                <w:sz w:val="22"/>
                <w:szCs w:val="22"/>
              </w:rPr>
              <w:t>n</w:t>
            </w:r>
            <w:r w:rsidRPr="007923C2">
              <w:rPr>
                <w:rFonts w:ascii="Arial" w:hAnsi="Arial" w:cs="Arial"/>
                <w:sz w:val="22"/>
                <w:szCs w:val="22"/>
              </w:rPr>
              <w:t>.</w:t>
            </w:r>
          </w:p>
          <w:p w14:paraId="46CD280B" w14:textId="77777777" w:rsidR="00BE604E" w:rsidRPr="007923C2" w:rsidRDefault="00BE604E" w:rsidP="00E163F5">
            <w:pPr>
              <w:widowControl w:val="0"/>
              <w:autoSpaceDE w:val="0"/>
              <w:autoSpaceDN w:val="0"/>
              <w:adjustRightInd w:val="0"/>
              <w:rPr>
                <w:rFonts w:ascii="Arial" w:hAnsi="Arial" w:cs="Arial"/>
                <w:sz w:val="22"/>
                <w:szCs w:val="22"/>
              </w:rPr>
            </w:pPr>
            <w:r w:rsidRPr="007923C2">
              <w:rPr>
                <w:rFonts w:ascii="Arial" w:hAnsi="Arial" w:cs="Arial"/>
                <w:sz w:val="22"/>
                <w:szCs w:val="22"/>
              </w:rPr>
              <w:t>Involucrar al personal docente en el proceso de seguimiento a la calidad del programa IAB y destacar su importancia</w:t>
            </w:r>
          </w:p>
        </w:tc>
      </w:tr>
    </w:tbl>
    <w:p w14:paraId="23D0A896" w14:textId="77777777" w:rsidR="005F209E" w:rsidRDefault="005F209E" w:rsidP="005E47E4">
      <w:pPr>
        <w:widowControl w:val="0"/>
        <w:autoSpaceDE w:val="0"/>
        <w:autoSpaceDN w:val="0"/>
        <w:adjustRightInd w:val="0"/>
        <w:jc w:val="both"/>
        <w:rPr>
          <w:rFonts w:ascii="Arial" w:hAnsi="Arial" w:cs="Arial"/>
          <w:b/>
          <w:sz w:val="22"/>
          <w:szCs w:val="22"/>
        </w:rPr>
      </w:pPr>
    </w:p>
    <w:p w14:paraId="16E0554A" w14:textId="77777777" w:rsidR="00EB24AA" w:rsidRPr="007923C2" w:rsidRDefault="0025118C"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4.6.-MATRÍZ DEL PERFIL COMPETITIVO</w:t>
      </w:r>
    </w:p>
    <w:p w14:paraId="3734C6B5" w14:textId="77777777" w:rsidR="0077553A" w:rsidRPr="007923C2" w:rsidRDefault="007755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Esta matriz identifica los principales competidores, así como los factores claves del éxito</w:t>
      </w:r>
      <w:r w:rsidR="00B9084B" w:rsidRPr="007923C2">
        <w:rPr>
          <w:rFonts w:ascii="Arial" w:hAnsi="Arial" w:cs="Arial"/>
          <w:sz w:val="22"/>
          <w:szCs w:val="22"/>
        </w:rPr>
        <w:t xml:space="preserve"> para el programa docente y define cual es la posición competitiva del mismo. </w:t>
      </w:r>
    </w:p>
    <w:p w14:paraId="7EB7EAE3" w14:textId="77777777" w:rsidR="00F52EF3" w:rsidRPr="007923C2" w:rsidRDefault="00F56143"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Programas Docentes de la UAAAN</w:t>
      </w:r>
    </w:p>
    <w:p w14:paraId="70BAFE33" w14:textId="4588D220" w:rsidR="00B9084B" w:rsidRPr="007923C2" w:rsidRDefault="00A11D72" w:rsidP="0077553A">
      <w:pPr>
        <w:spacing w:line="360" w:lineRule="auto"/>
        <w:jc w:val="both"/>
        <w:rPr>
          <w:rFonts w:ascii="Arial" w:hAnsi="Arial" w:cs="Arial"/>
          <w:b/>
          <w:sz w:val="22"/>
          <w:szCs w:val="22"/>
          <w:lang w:val="es-ES_tradnl"/>
        </w:rPr>
      </w:pPr>
      <w:r>
        <w:rPr>
          <w:rFonts w:ascii="Arial" w:hAnsi="Arial" w:cs="Arial"/>
          <w:b/>
          <w:bCs/>
          <w:sz w:val="22"/>
          <w:szCs w:val="22"/>
          <w:lang w:val="es-ES_tradnl"/>
        </w:rPr>
        <w:t xml:space="preserve">                                             </w:t>
      </w:r>
      <w:r w:rsidR="0077553A" w:rsidRPr="007923C2">
        <w:rPr>
          <w:rFonts w:ascii="Arial" w:hAnsi="Arial" w:cs="Arial"/>
          <w:b/>
          <w:bCs/>
          <w:sz w:val="22"/>
          <w:szCs w:val="22"/>
          <w:lang w:val="es-ES_tradnl"/>
        </w:rPr>
        <w:t>Nuestro</w:t>
      </w:r>
      <w:r w:rsidR="0077553A" w:rsidRPr="007923C2">
        <w:rPr>
          <w:rFonts w:ascii="Arial" w:hAnsi="Arial" w:cs="Arial"/>
          <w:b/>
          <w:sz w:val="22"/>
          <w:szCs w:val="22"/>
          <w:lang w:val="es-ES_tradnl"/>
        </w:rPr>
        <w:t xml:space="preserve"> programa Docente      Competidor 1          Competidor 2  </w:t>
      </w:r>
    </w:p>
    <w:p w14:paraId="50B6CE8E" w14:textId="2CF1DD42" w:rsidR="0077553A" w:rsidRPr="007923C2" w:rsidRDefault="00B9084B" w:rsidP="0077553A">
      <w:pPr>
        <w:spacing w:line="360" w:lineRule="auto"/>
        <w:jc w:val="both"/>
        <w:rPr>
          <w:rFonts w:ascii="Arial" w:hAnsi="Arial" w:cs="Arial"/>
          <w:sz w:val="22"/>
          <w:szCs w:val="22"/>
          <w:lang w:val="es-ES_tradnl"/>
        </w:rPr>
      </w:pPr>
      <w:r w:rsidRPr="007923C2">
        <w:rPr>
          <w:rFonts w:ascii="Arial" w:hAnsi="Arial" w:cs="Arial"/>
          <w:sz w:val="22"/>
          <w:szCs w:val="22"/>
          <w:lang w:val="es-ES_tradnl"/>
        </w:rPr>
        <w:t xml:space="preserve">                       </w:t>
      </w:r>
      <w:r w:rsidR="00A11D72">
        <w:rPr>
          <w:rFonts w:ascii="Arial" w:hAnsi="Arial" w:cs="Arial"/>
          <w:sz w:val="22"/>
          <w:szCs w:val="22"/>
          <w:lang w:val="es-ES_tradnl"/>
        </w:rPr>
        <w:t xml:space="preserve">                                         </w:t>
      </w:r>
      <w:r w:rsidRPr="007923C2">
        <w:rPr>
          <w:rFonts w:ascii="Arial" w:hAnsi="Arial" w:cs="Arial"/>
          <w:sz w:val="22"/>
          <w:szCs w:val="22"/>
          <w:lang w:val="es-ES_tradnl"/>
        </w:rPr>
        <w:t xml:space="preserve">  IAB                            IAE                            IAA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951"/>
        <w:gridCol w:w="666"/>
        <w:gridCol w:w="617"/>
        <w:gridCol w:w="690"/>
        <w:gridCol w:w="666"/>
        <w:gridCol w:w="617"/>
        <w:gridCol w:w="690"/>
        <w:gridCol w:w="666"/>
        <w:gridCol w:w="617"/>
        <w:gridCol w:w="690"/>
      </w:tblGrid>
      <w:tr w:rsidR="0077553A" w:rsidRPr="007923C2" w14:paraId="4876DB17" w14:textId="77777777" w:rsidTr="004B6A50">
        <w:tc>
          <w:tcPr>
            <w:tcW w:w="0" w:type="auto"/>
          </w:tcPr>
          <w:p w14:paraId="101F0A4F" w14:textId="77777777" w:rsidR="0077553A" w:rsidRPr="007923C2" w:rsidRDefault="0077553A" w:rsidP="00B9084B">
            <w:pPr>
              <w:spacing w:line="360" w:lineRule="auto"/>
              <w:jc w:val="both"/>
              <w:rPr>
                <w:rFonts w:ascii="Arial" w:hAnsi="Arial" w:cs="Arial"/>
                <w:b/>
                <w:sz w:val="22"/>
                <w:szCs w:val="22"/>
                <w:lang w:val="es-ES_tradnl"/>
              </w:rPr>
            </w:pPr>
            <w:r w:rsidRPr="007923C2">
              <w:rPr>
                <w:rFonts w:ascii="Arial" w:hAnsi="Arial" w:cs="Arial"/>
                <w:b/>
                <w:sz w:val="22"/>
                <w:szCs w:val="22"/>
                <w:lang w:val="es-ES_tradnl"/>
              </w:rPr>
              <w:t>Fa</w:t>
            </w:r>
            <w:r w:rsidR="00B9084B" w:rsidRPr="007923C2">
              <w:rPr>
                <w:rFonts w:ascii="Arial" w:hAnsi="Arial" w:cs="Arial"/>
                <w:b/>
                <w:sz w:val="22"/>
                <w:szCs w:val="22"/>
                <w:lang w:val="es-ES_tradnl"/>
              </w:rPr>
              <w:t>c</w:t>
            </w:r>
            <w:r w:rsidRPr="007923C2">
              <w:rPr>
                <w:rFonts w:ascii="Arial" w:hAnsi="Arial" w:cs="Arial"/>
                <w:b/>
                <w:sz w:val="22"/>
                <w:szCs w:val="22"/>
                <w:lang w:val="es-ES_tradnl"/>
              </w:rPr>
              <w:t>tores claves de éxito</w:t>
            </w:r>
          </w:p>
        </w:tc>
        <w:tc>
          <w:tcPr>
            <w:tcW w:w="0" w:type="auto"/>
          </w:tcPr>
          <w:p w14:paraId="11DB41AF"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Peso</w:t>
            </w:r>
          </w:p>
        </w:tc>
        <w:tc>
          <w:tcPr>
            <w:tcW w:w="0" w:type="auto"/>
          </w:tcPr>
          <w:p w14:paraId="237386E8"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Calif</w:t>
            </w:r>
          </w:p>
        </w:tc>
        <w:tc>
          <w:tcPr>
            <w:tcW w:w="0" w:type="auto"/>
          </w:tcPr>
          <w:p w14:paraId="220B2BD4"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Pond</w:t>
            </w:r>
          </w:p>
        </w:tc>
        <w:tc>
          <w:tcPr>
            <w:tcW w:w="0" w:type="auto"/>
          </w:tcPr>
          <w:p w14:paraId="219D2AAD"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Peso</w:t>
            </w:r>
          </w:p>
        </w:tc>
        <w:tc>
          <w:tcPr>
            <w:tcW w:w="0" w:type="auto"/>
          </w:tcPr>
          <w:p w14:paraId="257AED57"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Calif</w:t>
            </w:r>
          </w:p>
        </w:tc>
        <w:tc>
          <w:tcPr>
            <w:tcW w:w="0" w:type="auto"/>
          </w:tcPr>
          <w:p w14:paraId="77EFE8CF"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Pond</w:t>
            </w:r>
          </w:p>
        </w:tc>
        <w:tc>
          <w:tcPr>
            <w:tcW w:w="0" w:type="auto"/>
          </w:tcPr>
          <w:p w14:paraId="49C354F8"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Peso</w:t>
            </w:r>
          </w:p>
        </w:tc>
        <w:tc>
          <w:tcPr>
            <w:tcW w:w="0" w:type="auto"/>
          </w:tcPr>
          <w:p w14:paraId="659F8D07"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Calif</w:t>
            </w:r>
          </w:p>
        </w:tc>
        <w:tc>
          <w:tcPr>
            <w:tcW w:w="0" w:type="auto"/>
          </w:tcPr>
          <w:p w14:paraId="34F224B4"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Pond</w:t>
            </w:r>
          </w:p>
        </w:tc>
      </w:tr>
      <w:tr w:rsidR="0077553A" w:rsidRPr="007923C2" w14:paraId="622FFA8E" w14:textId="77777777" w:rsidTr="004B6A50">
        <w:tc>
          <w:tcPr>
            <w:tcW w:w="0" w:type="auto"/>
          </w:tcPr>
          <w:p w14:paraId="12BFE90F" w14:textId="77777777" w:rsidR="0077553A" w:rsidRPr="007923C2" w:rsidRDefault="0077553A" w:rsidP="00B875FD">
            <w:pPr>
              <w:spacing w:line="360" w:lineRule="auto"/>
              <w:jc w:val="both"/>
              <w:rPr>
                <w:rFonts w:ascii="Arial" w:hAnsi="Arial" w:cs="Arial"/>
                <w:sz w:val="22"/>
                <w:szCs w:val="22"/>
                <w:lang w:val="es-ES_tradnl"/>
              </w:rPr>
            </w:pPr>
            <w:r w:rsidRPr="007923C2">
              <w:rPr>
                <w:rFonts w:ascii="Arial" w:hAnsi="Arial" w:cs="Arial"/>
                <w:sz w:val="22"/>
                <w:szCs w:val="22"/>
                <w:lang w:val="es-ES_tradnl"/>
              </w:rPr>
              <w:t>1.</w:t>
            </w:r>
            <w:r w:rsidR="00B875FD" w:rsidRPr="007923C2">
              <w:rPr>
                <w:rFonts w:ascii="Arial" w:hAnsi="Arial" w:cs="Arial"/>
                <w:sz w:val="22"/>
                <w:szCs w:val="22"/>
                <w:lang w:val="es-ES_tradnl"/>
              </w:rPr>
              <w:t>Mercado de trabajo del egresado</w:t>
            </w:r>
          </w:p>
        </w:tc>
        <w:tc>
          <w:tcPr>
            <w:tcW w:w="0" w:type="auto"/>
          </w:tcPr>
          <w:p w14:paraId="675CA6E9" w14:textId="77777777" w:rsidR="0077553A" w:rsidRPr="007923C2" w:rsidRDefault="00AE70C3" w:rsidP="00AE70C3">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687C16E7"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14:paraId="7B878916"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14:paraId="19A303C9"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1DD4F3FD"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14:paraId="0DA0ECB5"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14:paraId="71A58D47"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7729DF77"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14:paraId="1C6ED00B"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r>
      <w:tr w:rsidR="0077553A" w:rsidRPr="007923C2" w14:paraId="019B692E" w14:textId="77777777" w:rsidTr="004B6A50">
        <w:tc>
          <w:tcPr>
            <w:tcW w:w="0" w:type="auto"/>
          </w:tcPr>
          <w:p w14:paraId="65ABFB24" w14:textId="77777777" w:rsidR="0077553A" w:rsidRPr="007923C2" w:rsidRDefault="00B9084B" w:rsidP="00B9084B">
            <w:pPr>
              <w:spacing w:line="360" w:lineRule="auto"/>
              <w:jc w:val="both"/>
              <w:rPr>
                <w:rFonts w:ascii="Arial" w:hAnsi="Arial" w:cs="Arial"/>
                <w:sz w:val="22"/>
                <w:szCs w:val="22"/>
                <w:lang w:val="es-ES_tradnl"/>
              </w:rPr>
            </w:pPr>
            <w:r w:rsidRPr="007923C2">
              <w:rPr>
                <w:rFonts w:ascii="Arial" w:hAnsi="Arial" w:cs="Arial"/>
                <w:sz w:val="22"/>
                <w:szCs w:val="22"/>
                <w:lang w:val="es-ES_tradnl"/>
              </w:rPr>
              <w:lastRenderedPageBreak/>
              <w:t>2.</w:t>
            </w:r>
            <w:r w:rsidR="00B875FD" w:rsidRPr="007923C2">
              <w:rPr>
                <w:rFonts w:ascii="Arial" w:hAnsi="Arial" w:cs="Arial"/>
                <w:sz w:val="22"/>
                <w:szCs w:val="22"/>
                <w:lang w:val="es-ES_tradnl"/>
              </w:rPr>
              <w:t>Plan de estudios</w:t>
            </w:r>
          </w:p>
        </w:tc>
        <w:tc>
          <w:tcPr>
            <w:tcW w:w="0" w:type="auto"/>
          </w:tcPr>
          <w:p w14:paraId="11CE80F4"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3A35C132"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14:paraId="3B41699D"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14:paraId="577D8CB1"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w:t>
            </w:r>
          </w:p>
        </w:tc>
        <w:tc>
          <w:tcPr>
            <w:tcW w:w="0" w:type="auto"/>
          </w:tcPr>
          <w:p w14:paraId="068B4848"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14:paraId="2860ADCD" w14:textId="77777777"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14:paraId="1FF85B6E"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15D84928"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14:paraId="257B2DDE"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r>
      <w:tr w:rsidR="0077553A" w:rsidRPr="007923C2" w14:paraId="3D121B4B" w14:textId="77777777" w:rsidTr="004B6A50">
        <w:tc>
          <w:tcPr>
            <w:tcW w:w="0" w:type="auto"/>
          </w:tcPr>
          <w:p w14:paraId="421EC0C9" w14:textId="77777777" w:rsidR="0077553A" w:rsidRPr="007923C2" w:rsidRDefault="00B875FD" w:rsidP="00A60C78">
            <w:pPr>
              <w:pStyle w:val="Prrafodelista"/>
              <w:numPr>
                <w:ilvl w:val="0"/>
                <w:numId w:val="65"/>
              </w:numPr>
              <w:spacing w:line="360" w:lineRule="auto"/>
              <w:jc w:val="both"/>
              <w:rPr>
                <w:rFonts w:ascii="Arial" w:hAnsi="Arial" w:cs="Arial"/>
                <w:sz w:val="22"/>
                <w:szCs w:val="22"/>
                <w:lang w:val="es-ES_tradnl"/>
              </w:rPr>
            </w:pPr>
            <w:r w:rsidRPr="007923C2">
              <w:rPr>
                <w:rFonts w:ascii="Arial" w:hAnsi="Arial" w:cs="Arial"/>
                <w:sz w:val="22"/>
                <w:szCs w:val="22"/>
                <w:lang w:val="es-ES_tradnl"/>
              </w:rPr>
              <w:t>Nivel académico de la planta docente.</w:t>
            </w:r>
          </w:p>
        </w:tc>
        <w:tc>
          <w:tcPr>
            <w:tcW w:w="0" w:type="auto"/>
          </w:tcPr>
          <w:p w14:paraId="30D6A5E7"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35A76DC7"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14:paraId="732B437B"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14:paraId="5DC8BDDE"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7928D4F9"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14:paraId="2E7F40CE"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14:paraId="62E5EB7C"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2987ED48"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14:paraId="5EA6B8F3"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r>
      <w:tr w:rsidR="0077553A" w:rsidRPr="007923C2" w14:paraId="088D77CB" w14:textId="77777777" w:rsidTr="004B6A50">
        <w:tc>
          <w:tcPr>
            <w:tcW w:w="0" w:type="auto"/>
          </w:tcPr>
          <w:p w14:paraId="7AADDDFD" w14:textId="77777777" w:rsidR="0077553A" w:rsidRPr="007923C2" w:rsidRDefault="0077553A" w:rsidP="004B6A50">
            <w:pPr>
              <w:pStyle w:val="Ttulo6"/>
              <w:spacing w:line="360" w:lineRule="auto"/>
              <w:jc w:val="both"/>
              <w:rPr>
                <w:rFonts w:ascii="Arial" w:hAnsi="Arial" w:cs="Arial"/>
                <w:sz w:val="22"/>
                <w:szCs w:val="22"/>
              </w:rPr>
            </w:pPr>
            <w:r w:rsidRPr="007923C2">
              <w:rPr>
                <w:rFonts w:ascii="Arial" w:hAnsi="Arial" w:cs="Arial"/>
                <w:sz w:val="22"/>
                <w:szCs w:val="22"/>
              </w:rPr>
              <w:t>Total</w:t>
            </w:r>
          </w:p>
        </w:tc>
        <w:tc>
          <w:tcPr>
            <w:tcW w:w="0" w:type="auto"/>
          </w:tcPr>
          <w:p w14:paraId="7B2A39A1"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14:paraId="1DF1C61C"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12</w:t>
            </w:r>
          </w:p>
        </w:tc>
        <w:tc>
          <w:tcPr>
            <w:tcW w:w="0" w:type="auto"/>
          </w:tcPr>
          <w:p w14:paraId="5F49D3F2"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24</w:t>
            </w:r>
          </w:p>
        </w:tc>
        <w:tc>
          <w:tcPr>
            <w:tcW w:w="0" w:type="auto"/>
          </w:tcPr>
          <w:p w14:paraId="2E54D876"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5</w:t>
            </w:r>
          </w:p>
        </w:tc>
        <w:tc>
          <w:tcPr>
            <w:tcW w:w="0" w:type="auto"/>
          </w:tcPr>
          <w:p w14:paraId="0800EFC7"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9</w:t>
            </w:r>
          </w:p>
        </w:tc>
        <w:tc>
          <w:tcPr>
            <w:tcW w:w="0" w:type="auto"/>
          </w:tcPr>
          <w:p w14:paraId="26FB4EA8"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15</w:t>
            </w:r>
          </w:p>
        </w:tc>
        <w:tc>
          <w:tcPr>
            <w:tcW w:w="0" w:type="auto"/>
          </w:tcPr>
          <w:p w14:paraId="120540B3"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14:paraId="6E8FD94F"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10</w:t>
            </w:r>
          </w:p>
        </w:tc>
        <w:tc>
          <w:tcPr>
            <w:tcW w:w="0" w:type="auto"/>
          </w:tcPr>
          <w:p w14:paraId="1F909414" w14:textId="77777777"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20</w:t>
            </w:r>
          </w:p>
        </w:tc>
      </w:tr>
    </w:tbl>
    <w:p w14:paraId="363966E3" w14:textId="77777777" w:rsidR="0077553A" w:rsidRPr="007923C2" w:rsidRDefault="0077553A" w:rsidP="0077553A">
      <w:pPr>
        <w:spacing w:line="360" w:lineRule="auto"/>
        <w:jc w:val="both"/>
        <w:rPr>
          <w:rFonts w:ascii="Arial" w:hAnsi="Arial" w:cs="Arial"/>
          <w:sz w:val="22"/>
          <w:szCs w:val="22"/>
          <w:lang w:val="es-ES_tradnl"/>
        </w:rPr>
      </w:pPr>
    </w:p>
    <w:p w14:paraId="532CD886" w14:textId="77777777" w:rsidR="0077553A" w:rsidRPr="007923C2" w:rsidRDefault="00F56143"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Instituciones externas</w:t>
      </w:r>
    </w:p>
    <w:p w14:paraId="7A7B6026" w14:textId="0A24B556" w:rsidR="00F56143" w:rsidRPr="007923C2" w:rsidRDefault="00A11D72" w:rsidP="0077553A">
      <w:pPr>
        <w:spacing w:line="360" w:lineRule="auto"/>
        <w:jc w:val="both"/>
        <w:rPr>
          <w:rFonts w:ascii="Arial" w:hAnsi="Arial" w:cs="Arial"/>
          <w:b/>
          <w:sz w:val="22"/>
          <w:szCs w:val="22"/>
          <w:lang w:val="es-ES_tradnl"/>
        </w:rPr>
      </w:pPr>
      <w:r>
        <w:rPr>
          <w:rFonts w:ascii="Arial" w:hAnsi="Arial" w:cs="Arial"/>
          <w:b/>
          <w:bCs/>
          <w:sz w:val="22"/>
          <w:szCs w:val="22"/>
          <w:lang w:val="es-ES_tradnl"/>
        </w:rPr>
        <w:t xml:space="preserve">                                                </w:t>
      </w:r>
      <w:r w:rsidR="0077553A" w:rsidRPr="007923C2">
        <w:rPr>
          <w:rFonts w:ascii="Arial" w:hAnsi="Arial" w:cs="Arial"/>
          <w:b/>
          <w:bCs/>
          <w:sz w:val="22"/>
          <w:szCs w:val="22"/>
          <w:lang w:val="es-ES_tradnl"/>
        </w:rPr>
        <w:t>Nuestro</w:t>
      </w:r>
      <w:r w:rsidR="0077553A" w:rsidRPr="007923C2">
        <w:rPr>
          <w:rFonts w:ascii="Arial" w:hAnsi="Arial" w:cs="Arial"/>
          <w:b/>
          <w:sz w:val="22"/>
          <w:szCs w:val="22"/>
          <w:lang w:val="es-ES_tradnl"/>
        </w:rPr>
        <w:t xml:space="preserve"> programa Docente  Competidor 1          Competidor 2 </w:t>
      </w:r>
    </w:p>
    <w:p w14:paraId="6A2478FB" w14:textId="3D4D66DB" w:rsidR="0077553A" w:rsidRPr="007923C2" w:rsidRDefault="00F56143" w:rsidP="0077553A">
      <w:pPr>
        <w:spacing w:line="360" w:lineRule="auto"/>
        <w:jc w:val="both"/>
        <w:rPr>
          <w:rFonts w:ascii="Arial" w:hAnsi="Arial" w:cs="Arial"/>
          <w:sz w:val="22"/>
          <w:szCs w:val="22"/>
          <w:lang w:val="es-ES_tradnl"/>
        </w:rPr>
      </w:pPr>
      <w:r w:rsidRPr="007923C2">
        <w:rPr>
          <w:rFonts w:ascii="Arial" w:hAnsi="Arial" w:cs="Arial"/>
          <w:sz w:val="22"/>
          <w:szCs w:val="22"/>
          <w:lang w:val="es-ES_tradnl"/>
        </w:rPr>
        <w:t xml:space="preserve">                         </w:t>
      </w:r>
      <w:r w:rsidR="00A11D72">
        <w:rPr>
          <w:rFonts w:ascii="Arial" w:hAnsi="Arial" w:cs="Arial"/>
          <w:sz w:val="22"/>
          <w:szCs w:val="22"/>
          <w:lang w:val="es-ES_tradnl"/>
        </w:rPr>
        <w:t xml:space="preserve">                                            </w:t>
      </w:r>
      <w:r w:rsidRPr="007923C2">
        <w:rPr>
          <w:rFonts w:ascii="Arial" w:hAnsi="Arial" w:cs="Arial"/>
          <w:sz w:val="22"/>
          <w:szCs w:val="22"/>
          <w:lang w:val="es-ES_tradnl"/>
        </w:rPr>
        <w:t xml:space="preserve"> IAB</w:t>
      </w:r>
      <w:r w:rsidR="00E3724E" w:rsidRPr="007923C2">
        <w:rPr>
          <w:rFonts w:ascii="Arial" w:hAnsi="Arial" w:cs="Arial"/>
          <w:sz w:val="22"/>
          <w:szCs w:val="22"/>
          <w:lang w:val="es-ES_tradnl"/>
        </w:rPr>
        <w:t xml:space="preserve">                        AUSM                      AUSNM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553"/>
        <w:gridCol w:w="666"/>
        <w:gridCol w:w="617"/>
        <w:gridCol w:w="690"/>
        <w:gridCol w:w="666"/>
        <w:gridCol w:w="617"/>
        <w:gridCol w:w="690"/>
        <w:gridCol w:w="666"/>
        <w:gridCol w:w="617"/>
        <w:gridCol w:w="690"/>
      </w:tblGrid>
      <w:tr w:rsidR="0077553A" w:rsidRPr="007923C2" w14:paraId="13FDB4AE" w14:textId="77777777" w:rsidTr="004B6A50">
        <w:tc>
          <w:tcPr>
            <w:tcW w:w="0" w:type="auto"/>
          </w:tcPr>
          <w:p w14:paraId="144213AC"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Factores claves de éxito</w:t>
            </w:r>
          </w:p>
        </w:tc>
        <w:tc>
          <w:tcPr>
            <w:tcW w:w="0" w:type="auto"/>
          </w:tcPr>
          <w:p w14:paraId="45F962D5"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Peso</w:t>
            </w:r>
          </w:p>
        </w:tc>
        <w:tc>
          <w:tcPr>
            <w:tcW w:w="0" w:type="auto"/>
          </w:tcPr>
          <w:p w14:paraId="0B516BCF"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Calif</w:t>
            </w:r>
          </w:p>
        </w:tc>
        <w:tc>
          <w:tcPr>
            <w:tcW w:w="0" w:type="auto"/>
          </w:tcPr>
          <w:p w14:paraId="4DA1A34A"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Pond</w:t>
            </w:r>
          </w:p>
        </w:tc>
        <w:tc>
          <w:tcPr>
            <w:tcW w:w="0" w:type="auto"/>
          </w:tcPr>
          <w:p w14:paraId="4D022579"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Peso</w:t>
            </w:r>
          </w:p>
        </w:tc>
        <w:tc>
          <w:tcPr>
            <w:tcW w:w="0" w:type="auto"/>
          </w:tcPr>
          <w:p w14:paraId="666479C2"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Calif</w:t>
            </w:r>
          </w:p>
        </w:tc>
        <w:tc>
          <w:tcPr>
            <w:tcW w:w="0" w:type="auto"/>
          </w:tcPr>
          <w:p w14:paraId="379FE969"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Pond</w:t>
            </w:r>
          </w:p>
        </w:tc>
        <w:tc>
          <w:tcPr>
            <w:tcW w:w="0" w:type="auto"/>
          </w:tcPr>
          <w:p w14:paraId="0CCA2422"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Peso</w:t>
            </w:r>
          </w:p>
        </w:tc>
        <w:tc>
          <w:tcPr>
            <w:tcW w:w="0" w:type="auto"/>
          </w:tcPr>
          <w:p w14:paraId="41D8EEAA"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Calif</w:t>
            </w:r>
          </w:p>
        </w:tc>
        <w:tc>
          <w:tcPr>
            <w:tcW w:w="0" w:type="auto"/>
          </w:tcPr>
          <w:p w14:paraId="3A48C015" w14:textId="77777777"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Pond</w:t>
            </w:r>
          </w:p>
        </w:tc>
      </w:tr>
      <w:tr w:rsidR="0077553A" w:rsidRPr="007923C2" w14:paraId="1139E9D4" w14:textId="77777777" w:rsidTr="004B6A50">
        <w:tc>
          <w:tcPr>
            <w:tcW w:w="0" w:type="auto"/>
          </w:tcPr>
          <w:p w14:paraId="070942E4" w14:textId="77777777" w:rsidR="0077553A" w:rsidRPr="007923C2" w:rsidRDefault="0077553A" w:rsidP="00E3724E">
            <w:pPr>
              <w:spacing w:line="360" w:lineRule="auto"/>
              <w:jc w:val="both"/>
              <w:rPr>
                <w:rFonts w:ascii="Arial" w:hAnsi="Arial" w:cs="Arial"/>
                <w:sz w:val="22"/>
                <w:szCs w:val="22"/>
                <w:lang w:val="es-ES_tradnl"/>
              </w:rPr>
            </w:pPr>
            <w:r w:rsidRPr="007923C2">
              <w:rPr>
                <w:rFonts w:ascii="Arial" w:hAnsi="Arial" w:cs="Arial"/>
                <w:sz w:val="22"/>
                <w:szCs w:val="22"/>
                <w:lang w:val="es-ES_tradnl"/>
              </w:rPr>
              <w:t>1.</w:t>
            </w:r>
            <w:r w:rsidR="00E3724E" w:rsidRPr="007923C2">
              <w:rPr>
                <w:rFonts w:ascii="Arial" w:hAnsi="Arial" w:cs="Arial"/>
                <w:sz w:val="22"/>
                <w:szCs w:val="22"/>
                <w:lang w:val="es-ES_tradnl"/>
              </w:rPr>
              <w:t>Mercado de trabajo del egresado</w:t>
            </w:r>
          </w:p>
        </w:tc>
        <w:tc>
          <w:tcPr>
            <w:tcW w:w="0" w:type="auto"/>
          </w:tcPr>
          <w:p w14:paraId="0957E9D7" w14:textId="77777777"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0CB29BC0" w14:textId="77777777"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14:paraId="3B0DC288" w14:textId="77777777"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14:paraId="19ECB493" w14:textId="77777777"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28D824B9" w14:textId="77777777"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14:paraId="0705A554" w14:textId="77777777"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14:paraId="7EA42C01"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7B390DCF"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14:paraId="56D3AA52"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r>
      <w:tr w:rsidR="0077553A" w:rsidRPr="007923C2" w14:paraId="669CE663" w14:textId="77777777" w:rsidTr="004B6A50">
        <w:tc>
          <w:tcPr>
            <w:tcW w:w="0" w:type="auto"/>
          </w:tcPr>
          <w:p w14:paraId="75CC1BEA" w14:textId="77777777" w:rsidR="0077553A" w:rsidRPr="007923C2" w:rsidRDefault="0077553A"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r w:rsidR="00E3724E" w:rsidRPr="007923C2">
              <w:rPr>
                <w:rFonts w:ascii="Arial" w:hAnsi="Arial" w:cs="Arial"/>
                <w:sz w:val="22"/>
                <w:szCs w:val="22"/>
                <w:lang w:val="es-ES_tradnl"/>
              </w:rPr>
              <w:t>Plan de estudios</w:t>
            </w:r>
          </w:p>
        </w:tc>
        <w:tc>
          <w:tcPr>
            <w:tcW w:w="0" w:type="auto"/>
          </w:tcPr>
          <w:p w14:paraId="3257DF2A" w14:textId="77777777"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70190B2C" w14:textId="77777777"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14:paraId="0BCE8AAD" w14:textId="77777777"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14:paraId="0DAAD3B6"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6D889DD1"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14:paraId="2D1B5DAD"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14:paraId="0DE58E57"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w:t>
            </w:r>
          </w:p>
        </w:tc>
        <w:tc>
          <w:tcPr>
            <w:tcW w:w="0" w:type="auto"/>
          </w:tcPr>
          <w:p w14:paraId="3A9266F0"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14:paraId="1D83DC08"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r>
      <w:tr w:rsidR="0077553A" w:rsidRPr="007923C2" w14:paraId="59D6F139" w14:textId="77777777" w:rsidTr="004B6A50">
        <w:tc>
          <w:tcPr>
            <w:tcW w:w="0" w:type="auto"/>
          </w:tcPr>
          <w:p w14:paraId="2C3F48BF" w14:textId="77777777" w:rsidR="0077553A" w:rsidRPr="007923C2" w:rsidRDefault="0077553A"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r w:rsidR="00E3724E" w:rsidRPr="007923C2">
              <w:rPr>
                <w:rFonts w:ascii="Arial" w:hAnsi="Arial" w:cs="Arial"/>
                <w:sz w:val="22"/>
                <w:szCs w:val="22"/>
                <w:lang w:val="es-ES_tradnl"/>
              </w:rPr>
              <w:t>Objetivo del Programa</w:t>
            </w:r>
          </w:p>
        </w:tc>
        <w:tc>
          <w:tcPr>
            <w:tcW w:w="0" w:type="auto"/>
          </w:tcPr>
          <w:p w14:paraId="12D686A1" w14:textId="77777777"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4AF78DA7" w14:textId="77777777"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 xml:space="preserve">4 </w:t>
            </w:r>
          </w:p>
        </w:tc>
        <w:tc>
          <w:tcPr>
            <w:tcW w:w="0" w:type="auto"/>
          </w:tcPr>
          <w:p w14:paraId="16021E3B" w14:textId="77777777"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14:paraId="6A4E79C0"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5FA19D0E"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14:paraId="561307EA"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14:paraId="33237014"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14:paraId="718F8176"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14:paraId="29666FAC"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r>
      <w:tr w:rsidR="0077553A" w:rsidRPr="007923C2" w14:paraId="2080E9D6" w14:textId="77777777" w:rsidTr="004B6A50">
        <w:tc>
          <w:tcPr>
            <w:tcW w:w="0" w:type="auto"/>
          </w:tcPr>
          <w:p w14:paraId="25F10C72" w14:textId="77777777" w:rsidR="0077553A" w:rsidRPr="007923C2" w:rsidRDefault="0077553A" w:rsidP="004B6A50">
            <w:pPr>
              <w:pStyle w:val="Ttulo6"/>
              <w:spacing w:line="360" w:lineRule="auto"/>
              <w:jc w:val="both"/>
              <w:rPr>
                <w:rFonts w:ascii="Arial" w:hAnsi="Arial" w:cs="Arial"/>
                <w:sz w:val="22"/>
                <w:szCs w:val="22"/>
              </w:rPr>
            </w:pPr>
            <w:r w:rsidRPr="007923C2">
              <w:rPr>
                <w:rFonts w:ascii="Arial" w:hAnsi="Arial" w:cs="Arial"/>
                <w:sz w:val="22"/>
                <w:szCs w:val="22"/>
              </w:rPr>
              <w:t>Total</w:t>
            </w:r>
          </w:p>
        </w:tc>
        <w:tc>
          <w:tcPr>
            <w:tcW w:w="0" w:type="auto"/>
          </w:tcPr>
          <w:p w14:paraId="2B774B1B"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14:paraId="1A890E8C"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12</w:t>
            </w:r>
          </w:p>
        </w:tc>
        <w:tc>
          <w:tcPr>
            <w:tcW w:w="0" w:type="auto"/>
          </w:tcPr>
          <w:p w14:paraId="16FFCC21"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24</w:t>
            </w:r>
          </w:p>
        </w:tc>
        <w:tc>
          <w:tcPr>
            <w:tcW w:w="0" w:type="auto"/>
          </w:tcPr>
          <w:p w14:paraId="6E46DB76"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14:paraId="2F5E3707"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10</w:t>
            </w:r>
          </w:p>
        </w:tc>
        <w:tc>
          <w:tcPr>
            <w:tcW w:w="0" w:type="auto"/>
          </w:tcPr>
          <w:p w14:paraId="4C71D671"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20</w:t>
            </w:r>
          </w:p>
        </w:tc>
        <w:tc>
          <w:tcPr>
            <w:tcW w:w="0" w:type="auto"/>
          </w:tcPr>
          <w:p w14:paraId="463C9128"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5</w:t>
            </w:r>
          </w:p>
        </w:tc>
        <w:tc>
          <w:tcPr>
            <w:tcW w:w="0" w:type="auto"/>
          </w:tcPr>
          <w:p w14:paraId="1C9978C9"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9</w:t>
            </w:r>
          </w:p>
        </w:tc>
        <w:tc>
          <w:tcPr>
            <w:tcW w:w="0" w:type="auto"/>
          </w:tcPr>
          <w:p w14:paraId="46BB74E9" w14:textId="77777777"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15</w:t>
            </w:r>
          </w:p>
        </w:tc>
      </w:tr>
    </w:tbl>
    <w:p w14:paraId="0C976C65" w14:textId="77777777" w:rsidR="0077553A" w:rsidRPr="007923C2" w:rsidRDefault="0077553A" w:rsidP="0077553A">
      <w:pPr>
        <w:spacing w:line="360" w:lineRule="auto"/>
        <w:jc w:val="both"/>
        <w:rPr>
          <w:rFonts w:ascii="Arial" w:hAnsi="Arial" w:cs="Arial"/>
          <w:sz w:val="22"/>
          <w:szCs w:val="22"/>
          <w:lang w:val="es-ES_tradnl"/>
        </w:rPr>
      </w:pPr>
    </w:p>
    <w:p w14:paraId="28261444" w14:textId="77777777" w:rsidR="0077553A" w:rsidRPr="007923C2" w:rsidRDefault="00FD679C" w:rsidP="005E47E4">
      <w:pPr>
        <w:widowControl w:val="0"/>
        <w:autoSpaceDE w:val="0"/>
        <w:autoSpaceDN w:val="0"/>
        <w:adjustRightInd w:val="0"/>
        <w:jc w:val="both"/>
        <w:rPr>
          <w:rFonts w:ascii="Arial" w:hAnsi="Arial" w:cs="Arial"/>
          <w:sz w:val="22"/>
          <w:szCs w:val="22"/>
        </w:rPr>
      </w:pPr>
      <w:r w:rsidRPr="007923C2">
        <w:rPr>
          <w:rFonts w:ascii="Arial" w:hAnsi="Arial" w:cs="Arial"/>
          <w:b/>
          <w:sz w:val="22"/>
          <w:szCs w:val="22"/>
        </w:rPr>
        <w:t>AUSM</w:t>
      </w:r>
      <w:r w:rsidR="004B6A50" w:rsidRPr="007923C2">
        <w:rPr>
          <w:rFonts w:ascii="Arial" w:hAnsi="Arial" w:cs="Arial"/>
          <w:b/>
          <w:sz w:val="22"/>
          <w:szCs w:val="22"/>
        </w:rPr>
        <w:t xml:space="preserve"> –</w:t>
      </w:r>
      <w:r w:rsidR="004B6A50" w:rsidRPr="007923C2">
        <w:rPr>
          <w:rFonts w:ascii="Arial" w:hAnsi="Arial" w:cs="Arial"/>
          <w:sz w:val="22"/>
          <w:szCs w:val="22"/>
        </w:rPr>
        <w:t>Agrobiología Universidad Sains Malasia</w:t>
      </w:r>
    </w:p>
    <w:p w14:paraId="57E449AC" w14:textId="77777777" w:rsidR="004B6A50" w:rsidRPr="007923C2" w:rsidRDefault="004B6A50"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 xml:space="preserve">AUSNM- </w:t>
      </w:r>
      <w:r w:rsidRPr="007923C2">
        <w:rPr>
          <w:rFonts w:ascii="Arial" w:hAnsi="Arial" w:cs="Arial"/>
          <w:sz w:val="22"/>
          <w:szCs w:val="22"/>
        </w:rPr>
        <w:t>Agrobiología Universidad de San Nicolás Michoacán</w:t>
      </w:r>
    </w:p>
    <w:p w14:paraId="6BEB2492" w14:textId="77777777" w:rsidR="0077553A" w:rsidRPr="007923C2" w:rsidRDefault="005E4672"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ANÁLISIS DE LOS RESULTADOS</w:t>
      </w:r>
    </w:p>
    <w:p w14:paraId="36E6F41E" w14:textId="77777777" w:rsidR="00E40B5C" w:rsidRPr="007923C2" w:rsidRDefault="005E467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concepto de Agrobiología se ha retomado de diferentes formas y debido a esto ninguna de </w:t>
      </w:r>
      <w:r w:rsidR="00E40B5C" w:rsidRPr="007923C2">
        <w:rPr>
          <w:rFonts w:ascii="Arial" w:hAnsi="Arial" w:cs="Arial"/>
          <w:sz w:val="22"/>
          <w:szCs w:val="22"/>
        </w:rPr>
        <w:t>las carreras mencionadas tienen el mismo objetivo y la misma integración del conocimiento que desarrolle el plan de estudios.</w:t>
      </w:r>
    </w:p>
    <w:p w14:paraId="552FFF22" w14:textId="77777777" w:rsidR="00E40B5C" w:rsidRPr="007923C2" w:rsidRDefault="00E40B5C"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Programa Docente IAB tiene un enfoque mas amplio con el c</w:t>
      </w:r>
      <w:r w:rsidR="00D52EFC" w:rsidRPr="007923C2">
        <w:rPr>
          <w:rFonts w:ascii="Arial" w:hAnsi="Arial" w:cs="Arial"/>
          <w:sz w:val="22"/>
          <w:szCs w:val="22"/>
        </w:rPr>
        <w:t>u</w:t>
      </w:r>
      <w:r w:rsidRPr="007923C2">
        <w:rPr>
          <w:rFonts w:ascii="Arial" w:hAnsi="Arial" w:cs="Arial"/>
          <w:sz w:val="22"/>
          <w:szCs w:val="22"/>
        </w:rPr>
        <w:t xml:space="preserve">al se puede llegar a cumplir el </w:t>
      </w:r>
      <w:r w:rsidR="00D52EFC" w:rsidRPr="007923C2">
        <w:rPr>
          <w:rFonts w:ascii="Arial" w:hAnsi="Arial" w:cs="Arial"/>
          <w:sz w:val="22"/>
          <w:szCs w:val="22"/>
        </w:rPr>
        <w:t xml:space="preserve">concepto </w:t>
      </w:r>
      <w:r w:rsidRPr="007923C2">
        <w:rPr>
          <w:rFonts w:ascii="Arial" w:hAnsi="Arial" w:cs="Arial"/>
          <w:sz w:val="22"/>
          <w:szCs w:val="22"/>
        </w:rPr>
        <w:t>a la sutentabilidad que se logra integrando conocimientos de agricultura alternativa cuidando el medio ambiente</w:t>
      </w:r>
      <w:r w:rsidR="00D52EFC" w:rsidRPr="007923C2">
        <w:rPr>
          <w:rFonts w:ascii="Arial" w:hAnsi="Arial" w:cs="Arial"/>
          <w:sz w:val="22"/>
          <w:szCs w:val="22"/>
        </w:rPr>
        <w:t>,</w:t>
      </w:r>
      <w:r w:rsidRPr="007923C2">
        <w:rPr>
          <w:rFonts w:ascii="Arial" w:hAnsi="Arial" w:cs="Arial"/>
          <w:sz w:val="22"/>
          <w:szCs w:val="22"/>
        </w:rPr>
        <w:t xml:space="preserve"> por medio de estudios de impacto ambiental que nos explica en que situación están estos recursos (agua, suelo, aire) y aplicando tecnologías como las que ofrece la biotecnología para esta misma finalidad.</w:t>
      </w:r>
    </w:p>
    <w:p w14:paraId="2D5BAC32" w14:textId="77777777" w:rsidR="005E4672" w:rsidRPr="007923C2" w:rsidRDefault="00E40B5C"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Las otras carreras manejan un aspecto más limitado del contexto de la agrobiología incluyen solo algunas de éstas áreas o le dan un enfoque diferente. </w:t>
      </w:r>
    </w:p>
    <w:p w14:paraId="30E9C2C5" w14:textId="77777777" w:rsidR="00D52EFC" w:rsidRDefault="00D52EFC" w:rsidP="005E47E4">
      <w:pPr>
        <w:widowControl w:val="0"/>
        <w:autoSpaceDE w:val="0"/>
        <w:autoSpaceDN w:val="0"/>
        <w:adjustRightInd w:val="0"/>
        <w:jc w:val="both"/>
        <w:rPr>
          <w:rFonts w:ascii="Arial" w:hAnsi="Arial" w:cs="Arial"/>
          <w:b/>
          <w:sz w:val="22"/>
          <w:szCs w:val="22"/>
        </w:rPr>
      </w:pPr>
    </w:p>
    <w:p w14:paraId="78C0AE4A" w14:textId="77777777" w:rsidR="00B87273" w:rsidRDefault="00B87273" w:rsidP="005E47E4">
      <w:pPr>
        <w:widowControl w:val="0"/>
        <w:autoSpaceDE w:val="0"/>
        <w:autoSpaceDN w:val="0"/>
        <w:adjustRightInd w:val="0"/>
        <w:jc w:val="both"/>
        <w:rPr>
          <w:rFonts w:ascii="Arial" w:hAnsi="Arial" w:cs="Arial"/>
          <w:b/>
          <w:sz w:val="22"/>
          <w:szCs w:val="22"/>
        </w:rPr>
      </w:pPr>
    </w:p>
    <w:p w14:paraId="38EA88EE" w14:textId="77777777" w:rsidR="001E5CE3" w:rsidRDefault="001E5CE3" w:rsidP="005E47E4">
      <w:pPr>
        <w:widowControl w:val="0"/>
        <w:autoSpaceDE w:val="0"/>
        <w:autoSpaceDN w:val="0"/>
        <w:adjustRightInd w:val="0"/>
        <w:jc w:val="both"/>
        <w:rPr>
          <w:rFonts w:ascii="Arial" w:hAnsi="Arial" w:cs="Arial"/>
          <w:b/>
          <w:sz w:val="22"/>
          <w:szCs w:val="22"/>
        </w:rPr>
      </w:pPr>
    </w:p>
    <w:p w14:paraId="12E1D9C8" w14:textId="77777777" w:rsidR="00E46CE5" w:rsidRPr="007923C2" w:rsidRDefault="00E46CE5"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lastRenderedPageBreak/>
        <w:t>4.7.-FASE DE EJECUCIÓN, EVALUACIÓN Y CONTROL</w:t>
      </w:r>
    </w:p>
    <w:p w14:paraId="7D6C9BCE" w14:textId="77777777" w:rsidR="00842F97" w:rsidRPr="007923C2" w:rsidRDefault="00842F97" w:rsidP="00842F97">
      <w:pPr>
        <w:widowControl w:val="0"/>
        <w:autoSpaceDE w:val="0"/>
        <w:autoSpaceDN w:val="0"/>
        <w:adjustRightInd w:val="0"/>
        <w:jc w:val="both"/>
        <w:rPr>
          <w:rFonts w:ascii="Arial" w:hAnsi="Arial" w:cs="Arial"/>
          <w:sz w:val="22"/>
          <w:szCs w:val="22"/>
        </w:rPr>
      </w:pPr>
      <w:r w:rsidRPr="007923C2">
        <w:rPr>
          <w:rFonts w:ascii="Arial" w:hAnsi="Arial" w:cs="Arial"/>
          <w:sz w:val="22"/>
          <w:szCs w:val="22"/>
        </w:rPr>
        <w:t>La Dirección de Docencia señala las siguientes líneas estratégicas</w:t>
      </w:r>
    </w:p>
    <w:p w14:paraId="4AA218FC" w14:textId="77777777" w:rsidR="00842F97" w:rsidRPr="007923C2" w:rsidRDefault="00842F97" w:rsidP="00A60C78">
      <w:pPr>
        <w:widowControl w:val="0"/>
        <w:numPr>
          <w:ilvl w:val="0"/>
          <w:numId w:val="75"/>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Evaluación y mejoramiento de los procesos educativos</w:t>
      </w:r>
    </w:p>
    <w:p w14:paraId="47A54BCC" w14:textId="77777777" w:rsidR="00842F97" w:rsidRPr="007923C2" w:rsidRDefault="00842F97" w:rsidP="00A60C78">
      <w:pPr>
        <w:widowControl w:val="0"/>
        <w:numPr>
          <w:ilvl w:val="0"/>
          <w:numId w:val="76"/>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Acreditación de programas de licenciatura y postgrado</w:t>
      </w:r>
    </w:p>
    <w:p w14:paraId="2B599931" w14:textId="77777777" w:rsidR="00842F97" w:rsidRPr="007923C2" w:rsidRDefault="00842F97" w:rsidP="00A60C78">
      <w:pPr>
        <w:widowControl w:val="0"/>
        <w:numPr>
          <w:ilvl w:val="0"/>
          <w:numId w:val="77"/>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Diversificación de la oferta educativa</w:t>
      </w:r>
    </w:p>
    <w:p w14:paraId="2756BC9A" w14:textId="77777777" w:rsidR="00842F97" w:rsidRPr="007923C2" w:rsidRDefault="00842F97" w:rsidP="00A60C78">
      <w:pPr>
        <w:widowControl w:val="0"/>
        <w:numPr>
          <w:ilvl w:val="0"/>
          <w:numId w:val="78"/>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Ampliación de la cobertura</w:t>
      </w:r>
    </w:p>
    <w:p w14:paraId="458E2494" w14:textId="77777777" w:rsidR="00842F97" w:rsidRPr="007923C2" w:rsidRDefault="00842F97" w:rsidP="00A60C78">
      <w:pPr>
        <w:widowControl w:val="0"/>
        <w:numPr>
          <w:ilvl w:val="0"/>
          <w:numId w:val="79"/>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Establecimiento de un programa de calidad académica y vanguardia educativa</w:t>
      </w:r>
    </w:p>
    <w:p w14:paraId="791E2A4A" w14:textId="77777777" w:rsidR="00842F97" w:rsidRPr="007923C2" w:rsidRDefault="00842F97" w:rsidP="00842F9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Recursos necesarios para la implementación del plan de desarrollo.</w:t>
      </w:r>
    </w:p>
    <w:p w14:paraId="154941A3" w14:textId="77777777" w:rsidR="00842F97" w:rsidRPr="007923C2" w:rsidRDefault="00842F97" w:rsidP="00842F97">
      <w:pPr>
        <w:widowControl w:val="0"/>
        <w:autoSpaceDE w:val="0"/>
        <w:autoSpaceDN w:val="0"/>
        <w:adjustRightInd w:val="0"/>
        <w:jc w:val="both"/>
        <w:rPr>
          <w:rFonts w:ascii="Arial" w:hAnsi="Arial" w:cs="Arial"/>
          <w:sz w:val="22"/>
          <w:szCs w:val="22"/>
        </w:rPr>
      </w:pPr>
      <w:r w:rsidRPr="007923C2">
        <w:rPr>
          <w:rFonts w:ascii="Arial" w:hAnsi="Arial" w:cs="Arial"/>
          <w:sz w:val="22"/>
          <w:szCs w:val="22"/>
        </w:rPr>
        <w:t>Ya se tiene definida cual es la misión de la carrera de Agrobiología y a través de haber hecho un análisis autoevaluativo de lo que se ha desarrollado hasta la fecha en el programa, se ha llegado a la conclusión de que se tiene una serie de deficiencias que se convierten en debilidades que se deben corregir para</w:t>
      </w:r>
      <w:r w:rsidR="00F62C86" w:rsidRPr="007923C2">
        <w:rPr>
          <w:rFonts w:ascii="Arial" w:hAnsi="Arial" w:cs="Arial"/>
          <w:sz w:val="22"/>
          <w:szCs w:val="22"/>
        </w:rPr>
        <w:t xml:space="preserve"> que</w:t>
      </w:r>
      <w:r w:rsidRPr="007923C2">
        <w:rPr>
          <w:rFonts w:ascii="Arial" w:hAnsi="Arial" w:cs="Arial"/>
          <w:sz w:val="22"/>
          <w:szCs w:val="22"/>
        </w:rPr>
        <w:t xml:space="preserve"> el proceso enseñanza aprendizaje sea eficiente y llegue a la culminación de un proceso educativo de calidad.</w:t>
      </w:r>
    </w:p>
    <w:p w14:paraId="3667BB4B" w14:textId="77777777" w:rsidR="00842F97" w:rsidRPr="007923C2" w:rsidRDefault="00842F97" w:rsidP="00842F97">
      <w:pPr>
        <w:keepNext/>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DEBILIDADES O DEFICIENCIAS DEL PROGRAMA DE AGROBIOLOGÍA</w:t>
      </w:r>
    </w:p>
    <w:p w14:paraId="4489051C" w14:textId="77777777" w:rsidR="00842F97" w:rsidRPr="007923C2" w:rsidRDefault="00842F97" w:rsidP="00842F97">
      <w:pPr>
        <w:widowControl w:val="0"/>
        <w:autoSpaceDE w:val="0"/>
        <w:autoSpaceDN w:val="0"/>
        <w:adjustRightInd w:val="0"/>
        <w:jc w:val="both"/>
        <w:rPr>
          <w:rFonts w:ascii="Arial" w:hAnsi="Arial" w:cs="Arial"/>
          <w:sz w:val="22"/>
          <w:szCs w:val="22"/>
        </w:rPr>
      </w:pPr>
      <w:r w:rsidRPr="007923C2">
        <w:rPr>
          <w:rFonts w:ascii="Arial" w:hAnsi="Arial" w:cs="Arial"/>
          <w:b/>
          <w:bCs/>
          <w:sz w:val="22"/>
          <w:szCs w:val="22"/>
        </w:rPr>
        <w:t>RECURSOS DEL PROGRAMA</w:t>
      </w:r>
    </w:p>
    <w:p w14:paraId="5795ED58" w14:textId="77777777" w:rsidR="00842F97" w:rsidRPr="00171730" w:rsidRDefault="00842F97" w:rsidP="00842F97">
      <w:pPr>
        <w:widowControl w:val="0"/>
        <w:autoSpaceDE w:val="0"/>
        <w:autoSpaceDN w:val="0"/>
        <w:adjustRightInd w:val="0"/>
        <w:jc w:val="both"/>
        <w:rPr>
          <w:rFonts w:ascii="Arial" w:hAnsi="Arial" w:cs="Arial"/>
          <w:b/>
          <w:sz w:val="22"/>
          <w:szCs w:val="22"/>
        </w:rPr>
      </w:pPr>
      <w:r w:rsidRPr="00171730">
        <w:rPr>
          <w:rFonts w:ascii="Arial" w:hAnsi="Arial" w:cs="Arial"/>
          <w:b/>
          <w:sz w:val="22"/>
          <w:szCs w:val="22"/>
        </w:rPr>
        <w:t>1.- Recursos Humanos</w:t>
      </w:r>
    </w:p>
    <w:p w14:paraId="2DBF3192" w14:textId="77777777" w:rsidR="00842F97" w:rsidRPr="007923C2" w:rsidRDefault="00842F97" w:rsidP="00A60C78">
      <w:pPr>
        <w:widowControl w:val="0"/>
        <w:numPr>
          <w:ilvl w:val="0"/>
          <w:numId w:val="80"/>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Algunos profesores con poca motivación para actualizarse o capacitarse.</w:t>
      </w:r>
    </w:p>
    <w:p w14:paraId="1ADD7765" w14:textId="77777777" w:rsidR="00842F97" w:rsidRPr="007923C2" w:rsidRDefault="00F62C86" w:rsidP="00A60C78">
      <w:pPr>
        <w:widowControl w:val="0"/>
        <w:numPr>
          <w:ilvl w:val="0"/>
          <w:numId w:val="81"/>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Moderada</w:t>
      </w:r>
      <w:r w:rsidR="00842F97" w:rsidRPr="007923C2">
        <w:rPr>
          <w:rFonts w:ascii="Arial" w:hAnsi="Arial" w:cs="Arial"/>
          <w:sz w:val="22"/>
          <w:szCs w:val="22"/>
        </w:rPr>
        <w:t xml:space="preserve"> participación de los profesores en las tutorías.</w:t>
      </w:r>
    </w:p>
    <w:p w14:paraId="3D3A30DD" w14:textId="77777777" w:rsidR="00842F97" w:rsidRPr="007923C2" w:rsidRDefault="00842F97" w:rsidP="00A60C78">
      <w:pPr>
        <w:widowControl w:val="0"/>
        <w:numPr>
          <w:ilvl w:val="0"/>
          <w:numId w:val="82"/>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Falta del dominio de otro idioma</w:t>
      </w:r>
    </w:p>
    <w:p w14:paraId="7C715996" w14:textId="77777777" w:rsidR="00842F97" w:rsidRPr="007923C2" w:rsidRDefault="00842F97" w:rsidP="00A60C78">
      <w:pPr>
        <w:widowControl w:val="0"/>
        <w:numPr>
          <w:ilvl w:val="0"/>
          <w:numId w:val="83"/>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Poca comunicación con los maestros de otros departamentos que apoyan la carrera.</w:t>
      </w:r>
    </w:p>
    <w:p w14:paraId="2386BE63" w14:textId="77777777" w:rsidR="00842F97" w:rsidRPr="007923C2" w:rsidRDefault="00842F97" w:rsidP="00A60C78">
      <w:pPr>
        <w:widowControl w:val="0"/>
        <w:numPr>
          <w:ilvl w:val="0"/>
          <w:numId w:val="84"/>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Proceso deficiente en la selección de alumnos de nuevo ingreso.</w:t>
      </w:r>
    </w:p>
    <w:p w14:paraId="0342AF37" w14:textId="77777777" w:rsidR="00842F97" w:rsidRPr="00171730" w:rsidRDefault="00842F97" w:rsidP="00842F97">
      <w:pPr>
        <w:widowControl w:val="0"/>
        <w:autoSpaceDE w:val="0"/>
        <w:autoSpaceDN w:val="0"/>
        <w:adjustRightInd w:val="0"/>
        <w:jc w:val="both"/>
        <w:rPr>
          <w:rFonts w:ascii="Arial" w:hAnsi="Arial" w:cs="Arial"/>
          <w:b/>
          <w:sz w:val="22"/>
          <w:szCs w:val="22"/>
        </w:rPr>
      </w:pPr>
      <w:r w:rsidRPr="00171730">
        <w:rPr>
          <w:rFonts w:ascii="Arial" w:hAnsi="Arial" w:cs="Arial"/>
          <w:b/>
          <w:sz w:val="22"/>
          <w:szCs w:val="22"/>
        </w:rPr>
        <w:t>2.- Recursos financieros</w:t>
      </w:r>
    </w:p>
    <w:p w14:paraId="30487CE4" w14:textId="77777777" w:rsidR="00842F97" w:rsidRPr="007923C2" w:rsidRDefault="00842F97" w:rsidP="00A60C78">
      <w:pPr>
        <w:widowControl w:val="0"/>
        <w:numPr>
          <w:ilvl w:val="0"/>
          <w:numId w:val="85"/>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 xml:space="preserve">Presupuesto </w:t>
      </w:r>
      <w:r w:rsidR="00F62C86" w:rsidRPr="007923C2">
        <w:rPr>
          <w:rFonts w:ascii="Arial" w:hAnsi="Arial" w:cs="Arial"/>
          <w:sz w:val="22"/>
          <w:szCs w:val="22"/>
        </w:rPr>
        <w:t>no suficiente</w:t>
      </w:r>
    </w:p>
    <w:p w14:paraId="67EBFB3D" w14:textId="77777777" w:rsidR="00842F97" w:rsidRPr="007923C2" w:rsidRDefault="00842F97" w:rsidP="00A60C78">
      <w:pPr>
        <w:widowControl w:val="0"/>
        <w:numPr>
          <w:ilvl w:val="0"/>
          <w:numId w:val="86"/>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 xml:space="preserve">Recursos para mejoramiento </w:t>
      </w:r>
      <w:r w:rsidR="00F62C86" w:rsidRPr="007923C2">
        <w:rPr>
          <w:rFonts w:ascii="Arial" w:hAnsi="Arial" w:cs="Arial"/>
          <w:sz w:val="22"/>
          <w:szCs w:val="22"/>
        </w:rPr>
        <w:t xml:space="preserve"> de laboratorios e infraestructura </w:t>
      </w:r>
      <w:r w:rsidRPr="007923C2">
        <w:rPr>
          <w:rFonts w:ascii="Arial" w:hAnsi="Arial" w:cs="Arial"/>
          <w:sz w:val="22"/>
          <w:szCs w:val="22"/>
        </w:rPr>
        <w:t>que no depende</w:t>
      </w:r>
      <w:r w:rsidR="00F62C86" w:rsidRPr="007923C2">
        <w:rPr>
          <w:rFonts w:ascii="Arial" w:hAnsi="Arial" w:cs="Arial"/>
          <w:sz w:val="22"/>
          <w:szCs w:val="22"/>
        </w:rPr>
        <w:t>n</w:t>
      </w:r>
      <w:r w:rsidRPr="007923C2">
        <w:rPr>
          <w:rFonts w:ascii="Arial" w:hAnsi="Arial" w:cs="Arial"/>
          <w:sz w:val="22"/>
          <w:szCs w:val="22"/>
        </w:rPr>
        <w:t xml:space="preserve"> de</w:t>
      </w:r>
      <w:r w:rsidR="00F62C86" w:rsidRPr="007923C2">
        <w:rPr>
          <w:rFonts w:ascii="Arial" w:hAnsi="Arial" w:cs="Arial"/>
          <w:sz w:val="22"/>
          <w:szCs w:val="22"/>
        </w:rPr>
        <w:t>l</w:t>
      </w:r>
      <w:r w:rsidRPr="007923C2">
        <w:rPr>
          <w:rFonts w:ascii="Arial" w:hAnsi="Arial" w:cs="Arial"/>
          <w:sz w:val="22"/>
          <w:szCs w:val="22"/>
        </w:rPr>
        <w:t xml:space="preserve"> programa</w:t>
      </w:r>
    </w:p>
    <w:p w14:paraId="63123DC8" w14:textId="77777777" w:rsidR="00842F97" w:rsidRPr="00171730" w:rsidRDefault="00842F97" w:rsidP="00842F97">
      <w:pPr>
        <w:widowControl w:val="0"/>
        <w:autoSpaceDE w:val="0"/>
        <w:autoSpaceDN w:val="0"/>
        <w:adjustRightInd w:val="0"/>
        <w:jc w:val="both"/>
        <w:rPr>
          <w:rFonts w:ascii="Arial" w:hAnsi="Arial" w:cs="Arial"/>
          <w:b/>
          <w:sz w:val="22"/>
          <w:szCs w:val="22"/>
        </w:rPr>
      </w:pPr>
      <w:r w:rsidRPr="00171730">
        <w:rPr>
          <w:rFonts w:ascii="Arial" w:hAnsi="Arial" w:cs="Arial"/>
          <w:b/>
          <w:sz w:val="22"/>
          <w:szCs w:val="22"/>
        </w:rPr>
        <w:t>3.- Recursos técnicos o físicos</w:t>
      </w:r>
    </w:p>
    <w:p w14:paraId="4DD90DB4" w14:textId="77777777" w:rsidR="00842F97" w:rsidRPr="007923C2" w:rsidRDefault="00842F97" w:rsidP="00A60C78">
      <w:pPr>
        <w:widowControl w:val="0"/>
        <w:numPr>
          <w:ilvl w:val="0"/>
          <w:numId w:val="87"/>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Equipamiento e infraestructura deficiente solo lo indispensable</w:t>
      </w:r>
    </w:p>
    <w:p w14:paraId="1AEF8963" w14:textId="77777777" w:rsidR="00842F97" w:rsidRPr="00171730" w:rsidRDefault="00842F97" w:rsidP="00842F97">
      <w:pPr>
        <w:widowControl w:val="0"/>
        <w:autoSpaceDE w:val="0"/>
        <w:autoSpaceDN w:val="0"/>
        <w:adjustRightInd w:val="0"/>
        <w:jc w:val="both"/>
        <w:rPr>
          <w:rFonts w:ascii="Arial" w:hAnsi="Arial" w:cs="Arial"/>
          <w:b/>
          <w:sz w:val="22"/>
          <w:szCs w:val="22"/>
        </w:rPr>
      </w:pPr>
      <w:r w:rsidRPr="00171730">
        <w:rPr>
          <w:rFonts w:ascii="Arial" w:hAnsi="Arial" w:cs="Arial"/>
          <w:b/>
          <w:sz w:val="22"/>
          <w:szCs w:val="22"/>
        </w:rPr>
        <w:t>4.- Plan de estudios</w:t>
      </w:r>
    </w:p>
    <w:p w14:paraId="72764A04" w14:textId="77777777" w:rsidR="00842F97" w:rsidRPr="007923C2" w:rsidRDefault="00842F97" w:rsidP="00A60C78">
      <w:pPr>
        <w:widowControl w:val="0"/>
        <w:numPr>
          <w:ilvl w:val="0"/>
          <w:numId w:val="88"/>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Plan curricular muy flexible que a veces encamina al alumno a no fortalecer sus conocimientos agronómicos</w:t>
      </w:r>
    </w:p>
    <w:p w14:paraId="3F027E5A" w14:textId="77777777" w:rsidR="00842F97" w:rsidRPr="007923C2" w:rsidRDefault="00842F97" w:rsidP="00A60C78">
      <w:pPr>
        <w:widowControl w:val="0"/>
        <w:numPr>
          <w:ilvl w:val="0"/>
          <w:numId w:val="89"/>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lastRenderedPageBreak/>
        <w:t>Carencia de un programa de formación docente.</w:t>
      </w:r>
    </w:p>
    <w:p w14:paraId="5DB6291F" w14:textId="77777777" w:rsidR="00842F97" w:rsidRPr="007923C2" w:rsidRDefault="00842F97" w:rsidP="00A60C78">
      <w:pPr>
        <w:widowControl w:val="0"/>
        <w:numPr>
          <w:ilvl w:val="0"/>
          <w:numId w:val="90"/>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Falta de planeación diaria de las actividades docentes.</w:t>
      </w:r>
    </w:p>
    <w:p w14:paraId="30546FB7" w14:textId="77777777" w:rsidR="00842F97" w:rsidRPr="007923C2" w:rsidRDefault="00842F97" w:rsidP="00A60C78">
      <w:pPr>
        <w:widowControl w:val="0"/>
        <w:numPr>
          <w:ilvl w:val="0"/>
          <w:numId w:val="91"/>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Algunos materias repetitivas</w:t>
      </w:r>
    </w:p>
    <w:p w14:paraId="324E9713" w14:textId="77777777" w:rsidR="00842F97" w:rsidRPr="007923C2" w:rsidRDefault="00842F97" w:rsidP="00A60C78">
      <w:pPr>
        <w:widowControl w:val="0"/>
        <w:numPr>
          <w:ilvl w:val="0"/>
          <w:numId w:val="92"/>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Programa de educación continua deficiente.</w:t>
      </w:r>
    </w:p>
    <w:p w14:paraId="0C067458" w14:textId="77777777" w:rsidR="00842F97" w:rsidRPr="007923C2" w:rsidRDefault="00842F97" w:rsidP="00842F97">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Derivado de las deficiencias del programa se han diseñado unas líneas de estrategia,  (Líneas estratégicas del programa de Ing. Agrobiología). </w:t>
      </w:r>
    </w:p>
    <w:p w14:paraId="6EAA0F89" w14:textId="77777777" w:rsidR="00842F97" w:rsidRPr="007923C2" w:rsidRDefault="00842F97" w:rsidP="00842F97">
      <w:pPr>
        <w:widowControl w:val="0"/>
        <w:autoSpaceDE w:val="0"/>
        <w:autoSpaceDN w:val="0"/>
        <w:adjustRightInd w:val="0"/>
        <w:rPr>
          <w:rFonts w:ascii="Arial" w:hAnsi="Arial" w:cs="Arial"/>
          <w:sz w:val="22"/>
          <w:szCs w:val="22"/>
        </w:rPr>
      </w:pPr>
    </w:p>
    <w:p w14:paraId="0D22E41F" w14:textId="77777777" w:rsidR="00842F97" w:rsidRPr="007923C2" w:rsidRDefault="00842F97" w:rsidP="00842F97">
      <w:pPr>
        <w:keepNext/>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Líneas Estratégicas del programa de Ingeniero en Agrobiología</w:t>
      </w:r>
    </w:p>
    <w:p w14:paraId="0E963BBA" w14:textId="77777777" w:rsidR="00842F97" w:rsidRPr="007923C2" w:rsidRDefault="00842F97" w:rsidP="00842F9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1. Planta Académica</w:t>
      </w:r>
    </w:p>
    <w:p w14:paraId="347E0678" w14:textId="77777777" w:rsidR="00842F97" w:rsidRPr="007923C2" w:rsidRDefault="00842F97" w:rsidP="00842F97">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Estrategia</w:t>
      </w:r>
    </w:p>
    <w:p w14:paraId="61CAF066" w14:textId="77777777" w:rsidR="00842F97" w:rsidRPr="007923C2" w:rsidRDefault="00842F97" w:rsidP="00A60C78">
      <w:pPr>
        <w:widowControl w:val="0"/>
        <w:numPr>
          <w:ilvl w:val="0"/>
          <w:numId w:val="93"/>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Elaborar un plan de formación</w:t>
      </w:r>
      <w:r w:rsidR="005F059D" w:rsidRPr="007923C2">
        <w:rPr>
          <w:rFonts w:ascii="Arial" w:hAnsi="Arial" w:cs="Arial"/>
          <w:bCs/>
          <w:sz w:val="22"/>
          <w:szCs w:val="22"/>
        </w:rPr>
        <w:t xml:space="preserve"> y actualización</w:t>
      </w:r>
      <w:r w:rsidRPr="007923C2">
        <w:rPr>
          <w:rFonts w:ascii="Arial" w:hAnsi="Arial" w:cs="Arial"/>
          <w:bCs/>
          <w:sz w:val="22"/>
          <w:szCs w:val="22"/>
        </w:rPr>
        <w:t xml:space="preserve"> de profesores para el programa de Agrobiología.</w:t>
      </w:r>
    </w:p>
    <w:p w14:paraId="41756BD8" w14:textId="77777777" w:rsidR="00842F97" w:rsidRPr="007923C2" w:rsidRDefault="00842F97" w:rsidP="00A60C78">
      <w:pPr>
        <w:widowControl w:val="0"/>
        <w:numPr>
          <w:ilvl w:val="0"/>
          <w:numId w:val="94"/>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 xml:space="preserve">Involucrar más a la academia del Programa docente en el </w:t>
      </w:r>
      <w:r w:rsidR="00752367" w:rsidRPr="007923C2">
        <w:rPr>
          <w:rFonts w:ascii="Arial" w:hAnsi="Arial" w:cs="Arial"/>
          <w:bCs/>
          <w:sz w:val="22"/>
          <w:szCs w:val="22"/>
        </w:rPr>
        <w:t>proceso de Mejora Continua</w:t>
      </w:r>
      <w:r w:rsidRPr="007923C2">
        <w:rPr>
          <w:rFonts w:ascii="Arial" w:hAnsi="Arial" w:cs="Arial"/>
          <w:bCs/>
          <w:sz w:val="22"/>
          <w:szCs w:val="22"/>
        </w:rPr>
        <w:t xml:space="preserve"> de la carrera.</w:t>
      </w:r>
    </w:p>
    <w:p w14:paraId="50B721CC" w14:textId="77777777" w:rsidR="00842F97" w:rsidRPr="007923C2" w:rsidRDefault="00842F97" w:rsidP="00A60C78">
      <w:pPr>
        <w:widowControl w:val="0"/>
        <w:numPr>
          <w:ilvl w:val="0"/>
          <w:numId w:val="95"/>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Establecer un programa de educación continua en el cual se integren los conocimientos  de los docentes para la transferencia de tecnología.</w:t>
      </w:r>
    </w:p>
    <w:p w14:paraId="1C987145" w14:textId="77777777" w:rsidR="00842F97" w:rsidRPr="007923C2" w:rsidRDefault="00842F97" w:rsidP="00A60C78">
      <w:pPr>
        <w:widowControl w:val="0"/>
        <w:numPr>
          <w:ilvl w:val="0"/>
          <w:numId w:val="96"/>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Integrar en una academia interdisciplinaria a los profesores de otros departamentos que apoyen al programa de Agrobiología.</w:t>
      </w:r>
    </w:p>
    <w:p w14:paraId="1F3E1599" w14:textId="77777777" w:rsidR="00842F97" w:rsidRPr="007923C2" w:rsidRDefault="00842F97" w:rsidP="00842F9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2. Alumnos</w:t>
      </w:r>
    </w:p>
    <w:p w14:paraId="2BCF4488" w14:textId="77777777" w:rsidR="00842F97" w:rsidRPr="007923C2" w:rsidRDefault="00842F97" w:rsidP="00842F97">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Estrategias</w:t>
      </w:r>
    </w:p>
    <w:p w14:paraId="4984E6DA" w14:textId="77777777" w:rsidR="00842F97" w:rsidRPr="007923C2" w:rsidRDefault="00842F97" w:rsidP="00A60C78">
      <w:pPr>
        <w:widowControl w:val="0"/>
        <w:numPr>
          <w:ilvl w:val="0"/>
          <w:numId w:val="97"/>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Integrar a los alumnos en proyectos productivos que les den experiencia.</w:t>
      </w:r>
    </w:p>
    <w:p w14:paraId="0A99240C" w14:textId="77777777" w:rsidR="00842F97" w:rsidRPr="007923C2" w:rsidRDefault="00842F97" w:rsidP="00A60C78">
      <w:pPr>
        <w:widowControl w:val="0"/>
        <w:numPr>
          <w:ilvl w:val="0"/>
          <w:numId w:val="98"/>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Motivar al alumno a que valore las tutorías para la solución de sus problemas académicos.</w:t>
      </w:r>
    </w:p>
    <w:p w14:paraId="30089496" w14:textId="77777777" w:rsidR="00842F97" w:rsidRPr="007923C2" w:rsidRDefault="00842F97" w:rsidP="00A60C78">
      <w:pPr>
        <w:widowControl w:val="0"/>
        <w:numPr>
          <w:ilvl w:val="0"/>
          <w:numId w:val="99"/>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Orientar al alumno a que realice su preparación profesional de una manera adecuada.</w:t>
      </w:r>
    </w:p>
    <w:p w14:paraId="5439091F" w14:textId="77777777" w:rsidR="00842F97" w:rsidRPr="007923C2" w:rsidRDefault="00842F97" w:rsidP="00A60C78">
      <w:pPr>
        <w:widowControl w:val="0"/>
        <w:numPr>
          <w:ilvl w:val="0"/>
          <w:numId w:val="100"/>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Hacer del alumno un elemento más participativo en el mejoramiento de la carrera y de su preparación profesional.</w:t>
      </w:r>
    </w:p>
    <w:p w14:paraId="2B1FC0CE" w14:textId="77777777" w:rsidR="00842F97" w:rsidRPr="007923C2" w:rsidRDefault="00842F97" w:rsidP="00842F9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3. Infraestructura</w:t>
      </w:r>
    </w:p>
    <w:p w14:paraId="7C3470CE" w14:textId="77777777" w:rsidR="00842F97" w:rsidRPr="007923C2" w:rsidRDefault="00842F97" w:rsidP="00842F97">
      <w:pPr>
        <w:keepNext/>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Estrategias</w:t>
      </w:r>
    </w:p>
    <w:p w14:paraId="02D8841A" w14:textId="77777777" w:rsidR="00842F97" w:rsidRPr="007923C2" w:rsidRDefault="00842F97" w:rsidP="00A60C78">
      <w:pPr>
        <w:widowControl w:val="0"/>
        <w:numPr>
          <w:ilvl w:val="0"/>
          <w:numId w:val="101"/>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Modernizar el equipo actual a través de la realización de proyectos de investigación y desarrollo apoyados por organizaciones externas.</w:t>
      </w:r>
    </w:p>
    <w:p w14:paraId="47509743" w14:textId="77777777" w:rsidR="00842F97" w:rsidRPr="007923C2" w:rsidRDefault="00842F97" w:rsidP="00A60C78">
      <w:pPr>
        <w:widowControl w:val="0"/>
        <w:numPr>
          <w:ilvl w:val="0"/>
          <w:numId w:val="102"/>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Establecer un programa de gestión para adquirir donaciones de equipo.</w:t>
      </w:r>
    </w:p>
    <w:p w14:paraId="79C7B98F" w14:textId="77777777" w:rsidR="00842F97" w:rsidRPr="007923C2" w:rsidRDefault="00842F97" w:rsidP="00842F9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 Currículo</w:t>
      </w:r>
    </w:p>
    <w:p w14:paraId="7E269A15" w14:textId="77777777" w:rsidR="00842F97" w:rsidRPr="007923C2" w:rsidRDefault="00842F97" w:rsidP="00842F97">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lastRenderedPageBreak/>
        <w:t>Estrategias</w:t>
      </w:r>
    </w:p>
    <w:p w14:paraId="29F210A4" w14:textId="77777777" w:rsidR="00842F97" w:rsidRPr="007923C2" w:rsidRDefault="00842F97" w:rsidP="00A60C78">
      <w:pPr>
        <w:widowControl w:val="0"/>
        <w:numPr>
          <w:ilvl w:val="0"/>
          <w:numId w:val="103"/>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Hacer una revisión del plan curricular vigente que integre 5</w:t>
      </w:r>
      <w:r w:rsidR="005F059D" w:rsidRPr="007923C2">
        <w:rPr>
          <w:rFonts w:ascii="Arial" w:hAnsi="Arial" w:cs="Arial"/>
          <w:bCs/>
          <w:sz w:val="22"/>
          <w:szCs w:val="22"/>
        </w:rPr>
        <w:t>6</w:t>
      </w:r>
      <w:r w:rsidRPr="007923C2">
        <w:rPr>
          <w:rFonts w:ascii="Arial" w:hAnsi="Arial" w:cs="Arial"/>
          <w:bCs/>
          <w:sz w:val="22"/>
          <w:szCs w:val="22"/>
        </w:rPr>
        <w:t xml:space="preserve"> materias balanceando las materias más importantes implicadas en la formación del perfil profesional del Agrobiólogo.</w:t>
      </w:r>
    </w:p>
    <w:p w14:paraId="4675248A" w14:textId="77777777" w:rsidR="00842F97" w:rsidRPr="007923C2" w:rsidRDefault="00842F97" w:rsidP="00A60C78">
      <w:pPr>
        <w:widowControl w:val="0"/>
        <w:numPr>
          <w:ilvl w:val="0"/>
          <w:numId w:val="104"/>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Hacer una revisión de los programas actualizándolos y adecuándolos para que cumplan con la misión de la carrera.</w:t>
      </w:r>
    </w:p>
    <w:p w14:paraId="1707AE7B" w14:textId="77777777" w:rsidR="00842F97" w:rsidRPr="007923C2" w:rsidRDefault="00842F97" w:rsidP="00A60C78">
      <w:pPr>
        <w:widowControl w:val="0"/>
        <w:numPr>
          <w:ilvl w:val="0"/>
          <w:numId w:val="105"/>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Implementar las academias interdisciplinarias para tener una formación actualizada del proceso enseñanza aprendizaje que desarrollan los maestros responsables de las materias.</w:t>
      </w:r>
    </w:p>
    <w:p w14:paraId="1CBD7130" w14:textId="77777777" w:rsidR="00842F97" w:rsidRPr="007923C2" w:rsidRDefault="00842F97" w:rsidP="00842F97">
      <w:pPr>
        <w:widowControl w:val="0"/>
        <w:autoSpaceDE w:val="0"/>
        <w:autoSpaceDN w:val="0"/>
        <w:adjustRightInd w:val="0"/>
        <w:jc w:val="both"/>
        <w:rPr>
          <w:rFonts w:ascii="Arial" w:hAnsi="Arial" w:cs="Arial"/>
          <w:bCs/>
          <w:sz w:val="22"/>
          <w:szCs w:val="22"/>
        </w:rPr>
      </w:pPr>
    </w:p>
    <w:p w14:paraId="2AAC0360" w14:textId="77777777" w:rsidR="00842F97" w:rsidRPr="007923C2" w:rsidRDefault="00842F97" w:rsidP="00B13F84">
      <w:pPr>
        <w:widowControl w:val="0"/>
        <w:autoSpaceDE w:val="0"/>
        <w:autoSpaceDN w:val="0"/>
        <w:adjustRightInd w:val="0"/>
        <w:rPr>
          <w:rFonts w:ascii="Arial" w:hAnsi="Arial" w:cs="Arial"/>
          <w:b/>
          <w:bCs/>
          <w:sz w:val="22"/>
          <w:szCs w:val="22"/>
        </w:rPr>
      </w:pPr>
      <w:r w:rsidRPr="007923C2">
        <w:rPr>
          <w:rFonts w:ascii="Arial" w:hAnsi="Arial" w:cs="Arial"/>
          <w:b/>
          <w:bCs/>
          <w:sz w:val="22"/>
          <w:szCs w:val="22"/>
        </w:rPr>
        <w:t>FASE DE  EJECUCIÓN, EVALUACIÓN Y CONTROL DE LAS LÍNEAS DE ESTRATEGIAS PARA EL  MEJORAMIENTO DEL PROGRAMA DE AGROBIOLOGÍA</w:t>
      </w:r>
    </w:p>
    <w:p w14:paraId="240A318C" w14:textId="77777777" w:rsidR="00842F97" w:rsidRPr="007923C2" w:rsidRDefault="00D51A91" w:rsidP="00842F97">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ESTRATEGIAS Y ACTIVIDADES</w:t>
      </w:r>
    </w:p>
    <w:tbl>
      <w:tblPr>
        <w:tblW w:w="10411" w:type="dxa"/>
        <w:tblInd w:w="-8" w:type="dxa"/>
        <w:tblLayout w:type="fixed"/>
        <w:tblCellMar>
          <w:left w:w="70" w:type="dxa"/>
          <w:right w:w="70" w:type="dxa"/>
        </w:tblCellMar>
        <w:tblLook w:val="0000" w:firstRow="0" w:lastRow="0" w:firstColumn="0" w:lastColumn="0" w:noHBand="0" w:noVBand="0"/>
      </w:tblPr>
      <w:tblGrid>
        <w:gridCol w:w="5423"/>
        <w:gridCol w:w="1565"/>
        <w:gridCol w:w="1826"/>
        <w:gridCol w:w="1597"/>
      </w:tblGrid>
      <w:tr w:rsidR="00842F97" w:rsidRPr="00030011" w14:paraId="37A0AC16" w14:textId="77777777" w:rsidTr="00617B10">
        <w:trPr>
          <w:trHeight w:val="511"/>
        </w:trPr>
        <w:tc>
          <w:tcPr>
            <w:tcW w:w="5423" w:type="dxa"/>
            <w:tcBorders>
              <w:top w:val="single" w:sz="6" w:space="0" w:color="auto"/>
              <w:left w:val="single" w:sz="6" w:space="0" w:color="auto"/>
              <w:bottom w:val="single" w:sz="6" w:space="0" w:color="auto"/>
              <w:right w:val="single" w:sz="6" w:space="0" w:color="auto"/>
            </w:tcBorders>
          </w:tcPr>
          <w:p w14:paraId="361BA020" w14:textId="77777777" w:rsidR="00842F97" w:rsidRPr="00030011" w:rsidRDefault="00842F97" w:rsidP="00E163F5">
            <w:pPr>
              <w:widowControl w:val="0"/>
              <w:tabs>
                <w:tab w:val="right" w:pos="2028"/>
              </w:tabs>
              <w:autoSpaceDE w:val="0"/>
              <w:autoSpaceDN w:val="0"/>
              <w:adjustRightInd w:val="0"/>
              <w:jc w:val="both"/>
              <w:rPr>
                <w:rFonts w:ascii="Arial" w:hAnsi="Arial" w:cs="Arial"/>
                <w:b/>
                <w:bCs/>
                <w:sz w:val="18"/>
                <w:szCs w:val="18"/>
              </w:rPr>
            </w:pPr>
            <w:r w:rsidRPr="00030011">
              <w:rPr>
                <w:rFonts w:ascii="Arial" w:hAnsi="Arial" w:cs="Arial"/>
                <w:b/>
                <w:bCs/>
                <w:sz w:val="18"/>
                <w:szCs w:val="18"/>
              </w:rPr>
              <w:t>Actividades</w:t>
            </w:r>
            <w:r w:rsidRPr="00030011">
              <w:rPr>
                <w:rFonts w:ascii="Arial" w:hAnsi="Arial" w:cs="Arial"/>
                <w:b/>
                <w:bCs/>
                <w:sz w:val="18"/>
                <w:szCs w:val="18"/>
              </w:rPr>
              <w:tab/>
            </w:r>
          </w:p>
        </w:tc>
        <w:tc>
          <w:tcPr>
            <w:tcW w:w="1565" w:type="dxa"/>
            <w:tcBorders>
              <w:top w:val="single" w:sz="6" w:space="0" w:color="auto"/>
              <w:left w:val="single" w:sz="6" w:space="0" w:color="auto"/>
              <w:bottom w:val="single" w:sz="6" w:space="0" w:color="auto"/>
              <w:right w:val="single" w:sz="6" w:space="0" w:color="auto"/>
            </w:tcBorders>
          </w:tcPr>
          <w:p w14:paraId="5CDAC46A" w14:textId="77777777" w:rsidR="00842F97" w:rsidRPr="00030011" w:rsidRDefault="00842F97" w:rsidP="00E163F5">
            <w:pPr>
              <w:widowControl w:val="0"/>
              <w:autoSpaceDE w:val="0"/>
              <w:autoSpaceDN w:val="0"/>
              <w:adjustRightInd w:val="0"/>
              <w:jc w:val="both"/>
              <w:rPr>
                <w:rFonts w:ascii="Arial" w:hAnsi="Arial" w:cs="Arial"/>
                <w:b/>
                <w:bCs/>
                <w:sz w:val="18"/>
                <w:szCs w:val="18"/>
              </w:rPr>
            </w:pPr>
            <w:r w:rsidRPr="00030011">
              <w:rPr>
                <w:rFonts w:ascii="Arial" w:hAnsi="Arial" w:cs="Arial"/>
                <w:b/>
                <w:bCs/>
                <w:sz w:val="18"/>
                <w:szCs w:val="18"/>
              </w:rPr>
              <w:t>Corto plazo (1-2 años)</w:t>
            </w:r>
          </w:p>
        </w:tc>
        <w:tc>
          <w:tcPr>
            <w:tcW w:w="1826" w:type="dxa"/>
            <w:tcBorders>
              <w:top w:val="single" w:sz="6" w:space="0" w:color="auto"/>
              <w:left w:val="single" w:sz="6" w:space="0" w:color="auto"/>
              <w:bottom w:val="single" w:sz="6" w:space="0" w:color="auto"/>
              <w:right w:val="single" w:sz="6" w:space="0" w:color="auto"/>
            </w:tcBorders>
          </w:tcPr>
          <w:p w14:paraId="4FADF9B6" w14:textId="77777777" w:rsidR="00842F97" w:rsidRPr="00030011" w:rsidRDefault="00842F97" w:rsidP="00E163F5">
            <w:pPr>
              <w:widowControl w:val="0"/>
              <w:autoSpaceDE w:val="0"/>
              <w:autoSpaceDN w:val="0"/>
              <w:adjustRightInd w:val="0"/>
              <w:jc w:val="both"/>
              <w:rPr>
                <w:rFonts w:ascii="Arial" w:hAnsi="Arial" w:cs="Arial"/>
                <w:b/>
                <w:bCs/>
                <w:sz w:val="18"/>
                <w:szCs w:val="18"/>
              </w:rPr>
            </w:pPr>
            <w:r w:rsidRPr="00030011">
              <w:rPr>
                <w:rFonts w:ascii="Arial" w:hAnsi="Arial" w:cs="Arial"/>
                <w:b/>
                <w:bCs/>
                <w:sz w:val="18"/>
                <w:szCs w:val="18"/>
              </w:rPr>
              <w:t>Mediano plazo (3-5 años)</w:t>
            </w:r>
          </w:p>
        </w:tc>
        <w:tc>
          <w:tcPr>
            <w:tcW w:w="1597" w:type="dxa"/>
            <w:tcBorders>
              <w:top w:val="single" w:sz="6" w:space="0" w:color="auto"/>
              <w:left w:val="single" w:sz="6" w:space="0" w:color="auto"/>
              <w:bottom w:val="single" w:sz="6" w:space="0" w:color="auto"/>
              <w:right w:val="single" w:sz="6" w:space="0" w:color="auto"/>
            </w:tcBorders>
          </w:tcPr>
          <w:p w14:paraId="6051A7D6" w14:textId="77777777" w:rsidR="00842F97" w:rsidRPr="00030011" w:rsidRDefault="00842F97" w:rsidP="00E163F5">
            <w:pPr>
              <w:widowControl w:val="0"/>
              <w:autoSpaceDE w:val="0"/>
              <w:autoSpaceDN w:val="0"/>
              <w:adjustRightInd w:val="0"/>
              <w:jc w:val="both"/>
              <w:rPr>
                <w:rFonts w:ascii="Arial" w:hAnsi="Arial" w:cs="Arial"/>
                <w:b/>
                <w:bCs/>
                <w:sz w:val="18"/>
                <w:szCs w:val="18"/>
              </w:rPr>
            </w:pPr>
            <w:r w:rsidRPr="00030011">
              <w:rPr>
                <w:rFonts w:ascii="Arial" w:hAnsi="Arial" w:cs="Arial"/>
                <w:b/>
                <w:bCs/>
                <w:sz w:val="18"/>
                <w:szCs w:val="18"/>
              </w:rPr>
              <w:t>Largo plazo (+5 años).</w:t>
            </w:r>
          </w:p>
        </w:tc>
      </w:tr>
      <w:tr w:rsidR="00842F97" w:rsidRPr="00030011" w14:paraId="248AAAF8" w14:textId="77777777" w:rsidTr="00617B10">
        <w:trPr>
          <w:trHeight w:val="535"/>
        </w:trPr>
        <w:tc>
          <w:tcPr>
            <w:tcW w:w="5423" w:type="dxa"/>
            <w:tcBorders>
              <w:top w:val="single" w:sz="6" w:space="0" w:color="auto"/>
              <w:left w:val="single" w:sz="6" w:space="0" w:color="auto"/>
              <w:bottom w:val="single" w:sz="6" w:space="0" w:color="auto"/>
              <w:right w:val="single" w:sz="6" w:space="0" w:color="auto"/>
            </w:tcBorders>
          </w:tcPr>
          <w:p w14:paraId="29F69EB0"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-Actualización continua de la planta académica que participa en el programa de Agrobiología</w:t>
            </w:r>
          </w:p>
        </w:tc>
        <w:tc>
          <w:tcPr>
            <w:tcW w:w="1565" w:type="dxa"/>
            <w:tcBorders>
              <w:top w:val="single" w:sz="6" w:space="0" w:color="auto"/>
              <w:left w:val="single" w:sz="6" w:space="0" w:color="auto"/>
              <w:bottom w:val="single" w:sz="6" w:space="0" w:color="auto"/>
              <w:right w:val="single" w:sz="6" w:space="0" w:color="auto"/>
            </w:tcBorders>
          </w:tcPr>
          <w:p w14:paraId="75327F7B"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14:paraId="2D517EB5"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14:paraId="2A76A452"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r>
      <w:tr w:rsidR="00842F97" w:rsidRPr="00030011" w14:paraId="758E05DD" w14:textId="77777777" w:rsidTr="00617B10">
        <w:trPr>
          <w:trHeight w:val="791"/>
        </w:trPr>
        <w:tc>
          <w:tcPr>
            <w:tcW w:w="5423" w:type="dxa"/>
            <w:tcBorders>
              <w:top w:val="single" w:sz="6" w:space="0" w:color="auto"/>
              <w:left w:val="single" w:sz="6" w:space="0" w:color="auto"/>
              <w:bottom w:val="single" w:sz="6" w:space="0" w:color="auto"/>
              <w:right w:val="single" w:sz="6" w:space="0" w:color="auto"/>
            </w:tcBorders>
          </w:tcPr>
          <w:p w14:paraId="76CDA303"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-Definir áreas prioritarias para la formación de profesores del Departamento o futuras contrataciones. .</w:t>
            </w:r>
          </w:p>
        </w:tc>
        <w:tc>
          <w:tcPr>
            <w:tcW w:w="1565" w:type="dxa"/>
            <w:tcBorders>
              <w:top w:val="single" w:sz="6" w:space="0" w:color="auto"/>
              <w:left w:val="single" w:sz="6" w:space="0" w:color="auto"/>
              <w:bottom w:val="single" w:sz="6" w:space="0" w:color="auto"/>
              <w:right w:val="single" w:sz="6" w:space="0" w:color="auto"/>
            </w:tcBorders>
          </w:tcPr>
          <w:p w14:paraId="49F3AFC3"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14:paraId="24AAA77B"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14:paraId="41E7D2C7"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r>
      <w:tr w:rsidR="00842F97" w:rsidRPr="00030011" w14:paraId="4388ACD5" w14:textId="77777777" w:rsidTr="00617B10">
        <w:trPr>
          <w:trHeight w:val="511"/>
        </w:trPr>
        <w:tc>
          <w:tcPr>
            <w:tcW w:w="5423" w:type="dxa"/>
            <w:tcBorders>
              <w:top w:val="single" w:sz="6" w:space="0" w:color="auto"/>
              <w:left w:val="single" w:sz="6" w:space="0" w:color="auto"/>
              <w:bottom w:val="single" w:sz="6" w:space="0" w:color="auto"/>
              <w:right w:val="single" w:sz="6" w:space="0" w:color="auto"/>
            </w:tcBorders>
          </w:tcPr>
          <w:p w14:paraId="6483ECDD"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-Fortalecer la planta académica mediante la contratación de reemplazos.</w:t>
            </w:r>
          </w:p>
        </w:tc>
        <w:tc>
          <w:tcPr>
            <w:tcW w:w="1565" w:type="dxa"/>
            <w:tcBorders>
              <w:top w:val="single" w:sz="6" w:space="0" w:color="auto"/>
              <w:left w:val="single" w:sz="6" w:space="0" w:color="auto"/>
              <w:bottom w:val="single" w:sz="6" w:space="0" w:color="auto"/>
              <w:right w:val="single" w:sz="6" w:space="0" w:color="auto"/>
            </w:tcBorders>
          </w:tcPr>
          <w:p w14:paraId="3422C49C" w14:textId="77777777" w:rsidR="00842F97" w:rsidRPr="00030011" w:rsidRDefault="00842F97" w:rsidP="00E163F5">
            <w:pPr>
              <w:widowControl w:val="0"/>
              <w:autoSpaceDE w:val="0"/>
              <w:autoSpaceDN w:val="0"/>
              <w:adjustRightInd w:val="0"/>
              <w:jc w:val="both"/>
              <w:rPr>
                <w:rFonts w:ascii="Arial" w:hAnsi="Arial" w:cs="Arial"/>
                <w:sz w:val="18"/>
                <w:szCs w:val="18"/>
              </w:rPr>
            </w:pPr>
          </w:p>
        </w:tc>
        <w:tc>
          <w:tcPr>
            <w:tcW w:w="1826" w:type="dxa"/>
            <w:tcBorders>
              <w:top w:val="single" w:sz="6" w:space="0" w:color="auto"/>
              <w:left w:val="single" w:sz="6" w:space="0" w:color="auto"/>
              <w:bottom w:val="single" w:sz="6" w:space="0" w:color="auto"/>
              <w:right w:val="single" w:sz="6" w:space="0" w:color="auto"/>
            </w:tcBorders>
          </w:tcPr>
          <w:p w14:paraId="34DD64D9"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    </w:t>
            </w:r>
          </w:p>
        </w:tc>
        <w:tc>
          <w:tcPr>
            <w:tcW w:w="1597" w:type="dxa"/>
            <w:tcBorders>
              <w:top w:val="single" w:sz="6" w:space="0" w:color="auto"/>
              <w:left w:val="single" w:sz="6" w:space="0" w:color="auto"/>
              <w:bottom w:val="single" w:sz="6" w:space="0" w:color="auto"/>
              <w:right w:val="single" w:sz="6" w:space="0" w:color="auto"/>
            </w:tcBorders>
          </w:tcPr>
          <w:p w14:paraId="2C7299F2"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r>
      <w:tr w:rsidR="00842F97" w:rsidRPr="00030011" w14:paraId="4B5B5BDA" w14:textId="77777777" w:rsidTr="00617B10">
        <w:trPr>
          <w:trHeight w:val="791"/>
        </w:trPr>
        <w:tc>
          <w:tcPr>
            <w:tcW w:w="5423" w:type="dxa"/>
            <w:tcBorders>
              <w:top w:val="single" w:sz="6" w:space="0" w:color="auto"/>
              <w:left w:val="single" w:sz="6" w:space="0" w:color="auto"/>
              <w:bottom w:val="single" w:sz="6" w:space="0" w:color="auto"/>
              <w:right w:val="single" w:sz="6" w:space="0" w:color="auto"/>
            </w:tcBorders>
          </w:tcPr>
          <w:p w14:paraId="6D5B5200"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-Destacar la importancia de desarrollar un proyecto para complementar la experiencia práctica del profesor en beneficio del programa.</w:t>
            </w:r>
          </w:p>
        </w:tc>
        <w:tc>
          <w:tcPr>
            <w:tcW w:w="1565" w:type="dxa"/>
            <w:tcBorders>
              <w:top w:val="single" w:sz="6" w:space="0" w:color="auto"/>
              <w:left w:val="single" w:sz="6" w:space="0" w:color="auto"/>
              <w:bottom w:val="single" w:sz="6" w:space="0" w:color="auto"/>
              <w:right w:val="single" w:sz="6" w:space="0" w:color="auto"/>
            </w:tcBorders>
          </w:tcPr>
          <w:p w14:paraId="6365B60B"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14:paraId="5005C180"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      </w:t>
            </w:r>
          </w:p>
        </w:tc>
        <w:tc>
          <w:tcPr>
            <w:tcW w:w="1597" w:type="dxa"/>
            <w:tcBorders>
              <w:top w:val="single" w:sz="6" w:space="0" w:color="auto"/>
              <w:left w:val="single" w:sz="6" w:space="0" w:color="auto"/>
              <w:bottom w:val="single" w:sz="6" w:space="0" w:color="auto"/>
              <w:right w:val="single" w:sz="6" w:space="0" w:color="auto"/>
            </w:tcBorders>
          </w:tcPr>
          <w:p w14:paraId="07DD2EDC"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r>
      <w:tr w:rsidR="00842F97" w:rsidRPr="00030011" w14:paraId="6840B15B" w14:textId="77777777" w:rsidTr="00617B10">
        <w:trPr>
          <w:trHeight w:val="535"/>
        </w:trPr>
        <w:tc>
          <w:tcPr>
            <w:tcW w:w="5423" w:type="dxa"/>
            <w:tcBorders>
              <w:top w:val="single" w:sz="6" w:space="0" w:color="auto"/>
              <w:left w:val="single" w:sz="6" w:space="0" w:color="auto"/>
              <w:bottom w:val="single" w:sz="6" w:space="0" w:color="auto"/>
              <w:right w:val="single" w:sz="6" w:space="0" w:color="auto"/>
            </w:tcBorders>
          </w:tcPr>
          <w:p w14:paraId="0ADFA14D"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-Establecer e involucrar a profesores y alumnos en programas de educación continua.</w:t>
            </w:r>
          </w:p>
        </w:tc>
        <w:tc>
          <w:tcPr>
            <w:tcW w:w="1565" w:type="dxa"/>
            <w:tcBorders>
              <w:top w:val="single" w:sz="6" w:space="0" w:color="auto"/>
              <w:left w:val="single" w:sz="6" w:space="0" w:color="auto"/>
              <w:bottom w:val="single" w:sz="6" w:space="0" w:color="auto"/>
              <w:right w:val="single" w:sz="6" w:space="0" w:color="auto"/>
            </w:tcBorders>
          </w:tcPr>
          <w:p w14:paraId="403BB80D"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14:paraId="4E10A396"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14:paraId="6F609BAA" w14:textId="77777777" w:rsidR="00842F97" w:rsidRPr="00030011" w:rsidRDefault="00842F97" w:rsidP="00E163F5">
            <w:pPr>
              <w:widowControl w:val="0"/>
              <w:autoSpaceDE w:val="0"/>
              <w:autoSpaceDN w:val="0"/>
              <w:adjustRightInd w:val="0"/>
              <w:jc w:val="both"/>
              <w:rPr>
                <w:rFonts w:ascii="Arial" w:hAnsi="Arial" w:cs="Arial"/>
                <w:sz w:val="18"/>
                <w:szCs w:val="18"/>
              </w:rPr>
            </w:pPr>
          </w:p>
        </w:tc>
      </w:tr>
      <w:tr w:rsidR="00842F97" w:rsidRPr="00030011" w14:paraId="6C4A5537" w14:textId="77777777" w:rsidTr="00617B10">
        <w:trPr>
          <w:trHeight w:val="511"/>
        </w:trPr>
        <w:tc>
          <w:tcPr>
            <w:tcW w:w="5423" w:type="dxa"/>
            <w:tcBorders>
              <w:top w:val="single" w:sz="6" w:space="0" w:color="auto"/>
              <w:left w:val="single" w:sz="6" w:space="0" w:color="auto"/>
              <w:bottom w:val="single" w:sz="6" w:space="0" w:color="auto"/>
              <w:right w:val="single" w:sz="6" w:space="0" w:color="auto"/>
            </w:tcBorders>
          </w:tcPr>
          <w:p w14:paraId="14E0DFC8"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-Interesar a todo el personal en el desarrollo del programa.</w:t>
            </w:r>
          </w:p>
        </w:tc>
        <w:tc>
          <w:tcPr>
            <w:tcW w:w="1565" w:type="dxa"/>
            <w:tcBorders>
              <w:top w:val="single" w:sz="6" w:space="0" w:color="auto"/>
              <w:left w:val="single" w:sz="6" w:space="0" w:color="auto"/>
              <w:bottom w:val="single" w:sz="6" w:space="0" w:color="auto"/>
              <w:right w:val="single" w:sz="6" w:space="0" w:color="auto"/>
            </w:tcBorders>
          </w:tcPr>
          <w:p w14:paraId="11F5A877"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14:paraId="184CA889"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      </w:t>
            </w:r>
          </w:p>
        </w:tc>
        <w:tc>
          <w:tcPr>
            <w:tcW w:w="1597" w:type="dxa"/>
            <w:tcBorders>
              <w:top w:val="single" w:sz="6" w:space="0" w:color="auto"/>
              <w:left w:val="single" w:sz="6" w:space="0" w:color="auto"/>
              <w:bottom w:val="single" w:sz="6" w:space="0" w:color="auto"/>
              <w:right w:val="single" w:sz="6" w:space="0" w:color="auto"/>
            </w:tcBorders>
          </w:tcPr>
          <w:p w14:paraId="4FEA584D" w14:textId="77777777" w:rsidR="00842F97" w:rsidRPr="00030011" w:rsidRDefault="00842F97" w:rsidP="00E163F5">
            <w:pPr>
              <w:widowControl w:val="0"/>
              <w:autoSpaceDE w:val="0"/>
              <w:autoSpaceDN w:val="0"/>
              <w:adjustRightInd w:val="0"/>
              <w:jc w:val="both"/>
              <w:rPr>
                <w:rFonts w:ascii="Arial" w:hAnsi="Arial" w:cs="Arial"/>
                <w:sz w:val="18"/>
                <w:szCs w:val="18"/>
              </w:rPr>
            </w:pPr>
          </w:p>
        </w:tc>
      </w:tr>
      <w:tr w:rsidR="00842F97" w:rsidRPr="00030011" w14:paraId="02B7BF1A" w14:textId="77777777" w:rsidTr="00617B10">
        <w:trPr>
          <w:trHeight w:val="1068"/>
        </w:trPr>
        <w:tc>
          <w:tcPr>
            <w:tcW w:w="5423" w:type="dxa"/>
            <w:tcBorders>
              <w:top w:val="single" w:sz="6" w:space="0" w:color="auto"/>
              <w:left w:val="single" w:sz="6" w:space="0" w:color="auto"/>
              <w:bottom w:val="single" w:sz="6" w:space="0" w:color="auto"/>
              <w:right w:val="single" w:sz="6" w:space="0" w:color="auto"/>
            </w:tcBorders>
          </w:tcPr>
          <w:p w14:paraId="7AB4179D"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-Establecer programas de vinculación a través de los proyectos de investigación y desarrollo que tengan como objetivo el del programa docente de Agrobiología</w:t>
            </w:r>
          </w:p>
        </w:tc>
        <w:tc>
          <w:tcPr>
            <w:tcW w:w="1565" w:type="dxa"/>
            <w:tcBorders>
              <w:top w:val="single" w:sz="6" w:space="0" w:color="auto"/>
              <w:left w:val="single" w:sz="6" w:space="0" w:color="auto"/>
              <w:bottom w:val="single" w:sz="6" w:space="0" w:color="auto"/>
              <w:right w:val="single" w:sz="6" w:space="0" w:color="auto"/>
            </w:tcBorders>
          </w:tcPr>
          <w:p w14:paraId="69FACCF5"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14:paraId="5595B4A2"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     </w:t>
            </w:r>
          </w:p>
        </w:tc>
        <w:tc>
          <w:tcPr>
            <w:tcW w:w="1597" w:type="dxa"/>
            <w:tcBorders>
              <w:top w:val="single" w:sz="6" w:space="0" w:color="auto"/>
              <w:left w:val="single" w:sz="6" w:space="0" w:color="auto"/>
              <w:bottom w:val="single" w:sz="6" w:space="0" w:color="auto"/>
              <w:right w:val="single" w:sz="6" w:space="0" w:color="auto"/>
            </w:tcBorders>
          </w:tcPr>
          <w:p w14:paraId="6B3F9EB0" w14:textId="77777777" w:rsidR="00842F97" w:rsidRPr="00030011" w:rsidRDefault="00842F97" w:rsidP="00E163F5">
            <w:pPr>
              <w:widowControl w:val="0"/>
              <w:autoSpaceDE w:val="0"/>
              <w:autoSpaceDN w:val="0"/>
              <w:adjustRightInd w:val="0"/>
              <w:jc w:val="both"/>
              <w:rPr>
                <w:rFonts w:ascii="Arial" w:hAnsi="Arial" w:cs="Arial"/>
                <w:sz w:val="18"/>
                <w:szCs w:val="18"/>
              </w:rPr>
            </w:pPr>
          </w:p>
        </w:tc>
      </w:tr>
      <w:tr w:rsidR="00842F97" w:rsidRPr="00030011" w14:paraId="56FE16EE" w14:textId="77777777" w:rsidTr="00617B10">
        <w:trPr>
          <w:trHeight w:val="511"/>
        </w:trPr>
        <w:tc>
          <w:tcPr>
            <w:tcW w:w="5423" w:type="dxa"/>
            <w:tcBorders>
              <w:top w:val="single" w:sz="6" w:space="0" w:color="auto"/>
              <w:left w:val="single" w:sz="6" w:space="0" w:color="auto"/>
              <w:bottom w:val="single" w:sz="6" w:space="0" w:color="auto"/>
              <w:right w:val="single" w:sz="6" w:space="0" w:color="auto"/>
            </w:tcBorders>
          </w:tcPr>
          <w:p w14:paraId="5E2AF0FB"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-Evaluar la calidad de los egresados y la pertinencia de la carrera en el desarrollo del país.</w:t>
            </w:r>
          </w:p>
        </w:tc>
        <w:tc>
          <w:tcPr>
            <w:tcW w:w="1565" w:type="dxa"/>
            <w:tcBorders>
              <w:top w:val="single" w:sz="6" w:space="0" w:color="auto"/>
              <w:left w:val="single" w:sz="6" w:space="0" w:color="auto"/>
              <w:bottom w:val="single" w:sz="6" w:space="0" w:color="auto"/>
              <w:right w:val="single" w:sz="6" w:space="0" w:color="auto"/>
            </w:tcBorders>
          </w:tcPr>
          <w:p w14:paraId="306BB14B"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14:paraId="2E7D4823"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14:paraId="174541E8"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r>
      <w:tr w:rsidR="00842F97" w:rsidRPr="00030011" w14:paraId="6BD4EC8B" w14:textId="77777777" w:rsidTr="00617B10">
        <w:trPr>
          <w:trHeight w:val="535"/>
        </w:trPr>
        <w:tc>
          <w:tcPr>
            <w:tcW w:w="5423" w:type="dxa"/>
            <w:tcBorders>
              <w:top w:val="single" w:sz="6" w:space="0" w:color="auto"/>
              <w:left w:val="single" w:sz="6" w:space="0" w:color="auto"/>
              <w:bottom w:val="single" w:sz="6" w:space="0" w:color="auto"/>
              <w:right w:val="single" w:sz="6" w:space="0" w:color="auto"/>
            </w:tcBorders>
          </w:tcPr>
          <w:p w14:paraId="6CC28465"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-Gestionar recursos económicos en fuentes alternas de financiamiento educativo y de investigación.</w:t>
            </w:r>
          </w:p>
        </w:tc>
        <w:tc>
          <w:tcPr>
            <w:tcW w:w="1565" w:type="dxa"/>
            <w:tcBorders>
              <w:top w:val="single" w:sz="6" w:space="0" w:color="auto"/>
              <w:left w:val="single" w:sz="6" w:space="0" w:color="auto"/>
              <w:bottom w:val="single" w:sz="6" w:space="0" w:color="auto"/>
              <w:right w:val="single" w:sz="6" w:space="0" w:color="auto"/>
            </w:tcBorders>
          </w:tcPr>
          <w:p w14:paraId="7D5E1205"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14:paraId="1CE6496C"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14:paraId="499B7499" w14:textId="77777777" w:rsidR="00842F97" w:rsidRPr="00030011" w:rsidRDefault="00842F97" w:rsidP="00E163F5">
            <w:pPr>
              <w:widowControl w:val="0"/>
              <w:autoSpaceDE w:val="0"/>
              <w:autoSpaceDN w:val="0"/>
              <w:adjustRightInd w:val="0"/>
              <w:jc w:val="both"/>
              <w:rPr>
                <w:rFonts w:ascii="Arial" w:hAnsi="Arial" w:cs="Arial"/>
                <w:sz w:val="18"/>
                <w:szCs w:val="18"/>
              </w:rPr>
            </w:pPr>
          </w:p>
        </w:tc>
      </w:tr>
      <w:tr w:rsidR="00842F97" w:rsidRPr="00030011" w14:paraId="3F0F73CA" w14:textId="77777777" w:rsidTr="00617B10">
        <w:trPr>
          <w:trHeight w:val="791"/>
        </w:trPr>
        <w:tc>
          <w:tcPr>
            <w:tcW w:w="5423" w:type="dxa"/>
            <w:tcBorders>
              <w:top w:val="single" w:sz="6" w:space="0" w:color="auto"/>
              <w:left w:val="single" w:sz="6" w:space="0" w:color="auto"/>
              <w:bottom w:val="single" w:sz="6" w:space="0" w:color="auto"/>
              <w:right w:val="single" w:sz="6" w:space="0" w:color="auto"/>
            </w:tcBorders>
          </w:tcPr>
          <w:p w14:paraId="62837DF7"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-Tener como objetivo principal la mejora continua del Plan de Estudios, adecuándolo a los requerimientos de la sociedad.</w:t>
            </w:r>
          </w:p>
        </w:tc>
        <w:tc>
          <w:tcPr>
            <w:tcW w:w="1565" w:type="dxa"/>
            <w:tcBorders>
              <w:top w:val="single" w:sz="6" w:space="0" w:color="auto"/>
              <w:left w:val="single" w:sz="6" w:space="0" w:color="auto"/>
              <w:bottom w:val="single" w:sz="6" w:space="0" w:color="auto"/>
              <w:right w:val="single" w:sz="6" w:space="0" w:color="auto"/>
            </w:tcBorders>
          </w:tcPr>
          <w:p w14:paraId="6984551A"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14:paraId="14C1C7A0"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14:paraId="6913FE4B"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r>
      <w:tr w:rsidR="00842F97" w:rsidRPr="00030011" w14:paraId="12EE7B07" w14:textId="77777777" w:rsidTr="00617B10">
        <w:trPr>
          <w:trHeight w:val="791"/>
        </w:trPr>
        <w:tc>
          <w:tcPr>
            <w:tcW w:w="5423" w:type="dxa"/>
            <w:tcBorders>
              <w:top w:val="single" w:sz="6" w:space="0" w:color="auto"/>
              <w:left w:val="single" w:sz="6" w:space="0" w:color="auto"/>
              <w:bottom w:val="single" w:sz="6" w:space="0" w:color="auto"/>
              <w:right w:val="single" w:sz="6" w:space="0" w:color="auto"/>
            </w:tcBorders>
          </w:tcPr>
          <w:p w14:paraId="4ED9DF7A"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lastRenderedPageBreak/>
              <w:t>-Contar con un programa de mejora continua de la infraestructura de acuerdo a las necesidades del programa.</w:t>
            </w:r>
          </w:p>
        </w:tc>
        <w:tc>
          <w:tcPr>
            <w:tcW w:w="1565" w:type="dxa"/>
            <w:tcBorders>
              <w:top w:val="single" w:sz="6" w:space="0" w:color="auto"/>
              <w:left w:val="single" w:sz="6" w:space="0" w:color="auto"/>
              <w:bottom w:val="single" w:sz="6" w:space="0" w:color="auto"/>
              <w:right w:val="single" w:sz="6" w:space="0" w:color="auto"/>
            </w:tcBorders>
          </w:tcPr>
          <w:p w14:paraId="175F3605"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14:paraId="3AA82A78"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14:paraId="60721076" w14:textId="77777777" w:rsidR="00842F97" w:rsidRPr="00030011" w:rsidRDefault="00842F97" w:rsidP="00E163F5">
            <w:pPr>
              <w:widowControl w:val="0"/>
              <w:autoSpaceDE w:val="0"/>
              <w:autoSpaceDN w:val="0"/>
              <w:adjustRightInd w:val="0"/>
              <w:jc w:val="both"/>
              <w:rPr>
                <w:rFonts w:ascii="Arial" w:hAnsi="Arial" w:cs="Arial"/>
                <w:sz w:val="18"/>
                <w:szCs w:val="18"/>
              </w:rPr>
            </w:pPr>
          </w:p>
        </w:tc>
      </w:tr>
      <w:tr w:rsidR="00842F97" w:rsidRPr="00030011" w14:paraId="3422B3B9" w14:textId="77777777" w:rsidTr="00617B10">
        <w:trPr>
          <w:trHeight w:val="511"/>
        </w:trPr>
        <w:tc>
          <w:tcPr>
            <w:tcW w:w="5423" w:type="dxa"/>
            <w:tcBorders>
              <w:top w:val="single" w:sz="6" w:space="0" w:color="auto"/>
              <w:left w:val="single" w:sz="6" w:space="0" w:color="auto"/>
              <w:bottom w:val="single" w:sz="6" w:space="0" w:color="auto"/>
              <w:right w:val="single" w:sz="6" w:space="0" w:color="auto"/>
            </w:tcBorders>
          </w:tcPr>
          <w:p w14:paraId="61F26E31"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-Fomentar el desarrollo de proyectos de investigación y desarrollo con fondos concurrentes del CONACYT.</w:t>
            </w:r>
          </w:p>
        </w:tc>
        <w:tc>
          <w:tcPr>
            <w:tcW w:w="1565" w:type="dxa"/>
            <w:tcBorders>
              <w:top w:val="single" w:sz="6" w:space="0" w:color="auto"/>
              <w:left w:val="single" w:sz="6" w:space="0" w:color="auto"/>
              <w:bottom w:val="single" w:sz="6" w:space="0" w:color="auto"/>
              <w:right w:val="single" w:sz="6" w:space="0" w:color="auto"/>
            </w:tcBorders>
          </w:tcPr>
          <w:p w14:paraId="2C7A45EA"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14:paraId="69D8DC00" w14:textId="77777777"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14:paraId="3F7CDC78" w14:textId="77777777" w:rsidR="00842F97" w:rsidRPr="00030011" w:rsidRDefault="00842F97" w:rsidP="00E163F5">
            <w:pPr>
              <w:widowControl w:val="0"/>
              <w:autoSpaceDE w:val="0"/>
              <w:autoSpaceDN w:val="0"/>
              <w:adjustRightInd w:val="0"/>
              <w:jc w:val="both"/>
              <w:rPr>
                <w:rFonts w:ascii="Arial" w:hAnsi="Arial" w:cs="Arial"/>
                <w:sz w:val="18"/>
                <w:szCs w:val="18"/>
              </w:rPr>
            </w:pPr>
          </w:p>
        </w:tc>
      </w:tr>
    </w:tbl>
    <w:p w14:paraId="325588AA" w14:textId="77777777" w:rsidR="00D15A0E" w:rsidRPr="00030011" w:rsidRDefault="00D15A0E" w:rsidP="00842F97">
      <w:pPr>
        <w:widowControl w:val="0"/>
        <w:autoSpaceDE w:val="0"/>
        <w:autoSpaceDN w:val="0"/>
        <w:adjustRightInd w:val="0"/>
        <w:jc w:val="both"/>
        <w:rPr>
          <w:rFonts w:ascii="Arial" w:hAnsi="Arial" w:cs="Arial"/>
          <w:b/>
          <w:bCs/>
          <w:sz w:val="18"/>
          <w:szCs w:val="18"/>
        </w:rPr>
      </w:pPr>
    </w:p>
    <w:p w14:paraId="0EEEB8E4" w14:textId="77777777" w:rsidR="00280939" w:rsidRPr="007923C2" w:rsidRDefault="00280939" w:rsidP="00280939">
      <w:pPr>
        <w:rPr>
          <w:rFonts w:ascii="Arial" w:hAnsi="Arial" w:cs="Arial"/>
          <w:b/>
          <w:sz w:val="22"/>
          <w:szCs w:val="22"/>
        </w:rPr>
      </w:pPr>
      <w:r w:rsidRPr="007923C2">
        <w:rPr>
          <w:rFonts w:ascii="Arial" w:hAnsi="Arial" w:cs="Arial"/>
          <w:b/>
          <w:sz w:val="22"/>
          <w:szCs w:val="22"/>
        </w:rPr>
        <w:t>DESARROLLO DE LAS LÍNEAS ESTRATÉGICAS MÁS IMPORTANTES</w:t>
      </w:r>
    </w:p>
    <w:p w14:paraId="7737BFD1" w14:textId="77777777" w:rsidR="00280939" w:rsidRPr="000C27BF" w:rsidRDefault="00280939" w:rsidP="00D15A0E">
      <w:pPr>
        <w:jc w:val="both"/>
        <w:rPr>
          <w:rFonts w:ascii="Arial" w:hAnsi="Arial" w:cs="Arial"/>
          <w:b/>
          <w:sz w:val="22"/>
          <w:szCs w:val="22"/>
        </w:rPr>
      </w:pPr>
      <w:r w:rsidRPr="000C27BF">
        <w:rPr>
          <w:rFonts w:ascii="Arial" w:hAnsi="Arial" w:cs="Arial"/>
          <w:b/>
          <w:sz w:val="22"/>
          <w:szCs w:val="22"/>
        </w:rPr>
        <w:t>1.-PLANTA ACADÉMICA</w:t>
      </w:r>
    </w:p>
    <w:p w14:paraId="30C6AF96"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Se ha elaborado un Plan de Formación de profesores en el cual se incluyen 3 proyectos:</w:t>
      </w:r>
    </w:p>
    <w:p w14:paraId="514ACE4E"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1.-Actualización de la planta académica del Departamento de Botánica.</w:t>
      </w:r>
    </w:p>
    <w:p w14:paraId="3DD964BF"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2.-Área de oportunidad para reforzar la preparación académica.</w:t>
      </w:r>
    </w:p>
    <w:p w14:paraId="57FAC821"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3.-Fortalecimiento de la planta académica mediante la contratación de reemplazos.</w:t>
      </w:r>
    </w:p>
    <w:p w14:paraId="4ADC8489"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El fortalecimiento de la planta académica mediante la contratación de reemplazos es una de las necesidades más inmediatas, ya que la gran mayoría de los profesores investigadores se jubilarán en corto tiempo.</w:t>
      </w:r>
    </w:p>
    <w:p w14:paraId="08D560DA"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El Departamento de Botánica tiene adscritos 15 profesores de los cuales:</w:t>
      </w:r>
    </w:p>
    <w:p w14:paraId="7CF13FF1"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1.-2 profesores nivel doctorado se contrataron recientemente.</w:t>
      </w:r>
    </w:p>
    <w:p w14:paraId="4E2EFBF5"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2.-3 profesores están próximos a jubilarse por lo que se debe pensar en su reemplazo.</w:t>
      </w:r>
    </w:p>
    <w:p w14:paraId="7B84C622"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3.-Los 10 profesores restantes cuentan con 50-</w:t>
      </w:r>
      <w:r w:rsidR="00171730">
        <w:rPr>
          <w:rFonts w:ascii="Arial" w:hAnsi="Arial" w:cs="Arial"/>
          <w:sz w:val="22"/>
          <w:szCs w:val="22"/>
        </w:rPr>
        <w:t>68</w:t>
      </w:r>
      <w:r w:rsidRPr="007923C2">
        <w:rPr>
          <w:rFonts w:ascii="Arial" w:hAnsi="Arial" w:cs="Arial"/>
          <w:sz w:val="22"/>
          <w:szCs w:val="22"/>
        </w:rPr>
        <w:t xml:space="preserve"> años con más de 30 años de servicio por lo que en cualquier momento se jubilarán.</w:t>
      </w:r>
    </w:p>
    <w:p w14:paraId="2FB20847"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4.-Falta reforzar las áreas de la agricultura alternativa, zoología y biotecnología lo que requiere nuevas contrataciones en éstas áreas.</w:t>
      </w:r>
    </w:p>
    <w:p w14:paraId="5BF4646F"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5.-Todos los profesores del Departamento de Botánic</w:t>
      </w:r>
      <w:r w:rsidR="00201045" w:rsidRPr="007923C2">
        <w:rPr>
          <w:rFonts w:ascii="Arial" w:hAnsi="Arial" w:cs="Arial"/>
          <w:sz w:val="22"/>
          <w:szCs w:val="22"/>
        </w:rPr>
        <w:t xml:space="preserve">a </w:t>
      </w:r>
      <w:r w:rsidRPr="007923C2">
        <w:rPr>
          <w:rFonts w:ascii="Arial" w:hAnsi="Arial" w:cs="Arial"/>
          <w:sz w:val="22"/>
          <w:szCs w:val="22"/>
        </w:rPr>
        <w:t>tienen mucha carga docente ante grupo lo que le resta tiempo para la investigación y desarrollo.</w:t>
      </w:r>
    </w:p>
    <w:p w14:paraId="49BDCB98"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 xml:space="preserve">Como parte esencial de un programa de mejora continua se encuentra el Plan de formación del personal docente </w:t>
      </w:r>
      <w:r w:rsidR="00201045" w:rsidRPr="007923C2">
        <w:rPr>
          <w:rFonts w:ascii="Arial" w:hAnsi="Arial" w:cs="Arial"/>
          <w:sz w:val="22"/>
          <w:szCs w:val="22"/>
        </w:rPr>
        <w:t>ya que son los profesores investigadores los que tienen a su cargo el proceso enseñanza aprendizaje que es la parte más importante para poder proporcionar una educación de calidad.</w:t>
      </w:r>
    </w:p>
    <w:p w14:paraId="113854D2" w14:textId="77777777" w:rsidR="00201045" w:rsidRPr="007923C2" w:rsidRDefault="00201045" w:rsidP="00D15A0E">
      <w:pPr>
        <w:jc w:val="both"/>
        <w:rPr>
          <w:rFonts w:ascii="Arial" w:hAnsi="Arial" w:cs="Arial"/>
          <w:sz w:val="22"/>
          <w:szCs w:val="22"/>
        </w:rPr>
      </w:pPr>
      <w:r w:rsidRPr="007923C2">
        <w:rPr>
          <w:rFonts w:ascii="Arial" w:hAnsi="Arial" w:cs="Arial"/>
          <w:sz w:val="22"/>
          <w:szCs w:val="22"/>
        </w:rPr>
        <w:t>La formación o capacitación continua del personal docente permite sustentar un desarrollo visionario buscando responder a las dema</w:t>
      </w:r>
      <w:r w:rsidR="00837791">
        <w:rPr>
          <w:rFonts w:ascii="Arial" w:hAnsi="Arial" w:cs="Arial"/>
          <w:sz w:val="22"/>
          <w:szCs w:val="22"/>
        </w:rPr>
        <w:t>n</w:t>
      </w:r>
      <w:r w:rsidRPr="007923C2">
        <w:rPr>
          <w:rFonts w:ascii="Arial" w:hAnsi="Arial" w:cs="Arial"/>
          <w:sz w:val="22"/>
          <w:szCs w:val="22"/>
        </w:rPr>
        <w:t>das del entorno nacional que es la prioridad que se debe considerar para formar profesionistas acordes a las necesidades presentes y futuras.</w:t>
      </w:r>
    </w:p>
    <w:p w14:paraId="391AC485" w14:textId="77777777" w:rsidR="00201045" w:rsidRPr="007923C2" w:rsidRDefault="00201045" w:rsidP="00D15A0E">
      <w:pPr>
        <w:jc w:val="both"/>
        <w:rPr>
          <w:rFonts w:ascii="Arial" w:hAnsi="Arial" w:cs="Arial"/>
          <w:sz w:val="22"/>
          <w:szCs w:val="22"/>
        </w:rPr>
      </w:pPr>
      <w:r w:rsidRPr="007923C2">
        <w:rPr>
          <w:rFonts w:ascii="Arial" w:hAnsi="Arial" w:cs="Arial"/>
          <w:sz w:val="22"/>
          <w:szCs w:val="22"/>
        </w:rPr>
        <w:t>El Departamento de Botánica da apoyo a otras carreras en la impartición de materias lo que hace que los profesores investigadores en cada semestre t</w:t>
      </w:r>
      <w:r w:rsidR="00BF65FF" w:rsidRPr="007923C2">
        <w:rPr>
          <w:rFonts w:ascii="Arial" w:hAnsi="Arial" w:cs="Arial"/>
          <w:sz w:val="22"/>
          <w:szCs w:val="22"/>
        </w:rPr>
        <w:t>ienen</w:t>
      </w:r>
      <w:r w:rsidRPr="007923C2">
        <w:rPr>
          <w:rFonts w:ascii="Arial" w:hAnsi="Arial" w:cs="Arial"/>
          <w:sz w:val="22"/>
          <w:szCs w:val="22"/>
        </w:rPr>
        <w:t xml:space="preserve"> una carga académica de alrededor de 15-20 hrs clase por semana</w:t>
      </w:r>
      <w:r w:rsidR="00BF65FF" w:rsidRPr="007923C2">
        <w:rPr>
          <w:rFonts w:ascii="Arial" w:hAnsi="Arial" w:cs="Arial"/>
          <w:sz w:val="22"/>
          <w:szCs w:val="22"/>
        </w:rPr>
        <w:t>.</w:t>
      </w:r>
    </w:p>
    <w:p w14:paraId="52F2000D" w14:textId="77777777" w:rsidR="00BF65FF" w:rsidRPr="007923C2" w:rsidRDefault="00BF65FF" w:rsidP="00D15A0E">
      <w:pPr>
        <w:jc w:val="both"/>
        <w:rPr>
          <w:rFonts w:ascii="Arial" w:hAnsi="Arial" w:cs="Arial"/>
          <w:sz w:val="22"/>
          <w:szCs w:val="22"/>
        </w:rPr>
      </w:pPr>
      <w:r w:rsidRPr="007923C2">
        <w:rPr>
          <w:rFonts w:ascii="Arial" w:hAnsi="Arial" w:cs="Arial"/>
          <w:sz w:val="22"/>
          <w:szCs w:val="22"/>
        </w:rPr>
        <w:t>La carga académica impide a los profesores investigadores contar con el tiempo suficiente para dedicarse a la investigación y desarrollo o pertenecer al sistema nacional de investigadores o pertenecer a un cuerpo académico.</w:t>
      </w:r>
    </w:p>
    <w:p w14:paraId="28F8D57B" w14:textId="77777777" w:rsidR="00BF65FF" w:rsidRPr="007923C2" w:rsidRDefault="00BF65FF" w:rsidP="00D15A0E">
      <w:pPr>
        <w:jc w:val="both"/>
        <w:rPr>
          <w:rFonts w:ascii="Arial" w:hAnsi="Arial" w:cs="Arial"/>
          <w:sz w:val="22"/>
          <w:szCs w:val="22"/>
        </w:rPr>
      </w:pPr>
      <w:r w:rsidRPr="007923C2">
        <w:rPr>
          <w:rFonts w:ascii="Arial" w:hAnsi="Arial" w:cs="Arial"/>
          <w:sz w:val="22"/>
          <w:szCs w:val="22"/>
        </w:rPr>
        <w:lastRenderedPageBreak/>
        <w:t>La actualización de la planta docente en el área de su especialidad permitirá mantener la calidad educativa.</w:t>
      </w:r>
    </w:p>
    <w:p w14:paraId="6D229298" w14:textId="77777777" w:rsidR="00F8456A" w:rsidRPr="007923C2" w:rsidRDefault="00BF65FF" w:rsidP="00D15A0E">
      <w:pPr>
        <w:spacing w:line="360" w:lineRule="auto"/>
        <w:jc w:val="both"/>
        <w:rPr>
          <w:rFonts w:ascii="Arial" w:hAnsi="Arial" w:cs="Arial"/>
          <w:sz w:val="22"/>
          <w:szCs w:val="22"/>
        </w:rPr>
      </w:pPr>
      <w:r w:rsidRPr="007923C2">
        <w:rPr>
          <w:rFonts w:ascii="Arial" w:hAnsi="Arial" w:cs="Arial"/>
          <w:sz w:val="22"/>
          <w:szCs w:val="22"/>
        </w:rPr>
        <w:t xml:space="preserve">El 46 % del personal </w:t>
      </w:r>
      <w:r w:rsidR="00F8456A" w:rsidRPr="007923C2">
        <w:rPr>
          <w:rFonts w:ascii="Arial" w:hAnsi="Arial" w:cs="Arial"/>
          <w:sz w:val="22"/>
          <w:szCs w:val="22"/>
        </w:rPr>
        <w:t xml:space="preserve">del Departamento de Botánica </w:t>
      </w:r>
      <w:r w:rsidRPr="007923C2">
        <w:rPr>
          <w:rFonts w:ascii="Arial" w:hAnsi="Arial" w:cs="Arial"/>
          <w:sz w:val="22"/>
          <w:szCs w:val="22"/>
        </w:rPr>
        <w:t xml:space="preserve">tiene el nivel doctorado, el 33 % maestría y el 20 % licenciatura </w:t>
      </w:r>
      <w:r w:rsidR="00F8456A" w:rsidRPr="007923C2">
        <w:rPr>
          <w:rFonts w:ascii="Arial" w:hAnsi="Arial" w:cs="Arial"/>
          <w:sz w:val="22"/>
          <w:szCs w:val="22"/>
        </w:rPr>
        <w:t>por lo que d</w:t>
      </w:r>
      <w:r w:rsidRPr="007923C2">
        <w:rPr>
          <w:rFonts w:ascii="Arial" w:hAnsi="Arial" w:cs="Arial"/>
          <w:sz w:val="22"/>
          <w:szCs w:val="22"/>
        </w:rPr>
        <w:t>e</w:t>
      </w:r>
      <w:r w:rsidR="00F8456A" w:rsidRPr="007923C2">
        <w:rPr>
          <w:rFonts w:ascii="Arial" w:hAnsi="Arial" w:cs="Arial"/>
          <w:sz w:val="22"/>
          <w:szCs w:val="22"/>
        </w:rPr>
        <w:t>ntro del Plan de formación de profesores se planeaque</w:t>
      </w:r>
      <w:r w:rsidRPr="007923C2">
        <w:rPr>
          <w:rFonts w:ascii="Arial" w:hAnsi="Arial" w:cs="Arial"/>
          <w:sz w:val="22"/>
          <w:szCs w:val="22"/>
        </w:rPr>
        <w:t xml:space="preserve"> puedan subir de nivel de posgrado</w:t>
      </w:r>
      <w:r w:rsidR="00F8456A" w:rsidRPr="007923C2">
        <w:rPr>
          <w:rFonts w:ascii="Arial" w:hAnsi="Arial" w:cs="Arial"/>
          <w:sz w:val="22"/>
          <w:szCs w:val="22"/>
        </w:rPr>
        <w:t>.</w:t>
      </w:r>
    </w:p>
    <w:p w14:paraId="625EB2EC" w14:textId="77777777" w:rsidR="00F8456A" w:rsidRPr="007923C2" w:rsidRDefault="00F8456A" w:rsidP="00D15A0E">
      <w:pPr>
        <w:spacing w:line="360" w:lineRule="auto"/>
        <w:jc w:val="both"/>
        <w:rPr>
          <w:rFonts w:ascii="Arial" w:hAnsi="Arial" w:cs="Arial"/>
          <w:sz w:val="22"/>
          <w:szCs w:val="22"/>
        </w:rPr>
      </w:pPr>
      <w:r w:rsidRPr="007923C2">
        <w:rPr>
          <w:rFonts w:ascii="Arial" w:hAnsi="Arial" w:cs="Arial"/>
          <w:sz w:val="22"/>
          <w:szCs w:val="22"/>
        </w:rPr>
        <w:t>Para lo anterior se deben de definir las áreas de oportunidad para reforzar la preparación académica.</w:t>
      </w:r>
    </w:p>
    <w:p w14:paraId="6603028A" w14:textId="77777777" w:rsidR="006011F1" w:rsidRPr="007923C2" w:rsidRDefault="00F8456A" w:rsidP="00D15A0E">
      <w:pPr>
        <w:spacing w:line="360" w:lineRule="auto"/>
        <w:jc w:val="both"/>
        <w:rPr>
          <w:rFonts w:ascii="Arial" w:hAnsi="Arial" w:cs="Arial"/>
          <w:sz w:val="22"/>
          <w:szCs w:val="22"/>
        </w:rPr>
      </w:pPr>
      <w:r w:rsidRPr="007923C2">
        <w:rPr>
          <w:rFonts w:ascii="Arial" w:hAnsi="Arial" w:cs="Arial"/>
          <w:sz w:val="22"/>
          <w:szCs w:val="22"/>
        </w:rPr>
        <w:t>Definir áreas prioritarias para la formación de profesores del Departamento o futuras contrataciones.</w:t>
      </w:r>
    </w:p>
    <w:p w14:paraId="1C855D2C" w14:textId="77777777" w:rsidR="006011F1" w:rsidRPr="007923C2" w:rsidRDefault="006011F1" w:rsidP="00D15A0E">
      <w:pPr>
        <w:spacing w:line="360" w:lineRule="auto"/>
        <w:jc w:val="both"/>
        <w:rPr>
          <w:rFonts w:ascii="Arial" w:hAnsi="Arial" w:cs="Arial"/>
          <w:sz w:val="22"/>
          <w:szCs w:val="22"/>
        </w:rPr>
      </w:pPr>
      <w:r w:rsidRPr="007923C2">
        <w:rPr>
          <w:rFonts w:ascii="Arial" w:hAnsi="Arial" w:cs="Arial"/>
          <w:sz w:val="22"/>
          <w:szCs w:val="22"/>
        </w:rPr>
        <w:t>Establecer las bases para la futura diversificación educativa.</w:t>
      </w:r>
    </w:p>
    <w:p w14:paraId="4354302F" w14:textId="77777777" w:rsidR="00BF65FF" w:rsidRPr="007923C2" w:rsidRDefault="006011F1" w:rsidP="00D15A0E">
      <w:pPr>
        <w:spacing w:line="360" w:lineRule="auto"/>
        <w:jc w:val="both"/>
        <w:rPr>
          <w:rFonts w:ascii="Arial" w:hAnsi="Arial" w:cs="Arial"/>
          <w:sz w:val="22"/>
          <w:szCs w:val="22"/>
        </w:rPr>
      </w:pPr>
      <w:r w:rsidRPr="007923C2">
        <w:rPr>
          <w:rFonts w:ascii="Arial" w:hAnsi="Arial" w:cs="Arial"/>
          <w:sz w:val="22"/>
          <w:szCs w:val="22"/>
        </w:rPr>
        <w:t xml:space="preserve">Los beneficios esperados son: Lograr una formación de vanguardia que responda a las áreas emergentes, necesidades del país y de la institución, consolidar los núcleos académicos básicos,preparar cuerpos académicos en áreas emergentes, jubilación de personal a la fecha, aportar los recursos necesarios para estimular a los profesores que estudien el grado máximo en las áreas de interés, incrementar la infraestructura necesaria para el desarrollo de líneas de trabajo ligadas a las áreas de interés. </w:t>
      </w:r>
    </w:p>
    <w:p w14:paraId="0FC954B1" w14:textId="77777777" w:rsidR="00280939" w:rsidRPr="000C27BF" w:rsidRDefault="00280939" w:rsidP="00D15A0E">
      <w:pPr>
        <w:jc w:val="both"/>
        <w:rPr>
          <w:rFonts w:ascii="Arial" w:hAnsi="Arial" w:cs="Arial"/>
          <w:b/>
          <w:sz w:val="22"/>
          <w:szCs w:val="22"/>
        </w:rPr>
      </w:pPr>
      <w:r w:rsidRPr="000C27BF">
        <w:rPr>
          <w:rFonts w:ascii="Arial" w:hAnsi="Arial" w:cs="Arial"/>
          <w:b/>
          <w:sz w:val="22"/>
          <w:szCs w:val="22"/>
        </w:rPr>
        <w:t>2.-PROGRAMA DE EDUCACIÓN CONTINUA</w:t>
      </w:r>
    </w:p>
    <w:p w14:paraId="39C2C711"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En los últimos años se ha reforzado los programas de educación continua.</w:t>
      </w:r>
    </w:p>
    <w:p w14:paraId="005BBCEF"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1.-Las Unidades del Departamento de Botánica tienen un papel importante en esta actividad.</w:t>
      </w:r>
    </w:p>
    <w:p w14:paraId="5A6BC390" w14:textId="77777777" w:rsidR="00280939" w:rsidRPr="007923C2" w:rsidRDefault="00280939" w:rsidP="00D15A0E">
      <w:pPr>
        <w:jc w:val="both"/>
        <w:rPr>
          <w:rFonts w:ascii="Arial" w:hAnsi="Arial" w:cs="Arial"/>
          <w:sz w:val="22"/>
          <w:szCs w:val="22"/>
        </w:rPr>
      </w:pPr>
      <w:r w:rsidRPr="007923C2">
        <w:rPr>
          <w:rFonts w:ascii="Arial" w:hAnsi="Arial" w:cs="Arial"/>
          <w:sz w:val="22"/>
          <w:szCs w:val="22"/>
        </w:rPr>
        <w:t>Jardín Botánico. Vivero, Herbario en los cuales se reciben alumnos de todos los niveles e investigadores de otras instituciones.</w:t>
      </w:r>
    </w:p>
    <w:p w14:paraId="733A41A1" w14:textId="77777777" w:rsidR="00BF3D61" w:rsidRDefault="00BF3D61" w:rsidP="00D15A0E">
      <w:pPr>
        <w:jc w:val="both"/>
        <w:rPr>
          <w:rFonts w:ascii="Arial" w:hAnsi="Arial" w:cs="Arial"/>
          <w:b/>
          <w:sz w:val="22"/>
          <w:szCs w:val="22"/>
        </w:rPr>
      </w:pPr>
    </w:p>
    <w:p w14:paraId="1CF4AF4F" w14:textId="77777777" w:rsidR="00B73500" w:rsidRDefault="00B73500" w:rsidP="00D15A0E">
      <w:pPr>
        <w:jc w:val="both"/>
        <w:rPr>
          <w:rFonts w:ascii="Arial" w:hAnsi="Arial" w:cs="Arial"/>
          <w:b/>
          <w:sz w:val="22"/>
          <w:szCs w:val="22"/>
        </w:rPr>
      </w:pPr>
      <w:r>
        <w:rPr>
          <w:rFonts w:ascii="Arial" w:hAnsi="Arial" w:cs="Arial"/>
          <w:b/>
          <w:sz w:val="22"/>
          <w:szCs w:val="22"/>
        </w:rPr>
        <w:t>ACTIVIDADES REALIZADAS EN EL VIVERO UAAAN</w:t>
      </w:r>
    </w:p>
    <w:p w14:paraId="71F619E0" w14:textId="77777777" w:rsidR="00D15C7E" w:rsidRDefault="00D15C7E" w:rsidP="00D15C7E">
      <w:pPr>
        <w:rPr>
          <w:rFonts w:ascii="Arial" w:hAnsi="Arial" w:cs="Arial"/>
          <w:b/>
          <w:bCs/>
          <w:sz w:val="20"/>
          <w:szCs w:val="20"/>
        </w:rPr>
      </w:pPr>
      <w:r>
        <w:rPr>
          <w:rFonts w:ascii="Arial" w:hAnsi="Arial" w:cs="Arial"/>
          <w:b/>
          <w:bCs/>
          <w:sz w:val="20"/>
          <w:szCs w:val="20"/>
        </w:rPr>
        <w:t>INFORME VIVERO UAAAN 2015</w:t>
      </w:r>
    </w:p>
    <w:p w14:paraId="094B9EB7" w14:textId="77777777"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efectúo el acondicionamiento de las áreas de trabajo semilleros, área de crecimiento y de distribución, limpieza, deshierbes, cambio de sustratos, podas, etc.</w:t>
      </w:r>
    </w:p>
    <w:p w14:paraId="35147B2B" w14:textId="77777777"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realizaron las colectas de semilla de distintas especies.</w:t>
      </w:r>
      <w:r>
        <w:rPr>
          <w:rFonts w:ascii="Arial" w:hAnsi="Arial" w:cs="Arial"/>
          <w:bCs/>
          <w:sz w:val="24"/>
          <w:szCs w:val="24"/>
        </w:rPr>
        <w:t xml:space="preserve"> Anexo n° 5 </w:t>
      </w:r>
    </w:p>
    <w:p w14:paraId="6DC5EC4C" w14:textId="77777777"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seleccionó y acondicionó la semilla y s</w:t>
      </w:r>
      <w:r>
        <w:rPr>
          <w:rFonts w:ascii="Arial" w:hAnsi="Arial" w:cs="Arial"/>
          <w:bCs/>
          <w:sz w:val="24"/>
          <w:szCs w:val="24"/>
        </w:rPr>
        <w:t>e preparó para las siembras 2015</w:t>
      </w:r>
      <w:r w:rsidRPr="006479CC">
        <w:rPr>
          <w:rFonts w:ascii="Arial" w:hAnsi="Arial" w:cs="Arial"/>
          <w:bCs/>
          <w:sz w:val="24"/>
          <w:szCs w:val="24"/>
        </w:rPr>
        <w:t>.</w:t>
      </w:r>
    </w:p>
    <w:p w14:paraId="5D070AFB" w14:textId="77777777"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efectuaron las siembras para la ob</w:t>
      </w:r>
      <w:r>
        <w:rPr>
          <w:rFonts w:ascii="Arial" w:hAnsi="Arial" w:cs="Arial"/>
          <w:bCs/>
          <w:sz w:val="24"/>
          <w:szCs w:val="24"/>
        </w:rPr>
        <w:t>tención de plántula anexo No. 2</w:t>
      </w:r>
    </w:p>
    <w:p w14:paraId="723D2442" w14:textId="77777777"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 xml:space="preserve">Se prepararon los sustratos requeridos para las camas de germinación, enmacetado y conservación de la planta en existencia. </w:t>
      </w:r>
    </w:p>
    <w:p w14:paraId="2EA4F974" w14:textId="77777777"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realizaron los trasplantes necesarios para reponer la planta que se tiene en el área de distribución y crecimiento.</w:t>
      </w:r>
    </w:p>
    <w:p w14:paraId="0A02AC30" w14:textId="77777777"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realizó el enmacetado de</w:t>
      </w:r>
      <w:r>
        <w:rPr>
          <w:rFonts w:ascii="Arial" w:hAnsi="Arial" w:cs="Arial"/>
          <w:bCs/>
          <w:sz w:val="24"/>
          <w:szCs w:val="24"/>
        </w:rPr>
        <w:t xml:space="preserve"> la plántula obtenida </w:t>
      </w:r>
    </w:p>
    <w:p w14:paraId="23946722" w14:textId="77777777"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recolectaron o adquirieron los sustratos para la preparación de las camas de germinación y para el enmacetado de plantas.</w:t>
      </w:r>
    </w:p>
    <w:p w14:paraId="0F4557F3" w14:textId="77777777"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lastRenderedPageBreak/>
        <w:t>Se aplicaron los riegos de auxilio necesarios para el mantenimiento del material vegetativo en las áreas de germinación crecimiento y distribución que se requirió de acuerdo a cada especie.</w:t>
      </w:r>
    </w:p>
    <w:p w14:paraId="724BBB86" w14:textId="77777777"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entregaron los ejemplares que mediante la cuota de recuperación fueron solicitados por los interesados de acuerdo con el pase de salida y factura que expidió el área correspondiente de esa gerencia de empresas universitarias.</w:t>
      </w:r>
    </w:p>
    <w:p w14:paraId="5E65F100" w14:textId="77777777" w:rsidR="00D15C7E"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siguieron realizando permanentemente las labores de deshierbe, poda remoción de materiales, reposición y selección de planta.</w:t>
      </w:r>
    </w:p>
    <w:p w14:paraId="07DB6771" w14:textId="77777777" w:rsidR="00D15C7E" w:rsidRDefault="00D15C7E" w:rsidP="00D15C7E">
      <w:pPr>
        <w:pStyle w:val="Prrafodelista"/>
        <w:numPr>
          <w:ilvl w:val="0"/>
          <w:numId w:val="215"/>
        </w:numPr>
        <w:spacing w:after="0" w:line="240" w:lineRule="auto"/>
        <w:contextualSpacing/>
        <w:jc w:val="both"/>
        <w:rPr>
          <w:rFonts w:ascii="Arial" w:hAnsi="Arial" w:cs="Arial"/>
          <w:bCs/>
          <w:sz w:val="24"/>
          <w:szCs w:val="24"/>
        </w:rPr>
      </w:pPr>
      <w:r>
        <w:rPr>
          <w:rFonts w:ascii="Arial" w:hAnsi="Arial" w:cs="Arial"/>
          <w:bCs/>
          <w:sz w:val="24"/>
          <w:szCs w:val="24"/>
        </w:rPr>
        <w:t>Se siguieron atendiendo las visitas guiadas a las instalaciones del vivero realizando el recorrido en las distintas áreas recibiendo las explicaciones correspondientes y el folleto informativo (anexo 5).</w:t>
      </w:r>
    </w:p>
    <w:p w14:paraId="071C16BF" w14:textId="77777777" w:rsidR="00D15C7E" w:rsidRDefault="00D15C7E" w:rsidP="00D15C7E">
      <w:pPr>
        <w:pStyle w:val="Prrafodelista"/>
        <w:numPr>
          <w:ilvl w:val="0"/>
          <w:numId w:val="215"/>
        </w:numPr>
        <w:spacing w:after="0" w:line="240" w:lineRule="auto"/>
        <w:contextualSpacing/>
        <w:jc w:val="both"/>
        <w:rPr>
          <w:rFonts w:ascii="Arial" w:hAnsi="Arial" w:cs="Arial"/>
          <w:bCs/>
          <w:sz w:val="24"/>
          <w:szCs w:val="24"/>
        </w:rPr>
      </w:pPr>
      <w:r>
        <w:rPr>
          <w:rFonts w:ascii="Arial" w:hAnsi="Arial" w:cs="Arial"/>
          <w:bCs/>
          <w:sz w:val="24"/>
          <w:szCs w:val="24"/>
        </w:rPr>
        <w:t>Se realizó el inventario del material vegetativo existente y se entregó la relación del mismo a la sección Agrícola de la Gerencia de Empresas Universitarias para su distribución previo pago de la cuota de recuperación este material corresponde al proceso productivo 2013-2014.</w:t>
      </w:r>
    </w:p>
    <w:p w14:paraId="5BA155CE" w14:textId="77777777" w:rsidR="00D15C7E" w:rsidRDefault="00D15C7E" w:rsidP="00D15C7E">
      <w:pPr>
        <w:pStyle w:val="Prrafodelista"/>
        <w:numPr>
          <w:ilvl w:val="0"/>
          <w:numId w:val="215"/>
        </w:numPr>
        <w:spacing w:after="0" w:line="240" w:lineRule="auto"/>
        <w:contextualSpacing/>
        <w:jc w:val="both"/>
        <w:rPr>
          <w:rFonts w:ascii="Arial" w:hAnsi="Arial" w:cs="Arial"/>
          <w:bCs/>
          <w:sz w:val="24"/>
          <w:szCs w:val="24"/>
        </w:rPr>
      </w:pPr>
      <w:r>
        <w:rPr>
          <w:rFonts w:ascii="Arial" w:hAnsi="Arial" w:cs="Arial"/>
          <w:bCs/>
          <w:sz w:val="24"/>
          <w:szCs w:val="24"/>
        </w:rPr>
        <w:t xml:space="preserve">El inventario a que se refiere el punto anterior podrá ser actualizadas de acuerdo con el calendario de actividades del propio vivero a finales del mes de Abril tiempo para que el material vegetativo reanude su crecimiento una vez transcurrido el periodo invernal que puede afectar su ciclo vegetativo y lo productivo por las condiciones climáticas de la  época invernal.  </w:t>
      </w:r>
    </w:p>
    <w:p w14:paraId="5765B76C" w14:textId="77777777" w:rsidR="00D15C7E" w:rsidRDefault="00D15C7E" w:rsidP="00D15C7E">
      <w:pPr>
        <w:pStyle w:val="Prrafodelista"/>
        <w:numPr>
          <w:ilvl w:val="0"/>
          <w:numId w:val="215"/>
        </w:numPr>
        <w:spacing w:after="0" w:line="240" w:lineRule="auto"/>
        <w:contextualSpacing/>
        <w:jc w:val="both"/>
        <w:rPr>
          <w:rFonts w:ascii="Arial" w:hAnsi="Arial" w:cs="Arial"/>
          <w:bCs/>
          <w:sz w:val="24"/>
          <w:szCs w:val="24"/>
        </w:rPr>
      </w:pPr>
      <w:r>
        <w:rPr>
          <w:rFonts w:ascii="Arial" w:hAnsi="Arial" w:cs="Arial"/>
          <w:bCs/>
          <w:sz w:val="24"/>
          <w:szCs w:val="24"/>
        </w:rPr>
        <w:t>Se distribuyó las distintas actividades necesarias para la producción de plantas entre el personal asignado y adscrito al vivero incluyendo el periodo vacacional.</w:t>
      </w:r>
    </w:p>
    <w:p w14:paraId="743A802D" w14:textId="77777777" w:rsidR="00271F27" w:rsidRDefault="00271F27" w:rsidP="00D15C7E">
      <w:pPr>
        <w:pStyle w:val="Prrafodelista"/>
        <w:jc w:val="both"/>
        <w:rPr>
          <w:rFonts w:ascii="Arial" w:hAnsi="Arial" w:cs="Arial"/>
          <w:bCs/>
          <w:sz w:val="24"/>
          <w:szCs w:val="24"/>
        </w:rPr>
      </w:pPr>
    </w:p>
    <w:tbl>
      <w:tblPr>
        <w:tblW w:w="8580" w:type="dxa"/>
        <w:tblInd w:w="10" w:type="dxa"/>
        <w:tblCellMar>
          <w:left w:w="70" w:type="dxa"/>
          <w:right w:w="70" w:type="dxa"/>
        </w:tblCellMar>
        <w:tblLook w:val="04A0" w:firstRow="1" w:lastRow="0" w:firstColumn="1" w:lastColumn="0" w:noHBand="0" w:noVBand="1"/>
      </w:tblPr>
      <w:tblGrid>
        <w:gridCol w:w="3078"/>
        <w:gridCol w:w="3377"/>
        <w:gridCol w:w="1035"/>
        <w:gridCol w:w="1090"/>
      </w:tblGrid>
      <w:tr w:rsidR="00271F27" w:rsidRPr="00271F27" w14:paraId="4E27C4A0" w14:textId="77777777" w:rsidTr="00271F27">
        <w:trPr>
          <w:trHeight w:val="402"/>
        </w:trPr>
        <w:tc>
          <w:tcPr>
            <w:tcW w:w="8580" w:type="dxa"/>
            <w:gridSpan w:val="4"/>
            <w:tcBorders>
              <w:top w:val="nil"/>
              <w:left w:val="nil"/>
              <w:bottom w:val="nil"/>
              <w:right w:val="nil"/>
            </w:tcBorders>
            <w:shd w:val="clear" w:color="auto" w:fill="auto"/>
            <w:noWrap/>
            <w:vAlign w:val="bottom"/>
            <w:hideMark/>
          </w:tcPr>
          <w:p w14:paraId="0354254E" w14:textId="77777777" w:rsidR="00271F27" w:rsidRPr="00271F27" w:rsidRDefault="00271F27" w:rsidP="00271F27">
            <w:pPr>
              <w:spacing w:after="0" w:line="240" w:lineRule="auto"/>
              <w:jc w:val="center"/>
              <w:rPr>
                <w:rFonts w:ascii="Cambria" w:hAnsi="Cambria" w:cs="Calibri"/>
                <w:b/>
                <w:bCs/>
                <w:color w:val="000000"/>
                <w:sz w:val="28"/>
                <w:szCs w:val="28"/>
              </w:rPr>
            </w:pPr>
            <w:r w:rsidRPr="00271F27">
              <w:rPr>
                <w:rFonts w:ascii="Cambria" w:hAnsi="Cambria" w:cs="Calibri"/>
                <w:b/>
                <w:bCs/>
                <w:color w:val="000000"/>
                <w:sz w:val="28"/>
                <w:szCs w:val="28"/>
              </w:rPr>
              <w:t>INVENTARIO DE PLANTAS EN EL VIVERO</w:t>
            </w:r>
          </w:p>
        </w:tc>
      </w:tr>
      <w:tr w:rsidR="00271F27" w:rsidRPr="00271F27" w14:paraId="66FEF2CE" w14:textId="77777777" w:rsidTr="00271F27">
        <w:trPr>
          <w:trHeight w:val="402"/>
        </w:trPr>
        <w:tc>
          <w:tcPr>
            <w:tcW w:w="8580" w:type="dxa"/>
            <w:gridSpan w:val="4"/>
            <w:tcBorders>
              <w:top w:val="nil"/>
              <w:left w:val="nil"/>
              <w:bottom w:val="nil"/>
              <w:right w:val="nil"/>
            </w:tcBorders>
            <w:shd w:val="clear" w:color="auto" w:fill="auto"/>
            <w:noWrap/>
            <w:vAlign w:val="bottom"/>
            <w:hideMark/>
          </w:tcPr>
          <w:p w14:paraId="66AF1D2B" w14:textId="77777777" w:rsidR="00271F27" w:rsidRPr="00271F27" w:rsidRDefault="00271F27" w:rsidP="00271F27">
            <w:pPr>
              <w:spacing w:after="0" w:line="240" w:lineRule="auto"/>
              <w:jc w:val="center"/>
              <w:rPr>
                <w:rFonts w:ascii="Cambria" w:hAnsi="Cambria" w:cs="Calibri"/>
                <w:b/>
                <w:bCs/>
                <w:color w:val="000000"/>
                <w:sz w:val="28"/>
                <w:szCs w:val="28"/>
              </w:rPr>
            </w:pPr>
            <w:r w:rsidRPr="00271F27">
              <w:rPr>
                <w:rFonts w:ascii="Cambria" w:hAnsi="Cambria" w:cs="Calibri"/>
                <w:b/>
                <w:bCs/>
                <w:color w:val="000000"/>
                <w:sz w:val="28"/>
                <w:szCs w:val="28"/>
              </w:rPr>
              <w:t>PRODUCCION 2014</w:t>
            </w:r>
          </w:p>
        </w:tc>
      </w:tr>
      <w:tr w:rsidR="00271F27" w:rsidRPr="00271F27" w14:paraId="4349275B" w14:textId="77777777" w:rsidTr="00271F27">
        <w:trPr>
          <w:trHeight w:val="315"/>
        </w:trPr>
        <w:tc>
          <w:tcPr>
            <w:tcW w:w="3078" w:type="dxa"/>
            <w:tcBorders>
              <w:top w:val="nil"/>
              <w:left w:val="nil"/>
              <w:bottom w:val="nil"/>
              <w:right w:val="nil"/>
            </w:tcBorders>
            <w:shd w:val="clear" w:color="auto" w:fill="auto"/>
            <w:noWrap/>
            <w:vAlign w:val="bottom"/>
            <w:hideMark/>
          </w:tcPr>
          <w:p w14:paraId="5DB5B029" w14:textId="77777777" w:rsidR="00271F27" w:rsidRPr="00271F27" w:rsidRDefault="00271F27" w:rsidP="00271F27">
            <w:pPr>
              <w:spacing w:after="0" w:line="240" w:lineRule="auto"/>
              <w:jc w:val="center"/>
              <w:rPr>
                <w:rFonts w:ascii="Cambria" w:hAnsi="Cambria" w:cs="Calibri"/>
                <w:b/>
                <w:bCs/>
                <w:color w:val="000000"/>
                <w:sz w:val="28"/>
                <w:szCs w:val="28"/>
              </w:rPr>
            </w:pPr>
          </w:p>
        </w:tc>
        <w:tc>
          <w:tcPr>
            <w:tcW w:w="3377" w:type="dxa"/>
            <w:tcBorders>
              <w:top w:val="nil"/>
              <w:left w:val="nil"/>
              <w:bottom w:val="nil"/>
              <w:right w:val="nil"/>
            </w:tcBorders>
            <w:shd w:val="clear" w:color="auto" w:fill="auto"/>
            <w:noWrap/>
            <w:vAlign w:val="bottom"/>
            <w:hideMark/>
          </w:tcPr>
          <w:p w14:paraId="1E34013E" w14:textId="77777777" w:rsidR="00271F27" w:rsidRPr="00271F27" w:rsidRDefault="00271F27" w:rsidP="00271F27">
            <w:pPr>
              <w:spacing w:after="0" w:line="240" w:lineRule="auto"/>
              <w:rPr>
                <w:rFonts w:ascii="Times New Roman" w:hAnsi="Times New Roman"/>
                <w:sz w:val="20"/>
                <w:szCs w:val="20"/>
              </w:rPr>
            </w:pPr>
          </w:p>
        </w:tc>
        <w:tc>
          <w:tcPr>
            <w:tcW w:w="1035" w:type="dxa"/>
            <w:tcBorders>
              <w:top w:val="nil"/>
              <w:left w:val="nil"/>
              <w:bottom w:val="nil"/>
              <w:right w:val="nil"/>
            </w:tcBorders>
            <w:shd w:val="clear" w:color="auto" w:fill="auto"/>
            <w:noWrap/>
            <w:vAlign w:val="bottom"/>
            <w:hideMark/>
          </w:tcPr>
          <w:p w14:paraId="4C207406" w14:textId="77777777" w:rsidR="00271F27" w:rsidRPr="00271F27" w:rsidRDefault="00271F27" w:rsidP="00271F27">
            <w:pPr>
              <w:spacing w:after="0" w:line="240" w:lineRule="auto"/>
              <w:rPr>
                <w:rFonts w:ascii="Times New Roman" w:hAnsi="Times New Roman"/>
                <w:sz w:val="20"/>
                <w:szCs w:val="20"/>
              </w:rPr>
            </w:pPr>
          </w:p>
        </w:tc>
        <w:tc>
          <w:tcPr>
            <w:tcW w:w="1090" w:type="dxa"/>
            <w:tcBorders>
              <w:top w:val="nil"/>
              <w:left w:val="nil"/>
              <w:bottom w:val="nil"/>
              <w:right w:val="nil"/>
            </w:tcBorders>
            <w:shd w:val="clear" w:color="auto" w:fill="auto"/>
            <w:noWrap/>
            <w:vAlign w:val="bottom"/>
            <w:hideMark/>
          </w:tcPr>
          <w:p w14:paraId="140FF57B" w14:textId="77777777" w:rsidR="00271F27" w:rsidRPr="00271F27" w:rsidRDefault="00271F27" w:rsidP="00271F27">
            <w:pPr>
              <w:spacing w:after="0" w:line="240" w:lineRule="auto"/>
              <w:rPr>
                <w:rFonts w:ascii="Times New Roman" w:hAnsi="Times New Roman"/>
                <w:sz w:val="20"/>
                <w:szCs w:val="20"/>
              </w:rPr>
            </w:pPr>
          </w:p>
        </w:tc>
      </w:tr>
      <w:tr w:rsidR="00271F27" w:rsidRPr="00271F27" w14:paraId="513496F1" w14:textId="77777777" w:rsidTr="00271F27">
        <w:trPr>
          <w:trHeight w:val="420"/>
        </w:trPr>
        <w:tc>
          <w:tcPr>
            <w:tcW w:w="8580" w:type="dxa"/>
            <w:gridSpan w:val="4"/>
            <w:tcBorders>
              <w:top w:val="nil"/>
              <w:left w:val="nil"/>
              <w:bottom w:val="single" w:sz="8" w:space="0" w:color="auto"/>
              <w:right w:val="nil"/>
            </w:tcBorders>
            <w:shd w:val="clear" w:color="auto" w:fill="auto"/>
            <w:noWrap/>
            <w:vAlign w:val="bottom"/>
            <w:hideMark/>
          </w:tcPr>
          <w:p w14:paraId="6877A652" w14:textId="77777777" w:rsidR="00271F27" w:rsidRPr="00271F27" w:rsidRDefault="00271F27" w:rsidP="00271F27">
            <w:pPr>
              <w:spacing w:after="0" w:line="240" w:lineRule="auto"/>
              <w:jc w:val="center"/>
              <w:rPr>
                <w:rFonts w:ascii="Cambria" w:hAnsi="Cambria" w:cs="Calibri"/>
                <w:b/>
                <w:bCs/>
                <w:color w:val="000000"/>
                <w:sz w:val="28"/>
                <w:szCs w:val="28"/>
              </w:rPr>
            </w:pPr>
            <w:r w:rsidRPr="00271F27">
              <w:rPr>
                <w:rFonts w:ascii="Cambria" w:hAnsi="Cambria" w:cs="Calibri"/>
                <w:b/>
                <w:bCs/>
                <w:color w:val="000000"/>
                <w:sz w:val="28"/>
                <w:szCs w:val="28"/>
              </w:rPr>
              <w:t>INVENTARIO</w:t>
            </w:r>
          </w:p>
        </w:tc>
      </w:tr>
      <w:tr w:rsidR="00271F27" w:rsidRPr="00271F27" w14:paraId="01B78A78" w14:textId="77777777" w:rsidTr="00271F27">
        <w:trPr>
          <w:trHeight w:val="315"/>
        </w:trPr>
        <w:tc>
          <w:tcPr>
            <w:tcW w:w="3078" w:type="dxa"/>
            <w:tcBorders>
              <w:top w:val="nil"/>
              <w:left w:val="single" w:sz="8" w:space="0" w:color="auto"/>
              <w:bottom w:val="single" w:sz="8" w:space="0" w:color="auto"/>
              <w:right w:val="single" w:sz="8" w:space="0" w:color="auto"/>
            </w:tcBorders>
            <w:shd w:val="clear" w:color="auto" w:fill="auto"/>
            <w:noWrap/>
            <w:vAlign w:val="bottom"/>
            <w:hideMark/>
          </w:tcPr>
          <w:p w14:paraId="698F7EC1" w14:textId="77777777" w:rsidR="00271F27" w:rsidRPr="00271F27" w:rsidRDefault="00271F27" w:rsidP="00271F27">
            <w:pPr>
              <w:spacing w:after="0" w:line="240" w:lineRule="auto"/>
              <w:rPr>
                <w:rFonts w:cs="Calibri"/>
                <w:b/>
                <w:bCs/>
                <w:color w:val="000000"/>
                <w:sz w:val="22"/>
                <w:szCs w:val="22"/>
              </w:rPr>
            </w:pPr>
            <w:r w:rsidRPr="00271F27">
              <w:rPr>
                <w:rFonts w:cs="Calibri"/>
                <w:b/>
                <w:bCs/>
                <w:color w:val="000000"/>
                <w:sz w:val="22"/>
                <w:szCs w:val="22"/>
              </w:rPr>
              <w:t>ESPECIE</w:t>
            </w:r>
          </w:p>
        </w:tc>
        <w:tc>
          <w:tcPr>
            <w:tcW w:w="3377" w:type="dxa"/>
            <w:tcBorders>
              <w:top w:val="nil"/>
              <w:left w:val="nil"/>
              <w:bottom w:val="single" w:sz="8" w:space="0" w:color="auto"/>
              <w:right w:val="single" w:sz="8" w:space="0" w:color="auto"/>
            </w:tcBorders>
            <w:shd w:val="clear" w:color="auto" w:fill="auto"/>
            <w:noWrap/>
            <w:vAlign w:val="bottom"/>
            <w:hideMark/>
          </w:tcPr>
          <w:p w14:paraId="40FE9ED6" w14:textId="77777777" w:rsidR="00271F27" w:rsidRPr="00271F27" w:rsidRDefault="00271F27" w:rsidP="00271F27">
            <w:pPr>
              <w:spacing w:after="0" w:line="240" w:lineRule="auto"/>
              <w:rPr>
                <w:rFonts w:cs="Calibri"/>
                <w:b/>
                <w:bCs/>
                <w:color w:val="000000"/>
                <w:sz w:val="22"/>
                <w:szCs w:val="22"/>
              </w:rPr>
            </w:pPr>
            <w:r w:rsidRPr="00271F27">
              <w:rPr>
                <w:rFonts w:cs="Calibri"/>
                <w:b/>
                <w:bCs/>
                <w:color w:val="000000"/>
                <w:sz w:val="22"/>
                <w:szCs w:val="22"/>
              </w:rPr>
              <w:t>NOMBRE CIENTÍFICO</w:t>
            </w:r>
          </w:p>
        </w:tc>
        <w:tc>
          <w:tcPr>
            <w:tcW w:w="1035" w:type="dxa"/>
            <w:tcBorders>
              <w:top w:val="nil"/>
              <w:left w:val="nil"/>
              <w:bottom w:val="single" w:sz="8" w:space="0" w:color="auto"/>
              <w:right w:val="single" w:sz="8" w:space="0" w:color="auto"/>
            </w:tcBorders>
            <w:shd w:val="clear" w:color="auto" w:fill="auto"/>
            <w:noWrap/>
            <w:vAlign w:val="bottom"/>
            <w:hideMark/>
          </w:tcPr>
          <w:p w14:paraId="032040BA" w14:textId="77777777" w:rsidR="00271F27" w:rsidRPr="00271F27" w:rsidRDefault="00271F27" w:rsidP="00271F27">
            <w:pPr>
              <w:spacing w:after="0" w:line="240" w:lineRule="auto"/>
              <w:rPr>
                <w:rFonts w:cs="Calibri"/>
                <w:b/>
                <w:bCs/>
                <w:color w:val="000000"/>
                <w:sz w:val="22"/>
                <w:szCs w:val="22"/>
              </w:rPr>
            </w:pPr>
            <w:r w:rsidRPr="00271F27">
              <w:rPr>
                <w:rFonts w:cs="Calibri"/>
                <w:b/>
                <w:bCs/>
                <w:color w:val="000000"/>
                <w:sz w:val="22"/>
                <w:szCs w:val="22"/>
              </w:rPr>
              <w:t>BOLSA</w:t>
            </w:r>
          </w:p>
        </w:tc>
        <w:tc>
          <w:tcPr>
            <w:tcW w:w="1090" w:type="dxa"/>
            <w:tcBorders>
              <w:top w:val="nil"/>
              <w:left w:val="nil"/>
              <w:bottom w:val="single" w:sz="8" w:space="0" w:color="auto"/>
              <w:right w:val="single" w:sz="8" w:space="0" w:color="auto"/>
            </w:tcBorders>
            <w:shd w:val="clear" w:color="auto" w:fill="auto"/>
            <w:noWrap/>
            <w:vAlign w:val="bottom"/>
            <w:hideMark/>
          </w:tcPr>
          <w:p w14:paraId="075FCFE7" w14:textId="77777777" w:rsidR="00271F27" w:rsidRPr="00271F27" w:rsidRDefault="00271F27" w:rsidP="00271F27">
            <w:pPr>
              <w:spacing w:after="0" w:line="240" w:lineRule="auto"/>
              <w:rPr>
                <w:rFonts w:cs="Calibri"/>
                <w:b/>
                <w:bCs/>
                <w:color w:val="000000"/>
                <w:sz w:val="22"/>
                <w:szCs w:val="22"/>
              </w:rPr>
            </w:pPr>
            <w:r w:rsidRPr="00271F27">
              <w:rPr>
                <w:rFonts w:cs="Calibri"/>
                <w:b/>
                <w:bCs/>
                <w:color w:val="000000"/>
                <w:sz w:val="22"/>
                <w:szCs w:val="22"/>
              </w:rPr>
              <w:t>NUM. IND</w:t>
            </w:r>
          </w:p>
        </w:tc>
      </w:tr>
      <w:tr w:rsidR="00271F27" w:rsidRPr="00271F27" w14:paraId="100B3CDB"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7947D4E1"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TROENO</w:t>
            </w:r>
          </w:p>
        </w:tc>
        <w:tc>
          <w:tcPr>
            <w:tcW w:w="3377" w:type="dxa"/>
            <w:tcBorders>
              <w:top w:val="nil"/>
              <w:left w:val="nil"/>
              <w:bottom w:val="single" w:sz="4" w:space="0" w:color="auto"/>
              <w:right w:val="single" w:sz="4" w:space="0" w:color="auto"/>
            </w:tcBorders>
            <w:shd w:val="clear" w:color="auto" w:fill="auto"/>
            <w:noWrap/>
            <w:vAlign w:val="bottom"/>
            <w:hideMark/>
          </w:tcPr>
          <w:p w14:paraId="53BEAEA2"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Ligustrum japonicum</w:t>
            </w:r>
          </w:p>
        </w:tc>
        <w:tc>
          <w:tcPr>
            <w:tcW w:w="1035" w:type="dxa"/>
            <w:tcBorders>
              <w:top w:val="nil"/>
              <w:left w:val="nil"/>
              <w:bottom w:val="single" w:sz="4" w:space="0" w:color="auto"/>
              <w:right w:val="single" w:sz="4" w:space="0" w:color="auto"/>
            </w:tcBorders>
            <w:shd w:val="clear" w:color="auto" w:fill="auto"/>
            <w:noWrap/>
            <w:vAlign w:val="bottom"/>
            <w:hideMark/>
          </w:tcPr>
          <w:p w14:paraId="553E6048"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14:paraId="5500856B"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55300</w:t>
            </w:r>
          </w:p>
        </w:tc>
      </w:tr>
      <w:tr w:rsidR="00271F27" w:rsidRPr="00271F27" w14:paraId="4E245F15"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1A2A4F04"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TROENO</w:t>
            </w:r>
          </w:p>
        </w:tc>
        <w:tc>
          <w:tcPr>
            <w:tcW w:w="3377" w:type="dxa"/>
            <w:tcBorders>
              <w:top w:val="nil"/>
              <w:left w:val="nil"/>
              <w:bottom w:val="single" w:sz="4" w:space="0" w:color="auto"/>
              <w:right w:val="single" w:sz="4" w:space="0" w:color="auto"/>
            </w:tcBorders>
            <w:shd w:val="clear" w:color="auto" w:fill="auto"/>
            <w:noWrap/>
            <w:vAlign w:val="bottom"/>
            <w:hideMark/>
          </w:tcPr>
          <w:p w14:paraId="6425FB6E"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Ligustrum japonicum</w:t>
            </w:r>
          </w:p>
        </w:tc>
        <w:tc>
          <w:tcPr>
            <w:tcW w:w="1035" w:type="dxa"/>
            <w:tcBorders>
              <w:top w:val="nil"/>
              <w:left w:val="nil"/>
              <w:bottom w:val="single" w:sz="4" w:space="0" w:color="auto"/>
              <w:right w:val="single" w:sz="4" w:space="0" w:color="auto"/>
            </w:tcBorders>
            <w:shd w:val="clear" w:color="auto" w:fill="auto"/>
            <w:noWrap/>
            <w:vAlign w:val="bottom"/>
            <w:hideMark/>
          </w:tcPr>
          <w:p w14:paraId="202BA6E5"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14:paraId="45AE634D"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4350</w:t>
            </w:r>
          </w:p>
        </w:tc>
      </w:tr>
      <w:tr w:rsidR="00271F27" w:rsidRPr="00271F27" w14:paraId="0FD9AD3D"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646087DC"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TROENO</w:t>
            </w:r>
          </w:p>
        </w:tc>
        <w:tc>
          <w:tcPr>
            <w:tcW w:w="3377" w:type="dxa"/>
            <w:tcBorders>
              <w:top w:val="nil"/>
              <w:left w:val="nil"/>
              <w:bottom w:val="single" w:sz="4" w:space="0" w:color="auto"/>
              <w:right w:val="single" w:sz="4" w:space="0" w:color="auto"/>
            </w:tcBorders>
            <w:shd w:val="clear" w:color="auto" w:fill="auto"/>
            <w:noWrap/>
            <w:vAlign w:val="bottom"/>
            <w:hideMark/>
          </w:tcPr>
          <w:p w14:paraId="6648FDF4"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Ligustrum japonicum</w:t>
            </w:r>
          </w:p>
        </w:tc>
        <w:tc>
          <w:tcPr>
            <w:tcW w:w="1035" w:type="dxa"/>
            <w:tcBorders>
              <w:top w:val="nil"/>
              <w:left w:val="nil"/>
              <w:bottom w:val="single" w:sz="4" w:space="0" w:color="auto"/>
              <w:right w:val="single" w:sz="4" w:space="0" w:color="auto"/>
            </w:tcBorders>
            <w:shd w:val="clear" w:color="auto" w:fill="auto"/>
            <w:noWrap/>
            <w:vAlign w:val="bottom"/>
            <w:hideMark/>
          </w:tcPr>
          <w:p w14:paraId="19435D39"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14:paraId="485C168B"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600</w:t>
            </w:r>
          </w:p>
        </w:tc>
      </w:tr>
      <w:tr w:rsidR="00271F27" w:rsidRPr="00271F27" w14:paraId="41AECB93"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2CD7AF5D"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ARBOL DE CRUZ</w:t>
            </w:r>
          </w:p>
        </w:tc>
        <w:tc>
          <w:tcPr>
            <w:tcW w:w="3377" w:type="dxa"/>
            <w:tcBorders>
              <w:top w:val="nil"/>
              <w:left w:val="nil"/>
              <w:bottom w:val="single" w:sz="4" w:space="0" w:color="auto"/>
              <w:right w:val="single" w:sz="4" w:space="0" w:color="auto"/>
            </w:tcBorders>
            <w:shd w:val="clear" w:color="auto" w:fill="auto"/>
            <w:noWrap/>
            <w:vAlign w:val="bottom"/>
            <w:hideMark/>
          </w:tcPr>
          <w:p w14:paraId="696F5115"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Gleditsia tricanthus</w:t>
            </w:r>
          </w:p>
        </w:tc>
        <w:tc>
          <w:tcPr>
            <w:tcW w:w="1035" w:type="dxa"/>
            <w:tcBorders>
              <w:top w:val="nil"/>
              <w:left w:val="nil"/>
              <w:bottom w:val="single" w:sz="4" w:space="0" w:color="auto"/>
              <w:right w:val="single" w:sz="4" w:space="0" w:color="auto"/>
            </w:tcBorders>
            <w:shd w:val="clear" w:color="auto" w:fill="auto"/>
            <w:noWrap/>
            <w:vAlign w:val="bottom"/>
            <w:hideMark/>
          </w:tcPr>
          <w:p w14:paraId="6E868BB6"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14:paraId="3AAAB356"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150</w:t>
            </w:r>
          </w:p>
        </w:tc>
      </w:tr>
      <w:tr w:rsidR="00271F27" w:rsidRPr="00271F27" w14:paraId="675F0B17"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69C49E5E"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PALMA DE ABANICO</w:t>
            </w:r>
          </w:p>
        </w:tc>
        <w:tc>
          <w:tcPr>
            <w:tcW w:w="3377" w:type="dxa"/>
            <w:tcBorders>
              <w:top w:val="nil"/>
              <w:left w:val="nil"/>
              <w:bottom w:val="single" w:sz="4" w:space="0" w:color="auto"/>
              <w:right w:val="single" w:sz="4" w:space="0" w:color="auto"/>
            </w:tcBorders>
            <w:shd w:val="clear" w:color="auto" w:fill="auto"/>
            <w:noWrap/>
            <w:vAlign w:val="bottom"/>
            <w:hideMark/>
          </w:tcPr>
          <w:p w14:paraId="36FC5F6E"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Washingtonia spp.</w:t>
            </w:r>
          </w:p>
        </w:tc>
        <w:tc>
          <w:tcPr>
            <w:tcW w:w="1035" w:type="dxa"/>
            <w:tcBorders>
              <w:top w:val="nil"/>
              <w:left w:val="nil"/>
              <w:bottom w:val="single" w:sz="4" w:space="0" w:color="auto"/>
              <w:right w:val="single" w:sz="4" w:space="0" w:color="auto"/>
            </w:tcBorders>
            <w:shd w:val="clear" w:color="auto" w:fill="auto"/>
            <w:noWrap/>
            <w:vAlign w:val="bottom"/>
            <w:hideMark/>
          </w:tcPr>
          <w:p w14:paraId="0AE5CC4A"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14:paraId="2CDAF7BE"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1000</w:t>
            </w:r>
          </w:p>
        </w:tc>
      </w:tr>
      <w:tr w:rsidR="00271F27" w:rsidRPr="00271F27" w14:paraId="70F86B36"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44394DBE"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PALMA</w:t>
            </w:r>
          </w:p>
        </w:tc>
        <w:tc>
          <w:tcPr>
            <w:tcW w:w="3377" w:type="dxa"/>
            <w:tcBorders>
              <w:top w:val="nil"/>
              <w:left w:val="nil"/>
              <w:bottom w:val="single" w:sz="4" w:space="0" w:color="auto"/>
              <w:right w:val="single" w:sz="4" w:space="0" w:color="auto"/>
            </w:tcBorders>
            <w:shd w:val="clear" w:color="auto" w:fill="auto"/>
            <w:noWrap/>
            <w:vAlign w:val="bottom"/>
            <w:hideMark/>
          </w:tcPr>
          <w:p w14:paraId="65684A70"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Washingtonia sp.</w:t>
            </w:r>
          </w:p>
        </w:tc>
        <w:tc>
          <w:tcPr>
            <w:tcW w:w="1035" w:type="dxa"/>
            <w:tcBorders>
              <w:top w:val="nil"/>
              <w:left w:val="nil"/>
              <w:bottom w:val="single" w:sz="4" w:space="0" w:color="auto"/>
              <w:right w:val="single" w:sz="4" w:space="0" w:color="auto"/>
            </w:tcBorders>
            <w:shd w:val="clear" w:color="auto" w:fill="auto"/>
            <w:noWrap/>
            <w:vAlign w:val="bottom"/>
            <w:hideMark/>
          </w:tcPr>
          <w:p w14:paraId="6CFC9169"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MEDIANA</w:t>
            </w:r>
          </w:p>
        </w:tc>
        <w:tc>
          <w:tcPr>
            <w:tcW w:w="1090" w:type="dxa"/>
            <w:tcBorders>
              <w:top w:val="nil"/>
              <w:left w:val="nil"/>
              <w:bottom w:val="single" w:sz="4" w:space="0" w:color="auto"/>
              <w:right w:val="single" w:sz="4" w:space="0" w:color="auto"/>
            </w:tcBorders>
            <w:shd w:val="clear" w:color="auto" w:fill="auto"/>
            <w:noWrap/>
            <w:vAlign w:val="bottom"/>
            <w:hideMark/>
          </w:tcPr>
          <w:p w14:paraId="30636A79"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400</w:t>
            </w:r>
          </w:p>
        </w:tc>
      </w:tr>
      <w:tr w:rsidR="00271F27" w:rsidRPr="00271F27" w14:paraId="1FFA15F0"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0535ECDC"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DURAZNO</w:t>
            </w:r>
          </w:p>
        </w:tc>
        <w:tc>
          <w:tcPr>
            <w:tcW w:w="3377" w:type="dxa"/>
            <w:tcBorders>
              <w:top w:val="nil"/>
              <w:left w:val="nil"/>
              <w:bottom w:val="single" w:sz="4" w:space="0" w:color="auto"/>
              <w:right w:val="single" w:sz="4" w:space="0" w:color="auto"/>
            </w:tcBorders>
            <w:shd w:val="clear" w:color="auto" w:fill="auto"/>
            <w:noWrap/>
            <w:vAlign w:val="bottom"/>
            <w:hideMark/>
          </w:tcPr>
          <w:p w14:paraId="00CC5951"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 xml:space="preserve">Prunus </w:t>
            </w:r>
            <w:r w:rsidR="008E6AE3">
              <w:rPr>
                <w:rFonts w:cs="Calibri"/>
                <w:color w:val="000000"/>
                <w:sz w:val="22"/>
                <w:szCs w:val="22"/>
              </w:rPr>
              <w:t>pérsica</w:t>
            </w:r>
          </w:p>
        </w:tc>
        <w:tc>
          <w:tcPr>
            <w:tcW w:w="1035" w:type="dxa"/>
            <w:tcBorders>
              <w:top w:val="nil"/>
              <w:left w:val="nil"/>
              <w:bottom w:val="single" w:sz="4" w:space="0" w:color="auto"/>
              <w:right w:val="single" w:sz="4" w:space="0" w:color="auto"/>
            </w:tcBorders>
            <w:shd w:val="clear" w:color="auto" w:fill="auto"/>
            <w:noWrap/>
            <w:vAlign w:val="bottom"/>
            <w:hideMark/>
          </w:tcPr>
          <w:p w14:paraId="3A8B1E0A"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14:paraId="060C4685"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60</w:t>
            </w:r>
          </w:p>
        </w:tc>
      </w:tr>
      <w:tr w:rsidR="00271F27" w:rsidRPr="00271F27" w14:paraId="13311645"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582865D0"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LILA</w:t>
            </w:r>
          </w:p>
        </w:tc>
        <w:tc>
          <w:tcPr>
            <w:tcW w:w="3377" w:type="dxa"/>
            <w:tcBorders>
              <w:top w:val="nil"/>
              <w:left w:val="nil"/>
              <w:bottom w:val="single" w:sz="4" w:space="0" w:color="auto"/>
              <w:right w:val="single" w:sz="4" w:space="0" w:color="auto"/>
            </w:tcBorders>
            <w:shd w:val="clear" w:color="auto" w:fill="auto"/>
            <w:noWrap/>
            <w:vAlign w:val="bottom"/>
            <w:hideMark/>
          </w:tcPr>
          <w:p w14:paraId="20D6BD4C"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Melia azederach</w:t>
            </w:r>
          </w:p>
        </w:tc>
        <w:tc>
          <w:tcPr>
            <w:tcW w:w="1035" w:type="dxa"/>
            <w:tcBorders>
              <w:top w:val="nil"/>
              <w:left w:val="nil"/>
              <w:bottom w:val="single" w:sz="4" w:space="0" w:color="auto"/>
              <w:right w:val="single" w:sz="4" w:space="0" w:color="auto"/>
            </w:tcBorders>
            <w:shd w:val="clear" w:color="auto" w:fill="auto"/>
            <w:noWrap/>
            <w:vAlign w:val="bottom"/>
            <w:hideMark/>
          </w:tcPr>
          <w:p w14:paraId="6928D331"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14:paraId="5E3ADCAF"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1500</w:t>
            </w:r>
          </w:p>
        </w:tc>
      </w:tr>
      <w:tr w:rsidR="00271F27" w:rsidRPr="00271F27" w14:paraId="632BF89A"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5D300FBC"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LILA</w:t>
            </w:r>
          </w:p>
        </w:tc>
        <w:tc>
          <w:tcPr>
            <w:tcW w:w="3377" w:type="dxa"/>
            <w:tcBorders>
              <w:top w:val="nil"/>
              <w:left w:val="nil"/>
              <w:bottom w:val="single" w:sz="4" w:space="0" w:color="auto"/>
              <w:right w:val="single" w:sz="4" w:space="0" w:color="auto"/>
            </w:tcBorders>
            <w:shd w:val="clear" w:color="auto" w:fill="auto"/>
            <w:noWrap/>
            <w:vAlign w:val="bottom"/>
            <w:hideMark/>
          </w:tcPr>
          <w:p w14:paraId="17D881C1"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Melia azederach</w:t>
            </w:r>
          </w:p>
        </w:tc>
        <w:tc>
          <w:tcPr>
            <w:tcW w:w="1035" w:type="dxa"/>
            <w:tcBorders>
              <w:top w:val="nil"/>
              <w:left w:val="nil"/>
              <w:bottom w:val="single" w:sz="4" w:space="0" w:color="auto"/>
              <w:right w:val="single" w:sz="4" w:space="0" w:color="auto"/>
            </w:tcBorders>
            <w:shd w:val="clear" w:color="auto" w:fill="auto"/>
            <w:noWrap/>
            <w:vAlign w:val="bottom"/>
            <w:hideMark/>
          </w:tcPr>
          <w:p w14:paraId="67F69683"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14:paraId="79F911C7"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60</w:t>
            </w:r>
          </w:p>
        </w:tc>
      </w:tr>
      <w:tr w:rsidR="00271F27" w:rsidRPr="00271F27" w14:paraId="65EB8D8E"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28ED08C8"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CIPRES</w:t>
            </w:r>
          </w:p>
        </w:tc>
        <w:tc>
          <w:tcPr>
            <w:tcW w:w="3377" w:type="dxa"/>
            <w:tcBorders>
              <w:top w:val="nil"/>
              <w:left w:val="nil"/>
              <w:bottom w:val="single" w:sz="4" w:space="0" w:color="auto"/>
              <w:right w:val="single" w:sz="4" w:space="0" w:color="auto"/>
            </w:tcBorders>
            <w:shd w:val="clear" w:color="auto" w:fill="auto"/>
            <w:noWrap/>
            <w:vAlign w:val="bottom"/>
            <w:hideMark/>
          </w:tcPr>
          <w:p w14:paraId="2876BC85"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Cupressus semprevirens L. Pincel</w:t>
            </w:r>
          </w:p>
        </w:tc>
        <w:tc>
          <w:tcPr>
            <w:tcW w:w="1035" w:type="dxa"/>
            <w:tcBorders>
              <w:top w:val="nil"/>
              <w:left w:val="nil"/>
              <w:bottom w:val="single" w:sz="4" w:space="0" w:color="auto"/>
              <w:right w:val="single" w:sz="4" w:space="0" w:color="auto"/>
            </w:tcBorders>
            <w:shd w:val="clear" w:color="auto" w:fill="auto"/>
            <w:noWrap/>
            <w:vAlign w:val="bottom"/>
            <w:hideMark/>
          </w:tcPr>
          <w:p w14:paraId="6E2B0850"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14:paraId="03EAE8A4"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50</w:t>
            </w:r>
          </w:p>
        </w:tc>
      </w:tr>
      <w:tr w:rsidR="00271F27" w:rsidRPr="00271F27" w14:paraId="570472D6"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18A26059"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CIPRES</w:t>
            </w:r>
          </w:p>
        </w:tc>
        <w:tc>
          <w:tcPr>
            <w:tcW w:w="3377" w:type="dxa"/>
            <w:tcBorders>
              <w:top w:val="nil"/>
              <w:left w:val="nil"/>
              <w:bottom w:val="single" w:sz="4" w:space="0" w:color="auto"/>
              <w:right w:val="single" w:sz="4" w:space="0" w:color="auto"/>
            </w:tcBorders>
            <w:shd w:val="clear" w:color="auto" w:fill="auto"/>
            <w:noWrap/>
            <w:vAlign w:val="bottom"/>
            <w:hideMark/>
          </w:tcPr>
          <w:p w14:paraId="2856EF0E"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Cupressus semprevirens L. Pincel</w:t>
            </w:r>
          </w:p>
        </w:tc>
        <w:tc>
          <w:tcPr>
            <w:tcW w:w="1035" w:type="dxa"/>
            <w:tcBorders>
              <w:top w:val="nil"/>
              <w:left w:val="nil"/>
              <w:bottom w:val="single" w:sz="4" w:space="0" w:color="auto"/>
              <w:right w:val="single" w:sz="4" w:space="0" w:color="auto"/>
            </w:tcBorders>
            <w:shd w:val="clear" w:color="auto" w:fill="auto"/>
            <w:noWrap/>
            <w:vAlign w:val="bottom"/>
            <w:hideMark/>
          </w:tcPr>
          <w:p w14:paraId="2A1DB2D2"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14:paraId="5061E7BF"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1300</w:t>
            </w:r>
          </w:p>
        </w:tc>
      </w:tr>
      <w:tr w:rsidR="00271F27" w:rsidRPr="00271F27" w14:paraId="25584D75"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60B65D86"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FRESNO</w:t>
            </w:r>
          </w:p>
        </w:tc>
        <w:tc>
          <w:tcPr>
            <w:tcW w:w="3377" w:type="dxa"/>
            <w:tcBorders>
              <w:top w:val="nil"/>
              <w:left w:val="nil"/>
              <w:bottom w:val="single" w:sz="4" w:space="0" w:color="auto"/>
              <w:right w:val="single" w:sz="4" w:space="0" w:color="auto"/>
            </w:tcBorders>
            <w:shd w:val="clear" w:color="auto" w:fill="auto"/>
            <w:noWrap/>
            <w:vAlign w:val="bottom"/>
            <w:hideMark/>
          </w:tcPr>
          <w:p w14:paraId="4F2EB917"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Fraxinus udehi</w:t>
            </w:r>
          </w:p>
        </w:tc>
        <w:tc>
          <w:tcPr>
            <w:tcW w:w="1035" w:type="dxa"/>
            <w:tcBorders>
              <w:top w:val="nil"/>
              <w:left w:val="nil"/>
              <w:bottom w:val="single" w:sz="4" w:space="0" w:color="auto"/>
              <w:right w:val="single" w:sz="4" w:space="0" w:color="auto"/>
            </w:tcBorders>
            <w:shd w:val="clear" w:color="auto" w:fill="auto"/>
            <w:noWrap/>
            <w:vAlign w:val="bottom"/>
            <w:hideMark/>
          </w:tcPr>
          <w:p w14:paraId="4E7F9846"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14:paraId="10018502"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1500</w:t>
            </w:r>
          </w:p>
        </w:tc>
      </w:tr>
      <w:tr w:rsidR="00271F27" w:rsidRPr="00271F27" w14:paraId="0D260091"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47A05007"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FRESNO</w:t>
            </w:r>
          </w:p>
        </w:tc>
        <w:tc>
          <w:tcPr>
            <w:tcW w:w="3377" w:type="dxa"/>
            <w:tcBorders>
              <w:top w:val="nil"/>
              <w:left w:val="nil"/>
              <w:bottom w:val="single" w:sz="4" w:space="0" w:color="auto"/>
              <w:right w:val="single" w:sz="4" w:space="0" w:color="auto"/>
            </w:tcBorders>
            <w:shd w:val="clear" w:color="auto" w:fill="auto"/>
            <w:noWrap/>
            <w:vAlign w:val="bottom"/>
            <w:hideMark/>
          </w:tcPr>
          <w:p w14:paraId="6C2B042B"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Fraxinus udehi</w:t>
            </w:r>
          </w:p>
        </w:tc>
        <w:tc>
          <w:tcPr>
            <w:tcW w:w="1035" w:type="dxa"/>
            <w:tcBorders>
              <w:top w:val="nil"/>
              <w:left w:val="nil"/>
              <w:bottom w:val="single" w:sz="4" w:space="0" w:color="auto"/>
              <w:right w:val="single" w:sz="4" w:space="0" w:color="auto"/>
            </w:tcBorders>
            <w:shd w:val="clear" w:color="auto" w:fill="auto"/>
            <w:noWrap/>
            <w:vAlign w:val="bottom"/>
            <w:hideMark/>
          </w:tcPr>
          <w:p w14:paraId="494BC77A"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14:paraId="7B3075D9"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500</w:t>
            </w:r>
          </w:p>
        </w:tc>
      </w:tr>
      <w:tr w:rsidR="00271F27" w:rsidRPr="00271F27" w14:paraId="4137A1C7"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05F08289"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lastRenderedPageBreak/>
              <w:t>PIRUL</w:t>
            </w:r>
          </w:p>
        </w:tc>
        <w:tc>
          <w:tcPr>
            <w:tcW w:w="3377" w:type="dxa"/>
            <w:tcBorders>
              <w:top w:val="nil"/>
              <w:left w:val="nil"/>
              <w:bottom w:val="single" w:sz="4" w:space="0" w:color="auto"/>
              <w:right w:val="single" w:sz="4" w:space="0" w:color="auto"/>
            </w:tcBorders>
            <w:shd w:val="clear" w:color="auto" w:fill="auto"/>
            <w:noWrap/>
            <w:vAlign w:val="bottom"/>
            <w:hideMark/>
          </w:tcPr>
          <w:p w14:paraId="76CC7CA9"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Schinus mole</w:t>
            </w:r>
          </w:p>
        </w:tc>
        <w:tc>
          <w:tcPr>
            <w:tcW w:w="1035" w:type="dxa"/>
            <w:tcBorders>
              <w:top w:val="nil"/>
              <w:left w:val="nil"/>
              <w:bottom w:val="single" w:sz="4" w:space="0" w:color="auto"/>
              <w:right w:val="single" w:sz="4" w:space="0" w:color="auto"/>
            </w:tcBorders>
            <w:shd w:val="clear" w:color="auto" w:fill="auto"/>
            <w:noWrap/>
            <w:vAlign w:val="bottom"/>
            <w:hideMark/>
          </w:tcPr>
          <w:p w14:paraId="1DD756C2"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14:paraId="69281196"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800</w:t>
            </w:r>
          </w:p>
        </w:tc>
      </w:tr>
      <w:tr w:rsidR="00271F27" w:rsidRPr="00271F27" w14:paraId="7276472F"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0E46138E"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ACACIA</w:t>
            </w:r>
          </w:p>
        </w:tc>
        <w:tc>
          <w:tcPr>
            <w:tcW w:w="3377" w:type="dxa"/>
            <w:tcBorders>
              <w:top w:val="nil"/>
              <w:left w:val="nil"/>
              <w:bottom w:val="single" w:sz="4" w:space="0" w:color="auto"/>
              <w:right w:val="single" w:sz="4" w:space="0" w:color="auto"/>
            </w:tcBorders>
            <w:shd w:val="clear" w:color="auto" w:fill="auto"/>
            <w:noWrap/>
            <w:vAlign w:val="bottom"/>
            <w:hideMark/>
          </w:tcPr>
          <w:p w14:paraId="3168F445"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Acacia fernesiana</w:t>
            </w:r>
          </w:p>
        </w:tc>
        <w:tc>
          <w:tcPr>
            <w:tcW w:w="1035" w:type="dxa"/>
            <w:tcBorders>
              <w:top w:val="nil"/>
              <w:left w:val="nil"/>
              <w:bottom w:val="single" w:sz="4" w:space="0" w:color="auto"/>
              <w:right w:val="single" w:sz="4" w:space="0" w:color="auto"/>
            </w:tcBorders>
            <w:shd w:val="clear" w:color="auto" w:fill="auto"/>
            <w:noWrap/>
            <w:vAlign w:val="bottom"/>
            <w:hideMark/>
          </w:tcPr>
          <w:p w14:paraId="226FD20F"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14:paraId="36DA5EDE"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800</w:t>
            </w:r>
          </w:p>
        </w:tc>
      </w:tr>
      <w:tr w:rsidR="00271F27" w:rsidRPr="00271F27" w14:paraId="2E1531C4" w14:textId="77777777" w:rsidTr="00271F27">
        <w:trPr>
          <w:trHeight w:val="300"/>
        </w:trPr>
        <w:tc>
          <w:tcPr>
            <w:tcW w:w="3078" w:type="dxa"/>
            <w:tcBorders>
              <w:top w:val="nil"/>
              <w:left w:val="single" w:sz="4" w:space="0" w:color="auto"/>
              <w:bottom w:val="nil"/>
              <w:right w:val="single" w:sz="4" w:space="0" w:color="auto"/>
            </w:tcBorders>
            <w:shd w:val="clear" w:color="auto" w:fill="auto"/>
            <w:noWrap/>
            <w:vAlign w:val="bottom"/>
            <w:hideMark/>
          </w:tcPr>
          <w:p w14:paraId="3E95BC6D"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ACACIA</w:t>
            </w:r>
          </w:p>
        </w:tc>
        <w:tc>
          <w:tcPr>
            <w:tcW w:w="3377" w:type="dxa"/>
            <w:tcBorders>
              <w:top w:val="nil"/>
              <w:left w:val="nil"/>
              <w:bottom w:val="nil"/>
              <w:right w:val="single" w:sz="4" w:space="0" w:color="auto"/>
            </w:tcBorders>
            <w:shd w:val="clear" w:color="auto" w:fill="auto"/>
            <w:noWrap/>
            <w:vAlign w:val="bottom"/>
            <w:hideMark/>
          </w:tcPr>
          <w:p w14:paraId="116A803C"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Acacia fernesiana</w:t>
            </w:r>
          </w:p>
        </w:tc>
        <w:tc>
          <w:tcPr>
            <w:tcW w:w="1035" w:type="dxa"/>
            <w:tcBorders>
              <w:top w:val="nil"/>
              <w:left w:val="nil"/>
              <w:bottom w:val="nil"/>
              <w:right w:val="single" w:sz="4" w:space="0" w:color="auto"/>
            </w:tcBorders>
            <w:shd w:val="clear" w:color="auto" w:fill="auto"/>
            <w:noWrap/>
            <w:vAlign w:val="bottom"/>
            <w:hideMark/>
          </w:tcPr>
          <w:p w14:paraId="3DC64115"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nil"/>
              <w:right w:val="single" w:sz="4" w:space="0" w:color="auto"/>
            </w:tcBorders>
            <w:shd w:val="clear" w:color="auto" w:fill="auto"/>
            <w:noWrap/>
            <w:vAlign w:val="bottom"/>
            <w:hideMark/>
          </w:tcPr>
          <w:p w14:paraId="79BBA0D0"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900</w:t>
            </w:r>
          </w:p>
        </w:tc>
      </w:tr>
      <w:tr w:rsidR="00271F27" w:rsidRPr="00271F27" w14:paraId="27DF2CB5" w14:textId="77777777" w:rsidTr="00271F27">
        <w:trPr>
          <w:trHeight w:val="300"/>
        </w:trPr>
        <w:tc>
          <w:tcPr>
            <w:tcW w:w="30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2FCBF"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ACACIA</w:t>
            </w:r>
          </w:p>
        </w:tc>
        <w:tc>
          <w:tcPr>
            <w:tcW w:w="3377" w:type="dxa"/>
            <w:tcBorders>
              <w:top w:val="single" w:sz="4" w:space="0" w:color="auto"/>
              <w:left w:val="nil"/>
              <w:bottom w:val="single" w:sz="4" w:space="0" w:color="auto"/>
              <w:right w:val="single" w:sz="4" w:space="0" w:color="auto"/>
            </w:tcBorders>
            <w:shd w:val="clear" w:color="auto" w:fill="auto"/>
            <w:noWrap/>
            <w:vAlign w:val="bottom"/>
            <w:hideMark/>
          </w:tcPr>
          <w:p w14:paraId="1F4735B5"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Acacia fernesiana</w:t>
            </w:r>
          </w:p>
        </w:tc>
        <w:tc>
          <w:tcPr>
            <w:tcW w:w="1035" w:type="dxa"/>
            <w:tcBorders>
              <w:top w:val="single" w:sz="4" w:space="0" w:color="auto"/>
              <w:left w:val="nil"/>
              <w:bottom w:val="single" w:sz="4" w:space="0" w:color="auto"/>
              <w:right w:val="single" w:sz="4" w:space="0" w:color="auto"/>
            </w:tcBorders>
            <w:shd w:val="clear" w:color="auto" w:fill="auto"/>
            <w:noWrap/>
            <w:vAlign w:val="bottom"/>
            <w:hideMark/>
          </w:tcPr>
          <w:p w14:paraId="09E42039"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MEDIANA</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0FB4D86B"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900</w:t>
            </w:r>
          </w:p>
        </w:tc>
      </w:tr>
      <w:tr w:rsidR="00271F27" w:rsidRPr="00271F27" w14:paraId="06301F05" w14:textId="7777777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37C2D932"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PINO PIÑONERO</w:t>
            </w:r>
          </w:p>
        </w:tc>
        <w:tc>
          <w:tcPr>
            <w:tcW w:w="3377" w:type="dxa"/>
            <w:tcBorders>
              <w:top w:val="nil"/>
              <w:left w:val="nil"/>
              <w:bottom w:val="single" w:sz="4" w:space="0" w:color="auto"/>
              <w:right w:val="single" w:sz="4" w:space="0" w:color="auto"/>
            </w:tcBorders>
            <w:shd w:val="clear" w:color="auto" w:fill="auto"/>
            <w:noWrap/>
            <w:vAlign w:val="bottom"/>
            <w:hideMark/>
          </w:tcPr>
          <w:p w14:paraId="49132AE8"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Pinus cembroides</w:t>
            </w:r>
          </w:p>
        </w:tc>
        <w:tc>
          <w:tcPr>
            <w:tcW w:w="1035" w:type="dxa"/>
            <w:tcBorders>
              <w:top w:val="nil"/>
              <w:left w:val="nil"/>
              <w:bottom w:val="single" w:sz="4" w:space="0" w:color="auto"/>
              <w:right w:val="single" w:sz="4" w:space="0" w:color="auto"/>
            </w:tcBorders>
            <w:shd w:val="clear" w:color="auto" w:fill="auto"/>
            <w:noWrap/>
            <w:vAlign w:val="bottom"/>
            <w:hideMark/>
          </w:tcPr>
          <w:p w14:paraId="7F61D4A7"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14:paraId="67280AB8"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600</w:t>
            </w:r>
          </w:p>
        </w:tc>
      </w:tr>
      <w:tr w:rsidR="00271F27" w:rsidRPr="00271F27" w14:paraId="61F25461" w14:textId="77777777" w:rsidTr="00271F27">
        <w:trPr>
          <w:trHeight w:val="315"/>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14:paraId="7F22C50D"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PIRUL</w:t>
            </w:r>
          </w:p>
        </w:tc>
        <w:tc>
          <w:tcPr>
            <w:tcW w:w="3377" w:type="dxa"/>
            <w:tcBorders>
              <w:top w:val="nil"/>
              <w:left w:val="nil"/>
              <w:bottom w:val="single" w:sz="4" w:space="0" w:color="auto"/>
              <w:right w:val="single" w:sz="4" w:space="0" w:color="auto"/>
            </w:tcBorders>
            <w:shd w:val="clear" w:color="auto" w:fill="auto"/>
            <w:noWrap/>
            <w:vAlign w:val="bottom"/>
            <w:hideMark/>
          </w:tcPr>
          <w:p w14:paraId="73EE7370"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Schinus mole</w:t>
            </w:r>
          </w:p>
        </w:tc>
        <w:tc>
          <w:tcPr>
            <w:tcW w:w="1035" w:type="dxa"/>
            <w:tcBorders>
              <w:top w:val="nil"/>
              <w:left w:val="nil"/>
              <w:bottom w:val="nil"/>
              <w:right w:val="single" w:sz="4" w:space="0" w:color="auto"/>
            </w:tcBorders>
            <w:shd w:val="clear" w:color="auto" w:fill="auto"/>
            <w:noWrap/>
            <w:vAlign w:val="bottom"/>
            <w:hideMark/>
          </w:tcPr>
          <w:p w14:paraId="1DCF894C" w14:textId="77777777"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nil"/>
              <w:right w:val="single" w:sz="4" w:space="0" w:color="auto"/>
            </w:tcBorders>
            <w:shd w:val="clear" w:color="auto" w:fill="auto"/>
            <w:noWrap/>
            <w:vAlign w:val="bottom"/>
            <w:hideMark/>
          </w:tcPr>
          <w:p w14:paraId="3DD2FAF5" w14:textId="77777777"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1000</w:t>
            </w:r>
          </w:p>
        </w:tc>
      </w:tr>
      <w:tr w:rsidR="00271F27" w:rsidRPr="00271F27" w14:paraId="7D0FA607" w14:textId="77777777" w:rsidTr="00271F27">
        <w:trPr>
          <w:trHeight w:val="435"/>
        </w:trPr>
        <w:tc>
          <w:tcPr>
            <w:tcW w:w="3078" w:type="dxa"/>
            <w:tcBorders>
              <w:top w:val="nil"/>
              <w:left w:val="nil"/>
              <w:bottom w:val="nil"/>
              <w:right w:val="nil"/>
            </w:tcBorders>
            <w:shd w:val="clear" w:color="auto" w:fill="auto"/>
            <w:noWrap/>
            <w:vAlign w:val="bottom"/>
            <w:hideMark/>
          </w:tcPr>
          <w:p w14:paraId="289C031A" w14:textId="77777777" w:rsidR="00271F27" w:rsidRPr="00271F27" w:rsidRDefault="00271F27" w:rsidP="00271F27">
            <w:pPr>
              <w:spacing w:after="0" w:line="240" w:lineRule="auto"/>
              <w:jc w:val="right"/>
              <w:rPr>
                <w:rFonts w:cs="Calibri"/>
                <w:color w:val="000000"/>
                <w:sz w:val="22"/>
                <w:szCs w:val="22"/>
              </w:rPr>
            </w:pPr>
          </w:p>
        </w:tc>
        <w:tc>
          <w:tcPr>
            <w:tcW w:w="3377" w:type="dxa"/>
            <w:tcBorders>
              <w:top w:val="nil"/>
              <w:left w:val="nil"/>
              <w:bottom w:val="nil"/>
              <w:right w:val="nil"/>
            </w:tcBorders>
            <w:shd w:val="clear" w:color="auto" w:fill="auto"/>
            <w:noWrap/>
            <w:vAlign w:val="bottom"/>
            <w:hideMark/>
          </w:tcPr>
          <w:p w14:paraId="042FCB93" w14:textId="77777777" w:rsidR="00271F27" w:rsidRPr="00271F27" w:rsidRDefault="00271F27" w:rsidP="00271F27">
            <w:pPr>
              <w:spacing w:after="0" w:line="240" w:lineRule="auto"/>
              <w:rPr>
                <w:rFonts w:ascii="Times New Roman" w:hAnsi="Times New Roman"/>
                <w:sz w:val="20"/>
                <w:szCs w:val="20"/>
              </w:rPr>
            </w:pPr>
          </w:p>
        </w:tc>
        <w:tc>
          <w:tcPr>
            <w:tcW w:w="103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8A172B0" w14:textId="77777777" w:rsidR="00271F27" w:rsidRPr="00271F27" w:rsidRDefault="00271F27" w:rsidP="00271F27">
            <w:pPr>
              <w:spacing w:after="0" w:line="240" w:lineRule="auto"/>
              <w:rPr>
                <w:rFonts w:cs="Calibri"/>
                <w:b/>
                <w:bCs/>
                <w:color w:val="000000"/>
                <w:sz w:val="32"/>
                <w:szCs w:val="32"/>
              </w:rPr>
            </w:pPr>
            <w:r w:rsidRPr="00271F27">
              <w:rPr>
                <w:rFonts w:cs="Calibri"/>
                <w:b/>
                <w:bCs/>
                <w:color w:val="000000"/>
                <w:sz w:val="32"/>
                <w:szCs w:val="32"/>
              </w:rPr>
              <w:t>TOTAL</w:t>
            </w:r>
          </w:p>
        </w:tc>
        <w:tc>
          <w:tcPr>
            <w:tcW w:w="1090" w:type="dxa"/>
            <w:tcBorders>
              <w:top w:val="single" w:sz="8" w:space="0" w:color="auto"/>
              <w:left w:val="nil"/>
              <w:bottom w:val="single" w:sz="8" w:space="0" w:color="auto"/>
              <w:right w:val="single" w:sz="8" w:space="0" w:color="auto"/>
            </w:tcBorders>
            <w:shd w:val="clear" w:color="auto" w:fill="auto"/>
            <w:noWrap/>
            <w:vAlign w:val="bottom"/>
            <w:hideMark/>
          </w:tcPr>
          <w:p w14:paraId="24B98AD4" w14:textId="77777777" w:rsidR="00271F27" w:rsidRPr="00271F27" w:rsidRDefault="00271F27" w:rsidP="00271F27">
            <w:pPr>
              <w:spacing w:after="0" w:line="240" w:lineRule="auto"/>
              <w:jc w:val="right"/>
              <w:rPr>
                <w:rFonts w:cs="Calibri"/>
                <w:b/>
                <w:bCs/>
                <w:color w:val="000000"/>
                <w:sz w:val="32"/>
                <w:szCs w:val="32"/>
              </w:rPr>
            </w:pPr>
            <w:r w:rsidRPr="00271F27">
              <w:rPr>
                <w:rFonts w:cs="Calibri"/>
                <w:b/>
                <w:bCs/>
                <w:color w:val="000000"/>
                <w:sz w:val="32"/>
                <w:szCs w:val="32"/>
              </w:rPr>
              <w:t>70780</w:t>
            </w:r>
          </w:p>
        </w:tc>
      </w:tr>
      <w:tr w:rsidR="00271F27" w:rsidRPr="00271F27" w14:paraId="276AC33F" w14:textId="77777777" w:rsidTr="00271F27">
        <w:trPr>
          <w:trHeight w:val="420"/>
        </w:trPr>
        <w:tc>
          <w:tcPr>
            <w:tcW w:w="3078" w:type="dxa"/>
            <w:tcBorders>
              <w:top w:val="nil"/>
              <w:left w:val="nil"/>
              <w:bottom w:val="nil"/>
              <w:right w:val="nil"/>
            </w:tcBorders>
            <w:shd w:val="clear" w:color="auto" w:fill="auto"/>
            <w:noWrap/>
            <w:vAlign w:val="bottom"/>
            <w:hideMark/>
          </w:tcPr>
          <w:p w14:paraId="5C615187" w14:textId="77777777" w:rsidR="00271F27" w:rsidRPr="00271F27" w:rsidRDefault="00271F27" w:rsidP="00271F27">
            <w:pPr>
              <w:spacing w:after="0" w:line="240" w:lineRule="auto"/>
              <w:jc w:val="right"/>
              <w:rPr>
                <w:rFonts w:cs="Calibri"/>
                <w:b/>
                <w:bCs/>
                <w:color w:val="000000"/>
                <w:sz w:val="32"/>
                <w:szCs w:val="32"/>
              </w:rPr>
            </w:pPr>
          </w:p>
        </w:tc>
        <w:tc>
          <w:tcPr>
            <w:tcW w:w="3377" w:type="dxa"/>
            <w:tcBorders>
              <w:top w:val="nil"/>
              <w:left w:val="nil"/>
              <w:bottom w:val="nil"/>
              <w:right w:val="nil"/>
            </w:tcBorders>
            <w:shd w:val="clear" w:color="auto" w:fill="auto"/>
            <w:noWrap/>
            <w:vAlign w:val="bottom"/>
            <w:hideMark/>
          </w:tcPr>
          <w:p w14:paraId="1C8192F8" w14:textId="77777777" w:rsidR="00271F27" w:rsidRPr="00271F27" w:rsidRDefault="00271F27" w:rsidP="00271F27">
            <w:pPr>
              <w:spacing w:after="0" w:line="240" w:lineRule="auto"/>
              <w:rPr>
                <w:rFonts w:ascii="Times New Roman" w:hAnsi="Times New Roman"/>
                <w:sz w:val="20"/>
                <w:szCs w:val="20"/>
              </w:rPr>
            </w:pPr>
          </w:p>
        </w:tc>
        <w:tc>
          <w:tcPr>
            <w:tcW w:w="1035" w:type="dxa"/>
            <w:tcBorders>
              <w:top w:val="nil"/>
              <w:left w:val="nil"/>
              <w:bottom w:val="nil"/>
              <w:right w:val="nil"/>
            </w:tcBorders>
            <w:shd w:val="clear" w:color="auto" w:fill="auto"/>
            <w:noWrap/>
            <w:vAlign w:val="bottom"/>
            <w:hideMark/>
          </w:tcPr>
          <w:p w14:paraId="31EFEF4A" w14:textId="77777777" w:rsidR="00271F27" w:rsidRPr="00271F27" w:rsidRDefault="00271F27" w:rsidP="00271F27">
            <w:pPr>
              <w:spacing w:after="0" w:line="240" w:lineRule="auto"/>
              <w:rPr>
                <w:rFonts w:ascii="Times New Roman" w:hAnsi="Times New Roman"/>
                <w:sz w:val="20"/>
                <w:szCs w:val="20"/>
              </w:rPr>
            </w:pPr>
          </w:p>
        </w:tc>
        <w:tc>
          <w:tcPr>
            <w:tcW w:w="1090" w:type="dxa"/>
            <w:tcBorders>
              <w:top w:val="nil"/>
              <w:left w:val="nil"/>
              <w:bottom w:val="nil"/>
              <w:right w:val="nil"/>
            </w:tcBorders>
            <w:shd w:val="clear" w:color="auto" w:fill="auto"/>
            <w:noWrap/>
            <w:vAlign w:val="bottom"/>
            <w:hideMark/>
          </w:tcPr>
          <w:p w14:paraId="5CBBB064" w14:textId="77777777" w:rsidR="00271F27" w:rsidRPr="00271F27" w:rsidRDefault="00271F27" w:rsidP="00271F27">
            <w:pPr>
              <w:spacing w:after="0" w:line="240" w:lineRule="auto"/>
              <w:rPr>
                <w:rFonts w:ascii="Times New Roman" w:hAnsi="Times New Roman"/>
                <w:sz w:val="20"/>
                <w:szCs w:val="20"/>
              </w:rPr>
            </w:pPr>
          </w:p>
        </w:tc>
      </w:tr>
    </w:tbl>
    <w:p w14:paraId="5EE57A88" w14:textId="77777777" w:rsidR="00271F27" w:rsidRPr="00A66160" w:rsidRDefault="00271F27" w:rsidP="00A66160">
      <w:pPr>
        <w:jc w:val="both"/>
        <w:rPr>
          <w:rFonts w:ascii="Arial" w:hAnsi="Arial" w:cs="Arial"/>
          <w:sz w:val="22"/>
          <w:szCs w:val="22"/>
        </w:rPr>
      </w:pPr>
      <w:r w:rsidRPr="00A66160">
        <w:rPr>
          <w:rFonts w:ascii="Arial" w:hAnsi="Arial" w:cs="Arial"/>
          <w:sz w:val="22"/>
          <w:szCs w:val="22"/>
        </w:rPr>
        <w:t>ACTIVIDADES REALIZADAS EN EL JARDIN BOTÁNICO</w:t>
      </w:r>
    </w:p>
    <w:p w14:paraId="249A956A" w14:textId="77777777" w:rsidR="00DA4243" w:rsidRPr="00A66160" w:rsidRDefault="00DA4243" w:rsidP="00A66160">
      <w:pPr>
        <w:pStyle w:val="Sangra2detindependiente"/>
        <w:tabs>
          <w:tab w:val="left" w:pos="2268"/>
        </w:tabs>
        <w:spacing w:line="240" w:lineRule="auto"/>
        <w:ind w:left="0"/>
        <w:jc w:val="both"/>
        <w:rPr>
          <w:rFonts w:ascii="Arial" w:hAnsi="Arial" w:cs="Arial"/>
          <w:b/>
          <w:sz w:val="22"/>
          <w:szCs w:val="22"/>
        </w:rPr>
      </w:pPr>
      <w:r w:rsidRPr="00A66160">
        <w:rPr>
          <w:rFonts w:ascii="Arial" w:hAnsi="Arial" w:cs="Arial"/>
          <w:b/>
          <w:sz w:val="22"/>
          <w:szCs w:val="22"/>
        </w:rPr>
        <w:t>JARDÍN BOTÁNICO</w:t>
      </w:r>
    </w:p>
    <w:p w14:paraId="5962D8ED" w14:textId="77777777" w:rsidR="00DA4243" w:rsidRPr="00A66160" w:rsidRDefault="00DA4243" w:rsidP="00A66160">
      <w:pPr>
        <w:pStyle w:val="Sangra2detindependiente"/>
        <w:tabs>
          <w:tab w:val="left" w:pos="2268"/>
        </w:tabs>
        <w:spacing w:after="0" w:line="360" w:lineRule="auto"/>
        <w:ind w:left="0"/>
        <w:jc w:val="both"/>
        <w:rPr>
          <w:rFonts w:ascii="Arial" w:hAnsi="Arial" w:cs="Arial"/>
          <w:sz w:val="22"/>
          <w:szCs w:val="22"/>
        </w:rPr>
      </w:pPr>
      <w:r w:rsidRPr="00A66160">
        <w:rPr>
          <w:rFonts w:ascii="Arial" w:hAnsi="Arial" w:cs="Arial"/>
          <w:b/>
          <w:sz w:val="22"/>
          <w:szCs w:val="22"/>
        </w:rPr>
        <w:t>Ing. Gustavo Aguirre Benavides</w:t>
      </w:r>
    </w:p>
    <w:p w14:paraId="4028D8A2" w14:textId="77777777" w:rsidR="00DA4243" w:rsidRPr="00A66160" w:rsidRDefault="00DA4243" w:rsidP="00A66160">
      <w:pPr>
        <w:pStyle w:val="Sangra2detindependiente"/>
        <w:tabs>
          <w:tab w:val="left" w:pos="2268"/>
        </w:tabs>
        <w:spacing w:after="0" w:line="360" w:lineRule="auto"/>
        <w:ind w:left="0"/>
        <w:jc w:val="both"/>
        <w:rPr>
          <w:rFonts w:ascii="Arial" w:hAnsi="Arial" w:cs="Arial"/>
          <w:b/>
          <w:sz w:val="22"/>
          <w:szCs w:val="22"/>
        </w:rPr>
      </w:pPr>
      <w:r w:rsidRPr="00A66160">
        <w:rPr>
          <w:rFonts w:ascii="Arial" w:hAnsi="Arial" w:cs="Arial"/>
          <w:sz w:val="22"/>
          <w:szCs w:val="22"/>
        </w:rPr>
        <w:t>Proyecto (01-03-0205-0135).</w:t>
      </w:r>
    </w:p>
    <w:p w14:paraId="7A0BA533" w14:textId="77777777" w:rsidR="00DA4243" w:rsidRPr="00A66160" w:rsidRDefault="00DA4243" w:rsidP="00A66160">
      <w:pPr>
        <w:pStyle w:val="Sangra2detindependiente"/>
        <w:tabs>
          <w:tab w:val="left" w:pos="2268"/>
        </w:tabs>
        <w:spacing w:line="240" w:lineRule="auto"/>
        <w:ind w:left="0"/>
        <w:jc w:val="both"/>
        <w:rPr>
          <w:rFonts w:ascii="Arial" w:hAnsi="Arial" w:cs="Arial"/>
          <w:sz w:val="22"/>
          <w:szCs w:val="22"/>
        </w:rPr>
      </w:pPr>
      <w:r w:rsidRPr="00A66160">
        <w:rPr>
          <w:rFonts w:ascii="Arial" w:hAnsi="Arial" w:cs="Arial"/>
          <w:sz w:val="22"/>
          <w:szCs w:val="22"/>
        </w:rPr>
        <w:t>Responsable Técnico del Jardín Botánico 2015</w:t>
      </w:r>
    </w:p>
    <w:p w14:paraId="2BCD9A60" w14:textId="77777777" w:rsidR="00DA4243" w:rsidRPr="00A66160" w:rsidRDefault="00DA4243" w:rsidP="00A66160">
      <w:pPr>
        <w:pStyle w:val="Sangra2detindependiente"/>
        <w:tabs>
          <w:tab w:val="left" w:pos="2268"/>
        </w:tabs>
        <w:spacing w:line="240" w:lineRule="auto"/>
        <w:ind w:left="0"/>
        <w:jc w:val="both"/>
        <w:rPr>
          <w:rFonts w:ascii="Arial" w:hAnsi="Arial" w:cs="Arial"/>
          <w:sz w:val="22"/>
          <w:szCs w:val="22"/>
        </w:rPr>
      </w:pPr>
    </w:p>
    <w:p w14:paraId="09A830AA" w14:textId="77777777" w:rsidR="00DA4243" w:rsidRPr="00A66160" w:rsidRDefault="00DA4243" w:rsidP="00A66160">
      <w:pPr>
        <w:pStyle w:val="Sangradetextonormal"/>
        <w:ind w:left="0" w:firstLine="708"/>
        <w:jc w:val="both"/>
        <w:rPr>
          <w:rFonts w:ascii="Arial" w:hAnsi="Arial" w:cs="Arial"/>
          <w:sz w:val="22"/>
          <w:szCs w:val="22"/>
        </w:rPr>
      </w:pPr>
      <w:r w:rsidRPr="00A66160">
        <w:rPr>
          <w:rFonts w:ascii="Arial" w:hAnsi="Arial" w:cs="Arial"/>
          <w:sz w:val="22"/>
          <w:szCs w:val="22"/>
        </w:rPr>
        <w:t xml:space="preserve">El número de visitantes fue de 892 según el diario de registro, atendiéndose visitas de México de la Universidad Autónoma de Chapingo, UNAM, Facultad de Ciencias Biológicas FCB UJED, Desarrollo para un Futuro Sustentable, A.C. Huariche Parras, Coah., de Nuevo León y Saltillo así como alumnos de esta universidad de diferentes especialidades, tesistas, maestros y público en general. </w:t>
      </w:r>
    </w:p>
    <w:p w14:paraId="145FB0CB" w14:textId="77777777" w:rsidR="00DA4243" w:rsidRPr="00A66160" w:rsidRDefault="00DA4243" w:rsidP="00A66160">
      <w:pPr>
        <w:jc w:val="both"/>
        <w:rPr>
          <w:rFonts w:ascii="Arial" w:hAnsi="Arial" w:cs="Arial"/>
          <w:sz w:val="22"/>
          <w:szCs w:val="22"/>
        </w:rPr>
      </w:pPr>
      <w:r w:rsidRPr="00A66160">
        <w:rPr>
          <w:rFonts w:ascii="Arial" w:hAnsi="Arial" w:cs="Arial"/>
          <w:sz w:val="22"/>
          <w:szCs w:val="22"/>
        </w:rPr>
        <w:t xml:space="preserve">Se realizaron 9 salidas (número de anticipos (viáticos y gasolina),1104, 1105, 1106, 1736, 1738, 1740, 3077, 3076 y 3079,para realizar colectas de Plántulas, Germoplasma de especies arbustivas, arbóreas, hierbas, zacates y cactáceas en los diferentes ecosistemas en los Estados de  Coahuila, de las siguientes localidades: </w:t>
      </w:r>
    </w:p>
    <w:p w14:paraId="360E16B7" w14:textId="77777777" w:rsidR="00DA4243" w:rsidRPr="00A66160" w:rsidRDefault="00DA4243" w:rsidP="00A66160">
      <w:pPr>
        <w:jc w:val="both"/>
        <w:rPr>
          <w:rFonts w:ascii="Arial" w:hAnsi="Arial" w:cs="Arial"/>
          <w:sz w:val="22"/>
          <w:szCs w:val="22"/>
        </w:rPr>
      </w:pPr>
      <w:r w:rsidRPr="00A66160">
        <w:rPr>
          <w:rFonts w:ascii="Arial" w:hAnsi="Arial" w:cs="Arial"/>
          <w:b/>
          <w:sz w:val="22"/>
          <w:szCs w:val="22"/>
        </w:rPr>
        <w:t xml:space="preserve">Coahuila; </w:t>
      </w:r>
      <w:r w:rsidRPr="00A66160">
        <w:rPr>
          <w:rFonts w:ascii="Arial" w:hAnsi="Arial" w:cs="Arial"/>
          <w:sz w:val="22"/>
          <w:szCs w:val="22"/>
        </w:rPr>
        <w:t>Sierra de la Paila, mpios de General Cepeda y Ramos Arizpe, Sierra de Parras, mpio. de Parras de la Fuente y Sierra de Arteaga, mpio. de Arteaga</w:t>
      </w:r>
    </w:p>
    <w:p w14:paraId="558A4272" w14:textId="77777777" w:rsidR="00DA4243" w:rsidRPr="00A66160" w:rsidRDefault="00DA4243" w:rsidP="00A66160">
      <w:pPr>
        <w:jc w:val="both"/>
        <w:rPr>
          <w:rFonts w:ascii="Arial" w:hAnsi="Arial" w:cs="Arial"/>
          <w:sz w:val="22"/>
          <w:szCs w:val="22"/>
        </w:rPr>
      </w:pPr>
      <w:r w:rsidRPr="00A66160">
        <w:rPr>
          <w:rFonts w:ascii="Arial" w:hAnsi="Arial" w:cs="Arial"/>
          <w:sz w:val="22"/>
          <w:szCs w:val="22"/>
        </w:rPr>
        <w:t>Colectándose un total de 80 ejemplares botánicas que están plantadas en diferentes áreas del Jardín Botánico, algunas especies colectadas son de suma importancia ya que algunas se trataban de especies endémicas y en peligro de extinción.</w:t>
      </w:r>
    </w:p>
    <w:p w14:paraId="3423F2B2" w14:textId="77777777" w:rsidR="00DA4243" w:rsidRPr="00A66160" w:rsidRDefault="00DA4243" w:rsidP="00A66160">
      <w:pPr>
        <w:spacing w:after="0" w:line="240" w:lineRule="auto"/>
        <w:jc w:val="both"/>
        <w:rPr>
          <w:rFonts w:ascii="Arial" w:hAnsi="Arial" w:cs="Arial"/>
          <w:sz w:val="22"/>
          <w:szCs w:val="22"/>
        </w:rPr>
      </w:pPr>
    </w:p>
    <w:p w14:paraId="622263FD" w14:textId="77777777" w:rsidR="00DA4243" w:rsidRPr="00A66160" w:rsidRDefault="00DA4243" w:rsidP="00A66160">
      <w:pPr>
        <w:jc w:val="both"/>
        <w:rPr>
          <w:rFonts w:ascii="Arial" w:hAnsi="Arial" w:cs="Arial"/>
          <w:b/>
          <w:sz w:val="22"/>
          <w:szCs w:val="22"/>
        </w:rPr>
      </w:pPr>
      <w:r w:rsidRPr="00A66160">
        <w:rPr>
          <w:rFonts w:ascii="Arial" w:hAnsi="Arial" w:cs="Arial"/>
          <w:b/>
          <w:sz w:val="22"/>
          <w:szCs w:val="22"/>
        </w:rPr>
        <w:t>ALUMNOS DE SERVICIO SOCIAL Y HORAS BECA</w:t>
      </w:r>
    </w:p>
    <w:p w14:paraId="5C62CC22" w14:textId="77777777" w:rsidR="00DA4243" w:rsidRPr="00A66160" w:rsidRDefault="00DA4243" w:rsidP="00A66160">
      <w:pPr>
        <w:jc w:val="both"/>
        <w:rPr>
          <w:rFonts w:ascii="Arial" w:hAnsi="Arial" w:cs="Arial"/>
          <w:sz w:val="22"/>
          <w:szCs w:val="22"/>
        </w:rPr>
      </w:pPr>
      <w:r w:rsidRPr="00A66160">
        <w:rPr>
          <w:rFonts w:ascii="Arial" w:hAnsi="Arial" w:cs="Arial"/>
          <w:sz w:val="22"/>
          <w:szCs w:val="22"/>
        </w:rPr>
        <w:t>Se tiene un total de 9</w:t>
      </w:r>
      <w:r w:rsidRPr="00A66160">
        <w:rPr>
          <w:rFonts w:ascii="Arial" w:hAnsi="Arial" w:cs="Arial"/>
          <w:b/>
          <w:sz w:val="22"/>
          <w:szCs w:val="22"/>
        </w:rPr>
        <w:t>alumnos de Servicio Social y becarios</w:t>
      </w:r>
      <w:r w:rsidRPr="00A66160">
        <w:rPr>
          <w:rFonts w:ascii="Arial" w:hAnsi="Arial" w:cs="Arial"/>
          <w:sz w:val="22"/>
          <w:szCs w:val="22"/>
        </w:rPr>
        <w:t xml:space="preserve"> de las carreras de Ing. En Agrobiologia, Administrador e Ing. en Horticultura, que se asignaron al área del Jardín Botánico.</w:t>
      </w:r>
    </w:p>
    <w:p w14:paraId="553E0B6B" w14:textId="77777777" w:rsidR="00DA4243" w:rsidRPr="00A66160" w:rsidRDefault="00DA4243" w:rsidP="00A66160">
      <w:pPr>
        <w:spacing w:after="0" w:line="240" w:lineRule="auto"/>
        <w:jc w:val="both"/>
        <w:rPr>
          <w:rFonts w:ascii="Arial" w:hAnsi="Arial" w:cs="Arial"/>
          <w:sz w:val="22"/>
          <w:szCs w:val="22"/>
        </w:rPr>
      </w:pPr>
      <w:r w:rsidRPr="00A66160">
        <w:rPr>
          <w:rFonts w:ascii="Arial" w:hAnsi="Arial" w:cs="Arial"/>
          <w:sz w:val="22"/>
          <w:szCs w:val="22"/>
        </w:rPr>
        <w:t>Relación de alumnos que se encuentran haciendo el Servicio Social y becados en el Jardín Botánico  UAAAN, de Enero-Junio del 2015 son:</w:t>
      </w:r>
    </w:p>
    <w:p w14:paraId="4848E442" w14:textId="77777777" w:rsidR="00DA4243" w:rsidRPr="00A66160" w:rsidRDefault="00DA4243" w:rsidP="00A66160">
      <w:pPr>
        <w:spacing w:after="0" w:line="240" w:lineRule="auto"/>
        <w:jc w:val="both"/>
        <w:rPr>
          <w:rFonts w:ascii="Arial" w:hAnsi="Arial" w:cs="Arial"/>
          <w:sz w:val="22"/>
          <w:szCs w:val="22"/>
        </w:rPr>
      </w:pPr>
    </w:p>
    <w:tbl>
      <w:tblPr>
        <w:tblW w:w="850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3828"/>
        <w:gridCol w:w="2126"/>
        <w:gridCol w:w="709"/>
        <w:gridCol w:w="1275"/>
      </w:tblGrid>
      <w:tr w:rsidR="00DA4243" w:rsidRPr="00A66160" w14:paraId="73314C33" w14:textId="77777777" w:rsidTr="00DB16CD">
        <w:tc>
          <w:tcPr>
            <w:tcW w:w="567" w:type="dxa"/>
            <w:tcBorders>
              <w:top w:val="single" w:sz="4" w:space="0" w:color="auto"/>
              <w:left w:val="single" w:sz="4" w:space="0" w:color="auto"/>
              <w:bottom w:val="single" w:sz="4" w:space="0" w:color="auto"/>
              <w:right w:val="single" w:sz="4" w:space="0" w:color="auto"/>
            </w:tcBorders>
          </w:tcPr>
          <w:p w14:paraId="2F699065" w14:textId="77777777" w:rsidR="00DA4243" w:rsidRPr="00A66160" w:rsidRDefault="00DA4243" w:rsidP="00A66160">
            <w:pPr>
              <w:pStyle w:val="Ttulo1"/>
              <w:spacing w:before="0" w:after="0"/>
              <w:ind w:left="57"/>
              <w:jc w:val="both"/>
              <w:rPr>
                <w:rFonts w:ascii="Arial" w:hAnsi="Arial" w:cs="Arial"/>
                <w:sz w:val="22"/>
                <w:szCs w:val="22"/>
              </w:rPr>
            </w:pPr>
          </w:p>
        </w:tc>
        <w:tc>
          <w:tcPr>
            <w:tcW w:w="3828" w:type="dxa"/>
            <w:tcBorders>
              <w:top w:val="single" w:sz="4" w:space="0" w:color="auto"/>
              <w:left w:val="single" w:sz="4" w:space="0" w:color="auto"/>
              <w:bottom w:val="single" w:sz="4" w:space="0" w:color="auto"/>
              <w:right w:val="single" w:sz="4" w:space="0" w:color="auto"/>
            </w:tcBorders>
          </w:tcPr>
          <w:p w14:paraId="7FD5330D" w14:textId="77777777" w:rsidR="00DA4243" w:rsidRPr="00A66160" w:rsidRDefault="00DA4243" w:rsidP="00A66160">
            <w:pPr>
              <w:pStyle w:val="Ttulo1"/>
              <w:spacing w:before="0" w:after="0"/>
              <w:ind w:left="57"/>
              <w:jc w:val="both"/>
              <w:rPr>
                <w:rFonts w:ascii="Arial" w:hAnsi="Arial" w:cs="Arial"/>
                <w:sz w:val="22"/>
                <w:szCs w:val="22"/>
              </w:rPr>
            </w:pPr>
            <w:r w:rsidRPr="00A66160">
              <w:rPr>
                <w:rFonts w:ascii="Arial" w:hAnsi="Arial" w:cs="Arial"/>
                <w:sz w:val="22"/>
                <w:szCs w:val="22"/>
              </w:rPr>
              <w:t>Alumnos</w:t>
            </w:r>
          </w:p>
        </w:tc>
        <w:tc>
          <w:tcPr>
            <w:tcW w:w="2126" w:type="dxa"/>
            <w:tcBorders>
              <w:top w:val="single" w:sz="4" w:space="0" w:color="auto"/>
              <w:left w:val="single" w:sz="4" w:space="0" w:color="auto"/>
              <w:bottom w:val="single" w:sz="4" w:space="0" w:color="auto"/>
              <w:right w:val="single" w:sz="4" w:space="0" w:color="auto"/>
            </w:tcBorders>
          </w:tcPr>
          <w:p w14:paraId="31147B0D" w14:textId="77777777" w:rsidR="00DA4243" w:rsidRPr="00A66160" w:rsidRDefault="00DA4243" w:rsidP="00A66160">
            <w:pPr>
              <w:pStyle w:val="Ttulo1"/>
              <w:spacing w:before="0" w:after="0"/>
              <w:ind w:left="57"/>
              <w:jc w:val="both"/>
              <w:rPr>
                <w:rFonts w:ascii="Arial" w:hAnsi="Arial" w:cs="Arial"/>
                <w:sz w:val="22"/>
                <w:szCs w:val="22"/>
              </w:rPr>
            </w:pPr>
            <w:r w:rsidRPr="00A66160">
              <w:rPr>
                <w:rFonts w:ascii="Arial" w:hAnsi="Arial" w:cs="Arial"/>
                <w:sz w:val="22"/>
                <w:szCs w:val="22"/>
              </w:rPr>
              <w:t>Carrera</w:t>
            </w:r>
          </w:p>
        </w:tc>
        <w:tc>
          <w:tcPr>
            <w:tcW w:w="709" w:type="dxa"/>
            <w:tcBorders>
              <w:top w:val="single" w:sz="4" w:space="0" w:color="auto"/>
              <w:left w:val="single" w:sz="4" w:space="0" w:color="auto"/>
              <w:bottom w:val="single" w:sz="4" w:space="0" w:color="auto"/>
              <w:right w:val="single" w:sz="4" w:space="0" w:color="auto"/>
            </w:tcBorders>
          </w:tcPr>
          <w:p w14:paraId="79C168FA" w14:textId="77777777" w:rsidR="00DA4243" w:rsidRPr="00A66160" w:rsidRDefault="00DA4243" w:rsidP="00A66160">
            <w:pPr>
              <w:pStyle w:val="Ttulo1"/>
              <w:spacing w:before="0" w:after="0"/>
              <w:ind w:left="57"/>
              <w:jc w:val="both"/>
              <w:rPr>
                <w:rFonts w:ascii="Arial" w:hAnsi="Arial" w:cs="Arial"/>
                <w:sz w:val="22"/>
                <w:szCs w:val="22"/>
              </w:rPr>
            </w:pPr>
            <w:r w:rsidRPr="00A66160">
              <w:rPr>
                <w:rFonts w:ascii="Arial" w:hAnsi="Arial" w:cs="Arial"/>
                <w:sz w:val="22"/>
                <w:szCs w:val="22"/>
              </w:rPr>
              <w:t>Sem.</w:t>
            </w:r>
          </w:p>
        </w:tc>
        <w:tc>
          <w:tcPr>
            <w:tcW w:w="1275" w:type="dxa"/>
            <w:tcBorders>
              <w:top w:val="single" w:sz="4" w:space="0" w:color="auto"/>
              <w:left w:val="single" w:sz="4" w:space="0" w:color="auto"/>
              <w:bottom w:val="single" w:sz="4" w:space="0" w:color="auto"/>
              <w:right w:val="single" w:sz="4" w:space="0" w:color="auto"/>
            </w:tcBorders>
          </w:tcPr>
          <w:p w14:paraId="0BE53510" w14:textId="77777777" w:rsidR="00DA4243" w:rsidRPr="00A66160" w:rsidRDefault="00DA4243" w:rsidP="00A66160">
            <w:pPr>
              <w:pStyle w:val="Ttulo1"/>
              <w:spacing w:before="0" w:after="0"/>
              <w:ind w:left="57"/>
              <w:jc w:val="both"/>
              <w:rPr>
                <w:rFonts w:ascii="Arial" w:hAnsi="Arial" w:cs="Arial"/>
                <w:sz w:val="22"/>
                <w:szCs w:val="22"/>
              </w:rPr>
            </w:pPr>
            <w:r w:rsidRPr="00A66160">
              <w:rPr>
                <w:rFonts w:ascii="Arial" w:hAnsi="Arial" w:cs="Arial"/>
                <w:sz w:val="22"/>
                <w:szCs w:val="22"/>
              </w:rPr>
              <w:t>Matricula</w:t>
            </w:r>
          </w:p>
        </w:tc>
      </w:tr>
      <w:tr w:rsidR="00DA4243" w:rsidRPr="00A66160" w14:paraId="0F778B2D" w14:textId="77777777" w:rsidTr="00DB16CD">
        <w:tc>
          <w:tcPr>
            <w:tcW w:w="567" w:type="dxa"/>
            <w:tcBorders>
              <w:top w:val="single" w:sz="4" w:space="0" w:color="auto"/>
              <w:left w:val="single" w:sz="4" w:space="0" w:color="auto"/>
              <w:bottom w:val="single" w:sz="4" w:space="0" w:color="auto"/>
              <w:right w:val="single" w:sz="4" w:space="0" w:color="auto"/>
            </w:tcBorders>
          </w:tcPr>
          <w:p w14:paraId="454532DE"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1</w:t>
            </w:r>
          </w:p>
        </w:tc>
        <w:tc>
          <w:tcPr>
            <w:tcW w:w="3828" w:type="dxa"/>
            <w:tcBorders>
              <w:top w:val="single" w:sz="4" w:space="0" w:color="auto"/>
              <w:left w:val="single" w:sz="4" w:space="0" w:color="auto"/>
              <w:bottom w:val="single" w:sz="4" w:space="0" w:color="auto"/>
              <w:right w:val="single" w:sz="4" w:space="0" w:color="auto"/>
            </w:tcBorders>
          </w:tcPr>
          <w:p w14:paraId="0ABD4FAF"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Claricelda Méndez Hernández</w:t>
            </w:r>
          </w:p>
        </w:tc>
        <w:tc>
          <w:tcPr>
            <w:tcW w:w="2126" w:type="dxa"/>
            <w:tcBorders>
              <w:top w:val="single" w:sz="4" w:space="0" w:color="auto"/>
              <w:left w:val="single" w:sz="4" w:space="0" w:color="auto"/>
              <w:bottom w:val="single" w:sz="4" w:space="0" w:color="auto"/>
              <w:right w:val="single" w:sz="4" w:space="0" w:color="auto"/>
            </w:tcBorders>
          </w:tcPr>
          <w:p w14:paraId="1BA6A8AB"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14:paraId="63A17585"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8º</w:t>
            </w:r>
          </w:p>
        </w:tc>
        <w:tc>
          <w:tcPr>
            <w:tcW w:w="1275" w:type="dxa"/>
            <w:tcBorders>
              <w:top w:val="single" w:sz="4" w:space="0" w:color="auto"/>
              <w:left w:val="single" w:sz="4" w:space="0" w:color="auto"/>
              <w:bottom w:val="single" w:sz="4" w:space="0" w:color="auto"/>
              <w:right w:val="single" w:sz="4" w:space="0" w:color="auto"/>
            </w:tcBorders>
          </w:tcPr>
          <w:p w14:paraId="44266182"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41110763</w:t>
            </w:r>
          </w:p>
        </w:tc>
      </w:tr>
      <w:tr w:rsidR="00DA4243" w:rsidRPr="00A66160" w14:paraId="7A20C7C9" w14:textId="77777777" w:rsidTr="00DB16CD">
        <w:tc>
          <w:tcPr>
            <w:tcW w:w="567" w:type="dxa"/>
            <w:tcBorders>
              <w:top w:val="single" w:sz="4" w:space="0" w:color="auto"/>
              <w:left w:val="single" w:sz="4" w:space="0" w:color="auto"/>
              <w:bottom w:val="single" w:sz="4" w:space="0" w:color="auto"/>
              <w:right w:val="single" w:sz="4" w:space="0" w:color="auto"/>
            </w:tcBorders>
          </w:tcPr>
          <w:p w14:paraId="7822F3BE"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2</w:t>
            </w:r>
          </w:p>
        </w:tc>
        <w:tc>
          <w:tcPr>
            <w:tcW w:w="3828" w:type="dxa"/>
            <w:tcBorders>
              <w:top w:val="single" w:sz="4" w:space="0" w:color="auto"/>
              <w:left w:val="single" w:sz="4" w:space="0" w:color="auto"/>
              <w:bottom w:val="single" w:sz="4" w:space="0" w:color="auto"/>
              <w:right w:val="single" w:sz="4" w:space="0" w:color="auto"/>
            </w:tcBorders>
          </w:tcPr>
          <w:p w14:paraId="6FEDBB47"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Andrea de Ayala Ma. Del Carmen Nely</w:t>
            </w:r>
          </w:p>
        </w:tc>
        <w:tc>
          <w:tcPr>
            <w:tcW w:w="2126" w:type="dxa"/>
            <w:tcBorders>
              <w:top w:val="single" w:sz="4" w:space="0" w:color="auto"/>
              <w:left w:val="single" w:sz="4" w:space="0" w:color="auto"/>
              <w:bottom w:val="single" w:sz="4" w:space="0" w:color="auto"/>
              <w:right w:val="single" w:sz="4" w:space="0" w:color="auto"/>
            </w:tcBorders>
          </w:tcPr>
          <w:p w14:paraId="0E368B5B"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14:paraId="5D8CDF93"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4º</w:t>
            </w:r>
          </w:p>
        </w:tc>
        <w:tc>
          <w:tcPr>
            <w:tcW w:w="1275" w:type="dxa"/>
            <w:tcBorders>
              <w:top w:val="single" w:sz="4" w:space="0" w:color="auto"/>
              <w:left w:val="single" w:sz="4" w:space="0" w:color="auto"/>
              <w:bottom w:val="single" w:sz="4" w:space="0" w:color="auto"/>
              <w:right w:val="single" w:sz="4" w:space="0" w:color="auto"/>
            </w:tcBorders>
          </w:tcPr>
          <w:p w14:paraId="0069E91E"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304535</w:t>
            </w:r>
          </w:p>
        </w:tc>
      </w:tr>
      <w:tr w:rsidR="00DA4243" w:rsidRPr="00A66160" w14:paraId="24AB777E" w14:textId="77777777" w:rsidTr="00DB16CD">
        <w:tc>
          <w:tcPr>
            <w:tcW w:w="567" w:type="dxa"/>
            <w:tcBorders>
              <w:top w:val="single" w:sz="4" w:space="0" w:color="auto"/>
              <w:left w:val="single" w:sz="4" w:space="0" w:color="auto"/>
              <w:bottom w:val="single" w:sz="4" w:space="0" w:color="auto"/>
              <w:right w:val="single" w:sz="4" w:space="0" w:color="auto"/>
            </w:tcBorders>
          </w:tcPr>
          <w:p w14:paraId="569D6A72"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lastRenderedPageBreak/>
              <w:t>3</w:t>
            </w:r>
          </w:p>
        </w:tc>
        <w:tc>
          <w:tcPr>
            <w:tcW w:w="3828" w:type="dxa"/>
            <w:tcBorders>
              <w:top w:val="single" w:sz="4" w:space="0" w:color="auto"/>
              <w:left w:val="single" w:sz="4" w:space="0" w:color="auto"/>
              <w:bottom w:val="single" w:sz="4" w:space="0" w:color="auto"/>
              <w:right w:val="single" w:sz="4" w:space="0" w:color="auto"/>
            </w:tcBorders>
          </w:tcPr>
          <w:p w14:paraId="70098C60"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Gómez Cruz Nancy Areli</w:t>
            </w:r>
          </w:p>
        </w:tc>
        <w:tc>
          <w:tcPr>
            <w:tcW w:w="2126" w:type="dxa"/>
            <w:tcBorders>
              <w:top w:val="single" w:sz="4" w:space="0" w:color="auto"/>
              <w:left w:val="single" w:sz="4" w:space="0" w:color="auto"/>
              <w:bottom w:val="single" w:sz="4" w:space="0" w:color="auto"/>
              <w:right w:val="single" w:sz="4" w:space="0" w:color="auto"/>
            </w:tcBorders>
          </w:tcPr>
          <w:p w14:paraId="395B2D78"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14:paraId="79EC3253"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4º</w:t>
            </w:r>
          </w:p>
        </w:tc>
        <w:tc>
          <w:tcPr>
            <w:tcW w:w="1275" w:type="dxa"/>
            <w:tcBorders>
              <w:top w:val="single" w:sz="4" w:space="0" w:color="auto"/>
              <w:left w:val="single" w:sz="4" w:space="0" w:color="auto"/>
              <w:bottom w:val="single" w:sz="4" w:space="0" w:color="auto"/>
              <w:right w:val="single" w:sz="4" w:space="0" w:color="auto"/>
            </w:tcBorders>
          </w:tcPr>
          <w:p w14:paraId="7553A345"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41130014</w:t>
            </w:r>
          </w:p>
        </w:tc>
      </w:tr>
      <w:tr w:rsidR="00DA4243" w:rsidRPr="00A66160" w14:paraId="29C710F0" w14:textId="77777777" w:rsidTr="00DB16CD">
        <w:tc>
          <w:tcPr>
            <w:tcW w:w="567" w:type="dxa"/>
            <w:tcBorders>
              <w:top w:val="single" w:sz="4" w:space="0" w:color="auto"/>
              <w:left w:val="single" w:sz="4" w:space="0" w:color="auto"/>
              <w:bottom w:val="single" w:sz="4" w:space="0" w:color="auto"/>
              <w:right w:val="single" w:sz="4" w:space="0" w:color="auto"/>
            </w:tcBorders>
          </w:tcPr>
          <w:p w14:paraId="6113E620"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w:t>
            </w:r>
          </w:p>
        </w:tc>
        <w:tc>
          <w:tcPr>
            <w:tcW w:w="3828" w:type="dxa"/>
            <w:tcBorders>
              <w:top w:val="single" w:sz="4" w:space="0" w:color="auto"/>
              <w:left w:val="single" w:sz="4" w:space="0" w:color="auto"/>
              <w:bottom w:val="single" w:sz="4" w:space="0" w:color="auto"/>
              <w:right w:val="single" w:sz="4" w:space="0" w:color="auto"/>
            </w:tcBorders>
          </w:tcPr>
          <w:p w14:paraId="53705328"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Yoselin Athalia Rivera Jaramillo</w:t>
            </w:r>
          </w:p>
        </w:tc>
        <w:tc>
          <w:tcPr>
            <w:tcW w:w="2126" w:type="dxa"/>
            <w:tcBorders>
              <w:top w:val="single" w:sz="4" w:space="0" w:color="auto"/>
              <w:left w:val="single" w:sz="4" w:space="0" w:color="auto"/>
              <w:bottom w:val="single" w:sz="4" w:space="0" w:color="auto"/>
              <w:right w:val="single" w:sz="4" w:space="0" w:color="auto"/>
            </w:tcBorders>
          </w:tcPr>
          <w:p w14:paraId="17331733"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14:paraId="1E0DC80F"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4º</w:t>
            </w:r>
          </w:p>
        </w:tc>
        <w:tc>
          <w:tcPr>
            <w:tcW w:w="1275" w:type="dxa"/>
            <w:tcBorders>
              <w:top w:val="single" w:sz="4" w:space="0" w:color="auto"/>
              <w:left w:val="single" w:sz="4" w:space="0" w:color="auto"/>
              <w:bottom w:val="single" w:sz="4" w:space="0" w:color="auto"/>
              <w:right w:val="single" w:sz="4" w:space="0" w:color="auto"/>
            </w:tcBorders>
          </w:tcPr>
          <w:p w14:paraId="11C0BAB3"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41122870</w:t>
            </w:r>
          </w:p>
        </w:tc>
      </w:tr>
      <w:tr w:rsidR="00DA4243" w:rsidRPr="00A66160" w14:paraId="6A48D722" w14:textId="77777777" w:rsidTr="00DB16CD">
        <w:tc>
          <w:tcPr>
            <w:tcW w:w="567" w:type="dxa"/>
            <w:tcBorders>
              <w:top w:val="single" w:sz="4" w:space="0" w:color="auto"/>
              <w:left w:val="single" w:sz="4" w:space="0" w:color="auto"/>
              <w:bottom w:val="single" w:sz="4" w:space="0" w:color="auto"/>
              <w:right w:val="single" w:sz="4" w:space="0" w:color="auto"/>
            </w:tcBorders>
          </w:tcPr>
          <w:p w14:paraId="54E18B99"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5</w:t>
            </w:r>
          </w:p>
        </w:tc>
        <w:tc>
          <w:tcPr>
            <w:tcW w:w="3828" w:type="dxa"/>
            <w:tcBorders>
              <w:top w:val="single" w:sz="4" w:space="0" w:color="auto"/>
              <w:left w:val="single" w:sz="4" w:space="0" w:color="auto"/>
              <w:bottom w:val="single" w:sz="4" w:space="0" w:color="auto"/>
              <w:right w:val="single" w:sz="4" w:space="0" w:color="auto"/>
            </w:tcBorders>
          </w:tcPr>
          <w:p w14:paraId="6BB54033"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Toscano Olmedo Ghandy Alexis</w:t>
            </w:r>
          </w:p>
        </w:tc>
        <w:tc>
          <w:tcPr>
            <w:tcW w:w="2126" w:type="dxa"/>
            <w:tcBorders>
              <w:top w:val="single" w:sz="4" w:space="0" w:color="auto"/>
              <w:left w:val="single" w:sz="4" w:space="0" w:color="auto"/>
              <w:bottom w:val="single" w:sz="4" w:space="0" w:color="auto"/>
              <w:right w:val="single" w:sz="4" w:space="0" w:color="auto"/>
            </w:tcBorders>
          </w:tcPr>
          <w:p w14:paraId="236CD9A4"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14:paraId="21E63ED3"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6º</w:t>
            </w:r>
          </w:p>
        </w:tc>
        <w:tc>
          <w:tcPr>
            <w:tcW w:w="1275" w:type="dxa"/>
            <w:tcBorders>
              <w:top w:val="single" w:sz="4" w:space="0" w:color="auto"/>
              <w:left w:val="single" w:sz="4" w:space="0" w:color="auto"/>
              <w:bottom w:val="single" w:sz="4" w:space="0" w:color="auto"/>
              <w:right w:val="single" w:sz="4" w:space="0" w:color="auto"/>
            </w:tcBorders>
          </w:tcPr>
          <w:p w14:paraId="1904DAC1"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41128083</w:t>
            </w:r>
          </w:p>
        </w:tc>
      </w:tr>
      <w:tr w:rsidR="00DA4243" w:rsidRPr="00A66160" w14:paraId="02ACBB6D" w14:textId="77777777" w:rsidTr="00DB16CD">
        <w:tc>
          <w:tcPr>
            <w:tcW w:w="567" w:type="dxa"/>
            <w:tcBorders>
              <w:top w:val="single" w:sz="4" w:space="0" w:color="auto"/>
              <w:left w:val="single" w:sz="4" w:space="0" w:color="auto"/>
              <w:bottom w:val="single" w:sz="4" w:space="0" w:color="auto"/>
              <w:right w:val="single" w:sz="4" w:space="0" w:color="auto"/>
            </w:tcBorders>
          </w:tcPr>
          <w:p w14:paraId="077215F6"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6</w:t>
            </w:r>
          </w:p>
        </w:tc>
        <w:tc>
          <w:tcPr>
            <w:tcW w:w="3828" w:type="dxa"/>
            <w:tcBorders>
              <w:top w:val="single" w:sz="4" w:space="0" w:color="auto"/>
              <w:left w:val="single" w:sz="4" w:space="0" w:color="auto"/>
              <w:bottom w:val="single" w:sz="4" w:space="0" w:color="auto"/>
              <w:right w:val="single" w:sz="4" w:space="0" w:color="auto"/>
            </w:tcBorders>
          </w:tcPr>
          <w:p w14:paraId="3EC13358"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González Ramírez Abigail</w:t>
            </w:r>
          </w:p>
        </w:tc>
        <w:tc>
          <w:tcPr>
            <w:tcW w:w="2126" w:type="dxa"/>
            <w:tcBorders>
              <w:top w:val="single" w:sz="4" w:space="0" w:color="auto"/>
              <w:left w:val="single" w:sz="4" w:space="0" w:color="auto"/>
              <w:bottom w:val="single" w:sz="4" w:space="0" w:color="auto"/>
              <w:right w:val="single" w:sz="4" w:space="0" w:color="auto"/>
            </w:tcBorders>
          </w:tcPr>
          <w:p w14:paraId="14DB7A8F"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14:paraId="42F96D48"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5º</w:t>
            </w:r>
          </w:p>
        </w:tc>
        <w:tc>
          <w:tcPr>
            <w:tcW w:w="1275" w:type="dxa"/>
            <w:tcBorders>
              <w:top w:val="single" w:sz="4" w:space="0" w:color="auto"/>
              <w:left w:val="single" w:sz="4" w:space="0" w:color="auto"/>
              <w:bottom w:val="single" w:sz="4" w:space="0" w:color="auto"/>
              <w:right w:val="single" w:sz="4" w:space="0" w:color="auto"/>
            </w:tcBorders>
          </w:tcPr>
          <w:p w14:paraId="75E238DF"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41128018</w:t>
            </w:r>
          </w:p>
        </w:tc>
      </w:tr>
      <w:tr w:rsidR="00DA4243" w:rsidRPr="00A66160" w14:paraId="49610994" w14:textId="77777777" w:rsidTr="00DB16CD">
        <w:tc>
          <w:tcPr>
            <w:tcW w:w="567" w:type="dxa"/>
            <w:tcBorders>
              <w:top w:val="single" w:sz="4" w:space="0" w:color="auto"/>
              <w:left w:val="single" w:sz="4" w:space="0" w:color="auto"/>
              <w:bottom w:val="single" w:sz="4" w:space="0" w:color="auto"/>
              <w:right w:val="single" w:sz="4" w:space="0" w:color="auto"/>
            </w:tcBorders>
          </w:tcPr>
          <w:p w14:paraId="379EF42E"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7</w:t>
            </w:r>
          </w:p>
        </w:tc>
        <w:tc>
          <w:tcPr>
            <w:tcW w:w="3828" w:type="dxa"/>
            <w:tcBorders>
              <w:top w:val="single" w:sz="4" w:space="0" w:color="auto"/>
              <w:left w:val="single" w:sz="4" w:space="0" w:color="auto"/>
              <w:bottom w:val="single" w:sz="4" w:space="0" w:color="auto"/>
              <w:right w:val="single" w:sz="4" w:space="0" w:color="auto"/>
            </w:tcBorders>
          </w:tcPr>
          <w:p w14:paraId="680A494D"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Lenin Mendoza García</w:t>
            </w:r>
          </w:p>
        </w:tc>
        <w:tc>
          <w:tcPr>
            <w:tcW w:w="2126" w:type="dxa"/>
            <w:tcBorders>
              <w:top w:val="single" w:sz="4" w:space="0" w:color="auto"/>
              <w:left w:val="single" w:sz="4" w:space="0" w:color="auto"/>
              <w:bottom w:val="single" w:sz="4" w:space="0" w:color="auto"/>
              <w:right w:val="single" w:sz="4" w:space="0" w:color="auto"/>
            </w:tcBorders>
          </w:tcPr>
          <w:p w14:paraId="6DAAEF7A"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14:paraId="51B219B9"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6º</w:t>
            </w:r>
          </w:p>
        </w:tc>
        <w:tc>
          <w:tcPr>
            <w:tcW w:w="1275" w:type="dxa"/>
            <w:tcBorders>
              <w:top w:val="single" w:sz="4" w:space="0" w:color="auto"/>
              <w:left w:val="single" w:sz="4" w:space="0" w:color="auto"/>
              <w:bottom w:val="single" w:sz="4" w:space="0" w:color="auto"/>
              <w:right w:val="single" w:sz="4" w:space="0" w:color="auto"/>
            </w:tcBorders>
          </w:tcPr>
          <w:p w14:paraId="3891B888"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41110092</w:t>
            </w:r>
          </w:p>
        </w:tc>
      </w:tr>
      <w:tr w:rsidR="00DA4243" w:rsidRPr="00A66160" w14:paraId="64374579" w14:textId="77777777" w:rsidTr="00DB16CD">
        <w:tc>
          <w:tcPr>
            <w:tcW w:w="567" w:type="dxa"/>
            <w:tcBorders>
              <w:top w:val="single" w:sz="4" w:space="0" w:color="auto"/>
              <w:left w:val="single" w:sz="4" w:space="0" w:color="auto"/>
              <w:bottom w:val="single" w:sz="4" w:space="0" w:color="auto"/>
              <w:right w:val="single" w:sz="4" w:space="0" w:color="auto"/>
            </w:tcBorders>
          </w:tcPr>
          <w:p w14:paraId="2AB95A3E"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8</w:t>
            </w:r>
          </w:p>
        </w:tc>
        <w:tc>
          <w:tcPr>
            <w:tcW w:w="3828" w:type="dxa"/>
            <w:tcBorders>
              <w:top w:val="single" w:sz="4" w:space="0" w:color="auto"/>
              <w:left w:val="single" w:sz="4" w:space="0" w:color="auto"/>
              <w:bottom w:val="single" w:sz="4" w:space="0" w:color="auto"/>
              <w:right w:val="single" w:sz="4" w:space="0" w:color="auto"/>
            </w:tcBorders>
          </w:tcPr>
          <w:p w14:paraId="23C7D072"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Manuel Fernando Garza Garza</w:t>
            </w:r>
          </w:p>
        </w:tc>
        <w:tc>
          <w:tcPr>
            <w:tcW w:w="2126" w:type="dxa"/>
            <w:tcBorders>
              <w:top w:val="single" w:sz="4" w:space="0" w:color="auto"/>
              <w:left w:val="single" w:sz="4" w:space="0" w:color="auto"/>
              <w:bottom w:val="single" w:sz="4" w:space="0" w:color="auto"/>
              <w:right w:val="single" w:sz="4" w:space="0" w:color="auto"/>
            </w:tcBorders>
          </w:tcPr>
          <w:p w14:paraId="439469AD"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Administrador</w:t>
            </w:r>
          </w:p>
        </w:tc>
        <w:tc>
          <w:tcPr>
            <w:tcW w:w="709" w:type="dxa"/>
            <w:tcBorders>
              <w:top w:val="single" w:sz="4" w:space="0" w:color="auto"/>
              <w:left w:val="single" w:sz="4" w:space="0" w:color="auto"/>
              <w:bottom w:val="single" w:sz="4" w:space="0" w:color="auto"/>
              <w:right w:val="single" w:sz="4" w:space="0" w:color="auto"/>
            </w:tcBorders>
          </w:tcPr>
          <w:p w14:paraId="2FA6D788"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3º</w:t>
            </w:r>
          </w:p>
        </w:tc>
        <w:tc>
          <w:tcPr>
            <w:tcW w:w="1275" w:type="dxa"/>
            <w:tcBorders>
              <w:top w:val="single" w:sz="4" w:space="0" w:color="auto"/>
              <w:left w:val="single" w:sz="4" w:space="0" w:color="auto"/>
              <w:bottom w:val="single" w:sz="4" w:space="0" w:color="auto"/>
              <w:right w:val="single" w:sz="4" w:space="0" w:color="auto"/>
            </w:tcBorders>
          </w:tcPr>
          <w:p w14:paraId="2EA75366"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41130006</w:t>
            </w:r>
          </w:p>
        </w:tc>
      </w:tr>
      <w:tr w:rsidR="00DA4243" w:rsidRPr="00A66160" w14:paraId="6374067E" w14:textId="77777777" w:rsidTr="00DB16CD">
        <w:tc>
          <w:tcPr>
            <w:tcW w:w="567" w:type="dxa"/>
            <w:tcBorders>
              <w:top w:val="single" w:sz="4" w:space="0" w:color="auto"/>
              <w:left w:val="single" w:sz="4" w:space="0" w:color="auto"/>
              <w:bottom w:val="single" w:sz="4" w:space="0" w:color="auto"/>
              <w:right w:val="single" w:sz="4" w:space="0" w:color="auto"/>
            </w:tcBorders>
          </w:tcPr>
          <w:p w14:paraId="37710F7F"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9</w:t>
            </w:r>
          </w:p>
        </w:tc>
        <w:tc>
          <w:tcPr>
            <w:tcW w:w="3828" w:type="dxa"/>
            <w:tcBorders>
              <w:top w:val="single" w:sz="4" w:space="0" w:color="auto"/>
              <w:left w:val="single" w:sz="4" w:space="0" w:color="auto"/>
              <w:bottom w:val="single" w:sz="4" w:space="0" w:color="auto"/>
              <w:right w:val="single" w:sz="4" w:space="0" w:color="auto"/>
            </w:tcBorders>
          </w:tcPr>
          <w:p w14:paraId="076C3B21"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González Meza Wendy Cristal</w:t>
            </w:r>
          </w:p>
        </w:tc>
        <w:tc>
          <w:tcPr>
            <w:tcW w:w="2126" w:type="dxa"/>
            <w:tcBorders>
              <w:top w:val="single" w:sz="4" w:space="0" w:color="auto"/>
              <w:left w:val="single" w:sz="4" w:space="0" w:color="auto"/>
              <w:bottom w:val="single" w:sz="4" w:space="0" w:color="auto"/>
              <w:right w:val="single" w:sz="4" w:space="0" w:color="auto"/>
            </w:tcBorders>
          </w:tcPr>
          <w:p w14:paraId="5E25191C"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Administrador</w:t>
            </w:r>
          </w:p>
        </w:tc>
        <w:tc>
          <w:tcPr>
            <w:tcW w:w="709" w:type="dxa"/>
            <w:tcBorders>
              <w:top w:val="single" w:sz="4" w:space="0" w:color="auto"/>
              <w:left w:val="single" w:sz="4" w:space="0" w:color="auto"/>
              <w:bottom w:val="single" w:sz="4" w:space="0" w:color="auto"/>
              <w:right w:val="single" w:sz="4" w:space="0" w:color="auto"/>
            </w:tcBorders>
          </w:tcPr>
          <w:p w14:paraId="504122E2"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4º</w:t>
            </w:r>
          </w:p>
        </w:tc>
        <w:tc>
          <w:tcPr>
            <w:tcW w:w="1275" w:type="dxa"/>
            <w:tcBorders>
              <w:top w:val="single" w:sz="4" w:space="0" w:color="auto"/>
              <w:left w:val="single" w:sz="4" w:space="0" w:color="auto"/>
              <w:bottom w:val="single" w:sz="4" w:space="0" w:color="auto"/>
              <w:right w:val="single" w:sz="4" w:space="0" w:color="auto"/>
            </w:tcBorders>
          </w:tcPr>
          <w:p w14:paraId="6DE41E87" w14:textId="77777777"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41130303</w:t>
            </w:r>
          </w:p>
        </w:tc>
      </w:tr>
    </w:tbl>
    <w:p w14:paraId="752A0DE0" w14:textId="77777777" w:rsidR="00DA4243" w:rsidRPr="00A66160" w:rsidRDefault="00DA4243" w:rsidP="00A66160">
      <w:pPr>
        <w:pStyle w:val="Textoindependiente"/>
        <w:jc w:val="both"/>
        <w:rPr>
          <w:rFonts w:ascii="Arial" w:hAnsi="Arial" w:cs="Arial"/>
          <w:b/>
        </w:rPr>
      </w:pPr>
    </w:p>
    <w:p w14:paraId="69633F1C" w14:textId="77777777" w:rsidR="00DA4243" w:rsidRPr="00A66160" w:rsidRDefault="00DA4243" w:rsidP="00A66160">
      <w:pPr>
        <w:pStyle w:val="Ttulo1"/>
        <w:jc w:val="both"/>
        <w:rPr>
          <w:rFonts w:ascii="Arial" w:hAnsi="Arial" w:cs="Arial"/>
          <w:bCs/>
          <w:sz w:val="22"/>
          <w:szCs w:val="22"/>
        </w:rPr>
      </w:pPr>
      <w:r w:rsidRPr="00A66160">
        <w:rPr>
          <w:rFonts w:ascii="Arial" w:hAnsi="Arial" w:cs="Arial"/>
          <w:sz w:val="22"/>
          <w:szCs w:val="22"/>
        </w:rPr>
        <w:t>EDUCACION CONTINUA</w:t>
      </w:r>
    </w:p>
    <w:p w14:paraId="1F791560" w14:textId="77777777" w:rsidR="00DA4243" w:rsidRPr="00A66160" w:rsidRDefault="00DA4243" w:rsidP="00A66160">
      <w:pPr>
        <w:jc w:val="both"/>
        <w:rPr>
          <w:rFonts w:ascii="Arial" w:hAnsi="Arial" w:cs="Arial"/>
          <w:sz w:val="22"/>
          <w:szCs w:val="22"/>
          <w:lang w:val="es-ES" w:eastAsia="es-ES"/>
        </w:rPr>
      </w:pPr>
      <w:r w:rsidRPr="00A66160">
        <w:rPr>
          <w:rFonts w:ascii="Arial" w:hAnsi="Arial" w:cs="Arial"/>
          <w:sz w:val="22"/>
          <w:szCs w:val="22"/>
          <w:lang w:val="es-ES" w:eastAsia="es-ES"/>
        </w:rPr>
        <w:t>Se está dando asesoría para diseños de Jardines Botánicos e identificación de especies del Desierto Chihuahuense a las siguientes escuelas:</w:t>
      </w:r>
    </w:p>
    <w:p w14:paraId="0335D58D" w14:textId="77777777" w:rsidR="00DA4243" w:rsidRPr="00A66160" w:rsidRDefault="00DA4243" w:rsidP="00A66160">
      <w:pPr>
        <w:pStyle w:val="Prrafodelista"/>
        <w:numPr>
          <w:ilvl w:val="0"/>
          <w:numId w:val="216"/>
        </w:numPr>
        <w:spacing w:after="0" w:line="240" w:lineRule="auto"/>
        <w:ind w:left="714" w:hanging="357"/>
        <w:contextualSpacing/>
        <w:jc w:val="both"/>
        <w:rPr>
          <w:rFonts w:ascii="Arial" w:hAnsi="Arial" w:cs="Arial"/>
          <w:sz w:val="22"/>
          <w:szCs w:val="22"/>
          <w:lang w:val="es-ES" w:eastAsia="es-ES"/>
        </w:rPr>
      </w:pPr>
      <w:r w:rsidRPr="00A66160">
        <w:rPr>
          <w:rFonts w:ascii="Arial" w:hAnsi="Arial" w:cs="Arial"/>
          <w:sz w:val="22"/>
          <w:szCs w:val="22"/>
          <w:lang w:val="es-ES" w:eastAsia="es-ES"/>
        </w:rPr>
        <w:t>Oficio 115/11/12, Secundaria General No 6 “Jesús Perales Galicia” clave 05DES00290, Saltillo, Coahuila.</w:t>
      </w:r>
    </w:p>
    <w:p w14:paraId="434E3540" w14:textId="77777777" w:rsidR="00DA4243" w:rsidRPr="00A66160" w:rsidRDefault="00DA4243" w:rsidP="00A66160">
      <w:pPr>
        <w:pStyle w:val="Prrafodelista"/>
        <w:numPr>
          <w:ilvl w:val="0"/>
          <w:numId w:val="216"/>
        </w:numPr>
        <w:spacing w:after="0" w:line="240" w:lineRule="auto"/>
        <w:ind w:left="714" w:hanging="357"/>
        <w:contextualSpacing/>
        <w:jc w:val="both"/>
        <w:rPr>
          <w:rFonts w:ascii="Arial" w:hAnsi="Arial" w:cs="Arial"/>
          <w:sz w:val="22"/>
          <w:szCs w:val="22"/>
          <w:lang w:val="es-ES" w:eastAsia="es-ES"/>
        </w:rPr>
      </w:pPr>
      <w:r w:rsidRPr="00A66160">
        <w:rPr>
          <w:rFonts w:ascii="Arial" w:hAnsi="Arial" w:cs="Arial"/>
          <w:sz w:val="22"/>
          <w:szCs w:val="22"/>
          <w:lang w:val="es-ES" w:eastAsia="es-ES"/>
        </w:rPr>
        <w:t>Escuela Primaria  Cuitlahuac T.M. clave 05DPR1545Q, Saltillo, Coahuila.</w:t>
      </w:r>
    </w:p>
    <w:p w14:paraId="2A5DA67B" w14:textId="77777777" w:rsidR="00DA4243" w:rsidRPr="00A66160" w:rsidRDefault="00DA4243" w:rsidP="00A66160">
      <w:pPr>
        <w:pStyle w:val="Ttulo1"/>
        <w:keepLines w:val="0"/>
        <w:numPr>
          <w:ilvl w:val="0"/>
          <w:numId w:val="216"/>
        </w:numPr>
        <w:spacing w:before="0" w:after="0"/>
        <w:ind w:left="714" w:hanging="357"/>
        <w:jc w:val="both"/>
        <w:rPr>
          <w:rFonts w:ascii="Arial" w:hAnsi="Arial" w:cs="Arial"/>
          <w:b/>
          <w:bCs/>
          <w:sz w:val="22"/>
          <w:szCs w:val="22"/>
        </w:rPr>
      </w:pPr>
      <w:r w:rsidRPr="00A66160">
        <w:rPr>
          <w:rFonts w:ascii="Arial" w:hAnsi="Arial" w:cs="Arial"/>
          <w:sz w:val="22"/>
          <w:szCs w:val="22"/>
        </w:rPr>
        <w:t>Oficio 012/2015 de la Secundaria “Prof. Federico Berrueto Ramón” TM, solicitando el diseño de un Jardín Botánico, Saltillo, Coahuila.</w:t>
      </w:r>
    </w:p>
    <w:p w14:paraId="65C87913" w14:textId="77777777" w:rsidR="00DA4243" w:rsidRPr="00A66160" w:rsidRDefault="00DA4243" w:rsidP="00A66160">
      <w:pPr>
        <w:pStyle w:val="Prrafodelista"/>
        <w:numPr>
          <w:ilvl w:val="0"/>
          <w:numId w:val="216"/>
        </w:numPr>
        <w:spacing w:after="200"/>
        <w:contextualSpacing/>
        <w:jc w:val="both"/>
        <w:rPr>
          <w:rFonts w:ascii="Arial" w:hAnsi="Arial" w:cs="Arial"/>
          <w:bCs/>
          <w:sz w:val="22"/>
          <w:szCs w:val="22"/>
        </w:rPr>
      </w:pPr>
      <w:r w:rsidRPr="00A66160">
        <w:rPr>
          <w:rFonts w:ascii="Arial" w:hAnsi="Arial" w:cs="Arial"/>
          <w:bCs/>
          <w:sz w:val="22"/>
          <w:szCs w:val="22"/>
        </w:rPr>
        <w:t>(Diseño de un Jardín Botánico) en el CBETA 208, Municipio de General Cepeda, Coahuila.</w:t>
      </w:r>
    </w:p>
    <w:p w14:paraId="56D9B72D" w14:textId="77777777" w:rsidR="00DA4243" w:rsidRPr="00A66160" w:rsidRDefault="00DA4243" w:rsidP="00A66160">
      <w:pPr>
        <w:pStyle w:val="Prrafodelista"/>
        <w:numPr>
          <w:ilvl w:val="0"/>
          <w:numId w:val="216"/>
        </w:numPr>
        <w:spacing w:after="200"/>
        <w:contextualSpacing/>
        <w:jc w:val="both"/>
        <w:rPr>
          <w:rFonts w:ascii="Arial" w:hAnsi="Arial" w:cs="Arial"/>
          <w:b/>
          <w:bCs/>
          <w:sz w:val="22"/>
          <w:szCs w:val="22"/>
        </w:rPr>
      </w:pPr>
      <w:r w:rsidRPr="00A66160">
        <w:rPr>
          <w:rFonts w:ascii="Arial" w:hAnsi="Arial" w:cs="Arial"/>
          <w:bCs/>
          <w:sz w:val="22"/>
          <w:szCs w:val="22"/>
        </w:rPr>
        <w:t xml:space="preserve">(Diseño de un Jardín Botánico de Plantas Medicinales) identificación de especies medicinales  y colecta de germoplasma, en el Ejido Huariche, mpio. de Parras Coahuila. Proyecto de la asociación llamada </w:t>
      </w:r>
      <w:r w:rsidRPr="00A66160">
        <w:rPr>
          <w:rFonts w:ascii="Arial" w:hAnsi="Arial" w:cs="Arial"/>
          <w:b/>
          <w:bCs/>
          <w:sz w:val="22"/>
          <w:szCs w:val="22"/>
        </w:rPr>
        <w:t>Desarrollo para un futuro sustentable A.C.</w:t>
      </w:r>
    </w:p>
    <w:p w14:paraId="79551B0D" w14:textId="77777777" w:rsidR="00DA4243" w:rsidRPr="00A66160" w:rsidRDefault="00DA4243" w:rsidP="00A66160">
      <w:pPr>
        <w:pStyle w:val="Ttulo1"/>
        <w:spacing w:before="0" w:after="0"/>
        <w:jc w:val="both"/>
        <w:rPr>
          <w:rFonts w:ascii="Arial" w:hAnsi="Arial" w:cs="Arial"/>
          <w:bCs/>
          <w:sz w:val="22"/>
          <w:szCs w:val="22"/>
        </w:rPr>
      </w:pPr>
      <w:r w:rsidRPr="00A66160">
        <w:rPr>
          <w:rFonts w:ascii="Arial" w:hAnsi="Arial" w:cs="Arial"/>
          <w:sz w:val="22"/>
          <w:szCs w:val="22"/>
        </w:rPr>
        <w:t>ATENCION A PROYECTOS</w:t>
      </w:r>
    </w:p>
    <w:p w14:paraId="50FBBC88" w14:textId="77777777" w:rsidR="00DA4243" w:rsidRPr="00A66160" w:rsidRDefault="00DA4243" w:rsidP="00A66160">
      <w:pPr>
        <w:spacing w:after="0" w:line="240" w:lineRule="auto"/>
        <w:jc w:val="both"/>
        <w:rPr>
          <w:rFonts w:ascii="Arial" w:hAnsi="Arial" w:cs="Arial"/>
          <w:sz w:val="22"/>
          <w:szCs w:val="22"/>
          <w:lang w:val="es-ES" w:eastAsia="es-ES"/>
        </w:rPr>
      </w:pPr>
      <w:r w:rsidRPr="00A66160">
        <w:rPr>
          <w:rFonts w:ascii="Arial" w:hAnsi="Arial" w:cs="Arial"/>
          <w:sz w:val="22"/>
          <w:szCs w:val="22"/>
          <w:lang w:val="es-ES" w:eastAsia="es-ES"/>
        </w:rPr>
        <w:t>Se está prestando un área para el curso Agricultura Orgánica, así como a tesistas de la carrera de Ing. En Agrobiología.</w:t>
      </w:r>
    </w:p>
    <w:p w14:paraId="647C7C27" w14:textId="77777777" w:rsidR="00DA4243" w:rsidRPr="00A66160" w:rsidRDefault="00DA4243" w:rsidP="00A66160">
      <w:pPr>
        <w:spacing w:after="0" w:line="240" w:lineRule="auto"/>
        <w:jc w:val="both"/>
        <w:rPr>
          <w:rFonts w:ascii="Arial" w:hAnsi="Arial" w:cs="Arial"/>
          <w:sz w:val="22"/>
          <w:szCs w:val="22"/>
          <w:lang w:val="es-ES" w:eastAsia="es-ES"/>
        </w:rPr>
      </w:pPr>
      <w:r w:rsidRPr="00A66160">
        <w:rPr>
          <w:rFonts w:ascii="Arial" w:hAnsi="Arial" w:cs="Arial"/>
          <w:sz w:val="22"/>
          <w:szCs w:val="22"/>
          <w:lang w:val="es-ES" w:eastAsia="es-ES"/>
        </w:rPr>
        <w:t xml:space="preserve">Se está llevando a cabo un proyecto de Investigación sobre Determinación sexual del Sotol  </w:t>
      </w:r>
      <w:r w:rsidRPr="00A66160">
        <w:rPr>
          <w:rFonts w:ascii="Arial" w:hAnsi="Arial" w:cs="Arial"/>
          <w:i/>
          <w:sz w:val="22"/>
          <w:szCs w:val="22"/>
          <w:lang w:val="es-ES" w:eastAsia="es-ES"/>
        </w:rPr>
        <w:t>Dasylirium cedrosanum</w:t>
      </w:r>
      <w:r w:rsidRPr="00A66160">
        <w:rPr>
          <w:rFonts w:ascii="Arial" w:hAnsi="Arial" w:cs="Arial"/>
          <w:sz w:val="22"/>
          <w:szCs w:val="22"/>
          <w:lang w:val="es-ES" w:eastAsia="es-ES"/>
        </w:rPr>
        <w:t>a través de métodos moleculares, bioquímicos, citológicos e histológicos dirigida por el  Dr. Humberto Reyes Valdés del Departamento de Fitomejoramiento.</w:t>
      </w:r>
    </w:p>
    <w:p w14:paraId="16B3E0B4" w14:textId="77777777" w:rsidR="00DA4243" w:rsidRPr="00A66160" w:rsidRDefault="00DA4243" w:rsidP="00A66160">
      <w:pPr>
        <w:spacing w:after="0" w:line="240" w:lineRule="auto"/>
        <w:jc w:val="both"/>
        <w:rPr>
          <w:rFonts w:ascii="Arial" w:hAnsi="Arial" w:cs="Arial"/>
          <w:sz w:val="22"/>
          <w:szCs w:val="22"/>
          <w:lang w:val="es-ES" w:eastAsia="es-ES"/>
        </w:rPr>
      </w:pPr>
      <w:r w:rsidRPr="00A66160">
        <w:rPr>
          <w:rFonts w:ascii="Arial" w:hAnsi="Arial" w:cs="Arial"/>
          <w:sz w:val="22"/>
          <w:szCs w:val="22"/>
          <w:lang w:val="es-ES" w:eastAsia="es-ES"/>
        </w:rPr>
        <w:t>Se está llevando a cabo el estudio mirmecologico (TESISTA)</w:t>
      </w:r>
    </w:p>
    <w:p w14:paraId="0DC00886" w14:textId="77777777" w:rsidR="00DA4243" w:rsidRPr="00A66160" w:rsidRDefault="00DA4243" w:rsidP="00A66160">
      <w:pPr>
        <w:spacing w:after="0" w:line="240" w:lineRule="auto"/>
        <w:jc w:val="both"/>
        <w:rPr>
          <w:rFonts w:ascii="Arial" w:hAnsi="Arial" w:cs="Arial"/>
          <w:sz w:val="22"/>
          <w:szCs w:val="22"/>
          <w:lang w:val="es-ES" w:eastAsia="es-ES"/>
        </w:rPr>
      </w:pPr>
    </w:p>
    <w:p w14:paraId="1B13B9D3" w14:textId="77777777" w:rsidR="00DA4243" w:rsidRPr="00A66160" w:rsidRDefault="00DA4243" w:rsidP="00A66160">
      <w:pPr>
        <w:spacing w:after="0" w:line="240" w:lineRule="auto"/>
        <w:jc w:val="both"/>
        <w:rPr>
          <w:rFonts w:ascii="Arial" w:hAnsi="Arial" w:cs="Arial"/>
          <w:b/>
          <w:sz w:val="22"/>
          <w:szCs w:val="22"/>
        </w:rPr>
      </w:pPr>
      <w:r w:rsidRPr="00A66160">
        <w:rPr>
          <w:rFonts w:ascii="Arial" w:hAnsi="Arial" w:cs="Arial"/>
          <w:b/>
          <w:sz w:val="22"/>
          <w:szCs w:val="22"/>
        </w:rPr>
        <w:t>ACTIVIDADES DEL JARDÍN</w:t>
      </w:r>
    </w:p>
    <w:p w14:paraId="5ECC8F85" w14:textId="77777777" w:rsidR="00DA4243" w:rsidRPr="00A66160" w:rsidRDefault="00DA4243" w:rsidP="00A66160">
      <w:pPr>
        <w:spacing w:after="0" w:line="240" w:lineRule="auto"/>
        <w:jc w:val="both"/>
        <w:rPr>
          <w:rFonts w:ascii="Arial" w:hAnsi="Arial" w:cs="Arial"/>
          <w:sz w:val="22"/>
          <w:szCs w:val="22"/>
        </w:rPr>
      </w:pPr>
      <w:r w:rsidRPr="00A66160">
        <w:rPr>
          <w:rFonts w:ascii="Arial" w:hAnsi="Arial" w:cs="Arial"/>
          <w:sz w:val="22"/>
          <w:szCs w:val="22"/>
        </w:rPr>
        <w:t>Se realizaron trasplantes (cambio de especies de un ecosistema a otro que es el correcto), colecta el germoplasma de especies que se tienen en resguardo y de colectadas en años anteriores para la formación de un banco de germoplasma del Jardín Botánico,  Se llevó a cabo la siembra de semillas de especies de cactáceas que se tienen en el banco de germoplasma del Jardín Botánico.</w:t>
      </w:r>
    </w:p>
    <w:p w14:paraId="68AAC02C" w14:textId="77777777" w:rsidR="00DA4243" w:rsidRPr="00A66160" w:rsidRDefault="00DA4243" w:rsidP="00A66160">
      <w:pPr>
        <w:spacing w:after="0" w:line="240" w:lineRule="auto"/>
        <w:jc w:val="both"/>
        <w:rPr>
          <w:rFonts w:ascii="Arial" w:hAnsi="Arial" w:cs="Arial"/>
          <w:sz w:val="22"/>
          <w:szCs w:val="22"/>
        </w:rPr>
      </w:pPr>
    </w:p>
    <w:p w14:paraId="799B5689" w14:textId="77777777" w:rsidR="00DA4243" w:rsidRPr="00A66160" w:rsidRDefault="00DA4243" w:rsidP="00A66160">
      <w:pPr>
        <w:spacing w:after="0" w:line="240" w:lineRule="auto"/>
        <w:jc w:val="both"/>
        <w:rPr>
          <w:rFonts w:ascii="Arial" w:hAnsi="Arial" w:cs="Arial"/>
          <w:b/>
          <w:sz w:val="22"/>
          <w:szCs w:val="22"/>
        </w:rPr>
      </w:pPr>
      <w:r w:rsidRPr="00A66160">
        <w:rPr>
          <w:rFonts w:ascii="Arial" w:hAnsi="Arial" w:cs="Arial"/>
          <w:b/>
          <w:sz w:val="22"/>
          <w:szCs w:val="22"/>
        </w:rPr>
        <w:t>INFRAESTRUCTURA EN EL ÀREA DEL JARDIN</w:t>
      </w:r>
    </w:p>
    <w:p w14:paraId="5753BDF4" w14:textId="77777777" w:rsidR="00DA4243" w:rsidRPr="00A66160" w:rsidRDefault="00DA4243" w:rsidP="00A66160">
      <w:pPr>
        <w:spacing w:after="0" w:line="240" w:lineRule="auto"/>
        <w:jc w:val="both"/>
        <w:rPr>
          <w:rFonts w:ascii="Arial" w:hAnsi="Arial" w:cs="Arial"/>
          <w:sz w:val="22"/>
          <w:szCs w:val="22"/>
        </w:rPr>
      </w:pPr>
      <w:r w:rsidRPr="00A66160">
        <w:rPr>
          <w:rFonts w:ascii="Arial" w:hAnsi="Arial" w:cs="Arial"/>
          <w:sz w:val="22"/>
          <w:szCs w:val="22"/>
        </w:rPr>
        <w:t>No se realizó ningún trámite para la nueva infraestructura en el Jardín Botánico, en este mes de septiembre se tramitará la infraestructura necesaria.</w:t>
      </w:r>
    </w:p>
    <w:p w14:paraId="42AB20F8" w14:textId="77777777" w:rsidR="00DA4243" w:rsidRPr="00A66160" w:rsidRDefault="00DA4243" w:rsidP="00A66160">
      <w:pPr>
        <w:spacing w:after="0" w:line="240" w:lineRule="auto"/>
        <w:jc w:val="both"/>
        <w:rPr>
          <w:rFonts w:ascii="Arial" w:hAnsi="Arial" w:cs="Arial"/>
          <w:b/>
          <w:sz w:val="22"/>
          <w:szCs w:val="22"/>
        </w:rPr>
      </w:pPr>
    </w:p>
    <w:p w14:paraId="3A1C9014" w14:textId="77777777" w:rsidR="00DA4243" w:rsidRPr="00A66160" w:rsidRDefault="00DA4243" w:rsidP="00A66160">
      <w:pPr>
        <w:spacing w:after="0" w:line="240" w:lineRule="auto"/>
        <w:jc w:val="both"/>
        <w:rPr>
          <w:rFonts w:ascii="Arial" w:hAnsi="Arial" w:cs="Arial"/>
          <w:b/>
          <w:sz w:val="22"/>
          <w:szCs w:val="22"/>
        </w:rPr>
      </w:pPr>
      <w:r w:rsidRPr="00A66160">
        <w:rPr>
          <w:rFonts w:ascii="Arial" w:hAnsi="Arial" w:cs="Arial"/>
          <w:b/>
          <w:sz w:val="22"/>
          <w:szCs w:val="22"/>
        </w:rPr>
        <w:t>RESULTADOS DE PRESUPUESTO GENERAL ENERO-JUNIO DEL 2015</w:t>
      </w:r>
    </w:p>
    <w:p w14:paraId="74D01BC4" w14:textId="77777777" w:rsidR="00DA4243" w:rsidRPr="00A66160" w:rsidRDefault="00DA4243" w:rsidP="00A66160">
      <w:pPr>
        <w:spacing w:after="0" w:line="240" w:lineRule="auto"/>
        <w:jc w:val="both"/>
        <w:rPr>
          <w:rFonts w:ascii="Arial" w:hAnsi="Arial" w:cs="Arial"/>
          <w:sz w:val="22"/>
          <w:szCs w:val="22"/>
        </w:rPr>
      </w:pPr>
      <w:r w:rsidRPr="00A66160">
        <w:rPr>
          <w:rFonts w:ascii="Arial" w:hAnsi="Arial" w:cs="Arial"/>
          <w:sz w:val="22"/>
          <w:szCs w:val="22"/>
        </w:rPr>
        <w:t>Actividad: 0103 – Actividad Docente de Licenciatura</w:t>
      </w:r>
    </w:p>
    <w:p w14:paraId="6EC6197F" w14:textId="77777777" w:rsidR="00DA4243" w:rsidRPr="00A66160" w:rsidRDefault="00DA4243" w:rsidP="00A66160">
      <w:pPr>
        <w:spacing w:after="0" w:line="240" w:lineRule="auto"/>
        <w:jc w:val="both"/>
        <w:rPr>
          <w:rFonts w:ascii="Arial" w:hAnsi="Arial" w:cs="Arial"/>
          <w:sz w:val="22"/>
          <w:szCs w:val="22"/>
        </w:rPr>
      </w:pPr>
      <w:r w:rsidRPr="00A66160">
        <w:rPr>
          <w:rFonts w:ascii="Arial" w:hAnsi="Arial" w:cs="Arial"/>
          <w:sz w:val="22"/>
          <w:szCs w:val="22"/>
        </w:rPr>
        <w:t>Unidad: 0205 – Departamento de Botánica</w:t>
      </w:r>
    </w:p>
    <w:p w14:paraId="40CD2189" w14:textId="77777777" w:rsidR="00DA4243" w:rsidRPr="00A66160" w:rsidRDefault="00DA4243" w:rsidP="00A66160">
      <w:pPr>
        <w:spacing w:after="0" w:line="240" w:lineRule="auto"/>
        <w:jc w:val="both"/>
        <w:rPr>
          <w:rFonts w:ascii="Arial" w:hAnsi="Arial" w:cs="Arial"/>
          <w:sz w:val="22"/>
          <w:szCs w:val="22"/>
        </w:rPr>
      </w:pPr>
      <w:r w:rsidRPr="00A66160">
        <w:rPr>
          <w:rFonts w:ascii="Arial" w:hAnsi="Arial" w:cs="Arial"/>
          <w:sz w:val="22"/>
          <w:szCs w:val="22"/>
        </w:rPr>
        <w:t>Proyecto: 0135 – Jardín Botánico SEDE</w:t>
      </w:r>
    </w:p>
    <w:p w14:paraId="188C5D1D" w14:textId="77777777" w:rsidR="00DA4243" w:rsidRPr="00A66160" w:rsidRDefault="00DA4243" w:rsidP="00A66160">
      <w:pPr>
        <w:spacing w:after="0" w:line="240" w:lineRule="auto"/>
        <w:jc w:val="both"/>
        <w:rPr>
          <w:rFonts w:ascii="Arial" w:hAnsi="Arial" w:cs="Arial"/>
          <w:sz w:val="22"/>
          <w:szCs w:val="22"/>
        </w:rPr>
      </w:pPr>
    </w:p>
    <w:p w14:paraId="5BDCDAEE" w14:textId="77777777" w:rsidR="00DA4243" w:rsidRPr="00A66160" w:rsidRDefault="00DA4243" w:rsidP="00A66160">
      <w:pPr>
        <w:jc w:val="both"/>
        <w:rPr>
          <w:rFonts w:ascii="Arial" w:hAnsi="Arial" w:cs="Arial"/>
          <w:sz w:val="22"/>
          <w:szCs w:val="22"/>
        </w:rPr>
      </w:pPr>
      <w:r w:rsidRPr="00A66160">
        <w:rPr>
          <w:rFonts w:ascii="Arial" w:hAnsi="Arial" w:cs="Arial"/>
          <w:sz w:val="22"/>
          <w:szCs w:val="22"/>
        </w:rPr>
        <w:lastRenderedPageBreak/>
        <w:t xml:space="preserve">Se realizó un total de 9 salidas a diferentes localidades del estado de Coahuila y Nuevo León, ejerciéndose un total de </w:t>
      </w:r>
      <w:r w:rsidRPr="00A66160">
        <w:rPr>
          <w:rFonts w:ascii="Arial" w:hAnsi="Arial" w:cs="Arial"/>
          <w:b/>
          <w:sz w:val="22"/>
          <w:szCs w:val="22"/>
        </w:rPr>
        <w:t>$ 10,155.00</w:t>
      </w:r>
      <w:r w:rsidRPr="00A66160">
        <w:rPr>
          <w:rFonts w:ascii="Arial" w:hAnsi="Arial" w:cs="Arial"/>
          <w:sz w:val="22"/>
          <w:szCs w:val="22"/>
        </w:rPr>
        <w:t xml:space="preserve">en anticipos de fondos que fueron comprobados y quedando un total de $ </w:t>
      </w:r>
      <w:r w:rsidRPr="00A66160">
        <w:rPr>
          <w:rFonts w:ascii="Arial" w:hAnsi="Arial" w:cs="Arial"/>
          <w:b/>
          <w:sz w:val="22"/>
          <w:szCs w:val="22"/>
        </w:rPr>
        <w:t xml:space="preserve">13,845.00 </w:t>
      </w:r>
      <w:r w:rsidRPr="00A66160">
        <w:rPr>
          <w:rFonts w:ascii="Arial" w:hAnsi="Arial" w:cs="Arial"/>
          <w:sz w:val="22"/>
          <w:szCs w:val="22"/>
        </w:rPr>
        <w:t>a la fecha.</w:t>
      </w:r>
    </w:p>
    <w:p w14:paraId="42C7BB8C" w14:textId="77777777" w:rsidR="00DA4243" w:rsidRPr="00A66160" w:rsidRDefault="008E6AE3" w:rsidP="00A66160">
      <w:pPr>
        <w:pStyle w:val="Sangradetextonormal"/>
        <w:ind w:left="0" w:right="51"/>
        <w:jc w:val="both"/>
        <w:rPr>
          <w:rFonts w:ascii="Arial" w:hAnsi="Arial" w:cs="Arial"/>
          <w:b/>
          <w:sz w:val="22"/>
          <w:szCs w:val="22"/>
        </w:rPr>
      </w:pPr>
      <w:r>
        <w:rPr>
          <w:rFonts w:ascii="Arial" w:hAnsi="Arial" w:cs="Arial"/>
          <w:b/>
          <w:sz w:val="22"/>
          <w:szCs w:val="22"/>
        </w:rPr>
        <w:t>CURSOS TALLER IMPARTIDOS</w:t>
      </w:r>
    </w:p>
    <w:p w14:paraId="0372B099" w14:textId="77777777" w:rsidR="00280939" w:rsidRPr="00A66160" w:rsidRDefault="00280939" w:rsidP="00A66160">
      <w:pPr>
        <w:jc w:val="both"/>
        <w:rPr>
          <w:rFonts w:ascii="Arial" w:hAnsi="Arial" w:cs="Arial"/>
          <w:sz w:val="22"/>
          <w:szCs w:val="22"/>
        </w:rPr>
      </w:pPr>
      <w:r w:rsidRPr="00A66160">
        <w:rPr>
          <w:rFonts w:ascii="Arial" w:hAnsi="Arial" w:cs="Arial"/>
          <w:sz w:val="22"/>
          <w:szCs w:val="22"/>
        </w:rPr>
        <w:t>2.-Curso-taller “Sistemas geográficos” impartido por un exalumno esgresado de la carrera.</w:t>
      </w:r>
    </w:p>
    <w:p w14:paraId="61ED7CAD" w14:textId="77777777" w:rsidR="00280939" w:rsidRPr="00A66160" w:rsidRDefault="00280939" w:rsidP="00A66160">
      <w:pPr>
        <w:jc w:val="both"/>
        <w:rPr>
          <w:rFonts w:ascii="Arial" w:hAnsi="Arial" w:cs="Arial"/>
          <w:sz w:val="22"/>
          <w:szCs w:val="22"/>
        </w:rPr>
      </w:pPr>
      <w:r w:rsidRPr="00A66160">
        <w:rPr>
          <w:rFonts w:ascii="Arial" w:hAnsi="Arial" w:cs="Arial"/>
          <w:sz w:val="22"/>
          <w:szCs w:val="22"/>
        </w:rPr>
        <w:t>3.-Curso taller “Legislación ambiental” impartida por una exalumna de la carrera.</w:t>
      </w:r>
    </w:p>
    <w:p w14:paraId="6ED4E14C" w14:textId="77777777" w:rsidR="00280939" w:rsidRPr="00A66160" w:rsidRDefault="00280939" w:rsidP="00A66160">
      <w:pPr>
        <w:jc w:val="both"/>
        <w:rPr>
          <w:rFonts w:ascii="Arial" w:hAnsi="Arial" w:cs="Arial"/>
          <w:sz w:val="22"/>
          <w:szCs w:val="22"/>
        </w:rPr>
      </w:pPr>
      <w:r w:rsidRPr="00A66160">
        <w:rPr>
          <w:rFonts w:ascii="Arial" w:hAnsi="Arial" w:cs="Arial"/>
          <w:sz w:val="22"/>
          <w:szCs w:val="22"/>
        </w:rPr>
        <w:t>4.-Curso taller de Taxidermia impartida por el Museo de las aves.</w:t>
      </w:r>
    </w:p>
    <w:p w14:paraId="77D40263" w14:textId="77777777" w:rsidR="00280939" w:rsidRPr="00A66160" w:rsidRDefault="00280939" w:rsidP="00A66160">
      <w:pPr>
        <w:jc w:val="both"/>
        <w:rPr>
          <w:rFonts w:ascii="Arial" w:hAnsi="Arial" w:cs="Arial"/>
          <w:sz w:val="22"/>
          <w:szCs w:val="22"/>
        </w:rPr>
      </w:pPr>
      <w:r w:rsidRPr="00A66160">
        <w:rPr>
          <w:rFonts w:ascii="Arial" w:hAnsi="Arial" w:cs="Arial"/>
          <w:sz w:val="22"/>
          <w:szCs w:val="22"/>
        </w:rPr>
        <w:t>5.-Curso-taller Localización, identificación y estudio de la morfología de Cactáceas de Coahuila, impartida por profesor investigador del Depto de Botánica.</w:t>
      </w:r>
    </w:p>
    <w:p w14:paraId="1B6C91D1" w14:textId="77777777" w:rsidR="00280939" w:rsidRPr="00A66160" w:rsidRDefault="00280939" w:rsidP="00A66160">
      <w:pPr>
        <w:jc w:val="both"/>
        <w:rPr>
          <w:rFonts w:ascii="Arial" w:hAnsi="Arial" w:cs="Arial"/>
          <w:sz w:val="22"/>
          <w:szCs w:val="22"/>
        </w:rPr>
      </w:pPr>
      <w:r w:rsidRPr="00A66160">
        <w:rPr>
          <w:rFonts w:ascii="Arial" w:hAnsi="Arial" w:cs="Arial"/>
          <w:sz w:val="22"/>
          <w:szCs w:val="22"/>
        </w:rPr>
        <w:t>6.- Curso-taller Técnicas histológicas vegetal, impartida por profesor investigador del Depto de Botánica.</w:t>
      </w:r>
    </w:p>
    <w:p w14:paraId="2F22D086" w14:textId="77777777" w:rsidR="005370E4" w:rsidRPr="00A66160" w:rsidRDefault="005370E4" w:rsidP="00A66160">
      <w:pPr>
        <w:jc w:val="both"/>
        <w:rPr>
          <w:rFonts w:ascii="Arial" w:hAnsi="Arial" w:cs="Arial"/>
          <w:sz w:val="22"/>
          <w:szCs w:val="22"/>
        </w:rPr>
      </w:pPr>
      <w:r w:rsidRPr="00A66160">
        <w:rPr>
          <w:rFonts w:ascii="Arial" w:hAnsi="Arial" w:cs="Arial"/>
          <w:sz w:val="22"/>
          <w:szCs w:val="22"/>
        </w:rPr>
        <w:t xml:space="preserve">A estudiantes universitarios, estudiantes de otros niveles a egresados y público en general. </w:t>
      </w:r>
    </w:p>
    <w:p w14:paraId="65A67719" w14:textId="77777777" w:rsidR="00280939" w:rsidRPr="000C27BF" w:rsidRDefault="00280939" w:rsidP="00A66160">
      <w:pPr>
        <w:jc w:val="both"/>
        <w:rPr>
          <w:rFonts w:ascii="Arial" w:hAnsi="Arial" w:cs="Arial"/>
          <w:b/>
          <w:sz w:val="22"/>
          <w:szCs w:val="22"/>
        </w:rPr>
      </w:pPr>
      <w:r w:rsidRPr="000C27BF">
        <w:rPr>
          <w:rFonts w:ascii="Arial" w:hAnsi="Arial" w:cs="Arial"/>
          <w:b/>
          <w:sz w:val="22"/>
          <w:szCs w:val="22"/>
        </w:rPr>
        <w:t>3.-INFRAESTRUCTURA</w:t>
      </w:r>
    </w:p>
    <w:p w14:paraId="3E33F2CB" w14:textId="77777777" w:rsidR="00280939" w:rsidRPr="00A66160" w:rsidRDefault="00280939" w:rsidP="00A66160">
      <w:pPr>
        <w:jc w:val="both"/>
        <w:rPr>
          <w:rFonts w:ascii="Arial" w:hAnsi="Arial" w:cs="Arial"/>
          <w:sz w:val="22"/>
          <w:szCs w:val="22"/>
        </w:rPr>
      </w:pPr>
      <w:r w:rsidRPr="00A66160">
        <w:rPr>
          <w:rFonts w:ascii="Arial" w:hAnsi="Arial" w:cs="Arial"/>
          <w:sz w:val="22"/>
          <w:szCs w:val="22"/>
        </w:rPr>
        <w:t>1.-Renovar y adquirir el equipo actual que requieren los laboratorios</w:t>
      </w:r>
    </w:p>
    <w:p w14:paraId="69F6211F" w14:textId="77777777" w:rsidR="001E0D59" w:rsidRPr="00A66160" w:rsidRDefault="005370E4"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El Departamento de Botánica cuenta con 6 laboratorios que a partir de la acreditación del 2006 de la carrera IAB se organizaron en base a los requerimientos</w:t>
      </w:r>
      <w:r w:rsidR="001E0D59" w:rsidRPr="00A66160">
        <w:rPr>
          <w:rFonts w:ascii="Arial" w:hAnsi="Arial" w:cs="Arial"/>
          <w:bCs/>
          <w:sz w:val="22"/>
          <w:szCs w:val="22"/>
        </w:rPr>
        <w:t xml:space="preserve"> para el cumplimiento a la calidad.</w:t>
      </w:r>
    </w:p>
    <w:p w14:paraId="22619820" w14:textId="77777777"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1.-Área de laboratorio</w:t>
      </w:r>
    </w:p>
    <w:p w14:paraId="1515D2C1" w14:textId="77777777"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2.-Área de preparación del material</w:t>
      </w:r>
    </w:p>
    <w:p w14:paraId="0142E266" w14:textId="77777777"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3.-Almacenes o gavetas para guardar el material</w:t>
      </w:r>
      <w:r w:rsidR="00A66160">
        <w:rPr>
          <w:rFonts w:ascii="Arial" w:hAnsi="Arial" w:cs="Arial"/>
          <w:bCs/>
          <w:sz w:val="22"/>
          <w:szCs w:val="22"/>
        </w:rPr>
        <w:t>,</w:t>
      </w:r>
      <w:r w:rsidRPr="00A66160">
        <w:rPr>
          <w:rFonts w:ascii="Arial" w:hAnsi="Arial" w:cs="Arial"/>
          <w:bCs/>
          <w:sz w:val="22"/>
          <w:szCs w:val="22"/>
        </w:rPr>
        <w:t xml:space="preserve"> como reactivos y cristalería.</w:t>
      </w:r>
    </w:p>
    <w:p w14:paraId="7DF423F0" w14:textId="77777777" w:rsidR="00A6257A"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4.-Equipo de laboratorio etiquetado.</w:t>
      </w:r>
    </w:p>
    <w:p w14:paraId="1A13B9EF" w14:textId="77777777"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5.-Puerta de emergencia</w:t>
      </w:r>
    </w:p>
    <w:p w14:paraId="01D0BBB4" w14:textId="77777777"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6.-Regadera</w:t>
      </w:r>
    </w:p>
    <w:p w14:paraId="3FBD8C82" w14:textId="77777777"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7.-Manuales de prácticas, manual de procedimientos.</w:t>
      </w:r>
    </w:p>
    <w:p w14:paraId="65C41FD5" w14:textId="77777777"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 xml:space="preserve">Se cuenta con el equipo y material de laboratorio indispensable para las prácticas, a medida que se pueden realizar adquisiciones se mandan las solicitudes y ordenes de </w:t>
      </w:r>
      <w:r w:rsidR="00E714B1" w:rsidRPr="00A66160">
        <w:rPr>
          <w:rFonts w:ascii="Arial" w:hAnsi="Arial" w:cs="Arial"/>
          <w:bCs/>
          <w:sz w:val="22"/>
          <w:szCs w:val="22"/>
        </w:rPr>
        <w:t>compra</w:t>
      </w:r>
      <w:r w:rsidRPr="00A66160">
        <w:rPr>
          <w:rFonts w:ascii="Arial" w:hAnsi="Arial" w:cs="Arial"/>
          <w:bCs/>
          <w:sz w:val="22"/>
          <w:szCs w:val="22"/>
        </w:rPr>
        <w:t xml:space="preserve"> de material.</w:t>
      </w:r>
    </w:p>
    <w:p w14:paraId="30061F99" w14:textId="77777777"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Las adquisiciones no siempre se mandan va de acuerdo al presupuesto de la universidad.</w:t>
      </w:r>
    </w:p>
    <w:p w14:paraId="75F6F5AA" w14:textId="77777777"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 xml:space="preserve"> Como se ha indicado el Departamento de Botánica apoya a otras carreras lo que hace que el equipo y material se deterioren</w:t>
      </w:r>
      <w:r w:rsidR="00E714B1" w:rsidRPr="00A66160">
        <w:rPr>
          <w:rFonts w:ascii="Arial" w:hAnsi="Arial" w:cs="Arial"/>
          <w:bCs/>
          <w:sz w:val="22"/>
          <w:szCs w:val="22"/>
        </w:rPr>
        <w:t xml:space="preserve"> o falte continuamente, es por eso que el apoyo a la carrera de IAB puede resultar a veces deficiente por el apoyo que se realiza.</w:t>
      </w:r>
    </w:p>
    <w:p w14:paraId="1E3B66BB" w14:textId="77777777" w:rsidR="00E714B1" w:rsidRPr="00A66160" w:rsidRDefault="00E714B1"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El programa de mantenimiento se aplica a medida de que lo solicitan los laboratorios, el mantenimiento a los microscopios es el más prioritario por el uso continuo que se le da.</w:t>
      </w:r>
    </w:p>
    <w:p w14:paraId="67E0E408" w14:textId="77777777" w:rsidR="00E714B1" w:rsidRPr="007923C2" w:rsidRDefault="00E714B1"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El Departamento de Botánica está solicitando de manera continua por lo general anualmente infraestructura faltante, equipo</w:t>
      </w:r>
      <w:r w:rsidRPr="007923C2">
        <w:rPr>
          <w:rFonts w:ascii="Arial" w:hAnsi="Arial" w:cs="Arial"/>
          <w:bCs/>
          <w:sz w:val="22"/>
          <w:szCs w:val="22"/>
        </w:rPr>
        <w:t xml:space="preserve"> para laboratorio y para otras áreas.</w:t>
      </w:r>
    </w:p>
    <w:p w14:paraId="3998E76A" w14:textId="77777777" w:rsidR="003E0BB5" w:rsidRDefault="003E0BB5" w:rsidP="00D15A0E">
      <w:pPr>
        <w:widowControl w:val="0"/>
        <w:autoSpaceDE w:val="0"/>
        <w:autoSpaceDN w:val="0"/>
        <w:adjustRightInd w:val="0"/>
        <w:jc w:val="both"/>
        <w:rPr>
          <w:rFonts w:ascii="Arial" w:hAnsi="Arial" w:cs="Arial"/>
          <w:bCs/>
          <w:sz w:val="22"/>
          <w:szCs w:val="22"/>
        </w:rPr>
      </w:pPr>
    </w:p>
    <w:p w14:paraId="39F2A58D" w14:textId="77777777" w:rsidR="00E714B1" w:rsidRPr="007923C2" w:rsidRDefault="00E714B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lastRenderedPageBreak/>
        <w:t>INFRAESTRUCTURA</w:t>
      </w:r>
    </w:p>
    <w:p w14:paraId="2CC5D61C" w14:textId="77777777" w:rsidR="00E714B1" w:rsidRPr="007923C2" w:rsidRDefault="00E714B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1.-Terminar de equipar el laboratorio de zoología.</w:t>
      </w:r>
    </w:p>
    <w:p w14:paraId="3CB3B961" w14:textId="77777777" w:rsidR="00E714B1" w:rsidRPr="007923C2" w:rsidRDefault="00E714B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 xml:space="preserve">2.-Remodelación de puertas y ventanas </w:t>
      </w:r>
      <w:r w:rsidR="009E3C51" w:rsidRPr="007923C2">
        <w:rPr>
          <w:rFonts w:ascii="Arial" w:hAnsi="Arial" w:cs="Arial"/>
          <w:bCs/>
          <w:sz w:val="22"/>
          <w:szCs w:val="22"/>
        </w:rPr>
        <w:t>de los edificios.</w:t>
      </w:r>
    </w:p>
    <w:p w14:paraId="55DB8379" w14:textId="77777777"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3.-Construcción de un laboratorio de investigación.</w:t>
      </w:r>
    </w:p>
    <w:p w14:paraId="614F8C80" w14:textId="77777777"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EQUIPO DE LABORATORIO</w:t>
      </w:r>
    </w:p>
    <w:p w14:paraId="43CDF8A5" w14:textId="77777777"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1.-Más microscopios y hestereoscopios</w:t>
      </w:r>
    </w:p>
    <w:p w14:paraId="4FC8AC3B" w14:textId="77777777"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2.-Desionizador de agua</w:t>
      </w:r>
    </w:p>
    <w:p w14:paraId="6084288D" w14:textId="77777777"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3.-Equipo para contaminación</w:t>
      </w:r>
    </w:p>
    <w:p w14:paraId="49149040" w14:textId="77777777"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4.-Lavador de ojos</w:t>
      </w:r>
    </w:p>
    <w:p w14:paraId="34EEB7B9" w14:textId="77777777"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5.-Extintores funcionables</w:t>
      </w:r>
    </w:p>
    <w:p w14:paraId="450B1131" w14:textId="77777777"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6.-Salón de usos múltiples con proyectores y pizarrón inteligente.</w:t>
      </w:r>
    </w:p>
    <w:p w14:paraId="549F6E99" w14:textId="5A023BF0"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Las mejoras que se tiene planeado realizar dependen del apoyo que de la institución, se tiene destinado un presupuesto para cada Departamento que en ocaciones no es suficiente para cumplir con lo planeado.</w:t>
      </w:r>
    </w:p>
    <w:p w14:paraId="0362CFB5" w14:textId="77777777" w:rsidR="00DB16CD" w:rsidRDefault="00DB16CD" w:rsidP="00DB16CD">
      <w:pPr>
        <w:jc w:val="center"/>
        <w:rPr>
          <w:rFonts w:ascii="Arial" w:hAnsi="Arial" w:cs="Arial"/>
          <w:b/>
          <w:sz w:val="28"/>
          <w:szCs w:val="28"/>
        </w:rPr>
      </w:pPr>
      <w:r w:rsidRPr="008323F0">
        <w:rPr>
          <w:rFonts w:ascii="Arial" w:hAnsi="Arial" w:cs="Arial"/>
          <w:b/>
          <w:sz w:val="28"/>
          <w:szCs w:val="28"/>
        </w:rPr>
        <w:t>REQUERIMIENTO DE EQUIPO Y MOBILIARIO</w:t>
      </w:r>
    </w:p>
    <w:p w14:paraId="1680C4A9" w14:textId="77777777" w:rsidR="00DB16CD" w:rsidRPr="008323F0" w:rsidRDefault="00DB16CD" w:rsidP="00DB16CD">
      <w:pPr>
        <w:jc w:val="center"/>
        <w:rPr>
          <w:rFonts w:ascii="Arial" w:hAnsi="Arial" w:cs="Arial"/>
          <w:b/>
          <w:sz w:val="16"/>
          <w:szCs w:val="16"/>
        </w:rPr>
      </w:pPr>
    </w:p>
    <w:p w14:paraId="650539AB" w14:textId="77777777" w:rsidR="00DB16CD" w:rsidRDefault="00DB16CD" w:rsidP="00DB16CD">
      <w:pPr>
        <w:jc w:val="center"/>
        <w:rPr>
          <w:rFonts w:ascii="Arial" w:hAnsi="Arial" w:cs="Arial"/>
          <w:b/>
          <w:sz w:val="28"/>
          <w:szCs w:val="28"/>
        </w:rPr>
      </w:pPr>
      <w:r w:rsidRPr="008323F0">
        <w:rPr>
          <w:rFonts w:ascii="Arial" w:hAnsi="Arial" w:cs="Arial"/>
          <w:b/>
          <w:sz w:val="28"/>
          <w:szCs w:val="28"/>
        </w:rPr>
        <w:t>REQUERIMIENTO DE EQUIPO DE INFORMÁTICA</w:t>
      </w:r>
    </w:p>
    <w:p w14:paraId="23EAA533" w14:textId="77777777" w:rsidR="006F2AA4" w:rsidRDefault="006F2AA4" w:rsidP="00DB16CD">
      <w:pPr>
        <w:jc w:val="center"/>
        <w:rPr>
          <w:rFonts w:ascii="Arial" w:hAnsi="Arial" w:cs="Arial"/>
          <w:b/>
          <w:sz w:val="28"/>
          <w:szCs w:val="28"/>
        </w:rPr>
      </w:pPr>
    </w:p>
    <w:tbl>
      <w:tblPr>
        <w:tblW w:w="10349" w:type="dxa"/>
        <w:tblInd w:w="-5" w:type="dxa"/>
        <w:tblLayout w:type="fixed"/>
        <w:tblCellMar>
          <w:left w:w="70" w:type="dxa"/>
          <w:right w:w="70" w:type="dxa"/>
        </w:tblCellMar>
        <w:tblLook w:val="04A0" w:firstRow="1" w:lastRow="0" w:firstColumn="1" w:lastColumn="0" w:noHBand="0" w:noVBand="1"/>
      </w:tblPr>
      <w:tblGrid>
        <w:gridCol w:w="1419"/>
        <w:gridCol w:w="1911"/>
        <w:gridCol w:w="1276"/>
        <w:gridCol w:w="923"/>
        <w:gridCol w:w="426"/>
        <w:gridCol w:w="2409"/>
        <w:gridCol w:w="851"/>
        <w:gridCol w:w="1134"/>
      </w:tblGrid>
      <w:tr w:rsidR="006F2AA4" w:rsidRPr="00A66160" w14:paraId="2761CB0B" w14:textId="77777777" w:rsidTr="002A45EA">
        <w:trPr>
          <w:trHeight w:val="345"/>
        </w:trPr>
        <w:tc>
          <w:tcPr>
            <w:tcW w:w="10348"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175363E3" w14:textId="77777777" w:rsidR="006F2AA4" w:rsidRPr="00A66160" w:rsidRDefault="006F2AA4" w:rsidP="00125225">
            <w:pPr>
              <w:jc w:val="center"/>
              <w:rPr>
                <w:rFonts w:ascii="Arial" w:hAnsi="Arial" w:cs="Arial"/>
                <w:b/>
                <w:color w:val="000000"/>
                <w:sz w:val="16"/>
                <w:szCs w:val="16"/>
              </w:rPr>
            </w:pPr>
            <w:r w:rsidRPr="00A66160">
              <w:rPr>
                <w:rFonts w:ascii="Arial" w:hAnsi="Arial" w:cs="Arial"/>
                <w:b/>
                <w:color w:val="000000"/>
                <w:sz w:val="16"/>
                <w:szCs w:val="16"/>
              </w:rPr>
              <w:t>LABORATORIOS DEL DEPARTAMENTO DE BOTÁNICA, DIVISIÓN DE AGRONOMÍA, UAAAN SALTILLO</w:t>
            </w:r>
          </w:p>
          <w:p w14:paraId="752BAB91" w14:textId="77777777" w:rsidR="006F2AA4" w:rsidRPr="00A66160" w:rsidRDefault="006F2AA4" w:rsidP="00125225">
            <w:pPr>
              <w:jc w:val="center"/>
              <w:rPr>
                <w:rFonts w:ascii="Arial" w:hAnsi="Arial" w:cs="Arial"/>
                <w:color w:val="000000"/>
                <w:sz w:val="16"/>
                <w:szCs w:val="16"/>
              </w:rPr>
            </w:pPr>
          </w:p>
        </w:tc>
      </w:tr>
      <w:tr w:rsidR="006F2AA4" w:rsidRPr="00A66160" w14:paraId="0F01A6BE" w14:textId="77777777" w:rsidTr="002A45EA">
        <w:trPr>
          <w:trHeight w:val="345"/>
        </w:trPr>
        <w:tc>
          <w:tcPr>
            <w:tcW w:w="5529" w:type="dxa"/>
            <w:gridSpan w:val="4"/>
            <w:tcBorders>
              <w:top w:val="single" w:sz="4" w:space="0" w:color="auto"/>
              <w:left w:val="single" w:sz="4" w:space="0" w:color="auto"/>
              <w:bottom w:val="single" w:sz="4" w:space="0" w:color="auto"/>
              <w:right w:val="nil"/>
            </w:tcBorders>
            <w:shd w:val="clear" w:color="auto" w:fill="auto"/>
            <w:vAlign w:val="center"/>
            <w:hideMark/>
          </w:tcPr>
          <w:p w14:paraId="6DB73817" w14:textId="77777777" w:rsidR="006F2AA4" w:rsidRPr="00A66160" w:rsidRDefault="006F2AA4" w:rsidP="00125225">
            <w:pPr>
              <w:jc w:val="center"/>
              <w:rPr>
                <w:rFonts w:ascii="Arial" w:hAnsi="Arial" w:cs="Arial"/>
                <w:b/>
                <w:color w:val="000000"/>
                <w:sz w:val="16"/>
                <w:szCs w:val="16"/>
              </w:rPr>
            </w:pPr>
            <w:r w:rsidRPr="00A66160">
              <w:rPr>
                <w:rFonts w:ascii="Arial" w:hAnsi="Arial" w:cs="Arial"/>
                <w:b/>
                <w:color w:val="000000"/>
                <w:sz w:val="16"/>
                <w:szCs w:val="16"/>
              </w:rPr>
              <w:t>Oferta actual</w:t>
            </w:r>
          </w:p>
        </w:tc>
        <w:tc>
          <w:tcPr>
            <w:tcW w:w="481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8EFB50E" w14:textId="77777777" w:rsidR="006F2AA4" w:rsidRPr="00A66160" w:rsidRDefault="006F2AA4" w:rsidP="00125225">
            <w:pPr>
              <w:jc w:val="center"/>
              <w:rPr>
                <w:rFonts w:ascii="Arial" w:hAnsi="Arial" w:cs="Arial"/>
                <w:b/>
                <w:color w:val="000000"/>
                <w:sz w:val="16"/>
                <w:szCs w:val="16"/>
              </w:rPr>
            </w:pPr>
            <w:r w:rsidRPr="00A66160">
              <w:rPr>
                <w:rFonts w:ascii="Arial" w:hAnsi="Arial" w:cs="Arial"/>
                <w:b/>
                <w:color w:val="000000"/>
                <w:sz w:val="16"/>
                <w:szCs w:val="16"/>
              </w:rPr>
              <w:t>Oferta con proyecto</w:t>
            </w:r>
          </w:p>
        </w:tc>
      </w:tr>
      <w:tr w:rsidR="006F2AA4" w:rsidRPr="001E61C7" w14:paraId="4E73E80F" w14:textId="77777777" w:rsidTr="002A45EA">
        <w:trPr>
          <w:trHeight w:val="690"/>
        </w:trPr>
        <w:tc>
          <w:tcPr>
            <w:tcW w:w="1419" w:type="dxa"/>
            <w:tcBorders>
              <w:top w:val="nil"/>
              <w:left w:val="single" w:sz="4" w:space="0" w:color="auto"/>
              <w:bottom w:val="single" w:sz="4" w:space="0" w:color="auto"/>
              <w:right w:val="single" w:sz="4" w:space="0" w:color="auto"/>
            </w:tcBorders>
            <w:shd w:val="clear" w:color="auto" w:fill="auto"/>
            <w:vAlign w:val="center"/>
            <w:hideMark/>
          </w:tcPr>
          <w:p w14:paraId="4D667388" w14:textId="77777777"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Nombre del equipo</w:t>
            </w:r>
          </w:p>
        </w:tc>
        <w:tc>
          <w:tcPr>
            <w:tcW w:w="1911" w:type="dxa"/>
            <w:tcBorders>
              <w:top w:val="nil"/>
              <w:left w:val="nil"/>
              <w:bottom w:val="single" w:sz="4" w:space="0" w:color="auto"/>
              <w:right w:val="single" w:sz="4" w:space="0" w:color="auto"/>
            </w:tcBorders>
            <w:shd w:val="clear" w:color="auto" w:fill="auto"/>
            <w:vAlign w:val="center"/>
            <w:hideMark/>
          </w:tcPr>
          <w:p w14:paraId="6E6AFE32" w14:textId="77777777"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Características técnicas</w:t>
            </w:r>
          </w:p>
        </w:tc>
        <w:tc>
          <w:tcPr>
            <w:tcW w:w="1276" w:type="dxa"/>
            <w:tcBorders>
              <w:top w:val="nil"/>
              <w:left w:val="nil"/>
              <w:bottom w:val="single" w:sz="4" w:space="0" w:color="auto"/>
              <w:right w:val="single" w:sz="4" w:space="0" w:color="auto"/>
            </w:tcBorders>
            <w:shd w:val="clear" w:color="auto" w:fill="auto"/>
            <w:vAlign w:val="center"/>
            <w:hideMark/>
          </w:tcPr>
          <w:p w14:paraId="19A6C38B" w14:textId="77777777"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Cantidad</w:t>
            </w:r>
          </w:p>
        </w:tc>
        <w:tc>
          <w:tcPr>
            <w:tcW w:w="1349" w:type="dxa"/>
            <w:gridSpan w:val="2"/>
            <w:tcBorders>
              <w:top w:val="nil"/>
              <w:left w:val="nil"/>
              <w:bottom w:val="single" w:sz="4" w:space="0" w:color="auto"/>
              <w:right w:val="single" w:sz="4" w:space="0" w:color="auto"/>
            </w:tcBorders>
            <w:shd w:val="clear" w:color="auto" w:fill="auto"/>
            <w:vAlign w:val="center"/>
            <w:hideMark/>
          </w:tcPr>
          <w:p w14:paraId="2DA87D3F" w14:textId="77777777"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Nombre del equipo</w:t>
            </w:r>
          </w:p>
        </w:tc>
        <w:tc>
          <w:tcPr>
            <w:tcW w:w="2409" w:type="dxa"/>
            <w:tcBorders>
              <w:top w:val="nil"/>
              <w:left w:val="nil"/>
              <w:bottom w:val="single" w:sz="4" w:space="0" w:color="auto"/>
              <w:right w:val="single" w:sz="4" w:space="0" w:color="auto"/>
            </w:tcBorders>
            <w:shd w:val="clear" w:color="auto" w:fill="auto"/>
            <w:vAlign w:val="center"/>
            <w:hideMark/>
          </w:tcPr>
          <w:p w14:paraId="33D993E2" w14:textId="77777777"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Características técnicas</w:t>
            </w:r>
          </w:p>
        </w:tc>
        <w:tc>
          <w:tcPr>
            <w:tcW w:w="851" w:type="dxa"/>
            <w:tcBorders>
              <w:top w:val="nil"/>
              <w:left w:val="nil"/>
              <w:bottom w:val="single" w:sz="4" w:space="0" w:color="auto"/>
              <w:right w:val="single" w:sz="4" w:space="0" w:color="auto"/>
            </w:tcBorders>
            <w:shd w:val="clear" w:color="auto" w:fill="auto"/>
            <w:vAlign w:val="center"/>
            <w:hideMark/>
          </w:tcPr>
          <w:p w14:paraId="3D0B0F35" w14:textId="77777777"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Cantidad</w:t>
            </w:r>
          </w:p>
        </w:tc>
        <w:tc>
          <w:tcPr>
            <w:tcW w:w="1134" w:type="dxa"/>
            <w:tcBorders>
              <w:top w:val="nil"/>
              <w:left w:val="nil"/>
              <w:bottom w:val="single" w:sz="4" w:space="0" w:color="auto"/>
              <w:right w:val="single" w:sz="4" w:space="0" w:color="auto"/>
            </w:tcBorders>
            <w:shd w:val="clear" w:color="auto" w:fill="auto"/>
            <w:vAlign w:val="center"/>
            <w:hideMark/>
          </w:tcPr>
          <w:p w14:paraId="6C533061" w14:textId="77777777"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Destino que se le dará</w:t>
            </w:r>
          </w:p>
        </w:tc>
      </w:tr>
      <w:tr w:rsidR="006F2AA4" w:rsidRPr="00A66160" w14:paraId="3DF579BC" w14:textId="77777777" w:rsidTr="002A45EA">
        <w:trPr>
          <w:cantSplit/>
          <w:trHeight w:val="1380"/>
        </w:trPr>
        <w:tc>
          <w:tcPr>
            <w:tcW w:w="1419" w:type="dxa"/>
            <w:tcBorders>
              <w:top w:val="nil"/>
              <w:left w:val="single" w:sz="4" w:space="0" w:color="auto"/>
              <w:bottom w:val="single" w:sz="4" w:space="0" w:color="auto"/>
              <w:right w:val="single" w:sz="4" w:space="0" w:color="auto"/>
            </w:tcBorders>
            <w:shd w:val="clear" w:color="auto" w:fill="auto"/>
            <w:textDirection w:val="btLr"/>
            <w:hideMark/>
          </w:tcPr>
          <w:p w14:paraId="4F9A53CD" w14:textId="2511C187" w:rsidR="006F2AA4" w:rsidRPr="00A66160" w:rsidRDefault="008D6143" w:rsidP="00125225">
            <w:pPr>
              <w:ind w:left="113" w:right="113"/>
              <w:jc w:val="center"/>
              <w:rPr>
                <w:rFonts w:ascii="Arial" w:hAnsi="Arial" w:cs="Arial"/>
                <w:color w:val="000000"/>
                <w:sz w:val="16"/>
                <w:szCs w:val="16"/>
              </w:rPr>
            </w:pPr>
            <w:r w:rsidRPr="00A66160">
              <w:rPr>
                <w:rFonts w:ascii="Arial" w:hAnsi="Arial" w:cs="Arial"/>
                <w:color w:val="000000"/>
                <w:sz w:val="16"/>
                <w:szCs w:val="16"/>
              </w:rPr>
              <w:lastRenderedPageBreak/>
              <w:t>M</w:t>
            </w:r>
            <w:r w:rsidR="006F2AA4" w:rsidRPr="00A66160">
              <w:rPr>
                <w:rFonts w:ascii="Arial" w:hAnsi="Arial" w:cs="Arial"/>
                <w:color w:val="000000"/>
                <w:sz w:val="16"/>
                <w:szCs w:val="16"/>
              </w:rPr>
              <w:t>icroscopios</w:t>
            </w:r>
          </w:p>
        </w:tc>
        <w:tc>
          <w:tcPr>
            <w:tcW w:w="1911" w:type="dxa"/>
            <w:tcBorders>
              <w:top w:val="nil"/>
              <w:left w:val="nil"/>
              <w:bottom w:val="single" w:sz="4" w:space="0" w:color="auto"/>
              <w:right w:val="single" w:sz="4" w:space="0" w:color="auto"/>
            </w:tcBorders>
            <w:shd w:val="clear" w:color="auto" w:fill="auto"/>
            <w:hideMark/>
          </w:tcPr>
          <w:p w14:paraId="6E8DBCD5" w14:textId="77777777" w:rsidR="006F2AA4" w:rsidRPr="00A66160" w:rsidRDefault="006F2AA4" w:rsidP="00125225">
            <w:pPr>
              <w:rPr>
                <w:rFonts w:ascii="Arial" w:hAnsi="Arial" w:cs="Arial"/>
                <w:color w:val="000000"/>
                <w:sz w:val="16"/>
                <w:szCs w:val="16"/>
              </w:rPr>
            </w:pPr>
            <w:r w:rsidRPr="00A66160">
              <w:rPr>
                <w:rFonts w:ascii="Arial" w:hAnsi="Arial" w:cs="Arial"/>
                <w:sz w:val="16"/>
                <w:szCs w:val="16"/>
              </w:rPr>
              <w:t>Se tienen 18 Microscopios binoculares de diferentes Marcas para atender 18 grupos de 35 alumnos de primer semestre de todas las especialidades y alumnos de la carrera de Agrobiología</w:t>
            </w:r>
          </w:p>
        </w:tc>
        <w:tc>
          <w:tcPr>
            <w:tcW w:w="1276" w:type="dxa"/>
            <w:tcBorders>
              <w:top w:val="nil"/>
              <w:left w:val="nil"/>
              <w:bottom w:val="single" w:sz="4" w:space="0" w:color="auto"/>
              <w:right w:val="single" w:sz="4" w:space="0" w:color="auto"/>
            </w:tcBorders>
            <w:shd w:val="clear" w:color="auto" w:fill="auto"/>
            <w:hideMark/>
          </w:tcPr>
          <w:p w14:paraId="4E921DA8" w14:textId="77777777" w:rsidR="006F2AA4" w:rsidRPr="00A66160" w:rsidRDefault="006F2AA4" w:rsidP="00125225">
            <w:pPr>
              <w:rPr>
                <w:rFonts w:ascii="Arial" w:hAnsi="Arial" w:cs="Arial"/>
                <w:color w:val="000000"/>
                <w:sz w:val="16"/>
                <w:szCs w:val="16"/>
                <w:u w:val="single"/>
              </w:rPr>
            </w:pPr>
            <w:r w:rsidRPr="00A66160">
              <w:rPr>
                <w:rFonts w:ascii="Arial" w:hAnsi="Arial" w:cs="Arial"/>
                <w:color w:val="000000"/>
                <w:sz w:val="16"/>
                <w:szCs w:val="16"/>
                <w:u w:val="single"/>
              </w:rPr>
              <w:t>18</w:t>
            </w:r>
          </w:p>
          <w:p w14:paraId="56888D9F"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(6 funcionando), 12 descompuestos que requieren de mantenimiento)</w:t>
            </w:r>
          </w:p>
        </w:tc>
        <w:tc>
          <w:tcPr>
            <w:tcW w:w="1349" w:type="dxa"/>
            <w:gridSpan w:val="2"/>
            <w:tcBorders>
              <w:top w:val="nil"/>
              <w:left w:val="nil"/>
              <w:bottom w:val="single" w:sz="4" w:space="0" w:color="auto"/>
              <w:right w:val="single" w:sz="4" w:space="0" w:color="auto"/>
            </w:tcBorders>
            <w:shd w:val="clear" w:color="auto" w:fill="auto"/>
            <w:hideMark/>
          </w:tcPr>
          <w:p w14:paraId="4FADF390"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Microscopios binoculares marca Zeigen</w:t>
            </w:r>
          </w:p>
        </w:tc>
        <w:tc>
          <w:tcPr>
            <w:tcW w:w="2409" w:type="dxa"/>
            <w:tcBorders>
              <w:top w:val="nil"/>
              <w:left w:val="nil"/>
              <w:bottom w:val="single" w:sz="4" w:space="0" w:color="auto"/>
              <w:right w:val="single" w:sz="4" w:space="0" w:color="auto"/>
            </w:tcBorders>
            <w:shd w:val="clear" w:color="auto" w:fill="auto"/>
            <w:hideMark/>
          </w:tcPr>
          <w:p w14:paraId="5F65BD3E"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Microscopio marca Zeigen cabeza binocular inclinada 45° giratoria 360º con un par de oculares de campo amplio wf10x18mm  enfoque macro-micrométrico coaxial oculares de campo amplio wf-10 revolver cuádruple embalado con objetivos acromáticos 4x, 10x, 40xretractil y 100x retráctil de inmersión</w:t>
            </w:r>
            <w:r w:rsidRPr="00A66160">
              <w:rPr>
                <w:rFonts w:ascii="Arial" w:hAnsi="Arial" w:cs="Arial"/>
                <w:color w:val="000000"/>
                <w:sz w:val="16"/>
                <w:szCs w:val="16"/>
              </w:rPr>
              <w:br/>
              <w:t>platina móvil, integral de doble placa, con mandos coaxiales para movimientos x-y con escalas milimétricas y vernier.</w:t>
            </w:r>
            <w:r w:rsidRPr="00A66160">
              <w:rPr>
                <w:rFonts w:ascii="Arial" w:hAnsi="Arial" w:cs="Arial"/>
                <w:color w:val="000000"/>
                <w:sz w:val="16"/>
                <w:szCs w:val="16"/>
              </w:rPr>
              <w:br/>
              <w:t>Condensador centrable abbe n.a. 1.25 con diafragma de iris con porta filtros, con cremallera y piñón para desplazamiento del condensador</w:t>
            </w:r>
            <w:r w:rsidRPr="00A66160">
              <w:rPr>
                <w:rFonts w:ascii="Arial" w:hAnsi="Arial" w:cs="Arial"/>
                <w:color w:val="000000"/>
                <w:sz w:val="16"/>
                <w:szCs w:val="16"/>
              </w:rPr>
              <w:br/>
              <w:t>iluminación integrada de halógeno de 6v-20w, con control de intensidad variable.</w:t>
            </w:r>
            <w:r w:rsidRPr="00A66160">
              <w:rPr>
                <w:rFonts w:ascii="Arial" w:hAnsi="Arial" w:cs="Arial"/>
                <w:color w:val="000000"/>
                <w:sz w:val="16"/>
                <w:szCs w:val="16"/>
              </w:rPr>
              <w:br/>
              <w:t>Filtro azul, funda de plástico, manual de instrucciones, aceite de inmersión, empaque de poliestireno.</w:t>
            </w:r>
          </w:p>
          <w:p w14:paraId="5D19DCDF"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Costo aproximado: 15,000 cada uno, con un total de 90,000.00 pesos.</w:t>
            </w:r>
          </w:p>
          <w:p w14:paraId="443B3FB0" w14:textId="77777777" w:rsidR="006F2AA4" w:rsidRPr="00A66160" w:rsidRDefault="006F2AA4" w:rsidP="00125225">
            <w:pPr>
              <w:rPr>
                <w:rFonts w:ascii="Arial" w:hAnsi="Arial" w:cs="Arial"/>
                <w:color w:val="000000"/>
                <w:sz w:val="16"/>
                <w:szCs w:val="16"/>
              </w:rPr>
            </w:pPr>
          </w:p>
        </w:tc>
        <w:tc>
          <w:tcPr>
            <w:tcW w:w="851" w:type="dxa"/>
            <w:tcBorders>
              <w:top w:val="nil"/>
              <w:left w:val="nil"/>
              <w:bottom w:val="single" w:sz="4" w:space="0" w:color="auto"/>
              <w:right w:val="single" w:sz="4" w:space="0" w:color="auto"/>
            </w:tcBorders>
            <w:shd w:val="clear" w:color="auto" w:fill="auto"/>
            <w:hideMark/>
          </w:tcPr>
          <w:p w14:paraId="30071343" w14:textId="77777777" w:rsidR="006F2AA4" w:rsidRPr="00A66160" w:rsidRDefault="006F2AA4" w:rsidP="00125225">
            <w:pPr>
              <w:jc w:val="center"/>
              <w:rPr>
                <w:rFonts w:ascii="Arial" w:hAnsi="Arial" w:cs="Arial"/>
                <w:color w:val="000000"/>
                <w:sz w:val="16"/>
                <w:szCs w:val="16"/>
              </w:rPr>
            </w:pPr>
            <w:r w:rsidRPr="00A66160">
              <w:rPr>
                <w:rFonts w:ascii="Arial" w:hAnsi="Arial" w:cs="Arial"/>
                <w:color w:val="000000"/>
                <w:sz w:val="16"/>
                <w:szCs w:val="16"/>
              </w:rPr>
              <w:t>6</w:t>
            </w:r>
          </w:p>
        </w:tc>
        <w:tc>
          <w:tcPr>
            <w:tcW w:w="1134" w:type="dxa"/>
            <w:vMerge w:val="restart"/>
            <w:tcBorders>
              <w:top w:val="nil"/>
              <w:left w:val="nil"/>
              <w:bottom w:val="single" w:sz="4" w:space="0" w:color="auto"/>
              <w:right w:val="single" w:sz="4" w:space="0" w:color="auto"/>
            </w:tcBorders>
            <w:shd w:val="clear" w:color="auto" w:fill="auto"/>
            <w:hideMark/>
          </w:tcPr>
          <w:p w14:paraId="1A7AC064" w14:textId="77777777" w:rsidR="006F2AA4" w:rsidRPr="00A66160" w:rsidRDefault="006F2AA4" w:rsidP="00125225">
            <w:pPr>
              <w:pStyle w:val="Textoindependiente2"/>
              <w:rPr>
                <w:rFonts w:cs="Arial"/>
                <w:b/>
                <w:color w:val="000000"/>
                <w:sz w:val="16"/>
                <w:szCs w:val="16"/>
              </w:rPr>
            </w:pPr>
            <w:r w:rsidRPr="00A66160">
              <w:rPr>
                <w:rFonts w:cs="Arial"/>
                <w:color w:val="000000"/>
                <w:sz w:val="16"/>
                <w:szCs w:val="16"/>
              </w:rPr>
              <w:t xml:space="preserve">Los microscopios se destinarán al Laboratorio de Botánica,  serán utilizados complementariamente con los que se cuenta actualmente. Año con año </w:t>
            </w:r>
            <w:r w:rsidRPr="00A66160">
              <w:rPr>
                <w:rFonts w:cs="Arial"/>
                <w:sz w:val="16"/>
                <w:szCs w:val="16"/>
              </w:rPr>
              <w:t>se atienden a más de 600 Alumnos de 1er Semestre de 10 carreras de las 13 que ofrece la UAAAN en licenciatura y alumnos de la Especialidad de Agrobiología.</w:t>
            </w:r>
          </w:p>
          <w:p w14:paraId="72338801" w14:textId="77777777" w:rsidR="006F2AA4" w:rsidRPr="00A66160" w:rsidRDefault="006F2AA4" w:rsidP="00125225">
            <w:pPr>
              <w:rPr>
                <w:rFonts w:ascii="Arial" w:hAnsi="Arial" w:cs="Arial"/>
                <w:b/>
                <w:color w:val="000000"/>
                <w:sz w:val="16"/>
                <w:szCs w:val="16"/>
                <w:lang w:val="es-ES"/>
              </w:rPr>
            </w:pPr>
          </w:p>
        </w:tc>
      </w:tr>
      <w:tr w:rsidR="006F2AA4" w:rsidRPr="00A66160" w14:paraId="0D59FC52" w14:textId="77777777" w:rsidTr="002A45EA">
        <w:trPr>
          <w:cantSplit/>
          <w:trHeight w:val="1134"/>
        </w:trPr>
        <w:tc>
          <w:tcPr>
            <w:tcW w:w="1419" w:type="dxa"/>
            <w:tcBorders>
              <w:top w:val="single" w:sz="4" w:space="0" w:color="auto"/>
              <w:left w:val="single" w:sz="4" w:space="0" w:color="auto"/>
              <w:bottom w:val="single" w:sz="4" w:space="0" w:color="auto"/>
              <w:right w:val="single" w:sz="4" w:space="0" w:color="auto"/>
            </w:tcBorders>
            <w:shd w:val="clear" w:color="auto" w:fill="auto"/>
            <w:textDirection w:val="btLr"/>
            <w:hideMark/>
          </w:tcPr>
          <w:p w14:paraId="0D4C0661" w14:textId="77777777" w:rsidR="006F2AA4" w:rsidRPr="00A66160" w:rsidRDefault="006F2AA4" w:rsidP="00125225">
            <w:pPr>
              <w:pStyle w:val="Textoindependiente2"/>
              <w:ind w:left="113" w:right="113"/>
              <w:jc w:val="center"/>
              <w:rPr>
                <w:rFonts w:cs="Arial"/>
                <w:b/>
                <w:sz w:val="16"/>
                <w:szCs w:val="16"/>
              </w:rPr>
            </w:pPr>
            <w:r w:rsidRPr="00A66160">
              <w:rPr>
                <w:rFonts w:cs="Arial"/>
                <w:color w:val="000000"/>
                <w:sz w:val="16"/>
                <w:szCs w:val="16"/>
              </w:rPr>
              <w:t>Microscopios estereoscopio</w:t>
            </w:r>
          </w:p>
          <w:p w14:paraId="389D6BFD" w14:textId="77777777" w:rsidR="006F2AA4" w:rsidRPr="00A66160" w:rsidRDefault="006F2AA4" w:rsidP="00125225">
            <w:pPr>
              <w:ind w:left="113" w:right="113"/>
              <w:jc w:val="center"/>
              <w:rPr>
                <w:rFonts w:ascii="Arial" w:hAnsi="Arial" w:cs="Arial"/>
                <w:color w:val="000000"/>
                <w:sz w:val="16"/>
                <w:szCs w:val="16"/>
                <w:lang w:val="es-ES"/>
              </w:rPr>
            </w:pPr>
          </w:p>
        </w:tc>
        <w:tc>
          <w:tcPr>
            <w:tcW w:w="1911" w:type="dxa"/>
            <w:tcBorders>
              <w:top w:val="single" w:sz="4" w:space="0" w:color="auto"/>
              <w:left w:val="nil"/>
              <w:bottom w:val="single" w:sz="4" w:space="0" w:color="auto"/>
              <w:right w:val="single" w:sz="4" w:space="0" w:color="auto"/>
            </w:tcBorders>
            <w:shd w:val="clear" w:color="auto" w:fill="auto"/>
            <w:hideMark/>
          </w:tcPr>
          <w:p w14:paraId="0A449DF5"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 Actualmente se cuentan con 8 microscopios de este tipo, de diferentes marcas y todos funcionan.</w:t>
            </w:r>
          </w:p>
        </w:tc>
        <w:tc>
          <w:tcPr>
            <w:tcW w:w="1276" w:type="dxa"/>
            <w:tcBorders>
              <w:top w:val="single" w:sz="4" w:space="0" w:color="auto"/>
              <w:left w:val="nil"/>
              <w:bottom w:val="single" w:sz="4" w:space="0" w:color="auto"/>
              <w:right w:val="single" w:sz="4" w:space="0" w:color="auto"/>
            </w:tcBorders>
            <w:shd w:val="clear" w:color="auto" w:fill="auto"/>
            <w:hideMark/>
          </w:tcPr>
          <w:p w14:paraId="056C79B4"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8, todos funcionando</w:t>
            </w:r>
          </w:p>
        </w:tc>
        <w:tc>
          <w:tcPr>
            <w:tcW w:w="1349" w:type="dxa"/>
            <w:gridSpan w:val="2"/>
            <w:tcBorders>
              <w:top w:val="single" w:sz="4" w:space="0" w:color="auto"/>
              <w:left w:val="nil"/>
              <w:bottom w:val="single" w:sz="4" w:space="0" w:color="auto"/>
              <w:right w:val="single" w:sz="4" w:space="0" w:color="auto"/>
            </w:tcBorders>
            <w:shd w:val="clear" w:color="auto" w:fill="auto"/>
            <w:hideMark/>
          </w:tcPr>
          <w:p w14:paraId="2D859C9F" w14:textId="77777777" w:rsidR="006F2AA4" w:rsidRPr="00A66160" w:rsidRDefault="006F2AA4" w:rsidP="00125225">
            <w:pPr>
              <w:rPr>
                <w:rFonts w:ascii="Arial" w:hAnsi="Arial" w:cs="Arial"/>
                <w:color w:val="000000"/>
                <w:sz w:val="16"/>
                <w:szCs w:val="16"/>
              </w:rPr>
            </w:pPr>
            <w:r w:rsidRPr="00A66160">
              <w:rPr>
                <w:rFonts w:ascii="Arial" w:hAnsi="Arial" w:cs="Arial"/>
                <w:sz w:val="16"/>
                <w:szCs w:val="16"/>
              </w:rPr>
              <w:t xml:space="preserve">microscopios estereoscopio de 20 y 40   aumentos  </w:t>
            </w:r>
          </w:p>
        </w:tc>
        <w:tc>
          <w:tcPr>
            <w:tcW w:w="2409" w:type="dxa"/>
            <w:tcBorders>
              <w:top w:val="single" w:sz="4" w:space="0" w:color="auto"/>
              <w:left w:val="nil"/>
              <w:bottom w:val="single" w:sz="4" w:space="0" w:color="auto"/>
              <w:right w:val="single" w:sz="4" w:space="0" w:color="auto"/>
            </w:tcBorders>
            <w:shd w:val="clear" w:color="auto" w:fill="auto"/>
            <w:hideMark/>
          </w:tcPr>
          <w:p w14:paraId="79D65C5F" w14:textId="77777777" w:rsidR="006F2AA4" w:rsidRPr="00A66160" w:rsidRDefault="006F2AA4" w:rsidP="00125225">
            <w:pPr>
              <w:rPr>
                <w:rFonts w:ascii="Arial" w:hAnsi="Arial" w:cs="Arial"/>
                <w:sz w:val="16"/>
                <w:szCs w:val="16"/>
              </w:rPr>
            </w:pPr>
            <w:r w:rsidRPr="00A66160">
              <w:rPr>
                <w:rFonts w:ascii="Arial" w:hAnsi="Arial" w:cs="Arial"/>
                <w:sz w:val="16"/>
                <w:szCs w:val="16"/>
              </w:rPr>
              <w:t>marca Olympus modelo chk01    $12.000.00 cada uno dando un costo total de$48,000.00</w:t>
            </w:r>
          </w:p>
          <w:p w14:paraId="2FA295D5"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Tipo: esterezoom. Cabeza: binocular, inclinada 45º, giratoria 360º.con tubos oculares giratorios para ajuste de distancia interpupilar de 55 a 75mm, un tubo de ajuste de dioptrias.</w:t>
            </w:r>
            <w:r w:rsidRPr="00A66160">
              <w:rPr>
                <w:rFonts w:ascii="Arial" w:hAnsi="Arial" w:cs="Arial"/>
                <w:color w:val="000000"/>
                <w:sz w:val="16"/>
                <w:szCs w:val="16"/>
              </w:rPr>
              <w:br/>
              <w:t>Enfoque: macro métrico. ocular: 10x de gran campo.</w:t>
            </w:r>
            <w:r w:rsidRPr="00A66160">
              <w:rPr>
                <w:rFonts w:ascii="Arial" w:hAnsi="Arial" w:cs="Arial"/>
                <w:color w:val="000000"/>
                <w:sz w:val="16"/>
                <w:szCs w:val="16"/>
              </w:rPr>
              <w:br/>
              <w:t xml:space="preserve">Objetivos: integrados con zoom de 0.7x a 4.5x para 7 a 45 aumentos. </w:t>
            </w:r>
            <w:r w:rsidRPr="00A66160">
              <w:rPr>
                <w:rFonts w:ascii="Arial" w:hAnsi="Arial" w:cs="Arial"/>
                <w:color w:val="000000"/>
                <w:sz w:val="16"/>
                <w:szCs w:val="16"/>
              </w:rPr>
              <w:br/>
              <w:t>Platina: vidrio.</w:t>
            </w:r>
            <w:r w:rsidRPr="00A66160">
              <w:rPr>
                <w:rFonts w:ascii="Arial" w:hAnsi="Arial" w:cs="Arial"/>
                <w:color w:val="000000"/>
                <w:sz w:val="16"/>
                <w:szCs w:val="16"/>
              </w:rPr>
              <w:br/>
              <w:t>iluminación: integrada incidente de halógeno de 12v/10w e iluminación transmitida de halógeno de 12v/10w a.c 127v 60hz cable tripolar; puede trabajar con luz transmitida o</w:t>
            </w:r>
          </w:p>
          <w:p w14:paraId="0B5AE6D2"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poliestireno.</w:t>
            </w:r>
            <w:r w:rsidRPr="00A66160">
              <w:rPr>
                <w:rFonts w:ascii="Arial" w:hAnsi="Arial" w:cs="Arial"/>
                <w:color w:val="000000"/>
                <w:sz w:val="16"/>
                <w:szCs w:val="16"/>
              </w:rPr>
              <w:br/>
              <w:t>dimensiones: 41.5 x 25 x 21 cms.</w:t>
            </w:r>
            <w:r w:rsidRPr="00A66160">
              <w:rPr>
                <w:rFonts w:ascii="Arial" w:hAnsi="Arial" w:cs="Arial"/>
                <w:color w:val="000000"/>
                <w:sz w:val="16"/>
                <w:szCs w:val="16"/>
              </w:rPr>
              <w:br/>
              <w:t>peso: 6.5 kgs</w:t>
            </w:r>
          </w:p>
        </w:tc>
        <w:tc>
          <w:tcPr>
            <w:tcW w:w="851" w:type="dxa"/>
            <w:tcBorders>
              <w:top w:val="single" w:sz="4" w:space="0" w:color="auto"/>
              <w:left w:val="nil"/>
              <w:bottom w:val="single" w:sz="4" w:space="0" w:color="auto"/>
              <w:right w:val="single" w:sz="4" w:space="0" w:color="auto"/>
            </w:tcBorders>
            <w:shd w:val="clear" w:color="auto" w:fill="auto"/>
            <w:hideMark/>
          </w:tcPr>
          <w:p w14:paraId="3955C2FB"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4</w:t>
            </w:r>
          </w:p>
        </w:tc>
        <w:tc>
          <w:tcPr>
            <w:tcW w:w="1134" w:type="dxa"/>
            <w:vMerge/>
            <w:tcBorders>
              <w:top w:val="single" w:sz="4" w:space="0" w:color="auto"/>
              <w:left w:val="nil"/>
              <w:bottom w:val="single" w:sz="4" w:space="0" w:color="auto"/>
              <w:right w:val="single" w:sz="4" w:space="0" w:color="auto"/>
            </w:tcBorders>
            <w:shd w:val="clear" w:color="auto" w:fill="auto"/>
            <w:hideMark/>
          </w:tcPr>
          <w:p w14:paraId="2A25F5F8" w14:textId="77777777" w:rsidR="006F2AA4" w:rsidRPr="00A66160" w:rsidRDefault="006F2AA4" w:rsidP="00125225">
            <w:pPr>
              <w:rPr>
                <w:rFonts w:ascii="Arial" w:hAnsi="Arial" w:cs="Arial"/>
                <w:color w:val="000000"/>
                <w:sz w:val="16"/>
                <w:szCs w:val="16"/>
              </w:rPr>
            </w:pPr>
          </w:p>
        </w:tc>
      </w:tr>
      <w:tr w:rsidR="006F2AA4" w:rsidRPr="00A66160" w14:paraId="2AC8CAB4" w14:textId="77777777" w:rsidTr="002A45EA">
        <w:trPr>
          <w:cantSplit/>
          <w:trHeight w:val="1134"/>
        </w:trPr>
        <w:tc>
          <w:tcPr>
            <w:tcW w:w="1419" w:type="dxa"/>
            <w:tcBorders>
              <w:top w:val="single" w:sz="4" w:space="0" w:color="auto"/>
              <w:left w:val="single" w:sz="4" w:space="0" w:color="auto"/>
              <w:bottom w:val="single" w:sz="4" w:space="0" w:color="auto"/>
              <w:right w:val="single" w:sz="4" w:space="0" w:color="auto"/>
            </w:tcBorders>
            <w:shd w:val="clear" w:color="auto" w:fill="auto"/>
            <w:textDirection w:val="btLr"/>
            <w:hideMark/>
          </w:tcPr>
          <w:p w14:paraId="5031855E" w14:textId="77777777" w:rsidR="006F2AA4" w:rsidRPr="00A66160" w:rsidRDefault="006F2AA4" w:rsidP="00125225">
            <w:pPr>
              <w:pStyle w:val="Textoindependiente2"/>
              <w:ind w:left="113" w:right="113"/>
              <w:jc w:val="center"/>
              <w:rPr>
                <w:rFonts w:cs="Arial"/>
                <w:b/>
                <w:color w:val="000000"/>
                <w:sz w:val="16"/>
                <w:szCs w:val="16"/>
              </w:rPr>
            </w:pPr>
            <w:r w:rsidRPr="00A66160">
              <w:rPr>
                <w:rFonts w:cs="Arial"/>
                <w:color w:val="000000"/>
                <w:sz w:val="16"/>
                <w:szCs w:val="16"/>
              </w:rPr>
              <w:lastRenderedPageBreak/>
              <w:t>Microscopio</w:t>
            </w:r>
          </w:p>
        </w:tc>
        <w:tc>
          <w:tcPr>
            <w:tcW w:w="1911" w:type="dxa"/>
            <w:tcBorders>
              <w:top w:val="single" w:sz="4" w:space="0" w:color="auto"/>
              <w:left w:val="nil"/>
              <w:bottom w:val="single" w:sz="4" w:space="0" w:color="auto"/>
              <w:right w:val="single" w:sz="4" w:space="0" w:color="auto"/>
            </w:tcBorders>
            <w:shd w:val="clear" w:color="auto" w:fill="auto"/>
            <w:hideMark/>
          </w:tcPr>
          <w:p w14:paraId="16D64E1A"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se cuenta con 12 microscopios de diversas marcas binoculares y monoculares.</w:t>
            </w:r>
          </w:p>
        </w:tc>
        <w:tc>
          <w:tcPr>
            <w:tcW w:w="1276" w:type="dxa"/>
            <w:tcBorders>
              <w:top w:val="single" w:sz="4" w:space="0" w:color="auto"/>
              <w:left w:val="nil"/>
              <w:bottom w:val="single" w:sz="4" w:space="0" w:color="auto"/>
              <w:right w:val="single" w:sz="4" w:space="0" w:color="auto"/>
            </w:tcBorders>
            <w:shd w:val="clear" w:color="auto" w:fill="auto"/>
            <w:hideMark/>
          </w:tcPr>
          <w:p w14:paraId="367F04F3"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12 microscopios (4 funcionando y 8 que requieren mantenimiento)</w:t>
            </w:r>
          </w:p>
        </w:tc>
        <w:tc>
          <w:tcPr>
            <w:tcW w:w="1349" w:type="dxa"/>
            <w:gridSpan w:val="2"/>
            <w:tcBorders>
              <w:top w:val="single" w:sz="4" w:space="0" w:color="auto"/>
              <w:left w:val="nil"/>
              <w:bottom w:val="single" w:sz="4" w:space="0" w:color="auto"/>
              <w:right w:val="single" w:sz="4" w:space="0" w:color="auto"/>
            </w:tcBorders>
            <w:shd w:val="clear" w:color="auto" w:fill="auto"/>
            <w:hideMark/>
          </w:tcPr>
          <w:p w14:paraId="41EDBF62" w14:textId="77777777" w:rsidR="006F2AA4" w:rsidRPr="00A66160" w:rsidRDefault="006F2AA4" w:rsidP="00125225">
            <w:pPr>
              <w:rPr>
                <w:rFonts w:ascii="Arial" w:hAnsi="Arial" w:cs="Arial"/>
                <w:sz w:val="16"/>
                <w:szCs w:val="16"/>
              </w:rPr>
            </w:pPr>
            <w:r w:rsidRPr="00A66160">
              <w:rPr>
                <w:rFonts w:ascii="Arial" w:hAnsi="Arial" w:cs="Arial"/>
                <w:sz w:val="16"/>
                <w:szCs w:val="16"/>
              </w:rPr>
              <w:t>Microscopios</w:t>
            </w:r>
          </w:p>
        </w:tc>
        <w:tc>
          <w:tcPr>
            <w:tcW w:w="2409" w:type="dxa"/>
            <w:tcBorders>
              <w:top w:val="single" w:sz="4" w:space="0" w:color="auto"/>
              <w:left w:val="nil"/>
              <w:bottom w:val="single" w:sz="4" w:space="0" w:color="auto"/>
              <w:right w:val="single" w:sz="4" w:space="0" w:color="auto"/>
            </w:tcBorders>
            <w:shd w:val="clear" w:color="auto" w:fill="auto"/>
            <w:hideMark/>
          </w:tcPr>
          <w:p w14:paraId="58D3FC06" w14:textId="77777777" w:rsidR="006F2AA4" w:rsidRPr="00A66160" w:rsidRDefault="006F2AA4" w:rsidP="00125225">
            <w:pPr>
              <w:pStyle w:val="Ttulo2"/>
              <w:spacing w:line="245" w:lineRule="atLeast"/>
              <w:textAlignment w:val="baseline"/>
              <w:rPr>
                <w:rStyle w:val="Textoennegrita"/>
                <w:rFonts w:ascii="Arial" w:hAnsi="Arial" w:cs="Arial"/>
                <w:b w:val="0"/>
                <w:sz w:val="16"/>
                <w:szCs w:val="16"/>
                <w:bdr w:val="none" w:sz="0" w:space="0" w:color="auto" w:frame="1"/>
                <w:shd w:val="clear" w:color="auto" w:fill="800000"/>
              </w:rPr>
            </w:pPr>
            <w:r w:rsidRPr="00A66160">
              <w:rPr>
                <w:rFonts w:ascii="Arial" w:hAnsi="Arial" w:cs="Arial"/>
                <w:color w:val="000000" w:themeColor="text1"/>
                <w:sz w:val="16"/>
                <w:szCs w:val="16"/>
              </w:rPr>
              <w:t xml:space="preserve"> Microscopios Binoculares digitales Compuesto Con 3d   40-2500X led binocular digital con 3d escenario + cámara USB </w:t>
            </w:r>
          </w:p>
          <w:p w14:paraId="577861D2" w14:textId="77777777" w:rsidR="006F2AA4" w:rsidRPr="00A66160" w:rsidRDefault="006F2AA4" w:rsidP="00125225">
            <w:pPr>
              <w:rPr>
                <w:rFonts w:ascii="Arial" w:hAnsi="Arial" w:cs="Arial"/>
                <w:sz w:val="16"/>
                <w:szCs w:val="16"/>
              </w:rPr>
            </w:pPr>
            <w:r w:rsidRPr="00A66160">
              <w:rPr>
                <w:rFonts w:ascii="Arial" w:hAnsi="Arial" w:cs="Arial"/>
                <w:sz w:val="16"/>
                <w:szCs w:val="16"/>
              </w:rPr>
              <w:t>Precio aproximado: $10,000 pesos cada uno con un total de $50,000 mil.</w:t>
            </w:r>
          </w:p>
        </w:tc>
        <w:tc>
          <w:tcPr>
            <w:tcW w:w="851" w:type="dxa"/>
            <w:tcBorders>
              <w:top w:val="single" w:sz="4" w:space="0" w:color="auto"/>
              <w:left w:val="nil"/>
              <w:bottom w:val="single" w:sz="4" w:space="0" w:color="auto"/>
              <w:right w:val="single" w:sz="4" w:space="0" w:color="auto"/>
            </w:tcBorders>
            <w:shd w:val="clear" w:color="auto" w:fill="auto"/>
            <w:hideMark/>
          </w:tcPr>
          <w:p w14:paraId="404DA7DB" w14:textId="77777777" w:rsidR="006F2AA4" w:rsidRPr="00A66160" w:rsidRDefault="006F2AA4" w:rsidP="00125225">
            <w:pPr>
              <w:rPr>
                <w:rFonts w:ascii="Arial" w:hAnsi="Arial" w:cs="Arial"/>
                <w:color w:val="000000"/>
                <w:sz w:val="16"/>
                <w:szCs w:val="16"/>
              </w:rPr>
            </w:pPr>
            <w:r w:rsidRPr="00A66160">
              <w:rPr>
                <w:rFonts w:ascii="Arial" w:hAnsi="Arial" w:cs="Arial"/>
                <w:color w:val="000000" w:themeColor="text1"/>
                <w:sz w:val="16"/>
                <w:szCs w:val="16"/>
              </w:rPr>
              <w:t>5</w:t>
            </w:r>
          </w:p>
        </w:tc>
        <w:tc>
          <w:tcPr>
            <w:tcW w:w="1134" w:type="dxa"/>
            <w:tcBorders>
              <w:top w:val="single" w:sz="4" w:space="0" w:color="auto"/>
              <w:left w:val="nil"/>
              <w:bottom w:val="single" w:sz="4" w:space="0" w:color="auto"/>
              <w:right w:val="single" w:sz="4" w:space="0" w:color="auto"/>
            </w:tcBorders>
            <w:shd w:val="clear" w:color="auto" w:fill="auto"/>
            <w:hideMark/>
          </w:tcPr>
          <w:p w14:paraId="7E2D4BFB"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Los microscopios se destinarán al Laboratorio de Biología, en el cual se atienden  a alumnos de la carrera de Ingeniero en Agrobiología, Ingeniero en Ciencia y Tecnología de Alimentos, Ingeniero Agrónomo Zootecnista e Ingeniero Agrícola y Ambiental. Este laboratorio también es apoyo para el desarrollo de tesis de licenciatura y del Doctorado en Agricultura Protegida que se imparte en la UAAAN.</w:t>
            </w:r>
          </w:p>
        </w:tc>
      </w:tr>
      <w:tr w:rsidR="006F2AA4" w:rsidRPr="00A66160" w14:paraId="6AD9E1D4" w14:textId="77777777" w:rsidTr="002A45EA">
        <w:trPr>
          <w:cantSplit/>
          <w:trHeight w:val="1134"/>
        </w:trPr>
        <w:tc>
          <w:tcPr>
            <w:tcW w:w="1419" w:type="dxa"/>
            <w:tcBorders>
              <w:top w:val="single" w:sz="4" w:space="0" w:color="auto"/>
              <w:left w:val="single" w:sz="4" w:space="0" w:color="auto"/>
              <w:bottom w:val="single" w:sz="4" w:space="0" w:color="auto"/>
              <w:right w:val="single" w:sz="4" w:space="0" w:color="auto"/>
            </w:tcBorders>
            <w:shd w:val="clear" w:color="auto" w:fill="auto"/>
            <w:textDirection w:val="btLr"/>
            <w:hideMark/>
          </w:tcPr>
          <w:p w14:paraId="7415323B" w14:textId="77777777" w:rsidR="006F2AA4" w:rsidRPr="00A66160" w:rsidRDefault="006F2AA4" w:rsidP="00125225">
            <w:pPr>
              <w:pStyle w:val="Textoindependiente2"/>
              <w:ind w:left="113" w:right="113"/>
              <w:jc w:val="center"/>
              <w:rPr>
                <w:rFonts w:cs="Arial"/>
                <w:b/>
                <w:color w:val="000000"/>
                <w:sz w:val="16"/>
                <w:szCs w:val="16"/>
              </w:rPr>
            </w:pPr>
            <w:r w:rsidRPr="00A66160">
              <w:rPr>
                <w:rFonts w:cs="Arial"/>
                <w:color w:val="000000"/>
                <w:sz w:val="16"/>
                <w:szCs w:val="16"/>
              </w:rPr>
              <w:lastRenderedPageBreak/>
              <w:t>Desionizador</w:t>
            </w:r>
          </w:p>
        </w:tc>
        <w:tc>
          <w:tcPr>
            <w:tcW w:w="1911" w:type="dxa"/>
            <w:tcBorders>
              <w:top w:val="single" w:sz="4" w:space="0" w:color="auto"/>
              <w:left w:val="nil"/>
              <w:bottom w:val="single" w:sz="4" w:space="0" w:color="auto"/>
              <w:right w:val="single" w:sz="4" w:space="0" w:color="auto"/>
            </w:tcBorders>
            <w:shd w:val="clear" w:color="auto" w:fill="auto"/>
            <w:hideMark/>
          </w:tcPr>
          <w:p w14:paraId="6C34EF47"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no cuenta con dicho equipo en ningún laboratorio del departamento</w:t>
            </w:r>
          </w:p>
        </w:tc>
        <w:tc>
          <w:tcPr>
            <w:tcW w:w="1276" w:type="dxa"/>
            <w:tcBorders>
              <w:top w:val="single" w:sz="4" w:space="0" w:color="auto"/>
              <w:left w:val="nil"/>
              <w:bottom w:val="single" w:sz="4" w:space="0" w:color="auto"/>
              <w:right w:val="single" w:sz="4" w:space="0" w:color="auto"/>
            </w:tcBorders>
            <w:shd w:val="clear" w:color="auto" w:fill="auto"/>
            <w:hideMark/>
          </w:tcPr>
          <w:p w14:paraId="45CC5BB9"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hideMark/>
          </w:tcPr>
          <w:p w14:paraId="4BE79575" w14:textId="77777777" w:rsidR="006F2AA4" w:rsidRPr="00A66160" w:rsidRDefault="006F2AA4" w:rsidP="00125225">
            <w:pPr>
              <w:rPr>
                <w:rFonts w:ascii="Arial" w:hAnsi="Arial" w:cs="Arial"/>
                <w:sz w:val="16"/>
                <w:szCs w:val="16"/>
              </w:rPr>
            </w:pPr>
            <w:r w:rsidRPr="00A66160">
              <w:rPr>
                <w:rFonts w:ascii="Arial" w:hAnsi="Arial" w:cs="Arial"/>
                <w:sz w:val="16"/>
                <w:szCs w:val="16"/>
              </w:rPr>
              <w:t>Desionizador</w:t>
            </w:r>
          </w:p>
        </w:tc>
        <w:tc>
          <w:tcPr>
            <w:tcW w:w="2409" w:type="dxa"/>
            <w:tcBorders>
              <w:top w:val="single" w:sz="4" w:space="0" w:color="auto"/>
              <w:left w:val="nil"/>
              <w:bottom w:val="single" w:sz="4" w:space="0" w:color="auto"/>
              <w:right w:val="single" w:sz="4" w:space="0" w:color="auto"/>
            </w:tcBorders>
            <w:shd w:val="clear" w:color="auto" w:fill="auto"/>
            <w:hideMark/>
          </w:tcPr>
          <w:p w14:paraId="0E5D8DC3" w14:textId="77777777" w:rsidR="006F2AA4" w:rsidRPr="00A66160" w:rsidRDefault="006F2AA4" w:rsidP="00125225">
            <w:pPr>
              <w:pStyle w:val="Ttulo2"/>
              <w:spacing w:line="245" w:lineRule="atLeast"/>
              <w:textAlignment w:val="baseline"/>
              <w:rPr>
                <w:rFonts w:ascii="Arial" w:hAnsi="Arial" w:cs="Arial"/>
                <w:color w:val="000000" w:themeColor="text1"/>
                <w:sz w:val="16"/>
                <w:szCs w:val="16"/>
                <w:lang w:val="en-US"/>
              </w:rPr>
            </w:pPr>
            <w:r w:rsidRPr="00A66160">
              <w:rPr>
                <w:rFonts w:ascii="Arial" w:hAnsi="Arial" w:cs="Arial"/>
                <w:color w:val="000000" w:themeColor="text1"/>
                <w:sz w:val="16"/>
                <w:szCs w:val="16"/>
                <w:lang w:val="en-US"/>
              </w:rPr>
              <w:t>DESIONIZADOR EASY PURE RF 120 V 50/60 HZ [BARNSTEAD.</w:t>
            </w:r>
          </w:p>
          <w:p w14:paraId="361426AA" w14:textId="77777777" w:rsidR="006F2AA4" w:rsidRPr="00A66160" w:rsidRDefault="006F2AA4" w:rsidP="00125225">
            <w:pPr>
              <w:rPr>
                <w:rFonts w:ascii="Arial" w:hAnsi="Arial" w:cs="Arial"/>
                <w:sz w:val="16"/>
                <w:szCs w:val="16"/>
                <w:lang w:val="en-US"/>
              </w:rPr>
            </w:pPr>
            <w:r w:rsidRPr="00A66160">
              <w:rPr>
                <w:rFonts w:ascii="Arial" w:hAnsi="Arial" w:cs="Arial"/>
                <w:sz w:val="16"/>
                <w:szCs w:val="16"/>
                <w:lang w:val="en-US"/>
              </w:rPr>
              <w:t>Costo aproximado: $50,000 pesos.</w:t>
            </w:r>
          </w:p>
        </w:tc>
        <w:tc>
          <w:tcPr>
            <w:tcW w:w="851" w:type="dxa"/>
            <w:tcBorders>
              <w:top w:val="single" w:sz="4" w:space="0" w:color="auto"/>
              <w:left w:val="nil"/>
              <w:bottom w:val="single" w:sz="4" w:space="0" w:color="auto"/>
              <w:right w:val="single" w:sz="4" w:space="0" w:color="auto"/>
            </w:tcBorders>
            <w:shd w:val="clear" w:color="auto" w:fill="auto"/>
            <w:hideMark/>
          </w:tcPr>
          <w:p w14:paraId="3E1C23C5" w14:textId="77777777" w:rsidR="006F2AA4" w:rsidRPr="00A66160" w:rsidRDefault="006F2AA4" w:rsidP="00125225">
            <w:pPr>
              <w:rPr>
                <w:rFonts w:ascii="Arial" w:hAnsi="Arial" w:cs="Arial"/>
                <w:color w:val="000000" w:themeColor="text1"/>
                <w:sz w:val="16"/>
                <w:szCs w:val="16"/>
                <w:lang w:val="en-US"/>
              </w:rPr>
            </w:pPr>
            <w:r w:rsidRPr="00A66160">
              <w:rPr>
                <w:rFonts w:ascii="Arial" w:hAnsi="Arial" w:cs="Arial"/>
                <w:color w:val="000000" w:themeColor="text1"/>
                <w:sz w:val="16"/>
                <w:szCs w:val="16"/>
                <w:lang w:val="en-US"/>
              </w:rPr>
              <w:t>1</w:t>
            </w:r>
          </w:p>
        </w:tc>
        <w:tc>
          <w:tcPr>
            <w:tcW w:w="1134" w:type="dxa"/>
            <w:tcBorders>
              <w:top w:val="single" w:sz="4" w:space="0" w:color="auto"/>
              <w:left w:val="nil"/>
              <w:bottom w:val="single" w:sz="4" w:space="0" w:color="auto"/>
              <w:right w:val="single" w:sz="4" w:space="0" w:color="auto"/>
            </w:tcBorders>
            <w:shd w:val="clear" w:color="auto" w:fill="auto"/>
            <w:hideMark/>
          </w:tcPr>
          <w:p w14:paraId="58951881"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El desionizador se establecerá en el laboratorio de Biología, pero será usado por todos los laboratorio del Departamento que requieran de agua desionizada. Este equipo es de suma importancia para la eliminación de iones que intervienen en mal funcionamiento de otros equipos o en la determinación de metabolitos, enzimas y contaminantes. Este equipo es ideal para obtener agua apta para uso cromatográfico y de equipos sofisticados así como para elaborar soluciones nutritivas.</w:t>
            </w:r>
          </w:p>
        </w:tc>
      </w:tr>
      <w:tr w:rsidR="006F2AA4" w:rsidRPr="00A66160" w14:paraId="5EC2067A" w14:textId="77777777" w:rsidTr="002A45EA">
        <w:trPr>
          <w:cantSplit/>
          <w:trHeight w:val="1134"/>
        </w:trPr>
        <w:tc>
          <w:tcPr>
            <w:tcW w:w="1419" w:type="dxa"/>
            <w:tcBorders>
              <w:top w:val="single" w:sz="4" w:space="0" w:color="auto"/>
              <w:left w:val="single" w:sz="4" w:space="0" w:color="auto"/>
              <w:bottom w:val="single" w:sz="4" w:space="0" w:color="auto"/>
              <w:right w:val="single" w:sz="4" w:space="0" w:color="auto"/>
            </w:tcBorders>
            <w:shd w:val="clear" w:color="auto" w:fill="auto"/>
            <w:textDirection w:val="btLr"/>
            <w:hideMark/>
          </w:tcPr>
          <w:p w14:paraId="43B98178" w14:textId="77777777" w:rsidR="006F2AA4" w:rsidRPr="00A66160" w:rsidRDefault="006F2AA4" w:rsidP="00125225">
            <w:pPr>
              <w:pStyle w:val="Textoindependiente2"/>
              <w:ind w:left="113" w:right="113"/>
              <w:jc w:val="center"/>
              <w:rPr>
                <w:rFonts w:cs="Arial"/>
                <w:b/>
                <w:color w:val="000000"/>
                <w:sz w:val="16"/>
                <w:szCs w:val="16"/>
              </w:rPr>
            </w:pPr>
            <w:r w:rsidRPr="00A66160">
              <w:rPr>
                <w:rFonts w:cs="Arial"/>
                <w:color w:val="000000"/>
                <w:sz w:val="16"/>
                <w:szCs w:val="16"/>
              </w:rPr>
              <w:lastRenderedPageBreak/>
              <w:t>Autoclave</w:t>
            </w:r>
          </w:p>
        </w:tc>
        <w:tc>
          <w:tcPr>
            <w:tcW w:w="1911" w:type="dxa"/>
            <w:tcBorders>
              <w:top w:val="single" w:sz="4" w:space="0" w:color="auto"/>
              <w:left w:val="nil"/>
              <w:bottom w:val="single" w:sz="4" w:space="0" w:color="auto"/>
              <w:right w:val="single" w:sz="4" w:space="0" w:color="auto"/>
            </w:tcBorders>
            <w:shd w:val="clear" w:color="auto" w:fill="auto"/>
            <w:hideMark/>
          </w:tcPr>
          <w:p w14:paraId="3EA8B162"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 xml:space="preserve">Actualmente se cuenta con 2 </w:t>
            </w:r>
          </w:p>
        </w:tc>
        <w:tc>
          <w:tcPr>
            <w:tcW w:w="1276" w:type="dxa"/>
            <w:tcBorders>
              <w:top w:val="single" w:sz="4" w:space="0" w:color="auto"/>
              <w:left w:val="nil"/>
              <w:bottom w:val="single" w:sz="4" w:space="0" w:color="auto"/>
              <w:right w:val="single" w:sz="4" w:space="0" w:color="auto"/>
            </w:tcBorders>
            <w:shd w:val="clear" w:color="auto" w:fill="auto"/>
            <w:hideMark/>
          </w:tcPr>
          <w:p w14:paraId="68A9DFCE"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2 autoclaves una fija y una móvil, la fija está descompuesta y la móvil tiene muy poca capacidad.</w:t>
            </w:r>
          </w:p>
        </w:tc>
        <w:tc>
          <w:tcPr>
            <w:tcW w:w="1349" w:type="dxa"/>
            <w:gridSpan w:val="2"/>
            <w:tcBorders>
              <w:top w:val="single" w:sz="4" w:space="0" w:color="auto"/>
              <w:left w:val="nil"/>
              <w:bottom w:val="single" w:sz="4" w:space="0" w:color="auto"/>
              <w:right w:val="single" w:sz="4" w:space="0" w:color="auto"/>
            </w:tcBorders>
            <w:shd w:val="clear" w:color="auto" w:fill="auto"/>
            <w:hideMark/>
          </w:tcPr>
          <w:p w14:paraId="57FBCE8E" w14:textId="77777777" w:rsidR="006F2AA4" w:rsidRPr="00A66160" w:rsidRDefault="006F2AA4" w:rsidP="00125225">
            <w:pPr>
              <w:rPr>
                <w:rFonts w:ascii="Arial" w:hAnsi="Arial" w:cs="Arial"/>
                <w:sz w:val="16"/>
                <w:szCs w:val="16"/>
              </w:rPr>
            </w:pPr>
            <w:r w:rsidRPr="00A66160">
              <w:rPr>
                <w:rFonts w:ascii="Arial" w:hAnsi="Arial" w:cs="Arial"/>
                <w:sz w:val="16"/>
                <w:szCs w:val="16"/>
              </w:rPr>
              <w:t>Autoclave</w:t>
            </w:r>
          </w:p>
        </w:tc>
        <w:tc>
          <w:tcPr>
            <w:tcW w:w="2409" w:type="dxa"/>
            <w:tcBorders>
              <w:top w:val="single" w:sz="4" w:space="0" w:color="auto"/>
              <w:left w:val="nil"/>
              <w:bottom w:val="single" w:sz="4" w:space="0" w:color="auto"/>
              <w:right w:val="single" w:sz="4" w:space="0" w:color="auto"/>
            </w:tcBorders>
            <w:shd w:val="clear" w:color="auto" w:fill="auto"/>
            <w:hideMark/>
          </w:tcPr>
          <w:p w14:paraId="72300CED" w14:textId="77777777" w:rsidR="006F2AA4" w:rsidRPr="00A66160" w:rsidRDefault="006F2AA4" w:rsidP="00125225">
            <w:pPr>
              <w:pStyle w:val="Ttulo2"/>
              <w:spacing w:line="245" w:lineRule="atLeast"/>
              <w:textAlignment w:val="baseline"/>
              <w:rPr>
                <w:rFonts w:ascii="Arial" w:hAnsi="Arial" w:cs="Arial"/>
                <w:color w:val="000000" w:themeColor="text1"/>
                <w:sz w:val="16"/>
                <w:szCs w:val="16"/>
              </w:rPr>
            </w:pPr>
            <w:r w:rsidRPr="00A66160">
              <w:rPr>
                <w:rFonts w:ascii="Arial" w:hAnsi="Arial" w:cs="Arial"/>
                <w:color w:val="000000" w:themeColor="text1"/>
                <w:sz w:val="16"/>
                <w:szCs w:val="16"/>
              </w:rPr>
              <w:t>Autoclave vertical acero inoxidable 30x60 c/canastilla 42 lt. (AESA).</w:t>
            </w:r>
          </w:p>
          <w:p w14:paraId="386CDD27" w14:textId="77777777" w:rsidR="006F2AA4" w:rsidRPr="00A66160" w:rsidRDefault="006F2AA4" w:rsidP="00125225">
            <w:pPr>
              <w:rPr>
                <w:rFonts w:ascii="Arial" w:hAnsi="Arial" w:cs="Arial"/>
                <w:sz w:val="16"/>
                <w:szCs w:val="16"/>
              </w:rPr>
            </w:pPr>
            <w:r w:rsidRPr="00A66160">
              <w:rPr>
                <w:rFonts w:ascii="Arial" w:hAnsi="Arial" w:cs="Arial"/>
                <w:sz w:val="16"/>
                <w:szCs w:val="16"/>
              </w:rPr>
              <w:t>Costo aproximado: $47,000 pesos.</w:t>
            </w:r>
          </w:p>
        </w:tc>
        <w:tc>
          <w:tcPr>
            <w:tcW w:w="851" w:type="dxa"/>
            <w:tcBorders>
              <w:top w:val="single" w:sz="4" w:space="0" w:color="auto"/>
              <w:left w:val="nil"/>
              <w:bottom w:val="single" w:sz="4" w:space="0" w:color="auto"/>
              <w:right w:val="single" w:sz="4" w:space="0" w:color="auto"/>
            </w:tcBorders>
            <w:shd w:val="clear" w:color="auto" w:fill="auto"/>
            <w:hideMark/>
          </w:tcPr>
          <w:p w14:paraId="436D0127" w14:textId="77777777" w:rsidR="006F2AA4" w:rsidRPr="00A66160" w:rsidRDefault="006F2AA4" w:rsidP="00125225">
            <w:pPr>
              <w:rPr>
                <w:rFonts w:ascii="Arial" w:hAnsi="Arial" w:cs="Arial"/>
                <w:color w:val="000000" w:themeColor="text1"/>
                <w:sz w:val="16"/>
                <w:szCs w:val="16"/>
              </w:rPr>
            </w:pPr>
            <w:r w:rsidRPr="00A66160">
              <w:rPr>
                <w:rFonts w:ascii="Arial" w:hAnsi="Arial" w:cs="Arial"/>
                <w:color w:val="000000" w:themeColor="text1"/>
                <w:sz w:val="16"/>
                <w:szCs w:val="16"/>
              </w:rPr>
              <w:t>1</w:t>
            </w:r>
          </w:p>
        </w:tc>
        <w:tc>
          <w:tcPr>
            <w:tcW w:w="1134" w:type="dxa"/>
            <w:tcBorders>
              <w:top w:val="single" w:sz="4" w:space="0" w:color="auto"/>
              <w:left w:val="nil"/>
              <w:bottom w:val="single" w:sz="4" w:space="0" w:color="auto"/>
              <w:right w:val="single" w:sz="4" w:space="0" w:color="auto"/>
            </w:tcBorders>
            <w:shd w:val="clear" w:color="auto" w:fill="auto"/>
            <w:hideMark/>
          </w:tcPr>
          <w:p w14:paraId="47D202CB"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La autoclave se establecerá en el laboratorio de Biología, pero al ser móvil puede ser usada por todos los laboratorio del Departamento que requieran  esterilizar material.</w:t>
            </w:r>
          </w:p>
        </w:tc>
      </w:tr>
      <w:tr w:rsidR="006F2AA4" w:rsidRPr="00A66160" w14:paraId="1788ACA9" w14:textId="77777777"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547F6344" w14:textId="77777777" w:rsidR="006F2AA4" w:rsidRPr="00A66160" w:rsidRDefault="006F2AA4" w:rsidP="00125225">
            <w:pPr>
              <w:pStyle w:val="Textoindependiente2"/>
              <w:rPr>
                <w:rFonts w:cs="Arial"/>
                <w:b/>
                <w:color w:val="000000"/>
                <w:sz w:val="16"/>
                <w:szCs w:val="16"/>
              </w:rPr>
            </w:pPr>
            <w:r w:rsidRPr="00A66160">
              <w:rPr>
                <w:rFonts w:cs="Arial"/>
                <w:color w:val="000000"/>
                <w:sz w:val="16"/>
                <w:szCs w:val="16"/>
              </w:rPr>
              <w:t>Mini Split</w:t>
            </w:r>
          </w:p>
        </w:tc>
        <w:tc>
          <w:tcPr>
            <w:tcW w:w="1911" w:type="dxa"/>
            <w:tcBorders>
              <w:top w:val="single" w:sz="4" w:space="0" w:color="auto"/>
              <w:left w:val="nil"/>
              <w:bottom w:val="single" w:sz="4" w:space="0" w:color="auto"/>
              <w:right w:val="single" w:sz="4" w:space="0" w:color="auto"/>
            </w:tcBorders>
            <w:shd w:val="clear" w:color="auto" w:fill="auto"/>
            <w:hideMark/>
          </w:tcPr>
          <w:p w14:paraId="36100597"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no se cuenta con dicho equipo</w:t>
            </w:r>
          </w:p>
        </w:tc>
        <w:tc>
          <w:tcPr>
            <w:tcW w:w="1276" w:type="dxa"/>
            <w:tcBorders>
              <w:top w:val="single" w:sz="4" w:space="0" w:color="auto"/>
              <w:left w:val="nil"/>
              <w:bottom w:val="single" w:sz="4" w:space="0" w:color="auto"/>
              <w:right w:val="single" w:sz="4" w:space="0" w:color="auto"/>
            </w:tcBorders>
            <w:shd w:val="clear" w:color="auto" w:fill="auto"/>
            <w:hideMark/>
          </w:tcPr>
          <w:p w14:paraId="1FB33C30"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hideMark/>
          </w:tcPr>
          <w:p w14:paraId="3A18B81B"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Mini Split para airea frío, de 2 ton. LG. Highwall solo frio 220/1/160</w:t>
            </w:r>
          </w:p>
        </w:tc>
        <w:tc>
          <w:tcPr>
            <w:tcW w:w="2409" w:type="dxa"/>
            <w:tcBorders>
              <w:top w:val="single" w:sz="4" w:space="0" w:color="auto"/>
              <w:left w:val="nil"/>
              <w:bottom w:val="single" w:sz="4" w:space="0" w:color="auto"/>
              <w:right w:val="single" w:sz="4" w:space="0" w:color="auto"/>
            </w:tcBorders>
            <w:shd w:val="clear" w:color="auto" w:fill="auto"/>
            <w:hideMark/>
          </w:tcPr>
          <w:p w14:paraId="615BC643"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Mini Split para airea frío, de 2 ton. LG. Highwall solo frio 220/1/160</w:t>
            </w:r>
          </w:p>
          <w:p w14:paraId="18D1EC1B" w14:textId="77777777" w:rsidR="006F2AA4" w:rsidRPr="00A66160" w:rsidRDefault="006F2AA4" w:rsidP="00125225">
            <w:pPr>
              <w:rPr>
                <w:rFonts w:ascii="Arial" w:hAnsi="Arial" w:cs="Arial"/>
                <w:sz w:val="16"/>
                <w:szCs w:val="16"/>
              </w:rPr>
            </w:pPr>
            <w:r w:rsidRPr="00A66160">
              <w:rPr>
                <w:rFonts w:ascii="Arial" w:hAnsi="Arial" w:cs="Arial"/>
                <w:color w:val="000000"/>
                <w:sz w:val="16"/>
                <w:szCs w:val="16"/>
              </w:rPr>
              <w:t>Costo aproximado $9,500 pesos.</w:t>
            </w:r>
          </w:p>
        </w:tc>
        <w:tc>
          <w:tcPr>
            <w:tcW w:w="851" w:type="dxa"/>
            <w:tcBorders>
              <w:top w:val="single" w:sz="4" w:space="0" w:color="auto"/>
              <w:left w:val="nil"/>
              <w:bottom w:val="single" w:sz="4" w:space="0" w:color="auto"/>
              <w:right w:val="single" w:sz="4" w:space="0" w:color="auto"/>
            </w:tcBorders>
            <w:shd w:val="clear" w:color="auto" w:fill="auto"/>
            <w:hideMark/>
          </w:tcPr>
          <w:p w14:paraId="485B93A3"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1</w:t>
            </w:r>
          </w:p>
        </w:tc>
        <w:tc>
          <w:tcPr>
            <w:tcW w:w="1134" w:type="dxa"/>
            <w:tcBorders>
              <w:top w:val="single" w:sz="4" w:space="0" w:color="auto"/>
              <w:left w:val="nil"/>
              <w:bottom w:val="single" w:sz="4" w:space="0" w:color="auto"/>
              <w:right w:val="single" w:sz="4" w:space="0" w:color="auto"/>
            </w:tcBorders>
            <w:shd w:val="clear" w:color="auto" w:fill="auto"/>
            <w:hideMark/>
          </w:tcPr>
          <w:p w14:paraId="7C3BA728"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 xml:space="preserve">El equipo se pide para otra de las unidades experimentales  “El Herbario ANSM” donde se resguardan muestras colectadas de material vegetativo. Actualmente se cuenta con una gran cantidad de especies coleccionadas, se reciben visitas de público en general pero especialmente de instituciones de educación superior de corte agrario. Este herbario ocupa el tercer lugar a nivel nacional. El propósito de dicho equipo es mantener un ambiente frio y seco que se requiere para que las </w:t>
            </w:r>
            <w:r w:rsidRPr="00A66160">
              <w:rPr>
                <w:rFonts w:ascii="Arial" w:hAnsi="Arial" w:cs="Arial"/>
                <w:color w:val="000000"/>
                <w:sz w:val="16"/>
                <w:szCs w:val="16"/>
              </w:rPr>
              <w:lastRenderedPageBreak/>
              <w:t>muestras herborizadas duren mucho tiempo y permanezcan intactas, anteriormente no se requería un mini Split pero con los cambios de temperatura en Saltillo, se hace obligatorio el uso del mismo.</w:t>
            </w:r>
          </w:p>
        </w:tc>
      </w:tr>
      <w:tr w:rsidR="006F2AA4" w:rsidRPr="00A66160" w14:paraId="621447EB" w14:textId="77777777"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tcPr>
          <w:p w14:paraId="71547E12" w14:textId="77777777" w:rsidR="006F2AA4" w:rsidRPr="00A66160" w:rsidRDefault="006F2AA4" w:rsidP="00125225">
            <w:pPr>
              <w:pStyle w:val="Textoindependiente2"/>
              <w:rPr>
                <w:rFonts w:cs="Arial"/>
                <w:b/>
                <w:color w:val="000000"/>
                <w:sz w:val="16"/>
                <w:szCs w:val="16"/>
              </w:rPr>
            </w:pPr>
            <w:r w:rsidRPr="00A66160">
              <w:rPr>
                <w:rFonts w:cs="Arial"/>
                <w:color w:val="000000"/>
                <w:sz w:val="16"/>
                <w:szCs w:val="16"/>
              </w:rPr>
              <w:lastRenderedPageBreak/>
              <w:t>Mesa de laboratorio</w:t>
            </w:r>
          </w:p>
        </w:tc>
        <w:tc>
          <w:tcPr>
            <w:tcW w:w="1911" w:type="dxa"/>
            <w:tcBorders>
              <w:top w:val="single" w:sz="4" w:space="0" w:color="auto"/>
              <w:left w:val="nil"/>
              <w:bottom w:val="single" w:sz="4" w:space="0" w:color="auto"/>
              <w:right w:val="single" w:sz="4" w:space="0" w:color="auto"/>
            </w:tcBorders>
            <w:shd w:val="clear" w:color="auto" w:fill="auto"/>
          </w:tcPr>
          <w:p w14:paraId="51757EF6"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no se cuenta con dicho mobiliario</w:t>
            </w:r>
          </w:p>
        </w:tc>
        <w:tc>
          <w:tcPr>
            <w:tcW w:w="1276" w:type="dxa"/>
            <w:tcBorders>
              <w:top w:val="single" w:sz="4" w:space="0" w:color="auto"/>
              <w:left w:val="nil"/>
              <w:bottom w:val="single" w:sz="4" w:space="0" w:color="auto"/>
              <w:right w:val="single" w:sz="4" w:space="0" w:color="auto"/>
            </w:tcBorders>
            <w:shd w:val="clear" w:color="auto" w:fill="auto"/>
          </w:tcPr>
          <w:p w14:paraId="2394781D"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tcPr>
          <w:p w14:paraId="11D0B4B9"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Mesa de laboratorio</w:t>
            </w:r>
          </w:p>
        </w:tc>
        <w:tc>
          <w:tcPr>
            <w:tcW w:w="2409" w:type="dxa"/>
            <w:tcBorders>
              <w:top w:val="single" w:sz="4" w:space="0" w:color="auto"/>
              <w:left w:val="nil"/>
              <w:bottom w:val="single" w:sz="4" w:space="0" w:color="auto"/>
              <w:right w:val="single" w:sz="4" w:space="0" w:color="auto"/>
            </w:tcBorders>
            <w:shd w:val="clear" w:color="auto" w:fill="auto"/>
          </w:tcPr>
          <w:p w14:paraId="0EB1DBED"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Mesa de trabajo de acero inoxidable medidas de 160 cm de largo y 94 cm de ancho x 85 cm de altura, lleva rodillos, puede ser rejilla o entrepaño, en calibre 18.</w:t>
            </w:r>
          </w:p>
          <w:p w14:paraId="584EC7D9"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Costo aproximado $95,000.00</w:t>
            </w:r>
          </w:p>
        </w:tc>
        <w:tc>
          <w:tcPr>
            <w:tcW w:w="851" w:type="dxa"/>
            <w:tcBorders>
              <w:top w:val="single" w:sz="4" w:space="0" w:color="auto"/>
              <w:left w:val="nil"/>
              <w:bottom w:val="single" w:sz="4" w:space="0" w:color="auto"/>
              <w:right w:val="single" w:sz="4" w:space="0" w:color="auto"/>
            </w:tcBorders>
            <w:shd w:val="clear" w:color="auto" w:fill="auto"/>
          </w:tcPr>
          <w:p w14:paraId="6155A4E0"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1</w:t>
            </w:r>
          </w:p>
        </w:tc>
        <w:tc>
          <w:tcPr>
            <w:tcW w:w="1134" w:type="dxa"/>
            <w:vMerge w:val="restart"/>
            <w:tcBorders>
              <w:top w:val="single" w:sz="4" w:space="0" w:color="auto"/>
              <w:left w:val="nil"/>
              <w:right w:val="single" w:sz="4" w:space="0" w:color="auto"/>
            </w:tcBorders>
            <w:shd w:val="clear" w:color="auto" w:fill="auto"/>
          </w:tcPr>
          <w:p w14:paraId="2DA3056F"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el laboratorio de Zoología no es funcional debido a que no cuenta con nada en su interior, por lo cual se pide tanto la construcción de obra interior como el mobiliario. Lo anterior para el aprovechamiento de alumnos de las carreras de Ingeniero en Agrobiología e Ingeniero Agrónomo Zootecnista, quienes cursan las materias de Zoología I, Zoología II, Fisiología Animal Comparada.</w:t>
            </w:r>
          </w:p>
        </w:tc>
      </w:tr>
      <w:tr w:rsidR="006F2AA4" w:rsidRPr="00A66160" w14:paraId="5C0D08FA" w14:textId="77777777"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tcPr>
          <w:p w14:paraId="3F17DEFC" w14:textId="77777777" w:rsidR="006F2AA4" w:rsidRPr="00A66160" w:rsidRDefault="006F2AA4" w:rsidP="00125225">
            <w:pPr>
              <w:pStyle w:val="Textoindependiente2"/>
              <w:rPr>
                <w:rFonts w:cs="Arial"/>
                <w:b/>
                <w:color w:val="000000"/>
                <w:sz w:val="16"/>
                <w:szCs w:val="16"/>
              </w:rPr>
            </w:pPr>
            <w:r w:rsidRPr="00A66160">
              <w:rPr>
                <w:rFonts w:cs="Arial"/>
                <w:color w:val="000000"/>
                <w:sz w:val="16"/>
                <w:szCs w:val="16"/>
              </w:rPr>
              <w:t>Mesa de laboratorio</w:t>
            </w:r>
          </w:p>
        </w:tc>
        <w:tc>
          <w:tcPr>
            <w:tcW w:w="1911" w:type="dxa"/>
            <w:tcBorders>
              <w:top w:val="single" w:sz="4" w:space="0" w:color="auto"/>
              <w:left w:val="nil"/>
              <w:bottom w:val="single" w:sz="4" w:space="0" w:color="auto"/>
              <w:right w:val="single" w:sz="4" w:space="0" w:color="auto"/>
            </w:tcBorders>
            <w:shd w:val="clear" w:color="auto" w:fill="auto"/>
          </w:tcPr>
          <w:p w14:paraId="11D23082"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no se cuenta con dicho mobiliario</w:t>
            </w:r>
          </w:p>
        </w:tc>
        <w:tc>
          <w:tcPr>
            <w:tcW w:w="1276" w:type="dxa"/>
            <w:tcBorders>
              <w:top w:val="single" w:sz="4" w:space="0" w:color="auto"/>
              <w:left w:val="nil"/>
              <w:bottom w:val="single" w:sz="4" w:space="0" w:color="auto"/>
              <w:right w:val="single" w:sz="4" w:space="0" w:color="auto"/>
            </w:tcBorders>
            <w:shd w:val="clear" w:color="auto" w:fill="auto"/>
          </w:tcPr>
          <w:p w14:paraId="479B9F3A"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tcPr>
          <w:p w14:paraId="38385028"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Mesa de  laboratorio</w:t>
            </w:r>
          </w:p>
        </w:tc>
        <w:tc>
          <w:tcPr>
            <w:tcW w:w="2409" w:type="dxa"/>
            <w:tcBorders>
              <w:top w:val="single" w:sz="4" w:space="0" w:color="auto"/>
              <w:left w:val="nil"/>
              <w:bottom w:val="single" w:sz="4" w:space="0" w:color="auto"/>
              <w:right w:val="single" w:sz="4" w:space="0" w:color="auto"/>
            </w:tcBorders>
            <w:shd w:val="clear" w:color="auto" w:fill="auto"/>
          </w:tcPr>
          <w:p w14:paraId="6367F16F"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Mesa de trabajo de acero inoxidable con isla, cubierta en acero inoxidable cal. 18 entrepaños calibre 20 estructura tubular esmaltada con regatones liberadores medidas 260x70x0.9 frente, fondo y alto.</w:t>
            </w:r>
          </w:p>
          <w:p w14:paraId="25A62689"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Costo aproximado $25,000.00</w:t>
            </w:r>
          </w:p>
        </w:tc>
        <w:tc>
          <w:tcPr>
            <w:tcW w:w="851" w:type="dxa"/>
            <w:tcBorders>
              <w:top w:val="single" w:sz="4" w:space="0" w:color="auto"/>
              <w:left w:val="nil"/>
              <w:bottom w:val="single" w:sz="4" w:space="0" w:color="auto"/>
              <w:right w:val="single" w:sz="4" w:space="0" w:color="auto"/>
            </w:tcBorders>
            <w:shd w:val="clear" w:color="auto" w:fill="auto"/>
          </w:tcPr>
          <w:p w14:paraId="72212F3B"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1</w:t>
            </w:r>
          </w:p>
        </w:tc>
        <w:tc>
          <w:tcPr>
            <w:tcW w:w="1134" w:type="dxa"/>
            <w:vMerge/>
            <w:tcBorders>
              <w:left w:val="nil"/>
              <w:bottom w:val="single" w:sz="4" w:space="0" w:color="auto"/>
              <w:right w:val="single" w:sz="4" w:space="0" w:color="auto"/>
            </w:tcBorders>
            <w:shd w:val="clear" w:color="auto" w:fill="auto"/>
          </w:tcPr>
          <w:p w14:paraId="7E1DE5FD" w14:textId="77777777" w:rsidR="006F2AA4" w:rsidRPr="00A66160" w:rsidRDefault="006F2AA4" w:rsidP="00125225">
            <w:pPr>
              <w:rPr>
                <w:rFonts w:ascii="Arial" w:hAnsi="Arial" w:cs="Arial"/>
                <w:color w:val="000000"/>
                <w:sz w:val="16"/>
                <w:szCs w:val="16"/>
              </w:rPr>
            </w:pPr>
          </w:p>
        </w:tc>
      </w:tr>
      <w:tr w:rsidR="006F2AA4" w:rsidRPr="00A66160" w14:paraId="2B889437" w14:textId="77777777"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tcPr>
          <w:p w14:paraId="7B1E5893" w14:textId="77777777" w:rsidR="006F2AA4" w:rsidRPr="00A66160" w:rsidRDefault="006F2AA4" w:rsidP="00125225">
            <w:pPr>
              <w:pStyle w:val="Textoindependiente2"/>
              <w:rPr>
                <w:rFonts w:cs="Arial"/>
                <w:b/>
                <w:color w:val="000000"/>
                <w:sz w:val="16"/>
                <w:szCs w:val="16"/>
              </w:rPr>
            </w:pPr>
            <w:r w:rsidRPr="00A66160">
              <w:rPr>
                <w:rFonts w:cs="Arial"/>
                <w:color w:val="000000"/>
                <w:sz w:val="16"/>
                <w:szCs w:val="16"/>
              </w:rPr>
              <w:t>Balanza analítica</w:t>
            </w:r>
          </w:p>
        </w:tc>
        <w:tc>
          <w:tcPr>
            <w:tcW w:w="1911" w:type="dxa"/>
            <w:tcBorders>
              <w:top w:val="single" w:sz="4" w:space="0" w:color="auto"/>
              <w:left w:val="nil"/>
              <w:bottom w:val="single" w:sz="4" w:space="0" w:color="auto"/>
              <w:right w:val="single" w:sz="4" w:space="0" w:color="auto"/>
            </w:tcBorders>
            <w:shd w:val="clear" w:color="auto" w:fill="auto"/>
          </w:tcPr>
          <w:p w14:paraId="563905F9"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no se cuenta con este instrumento</w:t>
            </w:r>
          </w:p>
        </w:tc>
        <w:tc>
          <w:tcPr>
            <w:tcW w:w="1276" w:type="dxa"/>
            <w:tcBorders>
              <w:top w:val="single" w:sz="4" w:space="0" w:color="auto"/>
              <w:left w:val="nil"/>
              <w:bottom w:val="single" w:sz="4" w:space="0" w:color="auto"/>
              <w:right w:val="single" w:sz="4" w:space="0" w:color="auto"/>
            </w:tcBorders>
            <w:shd w:val="clear" w:color="auto" w:fill="auto"/>
          </w:tcPr>
          <w:p w14:paraId="64A703FC"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tcPr>
          <w:p w14:paraId="7650D547"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Balanza analítica</w:t>
            </w:r>
          </w:p>
        </w:tc>
        <w:tc>
          <w:tcPr>
            <w:tcW w:w="2409" w:type="dxa"/>
            <w:tcBorders>
              <w:top w:val="single" w:sz="4" w:space="0" w:color="auto"/>
              <w:left w:val="nil"/>
              <w:bottom w:val="single" w:sz="4" w:space="0" w:color="auto"/>
              <w:right w:val="single" w:sz="4" w:space="0" w:color="auto"/>
            </w:tcBorders>
            <w:shd w:val="clear" w:color="auto" w:fill="auto"/>
          </w:tcPr>
          <w:tbl>
            <w:tblPr>
              <w:tblW w:w="0" w:type="auto"/>
              <w:tblCellSpacing w:w="15" w:type="dxa"/>
              <w:shd w:val="clear" w:color="auto" w:fill="F9F9F9"/>
              <w:tblLayout w:type="fixed"/>
              <w:tblCellMar>
                <w:left w:w="0" w:type="dxa"/>
                <w:right w:w="0" w:type="dxa"/>
              </w:tblCellMar>
              <w:tblLook w:val="04A0" w:firstRow="1" w:lastRow="0" w:firstColumn="1" w:lastColumn="0" w:noHBand="0" w:noVBand="1"/>
            </w:tblPr>
            <w:tblGrid>
              <w:gridCol w:w="1458"/>
              <w:gridCol w:w="1036"/>
            </w:tblGrid>
            <w:tr w:rsidR="006F2AA4" w:rsidRPr="00A66160" w14:paraId="2C27826C" w14:textId="77777777" w:rsidTr="00125225">
              <w:trPr>
                <w:trHeight w:val="219"/>
                <w:tblCellSpacing w:w="15" w:type="dxa"/>
              </w:trPr>
              <w:tc>
                <w:tcPr>
                  <w:tcW w:w="1413" w:type="dxa"/>
                  <w:shd w:val="clear" w:color="auto" w:fill="F9F9F9"/>
                  <w:vAlign w:val="center"/>
                  <w:hideMark/>
                </w:tcPr>
                <w:p w14:paraId="1612F2DE"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Equipo:</w:t>
                  </w:r>
                </w:p>
              </w:tc>
              <w:tc>
                <w:tcPr>
                  <w:tcW w:w="991" w:type="dxa"/>
                  <w:shd w:val="clear" w:color="auto" w:fill="F9F9F9"/>
                  <w:vAlign w:val="center"/>
                  <w:hideMark/>
                </w:tcPr>
                <w:p w14:paraId="6FFBDBAE"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Balanza Analítica Digital</w:t>
                  </w:r>
                </w:p>
              </w:tc>
            </w:tr>
            <w:tr w:rsidR="006F2AA4" w:rsidRPr="00A66160" w14:paraId="7EEA7117" w14:textId="77777777" w:rsidTr="00125225">
              <w:trPr>
                <w:trHeight w:val="219"/>
                <w:tblCellSpacing w:w="15" w:type="dxa"/>
              </w:trPr>
              <w:tc>
                <w:tcPr>
                  <w:tcW w:w="1413" w:type="dxa"/>
                  <w:shd w:val="clear" w:color="auto" w:fill="F9F9F9"/>
                  <w:vAlign w:val="center"/>
                  <w:hideMark/>
                </w:tcPr>
                <w:p w14:paraId="02C32568"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Marca:</w:t>
                  </w:r>
                </w:p>
              </w:tc>
              <w:tc>
                <w:tcPr>
                  <w:tcW w:w="991" w:type="dxa"/>
                  <w:shd w:val="clear" w:color="auto" w:fill="F9F9F9"/>
                  <w:vAlign w:val="center"/>
                  <w:hideMark/>
                </w:tcPr>
                <w:p w14:paraId="137EB4CA"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AND</w:t>
                  </w:r>
                </w:p>
              </w:tc>
            </w:tr>
            <w:tr w:rsidR="006F2AA4" w:rsidRPr="00A66160" w14:paraId="7B915EF2" w14:textId="77777777" w:rsidTr="00125225">
              <w:trPr>
                <w:trHeight w:val="219"/>
                <w:tblCellSpacing w:w="15" w:type="dxa"/>
              </w:trPr>
              <w:tc>
                <w:tcPr>
                  <w:tcW w:w="1413" w:type="dxa"/>
                  <w:shd w:val="clear" w:color="auto" w:fill="F9F9F9"/>
                  <w:vAlign w:val="center"/>
                  <w:hideMark/>
                </w:tcPr>
                <w:p w14:paraId="030169AF"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lastRenderedPageBreak/>
                    <w:t>Modelo:</w:t>
                  </w:r>
                </w:p>
              </w:tc>
              <w:tc>
                <w:tcPr>
                  <w:tcW w:w="991" w:type="dxa"/>
                  <w:shd w:val="clear" w:color="auto" w:fill="F9F9F9"/>
                  <w:vAlign w:val="center"/>
                  <w:hideMark/>
                </w:tcPr>
                <w:p w14:paraId="68400875"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GR 200</w:t>
                  </w:r>
                </w:p>
              </w:tc>
            </w:tr>
            <w:tr w:rsidR="006F2AA4" w:rsidRPr="00A66160" w14:paraId="720B9383" w14:textId="77777777" w:rsidTr="00125225">
              <w:trPr>
                <w:trHeight w:val="219"/>
                <w:tblCellSpacing w:w="15" w:type="dxa"/>
              </w:trPr>
              <w:tc>
                <w:tcPr>
                  <w:tcW w:w="1413" w:type="dxa"/>
                  <w:shd w:val="clear" w:color="auto" w:fill="F9F9F9"/>
                  <w:vAlign w:val="center"/>
                  <w:hideMark/>
                </w:tcPr>
                <w:p w14:paraId="12F47715"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Gramaje:</w:t>
                  </w:r>
                </w:p>
              </w:tc>
              <w:tc>
                <w:tcPr>
                  <w:tcW w:w="991" w:type="dxa"/>
                  <w:shd w:val="clear" w:color="auto" w:fill="F9F9F9"/>
                  <w:vAlign w:val="center"/>
                  <w:hideMark/>
                </w:tcPr>
                <w:p w14:paraId="47891C32"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210 * 0,0001 g</w:t>
                  </w:r>
                </w:p>
              </w:tc>
            </w:tr>
            <w:tr w:rsidR="006F2AA4" w:rsidRPr="00A66160" w14:paraId="13125177" w14:textId="77777777" w:rsidTr="00125225">
              <w:trPr>
                <w:trHeight w:val="237"/>
                <w:tblCellSpacing w:w="15" w:type="dxa"/>
              </w:trPr>
              <w:tc>
                <w:tcPr>
                  <w:tcW w:w="1413" w:type="dxa"/>
                  <w:shd w:val="clear" w:color="auto" w:fill="F9F9F9"/>
                  <w:vAlign w:val="center"/>
                  <w:hideMark/>
                </w:tcPr>
                <w:p w14:paraId="4126F144"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Conteo Mínimo de Peso:</w:t>
                  </w:r>
                </w:p>
              </w:tc>
              <w:tc>
                <w:tcPr>
                  <w:tcW w:w="991" w:type="dxa"/>
                  <w:shd w:val="clear" w:color="auto" w:fill="F9F9F9"/>
                  <w:vAlign w:val="center"/>
                  <w:hideMark/>
                </w:tcPr>
                <w:p w14:paraId="0E028E1B"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0.1 g</w:t>
                  </w:r>
                </w:p>
              </w:tc>
            </w:tr>
            <w:tr w:rsidR="006F2AA4" w:rsidRPr="00A66160" w14:paraId="1720F3B0" w14:textId="77777777" w:rsidTr="00125225">
              <w:trPr>
                <w:trHeight w:val="237"/>
                <w:tblCellSpacing w:w="15" w:type="dxa"/>
              </w:trPr>
              <w:tc>
                <w:tcPr>
                  <w:tcW w:w="1413" w:type="dxa"/>
                  <w:shd w:val="clear" w:color="auto" w:fill="F9F9F9"/>
                  <w:vAlign w:val="center"/>
                  <w:hideMark/>
                </w:tcPr>
                <w:p w14:paraId="40CC09CA"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Capacidad de Repetición/Std.Dev.</w:t>
                  </w:r>
                </w:p>
              </w:tc>
              <w:tc>
                <w:tcPr>
                  <w:tcW w:w="991" w:type="dxa"/>
                  <w:shd w:val="clear" w:color="auto" w:fill="F9F9F9"/>
                  <w:vAlign w:val="center"/>
                  <w:hideMark/>
                </w:tcPr>
                <w:p w14:paraId="6EA04FC4"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0.0001 g</w:t>
                  </w:r>
                </w:p>
              </w:tc>
            </w:tr>
            <w:tr w:rsidR="006F2AA4" w:rsidRPr="00A66160" w14:paraId="51F9CE63" w14:textId="77777777" w:rsidTr="00125225">
              <w:trPr>
                <w:trHeight w:val="219"/>
                <w:tblCellSpacing w:w="15" w:type="dxa"/>
              </w:trPr>
              <w:tc>
                <w:tcPr>
                  <w:tcW w:w="1413" w:type="dxa"/>
                  <w:shd w:val="clear" w:color="auto" w:fill="F9F9F9"/>
                  <w:vAlign w:val="center"/>
                  <w:hideMark/>
                </w:tcPr>
                <w:p w14:paraId="6631668D"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Tiempo de Estabilización:</w:t>
                  </w:r>
                </w:p>
              </w:tc>
              <w:tc>
                <w:tcPr>
                  <w:tcW w:w="991" w:type="dxa"/>
                  <w:shd w:val="clear" w:color="auto" w:fill="F9F9F9"/>
                  <w:vAlign w:val="center"/>
                  <w:hideMark/>
                </w:tcPr>
                <w:p w14:paraId="1038113B"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3.5 seg.</w:t>
                  </w:r>
                </w:p>
              </w:tc>
            </w:tr>
            <w:tr w:rsidR="006F2AA4" w:rsidRPr="00A66160" w14:paraId="6634D80E" w14:textId="77777777" w:rsidTr="00125225">
              <w:trPr>
                <w:trHeight w:val="237"/>
                <w:tblCellSpacing w:w="15" w:type="dxa"/>
              </w:trPr>
              <w:tc>
                <w:tcPr>
                  <w:tcW w:w="1413" w:type="dxa"/>
                  <w:shd w:val="clear" w:color="auto" w:fill="F9F9F9"/>
                  <w:vAlign w:val="center"/>
                  <w:hideMark/>
                </w:tcPr>
                <w:p w14:paraId="776F9084" w14:textId="77777777" w:rsidR="006F2AA4" w:rsidRPr="00A66160" w:rsidRDefault="006F2AA4" w:rsidP="00125225">
                  <w:pPr>
                    <w:jc w:val="both"/>
                    <w:rPr>
                      <w:rFonts w:ascii="Arial" w:hAnsi="Arial" w:cs="Arial"/>
                      <w:sz w:val="16"/>
                      <w:szCs w:val="16"/>
                    </w:rPr>
                  </w:pPr>
                  <w:r w:rsidRPr="00A66160">
                    <w:rPr>
                      <w:rFonts w:ascii="Arial" w:hAnsi="Arial" w:cs="Arial"/>
                      <w:sz w:val="16"/>
                      <w:szCs w:val="16"/>
                    </w:rPr>
                    <w:t>Dimensiones:</w:t>
                  </w:r>
                </w:p>
              </w:tc>
              <w:tc>
                <w:tcPr>
                  <w:tcW w:w="991" w:type="dxa"/>
                  <w:shd w:val="clear" w:color="auto" w:fill="F9F9F9"/>
                  <w:vAlign w:val="center"/>
                  <w:hideMark/>
                </w:tcPr>
                <w:p w14:paraId="0E080F04" w14:textId="77777777" w:rsidR="006F2AA4" w:rsidRPr="00A66160" w:rsidRDefault="006F2AA4" w:rsidP="00125225">
                  <w:pPr>
                    <w:rPr>
                      <w:rFonts w:ascii="Arial" w:hAnsi="Arial" w:cs="Arial"/>
                      <w:sz w:val="16"/>
                      <w:szCs w:val="16"/>
                    </w:rPr>
                  </w:pPr>
                </w:p>
              </w:tc>
            </w:tr>
          </w:tbl>
          <w:p w14:paraId="1451757E" w14:textId="77777777" w:rsidR="006F2AA4" w:rsidRPr="00A66160" w:rsidRDefault="006F2AA4" w:rsidP="00125225">
            <w:pPr>
              <w:rPr>
                <w:rFonts w:ascii="Arial" w:hAnsi="Arial" w:cs="Arial"/>
                <w:color w:val="000000"/>
                <w:sz w:val="16"/>
                <w:szCs w:val="16"/>
              </w:rPr>
            </w:pPr>
          </w:p>
        </w:tc>
        <w:tc>
          <w:tcPr>
            <w:tcW w:w="851" w:type="dxa"/>
            <w:tcBorders>
              <w:top w:val="single" w:sz="4" w:space="0" w:color="auto"/>
              <w:left w:val="nil"/>
              <w:bottom w:val="single" w:sz="4" w:space="0" w:color="auto"/>
              <w:right w:val="single" w:sz="4" w:space="0" w:color="auto"/>
            </w:tcBorders>
            <w:shd w:val="clear" w:color="auto" w:fill="auto"/>
          </w:tcPr>
          <w:p w14:paraId="1415258A"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lastRenderedPageBreak/>
              <w:t>1</w:t>
            </w:r>
          </w:p>
        </w:tc>
        <w:tc>
          <w:tcPr>
            <w:tcW w:w="1134" w:type="dxa"/>
            <w:tcBorders>
              <w:top w:val="single" w:sz="4" w:space="0" w:color="auto"/>
              <w:left w:val="nil"/>
              <w:bottom w:val="single" w:sz="4" w:space="0" w:color="auto"/>
              <w:right w:val="single" w:sz="4" w:space="0" w:color="auto"/>
            </w:tcBorders>
            <w:shd w:val="clear" w:color="auto" w:fill="auto"/>
          </w:tcPr>
          <w:p w14:paraId="0A4DCC8B"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 xml:space="preserve">La balanza se establecerá en el laboratorio de Fisiología del </w:t>
            </w:r>
            <w:r w:rsidRPr="00A66160">
              <w:rPr>
                <w:rFonts w:ascii="Arial" w:hAnsi="Arial" w:cs="Arial"/>
                <w:color w:val="000000"/>
                <w:sz w:val="16"/>
                <w:szCs w:val="16"/>
              </w:rPr>
              <w:lastRenderedPageBreak/>
              <w:t xml:space="preserve">Departamento de Botánica. </w:t>
            </w:r>
          </w:p>
          <w:p w14:paraId="65ACA6D1"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El equipo es requerido tanto para prácticas como para investigación, debido a su precisión, es un instrumento de primera necesidad. La balanza será utilizada por los alumnos de las diferentes carreras que cursan las materias de Fisiología Vegetal, Taller de Investigación I y II, así como por alumnos que cursan posgrados de Sistemas de Producción y de Agricultura Protegida de la misma universidad.</w:t>
            </w:r>
          </w:p>
        </w:tc>
      </w:tr>
      <w:tr w:rsidR="006F2AA4" w:rsidRPr="00A66160" w14:paraId="6A727C82" w14:textId="77777777"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tcPr>
          <w:p w14:paraId="31AAD839" w14:textId="77777777" w:rsidR="006F2AA4" w:rsidRPr="00A66160" w:rsidRDefault="006F2AA4" w:rsidP="00125225">
            <w:pPr>
              <w:pStyle w:val="Textoindependiente2"/>
              <w:rPr>
                <w:rFonts w:cs="Arial"/>
                <w:b/>
                <w:color w:val="000000"/>
                <w:sz w:val="16"/>
                <w:szCs w:val="16"/>
              </w:rPr>
            </w:pPr>
            <w:r w:rsidRPr="00A66160">
              <w:rPr>
                <w:rFonts w:cs="Arial"/>
                <w:color w:val="000000"/>
                <w:sz w:val="16"/>
                <w:szCs w:val="16"/>
              </w:rPr>
              <w:lastRenderedPageBreak/>
              <w:t>Li Data logger</w:t>
            </w:r>
          </w:p>
        </w:tc>
        <w:tc>
          <w:tcPr>
            <w:tcW w:w="1911" w:type="dxa"/>
            <w:tcBorders>
              <w:top w:val="single" w:sz="4" w:space="0" w:color="auto"/>
              <w:left w:val="nil"/>
              <w:bottom w:val="single" w:sz="4" w:space="0" w:color="auto"/>
              <w:right w:val="single" w:sz="4" w:space="0" w:color="auto"/>
            </w:tcBorders>
            <w:shd w:val="clear" w:color="auto" w:fill="auto"/>
          </w:tcPr>
          <w:p w14:paraId="0235DF2C"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se cuenta con los sensores para radiación, temperatura pero no cuenta con el sistema de captura de datos</w:t>
            </w:r>
          </w:p>
        </w:tc>
        <w:tc>
          <w:tcPr>
            <w:tcW w:w="1276" w:type="dxa"/>
            <w:tcBorders>
              <w:top w:val="single" w:sz="4" w:space="0" w:color="auto"/>
              <w:left w:val="nil"/>
              <w:bottom w:val="single" w:sz="4" w:space="0" w:color="auto"/>
              <w:right w:val="single" w:sz="4" w:space="0" w:color="auto"/>
            </w:tcBorders>
            <w:shd w:val="clear" w:color="auto" w:fill="auto"/>
          </w:tcPr>
          <w:p w14:paraId="67BF5401"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tcPr>
          <w:p w14:paraId="32068CF9" w14:textId="77777777" w:rsidR="006F2AA4" w:rsidRPr="00A66160" w:rsidRDefault="006F2AA4" w:rsidP="00125225">
            <w:pPr>
              <w:rPr>
                <w:rFonts w:ascii="Arial" w:hAnsi="Arial" w:cs="Arial"/>
                <w:color w:val="000000"/>
                <w:sz w:val="16"/>
                <w:szCs w:val="16"/>
              </w:rPr>
            </w:pPr>
            <w:r w:rsidRPr="00A66160">
              <w:rPr>
                <w:rFonts w:ascii="Arial" w:eastAsiaTheme="minorHAnsi" w:hAnsi="Arial" w:cs="Arial"/>
                <w:sz w:val="16"/>
                <w:szCs w:val="16"/>
                <w:lang w:eastAsia="en-US"/>
              </w:rPr>
              <w:t>LI-1400 Datalogger</w:t>
            </w:r>
          </w:p>
        </w:tc>
        <w:tc>
          <w:tcPr>
            <w:tcW w:w="2409" w:type="dxa"/>
            <w:tcBorders>
              <w:top w:val="single" w:sz="4" w:space="0" w:color="auto"/>
              <w:left w:val="nil"/>
              <w:bottom w:val="single" w:sz="4" w:space="0" w:color="auto"/>
              <w:right w:val="single" w:sz="4" w:space="0" w:color="auto"/>
            </w:tcBorders>
            <w:shd w:val="clear" w:color="auto" w:fill="auto"/>
          </w:tcPr>
          <w:p w14:paraId="405AF86F" w14:textId="77777777" w:rsidR="006F2AA4" w:rsidRPr="00A66160" w:rsidRDefault="006F2AA4" w:rsidP="00125225">
            <w:pPr>
              <w:autoSpaceDE w:val="0"/>
              <w:autoSpaceDN w:val="0"/>
              <w:adjustRightInd w:val="0"/>
              <w:rPr>
                <w:rFonts w:ascii="Arial" w:eastAsiaTheme="minorHAnsi" w:hAnsi="Arial" w:cs="Arial"/>
                <w:color w:val="000000"/>
                <w:sz w:val="16"/>
                <w:szCs w:val="16"/>
                <w:lang w:val="en-US" w:eastAsia="en-US"/>
              </w:rPr>
            </w:pPr>
            <w:r w:rsidRPr="00A66160">
              <w:rPr>
                <w:rFonts w:ascii="Arial" w:eastAsiaTheme="minorHAnsi" w:hAnsi="Arial" w:cs="Arial"/>
                <w:color w:val="000000"/>
                <w:sz w:val="16"/>
                <w:szCs w:val="16"/>
                <w:lang w:val="en-US" w:eastAsia="en-US"/>
              </w:rPr>
              <w:t>LI-COR, Inc.</w:t>
            </w:r>
          </w:p>
          <w:p w14:paraId="7CF99B34" w14:textId="77777777" w:rsidR="006F2AA4" w:rsidRPr="00A66160" w:rsidRDefault="006F2AA4" w:rsidP="00125225">
            <w:pPr>
              <w:autoSpaceDE w:val="0"/>
              <w:autoSpaceDN w:val="0"/>
              <w:adjustRightInd w:val="0"/>
              <w:rPr>
                <w:rFonts w:ascii="Arial" w:eastAsiaTheme="minorHAnsi" w:hAnsi="Arial" w:cs="Arial"/>
                <w:color w:val="000000"/>
                <w:sz w:val="16"/>
                <w:szCs w:val="16"/>
                <w:lang w:val="en-US" w:eastAsia="en-US"/>
              </w:rPr>
            </w:pPr>
            <w:r w:rsidRPr="00A66160">
              <w:rPr>
                <w:rFonts w:ascii="Arial" w:eastAsiaTheme="minorHAnsi" w:hAnsi="Arial" w:cs="Arial"/>
                <w:color w:val="000000"/>
                <w:sz w:val="16"/>
                <w:szCs w:val="16"/>
                <w:lang w:val="en-US" w:eastAsia="en-US"/>
              </w:rPr>
              <w:t>4421 Superior St</w:t>
            </w:r>
          </w:p>
          <w:p w14:paraId="0EC414C7" w14:textId="77777777" w:rsidR="006F2AA4" w:rsidRPr="00A66160" w:rsidRDefault="006F2AA4" w:rsidP="00125225">
            <w:pPr>
              <w:autoSpaceDE w:val="0"/>
              <w:autoSpaceDN w:val="0"/>
              <w:adjustRightInd w:val="0"/>
              <w:rPr>
                <w:rFonts w:ascii="Arial" w:eastAsiaTheme="minorHAnsi" w:hAnsi="Arial" w:cs="Arial"/>
                <w:color w:val="000000"/>
                <w:sz w:val="16"/>
                <w:szCs w:val="16"/>
                <w:lang w:val="en-US" w:eastAsia="en-US"/>
              </w:rPr>
            </w:pPr>
            <w:r w:rsidRPr="00A66160">
              <w:rPr>
                <w:rFonts w:ascii="Arial" w:eastAsiaTheme="minorHAnsi" w:hAnsi="Arial" w:cs="Arial"/>
                <w:color w:val="000000"/>
                <w:sz w:val="16"/>
                <w:szCs w:val="16"/>
                <w:lang w:val="en-US" w:eastAsia="en-US"/>
              </w:rPr>
              <w:t>Lincoln, NE 68504 USA</w:t>
            </w:r>
          </w:p>
          <w:p w14:paraId="135DC593" w14:textId="77777777" w:rsidR="006F2AA4" w:rsidRPr="00A66160" w:rsidRDefault="006F2AA4" w:rsidP="00125225">
            <w:pPr>
              <w:autoSpaceDE w:val="0"/>
              <w:autoSpaceDN w:val="0"/>
              <w:adjustRightInd w:val="0"/>
              <w:rPr>
                <w:rFonts w:ascii="Arial" w:eastAsiaTheme="minorHAnsi" w:hAnsi="Arial" w:cs="Arial"/>
                <w:color w:val="000000"/>
                <w:sz w:val="16"/>
                <w:szCs w:val="16"/>
                <w:lang w:val="en-US" w:eastAsia="en-US"/>
              </w:rPr>
            </w:pPr>
            <w:r w:rsidRPr="00A66160">
              <w:rPr>
                <w:rFonts w:ascii="Arial" w:eastAsiaTheme="minorHAnsi" w:hAnsi="Arial" w:cs="Arial"/>
                <w:color w:val="000000"/>
                <w:sz w:val="16"/>
                <w:szCs w:val="16"/>
                <w:lang w:val="en-US" w:eastAsia="en-US"/>
              </w:rPr>
              <w:t>Phone: 402-467-3576</w:t>
            </w:r>
          </w:p>
          <w:p w14:paraId="0F71637C" w14:textId="77777777" w:rsidR="006F2AA4" w:rsidRPr="00A66160" w:rsidRDefault="006F2AA4" w:rsidP="00125225">
            <w:pPr>
              <w:autoSpaceDE w:val="0"/>
              <w:autoSpaceDN w:val="0"/>
              <w:adjustRightInd w:val="0"/>
              <w:rPr>
                <w:rFonts w:ascii="Arial" w:eastAsiaTheme="minorHAnsi" w:hAnsi="Arial" w:cs="Arial"/>
                <w:color w:val="000000"/>
                <w:sz w:val="16"/>
                <w:szCs w:val="16"/>
                <w:lang w:val="en-US" w:eastAsia="en-US"/>
              </w:rPr>
            </w:pPr>
            <w:r w:rsidRPr="00A66160">
              <w:rPr>
                <w:rFonts w:ascii="Arial" w:eastAsiaTheme="minorHAnsi" w:hAnsi="Arial" w:cs="Arial"/>
                <w:color w:val="000000"/>
                <w:sz w:val="16"/>
                <w:szCs w:val="16"/>
                <w:lang w:val="en-US" w:eastAsia="en-US"/>
              </w:rPr>
              <w:t>US &amp; Canadá: 800-447-3576</w:t>
            </w:r>
          </w:p>
          <w:p w14:paraId="0C023FAD" w14:textId="77777777" w:rsidR="006F2AA4" w:rsidRPr="00A66160" w:rsidRDefault="006F2AA4" w:rsidP="00125225">
            <w:pPr>
              <w:autoSpaceDE w:val="0"/>
              <w:autoSpaceDN w:val="0"/>
              <w:adjustRightInd w:val="0"/>
              <w:rPr>
                <w:rFonts w:ascii="Arial" w:eastAsiaTheme="minorHAnsi" w:hAnsi="Arial" w:cs="Arial"/>
                <w:color w:val="000000"/>
                <w:sz w:val="16"/>
                <w:szCs w:val="16"/>
                <w:lang w:val="en-US" w:eastAsia="en-US"/>
              </w:rPr>
            </w:pPr>
            <w:r w:rsidRPr="00A66160">
              <w:rPr>
                <w:rFonts w:ascii="Arial" w:eastAsiaTheme="minorHAnsi" w:hAnsi="Arial" w:cs="Arial"/>
                <w:color w:val="000000"/>
                <w:sz w:val="16"/>
                <w:szCs w:val="16"/>
                <w:lang w:val="en-US" w:eastAsia="en-US"/>
              </w:rPr>
              <w:t>Fax: 402-467-2819</w:t>
            </w:r>
          </w:p>
          <w:p w14:paraId="4D518918" w14:textId="77777777" w:rsidR="006F2AA4" w:rsidRPr="00A66160" w:rsidRDefault="006F2AA4" w:rsidP="00125225">
            <w:pPr>
              <w:autoSpaceDE w:val="0"/>
              <w:autoSpaceDN w:val="0"/>
              <w:adjustRightInd w:val="0"/>
              <w:rPr>
                <w:rFonts w:ascii="Arial" w:eastAsiaTheme="minorHAnsi" w:hAnsi="Arial" w:cs="Arial"/>
                <w:sz w:val="16"/>
                <w:szCs w:val="16"/>
                <w:lang w:val="en-US" w:eastAsia="en-US"/>
              </w:rPr>
            </w:pPr>
            <w:r w:rsidRPr="00A66160">
              <w:rPr>
                <w:rFonts w:ascii="Arial" w:eastAsiaTheme="minorHAnsi" w:hAnsi="Arial" w:cs="Arial"/>
                <w:sz w:val="16"/>
                <w:szCs w:val="16"/>
                <w:lang w:val="en-US" w:eastAsia="en-US"/>
              </w:rPr>
              <w:t>www.licor.com</w:t>
            </w:r>
          </w:p>
          <w:p w14:paraId="4C052EDE" w14:textId="77777777" w:rsidR="006F2AA4" w:rsidRPr="00A66160" w:rsidRDefault="0017498D" w:rsidP="00125225">
            <w:pPr>
              <w:rPr>
                <w:rFonts w:ascii="Arial" w:eastAsiaTheme="minorHAnsi" w:hAnsi="Arial" w:cs="Arial"/>
                <w:sz w:val="16"/>
                <w:szCs w:val="16"/>
                <w:lang w:eastAsia="en-US"/>
              </w:rPr>
            </w:pPr>
            <w:hyperlink r:id="rId130" w:history="1">
              <w:r w:rsidR="006F2AA4" w:rsidRPr="00A66160">
                <w:rPr>
                  <w:rStyle w:val="Hipervnculo"/>
                  <w:rFonts w:ascii="Arial" w:eastAsiaTheme="minorHAnsi" w:hAnsi="Arial" w:cs="Arial"/>
                  <w:sz w:val="16"/>
                  <w:szCs w:val="16"/>
                </w:rPr>
                <w:t>envsales@licor.com</w:t>
              </w:r>
            </w:hyperlink>
          </w:p>
          <w:p w14:paraId="7DE3C99F" w14:textId="77777777" w:rsidR="006F2AA4" w:rsidRPr="00A66160" w:rsidRDefault="006F2AA4" w:rsidP="00125225">
            <w:pPr>
              <w:rPr>
                <w:rFonts w:ascii="Arial" w:hAnsi="Arial" w:cs="Arial"/>
                <w:color w:val="000000"/>
                <w:sz w:val="16"/>
                <w:szCs w:val="16"/>
              </w:rPr>
            </w:pPr>
            <w:r w:rsidRPr="00A66160">
              <w:rPr>
                <w:rFonts w:ascii="Arial" w:eastAsiaTheme="minorHAnsi" w:hAnsi="Arial" w:cs="Arial"/>
                <w:sz w:val="16"/>
                <w:szCs w:val="16"/>
                <w:lang w:eastAsia="en-US"/>
              </w:rPr>
              <w:t>Precio aproximado:$1820 dólares</w:t>
            </w:r>
          </w:p>
        </w:tc>
        <w:tc>
          <w:tcPr>
            <w:tcW w:w="851" w:type="dxa"/>
            <w:tcBorders>
              <w:top w:val="single" w:sz="4" w:space="0" w:color="auto"/>
              <w:left w:val="nil"/>
              <w:bottom w:val="single" w:sz="4" w:space="0" w:color="auto"/>
              <w:right w:val="single" w:sz="4" w:space="0" w:color="auto"/>
            </w:tcBorders>
            <w:shd w:val="clear" w:color="auto" w:fill="auto"/>
          </w:tcPr>
          <w:p w14:paraId="26BAC3D6"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1</w:t>
            </w:r>
          </w:p>
        </w:tc>
        <w:tc>
          <w:tcPr>
            <w:tcW w:w="1134" w:type="dxa"/>
            <w:tcBorders>
              <w:top w:val="single" w:sz="4" w:space="0" w:color="auto"/>
              <w:left w:val="nil"/>
              <w:bottom w:val="single" w:sz="4" w:space="0" w:color="auto"/>
              <w:right w:val="single" w:sz="4" w:space="0" w:color="auto"/>
            </w:tcBorders>
            <w:shd w:val="clear" w:color="auto" w:fill="auto"/>
          </w:tcPr>
          <w:p w14:paraId="65F7B1F2"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 xml:space="preserve">Este equipo se ubicará en el Laboratorio de Fisiología del departamento de Botánica, donde se encuentran los sensores de dicho instrumento, con lo cual se podrán realizar prácticas más avanzadas para los alumnos de las diferentes carreras que </w:t>
            </w:r>
            <w:r w:rsidRPr="00A66160">
              <w:rPr>
                <w:rFonts w:ascii="Arial" w:hAnsi="Arial" w:cs="Arial"/>
                <w:color w:val="000000"/>
                <w:sz w:val="16"/>
                <w:szCs w:val="16"/>
              </w:rPr>
              <w:lastRenderedPageBreak/>
              <w:t>cursan las materias de Fisiología Vegetal, Ecofisiología Vegetal, Taller de Investigación I, Producción en invernaderos Rústicos y Taller Investigación II.</w:t>
            </w:r>
          </w:p>
        </w:tc>
      </w:tr>
      <w:tr w:rsidR="006F2AA4" w:rsidRPr="00A66160" w14:paraId="4FAE6B7D" w14:textId="77777777"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tcPr>
          <w:p w14:paraId="451F8123" w14:textId="77777777" w:rsidR="006F2AA4" w:rsidRPr="00A66160" w:rsidRDefault="006F2AA4" w:rsidP="00125225">
            <w:pPr>
              <w:pStyle w:val="Textoindependiente2"/>
              <w:rPr>
                <w:rFonts w:cs="Arial"/>
                <w:b/>
                <w:color w:val="000000"/>
                <w:sz w:val="16"/>
                <w:szCs w:val="16"/>
              </w:rPr>
            </w:pPr>
            <w:r w:rsidRPr="00A66160">
              <w:rPr>
                <w:rFonts w:cs="Arial"/>
                <w:color w:val="000000"/>
                <w:sz w:val="16"/>
                <w:szCs w:val="16"/>
              </w:rPr>
              <w:lastRenderedPageBreak/>
              <w:t>Microscopio</w:t>
            </w:r>
          </w:p>
        </w:tc>
        <w:tc>
          <w:tcPr>
            <w:tcW w:w="1911" w:type="dxa"/>
            <w:tcBorders>
              <w:top w:val="single" w:sz="4" w:space="0" w:color="auto"/>
              <w:left w:val="nil"/>
              <w:bottom w:val="single" w:sz="4" w:space="0" w:color="auto"/>
              <w:right w:val="single" w:sz="4" w:space="0" w:color="auto"/>
            </w:tcBorders>
            <w:shd w:val="clear" w:color="auto" w:fill="auto"/>
          </w:tcPr>
          <w:p w14:paraId="64A9E37F"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se cuenta con 12 microscopios de diferente marca Zeigen, Labomed, Motic, etc, están funcionales.</w:t>
            </w:r>
          </w:p>
        </w:tc>
        <w:tc>
          <w:tcPr>
            <w:tcW w:w="1276" w:type="dxa"/>
            <w:tcBorders>
              <w:top w:val="single" w:sz="4" w:space="0" w:color="auto"/>
              <w:left w:val="nil"/>
              <w:bottom w:val="single" w:sz="4" w:space="0" w:color="auto"/>
              <w:right w:val="single" w:sz="4" w:space="0" w:color="auto"/>
            </w:tcBorders>
            <w:shd w:val="clear" w:color="auto" w:fill="auto"/>
          </w:tcPr>
          <w:p w14:paraId="6489596C"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12</w:t>
            </w:r>
          </w:p>
        </w:tc>
        <w:tc>
          <w:tcPr>
            <w:tcW w:w="1349" w:type="dxa"/>
            <w:gridSpan w:val="2"/>
            <w:tcBorders>
              <w:top w:val="single" w:sz="4" w:space="0" w:color="auto"/>
              <w:left w:val="nil"/>
              <w:bottom w:val="single" w:sz="4" w:space="0" w:color="auto"/>
              <w:right w:val="single" w:sz="4" w:space="0" w:color="auto"/>
            </w:tcBorders>
            <w:shd w:val="clear" w:color="auto" w:fill="auto"/>
          </w:tcPr>
          <w:p w14:paraId="04387FB8" w14:textId="77777777" w:rsidR="006F2AA4" w:rsidRPr="00A66160" w:rsidRDefault="006F2AA4" w:rsidP="00125225">
            <w:pPr>
              <w:rPr>
                <w:rFonts w:ascii="Arial" w:eastAsiaTheme="minorHAnsi" w:hAnsi="Arial" w:cs="Arial"/>
                <w:sz w:val="16"/>
                <w:szCs w:val="16"/>
                <w:lang w:eastAsia="en-US"/>
              </w:rPr>
            </w:pPr>
            <w:r w:rsidRPr="00A66160">
              <w:rPr>
                <w:rFonts w:ascii="Arial" w:eastAsiaTheme="minorHAnsi" w:hAnsi="Arial" w:cs="Arial"/>
                <w:sz w:val="16"/>
                <w:szCs w:val="16"/>
                <w:lang w:eastAsia="en-US"/>
              </w:rPr>
              <w:t>Microscopio</w:t>
            </w:r>
          </w:p>
        </w:tc>
        <w:tc>
          <w:tcPr>
            <w:tcW w:w="2409" w:type="dxa"/>
            <w:tcBorders>
              <w:top w:val="single" w:sz="4" w:space="0" w:color="auto"/>
              <w:left w:val="nil"/>
              <w:bottom w:val="single" w:sz="4" w:space="0" w:color="auto"/>
              <w:right w:val="single" w:sz="4" w:space="0" w:color="auto"/>
            </w:tcBorders>
            <w:shd w:val="clear" w:color="auto" w:fill="auto"/>
          </w:tcPr>
          <w:p w14:paraId="06887683" w14:textId="29741253"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Microscopio marca Zeigen cabeza binocular inclinada 45° giratoria 360º con un par de oculares de campo amplio wf10x18mm  enfoque macro-micrométrico coaxial oculares de campo amplio wf-10x revolver cuádruple embalado con objetivos acromáticos 4x, 10x, 40xretractil y 100x retráctil de inmersión platina móvil, integral de doble placa, con mandos coaxiales para movimientos x-y con escalas milimétricas y vernier.</w:t>
            </w:r>
            <w:r w:rsidRPr="00A66160">
              <w:rPr>
                <w:rFonts w:ascii="Arial" w:hAnsi="Arial" w:cs="Arial"/>
                <w:color w:val="000000"/>
                <w:sz w:val="16"/>
                <w:szCs w:val="16"/>
              </w:rPr>
              <w:br/>
            </w:r>
            <w:r w:rsidR="00AA0BD3">
              <w:rPr>
                <w:rFonts w:ascii="Arial" w:hAnsi="Arial" w:cs="Arial"/>
                <w:color w:val="000000"/>
                <w:sz w:val="16"/>
                <w:szCs w:val="16"/>
              </w:rPr>
              <w:t>C</w:t>
            </w:r>
            <w:r w:rsidRPr="00A66160">
              <w:rPr>
                <w:rFonts w:ascii="Arial" w:hAnsi="Arial" w:cs="Arial"/>
                <w:color w:val="000000"/>
                <w:sz w:val="16"/>
                <w:szCs w:val="16"/>
              </w:rPr>
              <w:t>ondensador centrable abbe n.a. 1.25 con diafragma de iris con porta filtros, con cremallera y piñon para desplazamiento del condensador</w:t>
            </w:r>
            <w:r w:rsidRPr="00A66160">
              <w:rPr>
                <w:rFonts w:ascii="Arial" w:hAnsi="Arial" w:cs="Arial"/>
                <w:color w:val="000000"/>
                <w:sz w:val="16"/>
                <w:szCs w:val="16"/>
              </w:rPr>
              <w:br/>
              <w:t>iluminación integrada de halógeno de 6v-20w, con control de intensidad variable.</w:t>
            </w:r>
            <w:r w:rsidRPr="00A66160">
              <w:rPr>
                <w:rFonts w:ascii="Arial" w:hAnsi="Arial" w:cs="Arial"/>
                <w:color w:val="000000"/>
                <w:sz w:val="16"/>
                <w:szCs w:val="16"/>
              </w:rPr>
              <w:br/>
              <w:t>Filtro azul, funda de plástico, manual de instrucciones, aceite de inmersión, empaque de poliestireno.</w:t>
            </w:r>
          </w:p>
          <w:p w14:paraId="3C3729B3"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Costo aproximado: 15,000 cada uno, con un total de 90,000.00 pesos.</w:t>
            </w:r>
          </w:p>
          <w:p w14:paraId="2B479504" w14:textId="77777777" w:rsidR="006F2AA4" w:rsidRPr="00A66160" w:rsidRDefault="006F2AA4" w:rsidP="00125225">
            <w:pPr>
              <w:autoSpaceDE w:val="0"/>
              <w:autoSpaceDN w:val="0"/>
              <w:adjustRightInd w:val="0"/>
              <w:rPr>
                <w:rFonts w:ascii="Arial" w:eastAsiaTheme="minorHAnsi" w:hAnsi="Arial" w:cs="Arial"/>
                <w:color w:val="000000"/>
                <w:sz w:val="16"/>
                <w:szCs w:val="16"/>
                <w:lang w:eastAsia="en-US"/>
              </w:rPr>
            </w:pPr>
          </w:p>
        </w:tc>
        <w:tc>
          <w:tcPr>
            <w:tcW w:w="851" w:type="dxa"/>
            <w:tcBorders>
              <w:top w:val="single" w:sz="4" w:space="0" w:color="auto"/>
              <w:left w:val="nil"/>
              <w:bottom w:val="single" w:sz="4" w:space="0" w:color="auto"/>
              <w:right w:val="single" w:sz="4" w:space="0" w:color="auto"/>
            </w:tcBorders>
            <w:shd w:val="clear" w:color="auto" w:fill="auto"/>
          </w:tcPr>
          <w:p w14:paraId="742C7DE3"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6</w:t>
            </w:r>
          </w:p>
        </w:tc>
        <w:tc>
          <w:tcPr>
            <w:tcW w:w="1134" w:type="dxa"/>
            <w:tcBorders>
              <w:top w:val="single" w:sz="4" w:space="0" w:color="auto"/>
              <w:left w:val="nil"/>
              <w:bottom w:val="single" w:sz="4" w:space="0" w:color="auto"/>
              <w:right w:val="single" w:sz="4" w:space="0" w:color="auto"/>
            </w:tcBorders>
            <w:shd w:val="clear" w:color="auto" w:fill="auto"/>
          </w:tcPr>
          <w:p w14:paraId="69E65996" w14:textId="77777777" w:rsidR="006F2AA4" w:rsidRPr="00A66160" w:rsidRDefault="006F2AA4" w:rsidP="00125225">
            <w:pPr>
              <w:pStyle w:val="Textoindependiente2"/>
              <w:rPr>
                <w:rFonts w:cs="Arial"/>
                <w:b/>
                <w:sz w:val="16"/>
                <w:szCs w:val="16"/>
              </w:rPr>
            </w:pPr>
            <w:r w:rsidRPr="00A66160">
              <w:rPr>
                <w:rFonts w:cs="Arial"/>
                <w:color w:val="000000"/>
                <w:sz w:val="16"/>
                <w:szCs w:val="16"/>
              </w:rPr>
              <w:t xml:space="preserve">Los microscopios se destinarán al Laboratorio de Fisiología,  serán utilizados complementariamente con los que se cuenta actualmente. Año con año </w:t>
            </w:r>
            <w:r w:rsidRPr="00A66160">
              <w:rPr>
                <w:rFonts w:cs="Arial"/>
                <w:sz w:val="16"/>
                <w:szCs w:val="16"/>
              </w:rPr>
              <w:t>se atienden a más de 400 Alumnos de 3er Semestre de 10 carreras de las 13 que ofrece la UAAAN en licenciatura.</w:t>
            </w:r>
          </w:p>
          <w:p w14:paraId="4507AD87" w14:textId="77777777" w:rsidR="006F2AA4" w:rsidRPr="00A66160" w:rsidRDefault="006F2AA4" w:rsidP="00125225">
            <w:pPr>
              <w:pStyle w:val="Textoindependiente2"/>
              <w:rPr>
                <w:rFonts w:cs="Arial"/>
                <w:b/>
                <w:color w:val="000000"/>
                <w:sz w:val="16"/>
                <w:szCs w:val="16"/>
              </w:rPr>
            </w:pPr>
            <w:r w:rsidRPr="00A66160">
              <w:rPr>
                <w:rFonts w:cs="Arial"/>
                <w:sz w:val="16"/>
                <w:szCs w:val="16"/>
              </w:rPr>
              <w:t>Los microscopios en general son un instrumento sumamente importante para la agronomía, motivo por el cual se puede observar que un gran número de peticiones en cuanto a equipo son microscopios.</w:t>
            </w:r>
          </w:p>
          <w:p w14:paraId="5298EC4F" w14:textId="77777777" w:rsidR="006F2AA4" w:rsidRPr="00A66160" w:rsidRDefault="006F2AA4" w:rsidP="00125225">
            <w:pPr>
              <w:rPr>
                <w:rFonts w:ascii="Arial" w:hAnsi="Arial" w:cs="Arial"/>
                <w:color w:val="000000"/>
                <w:sz w:val="16"/>
                <w:szCs w:val="16"/>
                <w:lang w:val="es-ES"/>
              </w:rPr>
            </w:pPr>
          </w:p>
        </w:tc>
      </w:tr>
      <w:tr w:rsidR="006F2AA4" w:rsidRPr="00A66160" w14:paraId="547D643E" w14:textId="77777777"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tcPr>
          <w:p w14:paraId="715E7D9D" w14:textId="77777777" w:rsidR="006F2AA4" w:rsidRPr="00A66160" w:rsidRDefault="006F2AA4" w:rsidP="00125225">
            <w:pPr>
              <w:pStyle w:val="Textoindependiente2"/>
              <w:rPr>
                <w:rFonts w:cs="Arial"/>
                <w:b/>
                <w:color w:val="000000"/>
                <w:sz w:val="16"/>
                <w:szCs w:val="16"/>
              </w:rPr>
            </w:pPr>
            <w:r w:rsidRPr="00A66160">
              <w:rPr>
                <w:rFonts w:cs="Arial"/>
                <w:color w:val="000000"/>
                <w:sz w:val="16"/>
                <w:szCs w:val="16"/>
              </w:rPr>
              <w:t xml:space="preserve">Microscopio triocular </w:t>
            </w:r>
          </w:p>
        </w:tc>
        <w:tc>
          <w:tcPr>
            <w:tcW w:w="1911" w:type="dxa"/>
            <w:tcBorders>
              <w:top w:val="single" w:sz="4" w:space="0" w:color="auto"/>
              <w:left w:val="nil"/>
              <w:bottom w:val="single" w:sz="4" w:space="0" w:color="auto"/>
              <w:right w:val="single" w:sz="4" w:space="0" w:color="auto"/>
            </w:tcBorders>
            <w:shd w:val="clear" w:color="auto" w:fill="auto"/>
          </w:tcPr>
          <w:p w14:paraId="5105DCC1"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no se cuenta con este tipo de microscopio</w:t>
            </w:r>
          </w:p>
        </w:tc>
        <w:tc>
          <w:tcPr>
            <w:tcW w:w="1276" w:type="dxa"/>
            <w:tcBorders>
              <w:top w:val="single" w:sz="4" w:space="0" w:color="auto"/>
              <w:left w:val="nil"/>
              <w:bottom w:val="single" w:sz="4" w:space="0" w:color="auto"/>
              <w:right w:val="single" w:sz="4" w:space="0" w:color="auto"/>
            </w:tcBorders>
            <w:shd w:val="clear" w:color="auto" w:fill="auto"/>
          </w:tcPr>
          <w:p w14:paraId="68F2C788"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tcPr>
          <w:p w14:paraId="44DD8A11" w14:textId="77777777" w:rsidR="006F2AA4" w:rsidRPr="00A66160" w:rsidRDefault="006F2AA4" w:rsidP="00125225">
            <w:pPr>
              <w:rPr>
                <w:rFonts w:ascii="Arial" w:eastAsiaTheme="minorHAnsi" w:hAnsi="Arial" w:cs="Arial"/>
                <w:sz w:val="16"/>
                <w:szCs w:val="16"/>
                <w:lang w:eastAsia="en-US"/>
              </w:rPr>
            </w:pPr>
            <w:r w:rsidRPr="00A66160">
              <w:rPr>
                <w:rFonts w:ascii="Arial" w:eastAsiaTheme="minorHAnsi" w:hAnsi="Arial" w:cs="Arial"/>
                <w:sz w:val="16"/>
                <w:szCs w:val="16"/>
                <w:lang w:eastAsia="en-US"/>
              </w:rPr>
              <w:t>Microscopio triocular</w:t>
            </w:r>
          </w:p>
        </w:tc>
        <w:tc>
          <w:tcPr>
            <w:tcW w:w="2409" w:type="dxa"/>
            <w:tcBorders>
              <w:top w:val="single" w:sz="4" w:space="0" w:color="auto"/>
              <w:left w:val="nil"/>
              <w:bottom w:val="single" w:sz="4" w:space="0" w:color="auto"/>
              <w:right w:val="single" w:sz="4" w:space="0" w:color="auto"/>
            </w:tcBorders>
            <w:shd w:val="clear" w:color="auto" w:fill="auto"/>
          </w:tcPr>
          <w:p w14:paraId="020689F8" w14:textId="77777777"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Microscopio triocular marca Zeiss modelo "Primostar" de campo claro.</w:t>
            </w:r>
          </w:p>
          <w:p w14:paraId="4FE78FC3" w14:textId="77777777"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-Set de filtros color</w:t>
            </w:r>
          </w:p>
          <w:p w14:paraId="01830D2E" w14:textId="77777777"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-Iluminacion Halogena</w:t>
            </w:r>
          </w:p>
          <w:p w14:paraId="1B9D3FF5" w14:textId="77777777"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lastRenderedPageBreak/>
              <w:t>-Revolver de 4 posisiones</w:t>
            </w:r>
          </w:p>
          <w:p w14:paraId="7AAB4DDA" w14:textId="77777777"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-Platina mecanica 75x30 mando derecho</w:t>
            </w:r>
          </w:p>
          <w:p w14:paraId="18D6A437" w14:textId="77777777"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-Fototubo binocular 30°/20</w:t>
            </w:r>
          </w:p>
          <w:p w14:paraId="7D667F29" w14:textId="77777777"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-Oculares 10x/20 Br. foc.</w:t>
            </w:r>
          </w:p>
          <w:p w14:paraId="6029360A" w14:textId="77777777"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-Objetivos "Plan-Achromat" 4x, 10x, 40x y 100x aceite</w:t>
            </w:r>
          </w:p>
          <w:p w14:paraId="280AF813" w14:textId="77777777"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-Condensador 0.9/1.</w:t>
            </w:r>
          </w:p>
          <w:p w14:paraId="47DBAD98" w14:textId="77777777"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-Funda pro</w:t>
            </w:r>
          </w:p>
          <w:p w14:paraId="519F7F01" w14:textId="77777777"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Costo aproximado:$120,000 pesos</w:t>
            </w:r>
          </w:p>
          <w:p w14:paraId="6ED81A95" w14:textId="77777777" w:rsidR="006F2AA4" w:rsidRPr="00A66160" w:rsidRDefault="006F2AA4" w:rsidP="00125225">
            <w:pPr>
              <w:autoSpaceDE w:val="0"/>
              <w:autoSpaceDN w:val="0"/>
              <w:adjustRightInd w:val="0"/>
              <w:rPr>
                <w:rFonts w:ascii="Arial" w:eastAsiaTheme="minorHAnsi" w:hAnsi="Arial" w:cs="Arial"/>
                <w:color w:val="000000"/>
                <w:sz w:val="16"/>
                <w:szCs w:val="16"/>
                <w:lang w:eastAsia="en-US"/>
              </w:rPr>
            </w:pPr>
          </w:p>
        </w:tc>
        <w:tc>
          <w:tcPr>
            <w:tcW w:w="851" w:type="dxa"/>
            <w:tcBorders>
              <w:top w:val="single" w:sz="4" w:space="0" w:color="auto"/>
              <w:left w:val="nil"/>
              <w:bottom w:val="single" w:sz="4" w:space="0" w:color="auto"/>
              <w:right w:val="single" w:sz="4" w:space="0" w:color="auto"/>
            </w:tcBorders>
            <w:shd w:val="clear" w:color="auto" w:fill="auto"/>
          </w:tcPr>
          <w:p w14:paraId="7380C26F"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lastRenderedPageBreak/>
              <w:t>1</w:t>
            </w:r>
          </w:p>
        </w:tc>
        <w:tc>
          <w:tcPr>
            <w:tcW w:w="1134" w:type="dxa"/>
            <w:tcBorders>
              <w:top w:val="single" w:sz="4" w:space="0" w:color="auto"/>
              <w:left w:val="nil"/>
              <w:bottom w:val="single" w:sz="4" w:space="0" w:color="auto"/>
              <w:right w:val="single" w:sz="4" w:space="0" w:color="auto"/>
            </w:tcBorders>
            <w:shd w:val="clear" w:color="auto" w:fill="auto"/>
          </w:tcPr>
          <w:p w14:paraId="2DB0035A" w14:textId="77777777"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 xml:space="preserve">El microscopio triocular se establecerá en el Laboratorio de Anatomía </w:t>
            </w:r>
            <w:r w:rsidRPr="00A66160">
              <w:rPr>
                <w:rFonts w:ascii="Arial" w:hAnsi="Arial" w:cs="Arial"/>
                <w:color w:val="000000"/>
                <w:sz w:val="16"/>
                <w:szCs w:val="16"/>
              </w:rPr>
              <w:lastRenderedPageBreak/>
              <w:t xml:space="preserve">e Histología del Departamento de Botánica, será usado por alumnos de licenciatura e investigadores que requieran características muy exigentes en cuanto a las imágenes. </w:t>
            </w:r>
          </w:p>
        </w:tc>
      </w:tr>
    </w:tbl>
    <w:p w14:paraId="7BD05EE1" w14:textId="77777777" w:rsidR="006F2AA4" w:rsidRDefault="006F2AA4" w:rsidP="00DB16CD">
      <w:pPr>
        <w:jc w:val="center"/>
        <w:rPr>
          <w:rFonts w:ascii="Arial" w:hAnsi="Arial" w:cs="Arial"/>
          <w:b/>
          <w:sz w:val="28"/>
          <w:szCs w:val="28"/>
        </w:rPr>
      </w:pPr>
    </w:p>
    <w:p w14:paraId="538912FF" w14:textId="77777777" w:rsidR="00DB16CD" w:rsidRPr="008323F0" w:rsidRDefault="00DB16CD" w:rsidP="00DB16CD">
      <w:pPr>
        <w:jc w:val="center"/>
        <w:rPr>
          <w:rFonts w:ascii="Arial" w:hAnsi="Arial" w:cs="Arial"/>
          <w:b/>
          <w:sz w:val="28"/>
          <w:szCs w:val="28"/>
        </w:rPr>
      </w:pPr>
      <w:r w:rsidRPr="008323F0">
        <w:rPr>
          <w:rFonts w:ascii="Arial" w:hAnsi="Arial" w:cs="Arial"/>
          <w:b/>
          <w:sz w:val="28"/>
          <w:szCs w:val="28"/>
        </w:rPr>
        <w:t>REQUERIMIENTO DE INFRAESTRUCTURA</w:t>
      </w:r>
    </w:p>
    <w:p w14:paraId="4CAA9EF9" w14:textId="77777777" w:rsidR="00DB16CD" w:rsidRPr="008323F0" w:rsidRDefault="00DB16CD" w:rsidP="00DB16CD">
      <w:pPr>
        <w:jc w:val="center"/>
        <w:rPr>
          <w:rFonts w:ascii="Arial" w:hAnsi="Arial" w:cs="Arial"/>
          <w:b/>
          <w:sz w:val="28"/>
          <w:szCs w:val="28"/>
        </w:rPr>
      </w:pPr>
      <w:r w:rsidRPr="008323F0">
        <w:rPr>
          <w:rFonts w:ascii="Arial" w:hAnsi="Arial" w:cs="Arial"/>
          <w:b/>
          <w:sz w:val="28"/>
          <w:szCs w:val="28"/>
        </w:rPr>
        <w:t>Departamento de Botánica: Laboratorios y Unidades Experimentales</w:t>
      </w:r>
    </w:p>
    <w:p w14:paraId="48A1843B" w14:textId="77777777" w:rsidR="00DB16CD" w:rsidRPr="008323F0" w:rsidRDefault="00DB16CD" w:rsidP="00DB16CD">
      <w:pPr>
        <w:jc w:val="center"/>
        <w:rPr>
          <w:rFonts w:ascii="Arial" w:hAnsi="Arial" w:cs="Arial"/>
          <w:b/>
        </w:rPr>
      </w:pPr>
    </w:p>
    <w:tbl>
      <w:tblPr>
        <w:tblpPr w:leftFromText="141" w:rightFromText="141" w:vertAnchor="text" w:horzAnchor="margin" w:tblpX="279" w:tblpY="108"/>
        <w:tblW w:w="90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85"/>
        <w:gridCol w:w="2859"/>
        <w:gridCol w:w="2140"/>
        <w:gridCol w:w="1560"/>
      </w:tblGrid>
      <w:tr w:rsidR="00DB16CD" w:rsidRPr="008323F0" w14:paraId="1841274D" w14:textId="77777777" w:rsidTr="002A45EA">
        <w:trPr>
          <w:trHeight w:val="300"/>
        </w:trPr>
        <w:tc>
          <w:tcPr>
            <w:tcW w:w="2485" w:type="dxa"/>
            <w:shd w:val="clear" w:color="auto" w:fill="auto"/>
            <w:hideMark/>
          </w:tcPr>
          <w:p w14:paraId="775ABA1A" w14:textId="77777777" w:rsidR="00DB16CD" w:rsidRPr="008323F0" w:rsidRDefault="00DB16CD" w:rsidP="002A45EA">
            <w:pPr>
              <w:rPr>
                <w:rFonts w:ascii="Arial" w:hAnsi="Arial" w:cs="Arial"/>
                <w:b/>
                <w:color w:val="000000"/>
              </w:rPr>
            </w:pPr>
            <w:r w:rsidRPr="008323F0">
              <w:rPr>
                <w:rFonts w:ascii="Arial" w:hAnsi="Arial" w:cs="Arial"/>
                <w:b/>
                <w:color w:val="000000"/>
              </w:rPr>
              <w:t>Obra requerida</w:t>
            </w:r>
          </w:p>
        </w:tc>
        <w:tc>
          <w:tcPr>
            <w:tcW w:w="2859" w:type="dxa"/>
            <w:shd w:val="clear" w:color="auto" w:fill="auto"/>
            <w:noWrap/>
            <w:hideMark/>
          </w:tcPr>
          <w:p w14:paraId="6EA25C25" w14:textId="77777777" w:rsidR="00DB16CD" w:rsidRPr="008323F0" w:rsidRDefault="00DB16CD" w:rsidP="002A45EA">
            <w:pPr>
              <w:rPr>
                <w:rFonts w:ascii="Arial" w:hAnsi="Arial" w:cs="Arial"/>
                <w:b/>
                <w:color w:val="000000"/>
              </w:rPr>
            </w:pPr>
            <w:r w:rsidRPr="008323F0">
              <w:rPr>
                <w:rFonts w:ascii="Arial" w:hAnsi="Arial" w:cs="Arial"/>
                <w:b/>
                <w:color w:val="000000"/>
              </w:rPr>
              <w:t>Destino que se le dará</w:t>
            </w:r>
          </w:p>
        </w:tc>
        <w:tc>
          <w:tcPr>
            <w:tcW w:w="2140" w:type="dxa"/>
            <w:shd w:val="clear" w:color="auto" w:fill="auto"/>
            <w:noWrap/>
            <w:hideMark/>
          </w:tcPr>
          <w:p w14:paraId="65B5FC70" w14:textId="77777777" w:rsidR="00DB16CD" w:rsidRPr="008323F0" w:rsidRDefault="00DB16CD" w:rsidP="002A45EA">
            <w:pPr>
              <w:rPr>
                <w:rFonts w:ascii="Arial" w:hAnsi="Arial" w:cs="Arial"/>
                <w:b/>
                <w:color w:val="000000"/>
              </w:rPr>
            </w:pPr>
            <w:r w:rsidRPr="008323F0">
              <w:rPr>
                <w:rFonts w:ascii="Arial" w:hAnsi="Arial" w:cs="Arial"/>
                <w:b/>
                <w:color w:val="000000"/>
              </w:rPr>
              <w:t>Lugar</w:t>
            </w:r>
          </w:p>
        </w:tc>
        <w:tc>
          <w:tcPr>
            <w:tcW w:w="1560" w:type="dxa"/>
            <w:shd w:val="clear" w:color="auto" w:fill="auto"/>
            <w:noWrap/>
            <w:hideMark/>
          </w:tcPr>
          <w:p w14:paraId="11A23E6A" w14:textId="77777777" w:rsidR="00DB16CD" w:rsidRPr="008323F0" w:rsidRDefault="00DB16CD" w:rsidP="002A45EA">
            <w:pPr>
              <w:rPr>
                <w:rFonts w:ascii="Arial" w:hAnsi="Arial" w:cs="Arial"/>
                <w:b/>
                <w:color w:val="000000"/>
              </w:rPr>
            </w:pPr>
            <w:r w:rsidRPr="008323F0">
              <w:rPr>
                <w:rFonts w:ascii="Arial" w:hAnsi="Arial" w:cs="Arial"/>
                <w:b/>
                <w:color w:val="000000"/>
              </w:rPr>
              <w:t>Costo aproximado</w:t>
            </w:r>
          </w:p>
        </w:tc>
      </w:tr>
      <w:tr w:rsidR="00DB16CD" w:rsidRPr="008323F0" w14:paraId="57C9642D" w14:textId="77777777" w:rsidTr="002A45EA">
        <w:trPr>
          <w:trHeight w:val="300"/>
        </w:trPr>
        <w:tc>
          <w:tcPr>
            <w:tcW w:w="2485" w:type="dxa"/>
            <w:shd w:val="clear" w:color="auto" w:fill="auto"/>
            <w:hideMark/>
          </w:tcPr>
          <w:p w14:paraId="168D70B2"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Almacén de tablaroca de 3x3 m dentro del lab. de zoología</w:t>
            </w:r>
          </w:p>
        </w:tc>
        <w:tc>
          <w:tcPr>
            <w:tcW w:w="2859" w:type="dxa"/>
            <w:vMerge w:val="restart"/>
            <w:shd w:val="clear" w:color="auto" w:fill="auto"/>
            <w:noWrap/>
            <w:hideMark/>
          </w:tcPr>
          <w:p w14:paraId="4B290739"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Actualmente el laboratorio de Zoología no es funcional debido a que no cuenta con nada en su interior, por lo cual se pide tanto la construcción de obra interior como el mobiliario. Lo anterior para el aprovechamiento de alumnos de las carreras de Ingeniero en Agrobiología e Ingeniero Agrónomo Zootecnista, quienes cursan las materias de Zoología I, Zoología II, Fisiología Animal Comparada.</w:t>
            </w:r>
          </w:p>
        </w:tc>
        <w:tc>
          <w:tcPr>
            <w:tcW w:w="2140" w:type="dxa"/>
            <w:shd w:val="clear" w:color="auto" w:fill="auto"/>
            <w:noWrap/>
            <w:hideMark/>
          </w:tcPr>
          <w:p w14:paraId="0006F625"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Laboratorio de Zoología del Depto. Botánica</w:t>
            </w:r>
          </w:p>
        </w:tc>
        <w:tc>
          <w:tcPr>
            <w:tcW w:w="1560" w:type="dxa"/>
            <w:shd w:val="clear" w:color="auto" w:fill="auto"/>
            <w:noWrap/>
            <w:hideMark/>
          </w:tcPr>
          <w:p w14:paraId="261D9427"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10,000.00</w:t>
            </w:r>
          </w:p>
        </w:tc>
      </w:tr>
      <w:tr w:rsidR="00DB16CD" w:rsidRPr="008323F0" w14:paraId="342A9648" w14:textId="77777777" w:rsidTr="002A45EA">
        <w:trPr>
          <w:trHeight w:val="300"/>
        </w:trPr>
        <w:tc>
          <w:tcPr>
            <w:tcW w:w="2485" w:type="dxa"/>
            <w:shd w:val="clear" w:color="auto" w:fill="auto"/>
            <w:hideMark/>
          </w:tcPr>
          <w:p w14:paraId="6414E8D0"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Cubículo de tablaroca de 3 x 3 m dentro del lab. de zoología</w:t>
            </w:r>
          </w:p>
        </w:tc>
        <w:tc>
          <w:tcPr>
            <w:tcW w:w="2859" w:type="dxa"/>
            <w:vMerge/>
            <w:shd w:val="clear" w:color="auto" w:fill="auto"/>
            <w:noWrap/>
            <w:hideMark/>
          </w:tcPr>
          <w:p w14:paraId="113464EF" w14:textId="77777777" w:rsidR="00DB16CD" w:rsidRPr="008323F0" w:rsidRDefault="00DB16CD" w:rsidP="002A45EA">
            <w:pPr>
              <w:rPr>
                <w:rFonts w:ascii="Arial" w:hAnsi="Arial" w:cs="Arial"/>
                <w:color w:val="000000"/>
                <w:sz w:val="16"/>
                <w:szCs w:val="16"/>
              </w:rPr>
            </w:pPr>
          </w:p>
        </w:tc>
        <w:tc>
          <w:tcPr>
            <w:tcW w:w="2140" w:type="dxa"/>
            <w:shd w:val="clear" w:color="auto" w:fill="auto"/>
            <w:noWrap/>
            <w:hideMark/>
          </w:tcPr>
          <w:p w14:paraId="2210D17C"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Laboratorio de Zoología del Depto. Botánica</w:t>
            </w:r>
          </w:p>
        </w:tc>
        <w:tc>
          <w:tcPr>
            <w:tcW w:w="1560" w:type="dxa"/>
            <w:shd w:val="clear" w:color="auto" w:fill="auto"/>
            <w:noWrap/>
            <w:hideMark/>
          </w:tcPr>
          <w:p w14:paraId="7A413F69"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10,000.00</w:t>
            </w:r>
          </w:p>
        </w:tc>
      </w:tr>
      <w:tr w:rsidR="00DB16CD" w:rsidRPr="008323F0" w14:paraId="3240E576" w14:textId="77777777" w:rsidTr="002A45EA">
        <w:trPr>
          <w:trHeight w:val="300"/>
        </w:trPr>
        <w:tc>
          <w:tcPr>
            <w:tcW w:w="2485" w:type="dxa"/>
            <w:shd w:val="clear" w:color="auto" w:fill="auto"/>
            <w:hideMark/>
          </w:tcPr>
          <w:p w14:paraId="60D41ACD"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 xml:space="preserve">Laboratorio anexo de 4 x 6 metros </w:t>
            </w:r>
          </w:p>
        </w:tc>
        <w:tc>
          <w:tcPr>
            <w:tcW w:w="2859" w:type="dxa"/>
            <w:shd w:val="clear" w:color="auto" w:fill="auto"/>
            <w:noWrap/>
            <w:hideMark/>
          </w:tcPr>
          <w:p w14:paraId="441511B9"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Actualmente las funciones, materiales y equipo exceden las dimensiones del Laboratorio de Biología, en el cual se atienden  a alumnos de la carrera de Ingeniero en Agrobiología, Ingeniero en Ciencia y Tecnología de Alimentos, Ingeniero Agrónomo Zootecnista e Ingeniero Agrícola y Ambiental. Este laboratorio también es apoyo para el desarrollo de tesis de licenciatura y del Doctorado en Agricultura Protegida que se imparte en la UAAAN.</w:t>
            </w:r>
          </w:p>
        </w:tc>
        <w:tc>
          <w:tcPr>
            <w:tcW w:w="2140" w:type="dxa"/>
            <w:shd w:val="clear" w:color="auto" w:fill="auto"/>
            <w:noWrap/>
            <w:hideMark/>
          </w:tcPr>
          <w:p w14:paraId="7755CB95"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Laboratorio de Biología del Departamento de Botánica</w:t>
            </w:r>
          </w:p>
        </w:tc>
        <w:tc>
          <w:tcPr>
            <w:tcW w:w="1560" w:type="dxa"/>
            <w:shd w:val="clear" w:color="auto" w:fill="auto"/>
            <w:noWrap/>
            <w:hideMark/>
          </w:tcPr>
          <w:p w14:paraId="31700A1E"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250,000.00</w:t>
            </w:r>
          </w:p>
        </w:tc>
      </w:tr>
      <w:tr w:rsidR="00DB16CD" w:rsidRPr="008323F0" w14:paraId="21F11271" w14:textId="77777777" w:rsidTr="002A45EA">
        <w:trPr>
          <w:trHeight w:val="300"/>
        </w:trPr>
        <w:tc>
          <w:tcPr>
            <w:tcW w:w="2485" w:type="dxa"/>
            <w:shd w:val="clear" w:color="auto" w:fill="auto"/>
            <w:hideMark/>
          </w:tcPr>
          <w:p w14:paraId="7EAF9B0F"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 xml:space="preserve">Invernadero de 10 X 20 base de concreto (completo) con 10 camas al piso  </w:t>
            </w:r>
          </w:p>
        </w:tc>
        <w:tc>
          <w:tcPr>
            <w:tcW w:w="2859" w:type="dxa"/>
            <w:vMerge w:val="restart"/>
            <w:shd w:val="clear" w:color="auto" w:fill="auto"/>
            <w:noWrap/>
            <w:hideMark/>
          </w:tcPr>
          <w:p w14:paraId="31DC7B52"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 xml:space="preserve">El Jardín Botánico y el Vivero  son unidades experimentales de la UAAAN, las cuales han ido creciendo </w:t>
            </w:r>
            <w:r w:rsidRPr="008323F0">
              <w:rPr>
                <w:rFonts w:ascii="Arial" w:hAnsi="Arial" w:cs="Arial"/>
                <w:color w:val="000000"/>
                <w:sz w:val="16"/>
                <w:szCs w:val="16"/>
              </w:rPr>
              <w:lastRenderedPageBreak/>
              <w:t xml:space="preserve">considerablemente en cuanto al número de plantas colectadas de las cuales muchas de ellas están en estatus de amenazadas o en peligro de extinción. Lo anterior da como resultado realizar un manejo más apropiado y delicado de las mismas para la propagación de las mismas en un ambiente protegido tanto de evaporación de agua, radiación solar, como de plagas y enfermedades (invernadero).  En estos lugares los alumnos realizan prácticas profesionales, servicio social, servicio comunitario y tesis, además de estar abiertos al público en general y a escuelas de todos los niveles. </w:t>
            </w:r>
          </w:p>
        </w:tc>
        <w:tc>
          <w:tcPr>
            <w:tcW w:w="2140" w:type="dxa"/>
            <w:shd w:val="clear" w:color="auto" w:fill="auto"/>
            <w:noWrap/>
            <w:hideMark/>
          </w:tcPr>
          <w:p w14:paraId="7273CFC7"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lastRenderedPageBreak/>
              <w:t>Jardín Botánico, Departamento de Botánica</w:t>
            </w:r>
          </w:p>
        </w:tc>
        <w:tc>
          <w:tcPr>
            <w:tcW w:w="1560" w:type="dxa"/>
            <w:shd w:val="clear" w:color="auto" w:fill="auto"/>
            <w:noWrap/>
            <w:hideMark/>
          </w:tcPr>
          <w:p w14:paraId="5FF70113"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$250,000.00</w:t>
            </w:r>
          </w:p>
        </w:tc>
      </w:tr>
      <w:tr w:rsidR="00DB16CD" w:rsidRPr="008323F0" w14:paraId="709C7888" w14:textId="77777777" w:rsidTr="002A45EA">
        <w:trPr>
          <w:trHeight w:val="920"/>
        </w:trPr>
        <w:tc>
          <w:tcPr>
            <w:tcW w:w="2485" w:type="dxa"/>
            <w:shd w:val="clear" w:color="auto" w:fill="auto"/>
            <w:hideMark/>
          </w:tcPr>
          <w:p w14:paraId="385D390A"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lastRenderedPageBreak/>
              <w:t>Invernadero de 6 x 10 mts tipo capilla</w:t>
            </w:r>
          </w:p>
        </w:tc>
        <w:tc>
          <w:tcPr>
            <w:tcW w:w="2859" w:type="dxa"/>
            <w:vMerge/>
            <w:shd w:val="clear" w:color="auto" w:fill="auto"/>
            <w:noWrap/>
            <w:hideMark/>
          </w:tcPr>
          <w:p w14:paraId="6B62131D" w14:textId="77777777" w:rsidR="00DB16CD" w:rsidRPr="008323F0" w:rsidRDefault="00DB16CD" w:rsidP="002A45EA">
            <w:pPr>
              <w:rPr>
                <w:rFonts w:ascii="Arial" w:hAnsi="Arial" w:cs="Arial"/>
                <w:color w:val="000000"/>
                <w:sz w:val="16"/>
                <w:szCs w:val="16"/>
              </w:rPr>
            </w:pPr>
          </w:p>
        </w:tc>
        <w:tc>
          <w:tcPr>
            <w:tcW w:w="2140" w:type="dxa"/>
            <w:shd w:val="clear" w:color="auto" w:fill="auto"/>
            <w:noWrap/>
            <w:hideMark/>
          </w:tcPr>
          <w:p w14:paraId="2C84419D"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Vivero del Departamento de Botánica</w:t>
            </w:r>
          </w:p>
        </w:tc>
        <w:tc>
          <w:tcPr>
            <w:tcW w:w="1560" w:type="dxa"/>
            <w:shd w:val="clear" w:color="auto" w:fill="auto"/>
            <w:noWrap/>
            <w:hideMark/>
          </w:tcPr>
          <w:p w14:paraId="68D5E419" w14:textId="77777777"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$380,000.00</w:t>
            </w:r>
          </w:p>
        </w:tc>
      </w:tr>
    </w:tbl>
    <w:p w14:paraId="3DC8F75C" w14:textId="77777777" w:rsidR="00DB16CD" w:rsidRPr="008323F0" w:rsidRDefault="00DB16CD" w:rsidP="00DB16CD">
      <w:pPr>
        <w:jc w:val="center"/>
        <w:rPr>
          <w:rFonts w:ascii="Arial" w:hAnsi="Arial" w:cs="Arial"/>
          <w:b/>
        </w:rPr>
      </w:pPr>
    </w:p>
    <w:p w14:paraId="61C66B4C" w14:textId="77777777" w:rsidR="000C27BF" w:rsidRDefault="000C27BF" w:rsidP="005E47E4">
      <w:pPr>
        <w:widowControl w:val="0"/>
        <w:autoSpaceDE w:val="0"/>
        <w:autoSpaceDN w:val="0"/>
        <w:adjustRightInd w:val="0"/>
        <w:jc w:val="both"/>
        <w:rPr>
          <w:rFonts w:ascii="Arial" w:hAnsi="Arial" w:cs="Arial"/>
          <w:b/>
          <w:sz w:val="22"/>
          <w:szCs w:val="22"/>
        </w:rPr>
      </w:pPr>
    </w:p>
    <w:p w14:paraId="140F2B83" w14:textId="77777777" w:rsidR="000C27BF" w:rsidRDefault="000C27BF" w:rsidP="005E47E4">
      <w:pPr>
        <w:widowControl w:val="0"/>
        <w:autoSpaceDE w:val="0"/>
        <w:autoSpaceDN w:val="0"/>
        <w:adjustRightInd w:val="0"/>
        <w:jc w:val="both"/>
        <w:rPr>
          <w:rFonts w:ascii="Arial" w:hAnsi="Arial" w:cs="Arial"/>
          <w:b/>
          <w:sz w:val="22"/>
          <w:szCs w:val="22"/>
        </w:rPr>
      </w:pPr>
    </w:p>
    <w:p w14:paraId="2504FF75" w14:textId="77777777" w:rsidR="000C27BF" w:rsidRDefault="000C27BF" w:rsidP="005E47E4">
      <w:pPr>
        <w:widowControl w:val="0"/>
        <w:autoSpaceDE w:val="0"/>
        <w:autoSpaceDN w:val="0"/>
        <w:adjustRightInd w:val="0"/>
        <w:jc w:val="both"/>
        <w:rPr>
          <w:rFonts w:ascii="Arial" w:hAnsi="Arial" w:cs="Arial"/>
          <w:b/>
          <w:sz w:val="22"/>
          <w:szCs w:val="22"/>
        </w:rPr>
      </w:pPr>
    </w:p>
    <w:p w14:paraId="4BC8EE31" w14:textId="77777777" w:rsidR="000C27BF" w:rsidRDefault="000C27BF" w:rsidP="005E47E4">
      <w:pPr>
        <w:widowControl w:val="0"/>
        <w:autoSpaceDE w:val="0"/>
        <w:autoSpaceDN w:val="0"/>
        <w:adjustRightInd w:val="0"/>
        <w:jc w:val="both"/>
        <w:rPr>
          <w:rFonts w:ascii="Arial" w:hAnsi="Arial" w:cs="Arial"/>
          <w:b/>
          <w:sz w:val="22"/>
          <w:szCs w:val="22"/>
        </w:rPr>
      </w:pPr>
    </w:p>
    <w:p w14:paraId="76669A99" w14:textId="77777777" w:rsidR="000C27BF" w:rsidRDefault="000C27BF" w:rsidP="005E47E4">
      <w:pPr>
        <w:widowControl w:val="0"/>
        <w:autoSpaceDE w:val="0"/>
        <w:autoSpaceDN w:val="0"/>
        <w:adjustRightInd w:val="0"/>
        <w:jc w:val="both"/>
        <w:rPr>
          <w:rFonts w:ascii="Arial" w:hAnsi="Arial" w:cs="Arial"/>
          <w:b/>
          <w:sz w:val="22"/>
          <w:szCs w:val="22"/>
        </w:rPr>
      </w:pPr>
    </w:p>
    <w:p w14:paraId="5945E6C0" w14:textId="77777777" w:rsidR="008E6AE3" w:rsidRDefault="008E6AE3" w:rsidP="005E47E4">
      <w:pPr>
        <w:widowControl w:val="0"/>
        <w:autoSpaceDE w:val="0"/>
        <w:autoSpaceDN w:val="0"/>
        <w:adjustRightInd w:val="0"/>
        <w:jc w:val="both"/>
        <w:rPr>
          <w:rFonts w:ascii="Arial" w:hAnsi="Arial" w:cs="Arial"/>
          <w:b/>
          <w:sz w:val="22"/>
          <w:szCs w:val="22"/>
        </w:rPr>
      </w:pPr>
    </w:p>
    <w:p w14:paraId="69B247A9" w14:textId="77777777" w:rsidR="008E6AE3" w:rsidRDefault="008E6AE3" w:rsidP="005E47E4">
      <w:pPr>
        <w:widowControl w:val="0"/>
        <w:autoSpaceDE w:val="0"/>
        <w:autoSpaceDN w:val="0"/>
        <w:adjustRightInd w:val="0"/>
        <w:jc w:val="both"/>
        <w:rPr>
          <w:rFonts w:ascii="Arial" w:hAnsi="Arial" w:cs="Arial"/>
          <w:b/>
          <w:sz w:val="22"/>
          <w:szCs w:val="22"/>
        </w:rPr>
      </w:pPr>
    </w:p>
    <w:p w14:paraId="353A2332" w14:textId="77777777" w:rsidR="008D6143" w:rsidRDefault="008D6143" w:rsidP="005E47E4">
      <w:pPr>
        <w:widowControl w:val="0"/>
        <w:autoSpaceDE w:val="0"/>
        <w:autoSpaceDN w:val="0"/>
        <w:adjustRightInd w:val="0"/>
        <w:jc w:val="both"/>
        <w:rPr>
          <w:rFonts w:ascii="Arial" w:hAnsi="Arial" w:cs="Arial"/>
          <w:b/>
          <w:sz w:val="22"/>
          <w:szCs w:val="22"/>
        </w:rPr>
      </w:pPr>
    </w:p>
    <w:p w14:paraId="12651620" w14:textId="77777777" w:rsidR="008D6143" w:rsidRDefault="008D6143" w:rsidP="005E47E4">
      <w:pPr>
        <w:widowControl w:val="0"/>
        <w:autoSpaceDE w:val="0"/>
        <w:autoSpaceDN w:val="0"/>
        <w:adjustRightInd w:val="0"/>
        <w:jc w:val="both"/>
        <w:rPr>
          <w:rFonts w:ascii="Arial" w:hAnsi="Arial" w:cs="Arial"/>
          <w:b/>
          <w:sz w:val="22"/>
          <w:szCs w:val="22"/>
        </w:rPr>
      </w:pPr>
    </w:p>
    <w:p w14:paraId="4B0E7EC0" w14:textId="77777777" w:rsidR="008D6143" w:rsidRDefault="008D6143" w:rsidP="005E47E4">
      <w:pPr>
        <w:widowControl w:val="0"/>
        <w:autoSpaceDE w:val="0"/>
        <w:autoSpaceDN w:val="0"/>
        <w:adjustRightInd w:val="0"/>
        <w:jc w:val="both"/>
        <w:rPr>
          <w:rFonts w:ascii="Arial" w:hAnsi="Arial" w:cs="Arial"/>
          <w:b/>
          <w:sz w:val="22"/>
          <w:szCs w:val="22"/>
        </w:rPr>
      </w:pPr>
    </w:p>
    <w:p w14:paraId="06215D47" w14:textId="77777777" w:rsidR="008D6143" w:rsidRDefault="008D6143" w:rsidP="005E47E4">
      <w:pPr>
        <w:widowControl w:val="0"/>
        <w:autoSpaceDE w:val="0"/>
        <w:autoSpaceDN w:val="0"/>
        <w:adjustRightInd w:val="0"/>
        <w:jc w:val="both"/>
        <w:rPr>
          <w:rFonts w:ascii="Arial" w:hAnsi="Arial" w:cs="Arial"/>
          <w:b/>
          <w:sz w:val="22"/>
          <w:szCs w:val="22"/>
        </w:rPr>
      </w:pPr>
    </w:p>
    <w:p w14:paraId="7C16FB26" w14:textId="77777777" w:rsidR="006E1F28" w:rsidRDefault="006E1F28" w:rsidP="005E47E4">
      <w:pPr>
        <w:widowControl w:val="0"/>
        <w:autoSpaceDE w:val="0"/>
        <w:autoSpaceDN w:val="0"/>
        <w:adjustRightInd w:val="0"/>
        <w:jc w:val="both"/>
        <w:rPr>
          <w:rFonts w:ascii="Arial" w:hAnsi="Arial" w:cs="Arial"/>
          <w:b/>
          <w:sz w:val="22"/>
          <w:szCs w:val="22"/>
        </w:rPr>
      </w:pPr>
    </w:p>
    <w:p w14:paraId="18ADE475" w14:textId="77777777" w:rsidR="006E1F28" w:rsidRDefault="006E1F28" w:rsidP="005E47E4">
      <w:pPr>
        <w:widowControl w:val="0"/>
        <w:autoSpaceDE w:val="0"/>
        <w:autoSpaceDN w:val="0"/>
        <w:adjustRightInd w:val="0"/>
        <w:jc w:val="both"/>
        <w:rPr>
          <w:rFonts w:ascii="Arial" w:hAnsi="Arial" w:cs="Arial"/>
          <w:b/>
          <w:sz w:val="22"/>
          <w:szCs w:val="22"/>
        </w:rPr>
      </w:pPr>
    </w:p>
    <w:p w14:paraId="62221586" w14:textId="77777777" w:rsidR="006E1F28" w:rsidRDefault="006E1F28" w:rsidP="005E47E4">
      <w:pPr>
        <w:widowControl w:val="0"/>
        <w:autoSpaceDE w:val="0"/>
        <w:autoSpaceDN w:val="0"/>
        <w:adjustRightInd w:val="0"/>
        <w:jc w:val="both"/>
        <w:rPr>
          <w:rFonts w:ascii="Arial" w:hAnsi="Arial" w:cs="Arial"/>
          <w:b/>
          <w:sz w:val="22"/>
          <w:szCs w:val="22"/>
        </w:rPr>
      </w:pPr>
    </w:p>
    <w:p w14:paraId="50A09849" w14:textId="77777777" w:rsidR="006E1F28" w:rsidRDefault="006E1F28" w:rsidP="005E47E4">
      <w:pPr>
        <w:widowControl w:val="0"/>
        <w:autoSpaceDE w:val="0"/>
        <w:autoSpaceDN w:val="0"/>
        <w:adjustRightInd w:val="0"/>
        <w:jc w:val="both"/>
        <w:rPr>
          <w:rFonts w:ascii="Arial" w:hAnsi="Arial" w:cs="Arial"/>
          <w:b/>
          <w:sz w:val="22"/>
          <w:szCs w:val="22"/>
        </w:rPr>
      </w:pPr>
    </w:p>
    <w:p w14:paraId="6CCF1D10" w14:textId="77777777" w:rsidR="002A45EA" w:rsidRDefault="002A45EA" w:rsidP="005E47E4">
      <w:pPr>
        <w:widowControl w:val="0"/>
        <w:autoSpaceDE w:val="0"/>
        <w:autoSpaceDN w:val="0"/>
        <w:adjustRightInd w:val="0"/>
        <w:jc w:val="both"/>
        <w:rPr>
          <w:rFonts w:ascii="Arial" w:hAnsi="Arial" w:cs="Arial"/>
          <w:b/>
          <w:sz w:val="22"/>
          <w:szCs w:val="22"/>
        </w:rPr>
      </w:pPr>
    </w:p>
    <w:p w14:paraId="609AE067" w14:textId="77777777" w:rsidR="002A45EA" w:rsidRDefault="002A45EA" w:rsidP="005E47E4">
      <w:pPr>
        <w:widowControl w:val="0"/>
        <w:autoSpaceDE w:val="0"/>
        <w:autoSpaceDN w:val="0"/>
        <w:adjustRightInd w:val="0"/>
        <w:jc w:val="both"/>
        <w:rPr>
          <w:rFonts w:ascii="Arial" w:hAnsi="Arial" w:cs="Arial"/>
          <w:b/>
          <w:sz w:val="22"/>
          <w:szCs w:val="22"/>
        </w:rPr>
      </w:pPr>
    </w:p>
    <w:p w14:paraId="309FB758" w14:textId="77777777" w:rsidR="002A45EA" w:rsidRDefault="002A45EA" w:rsidP="005E47E4">
      <w:pPr>
        <w:widowControl w:val="0"/>
        <w:autoSpaceDE w:val="0"/>
        <w:autoSpaceDN w:val="0"/>
        <w:adjustRightInd w:val="0"/>
        <w:jc w:val="both"/>
        <w:rPr>
          <w:rFonts w:ascii="Arial" w:hAnsi="Arial" w:cs="Arial"/>
          <w:b/>
          <w:sz w:val="22"/>
          <w:szCs w:val="22"/>
        </w:rPr>
      </w:pPr>
    </w:p>
    <w:p w14:paraId="7A498255" w14:textId="77777777" w:rsidR="002A45EA" w:rsidRDefault="002A45EA" w:rsidP="005E47E4">
      <w:pPr>
        <w:widowControl w:val="0"/>
        <w:autoSpaceDE w:val="0"/>
        <w:autoSpaceDN w:val="0"/>
        <w:adjustRightInd w:val="0"/>
        <w:jc w:val="both"/>
        <w:rPr>
          <w:rFonts w:ascii="Arial" w:hAnsi="Arial" w:cs="Arial"/>
          <w:b/>
          <w:sz w:val="22"/>
          <w:szCs w:val="22"/>
        </w:rPr>
      </w:pPr>
    </w:p>
    <w:p w14:paraId="7119EF23" w14:textId="77777777" w:rsidR="002A45EA" w:rsidRDefault="002A45EA" w:rsidP="005E47E4">
      <w:pPr>
        <w:widowControl w:val="0"/>
        <w:autoSpaceDE w:val="0"/>
        <w:autoSpaceDN w:val="0"/>
        <w:adjustRightInd w:val="0"/>
        <w:jc w:val="both"/>
        <w:rPr>
          <w:rFonts w:ascii="Arial" w:hAnsi="Arial" w:cs="Arial"/>
          <w:b/>
          <w:sz w:val="22"/>
          <w:szCs w:val="22"/>
        </w:rPr>
      </w:pPr>
    </w:p>
    <w:p w14:paraId="0AF80016" w14:textId="77777777" w:rsidR="002A45EA" w:rsidRDefault="002A45EA" w:rsidP="005E47E4">
      <w:pPr>
        <w:widowControl w:val="0"/>
        <w:autoSpaceDE w:val="0"/>
        <w:autoSpaceDN w:val="0"/>
        <w:adjustRightInd w:val="0"/>
        <w:jc w:val="both"/>
        <w:rPr>
          <w:rFonts w:ascii="Arial" w:hAnsi="Arial" w:cs="Arial"/>
          <w:b/>
          <w:sz w:val="22"/>
          <w:szCs w:val="22"/>
        </w:rPr>
      </w:pPr>
    </w:p>
    <w:p w14:paraId="672814E5" w14:textId="77777777" w:rsidR="002A45EA" w:rsidRDefault="002A45EA" w:rsidP="005E47E4">
      <w:pPr>
        <w:widowControl w:val="0"/>
        <w:autoSpaceDE w:val="0"/>
        <w:autoSpaceDN w:val="0"/>
        <w:adjustRightInd w:val="0"/>
        <w:jc w:val="both"/>
        <w:rPr>
          <w:rFonts w:ascii="Arial" w:hAnsi="Arial" w:cs="Arial"/>
          <w:b/>
          <w:sz w:val="22"/>
          <w:szCs w:val="22"/>
        </w:rPr>
      </w:pPr>
    </w:p>
    <w:p w14:paraId="07B68B48" w14:textId="77777777" w:rsidR="002A45EA" w:rsidRDefault="002A45EA" w:rsidP="005E47E4">
      <w:pPr>
        <w:widowControl w:val="0"/>
        <w:autoSpaceDE w:val="0"/>
        <w:autoSpaceDN w:val="0"/>
        <w:adjustRightInd w:val="0"/>
        <w:jc w:val="both"/>
        <w:rPr>
          <w:rFonts w:ascii="Arial" w:hAnsi="Arial" w:cs="Arial"/>
          <w:b/>
          <w:sz w:val="22"/>
          <w:szCs w:val="22"/>
        </w:rPr>
      </w:pPr>
    </w:p>
    <w:p w14:paraId="010A06D4" w14:textId="77777777" w:rsidR="002A45EA" w:rsidRDefault="002A45EA" w:rsidP="005E47E4">
      <w:pPr>
        <w:widowControl w:val="0"/>
        <w:autoSpaceDE w:val="0"/>
        <w:autoSpaceDN w:val="0"/>
        <w:adjustRightInd w:val="0"/>
        <w:jc w:val="both"/>
        <w:rPr>
          <w:rFonts w:ascii="Arial" w:hAnsi="Arial" w:cs="Arial"/>
          <w:b/>
          <w:sz w:val="22"/>
          <w:szCs w:val="22"/>
        </w:rPr>
      </w:pPr>
    </w:p>
    <w:p w14:paraId="78B492EF" w14:textId="77777777" w:rsidR="002A45EA" w:rsidRDefault="002A45EA" w:rsidP="005E47E4">
      <w:pPr>
        <w:widowControl w:val="0"/>
        <w:autoSpaceDE w:val="0"/>
        <w:autoSpaceDN w:val="0"/>
        <w:adjustRightInd w:val="0"/>
        <w:jc w:val="both"/>
        <w:rPr>
          <w:rFonts w:ascii="Arial" w:hAnsi="Arial" w:cs="Arial"/>
          <w:b/>
          <w:sz w:val="22"/>
          <w:szCs w:val="22"/>
        </w:rPr>
      </w:pPr>
    </w:p>
    <w:p w14:paraId="4275C333" w14:textId="77777777" w:rsidR="002A45EA" w:rsidRDefault="002A45EA" w:rsidP="005E47E4">
      <w:pPr>
        <w:widowControl w:val="0"/>
        <w:autoSpaceDE w:val="0"/>
        <w:autoSpaceDN w:val="0"/>
        <w:adjustRightInd w:val="0"/>
        <w:jc w:val="both"/>
        <w:rPr>
          <w:rFonts w:ascii="Arial" w:hAnsi="Arial" w:cs="Arial"/>
          <w:b/>
          <w:sz w:val="22"/>
          <w:szCs w:val="22"/>
        </w:rPr>
      </w:pPr>
    </w:p>
    <w:p w14:paraId="3ACE61F4" w14:textId="77777777" w:rsidR="002A45EA" w:rsidRDefault="002A45EA" w:rsidP="005E47E4">
      <w:pPr>
        <w:widowControl w:val="0"/>
        <w:autoSpaceDE w:val="0"/>
        <w:autoSpaceDN w:val="0"/>
        <w:adjustRightInd w:val="0"/>
        <w:jc w:val="both"/>
        <w:rPr>
          <w:rFonts w:ascii="Arial" w:hAnsi="Arial" w:cs="Arial"/>
          <w:b/>
          <w:sz w:val="22"/>
          <w:szCs w:val="22"/>
        </w:rPr>
      </w:pPr>
    </w:p>
    <w:p w14:paraId="77741E85" w14:textId="77777777" w:rsidR="00E46CE5" w:rsidRPr="007923C2" w:rsidRDefault="00A130D9"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4.8.-FASE DE RETROALIMENTACIÓN (MEJORA CONTINUA)</w:t>
      </w:r>
    </w:p>
    <w:p w14:paraId="3D781E30" w14:textId="77777777" w:rsidR="006A5668" w:rsidRPr="007923C2" w:rsidRDefault="006A5668" w:rsidP="006A5668">
      <w:pPr>
        <w:spacing w:after="0" w:line="240" w:lineRule="auto"/>
        <w:jc w:val="both"/>
        <w:rPr>
          <w:rFonts w:ascii="Arial" w:hAnsi="Arial" w:cs="Arial"/>
          <w:b/>
          <w:sz w:val="22"/>
          <w:szCs w:val="22"/>
        </w:rPr>
      </w:pPr>
      <w:r w:rsidRPr="007923C2">
        <w:rPr>
          <w:rFonts w:ascii="Arial" w:hAnsi="Arial" w:cs="Arial"/>
          <w:b/>
          <w:sz w:val="22"/>
          <w:szCs w:val="22"/>
        </w:rPr>
        <w:t xml:space="preserve">PLAN DE MEJORA  CONTINUA  </w:t>
      </w:r>
    </w:p>
    <w:p w14:paraId="442AEC42" w14:textId="77777777" w:rsidR="006A5668" w:rsidRPr="007923C2" w:rsidRDefault="006A5668" w:rsidP="006A5668">
      <w:pPr>
        <w:spacing w:after="0" w:line="240" w:lineRule="auto"/>
        <w:jc w:val="both"/>
        <w:rPr>
          <w:rFonts w:ascii="Arial" w:hAnsi="Arial" w:cs="Arial"/>
          <w:sz w:val="22"/>
          <w:szCs w:val="22"/>
        </w:rPr>
      </w:pPr>
    </w:p>
    <w:p w14:paraId="3DB66B21"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INTRODUCCIÓN</w:t>
      </w:r>
    </w:p>
    <w:p w14:paraId="1A38B1F3" w14:textId="77777777" w:rsidR="006A5668" w:rsidRPr="007923C2" w:rsidRDefault="006A5668" w:rsidP="006A5668">
      <w:pPr>
        <w:spacing w:after="0" w:line="240" w:lineRule="auto"/>
        <w:jc w:val="both"/>
        <w:rPr>
          <w:rFonts w:ascii="Arial" w:hAnsi="Arial" w:cs="Arial"/>
          <w:sz w:val="22"/>
          <w:szCs w:val="22"/>
        </w:rPr>
      </w:pPr>
    </w:p>
    <w:p w14:paraId="0C0F6C68"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La retroalimentación permite que a partir de lo obtenido en la evaluación y el control de sus resultados sean utilizados para mejorar continuamente la currícula en los aspectos que se hayan detectado como elementos para mejorar, sean estos procesos, métodos, contenidos, formación de profesores, modelos de docencia, procesos de enseñanza, proceso de aprendizaje, etc.</w:t>
      </w:r>
    </w:p>
    <w:p w14:paraId="46BE7CF1"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Para el desarrollo del programa se deben manejar varios tipos de recursos que tiene en su organización como son:</w:t>
      </w:r>
    </w:p>
    <w:p w14:paraId="14CBF502"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1.-Recursos humanos que es el que maneja y optimiza el resto de los recursos, establece lo que se desea lograr, mejorar y eficientar en profesores, alumnos y personal administrativo.</w:t>
      </w:r>
    </w:p>
    <w:p w14:paraId="6F82FDD4" w14:textId="77777777" w:rsidR="006A5668" w:rsidRPr="007923C2" w:rsidRDefault="006A5668" w:rsidP="006A5668">
      <w:pPr>
        <w:spacing w:after="0" w:line="240" w:lineRule="auto"/>
        <w:jc w:val="both"/>
        <w:rPr>
          <w:rFonts w:ascii="Arial" w:hAnsi="Arial" w:cs="Arial"/>
          <w:sz w:val="22"/>
          <w:szCs w:val="22"/>
        </w:rPr>
      </w:pPr>
    </w:p>
    <w:p w14:paraId="0F509F63"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2.-Recursos financieros para optimizar el presupuesto.</w:t>
      </w:r>
    </w:p>
    <w:p w14:paraId="22FF45B3" w14:textId="77777777" w:rsidR="006A5668" w:rsidRPr="007923C2" w:rsidRDefault="006A5668" w:rsidP="006A5668">
      <w:pPr>
        <w:spacing w:after="0" w:line="240" w:lineRule="auto"/>
        <w:jc w:val="both"/>
        <w:rPr>
          <w:rFonts w:ascii="Arial" w:hAnsi="Arial" w:cs="Arial"/>
          <w:sz w:val="22"/>
          <w:szCs w:val="22"/>
        </w:rPr>
      </w:pPr>
    </w:p>
    <w:p w14:paraId="3621A85D"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 xml:space="preserve">3.-Recursos técnicos o físicos para el control de las necesidades actuales y futuras </w:t>
      </w:r>
    </w:p>
    <w:p w14:paraId="4444C470"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de la infraestructura que facilíten la operatividad del programa.</w:t>
      </w:r>
    </w:p>
    <w:p w14:paraId="1D30CF90" w14:textId="77777777" w:rsidR="006A5668" w:rsidRPr="007923C2" w:rsidRDefault="006A5668" w:rsidP="006A5668">
      <w:pPr>
        <w:spacing w:after="0" w:line="240" w:lineRule="auto"/>
        <w:jc w:val="both"/>
        <w:rPr>
          <w:rFonts w:ascii="Arial" w:hAnsi="Arial" w:cs="Arial"/>
          <w:sz w:val="22"/>
          <w:szCs w:val="22"/>
        </w:rPr>
      </w:pPr>
    </w:p>
    <w:p w14:paraId="749776BD"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En la optimización de los recursos de la organización del programa se basan en el buen desempeño del proceso enseñanza-aprendizaje que es la parte operativa con el que se logran los objetivos del servicio educativo.</w:t>
      </w:r>
    </w:p>
    <w:p w14:paraId="71B33009"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La calidad del servicio que se presenta radica en la mejora continua de la organización en una constante innovación de los requerimientos de la sociedad para mantener vigente la oferta educativa.</w:t>
      </w:r>
    </w:p>
    <w:p w14:paraId="0246C162" w14:textId="77777777" w:rsidR="006A5668" w:rsidRPr="007923C2" w:rsidRDefault="006A5668" w:rsidP="006A5668">
      <w:pPr>
        <w:spacing w:after="0" w:line="240" w:lineRule="auto"/>
        <w:jc w:val="both"/>
        <w:rPr>
          <w:rFonts w:ascii="Arial" w:hAnsi="Arial" w:cs="Arial"/>
          <w:sz w:val="22"/>
          <w:szCs w:val="22"/>
        </w:rPr>
      </w:pPr>
    </w:p>
    <w:p w14:paraId="6F7586AB"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El programa de Ingeniero en Agrobiología en función desde 1997 a partir de la revisión que realizó el CIIES (1999-2000) se ha venido haciendo mejoras en algunos aspectos, revisión de programas analíticos, reestructuración de las prácticas, especialización de profesores en las diferentes materias del programa, reestructuración de la infraestructura de los laboratorios etc.</w:t>
      </w:r>
    </w:p>
    <w:p w14:paraId="0ABC4590" w14:textId="77777777" w:rsidR="006A5668" w:rsidRPr="007923C2" w:rsidRDefault="006A5668" w:rsidP="006A5668">
      <w:pPr>
        <w:spacing w:after="0" w:line="240" w:lineRule="auto"/>
        <w:jc w:val="both"/>
        <w:rPr>
          <w:rFonts w:ascii="Arial" w:hAnsi="Arial" w:cs="Arial"/>
          <w:sz w:val="22"/>
          <w:szCs w:val="22"/>
        </w:rPr>
      </w:pPr>
    </w:p>
    <w:p w14:paraId="73C55E08"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Las fortalezas del programa están basadas en el Plan Curricular, con una visión diferente de la producción agrícola tradicional y su culminación con una práctica profesional.</w:t>
      </w:r>
    </w:p>
    <w:p w14:paraId="75B54600" w14:textId="77777777" w:rsidR="006A5668" w:rsidRPr="007923C2" w:rsidRDefault="006A5668" w:rsidP="006A5668">
      <w:pPr>
        <w:spacing w:after="0" w:line="240" w:lineRule="auto"/>
        <w:jc w:val="both"/>
        <w:rPr>
          <w:rFonts w:ascii="Arial" w:hAnsi="Arial" w:cs="Arial"/>
          <w:sz w:val="22"/>
          <w:szCs w:val="22"/>
        </w:rPr>
      </w:pPr>
    </w:p>
    <w:p w14:paraId="464B59D2"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lastRenderedPageBreak/>
        <w:t>El Programa Docente IAB fue acreditado en el 2006, se realizó una revisión integrada de todos los elementos que lo conforman, se le dio seguimiento a la mejora continua de la docencia, investigación, alumnos, desarrollo etc y en el 2011 se solicitó el refrendo de la carrera para lograr la reacreditación la cual no se logró.</w:t>
      </w:r>
    </w:p>
    <w:p w14:paraId="53C1B5D0" w14:textId="77777777" w:rsidR="006A5668" w:rsidRPr="007923C2" w:rsidRDefault="006A5668" w:rsidP="006A5668">
      <w:pPr>
        <w:spacing w:after="0" w:line="240" w:lineRule="auto"/>
        <w:jc w:val="both"/>
        <w:rPr>
          <w:rFonts w:ascii="Arial" w:hAnsi="Arial" w:cs="Arial"/>
          <w:sz w:val="22"/>
          <w:szCs w:val="22"/>
        </w:rPr>
      </w:pPr>
    </w:p>
    <w:p w14:paraId="4968D550"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 xml:space="preserve">Retomando los resultados que reportó el COMEAA se hizo un análisis de los aspectos que no se cubrieron o fueron deficientes y tomándolos como base se elaboró el Plan de Mejora Continua que regirá el avance de la calidad del Programa Docente IAB.   </w:t>
      </w:r>
    </w:p>
    <w:p w14:paraId="55CC355A" w14:textId="77777777" w:rsidR="006A5668" w:rsidRPr="007923C2" w:rsidRDefault="006A5668" w:rsidP="006A5668">
      <w:pPr>
        <w:spacing w:after="0" w:line="240" w:lineRule="auto"/>
        <w:jc w:val="both"/>
        <w:rPr>
          <w:rFonts w:ascii="Arial" w:hAnsi="Arial" w:cs="Arial"/>
          <w:sz w:val="22"/>
          <w:szCs w:val="22"/>
        </w:rPr>
      </w:pPr>
    </w:p>
    <w:p w14:paraId="1627AEFD" w14:textId="77777777" w:rsidR="006A5668" w:rsidRPr="008E6AE3" w:rsidRDefault="006A5668" w:rsidP="006A5668">
      <w:pPr>
        <w:spacing w:after="0" w:line="240" w:lineRule="auto"/>
        <w:jc w:val="both"/>
        <w:rPr>
          <w:rFonts w:ascii="Arial" w:hAnsi="Arial" w:cs="Arial"/>
          <w:b/>
          <w:sz w:val="24"/>
          <w:szCs w:val="22"/>
        </w:rPr>
      </w:pPr>
      <w:r w:rsidRPr="008E6AE3">
        <w:rPr>
          <w:rFonts w:ascii="Arial" w:hAnsi="Arial" w:cs="Arial"/>
          <w:b/>
          <w:sz w:val="24"/>
          <w:szCs w:val="22"/>
        </w:rPr>
        <w:t>Plan de Mejora Continua</w:t>
      </w:r>
    </w:p>
    <w:p w14:paraId="0B70EBF7" w14:textId="77777777" w:rsidR="006A5668" w:rsidRPr="008E6AE3" w:rsidRDefault="006A5668" w:rsidP="006A5668">
      <w:pPr>
        <w:spacing w:after="0" w:line="240" w:lineRule="auto"/>
        <w:jc w:val="both"/>
        <w:rPr>
          <w:rFonts w:ascii="Arial" w:hAnsi="Arial" w:cs="Arial"/>
          <w:b/>
          <w:sz w:val="24"/>
          <w:szCs w:val="22"/>
        </w:rPr>
      </w:pPr>
      <w:r w:rsidRPr="008E6AE3">
        <w:rPr>
          <w:rFonts w:ascii="Arial" w:hAnsi="Arial" w:cs="Arial"/>
          <w:b/>
          <w:sz w:val="24"/>
          <w:szCs w:val="22"/>
        </w:rPr>
        <w:t>Para la carrera de Ingeniero en Agrobiología</w:t>
      </w:r>
    </w:p>
    <w:p w14:paraId="06192439" w14:textId="77777777" w:rsidR="006A5668" w:rsidRPr="007923C2" w:rsidRDefault="006A5668" w:rsidP="006A5668">
      <w:pPr>
        <w:spacing w:after="0" w:line="240" w:lineRule="auto"/>
        <w:jc w:val="both"/>
        <w:rPr>
          <w:rFonts w:ascii="Arial" w:hAnsi="Arial" w:cs="Arial"/>
          <w:b/>
          <w:sz w:val="22"/>
          <w:szCs w:val="22"/>
        </w:rPr>
      </w:pPr>
    </w:p>
    <w:p w14:paraId="0D8F48BF"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Áreas de oportunidad para asegurar la calidad del programa</w:t>
      </w:r>
    </w:p>
    <w:p w14:paraId="4CE6770A" w14:textId="77777777" w:rsidR="006A5668" w:rsidRPr="007923C2" w:rsidRDefault="006A5668" w:rsidP="006A5668">
      <w:pPr>
        <w:spacing w:after="0" w:line="240" w:lineRule="auto"/>
        <w:jc w:val="both"/>
        <w:rPr>
          <w:rFonts w:ascii="Arial" w:hAnsi="Arial" w:cs="Arial"/>
          <w:sz w:val="22"/>
          <w:szCs w:val="22"/>
        </w:rPr>
      </w:pPr>
    </w:p>
    <w:p w14:paraId="4071A88E"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Estrategias Generales</w:t>
      </w:r>
    </w:p>
    <w:p w14:paraId="635C14F8" w14:textId="77777777" w:rsidR="006A5668" w:rsidRPr="007923C2" w:rsidRDefault="006A5668" w:rsidP="006A5668">
      <w:pPr>
        <w:spacing w:after="0" w:line="240" w:lineRule="auto"/>
        <w:jc w:val="both"/>
        <w:rPr>
          <w:rFonts w:ascii="Arial" w:hAnsi="Arial" w:cs="Arial"/>
          <w:sz w:val="22"/>
          <w:szCs w:val="22"/>
        </w:rPr>
      </w:pPr>
    </w:p>
    <w:p w14:paraId="5E9D4F93"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Generar mecanismos específicos para detonar los procesos de mejora en las actividades sustantivas y adjetivas para el cumplimiento de los objetivos del Plan de Desarrollo Institucional.</w:t>
      </w:r>
    </w:p>
    <w:p w14:paraId="5402A04E"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Revisar la operación y funcionamiento de las actividades fundamentales del programa educativo.</w:t>
      </w:r>
    </w:p>
    <w:p w14:paraId="03CCAB61"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Conocer el clima organizacional existente.</w:t>
      </w:r>
    </w:p>
    <w:p w14:paraId="5DD74FF3"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Elaborar y evaluar las metas y objetivos del Plan de Mejora Continua.</w:t>
      </w:r>
    </w:p>
    <w:p w14:paraId="28230175"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Establecer mecanismos de implementación y retroalimentación de los indicadores para establecer el nivel de cumplimiento.</w:t>
      </w:r>
    </w:p>
    <w:p w14:paraId="61FBB9B9"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Desarrollar acciones para la sistematización de procesos en todos los niveles del Departamento de Botánica.</w:t>
      </w:r>
    </w:p>
    <w:p w14:paraId="1110CE58"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Mantener vigente la pertinencia de los objetivos del plan de estudios, generando procesos sistemáticos para monitorear las variables que afecten el desarrollo de la carrera.</w:t>
      </w:r>
    </w:p>
    <w:p w14:paraId="4CC8BB2B"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Dar seguimiento documentado del trabajo de las academias y el comité de calidad para evaluar la mejora continua, sistemas de calidad, evaluación externa.</w:t>
      </w:r>
    </w:p>
    <w:p w14:paraId="4BC1391C"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Mantener de forma permanente un monitoreo, análisis y desarrollo de estrategias para atender los resultados de la evaluación docente.</w:t>
      </w:r>
    </w:p>
    <w:p w14:paraId="4EB8D4DE"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Integrar a los profesores en el trabajo académico, en la investigación y vinculación a la consolidación de cuerpos académicos.</w:t>
      </w:r>
    </w:p>
    <w:p w14:paraId="23CB1F7E"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Generar programas de educación continua y servicios al exterior conforme a las necesidades del sector rural.</w:t>
      </w:r>
    </w:p>
    <w:p w14:paraId="4283EC41"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Desarrollar materiales de apoyo a la docencia utilizando TICs para propiciar procesos educativos vía internet en la modalidad presencial y semipresencial.</w:t>
      </w:r>
    </w:p>
    <w:p w14:paraId="5A0B5E64"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Generar líneas de investigación con un fuerte impacto en el desarrollo sustentable del sector rural.</w:t>
      </w:r>
    </w:p>
    <w:p w14:paraId="013107EF" w14:textId="77777777"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Realizar de forma permanente y continua el seguimiento de egresados para conocer la ubicación y desarrollo en el mercado laboral de los egresados para la actualización curricular.</w:t>
      </w:r>
    </w:p>
    <w:p w14:paraId="510A1AFD" w14:textId="77777777" w:rsidR="006A5668" w:rsidRPr="007923C2" w:rsidRDefault="006A5668" w:rsidP="006A5668">
      <w:pPr>
        <w:spacing w:after="0" w:line="240" w:lineRule="auto"/>
        <w:jc w:val="both"/>
        <w:rPr>
          <w:rFonts w:ascii="Arial" w:hAnsi="Arial" w:cs="Arial"/>
          <w:sz w:val="22"/>
          <w:szCs w:val="22"/>
        </w:rPr>
      </w:pPr>
    </w:p>
    <w:p w14:paraId="0BBA3A79" w14:textId="77777777" w:rsidR="006A5668" w:rsidRPr="007923C2" w:rsidRDefault="006A5668" w:rsidP="006A5668">
      <w:pPr>
        <w:spacing w:after="0" w:line="240" w:lineRule="auto"/>
        <w:jc w:val="both"/>
        <w:rPr>
          <w:rFonts w:ascii="Arial" w:hAnsi="Arial" w:cs="Arial"/>
          <w:sz w:val="22"/>
          <w:szCs w:val="22"/>
        </w:rPr>
      </w:pPr>
    </w:p>
    <w:p w14:paraId="0261FBBE" w14:textId="77777777" w:rsidR="006A5668" w:rsidRDefault="003E0BB5" w:rsidP="006A5668">
      <w:pPr>
        <w:spacing w:after="0" w:line="240" w:lineRule="auto"/>
        <w:jc w:val="both"/>
        <w:rPr>
          <w:rFonts w:ascii="Arial" w:hAnsi="Arial" w:cs="Arial"/>
          <w:b/>
          <w:sz w:val="22"/>
          <w:szCs w:val="22"/>
        </w:rPr>
      </w:pPr>
      <w:r>
        <w:rPr>
          <w:rFonts w:ascii="Arial" w:hAnsi="Arial" w:cs="Arial"/>
          <w:b/>
          <w:sz w:val="22"/>
          <w:szCs w:val="22"/>
        </w:rPr>
        <w:t>PROCESOS</w:t>
      </w:r>
      <w:r w:rsidR="006A5668" w:rsidRPr="007923C2">
        <w:rPr>
          <w:rFonts w:ascii="Arial" w:hAnsi="Arial" w:cs="Arial"/>
          <w:b/>
          <w:sz w:val="22"/>
          <w:szCs w:val="22"/>
        </w:rPr>
        <w:t xml:space="preserve"> </w:t>
      </w:r>
      <w:r>
        <w:rPr>
          <w:rFonts w:ascii="Arial" w:hAnsi="Arial" w:cs="Arial"/>
          <w:b/>
          <w:sz w:val="22"/>
          <w:szCs w:val="22"/>
        </w:rPr>
        <w:t>DE MEJORA CONTINUA</w:t>
      </w:r>
      <w:r w:rsidR="006A5668" w:rsidRPr="007923C2">
        <w:rPr>
          <w:rFonts w:ascii="Arial" w:hAnsi="Arial" w:cs="Arial"/>
          <w:b/>
          <w:sz w:val="22"/>
          <w:szCs w:val="22"/>
        </w:rPr>
        <w:t xml:space="preserve"> </w:t>
      </w:r>
      <w:r>
        <w:rPr>
          <w:rFonts w:ascii="Arial" w:hAnsi="Arial" w:cs="Arial"/>
          <w:b/>
          <w:sz w:val="22"/>
          <w:szCs w:val="22"/>
        </w:rPr>
        <w:t>PARA EL ASEGURAMIENTOS</w:t>
      </w:r>
      <w:r w:rsidR="006A5668" w:rsidRPr="007923C2">
        <w:rPr>
          <w:rFonts w:ascii="Arial" w:hAnsi="Arial" w:cs="Arial"/>
          <w:b/>
          <w:sz w:val="22"/>
          <w:szCs w:val="22"/>
        </w:rPr>
        <w:t xml:space="preserve"> </w:t>
      </w:r>
      <w:r>
        <w:rPr>
          <w:rFonts w:ascii="Arial" w:hAnsi="Arial" w:cs="Arial"/>
          <w:b/>
          <w:sz w:val="22"/>
          <w:szCs w:val="22"/>
        </w:rPr>
        <w:t>DE LA CALIDAD DEL</w:t>
      </w:r>
      <w:r w:rsidR="006A5668" w:rsidRPr="007923C2">
        <w:rPr>
          <w:rFonts w:ascii="Arial" w:hAnsi="Arial" w:cs="Arial"/>
          <w:b/>
          <w:sz w:val="22"/>
          <w:szCs w:val="22"/>
        </w:rPr>
        <w:t xml:space="preserve"> PDIAB.</w:t>
      </w:r>
    </w:p>
    <w:p w14:paraId="04035BF4" w14:textId="77777777" w:rsidR="003E0BB5" w:rsidRPr="007923C2" w:rsidRDefault="003E0BB5" w:rsidP="006A5668">
      <w:pPr>
        <w:spacing w:after="0" w:line="240" w:lineRule="auto"/>
        <w:jc w:val="both"/>
        <w:rPr>
          <w:rFonts w:ascii="Arial" w:hAnsi="Arial" w:cs="Arial"/>
          <w:b/>
          <w:sz w:val="22"/>
          <w:szCs w:val="22"/>
        </w:rPr>
      </w:pPr>
      <w:r>
        <w:rPr>
          <w:rFonts w:ascii="Arial" w:hAnsi="Arial" w:cs="Arial"/>
          <w:b/>
          <w:sz w:val="22"/>
          <w:szCs w:val="22"/>
        </w:rPr>
        <w:t xml:space="preserve">En base </w:t>
      </w:r>
      <w:r w:rsidR="00FB15B9">
        <w:rPr>
          <w:rFonts w:ascii="Arial" w:hAnsi="Arial" w:cs="Arial"/>
          <w:b/>
          <w:sz w:val="22"/>
          <w:szCs w:val="22"/>
        </w:rPr>
        <w:t>a los resultados del refrendo 2011 se establecieron los puntos más importantes señalados por el COMEAA y a partir de ellos se planteó el proceso de mejora continua de la carrera IAB</w:t>
      </w:r>
    </w:p>
    <w:p w14:paraId="0FEB4E67" w14:textId="77777777" w:rsidR="006A5668" w:rsidRPr="007923C2" w:rsidRDefault="006A5668" w:rsidP="006A5668">
      <w:pPr>
        <w:spacing w:after="0" w:line="240" w:lineRule="auto"/>
        <w:jc w:val="both"/>
        <w:rPr>
          <w:rFonts w:ascii="Arial" w:hAnsi="Arial" w:cs="Arial"/>
          <w:b/>
          <w:sz w:val="22"/>
          <w:szCs w:val="22"/>
        </w:rPr>
      </w:pPr>
    </w:p>
    <w:p w14:paraId="512B76B6" w14:textId="77777777" w:rsidR="006A5668" w:rsidRPr="007923C2" w:rsidRDefault="006A5668" w:rsidP="00A60C78">
      <w:pPr>
        <w:pStyle w:val="Prrafodelista"/>
        <w:numPr>
          <w:ilvl w:val="0"/>
          <w:numId w:val="112"/>
        </w:numPr>
        <w:spacing w:after="0" w:line="240" w:lineRule="auto"/>
        <w:contextualSpacing/>
        <w:jc w:val="both"/>
        <w:rPr>
          <w:rFonts w:ascii="Arial" w:hAnsi="Arial" w:cs="Arial"/>
          <w:b/>
          <w:sz w:val="22"/>
          <w:szCs w:val="22"/>
        </w:rPr>
      </w:pPr>
      <w:r w:rsidRPr="007923C2">
        <w:rPr>
          <w:rFonts w:ascii="Arial" w:hAnsi="Arial" w:cs="Arial"/>
          <w:b/>
          <w:sz w:val="22"/>
          <w:szCs w:val="22"/>
        </w:rPr>
        <w:t>Normatividad y políticas generales</w:t>
      </w:r>
    </w:p>
    <w:p w14:paraId="0B7602A5" w14:textId="77777777" w:rsidR="006A5668" w:rsidRPr="007923C2" w:rsidRDefault="006A5668" w:rsidP="006A5668">
      <w:pPr>
        <w:pStyle w:val="Prrafodelista"/>
        <w:spacing w:after="0" w:line="240" w:lineRule="auto"/>
        <w:jc w:val="both"/>
        <w:rPr>
          <w:rFonts w:ascii="Arial" w:hAnsi="Arial" w:cs="Arial"/>
          <w:b/>
          <w:sz w:val="22"/>
          <w:szCs w:val="22"/>
        </w:rPr>
      </w:pPr>
      <w:r w:rsidRPr="007923C2">
        <w:rPr>
          <w:rFonts w:ascii="Arial" w:hAnsi="Arial" w:cs="Arial"/>
          <w:b/>
          <w:sz w:val="22"/>
          <w:szCs w:val="22"/>
        </w:rPr>
        <w:t>Clima organizacional</w:t>
      </w:r>
    </w:p>
    <w:p w14:paraId="4950198E" w14:textId="77777777" w:rsidR="006A5668" w:rsidRPr="007923C2" w:rsidRDefault="006A5668" w:rsidP="006A5668">
      <w:pPr>
        <w:pStyle w:val="Prrafodelista"/>
        <w:spacing w:after="0" w:line="240" w:lineRule="auto"/>
        <w:jc w:val="both"/>
        <w:rPr>
          <w:rFonts w:ascii="Arial" w:hAnsi="Arial" w:cs="Arial"/>
          <w:sz w:val="22"/>
          <w:szCs w:val="22"/>
        </w:rPr>
      </w:pPr>
    </w:p>
    <w:p w14:paraId="20F13D78" w14:textId="77777777" w:rsidR="006A5668" w:rsidRPr="007923C2" w:rsidRDefault="006A5668" w:rsidP="006A5668">
      <w:pPr>
        <w:pStyle w:val="Prrafodelista"/>
        <w:spacing w:after="0" w:line="240" w:lineRule="auto"/>
        <w:jc w:val="both"/>
        <w:rPr>
          <w:rFonts w:ascii="Arial" w:hAnsi="Arial" w:cs="Arial"/>
          <w:b/>
          <w:sz w:val="22"/>
          <w:szCs w:val="22"/>
        </w:rPr>
      </w:pPr>
      <w:r w:rsidRPr="007923C2">
        <w:rPr>
          <w:rFonts w:ascii="Arial" w:hAnsi="Arial" w:cs="Arial"/>
          <w:b/>
          <w:sz w:val="22"/>
          <w:szCs w:val="22"/>
        </w:rPr>
        <w:t>Comentarios.</w:t>
      </w:r>
    </w:p>
    <w:p w14:paraId="61CFF91C" w14:textId="77777777" w:rsidR="006A5668" w:rsidRPr="007923C2" w:rsidRDefault="006A5668" w:rsidP="006A5668">
      <w:pPr>
        <w:pStyle w:val="Prrafodelista"/>
        <w:spacing w:after="0" w:line="240" w:lineRule="auto"/>
        <w:jc w:val="both"/>
        <w:rPr>
          <w:rFonts w:ascii="Arial" w:hAnsi="Arial" w:cs="Arial"/>
          <w:sz w:val="22"/>
          <w:szCs w:val="22"/>
        </w:rPr>
      </w:pPr>
      <w:r w:rsidRPr="007923C2">
        <w:rPr>
          <w:rFonts w:ascii="Arial" w:hAnsi="Arial" w:cs="Arial"/>
          <w:sz w:val="22"/>
          <w:szCs w:val="22"/>
        </w:rPr>
        <w:t>En base a los resultados obtenidos en las encuestas, no se señalaron acciones para atender los aspectos que fueron evaluados.</w:t>
      </w:r>
    </w:p>
    <w:p w14:paraId="0294A32F" w14:textId="77777777" w:rsidR="002B6640" w:rsidRDefault="002B6640" w:rsidP="006A5668">
      <w:pPr>
        <w:pStyle w:val="Prrafodelista"/>
        <w:spacing w:after="0" w:line="240" w:lineRule="auto"/>
        <w:jc w:val="both"/>
        <w:rPr>
          <w:rFonts w:ascii="Arial" w:hAnsi="Arial" w:cs="Arial"/>
          <w:b/>
          <w:sz w:val="22"/>
          <w:szCs w:val="22"/>
        </w:rPr>
      </w:pPr>
    </w:p>
    <w:p w14:paraId="1B44E6CB" w14:textId="77777777" w:rsidR="006A5668" w:rsidRPr="007923C2" w:rsidRDefault="006A5668" w:rsidP="006A5668">
      <w:pPr>
        <w:pStyle w:val="Prrafodelista"/>
        <w:spacing w:after="0" w:line="240" w:lineRule="auto"/>
        <w:jc w:val="both"/>
        <w:rPr>
          <w:rFonts w:ascii="Arial" w:hAnsi="Arial" w:cs="Arial"/>
          <w:b/>
          <w:sz w:val="22"/>
          <w:szCs w:val="22"/>
        </w:rPr>
      </w:pPr>
      <w:r w:rsidRPr="007923C2">
        <w:rPr>
          <w:rFonts w:ascii="Arial" w:hAnsi="Arial" w:cs="Arial"/>
          <w:b/>
          <w:sz w:val="22"/>
          <w:szCs w:val="22"/>
        </w:rPr>
        <w:t>Proceso.</w:t>
      </w:r>
    </w:p>
    <w:p w14:paraId="3D56AD60" w14:textId="77777777" w:rsidR="006A5668" w:rsidRPr="007923C2" w:rsidRDefault="006A5668" w:rsidP="00A60C78">
      <w:pPr>
        <w:pStyle w:val="Prrafodelista"/>
        <w:numPr>
          <w:ilvl w:val="0"/>
          <w:numId w:val="113"/>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Mejorar el clima organizacional  para el desempeño del Programa docente IAB </w:t>
      </w:r>
    </w:p>
    <w:p w14:paraId="41460C20" w14:textId="77777777" w:rsidR="006A5668" w:rsidRPr="007923C2" w:rsidRDefault="006A5668" w:rsidP="00A60C78">
      <w:pPr>
        <w:pStyle w:val="Prrafodelista"/>
        <w:numPr>
          <w:ilvl w:val="0"/>
          <w:numId w:val="113"/>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Identificar los problemas que impiden obtener un óptimo clima organizacional.</w:t>
      </w:r>
    </w:p>
    <w:p w14:paraId="374BEFB5" w14:textId="77777777" w:rsidR="006A5668" w:rsidRPr="007923C2" w:rsidRDefault="006A5668" w:rsidP="00A60C78">
      <w:pPr>
        <w:pStyle w:val="Prrafodelista"/>
        <w:numPr>
          <w:ilvl w:val="0"/>
          <w:numId w:val="113"/>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-Aplicar  las encuestas y  presentar resultados para su análisis ante la academia del programa.</w:t>
      </w:r>
    </w:p>
    <w:p w14:paraId="7737C28D" w14:textId="77777777" w:rsidR="006A5668" w:rsidRPr="007923C2" w:rsidRDefault="006A5668" w:rsidP="00A60C78">
      <w:pPr>
        <w:pStyle w:val="Prrafodelista"/>
        <w:numPr>
          <w:ilvl w:val="0"/>
          <w:numId w:val="113"/>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De acuerdo a la información resultante implementará estrategias o acciones para alcanzar resultados satisfactorios.</w:t>
      </w:r>
    </w:p>
    <w:p w14:paraId="312F8639" w14:textId="77777777" w:rsidR="006A5668" w:rsidRPr="007923C2" w:rsidRDefault="006A5668" w:rsidP="00A60C78">
      <w:pPr>
        <w:pStyle w:val="Prrafodelista"/>
        <w:numPr>
          <w:ilvl w:val="0"/>
          <w:numId w:val="113"/>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 xml:space="preserve"> Después de un determinado tiempo se evaluará la pertinencia de las acciones ejecutadas. </w:t>
      </w:r>
    </w:p>
    <w:p w14:paraId="073CFADF" w14:textId="77777777" w:rsidR="006A5668" w:rsidRPr="007923C2" w:rsidRDefault="006A5668" w:rsidP="006A5668">
      <w:pPr>
        <w:spacing w:after="0" w:line="240" w:lineRule="auto"/>
        <w:jc w:val="both"/>
        <w:rPr>
          <w:rFonts w:ascii="Arial" w:hAnsi="Arial" w:cs="Arial"/>
          <w:sz w:val="22"/>
          <w:szCs w:val="22"/>
        </w:rPr>
      </w:pPr>
    </w:p>
    <w:p w14:paraId="4970FF66" w14:textId="77777777" w:rsidR="006A5668" w:rsidRPr="007923C2" w:rsidRDefault="006A5668" w:rsidP="00A60C78">
      <w:pPr>
        <w:pStyle w:val="Prrafodelista"/>
        <w:numPr>
          <w:ilvl w:val="0"/>
          <w:numId w:val="112"/>
        </w:numPr>
        <w:spacing w:after="0" w:line="240" w:lineRule="auto"/>
        <w:contextualSpacing/>
        <w:jc w:val="both"/>
        <w:rPr>
          <w:rFonts w:ascii="Arial" w:hAnsi="Arial" w:cs="Arial"/>
          <w:b/>
          <w:sz w:val="22"/>
          <w:szCs w:val="22"/>
        </w:rPr>
      </w:pPr>
      <w:r w:rsidRPr="007923C2">
        <w:rPr>
          <w:rFonts w:ascii="Arial" w:hAnsi="Arial" w:cs="Arial"/>
          <w:b/>
          <w:sz w:val="22"/>
          <w:szCs w:val="22"/>
        </w:rPr>
        <w:t>Conducción académica administrativa del programa</w:t>
      </w:r>
    </w:p>
    <w:p w14:paraId="0F02C359" w14:textId="77777777" w:rsidR="006A5668" w:rsidRPr="007923C2" w:rsidRDefault="006A5668" w:rsidP="006A5668">
      <w:pPr>
        <w:spacing w:after="0" w:line="240" w:lineRule="auto"/>
        <w:jc w:val="both"/>
        <w:rPr>
          <w:rFonts w:ascii="Arial" w:hAnsi="Arial" w:cs="Arial"/>
          <w:b/>
          <w:sz w:val="22"/>
          <w:szCs w:val="22"/>
        </w:rPr>
      </w:pPr>
    </w:p>
    <w:p w14:paraId="780CF842"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Comentarios.</w:t>
      </w:r>
    </w:p>
    <w:p w14:paraId="249CEE65" w14:textId="77777777" w:rsidR="006A5668" w:rsidRPr="007923C2" w:rsidRDefault="006A5668" w:rsidP="006A5668">
      <w:pPr>
        <w:spacing w:after="0" w:line="240" w:lineRule="auto"/>
        <w:ind w:left="708"/>
        <w:jc w:val="both"/>
        <w:rPr>
          <w:rFonts w:ascii="Arial" w:hAnsi="Arial" w:cs="Arial"/>
          <w:sz w:val="22"/>
          <w:szCs w:val="22"/>
        </w:rPr>
      </w:pPr>
      <w:r w:rsidRPr="007923C2">
        <w:rPr>
          <w:rFonts w:ascii="Arial" w:hAnsi="Arial" w:cs="Arial"/>
          <w:sz w:val="22"/>
          <w:szCs w:val="22"/>
        </w:rPr>
        <w:t>No se muestran evidencias de cómo se planea y se da seguimiento a lo planeado en el Plan de Desarrollo, ni de su análisis de las metas que se han cumplido y evaluación de las acciones. Es necesario desarrollar procesos de evaluación de satisfacción del cliente con respecto a los servicios educativos, servicios para la mejora continua.</w:t>
      </w:r>
    </w:p>
    <w:p w14:paraId="33725A41" w14:textId="77777777" w:rsidR="006A5668" w:rsidRPr="007923C2" w:rsidRDefault="006A5668" w:rsidP="006A5668">
      <w:pPr>
        <w:spacing w:after="0" w:line="240" w:lineRule="auto"/>
        <w:ind w:left="708"/>
        <w:jc w:val="both"/>
        <w:rPr>
          <w:rFonts w:ascii="Arial" w:hAnsi="Arial" w:cs="Arial"/>
          <w:sz w:val="22"/>
          <w:szCs w:val="22"/>
        </w:rPr>
      </w:pPr>
    </w:p>
    <w:p w14:paraId="44FD46FB"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4398DD15" w14:textId="77777777" w:rsidR="006A5668" w:rsidRPr="007923C2" w:rsidRDefault="006A5668" w:rsidP="00A60C78">
      <w:pPr>
        <w:pStyle w:val="Prrafodelista"/>
        <w:numPr>
          <w:ilvl w:val="0"/>
          <w:numId w:val="114"/>
        </w:numPr>
        <w:spacing w:after="0" w:line="240" w:lineRule="auto"/>
        <w:contextualSpacing/>
        <w:jc w:val="both"/>
        <w:rPr>
          <w:rFonts w:ascii="Arial" w:hAnsi="Arial" w:cs="Arial"/>
          <w:sz w:val="22"/>
          <w:szCs w:val="22"/>
        </w:rPr>
      </w:pPr>
      <w:r w:rsidRPr="002A58C5">
        <w:rPr>
          <w:rFonts w:ascii="Arial" w:hAnsi="Arial" w:cs="Arial"/>
          <w:b/>
          <w:sz w:val="22"/>
          <w:szCs w:val="22"/>
        </w:rPr>
        <w:t>Objetivo</w:t>
      </w:r>
      <w:r w:rsidRPr="007923C2">
        <w:rPr>
          <w:rFonts w:ascii="Arial" w:hAnsi="Arial" w:cs="Arial"/>
          <w:sz w:val="22"/>
          <w:szCs w:val="22"/>
        </w:rPr>
        <w:t xml:space="preserve">- </w:t>
      </w:r>
      <w:r w:rsidR="0074265C" w:rsidRPr="007923C2">
        <w:rPr>
          <w:rFonts w:ascii="Arial" w:hAnsi="Arial" w:cs="Arial"/>
          <w:sz w:val="22"/>
          <w:szCs w:val="22"/>
        </w:rPr>
        <w:t>Retomar las estrategias planteadas en el Plan de Desarrollo y analizar su porciento de cumplimiento.</w:t>
      </w:r>
    </w:p>
    <w:p w14:paraId="5A66368F" w14:textId="77777777" w:rsidR="006A5668" w:rsidRPr="007923C2" w:rsidRDefault="006A5668" w:rsidP="00A60C78">
      <w:pPr>
        <w:pStyle w:val="Prrafodelista"/>
        <w:numPr>
          <w:ilvl w:val="0"/>
          <w:numId w:val="114"/>
        </w:numPr>
        <w:spacing w:after="0" w:line="240" w:lineRule="auto"/>
        <w:contextualSpacing/>
        <w:jc w:val="both"/>
        <w:rPr>
          <w:rFonts w:ascii="Arial" w:hAnsi="Arial" w:cs="Arial"/>
          <w:sz w:val="22"/>
          <w:szCs w:val="22"/>
        </w:rPr>
      </w:pPr>
      <w:r w:rsidRPr="002A58C5">
        <w:rPr>
          <w:rFonts w:ascii="Arial" w:hAnsi="Arial" w:cs="Arial"/>
          <w:b/>
          <w:sz w:val="22"/>
          <w:szCs w:val="22"/>
        </w:rPr>
        <w:t>Meta</w:t>
      </w:r>
      <w:r w:rsidR="0074265C" w:rsidRPr="007923C2">
        <w:rPr>
          <w:rFonts w:ascii="Arial" w:hAnsi="Arial" w:cs="Arial"/>
          <w:sz w:val="22"/>
          <w:szCs w:val="22"/>
        </w:rPr>
        <w:t>-Dar cumplimiento a lo planeado en base a las necesidades planteadas.</w:t>
      </w:r>
    </w:p>
    <w:p w14:paraId="1E47F42D" w14:textId="77777777" w:rsidR="006A5668" w:rsidRPr="007923C2" w:rsidRDefault="006A5668" w:rsidP="00A60C78">
      <w:pPr>
        <w:pStyle w:val="Prrafodelista"/>
        <w:numPr>
          <w:ilvl w:val="0"/>
          <w:numId w:val="114"/>
        </w:numPr>
        <w:spacing w:after="0" w:line="240" w:lineRule="auto"/>
        <w:contextualSpacing/>
        <w:jc w:val="both"/>
        <w:rPr>
          <w:rFonts w:ascii="Arial" w:hAnsi="Arial" w:cs="Arial"/>
          <w:sz w:val="22"/>
          <w:szCs w:val="22"/>
        </w:rPr>
      </w:pPr>
      <w:r w:rsidRPr="002A58C5">
        <w:rPr>
          <w:rFonts w:ascii="Arial" w:hAnsi="Arial" w:cs="Arial"/>
          <w:b/>
          <w:sz w:val="22"/>
          <w:szCs w:val="22"/>
        </w:rPr>
        <w:t>Operación</w:t>
      </w:r>
      <w:r w:rsidR="0074265C" w:rsidRPr="007923C2">
        <w:rPr>
          <w:rFonts w:ascii="Arial" w:hAnsi="Arial" w:cs="Arial"/>
          <w:sz w:val="22"/>
          <w:szCs w:val="22"/>
        </w:rPr>
        <w:t>-Destacar de manera puntual cada estrategia planteada y reportar los resultados obtenidos.</w:t>
      </w:r>
    </w:p>
    <w:p w14:paraId="496F2F39" w14:textId="77777777" w:rsidR="006A5668" w:rsidRPr="007923C2" w:rsidRDefault="006A5668" w:rsidP="00A60C78">
      <w:pPr>
        <w:pStyle w:val="Prrafodelista"/>
        <w:numPr>
          <w:ilvl w:val="0"/>
          <w:numId w:val="114"/>
        </w:numPr>
        <w:spacing w:after="0" w:line="240" w:lineRule="auto"/>
        <w:contextualSpacing/>
        <w:jc w:val="both"/>
        <w:rPr>
          <w:rFonts w:ascii="Arial" w:hAnsi="Arial" w:cs="Arial"/>
          <w:sz w:val="22"/>
          <w:szCs w:val="22"/>
        </w:rPr>
      </w:pPr>
      <w:r w:rsidRPr="002A58C5">
        <w:rPr>
          <w:rFonts w:ascii="Arial" w:hAnsi="Arial" w:cs="Arial"/>
          <w:b/>
          <w:sz w:val="22"/>
          <w:szCs w:val="22"/>
        </w:rPr>
        <w:t>Funcionamiento o evaluación</w:t>
      </w:r>
      <w:r w:rsidR="0074265C" w:rsidRPr="007923C2">
        <w:rPr>
          <w:rFonts w:ascii="Arial" w:hAnsi="Arial" w:cs="Arial"/>
          <w:sz w:val="22"/>
          <w:szCs w:val="22"/>
        </w:rPr>
        <w:t>- Se evaluará cada estrategia y se reorganizará si así se requiere para tener resultados.</w:t>
      </w:r>
    </w:p>
    <w:p w14:paraId="4973857C" w14:textId="77777777" w:rsidR="006A5668" w:rsidRPr="007923C2" w:rsidRDefault="006A5668" w:rsidP="00A60C78">
      <w:pPr>
        <w:pStyle w:val="Prrafodelista"/>
        <w:numPr>
          <w:ilvl w:val="0"/>
          <w:numId w:val="114"/>
        </w:numPr>
        <w:spacing w:after="0" w:line="240" w:lineRule="auto"/>
        <w:contextualSpacing/>
        <w:jc w:val="both"/>
        <w:rPr>
          <w:rFonts w:ascii="Arial" w:hAnsi="Arial" w:cs="Arial"/>
          <w:sz w:val="22"/>
          <w:szCs w:val="22"/>
        </w:rPr>
      </w:pPr>
      <w:r w:rsidRPr="002A58C5">
        <w:rPr>
          <w:rFonts w:ascii="Arial" w:hAnsi="Arial" w:cs="Arial"/>
          <w:b/>
          <w:sz w:val="22"/>
          <w:szCs w:val="22"/>
        </w:rPr>
        <w:t>Retroalimentación</w:t>
      </w:r>
      <w:r w:rsidR="0074265C" w:rsidRPr="007923C2">
        <w:rPr>
          <w:rFonts w:ascii="Arial" w:hAnsi="Arial" w:cs="Arial"/>
          <w:sz w:val="22"/>
          <w:szCs w:val="22"/>
        </w:rPr>
        <w:t>-Complementar la operatividad de la estrategia según los resultados obtenidos.</w:t>
      </w:r>
    </w:p>
    <w:p w14:paraId="6FD4AF79" w14:textId="77777777" w:rsidR="006A5668" w:rsidRPr="007923C2" w:rsidRDefault="006A5668" w:rsidP="006A5668">
      <w:pPr>
        <w:jc w:val="both"/>
        <w:rPr>
          <w:rFonts w:ascii="Arial" w:hAnsi="Arial" w:cs="Arial"/>
          <w:sz w:val="22"/>
          <w:szCs w:val="22"/>
        </w:rPr>
      </w:pPr>
    </w:p>
    <w:p w14:paraId="4D5CB575" w14:textId="77777777" w:rsidR="006A5668" w:rsidRPr="007923C2" w:rsidRDefault="006A5668" w:rsidP="00A60C78">
      <w:pPr>
        <w:pStyle w:val="Prrafodelista"/>
        <w:numPr>
          <w:ilvl w:val="0"/>
          <w:numId w:val="112"/>
        </w:numPr>
        <w:spacing w:after="200"/>
        <w:contextualSpacing/>
        <w:jc w:val="both"/>
        <w:rPr>
          <w:rFonts w:ascii="Arial" w:hAnsi="Arial" w:cs="Arial"/>
          <w:b/>
          <w:sz w:val="22"/>
          <w:szCs w:val="22"/>
        </w:rPr>
      </w:pPr>
      <w:r w:rsidRPr="007923C2">
        <w:rPr>
          <w:rFonts w:ascii="Arial" w:hAnsi="Arial" w:cs="Arial"/>
          <w:b/>
          <w:sz w:val="22"/>
          <w:szCs w:val="22"/>
        </w:rPr>
        <w:t>Alumnos</w:t>
      </w:r>
    </w:p>
    <w:p w14:paraId="78AA371F" w14:textId="77777777" w:rsidR="006A5668" w:rsidRPr="007923C2" w:rsidRDefault="0074265C" w:rsidP="006A5668">
      <w:pPr>
        <w:pStyle w:val="Prrafodelista"/>
        <w:jc w:val="both"/>
        <w:rPr>
          <w:rFonts w:ascii="Arial" w:hAnsi="Arial" w:cs="Arial"/>
          <w:b/>
          <w:sz w:val="22"/>
          <w:szCs w:val="22"/>
        </w:rPr>
      </w:pPr>
      <w:r w:rsidRPr="007923C2">
        <w:rPr>
          <w:rFonts w:ascii="Arial" w:hAnsi="Arial" w:cs="Arial"/>
          <w:b/>
          <w:sz w:val="22"/>
          <w:szCs w:val="22"/>
        </w:rPr>
        <w:t>1).-</w:t>
      </w:r>
      <w:r w:rsidR="006A5668" w:rsidRPr="007923C2">
        <w:rPr>
          <w:rFonts w:ascii="Arial" w:hAnsi="Arial" w:cs="Arial"/>
          <w:b/>
          <w:sz w:val="22"/>
          <w:szCs w:val="22"/>
        </w:rPr>
        <w:t>Comentarios</w:t>
      </w:r>
    </w:p>
    <w:p w14:paraId="35119680" w14:textId="77777777" w:rsidR="006A5668" w:rsidRPr="007923C2" w:rsidRDefault="006A5668" w:rsidP="006A5668">
      <w:pPr>
        <w:pStyle w:val="Prrafodelista"/>
        <w:jc w:val="both"/>
        <w:rPr>
          <w:rFonts w:ascii="Arial" w:hAnsi="Arial" w:cs="Arial"/>
          <w:sz w:val="22"/>
          <w:szCs w:val="22"/>
        </w:rPr>
      </w:pPr>
      <w:r w:rsidRPr="007923C2">
        <w:rPr>
          <w:rFonts w:ascii="Arial" w:hAnsi="Arial" w:cs="Arial"/>
          <w:sz w:val="22"/>
          <w:szCs w:val="22"/>
        </w:rPr>
        <w:t>No se presenta un trabajo colegiado que contemple un análisis del rendimiento escolar del alumno con base en la información estadística presentada.</w:t>
      </w:r>
    </w:p>
    <w:p w14:paraId="7EC77840"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455D2197" w14:textId="77777777" w:rsidR="006A5668" w:rsidRPr="007923C2" w:rsidRDefault="006A5668" w:rsidP="00A60C78">
      <w:pPr>
        <w:pStyle w:val="Prrafodelista"/>
        <w:numPr>
          <w:ilvl w:val="0"/>
          <w:numId w:val="115"/>
        </w:numPr>
        <w:spacing w:after="0" w:line="240" w:lineRule="auto"/>
        <w:contextualSpacing/>
        <w:jc w:val="both"/>
        <w:rPr>
          <w:rFonts w:ascii="Arial" w:hAnsi="Arial" w:cs="Arial"/>
          <w:sz w:val="22"/>
          <w:szCs w:val="22"/>
        </w:rPr>
      </w:pPr>
      <w:r w:rsidRPr="007923C2">
        <w:rPr>
          <w:rFonts w:ascii="Arial" w:hAnsi="Arial" w:cs="Arial"/>
          <w:b/>
          <w:sz w:val="22"/>
          <w:szCs w:val="22"/>
        </w:rPr>
        <w:t xml:space="preserve">Objetivo- </w:t>
      </w:r>
      <w:r w:rsidRPr="007923C2">
        <w:rPr>
          <w:rFonts w:ascii="Arial" w:hAnsi="Arial" w:cs="Arial"/>
          <w:sz w:val="22"/>
          <w:szCs w:val="22"/>
        </w:rPr>
        <w:t xml:space="preserve">Mejorar el rendimiento escolar de los alumnos inscritos en el programa IAB  </w:t>
      </w:r>
    </w:p>
    <w:p w14:paraId="20DE7EE4" w14:textId="77777777" w:rsidR="006A5668" w:rsidRPr="007923C2" w:rsidRDefault="006A5668" w:rsidP="00A60C78">
      <w:pPr>
        <w:pStyle w:val="Prrafodelista"/>
        <w:numPr>
          <w:ilvl w:val="0"/>
          <w:numId w:val="115"/>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Detectar las causas que afectan el rendimiento del estudiante.</w:t>
      </w:r>
    </w:p>
    <w:p w14:paraId="12B6ACEC" w14:textId="77777777" w:rsidR="006A5668" w:rsidRPr="007923C2" w:rsidRDefault="006A5668" w:rsidP="00A60C78">
      <w:pPr>
        <w:pStyle w:val="Prrafodelista"/>
        <w:numPr>
          <w:ilvl w:val="0"/>
          <w:numId w:val="115"/>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 Recabar la información académica del estudiante para su análisis y formulación de estrategias que mejoren el rendimiento escolar. </w:t>
      </w:r>
    </w:p>
    <w:p w14:paraId="0514A724" w14:textId="77777777" w:rsidR="006A5668" w:rsidRPr="007923C2" w:rsidRDefault="006A5668" w:rsidP="00A60C78">
      <w:pPr>
        <w:pStyle w:val="Prrafodelista"/>
        <w:numPr>
          <w:ilvl w:val="0"/>
          <w:numId w:val="115"/>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Medir el impacto que tienen las estrategias sobre el desempeño académico en los siguientes semestres. </w:t>
      </w:r>
    </w:p>
    <w:p w14:paraId="045CB58C" w14:textId="77777777" w:rsidR="006A5668" w:rsidRPr="007923C2" w:rsidRDefault="006A5668" w:rsidP="00A60C78">
      <w:pPr>
        <w:pStyle w:val="Prrafodelista"/>
        <w:numPr>
          <w:ilvl w:val="0"/>
          <w:numId w:val="115"/>
        </w:numPr>
        <w:spacing w:after="0" w:line="240" w:lineRule="auto"/>
        <w:contextualSpacing/>
        <w:jc w:val="both"/>
        <w:rPr>
          <w:rFonts w:ascii="Arial" w:hAnsi="Arial" w:cs="Arial"/>
          <w:sz w:val="22"/>
          <w:szCs w:val="22"/>
        </w:rPr>
      </w:pPr>
      <w:r w:rsidRPr="007923C2">
        <w:rPr>
          <w:rFonts w:ascii="Arial" w:hAnsi="Arial" w:cs="Arial"/>
          <w:b/>
          <w:sz w:val="22"/>
          <w:szCs w:val="22"/>
        </w:rPr>
        <w:lastRenderedPageBreak/>
        <w:t>Retroalimentación</w:t>
      </w:r>
      <w:r w:rsidRPr="007923C2">
        <w:rPr>
          <w:rFonts w:ascii="Arial" w:hAnsi="Arial" w:cs="Arial"/>
          <w:sz w:val="22"/>
          <w:szCs w:val="22"/>
        </w:rPr>
        <w:t>-Después de un tiempo determinado se evaluará la pertinencia de las acciones propuestas</w:t>
      </w:r>
      <w:r w:rsidRPr="007923C2">
        <w:rPr>
          <w:rFonts w:ascii="Arial" w:hAnsi="Arial" w:cs="Arial"/>
          <w:sz w:val="22"/>
          <w:szCs w:val="22"/>
        </w:rPr>
        <w:tab/>
      </w:r>
    </w:p>
    <w:p w14:paraId="73AD6870" w14:textId="77777777" w:rsidR="006A5668" w:rsidRPr="007923C2" w:rsidRDefault="006A5668" w:rsidP="006A5668">
      <w:pPr>
        <w:spacing w:after="0" w:line="240" w:lineRule="auto"/>
        <w:jc w:val="both"/>
        <w:rPr>
          <w:rFonts w:ascii="Arial" w:hAnsi="Arial" w:cs="Arial"/>
          <w:sz w:val="22"/>
          <w:szCs w:val="22"/>
        </w:rPr>
      </w:pPr>
    </w:p>
    <w:p w14:paraId="5E8C93CF" w14:textId="77777777" w:rsidR="006A5668" w:rsidRPr="007923C2" w:rsidRDefault="00F45B56" w:rsidP="006A5668">
      <w:pPr>
        <w:spacing w:after="0" w:line="240" w:lineRule="auto"/>
        <w:ind w:left="708"/>
        <w:jc w:val="both"/>
        <w:rPr>
          <w:rFonts w:ascii="Arial" w:hAnsi="Arial" w:cs="Arial"/>
          <w:b/>
          <w:sz w:val="22"/>
          <w:szCs w:val="22"/>
        </w:rPr>
      </w:pPr>
      <w:r w:rsidRPr="007923C2">
        <w:rPr>
          <w:rFonts w:ascii="Arial" w:hAnsi="Arial" w:cs="Arial"/>
          <w:b/>
          <w:sz w:val="22"/>
          <w:szCs w:val="22"/>
        </w:rPr>
        <w:t>2).-</w:t>
      </w:r>
      <w:r w:rsidR="006A5668" w:rsidRPr="007923C2">
        <w:rPr>
          <w:rFonts w:ascii="Arial" w:hAnsi="Arial" w:cs="Arial"/>
          <w:b/>
          <w:sz w:val="22"/>
          <w:szCs w:val="22"/>
        </w:rPr>
        <w:t>Comentarios.</w:t>
      </w:r>
    </w:p>
    <w:p w14:paraId="520F679B" w14:textId="77777777" w:rsidR="006A5668" w:rsidRPr="007923C2" w:rsidRDefault="006A5668" w:rsidP="006A5668">
      <w:pPr>
        <w:spacing w:after="0" w:line="240" w:lineRule="auto"/>
        <w:ind w:left="708"/>
        <w:jc w:val="both"/>
        <w:rPr>
          <w:rFonts w:ascii="Arial" w:hAnsi="Arial" w:cs="Arial"/>
          <w:sz w:val="22"/>
          <w:szCs w:val="22"/>
        </w:rPr>
      </w:pPr>
      <w:r w:rsidRPr="007923C2">
        <w:rPr>
          <w:rFonts w:ascii="Arial" w:hAnsi="Arial" w:cs="Arial"/>
          <w:sz w:val="22"/>
          <w:szCs w:val="22"/>
        </w:rPr>
        <w:t>Los alumnos manifiestan que el plan de estudios no presenta flexibilidad para la movilidad académica.</w:t>
      </w:r>
    </w:p>
    <w:p w14:paraId="3406855E"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79373BBD" w14:textId="77777777" w:rsidR="006A5668" w:rsidRPr="007923C2" w:rsidRDefault="006A5668" w:rsidP="00A60C78">
      <w:pPr>
        <w:pStyle w:val="Prrafodelista"/>
        <w:numPr>
          <w:ilvl w:val="0"/>
          <w:numId w:val="116"/>
        </w:numPr>
        <w:spacing w:after="0" w:line="240" w:lineRule="auto"/>
        <w:contextualSpacing/>
        <w:jc w:val="both"/>
        <w:rPr>
          <w:rFonts w:ascii="Arial" w:hAnsi="Arial" w:cs="Arial"/>
          <w:sz w:val="22"/>
          <w:szCs w:val="22"/>
        </w:rPr>
      </w:pPr>
      <w:r w:rsidRPr="002B6640">
        <w:rPr>
          <w:rFonts w:ascii="Arial" w:hAnsi="Arial" w:cs="Arial"/>
          <w:b/>
          <w:sz w:val="22"/>
          <w:szCs w:val="22"/>
        </w:rPr>
        <w:t>Objetivo</w:t>
      </w:r>
      <w:r w:rsidRPr="007923C2">
        <w:rPr>
          <w:rFonts w:ascii="Arial" w:hAnsi="Arial" w:cs="Arial"/>
          <w:sz w:val="22"/>
          <w:szCs w:val="22"/>
        </w:rPr>
        <w:t>-Incrementar la movilidad académica estudiantil</w:t>
      </w:r>
    </w:p>
    <w:p w14:paraId="56FBC4A2" w14:textId="77777777" w:rsidR="006A5668" w:rsidRPr="007923C2" w:rsidRDefault="006A5668" w:rsidP="00A60C78">
      <w:pPr>
        <w:pStyle w:val="Prrafodelista"/>
        <w:numPr>
          <w:ilvl w:val="0"/>
          <w:numId w:val="116"/>
        </w:numPr>
        <w:spacing w:after="0" w:line="240" w:lineRule="auto"/>
        <w:contextualSpacing/>
        <w:jc w:val="both"/>
        <w:rPr>
          <w:rFonts w:ascii="Arial" w:hAnsi="Arial" w:cs="Arial"/>
          <w:sz w:val="22"/>
          <w:szCs w:val="22"/>
        </w:rPr>
      </w:pPr>
      <w:r w:rsidRPr="002B6640">
        <w:rPr>
          <w:rFonts w:ascii="Arial" w:hAnsi="Arial" w:cs="Arial"/>
          <w:b/>
          <w:sz w:val="22"/>
          <w:szCs w:val="22"/>
        </w:rPr>
        <w:t>Meta</w:t>
      </w:r>
      <w:r w:rsidRPr="007923C2">
        <w:rPr>
          <w:rFonts w:ascii="Arial" w:hAnsi="Arial" w:cs="Arial"/>
          <w:sz w:val="22"/>
          <w:szCs w:val="22"/>
        </w:rPr>
        <w:t xml:space="preserve">-Alcanzar que un 10 % de la población estudiantil inscrita en este programa participe en esta actividad. </w:t>
      </w:r>
    </w:p>
    <w:p w14:paraId="13B3682D" w14:textId="77777777" w:rsidR="006A5668" w:rsidRPr="007923C2" w:rsidRDefault="006A5668" w:rsidP="00A60C78">
      <w:pPr>
        <w:pStyle w:val="Prrafodelista"/>
        <w:numPr>
          <w:ilvl w:val="0"/>
          <w:numId w:val="116"/>
        </w:numPr>
        <w:spacing w:after="0" w:line="240" w:lineRule="auto"/>
        <w:contextualSpacing/>
        <w:jc w:val="both"/>
        <w:rPr>
          <w:rFonts w:ascii="Arial" w:hAnsi="Arial" w:cs="Arial"/>
          <w:sz w:val="22"/>
          <w:szCs w:val="22"/>
        </w:rPr>
      </w:pPr>
      <w:r w:rsidRPr="002B6640">
        <w:rPr>
          <w:rFonts w:ascii="Arial" w:hAnsi="Arial" w:cs="Arial"/>
          <w:b/>
          <w:sz w:val="22"/>
          <w:szCs w:val="22"/>
        </w:rPr>
        <w:t>Operación</w:t>
      </w:r>
      <w:r w:rsidRPr="007923C2">
        <w:rPr>
          <w:rFonts w:ascii="Arial" w:hAnsi="Arial" w:cs="Arial"/>
          <w:sz w:val="22"/>
          <w:szCs w:val="22"/>
        </w:rPr>
        <w:t xml:space="preserve">- Difundir y promover los convenios establecidos para esta actividad y realizar el seguimiento de cada uno de los participantes.  </w:t>
      </w:r>
    </w:p>
    <w:p w14:paraId="64B03A59" w14:textId="77777777" w:rsidR="006A5668" w:rsidRPr="007923C2" w:rsidRDefault="006A5668" w:rsidP="00A60C78">
      <w:pPr>
        <w:pStyle w:val="Prrafodelista"/>
        <w:numPr>
          <w:ilvl w:val="0"/>
          <w:numId w:val="116"/>
        </w:numPr>
        <w:spacing w:after="0" w:line="240" w:lineRule="auto"/>
        <w:contextualSpacing/>
        <w:jc w:val="both"/>
        <w:rPr>
          <w:rFonts w:ascii="Arial" w:hAnsi="Arial" w:cs="Arial"/>
          <w:sz w:val="22"/>
          <w:szCs w:val="22"/>
        </w:rPr>
      </w:pPr>
      <w:r w:rsidRPr="002B6640">
        <w:rPr>
          <w:rFonts w:ascii="Arial" w:hAnsi="Arial" w:cs="Arial"/>
          <w:b/>
          <w:sz w:val="22"/>
          <w:szCs w:val="22"/>
        </w:rPr>
        <w:t>Funcionamiento o evaluación</w:t>
      </w:r>
      <w:r w:rsidRPr="007923C2">
        <w:rPr>
          <w:rFonts w:ascii="Arial" w:hAnsi="Arial" w:cs="Arial"/>
          <w:sz w:val="22"/>
          <w:szCs w:val="22"/>
        </w:rPr>
        <w:t>-Verificar que el participante del programa efectúe   su movilidad de acuerdo a la currícula y situación académica.</w:t>
      </w:r>
    </w:p>
    <w:p w14:paraId="57BB446B" w14:textId="77777777" w:rsidR="006A5668" w:rsidRPr="007923C2" w:rsidRDefault="006A5668" w:rsidP="00A60C78">
      <w:pPr>
        <w:pStyle w:val="Prrafodelista"/>
        <w:numPr>
          <w:ilvl w:val="0"/>
          <w:numId w:val="116"/>
        </w:numPr>
        <w:spacing w:after="0" w:line="240" w:lineRule="auto"/>
        <w:contextualSpacing/>
        <w:jc w:val="both"/>
        <w:rPr>
          <w:rFonts w:ascii="Arial" w:hAnsi="Arial" w:cs="Arial"/>
          <w:sz w:val="22"/>
          <w:szCs w:val="22"/>
        </w:rPr>
      </w:pPr>
      <w:r w:rsidRPr="002B6640">
        <w:rPr>
          <w:rFonts w:ascii="Arial" w:hAnsi="Arial" w:cs="Arial"/>
          <w:b/>
          <w:sz w:val="22"/>
          <w:szCs w:val="22"/>
        </w:rPr>
        <w:t>Retroalimentación</w:t>
      </w:r>
      <w:r w:rsidRPr="007923C2">
        <w:rPr>
          <w:rFonts w:ascii="Arial" w:hAnsi="Arial" w:cs="Arial"/>
          <w:sz w:val="22"/>
          <w:szCs w:val="22"/>
        </w:rPr>
        <w:t xml:space="preserve">-Evaluar el reporte del estudiante para conocer los beneficios y/o problemas de esta actividad </w:t>
      </w:r>
      <w:r w:rsidRPr="007923C2">
        <w:rPr>
          <w:rFonts w:ascii="Arial" w:hAnsi="Arial" w:cs="Arial"/>
          <w:sz w:val="22"/>
          <w:szCs w:val="22"/>
        </w:rPr>
        <w:tab/>
      </w:r>
    </w:p>
    <w:p w14:paraId="463C9FC7" w14:textId="77777777" w:rsidR="006A5668" w:rsidRPr="007923C2" w:rsidRDefault="006A5668" w:rsidP="006A5668">
      <w:pPr>
        <w:spacing w:after="0" w:line="240" w:lineRule="auto"/>
        <w:jc w:val="both"/>
        <w:rPr>
          <w:rFonts w:ascii="Arial" w:hAnsi="Arial" w:cs="Arial"/>
          <w:sz w:val="22"/>
          <w:szCs w:val="22"/>
        </w:rPr>
      </w:pPr>
    </w:p>
    <w:p w14:paraId="1ECA6625" w14:textId="77777777" w:rsidR="006A5668" w:rsidRPr="007923C2" w:rsidRDefault="006A5668" w:rsidP="00A60C78">
      <w:pPr>
        <w:pStyle w:val="Prrafodelista"/>
        <w:numPr>
          <w:ilvl w:val="0"/>
          <w:numId w:val="112"/>
        </w:numPr>
        <w:spacing w:after="0" w:line="240" w:lineRule="auto"/>
        <w:contextualSpacing/>
        <w:jc w:val="both"/>
        <w:rPr>
          <w:rFonts w:ascii="Arial" w:hAnsi="Arial" w:cs="Arial"/>
          <w:b/>
          <w:sz w:val="22"/>
          <w:szCs w:val="22"/>
        </w:rPr>
      </w:pPr>
      <w:r w:rsidRPr="007923C2">
        <w:rPr>
          <w:rFonts w:ascii="Arial" w:hAnsi="Arial" w:cs="Arial"/>
          <w:b/>
          <w:sz w:val="22"/>
          <w:szCs w:val="22"/>
        </w:rPr>
        <w:t>Personal académico</w:t>
      </w:r>
    </w:p>
    <w:p w14:paraId="55BD4C8B" w14:textId="77777777" w:rsidR="006A5668" w:rsidRPr="007923C2" w:rsidRDefault="006A5668" w:rsidP="006A5668">
      <w:pPr>
        <w:pStyle w:val="Prrafodelista"/>
        <w:spacing w:after="0" w:line="240" w:lineRule="auto"/>
        <w:jc w:val="both"/>
        <w:rPr>
          <w:rFonts w:ascii="Arial" w:hAnsi="Arial" w:cs="Arial"/>
          <w:b/>
          <w:sz w:val="22"/>
          <w:szCs w:val="22"/>
        </w:rPr>
      </w:pPr>
    </w:p>
    <w:p w14:paraId="5A2E45B0" w14:textId="77777777" w:rsidR="006A5668" w:rsidRPr="007923C2" w:rsidRDefault="00F45B56" w:rsidP="006A5668">
      <w:pPr>
        <w:pStyle w:val="Prrafodelista"/>
        <w:spacing w:after="0" w:line="240" w:lineRule="auto"/>
        <w:jc w:val="both"/>
        <w:rPr>
          <w:rFonts w:ascii="Arial" w:hAnsi="Arial" w:cs="Arial"/>
          <w:b/>
          <w:sz w:val="22"/>
          <w:szCs w:val="22"/>
        </w:rPr>
      </w:pPr>
      <w:r w:rsidRPr="007923C2">
        <w:rPr>
          <w:rFonts w:ascii="Arial" w:hAnsi="Arial" w:cs="Arial"/>
          <w:b/>
          <w:sz w:val="22"/>
          <w:szCs w:val="22"/>
        </w:rPr>
        <w:t>1).-</w:t>
      </w:r>
      <w:r w:rsidR="006A5668" w:rsidRPr="007923C2">
        <w:rPr>
          <w:rFonts w:ascii="Arial" w:hAnsi="Arial" w:cs="Arial"/>
          <w:b/>
          <w:sz w:val="22"/>
          <w:szCs w:val="22"/>
        </w:rPr>
        <w:t>Comentarios.</w:t>
      </w:r>
    </w:p>
    <w:p w14:paraId="3C345EEF" w14:textId="77777777" w:rsidR="006A5668" w:rsidRPr="007923C2" w:rsidRDefault="006A5668" w:rsidP="006A5668">
      <w:pPr>
        <w:pStyle w:val="Prrafodelista"/>
        <w:spacing w:after="0" w:line="240" w:lineRule="auto"/>
        <w:jc w:val="both"/>
        <w:rPr>
          <w:rFonts w:ascii="Arial" w:hAnsi="Arial" w:cs="Arial"/>
          <w:sz w:val="22"/>
          <w:szCs w:val="22"/>
        </w:rPr>
      </w:pPr>
      <w:r w:rsidRPr="007923C2">
        <w:rPr>
          <w:rFonts w:ascii="Arial" w:hAnsi="Arial" w:cs="Arial"/>
          <w:sz w:val="22"/>
          <w:szCs w:val="22"/>
        </w:rPr>
        <w:t>No obstante que más del 89% de la planta docente del programa es de tiempo completo, existe poca colaboración en los cuerpos académicos.</w:t>
      </w:r>
    </w:p>
    <w:p w14:paraId="402AC32D" w14:textId="77777777" w:rsidR="006A5668" w:rsidRPr="007923C2" w:rsidRDefault="006A5668" w:rsidP="006A5668">
      <w:pPr>
        <w:pStyle w:val="Prrafodelista"/>
        <w:spacing w:after="0" w:line="240" w:lineRule="auto"/>
        <w:jc w:val="both"/>
        <w:rPr>
          <w:rFonts w:ascii="Arial" w:hAnsi="Arial" w:cs="Arial"/>
          <w:sz w:val="22"/>
          <w:szCs w:val="22"/>
        </w:rPr>
      </w:pPr>
    </w:p>
    <w:p w14:paraId="438E72B5"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4AD37008" w14:textId="77777777" w:rsidR="006A5668" w:rsidRPr="007923C2" w:rsidRDefault="006A5668" w:rsidP="00A60C78">
      <w:pPr>
        <w:pStyle w:val="Prrafodelista"/>
        <w:numPr>
          <w:ilvl w:val="0"/>
          <w:numId w:val="117"/>
        </w:numPr>
        <w:spacing w:after="0" w:line="240" w:lineRule="auto"/>
        <w:contextualSpacing/>
        <w:jc w:val="both"/>
        <w:rPr>
          <w:rFonts w:ascii="Arial" w:hAnsi="Arial" w:cs="Arial"/>
          <w:sz w:val="22"/>
          <w:szCs w:val="22"/>
        </w:rPr>
      </w:pPr>
      <w:r w:rsidRPr="002B6640">
        <w:rPr>
          <w:rFonts w:ascii="Arial" w:hAnsi="Arial" w:cs="Arial"/>
          <w:b/>
          <w:sz w:val="22"/>
          <w:szCs w:val="22"/>
        </w:rPr>
        <w:t>Objetivo</w:t>
      </w:r>
      <w:r w:rsidRPr="007923C2">
        <w:rPr>
          <w:rFonts w:ascii="Arial" w:hAnsi="Arial" w:cs="Arial"/>
          <w:sz w:val="22"/>
          <w:szCs w:val="22"/>
        </w:rPr>
        <w:t xml:space="preserve">-Obtener el perfil deseable PRODEP entre los profesores integrantes de la academia del Programa, para la formación de cuerpos académicos </w:t>
      </w:r>
    </w:p>
    <w:p w14:paraId="2C7DBA6D" w14:textId="77777777" w:rsidR="006A5668" w:rsidRPr="007923C2" w:rsidRDefault="006A5668" w:rsidP="00A60C78">
      <w:pPr>
        <w:pStyle w:val="Prrafodelista"/>
        <w:numPr>
          <w:ilvl w:val="0"/>
          <w:numId w:val="117"/>
        </w:numPr>
        <w:spacing w:after="0" w:line="240" w:lineRule="auto"/>
        <w:contextualSpacing/>
        <w:jc w:val="both"/>
        <w:rPr>
          <w:rFonts w:ascii="Arial" w:hAnsi="Arial" w:cs="Arial"/>
          <w:sz w:val="22"/>
          <w:szCs w:val="22"/>
        </w:rPr>
      </w:pPr>
      <w:r w:rsidRPr="002A58C5">
        <w:rPr>
          <w:rFonts w:ascii="Arial" w:hAnsi="Arial" w:cs="Arial"/>
          <w:b/>
          <w:sz w:val="22"/>
          <w:szCs w:val="22"/>
        </w:rPr>
        <w:t>Meta</w:t>
      </w:r>
      <w:r w:rsidRPr="007923C2">
        <w:rPr>
          <w:rFonts w:ascii="Arial" w:hAnsi="Arial" w:cs="Arial"/>
          <w:sz w:val="22"/>
          <w:szCs w:val="22"/>
        </w:rPr>
        <w:t xml:space="preserve">-Tener por lo menos 10 profesores PRODEP Y formar un cuerpo académico </w:t>
      </w:r>
    </w:p>
    <w:p w14:paraId="6E65A111" w14:textId="77777777" w:rsidR="006A5668" w:rsidRPr="007923C2" w:rsidRDefault="006A5668" w:rsidP="00A60C78">
      <w:pPr>
        <w:pStyle w:val="Prrafodelista"/>
        <w:numPr>
          <w:ilvl w:val="0"/>
          <w:numId w:val="117"/>
        </w:numPr>
        <w:spacing w:after="0" w:line="240" w:lineRule="auto"/>
        <w:contextualSpacing/>
        <w:jc w:val="both"/>
        <w:rPr>
          <w:rFonts w:ascii="Arial" w:hAnsi="Arial" w:cs="Arial"/>
          <w:sz w:val="22"/>
          <w:szCs w:val="22"/>
        </w:rPr>
      </w:pPr>
      <w:r w:rsidRPr="002A58C5">
        <w:rPr>
          <w:rFonts w:ascii="Arial" w:hAnsi="Arial" w:cs="Arial"/>
          <w:b/>
          <w:sz w:val="22"/>
          <w:szCs w:val="22"/>
        </w:rPr>
        <w:t>Operación</w:t>
      </w:r>
      <w:r w:rsidRPr="007923C2">
        <w:rPr>
          <w:rFonts w:ascii="Arial" w:hAnsi="Arial" w:cs="Arial"/>
          <w:sz w:val="22"/>
          <w:szCs w:val="22"/>
        </w:rPr>
        <w:t>- Informar a los profesores sobre los mecanismos establecidos para solicitar el reconocimiento como perfil  PRODEP.</w:t>
      </w:r>
    </w:p>
    <w:p w14:paraId="4BE0EF3A" w14:textId="77777777" w:rsidR="006A5668" w:rsidRPr="007923C2" w:rsidRDefault="006A5668" w:rsidP="00A60C78">
      <w:pPr>
        <w:pStyle w:val="Prrafodelista"/>
        <w:numPr>
          <w:ilvl w:val="0"/>
          <w:numId w:val="117"/>
        </w:numPr>
        <w:spacing w:after="0" w:line="240" w:lineRule="auto"/>
        <w:contextualSpacing/>
        <w:jc w:val="both"/>
        <w:rPr>
          <w:rFonts w:ascii="Arial" w:hAnsi="Arial" w:cs="Arial"/>
          <w:sz w:val="22"/>
          <w:szCs w:val="22"/>
        </w:rPr>
      </w:pPr>
      <w:r w:rsidRPr="002A58C5">
        <w:rPr>
          <w:rFonts w:ascii="Arial" w:hAnsi="Arial" w:cs="Arial"/>
          <w:b/>
          <w:sz w:val="22"/>
          <w:szCs w:val="22"/>
        </w:rPr>
        <w:t>Funcionamiento o evaluación</w:t>
      </w:r>
      <w:r w:rsidRPr="007923C2">
        <w:rPr>
          <w:rFonts w:ascii="Arial" w:hAnsi="Arial" w:cs="Arial"/>
          <w:sz w:val="22"/>
          <w:szCs w:val="22"/>
        </w:rPr>
        <w:t>- Lograr el registro del cuerpo académico y su funcionamiento continuo.</w:t>
      </w:r>
    </w:p>
    <w:p w14:paraId="0F466D33" w14:textId="77777777" w:rsidR="006A5668" w:rsidRPr="007923C2" w:rsidRDefault="006A5668" w:rsidP="00A60C78">
      <w:pPr>
        <w:pStyle w:val="Prrafodelista"/>
        <w:numPr>
          <w:ilvl w:val="0"/>
          <w:numId w:val="117"/>
        </w:numPr>
        <w:spacing w:after="0" w:line="240" w:lineRule="auto"/>
        <w:contextualSpacing/>
        <w:jc w:val="both"/>
        <w:rPr>
          <w:rFonts w:ascii="Arial" w:hAnsi="Arial" w:cs="Arial"/>
          <w:sz w:val="22"/>
          <w:szCs w:val="22"/>
        </w:rPr>
      </w:pPr>
      <w:r w:rsidRPr="002A58C5">
        <w:rPr>
          <w:rFonts w:ascii="Arial" w:hAnsi="Arial" w:cs="Arial"/>
          <w:b/>
          <w:sz w:val="22"/>
          <w:szCs w:val="22"/>
        </w:rPr>
        <w:t>Retroalimentación</w:t>
      </w:r>
      <w:r w:rsidRPr="007923C2">
        <w:rPr>
          <w:rFonts w:ascii="Arial" w:hAnsi="Arial" w:cs="Arial"/>
          <w:sz w:val="22"/>
          <w:szCs w:val="22"/>
        </w:rPr>
        <w:t xml:space="preserve">- Verificar el logro y fortalecer su función.  </w:t>
      </w:r>
      <w:r w:rsidRPr="007923C2">
        <w:rPr>
          <w:rFonts w:ascii="Arial" w:hAnsi="Arial" w:cs="Arial"/>
          <w:sz w:val="22"/>
          <w:szCs w:val="22"/>
        </w:rPr>
        <w:tab/>
      </w:r>
    </w:p>
    <w:p w14:paraId="1BD7EAF0" w14:textId="77777777" w:rsidR="006A5668" w:rsidRPr="007923C2" w:rsidRDefault="006A5668" w:rsidP="006A5668">
      <w:pPr>
        <w:spacing w:after="0" w:line="240" w:lineRule="auto"/>
        <w:jc w:val="both"/>
        <w:rPr>
          <w:rFonts w:ascii="Arial" w:hAnsi="Arial" w:cs="Arial"/>
          <w:sz w:val="22"/>
          <w:szCs w:val="22"/>
        </w:rPr>
      </w:pPr>
    </w:p>
    <w:p w14:paraId="455CAF83" w14:textId="77777777" w:rsidR="006A5668" w:rsidRPr="007923C2" w:rsidRDefault="00F45B56" w:rsidP="00F45B56">
      <w:pPr>
        <w:spacing w:after="0" w:line="240" w:lineRule="auto"/>
        <w:ind w:left="360"/>
        <w:contextualSpacing/>
        <w:jc w:val="both"/>
        <w:rPr>
          <w:rFonts w:ascii="Arial" w:hAnsi="Arial" w:cs="Arial"/>
          <w:b/>
          <w:sz w:val="22"/>
          <w:szCs w:val="22"/>
        </w:rPr>
      </w:pPr>
      <w:r w:rsidRPr="007923C2">
        <w:rPr>
          <w:rFonts w:ascii="Arial" w:hAnsi="Arial" w:cs="Arial"/>
          <w:b/>
          <w:sz w:val="22"/>
          <w:szCs w:val="22"/>
        </w:rPr>
        <w:t>2).-Com</w:t>
      </w:r>
      <w:r w:rsidR="006A5668" w:rsidRPr="007923C2">
        <w:rPr>
          <w:rFonts w:ascii="Arial" w:hAnsi="Arial" w:cs="Arial"/>
          <w:b/>
          <w:sz w:val="22"/>
          <w:szCs w:val="22"/>
        </w:rPr>
        <w:t>entarios.</w:t>
      </w:r>
    </w:p>
    <w:p w14:paraId="0FC60285" w14:textId="77777777" w:rsidR="006A5668" w:rsidRPr="007923C2" w:rsidRDefault="006A5668" w:rsidP="006A5668">
      <w:pPr>
        <w:pStyle w:val="Prrafodelista"/>
        <w:spacing w:after="0" w:line="240" w:lineRule="auto"/>
        <w:ind w:left="780"/>
        <w:jc w:val="both"/>
        <w:rPr>
          <w:rFonts w:ascii="Arial" w:hAnsi="Arial" w:cs="Arial"/>
          <w:sz w:val="22"/>
          <w:szCs w:val="22"/>
        </w:rPr>
      </w:pPr>
      <w:r w:rsidRPr="007923C2">
        <w:rPr>
          <w:rFonts w:ascii="Arial" w:hAnsi="Arial" w:cs="Arial"/>
          <w:sz w:val="22"/>
          <w:szCs w:val="22"/>
        </w:rPr>
        <w:t>La institución cuenta con un departamento de desarrollo del personal académicos para promover y apoyar la participación de todos los profesores en cursos de actualización profesional en su área de especialización o cursos pedagógicos cuando menos 1 vez al año.</w:t>
      </w:r>
    </w:p>
    <w:p w14:paraId="3A5B5832" w14:textId="77777777" w:rsidR="006A5668" w:rsidRPr="007923C2" w:rsidRDefault="006A5668" w:rsidP="006A5668">
      <w:pPr>
        <w:pStyle w:val="Prrafodelista"/>
        <w:spacing w:after="0" w:line="240" w:lineRule="auto"/>
        <w:ind w:left="780"/>
        <w:jc w:val="both"/>
        <w:rPr>
          <w:rFonts w:ascii="Arial" w:hAnsi="Arial" w:cs="Arial"/>
          <w:sz w:val="22"/>
          <w:szCs w:val="22"/>
        </w:rPr>
      </w:pPr>
    </w:p>
    <w:p w14:paraId="5D5352A0"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6095A382" w14:textId="77777777" w:rsidR="006A5668" w:rsidRPr="007923C2" w:rsidRDefault="006A5668" w:rsidP="00A60C78">
      <w:pPr>
        <w:pStyle w:val="Prrafodelista"/>
        <w:numPr>
          <w:ilvl w:val="0"/>
          <w:numId w:val="118"/>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Mejorar el proceso de enseñanza aprendizaje a través de cursos de capacitación pedagógica  y/o de actualización en el área de especialización.  </w:t>
      </w:r>
    </w:p>
    <w:p w14:paraId="67AE94D5" w14:textId="77777777" w:rsidR="006A5668" w:rsidRPr="007923C2" w:rsidRDefault="006A5668" w:rsidP="00A60C78">
      <w:pPr>
        <w:pStyle w:val="Prrafodelista"/>
        <w:numPr>
          <w:ilvl w:val="0"/>
          <w:numId w:val="118"/>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Que los maestros asistan cuando menos a un curso  de capacitación pedagógica y/o actualización, u organizar cursos de especialización.  </w:t>
      </w:r>
    </w:p>
    <w:p w14:paraId="2F908AB8" w14:textId="77777777" w:rsidR="006A5668" w:rsidRPr="007923C2" w:rsidRDefault="006A5668" w:rsidP="00A60C78">
      <w:pPr>
        <w:pStyle w:val="Prrafodelista"/>
        <w:numPr>
          <w:ilvl w:val="0"/>
          <w:numId w:val="118"/>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Establecer calendarios y horarios adecuados para promover la asistencia de los profesores y buscar patrocinio para su realización.</w:t>
      </w:r>
    </w:p>
    <w:p w14:paraId="5726786E" w14:textId="77777777" w:rsidR="006A5668" w:rsidRPr="007923C2" w:rsidRDefault="006A5668" w:rsidP="00A60C78">
      <w:pPr>
        <w:pStyle w:val="Prrafodelista"/>
        <w:numPr>
          <w:ilvl w:val="0"/>
          <w:numId w:val="118"/>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-Número de asistentes. </w:t>
      </w:r>
    </w:p>
    <w:p w14:paraId="79E6E7A7" w14:textId="77777777" w:rsidR="006A5668" w:rsidRPr="007923C2" w:rsidRDefault="006A5668" w:rsidP="00A60C78">
      <w:pPr>
        <w:pStyle w:val="Prrafodelista"/>
        <w:numPr>
          <w:ilvl w:val="0"/>
          <w:numId w:val="118"/>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-De acuerdo a los resultados de los cursos anteriores promover nuevos cursos de acuerdo a las necesidades detectadas.</w:t>
      </w:r>
      <w:r w:rsidRPr="007923C2">
        <w:rPr>
          <w:rFonts w:ascii="Arial" w:hAnsi="Arial" w:cs="Arial"/>
          <w:sz w:val="22"/>
          <w:szCs w:val="22"/>
        </w:rPr>
        <w:tab/>
      </w:r>
    </w:p>
    <w:p w14:paraId="2A51EDC0" w14:textId="77777777" w:rsidR="006A5668" w:rsidRPr="007923C2" w:rsidRDefault="006A5668" w:rsidP="006A5668">
      <w:pPr>
        <w:pStyle w:val="Prrafodelista"/>
        <w:spacing w:after="0" w:line="240" w:lineRule="auto"/>
        <w:ind w:left="780"/>
        <w:jc w:val="both"/>
        <w:rPr>
          <w:rFonts w:ascii="Arial" w:hAnsi="Arial" w:cs="Arial"/>
          <w:sz w:val="22"/>
          <w:szCs w:val="22"/>
        </w:rPr>
      </w:pPr>
    </w:p>
    <w:p w14:paraId="241AB0CC" w14:textId="77777777" w:rsidR="006A5668" w:rsidRPr="007923C2" w:rsidRDefault="00F45B56" w:rsidP="00F45B56">
      <w:pPr>
        <w:spacing w:after="0" w:line="240" w:lineRule="auto"/>
        <w:ind w:left="360"/>
        <w:contextualSpacing/>
        <w:jc w:val="both"/>
        <w:rPr>
          <w:rFonts w:ascii="Arial" w:hAnsi="Arial" w:cs="Arial"/>
          <w:b/>
          <w:sz w:val="22"/>
          <w:szCs w:val="22"/>
        </w:rPr>
      </w:pPr>
      <w:r w:rsidRPr="007923C2">
        <w:rPr>
          <w:rFonts w:ascii="Arial" w:hAnsi="Arial" w:cs="Arial"/>
          <w:b/>
          <w:sz w:val="22"/>
          <w:szCs w:val="22"/>
        </w:rPr>
        <w:t>3).-C</w:t>
      </w:r>
      <w:r w:rsidR="006A5668" w:rsidRPr="007923C2">
        <w:rPr>
          <w:rFonts w:ascii="Arial" w:hAnsi="Arial" w:cs="Arial"/>
          <w:b/>
          <w:sz w:val="22"/>
          <w:szCs w:val="22"/>
        </w:rPr>
        <w:t>omentarios.</w:t>
      </w:r>
    </w:p>
    <w:p w14:paraId="2EFD57FB" w14:textId="77777777" w:rsidR="006A5668" w:rsidRPr="007923C2" w:rsidRDefault="006A5668" w:rsidP="006A5668">
      <w:pPr>
        <w:pStyle w:val="Prrafodelista"/>
        <w:spacing w:after="0" w:line="240" w:lineRule="auto"/>
        <w:ind w:left="780"/>
        <w:jc w:val="both"/>
        <w:rPr>
          <w:rFonts w:ascii="Arial" w:hAnsi="Arial" w:cs="Arial"/>
          <w:sz w:val="22"/>
          <w:szCs w:val="22"/>
        </w:rPr>
      </w:pPr>
      <w:r w:rsidRPr="007923C2">
        <w:rPr>
          <w:rFonts w:ascii="Arial" w:hAnsi="Arial" w:cs="Arial"/>
          <w:sz w:val="22"/>
          <w:szCs w:val="22"/>
        </w:rPr>
        <w:lastRenderedPageBreak/>
        <w:t>El programa educativo no muestra evidencia de que sus docentes hayan realizado actividades de movilidad e intercambio de profesores.</w:t>
      </w:r>
    </w:p>
    <w:p w14:paraId="4824F1CE" w14:textId="77777777" w:rsidR="006A5668" w:rsidRPr="007923C2" w:rsidRDefault="006A5668" w:rsidP="006A5668">
      <w:pPr>
        <w:pStyle w:val="Prrafodelista"/>
        <w:spacing w:after="0" w:line="240" w:lineRule="auto"/>
        <w:ind w:left="780"/>
        <w:jc w:val="both"/>
        <w:rPr>
          <w:rFonts w:ascii="Arial" w:hAnsi="Arial" w:cs="Arial"/>
          <w:sz w:val="22"/>
          <w:szCs w:val="22"/>
        </w:rPr>
      </w:pPr>
    </w:p>
    <w:p w14:paraId="4C5D3976"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2F72449A" w14:textId="77777777" w:rsidR="006A5668" w:rsidRPr="007923C2" w:rsidRDefault="006A5668" w:rsidP="00A60C78">
      <w:pPr>
        <w:pStyle w:val="Prrafodelista"/>
        <w:numPr>
          <w:ilvl w:val="0"/>
          <w:numId w:val="119"/>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Fomentar la movilidad a través de educación a distancia, estancias cortas, convenios, año sabático, visitas a centros de investigación y asesorías a productores, empresas, preferenciando el área geográfica  local. </w:t>
      </w:r>
    </w:p>
    <w:p w14:paraId="4DBE8E87" w14:textId="77777777" w:rsidR="006A5668" w:rsidRPr="007923C2" w:rsidRDefault="006A5668" w:rsidP="00A60C78">
      <w:pPr>
        <w:pStyle w:val="Prrafodelista"/>
        <w:numPr>
          <w:ilvl w:val="0"/>
          <w:numId w:val="119"/>
        </w:numPr>
        <w:spacing w:after="0" w:line="240" w:lineRule="auto"/>
        <w:contextualSpacing/>
        <w:jc w:val="both"/>
        <w:rPr>
          <w:rFonts w:ascii="Arial" w:hAnsi="Arial" w:cs="Arial"/>
          <w:sz w:val="22"/>
          <w:szCs w:val="22"/>
        </w:rPr>
      </w:pPr>
      <w:r w:rsidRPr="007923C2">
        <w:rPr>
          <w:rFonts w:ascii="Arial" w:hAnsi="Arial" w:cs="Arial"/>
          <w:b/>
          <w:sz w:val="22"/>
          <w:szCs w:val="22"/>
        </w:rPr>
        <w:t xml:space="preserve">Meta- </w:t>
      </w:r>
      <w:r w:rsidRPr="007923C2">
        <w:rPr>
          <w:rFonts w:ascii="Arial" w:hAnsi="Arial" w:cs="Arial"/>
          <w:sz w:val="22"/>
          <w:szCs w:val="22"/>
        </w:rPr>
        <w:t>Que el 10 % de los profesores realice movilidad</w:t>
      </w:r>
    </w:p>
    <w:p w14:paraId="226EAEEE" w14:textId="77777777" w:rsidR="006A5668" w:rsidRPr="007923C2" w:rsidRDefault="006A5668" w:rsidP="00A60C78">
      <w:pPr>
        <w:pStyle w:val="Prrafodelista"/>
        <w:numPr>
          <w:ilvl w:val="0"/>
          <w:numId w:val="119"/>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 Establecer mecanismos para documentar la movilidad.</w:t>
      </w:r>
    </w:p>
    <w:p w14:paraId="0B39AACB" w14:textId="77777777" w:rsidR="006A5668" w:rsidRPr="007923C2" w:rsidRDefault="006A5668" w:rsidP="00A60C78">
      <w:pPr>
        <w:pStyle w:val="Prrafodelista"/>
        <w:numPr>
          <w:ilvl w:val="0"/>
          <w:numId w:val="119"/>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Evaluación de los reportes de movilidad.</w:t>
      </w:r>
    </w:p>
    <w:p w14:paraId="3E59E86A" w14:textId="77777777" w:rsidR="006A5668" w:rsidRPr="007923C2" w:rsidRDefault="006A5668" w:rsidP="00A60C78">
      <w:pPr>
        <w:pStyle w:val="Prrafodelista"/>
        <w:numPr>
          <w:ilvl w:val="0"/>
          <w:numId w:val="119"/>
        </w:numPr>
        <w:spacing w:after="0" w:line="240" w:lineRule="auto"/>
        <w:contextualSpacing/>
        <w:jc w:val="both"/>
        <w:rPr>
          <w:rFonts w:ascii="Arial" w:hAnsi="Arial" w:cs="Arial"/>
          <w:sz w:val="22"/>
          <w:szCs w:val="22"/>
        </w:rPr>
      </w:pPr>
      <w:r w:rsidRPr="007923C2">
        <w:rPr>
          <w:rFonts w:ascii="Arial" w:hAnsi="Arial" w:cs="Arial"/>
          <w:b/>
          <w:sz w:val="22"/>
          <w:szCs w:val="22"/>
        </w:rPr>
        <w:t xml:space="preserve">Retroalimentación- </w:t>
      </w:r>
      <w:r w:rsidRPr="007923C2">
        <w:rPr>
          <w:rFonts w:ascii="Arial" w:hAnsi="Arial" w:cs="Arial"/>
          <w:sz w:val="22"/>
          <w:szCs w:val="22"/>
        </w:rPr>
        <w:t>Continuar promoviendo la movilidad docente de acuerdo a las necesidades del programa.</w:t>
      </w:r>
      <w:r w:rsidRPr="007923C2">
        <w:rPr>
          <w:rFonts w:ascii="Arial" w:hAnsi="Arial" w:cs="Arial"/>
          <w:sz w:val="22"/>
          <w:szCs w:val="22"/>
        </w:rPr>
        <w:tab/>
      </w:r>
    </w:p>
    <w:p w14:paraId="1A360CF7" w14:textId="77777777" w:rsidR="006A5668" w:rsidRPr="007923C2" w:rsidRDefault="006A5668" w:rsidP="006A5668">
      <w:pPr>
        <w:spacing w:after="0" w:line="240" w:lineRule="auto"/>
        <w:jc w:val="both"/>
        <w:rPr>
          <w:rFonts w:ascii="Arial" w:hAnsi="Arial" w:cs="Arial"/>
          <w:sz w:val="22"/>
          <w:szCs w:val="22"/>
        </w:rPr>
      </w:pPr>
    </w:p>
    <w:p w14:paraId="269C2D22" w14:textId="77777777" w:rsidR="006A5668" w:rsidRPr="007923C2" w:rsidRDefault="00F45B56" w:rsidP="00F45B56">
      <w:pPr>
        <w:spacing w:after="0" w:line="240" w:lineRule="auto"/>
        <w:ind w:left="360"/>
        <w:contextualSpacing/>
        <w:jc w:val="both"/>
        <w:rPr>
          <w:rFonts w:ascii="Arial" w:hAnsi="Arial" w:cs="Arial"/>
          <w:b/>
          <w:sz w:val="22"/>
          <w:szCs w:val="22"/>
        </w:rPr>
      </w:pPr>
      <w:r w:rsidRPr="007923C2">
        <w:rPr>
          <w:rFonts w:ascii="Arial" w:hAnsi="Arial" w:cs="Arial"/>
          <w:b/>
          <w:sz w:val="22"/>
          <w:szCs w:val="22"/>
        </w:rPr>
        <w:t>4).-</w:t>
      </w:r>
      <w:r w:rsidR="006A5668" w:rsidRPr="007923C2">
        <w:rPr>
          <w:rFonts w:ascii="Arial" w:hAnsi="Arial" w:cs="Arial"/>
          <w:b/>
          <w:sz w:val="22"/>
          <w:szCs w:val="22"/>
        </w:rPr>
        <w:t>Comentarios</w:t>
      </w:r>
    </w:p>
    <w:p w14:paraId="507C3D2E" w14:textId="77777777" w:rsidR="006A5668" w:rsidRPr="007923C2" w:rsidRDefault="006A5668" w:rsidP="006A5668">
      <w:pPr>
        <w:pStyle w:val="Prrafodelista"/>
        <w:spacing w:after="0" w:line="240" w:lineRule="auto"/>
        <w:ind w:left="780"/>
        <w:jc w:val="both"/>
        <w:rPr>
          <w:rFonts w:ascii="Arial" w:hAnsi="Arial" w:cs="Arial"/>
          <w:sz w:val="22"/>
          <w:szCs w:val="22"/>
        </w:rPr>
      </w:pPr>
      <w:r w:rsidRPr="007923C2">
        <w:rPr>
          <w:rFonts w:ascii="Arial" w:hAnsi="Arial" w:cs="Arial"/>
          <w:sz w:val="22"/>
          <w:szCs w:val="22"/>
        </w:rPr>
        <w:t>La evaluación docente no presenta evidencias de que a partir de los resultados de la evaluación del personal académico se tomen acciones o medidas correctivas como capacitación docente y disciplinarias.</w:t>
      </w:r>
    </w:p>
    <w:p w14:paraId="4943E0A8" w14:textId="77777777" w:rsidR="00A66160" w:rsidRDefault="00A66160" w:rsidP="006A5668">
      <w:pPr>
        <w:spacing w:after="0" w:line="240" w:lineRule="auto"/>
        <w:ind w:left="708"/>
        <w:jc w:val="both"/>
        <w:rPr>
          <w:rFonts w:ascii="Arial" w:hAnsi="Arial" w:cs="Arial"/>
          <w:b/>
          <w:sz w:val="22"/>
          <w:szCs w:val="22"/>
        </w:rPr>
      </w:pPr>
    </w:p>
    <w:p w14:paraId="4C0E69CB"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5FFD65A3" w14:textId="77777777" w:rsidR="006A5668" w:rsidRPr="007923C2" w:rsidRDefault="006A5668" w:rsidP="00A60C78">
      <w:pPr>
        <w:pStyle w:val="Prrafodelista"/>
        <w:numPr>
          <w:ilvl w:val="0"/>
          <w:numId w:val="120"/>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Promover la mejora continua de los profesores del Programa Docente </w:t>
      </w:r>
    </w:p>
    <w:p w14:paraId="173116B4" w14:textId="77777777" w:rsidR="006A5668" w:rsidRPr="007923C2" w:rsidRDefault="006A5668" w:rsidP="00A60C78">
      <w:pPr>
        <w:pStyle w:val="Prrafodelista"/>
        <w:numPr>
          <w:ilvl w:val="0"/>
          <w:numId w:val="120"/>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-Detectar y documentar el cumplimiento laboral y académico del docente.</w:t>
      </w:r>
    </w:p>
    <w:p w14:paraId="5140ADDD" w14:textId="77777777" w:rsidR="006A5668" w:rsidRPr="007923C2" w:rsidRDefault="006A5668" w:rsidP="00A60C78">
      <w:pPr>
        <w:pStyle w:val="Prrafodelista"/>
        <w:numPr>
          <w:ilvl w:val="0"/>
          <w:numId w:val="120"/>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-Analizar los reportes generados por la Dirección de Docencia, constancia de asistencia a clases, salidas a prácticas.</w:t>
      </w:r>
    </w:p>
    <w:p w14:paraId="395AD326" w14:textId="77777777" w:rsidR="006A5668" w:rsidRPr="007923C2" w:rsidRDefault="006A5668" w:rsidP="00A60C78">
      <w:pPr>
        <w:pStyle w:val="Prrafodelista"/>
        <w:numPr>
          <w:ilvl w:val="0"/>
          <w:numId w:val="120"/>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Enviar a la autoridad correspondiente los problemas laborables y académicos detectados.</w:t>
      </w:r>
    </w:p>
    <w:p w14:paraId="6C6326CD" w14:textId="77777777" w:rsidR="006A5668" w:rsidRPr="007923C2" w:rsidRDefault="006A5668" w:rsidP="00A60C78">
      <w:pPr>
        <w:pStyle w:val="Prrafodelista"/>
        <w:numPr>
          <w:ilvl w:val="0"/>
          <w:numId w:val="120"/>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 Vigilar que se tomen las medidas administrativas pertinentes, que se actualicen las encuestas y se tomen en cuenta otros parámetros de evaluación.</w:t>
      </w:r>
    </w:p>
    <w:p w14:paraId="32D48A0C" w14:textId="77777777" w:rsidR="006A5668" w:rsidRPr="007923C2" w:rsidRDefault="006A5668" w:rsidP="006A5668">
      <w:pPr>
        <w:spacing w:after="0" w:line="240" w:lineRule="auto"/>
        <w:jc w:val="both"/>
        <w:rPr>
          <w:rFonts w:ascii="Arial" w:hAnsi="Arial" w:cs="Arial"/>
          <w:sz w:val="22"/>
          <w:szCs w:val="22"/>
        </w:rPr>
      </w:pPr>
    </w:p>
    <w:p w14:paraId="1EC0C6B4" w14:textId="77777777" w:rsidR="006A5668" w:rsidRPr="007923C2" w:rsidRDefault="00F45B56" w:rsidP="00F45B56">
      <w:pPr>
        <w:spacing w:after="0" w:line="240" w:lineRule="auto"/>
        <w:ind w:left="360"/>
        <w:contextualSpacing/>
        <w:jc w:val="both"/>
        <w:rPr>
          <w:rFonts w:ascii="Arial" w:hAnsi="Arial" w:cs="Arial"/>
          <w:b/>
          <w:sz w:val="22"/>
          <w:szCs w:val="22"/>
        </w:rPr>
      </w:pPr>
      <w:r w:rsidRPr="007923C2">
        <w:rPr>
          <w:rFonts w:ascii="Arial" w:hAnsi="Arial" w:cs="Arial"/>
          <w:b/>
          <w:sz w:val="22"/>
          <w:szCs w:val="22"/>
        </w:rPr>
        <w:t>5).-</w:t>
      </w:r>
      <w:r w:rsidR="006A5668" w:rsidRPr="007923C2">
        <w:rPr>
          <w:rFonts w:ascii="Arial" w:hAnsi="Arial" w:cs="Arial"/>
          <w:b/>
          <w:sz w:val="22"/>
          <w:szCs w:val="22"/>
        </w:rPr>
        <w:t>Comentarios</w:t>
      </w:r>
    </w:p>
    <w:p w14:paraId="6493A0C9" w14:textId="77777777" w:rsidR="006A5668" w:rsidRDefault="006A5668" w:rsidP="006A5668">
      <w:pPr>
        <w:pStyle w:val="Prrafodelista"/>
        <w:spacing w:after="0" w:line="240" w:lineRule="auto"/>
        <w:ind w:left="780"/>
        <w:jc w:val="both"/>
        <w:rPr>
          <w:rFonts w:ascii="Arial" w:hAnsi="Arial" w:cs="Arial"/>
          <w:sz w:val="22"/>
          <w:szCs w:val="22"/>
        </w:rPr>
      </w:pPr>
      <w:r w:rsidRPr="007923C2">
        <w:rPr>
          <w:rFonts w:ascii="Arial" w:hAnsi="Arial" w:cs="Arial"/>
          <w:sz w:val="22"/>
          <w:szCs w:val="22"/>
        </w:rPr>
        <w:t>El trabajo colegiado de los profesores se realiza en las academias departamentales para planear organizar y ejecutar acciones para la operación y mejora de las actividades docentes.</w:t>
      </w:r>
    </w:p>
    <w:p w14:paraId="0E8C1E1B" w14:textId="77777777" w:rsidR="00A66160" w:rsidRPr="007923C2" w:rsidRDefault="00A66160" w:rsidP="006A5668">
      <w:pPr>
        <w:pStyle w:val="Prrafodelista"/>
        <w:spacing w:after="0" w:line="240" w:lineRule="auto"/>
        <w:ind w:left="780"/>
        <w:jc w:val="both"/>
        <w:rPr>
          <w:rFonts w:ascii="Arial" w:hAnsi="Arial" w:cs="Arial"/>
          <w:sz w:val="22"/>
          <w:szCs w:val="22"/>
        </w:rPr>
      </w:pPr>
    </w:p>
    <w:p w14:paraId="306BB88B"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2F9371F5" w14:textId="77777777" w:rsidR="006A5668" w:rsidRPr="007923C2" w:rsidRDefault="006A5668" w:rsidP="00A60C78">
      <w:pPr>
        <w:pStyle w:val="Prrafodelista"/>
        <w:numPr>
          <w:ilvl w:val="0"/>
          <w:numId w:val="121"/>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Organizar y mejorar el desempeño de las actividades académicas. </w:t>
      </w:r>
    </w:p>
    <w:p w14:paraId="46878617" w14:textId="77777777" w:rsidR="006A5668" w:rsidRPr="007923C2" w:rsidRDefault="006A5668" w:rsidP="00A60C78">
      <w:pPr>
        <w:pStyle w:val="Prrafodelista"/>
        <w:numPr>
          <w:ilvl w:val="0"/>
          <w:numId w:val="121"/>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Mejorar el funcionamiento de las academias de materias y establecer  cuerpos académicos. </w:t>
      </w:r>
    </w:p>
    <w:p w14:paraId="58300223" w14:textId="77777777" w:rsidR="006A5668" w:rsidRPr="007923C2" w:rsidRDefault="006A5668" w:rsidP="00A60C78">
      <w:pPr>
        <w:pStyle w:val="Prrafodelista"/>
        <w:numPr>
          <w:ilvl w:val="0"/>
          <w:numId w:val="121"/>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 Que los coordinadores de materias  organicen reuniones regulares. </w:t>
      </w:r>
    </w:p>
    <w:p w14:paraId="44CED421" w14:textId="77777777" w:rsidR="006A5668" w:rsidRPr="007923C2" w:rsidRDefault="006A5668" w:rsidP="00A60C78">
      <w:pPr>
        <w:pStyle w:val="Prrafodelista"/>
        <w:numPr>
          <w:ilvl w:val="0"/>
          <w:numId w:val="121"/>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Elaborar minutas de las reuniones para evaluar el trabajo realizado tanto de academias como de cuerpos académicos. </w:t>
      </w:r>
    </w:p>
    <w:p w14:paraId="4DACC08B" w14:textId="77777777" w:rsidR="006A5668" w:rsidRPr="007923C2" w:rsidRDefault="006A5668" w:rsidP="00A60C78">
      <w:pPr>
        <w:pStyle w:val="Prrafodelista"/>
        <w:numPr>
          <w:ilvl w:val="0"/>
          <w:numId w:val="121"/>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 xml:space="preserve"> Verificar que se cumpla con el calendario de las reuniones de academia.</w:t>
      </w:r>
      <w:r w:rsidRPr="007923C2">
        <w:rPr>
          <w:rFonts w:ascii="Arial" w:hAnsi="Arial" w:cs="Arial"/>
          <w:sz w:val="22"/>
          <w:szCs w:val="22"/>
        </w:rPr>
        <w:tab/>
      </w:r>
    </w:p>
    <w:p w14:paraId="77636411" w14:textId="77777777" w:rsidR="006A5668" w:rsidRPr="007923C2" w:rsidRDefault="006A5668" w:rsidP="006A5668">
      <w:pPr>
        <w:spacing w:after="0" w:line="240" w:lineRule="auto"/>
        <w:jc w:val="both"/>
        <w:rPr>
          <w:rFonts w:ascii="Arial" w:hAnsi="Arial" w:cs="Arial"/>
          <w:sz w:val="22"/>
          <w:szCs w:val="22"/>
        </w:rPr>
      </w:pPr>
    </w:p>
    <w:p w14:paraId="3B02DCA2" w14:textId="77777777" w:rsidR="006A5668" w:rsidRPr="007923C2" w:rsidRDefault="006A5668" w:rsidP="006A5668">
      <w:pPr>
        <w:spacing w:after="0" w:line="240" w:lineRule="auto"/>
        <w:ind w:left="360"/>
        <w:jc w:val="both"/>
        <w:rPr>
          <w:rFonts w:ascii="Arial" w:hAnsi="Arial" w:cs="Arial"/>
          <w:b/>
          <w:sz w:val="22"/>
          <w:szCs w:val="22"/>
        </w:rPr>
      </w:pPr>
      <w:r w:rsidRPr="007923C2">
        <w:rPr>
          <w:rFonts w:ascii="Arial" w:hAnsi="Arial" w:cs="Arial"/>
          <w:b/>
          <w:sz w:val="22"/>
          <w:szCs w:val="22"/>
        </w:rPr>
        <w:t>5.</w:t>
      </w:r>
      <w:r w:rsidRPr="007923C2">
        <w:rPr>
          <w:rFonts w:ascii="Arial" w:hAnsi="Arial" w:cs="Arial"/>
          <w:b/>
          <w:sz w:val="22"/>
          <w:szCs w:val="22"/>
        </w:rPr>
        <w:tab/>
        <w:t>Alumnos</w:t>
      </w:r>
    </w:p>
    <w:p w14:paraId="77D70173" w14:textId="77777777" w:rsidR="006A5668" w:rsidRPr="007923C2" w:rsidRDefault="00F45B56" w:rsidP="006A5668">
      <w:pPr>
        <w:spacing w:after="0" w:line="240" w:lineRule="auto"/>
        <w:ind w:left="360"/>
        <w:jc w:val="both"/>
        <w:rPr>
          <w:rFonts w:ascii="Arial" w:hAnsi="Arial" w:cs="Arial"/>
          <w:b/>
          <w:sz w:val="22"/>
          <w:szCs w:val="22"/>
        </w:rPr>
      </w:pPr>
      <w:r w:rsidRPr="007923C2">
        <w:rPr>
          <w:rFonts w:ascii="Arial" w:hAnsi="Arial" w:cs="Arial"/>
          <w:b/>
          <w:sz w:val="22"/>
          <w:szCs w:val="22"/>
        </w:rPr>
        <w:t>1).-</w:t>
      </w:r>
      <w:r w:rsidR="006A5668" w:rsidRPr="007923C2">
        <w:rPr>
          <w:rFonts w:ascii="Arial" w:hAnsi="Arial" w:cs="Arial"/>
          <w:b/>
          <w:sz w:val="22"/>
          <w:szCs w:val="22"/>
        </w:rPr>
        <w:t>Comentario</w:t>
      </w:r>
    </w:p>
    <w:p w14:paraId="0E5F8760" w14:textId="77777777" w:rsidR="006A5668" w:rsidRPr="007923C2" w:rsidRDefault="006A5668" w:rsidP="006A5668">
      <w:pPr>
        <w:spacing w:after="0" w:line="240" w:lineRule="auto"/>
        <w:ind w:firstLine="708"/>
        <w:jc w:val="both"/>
        <w:rPr>
          <w:rFonts w:ascii="Arial" w:hAnsi="Arial" w:cs="Arial"/>
          <w:sz w:val="22"/>
          <w:szCs w:val="22"/>
        </w:rPr>
      </w:pPr>
    </w:p>
    <w:p w14:paraId="01D92540" w14:textId="77777777" w:rsidR="006A5668" w:rsidRPr="007923C2" w:rsidRDefault="006A5668" w:rsidP="006A5668">
      <w:pPr>
        <w:tabs>
          <w:tab w:val="left" w:pos="709"/>
        </w:tabs>
        <w:spacing w:after="0" w:line="240" w:lineRule="auto"/>
        <w:ind w:left="709"/>
        <w:jc w:val="both"/>
        <w:rPr>
          <w:rFonts w:ascii="Arial" w:hAnsi="Arial" w:cs="Arial"/>
          <w:sz w:val="22"/>
          <w:szCs w:val="22"/>
        </w:rPr>
      </w:pPr>
      <w:r w:rsidRPr="007923C2">
        <w:rPr>
          <w:rFonts w:ascii="Arial" w:hAnsi="Arial" w:cs="Arial"/>
          <w:sz w:val="22"/>
          <w:szCs w:val="22"/>
        </w:rPr>
        <w:t>El programa educativo no cuenta con un programa formal de asesorías académicas para dar el seguimiento y evaluación de manera efectiva.</w:t>
      </w:r>
    </w:p>
    <w:p w14:paraId="0276C4A5" w14:textId="77777777" w:rsidR="006A5668" w:rsidRPr="007923C2" w:rsidRDefault="006A5668" w:rsidP="006A5668">
      <w:pPr>
        <w:spacing w:after="0" w:line="240" w:lineRule="auto"/>
        <w:jc w:val="both"/>
        <w:rPr>
          <w:rFonts w:ascii="Arial" w:hAnsi="Arial" w:cs="Arial"/>
          <w:sz w:val="22"/>
          <w:szCs w:val="22"/>
        </w:rPr>
      </w:pPr>
    </w:p>
    <w:p w14:paraId="2162B0DB"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622793E6" w14:textId="77777777" w:rsidR="006A5668" w:rsidRPr="007923C2" w:rsidRDefault="006A5668" w:rsidP="00A60C78">
      <w:pPr>
        <w:pStyle w:val="Prrafodelista"/>
        <w:numPr>
          <w:ilvl w:val="0"/>
          <w:numId w:val="122"/>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Formalizar el proceso de asesoría académica</w:t>
      </w:r>
    </w:p>
    <w:p w14:paraId="2361C8A8" w14:textId="77777777" w:rsidR="006A5668" w:rsidRPr="007923C2" w:rsidRDefault="006A5668" w:rsidP="00A60C78">
      <w:pPr>
        <w:pStyle w:val="Prrafodelista"/>
        <w:numPr>
          <w:ilvl w:val="0"/>
          <w:numId w:val="122"/>
        </w:numPr>
        <w:spacing w:after="0" w:line="240" w:lineRule="auto"/>
        <w:contextualSpacing/>
        <w:jc w:val="both"/>
        <w:rPr>
          <w:rFonts w:ascii="Arial" w:hAnsi="Arial" w:cs="Arial"/>
          <w:sz w:val="22"/>
          <w:szCs w:val="22"/>
        </w:rPr>
      </w:pPr>
      <w:r w:rsidRPr="007923C2">
        <w:rPr>
          <w:rFonts w:ascii="Arial" w:hAnsi="Arial" w:cs="Arial"/>
          <w:b/>
          <w:sz w:val="22"/>
          <w:szCs w:val="22"/>
        </w:rPr>
        <w:lastRenderedPageBreak/>
        <w:t>Meta</w:t>
      </w:r>
      <w:r w:rsidRPr="007923C2">
        <w:rPr>
          <w:rFonts w:ascii="Arial" w:hAnsi="Arial" w:cs="Arial"/>
          <w:sz w:val="22"/>
          <w:szCs w:val="22"/>
        </w:rPr>
        <w:t xml:space="preserve"> A partir de las asesorías de tesis lograr que aumente el índice de titulación, establecer un horario de asesoría para los cursos vigentes. </w:t>
      </w:r>
    </w:p>
    <w:p w14:paraId="795B904C" w14:textId="77777777" w:rsidR="006A5668" w:rsidRPr="007923C2" w:rsidRDefault="006A5668" w:rsidP="00A60C78">
      <w:pPr>
        <w:pStyle w:val="Prrafodelista"/>
        <w:numPr>
          <w:ilvl w:val="0"/>
          <w:numId w:val="122"/>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 Llevar un registro de las asesorías impartidas y reportarlas mensualmente.</w:t>
      </w:r>
    </w:p>
    <w:p w14:paraId="48BBA773" w14:textId="77777777" w:rsidR="006A5668" w:rsidRPr="007923C2" w:rsidRDefault="006A5668" w:rsidP="00A60C78">
      <w:pPr>
        <w:pStyle w:val="Prrafodelista"/>
        <w:numPr>
          <w:ilvl w:val="0"/>
          <w:numId w:val="122"/>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Presentar el calendario de asesorías efectuadas y sus registros correspondientes y las tesis asesoradas.</w:t>
      </w:r>
    </w:p>
    <w:p w14:paraId="6213B9B9" w14:textId="77777777" w:rsidR="006A5668" w:rsidRPr="007923C2" w:rsidRDefault="006A5668" w:rsidP="00A60C78">
      <w:pPr>
        <w:pStyle w:val="Prrafodelista"/>
        <w:numPr>
          <w:ilvl w:val="0"/>
          <w:numId w:val="122"/>
        </w:numPr>
        <w:spacing w:after="0" w:line="240" w:lineRule="auto"/>
        <w:contextualSpacing/>
        <w:jc w:val="both"/>
        <w:rPr>
          <w:rFonts w:ascii="Arial" w:hAnsi="Arial" w:cs="Arial"/>
          <w:sz w:val="22"/>
          <w:szCs w:val="22"/>
        </w:rPr>
      </w:pPr>
      <w:r w:rsidRPr="007923C2">
        <w:rPr>
          <w:rFonts w:ascii="Arial" w:hAnsi="Arial" w:cs="Arial"/>
          <w:b/>
          <w:sz w:val="22"/>
          <w:szCs w:val="22"/>
        </w:rPr>
        <w:t xml:space="preserve">Retroalimentación </w:t>
      </w:r>
      <w:r w:rsidRPr="007923C2">
        <w:rPr>
          <w:rFonts w:ascii="Arial" w:hAnsi="Arial" w:cs="Arial"/>
          <w:sz w:val="22"/>
          <w:szCs w:val="22"/>
        </w:rPr>
        <w:t>Analizar periódicamente los registros.</w:t>
      </w:r>
    </w:p>
    <w:p w14:paraId="29C8CAF8" w14:textId="77777777" w:rsidR="006A5668" w:rsidRPr="007923C2" w:rsidRDefault="006A5668" w:rsidP="006A5668">
      <w:pPr>
        <w:spacing w:after="0" w:line="240" w:lineRule="auto"/>
        <w:jc w:val="both"/>
        <w:rPr>
          <w:rFonts w:ascii="Arial" w:hAnsi="Arial" w:cs="Arial"/>
          <w:sz w:val="22"/>
          <w:szCs w:val="22"/>
        </w:rPr>
      </w:pPr>
    </w:p>
    <w:p w14:paraId="171F60FE" w14:textId="77777777" w:rsidR="006A5668" w:rsidRPr="007923C2" w:rsidRDefault="00F45B56" w:rsidP="006A5668">
      <w:pPr>
        <w:spacing w:after="0" w:line="240" w:lineRule="auto"/>
        <w:jc w:val="both"/>
        <w:rPr>
          <w:rFonts w:ascii="Arial" w:hAnsi="Arial" w:cs="Arial"/>
          <w:b/>
          <w:sz w:val="22"/>
          <w:szCs w:val="22"/>
        </w:rPr>
      </w:pPr>
      <w:r w:rsidRPr="007923C2">
        <w:rPr>
          <w:rFonts w:ascii="Arial" w:hAnsi="Arial" w:cs="Arial"/>
          <w:b/>
          <w:sz w:val="22"/>
          <w:szCs w:val="22"/>
        </w:rPr>
        <w:t xml:space="preserve">       2).-</w:t>
      </w:r>
      <w:r w:rsidR="006A5668" w:rsidRPr="007923C2">
        <w:rPr>
          <w:rFonts w:ascii="Arial" w:hAnsi="Arial" w:cs="Arial"/>
          <w:b/>
          <w:sz w:val="22"/>
          <w:szCs w:val="22"/>
        </w:rPr>
        <w:t>Comentario</w:t>
      </w:r>
    </w:p>
    <w:p w14:paraId="29D89C09" w14:textId="77777777" w:rsidR="006A5668" w:rsidRPr="007923C2" w:rsidRDefault="006A5668" w:rsidP="006A5668">
      <w:pPr>
        <w:spacing w:after="0" w:line="240" w:lineRule="auto"/>
        <w:ind w:left="709" w:hanging="709"/>
        <w:jc w:val="both"/>
        <w:rPr>
          <w:rFonts w:ascii="Arial" w:hAnsi="Arial" w:cs="Arial"/>
          <w:sz w:val="22"/>
          <w:szCs w:val="22"/>
        </w:rPr>
      </w:pPr>
      <w:r w:rsidRPr="007923C2">
        <w:rPr>
          <w:rFonts w:ascii="Arial" w:hAnsi="Arial" w:cs="Arial"/>
          <w:sz w:val="22"/>
          <w:szCs w:val="22"/>
        </w:rPr>
        <w:tab/>
        <w:t>Los alumnos manifiestan que existe insatisfacción en la forma de asignar los tutores, que no existe confianza hacia los tutores designados, los profesores no muestran interés y tienen apatía a esta actividad.</w:t>
      </w:r>
    </w:p>
    <w:p w14:paraId="75E6BBBD" w14:textId="77777777" w:rsidR="006A5668" w:rsidRPr="007923C2" w:rsidRDefault="006A5668" w:rsidP="006A5668">
      <w:pPr>
        <w:spacing w:after="0" w:line="240" w:lineRule="auto"/>
        <w:jc w:val="both"/>
        <w:rPr>
          <w:rFonts w:ascii="Arial" w:hAnsi="Arial" w:cs="Arial"/>
          <w:sz w:val="22"/>
          <w:szCs w:val="22"/>
        </w:rPr>
      </w:pPr>
    </w:p>
    <w:p w14:paraId="2FBD43E3"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0AE2299E" w14:textId="77777777" w:rsidR="006A5668" w:rsidRPr="007923C2" w:rsidRDefault="006A5668" w:rsidP="00A60C78">
      <w:pPr>
        <w:pStyle w:val="Prrafodelista"/>
        <w:numPr>
          <w:ilvl w:val="0"/>
          <w:numId w:val="123"/>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Que el tutor forme parte activa de la actividad académica de los estudiantes. </w:t>
      </w:r>
    </w:p>
    <w:p w14:paraId="2163572F" w14:textId="77777777" w:rsidR="006A5668" w:rsidRPr="007923C2" w:rsidRDefault="006A5668" w:rsidP="00A60C78">
      <w:pPr>
        <w:pStyle w:val="Prrafodelista"/>
        <w:numPr>
          <w:ilvl w:val="0"/>
          <w:numId w:val="123"/>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Establecer  en que parte de su formación académica incide la labor de tutoría.  </w:t>
      </w:r>
    </w:p>
    <w:p w14:paraId="7B14762B" w14:textId="77777777" w:rsidR="006A5668" w:rsidRPr="007923C2" w:rsidRDefault="006A5668" w:rsidP="00A60C78">
      <w:pPr>
        <w:pStyle w:val="Prrafodelista"/>
        <w:numPr>
          <w:ilvl w:val="0"/>
          <w:numId w:val="123"/>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 Reorganizar la asignación de tutores y mejorar los mecanismos de control de asistencia tanto maestros y alumnos, reglamentar a nivel Programa Docente el cumplimiento de al menos 2 sesiones de tutoría por semestre para poder inscribirse y establecer el compromiso del tutor de controlar el proceso de elaboración de carga académica del alumno al inscribirse. </w:t>
      </w:r>
    </w:p>
    <w:p w14:paraId="5B06567E" w14:textId="77777777" w:rsidR="006A5668" w:rsidRPr="007923C2" w:rsidRDefault="006A5668" w:rsidP="00A60C78">
      <w:pPr>
        <w:pStyle w:val="Prrafodelista"/>
        <w:numPr>
          <w:ilvl w:val="0"/>
          <w:numId w:val="123"/>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Presentar un control del número de alumnos que asistieron a tutoría.</w:t>
      </w:r>
    </w:p>
    <w:p w14:paraId="1D30F7D1" w14:textId="77777777" w:rsidR="006A5668" w:rsidRPr="007923C2" w:rsidRDefault="006A5668" w:rsidP="00A60C78">
      <w:pPr>
        <w:pStyle w:val="Prrafodelista"/>
        <w:numPr>
          <w:ilvl w:val="0"/>
          <w:numId w:val="123"/>
        </w:numPr>
        <w:spacing w:after="0" w:line="240" w:lineRule="auto"/>
        <w:contextualSpacing/>
        <w:jc w:val="both"/>
        <w:rPr>
          <w:rFonts w:ascii="Arial" w:hAnsi="Arial" w:cs="Arial"/>
          <w:sz w:val="22"/>
          <w:szCs w:val="22"/>
        </w:rPr>
      </w:pPr>
      <w:r w:rsidRPr="007923C2">
        <w:rPr>
          <w:rFonts w:ascii="Arial" w:hAnsi="Arial" w:cs="Arial"/>
          <w:b/>
          <w:sz w:val="22"/>
          <w:szCs w:val="22"/>
        </w:rPr>
        <w:t xml:space="preserve">Retroalimentación </w:t>
      </w:r>
      <w:r w:rsidRPr="007923C2">
        <w:rPr>
          <w:rFonts w:ascii="Arial" w:hAnsi="Arial" w:cs="Arial"/>
          <w:sz w:val="22"/>
          <w:szCs w:val="22"/>
        </w:rPr>
        <w:t xml:space="preserve">De acuerdo a los resultados obtenidos cada semestre tomar medidas para seguir mejorando el proceso. </w:t>
      </w:r>
    </w:p>
    <w:p w14:paraId="7A9FD0CF" w14:textId="77777777" w:rsidR="006A5668" w:rsidRPr="007923C2" w:rsidRDefault="006A5668" w:rsidP="006A5668">
      <w:pPr>
        <w:spacing w:after="0" w:line="240" w:lineRule="auto"/>
        <w:jc w:val="both"/>
        <w:rPr>
          <w:rFonts w:ascii="Arial" w:hAnsi="Arial" w:cs="Arial"/>
          <w:sz w:val="22"/>
          <w:szCs w:val="22"/>
        </w:rPr>
      </w:pPr>
    </w:p>
    <w:p w14:paraId="601A84C4" w14:textId="77777777" w:rsidR="006A5668" w:rsidRPr="007923C2" w:rsidRDefault="006A5668" w:rsidP="006A5668">
      <w:pPr>
        <w:spacing w:after="0" w:line="240" w:lineRule="auto"/>
        <w:jc w:val="both"/>
        <w:rPr>
          <w:rFonts w:ascii="Arial" w:hAnsi="Arial" w:cs="Arial"/>
          <w:b/>
          <w:sz w:val="22"/>
          <w:szCs w:val="22"/>
        </w:rPr>
      </w:pPr>
      <w:r w:rsidRPr="007923C2">
        <w:rPr>
          <w:rFonts w:ascii="Arial" w:hAnsi="Arial" w:cs="Arial"/>
          <w:b/>
          <w:sz w:val="22"/>
          <w:szCs w:val="22"/>
        </w:rPr>
        <w:t>6.  Trascendencia del Programa</w:t>
      </w:r>
    </w:p>
    <w:p w14:paraId="74643EDF" w14:textId="77777777" w:rsidR="006A5668" w:rsidRPr="007923C2" w:rsidRDefault="006A5668" w:rsidP="006A5668">
      <w:pPr>
        <w:spacing w:after="0" w:line="240" w:lineRule="auto"/>
        <w:jc w:val="both"/>
        <w:rPr>
          <w:rFonts w:ascii="Arial" w:hAnsi="Arial" w:cs="Arial"/>
          <w:b/>
          <w:sz w:val="22"/>
          <w:szCs w:val="22"/>
        </w:rPr>
      </w:pPr>
      <w:r w:rsidRPr="007923C2">
        <w:rPr>
          <w:rFonts w:ascii="Arial" w:hAnsi="Arial" w:cs="Arial"/>
          <w:b/>
          <w:sz w:val="22"/>
          <w:szCs w:val="22"/>
        </w:rPr>
        <w:tab/>
      </w:r>
      <w:r w:rsidRPr="007923C2">
        <w:rPr>
          <w:rFonts w:ascii="Arial" w:hAnsi="Arial" w:cs="Arial"/>
          <w:b/>
          <w:sz w:val="22"/>
          <w:szCs w:val="22"/>
        </w:rPr>
        <w:tab/>
      </w:r>
    </w:p>
    <w:p w14:paraId="44CCF1E3" w14:textId="77777777" w:rsidR="006A5668" w:rsidRPr="007923C2" w:rsidRDefault="006A5668" w:rsidP="006A5668">
      <w:pPr>
        <w:spacing w:after="0" w:line="240" w:lineRule="auto"/>
        <w:ind w:left="709" w:hanging="709"/>
        <w:jc w:val="both"/>
        <w:rPr>
          <w:rFonts w:ascii="Arial" w:hAnsi="Arial" w:cs="Arial"/>
          <w:b/>
          <w:sz w:val="22"/>
          <w:szCs w:val="22"/>
        </w:rPr>
      </w:pPr>
      <w:r w:rsidRPr="007923C2">
        <w:rPr>
          <w:rFonts w:ascii="Arial" w:hAnsi="Arial" w:cs="Arial"/>
          <w:sz w:val="22"/>
          <w:szCs w:val="22"/>
        </w:rPr>
        <w:tab/>
      </w:r>
      <w:r w:rsidRPr="007923C2">
        <w:rPr>
          <w:rFonts w:ascii="Arial" w:hAnsi="Arial" w:cs="Arial"/>
          <w:b/>
          <w:sz w:val="22"/>
          <w:szCs w:val="22"/>
        </w:rPr>
        <w:t>Comentario</w:t>
      </w:r>
    </w:p>
    <w:p w14:paraId="05687B7E" w14:textId="77777777" w:rsidR="006A5668" w:rsidRPr="007923C2" w:rsidRDefault="006A5668" w:rsidP="006A5668">
      <w:pPr>
        <w:spacing w:after="0" w:line="240" w:lineRule="auto"/>
        <w:ind w:left="709" w:hanging="709"/>
        <w:jc w:val="both"/>
        <w:rPr>
          <w:rFonts w:ascii="Arial" w:hAnsi="Arial" w:cs="Arial"/>
          <w:sz w:val="22"/>
          <w:szCs w:val="22"/>
        </w:rPr>
      </w:pPr>
      <w:r w:rsidRPr="007923C2">
        <w:rPr>
          <w:rFonts w:ascii="Arial" w:hAnsi="Arial" w:cs="Arial"/>
          <w:sz w:val="22"/>
          <w:szCs w:val="22"/>
        </w:rPr>
        <w:tab/>
        <w:t>Diseñar un mecanismo para la vinculación permanente con los egresados, llevar registro documentado de la operación y funcionamiento del programa.</w:t>
      </w:r>
    </w:p>
    <w:p w14:paraId="14564514" w14:textId="77777777" w:rsidR="006A5668" w:rsidRPr="007923C2" w:rsidRDefault="006A5668" w:rsidP="006A5668">
      <w:pPr>
        <w:spacing w:after="0" w:line="240" w:lineRule="auto"/>
        <w:jc w:val="both"/>
        <w:rPr>
          <w:rFonts w:ascii="Arial" w:hAnsi="Arial" w:cs="Arial"/>
          <w:sz w:val="22"/>
          <w:szCs w:val="22"/>
        </w:rPr>
      </w:pPr>
    </w:p>
    <w:p w14:paraId="4CA4BB80"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66B9EFEB" w14:textId="77777777" w:rsidR="006A5668" w:rsidRPr="007923C2" w:rsidRDefault="006A5668" w:rsidP="00A60C78">
      <w:pPr>
        <w:pStyle w:val="Prrafodelista"/>
        <w:numPr>
          <w:ilvl w:val="0"/>
          <w:numId w:val="124"/>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Fortalecer la vinculación con los egresados a través de la asociación de Ing en Agrobiología</w:t>
      </w:r>
    </w:p>
    <w:p w14:paraId="06360316" w14:textId="77777777" w:rsidR="006A5668" w:rsidRPr="007923C2" w:rsidRDefault="006A5668" w:rsidP="00A60C78">
      <w:pPr>
        <w:pStyle w:val="Prrafodelista"/>
        <w:numPr>
          <w:ilvl w:val="0"/>
          <w:numId w:val="124"/>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Lograr que la mayoría de los egresados pertenezcan a la asociación de egresados organicen actividades que incidan en el programa docente.  </w:t>
      </w:r>
    </w:p>
    <w:p w14:paraId="61210801" w14:textId="77777777" w:rsidR="006A5668" w:rsidRPr="007923C2" w:rsidRDefault="006A5668" w:rsidP="00A60C78">
      <w:pPr>
        <w:pStyle w:val="Prrafodelista"/>
        <w:numPr>
          <w:ilvl w:val="0"/>
          <w:numId w:val="124"/>
        </w:numPr>
        <w:spacing w:after="0" w:line="240" w:lineRule="auto"/>
        <w:contextualSpacing/>
        <w:jc w:val="both"/>
        <w:rPr>
          <w:rFonts w:ascii="Arial" w:hAnsi="Arial" w:cs="Arial"/>
          <w:sz w:val="22"/>
          <w:szCs w:val="22"/>
        </w:rPr>
      </w:pPr>
      <w:r w:rsidRPr="007923C2">
        <w:rPr>
          <w:rFonts w:ascii="Arial" w:hAnsi="Arial" w:cs="Arial"/>
          <w:b/>
          <w:sz w:val="22"/>
          <w:szCs w:val="22"/>
        </w:rPr>
        <w:t xml:space="preserve">Operación </w:t>
      </w:r>
      <w:r w:rsidRPr="007923C2">
        <w:rPr>
          <w:rFonts w:ascii="Arial" w:hAnsi="Arial" w:cs="Arial"/>
          <w:sz w:val="22"/>
          <w:szCs w:val="22"/>
        </w:rPr>
        <w:t>Registro de actividades realizadas</w:t>
      </w:r>
    </w:p>
    <w:p w14:paraId="4B3D043A" w14:textId="77777777" w:rsidR="006A5668" w:rsidRPr="007923C2" w:rsidRDefault="006A5668" w:rsidP="00A60C78">
      <w:pPr>
        <w:pStyle w:val="Prrafodelista"/>
        <w:numPr>
          <w:ilvl w:val="0"/>
          <w:numId w:val="124"/>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De acuerdo a los resultados obtenidos analizar su desempeño. </w:t>
      </w:r>
    </w:p>
    <w:p w14:paraId="7ED7F431" w14:textId="77777777" w:rsidR="006A5668" w:rsidRPr="007923C2" w:rsidRDefault="006A5668" w:rsidP="00A60C78">
      <w:pPr>
        <w:pStyle w:val="Prrafodelista"/>
        <w:numPr>
          <w:ilvl w:val="0"/>
          <w:numId w:val="124"/>
        </w:numPr>
        <w:spacing w:after="0" w:line="240" w:lineRule="auto"/>
        <w:contextualSpacing/>
        <w:jc w:val="both"/>
        <w:rPr>
          <w:rFonts w:ascii="Arial" w:hAnsi="Arial" w:cs="Arial"/>
          <w:sz w:val="22"/>
          <w:szCs w:val="22"/>
        </w:rPr>
      </w:pPr>
      <w:r w:rsidRPr="007923C2">
        <w:rPr>
          <w:rFonts w:ascii="Arial" w:hAnsi="Arial" w:cs="Arial"/>
          <w:b/>
          <w:sz w:val="22"/>
          <w:szCs w:val="22"/>
        </w:rPr>
        <w:t xml:space="preserve">Retroalimentación </w:t>
      </w:r>
      <w:r w:rsidRPr="007923C2">
        <w:rPr>
          <w:rFonts w:ascii="Arial" w:hAnsi="Arial" w:cs="Arial"/>
          <w:sz w:val="22"/>
          <w:szCs w:val="22"/>
        </w:rPr>
        <w:t xml:space="preserve"> Se realizarán mejoras de acuerdo a los resultados obtenidos</w:t>
      </w:r>
    </w:p>
    <w:p w14:paraId="3DBFF4CF" w14:textId="77777777" w:rsidR="006A5668" w:rsidRPr="007923C2" w:rsidRDefault="006A5668" w:rsidP="006A5668">
      <w:pPr>
        <w:spacing w:after="0" w:line="240" w:lineRule="auto"/>
        <w:jc w:val="both"/>
        <w:rPr>
          <w:rFonts w:ascii="Arial" w:hAnsi="Arial" w:cs="Arial"/>
          <w:sz w:val="22"/>
          <w:szCs w:val="22"/>
        </w:rPr>
      </w:pPr>
    </w:p>
    <w:p w14:paraId="081F9087" w14:textId="77777777" w:rsidR="006A5668" w:rsidRPr="007923C2" w:rsidRDefault="006A5668" w:rsidP="006A5668">
      <w:pPr>
        <w:spacing w:after="0" w:line="240" w:lineRule="auto"/>
        <w:jc w:val="both"/>
        <w:rPr>
          <w:rFonts w:ascii="Arial" w:hAnsi="Arial" w:cs="Arial"/>
          <w:b/>
          <w:sz w:val="22"/>
          <w:szCs w:val="22"/>
        </w:rPr>
      </w:pPr>
      <w:r w:rsidRPr="007923C2">
        <w:rPr>
          <w:rFonts w:ascii="Arial" w:hAnsi="Arial" w:cs="Arial"/>
          <w:b/>
          <w:sz w:val="22"/>
          <w:szCs w:val="22"/>
        </w:rPr>
        <w:t>7 Productividad académica en docencia.</w:t>
      </w:r>
    </w:p>
    <w:p w14:paraId="3DF85107" w14:textId="77777777" w:rsidR="006A5668" w:rsidRPr="007923C2" w:rsidRDefault="006A5668" w:rsidP="006A5668">
      <w:pPr>
        <w:spacing w:after="0" w:line="240" w:lineRule="auto"/>
        <w:jc w:val="both"/>
        <w:rPr>
          <w:rFonts w:ascii="Arial" w:hAnsi="Arial" w:cs="Arial"/>
          <w:b/>
          <w:sz w:val="22"/>
          <w:szCs w:val="22"/>
        </w:rPr>
      </w:pPr>
    </w:p>
    <w:p w14:paraId="7A49460B" w14:textId="77777777" w:rsidR="006A5668" w:rsidRPr="007923C2" w:rsidRDefault="006A5668" w:rsidP="006A5668">
      <w:pPr>
        <w:spacing w:after="0" w:line="240" w:lineRule="auto"/>
        <w:jc w:val="both"/>
        <w:rPr>
          <w:rFonts w:ascii="Arial" w:hAnsi="Arial" w:cs="Arial"/>
          <w:b/>
          <w:sz w:val="22"/>
          <w:szCs w:val="22"/>
        </w:rPr>
      </w:pPr>
      <w:r w:rsidRPr="007923C2">
        <w:rPr>
          <w:rFonts w:ascii="Arial" w:hAnsi="Arial" w:cs="Arial"/>
          <w:sz w:val="22"/>
          <w:szCs w:val="22"/>
        </w:rPr>
        <w:tab/>
      </w:r>
      <w:r w:rsidR="008E4F20" w:rsidRPr="007923C2">
        <w:rPr>
          <w:rFonts w:ascii="Arial" w:hAnsi="Arial" w:cs="Arial"/>
          <w:sz w:val="22"/>
          <w:szCs w:val="22"/>
        </w:rPr>
        <w:t>1).-</w:t>
      </w:r>
      <w:r w:rsidRPr="007923C2">
        <w:rPr>
          <w:rFonts w:ascii="Arial" w:hAnsi="Arial" w:cs="Arial"/>
          <w:b/>
          <w:sz w:val="22"/>
          <w:szCs w:val="22"/>
        </w:rPr>
        <w:t>Comentario</w:t>
      </w:r>
    </w:p>
    <w:p w14:paraId="6810FF4B" w14:textId="77777777" w:rsidR="006A5668" w:rsidRPr="007923C2" w:rsidRDefault="006A5668" w:rsidP="006A5668">
      <w:pPr>
        <w:spacing w:after="0" w:line="240" w:lineRule="auto"/>
        <w:ind w:left="709" w:hanging="709"/>
        <w:jc w:val="both"/>
        <w:rPr>
          <w:rFonts w:ascii="Arial" w:hAnsi="Arial" w:cs="Arial"/>
          <w:sz w:val="22"/>
          <w:szCs w:val="22"/>
        </w:rPr>
      </w:pPr>
      <w:r w:rsidRPr="007923C2">
        <w:rPr>
          <w:rFonts w:ascii="Arial" w:hAnsi="Arial" w:cs="Arial"/>
          <w:sz w:val="22"/>
          <w:szCs w:val="22"/>
        </w:rPr>
        <w:tab/>
        <w:t>Presenta evidencia de material didáctico elaborado no muy reciente, en donde faltó un orden preciso, así como manuales de práctica de laboratorio no actualizado elaborados por las técnicas académicas y no por docentes.</w:t>
      </w:r>
    </w:p>
    <w:p w14:paraId="6F1EBE47" w14:textId="77777777" w:rsidR="006A5668" w:rsidRPr="007923C2" w:rsidRDefault="006A5668" w:rsidP="006A5668">
      <w:pPr>
        <w:spacing w:after="0" w:line="240" w:lineRule="auto"/>
        <w:ind w:left="709"/>
        <w:jc w:val="both"/>
        <w:rPr>
          <w:rFonts w:ascii="Arial" w:hAnsi="Arial" w:cs="Arial"/>
          <w:sz w:val="22"/>
          <w:szCs w:val="22"/>
        </w:rPr>
      </w:pPr>
    </w:p>
    <w:p w14:paraId="0976A86D" w14:textId="77777777" w:rsidR="006A5668" w:rsidRDefault="006A5668" w:rsidP="006A5668">
      <w:pPr>
        <w:spacing w:after="0" w:line="240" w:lineRule="auto"/>
        <w:ind w:left="709"/>
        <w:jc w:val="both"/>
        <w:rPr>
          <w:rFonts w:ascii="Arial" w:hAnsi="Arial" w:cs="Arial"/>
          <w:sz w:val="22"/>
          <w:szCs w:val="22"/>
        </w:rPr>
      </w:pPr>
      <w:r w:rsidRPr="007923C2">
        <w:rPr>
          <w:rFonts w:ascii="Arial" w:hAnsi="Arial" w:cs="Arial"/>
          <w:sz w:val="22"/>
          <w:szCs w:val="22"/>
        </w:rPr>
        <w:t>No se presentó evidencia que permita determinar si la planta académica utiliza material didáctico en el proceso enseñanza-aprendizaje.</w:t>
      </w:r>
    </w:p>
    <w:p w14:paraId="2828102D" w14:textId="77777777" w:rsidR="006A5668" w:rsidRPr="007923C2" w:rsidRDefault="006A5668" w:rsidP="006A5668">
      <w:pPr>
        <w:spacing w:after="0" w:line="240" w:lineRule="auto"/>
        <w:jc w:val="both"/>
        <w:rPr>
          <w:rFonts w:ascii="Arial" w:hAnsi="Arial" w:cs="Arial"/>
          <w:sz w:val="22"/>
          <w:szCs w:val="22"/>
        </w:rPr>
      </w:pPr>
    </w:p>
    <w:p w14:paraId="24015921" w14:textId="77777777" w:rsidR="00A66160" w:rsidRDefault="006A5668" w:rsidP="00A66160">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62C5051A" w14:textId="77777777" w:rsidR="006A5668" w:rsidRPr="007923C2" w:rsidRDefault="006A5668" w:rsidP="00A66160">
      <w:pPr>
        <w:spacing w:after="0" w:line="240" w:lineRule="auto"/>
        <w:ind w:left="708"/>
        <w:jc w:val="both"/>
        <w:rPr>
          <w:rFonts w:ascii="Arial" w:hAnsi="Arial" w:cs="Arial"/>
          <w:sz w:val="22"/>
          <w:szCs w:val="22"/>
        </w:rPr>
      </w:pPr>
      <w:r w:rsidRPr="007923C2">
        <w:rPr>
          <w:rFonts w:ascii="Arial" w:hAnsi="Arial" w:cs="Arial"/>
          <w:b/>
          <w:sz w:val="22"/>
          <w:szCs w:val="22"/>
        </w:rPr>
        <w:t xml:space="preserve">Objetivo </w:t>
      </w:r>
      <w:r w:rsidRPr="007923C2">
        <w:rPr>
          <w:rFonts w:ascii="Arial" w:hAnsi="Arial" w:cs="Arial"/>
          <w:sz w:val="22"/>
          <w:szCs w:val="22"/>
        </w:rPr>
        <w:t>Establecer un sistema de información del material didáctico que utilizan los docentes del Programa de Ing en Agrobiología.</w:t>
      </w:r>
    </w:p>
    <w:p w14:paraId="3B61A68A" w14:textId="77777777" w:rsidR="006A5668" w:rsidRPr="007923C2" w:rsidRDefault="006A5668" w:rsidP="00A60C78">
      <w:pPr>
        <w:pStyle w:val="Prrafodelista"/>
        <w:numPr>
          <w:ilvl w:val="0"/>
          <w:numId w:val="125"/>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Que cada materia del Programa IAB cuente con la información correspondiente a cada una.</w:t>
      </w:r>
    </w:p>
    <w:p w14:paraId="2C3ECBC8" w14:textId="77777777" w:rsidR="006A5668" w:rsidRPr="007923C2" w:rsidRDefault="006A5668" w:rsidP="00A60C78">
      <w:pPr>
        <w:pStyle w:val="Prrafodelista"/>
        <w:numPr>
          <w:ilvl w:val="0"/>
          <w:numId w:val="125"/>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 Recopilación del material teórico/práctico utilizado y aprobado por la academia de materia correspondiente. </w:t>
      </w:r>
    </w:p>
    <w:p w14:paraId="001C94B9" w14:textId="77777777" w:rsidR="006A5668" w:rsidRPr="007923C2" w:rsidRDefault="006A5668" w:rsidP="00A60C78">
      <w:pPr>
        <w:pStyle w:val="Prrafodelista"/>
        <w:numPr>
          <w:ilvl w:val="0"/>
          <w:numId w:val="125"/>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El material utilizado en cada materia esté vigente, y en forma electrónica.  </w:t>
      </w:r>
    </w:p>
    <w:p w14:paraId="6382213F" w14:textId="77777777" w:rsidR="006A5668" w:rsidRPr="007923C2" w:rsidRDefault="006A5668" w:rsidP="00A60C78">
      <w:pPr>
        <w:pStyle w:val="Prrafodelista"/>
        <w:numPr>
          <w:ilvl w:val="0"/>
          <w:numId w:val="125"/>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-Act</w:t>
      </w:r>
      <w:r w:rsidR="00D15A0E">
        <w:rPr>
          <w:rFonts w:ascii="Arial" w:hAnsi="Arial" w:cs="Arial"/>
          <w:sz w:val="22"/>
          <w:szCs w:val="22"/>
        </w:rPr>
        <w:t>ualización continú</w:t>
      </w:r>
      <w:r w:rsidRPr="007923C2">
        <w:rPr>
          <w:rFonts w:ascii="Arial" w:hAnsi="Arial" w:cs="Arial"/>
          <w:sz w:val="22"/>
          <w:szCs w:val="22"/>
        </w:rPr>
        <w:t>a en la instancia correspondiente.</w:t>
      </w:r>
    </w:p>
    <w:p w14:paraId="124255E4" w14:textId="77777777" w:rsidR="006A5668" w:rsidRPr="007923C2" w:rsidRDefault="006A5668" w:rsidP="006A5668">
      <w:pPr>
        <w:spacing w:after="0" w:line="240" w:lineRule="auto"/>
        <w:jc w:val="both"/>
        <w:rPr>
          <w:rFonts w:ascii="Arial" w:hAnsi="Arial" w:cs="Arial"/>
          <w:sz w:val="22"/>
          <w:szCs w:val="22"/>
        </w:rPr>
      </w:pPr>
    </w:p>
    <w:p w14:paraId="15E5D230"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ab/>
      </w:r>
    </w:p>
    <w:p w14:paraId="2CBD446B" w14:textId="77777777" w:rsidR="006A5668" w:rsidRPr="007923C2" w:rsidRDefault="008E4F20" w:rsidP="006A5668">
      <w:pPr>
        <w:spacing w:after="0" w:line="240" w:lineRule="auto"/>
        <w:jc w:val="both"/>
        <w:rPr>
          <w:rFonts w:ascii="Arial" w:hAnsi="Arial" w:cs="Arial"/>
          <w:b/>
          <w:sz w:val="22"/>
          <w:szCs w:val="22"/>
        </w:rPr>
      </w:pPr>
      <w:r w:rsidRPr="007923C2">
        <w:rPr>
          <w:rFonts w:ascii="Arial" w:hAnsi="Arial" w:cs="Arial"/>
          <w:b/>
          <w:sz w:val="22"/>
          <w:szCs w:val="22"/>
        </w:rPr>
        <w:t xml:space="preserve">      2).-</w:t>
      </w:r>
      <w:r w:rsidR="006A5668" w:rsidRPr="007923C2">
        <w:rPr>
          <w:rFonts w:ascii="Arial" w:hAnsi="Arial" w:cs="Arial"/>
          <w:b/>
          <w:sz w:val="22"/>
          <w:szCs w:val="22"/>
        </w:rPr>
        <w:t>Comentarios</w:t>
      </w:r>
    </w:p>
    <w:p w14:paraId="73F6938F" w14:textId="77777777" w:rsidR="006A5668" w:rsidRPr="007923C2" w:rsidRDefault="006A5668" w:rsidP="006A5668">
      <w:pPr>
        <w:spacing w:after="0" w:line="240" w:lineRule="auto"/>
        <w:ind w:left="709" w:hanging="709"/>
        <w:jc w:val="both"/>
        <w:rPr>
          <w:rFonts w:ascii="Arial" w:hAnsi="Arial" w:cs="Arial"/>
          <w:sz w:val="22"/>
          <w:szCs w:val="22"/>
        </w:rPr>
      </w:pPr>
      <w:r w:rsidRPr="007923C2">
        <w:rPr>
          <w:rFonts w:ascii="Arial" w:hAnsi="Arial" w:cs="Arial"/>
          <w:sz w:val="22"/>
          <w:szCs w:val="22"/>
        </w:rPr>
        <w:tab/>
        <w:t>La planta docente ha participado en eventos académicos pero no se presenta evidencia que permita determinar la pertinencia que ha tenido esta participación en el programa educativo.</w:t>
      </w:r>
    </w:p>
    <w:p w14:paraId="5587DB38" w14:textId="77777777" w:rsidR="006A5668" w:rsidRPr="007923C2" w:rsidRDefault="006A5668" w:rsidP="006A5668">
      <w:pPr>
        <w:spacing w:after="0" w:line="240" w:lineRule="auto"/>
        <w:jc w:val="both"/>
        <w:rPr>
          <w:rFonts w:ascii="Arial" w:hAnsi="Arial" w:cs="Arial"/>
          <w:sz w:val="22"/>
          <w:szCs w:val="22"/>
        </w:rPr>
      </w:pPr>
    </w:p>
    <w:p w14:paraId="57F1E05D"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753934A3" w14:textId="77777777" w:rsidR="006A5668" w:rsidRPr="007923C2" w:rsidRDefault="006A5668" w:rsidP="00A60C78">
      <w:pPr>
        <w:pStyle w:val="Prrafodelista"/>
        <w:numPr>
          <w:ilvl w:val="0"/>
          <w:numId w:val="126"/>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-Recopilar las evidencias de cada maestro de su participación en los eventos académicos </w:t>
      </w:r>
    </w:p>
    <w:p w14:paraId="2EA53DCA" w14:textId="77777777" w:rsidR="006A5668" w:rsidRPr="007923C2" w:rsidRDefault="006A5668" w:rsidP="00A60C78">
      <w:pPr>
        <w:pStyle w:val="Prrafodelista"/>
        <w:numPr>
          <w:ilvl w:val="0"/>
          <w:numId w:val="126"/>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-Determinar el número y/o tipo de eventos  para evaluar el grado de capacitación o actualización de los docentes.</w:t>
      </w:r>
    </w:p>
    <w:p w14:paraId="14402981" w14:textId="77777777" w:rsidR="006A5668" w:rsidRPr="007923C2" w:rsidRDefault="006A5668" w:rsidP="00A60C78">
      <w:pPr>
        <w:pStyle w:val="Prrafodelista"/>
        <w:numPr>
          <w:ilvl w:val="0"/>
          <w:numId w:val="126"/>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Motivar y apoyar a los docentes para su participación anual a los eventos de capacitación o actualización.</w:t>
      </w:r>
    </w:p>
    <w:p w14:paraId="7C84F966" w14:textId="77777777" w:rsidR="006A5668" w:rsidRPr="007923C2" w:rsidRDefault="006A5668" w:rsidP="00A60C78">
      <w:pPr>
        <w:pStyle w:val="Prrafodelista"/>
        <w:numPr>
          <w:ilvl w:val="0"/>
          <w:numId w:val="126"/>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Presentación de evidencias y un informe sobre   el impacto que tendrá en el Programa Docente de IAB  </w:t>
      </w:r>
    </w:p>
    <w:p w14:paraId="1460BF75" w14:textId="77777777" w:rsidR="006A5668" w:rsidRPr="007923C2" w:rsidRDefault="006A5668" w:rsidP="00A60C78">
      <w:pPr>
        <w:pStyle w:val="Prrafodelista"/>
        <w:numPr>
          <w:ilvl w:val="0"/>
          <w:numId w:val="126"/>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-Análisis de resultados para realizar las mejoras correspondientes.</w:t>
      </w:r>
    </w:p>
    <w:p w14:paraId="5E9DB9A7" w14:textId="77777777" w:rsidR="006A5668" w:rsidRPr="007923C2" w:rsidRDefault="006A5668" w:rsidP="006A5668">
      <w:pPr>
        <w:spacing w:after="0" w:line="240" w:lineRule="auto"/>
        <w:jc w:val="both"/>
        <w:rPr>
          <w:rFonts w:ascii="Arial" w:hAnsi="Arial" w:cs="Arial"/>
          <w:sz w:val="22"/>
          <w:szCs w:val="22"/>
        </w:rPr>
      </w:pPr>
    </w:p>
    <w:p w14:paraId="63E826D0" w14:textId="77777777" w:rsidR="006A5668" w:rsidRPr="007923C2" w:rsidRDefault="006A5668" w:rsidP="006A5668">
      <w:pPr>
        <w:spacing w:after="0" w:line="240" w:lineRule="auto"/>
        <w:jc w:val="both"/>
        <w:rPr>
          <w:rFonts w:ascii="Arial" w:hAnsi="Arial" w:cs="Arial"/>
          <w:b/>
          <w:sz w:val="22"/>
          <w:szCs w:val="22"/>
        </w:rPr>
      </w:pPr>
      <w:r w:rsidRPr="007923C2">
        <w:rPr>
          <w:rFonts w:ascii="Arial" w:hAnsi="Arial" w:cs="Arial"/>
          <w:b/>
          <w:sz w:val="22"/>
          <w:szCs w:val="22"/>
        </w:rPr>
        <w:t>8. Productividad académica en investigación</w:t>
      </w:r>
    </w:p>
    <w:p w14:paraId="5C25F006" w14:textId="77777777" w:rsidR="006A5668" w:rsidRPr="007923C2" w:rsidRDefault="006A5668" w:rsidP="006A5668">
      <w:pPr>
        <w:spacing w:after="0" w:line="240" w:lineRule="auto"/>
        <w:jc w:val="both"/>
        <w:rPr>
          <w:rFonts w:ascii="Arial" w:hAnsi="Arial" w:cs="Arial"/>
          <w:b/>
          <w:sz w:val="22"/>
          <w:szCs w:val="22"/>
        </w:rPr>
      </w:pPr>
    </w:p>
    <w:p w14:paraId="3675F6B0" w14:textId="77777777" w:rsidR="006A5668" w:rsidRPr="007923C2" w:rsidRDefault="006A5668" w:rsidP="006A5668">
      <w:pPr>
        <w:spacing w:after="0" w:line="240" w:lineRule="auto"/>
        <w:jc w:val="both"/>
        <w:rPr>
          <w:rFonts w:ascii="Arial" w:hAnsi="Arial" w:cs="Arial"/>
          <w:b/>
          <w:sz w:val="22"/>
          <w:szCs w:val="22"/>
        </w:rPr>
      </w:pPr>
      <w:r w:rsidRPr="007923C2">
        <w:rPr>
          <w:rFonts w:ascii="Arial" w:hAnsi="Arial" w:cs="Arial"/>
          <w:sz w:val="22"/>
          <w:szCs w:val="22"/>
        </w:rPr>
        <w:tab/>
      </w:r>
      <w:r w:rsidRPr="007923C2">
        <w:rPr>
          <w:rFonts w:ascii="Arial" w:hAnsi="Arial" w:cs="Arial"/>
          <w:b/>
          <w:sz w:val="22"/>
          <w:szCs w:val="22"/>
        </w:rPr>
        <w:t>Comentario</w:t>
      </w:r>
    </w:p>
    <w:p w14:paraId="668595FA"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ab/>
        <w:t>El programa educativo no presenta un estudio que permita determinar la efectividad de las líneas y proyectos de investigación para resolver problemas reales del agro**** se ubica el trabajo inter y multidisciplinario de grupos de investigación, así como la existencia de redes institucionales para desarrollar trabajos.</w:t>
      </w:r>
    </w:p>
    <w:p w14:paraId="2DD78212" w14:textId="77777777" w:rsidR="006A5668" w:rsidRPr="007923C2" w:rsidRDefault="006A5668" w:rsidP="006A5668">
      <w:pPr>
        <w:spacing w:after="0" w:line="240" w:lineRule="auto"/>
        <w:jc w:val="both"/>
        <w:rPr>
          <w:rFonts w:ascii="Arial" w:hAnsi="Arial" w:cs="Arial"/>
          <w:sz w:val="22"/>
          <w:szCs w:val="22"/>
        </w:rPr>
      </w:pPr>
    </w:p>
    <w:p w14:paraId="3FA5B5BF"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533A259F" w14:textId="77777777" w:rsidR="006A5668" w:rsidRPr="007923C2" w:rsidRDefault="006A5668" w:rsidP="00A60C78">
      <w:pPr>
        <w:pStyle w:val="Prrafodelista"/>
        <w:numPr>
          <w:ilvl w:val="0"/>
          <w:numId w:val="127"/>
        </w:numPr>
        <w:spacing w:after="0" w:line="240" w:lineRule="auto"/>
        <w:contextualSpacing/>
        <w:jc w:val="both"/>
        <w:rPr>
          <w:rFonts w:ascii="Arial" w:hAnsi="Arial" w:cs="Arial"/>
          <w:sz w:val="22"/>
          <w:szCs w:val="22"/>
        </w:rPr>
      </w:pPr>
      <w:r w:rsidRPr="007923C2">
        <w:rPr>
          <w:rFonts w:ascii="Arial" w:hAnsi="Arial" w:cs="Arial"/>
          <w:b/>
          <w:sz w:val="22"/>
          <w:szCs w:val="22"/>
        </w:rPr>
        <w:t xml:space="preserve">Objetivo </w:t>
      </w:r>
      <w:r w:rsidRPr="007923C2">
        <w:rPr>
          <w:rFonts w:ascii="Arial" w:hAnsi="Arial" w:cs="Arial"/>
          <w:sz w:val="22"/>
          <w:szCs w:val="22"/>
        </w:rPr>
        <w:t>Recopilar y relacionar la información acerca de las líneas y los proyectos de investigación y el impacto de éstos en la solución de problemas agronómicos.</w:t>
      </w:r>
    </w:p>
    <w:p w14:paraId="78C2184E" w14:textId="77777777" w:rsidR="006A5668" w:rsidRPr="007923C2" w:rsidRDefault="006A5668" w:rsidP="00A60C78">
      <w:pPr>
        <w:pStyle w:val="Prrafodelista"/>
        <w:numPr>
          <w:ilvl w:val="0"/>
          <w:numId w:val="127"/>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Determinar el impacto de las líneas de investigación en el programa Docente de IAB. </w:t>
      </w:r>
    </w:p>
    <w:p w14:paraId="492B567B" w14:textId="77777777" w:rsidR="006A5668" w:rsidRPr="007923C2" w:rsidRDefault="006A5668" w:rsidP="00A60C78">
      <w:pPr>
        <w:pStyle w:val="Prrafodelista"/>
        <w:numPr>
          <w:ilvl w:val="0"/>
          <w:numId w:val="127"/>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-De acuerdo a los mecanismos establecidos por la Dirección de Investigación de la Institución. </w:t>
      </w:r>
    </w:p>
    <w:p w14:paraId="1EA18720" w14:textId="77777777" w:rsidR="006A5668" w:rsidRPr="007923C2" w:rsidRDefault="006A5668" w:rsidP="00A60C78">
      <w:pPr>
        <w:pStyle w:val="Prrafodelista"/>
        <w:numPr>
          <w:ilvl w:val="0"/>
          <w:numId w:val="127"/>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Mediante un informe semestral de avance de la investigación en la instancia correspondiente. </w:t>
      </w:r>
    </w:p>
    <w:p w14:paraId="35C99351" w14:textId="77777777" w:rsidR="006A5668" w:rsidRDefault="006A5668" w:rsidP="00A60C78">
      <w:pPr>
        <w:pStyle w:val="Prrafodelista"/>
        <w:numPr>
          <w:ilvl w:val="0"/>
          <w:numId w:val="127"/>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-De acuerdo a los resultados obtenidos se determinará el nivel de productividad.</w:t>
      </w:r>
    </w:p>
    <w:p w14:paraId="11256937" w14:textId="77777777" w:rsidR="00A66160" w:rsidRPr="007923C2" w:rsidRDefault="00A66160" w:rsidP="00A66160">
      <w:pPr>
        <w:pStyle w:val="Prrafodelista"/>
        <w:spacing w:after="0" w:line="240" w:lineRule="auto"/>
        <w:ind w:left="1080"/>
        <w:contextualSpacing/>
        <w:jc w:val="both"/>
        <w:rPr>
          <w:rFonts w:ascii="Arial" w:hAnsi="Arial" w:cs="Arial"/>
          <w:sz w:val="22"/>
          <w:szCs w:val="22"/>
        </w:rPr>
      </w:pPr>
    </w:p>
    <w:p w14:paraId="63420DD6" w14:textId="77777777" w:rsidR="006A5668" w:rsidRPr="007923C2" w:rsidRDefault="006A5668" w:rsidP="006A5668">
      <w:pPr>
        <w:spacing w:after="0" w:line="240" w:lineRule="auto"/>
        <w:jc w:val="both"/>
        <w:rPr>
          <w:rFonts w:ascii="Arial" w:hAnsi="Arial" w:cs="Arial"/>
          <w:sz w:val="22"/>
          <w:szCs w:val="22"/>
        </w:rPr>
      </w:pPr>
    </w:p>
    <w:p w14:paraId="7819C70C" w14:textId="77777777" w:rsidR="006A5668" w:rsidRPr="007923C2" w:rsidRDefault="006A5668" w:rsidP="006A5668">
      <w:pPr>
        <w:spacing w:after="0" w:line="240" w:lineRule="auto"/>
        <w:jc w:val="both"/>
        <w:rPr>
          <w:rFonts w:ascii="Arial" w:hAnsi="Arial" w:cs="Arial"/>
          <w:b/>
          <w:sz w:val="22"/>
          <w:szCs w:val="22"/>
        </w:rPr>
      </w:pPr>
      <w:r w:rsidRPr="007923C2">
        <w:rPr>
          <w:rFonts w:ascii="Arial" w:hAnsi="Arial" w:cs="Arial"/>
          <w:b/>
          <w:sz w:val="22"/>
          <w:szCs w:val="22"/>
        </w:rPr>
        <w:t>9. Vinculación con los sectores de la sociedad.</w:t>
      </w:r>
    </w:p>
    <w:p w14:paraId="0FF5FE50"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ab/>
      </w:r>
    </w:p>
    <w:p w14:paraId="6B2A0CB7" w14:textId="77777777" w:rsidR="006A5668" w:rsidRPr="007923C2" w:rsidRDefault="008E4F20" w:rsidP="006A5668">
      <w:pPr>
        <w:spacing w:after="0" w:line="240" w:lineRule="auto"/>
        <w:ind w:firstLine="708"/>
        <w:jc w:val="both"/>
        <w:rPr>
          <w:rFonts w:ascii="Arial" w:hAnsi="Arial" w:cs="Arial"/>
          <w:b/>
          <w:sz w:val="22"/>
          <w:szCs w:val="22"/>
        </w:rPr>
      </w:pPr>
      <w:r w:rsidRPr="007923C2">
        <w:rPr>
          <w:rFonts w:ascii="Arial" w:hAnsi="Arial" w:cs="Arial"/>
          <w:b/>
          <w:sz w:val="22"/>
          <w:szCs w:val="22"/>
        </w:rPr>
        <w:lastRenderedPageBreak/>
        <w:t>1).-</w:t>
      </w:r>
      <w:r w:rsidR="006A5668" w:rsidRPr="007923C2">
        <w:rPr>
          <w:rFonts w:ascii="Arial" w:hAnsi="Arial" w:cs="Arial"/>
          <w:b/>
          <w:sz w:val="22"/>
          <w:szCs w:val="22"/>
        </w:rPr>
        <w:t>Comentario</w:t>
      </w:r>
    </w:p>
    <w:p w14:paraId="4736B786"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ab/>
        <w:t>A nivel institucional se cuenta con diversos convenios establecidos con empresas nacionales, universidades nacionales e internacionales, gobiernos estatales y municipales, institutos y asociaciones civiles.</w:t>
      </w:r>
    </w:p>
    <w:p w14:paraId="192B7104" w14:textId="77777777" w:rsidR="006A5668" w:rsidRPr="007923C2" w:rsidRDefault="006A5668" w:rsidP="006A5668">
      <w:pPr>
        <w:spacing w:after="0" w:line="240" w:lineRule="auto"/>
        <w:jc w:val="both"/>
        <w:rPr>
          <w:rFonts w:ascii="Arial" w:hAnsi="Arial" w:cs="Arial"/>
          <w:sz w:val="22"/>
          <w:szCs w:val="22"/>
        </w:rPr>
      </w:pPr>
    </w:p>
    <w:p w14:paraId="329B580F" w14:textId="77777777"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No se muestra evidencia de un convenio o acuerdo de colaboración.</w:t>
      </w:r>
    </w:p>
    <w:p w14:paraId="0C8DF45F" w14:textId="77777777" w:rsidR="006A5668" w:rsidRPr="007923C2" w:rsidRDefault="006A5668" w:rsidP="006A5668">
      <w:pPr>
        <w:spacing w:after="0" w:line="240" w:lineRule="auto"/>
        <w:jc w:val="both"/>
        <w:rPr>
          <w:rFonts w:ascii="Arial" w:hAnsi="Arial" w:cs="Arial"/>
          <w:sz w:val="22"/>
          <w:szCs w:val="22"/>
        </w:rPr>
      </w:pPr>
    </w:p>
    <w:p w14:paraId="3CE4877A"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262E182E" w14:textId="77777777" w:rsidR="006A5668" w:rsidRPr="007923C2" w:rsidRDefault="006A5668" w:rsidP="00A60C78">
      <w:pPr>
        <w:pStyle w:val="Prrafodelista"/>
        <w:numPr>
          <w:ilvl w:val="0"/>
          <w:numId w:val="128"/>
        </w:numPr>
        <w:spacing w:after="0" w:line="240" w:lineRule="auto"/>
        <w:contextualSpacing/>
        <w:jc w:val="both"/>
        <w:rPr>
          <w:rFonts w:ascii="Arial" w:hAnsi="Arial" w:cs="Arial"/>
          <w:sz w:val="22"/>
          <w:szCs w:val="22"/>
        </w:rPr>
      </w:pPr>
      <w:r w:rsidRPr="007923C2">
        <w:rPr>
          <w:rFonts w:ascii="Arial" w:hAnsi="Arial" w:cs="Arial"/>
          <w:b/>
          <w:sz w:val="22"/>
          <w:szCs w:val="22"/>
        </w:rPr>
        <w:t xml:space="preserve">Objetivo </w:t>
      </w:r>
      <w:r w:rsidRPr="007923C2">
        <w:rPr>
          <w:rFonts w:ascii="Arial" w:hAnsi="Arial" w:cs="Arial"/>
          <w:sz w:val="22"/>
          <w:szCs w:val="22"/>
        </w:rPr>
        <w:t>–Recopilar los convenios vigentes con que cuenta la Universidad inherentes al Programa Docente IAB.</w:t>
      </w:r>
    </w:p>
    <w:p w14:paraId="516273C7" w14:textId="77777777" w:rsidR="006A5668" w:rsidRPr="007923C2" w:rsidRDefault="006A5668" w:rsidP="00A60C78">
      <w:pPr>
        <w:pStyle w:val="Prrafodelista"/>
        <w:numPr>
          <w:ilvl w:val="0"/>
          <w:numId w:val="128"/>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Aumentar la participación de alumnos y profesores del Programa Docente IAB en los convenios institucionales.</w:t>
      </w:r>
    </w:p>
    <w:p w14:paraId="490075AE" w14:textId="77777777" w:rsidR="006A5668" w:rsidRPr="007923C2" w:rsidRDefault="006A5668" w:rsidP="00A60C78">
      <w:pPr>
        <w:pStyle w:val="Prrafodelista"/>
        <w:numPr>
          <w:ilvl w:val="0"/>
          <w:numId w:val="128"/>
        </w:numPr>
        <w:spacing w:after="0" w:line="240" w:lineRule="auto"/>
        <w:contextualSpacing/>
        <w:jc w:val="both"/>
        <w:rPr>
          <w:rFonts w:ascii="Arial" w:hAnsi="Arial" w:cs="Arial"/>
          <w:sz w:val="22"/>
          <w:szCs w:val="22"/>
        </w:rPr>
      </w:pPr>
      <w:r w:rsidRPr="007923C2">
        <w:rPr>
          <w:rFonts w:ascii="Arial" w:hAnsi="Arial" w:cs="Arial"/>
          <w:b/>
          <w:sz w:val="22"/>
          <w:szCs w:val="22"/>
        </w:rPr>
        <w:t>Operación- I</w:t>
      </w:r>
      <w:r w:rsidRPr="007923C2">
        <w:rPr>
          <w:rFonts w:ascii="Arial" w:hAnsi="Arial" w:cs="Arial"/>
          <w:sz w:val="22"/>
          <w:szCs w:val="22"/>
        </w:rPr>
        <w:t>nstituir la información tanto alumnos como profesores de los convenios existentes como opción para realizar las prácticas profesionales, servicio social, movilidad estudiantil e intercambio académico.</w:t>
      </w:r>
    </w:p>
    <w:p w14:paraId="31AF6CA1" w14:textId="77777777" w:rsidR="006A5668" w:rsidRPr="007923C2" w:rsidRDefault="006A5668" w:rsidP="00A60C78">
      <w:pPr>
        <w:pStyle w:val="Prrafodelista"/>
        <w:numPr>
          <w:ilvl w:val="0"/>
          <w:numId w:val="128"/>
        </w:numPr>
        <w:spacing w:after="0" w:line="240" w:lineRule="auto"/>
        <w:contextualSpacing/>
        <w:jc w:val="both"/>
        <w:rPr>
          <w:rFonts w:ascii="Arial" w:hAnsi="Arial" w:cs="Arial"/>
          <w:sz w:val="22"/>
          <w:szCs w:val="22"/>
        </w:rPr>
      </w:pPr>
      <w:r w:rsidRPr="007923C2">
        <w:rPr>
          <w:rFonts w:ascii="Arial" w:hAnsi="Arial" w:cs="Arial"/>
          <w:b/>
          <w:sz w:val="22"/>
          <w:szCs w:val="22"/>
        </w:rPr>
        <w:t xml:space="preserve">Funcionamiento o evaluación- </w:t>
      </w:r>
      <w:r w:rsidRPr="007923C2">
        <w:rPr>
          <w:rFonts w:ascii="Arial" w:hAnsi="Arial" w:cs="Arial"/>
          <w:sz w:val="22"/>
          <w:szCs w:val="22"/>
        </w:rPr>
        <w:t xml:space="preserve">Evaluar semestralmente con un informe de la participación en  los convenios </w:t>
      </w:r>
    </w:p>
    <w:p w14:paraId="31E71CDA" w14:textId="77777777" w:rsidR="006A5668" w:rsidRPr="007923C2" w:rsidRDefault="006A5668" w:rsidP="00A60C78">
      <w:pPr>
        <w:pStyle w:val="Prrafodelista"/>
        <w:numPr>
          <w:ilvl w:val="0"/>
          <w:numId w:val="128"/>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 En base a los resultados obtenidos proponer nuevos convenios que favorezcan al Programa Docente.</w:t>
      </w:r>
    </w:p>
    <w:p w14:paraId="0A4AB229" w14:textId="77777777" w:rsidR="006A5668" w:rsidRPr="007923C2" w:rsidRDefault="006A5668" w:rsidP="006A5668">
      <w:pPr>
        <w:spacing w:after="0" w:line="240" w:lineRule="auto"/>
        <w:jc w:val="both"/>
        <w:rPr>
          <w:rFonts w:ascii="Arial" w:hAnsi="Arial" w:cs="Arial"/>
          <w:sz w:val="22"/>
          <w:szCs w:val="22"/>
        </w:rPr>
      </w:pPr>
    </w:p>
    <w:p w14:paraId="6EA19600" w14:textId="77777777" w:rsidR="006A5668" w:rsidRPr="007923C2" w:rsidRDefault="008E4F20" w:rsidP="006A5668">
      <w:pPr>
        <w:spacing w:after="0" w:line="240" w:lineRule="auto"/>
        <w:jc w:val="both"/>
        <w:rPr>
          <w:rFonts w:ascii="Arial" w:hAnsi="Arial" w:cs="Arial"/>
          <w:b/>
          <w:sz w:val="22"/>
          <w:szCs w:val="22"/>
        </w:rPr>
      </w:pPr>
      <w:r w:rsidRPr="007923C2">
        <w:rPr>
          <w:rFonts w:ascii="Arial" w:hAnsi="Arial" w:cs="Arial"/>
          <w:b/>
          <w:sz w:val="22"/>
          <w:szCs w:val="22"/>
        </w:rPr>
        <w:t xml:space="preserve">    2).-</w:t>
      </w:r>
      <w:r w:rsidR="006A5668" w:rsidRPr="007923C2">
        <w:rPr>
          <w:rFonts w:ascii="Arial" w:hAnsi="Arial" w:cs="Arial"/>
          <w:b/>
          <w:sz w:val="22"/>
          <w:szCs w:val="22"/>
        </w:rPr>
        <w:tab/>
        <w:t>Comentario</w:t>
      </w:r>
    </w:p>
    <w:p w14:paraId="4804664D" w14:textId="77777777" w:rsidR="006A5668" w:rsidRPr="007923C2" w:rsidRDefault="006A5668" w:rsidP="006A5668">
      <w:pPr>
        <w:spacing w:after="0" w:line="240" w:lineRule="auto"/>
        <w:ind w:left="709" w:hanging="709"/>
        <w:jc w:val="both"/>
        <w:rPr>
          <w:rFonts w:ascii="Arial" w:hAnsi="Arial" w:cs="Arial"/>
          <w:sz w:val="22"/>
          <w:szCs w:val="22"/>
        </w:rPr>
      </w:pPr>
      <w:r w:rsidRPr="007923C2">
        <w:rPr>
          <w:rFonts w:ascii="Arial" w:hAnsi="Arial" w:cs="Arial"/>
          <w:sz w:val="22"/>
          <w:szCs w:val="22"/>
        </w:rPr>
        <w:tab/>
        <w:t>Faltaron programas de Educación continua y el impacto que pueden presentar con egresados o usuarios externos.</w:t>
      </w:r>
    </w:p>
    <w:p w14:paraId="6BD56BD1" w14:textId="77777777" w:rsidR="006A5668" w:rsidRPr="007923C2" w:rsidRDefault="006A5668" w:rsidP="006A5668">
      <w:pPr>
        <w:spacing w:after="0" w:line="240" w:lineRule="auto"/>
        <w:jc w:val="both"/>
        <w:rPr>
          <w:rFonts w:ascii="Arial" w:hAnsi="Arial" w:cs="Arial"/>
          <w:sz w:val="22"/>
          <w:szCs w:val="22"/>
        </w:rPr>
      </w:pPr>
    </w:p>
    <w:p w14:paraId="75961494" w14:textId="77777777"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14:paraId="19A06216" w14:textId="77777777" w:rsidR="006A5668" w:rsidRPr="007923C2" w:rsidRDefault="006A5668" w:rsidP="00A60C78">
      <w:pPr>
        <w:pStyle w:val="Prrafodelista"/>
        <w:numPr>
          <w:ilvl w:val="0"/>
          <w:numId w:val="129"/>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Incrementar</w:t>
      </w:r>
      <w:r w:rsidR="00D15A0E">
        <w:rPr>
          <w:rFonts w:ascii="Arial" w:hAnsi="Arial" w:cs="Arial"/>
          <w:sz w:val="22"/>
          <w:szCs w:val="22"/>
        </w:rPr>
        <w:t xml:space="preserve"> los cursos de educación contínu</w:t>
      </w:r>
      <w:r w:rsidRPr="007923C2">
        <w:rPr>
          <w:rFonts w:ascii="Arial" w:hAnsi="Arial" w:cs="Arial"/>
          <w:sz w:val="22"/>
          <w:szCs w:val="22"/>
        </w:rPr>
        <w:t>a.</w:t>
      </w:r>
    </w:p>
    <w:p w14:paraId="38DFA442" w14:textId="77777777" w:rsidR="006A5668" w:rsidRPr="007923C2" w:rsidRDefault="006A5668" w:rsidP="00A60C78">
      <w:pPr>
        <w:pStyle w:val="Prrafodelista"/>
        <w:numPr>
          <w:ilvl w:val="0"/>
          <w:numId w:val="129"/>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-Establecer al menos 2 cur</w:t>
      </w:r>
      <w:r w:rsidR="00D15A0E">
        <w:rPr>
          <w:rFonts w:ascii="Arial" w:hAnsi="Arial" w:cs="Arial"/>
          <w:sz w:val="22"/>
          <w:szCs w:val="22"/>
        </w:rPr>
        <w:t>sos anuales de Educación contínu</w:t>
      </w:r>
      <w:r w:rsidRPr="007923C2">
        <w:rPr>
          <w:rFonts w:ascii="Arial" w:hAnsi="Arial" w:cs="Arial"/>
          <w:sz w:val="22"/>
          <w:szCs w:val="22"/>
        </w:rPr>
        <w:t xml:space="preserve">a. </w:t>
      </w:r>
    </w:p>
    <w:p w14:paraId="76AD4FA4" w14:textId="77777777" w:rsidR="006A5668" w:rsidRPr="007923C2" w:rsidRDefault="006A5668" w:rsidP="00A60C78">
      <w:pPr>
        <w:pStyle w:val="Prrafodelista"/>
        <w:numPr>
          <w:ilvl w:val="0"/>
          <w:numId w:val="129"/>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Organizar y documentar</w:t>
      </w:r>
      <w:r w:rsidR="00D15A0E">
        <w:rPr>
          <w:rFonts w:ascii="Arial" w:hAnsi="Arial" w:cs="Arial"/>
          <w:sz w:val="22"/>
          <w:szCs w:val="22"/>
        </w:rPr>
        <w:t xml:space="preserve"> los cursos de Educación contínu</w:t>
      </w:r>
      <w:r w:rsidRPr="007923C2">
        <w:rPr>
          <w:rFonts w:ascii="Arial" w:hAnsi="Arial" w:cs="Arial"/>
          <w:sz w:val="22"/>
          <w:szCs w:val="22"/>
        </w:rPr>
        <w:t>a impartidos por instructores responsables de la actividad  y egresados</w:t>
      </w:r>
    </w:p>
    <w:p w14:paraId="71D53458" w14:textId="77777777" w:rsidR="006A5668" w:rsidRPr="007923C2" w:rsidRDefault="006A5668" w:rsidP="00A60C78">
      <w:pPr>
        <w:pStyle w:val="Prrafodelista"/>
        <w:numPr>
          <w:ilvl w:val="0"/>
          <w:numId w:val="129"/>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analizar el impacto que tiene en el Programa Docente. </w:t>
      </w:r>
    </w:p>
    <w:p w14:paraId="1B461838" w14:textId="77777777" w:rsidR="006A5668" w:rsidRPr="007923C2" w:rsidRDefault="006A5668" w:rsidP="00A60C78">
      <w:pPr>
        <w:pStyle w:val="Prrafodelista"/>
        <w:numPr>
          <w:ilvl w:val="0"/>
          <w:numId w:val="129"/>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-En base a los resultados mejorar y ajustar las actividades del programa de Educación continua.</w:t>
      </w:r>
    </w:p>
    <w:p w14:paraId="6B1BE6BF" w14:textId="77777777" w:rsidR="006A5668" w:rsidRPr="007923C2" w:rsidRDefault="006A5668" w:rsidP="006A5668">
      <w:pPr>
        <w:spacing w:after="0" w:line="240" w:lineRule="auto"/>
        <w:jc w:val="both"/>
        <w:rPr>
          <w:rFonts w:ascii="Arial" w:hAnsi="Arial" w:cs="Arial"/>
          <w:sz w:val="22"/>
          <w:szCs w:val="22"/>
        </w:rPr>
      </w:pPr>
    </w:p>
    <w:p w14:paraId="3BFF03DC" w14:textId="77777777" w:rsidR="006E1F28" w:rsidRDefault="006E1F28" w:rsidP="005E47E4">
      <w:pPr>
        <w:widowControl w:val="0"/>
        <w:autoSpaceDE w:val="0"/>
        <w:autoSpaceDN w:val="0"/>
        <w:adjustRightInd w:val="0"/>
        <w:jc w:val="both"/>
        <w:rPr>
          <w:rFonts w:ascii="Arial" w:hAnsi="Arial" w:cs="Arial"/>
          <w:b/>
          <w:sz w:val="22"/>
          <w:szCs w:val="22"/>
        </w:rPr>
      </w:pPr>
    </w:p>
    <w:p w14:paraId="3B6238C0" w14:textId="77777777" w:rsidR="00934502" w:rsidRPr="007923C2" w:rsidRDefault="00934502"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5.-PROCEDIMIENTO PARA EL DISEÑO DEL CURRICULUM</w:t>
      </w:r>
    </w:p>
    <w:p w14:paraId="4227E635" w14:textId="77777777" w:rsidR="00934502" w:rsidRPr="007923C2" w:rsidRDefault="00934502"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5.1.-FUNDAMENTACIÓN DEL PLAN DE ESTUDIOS</w:t>
      </w:r>
    </w:p>
    <w:p w14:paraId="0FB74B89" w14:textId="77777777" w:rsidR="006B4BD7" w:rsidRPr="007923C2" w:rsidRDefault="006B4BD7" w:rsidP="006B4BD7">
      <w:pPr>
        <w:widowControl w:val="0"/>
        <w:autoSpaceDE w:val="0"/>
        <w:autoSpaceDN w:val="0"/>
        <w:adjustRightInd w:val="0"/>
        <w:spacing w:after="0" w:line="240" w:lineRule="auto"/>
        <w:rPr>
          <w:rFonts w:ascii="Arial" w:hAnsi="Arial" w:cs="Arial"/>
          <w:sz w:val="22"/>
          <w:szCs w:val="22"/>
          <w:lang w:val="es-ES"/>
        </w:rPr>
      </w:pPr>
      <w:r w:rsidRPr="007923C2">
        <w:rPr>
          <w:rFonts w:ascii="Arial" w:hAnsi="Arial" w:cs="Arial"/>
          <w:sz w:val="22"/>
          <w:szCs w:val="22"/>
          <w:lang w:val="es-ES"/>
        </w:rPr>
        <w:t>ANTECEDENTES Y JUSTIFICACIÓN</w:t>
      </w:r>
    </w:p>
    <w:p w14:paraId="05D976CD" w14:textId="77777777" w:rsidR="006B4BD7" w:rsidRPr="007923C2" w:rsidRDefault="006B4BD7" w:rsidP="006B4BD7">
      <w:pPr>
        <w:widowControl w:val="0"/>
        <w:autoSpaceDE w:val="0"/>
        <w:autoSpaceDN w:val="0"/>
        <w:adjustRightInd w:val="0"/>
        <w:spacing w:after="0" w:line="327" w:lineRule="exact"/>
        <w:rPr>
          <w:rFonts w:ascii="Arial" w:hAnsi="Arial" w:cs="Arial"/>
          <w:sz w:val="22"/>
          <w:szCs w:val="22"/>
          <w:lang w:val="es-ES"/>
        </w:rPr>
      </w:pPr>
    </w:p>
    <w:p w14:paraId="02AF5A83" w14:textId="77777777" w:rsidR="006B4BD7" w:rsidRPr="007923C2" w:rsidRDefault="006B4BD7" w:rsidP="006B4BD7">
      <w:pPr>
        <w:widowControl w:val="0"/>
        <w:overflowPunct w:val="0"/>
        <w:autoSpaceDE w:val="0"/>
        <w:autoSpaceDN w:val="0"/>
        <w:adjustRightInd w:val="0"/>
        <w:spacing w:after="0" w:line="228" w:lineRule="auto"/>
        <w:jc w:val="both"/>
        <w:rPr>
          <w:rFonts w:ascii="Arial" w:hAnsi="Arial" w:cs="Arial"/>
          <w:sz w:val="22"/>
          <w:szCs w:val="22"/>
          <w:lang w:val="es-ES"/>
        </w:rPr>
      </w:pPr>
      <w:r w:rsidRPr="007923C2">
        <w:rPr>
          <w:rFonts w:ascii="Arial" w:hAnsi="Arial" w:cs="Arial"/>
          <w:sz w:val="22"/>
          <w:szCs w:val="22"/>
          <w:lang w:val="es-ES"/>
        </w:rPr>
        <w:t>La sociedad mexicana, como contexto de la educación superior, está inmersa en un proceso de transición en todos los órdenes: económico, político, social y cultural, signado por la interdependencia mundial. El cambio afecta a todos pero el cambio no se da de manera homogénea en los distintos ámbitos de la sociedad.</w:t>
      </w:r>
    </w:p>
    <w:p w14:paraId="1C30045F" w14:textId="77777777" w:rsidR="006B4BD7" w:rsidRPr="007923C2" w:rsidRDefault="006B4BD7" w:rsidP="006B4BD7">
      <w:pPr>
        <w:widowControl w:val="0"/>
        <w:autoSpaceDE w:val="0"/>
        <w:autoSpaceDN w:val="0"/>
        <w:adjustRightInd w:val="0"/>
        <w:spacing w:after="0" w:line="332" w:lineRule="exact"/>
        <w:rPr>
          <w:rFonts w:ascii="Arial" w:hAnsi="Arial" w:cs="Arial"/>
          <w:sz w:val="22"/>
          <w:szCs w:val="22"/>
          <w:lang w:val="es-ES"/>
        </w:rPr>
      </w:pPr>
    </w:p>
    <w:p w14:paraId="79246D81" w14:textId="77777777" w:rsidR="006B4BD7" w:rsidRPr="007923C2" w:rsidRDefault="006B4BD7" w:rsidP="006B4BD7">
      <w:pPr>
        <w:widowControl w:val="0"/>
        <w:overflowPunct w:val="0"/>
        <w:autoSpaceDE w:val="0"/>
        <w:autoSpaceDN w:val="0"/>
        <w:adjustRightInd w:val="0"/>
        <w:spacing w:after="0" w:line="228" w:lineRule="auto"/>
        <w:jc w:val="both"/>
        <w:rPr>
          <w:rFonts w:ascii="Arial" w:hAnsi="Arial" w:cs="Arial"/>
          <w:sz w:val="22"/>
          <w:szCs w:val="22"/>
          <w:lang w:val="es-ES"/>
        </w:rPr>
      </w:pPr>
      <w:r w:rsidRPr="007923C2">
        <w:rPr>
          <w:rFonts w:ascii="Arial" w:hAnsi="Arial" w:cs="Arial"/>
          <w:sz w:val="22"/>
          <w:szCs w:val="22"/>
          <w:lang w:val="es-ES"/>
        </w:rPr>
        <w:t>En lo cultural, están apareciendo fenómenos como son el avance acelerado de los conocimientos científicos, humanísticos y tecnológicos, la creciente escolaridad de la población en los noveles de la educación básica y los adelantos en la tecnología d ela información y comunicación.</w:t>
      </w:r>
    </w:p>
    <w:p w14:paraId="0589D92A" w14:textId="77777777" w:rsidR="006B4BD7" w:rsidRPr="007923C2" w:rsidRDefault="006B4BD7" w:rsidP="006B4BD7">
      <w:pPr>
        <w:widowControl w:val="0"/>
        <w:autoSpaceDE w:val="0"/>
        <w:autoSpaceDN w:val="0"/>
        <w:adjustRightInd w:val="0"/>
        <w:spacing w:after="0" w:line="331" w:lineRule="exact"/>
        <w:rPr>
          <w:rFonts w:ascii="Arial" w:hAnsi="Arial" w:cs="Arial"/>
          <w:sz w:val="22"/>
          <w:szCs w:val="22"/>
          <w:lang w:val="es-ES"/>
        </w:rPr>
      </w:pPr>
    </w:p>
    <w:p w14:paraId="145CD7EF" w14:textId="77777777" w:rsidR="006B4BD7" w:rsidRPr="007923C2" w:rsidRDefault="006B4BD7" w:rsidP="006B4BD7">
      <w:pPr>
        <w:widowControl w:val="0"/>
        <w:overflowPunct w:val="0"/>
        <w:autoSpaceDE w:val="0"/>
        <w:autoSpaceDN w:val="0"/>
        <w:adjustRightInd w:val="0"/>
        <w:spacing w:after="0" w:line="232" w:lineRule="auto"/>
        <w:jc w:val="both"/>
        <w:rPr>
          <w:rFonts w:ascii="Arial" w:hAnsi="Arial" w:cs="Arial"/>
          <w:sz w:val="22"/>
          <w:szCs w:val="22"/>
          <w:lang w:val="es-ES"/>
        </w:rPr>
      </w:pPr>
      <w:r w:rsidRPr="007923C2">
        <w:rPr>
          <w:rFonts w:ascii="Arial" w:hAnsi="Arial" w:cs="Arial"/>
          <w:sz w:val="22"/>
          <w:szCs w:val="22"/>
          <w:lang w:val="es-ES"/>
        </w:rPr>
        <w:t xml:space="preserve">Las instituciones educativas actúan en un contexto social no siempre favorable para el óptimo </w:t>
      </w:r>
      <w:r w:rsidRPr="007923C2">
        <w:rPr>
          <w:rFonts w:ascii="Arial" w:hAnsi="Arial" w:cs="Arial"/>
          <w:sz w:val="22"/>
          <w:szCs w:val="22"/>
          <w:lang w:val="es-ES"/>
        </w:rPr>
        <w:lastRenderedPageBreak/>
        <w:t>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14:paraId="48D49DBA" w14:textId="77777777" w:rsidR="006B4BD7" w:rsidRPr="007923C2" w:rsidRDefault="006B4BD7" w:rsidP="006B4BD7">
      <w:pPr>
        <w:widowControl w:val="0"/>
        <w:autoSpaceDE w:val="0"/>
        <w:autoSpaceDN w:val="0"/>
        <w:adjustRightInd w:val="0"/>
        <w:spacing w:after="0" w:line="332" w:lineRule="exact"/>
        <w:rPr>
          <w:rFonts w:ascii="Arial" w:hAnsi="Arial" w:cs="Arial"/>
          <w:sz w:val="22"/>
          <w:szCs w:val="22"/>
          <w:lang w:val="es-ES"/>
        </w:rPr>
      </w:pPr>
    </w:p>
    <w:p w14:paraId="1FB3C15D" w14:textId="77777777" w:rsidR="006B4BD7" w:rsidRPr="007923C2" w:rsidRDefault="006B4BD7" w:rsidP="006B4BD7">
      <w:pPr>
        <w:widowControl w:val="0"/>
        <w:overflowPunct w:val="0"/>
        <w:autoSpaceDE w:val="0"/>
        <w:autoSpaceDN w:val="0"/>
        <w:adjustRightInd w:val="0"/>
        <w:spacing w:after="0" w:line="237" w:lineRule="auto"/>
        <w:jc w:val="both"/>
        <w:rPr>
          <w:rFonts w:ascii="Arial" w:hAnsi="Arial" w:cs="Arial"/>
          <w:sz w:val="22"/>
          <w:szCs w:val="22"/>
          <w:lang w:val="es-ES"/>
        </w:rPr>
      </w:pPr>
      <w:r w:rsidRPr="007923C2">
        <w:rPr>
          <w:rFonts w:ascii="Arial" w:hAnsi="Arial" w:cs="Arial"/>
          <w:sz w:val="22"/>
          <w:szCs w:val="22"/>
          <w:lang w:val="es-ES"/>
        </w:rPr>
        <w:t>Una sociedad mundial y nacional inmersa en un proceso de cambio acelerado en todas las esferas de la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w:t>
      </w:r>
      <w:r w:rsidR="0037533C" w:rsidRPr="007923C2">
        <w:rPr>
          <w:rFonts w:ascii="Arial" w:hAnsi="Arial" w:cs="Arial"/>
          <w:sz w:val="22"/>
          <w:szCs w:val="22"/>
          <w:lang w:val="es-ES"/>
        </w:rPr>
        <w:t>l</w:t>
      </w:r>
      <w:r w:rsidRPr="007923C2">
        <w:rPr>
          <w:rFonts w:ascii="Arial" w:hAnsi="Arial" w:cs="Arial"/>
          <w:sz w:val="22"/>
          <w:szCs w:val="22"/>
          <w:lang w:val="es-ES"/>
        </w:rPr>
        <w:t>s modos de vida de los individuos, de los grupos sociales y de los sexos, se extienden los ámbitos de acción de la sociedad civil y de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responder a demandas del empleador o adelantarse y descubrir anticipadamente el mundo futuro del trabajo.</w:t>
      </w:r>
    </w:p>
    <w:p w14:paraId="4E0DC9A0" w14:textId="77777777" w:rsidR="006B4BD7" w:rsidRPr="007923C2" w:rsidRDefault="006B4BD7" w:rsidP="006B4BD7">
      <w:pPr>
        <w:widowControl w:val="0"/>
        <w:autoSpaceDE w:val="0"/>
        <w:autoSpaceDN w:val="0"/>
        <w:adjustRightInd w:val="0"/>
        <w:spacing w:after="0" w:line="340" w:lineRule="exact"/>
        <w:rPr>
          <w:rFonts w:ascii="Arial" w:hAnsi="Arial" w:cs="Arial"/>
          <w:sz w:val="22"/>
          <w:szCs w:val="22"/>
          <w:lang w:val="es-ES"/>
        </w:rPr>
      </w:pPr>
    </w:p>
    <w:p w14:paraId="01FCEBDA" w14:textId="77777777" w:rsidR="006B4BD7" w:rsidRPr="007923C2" w:rsidRDefault="00B369DD" w:rsidP="006B4BD7">
      <w:pPr>
        <w:widowControl w:val="0"/>
        <w:overflowPunct w:val="0"/>
        <w:autoSpaceDE w:val="0"/>
        <w:autoSpaceDN w:val="0"/>
        <w:adjustRightInd w:val="0"/>
        <w:spacing w:after="0" w:line="225" w:lineRule="auto"/>
        <w:jc w:val="both"/>
        <w:rPr>
          <w:rFonts w:ascii="Arial" w:hAnsi="Arial" w:cs="Arial"/>
          <w:sz w:val="22"/>
          <w:szCs w:val="22"/>
          <w:lang w:val="es-ES"/>
        </w:rPr>
      </w:pPr>
      <w:r>
        <w:rPr>
          <w:rFonts w:ascii="Arial" w:hAnsi="Arial" w:cs="Arial"/>
          <w:sz w:val="22"/>
          <w:szCs w:val="22"/>
          <w:lang w:val="es-ES"/>
        </w:rPr>
        <w:t>A</w:t>
      </w:r>
      <w:r w:rsidR="006B4BD7" w:rsidRPr="007923C2">
        <w:rPr>
          <w:rFonts w:ascii="Arial" w:hAnsi="Arial" w:cs="Arial"/>
          <w:sz w:val="22"/>
          <w:szCs w:val="22"/>
          <w:lang w:val="es-ES"/>
        </w:rPr>
        <w:t>nte éstos requerimientos que proclama el país el personal docente de la carrera de Ingeniero en Agrobiología de la UAAAN está comprometido a responder a dichas demanda, es por eso que se hizo necesario hacer una revisión y análisis</w:t>
      </w:r>
      <w:r>
        <w:rPr>
          <w:rFonts w:ascii="Arial" w:hAnsi="Arial" w:cs="Arial"/>
          <w:sz w:val="22"/>
          <w:szCs w:val="22"/>
          <w:lang w:val="es-ES"/>
        </w:rPr>
        <w:t xml:space="preserve"> d</w:t>
      </w:r>
      <w:r w:rsidR="0006268B" w:rsidRPr="007923C2">
        <w:rPr>
          <w:rFonts w:ascii="Arial" w:hAnsi="Arial" w:cs="Arial"/>
          <w:sz w:val="22"/>
          <w:szCs w:val="22"/>
          <w:lang w:val="es-ES"/>
        </w:rPr>
        <w:t>el Plan de</w:t>
      </w:r>
      <w:r w:rsidR="006B4BD7" w:rsidRPr="007923C2">
        <w:rPr>
          <w:rFonts w:ascii="Arial" w:hAnsi="Arial" w:cs="Arial"/>
          <w:sz w:val="22"/>
          <w:szCs w:val="22"/>
          <w:lang w:val="es-ES"/>
        </w:rPr>
        <w:t xml:space="preserve"> Estudios actual para determinar su viabilidad, su demanda y específicamente el papel que están desempeñando sus egresados en el ámbito laboral.</w:t>
      </w:r>
    </w:p>
    <w:p w14:paraId="5EF0ACD0" w14:textId="77777777" w:rsidR="006B4BD7" w:rsidRPr="007923C2" w:rsidRDefault="006B4BD7" w:rsidP="006B4BD7">
      <w:pPr>
        <w:widowControl w:val="0"/>
        <w:autoSpaceDE w:val="0"/>
        <w:autoSpaceDN w:val="0"/>
        <w:adjustRightInd w:val="0"/>
        <w:spacing w:after="0" w:line="52" w:lineRule="exact"/>
        <w:rPr>
          <w:rFonts w:ascii="Arial" w:hAnsi="Arial" w:cs="Arial"/>
          <w:sz w:val="22"/>
          <w:szCs w:val="22"/>
          <w:lang w:val="es-ES"/>
        </w:rPr>
      </w:pPr>
    </w:p>
    <w:p w14:paraId="52227E42" w14:textId="77777777" w:rsidR="006B4BD7" w:rsidRPr="007923C2" w:rsidRDefault="006B4BD7" w:rsidP="006B4BD7">
      <w:pPr>
        <w:widowControl w:val="0"/>
        <w:overflowPunct w:val="0"/>
        <w:autoSpaceDE w:val="0"/>
        <w:autoSpaceDN w:val="0"/>
        <w:adjustRightInd w:val="0"/>
        <w:spacing w:after="0" w:line="229" w:lineRule="auto"/>
        <w:jc w:val="both"/>
        <w:rPr>
          <w:rFonts w:ascii="Arial" w:hAnsi="Arial" w:cs="Arial"/>
          <w:sz w:val="22"/>
          <w:szCs w:val="22"/>
          <w:lang w:val="es-ES"/>
        </w:rPr>
      </w:pPr>
      <w:r w:rsidRPr="007923C2">
        <w:rPr>
          <w:rFonts w:ascii="Arial" w:hAnsi="Arial" w:cs="Arial"/>
          <w:sz w:val="22"/>
          <w:szCs w:val="22"/>
          <w:lang w:val="es-ES"/>
        </w:rPr>
        <w:t>En base a los resultados del análisis hecho pero sobre todo en un afán de estar inmersos en un programa de Mejora Continua que nos guíe hacia una educación con calidad se realizó la reestructuración del Plan de Estudios del Programa Docente de la carrera IAB.</w:t>
      </w:r>
    </w:p>
    <w:p w14:paraId="10527A87" w14:textId="77777777" w:rsidR="006B4BD7" w:rsidRPr="007923C2" w:rsidRDefault="006B4BD7" w:rsidP="006B4BD7">
      <w:pPr>
        <w:widowControl w:val="0"/>
        <w:autoSpaceDE w:val="0"/>
        <w:autoSpaceDN w:val="0"/>
        <w:adjustRightInd w:val="0"/>
        <w:spacing w:after="0" w:line="200" w:lineRule="exact"/>
        <w:rPr>
          <w:rFonts w:ascii="Arial" w:hAnsi="Arial" w:cs="Arial"/>
          <w:sz w:val="22"/>
          <w:szCs w:val="22"/>
          <w:lang w:val="es-ES"/>
        </w:rPr>
      </w:pPr>
    </w:p>
    <w:p w14:paraId="47334AA2" w14:textId="77777777" w:rsidR="006B4BD7" w:rsidRPr="007923C2" w:rsidRDefault="006B4BD7" w:rsidP="006B4BD7">
      <w:pPr>
        <w:widowControl w:val="0"/>
        <w:autoSpaceDE w:val="0"/>
        <w:autoSpaceDN w:val="0"/>
        <w:adjustRightInd w:val="0"/>
        <w:jc w:val="both"/>
        <w:rPr>
          <w:rFonts w:ascii="Arial" w:hAnsi="Arial" w:cs="Arial"/>
          <w:sz w:val="22"/>
          <w:szCs w:val="22"/>
        </w:rPr>
      </w:pPr>
      <w:r w:rsidRPr="007923C2">
        <w:rPr>
          <w:rFonts w:ascii="Arial" w:hAnsi="Arial" w:cs="Arial"/>
          <w:sz w:val="22"/>
          <w:szCs w:val="22"/>
        </w:rPr>
        <w:t>En 1989 surge la propuesta de la creación de una carrera en el Departamento y se creó un proyecto de Academia a partir de la creación de una comisión, para el estudio de factibilidad de profesiones Biológicas en la Universidad.</w:t>
      </w:r>
    </w:p>
    <w:p w14:paraId="15C30E88" w14:textId="77777777" w:rsidR="006B4BD7" w:rsidRPr="007923C2" w:rsidRDefault="006B4BD7" w:rsidP="006B4BD7">
      <w:pPr>
        <w:widowControl w:val="0"/>
        <w:autoSpaceDE w:val="0"/>
        <w:autoSpaceDN w:val="0"/>
        <w:adjustRightInd w:val="0"/>
        <w:jc w:val="both"/>
        <w:rPr>
          <w:rFonts w:ascii="Arial" w:hAnsi="Arial" w:cs="Arial"/>
          <w:sz w:val="22"/>
          <w:szCs w:val="22"/>
        </w:rPr>
      </w:pPr>
      <w:r w:rsidRPr="007923C2">
        <w:rPr>
          <w:rFonts w:ascii="Arial" w:hAnsi="Arial" w:cs="Arial"/>
          <w:sz w:val="22"/>
          <w:szCs w:val="22"/>
        </w:rPr>
        <w:t>Del trabajo de dicha comisión se produjo el proyecto de carrera en el área de Ciencias Biológicas, que se turnó a la Dirección Académica en 1992.</w:t>
      </w:r>
    </w:p>
    <w:p w14:paraId="77113D89" w14:textId="77777777" w:rsidR="006B4BD7" w:rsidRPr="007923C2" w:rsidRDefault="006B4BD7" w:rsidP="006B4BD7">
      <w:pPr>
        <w:widowControl w:val="0"/>
        <w:autoSpaceDE w:val="0"/>
        <w:autoSpaceDN w:val="0"/>
        <w:adjustRightInd w:val="0"/>
        <w:jc w:val="both"/>
        <w:rPr>
          <w:rFonts w:ascii="Arial" w:hAnsi="Arial" w:cs="Arial"/>
          <w:sz w:val="22"/>
          <w:szCs w:val="22"/>
        </w:rPr>
      </w:pPr>
      <w:r w:rsidRPr="007923C2">
        <w:rPr>
          <w:rFonts w:ascii="Arial" w:hAnsi="Arial" w:cs="Arial"/>
          <w:sz w:val="22"/>
          <w:szCs w:val="22"/>
        </w:rPr>
        <w:t>En 1994 en el proyecto de Reforma Académica se dio el espacio para que el Consejo Universitario aprobara los aspectos generales de la carrera y es en 1997 que se da su aprobación y entra en vigor el inicio del Programa Docente de la Carrera de Ingeniero en Agrobiología.</w:t>
      </w:r>
    </w:p>
    <w:p w14:paraId="6B72B192" w14:textId="77777777" w:rsidR="006B4BD7" w:rsidRPr="007923C2" w:rsidRDefault="006B4BD7" w:rsidP="006B4BD7">
      <w:pPr>
        <w:widowControl w:val="0"/>
        <w:autoSpaceDE w:val="0"/>
        <w:autoSpaceDN w:val="0"/>
        <w:adjustRightInd w:val="0"/>
        <w:spacing w:after="0" w:line="240" w:lineRule="auto"/>
        <w:ind w:left="60"/>
        <w:rPr>
          <w:rFonts w:ascii="Arial" w:hAnsi="Arial" w:cs="Arial"/>
          <w:sz w:val="22"/>
          <w:szCs w:val="22"/>
          <w:lang w:val="es-ES"/>
        </w:rPr>
      </w:pPr>
      <w:r w:rsidRPr="007923C2">
        <w:rPr>
          <w:rFonts w:ascii="Arial" w:hAnsi="Arial" w:cs="Arial"/>
          <w:sz w:val="22"/>
          <w:szCs w:val="22"/>
          <w:lang w:val="es-ES"/>
        </w:rPr>
        <w:t>Acreditación de las Carreras de la UAAAN</w:t>
      </w:r>
    </w:p>
    <w:p w14:paraId="2A13112C" w14:textId="77777777" w:rsidR="006B4BD7" w:rsidRPr="007923C2" w:rsidRDefault="006B4BD7" w:rsidP="006B4BD7">
      <w:pPr>
        <w:widowControl w:val="0"/>
        <w:autoSpaceDE w:val="0"/>
        <w:autoSpaceDN w:val="0"/>
        <w:adjustRightInd w:val="0"/>
        <w:spacing w:after="0" w:line="327" w:lineRule="exact"/>
        <w:rPr>
          <w:rFonts w:ascii="Arial" w:hAnsi="Arial" w:cs="Arial"/>
          <w:sz w:val="22"/>
          <w:szCs w:val="22"/>
          <w:lang w:val="es-ES"/>
        </w:rPr>
      </w:pPr>
    </w:p>
    <w:p w14:paraId="38868473" w14:textId="77777777" w:rsidR="006B4BD7" w:rsidRPr="007923C2" w:rsidRDefault="006B4BD7" w:rsidP="006B4BD7">
      <w:pPr>
        <w:widowControl w:val="0"/>
        <w:overflowPunct w:val="0"/>
        <w:autoSpaceDE w:val="0"/>
        <w:autoSpaceDN w:val="0"/>
        <w:adjustRightInd w:val="0"/>
        <w:spacing w:after="0" w:line="233" w:lineRule="auto"/>
        <w:jc w:val="both"/>
        <w:rPr>
          <w:rFonts w:ascii="Arial" w:hAnsi="Arial" w:cs="Arial"/>
          <w:sz w:val="22"/>
          <w:szCs w:val="22"/>
          <w:lang w:val="es-ES"/>
        </w:rPr>
      </w:pPr>
      <w:r w:rsidRPr="007923C2">
        <w:rPr>
          <w:rFonts w:ascii="Arial" w:hAnsi="Arial" w:cs="Arial"/>
          <w:sz w:val="22"/>
          <w:szCs w:val="22"/>
          <w:lang w:val="es-ES"/>
        </w:rPr>
        <w:t>La Universidad Autónoma Agraria Antonio Narro es una Institución con más de 80 años de prestigio en el sector Agrícola y pecuario en su afán de seguir siendo reconocida como una de las mejores Universidades Agrarias se inicia un proceso de reconocimiento de sus unidades académicas o programas de carrera, para ser incluidas en los programas de acreditación con el objetivo de que satisfagan los criterios o estándares de calidad establecidos (COMEAA) con estos procesos se puede mostrar a la sociedad la importancia de la carrera.</w:t>
      </w:r>
    </w:p>
    <w:p w14:paraId="1B9403D9" w14:textId="77777777" w:rsidR="006B4BD7" w:rsidRPr="007923C2" w:rsidRDefault="006B4BD7" w:rsidP="006B4BD7">
      <w:pPr>
        <w:widowControl w:val="0"/>
        <w:autoSpaceDE w:val="0"/>
        <w:autoSpaceDN w:val="0"/>
        <w:adjustRightInd w:val="0"/>
        <w:spacing w:after="0" w:line="57" w:lineRule="exact"/>
        <w:rPr>
          <w:rFonts w:ascii="Arial" w:hAnsi="Arial" w:cs="Arial"/>
          <w:sz w:val="22"/>
          <w:szCs w:val="22"/>
          <w:lang w:val="es-ES"/>
        </w:rPr>
      </w:pPr>
    </w:p>
    <w:p w14:paraId="18646E08" w14:textId="77777777" w:rsidR="006B4BD7" w:rsidRPr="007923C2" w:rsidRDefault="006B4BD7" w:rsidP="006B4BD7">
      <w:pPr>
        <w:widowControl w:val="0"/>
        <w:overflowPunct w:val="0"/>
        <w:autoSpaceDE w:val="0"/>
        <w:autoSpaceDN w:val="0"/>
        <w:adjustRightInd w:val="0"/>
        <w:spacing w:after="0" w:line="229" w:lineRule="auto"/>
        <w:ind w:right="20"/>
        <w:jc w:val="both"/>
        <w:rPr>
          <w:rFonts w:ascii="Arial" w:hAnsi="Arial" w:cs="Arial"/>
          <w:sz w:val="22"/>
          <w:szCs w:val="22"/>
        </w:rPr>
      </w:pPr>
      <w:r w:rsidRPr="007923C2">
        <w:rPr>
          <w:rFonts w:ascii="Arial" w:hAnsi="Arial" w:cs="Arial"/>
          <w:sz w:val="22"/>
          <w:szCs w:val="22"/>
          <w:lang w:val="es-ES"/>
        </w:rPr>
        <w:t xml:space="preserve">En la Universidad la primera carrera en acreditarse fue la de Ing. </w:t>
      </w:r>
      <w:r w:rsidRPr="007923C2">
        <w:rPr>
          <w:rFonts w:ascii="Arial" w:hAnsi="Arial" w:cs="Arial"/>
          <w:sz w:val="22"/>
          <w:szCs w:val="22"/>
        </w:rPr>
        <w:t xml:space="preserve">Mecánico Agrícola, en 2002. </w:t>
      </w:r>
      <w:r w:rsidRPr="007923C2">
        <w:rPr>
          <w:rFonts w:ascii="Arial" w:hAnsi="Arial" w:cs="Arial"/>
          <w:sz w:val="22"/>
          <w:szCs w:val="22"/>
          <w:lang w:val="es-ES"/>
        </w:rPr>
        <w:t xml:space="preserve">Posteriormente 2003 se acreditó la carrera de Ing. Agrónomo Parasitólogo, y recientemente en 2004 las carreras de Ing. </w:t>
      </w:r>
      <w:r w:rsidRPr="007923C2">
        <w:rPr>
          <w:rFonts w:ascii="Arial" w:hAnsi="Arial" w:cs="Arial"/>
          <w:sz w:val="22"/>
          <w:szCs w:val="22"/>
        </w:rPr>
        <w:t>Agrónomo en Horticultura, Ing. Agrónomo en Producción e Ing. Agrónomo en Irrigación.</w:t>
      </w:r>
    </w:p>
    <w:p w14:paraId="5FDDE659" w14:textId="77777777" w:rsidR="006B4BD7" w:rsidRPr="007923C2" w:rsidRDefault="006B4BD7" w:rsidP="006B4BD7">
      <w:pPr>
        <w:widowControl w:val="0"/>
        <w:autoSpaceDE w:val="0"/>
        <w:autoSpaceDN w:val="0"/>
        <w:adjustRightInd w:val="0"/>
        <w:spacing w:after="0" w:line="51" w:lineRule="exact"/>
        <w:rPr>
          <w:rFonts w:ascii="Arial" w:hAnsi="Arial" w:cs="Arial"/>
          <w:sz w:val="22"/>
          <w:szCs w:val="22"/>
        </w:rPr>
      </w:pPr>
    </w:p>
    <w:p w14:paraId="5EDABC12" w14:textId="77777777" w:rsidR="006B4BD7" w:rsidRPr="007923C2" w:rsidRDefault="006B4BD7" w:rsidP="006B4BD7">
      <w:pPr>
        <w:widowControl w:val="0"/>
        <w:overflowPunct w:val="0"/>
        <w:autoSpaceDE w:val="0"/>
        <w:autoSpaceDN w:val="0"/>
        <w:adjustRightInd w:val="0"/>
        <w:spacing w:after="0" w:line="232" w:lineRule="auto"/>
        <w:jc w:val="both"/>
        <w:rPr>
          <w:rFonts w:ascii="Arial" w:hAnsi="Arial" w:cs="Arial"/>
          <w:sz w:val="22"/>
          <w:szCs w:val="22"/>
        </w:rPr>
      </w:pPr>
      <w:r w:rsidRPr="007923C2">
        <w:rPr>
          <w:rFonts w:ascii="Arial" w:hAnsi="Arial" w:cs="Arial"/>
          <w:sz w:val="22"/>
          <w:szCs w:val="22"/>
          <w:lang w:val="es-ES"/>
        </w:rPr>
        <w:t xml:space="preserve">El personal Académico del Departamento de Botánica así como la Academia del Programa Docente de la Carrera de Ing. </w:t>
      </w:r>
      <w:r w:rsidRPr="007923C2">
        <w:rPr>
          <w:rFonts w:ascii="Arial" w:hAnsi="Arial" w:cs="Arial"/>
          <w:sz w:val="22"/>
          <w:szCs w:val="22"/>
        </w:rPr>
        <w:t>En Agrobiología se han tazado como objetivo la acreditación de la carrera, no sólo de acreditar por el hecho de hacerlo sino como una forma de mejorarla de revisar las estrategias adecuada para reducir las debilidades y evitar las amenazas y realizar las acciones necesarias y una de ellas es la reestructuración de la curricula de la carrera.</w:t>
      </w:r>
    </w:p>
    <w:p w14:paraId="086DF348" w14:textId="77777777" w:rsidR="006B4BD7" w:rsidRPr="007923C2" w:rsidRDefault="006B4BD7" w:rsidP="006B4BD7">
      <w:pPr>
        <w:widowControl w:val="0"/>
        <w:autoSpaceDE w:val="0"/>
        <w:autoSpaceDN w:val="0"/>
        <w:adjustRightInd w:val="0"/>
        <w:spacing w:after="0" w:line="200" w:lineRule="exact"/>
        <w:rPr>
          <w:rFonts w:ascii="Arial" w:hAnsi="Arial" w:cs="Arial"/>
          <w:sz w:val="22"/>
          <w:szCs w:val="22"/>
        </w:rPr>
      </w:pPr>
    </w:p>
    <w:p w14:paraId="7D1AC47B" w14:textId="77777777" w:rsidR="006B4BD7" w:rsidRPr="002D70AE" w:rsidRDefault="00E25029"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Como parte del proceso de Mejora Continua que debe mantener cada programa educativo de la Universidad, se debe de mantener el compromiso de establecer un proceso dinámico en el que estén involucrados docentes, alumnos, administrativos y autoridades de la institución.</w:t>
      </w:r>
    </w:p>
    <w:p w14:paraId="06F08CC9" w14:textId="77777777" w:rsidR="00E25029" w:rsidRPr="002D70AE" w:rsidRDefault="00E25029"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La Universidad a establecido el compromiso de que las carreras estén acreditadas y que se le de seguimiento a éste proceso para mantener la calidad de cada programa.</w:t>
      </w:r>
    </w:p>
    <w:p w14:paraId="5555B649" w14:textId="77777777" w:rsidR="00E25029" w:rsidRPr="002D70AE" w:rsidRDefault="00E25029"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El Programa Docente de la Carrera IAB se está comprometiendo de nuevo a retomar este proceso, es por eso que se está realizando una nueva revisión de todos los elementos que se involucran para corregir las debilidades y amenazas y convertirlas en áreas de oportunidad.</w:t>
      </w:r>
    </w:p>
    <w:p w14:paraId="543F025C" w14:textId="77777777" w:rsidR="00E25029" w:rsidRPr="002D70AE" w:rsidRDefault="00E25029"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 xml:space="preserve">Como parte fundamental de los cambios </w:t>
      </w:r>
      <w:r w:rsidR="006876E4" w:rsidRPr="002D70AE">
        <w:rPr>
          <w:rFonts w:ascii="Arial" w:hAnsi="Arial" w:cs="Arial"/>
          <w:sz w:val="22"/>
          <w:szCs w:val="22"/>
        </w:rPr>
        <w:t>propuestos está el realizar un análisis profundo de la curricula (Plan de Estudios) para concluir los cambios pertinentes a realizar.</w:t>
      </w:r>
    </w:p>
    <w:p w14:paraId="104A5639" w14:textId="77777777" w:rsidR="006876E4"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Se retomó el análisis de los factores externos para analizar la pertinencia del programa y el fundamento del perfil profesional y se concluyó que la temática que involucra sigue vigente por lo que el fundamento de la carrera está justificada.</w:t>
      </w:r>
    </w:p>
    <w:p w14:paraId="0EDA712C" w14:textId="77777777" w:rsidR="006876E4"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Se realizó el análisis del estudio de pertinencia de la carrera para determinar los comentarios de egresados y empleadores para saber las carencias y reforzamientos que se deben hacer en un área determinada que forma el Plan de estudios y se establece lo siguiente.</w:t>
      </w:r>
    </w:p>
    <w:p w14:paraId="6D345BC1" w14:textId="77777777" w:rsidR="006876E4"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1.-Reforzar y ampliar el área de agricultura alternativa sobre todo el aspecto práctico.</w:t>
      </w:r>
    </w:p>
    <w:p w14:paraId="0CB0F2DA" w14:textId="77777777" w:rsidR="006876E4"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 xml:space="preserve">2.-Quitar materias del Plan de estudios que no resulten tan importantes para la formación del     </w:t>
      </w:r>
    </w:p>
    <w:p w14:paraId="7B6152DC" w14:textId="77777777" w:rsidR="006B4BD7"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 xml:space="preserve">    Estudiante de Agrobiología.</w:t>
      </w:r>
    </w:p>
    <w:p w14:paraId="5FB4AE91" w14:textId="77777777" w:rsidR="006876E4"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3.-Ampliar el número de materias optativas que le den flexibilidad a la currícula.</w:t>
      </w:r>
    </w:p>
    <w:p w14:paraId="3199D934" w14:textId="77777777" w:rsidR="006876E4"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4.-</w:t>
      </w:r>
      <w:r w:rsidR="002D70AE" w:rsidRPr="002D70AE">
        <w:rPr>
          <w:rFonts w:ascii="Arial" w:hAnsi="Arial" w:cs="Arial"/>
          <w:sz w:val="22"/>
          <w:szCs w:val="22"/>
        </w:rPr>
        <w:t>Implementar la preparación del idioma inglés</w:t>
      </w:r>
    </w:p>
    <w:p w14:paraId="762E6246" w14:textId="77777777" w:rsidR="002D70AE" w:rsidRPr="002D70AE" w:rsidRDefault="002D70AE"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5.-Implementar cursos-taller para la preparación práctica del estudiante.</w:t>
      </w:r>
    </w:p>
    <w:p w14:paraId="6C7D1515" w14:textId="77777777" w:rsidR="002D70AE" w:rsidRPr="002D70AE" w:rsidRDefault="002D70AE"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6.-Adecuar la currícula para que el alumno pueda realizar la movilidad.</w:t>
      </w:r>
    </w:p>
    <w:p w14:paraId="159EB800" w14:textId="77777777" w:rsidR="002D70AE" w:rsidRPr="002D70AE" w:rsidRDefault="002D70AE" w:rsidP="006B4BD7">
      <w:pPr>
        <w:widowControl w:val="0"/>
        <w:autoSpaceDE w:val="0"/>
        <w:autoSpaceDN w:val="0"/>
        <w:adjustRightInd w:val="0"/>
        <w:spacing w:after="0" w:line="357" w:lineRule="exact"/>
        <w:rPr>
          <w:rFonts w:ascii="Arial" w:hAnsi="Arial" w:cs="Arial"/>
          <w:sz w:val="22"/>
          <w:szCs w:val="22"/>
        </w:rPr>
      </w:pPr>
    </w:p>
    <w:p w14:paraId="050584BC" w14:textId="77777777" w:rsidR="006B4BD7" w:rsidRPr="007923C2" w:rsidRDefault="006B4BD7" w:rsidP="006B4BD7">
      <w:pPr>
        <w:widowControl w:val="0"/>
        <w:autoSpaceDE w:val="0"/>
        <w:autoSpaceDN w:val="0"/>
        <w:adjustRightInd w:val="0"/>
        <w:spacing w:after="0" w:line="357" w:lineRule="exact"/>
        <w:rPr>
          <w:rFonts w:ascii="Arial" w:hAnsi="Arial" w:cs="Arial"/>
          <w:b/>
          <w:sz w:val="22"/>
          <w:szCs w:val="22"/>
        </w:rPr>
      </w:pPr>
      <w:r w:rsidRPr="007923C2">
        <w:rPr>
          <w:rFonts w:ascii="Arial" w:hAnsi="Arial" w:cs="Arial"/>
          <w:b/>
          <w:sz w:val="22"/>
          <w:szCs w:val="22"/>
        </w:rPr>
        <w:t>5.2.-PERFIL DEL EGRESADO</w:t>
      </w:r>
    </w:p>
    <w:p w14:paraId="3FC1E4A2" w14:textId="77777777" w:rsidR="00864EBA" w:rsidRPr="007923C2" w:rsidRDefault="00864EBA" w:rsidP="006B4BD7">
      <w:pPr>
        <w:widowControl w:val="0"/>
        <w:autoSpaceDE w:val="0"/>
        <w:autoSpaceDN w:val="0"/>
        <w:adjustRightInd w:val="0"/>
        <w:spacing w:after="0" w:line="357" w:lineRule="exact"/>
        <w:rPr>
          <w:rFonts w:ascii="Arial" w:hAnsi="Arial" w:cs="Arial"/>
          <w:b/>
          <w:sz w:val="22"/>
          <w:szCs w:val="22"/>
        </w:rPr>
      </w:pPr>
    </w:p>
    <w:p w14:paraId="0C6CE782" w14:textId="77777777" w:rsidR="00864EBA" w:rsidRPr="007923C2" w:rsidRDefault="0006268B" w:rsidP="00D15A0E">
      <w:pPr>
        <w:tabs>
          <w:tab w:val="left" w:pos="3135"/>
        </w:tabs>
        <w:jc w:val="both"/>
        <w:rPr>
          <w:rFonts w:ascii="Arial" w:hAnsi="Arial" w:cs="Arial"/>
          <w:sz w:val="22"/>
          <w:szCs w:val="22"/>
        </w:rPr>
      </w:pPr>
      <w:r w:rsidRPr="007923C2">
        <w:rPr>
          <w:rFonts w:ascii="Arial" w:hAnsi="Arial" w:cs="Arial"/>
          <w:sz w:val="22"/>
          <w:szCs w:val="22"/>
        </w:rPr>
        <w:t>Contará con el conocimiento teórico práctico para uso y manejo sostenible de los recursos silvo-agropecuarios, lo que permitirá participar en la solución de la problemática ambiental.</w:t>
      </w:r>
    </w:p>
    <w:p w14:paraId="48FA12BC" w14:textId="77777777" w:rsidR="00864EBA" w:rsidRPr="007923C2" w:rsidRDefault="0006268B" w:rsidP="00D15A0E">
      <w:pPr>
        <w:tabs>
          <w:tab w:val="left" w:pos="3135"/>
        </w:tabs>
        <w:jc w:val="both"/>
        <w:rPr>
          <w:rFonts w:ascii="Arial" w:hAnsi="Arial" w:cs="Arial"/>
          <w:sz w:val="22"/>
          <w:szCs w:val="22"/>
        </w:rPr>
      </w:pPr>
      <w:r w:rsidRPr="007923C2">
        <w:rPr>
          <w:rFonts w:ascii="Arial" w:hAnsi="Arial" w:cs="Arial"/>
          <w:sz w:val="22"/>
          <w:szCs w:val="22"/>
        </w:rPr>
        <w:t>Analizará los sistemas de producción tradicional o intensivo y su interacción con el medio ambiente para realizar una producción alimentaria dentro de un contexto sostenible.</w:t>
      </w:r>
    </w:p>
    <w:p w14:paraId="3CAD8C17" w14:textId="77777777" w:rsidR="00864EBA" w:rsidRPr="007923C2" w:rsidRDefault="0006268B" w:rsidP="00D15A0E">
      <w:pPr>
        <w:tabs>
          <w:tab w:val="left" w:pos="3135"/>
        </w:tabs>
        <w:jc w:val="both"/>
        <w:rPr>
          <w:rFonts w:ascii="Arial" w:hAnsi="Arial" w:cs="Arial"/>
          <w:sz w:val="22"/>
          <w:szCs w:val="22"/>
        </w:rPr>
      </w:pPr>
      <w:r w:rsidRPr="007923C2">
        <w:rPr>
          <w:rFonts w:ascii="Arial" w:hAnsi="Arial" w:cs="Arial"/>
          <w:sz w:val="22"/>
          <w:szCs w:val="22"/>
        </w:rPr>
        <w:t>Establecerá y/o participará en empresas de asesoría, servicio y consultoría dirigidos al sector agropecuario, industrial y gubernamental en el manejo y cuidado del medio ambiente.</w:t>
      </w:r>
    </w:p>
    <w:p w14:paraId="68E4275E" w14:textId="77777777" w:rsidR="00864EBA" w:rsidRPr="007923C2" w:rsidRDefault="0006268B" w:rsidP="00D15A0E">
      <w:pPr>
        <w:tabs>
          <w:tab w:val="left" w:pos="3135"/>
        </w:tabs>
        <w:jc w:val="both"/>
        <w:rPr>
          <w:rFonts w:ascii="Arial" w:hAnsi="Arial" w:cs="Arial"/>
          <w:sz w:val="22"/>
          <w:szCs w:val="22"/>
        </w:rPr>
      </w:pPr>
      <w:r w:rsidRPr="007923C2">
        <w:rPr>
          <w:rFonts w:ascii="Arial" w:hAnsi="Arial" w:cs="Arial"/>
          <w:sz w:val="22"/>
          <w:szCs w:val="22"/>
        </w:rPr>
        <w:lastRenderedPageBreak/>
        <w:t>Al entender el desarrollo sostenible, estará capacitado para proponer y ejecutar acciones de evaluación y conservación, basándose en el conocimiento de la legislación jurídica , en materia de biodiversidad, bioética y seguridad ambiental.</w:t>
      </w:r>
    </w:p>
    <w:p w14:paraId="13C73943" w14:textId="77777777" w:rsidR="00864EBA" w:rsidRPr="007923C2" w:rsidRDefault="0006268B" w:rsidP="00D15A0E">
      <w:pPr>
        <w:tabs>
          <w:tab w:val="left" w:pos="3135"/>
        </w:tabs>
        <w:jc w:val="both"/>
        <w:rPr>
          <w:rFonts w:ascii="Arial" w:hAnsi="Arial" w:cs="Arial"/>
          <w:sz w:val="22"/>
          <w:szCs w:val="22"/>
        </w:rPr>
      </w:pPr>
      <w:r w:rsidRPr="007923C2">
        <w:rPr>
          <w:rFonts w:ascii="Arial" w:hAnsi="Arial" w:cs="Arial"/>
          <w:sz w:val="22"/>
          <w:szCs w:val="22"/>
        </w:rPr>
        <w:t xml:space="preserve">Diseñará y/o ejecutará programas de investigación y docencia enfocados al desarrollo de la producción silvo-agropecuaria alternativa, planes de manejo de áreas naturales protegidas,  uso de ecotecnias en la producción agrícola y conservación de suelo y agua. </w:t>
      </w:r>
    </w:p>
    <w:p w14:paraId="5CEC7955" w14:textId="77777777" w:rsidR="00864EBA" w:rsidRPr="007923C2" w:rsidRDefault="00864EBA" w:rsidP="00D15A0E">
      <w:pPr>
        <w:tabs>
          <w:tab w:val="left" w:pos="3135"/>
        </w:tabs>
        <w:jc w:val="both"/>
        <w:rPr>
          <w:rFonts w:ascii="Arial" w:hAnsi="Arial" w:cs="Arial"/>
          <w:b/>
          <w:sz w:val="22"/>
          <w:szCs w:val="22"/>
        </w:rPr>
      </w:pPr>
      <w:r w:rsidRPr="007923C2">
        <w:rPr>
          <w:rFonts w:ascii="Arial" w:hAnsi="Arial" w:cs="Arial"/>
          <w:b/>
          <w:sz w:val="22"/>
          <w:szCs w:val="22"/>
        </w:rPr>
        <w:t>5.3.-PERFIL DEL ASPIRANTE</w:t>
      </w:r>
    </w:p>
    <w:p w14:paraId="76F7A258" w14:textId="77777777" w:rsidR="007F23C2" w:rsidRPr="007923C2" w:rsidRDefault="007F23C2" w:rsidP="00D15A0E">
      <w:pPr>
        <w:tabs>
          <w:tab w:val="left" w:pos="3135"/>
        </w:tabs>
        <w:jc w:val="both"/>
        <w:rPr>
          <w:rFonts w:ascii="Arial" w:hAnsi="Arial" w:cs="Arial"/>
          <w:sz w:val="22"/>
          <w:szCs w:val="22"/>
        </w:rPr>
      </w:pPr>
      <w:r w:rsidRPr="007923C2">
        <w:rPr>
          <w:rFonts w:ascii="Arial" w:hAnsi="Arial" w:cs="Arial"/>
          <w:sz w:val="22"/>
          <w:szCs w:val="22"/>
        </w:rPr>
        <w:t>La carrera de Ingeniero en Agrobiología está fundamentada en el estudio de la vida dentro de un sistema agroecológico del cual parte una producción alimentaria dentro de un contexto sustentable y considerando la interacción con el medio ambiente para reducir el impacto que le ocasiona y poder llevar a un desarrollo sustentable.</w:t>
      </w:r>
    </w:p>
    <w:p w14:paraId="151BFC76" w14:textId="77777777" w:rsidR="00A80C38" w:rsidRPr="007923C2" w:rsidRDefault="007F23C2" w:rsidP="00D15A0E">
      <w:pPr>
        <w:tabs>
          <w:tab w:val="left" w:pos="3135"/>
        </w:tabs>
        <w:jc w:val="both"/>
        <w:rPr>
          <w:rFonts w:ascii="Arial" w:hAnsi="Arial" w:cs="Arial"/>
          <w:sz w:val="22"/>
          <w:szCs w:val="22"/>
        </w:rPr>
      </w:pPr>
      <w:r w:rsidRPr="007923C2">
        <w:rPr>
          <w:rFonts w:ascii="Arial" w:hAnsi="Arial" w:cs="Arial"/>
          <w:sz w:val="22"/>
          <w:szCs w:val="22"/>
        </w:rPr>
        <w:t>Los aspirantes a ingresar a la carrera deberán cumplir con este perfil</w:t>
      </w:r>
      <w:r w:rsidR="00A80C38" w:rsidRPr="007923C2">
        <w:rPr>
          <w:rFonts w:ascii="Arial" w:hAnsi="Arial" w:cs="Arial"/>
          <w:sz w:val="22"/>
          <w:szCs w:val="22"/>
        </w:rPr>
        <w:t xml:space="preserve"> y deberán haber cursado el bachillerato general u otro estudio afín a él  en el cual haya incluido materias como </w:t>
      </w:r>
      <w:r w:rsidR="00C22243" w:rsidRPr="007923C2">
        <w:rPr>
          <w:rFonts w:ascii="Arial" w:hAnsi="Arial" w:cs="Arial"/>
          <w:sz w:val="22"/>
          <w:szCs w:val="22"/>
        </w:rPr>
        <w:t>matemáticas</w:t>
      </w:r>
      <w:r w:rsidR="00A80C38" w:rsidRPr="007923C2">
        <w:rPr>
          <w:rFonts w:ascii="Arial" w:hAnsi="Arial" w:cs="Arial"/>
          <w:sz w:val="22"/>
          <w:szCs w:val="22"/>
        </w:rPr>
        <w:t>, álgebra, trigonometría, cálculo diferencial, química, biología, inglés y español.</w:t>
      </w:r>
    </w:p>
    <w:p w14:paraId="6DB10352" w14:textId="77777777" w:rsidR="002F46C8" w:rsidRPr="007923C2" w:rsidRDefault="002F46C8" w:rsidP="00D15A0E">
      <w:pPr>
        <w:tabs>
          <w:tab w:val="left" w:pos="3135"/>
        </w:tabs>
        <w:jc w:val="both"/>
        <w:rPr>
          <w:rFonts w:ascii="Arial" w:hAnsi="Arial" w:cs="Arial"/>
          <w:sz w:val="22"/>
          <w:szCs w:val="22"/>
        </w:rPr>
      </w:pPr>
      <w:r w:rsidRPr="007923C2">
        <w:rPr>
          <w:rFonts w:ascii="Arial" w:hAnsi="Arial" w:cs="Arial"/>
          <w:sz w:val="22"/>
          <w:szCs w:val="22"/>
        </w:rPr>
        <w:t>Deberá acreditar los exámenes de selección, vocación, aptitudes y destrezas para su ubicación respectiva.</w:t>
      </w:r>
    </w:p>
    <w:p w14:paraId="3AD9536E" w14:textId="77777777" w:rsidR="002F46C8" w:rsidRPr="007923C2" w:rsidRDefault="002F46C8" w:rsidP="00D15A0E">
      <w:pPr>
        <w:tabs>
          <w:tab w:val="left" w:pos="3135"/>
        </w:tabs>
        <w:jc w:val="both"/>
        <w:rPr>
          <w:rFonts w:ascii="Arial" w:hAnsi="Arial" w:cs="Arial"/>
          <w:sz w:val="22"/>
          <w:szCs w:val="22"/>
        </w:rPr>
      </w:pPr>
      <w:r w:rsidRPr="007923C2">
        <w:rPr>
          <w:rFonts w:ascii="Arial" w:hAnsi="Arial" w:cs="Arial"/>
          <w:sz w:val="22"/>
          <w:szCs w:val="22"/>
        </w:rPr>
        <w:t xml:space="preserve">Los requerimientos respectivos de los aspirantes son necesarios a fin de que sean detectados los intereses, aptitudes y vocaciones, de tal manera que al irse involucrando en su carrera comprendan las necesidades actuales del desarrollo económico de México y de la producción agrícola generada del mismo, de tal manera que al terminar la formación profesional estén capacitados para la docencia, investigación, desarrollo tecnológico </w:t>
      </w:r>
      <w:r w:rsidR="00C22243" w:rsidRPr="007923C2">
        <w:rPr>
          <w:rFonts w:ascii="Arial" w:hAnsi="Arial" w:cs="Arial"/>
          <w:sz w:val="22"/>
          <w:szCs w:val="22"/>
        </w:rPr>
        <w:t>y el</w:t>
      </w:r>
      <w:r w:rsidRPr="007923C2">
        <w:rPr>
          <w:rFonts w:ascii="Arial" w:hAnsi="Arial" w:cs="Arial"/>
          <w:sz w:val="22"/>
          <w:szCs w:val="22"/>
        </w:rPr>
        <w:t xml:space="preserve"> autoempleo.</w:t>
      </w:r>
    </w:p>
    <w:p w14:paraId="3E627981" w14:textId="77777777" w:rsidR="002F46C8" w:rsidRPr="007923C2" w:rsidRDefault="002F46C8" w:rsidP="00D15A0E">
      <w:pPr>
        <w:tabs>
          <w:tab w:val="left" w:pos="3135"/>
        </w:tabs>
        <w:jc w:val="both"/>
        <w:rPr>
          <w:rFonts w:ascii="Arial" w:hAnsi="Arial" w:cs="Arial"/>
          <w:sz w:val="22"/>
          <w:szCs w:val="22"/>
        </w:rPr>
      </w:pPr>
      <w:r w:rsidRPr="007923C2">
        <w:rPr>
          <w:rFonts w:ascii="Arial" w:hAnsi="Arial" w:cs="Arial"/>
          <w:sz w:val="22"/>
          <w:szCs w:val="22"/>
        </w:rPr>
        <w:t>Los aspirantes a ingresar al programa de Ingeniero en Agrobiología, son egresados de diversos bachilleratos, por ejemplo Centros de bachillerato tecnológico industrial, colegio de bachilleres, telebachilleres, por lo que la preparación del bachillerato es muy diversa.</w:t>
      </w:r>
    </w:p>
    <w:p w14:paraId="62DC1BD5" w14:textId="77777777" w:rsidR="00E521BD" w:rsidRPr="007923C2" w:rsidRDefault="00E521BD" w:rsidP="00D15A0E">
      <w:pPr>
        <w:tabs>
          <w:tab w:val="left" w:pos="3135"/>
        </w:tabs>
        <w:jc w:val="both"/>
        <w:rPr>
          <w:rFonts w:ascii="Arial" w:hAnsi="Arial" w:cs="Arial"/>
          <w:sz w:val="22"/>
          <w:szCs w:val="22"/>
        </w:rPr>
      </w:pPr>
      <w:r w:rsidRPr="007923C2">
        <w:rPr>
          <w:rFonts w:ascii="Arial" w:hAnsi="Arial" w:cs="Arial"/>
          <w:sz w:val="22"/>
          <w:szCs w:val="22"/>
        </w:rPr>
        <w:t>La preparación que trae el alumno a ingresar es deficiente, nos señala que aunque haya traslape en las materias básicas que se imparten generalmente en el bachillerato, los contenidos necesarios nunca son  suficientes para considerarlos como materias que puedan dar continuidad a los programas docentes.</w:t>
      </w:r>
    </w:p>
    <w:p w14:paraId="3124AFA5" w14:textId="77777777" w:rsidR="002F46C8" w:rsidRPr="007923C2" w:rsidRDefault="00E521BD" w:rsidP="00D15A0E">
      <w:pPr>
        <w:tabs>
          <w:tab w:val="left" w:pos="3135"/>
        </w:tabs>
        <w:jc w:val="both"/>
        <w:rPr>
          <w:rFonts w:ascii="Arial" w:hAnsi="Arial" w:cs="Arial"/>
          <w:sz w:val="22"/>
          <w:szCs w:val="22"/>
        </w:rPr>
      </w:pPr>
      <w:r w:rsidRPr="007923C2">
        <w:rPr>
          <w:rFonts w:ascii="Arial" w:hAnsi="Arial" w:cs="Arial"/>
          <w:sz w:val="22"/>
          <w:szCs w:val="22"/>
        </w:rPr>
        <w:t>El Plan de estudios reestructurado se conformó de manera que pudieran superarse las deficiencias que traen los alumnos.</w:t>
      </w:r>
    </w:p>
    <w:p w14:paraId="67730AAE" w14:textId="77777777" w:rsidR="00932B36" w:rsidRPr="007923C2" w:rsidRDefault="00932B36" w:rsidP="00D15A0E">
      <w:pPr>
        <w:tabs>
          <w:tab w:val="left" w:pos="3135"/>
        </w:tabs>
        <w:jc w:val="both"/>
        <w:rPr>
          <w:rFonts w:ascii="Arial" w:hAnsi="Arial" w:cs="Arial"/>
          <w:b/>
          <w:sz w:val="22"/>
          <w:szCs w:val="22"/>
        </w:rPr>
      </w:pPr>
      <w:r w:rsidRPr="007923C2">
        <w:rPr>
          <w:rFonts w:ascii="Arial" w:hAnsi="Arial" w:cs="Arial"/>
          <w:b/>
          <w:sz w:val="22"/>
          <w:szCs w:val="22"/>
        </w:rPr>
        <w:t xml:space="preserve">5.4.-ESPACIO PROFESIONAL   </w:t>
      </w:r>
    </w:p>
    <w:p w14:paraId="436DA8D3" w14:textId="77777777" w:rsidR="00932B36" w:rsidRPr="007923C2" w:rsidRDefault="00932B36" w:rsidP="00D15A0E">
      <w:pPr>
        <w:widowControl w:val="0"/>
        <w:overflowPunct w:val="0"/>
        <w:autoSpaceDE w:val="0"/>
        <w:autoSpaceDN w:val="0"/>
        <w:adjustRightInd w:val="0"/>
        <w:spacing w:after="0" w:line="217" w:lineRule="auto"/>
        <w:ind w:right="20"/>
        <w:jc w:val="both"/>
        <w:rPr>
          <w:rFonts w:ascii="Arial" w:hAnsi="Arial" w:cs="Arial"/>
          <w:sz w:val="22"/>
          <w:szCs w:val="22"/>
          <w:lang w:val="es-ES"/>
        </w:rPr>
      </w:pPr>
      <w:r w:rsidRPr="007923C2">
        <w:rPr>
          <w:rFonts w:ascii="Arial" w:hAnsi="Arial" w:cs="Arial"/>
          <w:sz w:val="22"/>
          <w:szCs w:val="22"/>
          <w:lang w:val="es-ES"/>
        </w:rPr>
        <w:t xml:space="preserve">El Programa Docente de la carrera de Ingeniero en Agrobiología tiene como base </w:t>
      </w:r>
      <w:r w:rsidR="002C18CA" w:rsidRPr="007923C2">
        <w:rPr>
          <w:rFonts w:ascii="Arial" w:hAnsi="Arial" w:cs="Arial"/>
          <w:sz w:val="22"/>
          <w:szCs w:val="22"/>
          <w:lang w:val="es-ES"/>
        </w:rPr>
        <w:t>tres</w:t>
      </w:r>
      <w:r w:rsidRPr="007923C2">
        <w:rPr>
          <w:rFonts w:ascii="Arial" w:hAnsi="Arial" w:cs="Arial"/>
          <w:sz w:val="22"/>
          <w:szCs w:val="22"/>
          <w:lang w:val="es-ES"/>
        </w:rPr>
        <w:t xml:space="preserve"> áreas de formación:</w:t>
      </w:r>
    </w:p>
    <w:p w14:paraId="60F28AE8" w14:textId="77777777" w:rsidR="00932B36" w:rsidRPr="007923C2" w:rsidRDefault="00932B36" w:rsidP="00D15A0E">
      <w:pPr>
        <w:widowControl w:val="0"/>
        <w:autoSpaceDE w:val="0"/>
        <w:autoSpaceDN w:val="0"/>
        <w:adjustRightInd w:val="0"/>
        <w:spacing w:after="0" w:line="2" w:lineRule="exact"/>
        <w:jc w:val="both"/>
        <w:rPr>
          <w:rFonts w:ascii="Arial" w:hAnsi="Arial" w:cs="Arial"/>
          <w:sz w:val="22"/>
          <w:szCs w:val="22"/>
          <w:lang w:val="es-ES"/>
        </w:rPr>
      </w:pPr>
    </w:p>
    <w:p w14:paraId="53C7C178" w14:textId="77777777"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1.-Agricultura Alternativa</w:t>
      </w:r>
    </w:p>
    <w:p w14:paraId="3155F49B" w14:textId="77777777"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2.-Ecología y contaminación ambiental</w:t>
      </w:r>
    </w:p>
    <w:p w14:paraId="4995BA3F" w14:textId="77777777" w:rsidR="00932B36" w:rsidRPr="007923C2" w:rsidRDefault="002C18CA" w:rsidP="00D15A0E">
      <w:pPr>
        <w:widowControl w:val="0"/>
        <w:autoSpaceDE w:val="0"/>
        <w:autoSpaceDN w:val="0"/>
        <w:adjustRightInd w:val="0"/>
        <w:spacing w:after="0" w:line="240" w:lineRule="auto"/>
        <w:jc w:val="both"/>
        <w:rPr>
          <w:rFonts w:ascii="Arial" w:hAnsi="Arial" w:cs="Arial"/>
          <w:b/>
          <w:sz w:val="22"/>
          <w:szCs w:val="22"/>
          <w:lang w:val="es-ES"/>
        </w:rPr>
      </w:pPr>
      <w:r w:rsidRPr="007923C2">
        <w:rPr>
          <w:rFonts w:ascii="Arial" w:hAnsi="Arial" w:cs="Arial"/>
          <w:sz w:val="22"/>
          <w:szCs w:val="22"/>
          <w:lang w:val="es-ES"/>
        </w:rPr>
        <w:t>3</w:t>
      </w:r>
      <w:r w:rsidR="00932B36" w:rsidRPr="007923C2">
        <w:rPr>
          <w:rFonts w:ascii="Arial" w:hAnsi="Arial" w:cs="Arial"/>
          <w:sz w:val="22"/>
          <w:szCs w:val="22"/>
          <w:lang w:val="es-ES"/>
        </w:rPr>
        <w:t>.-Biotecnología</w:t>
      </w:r>
    </w:p>
    <w:p w14:paraId="1016D7DC" w14:textId="77777777" w:rsidR="00932B36" w:rsidRPr="007923C2" w:rsidRDefault="00932B36" w:rsidP="00D15A0E">
      <w:pPr>
        <w:widowControl w:val="0"/>
        <w:overflowPunct w:val="0"/>
        <w:autoSpaceDE w:val="0"/>
        <w:autoSpaceDN w:val="0"/>
        <w:adjustRightInd w:val="0"/>
        <w:spacing w:after="0" w:line="231" w:lineRule="auto"/>
        <w:jc w:val="both"/>
        <w:rPr>
          <w:rFonts w:ascii="Arial" w:hAnsi="Arial" w:cs="Arial"/>
          <w:sz w:val="22"/>
          <w:szCs w:val="22"/>
          <w:lang w:val="es-ES"/>
        </w:rPr>
      </w:pPr>
      <w:r w:rsidRPr="007923C2">
        <w:rPr>
          <w:rFonts w:ascii="Arial" w:hAnsi="Arial" w:cs="Arial"/>
          <w:sz w:val="22"/>
          <w:szCs w:val="22"/>
          <w:lang w:val="es-ES"/>
        </w:rPr>
        <w:t>Incluye un conocimiento muy diverso pero todos ellos encaminados a un mismo objetivo, expresado en la misión de la carrera que establece el formar profesionistas capaces de contribuir al desarrollo del medio rural mediante el uso y manejo del ambiente con métodos alternativos con enfoque a la sostenibilidad, por lo tanto el espacio profesional del Agrobiólogo es muy amplio.</w:t>
      </w:r>
    </w:p>
    <w:p w14:paraId="5763C5A6" w14:textId="77777777" w:rsidR="00932B36" w:rsidRPr="007923C2" w:rsidRDefault="00932B36" w:rsidP="00D15A0E">
      <w:pPr>
        <w:widowControl w:val="0"/>
        <w:autoSpaceDE w:val="0"/>
        <w:autoSpaceDN w:val="0"/>
        <w:adjustRightInd w:val="0"/>
        <w:spacing w:after="0" w:line="52" w:lineRule="exact"/>
        <w:jc w:val="both"/>
        <w:rPr>
          <w:rFonts w:ascii="Arial" w:hAnsi="Arial" w:cs="Arial"/>
          <w:sz w:val="22"/>
          <w:szCs w:val="22"/>
          <w:lang w:val="es-ES"/>
        </w:rPr>
      </w:pPr>
    </w:p>
    <w:p w14:paraId="29A24A05" w14:textId="77777777" w:rsidR="00932B36" w:rsidRPr="007923C2" w:rsidRDefault="00932B36" w:rsidP="00D15A0E">
      <w:pPr>
        <w:widowControl w:val="0"/>
        <w:overflowPunct w:val="0"/>
        <w:autoSpaceDE w:val="0"/>
        <w:autoSpaceDN w:val="0"/>
        <w:adjustRightInd w:val="0"/>
        <w:spacing w:after="0" w:line="217" w:lineRule="auto"/>
        <w:jc w:val="both"/>
        <w:rPr>
          <w:rFonts w:ascii="Arial" w:hAnsi="Arial" w:cs="Arial"/>
          <w:sz w:val="22"/>
          <w:szCs w:val="22"/>
          <w:lang w:val="es-ES"/>
        </w:rPr>
      </w:pPr>
      <w:r w:rsidRPr="007923C2">
        <w:rPr>
          <w:rFonts w:ascii="Arial" w:hAnsi="Arial" w:cs="Arial"/>
          <w:sz w:val="22"/>
          <w:szCs w:val="22"/>
          <w:lang w:val="es-ES"/>
        </w:rPr>
        <w:t>El profesionista egresado de ésta carrera, puede desempeñarse en diversos campos :</w:t>
      </w:r>
    </w:p>
    <w:p w14:paraId="51FE7E0D" w14:textId="77777777" w:rsidR="00932B36" w:rsidRPr="007923C2" w:rsidRDefault="00932B36" w:rsidP="00D15A0E">
      <w:pPr>
        <w:widowControl w:val="0"/>
        <w:autoSpaceDE w:val="0"/>
        <w:autoSpaceDN w:val="0"/>
        <w:adjustRightInd w:val="0"/>
        <w:spacing w:after="0" w:line="278" w:lineRule="exact"/>
        <w:jc w:val="both"/>
        <w:rPr>
          <w:rFonts w:ascii="Arial" w:hAnsi="Arial" w:cs="Arial"/>
          <w:sz w:val="22"/>
          <w:szCs w:val="22"/>
          <w:lang w:val="es-ES"/>
        </w:rPr>
      </w:pPr>
    </w:p>
    <w:p w14:paraId="2B36A991" w14:textId="77777777"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PRODUCTIVO</w:t>
      </w:r>
    </w:p>
    <w:p w14:paraId="6B13E847" w14:textId="77777777" w:rsidR="00932B36" w:rsidRPr="007923C2" w:rsidRDefault="00932B36" w:rsidP="00D15A0E">
      <w:pPr>
        <w:widowControl w:val="0"/>
        <w:autoSpaceDE w:val="0"/>
        <w:autoSpaceDN w:val="0"/>
        <w:adjustRightInd w:val="0"/>
        <w:spacing w:after="0" w:line="276" w:lineRule="exact"/>
        <w:jc w:val="both"/>
        <w:rPr>
          <w:rFonts w:ascii="Arial" w:hAnsi="Arial" w:cs="Arial"/>
          <w:sz w:val="22"/>
          <w:szCs w:val="22"/>
          <w:lang w:val="es-ES"/>
        </w:rPr>
      </w:pPr>
    </w:p>
    <w:p w14:paraId="75C2EC5E" w14:textId="77777777" w:rsidR="00932B36" w:rsidRPr="007923C2" w:rsidRDefault="00932B36" w:rsidP="00A66160">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-Obtención de productos de origen natural.</w:t>
      </w:r>
    </w:p>
    <w:p w14:paraId="51F2C6A9" w14:textId="77777777" w:rsidR="00932B36" w:rsidRPr="007923C2" w:rsidRDefault="00932B36" w:rsidP="00A66160">
      <w:pPr>
        <w:widowControl w:val="0"/>
        <w:autoSpaceDE w:val="0"/>
        <w:autoSpaceDN w:val="0"/>
        <w:adjustRightInd w:val="0"/>
        <w:spacing w:after="0" w:line="51" w:lineRule="exact"/>
        <w:jc w:val="both"/>
        <w:rPr>
          <w:rFonts w:ascii="Arial" w:hAnsi="Arial" w:cs="Arial"/>
          <w:sz w:val="22"/>
          <w:szCs w:val="22"/>
          <w:lang w:val="es-ES"/>
        </w:rPr>
      </w:pPr>
    </w:p>
    <w:p w14:paraId="69BC2C9D" w14:textId="77777777" w:rsidR="002C18CA" w:rsidRPr="007923C2" w:rsidRDefault="00932B36" w:rsidP="00A66160">
      <w:pPr>
        <w:widowControl w:val="0"/>
        <w:overflowPunct w:val="0"/>
        <w:autoSpaceDE w:val="0"/>
        <w:autoSpaceDN w:val="0"/>
        <w:adjustRightInd w:val="0"/>
        <w:spacing w:after="0" w:line="217" w:lineRule="auto"/>
        <w:jc w:val="both"/>
        <w:rPr>
          <w:rFonts w:ascii="Arial" w:hAnsi="Arial" w:cs="Arial"/>
          <w:sz w:val="22"/>
          <w:szCs w:val="22"/>
          <w:lang w:val="es-ES"/>
        </w:rPr>
      </w:pPr>
      <w:r w:rsidRPr="007923C2">
        <w:rPr>
          <w:rFonts w:ascii="Arial" w:hAnsi="Arial" w:cs="Arial"/>
          <w:sz w:val="22"/>
          <w:szCs w:val="22"/>
          <w:lang w:val="es-ES"/>
        </w:rPr>
        <w:t>-Expander la frontera agrícola en tierras no aptas para el cultivo.</w:t>
      </w:r>
    </w:p>
    <w:p w14:paraId="73088076" w14:textId="77777777" w:rsidR="00932B36" w:rsidRPr="007923C2" w:rsidRDefault="00932B36" w:rsidP="00A66160">
      <w:pPr>
        <w:widowControl w:val="0"/>
        <w:overflowPunct w:val="0"/>
        <w:autoSpaceDE w:val="0"/>
        <w:autoSpaceDN w:val="0"/>
        <w:adjustRightInd w:val="0"/>
        <w:spacing w:after="0" w:line="217" w:lineRule="auto"/>
        <w:jc w:val="both"/>
        <w:rPr>
          <w:rFonts w:ascii="Arial" w:hAnsi="Arial" w:cs="Arial"/>
          <w:sz w:val="22"/>
          <w:szCs w:val="22"/>
          <w:lang w:val="es-ES"/>
        </w:rPr>
      </w:pPr>
      <w:r w:rsidRPr="007923C2">
        <w:rPr>
          <w:rFonts w:ascii="Arial" w:hAnsi="Arial" w:cs="Arial"/>
          <w:sz w:val="22"/>
          <w:szCs w:val="22"/>
          <w:lang w:val="es-ES"/>
        </w:rPr>
        <w:t xml:space="preserve"> -Aumentar la productividad agrícola</w:t>
      </w:r>
      <w:r w:rsidR="00A66160">
        <w:rPr>
          <w:rFonts w:ascii="Arial" w:hAnsi="Arial" w:cs="Arial"/>
          <w:sz w:val="22"/>
          <w:szCs w:val="22"/>
          <w:lang w:val="es-ES"/>
        </w:rPr>
        <w:t xml:space="preserve"> con el uso de agricultura a</w:t>
      </w:r>
      <w:r w:rsidR="002C18CA" w:rsidRPr="007923C2">
        <w:rPr>
          <w:rFonts w:ascii="Arial" w:hAnsi="Arial" w:cs="Arial"/>
          <w:sz w:val="22"/>
          <w:szCs w:val="22"/>
          <w:lang w:val="es-ES"/>
        </w:rPr>
        <w:t>lternativa</w:t>
      </w:r>
    </w:p>
    <w:p w14:paraId="2835319E" w14:textId="77777777" w:rsidR="00932B36" w:rsidRPr="007923C2" w:rsidRDefault="00932B36" w:rsidP="00A66160">
      <w:pPr>
        <w:widowControl w:val="0"/>
        <w:autoSpaceDE w:val="0"/>
        <w:autoSpaceDN w:val="0"/>
        <w:adjustRightInd w:val="0"/>
        <w:spacing w:after="0" w:line="54" w:lineRule="exact"/>
        <w:jc w:val="both"/>
        <w:rPr>
          <w:rFonts w:ascii="Arial" w:hAnsi="Arial" w:cs="Arial"/>
          <w:sz w:val="22"/>
          <w:szCs w:val="22"/>
          <w:lang w:val="es-ES"/>
        </w:rPr>
      </w:pPr>
    </w:p>
    <w:p w14:paraId="1BBD52E4" w14:textId="77777777" w:rsidR="002C18CA" w:rsidRPr="007923C2" w:rsidRDefault="00932B36" w:rsidP="00A66160">
      <w:pPr>
        <w:widowControl w:val="0"/>
        <w:overflowPunct w:val="0"/>
        <w:autoSpaceDE w:val="0"/>
        <w:autoSpaceDN w:val="0"/>
        <w:adjustRightInd w:val="0"/>
        <w:spacing w:after="0" w:line="225" w:lineRule="auto"/>
        <w:jc w:val="both"/>
        <w:rPr>
          <w:rFonts w:ascii="Arial" w:hAnsi="Arial" w:cs="Arial"/>
          <w:sz w:val="22"/>
          <w:szCs w:val="22"/>
          <w:lang w:val="es-ES"/>
        </w:rPr>
      </w:pPr>
      <w:r w:rsidRPr="007923C2">
        <w:rPr>
          <w:rFonts w:ascii="Arial" w:hAnsi="Arial" w:cs="Arial"/>
          <w:sz w:val="22"/>
          <w:szCs w:val="22"/>
          <w:lang w:val="es-ES"/>
        </w:rPr>
        <w:t xml:space="preserve">-Obtención de productos agrícolas con nuevas características y de mejor calidad. </w:t>
      </w:r>
    </w:p>
    <w:p w14:paraId="4921BC29" w14:textId="77777777" w:rsidR="00932B36" w:rsidRPr="007923C2" w:rsidRDefault="00932B36" w:rsidP="00A66160">
      <w:pPr>
        <w:widowControl w:val="0"/>
        <w:overflowPunct w:val="0"/>
        <w:autoSpaceDE w:val="0"/>
        <w:autoSpaceDN w:val="0"/>
        <w:adjustRightInd w:val="0"/>
        <w:spacing w:after="0" w:line="225" w:lineRule="auto"/>
        <w:jc w:val="both"/>
        <w:rPr>
          <w:rFonts w:ascii="Arial" w:hAnsi="Arial" w:cs="Arial"/>
          <w:sz w:val="22"/>
          <w:szCs w:val="22"/>
          <w:lang w:val="es-ES"/>
        </w:rPr>
      </w:pPr>
      <w:r w:rsidRPr="007923C2">
        <w:rPr>
          <w:rFonts w:ascii="Arial" w:hAnsi="Arial" w:cs="Arial"/>
          <w:sz w:val="22"/>
          <w:szCs w:val="22"/>
          <w:lang w:val="es-ES"/>
        </w:rPr>
        <w:t>-Manejo y aprovechamiento racional de los recursos naturales de las zonas áridas, impactando a los pequeños productores principalmente.</w:t>
      </w:r>
    </w:p>
    <w:p w14:paraId="2E3C47BD" w14:textId="77777777" w:rsidR="00932B36" w:rsidRPr="007923C2" w:rsidRDefault="00932B36" w:rsidP="00A66160">
      <w:pPr>
        <w:widowControl w:val="0"/>
        <w:autoSpaceDE w:val="0"/>
        <w:autoSpaceDN w:val="0"/>
        <w:adjustRightInd w:val="0"/>
        <w:spacing w:after="0" w:line="277" w:lineRule="exact"/>
        <w:jc w:val="both"/>
        <w:rPr>
          <w:rFonts w:ascii="Arial" w:hAnsi="Arial" w:cs="Arial"/>
          <w:sz w:val="22"/>
          <w:szCs w:val="22"/>
          <w:lang w:val="es-ES"/>
        </w:rPr>
      </w:pPr>
    </w:p>
    <w:p w14:paraId="5998E524" w14:textId="77777777"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SECTOR PÚBLICO Y PRIVADO</w:t>
      </w:r>
    </w:p>
    <w:p w14:paraId="599B7ADB" w14:textId="77777777"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p>
    <w:p w14:paraId="3CC50929" w14:textId="77777777" w:rsidR="00932B36" w:rsidRPr="007923C2" w:rsidRDefault="00932B36" w:rsidP="00D15A0E">
      <w:pPr>
        <w:widowControl w:val="0"/>
        <w:overflowPunct w:val="0"/>
        <w:autoSpaceDE w:val="0"/>
        <w:autoSpaceDN w:val="0"/>
        <w:adjustRightInd w:val="0"/>
        <w:spacing w:after="0" w:line="217" w:lineRule="auto"/>
        <w:jc w:val="both"/>
        <w:rPr>
          <w:rFonts w:ascii="Arial" w:hAnsi="Arial" w:cs="Arial"/>
          <w:sz w:val="22"/>
          <w:szCs w:val="22"/>
          <w:lang w:val="es-ES"/>
        </w:rPr>
      </w:pPr>
      <w:r w:rsidRPr="007923C2">
        <w:rPr>
          <w:rFonts w:ascii="Arial" w:hAnsi="Arial" w:cs="Arial"/>
          <w:sz w:val="22"/>
          <w:szCs w:val="22"/>
          <w:lang w:val="es-ES"/>
        </w:rPr>
        <w:t>-Apoyo a los órganos de consulta, interesados en la evaluación, recuperación y conservación del medio ambiente.</w:t>
      </w:r>
    </w:p>
    <w:p w14:paraId="6DFD4F6B" w14:textId="77777777" w:rsidR="00932B36" w:rsidRPr="007923C2" w:rsidRDefault="00932B36" w:rsidP="00D15A0E">
      <w:pPr>
        <w:widowControl w:val="0"/>
        <w:autoSpaceDE w:val="0"/>
        <w:autoSpaceDN w:val="0"/>
        <w:adjustRightInd w:val="0"/>
        <w:spacing w:after="0" w:line="53" w:lineRule="exact"/>
        <w:jc w:val="both"/>
        <w:rPr>
          <w:rFonts w:ascii="Arial" w:hAnsi="Arial" w:cs="Arial"/>
          <w:sz w:val="22"/>
          <w:szCs w:val="22"/>
          <w:lang w:val="es-ES"/>
        </w:rPr>
      </w:pPr>
    </w:p>
    <w:p w14:paraId="29DCC0CC" w14:textId="77777777" w:rsidR="00932B36" w:rsidRPr="007923C2" w:rsidRDefault="00932B36" w:rsidP="00D15A0E">
      <w:pPr>
        <w:widowControl w:val="0"/>
        <w:overflowPunct w:val="0"/>
        <w:autoSpaceDE w:val="0"/>
        <w:autoSpaceDN w:val="0"/>
        <w:adjustRightInd w:val="0"/>
        <w:spacing w:after="0" w:line="218" w:lineRule="auto"/>
        <w:ind w:right="20"/>
        <w:jc w:val="both"/>
        <w:rPr>
          <w:rFonts w:ascii="Arial" w:hAnsi="Arial" w:cs="Arial"/>
          <w:sz w:val="22"/>
          <w:szCs w:val="22"/>
          <w:lang w:val="es-ES"/>
        </w:rPr>
      </w:pPr>
      <w:r w:rsidRPr="007923C2">
        <w:rPr>
          <w:rFonts w:ascii="Arial" w:hAnsi="Arial" w:cs="Arial"/>
          <w:sz w:val="22"/>
          <w:szCs w:val="22"/>
          <w:lang w:val="es-ES"/>
        </w:rPr>
        <w:t>-Implementación y ejecución de políticas de buen manejo y conservación de los recursos naturales.</w:t>
      </w:r>
    </w:p>
    <w:p w14:paraId="14DD0E94" w14:textId="77777777" w:rsidR="00932B36" w:rsidRPr="007923C2" w:rsidRDefault="00932B36" w:rsidP="00D15A0E">
      <w:pPr>
        <w:widowControl w:val="0"/>
        <w:autoSpaceDE w:val="0"/>
        <w:autoSpaceDN w:val="0"/>
        <w:adjustRightInd w:val="0"/>
        <w:spacing w:after="0" w:line="51" w:lineRule="exact"/>
        <w:jc w:val="both"/>
        <w:rPr>
          <w:rFonts w:ascii="Arial" w:hAnsi="Arial" w:cs="Arial"/>
          <w:sz w:val="22"/>
          <w:szCs w:val="22"/>
          <w:lang w:val="es-ES"/>
        </w:rPr>
      </w:pPr>
    </w:p>
    <w:p w14:paraId="7F850DA4" w14:textId="77777777" w:rsidR="002C18CA" w:rsidRPr="007923C2" w:rsidRDefault="00932B36" w:rsidP="00D15A0E">
      <w:pPr>
        <w:widowControl w:val="0"/>
        <w:overflowPunct w:val="0"/>
        <w:autoSpaceDE w:val="0"/>
        <w:autoSpaceDN w:val="0"/>
        <w:adjustRightInd w:val="0"/>
        <w:spacing w:after="0" w:line="217" w:lineRule="auto"/>
        <w:ind w:right="60"/>
        <w:jc w:val="both"/>
        <w:rPr>
          <w:rFonts w:ascii="Arial" w:hAnsi="Arial" w:cs="Arial"/>
          <w:sz w:val="22"/>
          <w:szCs w:val="22"/>
          <w:lang w:val="es-ES"/>
        </w:rPr>
      </w:pPr>
      <w:r w:rsidRPr="007923C2">
        <w:rPr>
          <w:rFonts w:ascii="Arial" w:hAnsi="Arial" w:cs="Arial"/>
          <w:sz w:val="22"/>
          <w:szCs w:val="22"/>
          <w:lang w:val="es-ES"/>
        </w:rPr>
        <w:t>-Diseño y supervisión de técnicas adecuadas para el manejo de desechos tóxicos.</w:t>
      </w:r>
    </w:p>
    <w:p w14:paraId="2E695087" w14:textId="77777777" w:rsidR="00932B36" w:rsidRPr="007923C2" w:rsidRDefault="00932B36" w:rsidP="00D15A0E">
      <w:pPr>
        <w:widowControl w:val="0"/>
        <w:overflowPunct w:val="0"/>
        <w:autoSpaceDE w:val="0"/>
        <w:autoSpaceDN w:val="0"/>
        <w:adjustRightInd w:val="0"/>
        <w:spacing w:after="0" w:line="217" w:lineRule="auto"/>
        <w:ind w:right="60"/>
        <w:jc w:val="both"/>
        <w:rPr>
          <w:rFonts w:ascii="Arial" w:hAnsi="Arial" w:cs="Arial"/>
          <w:sz w:val="22"/>
          <w:szCs w:val="22"/>
          <w:lang w:val="es-ES"/>
        </w:rPr>
      </w:pPr>
      <w:r w:rsidRPr="007923C2">
        <w:rPr>
          <w:rFonts w:ascii="Arial" w:hAnsi="Arial" w:cs="Arial"/>
          <w:sz w:val="22"/>
          <w:szCs w:val="22"/>
          <w:lang w:val="es-ES"/>
        </w:rPr>
        <w:t xml:space="preserve"> -Aprovechamiento de aguas residuales.</w:t>
      </w:r>
    </w:p>
    <w:p w14:paraId="19431FF0" w14:textId="77777777" w:rsidR="00932B36" w:rsidRPr="007923C2" w:rsidRDefault="00932B36" w:rsidP="00D15A0E">
      <w:pPr>
        <w:widowControl w:val="0"/>
        <w:autoSpaceDE w:val="0"/>
        <w:autoSpaceDN w:val="0"/>
        <w:adjustRightInd w:val="0"/>
        <w:spacing w:after="0" w:line="278" w:lineRule="exact"/>
        <w:jc w:val="both"/>
        <w:rPr>
          <w:rFonts w:ascii="Arial" w:hAnsi="Arial" w:cs="Arial"/>
          <w:sz w:val="22"/>
          <w:szCs w:val="22"/>
          <w:lang w:val="es-ES"/>
        </w:rPr>
      </w:pPr>
    </w:p>
    <w:p w14:paraId="3F2D0C4F" w14:textId="77777777"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ECOLÓGICO</w:t>
      </w:r>
    </w:p>
    <w:p w14:paraId="3E3E0F89" w14:textId="77777777" w:rsidR="00932B36" w:rsidRPr="007923C2" w:rsidRDefault="00932B36" w:rsidP="00D15A0E">
      <w:pPr>
        <w:widowControl w:val="0"/>
        <w:autoSpaceDE w:val="0"/>
        <w:autoSpaceDN w:val="0"/>
        <w:adjustRightInd w:val="0"/>
        <w:spacing w:after="0" w:line="276" w:lineRule="exact"/>
        <w:jc w:val="both"/>
        <w:rPr>
          <w:rFonts w:ascii="Arial" w:hAnsi="Arial" w:cs="Arial"/>
          <w:sz w:val="22"/>
          <w:szCs w:val="22"/>
          <w:lang w:val="es-ES"/>
        </w:rPr>
      </w:pPr>
    </w:p>
    <w:p w14:paraId="6DE6D6A1" w14:textId="77777777"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-Promoción de programas de reforestación.</w:t>
      </w:r>
    </w:p>
    <w:p w14:paraId="4BC4D2DA" w14:textId="77777777" w:rsidR="00932B36" w:rsidRPr="007923C2" w:rsidRDefault="00932B36" w:rsidP="00D15A0E">
      <w:pPr>
        <w:widowControl w:val="0"/>
        <w:autoSpaceDE w:val="0"/>
        <w:autoSpaceDN w:val="0"/>
        <w:adjustRightInd w:val="0"/>
        <w:spacing w:after="0" w:line="51" w:lineRule="exact"/>
        <w:jc w:val="both"/>
        <w:rPr>
          <w:rFonts w:ascii="Arial" w:hAnsi="Arial" w:cs="Arial"/>
          <w:sz w:val="22"/>
          <w:szCs w:val="22"/>
          <w:lang w:val="es-ES"/>
        </w:rPr>
      </w:pPr>
    </w:p>
    <w:p w14:paraId="58D9D27B" w14:textId="77777777" w:rsidR="002C18CA" w:rsidRPr="007923C2" w:rsidRDefault="00932B36" w:rsidP="00D15A0E">
      <w:pPr>
        <w:widowControl w:val="0"/>
        <w:overflowPunct w:val="0"/>
        <w:autoSpaceDE w:val="0"/>
        <w:autoSpaceDN w:val="0"/>
        <w:adjustRightInd w:val="0"/>
        <w:spacing w:after="0" w:line="217" w:lineRule="auto"/>
        <w:ind w:right="1800" w:firstLine="68"/>
        <w:jc w:val="both"/>
        <w:rPr>
          <w:rFonts w:ascii="Arial" w:hAnsi="Arial" w:cs="Arial"/>
          <w:sz w:val="22"/>
          <w:szCs w:val="22"/>
          <w:lang w:val="es-ES"/>
        </w:rPr>
      </w:pPr>
      <w:r w:rsidRPr="007923C2">
        <w:rPr>
          <w:rFonts w:ascii="Arial" w:hAnsi="Arial" w:cs="Arial"/>
          <w:sz w:val="22"/>
          <w:szCs w:val="22"/>
          <w:lang w:val="es-ES"/>
        </w:rPr>
        <w:t>-Evaluación de las condiciones ambientales (Impacto ambiental).</w:t>
      </w:r>
    </w:p>
    <w:p w14:paraId="376C97FE" w14:textId="77777777" w:rsidR="00932B36" w:rsidRPr="007923C2" w:rsidRDefault="00932B36" w:rsidP="00D15A0E">
      <w:pPr>
        <w:widowControl w:val="0"/>
        <w:overflowPunct w:val="0"/>
        <w:autoSpaceDE w:val="0"/>
        <w:autoSpaceDN w:val="0"/>
        <w:adjustRightInd w:val="0"/>
        <w:spacing w:after="0" w:line="217" w:lineRule="auto"/>
        <w:ind w:right="1800" w:firstLine="68"/>
        <w:jc w:val="both"/>
        <w:rPr>
          <w:rFonts w:ascii="Arial" w:hAnsi="Arial" w:cs="Arial"/>
          <w:sz w:val="22"/>
          <w:szCs w:val="22"/>
          <w:lang w:val="es-ES"/>
        </w:rPr>
      </w:pPr>
      <w:r w:rsidRPr="007923C2">
        <w:rPr>
          <w:rFonts w:ascii="Arial" w:hAnsi="Arial" w:cs="Arial"/>
          <w:sz w:val="22"/>
          <w:szCs w:val="22"/>
          <w:lang w:val="es-ES"/>
        </w:rPr>
        <w:t xml:space="preserve"> -Reacondicionamiento y conservación del ecosistema.</w:t>
      </w:r>
    </w:p>
    <w:p w14:paraId="5C0FC6E9" w14:textId="77777777" w:rsidR="00932B36" w:rsidRPr="007923C2" w:rsidRDefault="00932B36" w:rsidP="00D15A0E">
      <w:pPr>
        <w:widowControl w:val="0"/>
        <w:autoSpaceDE w:val="0"/>
        <w:autoSpaceDN w:val="0"/>
        <w:adjustRightInd w:val="0"/>
        <w:spacing w:after="0" w:line="279" w:lineRule="exact"/>
        <w:jc w:val="both"/>
        <w:rPr>
          <w:rFonts w:ascii="Arial" w:hAnsi="Arial" w:cs="Arial"/>
          <w:sz w:val="22"/>
          <w:szCs w:val="22"/>
          <w:lang w:val="es-ES"/>
        </w:rPr>
      </w:pPr>
    </w:p>
    <w:p w14:paraId="644EB81A" w14:textId="77777777"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SERVICIOS</w:t>
      </w:r>
    </w:p>
    <w:p w14:paraId="3AF9A705" w14:textId="77777777" w:rsidR="00932B36" w:rsidRPr="007923C2" w:rsidRDefault="00932B36" w:rsidP="00D15A0E">
      <w:pPr>
        <w:widowControl w:val="0"/>
        <w:autoSpaceDE w:val="0"/>
        <w:autoSpaceDN w:val="0"/>
        <w:adjustRightInd w:val="0"/>
        <w:spacing w:after="0" w:line="327" w:lineRule="exact"/>
        <w:jc w:val="both"/>
        <w:rPr>
          <w:rFonts w:ascii="Arial" w:hAnsi="Arial" w:cs="Arial"/>
          <w:sz w:val="22"/>
          <w:szCs w:val="22"/>
          <w:lang w:val="es-ES"/>
        </w:rPr>
      </w:pPr>
    </w:p>
    <w:p w14:paraId="16894209" w14:textId="77777777" w:rsidR="00932B36" w:rsidRPr="007923C2" w:rsidRDefault="00932B36" w:rsidP="00D15A0E">
      <w:pPr>
        <w:widowControl w:val="0"/>
        <w:overflowPunct w:val="0"/>
        <w:autoSpaceDE w:val="0"/>
        <w:autoSpaceDN w:val="0"/>
        <w:adjustRightInd w:val="0"/>
        <w:spacing w:after="0" w:line="218" w:lineRule="auto"/>
        <w:ind w:right="20"/>
        <w:jc w:val="both"/>
        <w:rPr>
          <w:rFonts w:ascii="Arial" w:hAnsi="Arial" w:cs="Arial"/>
          <w:sz w:val="22"/>
          <w:szCs w:val="22"/>
          <w:lang w:val="es-ES"/>
        </w:rPr>
      </w:pPr>
      <w:r w:rsidRPr="007923C2">
        <w:rPr>
          <w:rFonts w:ascii="Arial" w:hAnsi="Arial" w:cs="Arial"/>
          <w:sz w:val="22"/>
          <w:szCs w:val="22"/>
          <w:lang w:val="es-ES"/>
        </w:rPr>
        <w:t>-Creación de nuevas patentes para el aprovechamiento de nuevas tecnologías aplicadas en el campo de la biotecnología.</w:t>
      </w:r>
    </w:p>
    <w:p w14:paraId="2AB7173B" w14:textId="77777777" w:rsidR="00932B36" w:rsidRPr="007923C2" w:rsidRDefault="00932B36" w:rsidP="00D15A0E">
      <w:pPr>
        <w:widowControl w:val="0"/>
        <w:autoSpaceDE w:val="0"/>
        <w:autoSpaceDN w:val="0"/>
        <w:adjustRightInd w:val="0"/>
        <w:spacing w:after="0" w:line="51" w:lineRule="exact"/>
        <w:jc w:val="both"/>
        <w:rPr>
          <w:rFonts w:ascii="Arial" w:hAnsi="Arial" w:cs="Arial"/>
          <w:sz w:val="22"/>
          <w:szCs w:val="22"/>
          <w:lang w:val="es-ES"/>
        </w:rPr>
      </w:pPr>
    </w:p>
    <w:p w14:paraId="4D03029B" w14:textId="77777777" w:rsidR="00932B36" w:rsidRPr="007923C2" w:rsidRDefault="00932B36" w:rsidP="00D15A0E">
      <w:pPr>
        <w:widowControl w:val="0"/>
        <w:overflowPunct w:val="0"/>
        <w:autoSpaceDE w:val="0"/>
        <w:autoSpaceDN w:val="0"/>
        <w:adjustRightInd w:val="0"/>
        <w:spacing w:after="0" w:line="218" w:lineRule="auto"/>
        <w:jc w:val="both"/>
        <w:rPr>
          <w:rFonts w:ascii="Arial" w:hAnsi="Arial" w:cs="Arial"/>
          <w:sz w:val="22"/>
          <w:szCs w:val="22"/>
          <w:lang w:val="es-ES"/>
        </w:rPr>
      </w:pPr>
      <w:r w:rsidRPr="007923C2">
        <w:rPr>
          <w:rFonts w:ascii="Arial" w:hAnsi="Arial" w:cs="Arial"/>
          <w:sz w:val="22"/>
          <w:szCs w:val="22"/>
          <w:lang w:val="es-ES"/>
        </w:rPr>
        <w:t>-Formación de empresas dedicadas al diagnóstico ambiental de la calidad de efluentes y residuos sólidos.</w:t>
      </w:r>
    </w:p>
    <w:p w14:paraId="0787DBCA" w14:textId="77777777" w:rsidR="00932B36" w:rsidRPr="007923C2" w:rsidRDefault="00932B36" w:rsidP="00D15A0E">
      <w:pPr>
        <w:widowControl w:val="0"/>
        <w:autoSpaceDE w:val="0"/>
        <w:autoSpaceDN w:val="0"/>
        <w:adjustRightInd w:val="0"/>
        <w:spacing w:after="0" w:line="200" w:lineRule="exact"/>
        <w:jc w:val="both"/>
        <w:rPr>
          <w:rFonts w:ascii="Arial" w:hAnsi="Arial" w:cs="Arial"/>
          <w:sz w:val="22"/>
          <w:szCs w:val="22"/>
          <w:lang w:val="es-ES"/>
        </w:rPr>
      </w:pPr>
    </w:p>
    <w:p w14:paraId="020781F1" w14:textId="77777777" w:rsidR="00932B36" w:rsidRPr="007923C2" w:rsidRDefault="00932B36" w:rsidP="00D15A0E">
      <w:pPr>
        <w:widowControl w:val="0"/>
        <w:overflowPunct w:val="0"/>
        <w:autoSpaceDE w:val="0"/>
        <w:autoSpaceDN w:val="0"/>
        <w:adjustRightInd w:val="0"/>
        <w:spacing w:after="0" w:line="228" w:lineRule="auto"/>
        <w:jc w:val="both"/>
        <w:rPr>
          <w:rFonts w:ascii="Arial" w:hAnsi="Arial" w:cs="Arial"/>
          <w:sz w:val="22"/>
          <w:szCs w:val="22"/>
          <w:lang w:val="es-ES"/>
        </w:rPr>
      </w:pPr>
      <w:r w:rsidRPr="007923C2">
        <w:rPr>
          <w:rFonts w:ascii="Arial" w:hAnsi="Arial" w:cs="Arial"/>
          <w:sz w:val="22"/>
          <w:szCs w:val="22"/>
          <w:lang w:val="es-ES"/>
        </w:rPr>
        <w:t xml:space="preserve">El haber establecido como parte del Plan de Estudios desde que se inició la carrera el semestre de prácticas profesionales nos ha permitido conocer el sector laboral en el cual se puede desempeñar el egresado, así como también evaluar la </w:t>
      </w:r>
      <w:r w:rsidR="002C18CA" w:rsidRPr="007923C2">
        <w:rPr>
          <w:rFonts w:ascii="Arial" w:hAnsi="Arial" w:cs="Arial"/>
          <w:sz w:val="22"/>
          <w:szCs w:val="22"/>
          <w:lang w:val="es-ES"/>
        </w:rPr>
        <w:t>pertinencia</w:t>
      </w:r>
      <w:r w:rsidRPr="007923C2">
        <w:rPr>
          <w:rFonts w:ascii="Arial" w:hAnsi="Arial" w:cs="Arial"/>
          <w:sz w:val="22"/>
          <w:szCs w:val="22"/>
          <w:lang w:val="es-ES"/>
        </w:rPr>
        <w:t xml:space="preserve"> del programa.</w:t>
      </w:r>
    </w:p>
    <w:p w14:paraId="7510BECF" w14:textId="77777777" w:rsidR="00932B36" w:rsidRPr="007923C2" w:rsidRDefault="00932B36" w:rsidP="00932B36">
      <w:pPr>
        <w:widowControl w:val="0"/>
        <w:autoSpaceDE w:val="0"/>
        <w:autoSpaceDN w:val="0"/>
        <w:adjustRightInd w:val="0"/>
        <w:spacing w:after="0" w:line="55" w:lineRule="exact"/>
        <w:rPr>
          <w:rFonts w:ascii="Arial" w:hAnsi="Arial" w:cs="Arial"/>
          <w:sz w:val="22"/>
          <w:szCs w:val="22"/>
          <w:lang w:val="es-ES"/>
        </w:rPr>
      </w:pPr>
    </w:p>
    <w:p w14:paraId="1E74F740" w14:textId="77777777" w:rsidR="00932B36" w:rsidRPr="007923C2" w:rsidRDefault="00932B36" w:rsidP="00932B36">
      <w:pPr>
        <w:widowControl w:val="0"/>
        <w:overflowPunct w:val="0"/>
        <w:autoSpaceDE w:val="0"/>
        <w:autoSpaceDN w:val="0"/>
        <w:adjustRightInd w:val="0"/>
        <w:spacing w:after="0" w:line="218" w:lineRule="auto"/>
        <w:jc w:val="both"/>
        <w:rPr>
          <w:rFonts w:ascii="Arial" w:hAnsi="Arial" w:cs="Arial"/>
          <w:sz w:val="22"/>
          <w:szCs w:val="22"/>
          <w:lang w:val="es-ES"/>
        </w:rPr>
      </w:pPr>
      <w:r w:rsidRPr="007923C2">
        <w:rPr>
          <w:rFonts w:ascii="Arial" w:hAnsi="Arial" w:cs="Arial"/>
          <w:sz w:val="22"/>
          <w:szCs w:val="22"/>
          <w:lang w:val="es-ES"/>
        </w:rPr>
        <w:t>Los alumnos han adquirido experiencia práctica y les ha dado seguridad y decisión para saber el ámbito laboral en donde se van a desempeñar.</w:t>
      </w:r>
    </w:p>
    <w:p w14:paraId="083E19F6" w14:textId="77777777" w:rsidR="00932B36" w:rsidRPr="007923C2" w:rsidRDefault="00932B36" w:rsidP="00932B36">
      <w:pPr>
        <w:widowControl w:val="0"/>
        <w:autoSpaceDE w:val="0"/>
        <w:autoSpaceDN w:val="0"/>
        <w:adjustRightInd w:val="0"/>
        <w:spacing w:after="0" w:line="200" w:lineRule="exact"/>
        <w:rPr>
          <w:rFonts w:ascii="Arial" w:hAnsi="Arial" w:cs="Arial"/>
          <w:sz w:val="22"/>
          <w:szCs w:val="22"/>
          <w:lang w:val="es-ES"/>
        </w:rPr>
      </w:pPr>
    </w:p>
    <w:p w14:paraId="51769F53" w14:textId="77777777" w:rsidR="00932B36" w:rsidRPr="007923C2" w:rsidRDefault="00383B7C" w:rsidP="00932B36">
      <w:pPr>
        <w:widowControl w:val="0"/>
        <w:autoSpaceDE w:val="0"/>
        <w:autoSpaceDN w:val="0"/>
        <w:adjustRightInd w:val="0"/>
        <w:spacing w:after="0" w:line="399" w:lineRule="exact"/>
        <w:rPr>
          <w:rFonts w:ascii="Arial" w:hAnsi="Arial" w:cs="Arial"/>
          <w:b/>
          <w:sz w:val="22"/>
          <w:szCs w:val="22"/>
          <w:lang w:val="es-ES"/>
        </w:rPr>
      </w:pPr>
      <w:r w:rsidRPr="007923C2">
        <w:rPr>
          <w:rFonts w:ascii="Arial" w:hAnsi="Arial" w:cs="Arial"/>
          <w:b/>
          <w:sz w:val="22"/>
          <w:szCs w:val="22"/>
          <w:lang w:val="es-ES"/>
        </w:rPr>
        <w:t>ORGANIZACIONES E INSTITUCIONES EN DONDE HAN REALIZADO LAS PRÁCTICAS PROFESIONALES LOS ALUMNOS IAB</w:t>
      </w:r>
    </w:p>
    <w:p w14:paraId="4ECB0C64" w14:textId="77777777" w:rsidR="00A40063" w:rsidRPr="007923C2" w:rsidRDefault="00A40063" w:rsidP="00A40063">
      <w:pPr>
        <w:rPr>
          <w:rFonts w:ascii="Arial" w:hAnsi="Arial" w:cs="Arial"/>
          <w:b/>
          <w:sz w:val="22"/>
          <w:szCs w:val="22"/>
        </w:rPr>
      </w:pPr>
      <w:r w:rsidRPr="007923C2">
        <w:rPr>
          <w:rFonts w:ascii="Arial" w:hAnsi="Arial" w:cs="Arial"/>
          <w:b/>
          <w:sz w:val="22"/>
          <w:szCs w:val="22"/>
        </w:rPr>
        <w:t xml:space="preserve">1.-CONAFOR </w:t>
      </w:r>
    </w:p>
    <w:p w14:paraId="5EA73EFA" w14:textId="77777777" w:rsidR="00A40063" w:rsidRPr="007923C2" w:rsidRDefault="00A40063" w:rsidP="00A40063">
      <w:pPr>
        <w:rPr>
          <w:rFonts w:ascii="Arial" w:hAnsi="Arial" w:cs="Arial"/>
          <w:sz w:val="22"/>
          <w:szCs w:val="22"/>
        </w:rPr>
      </w:pPr>
      <w:r w:rsidRPr="007923C2">
        <w:rPr>
          <w:rFonts w:ascii="Arial" w:hAnsi="Arial" w:cs="Arial"/>
          <w:sz w:val="22"/>
          <w:szCs w:val="22"/>
        </w:rPr>
        <w:t>Comentarios</w:t>
      </w:r>
    </w:p>
    <w:p w14:paraId="5127F72D" w14:textId="77777777" w:rsidR="00A40063" w:rsidRPr="007923C2" w:rsidRDefault="00A40063" w:rsidP="00A40063">
      <w:pPr>
        <w:rPr>
          <w:rFonts w:ascii="Arial" w:hAnsi="Arial" w:cs="Arial"/>
          <w:sz w:val="22"/>
          <w:szCs w:val="22"/>
        </w:rPr>
      </w:pPr>
      <w:r w:rsidRPr="007923C2">
        <w:rPr>
          <w:rFonts w:ascii="Arial" w:hAnsi="Arial" w:cs="Arial"/>
          <w:sz w:val="22"/>
          <w:szCs w:val="22"/>
        </w:rPr>
        <w:t>La preparación del alumno es buena, debido a que nuestros objetivos son preservar y conservar el medio ambiente, un manejo forestal sustentable.</w:t>
      </w:r>
    </w:p>
    <w:p w14:paraId="05426AF1" w14:textId="77777777" w:rsidR="00A40063" w:rsidRPr="007923C2" w:rsidRDefault="00A40063" w:rsidP="00A40063">
      <w:pPr>
        <w:rPr>
          <w:rFonts w:ascii="Arial" w:hAnsi="Arial" w:cs="Arial"/>
          <w:sz w:val="22"/>
          <w:szCs w:val="22"/>
        </w:rPr>
      </w:pPr>
      <w:r w:rsidRPr="007923C2">
        <w:rPr>
          <w:rFonts w:ascii="Arial" w:hAnsi="Arial" w:cs="Arial"/>
          <w:sz w:val="22"/>
          <w:szCs w:val="22"/>
        </w:rPr>
        <w:t>Los objetivos de la carrera cubren los objetivos de la CONAFOR, medio ambiente y agricultura sustentable.</w:t>
      </w:r>
    </w:p>
    <w:p w14:paraId="600D611D" w14:textId="77777777" w:rsidR="00A40063" w:rsidRPr="007923C2" w:rsidRDefault="00A40063" w:rsidP="00A40063">
      <w:pPr>
        <w:rPr>
          <w:rFonts w:ascii="Arial" w:hAnsi="Arial" w:cs="Arial"/>
          <w:sz w:val="22"/>
          <w:szCs w:val="22"/>
        </w:rPr>
      </w:pPr>
      <w:r w:rsidRPr="007923C2">
        <w:rPr>
          <w:rFonts w:ascii="Arial" w:hAnsi="Arial" w:cs="Arial"/>
          <w:sz w:val="22"/>
          <w:szCs w:val="22"/>
        </w:rPr>
        <w:lastRenderedPageBreak/>
        <w:t>El alumno se puede desempeñar en cualquier dependencia dedicada a la preservación del medio ambiente.</w:t>
      </w:r>
    </w:p>
    <w:p w14:paraId="7C536CE6" w14:textId="77777777" w:rsidR="00A40063" w:rsidRPr="007923C2" w:rsidRDefault="00A40063" w:rsidP="00A40063">
      <w:pPr>
        <w:rPr>
          <w:rFonts w:ascii="Arial" w:hAnsi="Arial" w:cs="Arial"/>
          <w:sz w:val="22"/>
          <w:szCs w:val="22"/>
        </w:rPr>
      </w:pPr>
      <w:r w:rsidRPr="007923C2">
        <w:rPr>
          <w:rFonts w:ascii="Arial" w:hAnsi="Arial" w:cs="Arial"/>
          <w:sz w:val="22"/>
          <w:szCs w:val="22"/>
        </w:rPr>
        <w:t>El campo de trabajo de un agrobiólogo es amplio  ya que de acuerdo a su preparación podría enfocarse en diseñar nuevas técnicas para mejorar la preservación del medio ambiente y llevar un buen desarrollo en la agricultura sustentable.</w:t>
      </w:r>
    </w:p>
    <w:p w14:paraId="2785ABD1" w14:textId="77777777" w:rsidR="00A40063" w:rsidRPr="007923C2" w:rsidRDefault="00A40063" w:rsidP="00A40063">
      <w:pPr>
        <w:rPr>
          <w:rFonts w:ascii="Arial" w:hAnsi="Arial" w:cs="Arial"/>
          <w:b/>
          <w:sz w:val="22"/>
          <w:szCs w:val="22"/>
        </w:rPr>
      </w:pPr>
      <w:r w:rsidRPr="007923C2">
        <w:rPr>
          <w:rFonts w:ascii="Arial" w:hAnsi="Arial" w:cs="Arial"/>
          <w:b/>
          <w:sz w:val="22"/>
          <w:szCs w:val="22"/>
        </w:rPr>
        <w:t>2.-BIORGANIX</w:t>
      </w:r>
    </w:p>
    <w:p w14:paraId="4E1D38EE" w14:textId="77777777" w:rsidR="00A40063" w:rsidRPr="007923C2" w:rsidRDefault="00A40063" w:rsidP="00A40063">
      <w:pPr>
        <w:rPr>
          <w:rFonts w:ascii="Arial" w:hAnsi="Arial" w:cs="Arial"/>
          <w:b/>
          <w:sz w:val="22"/>
          <w:szCs w:val="22"/>
        </w:rPr>
      </w:pPr>
      <w:r w:rsidRPr="007923C2">
        <w:rPr>
          <w:rFonts w:ascii="Arial" w:hAnsi="Arial" w:cs="Arial"/>
          <w:b/>
          <w:sz w:val="22"/>
          <w:szCs w:val="22"/>
        </w:rPr>
        <w:t>Comentarios</w:t>
      </w:r>
    </w:p>
    <w:p w14:paraId="521DF1A7" w14:textId="77777777" w:rsidR="00A40063" w:rsidRPr="007923C2" w:rsidRDefault="00A40063" w:rsidP="00A40063">
      <w:pPr>
        <w:rPr>
          <w:rFonts w:ascii="Arial" w:hAnsi="Arial" w:cs="Arial"/>
          <w:sz w:val="22"/>
          <w:szCs w:val="22"/>
        </w:rPr>
      </w:pPr>
      <w:r w:rsidRPr="007923C2">
        <w:rPr>
          <w:rFonts w:ascii="Arial" w:hAnsi="Arial" w:cs="Arial"/>
          <w:sz w:val="22"/>
          <w:szCs w:val="22"/>
        </w:rPr>
        <w:t>La preparación del alumno se considera buena.</w:t>
      </w:r>
    </w:p>
    <w:p w14:paraId="61CC82C9" w14:textId="77777777" w:rsidR="00A40063" w:rsidRPr="007923C2" w:rsidRDefault="00A40063" w:rsidP="00A40063">
      <w:pPr>
        <w:rPr>
          <w:rFonts w:ascii="Arial" w:hAnsi="Arial" w:cs="Arial"/>
          <w:sz w:val="22"/>
          <w:szCs w:val="22"/>
        </w:rPr>
      </w:pPr>
      <w:r w:rsidRPr="007923C2">
        <w:rPr>
          <w:rFonts w:ascii="Arial" w:hAnsi="Arial" w:cs="Arial"/>
          <w:sz w:val="22"/>
          <w:szCs w:val="22"/>
        </w:rPr>
        <w:t>Los objetivos de la carrera se adecuan a los de la organización.</w:t>
      </w:r>
    </w:p>
    <w:p w14:paraId="7DC2412B" w14:textId="77777777" w:rsidR="00A40063" w:rsidRPr="007923C2" w:rsidRDefault="00A40063" w:rsidP="00A40063">
      <w:pPr>
        <w:rPr>
          <w:rFonts w:ascii="Arial" w:hAnsi="Arial" w:cs="Arial"/>
          <w:sz w:val="22"/>
          <w:szCs w:val="22"/>
        </w:rPr>
      </w:pPr>
      <w:r w:rsidRPr="007923C2">
        <w:rPr>
          <w:rFonts w:ascii="Arial" w:hAnsi="Arial" w:cs="Arial"/>
          <w:sz w:val="22"/>
          <w:szCs w:val="22"/>
        </w:rPr>
        <w:t>Se sugiere más experiencia en el campo.</w:t>
      </w:r>
    </w:p>
    <w:p w14:paraId="204AFAE5" w14:textId="77777777" w:rsidR="00A40063" w:rsidRPr="007923C2" w:rsidRDefault="00A40063" w:rsidP="00A40063">
      <w:pPr>
        <w:rPr>
          <w:rFonts w:ascii="Arial" w:hAnsi="Arial" w:cs="Arial"/>
          <w:sz w:val="22"/>
          <w:szCs w:val="22"/>
        </w:rPr>
      </w:pPr>
      <w:r w:rsidRPr="007923C2">
        <w:rPr>
          <w:rFonts w:ascii="Arial" w:hAnsi="Arial" w:cs="Arial"/>
          <w:sz w:val="22"/>
          <w:szCs w:val="22"/>
        </w:rPr>
        <w:t>El campo de trabajo del Agrobiólogo es muy amplio ya que puede enfocarse en diferentes áreas, con el desarrollo rural y reglas de operación.</w:t>
      </w:r>
    </w:p>
    <w:p w14:paraId="7787E8CC" w14:textId="77777777" w:rsidR="00A40063" w:rsidRPr="007923C2" w:rsidRDefault="00A40063" w:rsidP="00A40063">
      <w:pPr>
        <w:rPr>
          <w:rFonts w:ascii="Arial" w:hAnsi="Arial" w:cs="Arial"/>
          <w:sz w:val="22"/>
          <w:szCs w:val="22"/>
        </w:rPr>
      </w:pPr>
      <w:r w:rsidRPr="007923C2">
        <w:rPr>
          <w:rFonts w:ascii="Arial" w:hAnsi="Arial" w:cs="Arial"/>
          <w:sz w:val="22"/>
          <w:szCs w:val="22"/>
        </w:rPr>
        <w:t>Sugerencias</w:t>
      </w:r>
    </w:p>
    <w:p w14:paraId="33FAD07F" w14:textId="77777777" w:rsidR="00A40063" w:rsidRPr="007923C2" w:rsidRDefault="00A40063" w:rsidP="00A40063">
      <w:pPr>
        <w:rPr>
          <w:rFonts w:ascii="Arial" w:hAnsi="Arial" w:cs="Arial"/>
          <w:sz w:val="22"/>
          <w:szCs w:val="22"/>
        </w:rPr>
      </w:pPr>
      <w:r w:rsidRPr="007923C2">
        <w:rPr>
          <w:rFonts w:ascii="Arial" w:hAnsi="Arial" w:cs="Arial"/>
          <w:sz w:val="22"/>
          <w:szCs w:val="22"/>
        </w:rPr>
        <w:t>Mayor acercamiento práctico para mezclar el desarrollo y organización social con la conciencia ecológica y el manejo sustentable de los recursos naturales.</w:t>
      </w:r>
    </w:p>
    <w:p w14:paraId="381D71AD" w14:textId="77777777" w:rsidR="00A40063" w:rsidRPr="007923C2" w:rsidRDefault="00A40063" w:rsidP="00A40063">
      <w:pPr>
        <w:rPr>
          <w:rFonts w:ascii="Arial" w:hAnsi="Arial" w:cs="Arial"/>
          <w:b/>
          <w:sz w:val="22"/>
          <w:szCs w:val="22"/>
        </w:rPr>
      </w:pPr>
      <w:r w:rsidRPr="007923C2">
        <w:rPr>
          <w:rFonts w:ascii="Arial" w:hAnsi="Arial" w:cs="Arial"/>
          <w:b/>
          <w:sz w:val="22"/>
          <w:szCs w:val="22"/>
        </w:rPr>
        <w:t>3.-COMISIÓN NACIONAL DE ÁREAS NATURALES PROTEGIDAS, PARQUE NACIONAL HUATULCO</w:t>
      </w:r>
    </w:p>
    <w:p w14:paraId="5C9ED602" w14:textId="77777777" w:rsidR="00A40063" w:rsidRPr="007923C2" w:rsidRDefault="00A40063" w:rsidP="00A40063">
      <w:pPr>
        <w:rPr>
          <w:rFonts w:ascii="Arial" w:hAnsi="Arial" w:cs="Arial"/>
          <w:sz w:val="22"/>
          <w:szCs w:val="22"/>
        </w:rPr>
      </w:pPr>
      <w:r w:rsidRPr="007923C2">
        <w:rPr>
          <w:rFonts w:ascii="Arial" w:hAnsi="Arial" w:cs="Arial"/>
          <w:sz w:val="22"/>
          <w:szCs w:val="22"/>
        </w:rPr>
        <w:t>Comentarios</w:t>
      </w:r>
    </w:p>
    <w:p w14:paraId="5484F499" w14:textId="77777777" w:rsidR="00A40063" w:rsidRPr="007923C2" w:rsidRDefault="00A40063" w:rsidP="00A40063">
      <w:pPr>
        <w:rPr>
          <w:rFonts w:ascii="Arial" w:hAnsi="Arial" w:cs="Arial"/>
          <w:sz w:val="22"/>
          <w:szCs w:val="22"/>
        </w:rPr>
      </w:pPr>
      <w:r w:rsidRPr="007923C2">
        <w:rPr>
          <w:rFonts w:ascii="Arial" w:hAnsi="Arial" w:cs="Arial"/>
          <w:sz w:val="22"/>
          <w:szCs w:val="22"/>
        </w:rPr>
        <w:t>Se manejan recursos naturales, los conocimientos tanto biológicos como ecológicos, son de suma importancia para la implementación de estrategias de conservación.</w:t>
      </w:r>
    </w:p>
    <w:p w14:paraId="0BA884AD" w14:textId="77777777" w:rsidR="00A40063" w:rsidRPr="007923C2" w:rsidRDefault="00A40063" w:rsidP="00A40063">
      <w:pPr>
        <w:rPr>
          <w:rFonts w:ascii="Arial" w:hAnsi="Arial" w:cs="Arial"/>
          <w:sz w:val="22"/>
          <w:szCs w:val="22"/>
        </w:rPr>
      </w:pPr>
      <w:r w:rsidRPr="007923C2">
        <w:rPr>
          <w:rFonts w:ascii="Arial" w:hAnsi="Arial" w:cs="Arial"/>
          <w:sz w:val="22"/>
          <w:szCs w:val="22"/>
        </w:rPr>
        <w:t>Es una organización que maneja la sustentabilidad en todos los ámbitos por lo que los objetivos de la carrera son compatibles.</w:t>
      </w:r>
    </w:p>
    <w:p w14:paraId="5AF69452" w14:textId="77777777" w:rsidR="00A40063" w:rsidRPr="007923C2" w:rsidRDefault="00A40063" w:rsidP="00A40063">
      <w:pPr>
        <w:rPr>
          <w:rFonts w:ascii="Arial" w:hAnsi="Arial" w:cs="Arial"/>
          <w:sz w:val="22"/>
          <w:szCs w:val="22"/>
        </w:rPr>
      </w:pPr>
      <w:r w:rsidRPr="007923C2">
        <w:rPr>
          <w:rFonts w:ascii="Arial" w:hAnsi="Arial" w:cs="Arial"/>
          <w:sz w:val="22"/>
          <w:szCs w:val="22"/>
        </w:rPr>
        <w:t>Sugerencias</w:t>
      </w:r>
    </w:p>
    <w:p w14:paraId="40A505D3" w14:textId="77777777" w:rsidR="00A40063" w:rsidRPr="007923C2" w:rsidRDefault="00A40063" w:rsidP="00A40063">
      <w:pPr>
        <w:rPr>
          <w:rFonts w:ascii="Arial" w:hAnsi="Arial" w:cs="Arial"/>
          <w:sz w:val="22"/>
          <w:szCs w:val="22"/>
        </w:rPr>
      </w:pPr>
      <w:r w:rsidRPr="007923C2">
        <w:rPr>
          <w:rFonts w:ascii="Arial" w:hAnsi="Arial" w:cs="Arial"/>
          <w:sz w:val="22"/>
          <w:szCs w:val="22"/>
        </w:rPr>
        <w:t>Mejorar la preparación del alumno en temas de carácter social. El sector social funge un aspecto muy importante desarrollo sustentable.</w:t>
      </w:r>
    </w:p>
    <w:p w14:paraId="15DD490B" w14:textId="77777777" w:rsidR="00A40063" w:rsidRPr="007923C2" w:rsidRDefault="00A40063" w:rsidP="00A40063">
      <w:pPr>
        <w:rPr>
          <w:rFonts w:ascii="Arial" w:hAnsi="Arial" w:cs="Arial"/>
          <w:b/>
          <w:sz w:val="22"/>
          <w:szCs w:val="22"/>
        </w:rPr>
      </w:pPr>
      <w:r w:rsidRPr="007923C2">
        <w:rPr>
          <w:rFonts w:ascii="Arial" w:hAnsi="Arial" w:cs="Arial"/>
          <w:b/>
          <w:sz w:val="22"/>
          <w:szCs w:val="22"/>
        </w:rPr>
        <w:t>4.-INIFAP-CAMPO EXPERIMENTAL EDZNA</w:t>
      </w:r>
    </w:p>
    <w:p w14:paraId="6547F938" w14:textId="77777777" w:rsidR="00A40063" w:rsidRPr="007923C2" w:rsidRDefault="00A40063" w:rsidP="00A40063">
      <w:pPr>
        <w:rPr>
          <w:rFonts w:ascii="Arial" w:hAnsi="Arial" w:cs="Arial"/>
          <w:b/>
          <w:sz w:val="22"/>
          <w:szCs w:val="22"/>
        </w:rPr>
      </w:pPr>
      <w:r w:rsidRPr="007923C2">
        <w:rPr>
          <w:rFonts w:ascii="Arial" w:hAnsi="Arial" w:cs="Arial"/>
          <w:b/>
          <w:sz w:val="22"/>
          <w:szCs w:val="22"/>
        </w:rPr>
        <w:t>Sugerencias</w:t>
      </w:r>
    </w:p>
    <w:p w14:paraId="1530CB76" w14:textId="77777777" w:rsidR="00A40063" w:rsidRPr="007923C2" w:rsidRDefault="00A40063" w:rsidP="00A40063">
      <w:pPr>
        <w:rPr>
          <w:rFonts w:ascii="Arial" w:hAnsi="Arial" w:cs="Arial"/>
          <w:sz w:val="22"/>
          <w:szCs w:val="22"/>
        </w:rPr>
      </w:pPr>
      <w:r w:rsidRPr="007923C2">
        <w:rPr>
          <w:rFonts w:ascii="Arial" w:hAnsi="Arial" w:cs="Arial"/>
          <w:sz w:val="22"/>
          <w:szCs w:val="22"/>
        </w:rPr>
        <w:t>Remarcar el conocimiento en agricultura de precisión y relacionarla con la biología.</w:t>
      </w:r>
    </w:p>
    <w:p w14:paraId="0BFA39D9" w14:textId="77777777" w:rsidR="00A40063" w:rsidRPr="007923C2" w:rsidRDefault="00A40063" w:rsidP="00A40063">
      <w:pPr>
        <w:rPr>
          <w:rFonts w:ascii="Arial" w:hAnsi="Arial" w:cs="Arial"/>
          <w:sz w:val="22"/>
          <w:szCs w:val="22"/>
        </w:rPr>
      </w:pPr>
      <w:r w:rsidRPr="007923C2">
        <w:rPr>
          <w:rFonts w:ascii="Arial" w:hAnsi="Arial" w:cs="Arial"/>
          <w:sz w:val="22"/>
          <w:szCs w:val="22"/>
        </w:rPr>
        <w:t>Complementar los modelos de simulación para manejo de nutrición, plagas y enfermedades, control biológico.</w:t>
      </w:r>
    </w:p>
    <w:p w14:paraId="1989F45B" w14:textId="77777777" w:rsidR="00A40063" w:rsidRPr="007923C2" w:rsidRDefault="00A40063" w:rsidP="00A40063">
      <w:pPr>
        <w:rPr>
          <w:rFonts w:ascii="Arial" w:hAnsi="Arial" w:cs="Arial"/>
          <w:b/>
          <w:sz w:val="22"/>
          <w:szCs w:val="22"/>
        </w:rPr>
      </w:pPr>
      <w:r w:rsidRPr="007923C2">
        <w:rPr>
          <w:rFonts w:ascii="Arial" w:hAnsi="Arial" w:cs="Arial"/>
          <w:b/>
          <w:sz w:val="22"/>
          <w:szCs w:val="22"/>
        </w:rPr>
        <w:t>5.-Instituto para el fomento de la Agricultura Tropical IFAT</w:t>
      </w:r>
    </w:p>
    <w:p w14:paraId="5C6FF537" w14:textId="77777777" w:rsidR="00A40063" w:rsidRPr="007923C2" w:rsidRDefault="00A40063" w:rsidP="00A40063">
      <w:pPr>
        <w:rPr>
          <w:rFonts w:ascii="Arial" w:hAnsi="Arial" w:cs="Arial"/>
          <w:sz w:val="22"/>
          <w:szCs w:val="22"/>
        </w:rPr>
      </w:pPr>
      <w:r w:rsidRPr="007923C2">
        <w:rPr>
          <w:rFonts w:ascii="Arial" w:hAnsi="Arial" w:cs="Arial"/>
          <w:sz w:val="22"/>
          <w:szCs w:val="22"/>
        </w:rPr>
        <w:t>Comentarios</w:t>
      </w:r>
    </w:p>
    <w:p w14:paraId="4E1F149F" w14:textId="77777777" w:rsidR="00A40063" w:rsidRPr="007923C2" w:rsidRDefault="00A40063" w:rsidP="00A40063">
      <w:pPr>
        <w:rPr>
          <w:rFonts w:ascii="Arial" w:hAnsi="Arial" w:cs="Arial"/>
          <w:sz w:val="22"/>
          <w:szCs w:val="22"/>
        </w:rPr>
      </w:pPr>
      <w:r w:rsidRPr="007923C2">
        <w:rPr>
          <w:rFonts w:ascii="Arial" w:hAnsi="Arial" w:cs="Arial"/>
          <w:sz w:val="22"/>
          <w:szCs w:val="22"/>
        </w:rPr>
        <w:t xml:space="preserve">La preparación del alumno es adecuada los objetivos van de acuerdo al perfil de preparación. </w:t>
      </w:r>
    </w:p>
    <w:p w14:paraId="19670935" w14:textId="77777777" w:rsidR="00A40063" w:rsidRPr="007923C2" w:rsidRDefault="00A40063" w:rsidP="00A40063">
      <w:pPr>
        <w:rPr>
          <w:rFonts w:ascii="Arial" w:hAnsi="Arial" w:cs="Arial"/>
          <w:sz w:val="22"/>
          <w:szCs w:val="22"/>
        </w:rPr>
      </w:pPr>
      <w:r w:rsidRPr="007923C2">
        <w:rPr>
          <w:rFonts w:ascii="Arial" w:hAnsi="Arial" w:cs="Arial"/>
          <w:sz w:val="22"/>
          <w:szCs w:val="22"/>
        </w:rPr>
        <w:lastRenderedPageBreak/>
        <w:t>La institución tiene como prioridad la creación de proyectos con tendencias al cuidado del medio ambiente y se buscan nuevas formas de producir en el campo. Sin perjudicar el medio ambiente.</w:t>
      </w:r>
    </w:p>
    <w:p w14:paraId="20D8E9E2" w14:textId="77777777" w:rsidR="00A40063" w:rsidRPr="007923C2" w:rsidRDefault="00A40063" w:rsidP="00A40063">
      <w:pPr>
        <w:rPr>
          <w:rFonts w:ascii="Arial" w:hAnsi="Arial" w:cs="Arial"/>
          <w:b/>
          <w:sz w:val="22"/>
          <w:szCs w:val="22"/>
        </w:rPr>
      </w:pPr>
      <w:r w:rsidRPr="007923C2">
        <w:rPr>
          <w:rFonts w:ascii="Arial" w:hAnsi="Arial" w:cs="Arial"/>
          <w:b/>
          <w:sz w:val="22"/>
          <w:szCs w:val="22"/>
        </w:rPr>
        <w:t>6.-CORPORACIÓN MEXICANA DE INVESTIGACIÓN EN MATERIALES S.A. DE C.V.</w:t>
      </w:r>
    </w:p>
    <w:p w14:paraId="3C913C59" w14:textId="77777777" w:rsidR="00A40063" w:rsidRPr="007923C2" w:rsidRDefault="00A40063" w:rsidP="00A40063">
      <w:pPr>
        <w:rPr>
          <w:rFonts w:ascii="Arial" w:hAnsi="Arial" w:cs="Arial"/>
          <w:sz w:val="22"/>
          <w:szCs w:val="22"/>
        </w:rPr>
      </w:pPr>
      <w:r w:rsidRPr="007923C2">
        <w:rPr>
          <w:rFonts w:ascii="Arial" w:hAnsi="Arial" w:cs="Arial"/>
          <w:sz w:val="22"/>
          <w:szCs w:val="22"/>
        </w:rPr>
        <w:t>Comentarios</w:t>
      </w:r>
    </w:p>
    <w:p w14:paraId="2AC4F37B" w14:textId="77777777" w:rsidR="00A40063" w:rsidRPr="007923C2" w:rsidRDefault="00A40063" w:rsidP="00A40063">
      <w:pPr>
        <w:rPr>
          <w:rFonts w:ascii="Arial" w:hAnsi="Arial" w:cs="Arial"/>
          <w:sz w:val="22"/>
          <w:szCs w:val="22"/>
        </w:rPr>
      </w:pPr>
      <w:r w:rsidRPr="007923C2">
        <w:rPr>
          <w:rFonts w:ascii="Arial" w:hAnsi="Arial" w:cs="Arial"/>
          <w:sz w:val="22"/>
          <w:szCs w:val="22"/>
        </w:rPr>
        <w:t>El desempeño del alumno se ajustó a los perfiles que se requieren para desarrollar proyectos de la empresa.</w:t>
      </w:r>
    </w:p>
    <w:p w14:paraId="60BD84A8" w14:textId="77777777" w:rsidR="00A40063" w:rsidRDefault="00A40063" w:rsidP="00A40063">
      <w:pPr>
        <w:rPr>
          <w:rFonts w:ascii="Arial" w:hAnsi="Arial" w:cs="Arial"/>
          <w:sz w:val="22"/>
          <w:szCs w:val="22"/>
        </w:rPr>
      </w:pPr>
      <w:r w:rsidRPr="007923C2">
        <w:rPr>
          <w:rFonts w:ascii="Arial" w:hAnsi="Arial" w:cs="Arial"/>
          <w:sz w:val="22"/>
          <w:szCs w:val="22"/>
        </w:rPr>
        <w:t>Su desempeño siempre fue con solvencia técnica, se puede desarrollar en actividades de industria energética, alimenticia.</w:t>
      </w:r>
    </w:p>
    <w:p w14:paraId="7AB830EF" w14:textId="77777777" w:rsidR="00A40063" w:rsidRPr="007923C2" w:rsidRDefault="00A40063" w:rsidP="00A40063">
      <w:pPr>
        <w:rPr>
          <w:rFonts w:ascii="Arial" w:hAnsi="Arial" w:cs="Arial"/>
          <w:b/>
          <w:sz w:val="22"/>
          <w:szCs w:val="22"/>
        </w:rPr>
      </w:pPr>
      <w:r w:rsidRPr="007923C2">
        <w:rPr>
          <w:rFonts w:ascii="Arial" w:hAnsi="Arial" w:cs="Arial"/>
          <w:b/>
          <w:sz w:val="22"/>
          <w:szCs w:val="22"/>
        </w:rPr>
        <w:t>7.-MONSANTO</w:t>
      </w:r>
    </w:p>
    <w:p w14:paraId="073A4BD2" w14:textId="77777777" w:rsidR="00A40063" w:rsidRPr="007923C2" w:rsidRDefault="00A40063" w:rsidP="00A40063">
      <w:pPr>
        <w:rPr>
          <w:rFonts w:ascii="Arial" w:hAnsi="Arial" w:cs="Arial"/>
          <w:sz w:val="22"/>
          <w:szCs w:val="22"/>
        </w:rPr>
      </w:pPr>
      <w:r w:rsidRPr="007923C2">
        <w:rPr>
          <w:rFonts w:ascii="Arial" w:hAnsi="Arial" w:cs="Arial"/>
          <w:sz w:val="22"/>
          <w:szCs w:val="22"/>
        </w:rPr>
        <w:t>Comentarios</w:t>
      </w:r>
    </w:p>
    <w:p w14:paraId="627B68AA" w14:textId="77777777" w:rsidR="00A40063" w:rsidRPr="007923C2" w:rsidRDefault="00A40063" w:rsidP="00A40063">
      <w:pPr>
        <w:rPr>
          <w:rFonts w:ascii="Arial" w:hAnsi="Arial" w:cs="Arial"/>
          <w:sz w:val="22"/>
          <w:szCs w:val="22"/>
        </w:rPr>
      </w:pPr>
      <w:r w:rsidRPr="007923C2">
        <w:rPr>
          <w:rFonts w:ascii="Arial" w:hAnsi="Arial" w:cs="Arial"/>
          <w:sz w:val="22"/>
          <w:szCs w:val="22"/>
        </w:rPr>
        <w:t>La preparación del alumno es buena con conocimientos para detectar puntos críticos de las pruebas fisiológicas de manera correcta.</w:t>
      </w:r>
    </w:p>
    <w:p w14:paraId="336B367F" w14:textId="77777777" w:rsidR="00A40063" w:rsidRPr="007923C2" w:rsidRDefault="00A40063" w:rsidP="00A40063">
      <w:pPr>
        <w:rPr>
          <w:rFonts w:ascii="Arial" w:hAnsi="Arial" w:cs="Arial"/>
          <w:sz w:val="22"/>
          <w:szCs w:val="22"/>
        </w:rPr>
      </w:pPr>
      <w:r w:rsidRPr="007923C2">
        <w:rPr>
          <w:rFonts w:ascii="Arial" w:hAnsi="Arial" w:cs="Arial"/>
          <w:sz w:val="22"/>
          <w:szCs w:val="22"/>
        </w:rPr>
        <w:t>Sugerencias</w:t>
      </w:r>
    </w:p>
    <w:p w14:paraId="33167FD4" w14:textId="77777777" w:rsidR="00A40063" w:rsidRPr="007923C2" w:rsidRDefault="00A40063" w:rsidP="00A40063">
      <w:pPr>
        <w:rPr>
          <w:rFonts w:ascii="Arial" w:hAnsi="Arial" w:cs="Arial"/>
          <w:sz w:val="22"/>
          <w:szCs w:val="22"/>
        </w:rPr>
      </w:pPr>
      <w:r w:rsidRPr="007923C2">
        <w:rPr>
          <w:rFonts w:ascii="Arial" w:hAnsi="Arial" w:cs="Arial"/>
          <w:sz w:val="22"/>
          <w:szCs w:val="22"/>
        </w:rPr>
        <w:t>Más preparación en inglés.</w:t>
      </w:r>
    </w:p>
    <w:p w14:paraId="0132ABC1" w14:textId="77777777" w:rsidR="00A40063" w:rsidRPr="007923C2" w:rsidRDefault="00A40063" w:rsidP="00A40063">
      <w:pPr>
        <w:rPr>
          <w:rFonts w:ascii="Arial" w:hAnsi="Arial" w:cs="Arial"/>
          <w:b/>
          <w:sz w:val="22"/>
          <w:szCs w:val="22"/>
        </w:rPr>
      </w:pPr>
      <w:r w:rsidRPr="007923C2">
        <w:rPr>
          <w:rFonts w:ascii="Arial" w:hAnsi="Arial" w:cs="Arial"/>
          <w:b/>
          <w:sz w:val="22"/>
          <w:szCs w:val="22"/>
        </w:rPr>
        <w:t>8.-CINVESTAV</w:t>
      </w:r>
    </w:p>
    <w:p w14:paraId="0FF3C663" w14:textId="77777777" w:rsidR="00A40063" w:rsidRPr="007923C2" w:rsidRDefault="00A40063" w:rsidP="00A40063">
      <w:pPr>
        <w:rPr>
          <w:rFonts w:ascii="Arial" w:hAnsi="Arial" w:cs="Arial"/>
          <w:sz w:val="22"/>
          <w:szCs w:val="22"/>
        </w:rPr>
      </w:pPr>
      <w:r w:rsidRPr="007923C2">
        <w:rPr>
          <w:rFonts w:ascii="Arial" w:hAnsi="Arial" w:cs="Arial"/>
          <w:sz w:val="22"/>
          <w:szCs w:val="22"/>
        </w:rPr>
        <w:t>Sugerencias</w:t>
      </w:r>
    </w:p>
    <w:p w14:paraId="160E6B15" w14:textId="77777777" w:rsidR="00A40063" w:rsidRPr="007923C2" w:rsidRDefault="00A40063" w:rsidP="00A40063">
      <w:pPr>
        <w:rPr>
          <w:rFonts w:ascii="Arial" w:hAnsi="Arial" w:cs="Arial"/>
          <w:sz w:val="22"/>
          <w:szCs w:val="22"/>
        </w:rPr>
      </w:pPr>
      <w:r w:rsidRPr="007923C2">
        <w:rPr>
          <w:rFonts w:ascii="Arial" w:hAnsi="Arial" w:cs="Arial"/>
          <w:sz w:val="22"/>
          <w:szCs w:val="22"/>
        </w:rPr>
        <w:t>Mejorar la utilización de técnicas moleculares, reforzar el conocimiento en bioquímica.</w:t>
      </w:r>
    </w:p>
    <w:p w14:paraId="422EBC90" w14:textId="77777777" w:rsidR="00A40063" w:rsidRPr="007923C2" w:rsidRDefault="00A40063" w:rsidP="00A40063">
      <w:pPr>
        <w:rPr>
          <w:rFonts w:ascii="Arial" w:hAnsi="Arial" w:cs="Arial"/>
          <w:b/>
          <w:sz w:val="22"/>
          <w:szCs w:val="22"/>
        </w:rPr>
      </w:pPr>
      <w:r w:rsidRPr="007923C2">
        <w:rPr>
          <w:rFonts w:ascii="Arial" w:hAnsi="Arial" w:cs="Arial"/>
          <w:b/>
          <w:sz w:val="22"/>
          <w:szCs w:val="22"/>
        </w:rPr>
        <w:t>9.-FERSINSA GB, SA DE CV</w:t>
      </w:r>
    </w:p>
    <w:p w14:paraId="1604BDCA" w14:textId="77777777" w:rsidR="00A40063" w:rsidRPr="007923C2" w:rsidRDefault="00A40063" w:rsidP="00A40063">
      <w:pPr>
        <w:rPr>
          <w:rFonts w:ascii="Arial" w:hAnsi="Arial" w:cs="Arial"/>
          <w:sz w:val="22"/>
          <w:szCs w:val="22"/>
        </w:rPr>
      </w:pPr>
      <w:r w:rsidRPr="007923C2">
        <w:rPr>
          <w:rFonts w:ascii="Arial" w:hAnsi="Arial" w:cs="Arial"/>
          <w:sz w:val="22"/>
          <w:szCs w:val="22"/>
        </w:rPr>
        <w:t>Comentarios</w:t>
      </w:r>
    </w:p>
    <w:p w14:paraId="4EF1A588" w14:textId="77777777" w:rsidR="00A40063" w:rsidRPr="007923C2" w:rsidRDefault="00A40063" w:rsidP="00A40063">
      <w:pPr>
        <w:rPr>
          <w:rFonts w:ascii="Arial" w:hAnsi="Arial" w:cs="Arial"/>
          <w:sz w:val="22"/>
          <w:szCs w:val="22"/>
        </w:rPr>
      </w:pPr>
      <w:r w:rsidRPr="007923C2">
        <w:rPr>
          <w:rFonts w:ascii="Arial" w:hAnsi="Arial" w:cs="Arial"/>
          <w:sz w:val="22"/>
          <w:szCs w:val="22"/>
        </w:rPr>
        <w:t>La preparación del alumno es sobresaliente ya que complementó los objetivos de los proyectos.</w:t>
      </w:r>
    </w:p>
    <w:p w14:paraId="27682042" w14:textId="77777777" w:rsidR="00A40063" w:rsidRPr="007923C2" w:rsidRDefault="00A40063" w:rsidP="00A40063">
      <w:pPr>
        <w:rPr>
          <w:rFonts w:ascii="Arial" w:hAnsi="Arial" w:cs="Arial"/>
          <w:sz w:val="22"/>
          <w:szCs w:val="22"/>
        </w:rPr>
      </w:pPr>
      <w:r w:rsidRPr="007923C2">
        <w:rPr>
          <w:rFonts w:ascii="Arial" w:hAnsi="Arial" w:cs="Arial"/>
          <w:sz w:val="22"/>
          <w:szCs w:val="22"/>
        </w:rPr>
        <w:t>El proyecto de la organización está orientada a la sustentabilidad donde la seguridad, salud, ecología y medio ambiente son importantes.</w:t>
      </w:r>
    </w:p>
    <w:p w14:paraId="60AA5340" w14:textId="77777777" w:rsidR="00A40063" w:rsidRPr="007923C2" w:rsidRDefault="00A40063" w:rsidP="00A40063">
      <w:pPr>
        <w:rPr>
          <w:rFonts w:ascii="Arial" w:hAnsi="Arial" w:cs="Arial"/>
          <w:sz w:val="22"/>
          <w:szCs w:val="22"/>
        </w:rPr>
      </w:pPr>
      <w:r w:rsidRPr="007923C2">
        <w:rPr>
          <w:rFonts w:ascii="Arial" w:hAnsi="Arial" w:cs="Arial"/>
          <w:sz w:val="22"/>
          <w:szCs w:val="22"/>
        </w:rPr>
        <w:t>Sugerencias</w:t>
      </w:r>
    </w:p>
    <w:p w14:paraId="01489ED6" w14:textId="77777777" w:rsidR="00A40063" w:rsidRPr="007923C2" w:rsidRDefault="00A40063" w:rsidP="00A40063">
      <w:pPr>
        <w:rPr>
          <w:rFonts w:ascii="Arial" w:hAnsi="Arial" w:cs="Arial"/>
          <w:sz w:val="22"/>
          <w:szCs w:val="22"/>
        </w:rPr>
      </w:pPr>
      <w:r w:rsidRPr="007923C2">
        <w:rPr>
          <w:rFonts w:ascii="Arial" w:hAnsi="Arial" w:cs="Arial"/>
          <w:sz w:val="22"/>
          <w:szCs w:val="22"/>
        </w:rPr>
        <w:t>Implementar las técnicas de monitoreo ambiental.</w:t>
      </w:r>
    </w:p>
    <w:p w14:paraId="5A023063" w14:textId="77777777" w:rsidR="00A40063" w:rsidRPr="007923C2" w:rsidRDefault="00A40063" w:rsidP="00A40063">
      <w:pPr>
        <w:rPr>
          <w:rFonts w:ascii="Arial" w:hAnsi="Arial" w:cs="Arial"/>
          <w:b/>
          <w:sz w:val="22"/>
          <w:szCs w:val="22"/>
        </w:rPr>
      </w:pPr>
      <w:r w:rsidRPr="007923C2">
        <w:rPr>
          <w:rFonts w:ascii="Arial" w:hAnsi="Arial" w:cs="Arial"/>
          <w:b/>
          <w:sz w:val="22"/>
          <w:szCs w:val="22"/>
        </w:rPr>
        <w:t>10.-COLEGIO DE LA FRONTERA SUR</w:t>
      </w:r>
    </w:p>
    <w:p w14:paraId="21072C18" w14:textId="77777777" w:rsidR="00A40063" w:rsidRPr="007923C2" w:rsidRDefault="00A40063" w:rsidP="00A40063">
      <w:pPr>
        <w:rPr>
          <w:rFonts w:ascii="Arial" w:hAnsi="Arial" w:cs="Arial"/>
          <w:sz w:val="22"/>
          <w:szCs w:val="22"/>
        </w:rPr>
      </w:pPr>
      <w:r w:rsidRPr="007923C2">
        <w:rPr>
          <w:rFonts w:ascii="Arial" w:hAnsi="Arial" w:cs="Arial"/>
          <w:sz w:val="22"/>
          <w:szCs w:val="22"/>
        </w:rPr>
        <w:t>Comentarios</w:t>
      </w:r>
    </w:p>
    <w:p w14:paraId="2B3369C4" w14:textId="77777777" w:rsidR="00A40063" w:rsidRPr="007923C2" w:rsidRDefault="00A40063" w:rsidP="00A40063">
      <w:pPr>
        <w:rPr>
          <w:rFonts w:ascii="Arial" w:hAnsi="Arial" w:cs="Arial"/>
          <w:sz w:val="22"/>
          <w:szCs w:val="22"/>
        </w:rPr>
      </w:pPr>
      <w:r w:rsidRPr="007923C2">
        <w:rPr>
          <w:rFonts w:ascii="Arial" w:hAnsi="Arial" w:cs="Arial"/>
          <w:sz w:val="22"/>
          <w:szCs w:val="22"/>
        </w:rPr>
        <w:t>Se requieren más conocimientos básicos sobre áreas de biología celular y molecular, comprensión de fenómenos bioquímicos y celulares.</w:t>
      </w:r>
    </w:p>
    <w:p w14:paraId="6E6D3DE5" w14:textId="77777777" w:rsidR="00A40063" w:rsidRPr="007923C2" w:rsidRDefault="00A40063" w:rsidP="00A40063">
      <w:pPr>
        <w:rPr>
          <w:rFonts w:ascii="Arial" w:hAnsi="Arial" w:cs="Arial"/>
          <w:sz w:val="22"/>
          <w:szCs w:val="22"/>
        </w:rPr>
      </w:pPr>
      <w:r w:rsidRPr="007923C2">
        <w:rPr>
          <w:rFonts w:ascii="Arial" w:hAnsi="Arial" w:cs="Arial"/>
          <w:sz w:val="22"/>
          <w:szCs w:val="22"/>
        </w:rPr>
        <w:t>Implementar prácticas de laboratorio.</w:t>
      </w:r>
    </w:p>
    <w:p w14:paraId="6FEC7525" w14:textId="77777777" w:rsidR="00A40063" w:rsidRPr="007923C2" w:rsidRDefault="00A40063" w:rsidP="00A40063">
      <w:pPr>
        <w:rPr>
          <w:rFonts w:ascii="Arial" w:hAnsi="Arial" w:cs="Arial"/>
          <w:b/>
          <w:sz w:val="22"/>
          <w:szCs w:val="22"/>
        </w:rPr>
      </w:pPr>
      <w:r w:rsidRPr="007923C2">
        <w:rPr>
          <w:rFonts w:ascii="Arial" w:hAnsi="Arial" w:cs="Arial"/>
          <w:b/>
          <w:sz w:val="22"/>
          <w:szCs w:val="22"/>
        </w:rPr>
        <w:t>11.-BIOCAMPO</w:t>
      </w:r>
    </w:p>
    <w:p w14:paraId="5D570F7D" w14:textId="77777777" w:rsidR="00A40063" w:rsidRPr="007923C2" w:rsidRDefault="00A40063" w:rsidP="00A40063">
      <w:pPr>
        <w:rPr>
          <w:rFonts w:ascii="Arial" w:hAnsi="Arial" w:cs="Arial"/>
          <w:sz w:val="22"/>
          <w:szCs w:val="22"/>
        </w:rPr>
      </w:pPr>
      <w:r w:rsidRPr="007923C2">
        <w:rPr>
          <w:rFonts w:ascii="Arial" w:hAnsi="Arial" w:cs="Arial"/>
          <w:sz w:val="22"/>
          <w:szCs w:val="22"/>
        </w:rPr>
        <w:t>Comentarios</w:t>
      </w:r>
    </w:p>
    <w:p w14:paraId="6FFA22C5" w14:textId="77777777" w:rsidR="00A40063" w:rsidRPr="007923C2" w:rsidRDefault="00A40063" w:rsidP="00A40063">
      <w:pPr>
        <w:rPr>
          <w:rFonts w:ascii="Arial" w:hAnsi="Arial" w:cs="Arial"/>
          <w:sz w:val="22"/>
          <w:szCs w:val="22"/>
        </w:rPr>
      </w:pPr>
      <w:r w:rsidRPr="007923C2">
        <w:rPr>
          <w:rFonts w:ascii="Arial" w:hAnsi="Arial" w:cs="Arial"/>
          <w:sz w:val="22"/>
          <w:szCs w:val="22"/>
        </w:rPr>
        <w:t>Los objetivos de la organización se adecuan a los de la carrera enfocada al cuidado del medio ambiente.</w:t>
      </w:r>
    </w:p>
    <w:p w14:paraId="6A14E323" w14:textId="77777777" w:rsidR="00A40063" w:rsidRPr="007923C2" w:rsidRDefault="00A40063" w:rsidP="00A40063">
      <w:pPr>
        <w:rPr>
          <w:rFonts w:ascii="Arial" w:hAnsi="Arial" w:cs="Arial"/>
          <w:sz w:val="22"/>
          <w:szCs w:val="22"/>
        </w:rPr>
      </w:pPr>
      <w:r w:rsidRPr="007923C2">
        <w:rPr>
          <w:rFonts w:ascii="Arial" w:hAnsi="Arial" w:cs="Arial"/>
          <w:sz w:val="22"/>
          <w:szCs w:val="22"/>
        </w:rPr>
        <w:lastRenderedPageBreak/>
        <w:t>Sugerencias</w:t>
      </w:r>
    </w:p>
    <w:p w14:paraId="3E5AB46B" w14:textId="77777777" w:rsidR="00A40063" w:rsidRPr="007923C2" w:rsidRDefault="00A40063" w:rsidP="00A40063">
      <w:pPr>
        <w:rPr>
          <w:rFonts w:ascii="Arial" w:hAnsi="Arial" w:cs="Arial"/>
          <w:sz w:val="22"/>
          <w:szCs w:val="22"/>
        </w:rPr>
      </w:pPr>
      <w:r w:rsidRPr="007923C2">
        <w:rPr>
          <w:rFonts w:ascii="Arial" w:hAnsi="Arial" w:cs="Arial"/>
          <w:sz w:val="22"/>
          <w:szCs w:val="22"/>
        </w:rPr>
        <w:t>Enmarcar el conocimiento sobre el campo agrícola y ampliar el aspecto práctico.</w:t>
      </w:r>
    </w:p>
    <w:p w14:paraId="38C84CA1" w14:textId="77777777" w:rsidR="00A40063" w:rsidRPr="00ED1E5A" w:rsidRDefault="00A40063" w:rsidP="00A40063">
      <w:pPr>
        <w:pStyle w:val="Prrafodelista"/>
        <w:spacing w:before="120"/>
        <w:ind w:left="0"/>
        <w:rPr>
          <w:rFonts w:ascii="Arial" w:hAnsi="Arial" w:cs="Arial"/>
          <w:sz w:val="22"/>
          <w:szCs w:val="22"/>
        </w:rPr>
      </w:pPr>
      <w:r w:rsidRPr="00ED1E5A">
        <w:rPr>
          <w:rFonts w:ascii="Arial" w:hAnsi="Arial" w:cs="Arial"/>
          <w:sz w:val="22"/>
          <w:szCs w:val="22"/>
        </w:rPr>
        <w:t>12.- Instituto Politécnico Nacional</w:t>
      </w:r>
    </w:p>
    <w:p w14:paraId="77309B92" w14:textId="77777777" w:rsidR="00A40063" w:rsidRPr="00ED1E5A" w:rsidRDefault="00A40063" w:rsidP="00A40063">
      <w:pPr>
        <w:pStyle w:val="Prrafodelista"/>
        <w:spacing w:before="120"/>
        <w:ind w:left="0"/>
        <w:rPr>
          <w:rFonts w:ascii="Arial" w:hAnsi="Arial" w:cs="Arial"/>
          <w:sz w:val="22"/>
          <w:szCs w:val="22"/>
        </w:rPr>
      </w:pPr>
      <w:r w:rsidRPr="00ED1E5A">
        <w:rPr>
          <w:rFonts w:ascii="Arial" w:hAnsi="Arial" w:cs="Arial"/>
          <w:sz w:val="22"/>
          <w:szCs w:val="22"/>
        </w:rPr>
        <w:t xml:space="preserve"> Comentario</w:t>
      </w:r>
    </w:p>
    <w:p w14:paraId="1ECD1D23"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El alumno puede desempeñar su carrera en 2 áreas fundamentales en el campo y laboratorio y puede iniciar una empresa privada.</w:t>
      </w:r>
    </w:p>
    <w:p w14:paraId="3DE38D2C" w14:textId="77777777" w:rsidR="002C18CA" w:rsidRPr="00ED1E5A" w:rsidRDefault="002C18CA" w:rsidP="002C18CA">
      <w:pPr>
        <w:pStyle w:val="Prrafodelista"/>
        <w:spacing w:before="120"/>
        <w:ind w:left="0"/>
        <w:rPr>
          <w:rFonts w:ascii="Arial" w:hAnsi="Arial" w:cs="Arial"/>
          <w:sz w:val="22"/>
          <w:szCs w:val="22"/>
        </w:rPr>
      </w:pPr>
    </w:p>
    <w:p w14:paraId="5DABB96F"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13.- Gestoría ambiental estudios y proyectos.</w:t>
      </w:r>
    </w:p>
    <w:p w14:paraId="1FF5B91C"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Comentario</w:t>
      </w:r>
    </w:p>
    <w:p w14:paraId="30CB1C39"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El alumno requiere conocimiento sobre legislación y normatividad del sector agropecuario; ambiental y forestal así como conocimientos en materia de sistemas de información geográfica.</w:t>
      </w:r>
    </w:p>
    <w:p w14:paraId="7B068142"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Las actividades de la organización se adecuarían a lo relativo a ecología y medio ambiente.</w:t>
      </w:r>
    </w:p>
    <w:p w14:paraId="4399B6EA"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14.- Dirección de Fomento Agropecuario Municipal Municipio Puente Nacional Veracruz.</w:t>
      </w:r>
    </w:p>
    <w:p w14:paraId="7B0B053F"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Comentarios</w:t>
      </w:r>
    </w:p>
    <w:p w14:paraId="70D544B5"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Preparación en la elaboración de Proyectos Productivos.</w:t>
      </w:r>
    </w:p>
    <w:p w14:paraId="40B9D9A7"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15.- CINVESTAV.-Laboratorio de Biotecnología de alimentos.</w:t>
      </w:r>
    </w:p>
    <w:p w14:paraId="34DFA5EC"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Comentarios</w:t>
      </w:r>
    </w:p>
    <w:p w14:paraId="02ED28CD"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Ampliar las bases en química, bioquímica y tener más aplicación en la actividad experimental a nivel molecular.</w:t>
      </w:r>
    </w:p>
    <w:p w14:paraId="5F4300AF"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16.- Universidad de la sierra de Juárez.</w:t>
      </w:r>
    </w:p>
    <w:p w14:paraId="287E2CF8"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Comentarios</w:t>
      </w:r>
    </w:p>
    <w:p w14:paraId="0B8FE616"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Fortalecer la realización de actividades complementarias en campo y trabajo con grupos sociales.</w:t>
      </w:r>
    </w:p>
    <w:p w14:paraId="2A7A921D"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Existe un amplio campo donde el agro biólogo  puede laborar, sin embargo no se ha valorado del todo el trabajo de un profesionista en esta área con el tiempo se espera que esta situación cambie debido a las necesidades apremiantes de atención en los temas ambientales.</w:t>
      </w:r>
    </w:p>
    <w:p w14:paraId="3B443E3F"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17.-Comision Nacional Forestal (CONAFO)</w:t>
      </w:r>
    </w:p>
    <w:p w14:paraId="4414DD50"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Comentarios</w:t>
      </w:r>
    </w:p>
    <w:p w14:paraId="6F7B2B83"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Buena presentación, solo falta complementar con sistema de información geográfica.</w:t>
      </w:r>
    </w:p>
    <w:p w14:paraId="63413E8B"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El Agro biólogo tiene una cobertura laboral muy amplia.</w:t>
      </w:r>
    </w:p>
    <w:p w14:paraId="5909415F" w14:textId="77777777"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18.- Flores, Follajes y Plantas del Norte S.A de C.V.</w:t>
      </w:r>
    </w:p>
    <w:p w14:paraId="531DC269"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Comentarios</w:t>
      </w:r>
    </w:p>
    <w:p w14:paraId="37B81B60"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Los Agros biólogos tienen una preparación buena, traen un conocimiento más amplio del área de Producción de plantas.</w:t>
      </w:r>
    </w:p>
    <w:p w14:paraId="2CFEF490"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lastRenderedPageBreak/>
        <w:t xml:space="preserve">El alumno maneja la Producción de plantas ornamentales y forestales así como manejo de composta. </w:t>
      </w:r>
    </w:p>
    <w:p w14:paraId="4BF9051D"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El campo laboral del Agro biólogo tiene amplias oportunidades de desarrollo profesional.</w:t>
      </w:r>
    </w:p>
    <w:p w14:paraId="2B460A58"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19.- Reserva de la Biosfera la sepultura.</w:t>
      </w:r>
    </w:p>
    <w:p w14:paraId="39079F85"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Comentarios</w:t>
      </w:r>
    </w:p>
    <w:p w14:paraId="747F8B14"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El Agro biólogo tiene buena preparación y estadística para el análisis de la información.</w:t>
      </w:r>
    </w:p>
    <w:p w14:paraId="5C076F55"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 xml:space="preserve">El alumno se puede desempeñar en manejo de residuos sólidos, biodigestores, impacto ambiental, residuos y educación ambiental. </w:t>
      </w:r>
    </w:p>
    <w:p w14:paraId="2446ED77"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20.-Procuraduria Agraria Residencia Saltillo.</w:t>
      </w:r>
    </w:p>
    <w:p w14:paraId="5010C30C"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Comentarios</w:t>
      </w:r>
    </w:p>
    <w:p w14:paraId="2E1794E1"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El alumno presenta la preparación académica para enfrentar los retos futuros.</w:t>
      </w:r>
    </w:p>
    <w:p w14:paraId="59B73655"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Se desarrolló agricultura sustentable para asesorar y orientar a hombres y mujeres del campo.</w:t>
      </w:r>
    </w:p>
    <w:p w14:paraId="64AC365D"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Aporto conocimientos sobre la conservación de los ecosistemas y beneficios del medio ambiente.</w:t>
      </w:r>
    </w:p>
    <w:p w14:paraId="3DAE85AC"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 xml:space="preserve">21.- Centro Inter disciplinario de Investigación para el desarrollo Integral Regional, CIIIIDIR Unidad Oaxaca del INSTITUTO Politécnico Nacional. </w:t>
      </w:r>
    </w:p>
    <w:p w14:paraId="6B4AE2EF"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Comentarios</w:t>
      </w:r>
    </w:p>
    <w:p w14:paraId="32F0E7A8"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El alumno presenta buena preparación en las actividades encomendadas.</w:t>
      </w:r>
    </w:p>
    <w:p w14:paraId="5EF3E32F"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 xml:space="preserve">22.- Centro de Biotecnología Genómica </w:t>
      </w:r>
    </w:p>
    <w:p w14:paraId="4D5F6308"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Instituto Politécnico Nacional.</w:t>
      </w:r>
    </w:p>
    <w:p w14:paraId="5F670564"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Comentarios</w:t>
      </w:r>
    </w:p>
    <w:p w14:paraId="0E46C537"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Al alumno le falta preparación en laboratorio y aplicar en actividades de investigación sobre todo conocimiento en biotecnología.</w:t>
      </w:r>
    </w:p>
    <w:p w14:paraId="4C089A6F"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Si hacen infraestructura en laboratorio biotecnológico es conveniente que el alumno haga estancias, tesis en instituciones que los tengan.</w:t>
      </w:r>
    </w:p>
    <w:p w14:paraId="01196ACC" w14:textId="77777777"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 xml:space="preserve">El campo del agro biólogo es variado y diversificado, la base ecológica  y del ambiente, el apoyo de la biotecnología y la inadencia  en la agricultura le da armas para inader en proyectos productivos, ambientales, en biotecnología, etc.      </w:t>
      </w:r>
    </w:p>
    <w:p w14:paraId="4722B8C0" w14:textId="77777777" w:rsidR="002C18CA" w:rsidRPr="00ED1E5A" w:rsidRDefault="002C18CA" w:rsidP="002C18CA">
      <w:pPr>
        <w:widowControl w:val="0"/>
        <w:autoSpaceDE w:val="0"/>
        <w:autoSpaceDN w:val="0"/>
        <w:adjustRightInd w:val="0"/>
        <w:jc w:val="both"/>
        <w:rPr>
          <w:rFonts w:ascii="Arial" w:hAnsi="Arial" w:cs="Arial"/>
          <w:b/>
          <w:sz w:val="22"/>
          <w:szCs w:val="22"/>
        </w:rPr>
      </w:pPr>
      <w:r w:rsidRPr="00ED1E5A">
        <w:rPr>
          <w:rFonts w:ascii="Arial" w:hAnsi="Arial" w:cs="Arial"/>
          <w:b/>
          <w:sz w:val="22"/>
          <w:szCs w:val="22"/>
        </w:rPr>
        <w:t>5.5.-OBJETIVO GENERAL DE LA CARRERA</w:t>
      </w:r>
    </w:p>
    <w:p w14:paraId="1A1670C6" w14:textId="77777777" w:rsidR="002C18CA" w:rsidRPr="00ED1E5A" w:rsidRDefault="002C18CA" w:rsidP="002C18CA">
      <w:pPr>
        <w:widowControl w:val="0"/>
        <w:autoSpaceDE w:val="0"/>
        <w:autoSpaceDN w:val="0"/>
        <w:adjustRightInd w:val="0"/>
        <w:jc w:val="both"/>
        <w:rPr>
          <w:rFonts w:ascii="Arial" w:hAnsi="Arial" w:cs="Arial"/>
          <w:sz w:val="22"/>
          <w:szCs w:val="22"/>
        </w:rPr>
      </w:pPr>
      <w:r w:rsidRPr="00ED1E5A">
        <w:rPr>
          <w:rFonts w:ascii="Arial" w:hAnsi="Arial" w:cs="Arial"/>
          <w:sz w:val="22"/>
          <w:szCs w:val="22"/>
        </w:rPr>
        <w:t>Formar profesionistas con un enfoque multidisciplinario en el campo de la producción silvo-agropecuaria sostenible, manejo, legislación y conservación de recursos naturales apoyándose en conocimientos científicos y prácticos.</w:t>
      </w:r>
    </w:p>
    <w:p w14:paraId="69F124C2" w14:textId="77777777" w:rsidR="002C18CA" w:rsidRPr="00ED1E5A" w:rsidRDefault="002C18CA" w:rsidP="002C18CA">
      <w:pPr>
        <w:widowControl w:val="0"/>
        <w:autoSpaceDE w:val="0"/>
        <w:autoSpaceDN w:val="0"/>
        <w:adjustRightInd w:val="0"/>
        <w:jc w:val="both"/>
        <w:rPr>
          <w:rFonts w:ascii="Arial" w:hAnsi="Arial" w:cs="Arial"/>
          <w:b/>
          <w:sz w:val="22"/>
          <w:szCs w:val="22"/>
        </w:rPr>
      </w:pPr>
      <w:r w:rsidRPr="00ED1E5A">
        <w:rPr>
          <w:rFonts w:ascii="Arial" w:hAnsi="Arial" w:cs="Arial"/>
          <w:b/>
          <w:sz w:val="22"/>
          <w:szCs w:val="22"/>
        </w:rPr>
        <w:t>5.6.-JUSTIFICACIÓN DE LA CARRERA</w:t>
      </w:r>
    </w:p>
    <w:p w14:paraId="631C1598" w14:textId="77777777" w:rsidR="002C18CA" w:rsidRPr="007923C2" w:rsidRDefault="002C18CA" w:rsidP="002C18CA">
      <w:pPr>
        <w:widowControl w:val="0"/>
        <w:overflowPunct w:val="0"/>
        <w:autoSpaceDE w:val="0"/>
        <w:autoSpaceDN w:val="0"/>
        <w:adjustRightInd w:val="0"/>
        <w:spacing w:after="0" w:line="232" w:lineRule="auto"/>
        <w:jc w:val="both"/>
        <w:rPr>
          <w:rFonts w:ascii="Arial" w:hAnsi="Arial" w:cs="Arial"/>
          <w:sz w:val="22"/>
          <w:szCs w:val="22"/>
          <w:lang w:val="es-ES"/>
        </w:rPr>
      </w:pPr>
      <w:r w:rsidRPr="007923C2">
        <w:rPr>
          <w:rFonts w:ascii="Arial" w:hAnsi="Arial" w:cs="Arial"/>
          <w:sz w:val="22"/>
          <w:szCs w:val="22"/>
          <w:lang w:val="es-ES"/>
        </w:rPr>
        <w:t xml:space="preserve">Las instituciones educativas actúan en un contexto social no siempre favorable 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w:t>
      </w:r>
      <w:r w:rsidRPr="007923C2">
        <w:rPr>
          <w:rFonts w:ascii="Arial" w:hAnsi="Arial" w:cs="Arial"/>
          <w:sz w:val="22"/>
          <w:szCs w:val="22"/>
          <w:lang w:val="es-ES"/>
        </w:rPr>
        <w:lastRenderedPageBreak/>
        <w:t>sus funciones sustantivas.</w:t>
      </w:r>
    </w:p>
    <w:p w14:paraId="4775505E" w14:textId="77777777" w:rsidR="002C18CA" w:rsidRPr="007923C2" w:rsidRDefault="002C18CA" w:rsidP="002C18CA">
      <w:pPr>
        <w:widowControl w:val="0"/>
        <w:autoSpaceDE w:val="0"/>
        <w:autoSpaceDN w:val="0"/>
        <w:adjustRightInd w:val="0"/>
        <w:spacing w:after="0" w:line="332" w:lineRule="exact"/>
        <w:rPr>
          <w:rFonts w:ascii="Arial" w:hAnsi="Arial" w:cs="Arial"/>
          <w:sz w:val="22"/>
          <w:szCs w:val="22"/>
          <w:lang w:val="es-ES"/>
        </w:rPr>
      </w:pPr>
    </w:p>
    <w:p w14:paraId="7A99126B" w14:textId="77777777" w:rsidR="006B7FFC" w:rsidRPr="007923C2" w:rsidRDefault="002C18CA" w:rsidP="002C18CA">
      <w:pPr>
        <w:widowControl w:val="0"/>
        <w:overflowPunct w:val="0"/>
        <w:autoSpaceDE w:val="0"/>
        <w:autoSpaceDN w:val="0"/>
        <w:adjustRightInd w:val="0"/>
        <w:spacing w:after="0" w:line="237" w:lineRule="auto"/>
        <w:jc w:val="both"/>
        <w:rPr>
          <w:rFonts w:ascii="Arial" w:hAnsi="Arial" w:cs="Arial"/>
          <w:sz w:val="22"/>
          <w:szCs w:val="22"/>
          <w:lang w:val="es-ES"/>
        </w:rPr>
      </w:pPr>
      <w:r w:rsidRPr="007923C2">
        <w:rPr>
          <w:rFonts w:ascii="Arial" w:hAnsi="Arial" w:cs="Arial"/>
          <w:sz w:val="22"/>
          <w:szCs w:val="22"/>
          <w:lang w:val="es-ES"/>
        </w:rPr>
        <w:t>Una sociedad mundial y nacional inmersa en un proceso de cambio acelerado en tod</w:t>
      </w:r>
      <w:r w:rsidR="007D2F12">
        <w:rPr>
          <w:rFonts w:ascii="Arial" w:hAnsi="Arial" w:cs="Arial"/>
          <w:sz w:val="22"/>
          <w:szCs w:val="22"/>
          <w:lang w:val="es-ES"/>
        </w:rPr>
        <w:t>o</w:t>
      </w:r>
      <w:r w:rsidRPr="007923C2">
        <w:rPr>
          <w:rFonts w:ascii="Arial" w:hAnsi="Arial" w:cs="Arial"/>
          <w:sz w:val="22"/>
          <w:szCs w:val="22"/>
          <w:lang w:val="es-ES"/>
        </w:rPr>
        <w:t xml:space="preserve">s </w:t>
      </w:r>
      <w:r w:rsidR="007D2F12">
        <w:rPr>
          <w:rFonts w:ascii="Arial" w:hAnsi="Arial" w:cs="Arial"/>
          <w:sz w:val="22"/>
          <w:szCs w:val="22"/>
          <w:lang w:val="es-ES"/>
        </w:rPr>
        <w:t>los niveles de</w:t>
      </w:r>
      <w:r w:rsidR="006B7FFC" w:rsidRPr="007923C2">
        <w:rPr>
          <w:rFonts w:ascii="Arial" w:hAnsi="Arial" w:cs="Arial"/>
          <w:sz w:val="22"/>
          <w:szCs w:val="22"/>
          <w:lang w:val="es-ES"/>
        </w:rPr>
        <w:t xml:space="preserve">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los modos de vida de los individuos, de los grupos sociales y de los sexos, se extienden los ámbitos de acción de la sociedad civil y se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responder a demandas del empleador o adelantarse y descubrir anticipadamente el mundo futuro del trabajo.</w:t>
      </w:r>
    </w:p>
    <w:p w14:paraId="5D647EC4" w14:textId="77777777" w:rsidR="006B7FFC" w:rsidRPr="007923C2" w:rsidRDefault="006B7FFC" w:rsidP="006B7FFC">
      <w:pPr>
        <w:widowControl w:val="0"/>
        <w:overflowPunct w:val="0"/>
        <w:autoSpaceDE w:val="0"/>
        <w:autoSpaceDN w:val="0"/>
        <w:adjustRightInd w:val="0"/>
        <w:spacing w:after="0" w:line="237" w:lineRule="auto"/>
        <w:jc w:val="both"/>
        <w:rPr>
          <w:rFonts w:ascii="Arial" w:hAnsi="Arial" w:cs="Arial"/>
          <w:sz w:val="22"/>
          <w:szCs w:val="22"/>
          <w:lang w:val="es-ES"/>
        </w:rPr>
      </w:pPr>
      <w:r w:rsidRPr="007923C2">
        <w:rPr>
          <w:rFonts w:ascii="Arial" w:hAnsi="Arial" w:cs="Arial"/>
          <w:sz w:val="22"/>
          <w:szCs w:val="22"/>
          <w:lang w:val="es-ES"/>
        </w:rPr>
        <w:t>El análisis de los factores externos económicos, sociales, comportamiento de la población, los cambios en las formas de producción, la problemática ambiental que aqueja a los ecosistemas y por consiguiente a la población humana ha surgido la necesidad de que las universidades deban crear nuevas carreras con los nuevos enfoques requeridos para el país.</w:t>
      </w:r>
    </w:p>
    <w:p w14:paraId="7360149E" w14:textId="77777777" w:rsidR="006B7FFC" w:rsidRPr="007923C2" w:rsidRDefault="006B7FFC" w:rsidP="006B7FFC">
      <w:pPr>
        <w:widowControl w:val="0"/>
        <w:overflowPunct w:val="0"/>
        <w:autoSpaceDE w:val="0"/>
        <w:autoSpaceDN w:val="0"/>
        <w:adjustRightInd w:val="0"/>
        <w:spacing w:after="0" w:line="237" w:lineRule="auto"/>
        <w:jc w:val="both"/>
        <w:rPr>
          <w:rFonts w:ascii="Arial" w:hAnsi="Arial" w:cs="Arial"/>
          <w:sz w:val="22"/>
          <w:szCs w:val="22"/>
          <w:lang w:val="es-ES"/>
        </w:rPr>
      </w:pPr>
      <w:r w:rsidRPr="007923C2">
        <w:rPr>
          <w:rFonts w:ascii="Arial" w:hAnsi="Arial" w:cs="Arial"/>
          <w:sz w:val="22"/>
          <w:szCs w:val="22"/>
          <w:lang w:val="es-ES"/>
        </w:rPr>
        <w:t>El estudio de pertinencia, seguimiento de egresados han establecido que el desarrollo como profesionista de un Agrobiólogo se requiere para diversas actividades como:</w:t>
      </w:r>
    </w:p>
    <w:p w14:paraId="4803F56C" w14:textId="77777777" w:rsidR="006B7FFC" w:rsidRPr="007923C2" w:rsidRDefault="006B7FFC" w:rsidP="006B7FFC">
      <w:pPr>
        <w:widowControl w:val="0"/>
        <w:overflowPunct w:val="0"/>
        <w:autoSpaceDE w:val="0"/>
        <w:autoSpaceDN w:val="0"/>
        <w:adjustRightInd w:val="0"/>
        <w:spacing w:after="0" w:line="237" w:lineRule="auto"/>
        <w:jc w:val="both"/>
        <w:rPr>
          <w:rFonts w:ascii="Arial" w:hAnsi="Arial" w:cs="Arial"/>
          <w:sz w:val="22"/>
          <w:szCs w:val="22"/>
          <w:lang w:val="es-ES"/>
        </w:rPr>
      </w:pPr>
    </w:p>
    <w:tbl>
      <w:tblPr>
        <w:tblW w:w="9840" w:type="dxa"/>
        <w:tblLayout w:type="fixed"/>
        <w:tblCellMar>
          <w:left w:w="0" w:type="dxa"/>
          <w:right w:w="0" w:type="dxa"/>
        </w:tblCellMar>
        <w:tblLook w:val="0000" w:firstRow="0" w:lastRow="0" w:firstColumn="0" w:lastColumn="0" w:noHBand="0" w:noVBand="0"/>
      </w:tblPr>
      <w:tblGrid>
        <w:gridCol w:w="20"/>
        <w:gridCol w:w="9820"/>
      </w:tblGrid>
      <w:tr w:rsidR="006B7FFC" w:rsidRPr="007923C2" w14:paraId="31B011BB" w14:textId="77777777" w:rsidTr="00263F9E">
        <w:trPr>
          <w:trHeight w:val="238"/>
        </w:trPr>
        <w:tc>
          <w:tcPr>
            <w:tcW w:w="20" w:type="dxa"/>
            <w:tcBorders>
              <w:top w:val="nil"/>
              <w:left w:val="nil"/>
              <w:bottom w:val="nil"/>
              <w:right w:val="nil"/>
            </w:tcBorders>
            <w:vAlign w:val="bottom"/>
          </w:tcPr>
          <w:p w14:paraId="5AEB0C2C"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063EC8F5"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Reforestación, Mejoramiento genético, obras  de conservación forestal,  obras de suelo</w:t>
            </w:r>
            <w:r w:rsidR="00A66160">
              <w:rPr>
                <w:rFonts w:ascii="Arial" w:hAnsi="Arial" w:cs="Arial"/>
                <w:sz w:val="22"/>
                <w:szCs w:val="22"/>
              </w:rPr>
              <w:t>.</w:t>
            </w:r>
          </w:p>
        </w:tc>
      </w:tr>
      <w:tr w:rsidR="006B7FFC" w:rsidRPr="007923C2" w14:paraId="3B738DFA" w14:textId="77777777" w:rsidTr="00263F9E">
        <w:trPr>
          <w:trHeight w:val="185"/>
        </w:trPr>
        <w:tc>
          <w:tcPr>
            <w:tcW w:w="20" w:type="dxa"/>
            <w:tcBorders>
              <w:top w:val="nil"/>
              <w:left w:val="nil"/>
              <w:bottom w:val="nil"/>
              <w:right w:val="nil"/>
            </w:tcBorders>
            <w:vAlign w:val="bottom"/>
          </w:tcPr>
          <w:p w14:paraId="4AA50BA6"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38BCBB8B"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Producción de orgánicos, sustentabilidad de producción y medio ambiente</w:t>
            </w:r>
            <w:r w:rsidR="00A66160">
              <w:rPr>
                <w:rFonts w:ascii="Arial" w:hAnsi="Arial" w:cs="Arial"/>
                <w:sz w:val="22"/>
                <w:szCs w:val="22"/>
              </w:rPr>
              <w:t>.</w:t>
            </w:r>
          </w:p>
        </w:tc>
      </w:tr>
      <w:tr w:rsidR="006B7FFC" w:rsidRPr="007923C2" w14:paraId="642044B6" w14:textId="77777777" w:rsidTr="00263F9E">
        <w:trPr>
          <w:trHeight w:val="182"/>
        </w:trPr>
        <w:tc>
          <w:tcPr>
            <w:tcW w:w="20" w:type="dxa"/>
            <w:tcBorders>
              <w:top w:val="nil"/>
              <w:left w:val="nil"/>
              <w:bottom w:val="nil"/>
              <w:right w:val="nil"/>
            </w:tcBorders>
            <w:vAlign w:val="bottom"/>
          </w:tcPr>
          <w:p w14:paraId="5B1A786D"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218AC7D0"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Tecnología en transgénicos, Regulaciones fitosanitarias</w:t>
            </w:r>
            <w:r w:rsidR="00A66160">
              <w:rPr>
                <w:rFonts w:ascii="Arial" w:hAnsi="Arial" w:cs="Arial"/>
                <w:sz w:val="22"/>
                <w:szCs w:val="22"/>
              </w:rPr>
              <w:t>.</w:t>
            </w:r>
          </w:p>
        </w:tc>
      </w:tr>
      <w:tr w:rsidR="006B7FFC" w:rsidRPr="007923C2" w14:paraId="200365FC" w14:textId="77777777" w:rsidTr="00263F9E">
        <w:trPr>
          <w:trHeight w:val="185"/>
        </w:trPr>
        <w:tc>
          <w:tcPr>
            <w:tcW w:w="20" w:type="dxa"/>
            <w:tcBorders>
              <w:top w:val="nil"/>
              <w:left w:val="nil"/>
              <w:bottom w:val="nil"/>
              <w:right w:val="nil"/>
            </w:tcBorders>
            <w:vAlign w:val="bottom"/>
          </w:tcPr>
          <w:p w14:paraId="44F8E544"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1B8031CE"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Mejoramiento genético de semillas</w:t>
            </w:r>
            <w:r w:rsidR="00A66160">
              <w:rPr>
                <w:rFonts w:ascii="Arial" w:hAnsi="Arial" w:cs="Arial"/>
                <w:sz w:val="22"/>
                <w:szCs w:val="22"/>
              </w:rPr>
              <w:t>.</w:t>
            </w:r>
          </w:p>
        </w:tc>
      </w:tr>
      <w:tr w:rsidR="006B7FFC" w:rsidRPr="007923C2" w14:paraId="0D2C7A36" w14:textId="77777777" w:rsidTr="00263F9E">
        <w:trPr>
          <w:trHeight w:val="185"/>
        </w:trPr>
        <w:tc>
          <w:tcPr>
            <w:tcW w:w="20" w:type="dxa"/>
            <w:tcBorders>
              <w:top w:val="nil"/>
              <w:left w:val="nil"/>
              <w:bottom w:val="nil"/>
              <w:right w:val="nil"/>
            </w:tcBorders>
            <w:vAlign w:val="bottom"/>
          </w:tcPr>
          <w:p w14:paraId="3D6C263A"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790342F4"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Las parcelas demostrativas, Fertilizantes biológicos, repelentes naturales</w:t>
            </w:r>
            <w:r w:rsidR="00A66160">
              <w:rPr>
                <w:rFonts w:ascii="Arial" w:hAnsi="Arial" w:cs="Arial"/>
                <w:sz w:val="22"/>
                <w:szCs w:val="22"/>
              </w:rPr>
              <w:t>.</w:t>
            </w:r>
          </w:p>
        </w:tc>
      </w:tr>
      <w:tr w:rsidR="006B7FFC" w:rsidRPr="007923C2" w14:paraId="06A58EB3" w14:textId="77777777" w:rsidTr="00263F9E">
        <w:trPr>
          <w:trHeight w:val="182"/>
        </w:trPr>
        <w:tc>
          <w:tcPr>
            <w:tcW w:w="20" w:type="dxa"/>
            <w:tcBorders>
              <w:top w:val="nil"/>
              <w:left w:val="nil"/>
              <w:bottom w:val="nil"/>
              <w:right w:val="nil"/>
            </w:tcBorders>
            <w:vAlign w:val="bottom"/>
          </w:tcPr>
          <w:p w14:paraId="7E592EEC"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3E6A149D"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Control biológico, Elaboración de productos orgánicos</w:t>
            </w:r>
            <w:r w:rsidR="00A66160">
              <w:rPr>
                <w:rFonts w:ascii="Arial" w:hAnsi="Arial" w:cs="Arial"/>
                <w:sz w:val="22"/>
                <w:szCs w:val="22"/>
              </w:rPr>
              <w:t>.</w:t>
            </w:r>
          </w:p>
        </w:tc>
      </w:tr>
      <w:tr w:rsidR="006B7FFC" w:rsidRPr="007923C2" w14:paraId="749BB7F4" w14:textId="77777777" w:rsidTr="00263F9E">
        <w:trPr>
          <w:trHeight w:val="185"/>
        </w:trPr>
        <w:tc>
          <w:tcPr>
            <w:tcW w:w="20" w:type="dxa"/>
            <w:tcBorders>
              <w:top w:val="nil"/>
              <w:left w:val="nil"/>
              <w:bottom w:val="nil"/>
              <w:right w:val="nil"/>
            </w:tcBorders>
            <w:vAlign w:val="bottom"/>
          </w:tcPr>
          <w:p w14:paraId="18601D54"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3A51F11D"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El cumplimiento de las metas de reforestación para cubrir áreas  degradadas</w:t>
            </w:r>
            <w:r w:rsidR="00A66160">
              <w:rPr>
                <w:rFonts w:ascii="Arial" w:hAnsi="Arial" w:cs="Arial"/>
                <w:sz w:val="22"/>
                <w:szCs w:val="22"/>
              </w:rPr>
              <w:t>.</w:t>
            </w:r>
          </w:p>
        </w:tc>
      </w:tr>
      <w:tr w:rsidR="006B7FFC" w:rsidRPr="007923C2" w14:paraId="405AD446" w14:textId="77777777" w:rsidTr="00263F9E">
        <w:trPr>
          <w:trHeight w:val="182"/>
        </w:trPr>
        <w:tc>
          <w:tcPr>
            <w:tcW w:w="20" w:type="dxa"/>
            <w:tcBorders>
              <w:top w:val="nil"/>
              <w:left w:val="nil"/>
              <w:bottom w:val="nil"/>
              <w:right w:val="nil"/>
            </w:tcBorders>
            <w:vAlign w:val="bottom"/>
          </w:tcPr>
          <w:p w14:paraId="14ED045A"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63CCBC25"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El control de plagas por bioquímicos orgánicos y biológicos</w:t>
            </w:r>
            <w:r w:rsidR="00A66160">
              <w:rPr>
                <w:rFonts w:ascii="Arial" w:hAnsi="Arial" w:cs="Arial"/>
                <w:sz w:val="22"/>
                <w:szCs w:val="22"/>
              </w:rPr>
              <w:t>.</w:t>
            </w:r>
          </w:p>
        </w:tc>
      </w:tr>
      <w:tr w:rsidR="006B7FFC" w:rsidRPr="007923C2" w14:paraId="750140B2" w14:textId="77777777" w:rsidTr="00263F9E">
        <w:trPr>
          <w:trHeight w:val="185"/>
        </w:trPr>
        <w:tc>
          <w:tcPr>
            <w:tcW w:w="20" w:type="dxa"/>
            <w:tcBorders>
              <w:top w:val="nil"/>
              <w:left w:val="nil"/>
              <w:bottom w:val="nil"/>
              <w:right w:val="nil"/>
            </w:tcBorders>
            <w:vAlign w:val="bottom"/>
          </w:tcPr>
          <w:p w14:paraId="778E4C6E"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29171159"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La legislación ambiental y cumplimiento de normatividad</w:t>
            </w:r>
            <w:r w:rsidR="00A66160">
              <w:rPr>
                <w:rFonts w:ascii="Arial" w:hAnsi="Arial" w:cs="Arial"/>
                <w:sz w:val="22"/>
                <w:szCs w:val="22"/>
              </w:rPr>
              <w:t>.</w:t>
            </w:r>
          </w:p>
        </w:tc>
      </w:tr>
      <w:tr w:rsidR="006B7FFC" w:rsidRPr="007923C2" w14:paraId="26012027" w14:textId="77777777" w:rsidTr="00263F9E">
        <w:trPr>
          <w:trHeight w:val="185"/>
        </w:trPr>
        <w:tc>
          <w:tcPr>
            <w:tcW w:w="20" w:type="dxa"/>
            <w:tcBorders>
              <w:top w:val="nil"/>
              <w:left w:val="nil"/>
              <w:bottom w:val="nil"/>
              <w:right w:val="nil"/>
            </w:tcBorders>
            <w:vAlign w:val="bottom"/>
          </w:tcPr>
          <w:p w14:paraId="4C1BE3CD"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64FF021E" w14:textId="77777777" w:rsidR="00CC3D7E" w:rsidRPr="007923C2" w:rsidRDefault="006B7FFC" w:rsidP="00D15A0E">
            <w:pPr>
              <w:jc w:val="both"/>
              <w:rPr>
                <w:rFonts w:ascii="Arial" w:hAnsi="Arial" w:cs="Arial"/>
                <w:sz w:val="22"/>
                <w:szCs w:val="22"/>
              </w:rPr>
            </w:pPr>
            <w:r w:rsidRPr="007923C2">
              <w:rPr>
                <w:rFonts w:ascii="Arial" w:hAnsi="Arial" w:cs="Arial"/>
                <w:sz w:val="22"/>
                <w:szCs w:val="22"/>
              </w:rPr>
              <w:t>Cumplimiento total de reglamentos y normatividades</w:t>
            </w:r>
            <w:r w:rsidR="00A66160">
              <w:rPr>
                <w:rFonts w:ascii="Arial" w:hAnsi="Arial" w:cs="Arial"/>
                <w:sz w:val="22"/>
                <w:szCs w:val="22"/>
              </w:rPr>
              <w:t>.</w:t>
            </w:r>
          </w:p>
        </w:tc>
      </w:tr>
      <w:tr w:rsidR="006B7FFC" w:rsidRPr="007923C2" w14:paraId="06F95597" w14:textId="77777777" w:rsidTr="00263F9E">
        <w:trPr>
          <w:trHeight w:val="185"/>
        </w:trPr>
        <w:tc>
          <w:tcPr>
            <w:tcW w:w="20" w:type="dxa"/>
            <w:tcBorders>
              <w:top w:val="nil"/>
              <w:left w:val="nil"/>
              <w:bottom w:val="nil"/>
              <w:right w:val="nil"/>
            </w:tcBorders>
            <w:vAlign w:val="bottom"/>
          </w:tcPr>
          <w:p w14:paraId="143B3730"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3EC0D6B3"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Reforestación de zona depredada en invernadero de malla sombra</w:t>
            </w:r>
            <w:r w:rsidR="00A66160">
              <w:rPr>
                <w:rFonts w:ascii="Arial" w:hAnsi="Arial" w:cs="Arial"/>
                <w:sz w:val="22"/>
                <w:szCs w:val="22"/>
              </w:rPr>
              <w:t>.</w:t>
            </w:r>
          </w:p>
        </w:tc>
      </w:tr>
      <w:tr w:rsidR="006B7FFC" w:rsidRPr="007923C2" w14:paraId="28DAC85A" w14:textId="77777777" w:rsidTr="00263F9E">
        <w:trPr>
          <w:trHeight w:val="182"/>
        </w:trPr>
        <w:tc>
          <w:tcPr>
            <w:tcW w:w="20" w:type="dxa"/>
            <w:tcBorders>
              <w:top w:val="nil"/>
              <w:left w:val="nil"/>
              <w:bottom w:val="nil"/>
              <w:right w:val="nil"/>
            </w:tcBorders>
            <w:vAlign w:val="bottom"/>
          </w:tcPr>
          <w:p w14:paraId="26553D0D"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2F13E23B"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Inocuidad alimentaria, Cumplir normatividad</w:t>
            </w:r>
            <w:r w:rsidR="00A66160">
              <w:rPr>
                <w:rFonts w:ascii="Arial" w:hAnsi="Arial" w:cs="Arial"/>
                <w:sz w:val="22"/>
                <w:szCs w:val="22"/>
              </w:rPr>
              <w:t>.</w:t>
            </w:r>
          </w:p>
        </w:tc>
      </w:tr>
      <w:tr w:rsidR="006B7FFC" w:rsidRPr="007923C2" w14:paraId="6353AC35" w14:textId="77777777" w:rsidTr="00263F9E">
        <w:trPr>
          <w:trHeight w:val="185"/>
        </w:trPr>
        <w:tc>
          <w:tcPr>
            <w:tcW w:w="20" w:type="dxa"/>
            <w:tcBorders>
              <w:top w:val="nil"/>
              <w:left w:val="nil"/>
              <w:bottom w:val="nil"/>
              <w:right w:val="nil"/>
            </w:tcBorders>
            <w:vAlign w:val="bottom"/>
          </w:tcPr>
          <w:p w14:paraId="6C44F325"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2C30B31A"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Sustitución de productos que sean más amigables al medio ambiente</w:t>
            </w:r>
            <w:r w:rsidR="00A66160">
              <w:rPr>
                <w:rFonts w:ascii="Arial" w:hAnsi="Arial" w:cs="Arial"/>
                <w:sz w:val="22"/>
                <w:szCs w:val="22"/>
              </w:rPr>
              <w:t>.</w:t>
            </w:r>
          </w:p>
        </w:tc>
      </w:tr>
      <w:tr w:rsidR="006B7FFC" w:rsidRPr="007923C2" w14:paraId="18271C77" w14:textId="77777777" w:rsidTr="00263F9E">
        <w:trPr>
          <w:trHeight w:val="185"/>
        </w:trPr>
        <w:tc>
          <w:tcPr>
            <w:tcW w:w="20" w:type="dxa"/>
            <w:tcBorders>
              <w:top w:val="nil"/>
              <w:left w:val="nil"/>
              <w:bottom w:val="nil"/>
              <w:right w:val="nil"/>
            </w:tcBorders>
            <w:vAlign w:val="bottom"/>
          </w:tcPr>
          <w:p w14:paraId="1C025D33"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21BE2F3E"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Zonas rurales marginadas, cambiar modos de producción de químicos a orgánicos</w:t>
            </w:r>
            <w:r w:rsidR="00A66160">
              <w:rPr>
                <w:rFonts w:ascii="Arial" w:hAnsi="Arial" w:cs="Arial"/>
                <w:sz w:val="22"/>
                <w:szCs w:val="22"/>
              </w:rPr>
              <w:t>.</w:t>
            </w:r>
          </w:p>
        </w:tc>
      </w:tr>
      <w:tr w:rsidR="006B7FFC" w:rsidRPr="007923C2" w14:paraId="4FD47F9F" w14:textId="77777777" w:rsidTr="00263F9E">
        <w:trPr>
          <w:trHeight w:val="183"/>
        </w:trPr>
        <w:tc>
          <w:tcPr>
            <w:tcW w:w="20" w:type="dxa"/>
            <w:tcBorders>
              <w:top w:val="nil"/>
              <w:left w:val="nil"/>
              <w:bottom w:val="nil"/>
              <w:right w:val="nil"/>
            </w:tcBorders>
            <w:vAlign w:val="bottom"/>
          </w:tcPr>
          <w:p w14:paraId="2F7BCAE3"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3B232F25"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Ingenieros prácticos y con conocimiento de matemáticas para hacer proyecciones climáticas</w:t>
            </w:r>
            <w:r w:rsidR="00A66160">
              <w:rPr>
                <w:rFonts w:ascii="Arial" w:hAnsi="Arial" w:cs="Arial"/>
                <w:sz w:val="22"/>
                <w:szCs w:val="22"/>
              </w:rPr>
              <w:t>.</w:t>
            </w:r>
          </w:p>
        </w:tc>
      </w:tr>
      <w:tr w:rsidR="006B7FFC" w:rsidRPr="007923C2" w14:paraId="29DA88E1" w14:textId="77777777" w:rsidTr="00263F9E">
        <w:trPr>
          <w:trHeight w:val="185"/>
        </w:trPr>
        <w:tc>
          <w:tcPr>
            <w:tcW w:w="20" w:type="dxa"/>
            <w:tcBorders>
              <w:top w:val="nil"/>
              <w:left w:val="nil"/>
              <w:bottom w:val="nil"/>
              <w:right w:val="nil"/>
            </w:tcBorders>
            <w:vAlign w:val="bottom"/>
          </w:tcPr>
          <w:p w14:paraId="2630E728"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3D20AEB1" w14:textId="77777777" w:rsidR="006B7FFC" w:rsidRPr="007923C2" w:rsidRDefault="00A66160" w:rsidP="009B496C">
            <w:pPr>
              <w:jc w:val="both"/>
              <w:rPr>
                <w:rFonts w:ascii="Arial" w:hAnsi="Arial" w:cs="Arial"/>
                <w:sz w:val="22"/>
                <w:szCs w:val="22"/>
              </w:rPr>
            </w:pPr>
            <w:r>
              <w:rPr>
                <w:rFonts w:ascii="Arial" w:hAnsi="Arial" w:cs="Arial"/>
                <w:sz w:val="22"/>
                <w:szCs w:val="22"/>
              </w:rPr>
              <w:t>Má</w:t>
            </w:r>
            <w:r w:rsidR="006B7FFC" w:rsidRPr="007923C2">
              <w:rPr>
                <w:rFonts w:ascii="Arial" w:hAnsi="Arial" w:cs="Arial"/>
                <w:sz w:val="22"/>
                <w:szCs w:val="22"/>
              </w:rPr>
              <w:t>s Agricultura en sector primario</w:t>
            </w:r>
            <w:r>
              <w:rPr>
                <w:rFonts w:ascii="Arial" w:hAnsi="Arial" w:cs="Arial"/>
                <w:sz w:val="22"/>
                <w:szCs w:val="22"/>
              </w:rPr>
              <w:t>.</w:t>
            </w:r>
          </w:p>
        </w:tc>
      </w:tr>
      <w:tr w:rsidR="006B7FFC" w:rsidRPr="007923C2" w14:paraId="14A6D66B" w14:textId="77777777" w:rsidTr="00263F9E">
        <w:trPr>
          <w:trHeight w:val="185"/>
        </w:trPr>
        <w:tc>
          <w:tcPr>
            <w:tcW w:w="20" w:type="dxa"/>
            <w:tcBorders>
              <w:top w:val="nil"/>
              <w:left w:val="nil"/>
              <w:bottom w:val="nil"/>
              <w:right w:val="nil"/>
            </w:tcBorders>
            <w:vAlign w:val="bottom"/>
          </w:tcPr>
          <w:p w14:paraId="3FC1EBA4"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0D79CC7F"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Son pocas, ya que es una región con muy alta marginación (Abasolo del Valle Veracruz)</w:t>
            </w:r>
            <w:r w:rsidR="00A66160">
              <w:rPr>
                <w:rFonts w:ascii="Arial" w:hAnsi="Arial" w:cs="Arial"/>
                <w:sz w:val="22"/>
                <w:szCs w:val="22"/>
              </w:rPr>
              <w:t>.</w:t>
            </w:r>
          </w:p>
        </w:tc>
      </w:tr>
      <w:tr w:rsidR="006B7FFC" w:rsidRPr="007923C2" w14:paraId="7384166B" w14:textId="77777777" w:rsidTr="00263F9E">
        <w:trPr>
          <w:trHeight w:val="182"/>
        </w:trPr>
        <w:tc>
          <w:tcPr>
            <w:tcW w:w="20" w:type="dxa"/>
            <w:tcBorders>
              <w:top w:val="nil"/>
              <w:left w:val="nil"/>
              <w:bottom w:val="nil"/>
              <w:right w:val="nil"/>
            </w:tcBorders>
            <w:vAlign w:val="bottom"/>
          </w:tcPr>
          <w:p w14:paraId="5F7C75C6"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44BF21E5"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Es de gran importancia la rehabilitación de praderas, Plantas nativas, Zonas desérticas, nivelación de terrenos</w:t>
            </w:r>
            <w:r w:rsidR="00A66160">
              <w:rPr>
                <w:rFonts w:ascii="Arial" w:hAnsi="Arial" w:cs="Arial"/>
                <w:sz w:val="22"/>
                <w:szCs w:val="22"/>
              </w:rPr>
              <w:t>.</w:t>
            </w:r>
          </w:p>
        </w:tc>
      </w:tr>
      <w:tr w:rsidR="006B7FFC" w:rsidRPr="007923C2" w14:paraId="2E9583FA" w14:textId="77777777" w:rsidTr="00263F9E">
        <w:trPr>
          <w:trHeight w:val="185"/>
        </w:trPr>
        <w:tc>
          <w:tcPr>
            <w:tcW w:w="20" w:type="dxa"/>
            <w:tcBorders>
              <w:top w:val="nil"/>
              <w:left w:val="nil"/>
              <w:bottom w:val="nil"/>
              <w:right w:val="nil"/>
            </w:tcBorders>
            <w:vAlign w:val="bottom"/>
          </w:tcPr>
          <w:p w14:paraId="2D5D0AF9"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657AAEEC" w14:textId="77777777" w:rsidR="006B7FFC" w:rsidRPr="007923C2" w:rsidRDefault="00A66160" w:rsidP="009B496C">
            <w:pPr>
              <w:jc w:val="both"/>
              <w:rPr>
                <w:rFonts w:ascii="Arial" w:hAnsi="Arial" w:cs="Arial"/>
                <w:sz w:val="22"/>
                <w:szCs w:val="22"/>
              </w:rPr>
            </w:pPr>
            <w:r>
              <w:rPr>
                <w:rFonts w:ascii="Arial" w:hAnsi="Arial" w:cs="Arial"/>
                <w:sz w:val="22"/>
                <w:szCs w:val="22"/>
              </w:rPr>
              <w:t>Má</w:t>
            </w:r>
            <w:r w:rsidR="006B7FFC" w:rsidRPr="007923C2">
              <w:rPr>
                <w:rFonts w:ascii="Arial" w:hAnsi="Arial" w:cs="Arial"/>
                <w:sz w:val="22"/>
                <w:szCs w:val="22"/>
              </w:rPr>
              <w:t>s apoyos gubernamentales al sector primario SAGARPA</w:t>
            </w:r>
            <w:r>
              <w:rPr>
                <w:rFonts w:ascii="Arial" w:hAnsi="Arial" w:cs="Arial"/>
                <w:sz w:val="22"/>
                <w:szCs w:val="22"/>
              </w:rPr>
              <w:t>.</w:t>
            </w:r>
          </w:p>
        </w:tc>
      </w:tr>
      <w:tr w:rsidR="006B7FFC" w:rsidRPr="007923C2" w14:paraId="0AFDE41A" w14:textId="77777777" w:rsidTr="00263F9E">
        <w:trPr>
          <w:trHeight w:val="185"/>
        </w:trPr>
        <w:tc>
          <w:tcPr>
            <w:tcW w:w="20" w:type="dxa"/>
            <w:tcBorders>
              <w:top w:val="nil"/>
              <w:left w:val="nil"/>
              <w:bottom w:val="nil"/>
              <w:right w:val="nil"/>
            </w:tcBorders>
            <w:vAlign w:val="bottom"/>
          </w:tcPr>
          <w:p w14:paraId="38F4EB68"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26F7C99A"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Ambiental</w:t>
            </w:r>
            <w:r w:rsidR="00A66160">
              <w:rPr>
                <w:rFonts w:ascii="Arial" w:hAnsi="Arial" w:cs="Arial"/>
                <w:sz w:val="22"/>
                <w:szCs w:val="22"/>
              </w:rPr>
              <w:t>.</w:t>
            </w:r>
          </w:p>
        </w:tc>
      </w:tr>
      <w:tr w:rsidR="006B7FFC" w:rsidRPr="007923C2" w14:paraId="740D99C8" w14:textId="77777777" w:rsidTr="00263F9E">
        <w:trPr>
          <w:trHeight w:val="182"/>
        </w:trPr>
        <w:tc>
          <w:tcPr>
            <w:tcW w:w="20" w:type="dxa"/>
            <w:tcBorders>
              <w:top w:val="nil"/>
              <w:left w:val="nil"/>
              <w:bottom w:val="nil"/>
              <w:right w:val="nil"/>
            </w:tcBorders>
            <w:vAlign w:val="bottom"/>
          </w:tcPr>
          <w:p w14:paraId="4924740A"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16847F20"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Invernaderos en Saltillo</w:t>
            </w:r>
            <w:r w:rsidR="00A66160">
              <w:rPr>
                <w:rFonts w:ascii="Arial" w:hAnsi="Arial" w:cs="Arial"/>
                <w:sz w:val="22"/>
                <w:szCs w:val="22"/>
              </w:rPr>
              <w:t>.</w:t>
            </w:r>
          </w:p>
        </w:tc>
      </w:tr>
      <w:tr w:rsidR="006B7FFC" w:rsidRPr="007923C2" w14:paraId="266FCF79" w14:textId="77777777" w:rsidTr="00263F9E">
        <w:trPr>
          <w:trHeight w:val="185"/>
        </w:trPr>
        <w:tc>
          <w:tcPr>
            <w:tcW w:w="20" w:type="dxa"/>
            <w:tcBorders>
              <w:top w:val="nil"/>
              <w:left w:val="nil"/>
              <w:bottom w:val="nil"/>
              <w:right w:val="nil"/>
            </w:tcBorders>
            <w:vAlign w:val="bottom"/>
          </w:tcPr>
          <w:p w14:paraId="48D17F79"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28141B80" w14:textId="77777777" w:rsidR="006B7FFC" w:rsidRPr="007923C2" w:rsidRDefault="00A66160" w:rsidP="009B496C">
            <w:pPr>
              <w:jc w:val="both"/>
              <w:rPr>
                <w:rFonts w:ascii="Arial" w:hAnsi="Arial" w:cs="Arial"/>
                <w:sz w:val="22"/>
                <w:szCs w:val="22"/>
              </w:rPr>
            </w:pPr>
            <w:r>
              <w:rPr>
                <w:rFonts w:ascii="Arial" w:hAnsi="Arial" w:cs="Arial"/>
                <w:sz w:val="22"/>
                <w:szCs w:val="22"/>
              </w:rPr>
              <w:t>Agro</w:t>
            </w:r>
            <w:r w:rsidR="006B7FFC" w:rsidRPr="007923C2">
              <w:rPr>
                <w:rFonts w:ascii="Arial" w:hAnsi="Arial" w:cs="Arial"/>
                <w:sz w:val="22"/>
                <w:szCs w:val="22"/>
              </w:rPr>
              <w:t>bilogía</w:t>
            </w:r>
            <w:r>
              <w:rPr>
                <w:rFonts w:ascii="Arial" w:hAnsi="Arial" w:cs="Arial"/>
                <w:sz w:val="22"/>
                <w:szCs w:val="22"/>
              </w:rPr>
              <w:t>.</w:t>
            </w:r>
          </w:p>
        </w:tc>
      </w:tr>
      <w:tr w:rsidR="006B7FFC" w:rsidRPr="007923C2" w14:paraId="2D008303" w14:textId="77777777" w:rsidTr="00263F9E">
        <w:trPr>
          <w:trHeight w:val="185"/>
        </w:trPr>
        <w:tc>
          <w:tcPr>
            <w:tcW w:w="20" w:type="dxa"/>
            <w:tcBorders>
              <w:top w:val="nil"/>
              <w:left w:val="nil"/>
              <w:bottom w:val="nil"/>
              <w:right w:val="nil"/>
            </w:tcBorders>
            <w:vAlign w:val="bottom"/>
          </w:tcPr>
          <w:p w14:paraId="2A7723DC"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37A76CAA"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Restauración forestal por los impactos ambientales</w:t>
            </w:r>
            <w:r w:rsidR="00A66160">
              <w:rPr>
                <w:rFonts w:ascii="Arial" w:hAnsi="Arial" w:cs="Arial"/>
                <w:sz w:val="22"/>
                <w:szCs w:val="22"/>
              </w:rPr>
              <w:t>.</w:t>
            </w:r>
          </w:p>
        </w:tc>
      </w:tr>
      <w:tr w:rsidR="006B7FFC" w:rsidRPr="007923C2" w14:paraId="0465EF87" w14:textId="77777777" w:rsidTr="00263F9E">
        <w:trPr>
          <w:trHeight w:val="182"/>
        </w:trPr>
        <w:tc>
          <w:tcPr>
            <w:tcW w:w="20" w:type="dxa"/>
            <w:tcBorders>
              <w:top w:val="nil"/>
              <w:left w:val="nil"/>
              <w:bottom w:val="nil"/>
              <w:right w:val="nil"/>
            </w:tcBorders>
            <w:vAlign w:val="bottom"/>
          </w:tcPr>
          <w:p w14:paraId="07AEC7FC"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573AC35F" w14:textId="77777777" w:rsidR="006B7FFC" w:rsidRPr="007923C2" w:rsidRDefault="006B7FFC" w:rsidP="009B496C">
            <w:pPr>
              <w:jc w:val="both"/>
              <w:rPr>
                <w:rFonts w:ascii="Arial" w:hAnsi="Arial" w:cs="Arial"/>
                <w:sz w:val="22"/>
                <w:szCs w:val="22"/>
              </w:rPr>
            </w:pPr>
          </w:p>
        </w:tc>
      </w:tr>
      <w:tr w:rsidR="006B7FFC" w:rsidRPr="007923C2" w14:paraId="466C443D" w14:textId="77777777" w:rsidTr="00263F9E">
        <w:trPr>
          <w:trHeight w:val="185"/>
        </w:trPr>
        <w:tc>
          <w:tcPr>
            <w:tcW w:w="20" w:type="dxa"/>
            <w:tcBorders>
              <w:top w:val="nil"/>
              <w:left w:val="nil"/>
              <w:bottom w:val="nil"/>
              <w:right w:val="nil"/>
            </w:tcBorders>
            <w:vAlign w:val="bottom"/>
          </w:tcPr>
          <w:p w14:paraId="55A2C39E"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6037595E"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La competencia laboral más que nada y los bajos salarios en todos los sectores</w:t>
            </w:r>
            <w:r w:rsidR="00A66160">
              <w:rPr>
                <w:rFonts w:ascii="Arial" w:hAnsi="Arial" w:cs="Arial"/>
                <w:sz w:val="22"/>
                <w:szCs w:val="22"/>
              </w:rPr>
              <w:t>.</w:t>
            </w:r>
          </w:p>
        </w:tc>
      </w:tr>
      <w:tr w:rsidR="006B7FFC" w:rsidRPr="007923C2" w14:paraId="63BC1A83" w14:textId="77777777" w:rsidTr="00263F9E">
        <w:trPr>
          <w:trHeight w:val="185"/>
        </w:trPr>
        <w:tc>
          <w:tcPr>
            <w:tcW w:w="20" w:type="dxa"/>
            <w:tcBorders>
              <w:top w:val="nil"/>
              <w:left w:val="nil"/>
              <w:bottom w:val="nil"/>
              <w:right w:val="nil"/>
            </w:tcBorders>
            <w:vAlign w:val="bottom"/>
          </w:tcPr>
          <w:p w14:paraId="4282B0E0"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2AC85D9D"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Que los alumnos pasen por el proceso de certificación ante la SAGARPA para elaborar proyectos</w:t>
            </w:r>
            <w:r w:rsidR="00A66160">
              <w:rPr>
                <w:rFonts w:ascii="Arial" w:hAnsi="Arial" w:cs="Arial"/>
                <w:sz w:val="22"/>
                <w:szCs w:val="22"/>
              </w:rPr>
              <w:t>.</w:t>
            </w:r>
          </w:p>
        </w:tc>
      </w:tr>
      <w:tr w:rsidR="006B7FFC" w:rsidRPr="007923C2" w14:paraId="2914D369" w14:textId="77777777" w:rsidTr="00263F9E">
        <w:trPr>
          <w:trHeight w:val="182"/>
        </w:trPr>
        <w:tc>
          <w:tcPr>
            <w:tcW w:w="20" w:type="dxa"/>
            <w:tcBorders>
              <w:top w:val="nil"/>
              <w:left w:val="nil"/>
              <w:bottom w:val="nil"/>
              <w:right w:val="nil"/>
            </w:tcBorders>
            <w:vAlign w:val="bottom"/>
          </w:tcPr>
          <w:p w14:paraId="4252028F"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5F390229"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Métodos diversos de enlatado para la conservación de la piña y cerveza</w:t>
            </w:r>
            <w:r w:rsidR="00A66160">
              <w:rPr>
                <w:rFonts w:ascii="Arial" w:hAnsi="Arial" w:cs="Arial"/>
                <w:sz w:val="22"/>
                <w:szCs w:val="22"/>
              </w:rPr>
              <w:t>.</w:t>
            </w:r>
          </w:p>
        </w:tc>
      </w:tr>
      <w:tr w:rsidR="006B7FFC" w:rsidRPr="007923C2" w14:paraId="7CFB3F74" w14:textId="77777777" w:rsidTr="00263F9E">
        <w:trPr>
          <w:trHeight w:val="185"/>
        </w:trPr>
        <w:tc>
          <w:tcPr>
            <w:tcW w:w="20" w:type="dxa"/>
            <w:tcBorders>
              <w:top w:val="nil"/>
              <w:left w:val="nil"/>
              <w:bottom w:val="nil"/>
              <w:right w:val="nil"/>
            </w:tcBorders>
            <w:vAlign w:val="bottom"/>
          </w:tcPr>
          <w:p w14:paraId="1EFF27EE"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3DABA58F"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La Agricultura Orgánica</w:t>
            </w:r>
            <w:r w:rsidR="00A66160">
              <w:rPr>
                <w:rFonts w:ascii="Arial" w:hAnsi="Arial" w:cs="Arial"/>
                <w:sz w:val="22"/>
                <w:szCs w:val="22"/>
              </w:rPr>
              <w:t>.</w:t>
            </w:r>
          </w:p>
        </w:tc>
      </w:tr>
      <w:tr w:rsidR="006B7FFC" w:rsidRPr="007923C2" w14:paraId="777BE976" w14:textId="77777777" w:rsidTr="00263F9E">
        <w:trPr>
          <w:trHeight w:val="185"/>
        </w:trPr>
        <w:tc>
          <w:tcPr>
            <w:tcW w:w="20" w:type="dxa"/>
            <w:tcBorders>
              <w:top w:val="nil"/>
              <w:left w:val="nil"/>
              <w:bottom w:val="nil"/>
              <w:right w:val="nil"/>
            </w:tcBorders>
            <w:vAlign w:val="bottom"/>
          </w:tcPr>
          <w:p w14:paraId="4DBE438B"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173215D2"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En el sector ambiental, la sustentabilidad debe mantenerse</w:t>
            </w:r>
            <w:r w:rsidR="00A66160">
              <w:rPr>
                <w:rFonts w:ascii="Arial" w:hAnsi="Arial" w:cs="Arial"/>
                <w:sz w:val="22"/>
                <w:szCs w:val="22"/>
              </w:rPr>
              <w:t>.</w:t>
            </w:r>
          </w:p>
        </w:tc>
      </w:tr>
      <w:tr w:rsidR="006B7FFC" w:rsidRPr="007923C2" w14:paraId="484C38F5" w14:textId="77777777" w:rsidTr="00263F9E">
        <w:trPr>
          <w:trHeight w:val="182"/>
        </w:trPr>
        <w:tc>
          <w:tcPr>
            <w:tcW w:w="20" w:type="dxa"/>
            <w:tcBorders>
              <w:top w:val="nil"/>
              <w:left w:val="nil"/>
              <w:bottom w:val="nil"/>
              <w:right w:val="nil"/>
            </w:tcBorders>
            <w:vAlign w:val="bottom"/>
          </w:tcPr>
          <w:p w14:paraId="67B83B57"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21C972F7"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Tecnificación de sistemas de riego</w:t>
            </w:r>
            <w:r w:rsidR="00A66160">
              <w:rPr>
                <w:rFonts w:ascii="Arial" w:hAnsi="Arial" w:cs="Arial"/>
                <w:sz w:val="22"/>
                <w:szCs w:val="22"/>
              </w:rPr>
              <w:t>.</w:t>
            </w:r>
          </w:p>
        </w:tc>
      </w:tr>
      <w:tr w:rsidR="006B7FFC" w:rsidRPr="007923C2" w14:paraId="29C999EA" w14:textId="77777777" w:rsidTr="00263F9E">
        <w:trPr>
          <w:trHeight w:val="185"/>
        </w:trPr>
        <w:tc>
          <w:tcPr>
            <w:tcW w:w="20" w:type="dxa"/>
            <w:tcBorders>
              <w:top w:val="nil"/>
              <w:left w:val="nil"/>
              <w:bottom w:val="nil"/>
              <w:right w:val="nil"/>
            </w:tcBorders>
            <w:vAlign w:val="bottom"/>
          </w:tcPr>
          <w:p w14:paraId="2F31F6EE"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2ADADFD4" w14:textId="77777777" w:rsidR="006B7FFC" w:rsidRPr="007923C2" w:rsidRDefault="00A66160" w:rsidP="009B496C">
            <w:pPr>
              <w:jc w:val="both"/>
              <w:rPr>
                <w:rFonts w:ascii="Arial" w:hAnsi="Arial" w:cs="Arial"/>
                <w:sz w:val="22"/>
                <w:szCs w:val="22"/>
              </w:rPr>
            </w:pPr>
            <w:r>
              <w:rPr>
                <w:rFonts w:ascii="Arial" w:hAnsi="Arial" w:cs="Arial"/>
                <w:sz w:val="22"/>
                <w:szCs w:val="22"/>
              </w:rPr>
              <w:t>La aplicación de má</w:t>
            </w:r>
            <w:r w:rsidR="006B7FFC" w:rsidRPr="007923C2">
              <w:rPr>
                <w:rFonts w:ascii="Arial" w:hAnsi="Arial" w:cs="Arial"/>
                <w:sz w:val="22"/>
                <w:szCs w:val="22"/>
              </w:rPr>
              <w:t>s tecnología</w:t>
            </w:r>
            <w:r>
              <w:rPr>
                <w:rFonts w:ascii="Arial" w:hAnsi="Arial" w:cs="Arial"/>
                <w:sz w:val="22"/>
                <w:szCs w:val="22"/>
              </w:rPr>
              <w:t>.</w:t>
            </w:r>
          </w:p>
        </w:tc>
      </w:tr>
      <w:tr w:rsidR="006B7FFC" w:rsidRPr="007923C2" w14:paraId="7B784762" w14:textId="77777777" w:rsidTr="00263F9E">
        <w:trPr>
          <w:trHeight w:val="185"/>
        </w:trPr>
        <w:tc>
          <w:tcPr>
            <w:tcW w:w="20" w:type="dxa"/>
            <w:tcBorders>
              <w:top w:val="nil"/>
              <w:left w:val="nil"/>
              <w:bottom w:val="nil"/>
              <w:right w:val="nil"/>
            </w:tcBorders>
            <w:vAlign w:val="bottom"/>
          </w:tcPr>
          <w:p w14:paraId="36226DF1" w14:textId="77777777"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14:paraId="61E07869" w14:textId="77777777" w:rsidR="006B7FFC" w:rsidRPr="007923C2" w:rsidRDefault="006B7FFC" w:rsidP="009B496C">
            <w:pPr>
              <w:jc w:val="both"/>
              <w:rPr>
                <w:rFonts w:ascii="Arial" w:hAnsi="Arial" w:cs="Arial"/>
                <w:sz w:val="22"/>
                <w:szCs w:val="22"/>
              </w:rPr>
            </w:pPr>
            <w:r w:rsidRPr="007923C2">
              <w:rPr>
                <w:rFonts w:ascii="Arial" w:hAnsi="Arial" w:cs="Arial"/>
                <w:sz w:val="22"/>
                <w:szCs w:val="22"/>
              </w:rPr>
              <w:t>Asesoría total de proyectos y créditos para asegurar los cultivos</w:t>
            </w:r>
            <w:r w:rsidR="00A66160">
              <w:rPr>
                <w:rFonts w:ascii="Arial" w:hAnsi="Arial" w:cs="Arial"/>
                <w:sz w:val="22"/>
                <w:szCs w:val="22"/>
              </w:rPr>
              <w:t>.</w:t>
            </w:r>
          </w:p>
        </w:tc>
      </w:tr>
      <w:tr w:rsidR="006B7FFC" w:rsidRPr="007923C2" w14:paraId="38381622" w14:textId="77777777" w:rsidTr="00263F9E">
        <w:trPr>
          <w:trHeight w:val="182"/>
        </w:trPr>
        <w:tc>
          <w:tcPr>
            <w:tcW w:w="20" w:type="dxa"/>
            <w:tcBorders>
              <w:top w:val="nil"/>
              <w:left w:val="nil"/>
              <w:bottom w:val="nil"/>
              <w:right w:val="nil"/>
            </w:tcBorders>
            <w:vAlign w:val="bottom"/>
          </w:tcPr>
          <w:p w14:paraId="50576260" w14:textId="77777777" w:rsidR="006B7FFC" w:rsidRPr="007923C2" w:rsidRDefault="006B7FFC" w:rsidP="00D15A0E">
            <w:pPr>
              <w:jc w:val="both"/>
              <w:rPr>
                <w:rFonts w:ascii="Arial" w:hAnsi="Arial" w:cs="Arial"/>
                <w:sz w:val="22"/>
                <w:szCs w:val="22"/>
              </w:rPr>
            </w:pPr>
          </w:p>
        </w:tc>
        <w:tc>
          <w:tcPr>
            <w:tcW w:w="9820" w:type="dxa"/>
            <w:tcBorders>
              <w:top w:val="nil"/>
              <w:left w:val="nil"/>
              <w:bottom w:val="nil"/>
              <w:right w:val="nil"/>
            </w:tcBorders>
            <w:vAlign w:val="bottom"/>
          </w:tcPr>
          <w:p w14:paraId="4365ECBE" w14:textId="77777777" w:rsidR="006B7FFC" w:rsidRPr="007923C2" w:rsidRDefault="006B7FFC" w:rsidP="00D15A0E">
            <w:pPr>
              <w:jc w:val="both"/>
              <w:rPr>
                <w:rFonts w:ascii="Arial" w:hAnsi="Arial" w:cs="Arial"/>
                <w:sz w:val="22"/>
                <w:szCs w:val="22"/>
              </w:rPr>
            </w:pPr>
            <w:r w:rsidRPr="007923C2">
              <w:rPr>
                <w:rFonts w:ascii="Arial" w:hAnsi="Arial" w:cs="Arial"/>
                <w:sz w:val="22"/>
                <w:szCs w:val="22"/>
              </w:rPr>
              <w:t>La producción de papa, manzana y ganadería y leche en la región de Saltillo y Arteaga</w:t>
            </w:r>
            <w:r w:rsidR="00A66160">
              <w:rPr>
                <w:rFonts w:ascii="Arial" w:hAnsi="Arial" w:cs="Arial"/>
                <w:sz w:val="22"/>
                <w:szCs w:val="22"/>
              </w:rPr>
              <w:t>.</w:t>
            </w:r>
          </w:p>
        </w:tc>
      </w:tr>
    </w:tbl>
    <w:p w14:paraId="5AB5D969" w14:textId="77777777" w:rsidR="006B7FFC" w:rsidRPr="007923C2" w:rsidRDefault="006B7FFC" w:rsidP="00D15A0E">
      <w:pPr>
        <w:widowControl w:val="0"/>
        <w:overflowPunct w:val="0"/>
        <w:autoSpaceDE w:val="0"/>
        <w:autoSpaceDN w:val="0"/>
        <w:adjustRightInd w:val="0"/>
        <w:spacing w:after="0" w:line="237" w:lineRule="auto"/>
        <w:jc w:val="both"/>
        <w:rPr>
          <w:rFonts w:ascii="Arial" w:hAnsi="Arial" w:cs="Arial"/>
          <w:sz w:val="22"/>
          <w:szCs w:val="22"/>
          <w:lang w:val="es-ES"/>
        </w:rPr>
      </w:pPr>
    </w:p>
    <w:p w14:paraId="0D6280CB" w14:textId="77777777" w:rsidR="006B7FFC" w:rsidRPr="007923C2" w:rsidRDefault="006B7FFC" w:rsidP="00D15A0E">
      <w:pPr>
        <w:widowControl w:val="0"/>
        <w:autoSpaceDE w:val="0"/>
        <w:autoSpaceDN w:val="0"/>
        <w:adjustRightInd w:val="0"/>
        <w:spacing w:after="0" w:line="340" w:lineRule="exact"/>
        <w:jc w:val="both"/>
        <w:rPr>
          <w:rFonts w:ascii="Arial" w:hAnsi="Arial" w:cs="Arial"/>
          <w:sz w:val="22"/>
          <w:szCs w:val="22"/>
          <w:lang w:val="es-ES"/>
        </w:rPr>
      </w:pPr>
      <w:r w:rsidRPr="007923C2">
        <w:rPr>
          <w:rFonts w:ascii="Arial" w:hAnsi="Arial" w:cs="Arial"/>
          <w:sz w:val="22"/>
          <w:szCs w:val="22"/>
          <w:lang w:val="es-ES"/>
        </w:rPr>
        <w:t xml:space="preserve">El cuidado del medio ambiente y de los recursos naturales es cada vez más necesario, el crecimiento de la población en las zonas urbanas, con el consiguiente desarrollo industrial y explotación de los recursos naturales para su sostenimiento hacen necesarios profesionistas que estén involucrados en éste tipo de actividades y que participen en la investigación  de nuevos conocimientos que permitan el desarrollo de mas tecnología en pro del medio ambiente. </w:t>
      </w:r>
    </w:p>
    <w:p w14:paraId="16F39196" w14:textId="77777777" w:rsidR="006B7FFC" w:rsidRPr="007923C2" w:rsidRDefault="006B7FFC" w:rsidP="00D15A0E">
      <w:pPr>
        <w:widowControl w:val="0"/>
        <w:overflowPunct w:val="0"/>
        <w:autoSpaceDE w:val="0"/>
        <w:autoSpaceDN w:val="0"/>
        <w:adjustRightInd w:val="0"/>
        <w:spacing w:after="0" w:line="225" w:lineRule="auto"/>
        <w:jc w:val="both"/>
        <w:rPr>
          <w:rFonts w:ascii="Arial" w:hAnsi="Arial" w:cs="Arial"/>
          <w:sz w:val="22"/>
          <w:szCs w:val="22"/>
          <w:lang w:val="es-ES"/>
        </w:rPr>
      </w:pPr>
      <w:r w:rsidRPr="007923C2">
        <w:rPr>
          <w:rFonts w:ascii="Arial" w:hAnsi="Arial" w:cs="Arial"/>
          <w:sz w:val="22"/>
          <w:szCs w:val="22"/>
          <w:lang w:val="es-ES"/>
        </w:rPr>
        <w:t>Ante éstos requerimientos que proclama el país el personal docente de la carrera de Ingeniero en Agrobiología de la UAAAN está comprometido a responder a dichas demandas, es por eso que se hizo necesario hacer una revisión y análisisdel Plan de Estudios actual para determinar su viabilidad, su demanda y específicamente el papel que están desempeñando sus egresados en el ámbito laboral.</w:t>
      </w:r>
    </w:p>
    <w:p w14:paraId="1924F6EB" w14:textId="77777777" w:rsidR="006B7FFC" w:rsidRPr="007923C2" w:rsidRDefault="006B7FFC" w:rsidP="00D15A0E">
      <w:pPr>
        <w:widowControl w:val="0"/>
        <w:autoSpaceDE w:val="0"/>
        <w:autoSpaceDN w:val="0"/>
        <w:adjustRightInd w:val="0"/>
        <w:spacing w:after="0" w:line="52" w:lineRule="exact"/>
        <w:jc w:val="both"/>
        <w:rPr>
          <w:rFonts w:ascii="Arial" w:hAnsi="Arial" w:cs="Arial"/>
          <w:sz w:val="22"/>
          <w:szCs w:val="22"/>
          <w:lang w:val="es-ES"/>
        </w:rPr>
      </w:pPr>
    </w:p>
    <w:p w14:paraId="3A215D87" w14:textId="77777777" w:rsidR="006B7FFC" w:rsidRPr="007923C2" w:rsidRDefault="006B7FFC" w:rsidP="00D15A0E">
      <w:pPr>
        <w:widowControl w:val="0"/>
        <w:overflowPunct w:val="0"/>
        <w:autoSpaceDE w:val="0"/>
        <w:autoSpaceDN w:val="0"/>
        <w:adjustRightInd w:val="0"/>
        <w:spacing w:after="0" w:line="229" w:lineRule="auto"/>
        <w:jc w:val="both"/>
        <w:rPr>
          <w:rFonts w:ascii="Arial" w:hAnsi="Arial" w:cs="Arial"/>
          <w:sz w:val="22"/>
          <w:szCs w:val="22"/>
          <w:lang w:val="es-ES"/>
        </w:rPr>
      </w:pPr>
      <w:r w:rsidRPr="007923C2">
        <w:rPr>
          <w:rFonts w:ascii="Arial" w:hAnsi="Arial" w:cs="Arial"/>
          <w:sz w:val="22"/>
          <w:szCs w:val="22"/>
          <w:lang w:val="es-ES"/>
        </w:rPr>
        <w:t>En base a los resultados del análisis hecho pero sobre todo en un afán de estar inmersos en un programa de Mejora Continua que nos guíe hacia una educación con calidad se realizó la reestructuración del Plan de Estudios del Programa Docente de la carrera IAB.</w:t>
      </w:r>
    </w:p>
    <w:p w14:paraId="2D0DDAD0" w14:textId="77777777" w:rsidR="006B7FFC" w:rsidRPr="007923C2" w:rsidRDefault="006B7FFC" w:rsidP="00D15A0E">
      <w:pPr>
        <w:widowControl w:val="0"/>
        <w:autoSpaceDE w:val="0"/>
        <w:autoSpaceDN w:val="0"/>
        <w:adjustRightInd w:val="0"/>
        <w:spacing w:after="0" w:line="200" w:lineRule="exact"/>
        <w:jc w:val="both"/>
        <w:rPr>
          <w:rFonts w:ascii="Arial" w:hAnsi="Arial" w:cs="Arial"/>
          <w:sz w:val="22"/>
          <w:szCs w:val="22"/>
          <w:lang w:val="es-ES"/>
        </w:rPr>
      </w:pPr>
    </w:p>
    <w:p w14:paraId="07901E14" w14:textId="77777777" w:rsidR="006B7FFC" w:rsidRPr="007923C2" w:rsidRDefault="006B7FFC"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En 1994 en el proyecto de Reforma Académica se dio el espacio para que el Consejo Universitario aprobara los aspectos generales de la carrera y es en 1997 que se da su aprobación y entra en vigor el inicio del Programa Docente de la Carrera de Ingeniero en Agrobiología.</w:t>
      </w:r>
    </w:p>
    <w:p w14:paraId="3EDEA7CD" w14:textId="77777777" w:rsidR="006B7FFC" w:rsidRPr="007923C2" w:rsidRDefault="006B7FFC"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En el año de 2006 el Programa Docente de la carrera IAB se acredita de acuerdo a las especificaciones del COMEA y se presenta un nuevo plan de estudios reestructurado el cual tiene vigencia hasta la actualidad.</w:t>
      </w:r>
    </w:p>
    <w:p w14:paraId="7ED848B3" w14:textId="77777777" w:rsidR="006B7FFC" w:rsidRPr="007923C2" w:rsidRDefault="006B7FFC"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A través del análisis y seguimiento de los egresados con este plan de estudios que cumplirá 10 años, la academia del programa docente de la carrera IAB tomó la decisión de realizar algunas modificaciones al Plan de Estudios de acuerdo a un nuevo Perfil de Egreso.</w:t>
      </w:r>
    </w:p>
    <w:p w14:paraId="4A69E414"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Se propone que el nuevo Plan de Estudios del Programa Docente IAB entre en vigencia en el 2016.</w:t>
      </w:r>
    </w:p>
    <w:p w14:paraId="5B5FA037"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Debido a la versatilidad y amplitud de las actividades que pueden desarrollar los profesionistas de la carrera se pueden ubicar en un amplio margen de tipos de trabajos como son:</w:t>
      </w:r>
    </w:p>
    <w:p w14:paraId="7E924CB9"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Producción en invernaderos</w:t>
      </w:r>
    </w:p>
    <w:p w14:paraId="4D9640E1"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Organizaciones como SAGARPA, INIFAP, BIOCAMPO, CONAFOR, FERSINSA, PROFEPA, </w:t>
      </w:r>
    </w:p>
    <w:p w14:paraId="1843D254"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CIQA, BIORGANIX, PROFAUNA.</w:t>
      </w:r>
    </w:p>
    <w:p w14:paraId="7CE8AB24"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Docencia</w:t>
      </w:r>
    </w:p>
    <w:p w14:paraId="04FA80FD"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Secretarias del medio ambiente.</w:t>
      </w:r>
    </w:p>
    <w:p w14:paraId="19331599"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Productores de café orgánico.</w:t>
      </w:r>
    </w:p>
    <w:p w14:paraId="57D03E16"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Despacho de consultoría ambiental.</w:t>
      </w:r>
    </w:p>
    <w:p w14:paraId="6AEAB1F9"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Despachos de evaluación de impacto ambiental.</w:t>
      </w:r>
    </w:p>
    <w:p w14:paraId="48BA9172" w14:textId="77777777" w:rsidR="009B496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Evaluación de proyectos productivos en la </w:t>
      </w:r>
      <w:r w:rsidR="009B496C" w:rsidRPr="007923C2">
        <w:rPr>
          <w:rFonts w:ascii="Arial" w:hAnsi="Arial" w:cs="Arial"/>
          <w:sz w:val="22"/>
          <w:szCs w:val="22"/>
        </w:rPr>
        <w:t>Agricultura.</w:t>
      </w:r>
    </w:p>
    <w:p w14:paraId="386AA326"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Áreas Naturales Protegidas.</w:t>
      </w:r>
      <w:r w:rsidR="005D5D1C" w:rsidRPr="007923C2">
        <w:rPr>
          <w:rFonts w:ascii="Arial" w:hAnsi="Arial" w:cs="Arial"/>
          <w:sz w:val="22"/>
          <w:szCs w:val="22"/>
        </w:rPr>
        <w:t xml:space="preserve"> , </w:t>
      </w:r>
    </w:p>
    <w:p w14:paraId="6E01AF62"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Asociación de productores de aguacate.</w:t>
      </w:r>
    </w:p>
    <w:p w14:paraId="51B246D9"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Centros de investigación de control biológico.</w:t>
      </w:r>
    </w:p>
    <w:p w14:paraId="3F54E399"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Centros de investigación de fertilizantes orgánicos.</w:t>
      </w:r>
    </w:p>
    <w:p w14:paraId="36AC4C95"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Tratamiento de aguas residuales</w:t>
      </w:r>
    </w:p>
    <w:p w14:paraId="0B02CE78" w14:textId="77777777"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Biorremediación de suelos dañados por la agricultura convencional.</w:t>
      </w:r>
    </w:p>
    <w:p w14:paraId="05B77903" w14:textId="77777777" w:rsidR="00CC611F" w:rsidRPr="007923C2" w:rsidRDefault="00CC611F" w:rsidP="009B496C">
      <w:pPr>
        <w:widowControl w:val="0"/>
        <w:autoSpaceDE w:val="0"/>
        <w:autoSpaceDN w:val="0"/>
        <w:adjustRightInd w:val="0"/>
        <w:rPr>
          <w:rFonts w:ascii="Arial" w:hAnsi="Arial" w:cs="Arial"/>
          <w:b/>
          <w:sz w:val="22"/>
          <w:szCs w:val="22"/>
        </w:rPr>
      </w:pPr>
    </w:p>
    <w:p w14:paraId="6AAA0A08" w14:textId="77777777" w:rsidR="008F69F7" w:rsidRPr="007923C2" w:rsidRDefault="006B7FFC" w:rsidP="00D15A0E">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 xml:space="preserve">5.7.-ORGANIZACIÓN DE PROCESOS Y </w:t>
      </w:r>
      <w:r w:rsidR="009B496C" w:rsidRPr="007923C2">
        <w:rPr>
          <w:rFonts w:ascii="Arial" w:hAnsi="Arial" w:cs="Arial"/>
          <w:b/>
          <w:sz w:val="22"/>
          <w:szCs w:val="22"/>
        </w:rPr>
        <w:t>CONTENIDOS</w:t>
      </w:r>
    </w:p>
    <w:p w14:paraId="184FB99D" w14:textId="77777777" w:rsidR="005D5D1C" w:rsidRPr="007923C2" w:rsidRDefault="009B496C"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La carrera de Ingeniero en Agrobiología considera 3</w:t>
      </w:r>
      <w:r w:rsidR="005D5D1C" w:rsidRPr="007923C2">
        <w:rPr>
          <w:rFonts w:ascii="Arial" w:hAnsi="Arial" w:cs="Arial"/>
          <w:sz w:val="22"/>
          <w:szCs w:val="22"/>
        </w:rPr>
        <w:t xml:space="preserve"> áreas de formación que contienen las asignaturas generales que establecen las bases y los principios del conocimiento para poder entender el conocimiento especializado en el que culminan las áreas de formación.</w:t>
      </w:r>
    </w:p>
    <w:p w14:paraId="4590744E" w14:textId="77777777" w:rsidR="00A52853" w:rsidRPr="007923C2" w:rsidRDefault="005D5D1C"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El sistema matricial en el que está inmerso la carrera las materias obligatorias y optativas de la currícula de la carrera de Ingeniero en Agrobiología, son impartidas por 14 Departamentos  a</w:t>
      </w:r>
      <w:r w:rsidR="00A52853" w:rsidRPr="007923C2">
        <w:rPr>
          <w:rFonts w:ascii="Arial" w:hAnsi="Arial" w:cs="Arial"/>
          <w:sz w:val="22"/>
          <w:szCs w:val="22"/>
        </w:rPr>
        <w:t>ca</w:t>
      </w:r>
      <w:r w:rsidRPr="007923C2">
        <w:rPr>
          <w:rFonts w:ascii="Arial" w:hAnsi="Arial" w:cs="Arial"/>
          <w:sz w:val="22"/>
          <w:szCs w:val="22"/>
        </w:rPr>
        <w:t>démicos, donde el mayor porcentaje corresponden al Departamento de Botánica.</w:t>
      </w:r>
    </w:p>
    <w:p w14:paraId="51CABDFC" w14:textId="77777777" w:rsidR="00A52853" w:rsidRPr="007923C2" w:rsidRDefault="005D5D1C"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tener el mayor </w:t>
      </w:r>
      <w:r w:rsidR="00A52853" w:rsidRPr="007923C2">
        <w:rPr>
          <w:rFonts w:ascii="Arial" w:hAnsi="Arial" w:cs="Arial"/>
          <w:sz w:val="22"/>
          <w:szCs w:val="22"/>
        </w:rPr>
        <w:t xml:space="preserve">porcentaje de materias el  Departamento de Botánica da la    </w:t>
      </w:r>
    </w:p>
    <w:p w14:paraId="69E74ABB" w14:textId="77777777" w:rsidR="00893E82" w:rsidRPr="007923C2" w:rsidRDefault="00A52853"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Oportunidad  de tener una formación más especializada y encaminada al objetivo trazado para la carrera, aunque la participación de otros Departamentos le da la mayor versatilidad y se tiene la oportunidad de que l</w:t>
      </w:r>
      <w:r w:rsidR="0091392E" w:rsidRPr="007923C2">
        <w:rPr>
          <w:rFonts w:ascii="Arial" w:hAnsi="Arial" w:cs="Arial"/>
          <w:sz w:val="22"/>
          <w:szCs w:val="22"/>
        </w:rPr>
        <w:t>a</w:t>
      </w:r>
      <w:r w:rsidRPr="007923C2">
        <w:rPr>
          <w:rFonts w:ascii="Arial" w:hAnsi="Arial" w:cs="Arial"/>
          <w:sz w:val="22"/>
          <w:szCs w:val="22"/>
        </w:rPr>
        <w:t>s experiencias de los profesores que imparten materias de otros departamentos les permitan adquirir con</w:t>
      </w:r>
      <w:r w:rsidR="0091392E" w:rsidRPr="007923C2">
        <w:rPr>
          <w:rFonts w:ascii="Arial" w:hAnsi="Arial" w:cs="Arial"/>
          <w:sz w:val="22"/>
          <w:szCs w:val="22"/>
        </w:rPr>
        <w:t>ocimientos con otros puntos de vista.</w:t>
      </w:r>
    </w:p>
    <w:p w14:paraId="4143D282" w14:textId="77777777" w:rsidR="006E1F28" w:rsidRDefault="006E1F28" w:rsidP="005D5D1C">
      <w:pPr>
        <w:widowControl w:val="0"/>
        <w:autoSpaceDE w:val="0"/>
        <w:autoSpaceDN w:val="0"/>
        <w:adjustRightInd w:val="0"/>
        <w:rPr>
          <w:rFonts w:ascii="Arial" w:hAnsi="Arial" w:cs="Arial"/>
          <w:b/>
          <w:sz w:val="22"/>
          <w:szCs w:val="22"/>
        </w:rPr>
      </w:pPr>
    </w:p>
    <w:p w14:paraId="2A32E544" w14:textId="77777777" w:rsidR="00893E82" w:rsidRPr="007923C2" w:rsidRDefault="00893E82" w:rsidP="005D5D1C">
      <w:pPr>
        <w:widowControl w:val="0"/>
        <w:autoSpaceDE w:val="0"/>
        <w:autoSpaceDN w:val="0"/>
        <w:adjustRightInd w:val="0"/>
        <w:rPr>
          <w:rFonts w:ascii="Arial" w:hAnsi="Arial" w:cs="Arial"/>
          <w:b/>
          <w:sz w:val="22"/>
          <w:szCs w:val="22"/>
        </w:rPr>
      </w:pPr>
      <w:r w:rsidRPr="007923C2">
        <w:rPr>
          <w:rFonts w:ascii="Arial" w:hAnsi="Arial" w:cs="Arial"/>
          <w:b/>
          <w:sz w:val="22"/>
          <w:szCs w:val="22"/>
        </w:rPr>
        <w:t>MATERIAS OBLIGATORIAS Y OPTATIVAS POR ÁREA DE FORMACIÓN DE LA CARRERA DE INGENIERO EN AGROBIOLOGÍA</w:t>
      </w:r>
    </w:p>
    <w:p w14:paraId="424BE927" w14:textId="77777777" w:rsidR="00D465B9" w:rsidRDefault="00893E82" w:rsidP="00D465B9">
      <w:pPr>
        <w:widowControl w:val="0"/>
        <w:tabs>
          <w:tab w:val="left" w:pos="4100"/>
        </w:tabs>
        <w:autoSpaceDE w:val="0"/>
        <w:autoSpaceDN w:val="0"/>
        <w:adjustRightInd w:val="0"/>
        <w:spacing w:after="0" w:line="240" w:lineRule="auto"/>
        <w:rPr>
          <w:rFonts w:ascii="Arial" w:hAnsi="Arial" w:cs="Arial"/>
          <w:sz w:val="22"/>
          <w:szCs w:val="22"/>
          <w:lang w:val="es-ES"/>
        </w:rPr>
      </w:pPr>
      <w:r w:rsidRPr="007923C2">
        <w:rPr>
          <w:rFonts w:ascii="Arial" w:hAnsi="Arial" w:cs="Arial"/>
          <w:sz w:val="22"/>
          <w:szCs w:val="22"/>
          <w:lang w:val="es-ES"/>
        </w:rPr>
        <w:t>ÄREA  DE  FORMACIÓN</w:t>
      </w:r>
      <w:r w:rsidRPr="007923C2">
        <w:rPr>
          <w:rFonts w:ascii="Arial" w:hAnsi="Arial" w:cs="Arial"/>
          <w:sz w:val="22"/>
          <w:szCs w:val="22"/>
          <w:lang w:val="es-ES"/>
        </w:rPr>
        <w:tab/>
        <w:t>ASIGNATURAS</w:t>
      </w:r>
    </w:p>
    <w:p w14:paraId="44BEC0BE" w14:textId="26FF781B" w:rsidR="00893E82" w:rsidRPr="007923C2" w:rsidRDefault="00893E82" w:rsidP="00D465B9">
      <w:pPr>
        <w:widowControl w:val="0"/>
        <w:tabs>
          <w:tab w:val="left" w:pos="4100"/>
        </w:tabs>
        <w:autoSpaceDE w:val="0"/>
        <w:autoSpaceDN w:val="0"/>
        <w:adjustRightInd w:val="0"/>
        <w:spacing w:after="0" w:line="240" w:lineRule="auto"/>
        <w:rPr>
          <w:rFonts w:ascii="Arial" w:hAnsi="Arial" w:cs="Arial"/>
          <w:sz w:val="22"/>
          <w:szCs w:val="22"/>
          <w:lang w:val="es-ES"/>
        </w:rPr>
      </w:pPr>
      <w:r w:rsidRPr="007923C2">
        <w:rPr>
          <w:rFonts w:ascii="Arial" w:hAnsi="Arial" w:cs="Arial"/>
          <w:sz w:val="22"/>
          <w:szCs w:val="22"/>
          <w:lang w:val="es-ES"/>
        </w:rPr>
        <w:t>--------------------------------------------------------------------------------------------------------------</w:t>
      </w:r>
    </w:p>
    <w:p w14:paraId="64F517F5" w14:textId="77777777" w:rsidR="00893E82" w:rsidRPr="007923C2" w:rsidRDefault="00893E82" w:rsidP="002E1961">
      <w:pPr>
        <w:widowControl w:val="0"/>
        <w:autoSpaceDE w:val="0"/>
        <w:autoSpaceDN w:val="0"/>
        <w:adjustRightInd w:val="0"/>
        <w:spacing w:after="0" w:line="240" w:lineRule="auto"/>
        <w:ind w:left="4253" w:hanging="5"/>
        <w:jc w:val="both"/>
        <w:rPr>
          <w:rFonts w:ascii="Arial" w:hAnsi="Arial" w:cs="Arial"/>
          <w:sz w:val="22"/>
          <w:szCs w:val="22"/>
          <w:lang w:val="es-ES"/>
        </w:rPr>
      </w:pPr>
      <w:r w:rsidRPr="007923C2">
        <w:rPr>
          <w:rFonts w:ascii="Arial" w:hAnsi="Arial" w:cs="Arial"/>
          <w:sz w:val="22"/>
          <w:szCs w:val="22"/>
          <w:lang w:val="es-ES"/>
        </w:rPr>
        <w:t>Biología</w:t>
      </w:r>
    </w:p>
    <w:p w14:paraId="29A4F12A" w14:textId="22C25023" w:rsidR="00893E82" w:rsidRPr="007923C2" w:rsidRDefault="00893E82" w:rsidP="002E1961">
      <w:pPr>
        <w:widowControl w:val="0"/>
        <w:autoSpaceDE w:val="0"/>
        <w:autoSpaceDN w:val="0"/>
        <w:adjustRightInd w:val="0"/>
        <w:spacing w:after="0" w:line="239" w:lineRule="auto"/>
        <w:ind w:left="4253" w:hanging="5"/>
        <w:jc w:val="both"/>
        <w:rPr>
          <w:rFonts w:ascii="Arial" w:hAnsi="Arial" w:cs="Arial"/>
          <w:sz w:val="22"/>
          <w:szCs w:val="22"/>
          <w:lang w:val="es-ES"/>
        </w:rPr>
      </w:pPr>
      <w:r w:rsidRPr="007923C2">
        <w:rPr>
          <w:rFonts w:ascii="Arial" w:hAnsi="Arial" w:cs="Arial"/>
          <w:sz w:val="22"/>
          <w:szCs w:val="22"/>
          <w:lang w:val="es-ES"/>
        </w:rPr>
        <w:t xml:space="preserve">Botánica </w:t>
      </w:r>
      <w:r w:rsidR="00651FDC">
        <w:rPr>
          <w:rFonts w:ascii="Arial" w:hAnsi="Arial" w:cs="Arial"/>
          <w:sz w:val="22"/>
          <w:szCs w:val="22"/>
          <w:lang w:val="es-ES"/>
        </w:rPr>
        <w:t>I</w:t>
      </w:r>
    </w:p>
    <w:p w14:paraId="37C4A5F6" w14:textId="77777777" w:rsidR="00893E82" w:rsidRPr="007923C2" w:rsidRDefault="00893E82" w:rsidP="002E1961">
      <w:pPr>
        <w:widowControl w:val="0"/>
        <w:autoSpaceDE w:val="0"/>
        <w:autoSpaceDN w:val="0"/>
        <w:adjustRightInd w:val="0"/>
        <w:spacing w:after="0" w:line="52" w:lineRule="exact"/>
        <w:ind w:left="4253" w:hanging="5"/>
        <w:rPr>
          <w:rFonts w:ascii="Arial" w:hAnsi="Arial" w:cs="Arial"/>
          <w:sz w:val="22"/>
          <w:szCs w:val="22"/>
          <w:lang w:val="es-ES"/>
        </w:rPr>
      </w:pPr>
    </w:p>
    <w:p w14:paraId="0E1F8FB5" w14:textId="77777777" w:rsidR="006024C7" w:rsidRDefault="00893E82" w:rsidP="002E1961">
      <w:pPr>
        <w:widowControl w:val="0"/>
        <w:tabs>
          <w:tab w:val="left" w:pos="5812"/>
        </w:tabs>
        <w:overflowPunct w:val="0"/>
        <w:autoSpaceDE w:val="0"/>
        <w:autoSpaceDN w:val="0"/>
        <w:adjustRightInd w:val="0"/>
        <w:spacing w:after="0" w:line="218" w:lineRule="auto"/>
        <w:ind w:left="4253" w:right="2780" w:hanging="5"/>
        <w:rPr>
          <w:rFonts w:ascii="Arial" w:hAnsi="Arial" w:cs="Arial"/>
          <w:sz w:val="22"/>
          <w:szCs w:val="22"/>
          <w:lang w:val="es-ES"/>
        </w:rPr>
      </w:pPr>
      <w:r w:rsidRPr="007923C2">
        <w:rPr>
          <w:rFonts w:ascii="Arial" w:hAnsi="Arial" w:cs="Arial"/>
          <w:sz w:val="22"/>
          <w:szCs w:val="22"/>
          <w:lang w:val="es-ES"/>
        </w:rPr>
        <w:t xml:space="preserve">Química </w:t>
      </w:r>
    </w:p>
    <w:p w14:paraId="7E267344" w14:textId="77777777" w:rsidR="002E1961" w:rsidRDefault="006024C7" w:rsidP="002E1961">
      <w:pPr>
        <w:widowControl w:val="0"/>
        <w:tabs>
          <w:tab w:val="left" w:pos="5812"/>
        </w:tabs>
        <w:overflowPunct w:val="0"/>
        <w:autoSpaceDE w:val="0"/>
        <w:autoSpaceDN w:val="0"/>
        <w:adjustRightInd w:val="0"/>
        <w:spacing w:after="0" w:line="218" w:lineRule="auto"/>
        <w:ind w:left="4253" w:right="2780" w:hanging="5"/>
        <w:rPr>
          <w:rFonts w:ascii="Arial" w:hAnsi="Arial" w:cs="Arial"/>
          <w:sz w:val="22"/>
          <w:szCs w:val="22"/>
          <w:lang w:val="es-ES"/>
        </w:rPr>
      </w:pPr>
      <w:r>
        <w:rPr>
          <w:rFonts w:ascii="Arial" w:hAnsi="Arial" w:cs="Arial"/>
          <w:sz w:val="22"/>
          <w:szCs w:val="22"/>
          <w:lang w:val="es-ES"/>
        </w:rPr>
        <w:t>Matemáticas</w:t>
      </w:r>
    </w:p>
    <w:p w14:paraId="100C73C3" w14:textId="77777777" w:rsidR="00FD6BA6" w:rsidRDefault="00FD6BA6" w:rsidP="002E1961">
      <w:pPr>
        <w:widowControl w:val="0"/>
        <w:tabs>
          <w:tab w:val="left" w:pos="5812"/>
        </w:tabs>
        <w:overflowPunct w:val="0"/>
        <w:autoSpaceDE w:val="0"/>
        <w:autoSpaceDN w:val="0"/>
        <w:adjustRightInd w:val="0"/>
        <w:spacing w:after="0" w:line="218" w:lineRule="auto"/>
        <w:ind w:left="4253" w:right="2780" w:hanging="5"/>
        <w:rPr>
          <w:rFonts w:ascii="Arial" w:hAnsi="Arial" w:cs="Arial"/>
          <w:sz w:val="22"/>
          <w:szCs w:val="22"/>
          <w:lang w:val="es-ES"/>
        </w:rPr>
      </w:pPr>
    </w:p>
    <w:p w14:paraId="6BD8D537" w14:textId="77BA1850" w:rsidR="00893E82" w:rsidRPr="007923C2" w:rsidRDefault="006024C7" w:rsidP="002E1961">
      <w:pPr>
        <w:widowControl w:val="0"/>
        <w:tabs>
          <w:tab w:val="left" w:pos="5812"/>
        </w:tabs>
        <w:overflowPunct w:val="0"/>
        <w:autoSpaceDE w:val="0"/>
        <w:autoSpaceDN w:val="0"/>
        <w:adjustRightInd w:val="0"/>
        <w:spacing w:after="0" w:line="218" w:lineRule="auto"/>
        <w:ind w:left="4253" w:right="2780" w:hanging="4253"/>
        <w:rPr>
          <w:rFonts w:ascii="Arial" w:hAnsi="Arial" w:cs="Arial"/>
          <w:sz w:val="22"/>
          <w:szCs w:val="22"/>
          <w:lang w:val="es-ES"/>
        </w:rPr>
      </w:pPr>
      <w:r w:rsidRPr="006E1F28">
        <w:rPr>
          <w:rFonts w:ascii="Arial" w:hAnsi="Arial" w:cs="Arial"/>
          <w:b/>
          <w:sz w:val="22"/>
          <w:szCs w:val="22"/>
          <w:lang w:val="es-ES"/>
        </w:rPr>
        <w:t>FORMACIÓN GENERAL</w:t>
      </w:r>
      <w:r w:rsidR="00C92B56" w:rsidRPr="006E1F28">
        <w:rPr>
          <w:rFonts w:ascii="Arial" w:hAnsi="Arial" w:cs="Arial"/>
          <w:b/>
          <w:sz w:val="22"/>
          <w:szCs w:val="22"/>
          <w:lang w:val="es-ES"/>
        </w:rPr>
        <w:t xml:space="preserve"> </w:t>
      </w:r>
      <w:r w:rsidR="00C92B56">
        <w:rPr>
          <w:rFonts w:ascii="Arial" w:hAnsi="Arial" w:cs="Arial"/>
          <w:sz w:val="22"/>
          <w:szCs w:val="22"/>
          <w:lang w:val="es-ES"/>
        </w:rPr>
        <w:t xml:space="preserve">                           </w:t>
      </w:r>
      <w:r w:rsidR="002E1961">
        <w:rPr>
          <w:rFonts w:ascii="Arial" w:hAnsi="Arial" w:cs="Arial"/>
          <w:sz w:val="22"/>
          <w:szCs w:val="22"/>
          <w:lang w:val="es-ES"/>
        </w:rPr>
        <w:tab/>
      </w:r>
      <w:r w:rsidR="00C92B56">
        <w:rPr>
          <w:rFonts w:ascii="Arial" w:hAnsi="Arial" w:cs="Arial"/>
          <w:sz w:val="22"/>
          <w:szCs w:val="22"/>
          <w:lang w:val="es-ES"/>
        </w:rPr>
        <w:t>Administración</w:t>
      </w:r>
    </w:p>
    <w:p w14:paraId="78787D3D" w14:textId="77777777" w:rsidR="008B409C" w:rsidRPr="007923C2" w:rsidRDefault="00C92B56" w:rsidP="002E1961">
      <w:pPr>
        <w:widowControl w:val="0"/>
        <w:tabs>
          <w:tab w:val="left" w:pos="5812"/>
        </w:tabs>
        <w:overflowPunct w:val="0"/>
        <w:autoSpaceDE w:val="0"/>
        <w:autoSpaceDN w:val="0"/>
        <w:adjustRightInd w:val="0"/>
        <w:spacing w:after="0" w:line="225" w:lineRule="auto"/>
        <w:ind w:left="4253" w:right="140" w:hanging="5"/>
        <w:rPr>
          <w:rFonts w:ascii="Arial" w:hAnsi="Arial" w:cs="Arial"/>
          <w:sz w:val="22"/>
          <w:szCs w:val="22"/>
          <w:lang w:val="es-ES"/>
        </w:rPr>
      </w:pPr>
      <w:r>
        <w:rPr>
          <w:rFonts w:ascii="Arial" w:hAnsi="Arial" w:cs="Arial"/>
          <w:sz w:val="22"/>
          <w:szCs w:val="22"/>
          <w:lang w:val="es-ES"/>
        </w:rPr>
        <w:t xml:space="preserve">Comunicación </w:t>
      </w:r>
      <w:r w:rsidR="00893E82" w:rsidRPr="007923C2">
        <w:rPr>
          <w:rFonts w:ascii="Arial" w:hAnsi="Arial" w:cs="Arial"/>
          <w:sz w:val="22"/>
          <w:szCs w:val="22"/>
          <w:lang w:val="es-ES"/>
        </w:rPr>
        <w:t>Oral y Escrita</w:t>
      </w:r>
    </w:p>
    <w:p w14:paraId="41697A7B" w14:textId="77777777" w:rsidR="00893E82" w:rsidRPr="007923C2" w:rsidRDefault="00893E82" w:rsidP="002E1961">
      <w:pPr>
        <w:widowControl w:val="0"/>
        <w:tabs>
          <w:tab w:val="left" w:pos="5812"/>
        </w:tabs>
        <w:overflowPunct w:val="0"/>
        <w:autoSpaceDE w:val="0"/>
        <w:autoSpaceDN w:val="0"/>
        <w:adjustRightInd w:val="0"/>
        <w:spacing w:after="0" w:line="225" w:lineRule="auto"/>
        <w:ind w:left="4253" w:right="140" w:hanging="5"/>
        <w:rPr>
          <w:rFonts w:ascii="Arial" w:hAnsi="Arial" w:cs="Arial"/>
          <w:sz w:val="22"/>
          <w:szCs w:val="22"/>
          <w:lang w:val="es-ES"/>
        </w:rPr>
      </w:pPr>
      <w:r w:rsidRPr="007923C2">
        <w:rPr>
          <w:rFonts w:ascii="Arial" w:hAnsi="Arial" w:cs="Arial"/>
          <w:sz w:val="22"/>
          <w:szCs w:val="22"/>
          <w:lang w:val="es-ES"/>
        </w:rPr>
        <w:t xml:space="preserve">Introducción a las Ciencias del Suelo </w:t>
      </w:r>
    </w:p>
    <w:p w14:paraId="068C9B20" w14:textId="77777777" w:rsidR="00893E82" w:rsidRPr="007923C2" w:rsidRDefault="00893E82" w:rsidP="002E1961">
      <w:pPr>
        <w:widowControl w:val="0"/>
        <w:tabs>
          <w:tab w:val="left" w:pos="5812"/>
        </w:tabs>
        <w:overflowPunct w:val="0"/>
        <w:autoSpaceDE w:val="0"/>
        <w:autoSpaceDN w:val="0"/>
        <w:adjustRightInd w:val="0"/>
        <w:spacing w:after="0" w:line="225" w:lineRule="auto"/>
        <w:ind w:left="4253" w:right="140" w:hanging="5"/>
        <w:rPr>
          <w:rFonts w:ascii="Arial" w:hAnsi="Arial" w:cs="Arial"/>
          <w:sz w:val="22"/>
          <w:szCs w:val="22"/>
          <w:lang w:val="es-ES"/>
        </w:rPr>
      </w:pPr>
      <w:r w:rsidRPr="007923C2">
        <w:rPr>
          <w:rFonts w:ascii="Arial" w:hAnsi="Arial" w:cs="Arial"/>
          <w:sz w:val="22"/>
          <w:szCs w:val="22"/>
          <w:lang w:val="es-ES"/>
        </w:rPr>
        <w:t>Cálculo Diferencial e Integral</w:t>
      </w:r>
    </w:p>
    <w:p w14:paraId="5B27D751" w14:textId="77777777" w:rsidR="00893E82" w:rsidRPr="007923C2" w:rsidRDefault="00893E82" w:rsidP="002E1961">
      <w:pPr>
        <w:widowControl w:val="0"/>
        <w:tabs>
          <w:tab w:val="left" w:pos="5812"/>
        </w:tabs>
        <w:autoSpaceDE w:val="0"/>
        <w:autoSpaceDN w:val="0"/>
        <w:adjustRightInd w:val="0"/>
        <w:spacing w:after="0" w:line="52" w:lineRule="exact"/>
        <w:ind w:left="4253" w:hanging="5"/>
        <w:rPr>
          <w:rFonts w:ascii="Arial" w:hAnsi="Arial" w:cs="Arial"/>
          <w:sz w:val="22"/>
          <w:szCs w:val="22"/>
          <w:lang w:val="es-ES"/>
        </w:rPr>
      </w:pPr>
    </w:p>
    <w:p w14:paraId="227C1D36" w14:textId="1389226A" w:rsidR="00C92B56" w:rsidRDefault="00893E82" w:rsidP="002E1961">
      <w:pPr>
        <w:widowControl w:val="0"/>
        <w:tabs>
          <w:tab w:val="left" w:pos="5812"/>
        </w:tabs>
        <w:overflowPunct w:val="0"/>
        <w:autoSpaceDE w:val="0"/>
        <w:autoSpaceDN w:val="0"/>
        <w:adjustRightInd w:val="0"/>
        <w:spacing w:after="0" w:line="227" w:lineRule="auto"/>
        <w:ind w:left="4253" w:right="3000" w:hanging="5"/>
        <w:rPr>
          <w:rFonts w:ascii="Arial" w:hAnsi="Arial" w:cs="Arial"/>
          <w:sz w:val="22"/>
          <w:szCs w:val="22"/>
          <w:lang w:val="es-ES"/>
        </w:rPr>
      </w:pPr>
      <w:r w:rsidRPr="007923C2">
        <w:rPr>
          <w:rFonts w:ascii="Arial" w:hAnsi="Arial" w:cs="Arial"/>
          <w:sz w:val="22"/>
          <w:szCs w:val="22"/>
          <w:lang w:val="es-ES"/>
        </w:rPr>
        <w:t xml:space="preserve">Agrofísica </w:t>
      </w:r>
      <w:r w:rsidR="00651FDC">
        <w:rPr>
          <w:rFonts w:ascii="Arial" w:hAnsi="Arial" w:cs="Arial"/>
          <w:sz w:val="22"/>
          <w:szCs w:val="22"/>
          <w:lang w:val="es-ES"/>
        </w:rPr>
        <w:t>I</w:t>
      </w:r>
    </w:p>
    <w:p w14:paraId="0E7971D8" w14:textId="0EF9EBDE" w:rsidR="00893E82" w:rsidRPr="007923C2" w:rsidRDefault="00893E82" w:rsidP="002E1961">
      <w:pPr>
        <w:widowControl w:val="0"/>
        <w:tabs>
          <w:tab w:val="left" w:pos="5812"/>
        </w:tabs>
        <w:overflowPunct w:val="0"/>
        <w:autoSpaceDE w:val="0"/>
        <w:autoSpaceDN w:val="0"/>
        <w:adjustRightInd w:val="0"/>
        <w:spacing w:after="0" w:line="227" w:lineRule="auto"/>
        <w:ind w:left="4253" w:right="3000" w:hanging="5"/>
        <w:rPr>
          <w:rFonts w:ascii="Arial" w:hAnsi="Arial" w:cs="Arial"/>
          <w:sz w:val="22"/>
          <w:szCs w:val="22"/>
          <w:lang w:val="es-ES"/>
        </w:rPr>
      </w:pPr>
      <w:r w:rsidRPr="007923C2">
        <w:rPr>
          <w:rFonts w:ascii="Arial" w:hAnsi="Arial" w:cs="Arial"/>
          <w:sz w:val="22"/>
          <w:szCs w:val="22"/>
          <w:lang w:val="es-ES"/>
        </w:rPr>
        <w:t>Zoología</w:t>
      </w:r>
      <w:r w:rsidR="00651FDC">
        <w:rPr>
          <w:rFonts w:ascii="Arial" w:hAnsi="Arial" w:cs="Arial"/>
          <w:sz w:val="22"/>
          <w:szCs w:val="22"/>
          <w:lang w:val="es-ES"/>
        </w:rPr>
        <w:t xml:space="preserve"> General</w:t>
      </w:r>
    </w:p>
    <w:p w14:paraId="64111B0C" w14:textId="77777777" w:rsidR="009669E4" w:rsidRPr="007923C2" w:rsidRDefault="008B409C" w:rsidP="002E1961">
      <w:pPr>
        <w:widowControl w:val="0"/>
        <w:overflowPunct w:val="0"/>
        <w:autoSpaceDE w:val="0"/>
        <w:autoSpaceDN w:val="0"/>
        <w:adjustRightInd w:val="0"/>
        <w:spacing w:after="0" w:line="227" w:lineRule="auto"/>
        <w:ind w:left="4253" w:right="560" w:hanging="5"/>
        <w:rPr>
          <w:rFonts w:ascii="Arial" w:hAnsi="Arial" w:cs="Arial"/>
          <w:sz w:val="22"/>
          <w:szCs w:val="22"/>
          <w:lang w:val="es-ES"/>
        </w:rPr>
      </w:pPr>
      <w:r w:rsidRPr="007923C2">
        <w:rPr>
          <w:rFonts w:ascii="Arial" w:hAnsi="Arial" w:cs="Arial"/>
          <w:sz w:val="22"/>
          <w:szCs w:val="22"/>
          <w:lang w:val="es-ES"/>
        </w:rPr>
        <w:t>Sist</w:t>
      </w:r>
      <w:r w:rsidR="000223A2">
        <w:rPr>
          <w:rFonts w:ascii="Arial" w:hAnsi="Arial" w:cs="Arial"/>
          <w:sz w:val="22"/>
          <w:szCs w:val="22"/>
          <w:lang w:val="es-ES"/>
        </w:rPr>
        <w:t>emasB</w:t>
      </w:r>
      <w:r w:rsidR="00253E5D" w:rsidRPr="007923C2">
        <w:rPr>
          <w:rFonts w:ascii="Arial" w:hAnsi="Arial" w:cs="Arial"/>
          <w:sz w:val="22"/>
          <w:szCs w:val="22"/>
          <w:lang w:val="es-ES"/>
        </w:rPr>
        <w:t>iológicos</w:t>
      </w:r>
    </w:p>
    <w:p w14:paraId="7F47824F" w14:textId="77777777" w:rsidR="00C92B56" w:rsidRDefault="009669E4" w:rsidP="002E1961">
      <w:pPr>
        <w:widowControl w:val="0"/>
        <w:tabs>
          <w:tab w:val="left" w:pos="5812"/>
        </w:tabs>
        <w:overflowPunct w:val="0"/>
        <w:autoSpaceDE w:val="0"/>
        <w:autoSpaceDN w:val="0"/>
        <w:adjustRightInd w:val="0"/>
        <w:spacing w:after="0" w:line="227" w:lineRule="auto"/>
        <w:ind w:left="4253" w:right="3000" w:hanging="5"/>
        <w:jc w:val="both"/>
        <w:rPr>
          <w:rFonts w:ascii="Arial" w:hAnsi="Arial" w:cs="Arial"/>
          <w:sz w:val="22"/>
          <w:szCs w:val="22"/>
          <w:lang w:val="es-ES"/>
        </w:rPr>
      </w:pPr>
      <w:r w:rsidRPr="007923C2">
        <w:rPr>
          <w:rFonts w:ascii="Arial" w:hAnsi="Arial" w:cs="Arial"/>
          <w:sz w:val="22"/>
          <w:szCs w:val="22"/>
          <w:lang w:val="es-ES"/>
        </w:rPr>
        <w:t>Bioquímic</w:t>
      </w:r>
      <w:r w:rsidR="00253E5D" w:rsidRPr="007923C2">
        <w:rPr>
          <w:rFonts w:ascii="Arial" w:hAnsi="Arial" w:cs="Arial"/>
          <w:sz w:val="22"/>
          <w:szCs w:val="22"/>
          <w:lang w:val="es-ES"/>
        </w:rPr>
        <w:t>a</w:t>
      </w:r>
    </w:p>
    <w:p w14:paraId="755F0090" w14:textId="77777777" w:rsidR="008B409C" w:rsidRPr="007923C2" w:rsidRDefault="008B409C" w:rsidP="002E1961">
      <w:pPr>
        <w:widowControl w:val="0"/>
        <w:tabs>
          <w:tab w:val="left" w:pos="5812"/>
        </w:tabs>
        <w:overflowPunct w:val="0"/>
        <w:autoSpaceDE w:val="0"/>
        <w:autoSpaceDN w:val="0"/>
        <w:adjustRightInd w:val="0"/>
        <w:spacing w:after="0" w:line="227" w:lineRule="auto"/>
        <w:ind w:left="4253" w:right="3000" w:hanging="5"/>
        <w:jc w:val="both"/>
        <w:rPr>
          <w:rFonts w:ascii="Arial" w:hAnsi="Arial" w:cs="Arial"/>
          <w:sz w:val="22"/>
          <w:szCs w:val="22"/>
          <w:lang w:val="es-ES"/>
        </w:rPr>
      </w:pPr>
      <w:r w:rsidRPr="007923C2">
        <w:rPr>
          <w:rFonts w:ascii="Arial" w:hAnsi="Arial" w:cs="Arial"/>
          <w:sz w:val="22"/>
          <w:szCs w:val="22"/>
          <w:lang w:val="es-ES"/>
        </w:rPr>
        <w:t>Genética</w:t>
      </w:r>
    </w:p>
    <w:p w14:paraId="58A59BDB" w14:textId="77777777" w:rsidR="008B409C" w:rsidRPr="007923C2" w:rsidRDefault="008B409C" w:rsidP="002E1961">
      <w:pPr>
        <w:widowControl w:val="0"/>
        <w:tabs>
          <w:tab w:val="left" w:pos="5812"/>
        </w:tabs>
        <w:overflowPunct w:val="0"/>
        <w:autoSpaceDE w:val="0"/>
        <w:autoSpaceDN w:val="0"/>
        <w:adjustRightInd w:val="0"/>
        <w:spacing w:after="0" w:line="227" w:lineRule="auto"/>
        <w:ind w:left="4253" w:right="3000" w:hanging="5"/>
        <w:jc w:val="both"/>
        <w:rPr>
          <w:rFonts w:ascii="Arial" w:hAnsi="Arial" w:cs="Arial"/>
          <w:sz w:val="22"/>
          <w:szCs w:val="22"/>
          <w:lang w:val="es-ES"/>
        </w:rPr>
      </w:pPr>
      <w:r w:rsidRPr="007923C2">
        <w:rPr>
          <w:rFonts w:ascii="Arial" w:hAnsi="Arial" w:cs="Arial"/>
          <w:sz w:val="22"/>
          <w:szCs w:val="22"/>
          <w:lang w:val="es-ES"/>
        </w:rPr>
        <w:t>Entomología</w:t>
      </w:r>
    </w:p>
    <w:p w14:paraId="64591106" w14:textId="24DA4F55" w:rsidR="000223A2" w:rsidRDefault="008B409C" w:rsidP="002E1961">
      <w:pPr>
        <w:widowControl w:val="0"/>
        <w:tabs>
          <w:tab w:val="left" w:pos="5812"/>
        </w:tabs>
        <w:overflowPunct w:val="0"/>
        <w:autoSpaceDE w:val="0"/>
        <w:autoSpaceDN w:val="0"/>
        <w:adjustRightInd w:val="0"/>
        <w:spacing w:after="0" w:line="227" w:lineRule="auto"/>
        <w:ind w:left="4253" w:right="3000" w:hanging="5"/>
        <w:jc w:val="both"/>
        <w:rPr>
          <w:rFonts w:ascii="Arial" w:hAnsi="Arial" w:cs="Arial"/>
          <w:sz w:val="22"/>
          <w:szCs w:val="22"/>
          <w:lang w:val="es-ES"/>
        </w:rPr>
      </w:pPr>
      <w:r w:rsidRPr="007923C2">
        <w:rPr>
          <w:rFonts w:ascii="Arial" w:hAnsi="Arial" w:cs="Arial"/>
          <w:sz w:val="22"/>
          <w:szCs w:val="22"/>
          <w:lang w:val="es-ES"/>
        </w:rPr>
        <w:t>Ecología</w:t>
      </w:r>
      <w:r w:rsidR="00651FDC">
        <w:rPr>
          <w:rFonts w:ascii="Arial" w:hAnsi="Arial" w:cs="Arial"/>
          <w:sz w:val="22"/>
          <w:szCs w:val="22"/>
          <w:lang w:val="es-ES"/>
        </w:rPr>
        <w:t xml:space="preserve"> I</w:t>
      </w:r>
    </w:p>
    <w:p w14:paraId="47EF05AC" w14:textId="77777777" w:rsidR="008B409C" w:rsidRPr="007923C2" w:rsidRDefault="008B409C" w:rsidP="002E1961">
      <w:pPr>
        <w:widowControl w:val="0"/>
        <w:tabs>
          <w:tab w:val="left" w:pos="5812"/>
        </w:tabs>
        <w:overflowPunct w:val="0"/>
        <w:autoSpaceDE w:val="0"/>
        <w:autoSpaceDN w:val="0"/>
        <w:adjustRightInd w:val="0"/>
        <w:spacing w:after="0" w:line="227" w:lineRule="auto"/>
        <w:ind w:left="4253" w:right="1127" w:hanging="5"/>
        <w:jc w:val="both"/>
        <w:rPr>
          <w:rFonts w:ascii="Arial" w:hAnsi="Arial" w:cs="Arial"/>
          <w:sz w:val="22"/>
          <w:szCs w:val="22"/>
          <w:lang w:val="es-ES"/>
        </w:rPr>
      </w:pPr>
      <w:r w:rsidRPr="007923C2">
        <w:rPr>
          <w:rFonts w:ascii="Arial" w:hAnsi="Arial" w:cs="Arial"/>
          <w:sz w:val="22"/>
          <w:szCs w:val="22"/>
          <w:lang w:val="es-ES"/>
        </w:rPr>
        <w:t xml:space="preserve">Climatología y </w:t>
      </w:r>
      <w:r w:rsidR="000223A2">
        <w:rPr>
          <w:rFonts w:ascii="Arial" w:hAnsi="Arial" w:cs="Arial"/>
          <w:sz w:val="22"/>
          <w:szCs w:val="22"/>
          <w:lang w:val="es-ES"/>
        </w:rPr>
        <w:t>m</w:t>
      </w:r>
      <w:r w:rsidRPr="007923C2">
        <w:rPr>
          <w:rFonts w:ascii="Arial" w:hAnsi="Arial" w:cs="Arial"/>
          <w:sz w:val="22"/>
          <w:szCs w:val="22"/>
          <w:lang w:val="es-ES"/>
        </w:rPr>
        <w:t>eteorología</w:t>
      </w:r>
    </w:p>
    <w:p w14:paraId="37B95FF1" w14:textId="77777777" w:rsidR="008B409C" w:rsidRPr="007923C2" w:rsidRDefault="008B409C" w:rsidP="002E1961">
      <w:pPr>
        <w:widowControl w:val="0"/>
        <w:tabs>
          <w:tab w:val="left" w:pos="5812"/>
        </w:tabs>
        <w:overflowPunct w:val="0"/>
        <w:autoSpaceDE w:val="0"/>
        <w:autoSpaceDN w:val="0"/>
        <w:adjustRightInd w:val="0"/>
        <w:spacing w:after="0" w:line="227" w:lineRule="auto"/>
        <w:ind w:left="4253" w:right="3000" w:hanging="5"/>
        <w:jc w:val="both"/>
        <w:rPr>
          <w:rFonts w:ascii="Arial" w:hAnsi="Arial" w:cs="Arial"/>
          <w:sz w:val="22"/>
          <w:szCs w:val="22"/>
          <w:lang w:val="es-ES"/>
        </w:rPr>
      </w:pPr>
      <w:r w:rsidRPr="007923C2">
        <w:rPr>
          <w:rFonts w:ascii="Arial" w:hAnsi="Arial" w:cs="Arial"/>
          <w:sz w:val="22"/>
          <w:szCs w:val="22"/>
          <w:lang w:val="es-ES"/>
        </w:rPr>
        <w:t>Bioestadística</w:t>
      </w:r>
    </w:p>
    <w:p w14:paraId="5DA26CD4" w14:textId="77777777" w:rsidR="000223A2" w:rsidRDefault="000223A2" w:rsidP="002E1961">
      <w:pPr>
        <w:widowControl w:val="0"/>
        <w:tabs>
          <w:tab w:val="left" w:pos="5812"/>
        </w:tabs>
        <w:overflowPunct w:val="0"/>
        <w:autoSpaceDE w:val="0"/>
        <w:autoSpaceDN w:val="0"/>
        <w:adjustRightInd w:val="0"/>
        <w:spacing w:after="0" w:line="227" w:lineRule="auto"/>
        <w:ind w:left="4253" w:right="2119" w:hanging="5"/>
        <w:jc w:val="both"/>
        <w:rPr>
          <w:rFonts w:ascii="Arial" w:hAnsi="Arial" w:cs="Arial"/>
          <w:sz w:val="22"/>
          <w:szCs w:val="22"/>
          <w:lang w:val="es-ES"/>
        </w:rPr>
      </w:pPr>
      <w:r>
        <w:rPr>
          <w:rFonts w:ascii="Arial" w:hAnsi="Arial" w:cs="Arial"/>
          <w:sz w:val="22"/>
          <w:szCs w:val="22"/>
          <w:lang w:val="es-ES"/>
        </w:rPr>
        <w:t>F</w:t>
      </w:r>
      <w:r w:rsidR="008B409C" w:rsidRPr="007923C2">
        <w:rPr>
          <w:rFonts w:ascii="Arial" w:hAnsi="Arial" w:cs="Arial"/>
          <w:sz w:val="22"/>
          <w:szCs w:val="22"/>
          <w:lang w:val="es-ES"/>
        </w:rPr>
        <w:t>isiología vegetal</w:t>
      </w:r>
    </w:p>
    <w:p w14:paraId="3B35D769" w14:textId="662245BF" w:rsidR="008B409C" w:rsidRPr="007923C2" w:rsidRDefault="000223A2" w:rsidP="002E1961">
      <w:pPr>
        <w:widowControl w:val="0"/>
        <w:tabs>
          <w:tab w:val="left" w:pos="5812"/>
        </w:tabs>
        <w:overflowPunct w:val="0"/>
        <w:autoSpaceDE w:val="0"/>
        <w:autoSpaceDN w:val="0"/>
        <w:adjustRightInd w:val="0"/>
        <w:spacing w:after="0" w:line="227" w:lineRule="auto"/>
        <w:ind w:left="4253" w:right="2119" w:hanging="5"/>
        <w:jc w:val="both"/>
        <w:rPr>
          <w:rFonts w:ascii="Arial" w:hAnsi="Arial" w:cs="Arial"/>
          <w:sz w:val="22"/>
          <w:szCs w:val="22"/>
          <w:lang w:val="es-ES"/>
        </w:rPr>
      </w:pPr>
      <w:r>
        <w:rPr>
          <w:rFonts w:ascii="Arial" w:hAnsi="Arial" w:cs="Arial"/>
          <w:sz w:val="22"/>
          <w:szCs w:val="22"/>
          <w:lang w:val="es-ES"/>
        </w:rPr>
        <w:t>A</w:t>
      </w:r>
      <w:r w:rsidR="008B409C" w:rsidRPr="007923C2">
        <w:rPr>
          <w:rFonts w:ascii="Arial" w:hAnsi="Arial" w:cs="Arial"/>
          <w:sz w:val="22"/>
          <w:szCs w:val="22"/>
          <w:lang w:val="es-ES"/>
        </w:rPr>
        <w:t>natomía e histología</w:t>
      </w:r>
      <w:r w:rsidR="00651FDC">
        <w:rPr>
          <w:rFonts w:ascii="Arial" w:hAnsi="Arial" w:cs="Arial"/>
          <w:sz w:val="22"/>
          <w:szCs w:val="22"/>
          <w:lang w:val="es-ES"/>
        </w:rPr>
        <w:t xml:space="preserve"> veg.</w:t>
      </w:r>
    </w:p>
    <w:p w14:paraId="1B959B2F" w14:textId="77777777" w:rsidR="008B409C" w:rsidRPr="007923C2" w:rsidRDefault="008B409C" w:rsidP="002E1961">
      <w:pPr>
        <w:widowControl w:val="0"/>
        <w:overflowPunct w:val="0"/>
        <w:autoSpaceDE w:val="0"/>
        <w:autoSpaceDN w:val="0"/>
        <w:adjustRightInd w:val="0"/>
        <w:spacing w:after="0" w:line="227" w:lineRule="auto"/>
        <w:ind w:left="4253" w:right="1269" w:hanging="5"/>
        <w:jc w:val="both"/>
        <w:rPr>
          <w:rFonts w:ascii="Arial" w:hAnsi="Arial" w:cs="Arial"/>
          <w:sz w:val="22"/>
          <w:szCs w:val="22"/>
          <w:lang w:val="es-ES"/>
        </w:rPr>
      </w:pPr>
      <w:r w:rsidRPr="007923C2">
        <w:rPr>
          <w:rFonts w:ascii="Arial" w:hAnsi="Arial" w:cs="Arial"/>
          <w:sz w:val="22"/>
          <w:szCs w:val="22"/>
          <w:lang w:val="es-ES"/>
        </w:rPr>
        <w:t xml:space="preserve">Diseños </w:t>
      </w:r>
      <w:r w:rsidR="000223A2">
        <w:rPr>
          <w:rFonts w:ascii="Arial" w:hAnsi="Arial" w:cs="Arial"/>
          <w:sz w:val="22"/>
          <w:szCs w:val="22"/>
          <w:lang w:val="es-ES"/>
        </w:rPr>
        <w:t>E</w:t>
      </w:r>
      <w:r w:rsidRPr="007923C2">
        <w:rPr>
          <w:rFonts w:ascii="Arial" w:hAnsi="Arial" w:cs="Arial"/>
          <w:sz w:val="22"/>
          <w:szCs w:val="22"/>
          <w:lang w:val="es-ES"/>
        </w:rPr>
        <w:t>xperimentales</w:t>
      </w:r>
      <w:r w:rsidR="00B1754A" w:rsidRPr="007923C2">
        <w:rPr>
          <w:rFonts w:ascii="Arial" w:hAnsi="Arial" w:cs="Arial"/>
          <w:sz w:val="22"/>
          <w:szCs w:val="22"/>
          <w:lang w:val="es-ES"/>
        </w:rPr>
        <w:t>.</w:t>
      </w:r>
    </w:p>
    <w:p w14:paraId="556F0ADA" w14:textId="77777777" w:rsidR="00B1754A" w:rsidRPr="007923C2" w:rsidRDefault="00B1754A" w:rsidP="002E1961">
      <w:pPr>
        <w:widowControl w:val="0"/>
        <w:overflowPunct w:val="0"/>
        <w:autoSpaceDE w:val="0"/>
        <w:autoSpaceDN w:val="0"/>
        <w:adjustRightInd w:val="0"/>
        <w:spacing w:after="0" w:line="227" w:lineRule="auto"/>
        <w:ind w:left="4253" w:right="1127" w:hanging="5"/>
        <w:jc w:val="both"/>
        <w:rPr>
          <w:rFonts w:ascii="Arial" w:hAnsi="Arial" w:cs="Arial"/>
          <w:sz w:val="22"/>
          <w:szCs w:val="22"/>
          <w:lang w:val="es-ES"/>
        </w:rPr>
      </w:pPr>
      <w:r w:rsidRPr="007923C2">
        <w:rPr>
          <w:rFonts w:ascii="Arial" w:hAnsi="Arial" w:cs="Arial"/>
          <w:sz w:val="22"/>
          <w:szCs w:val="22"/>
          <w:lang w:val="es-ES"/>
        </w:rPr>
        <w:t>Formulación  de proyectos.</w:t>
      </w:r>
    </w:p>
    <w:p w14:paraId="2000308D" w14:textId="4BDA905F" w:rsidR="00B1754A" w:rsidRPr="007923C2" w:rsidRDefault="00B1754A" w:rsidP="002E1961">
      <w:pPr>
        <w:widowControl w:val="0"/>
        <w:overflowPunct w:val="0"/>
        <w:autoSpaceDE w:val="0"/>
        <w:autoSpaceDN w:val="0"/>
        <w:adjustRightInd w:val="0"/>
        <w:spacing w:after="0" w:line="227" w:lineRule="auto"/>
        <w:ind w:left="4253" w:right="1552" w:hanging="5"/>
        <w:jc w:val="both"/>
        <w:rPr>
          <w:rFonts w:ascii="Arial" w:hAnsi="Arial" w:cs="Arial"/>
          <w:sz w:val="22"/>
          <w:szCs w:val="22"/>
          <w:lang w:val="es-ES"/>
        </w:rPr>
      </w:pPr>
      <w:r w:rsidRPr="007923C2">
        <w:rPr>
          <w:rFonts w:ascii="Arial" w:hAnsi="Arial" w:cs="Arial"/>
          <w:sz w:val="22"/>
          <w:szCs w:val="22"/>
          <w:lang w:val="es-ES"/>
        </w:rPr>
        <w:t>Ingles</w:t>
      </w:r>
      <w:r w:rsidR="00651FDC">
        <w:rPr>
          <w:rFonts w:ascii="Arial" w:hAnsi="Arial" w:cs="Arial"/>
          <w:sz w:val="22"/>
          <w:szCs w:val="22"/>
          <w:lang w:val="es-ES"/>
        </w:rPr>
        <w:t xml:space="preserve"> I, II</w:t>
      </w:r>
    </w:p>
    <w:p w14:paraId="42536584" w14:textId="524BD172" w:rsidR="00B1754A" w:rsidRPr="007923C2" w:rsidRDefault="00B1754A" w:rsidP="002E1961">
      <w:pPr>
        <w:widowControl w:val="0"/>
        <w:overflowPunct w:val="0"/>
        <w:autoSpaceDE w:val="0"/>
        <w:autoSpaceDN w:val="0"/>
        <w:adjustRightInd w:val="0"/>
        <w:spacing w:after="0" w:line="227" w:lineRule="auto"/>
        <w:ind w:left="4253" w:right="1552" w:hanging="5"/>
        <w:jc w:val="both"/>
        <w:rPr>
          <w:rFonts w:ascii="Arial" w:hAnsi="Arial" w:cs="Arial"/>
          <w:sz w:val="22"/>
          <w:szCs w:val="22"/>
          <w:lang w:val="es-ES"/>
        </w:rPr>
      </w:pPr>
      <w:r w:rsidRPr="007923C2">
        <w:rPr>
          <w:rFonts w:ascii="Arial" w:hAnsi="Arial" w:cs="Arial"/>
          <w:sz w:val="22"/>
          <w:szCs w:val="22"/>
          <w:lang w:val="es-ES"/>
        </w:rPr>
        <w:t xml:space="preserve">Taller de </w:t>
      </w:r>
      <w:r w:rsidR="000223A2">
        <w:rPr>
          <w:rFonts w:ascii="Arial" w:hAnsi="Arial" w:cs="Arial"/>
          <w:sz w:val="22"/>
          <w:szCs w:val="22"/>
          <w:lang w:val="es-ES"/>
        </w:rPr>
        <w:t xml:space="preserve"> I</w:t>
      </w:r>
      <w:r w:rsidRPr="007923C2">
        <w:rPr>
          <w:rFonts w:ascii="Arial" w:hAnsi="Arial" w:cs="Arial"/>
          <w:sz w:val="22"/>
          <w:szCs w:val="22"/>
          <w:lang w:val="es-ES"/>
        </w:rPr>
        <w:t>nvestigación</w:t>
      </w:r>
      <w:r w:rsidR="00651FDC">
        <w:rPr>
          <w:rFonts w:ascii="Arial" w:hAnsi="Arial" w:cs="Arial"/>
          <w:sz w:val="22"/>
          <w:szCs w:val="22"/>
          <w:lang w:val="es-ES"/>
        </w:rPr>
        <w:t xml:space="preserve"> I</w:t>
      </w:r>
    </w:p>
    <w:p w14:paraId="1097DAB7" w14:textId="77777777" w:rsidR="002E1961" w:rsidRDefault="002E1961" w:rsidP="002E1961">
      <w:pPr>
        <w:widowControl w:val="0"/>
        <w:overflowPunct w:val="0"/>
        <w:autoSpaceDE w:val="0"/>
        <w:autoSpaceDN w:val="0"/>
        <w:adjustRightInd w:val="0"/>
        <w:spacing w:after="0" w:line="227" w:lineRule="auto"/>
        <w:ind w:left="4253" w:right="2261" w:hanging="5"/>
        <w:jc w:val="both"/>
        <w:rPr>
          <w:rFonts w:ascii="Arial" w:hAnsi="Arial" w:cs="Arial"/>
          <w:sz w:val="22"/>
          <w:szCs w:val="22"/>
          <w:lang w:val="es-ES"/>
        </w:rPr>
      </w:pPr>
    </w:p>
    <w:p w14:paraId="4FF3D087" w14:textId="1FB96279" w:rsidR="00426747" w:rsidRPr="007923C2" w:rsidRDefault="002E1961" w:rsidP="002E1961">
      <w:pPr>
        <w:widowControl w:val="0"/>
        <w:overflowPunct w:val="0"/>
        <w:autoSpaceDE w:val="0"/>
        <w:autoSpaceDN w:val="0"/>
        <w:adjustRightInd w:val="0"/>
        <w:spacing w:after="0" w:line="227" w:lineRule="auto"/>
        <w:ind w:left="4253" w:right="2261" w:hanging="4253"/>
        <w:jc w:val="both"/>
        <w:rPr>
          <w:rFonts w:ascii="Arial" w:hAnsi="Arial" w:cs="Arial"/>
          <w:sz w:val="22"/>
          <w:szCs w:val="22"/>
          <w:lang w:val="es-ES"/>
        </w:rPr>
      </w:pPr>
      <w:r w:rsidRPr="006E1F28">
        <w:rPr>
          <w:rFonts w:ascii="Arial" w:hAnsi="Arial" w:cs="Arial"/>
          <w:b/>
          <w:sz w:val="22"/>
          <w:szCs w:val="22"/>
          <w:lang w:val="es-ES"/>
        </w:rPr>
        <w:t>AGRICULTURA ALTERNATIVA</w:t>
      </w:r>
      <w:r>
        <w:rPr>
          <w:rFonts w:ascii="Arial" w:hAnsi="Arial" w:cs="Arial"/>
          <w:sz w:val="22"/>
          <w:szCs w:val="22"/>
          <w:lang w:val="es-ES"/>
        </w:rPr>
        <w:t xml:space="preserve">      </w:t>
      </w:r>
      <w:r>
        <w:rPr>
          <w:rFonts w:ascii="Arial" w:hAnsi="Arial" w:cs="Arial"/>
          <w:sz w:val="22"/>
          <w:szCs w:val="22"/>
          <w:lang w:val="es-ES"/>
        </w:rPr>
        <w:tab/>
      </w:r>
      <w:r w:rsidR="00426747" w:rsidRPr="007923C2">
        <w:rPr>
          <w:rFonts w:ascii="Arial" w:hAnsi="Arial" w:cs="Arial"/>
          <w:sz w:val="22"/>
          <w:szCs w:val="22"/>
          <w:lang w:val="es-ES"/>
        </w:rPr>
        <w:t>Agroecología</w:t>
      </w:r>
    </w:p>
    <w:p w14:paraId="5793A3E8" w14:textId="77777777" w:rsidR="00426747" w:rsidRPr="007923C2" w:rsidRDefault="00426747" w:rsidP="002E1961">
      <w:pPr>
        <w:widowControl w:val="0"/>
        <w:overflowPunct w:val="0"/>
        <w:autoSpaceDE w:val="0"/>
        <w:autoSpaceDN w:val="0"/>
        <w:adjustRightInd w:val="0"/>
        <w:spacing w:after="0" w:line="227" w:lineRule="auto"/>
        <w:ind w:left="4253" w:right="2261" w:hanging="5"/>
        <w:jc w:val="both"/>
        <w:rPr>
          <w:rFonts w:ascii="Arial" w:hAnsi="Arial" w:cs="Arial"/>
          <w:sz w:val="22"/>
          <w:szCs w:val="22"/>
          <w:lang w:val="es-ES"/>
        </w:rPr>
      </w:pPr>
      <w:r w:rsidRPr="007923C2">
        <w:rPr>
          <w:rFonts w:ascii="Arial" w:hAnsi="Arial" w:cs="Arial"/>
          <w:sz w:val="22"/>
          <w:szCs w:val="22"/>
          <w:lang w:val="es-ES"/>
        </w:rPr>
        <w:t>Bioagricultura</w:t>
      </w:r>
    </w:p>
    <w:p w14:paraId="5603E574" w14:textId="2FC0F2F6" w:rsidR="00426747" w:rsidRPr="007923C2" w:rsidRDefault="000223A2" w:rsidP="002E1961">
      <w:pPr>
        <w:widowControl w:val="0"/>
        <w:overflowPunct w:val="0"/>
        <w:autoSpaceDE w:val="0"/>
        <w:autoSpaceDN w:val="0"/>
        <w:adjustRightInd w:val="0"/>
        <w:spacing w:after="0" w:line="227" w:lineRule="auto"/>
        <w:ind w:left="4253" w:right="135" w:hanging="4111"/>
        <w:jc w:val="both"/>
        <w:rPr>
          <w:rFonts w:ascii="Arial" w:hAnsi="Arial" w:cs="Arial"/>
          <w:sz w:val="22"/>
          <w:szCs w:val="22"/>
          <w:lang w:val="es-ES"/>
        </w:rPr>
      </w:pPr>
      <w:r>
        <w:rPr>
          <w:rFonts w:ascii="Arial" w:hAnsi="Arial" w:cs="Arial"/>
          <w:sz w:val="22"/>
          <w:szCs w:val="22"/>
          <w:lang w:val="es-ES"/>
        </w:rPr>
        <w:tab/>
      </w:r>
      <w:r w:rsidR="00426747" w:rsidRPr="007923C2">
        <w:rPr>
          <w:rFonts w:ascii="Arial" w:hAnsi="Arial" w:cs="Arial"/>
          <w:sz w:val="22"/>
          <w:szCs w:val="22"/>
          <w:lang w:val="es-ES"/>
        </w:rPr>
        <w:t>Fertilidad y Fertilización delSuelo.</w:t>
      </w:r>
    </w:p>
    <w:p w14:paraId="6E867BBD" w14:textId="77777777" w:rsidR="00426747" w:rsidRPr="007923C2" w:rsidRDefault="00426747" w:rsidP="002E1961">
      <w:pPr>
        <w:widowControl w:val="0"/>
        <w:overflowPunct w:val="0"/>
        <w:autoSpaceDE w:val="0"/>
        <w:autoSpaceDN w:val="0"/>
        <w:adjustRightInd w:val="0"/>
        <w:spacing w:after="0" w:line="227" w:lineRule="auto"/>
        <w:ind w:left="4253" w:right="-7" w:hanging="5"/>
        <w:jc w:val="both"/>
        <w:rPr>
          <w:rFonts w:ascii="Arial" w:hAnsi="Arial" w:cs="Arial"/>
          <w:sz w:val="22"/>
          <w:szCs w:val="22"/>
          <w:lang w:val="es-ES"/>
        </w:rPr>
      </w:pPr>
      <w:r w:rsidRPr="007923C2">
        <w:rPr>
          <w:rFonts w:ascii="Arial" w:hAnsi="Arial" w:cs="Arial"/>
          <w:sz w:val="22"/>
          <w:szCs w:val="22"/>
          <w:lang w:val="es-ES"/>
        </w:rPr>
        <w:t>Manejo agroecológico del agua.</w:t>
      </w:r>
    </w:p>
    <w:p w14:paraId="3845F161" w14:textId="41AEEF5C" w:rsidR="00426747" w:rsidRPr="007923C2" w:rsidRDefault="00426747" w:rsidP="002E1961">
      <w:pPr>
        <w:widowControl w:val="0"/>
        <w:overflowPunct w:val="0"/>
        <w:autoSpaceDE w:val="0"/>
        <w:autoSpaceDN w:val="0"/>
        <w:adjustRightInd w:val="0"/>
        <w:spacing w:after="0" w:line="227" w:lineRule="auto"/>
        <w:ind w:left="4253" w:right="-7" w:hanging="5"/>
        <w:jc w:val="both"/>
        <w:rPr>
          <w:rFonts w:ascii="Arial" w:hAnsi="Arial" w:cs="Arial"/>
          <w:sz w:val="22"/>
          <w:szCs w:val="22"/>
          <w:lang w:val="es-ES"/>
        </w:rPr>
      </w:pPr>
      <w:r w:rsidRPr="007923C2">
        <w:rPr>
          <w:rFonts w:ascii="Arial" w:hAnsi="Arial" w:cs="Arial"/>
          <w:sz w:val="22"/>
          <w:szCs w:val="22"/>
          <w:lang w:val="es-ES"/>
        </w:rPr>
        <w:t>Manejo integrado</w:t>
      </w:r>
      <w:r w:rsidR="00651FDC">
        <w:rPr>
          <w:rFonts w:ascii="Arial" w:hAnsi="Arial" w:cs="Arial"/>
          <w:sz w:val="22"/>
          <w:szCs w:val="22"/>
          <w:lang w:val="es-ES"/>
        </w:rPr>
        <w:t xml:space="preserve"> </w:t>
      </w:r>
      <w:r w:rsidRPr="007923C2">
        <w:rPr>
          <w:rFonts w:ascii="Arial" w:hAnsi="Arial" w:cs="Arial"/>
          <w:sz w:val="22"/>
          <w:szCs w:val="22"/>
          <w:lang w:val="es-ES"/>
        </w:rPr>
        <w:t>de plagas.</w:t>
      </w:r>
    </w:p>
    <w:p w14:paraId="6E49E97B" w14:textId="77777777" w:rsidR="00426747" w:rsidRDefault="00426747" w:rsidP="002E1961">
      <w:pPr>
        <w:widowControl w:val="0"/>
        <w:overflowPunct w:val="0"/>
        <w:autoSpaceDE w:val="0"/>
        <w:autoSpaceDN w:val="0"/>
        <w:adjustRightInd w:val="0"/>
        <w:spacing w:after="0" w:line="227" w:lineRule="auto"/>
        <w:ind w:left="4253" w:right="-7" w:hanging="5"/>
        <w:jc w:val="both"/>
        <w:rPr>
          <w:rFonts w:ascii="Arial" w:hAnsi="Arial" w:cs="Arial"/>
          <w:sz w:val="22"/>
          <w:szCs w:val="22"/>
          <w:lang w:val="es-ES"/>
        </w:rPr>
      </w:pPr>
      <w:r w:rsidRPr="007923C2">
        <w:rPr>
          <w:rFonts w:ascii="Arial" w:hAnsi="Arial" w:cs="Arial"/>
          <w:sz w:val="22"/>
          <w:szCs w:val="22"/>
          <w:lang w:val="es-ES"/>
        </w:rPr>
        <w:t>Agricultura sustentable e inocuidad.</w:t>
      </w:r>
    </w:p>
    <w:p w14:paraId="248F0C52" w14:textId="6E0D558C" w:rsidR="00C92B56" w:rsidRPr="007923C2" w:rsidRDefault="00C92B56" w:rsidP="002E1961">
      <w:pPr>
        <w:widowControl w:val="0"/>
        <w:overflowPunct w:val="0"/>
        <w:autoSpaceDE w:val="0"/>
        <w:autoSpaceDN w:val="0"/>
        <w:adjustRightInd w:val="0"/>
        <w:spacing w:after="0" w:line="227" w:lineRule="auto"/>
        <w:ind w:left="3540" w:right="-7" w:firstLine="708"/>
        <w:jc w:val="both"/>
        <w:rPr>
          <w:rFonts w:ascii="Arial" w:hAnsi="Arial" w:cs="Arial"/>
          <w:sz w:val="22"/>
          <w:szCs w:val="22"/>
          <w:lang w:val="es-ES"/>
        </w:rPr>
      </w:pPr>
      <w:r>
        <w:rPr>
          <w:rFonts w:ascii="Arial" w:hAnsi="Arial" w:cs="Arial"/>
          <w:sz w:val="22"/>
          <w:szCs w:val="22"/>
          <w:lang w:val="es-ES"/>
        </w:rPr>
        <w:t>Manejo agroecológico del suelo</w:t>
      </w:r>
    </w:p>
    <w:p w14:paraId="1ED86A5A" w14:textId="77777777" w:rsidR="00426747" w:rsidRPr="000223A2" w:rsidRDefault="00426747" w:rsidP="002E1961">
      <w:pPr>
        <w:widowControl w:val="0"/>
        <w:overflowPunct w:val="0"/>
        <w:autoSpaceDE w:val="0"/>
        <w:autoSpaceDN w:val="0"/>
        <w:adjustRightInd w:val="0"/>
        <w:spacing w:after="0" w:line="227" w:lineRule="auto"/>
        <w:ind w:left="4253" w:right="-7" w:hanging="5"/>
        <w:jc w:val="both"/>
        <w:rPr>
          <w:rFonts w:ascii="Arial" w:hAnsi="Arial" w:cs="Arial"/>
          <w:b/>
          <w:sz w:val="22"/>
          <w:szCs w:val="22"/>
          <w:lang w:val="es-ES"/>
        </w:rPr>
      </w:pPr>
      <w:r w:rsidRPr="000223A2">
        <w:rPr>
          <w:rFonts w:ascii="Arial" w:hAnsi="Arial" w:cs="Arial"/>
          <w:b/>
          <w:sz w:val="22"/>
          <w:szCs w:val="22"/>
          <w:lang w:val="es-ES"/>
        </w:rPr>
        <w:t>OPTATIVAS</w:t>
      </w:r>
    </w:p>
    <w:p w14:paraId="6F74B9E3" w14:textId="48C1C6F2" w:rsidR="00426747" w:rsidRPr="007923C2" w:rsidRDefault="00FD6BA6" w:rsidP="00FD6BA6">
      <w:pPr>
        <w:widowControl w:val="0"/>
        <w:overflowPunct w:val="0"/>
        <w:autoSpaceDE w:val="0"/>
        <w:autoSpaceDN w:val="0"/>
        <w:adjustRightInd w:val="0"/>
        <w:spacing w:after="0" w:line="227" w:lineRule="auto"/>
        <w:ind w:left="4253" w:right="-7"/>
        <w:jc w:val="both"/>
        <w:rPr>
          <w:rFonts w:ascii="Arial" w:hAnsi="Arial" w:cs="Arial"/>
          <w:sz w:val="22"/>
          <w:szCs w:val="22"/>
          <w:lang w:val="es-ES"/>
        </w:rPr>
      </w:pPr>
      <w:r>
        <w:rPr>
          <w:rFonts w:ascii="Arial" w:hAnsi="Arial" w:cs="Arial"/>
          <w:sz w:val="22"/>
          <w:szCs w:val="22"/>
          <w:lang w:val="es-ES"/>
        </w:rPr>
        <w:t xml:space="preserve">  </w:t>
      </w:r>
      <w:r w:rsidR="00E55BCB">
        <w:rPr>
          <w:rFonts w:ascii="Arial" w:hAnsi="Arial" w:cs="Arial"/>
          <w:sz w:val="22"/>
          <w:szCs w:val="22"/>
          <w:lang w:val="es-ES"/>
        </w:rPr>
        <w:t>Agricultura Biointensiva S</w:t>
      </w:r>
      <w:r w:rsidR="00426747" w:rsidRPr="007923C2">
        <w:rPr>
          <w:rFonts w:ascii="Arial" w:hAnsi="Arial" w:cs="Arial"/>
          <w:sz w:val="22"/>
          <w:szCs w:val="22"/>
          <w:lang w:val="es-ES"/>
        </w:rPr>
        <w:t>ostenible.</w:t>
      </w:r>
    </w:p>
    <w:p w14:paraId="6C0C2655" w14:textId="77777777" w:rsidR="00426747" w:rsidRPr="007923C2" w:rsidRDefault="00426747" w:rsidP="00E55BCB">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Agrostología</w:t>
      </w:r>
    </w:p>
    <w:p w14:paraId="2927883C" w14:textId="77777777" w:rsidR="00426747" w:rsidRPr="007923C2" w:rsidRDefault="00426747" w:rsidP="00E55BCB">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Ecología de plagas y enfermedades.</w:t>
      </w:r>
    </w:p>
    <w:p w14:paraId="6CA23B4A" w14:textId="77777777" w:rsidR="00426747" w:rsidRPr="007923C2" w:rsidRDefault="00426747" w:rsidP="00E55BCB">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 xml:space="preserve">Plantas </w:t>
      </w:r>
      <w:r w:rsidR="00E55BCB">
        <w:rPr>
          <w:rFonts w:ascii="Arial" w:hAnsi="Arial" w:cs="Arial"/>
          <w:sz w:val="22"/>
          <w:szCs w:val="22"/>
          <w:lang w:val="es-ES"/>
        </w:rPr>
        <w:t>M</w:t>
      </w:r>
      <w:r w:rsidRPr="007923C2">
        <w:rPr>
          <w:rFonts w:ascii="Arial" w:hAnsi="Arial" w:cs="Arial"/>
          <w:sz w:val="22"/>
          <w:szCs w:val="22"/>
          <w:lang w:val="es-ES"/>
        </w:rPr>
        <w:t xml:space="preserve">edicinales y </w:t>
      </w:r>
      <w:r w:rsidR="00E55BCB">
        <w:rPr>
          <w:rFonts w:ascii="Arial" w:hAnsi="Arial" w:cs="Arial"/>
          <w:sz w:val="22"/>
          <w:szCs w:val="22"/>
          <w:lang w:val="es-ES"/>
        </w:rPr>
        <w:t>A</w:t>
      </w:r>
      <w:r w:rsidRPr="007923C2">
        <w:rPr>
          <w:rFonts w:ascii="Arial" w:hAnsi="Arial" w:cs="Arial"/>
          <w:sz w:val="22"/>
          <w:szCs w:val="22"/>
          <w:lang w:val="es-ES"/>
        </w:rPr>
        <w:t>romáticas.</w:t>
      </w:r>
    </w:p>
    <w:p w14:paraId="26C96964" w14:textId="77777777" w:rsidR="00426747" w:rsidRPr="007923C2" w:rsidRDefault="00426747"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 xml:space="preserve">Recursos </w:t>
      </w:r>
      <w:r w:rsidR="00E55BCB">
        <w:rPr>
          <w:rFonts w:ascii="Arial" w:hAnsi="Arial" w:cs="Arial"/>
          <w:sz w:val="22"/>
          <w:szCs w:val="22"/>
          <w:lang w:val="es-ES"/>
        </w:rPr>
        <w:t>G</w:t>
      </w:r>
      <w:r w:rsidRPr="007923C2">
        <w:rPr>
          <w:rFonts w:ascii="Arial" w:hAnsi="Arial" w:cs="Arial"/>
          <w:sz w:val="22"/>
          <w:szCs w:val="22"/>
          <w:lang w:val="es-ES"/>
        </w:rPr>
        <w:t>enéticos.</w:t>
      </w:r>
    </w:p>
    <w:p w14:paraId="17DCDD33" w14:textId="77777777" w:rsidR="00426747" w:rsidRPr="007923C2" w:rsidRDefault="00426747" w:rsidP="000223A2">
      <w:pPr>
        <w:widowControl w:val="0"/>
        <w:tabs>
          <w:tab w:val="left" w:pos="5640"/>
        </w:tabs>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Sistemas</w:t>
      </w:r>
      <w:r w:rsidR="00D63DB6" w:rsidRPr="007923C2">
        <w:rPr>
          <w:rFonts w:ascii="Arial" w:hAnsi="Arial" w:cs="Arial"/>
          <w:sz w:val="22"/>
          <w:szCs w:val="22"/>
          <w:lang w:val="es-ES"/>
        </w:rPr>
        <w:t xml:space="preserve">y </w:t>
      </w:r>
      <w:r w:rsidRPr="007923C2">
        <w:rPr>
          <w:rFonts w:ascii="Arial" w:hAnsi="Arial" w:cs="Arial"/>
          <w:sz w:val="22"/>
          <w:szCs w:val="22"/>
          <w:lang w:val="es-ES"/>
        </w:rPr>
        <w:t>tradicionales de producción.</w:t>
      </w:r>
    </w:p>
    <w:p w14:paraId="0F1EA607" w14:textId="77777777" w:rsidR="00426747" w:rsidRPr="007923C2" w:rsidRDefault="00426747" w:rsidP="000223A2">
      <w:pPr>
        <w:widowControl w:val="0"/>
        <w:tabs>
          <w:tab w:val="left" w:pos="5640"/>
        </w:tabs>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Manejo de invernaderos.</w:t>
      </w:r>
    </w:p>
    <w:p w14:paraId="25D40C5F" w14:textId="77777777" w:rsidR="00D63DB6" w:rsidRPr="007923C2" w:rsidRDefault="00426747" w:rsidP="000223A2">
      <w:pPr>
        <w:widowControl w:val="0"/>
        <w:tabs>
          <w:tab w:val="left" w:pos="5640"/>
        </w:tabs>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Producción</w:t>
      </w:r>
      <w:r w:rsidR="00D63DB6" w:rsidRPr="007923C2">
        <w:rPr>
          <w:rFonts w:ascii="Arial" w:hAnsi="Arial" w:cs="Arial"/>
          <w:sz w:val="22"/>
          <w:szCs w:val="22"/>
          <w:lang w:val="es-ES"/>
        </w:rPr>
        <w:t xml:space="preserve"> de cultivos básicos.</w:t>
      </w:r>
    </w:p>
    <w:p w14:paraId="52EB6A55" w14:textId="77777777" w:rsidR="00D63DB6" w:rsidRPr="007923C2" w:rsidRDefault="00D63DB6" w:rsidP="000223A2">
      <w:pPr>
        <w:widowControl w:val="0"/>
        <w:tabs>
          <w:tab w:val="left" w:pos="5640"/>
        </w:tabs>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Ecología y desarrollo sostenible.</w:t>
      </w:r>
    </w:p>
    <w:p w14:paraId="2C5B2635" w14:textId="77777777"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Ecología producción y desarrollo campesino.</w:t>
      </w:r>
    </w:p>
    <w:p w14:paraId="3FD5853D" w14:textId="77777777"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Olericultura</w:t>
      </w:r>
    </w:p>
    <w:p w14:paraId="7D6541A9" w14:textId="77777777"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Producción agroecológica.</w:t>
      </w:r>
    </w:p>
    <w:p w14:paraId="3094DBB1" w14:textId="77777777"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Economía de las unidades de producción.</w:t>
      </w:r>
    </w:p>
    <w:p w14:paraId="59BCF356" w14:textId="77777777"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lastRenderedPageBreak/>
        <w:t>Producción de hongos comestibles.</w:t>
      </w:r>
    </w:p>
    <w:p w14:paraId="40D00282" w14:textId="77777777"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Topografía</w:t>
      </w:r>
    </w:p>
    <w:p w14:paraId="06FD0E05" w14:textId="77777777"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Fisiotecnia de cultivos hortícolas.</w:t>
      </w:r>
    </w:p>
    <w:p w14:paraId="350F92A9" w14:textId="77777777"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Principios de producción</w:t>
      </w:r>
    </w:p>
    <w:p w14:paraId="317A23C1" w14:textId="77777777" w:rsidR="00B958B0"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Cultivo en invernadero rústico.</w:t>
      </w:r>
    </w:p>
    <w:p w14:paraId="35BA6C18" w14:textId="77777777" w:rsidR="00426747" w:rsidRPr="007923C2" w:rsidRDefault="00426747"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p>
    <w:p w14:paraId="4BD1AB69" w14:textId="5B5AF99A" w:rsidR="00D63DB6" w:rsidRPr="007923C2" w:rsidRDefault="002E1961" w:rsidP="002E1961">
      <w:pPr>
        <w:widowControl w:val="0"/>
        <w:overflowPunct w:val="0"/>
        <w:autoSpaceDE w:val="0"/>
        <w:autoSpaceDN w:val="0"/>
        <w:adjustRightInd w:val="0"/>
        <w:spacing w:after="0" w:line="228" w:lineRule="auto"/>
        <w:ind w:left="4395" w:right="-7" w:hanging="4395"/>
        <w:rPr>
          <w:rFonts w:ascii="Arial" w:hAnsi="Arial" w:cs="Arial"/>
          <w:sz w:val="22"/>
          <w:szCs w:val="22"/>
          <w:lang w:val="es-ES"/>
        </w:rPr>
      </w:pPr>
      <w:r w:rsidRPr="006E1F28">
        <w:rPr>
          <w:rFonts w:ascii="Arial" w:hAnsi="Arial" w:cs="Arial"/>
          <w:b/>
          <w:sz w:val="22"/>
          <w:szCs w:val="22"/>
          <w:lang w:val="es-ES"/>
        </w:rPr>
        <w:t>ECOLOGÍA Y CONTAMINACIÓN</w:t>
      </w:r>
      <w:r w:rsidRPr="007923C2">
        <w:rPr>
          <w:rFonts w:ascii="Arial" w:hAnsi="Arial" w:cs="Arial"/>
          <w:sz w:val="22"/>
          <w:szCs w:val="22"/>
          <w:lang w:val="es-ES"/>
        </w:rPr>
        <w:t xml:space="preserve">           </w:t>
      </w:r>
      <w:r>
        <w:rPr>
          <w:rFonts w:ascii="Arial" w:hAnsi="Arial" w:cs="Arial"/>
          <w:sz w:val="22"/>
          <w:szCs w:val="22"/>
          <w:lang w:val="es-ES"/>
        </w:rPr>
        <w:tab/>
      </w:r>
      <w:r w:rsidR="00893E82" w:rsidRPr="007923C2">
        <w:rPr>
          <w:rFonts w:ascii="Arial" w:hAnsi="Arial" w:cs="Arial"/>
          <w:sz w:val="22"/>
          <w:szCs w:val="22"/>
          <w:lang w:val="es-ES"/>
        </w:rPr>
        <w:t>Contaminación Ambiental</w:t>
      </w:r>
    </w:p>
    <w:p w14:paraId="45A9BB0D" w14:textId="77777777" w:rsidR="00D63DB6" w:rsidRPr="007923C2" w:rsidRDefault="00D63DB6" w:rsidP="002E1961">
      <w:pPr>
        <w:widowControl w:val="0"/>
        <w:overflowPunct w:val="0"/>
        <w:autoSpaceDE w:val="0"/>
        <w:autoSpaceDN w:val="0"/>
        <w:adjustRightInd w:val="0"/>
        <w:spacing w:after="0" w:line="228" w:lineRule="auto"/>
        <w:ind w:left="4395" w:right="-7"/>
        <w:rPr>
          <w:rFonts w:ascii="Arial" w:hAnsi="Arial" w:cs="Arial"/>
          <w:sz w:val="22"/>
          <w:szCs w:val="22"/>
          <w:lang w:val="es-ES"/>
        </w:rPr>
      </w:pPr>
      <w:r w:rsidRPr="007923C2">
        <w:rPr>
          <w:rFonts w:ascii="Arial" w:hAnsi="Arial" w:cs="Arial"/>
          <w:sz w:val="22"/>
          <w:szCs w:val="22"/>
          <w:lang w:val="es-ES"/>
        </w:rPr>
        <w:t>Biodiversidad</w:t>
      </w:r>
    </w:p>
    <w:p w14:paraId="1B79CEBF" w14:textId="77777777" w:rsidR="00D63DB6" w:rsidRPr="007923C2" w:rsidRDefault="00D63DB6" w:rsidP="002E1961">
      <w:pPr>
        <w:widowControl w:val="0"/>
        <w:overflowPunct w:val="0"/>
        <w:autoSpaceDE w:val="0"/>
        <w:autoSpaceDN w:val="0"/>
        <w:adjustRightInd w:val="0"/>
        <w:spacing w:after="0" w:line="228" w:lineRule="auto"/>
        <w:ind w:left="4395" w:right="-7"/>
        <w:rPr>
          <w:rFonts w:ascii="Arial" w:hAnsi="Arial" w:cs="Arial"/>
          <w:sz w:val="22"/>
          <w:szCs w:val="22"/>
          <w:lang w:val="es-ES"/>
        </w:rPr>
      </w:pPr>
      <w:r w:rsidRPr="007923C2">
        <w:rPr>
          <w:rFonts w:ascii="Arial" w:hAnsi="Arial" w:cs="Arial"/>
          <w:sz w:val="22"/>
          <w:szCs w:val="22"/>
          <w:lang w:val="es-ES"/>
        </w:rPr>
        <w:t>Ecofisiología vegetal</w:t>
      </w:r>
    </w:p>
    <w:p w14:paraId="2AFD33E1" w14:textId="77777777" w:rsidR="00D63DB6" w:rsidRPr="007923C2" w:rsidRDefault="00D63DB6" w:rsidP="002E1961">
      <w:pPr>
        <w:widowControl w:val="0"/>
        <w:overflowPunct w:val="0"/>
        <w:autoSpaceDE w:val="0"/>
        <w:autoSpaceDN w:val="0"/>
        <w:adjustRightInd w:val="0"/>
        <w:spacing w:after="0" w:line="228" w:lineRule="auto"/>
        <w:ind w:left="4395" w:right="560"/>
        <w:rPr>
          <w:rFonts w:ascii="Arial" w:hAnsi="Arial" w:cs="Arial"/>
          <w:sz w:val="22"/>
          <w:szCs w:val="22"/>
          <w:lang w:val="es-ES"/>
        </w:rPr>
      </w:pPr>
      <w:r w:rsidRPr="007923C2">
        <w:rPr>
          <w:rFonts w:ascii="Arial" w:hAnsi="Arial" w:cs="Arial"/>
          <w:sz w:val="22"/>
          <w:szCs w:val="22"/>
          <w:lang w:val="es-ES"/>
        </w:rPr>
        <w:t>Fauna silvestre</w:t>
      </w:r>
    </w:p>
    <w:p w14:paraId="4EBC04F2" w14:textId="2A5416FA" w:rsidR="00D63DB6" w:rsidRPr="007923C2" w:rsidRDefault="00893E82" w:rsidP="002E1961">
      <w:pPr>
        <w:widowControl w:val="0"/>
        <w:overflowPunct w:val="0"/>
        <w:autoSpaceDE w:val="0"/>
        <w:autoSpaceDN w:val="0"/>
        <w:adjustRightInd w:val="0"/>
        <w:spacing w:after="0" w:line="228" w:lineRule="auto"/>
        <w:ind w:left="4395" w:right="560"/>
        <w:rPr>
          <w:rFonts w:ascii="Arial" w:hAnsi="Arial" w:cs="Arial"/>
          <w:sz w:val="22"/>
          <w:szCs w:val="22"/>
          <w:lang w:val="es-ES"/>
        </w:rPr>
      </w:pPr>
      <w:r w:rsidRPr="007923C2">
        <w:rPr>
          <w:rFonts w:ascii="Arial" w:hAnsi="Arial" w:cs="Arial"/>
          <w:sz w:val="22"/>
          <w:szCs w:val="22"/>
          <w:lang w:val="es-ES"/>
        </w:rPr>
        <w:t>Evaluación de Ecosistemas</w:t>
      </w:r>
      <w:r w:rsidR="00D63DB6" w:rsidRPr="007923C2">
        <w:rPr>
          <w:rFonts w:ascii="Arial" w:hAnsi="Arial" w:cs="Arial"/>
          <w:sz w:val="22"/>
          <w:szCs w:val="22"/>
          <w:lang w:val="es-ES"/>
        </w:rPr>
        <w:t xml:space="preserve"> </w:t>
      </w:r>
    </w:p>
    <w:p w14:paraId="1E169953" w14:textId="77777777" w:rsidR="00D63DB6" w:rsidRPr="007923C2" w:rsidRDefault="00D63DB6" w:rsidP="002E1961">
      <w:pPr>
        <w:widowControl w:val="0"/>
        <w:overflowPunct w:val="0"/>
        <w:autoSpaceDE w:val="0"/>
        <w:autoSpaceDN w:val="0"/>
        <w:adjustRightInd w:val="0"/>
        <w:spacing w:after="0" w:line="228" w:lineRule="auto"/>
        <w:ind w:left="4395" w:right="560"/>
        <w:rPr>
          <w:rFonts w:ascii="Arial" w:hAnsi="Arial" w:cs="Arial"/>
          <w:sz w:val="22"/>
          <w:szCs w:val="22"/>
          <w:lang w:val="es-ES"/>
        </w:rPr>
      </w:pPr>
      <w:r w:rsidRPr="007923C2">
        <w:rPr>
          <w:rFonts w:ascii="Arial" w:hAnsi="Arial" w:cs="Arial"/>
          <w:sz w:val="22"/>
          <w:szCs w:val="22"/>
          <w:lang w:val="es-ES"/>
        </w:rPr>
        <w:t>Biología de las zonas áridas.</w:t>
      </w:r>
    </w:p>
    <w:p w14:paraId="6404BDB9" w14:textId="77777777" w:rsidR="00AF60ED" w:rsidRPr="007923C2" w:rsidRDefault="00AF60ED" w:rsidP="002E1961">
      <w:pPr>
        <w:widowControl w:val="0"/>
        <w:overflowPunct w:val="0"/>
        <w:autoSpaceDE w:val="0"/>
        <w:autoSpaceDN w:val="0"/>
        <w:adjustRightInd w:val="0"/>
        <w:spacing w:after="0" w:line="228" w:lineRule="auto"/>
        <w:ind w:left="4395" w:right="560"/>
        <w:rPr>
          <w:rFonts w:ascii="Arial" w:hAnsi="Arial" w:cs="Arial"/>
          <w:sz w:val="22"/>
          <w:szCs w:val="22"/>
          <w:lang w:val="es-ES"/>
        </w:rPr>
      </w:pPr>
      <w:r w:rsidRPr="007923C2">
        <w:rPr>
          <w:rFonts w:ascii="Arial" w:hAnsi="Arial" w:cs="Arial"/>
          <w:sz w:val="22"/>
          <w:szCs w:val="22"/>
          <w:lang w:val="es-ES"/>
        </w:rPr>
        <w:t>Manejo y conservación de recursos bióticos.</w:t>
      </w:r>
    </w:p>
    <w:p w14:paraId="24EF415E" w14:textId="77777777" w:rsidR="00AF60ED" w:rsidRPr="007923C2" w:rsidRDefault="00AF60ED" w:rsidP="002E1961">
      <w:pPr>
        <w:widowControl w:val="0"/>
        <w:overflowPunct w:val="0"/>
        <w:autoSpaceDE w:val="0"/>
        <w:autoSpaceDN w:val="0"/>
        <w:adjustRightInd w:val="0"/>
        <w:spacing w:after="0" w:line="228" w:lineRule="auto"/>
        <w:ind w:left="4395" w:right="560"/>
        <w:rPr>
          <w:rFonts w:ascii="Arial" w:hAnsi="Arial" w:cs="Arial"/>
          <w:sz w:val="22"/>
          <w:szCs w:val="22"/>
          <w:lang w:val="es-ES"/>
        </w:rPr>
      </w:pPr>
      <w:r w:rsidRPr="007923C2">
        <w:rPr>
          <w:rFonts w:ascii="Arial" w:hAnsi="Arial" w:cs="Arial"/>
          <w:sz w:val="22"/>
          <w:szCs w:val="22"/>
          <w:lang w:val="es-ES"/>
        </w:rPr>
        <w:t xml:space="preserve">Ecología de áreas naturales </w:t>
      </w:r>
      <w:r w:rsidR="000223A2">
        <w:rPr>
          <w:rFonts w:ascii="Arial" w:hAnsi="Arial" w:cs="Arial"/>
          <w:sz w:val="22"/>
          <w:szCs w:val="22"/>
          <w:lang w:val="es-ES"/>
        </w:rPr>
        <w:t>P</w:t>
      </w:r>
      <w:r w:rsidRPr="007923C2">
        <w:rPr>
          <w:rFonts w:ascii="Arial" w:hAnsi="Arial" w:cs="Arial"/>
          <w:sz w:val="22"/>
          <w:szCs w:val="22"/>
          <w:lang w:val="es-ES"/>
        </w:rPr>
        <w:t>rotegidas.</w:t>
      </w:r>
    </w:p>
    <w:p w14:paraId="09AB80DA" w14:textId="77777777" w:rsidR="00AF60ED" w:rsidRPr="000223A2" w:rsidRDefault="00AF60ED" w:rsidP="002E1961">
      <w:pPr>
        <w:widowControl w:val="0"/>
        <w:overflowPunct w:val="0"/>
        <w:autoSpaceDE w:val="0"/>
        <w:autoSpaceDN w:val="0"/>
        <w:adjustRightInd w:val="0"/>
        <w:spacing w:after="0" w:line="228" w:lineRule="auto"/>
        <w:ind w:left="4395" w:right="560"/>
        <w:rPr>
          <w:rFonts w:ascii="Arial" w:hAnsi="Arial" w:cs="Arial"/>
          <w:b/>
          <w:sz w:val="22"/>
          <w:szCs w:val="22"/>
          <w:lang w:val="es-ES"/>
        </w:rPr>
      </w:pPr>
      <w:r w:rsidRPr="000223A2">
        <w:rPr>
          <w:rFonts w:ascii="Arial" w:hAnsi="Arial" w:cs="Arial"/>
          <w:b/>
          <w:sz w:val="22"/>
          <w:szCs w:val="22"/>
          <w:lang w:val="es-ES"/>
        </w:rPr>
        <w:t>OPTATIVAS</w:t>
      </w:r>
    </w:p>
    <w:p w14:paraId="137AEC89" w14:textId="77777777" w:rsidR="00893E82" w:rsidRPr="007923C2" w:rsidRDefault="00893E82" w:rsidP="002E1961">
      <w:pPr>
        <w:widowControl w:val="0"/>
        <w:overflowPunct w:val="0"/>
        <w:autoSpaceDE w:val="0"/>
        <w:autoSpaceDN w:val="0"/>
        <w:adjustRightInd w:val="0"/>
        <w:spacing w:after="0" w:line="228" w:lineRule="auto"/>
        <w:ind w:left="4395" w:right="560"/>
        <w:rPr>
          <w:rFonts w:ascii="Arial" w:hAnsi="Arial" w:cs="Arial"/>
          <w:sz w:val="22"/>
          <w:szCs w:val="22"/>
          <w:lang w:val="es-ES"/>
        </w:rPr>
      </w:pPr>
      <w:r w:rsidRPr="007923C2">
        <w:rPr>
          <w:rFonts w:ascii="Arial" w:hAnsi="Arial" w:cs="Arial"/>
          <w:sz w:val="22"/>
          <w:szCs w:val="22"/>
          <w:lang w:val="es-ES"/>
        </w:rPr>
        <w:t>Ordenamiento Ecológico</w:t>
      </w:r>
    </w:p>
    <w:p w14:paraId="6DD1063A" w14:textId="77777777" w:rsidR="00893E82" w:rsidRPr="007923C2" w:rsidRDefault="00893E82" w:rsidP="002E1961">
      <w:pPr>
        <w:widowControl w:val="0"/>
        <w:autoSpaceDE w:val="0"/>
        <w:autoSpaceDN w:val="0"/>
        <w:adjustRightInd w:val="0"/>
        <w:spacing w:after="0" w:line="56" w:lineRule="exact"/>
        <w:ind w:left="4395" w:hanging="4395"/>
        <w:rPr>
          <w:rFonts w:ascii="Arial" w:hAnsi="Arial" w:cs="Arial"/>
          <w:sz w:val="22"/>
          <w:szCs w:val="22"/>
          <w:lang w:val="es-ES"/>
        </w:rPr>
      </w:pPr>
    </w:p>
    <w:p w14:paraId="06E8E3B2" w14:textId="3CD45FB8" w:rsidR="00893E82" w:rsidRPr="007923C2" w:rsidRDefault="000223A2" w:rsidP="002E1961">
      <w:pPr>
        <w:widowControl w:val="0"/>
        <w:overflowPunct w:val="0"/>
        <w:autoSpaceDE w:val="0"/>
        <w:autoSpaceDN w:val="0"/>
        <w:adjustRightInd w:val="0"/>
        <w:spacing w:after="0" w:line="217" w:lineRule="auto"/>
        <w:ind w:left="4395" w:right="460" w:hanging="4395"/>
        <w:rPr>
          <w:rFonts w:ascii="Arial" w:hAnsi="Arial" w:cs="Arial"/>
          <w:sz w:val="22"/>
          <w:szCs w:val="22"/>
          <w:lang w:val="es-ES"/>
        </w:rPr>
      </w:pPr>
      <w:r>
        <w:rPr>
          <w:rFonts w:ascii="Arial" w:hAnsi="Arial" w:cs="Arial"/>
          <w:sz w:val="22"/>
          <w:szCs w:val="22"/>
          <w:lang w:val="es-ES"/>
        </w:rPr>
        <w:tab/>
      </w:r>
      <w:r w:rsidR="00893E82" w:rsidRPr="007923C2">
        <w:rPr>
          <w:rFonts w:ascii="Arial" w:hAnsi="Arial" w:cs="Arial"/>
          <w:sz w:val="22"/>
          <w:szCs w:val="22"/>
          <w:lang w:val="es-ES"/>
        </w:rPr>
        <w:t>Educación Ambiental</w:t>
      </w:r>
    </w:p>
    <w:p w14:paraId="2F73EA9F" w14:textId="77777777" w:rsidR="00893E82" w:rsidRPr="007923C2" w:rsidRDefault="00893E82" w:rsidP="002E1961">
      <w:pPr>
        <w:widowControl w:val="0"/>
        <w:autoSpaceDE w:val="0"/>
        <w:autoSpaceDN w:val="0"/>
        <w:adjustRightInd w:val="0"/>
        <w:spacing w:after="0" w:line="56" w:lineRule="exact"/>
        <w:ind w:left="4395" w:hanging="4395"/>
        <w:rPr>
          <w:rFonts w:ascii="Arial" w:hAnsi="Arial" w:cs="Arial"/>
          <w:sz w:val="22"/>
          <w:szCs w:val="22"/>
          <w:lang w:val="es-ES"/>
        </w:rPr>
      </w:pPr>
    </w:p>
    <w:p w14:paraId="0CFCB021" w14:textId="77777777" w:rsidR="00253E5D" w:rsidRPr="007923C2" w:rsidRDefault="00893E82"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 xml:space="preserve">Legislación Forestal y Ambiental </w:t>
      </w:r>
    </w:p>
    <w:p w14:paraId="54FD97B6" w14:textId="77777777" w:rsidR="00893E82" w:rsidRPr="007923C2" w:rsidRDefault="00893E82"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Toxicología Ambiental</w:t>
      </w:r>
    </w:p>
    <w:p w14:paraId="1FB20406" w14:textId="77777777"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Arquitectura del paisaje</w:t>
      </w:r>
    </w:p>
    <w:p w14:paraId="0B512B08" w14:textId="77777777"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Percepción remota</w:t>
      </w:r>
    </w:p>
    <w:p w14:paraId="43EC8502" w14:textId="77777777"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Plantas útiles de zonas áridas,</w:t>
      </w:r>
    </w:p>
    <w:p w14:paraId="63B772EB" w14:textId="77777777"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Etnoecología</w:t>
      </w:r>
    </w:p>
    <w:p w14:paraId="0FC08F5E" w14:textId="77777777"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Organización cinegética</w:t>
      </w:r>
    </w:p>
    <w:p w14:paraId="6948D580" w14:textId="77777777"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Conservación de suelo y agua</w:t>
      </w:r>
    </w:p>
    <w:p w14:paraId="2A336CDD" w14:textId="77777777"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Sensores remotos</w:t>
      </w:r>
    </w:p>
    <w:tbl>
      <w:tblPr>
        <w:tblW w:w="10045" w:type="dxa"/>
        <w:tblInd w:w="2240" w:type="dxa"/>
        <w:tblLayout w:type="fixed"/>
        <w:tblCellMar>
          <w:left w:w="0" w:type="dxa"/>
          <w:right w:w="0" w:type="dxa"/>
        </w:tblCellMar>
        <w:tblLook w:val="0000" w:firstRow="0" w:lastRow="0" w:firstColumn="0" w:lastColumn="0" w:noHBand="0" w:noVBand="0"/>
      </w:tblPr>
      <w:tblGrid>
        <w:gridCol w:w="6265"/>
        <w:gridCol w:w="3780"/>
      </w:tblGrid>
      <w:tr w:rsidR="00893E82" w:rsidRPr="007923C2" w14:paraId="7996DA24" w14:textId="77777777" w:rsidTr="00D465B9">
        <w:trPr>
          <w:trHeight w:val="276"/>
        </w:trPr>
        <w:tc>
          <w:tcPr>
            <w:tcW w:w="6265" w:type="dxa"/>
            <w:vAlign w:val="bottom"/>
          </w:tcPr>
          <w:p w14:paraId="4CFA1A37" w14:textId="77777777" w:rsidR="001B33D6" w:rsidRDefault="00C93FD0" w:rsidP="001B33D6">
            <w:pPr>
              <w:widowControl w:val="0"/>
              <w:autoSpaceDE w:val="0"/>
              <w:autoSpaceDN w:val="0"/>
              <w:adjustRightInd w:val="0"/>
              <w:spacing w:after="0" w:line="240" w:lineRule="auto"/>
              <w:ind w:left="4395" w:hanging="4395"/>
              <w:rPr>
                <w:rFonts w:ascii="Arial" w:hAnsi="Arial" w:cs="Arial"/>
                <w:sz w:val="22"/>
                <w:szCs w:val="22"/>
                <w:lang w:val="es-ES"/>
              </w:rPr>
            </w:pPr>
            <w:r>
              <w:rPr>
                <w:rFonts w:ascii="Arial" w:hAnsi="Arial" w:cs="Arial"/>
                <w:sz w:val="22"/>
                <w:szCs w:val="22"/>
                <w:lang w:val="es-ES"/>
              </w:rPr>
              <w:t xml:space="preserve">                                   </w:t>
            </w:r>
            <w:r w:rsidR="00AF60ED" w:rsidRPr="007923C2">
              <w:rPr>
                <w:rFonts w:ascii="Arial" w:hAnsi="Arial" w:cs="Arial"/>
                <w:sz w:val="22"/>
                <w:szCs w:val="22"/>
                <w:lang w:val="es-ES"/>
              </w:rPr>
              <w:t>Recursos renovables de zonas áridas.</w:t>
            </w:r>
            <w:bookmarkStart w:id="46" w:name="page29"/>
            <w:bookmarkEnd w:id="46"/>
          </w:p>
          <w:p w14:paraId="76CDEE0A" w14:textId="17BD44CC" w:rsidR="00FD6BA6" w:rsidRPr="007923C2" w:rsidRDefault="00FD6BA6" w:rsidP="001B33D6">
            <w:pPr>
              <w:widowControl w:val="0"/>
              <w:autoSpaceDE w:val="0"/>
              <w:autoSpaceDN w:val="0"/>
              <w:adjustRightInd w:val="0"/>
              <w:spacing w:after="0" w:line="240" w:lineRule="auto"/>
              <w:ind w:left="4395" w:hanging="4395"/>
              <w:rPr>
                <w:rFonts w:ascii="Arial" w:hAnsi="Arial" w:cs="Arial"/>
                <w:sz w:val="22"/>
                <w:szCs w:val="22"/>
                <w:lang w:val="es-ES"/>
              </w:rPr>
            </w:pPr>
          </w:p>
        </w:tc>
        <w:tc>
          <w:tcPr>
            <w:tcW w:w="3780" w:type="dxa"/>
            <w:vAlign w:val="bottom"/>
          </w:tcPr>
          <w:p w14:paraId="5531FBD4" w14:textId="77777777" w:rsidR="00893E82" w:rsidRPr="007923C2" w:rsidRDefault="00893E82" w:rsidP="002E1961">
            <w:pPr>
              <w:widowControl w:val="0"/>
              <w:autoSpaceDE w:val="0"/>
              <w:autoSpaceDN w:val="0"/>
              <w:adjustRightInd w:val="0"/>
              <w:spacing w:after="0" w:line="240" w:lineRule="auto"/>
              <w:ind w:left="4395" w:hanging="4395"/>
              <w:rPr>
                <w:rFonts w:ascii="Arial" w:hAnsi="Arial" w:cs="Arial"/>
                <w:sz w:val="22"/>
                <w:szCs w:val="22"/>
              </w:rPr>
            </w:pPr>
          </w:p>
        </w:tc>
      </w:tr>
    </w:tbl>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622"/>
      </w:tblGrid>
      <w:tr w:rsidR="00FD6BA6" w14:paraId="04E1E20F" w14:textId="77777777" w:rsidTr="00D465B9">
        <w:tc>
          <w:tcPr>
            <w:tcW w:w="4248" w:type="dxa"/>
          </w:tcPr>
          <w:p w14:paraId="00D5BB21" w14:textId="600A1F18" w:rsidR="00FD6BA6" w:rsidRPr="00EE2904" w:rsidRDefault="00FD6BA6" w:rsidP="000223A2">
            <w:pPr>
              <w:widowControl w:val="0"/>
              <w:autoSpaceDE w:val="0"/>
              <w:autoSpaceDN w:val="0"/>
              <w:adjustRightInd w:val="0"/>
              <w:rPr>
                <w:rFonts w:ascii="Arial" w:hAnsi="Arial" w:cs="Arial"/>
                <w:b/>
                <w:sz w:val="22"/>
                <w:szCs w:val="22"/>
              </w:rPr>
            </w:pPr>
            <w:r w:rsidRPr="00EE2904">
              <w:rPr>
                <w:rFonts w:ascii="Arial" w:hAnsi="Arial" w:cs="Arial"/>
                <w:b/>
                <w:sz w:val="22"/>
                <w:szCs w:val="22"/>
              </w:rPr>
              <w:t>BIOTECNOLOGÍA</w:t>
            </w:r>
          </w:p>
        </w:tc>
        <w:tc>
          <w:tcPr>
            <w:tcW w:w="5622" w:type="dxa"/>
          </w:tcPr>
          <w:p w14:paraId="08D4C109" w14:textId="61D24ADE" w:rsidR="00D465B9" w:rsidRPr="007923C2"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Biotecnología </w:t>
            </w:r>
          </w:p>
          <w:p w14:paraId="64FE28EB" w14:textId="74A9745E" w:rsidR="00D465B9" w:rsidRPr="007923C2" w:rsidRDefault="00D465B9" w:rsidP="00D465B9">
            <w:pPr>
              <w:widowControl w:val="0"/>
              <w:autoSpaceDE w:val="0"/>
              <w:autoSpaceDN w:val="0"/>
              <w:adjustRightInd w:val="0"/>
              <w:ind w:left="4375" w:hanging="4375"/>
              <w:rPr>
                <w:rFonts w:ascii="Arial" w:hAnsi="Arial" w:cs="Arial"/>
                <w:sz w:val="22"/>
                <w:szCs w:val="22"/>
              </w:rPr>
            </w:pPr>
            <w:r w:rsidRPr="007923C2">
              <w:rPr>
                <w:rFonts w:ascii="Arial" w:hAnsi="Arial" w:cs="Arial"/>
                <w:sz w:val="22"/>
                <w:szCs w:val="22"/>
              </w:rPr>
              <w:t>Microbiología I</w:t>
            </w:r>
          </w:p>
          <w:p w14:paraId="0574B77C" w14:textId="5B8F098D" w:rsidR="00D465B9" w:rsidRDefault="00D465B9" w:rsidP="00D465B9">
            <w:pPr>
              <w:widowControl w:val="0"/>
              <w:autoSpaceDE w:val="0"/>
              <w:autoSpaceDN w:val="0"/>
              <w:adjustRightInd w:val="0"/>
              <w:ind w:left="4375" w:hanging="4375"/>
              <w:rPr>
                <w:rFonts w:ascii="Arial" w:hAnsi="Arial" w:cs="Arial"/>
                <w:sz w:val="22"/>
                <w:szCs w:val="22"/>
              </w:rPr>
            </w:pPr>
            <w:r w:rsidRPr="007923C2">
              <w:rPr>
                <w:rFonts w:ascii="Arial" w:hAnsi="Arial" w:cs="Arial"/>
                <w:sz w:val="22"/>
                <w:szCs w:val="22"/>
              </w:rPr>
              <w:t>Introducción a la genética</w:t>
            </w:r>
            <w:r w:rsidR="003A16F2">
              <w:rPr>
                <w:rFonts w:ascii="Arial" w:hAnsi="Arial" w:cs="Arial"/>
                <w:sz w:val="22"/>
                <w:szCs w:val="22"/>
              </w:rPr>
              <w:t xml:space="preserve"> molecular</w:t>
            </w:r>
            <w:r w:rsidRPr="007923C2">
              <w:rPr>
                <w:rFonts w:ascii="Arial" w:hAnsi="Arial" w:cs="Arial"/>
                <w:sz w:val="22"/>
                <w:szCs w:val="22"/>
              </w:rPr>
              <w:t xml:space="preserve">     </w:t>
            </w:r>
          </w:p>
          <w:p w14:paraId="67EF37C4" w14:textId="4A6C438B" w:rsidR="00D465B9" w:rsidRDefault="00D465B9" w:rsidP="00D465B9">
            <w:pPr>
              <w:widowControl w:val="0"/>
              <w:autoSpaceDE w:val="0"/>
              <w:autoSpaceDN w:val="0"/>
              <w:adjustRightInd w:val="0"/>
              <w:rPr>
                <w:rFonts w:ascii="Arial" w:hAnsi="Arial" w:cs="Arial"/>
                <w:b/>
                <w:sz w:val="22"/>
                <w:szCs w:val="22"/>
              </w:rPr>
            </w:pPr>
            <w:r>
              <w:rPr>
                <w:rFonts w:ascii="Arial" w:hAnsi="Arial" w:cs="Arial"/>
                <w:b/>
                <w:sz w:val="22"/>
                <w:szCs w:val="22"/>
              </w:rPr>
              <w:t>O</w:t>
            </w:r>
            <w:r w:rsidRPr="00E30A58">
              <w:rPr>
                <w:rFonts w:ascii="Arial" w:hAnsi="Arial" w:cs="Arial"/>
                <w:b/>
                <w:sz w:val="22"/>
                <w:szCs w:val="22"/>
              </w:rPr>
              <w:t>P</w:t>
            </w:r>
            <w:r>
              <w:rPr>
                <w:rFonts w:ascii="Arial" w:hAnsi="Arial" w:cs="Arial"/>
                <w:b/>
                <w:sz w:val="22"/>
                <w:szCs w:val="22"/>
              </w:rPr>
              <w:t>TATIVA</w:t>
            </w:r>
          </w:p>
          <w:p w14:paraId="6A441BCA" w14:textId="77777777"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 Ingeniería  Genética </w:t>
            </w:r>
          </w:p>
          <w:p w14:paraId="1CC91C01" w14:textId="51EB14E2" w:rsidR="00FD6BA6"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Microbiología Industrial</w:t>
            </w:r>
          </w:p>
          <w:p w14:paraId="735CDFA4" w14:textId="77777777"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Recursos Genéticos </w:t>
            </w:r>
          </w:p>
          <w:p w14:paraId="144DCA1C" w14:textId="77777777"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Biología Molecular </w:t>
            </w:r>
          </w:p>
          <w:p w14:paraId="186275CC" w14:textId="074F5417"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Biotecnología II</w:t>
            </w:r>
          </w:p>
          <w:p w14:paraId="4E17498F" w14:textId="77777777"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Organismos Transgenéticos</w:t>
            </w:r>
          </w:p>
          <w:p w14:paraId="3EBE81FA" w14:textId="77777777"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Recursos genéticos                                 </w:t>
            </w:r>
          </w:p>
          <w:p w14:paraId="55391C6D" w14:textId="744DCCC5" w:rsidR="00D465B9" w:rsidRDefault="003A16F2" w:rsidP="00D465B9">
            <w:pPr>
              <w:widowControl w:val="0"/>
              <w:autoSpaceDE w:val="0"/>
              <w:autoSpaceDN w:val="0"/>
              <w:adjustRightInd w:val="0"/>
              <w:rPr>
                <w:rFonts w:ascii="Arial" w:hAnsi="Arial" w:cs="Arial"/>
                <w:sz w:val="22"/>
                <w:szCs w:val="22"/>
              </w:rPr>
            </w:pPr>
            <w:r>
              <w:rPr>
                <w:rFonts w:ascii="Arial" w:hAnsi="Arial" w:cs="Arial"/>
                <w:sz w:val="22"/>
                <w:szCs w:val="22"/>
              </w:rPr>
              <w:t>Evolución orgánica</w:t>
            </w:r>
          </w:p>
          <w:p w14:paraId="2278870E" w14:textId="5579837F"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Biotecnología ambiental.</w:t>
            </w:r>
          </w:p>
        </w:tc>
      </w:tr>
    </w:tbl>
    <w:p w14:paraId="184CB28A" w14:textId="77777777" w:rsidR="00FD6BA6" w:rsidRPr="007923C2" w:rsidRDefault="00FD6BA6" w:rsidP="000223A2">
      <w:pPr>
        <w:widowControl w:val="0"/>
        <w:autoSpaceDE w:val="0"/>
        <w:autoSpaceDN w:val="0"/>
        <w:adjustRightInd w:val="0"/>
        <w:spacing w:after="0" w:line="240" w:lineRule="auto"/>
        <w:rPr>
          <w:rFonts w:ascii="Arial" w:hAnsi="Arial" w:cs="Arial"/>
          <w:sz w:val="22"/>
          <w:szCs w:val="22"/>
        </w:rPr>
      </w:pPr>
    </w:p>
    <w:p w14:paraId="29E44B58" w14:textId="77777777" w:rsidR="00864EBA" w:rsidRPr="007923C2" w:rsidRDefault="00864EBA" w:rsidP="005E47E4">
      <w:pPr>
        <w:widowControl w:val="0"/>
        <w:autoSpaceDE w:val="0"/>
        <w:autoSpaceDN w:val="0"/>
        <w:adjustRightInd w:val="0"/>
        <w:jc w:val="both"/>
        <w:rPr>
          <w:rFonts w:ascii="Arial" w:hAnsi="Arial" w:cs="Arial"/>
          <w:b/>
          <w:sz w:val="22"/>
          <w:szCs w:val="22"/>
        </w:rPr>
      </w:pPr>
    </w:p>
    <w:p w14:paraId="7A404A75" w14:textId="77777777" w:rsidR="00EE2904" w:rsidRDefault="00EE2904" w:rsidP="005E47E4">
      <w:pPr>
        <w:widowControl w:val="0"/>
        <w:autoSpaceDE w:val="0"/>
        <w:autoSpaceDN w:val="0"/>
        <w:adjustRightInd w:val="0"/>
        <w:jc w:val="both"/>
        <w:rPr>
          <w:rFonts w:ascii="Arial" w:hAnsi="Arial" w:cs="Arial"/>
          <w:b/>
          <w:sz w:val="22"/>
          <w:szCs w:val="22"/>
        </w:rPr>
      </w:pPr>
    </w:p>
    <w:p w14:paraId="0F756ADC" w14:textId="77777777" w:rsidR="00EE2904" w:rsidRDefault="00EE2904" w:rsidP="005E47E4">
      <w:pPr>
        <w:widowControl w:val="0"/>
        <w:autoSpaceDE w:val="0"/>
        <w:autoSpaceDN w:val="0"/>
        <w:adjustRightInd w:val="0"/>
        <w:jc w:val="both"/>
        <w:rPr>
          <w:rFonts w:ascii="Arial" w:hAnsi="Arial" w:cs="Arial"/>
          <w:b/>
          <w:sz w:val="22"/>
          <w:szCs w:val="22"/>
        </w:rPr>
      </w:pPr>
    </w:p>
    <w:p w14:paraId="2691333E" w14:textId="77777777" w:rsidR="00EE2904" w:rsidRDefault="00EE2904" w:rsidP="005E47E4">
      <w:pPr>
        <w:widowControl w:val="0"/>
        <w:autoSpaceDE w:val="0"/>
        <w:autoSpaceDN w:val="0"/>
        <w:adjustRightInd w:val="0"/>
        <w:jc w:val="both"/>
        <w:rPr>
          <w:rFonts w:ascii="Arial" w:hAnsi="Arial" w:cs="Arial"/>
          <w:b/>
          <w:sz w:val="22"/>
          <w:szCs w:val="22"/>
        </w:rPr>
      </w:pPr>
    </w:p>
    <w:p w14:paraId="2B67A9A4" w14:textId="77777777" w:rsidR="00EE2904" w:rsidRDefault="00EE2904" w:rsidP="005E47E4">
      <w:pPr>
        <w:widowControl w:val="0"/>
        <w:autoSpaceDE w:val="0"/>
        <w:autoSpaceDN w:val="0"/>
        <w:adjustRightInd w:val="0"/>
        <w:jc w:val="both"/>
        <w:rPr>
          <w:rFonts w:ascii="Arial" w:hAnsi="Arial" w:cs="Arial"/>
          <w:b/>
          <w:sz w:val="22"/>
          <w:szCs w:val="22"/>
        </w:rPr>
      </w:pPr>
    </w:p>
    <w:p w14:paraId="42E3C36E" w14:textId="77777777" w:rsidR="00EE2904" w:rsidRDefault="00EE2904" w:rsidP="005E47E4">
      <w:pPr>
        <w:widowControl w:val="0"/>
        <w:autoSpaceDE w:val="0"/>
        <w:autoSpaceDN w:val="0"/>
        <w:adjustRightInd w:val="0"/>
        <w:jc w:val="both"/>
        <w:rPr>
          <w:rFonts w:ascii="Arial" w:hAnsi="Arial" w:cs="Arial"/>
          <w:b/>
          <w:sz w:val="22"/>
          <w:szCs w:val="22"/>
        </w:rPr>
      </w:pPr>
    </w:p>
    <w:p w14:paraId="362B4703" w14:textId="77777777" w:rsidR="00864EBA" w:rsidRPr="007923C2" w:rsidRDefault="00B1754A"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lastRenderedPageBreak/>
        <w:t>RELACIÓN DE MATERIAS OBLIGATORIAS Y OPTATIVAS DEL PROGRAMA DOCENTE DE LA CARRERA DE INGENIERO EN AGROBIOLOGÍA POR DEPARTAMENTO</w:t>
      </w:r>
    </w:p>
    <w:tbl>
      <w:tblPr>
        <w:tblStyle w:val="Tablaconcuadrcula"/>
        <w:tblW w:w="9464" w:type="dxa"/>
        <w:tblLook w:val="04A0" w:firstRow="1" w:lastRow="0" w:firstColumn="1" w:lastColumn="0" w:noHBand="0" w:noVBand="1"/>
      </w:tblPr>
      <w:tblGrid>
        <w:gridCol w:w="3637"/>
        <w:gridCol w:w="461"/>
        <w:gridCol w:w="3950"/>
        <w:gridCol w:w="1416"/>
      </w:tblGrid>
      <w:tr w:rsidR="001A5EEA" w:rsidRPr="007923C2" w14:paraId="0F021AE4" w14:textId="77777777" w:rsidTr="001A5EEA">
        <w:tc>
          <w:tcPr>
            <w:tcW w:w="3645" w:type="dxa"/>
          </w:tcPr>
          <w:p w14:paraId="355001FA" w14:textId="77777777" w:rsidR="001A5EEA" w:rsidRPr="007923C2" w:rsidRDefault="001A5EEA" w:rsidP="001A5EEA">
            <w:pPr>
              <w:jc w:val="center"/>
              <w:rPr>
                <w:rFonts w:ascii="Arial" w:eastAsia="Calibri" w:hAnsi="Arial" w:cs="Arial"/>
                <w:b/>
                <w:sz w:val="22"/>
                <w:szCs w:val="22"/>
                <w:lang w:eastAsia="en-US"/>
              </w:rPr>
            </w:pPr>
            <w:r w:rsidRPr="007923C2">
              <w:rPr>
                <w:rFonts w:ascii="Arial" w:eastAsia="Calibri" w:hAnsi="Arial" w:cs="Arial"/>
                <w:b/>
                <w:sz w:val="22"/>
                <w:szCs w:val="22"/>
                <w:lang w:eastAsia="en-US"/>
              </w:rPr>
              <w:t>DEPARTAMENTO</w:t>
            </w:r>
          </w:p>
        </w:tc>
        <w:tc>
          <w:tcPr>
            <w:tcW w:w="440" w:type="dxa"/>
          </w:tcPr>
          <w:p w14:paraId="59689D06" w14:textId="77777777" w:rsidR="001A5EEA" w:rsidRPr="007923C2" w:rsidRDefault="001A5EEA" w:rsidP="001A5EEA">
            <w:pPr>
              <w:jc w:val="center"/>
              <w:rPr>
                <w:rFonts w:ascii="Arial" w:eastAsia="Calibri" w:hAnsi="Arial" w:cs="Arial"/>
                <w:b/>
                <w:sz w:val="22"/>
                <w:szCs w:val="22"/>
                <w:lang w:eastAsia="en-US"/>
              </w:rPr>
            </w:pPr>
          </w:p>
        </w:tc>
        <w:tc>
          <w:tcPr>
            <w:tcW w:w="3961" w:type="dxa"/>
          </w:tcPr>
          <w:p w14:paraId="1D5CDAC7" w14:textId="77777777" w:rsidR="001A5EEA" w:rsidRPr="007923C2" w:rsidRDefault="001A5EEA" w:rsidP="001A5EEA">
            <w:pPr>
              <w:jc w:val="center"/>
              <w:rPr>
                <w:rFonts w:ascii="Arial" w:eastAsia="Calibri" w:hAnsi="Arial" w:cs="Arial"/>
                <w:b/>
                <w:sz w:val="22"/>
                <w:szCs w:val="22"/>
                <w:lang w:eastAsia="en-US"/>
              </w:rPr>
            </w:pPr>
            <w:r w:rsidRPr="007923C2">
              <w:rPr>
                <w:rFonts w:ascii="Arial" w:eastAsia="Calibri" w:hAnsi="Arial" w:cs="Arial"/>
                <w:b/>
                <w:sz w:val="22"/>
                <w:szCs w:val="22"/>
                <w:lang w:eastAsia="en-US"/>
              </w:rPr>
              <w:t>ASIGNATURA</w:t>
            </w:r>
          </w:p>
        </w:tc>
        <w:tc>
          <w:tcPr>
            <w:tcW w:w="1418" w:type="dxa"/>
          </w:tcPr>
          <w:p w14:paraId="0E41D7D7" w14:textId="77777777" w:rsidR="001A5EEA" w:rsidRPr="007923C2" w:rsidRDefault="001A5EEA" w:rsidP="001A5EEA">
            <w:pPr>
              <w:jc w:val="center"/>
              <w:rPr>
                <w:rFonts w:ascii="Arial" w:eastAsia="Calibri" w:hAnsi="Arial" w:cs="Arial"/>
                <w:b/>
                <w:sz w:val="22"/>
                <w:szCs w:val="22"/>
                <w:lang w:eastAsia="en-US"/>
              </w:rPr>
            </w:pPr>
            <w:r w:rsidRPr="007923C2">
              <w:rPr>
                <w:rFonts w:ascii="Arial" w:eastAsia="Calibri" w:hAnsi="Arial" w:cs="Arial"/>
                <w:b/>
                <w:sz w:val="22"/>
                <w:szCs w:val="22"/>
                <w:lang w:eastAsia="en-US"/>
              </w:rPr>
              <w:t>CLAVE</w:t>
            </w:r>
          </w:p>
        </w:tc>
      </w:tr>
      <w:tr w:rsidR="001A5EEA" w:rsidRPr="007923C2" w14:paraId="3302E358" w14:textId="77777777" w:rsidTr="001A5EEA">
        <w:tc>
          <w:tcPr>
            <w:tcW w:w="3645" w:type="dxa"/>
          </w:tcPr>
          <w:p w14:paraId="5ECE50C0"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Administración Agropecuaria</w:t>
            </w:r>
          </w:p>
        </w:tc>
        <w:tc>
          <w:tcPr>
            <w:tcW w:w="440" w:type="dxa"/>
          </w:tcPr>
          <w:p w14:paraId="2BFCD13C"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14:paraId="1CF3AB7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tc>
        <w:tc>
          <w:tcPr>
            <w:tcW w:w="3961" w:type="dxa"/>
          </w:tcPr>
          <w:p w14:paraId="4B059E5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Administración I</w:t>
            </w:r>
          </w:p>
          <w:p w14:paraId="31984C98"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Formulación y Evaluación de Proyectos</w:t>
            </w:r>
          </w:p>
        </w:tc>
        <w:tc>
          <w:tcPr>
            <w:tcW w:w="1418" w:type="dxa"/>
          </w:tcPr>
          <w:p w14:paraId="3ABF26A8"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ADM403</w:t>
            </w:r>
          </w:p>
          <w:p w14:paraId="523AC0CA"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ADM459</w:t>
            </w:r>
          </w:p>
        </w:tc>
      </w:tr>
      <w:tr w:rsidR="001A5EEA" w:rsidRPr="007923C2" w14:paraId="72A8D8C7" w14:textId="77777777" w:rsidTr="001A5EEA">
        <w:tc>
          <w:tcPr>
            <w:tcW w:w="3645" w:type="dxa"/>
          </w:tcPr>
          <w:p w14:paraId="10D8784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Agrometeorología</w:t>
            </w:r>
          </w:p>
        </w:tc>
        <w:tc>
          <w:tcPr>
            <w:tcW w:w="440" w:type="dxa"/>
          </w:tcPr>
          <w:p w14:paraId="5B8AA59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tc>
        <w:tc>
          <w:tcPr>
            <w:tcW w:w="3961" w:type="dxa"/>
          </w:tcPr>
          <w:p w14:paraId="71005AD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Meteorología y Climatología</w:t>
            </w:r>
          </w:p>
        </w:tc>
        <w:tc>
          <w:tcPr>
            <w:tcW w:w="1418" w:type="dxa"/>
          </w:tcPr>
          <w:p w14:paraId="35AAC08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AGM407</w:t>
            </w:r>
          </w:p>
        </w:tc>
      </w:tr>
      <w:tr w:rsidR="001A5EEA" w:rsidRPr="00461951" w14:paraId="2304E645" w14:textId="77777777" w:rsidTr="001A5EEA">
        <w:tc>
          <w:tcPr>
            <w:tcW w:w="3645" w:type="dxa"/>
          </w:tcPr>
          <w:p w14:paraId="52912D0C"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Botánica</w:t>
            </w:r>
          </w:p>
        </w:tc>
        <w:tc>
          <w:tcPr>
            <w:tcW w:w="440" w:type="dxa"/>
          </w:tcPr>
          <w:p w14:paraId="267A0EC9"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14:paraId="3395FE4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p w14:paraId="1C499C2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w:t>
            </w:r>
          </w:p>
          <w:p w14:paraId="4EF939C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4</w:t>
            </w:r>
          </w:p>
          <w:p w14:paraId="4A2A291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5</w:t>
            </w:r>
          </w:p>
          <w:p w14:paraId="4E7707C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6</w:t>
            </w:r>
          </w:p>
          <w:p w14:paraId="4771845A"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7</w:t>
            </w:r>
          </w:p>
          <w:p w14:paraId="68EF5998"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8</w:t>
            </w:r>
          </w:p>
          <w:p w14:paraId="414D017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9</w:t>
            </w:r>
          </w:p>
          <w:p w14:paraId="423D5B7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10</w:t>
            </w:r>
          </w:p>
          <w:p w14:paraId="46EAB108"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11</w:t>
            </w:r>
          </w:p>
          <w:p w14:paraId="349660B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12</w:t>
            </w:r>
          </w:p>
          <w:p w14:paraId="08091A09"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13</w:t>
            </w:r>
          </w:p>
          <w:p w14:paraId="60387EAB"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14</w:t>
            </w:r>
          </w:p>
          <w:p w14:paraId="7260572F"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15</w:t>
            </w:r>
          </w:p>
          <w:p w14:paraId="74FDA9F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16</w:t>
            </w:r>
          </w:p>
          <w:p w14:paraId="426D9D21"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17</w:t>
            </w:r>
          </w:p>
          <w:p w14:paraId="0231CA5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18</w:t>
            </w:r>
          </w:p>
          <w:p w14:paraId="4B2C2CCB"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19</w:t>
            </w:r>
          </w:p>
          <w:p w14:paraId="78BF42A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20</w:t>
            </w:r>
          </w:p>
          <w:p w14:paraId="5C6C3E5B" w14:textId="77777777" w:rsidR="001A5EEA" w:rsidRPr="007923C2" w:rsidRDefault="001A5EEA" w:rsidP="001A5EEA">
            <w:pPr>
              <w:rPr>
                <w:rFonts w:ascii="Arial" w:eastAsia="Calibri" w:hAnsi="Arial" w:cs="Arial"/>
                <w:sz w:val="22"/>
                <w:szCs w:val="22"/>
                <w:lang w:eastAsia="en-US"/>
              </w:rPr>
            </w:pPr>
          </w:p>
          <w:p w14:paraId="3FA10C7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21</w:t>
            </w:r>
          </w:p>
          <w:p w14:paraId="2068F2A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22</w:t>
            </w:r>
          </w:p>
          <w:p w14:paraId="7532937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23</w:t>
            </w:r>
          </w:p>
          <w:p w14:paraId="3050140C"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24</w:t>
            </w:r>
          </w:p>
          <w:p w14:paraId="0B1DE5B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25</w:t>
            </w:r>
          </w:p>
          <w:p w14:paraId="1501FFF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26</w:t>
            </w:r>
          </w:p>
          <w:p w14:paraId="08C5447B"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27</w:t>
            </w:r>
          </w:p>
          <w:p w14:paraId="12E0DA6F" w14:textId="77777777" w:rsidR="001A5EEA" w:rsidRPr="007923C2" w:rsidRDefault="001A5EEA" w:rsidP="001A5EEA">
            <w:pPr>
              <w:rPr>
                <w:rFonts w:ascii="Arial" w:eastAsia="Calibri" w:hAnsi="Arial" w:cs="Arial"/>
                <w:sz w:val="22"/>
                <w:szCs w:val="22"/>
                <w:lang w:eastAsia="en-US"/>
              </w:rPr>
            </w:pPr>
          </w:p>
          <w:p w14:paraId="57288D3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28</w:t>
            </w:r>
          </w:p>
          <w:p w14:paraId="49BD8BD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29</w:t>
            </w:r>
          </w:p>
          <w:p w14:paraId="07AA4DF6" w14:textId="77777777" w:rsidR="001A5EEA" w:rsidRPr="007923C2" w:rsidRDefault="001A5EEA" w:rsidP="001A5EEA">
            <w:pPr>
              <w:rPr>
                <w:rFonts w:ascii="Arial" w:eastAsia="Calibri" w:hAnsi="Arial" w:cs="Arial"/>
                <w:sz w:val="22"/>
                <w:szCs w:val="22"/>
                <w:lang w:eastAsia="en-US"/>
              </w:rPr>
            </w:pPr>
          </w:p>
          <w:p w14:paraId="2B7D9934"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30</w:t>
            </w:r>
          </w:p>
          <w:p w14:paraId="0C6B3AA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31</w:t>
            </w:r>
          </w:p>
          <w:p w14:paraId="08B50B0F"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32</w:t>
            </w:r>
          </w:p>
          <w:p w14:paraId="2475E663"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33</w:t>
            </w:r>
          </w:p>
          <w:p w14:paraId="5A1436AF"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34</w:t>
            </w:r>
          </w:p>
          <w:p w14:paraId="5482C5CB"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35</w:t>
            </w:r>
          </w:p>
          <w:p w14:paraId="37EADE01"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36</w:t>
            </w:r>
          </w:p>
        </w:tc>
        <w:tc>
          <w:tcPr>
            <w:tcW w:w="3961" w:type="dxa"/>
          </w:tcPr>
          <w:p w14:paraId="48539D5C"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Biología Molecular</w:t>
            </w:r>
          </w:p>
          <w:p w14:paraId="4AC8B9D3"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Biología</w:t>
            </w:r>
          </w:p>
          <w:p w14:paraId="118DA09B"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Botánica I</w:t>
            </w:r>
          </w:p>
          <w:p w14:paraId="015722B2" w14:textId="67B5861E"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Zoología</w:t>
            </w:r>
            <w:r w:rsidR="003A16F2">
              <w:rPr>
                <w:rFonts w:ascii="Arial" w:eastAsia="Calibri" w:hAnsi="Arial" w:cs="Arial"/>
                <w:sz w:val="22"/>
                <w:szCs w:val="22"/>
                <w:lang w:eastAsia="en-US"/>
              </w:rPr>
              <w:t xml:space="preserve"> general</w:t>
            </w:r>
          </w:p>
          <w:p w14:paraId="06DAA59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Sistemas Biológicos</w:t>
            </w:r>
          </w:p>
          <w:p w14:paraId="0D102C31"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Botánica II</w:t>
            </w:r>
          </w:p>
          <w:p w14:paraId="407BFC99"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Introducción a la Genética Molecular</w:t>
            </w:r>
          </w:p>
          <w:p w14:paraId="6F9662E4"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Fisiología Animal Comparada</w:t>
            </w:r>
          </w:p>
          <w:p w14:paraId="775CBD29"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Fisiología Vegetal</w:t>
            </w:r>
          </w:p>
          <w:p w14:paraId="3BD1C34F"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Anatomía e Histología Vegetal</w:t>
            </w:r>
          </w:p>
          <w:p w14:paraId="793E7973" w14:textId="39E7241C"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Ecología</w:t>
            </w:r>
            <w:r w:rsidR="003A16F2">
              <w:rPr>
                <w:rFonts w:ascii="Arial" w:eastAsia="Calibri" w:hAnsi="Arial" w:cs="Arial"/>
                <w:sz w:val="22"/>
                <w:szCs w:val="22"/>
                <w:lang w:eastAsia="en-US"/>
              </w:rPr>
              <w:t xml:space="preserve"> I</w:t>
            </w:r>
          </w:p>
          <w:p w14:paraId="6CC6231E" w14:textId="70AF492C"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Biotecnología </w:t>
            </w:r>
          </w:p>
          <w:p w14:paraId="083E16EF"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Evolución Orgánica</w:t>
            </w:r>
          </w:p>
          <w:p w14:paraId="51028AFE"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Ecología de Áreas Naturales Protegidas </w:t>
            </w:r>
          </w:p>
          <w:p w14:paraId="699B06A4"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Ecofisiología Vegetal</w:t>
            </w:r>
          </w:p>
          <w:p w14:paraId="7B5AAFA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Taller de Investigación I</w:t>
            </w:r>
          </w:p>
          <w:p w14:paraId="611146A0"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Biodiversidad</w:t>
            </w:r>
          </w:p>
          <w:p w14:paraId="6ECF415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Taller de Investigación II</w:t>
            </w:r>
          </w:p>
          <w:p w14:paraId="200B7370"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Ecología y Desarrollo Sostenible</w:t>
            </w:r>
          </w:p>
          <w:p w14:paraId="725863D4" w14:textId="0B193C30"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Evaluación de Ecosistemas   </w:t>
            </w:r>
          </w:p>
          <w:p w14:paraId="43FABB8B"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Agroecología</w:t>
            </w:r>
          </w:p>
          <w:p w14:paraId="04F9A35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Educación Ambiental</w:t>
            </w:r>
          </w:p>
          <w:p w14:paraId="77FBB391"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Plantas Medicinales y Aromáticas</w:t>
            </w:r>
          </w:p>
          <w:p w14:paraId="0E24AAA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Biología de las Zonas Áridas</w:t>
            </w:r>
          </w:p>
          <w:p w14:paraId="2FB38E94"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Plantas Útiles de Zonas Áridas</w:t>
            </w:r>
          </w:p>
          <w:p w14:paraId="1671894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Etnoecología</w:t>
            </w:r>
          </w:p>
          <w:p w14:paraId="1CAD1808"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Ecología Producción y Desarrollo Campesino</w:t>
            </w:r>
          </w:p>
          <w:p w14:paraId="377FA234"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Bioagricultura</w:t>
            </w:r>
          </w:p>
          <w:p w14:paraId="367E80AE"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Manejo y Conservación de Recursos Bióticos</w:t>
            </w:r>
          </w:p>
          <w:p w14:paraId="2E1B5A3F"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Contaminación Ambiental</w:t>
            </w:r>
          </w:p>
          <w:p w14:paraId="6A61DDDA"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Prácticas Profesionales</w:t>
            </w:r>
          </w:p>
          <w:p w14:paraId="4788F28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Sistemas Tradicionales de Producción</w:t>
            </w:r>
          </w:p>
          <w:p w14:paraId="6BCCE1F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Agricultura Biointensiva Sostenible</w:t>
            </w:r>
          </w:p>
          <w:p w14:paraId="2E0567B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Agrostología</w:t>
            </w:r>
          </w:p>
          <w:p w14:paraId="2067DC8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Biotecnología Ambiental</w:t>
            </w:r>
          </w:p>
          <w:p w14:paraId="4B83D7BF"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Cultivos en Invernaderos Rústicos </w:t>
            </w:r>
          </w:p>
        </w:tc>
        <w:tc>
          <w:tcPr>
            <w:tcW w:w="1418" w:type="dxa"/>
          </w:tcPr>
          <w:p w14:paraId="1BF896C7"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BOT403 OP</w:t>
            </w:r>
          </w:p>
          <w:p w14:paraId="2ABD0259"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BOT404</w:t>
            </w:r>
          </w:p>
          <w:p w14:paraId="300FD0B2"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BOT413</w:t>
            </w:r>
          </w:p>
          <w:p w14:paraId="69C617A0" w14:textId="77777777" w:rsidR="001A5EEA" w:rsidRPr="007923C2" w:rsidRDefault="001A5EEA" w:rsidP="001A5EEA">
            <w:pPr>
              <w:rPr>
                <w:rFonts w:ascii="Arial" w:eastAsia="Calibri" w:hAnsi="Arial" w:cs="Arial"/>
                <w:sz w:val="22"/>
                <w:szCs w:val="22"/>
                <w:lang w:val="en-US" w:eastAsia="en-US"/>
              </w:rPr>
            </w:pPr>
          </w:p>
          <w:p w14:paraId="6F854298"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BOT416</w:t>
            </w:r>
          </w:p>
          <w:p w14:paraId="6658A984"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BOT417</w:t>
            </w:r>
          </w:p>
          <w:p w14:paraId="726C2729" w14:textId="77777777" w:rsidR="001A5EEA" w:rsidRPr="007923C2" w:rsidRDefault="001A5EEA" w:rsidP="001A5EEA">
            <w:pPr>
              <w:rPr>
                <w:rFonts w:ascii="Arial" w:eastAsia="Calibri" w:hAnsi="Arial" w:cs="Arial"/>
                <w:sz w:val="22"/>
                <w:szCs w:val="22"/>
                <w:lang w:val="en-US" w:eastAsia="en-US"/>
              </w:rPr>
            </w:pPr>
          </w:p>
          <w:p w14:paraId="3A27338D"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BOT420 OP</w:t>
            </w:r>
          </w:p>
          <w:p w14:paraId="0CF1722E"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BOT424</w:t>
            </w:r>
          </w:p>
          <w:p w14:paraId="25B60CE7"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BOT425</w:t>
            </w:r>
          </w:p>
          <w:p w14:paraId="5419CA9D" w14:textId="77777777" w:rsidR="001A5EEA" w:rsidRPr="007923C2" w:rsidRDefault="001A5EEA" w:rsidP="001A5EEA">
            <w:pPr>
              <w:rPr>
                <w:rFonts w:ascii="Arial" w:eastAsia="Calibri" w:hAnsi="Arial" w:cs="Arial"/>
                <w:sz w:val="22"/>
                <w:szCs w:val="22"/>
                <w:lang w:val="en-US" w:eastAsia="en-US"/>
              </w:rPr>
            </w:pPr>
          </w:p>
          <w:p w14:paraId="7C7EDAEC" w14:textId="77777777" w:rsidR="001A5EEA" w:rsidRPr="007923C2" w:rsidRDefault="001A5EEA" w:rsidP="001A5EEA">
            <w:pPr>
              <w:rPr>
                <w:rFonts w:ascii="Arial" w:eastAsia="Calibri" w:hAnsi="Arial" w:cs="Arial"/>
                <w:sz w:val="22"/>
                <w:szCs w:val="22"/>
                <w:lang w:val="en-US" w:eastAsia="en-US"/>
              </w:rPr>
            </w:pPr>
          </w:p>
          <w:p w14:paraId="29A19389"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BOT443</w:t>
            </w:r>
            <w:r w:rsidR="00B958B0">
              <w:rPr>
                <w:rFonts w:ascii="Arial" w:eastAsia="Calibri" w:hAnsi="Arial" w:cs="Arial"/>
                <w:sz w:val="22"/>
                <w:szCs w:val="22"/>
                <w:lang w:val="en-US" w:eastAsia="en-US"/>
              </w:rPr>
              <w:t xml:space="preserve"> OP</w:t>
            </w:r>
          </w:p>
          <w:p w14:paraId="36A5B5BA"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BOT456</w:t>
            </w:r>
          </w:p>
          <w:p w14:paraId="0E397AF0" w14:textId="77777777" w:rsidR="001A5EEA" w:rsidRPr="007923C2" w:rsidRDefault="001A5EEA" w:rsidP="001A5EEA">
            <w:pPr>
              <w:rPr>
                <w:rFonts w:ascii="Arial" w:eastAsia="Calibri" w:hAnsi="Arial" w:cs="Arial"/>
                <w:sz w:val="22"/>
                <w:szCs w:val="22"/>
                <w:lang w:val="en-US" w:eastAsia="en-US"/>
              </w:rPr>
            </w:pPr>
          </w:p>
          <w:p w14:paraId="4E2DFEE9"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BOT44</w:t>
            </w:r>
            <w:r w:rsidR="00B958B0">
              <w:rPr>
                <w:rFonts w:ascii="Arial" w:eastAsia="Calibri" w:hAnsi="Arial" w:cs="Arial"/>
                <w:sz w:val="22"/>
                <w:szCs w:val="22"/>
                <w:lang w:val="en-US" w:eastAsia="en-US"/>
              </w:rPr>
              <w:t>7</w:t>
            </w:r>
          </w:p>
          <w:p w14:paraId="5599138D"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B958B0">
              <w:rPr>
                <w:rFonts w:ascii="Arial" w:eastAsia="Calibri" w:hAnsi="Arial" w:cs="Arial"/>
                <w:sz w:val="22"/>
                <w:szCs w:val="22"/>
                <w:lang w:val="en-US" w:eastAsia="en-US"/>
              </w:rPr>
              <w:t>49</w:t>
            </w:r>
          </w:p>
          <w:p w14:paraId="6C8FD911"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BOT45</w:t>
            </w:r>
            <w:r w:rsidR="00B958B0">
              <w:rPr>
                <w:rFonts w:ascii="Arial" w:eastAsia="Calibri" w:hAnsi="Arial" w:cs="Arial"/>
                <w:sz w:val="22"/>
                <w:szCs w:val="22"/>
                <w:lang w:val="en-US" w:eastAsia="en-US"/>
              </w:rPr>
              <w:t>0</w:t>
            </w:r>
          </w:p>
          <w:p w14:paraId="65876100"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BOT45</w:t>
            </w:r>
            <w:r w:rsidR="00B958B0">
              <w:rPr>
                <w:rFonts w:ascii="Arial" w:eastAsia="Calibri" w:hAnsi="Arial" w:cs="Arial"/>
                <w:sz w:val="22"/>
                <w:szCs w:val="22"/>
                <w:lang w:val="en-US" w:eastAsia="en-US"/>
              </w:rPr>
              <w:t>2</w:t>
            </w:r>
          </w:p>
          <w:p w14:paraId="15A138B6" w14:textId="77777777" w:rsidR="001A5EEA" w:rsidRPr="007923C2" w:rsidRDefault="00B958B0" w:rsidP="001A5EEA">
            <w:pPr>
              <w:rPr>
                <w:rFonts w:ascii="Arial" w:eastAsia="Calibri" w:hAnsi="Arial" w:cs="Arial"/>
                <w:sz w:val="22"/>
                <w:szCs w:val="22"/>
                <w:lang w:val="en-US" w:eastAsia="en-US"/>
              </w:rPr>
            </w:pPr>
            <w:r>
              <w:rPr>
                <w:rFonts w:ascii="Arial" w:eastAsia="Calibri" w:hAnsi="Arial" w:cs="Arial"/>
                <w:sz w:val="22"/>
                <w:szCs w:val="22"/>
                <w:lang w:val="en-US" w:eastAsia="en-US"/>
              </w:rPr>
              <w:t>BOT453 OP</w:t>
            </w:r>
          </w:p>
          <w:p w14:paraId="65094D52" w14:textId="6226A1C7" w:rsidR="001A5EEA" w:rsidRPr="007923C2" w:rsidRDefault="003A16F2" w:rsidP="001A5EEA">
            <w:pPr>
              <w:rPr>
                <w:rFonts w:ascii="Arial" w:eastAsia="Calibri" w:hAnsi="Arial" w:cs="Arial"/>
                <w:sz w:val="22"/>
                <w:szCs w:val="22"/>
                <w:lang w:val="en-US" w:eastAsia="en-US"/>
              </w:rPr>
            </w:pPr>
            <w:r>
              <w:rPr>
                <w:rFonts w:ascii="Arial" w:eastAsia="Calibri" w:hAnsi="Arial" w:cs="Arial"/>
                <w:sz w:val="22"/>
                <w:szCs w:val="22"/>
                <w:lang w:val="en-US" w:eastAsia="en-US"/>
              </w:rPr>
              <w:t>BOT-455</w:t>
            </w:r>
          </w:p>
          <w:p w14:paraId="561D4173"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D83CD5">
              <w:rPr>
                <w:rFonts w:ascii="Arial" w:eastAsia="Calibri" w:hAnsi="Arial" w:cs="Arial"/>
                <w:sz w:val="22"/>
                <w:szCs w:val="22"/>
                <w:lang w:val="en-US" w:eastAsia="en-US"/>
              </w:rPr>
              <w:t>57</w:t>
            </w:r>
          </w:p>
          <w:p w14:paraId="3B64B803"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BOT46</w:t>
            </w:r>
            <w:r w:rsidR="00D83CD5">
              <w:rPr>
                <w:rFonts w:ascii="Arial" w:eastAsia="Calibri" w:hAnsi="Arial" w:cs="Arial"/>
                <w:sz w:val="22"/>
                <w:szCs w:val="22"/>
                <w:lang w:val="en-US" w:eastAsia="en-US"/>
              </w:rPr>
              <w:t>2</w:t>
            </w:r>
            <w:r w:rsidRPr="007923C2">
              <w:rPr>
                <w:rFonts w:ascii="Arial" w:eastAsia="Calibri" w:hAnsi="Arial" w:cs="Arial"/>
                <w:sz w:val="22"/>
                <w:szCs w:val="22"/>
                <w:lang w:val="en-US" w:eastAsia="en-US"/>
              </w:rPr>
              <w:t xml:space="preserve"> OP</w:t>
            </w:r>
          </w:p>
          <w:p w14:paraId="21F41FC3"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BOT46</w:t>
            </w:r>
            <w:r w:rsidR="00D83CD5">
              <w:rPr>
                <w:rFonts w:ascii="Arial" w:eastAsia="Calibri" w:hAnsi="Arial" w:cs="Arial"/>
                <w:sz w:val="22"/>
                <w:szCs w:val="22"/>
                <w:lang w:val="en-US" w:eastAsia="en-US"/>
              </w:rPr>
              <w:t>3 OP</w:t>
            </w:r>
          </w:p>
          <w:p w14:paraId="2D73390F"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BOT46</w:t>
            </w:r>
            <w:r w:rsidR="00D83CD5">
              <w:rPr>
                <w:rFonts w:ascii="Arial" w:eastAsia="Calibri" w:hAnsi="Arial" w:cs="Arial"/>
                <w:sz w:val="22"/>
                <w:szCs w:val="22"/>
                <w:lang w:val="en-US" w:eastAsia="en-US"/>
              </w:rPr>
              <w:t>5</w:t>
            </w:r>
          </w:p>
          <w:p w14:paraId="3860B749"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BOT46</w:t>
            </w:r>
            <w:r w:rsidR="00D83CD5">
              <w:rPr>
                <w:rFonts w:ascii="Arial" w:eastAsia="Calibri" w:hAnsi="Arial" w:cs="Arial"/>
                <w:sz w:val="22"/>
                <w:szCs w:val="22"/>
                <w:lang w:val="en-US" w:eastAsia="en-US"/>
              </w:rPr>
              <w:t>7</w:t>
            </w:r>
            <w:r w:rsidRPr="007923C2">
              <w:rPr>
                <w:rFonts w:ascii="Arial" w:eastAsia="Calibri" w:hAnsi="Arial" w:cs="Arial"/>
                <w:sz w:val="22"/>
                <w:szCs w:val="22"/>
                <w:lang w:val="en-US" w:eastAsia="en-US"/>
              </w:rPr>
              <w:t xml:space="preserve"> OP</w:t>
            </w:r>
          </w:p>
          <w:p w14:paraId="71644641"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D83CD5">
              <w:rPr>
                <w:rFonts w:ascii="Arial" w:eastAsia="Calibri" w:hAnsi="Arial" w:cs="Arial"/>
                <w:sz w:val="22"/>
                <w:szCs w:val="22"/>
                <w:lang w:val="en-US" w:eastAsia="en-US"/>
              </w:rPr>
              <w:t>69</w:t>
            </w:r>
            <w:r w:rsidRPr="007923C2">
              <w:rPr>
                <w:rFonts w:ascii="Arial" w:eastAsia="Calibri" w:hAnsi="Arial" w:cs="Arial"/>
                <w:sz w:val="22"/>
                <w:szCs w:val="22"/>
                <w:lang w:val="en-US" w:eastAsia="en-US"/>
              </w:rPr>
              <w:t xml:space="preserve"> OP</w:t>
            </w:r>
          </w:p>
          <w:p w14:paraId="2EE82A8B" w14:textId="77777777" w:rsidR="001A5EEA" w:rsidRPr="007923C2" w:rsidRDefault="001A5EEA" w:rsidP="001A5EEA">
            <w:pPr>
              <w:rPr>
                <w:rFonts w:ascii="Arial" w:eastAsia="Calibri" w:hAnsi="Arial" w:cs="Arial"/>
                <w:sz w:val="22"/>
                <w:szCs w:val="22"/>
                <w:lang w:val="en-US" w:eastAsia="en-US"/>
              </w:rPr>
            </w:pPr>
          </w:p>
          <w:p w14:paraId="1BB4E4F3"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BOT47</w:t>
            </w:r>
            <w:r w:rsidR="00D83CD5">
              <w:rPr>
                <w:rFonts w:ascii="Arial" w:eastAsia="Calibri" w:hAnsi="Arial" w:cs="Arial"/>
                <w:sz w:val="22"/>
                <w:szCs w:val="22"/>
                <w:lang w:val="en-US" w:eastAsia="en-US"/>
              </w:rPr>
              <w:t>2 OP</w:t>
            </w:r>
          </w:p>
          <w:p w14:paraId="05BFF893"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BOT47</w:t>
            </w:r>
            <w:r w:rsidR="00D83CD5">
              <w:rPr>
                <w:rFonts w:ascii="Arial" w:eastAsia="Calibri" w:hAnsi="Arial" w:cs="Arial"/>
                <w:sz w:val="22"/>
                <w:szCs w:val="22"/>
                <w:lang w:val="en-US" w:eastAsia="en-US"/>
              </w:rPr>
              <w:t>3</w:t>
            </w:r>
          </w:p>
          <w:p w14:paraId="30AFDF05" w14:textId="77777777" w:rsidR="001A5EEA" w:rsidRPr="007923C2" w:rsidRDefault="001A5EEA" w:rsidP="001A5EEA">
            <w:pPr>
              <w:rPr>
                <w:rFonts w:ascii="Arial" w:eastAsia="Calibri" w:hAnsi="Arial" w:cs="Arial"/>
                <w:sz w:val="22"/>
                <w:szCs w:val="22"/>
                <w:lang w:val="en-US" w:eastAsia="en-US"/>
              </w:rPr>
            </w:pPr>
          </w:p>
          <w:p w14:paraId="660B7E75"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D83CD5">
              <w:rPr>
                <w:rFonts w:ascii="Arial" w:eastAsia="Calibri" w:hAnsi="Arial" w:cs="Arial"/>
                <w:sz w:val="22"/>
                <w:szCs w:val="22"/>
                <w:lang w:val="en-US" w:eastAsia="en-US"/>
              </w:rPr>
              <w:t>75</w:t>
            </w:r>
          </w:p>
          <w:p w14:paraId="1819E2D8"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D83CD5">
              <w:rPr>
                <w:rFonts w:ascii="Arial" w:eastAsia="Calibri" w:hAnsi="Arial" w:cs="Arial"/>
                <w:sz w:val="22"/>
                <w:szCs w:val="22"/>
                <w:lang w:val="en-US" w:eastAsia="en-US"/>
              </w:rPr>
              <w:t>8</w:t>
            </w:r>
            <w:r w:rsidRPr="007923C2">
              <w:rPr>
                <w:rFonts w:ascii="Arial" w:eastAsia="Calibri" w:hAnsi="Arial" w:cs="Arial"/>
                <w:sz w:val="22"/>
                <w:szCs w:val="22"/>
                <w:lang w:val="en-US" w:eastAsia="en-US"/>
              </w:rPr>
              <w:t>0</w:t>
            </w:r>
          </w:p>
          <w:p w14:paraId="3420492B"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BOT49</w:t>
            </w:r>
            <w:r w:rsidR="00D83CD5">
              <w:rPr>
                <w:rFonts w:ascii="Arial" w:eastAsia="Calibri" w:hAnsi="Arial" w:cs="Arial"/>
                <w:sz w:val="22"/>
                <w:szCs w:val="22"/>
                <w:lang w:val="en-US" w:eastAsia="en-US"/>
              </w:rPr>
              <w:t>0</w:t>
            </w:r>
          </w:p>
          <w:p w14:paraId="55A3C226"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BOT49</w:t>
            </w:r>
            <w:r w:rsidR="00D83CD5">
              <w:rPr>
                <w:rFonts w:ascii="Arial" w:eastAsia="Calibri" w:hAnsi="Arial" w:cs="Arial"/>
                <w:sz w:val="22"/>
                <w:szCs w:val="22"/>
                <w:lang w:val="en-US" w:eastAsia="en-US"/>
              </w:rPr>
              <w:t>5</w:t>
            </w:r>
            <w:r w:rsidRPr="007923C2">
              <w:rPr>
                <w:rFonts w:ascii="Arial" w:eastAsia="Calibri" w:hAnsi="Arial" w:cs="Arial"/>
                <w:sz w:val="22"/>
                <w:szCs w:val="22"/>
                <w:lang w:val="en-US" w:eastAsia="en-US"/>
              </w:rPr>
              <w:t xml:space="preserve"> OP</w:t>
            </w:r>
          </w:p>
          <w:p w14:paraId="065C093E" w14:textId="77777777" w:rsidR="001A5EEA" w:rsidRPr="007923C2" w:rsidRDefault="001A5EEA" w:rsidP="001A5EEA">
            <w:pPr>
              <w:rPr>
                <w:rFonts w:ascii="Arial" w:eastAsia="Calibri" w:hAnsi="Arial" w:cs="Arial"/>
                <w:sz w:val="22"/>
                <w:szCs w:val="22"/>
                <w:lang w:val="en-US" w:eastAsia="en-US"/>
              </w:rPr>
            </w:pPr>
          </w:p>
          <w:p w14:paraId="13DB5669"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D83CD5">
              <w:rPr>
                <w:rFonts w:ascii="Arial" w:eastAsia="Calibri" w:hAnsi="Arial" w:cs="Arial"/>
                <w:sz w:val="22"/>
                <w:szCs w:val="22"/>
                <w:lang w:val="en-US" w:eastAsia="en-US"/>
              </w:rPr>
              <w:t>96</w:t>
            </w:r>
            <w:r w:rsidRPr="007923C2">
              <w:rPr>
                <w:rFonts w:ascii="Arial" w:eastAsia="Calibri" w:hAnsi="Arial" w:cs="Arial"/>
                <w:sz w:val="22"/>
                <w:szCs w:val="22"/>
                <w:lang w:val="en-US" w:eastAsia="en-US"/>
              </w:rPr>
              <w:t xml:space="preserve"> OP</w:t>
            </w:r>
          </w:p>
          <w:p w14:paraId="608EA72D" w14:textId="77777777" w:rsidR="001A5EEA" w:rsidRDefault="001A5EEA" w:rsidP="00D83CD5">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D83CD5">
              <w:rPr>
                <w:rFonts w:ascii="Arial" w:eastAsia="Calibri" w:hAnsi="Arial" w:cs="Arial"/>
                <w:sz w:val="22"/>
                <w:szCs w:val="22"/>
                <w:lang w:val="en-US" w:eastAsia="en-US"/>
              </w:rPr>
              <w:t>48</w:t>
            </w:r>
            <w:r w:rsidRPr="007923C2">
              <w:rPr>
                <w:rFonts w:ascii="Arial" w:eastAsia="Calibri" w:hAnsi="Arial" w:cs="Arial"/>
                <w:sz w:val="22"/>
                <w:szCs w:val="22"/>
                <w:lang w:val="en-US" w:eastAsia="en-US"/>
              </w:rPr>
              <w:t xml:space="preserve"> OP</w:t>
            </w:r>
          </w:p>
          <w:p w14:paraId="5BB0498E" w14:textId="77777777" w:rsidR="00D83CD5" w:rsidRDefault="00D83CD5" w:rsidP="00D83CD5">
            <w:pPr>
              <w:rPr>
                <w:rFonts w:ascii="Arial" w:eastAsia="Calibri" w:hAnsi="Arial" w:cs="Arial"/>
                <w:sz w:val="22"/>
                <w:szCs w:val="22"/>
                <w:lang w:val="en-US" w:eastAsia="en-US"/>
              </w:rPr>
            </w:pPr>
            <w:r>
              <w:rPr>
                <w:rFonts w:ascii="Arial" w:eastAsia="Calibri" w:hAnsi="Arial" w:cs="Arial"/>
                <w:sz w:val="22"/>
                <w:szCs w:val="22"/>
                <w:lang w:val="en-US" w:eastAsia="en-US"/>
              </w:rPr>
              <w:t>BOT481 OP</w:t>
            </w:r>
          </w:p>
          <w:p w14:paraId="1502AF1F" w14:textId="77777777" w:rsidR="00D83CD5" w:rsidRPr="007923C2" w:rsidRDefault="00D83CD5" w:rsidP="00D83CD5">
            <w:pPr>
              <w:rPr>
                <w:rFonts w:ascii="Arial" w:eastAsia="Calibri" w:hAnsi="Arial" w:cs="Arial"/>
                <w:sz w:val="22"/>
                <w:szCs w:val="22"/>
                <w:lang w:val="en-US" w:eastAsia="en-US"/>
              </w:rPr>
            </w:pPr>
            <w:r>
              <w:rPr>
                <w:rFonts w:ascii="Arial" w:eastAsia="Calibri" w:hAnsi="Arial" w:cs="Arial"/>
                <w:sz w:val="22"/>
                <w:szCs w:val="22"/>
                <w:lang w:val="en-US" w:eastAsia="en-US"/>
              </w:rPr>
              <w:t>BOT435 OP</w:t>
            </w:r>
          </w:p>
        </w:tc>
      </w:tr>
      <w:tr w:rsidR="001A5EEA" w:rsidRPr="007923C2" w14:paraId="36BC8EAD" w14:textId="77777777" w:rsidTr="001A5EEA">
        <w:tc>
          <w:tcPr>
            <w:tcW w:w="3645" w:type="dxa"/>
          </w:tcPr>
          <w:p w14:paraId="0E02ACC7"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Ciencias Básicas</w:t>
            </w:r>
          </w:p>
        </w:tc>
        <w:tc>
          <w:tcPr>
            <w:tcW w:w="440" w:type="dxa"/>
          </w:tcPr>
          <w:p w14:paraId="17AAFB41"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1</w:t>
            </w:r>
          </w:p>
          <w:p w14:paraId="15759F7E"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2</w:t>
            </w:r>
          </w:p>
          <w:p w14:paraId="5C74650F"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lastRenderedPageBreak/>
              <w:t>3</w:t>
            </w:r>
          </w:p>
        </w:tc>
        <w:tc>
          <w:tcPr>
            <w:tcW w:w="3961" w:type="dxa"/>
          </w:tcPr>
          <w:p w14:paraId="7855EACE"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lastRenderedPageBreak/>
              <w:t>Química</w:t>
            </w:r>
          </w:p>
          <w:p w14:paraId="131DD26E"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Bioquímica</w:t>
            </w:r>
          </w:p>
          <w:p w14:paraId="7A1E8785"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lastRenderedPageBreak/>
              <w:t>Topografía General</w:t>
            </w:r>
          </w:p>
        </w:tc>
        <w:tc>
          <w:tcPr>
            <w:tcW w:w="1418" w:type="dxa"/>
          </w:tcPr>
          <w:p w14:paraId="0041F70D"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lastRenderedPageBreak/>
              <w:t>CSB403</w:t>
            </w:r>
          </w:p>
          <w:p w14:paraId="7DAF5967"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CSB421</w:t>
            </w:r>
          </w:p>
          <w:p w14:paraId="4B05C0A6"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lastRenderedPageBreak/>
              <w:t>CSB416 OP</w:t>
            </w:r>
          </w:p>
        </w:tc>
      </w:tr>
      <w:tr w:rsidR="001A5EEA" w:rsidRPr="007923C2" w14:paraId="70DF739E" w14:textId="77777777" w:rsidTr="001A5EEA">
        <w:tc>
          <w:tcPr>
            <w:tcW w:w="3645" w:type="dxa"/>
          </w:tcPr>
          <w:p w14:paraId="7ABA4BAD"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lastRenderedPageBreak/>
              <w:t>Economía Agrícola</w:t>
            </w:r>
          </w:p>
        </w:tc>
        <w:tc>
          <w:tcPr>
            <w:tcW w:w="440" w:type="dxa"/>
          </w:tcPr>
          <w:p w14:paraId="57F61AF7"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1</w:t>
            </w:r>
          </w:p>
          <w:p w14:paraId="17755DF5" w14:textId="77777777" w:rsidR="001A5EEA" w:rsidRPr="007923C2" w:rsidRDefault="001A5EEA" w:rsidP="001A5EEA">
            <w:pPr>
              <w:rPr>
                <w:rFonts w:ascii="Arial" w:eastAsia="Calibri" w:hAnsi="Arial" w:cs="Arial"/>
                <w:sz w:val="22"/>
                <w:szCs w:val="22"/>
                <w:lang w:val="en-US" w:eastAsia="en-US"/>
              </w:rPr>
            </w:pPr>
          </w:p>
          <w:p w14:paraId="0CA24CE2"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2</w:t>
            </w:r>
          </w:p>
        </w:tc>
        <w:tc>
          <w:tcPr>
            <w:tcW w:w="3961" w:type="dxa"/>
          </w:tcPr>
          <w:p w14:paraId="496C3B84"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Economía Ambiental y de Recursos Naturales</w:t>
            </w:r>
          </w:p>
          <w:p w14:paraId="5834006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Economía de las Unidades de Producción</w:t>
            </w:r>
          </w:p>
        </w:tc>
        <w:tc>
          <w:tcPr>
            <w:tcW w:w="1418" w:type="dxa"/>
          </w:tcPr>
          <w:p w14:paraId="5DFF89B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ECA410</w:t>
            </w:r>
          </w:p>
          <w:p w14:paraId="2F540535" w14:textId="77777777" w:rsidR="001A5EEA" w:rsidRPr="007923C2" w:rsidRDefault="001A5EEA" w:rsidP="001A5EEA">
            <w:pPr>
              <w:rPr>
                <w:rFonts w:ascii="Arial" w:eastAsia="Calibri" w:hAnsi="Arial" w:cs="Arial"/>
                <w:sz w:val="22"/>
                <w:szCs w:val="22"/>
                <w:lang w:eastAsia="en-US"/>
              </w:rPr>
            </w:pPr>
          </w:p>
          <w:p w14:paraId="45588B29"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ECA496 OP</w:t>
            </w:r>
          </w:p>
        </w:tc>
      </w:tr>
      <w:tr w:rsidR="001A5EEA" w:rsidRPr="007923C2" w14:paraId="3DE0CE2E" w14:textId="77777777" w:rsidTr="001A5EEA">
        <w:tc>
          <w:tcPr>
            <w:tcW w:w="3645" w:type="dxa"/>
          </w:tcPr>
          <w:p w14:paraId="4763586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Estadística y Cálculo</w:t>
            </w:r>
          </w:p>
        </w:tc>
        <w:tc>
          <w:tcPr>
            <w:tcW w:w="440" w:type="dxa"/>
          </w:tcPr>
          <w:p w14:paraId="49443A5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14:paraId="597E24C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p w14:paraId="5755704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w:t>
            </w:r>
          </w:p>
          <w:p w14:paraId="03C073E4"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4</w:t>
            </w:r>
          </w:p>
        </w:tc>
        <w:tc>
          <w:tcPr>
            <w:tcW w:w="3961" w:type="dxa"/>
          </w:tcPr>
          <w:p w14:paraId="092A9220"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Diseños Experimentales</w:t>
            </w:r>
          </w:p>
          <w:p w14:paraId="4134941E"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Bioestadística</w:t>
            </w:r>
          </w:p>
          <w:p w14:paraId="1923091C"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Matemáticas</w:t>
            </w:r>
          </w:p>
          <w:p w14:paraId="7021323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Cálculo Diferencial e Integral</w:t>
            </w:r>
          </w:p>
        </w:tc>
        <w:tc>
          <w:tcPr>
            <w:tcW w:w="1418" w:type="dxa"/>
          </w:tcPr>
          <w:p w14:paraId="449046EA"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DEC430</w:t>
            </w:r>
          </w:p>
          <w:p w14:paraId="6DFD5E3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DEC427</w:t>
            </w:r>
          </w:p>
          <w:p w14:paraId="2C15453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DEC410</w:t>
            </w:r>
          </w:p>
          <w:p w14:paraId="470C4C88"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DEC405</w:t>
            </w:r>
          </w:p>
        </w:tc>
      </w:tr>
      <w:tr w:rsidR="001A5EEA" w:rsidRPr="007923C2" w14:paraId="3A60983D" w14:textId="77777777" w:rsidTr="001A5EEA">
        <w:tc>
          <w:tcPr>
            <w:tcW w:w="3645" w:type="dxa"/>
          </w:tcPr>
          <w:p w14:paraId="74528D34"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Fitomejoramiento</w:t>
            </w:r>
          </w:p>
        </w:tc>
        <w:tc>
          <w:tcPr>
            <w:tcW w:w="440" w:type="dxa"/>
          </w:tcPr>
          <w:p w14:paraId="1E00039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14:paraId="0195BF4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p w14:paraId="68D8967B"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w:t>
            </w:r>
          </w:p>
          <w:p w14:paraId="5811DEA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4</w:t>
            </w:r>
          </w:p>
          <w:p w14:paraId="4097762C"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5</w:t>
            </w:r>
          </w:p>
          <w:p w14:paraId="0D9D5718"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6</w:t>
            </w:r>
          </w:p>
          <w:p w14:paraId="6822F6C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7</w:t>
            </w:r>
          </w:p>
          <w:p w14:paraId="20621FF0"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8</w:t>
            </w:r>
          </w:p>
          <w:p w14:paraId="6F700663"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9</w:t>
            </w:r>
          </w:p>
          <w:p w14:paraId="37B1F9C1"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10</w:t>
            </w:r>
          </w:p>
          <w:p w14:paraId="41C7294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11</w:t>
            </w:r>
          </w:p>
          <w:p w14:paraId="108712D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12</w:t>
            </w:r>
          </w:p>
        </w:tc>
        <w:tc>
          <w:tcPr>
            <w:tcW w:w="3961" w:type="dxa"/>
          </w:tcPr>
          <w:p w14:paraId="28EA5C4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Genética</w:t>
            </w:r>
          </w:p>
          <w:p w14:paraId="41E21283"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Agricultura Sustentable e inocuidad</w:t>
            </w:r>
          </w:p>
          <w:p w14:paraId="18ED10D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Recursos Genéticos</w:t>
            </w:r>
          </w:p>
          <w:p w14:paraId="59AB0AF9"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Organismos Transgénicos</w:t>
            </w:r>
          </w:p>
          <w:p w14:paraId="11D0E5A0"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Biotecnología I</w:t>
            </w:r>
          </w:p>
          <w:p w14:paraId="1605E59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Biotecnología II</w:t>
            </w:r>
          </w:p>
          <w:p w14:paraId="7B44DF9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Producción de Hongos Comestibles</w:t>
            </w:r>
          </w:p>
          <w:p w14:paraId="1C427D9F"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Ingeniería Genética</w:t>
            </w:r>
          </w:p>
          <w:p w14:paraId="3DDA079E"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Producción Agroecológica</w:t>
            </w:r>
          </w:p>
          <w:p w14:paraId="7062FD7B"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Producción en Invernaderos</w:t>
            </w:r>
          </w:p>
          <w:p w14:paraId="20A343A8"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Producción de Cultivos</w:t>
            </w:r>
            <w:r w:rsidR="004B4094">
              <w:rPr>
                <w:rFonts w:ascii="Arial" w:eastAsia="Calibri" w:hAnsi="Arial" w:cs="Arial"/>
                <w:sz w:val="22"/>
                <w:szCs w:val="22"/>
                <w:lang w:eastAsia="en-US"/>
              </w:rPr>
              <w:t xml:space="preserve"> básicos</w:t>
            </w:r>
          </w:p>
          <w:p w14:paraId="32675421"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Principios de Producción</w:t>
            </w:r>
          </w:p>
        </w:tc>
        <w:tc>
          <w:tcPr>
            <w:tcW w:w="1418" w:type="dxa"/>
          </w:tcPr>
          <w:p w14:paraId="4113567F"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FIT401</w:t>
            </w:r>
          </w:p>
          <w:p w14:paraId="1DEA1E2E"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FIT471</w:t>
            </w:r>
          </w:p>
          <w:p w14:paraId="39948E99"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FIT454 OP</w:t>
            </w:r>
          </w:p>
          <w:p w14:paraId="132F4CCA"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FIT481 OP</w:t>
            </w:r>
          </w:p>
          <w:p w14:paraId="18A1A69F"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FIT492 OP</w:t>
            </w:r>
          </w:p>
          <w:p w14:paraId="0C81CEF2"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FIT493 OP</w:t>
            </w:r>
          </w:p>
          <w:p w14:paraId="6AECE1B1"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FIT496 OP</w:t>
            </w:r>
          </w:p>
          <w:p w14:paraId="1C9B43F5"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FIT498 OP</w:t>
            </w:r>
          </w:p>
          <w:p w14:paraId="0B8ABCD6"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FIT427 OP</w:t>
            </w:r>
          </w:p>
          <w:p w14:paraId="647B255F"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FIT477 OP</w:t>
            </w:r>
          </w:p>
          <w:p w14:paraId="6355A03A"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FIT450 OP</w:t>
            </w:r>
          </w:p>
          <w:p w14:paraId="66F0AE6E"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FIT423 OP</w:t>
            </w:r>
          </w:p>
        </w:tc>
      </w:tr>
      <w:tr w:rsidR="001A5EEA" w:rsidRPr="001C2EB7" w14:paraId="44A64758" w14:textId="77777777" w:rsidTr="001A5EEA">
        <w:tc>
          <w:tcPr>
            <w:tcW w:w="3645" w:type="dxa"/>
          </w:tcPr>
          <w:p w14:paraId="26BD33AE"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Forestal</w:t>
            </w:r>
          </w:p>
        </w:tc>
        <w:tc>
          <w:tcPr>
            <w:tcW w:w="440" w:type="dxa"/>
          </w:tcPr>
          <w:p w14:paraId="437453AE"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1</w:t>
            </w:r>
          </w:p>
          <w:p w14:paraId="60BB2043"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2</w:t>
            </w:r>
          </w:p>
          <w:p w14:paraId="05D19351"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3</w:t>
            </w:r>
          </w:p>
          <w:p w14:paraId="540D5042"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4</w:t>
            </w:r>
          </w:p>
          <w:p w14:paraId="1DCCD8E8"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5</w:t>
            </w:r>
          </w:p>
          <w:p w14:paraId="56AA0975"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6</w:t>
            </w:r>
          </w:p>
        </w:tc>
        <w:tc>
          <w:tcPr>
            <w:tcW w:w="3961" w:type="dxa"/>
          </w:tcPr>
          <w:p w14:paraId="5439AACA"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Legislación Forestal y Ambiental</w:t>
            </w:r>
          </w:p>
          <w:p w14:paraId="4359E6B1"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Evaluación del Impacto Ambiental</w:t>
            </w:r>
          </w:p>
          <w:p w14:paraId="6AF3EFF0"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Ordenamiento Ecológico</w:t>
            </w:r>
          </w:p>
          <w:p w14:paraId="2B48A9A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Recursos Renovables de Zonas Áridas</w:t>
            </w:r>
          </w:p>
          <w:p w14:paraId="1DA108AB"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Sensores Remotos</w:t>
            </w:r>
          </w:p>
          <w:p w14:paraId="45D646E9"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Manejo de Áreas Naturales Protegidas</w:t>
            </w:r>
          </w:p>
        </w:tc>
        <w:tc>
          <w:tcPr>
            <w:tcW w:w="1418" w:type="dxa"/>
          </w:tcPr>
          <w:p w14:paraId="486B3ABA"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FOR436 OP</w:t>
            </w:r>
          </w:p>
          <w:p w14:paraId="54B8C27E"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FOR466 OP</w:t>
            </w:r>
          </w:p>
          <w:p w14:paraId="4F0A3C35"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FOR482 OP</w:t>
            </w:r>
          </w:p>
          <w:p w14:paraId="56B48E53"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FOR474 OP</w:t>
            </w:r>
          </w:p>
          <w:p w14:paraId="67C4F485"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FOR433 OP</w:t>
            </w:r>
          </w:p>
          <w:p w14:paraId="09E58183"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FOR475 OP</w:t>
            </w:r>
          </w:p>
        </w:tc>
      </w:tr>
      <w:tr w:rsidR="001A5EEA" w:rsidRPr="007923C2" w14:paraId="2574DA08" w14:textId="77777777" w:rsidTr="001A5EEA">
        <w:tc>
          <w:tcPr>
            <w:tcW w:w="3645" w:type="dxa"/>
          </w:tcPr>
          <w:p w14:paraId="3A0BE31F"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Parasitología</w:t>
            </w:r>
          </w:p>
        </w:tc>
        <w:tc>
          <w:tcPr>
            <w:tcW w:w="440" w:type="dxa"/>
          </w:tcPr>
          <w:p w14:paraId="7514E22B"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1</w:t>
            </w:r>
          </w:p>
          <w:p w14:paraId="3D357785"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2</w:t>
            </w:r>
          </w:p>
          <w:p w14:paraId="4736F25F"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3</w:t>
            </w:r>
          </w:p>
          <w:p w14:paraId="21FD042D"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4</w:t>
            </w:r>
          </w:p>
          <w:p w14:paraId="0295E7C7"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5</w:t>
            </w:r>
          </w:p>
        </w:tc>
        <w:tc>
          <w:tcPr>
            <w:tcW w:w="3961" w:type="dxa"/>
          </w:tcPr>
          <w:p w14:paraId="4BE95DF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Microbiología Industrial</w:t>
            </w:r>
          </w:p>
          <w:p w14:paraId="52C687B3"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Ecología de Plagas y Enfermedades</w:t>
            </w:r>
          </w:p>
          <w:p w14:paraId="2550CD00"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Entomología</w:t>
            </w:r>
          </w:p>
          <w:p w14:paraId="27D52CDA"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Manejo Integrado de Plagas</w:t>
            </w:r>
          </w:p>
          <w:p w14:paraId="38267559"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Introducción a la Biotecnología Molecular </w:t>
            </w:r>
          </w:p>
        </w:tc>
        <w:tc>
          <w:tcPr>
            <w:tcW w:w="1418" w:type="dxa"/>
          </w:tcPr>
          <w:p w14:paraId="36709C1E"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PAR496 OP</w:t>
            </w:r>
          </w:p>
          <w:p w14:paraId="1921FB00"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PAR497 OP</w:t>
            </w:r>
          </w:p>
          <w:p w14:paraId="47A6E92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PAR486</w:t>
            </w:r>
          </w:p>
          <w:p w14:paraId="694B087B"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PAR498</w:t>
            </w:r>
          </w:p>
          <w:p w14:paraId="7E9140EE"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PAR478 OP</w:t>
            </w:r>
          </w:p>
        </w:tc>
      </w:tr>
      <w:tr w:rsidR="001A5EEA" w:rsidRPr="001C2EB7" w14:paraId="29F3C426" w14:textId="77777777" w:rsidTr="001A5EEA">
        <w:tc>
          <w:tcPr>
            <w:tcW w:w="3645" w:type="dxa"/>
          </w:tcPr>
          <w:p w14:paraId="0EDD2A38"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Recursos Naturales</w:t>
            </w:r>
          </w:p>
        </w:tc>
        <w:tc>
          <w:tcPr>
            <w:tcW w:w="440" w:type="dxa"/>
          </w:tcPr>
          <w:p w14:paraId="55A95A7E"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14:paraId="5D017DCC"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p w14:paraId="1D43D5C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w:t>
            </w:r>
          </w:p>
        </w:tc>
        <w:tc>
          <w:tcPr>
            <w:tcW w:w="3961" w:type="dxa"/>
          </w:tcPr>
          <w:p w14:paraId="4E6CDE8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Percepción Remota</w:t>
            </w:r>
          </w:p>
          <w:p w14:paraId="41A1B37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Fauna Silvestre</w:t>
            </w:r>
          </w:p>
          <w:p w14:paraId="736EAE93"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Organización Cinegética</w:t>
            </w:r>
          </w:p>
        </w:tc>
        <w:tc>
          <w:tcPr>
            <w:tcW w:w="1418" w:type="dxa"/>
          </w:tcPr>
          <w:p w14:paraId="782C2F24"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RNR439 OP</w:t>
            </w:r>
          </w:p>
          <w:p w14:paraId="52196E17"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RNR431</w:t>
            </w:r>
          </w:p>
          <w:p w14:paraId="34A1457E" w14:textId="77777777"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RNR433 OP</w:t>
            </w:r>
          </w:p>
        </w:tc>
      </w:tr>
      <w:tr w:rsidR="001A5EEA" w:rsidRPr="007923C2" w14:paraId="38E625ED" w14:textId="77777777" w:rsidTr="001A5EEA">
        <w:tc>
          <w:tcPr>
            <w:tcW w:w="3645" w:type="dxa"/>
          </w:tcPr>
          <w:p w14:paraId="07B8A353"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Riego y Drenaje</w:t>
            </w:r>
          </w:p>
        </w:tc>
        <w:tc>
          <w:tcPr>
            <w:tcW w:w="440" w:type="dxa"/>
          </w:tcPr>
          <w:p w14:paraId="515E5F7F"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tc>
        <w:tc>
          <w:tcPr>
            <w:tcW w:w="3961" w:type="dxa"/>
          </w:tcPr>
          <w:p w14:paraId="2C827BC1"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Manejo Agroecológico del Agua</w:t>
            </w:r>
          </w:p>
        </w:tc>
        <w:tc>
          <w:tcPr>
            <w:tcW w:w="1418" w:type="dxa"/>
          </w:tcPr>
          <w:p w14:paraId="24D2752E"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RYD483</w:t>
            </w:r>
          </w:p>
        </w:tc>
      </w:tr>
      <w:tr w:rsidR="001A5EEA" w:rsidRPr="007923C2" w14:paraId="55AF5E6D" w14:textId="77777777" w:rsidTr="001A5EEA">
        <w:tc>
          <w:tcPr>
            <w:tcW w:w="3645" w:type="dxa"/>
          </w:tcPr>
          <w:p w14:paraId="7049C21F"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Sociología</w:t>
            </w:r>
          </w:p>
        </w:tc>
        <w:tc>
          <w:tcPr>
            <w:tcW w:w="440" w:type="dxa"/>
          </w:tcPr>
          <w:p w14:paraId="58A914F9"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tc>
        <w:tc>
          <w:tcPr>
            <w:tcW w:w="3961" w:type="dxa"/>
          </w:tcPr>
          <w:p w14:paraId="69967C1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Taller de Comunicación Oral y Escrita</w:t>
            </w:r>
          </w:p>
        </w:tc>
        <w:tc>
          <w:tcPr>
            <w:tcW w:w="1418" w:type="dxa"/>
          </w:tcPr>
          <w:p w14:paraId="4D23137C"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SOC405</w:t>
            </w:r>
          </w:p>
        </w:tc>
      </w:tr>
      <w:tr w:rsidR="001A5EEA" w:rsidRPr="007923C2" w14:paraId="149E8C84" w14:textId="77777777" w:rsidTr="001A5EEA">
        <w:tc>
          <w:tcPr>
            <w:tcW w:w="3645" w:type="dxa"/>
          </w:tcPr>
          <w:p w14:paraId="43C6686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Suelos</w:t>
            </w:r>
          </w:p>
        </w:tc>
        <w:tc>
          <w:tcPr>
            <w:tcW w:w="440" w:type="dxa"/>
          </w:tcPr>
          <w:p w14:paraId="2D9FBAA4"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14:paraId="63C7F82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p w14:paraId="0987AA1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w:t>
            </w:r>
          </w:p>
          <w:p w14:paraId="3494F77E"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4</w:t>
            </w:r>
          </w:p>
          <w:p w14:paraId="51E76D0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5</w:t>
            </w:r>
          </w:p>
          <w:p w14:paraId="364E4743"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6</w:t>
            </w:r>
          </w:p>
        </w:tc>
        <w:tc>
          <w:tcPr>
            <w:tcW w:w="3961" w:type="dxa"/>
          </w:tcPr>
          <w:p w14:paraId="7410A523"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Introducción a la Ciencia del Suelo</w:t>
            </w:r>
          </w:p>
          <w:p w14:paraId="3D9C1AB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Arquitectura del Paisaje</w:t>
            </w:r>
          </w:p>
          <w:p w14:paraId="28B9A0A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Toxicología Ambiental</w:t>
            </w:r>
          </w:p>
          <w:p w14:paraId="74549C53"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Manejo Agroecológico del Suelo</w:t>
            </w:r>
          </w:p>
          <w:p w14:paraId="6CFE19CE"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Fertilidad y Fertilización de Suelos</w:t>
            </w:r>
          </w:p>
          <w:p w14:paraId="6B30E533"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Conservación de Suelo y Agua</w:t>
            </w:r>
          </w:p>
        </w:tc>
        <w:tc>
          <w:tcPr>
            <w:tcW w:w="1418" w:type="dxa"/>
          </w:tcPr>
          <w:p w14:paraId="4DD5CEFC"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SUE403</w:t>
            </w:r>
          </w:p>
          <w:p w14:paraId="1E72845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SUE409 OP</w:t>
            </w:r>
          </w:p>
          <w:p w14:paraId="2A4B1169"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SUE483 OP</w:t>
            </w:r>
          </w:p>
          <w:p w14:paraId="1CE7B7E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SUE486</w:t>
            </w:r>
          </w:p>
          <w:p w14:paraId="0086A25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SUE420</w:t>
            </w:r>
          </w:p>
          <w:p w14:paraId="480F78EA"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SUE462 OP</w:t>
            </w:r>
          </w:p>
        </w:tc>
      </w:tr>
      <w:tr w:rsidR="001A5EEA" w:rsidRPr="007923C2" w14:paraId="1902FACB" w14:textId="77777777" w:rsidTr="001A5EEA">
        <w:tc>
          <w:tcPr>
            <w:tcW w:w="3645" w:type="dxa"/>
          </w:tcPr>
          <w:p w14:paraId="21816B49"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Unidad Académica de Idiomas</w:t>
            </w:r>
          </w:p>
        </w:tc>
        <w:tc>
          <w:tcPr>
            <w:tcW w:w="440" w:type="dxa"/>
          </w:tcPr>
          <w:p w14:paraId="7CFDA65C"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14:paraId="29E4054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tc>
        <w:tc>
          <w:tcPr>
            <w:tcW w:w="3961" w:type="dxa"/>
          </w:tcPr>
          <w:p w14:paraId="2BAAE6A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Inglés I</w:t>
            </w:r>
          </w:p>
          <w:p w14:paraId="565EA207"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Inglés II</w:t>
            </w:r>
          </w:p>
        </w:tc>
        <w:tc>
          <w:tcPr>
            <w:tcW w:w="1418" w:type="dxa"/>
          </w:tcPr>
          <w:p w14:paraId="077AC3D5"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UAI401</w:t>
            </w:r>
          </w:p>
          <w:p w14:paraId="0BB77B54"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UAI410</w:t>
            </w:r>
          </w:p>
        </w:tc>
      </w:tr>
      <w:tr w:rsidR="001A5EEA" w:rsidRPr="007923C2" w14:paraId="383145E9" w14:textId="77777777" w:rsidTr="001A5EEA">
        <w:tc>
          <w:tcPr>
            <w:tcW w:w="3645" w:type="dxa"/>
          </w:tcPr>
          <w:p w14:paraId="225BF6D8"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Agrofísica</w:t>
            </w:r>
          </w:p>
        </w:tc>
        <w:tc>
          <w:tcPr>
            <w:tcW w:w="440" w:type="dxa"/>
          </w:tcPr>
          <w:p w14:paraId="3D197FAE"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tc>
        <w:tc>
          <w:tcPr>
            <w:tcW w:w="3961" w:type="dxa"/>
          </w:tcPr>
          <w:p w14:paraId="16440D6E"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Agrofísica I</w:t>
            </w:r>
          </w:p>
        </w:tc>
        <w:tc>
          <w:tcPr>
            <w:tcW w:w="1418" w:type="dxa"/>
          </w:tcPr>
          <w:p w14:paraId="4BC3F8EC"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AGF403</w:t>
            </w:r>
          </w:p>
        </w:tc>
      </w:tr>
      <w:tr w:rsidR="001A5EEA" w:rsidRPr="007923C2" w14:paraId="107D0BF5" w14:textId="77777777" w:rsidTr="001A5EEA">
        <w:tc>
          <w:tcPr>
            <w:tcW w:w="3645" w:type="dxa"/>
          </w:tcPr>
          <w:p w14:paraId="5553BCC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Horticultura </w:t>
            </w:r>
          </w:p>
        </w:tc>
        <w:tc>
          <w:tcPr>
            <w:tcW w:w="440" w:type="dxa"/>
          </w:tcPr>
          <w:p w14:paraId="087D326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14:paraId="46033750"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tc>
        <w:tc>
          <w:tcPr>
            <w:tcW w:w="3961" w:type="dxa"/>
          </w:tcPr>
          <w:p w14:paraId="046DE41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Fisiotecnia de Cultivos Hortícolas</w:t>
            </w:r>
          </w:p>
          <w:p w14:paraId="06D4DD2B"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Olericultura</w:t>
            </w:r>
          </w:p>
        </w:tc>
        <w:tc>
          <w:tcPr>
            <w:tcW w:w="1418" w:type="dxa"/>
          </w:tcPr>
          <w:p w14:paraId="2F3569AD"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HOR421 OP</w:t>
            </w:r>
          </w:p>
          <w:p w14:paraId="2F23EE63"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HOR443 OP</w:t>
            </w:r>
          </w:p>
        </w:tc>
      </w:tr>
      <w:tr w:rsidR="001A5EEA" w:rsidRPr="007923C2" w14:paraId="772F11FE" w14:textId="77777777" w:rsidTr="001A5EEA">
        <w:tc>
          <w:tcPr>
            <w:tcW w:w="3645" w:type="dxa"/>
          </w:tcPr>
          <w:p w14:paraId="28406E21"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Alimentos</w:t>
            </w:r>
          </w:p>
        </w:tc>
        <w:tc>
          <w:tcPr>
            <w:tcW w:w="440" w:type="dxa"/>
          </w:tcPr>
          <w:p w14:paraId="4ACD9D56"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tc>
        <w:tc>
          <w:tcPr>
            <w:tcW w:w="3961" w:type="dxa"/>
          </w:tcPr>
          <w:p w14:paraId="4D19D2AB"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Microbiología I</w:t>
            </w:r>
          </w:p>
        </w:tc>
        <w:tc>
          <w:tcPr>
            <w:tcW w:w="1418" w:type="dxa"/>
          </w:tcPr>
          <w:p w14:paraId="72B3CF92" w14:textId="77777777"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PRA423</w:t>
            </w:r>
          </w:p>
        </w:tc>
      </w:tr>
    </w:tbl>
    <w:p w14:paraId="63D22426" w14:textId="77777777" w:rsidR="00864EBA" w:rsidRPr="007923C2" w:rsidRDefault="00864EBA" w:rsidP="00A52853">
      <w:pPr>
        <w:widowControl w:val="0"/>
        <w:autoSpaceDE w:val="0"/>
        <w:autoSpaceDN w:val="0"/>
        <w:adjustRightInd w:val="0"/>
        <w:rPr>
          <w:rFonts w:ascii="Arial" w:hAnsi="Arial" w:cs="Arial"/>
          <w:b/>
          <w:color w:val="FF0000"/>
          <w:sz w:val="22"/>
          <w:szCs w:val="22"/>
        </w:rPr>
      </w:pPr>
    </w:p>
    <w:p w14:paraId="145AF47E" w14:textId="77777777" w:rsidR="00FB15B9" w:rsidRDefault="00FB15B9" w:rsidP="005E47E4">
      <w:pPr>
        <w:widowControl w:val="0"/>
        <w:autoSpaceDE w:val="0"/>
        <w:autoSpaceDN w:val="0"/>
        <w:adjustRightInd w:val="0"/>
        <w:jc w:val="both"/>
        <w:rPr>
          <w:rFonts w:ascii="Arial" w:hAnsi="Arial" w:cs="Arial"/>
          <w:b/>
          <w:sz w:val="22"/>
          <w:szCs w:val="22"/>
        </w:rPr>
      </w:pPr>
    </w:p>
    <w:p w14:paraId="00624458" w14:textId="77777777" w:rsidR="00FB15B9" w:rsidRDefault="00FB15B9" w:rsidP="005E47E4">
      <w:pPr>
        <w:widowControl w:val="0"/>
        <w:autoSpaceDE w:val="0"/>
        <w:autoSpaceDN w:val="0"/>
        <w:adjustRightInd w:val="0"/>
        <w:jc w:val="both"/>
        <w:rPr>
          <w:rFonts w:ascii="Arial" w:hAnsi="Arial" w:cs="Arial"/>
          <w:b/>
          <w:sz w:val="22"/>
          <w:szCs w:val="22"/>
        </w:rPr>
      </w:pPr>
    </w:p>
    <w:p w14:paraId="54E48AC8" w14:textId="77777777" w:rsidR="00864EBA" w:rsidRPr="007923C2" w:rsidRDefault="00496FF5"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CONTENIDO Y PROCESOS EN FUNCIÓN DE LA NOMENCLATURA DE LA CARRERA</w:t>
      </w:r>
    </w:p>
    <w:tbl>
      <w:tblPr>
        <w:tblStyle w:val="Tablaconcuadrcula1"/>
        <w:tblW w:w="9209" w:type="dxa"/>
        <w:tblLook w:val="04A0" w:firstRow="1" w:lastRow="0" w:firstColumn="1" w:lastColumn="0" w:noHBand="0" w:noVBand="1"/>
      </w:tblPr>
      <w:tblGrid>
        <w:gridCol w:w="1495"/>
        <w:gridCol w:w="1761"/>
        <w:gridCol w:w="1559"/>
        <w:gridCol w:w="1554"/>
        <w:gridCol w:w="1559"/>
        <w:gridCol w:w="1281"/>
      </w:tblGrid>
      <w:tr w:rsidR="005563C0" w:rsidRPr="007923C2" w14:paraId="6369DD49" w14:textId="77777777" w:rsidTr="005563C0">
        <w:trPr>
          <w:trHeight w:val="585"/>
        </w:trPr>
        <w:tc>
          <w:tcPr>
            <w:tcW w:w="1495" w:type="dxa"/>
            <w:vMerge w:val="restart"/>
            <w:vAlign w:val="center"/>
          </w:tcPr>
          <w:p w14:paraId="5EACF7F1" w14:textId="77777777"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Formación general</w:t>
            </w:r>
          </w:p>
        </w:tc>
        <w:tc>
          <w:tcPr>
            <w:tcW w:w="4874" w:type="dxa"/>
            <w:gridSpan w:val="3"/>
            <w:vAlign w:val="center"/>
          </w:tcPr>
          <w:p w14:paraId="2CB0C63F" w14:textId="77777777"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Ingeniería en Agrobiología</w:t>
            </w:r>
          </w:p>
        </w:tc>
        <w:tc>
          <w:tcPr>
            <w:tcW w:w="1559" w:type="dxa"/>
            <w:vMerge w:val="restart"/>
            <w:vAlign w:val="center"/>
          </w:tcPr>
          <w:p w14:paraId="14B235BB" w14:textId="77777777"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Sociales, administrativas, humanísticas, computacionales</w:t>
            </w:r>
          </w:p>
        </w:tc>
        <w:tc>
          <w:tcPr>
            <w:tcW w:w="1281" w:type="dxa"/>
            <w:vMerge w:val="restart"/>
            <w:vAlign w:val="center"/>
          </w:tcPr>
          <w:p w14:paraId="13C40E6B" w14:textId="77777777"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Otros contenidos</w:t>
            </w:r>
          </w:p>
        </w:tc>
      </w:tr>
      <w:tr w:rsidR="005563C0" w:rsidRPr="007923C2" w14:paraId="6C9C3BB8" w14:textId="77777777" w:rsidTr="005563C0">
        <w:trPr>
          <w:trHeight w:val="480"/>
        </w:trPr>
        <w:tc>
          <w:tcPr>
            <w:tcW w:w="1495" w:type="dxa"/>
            <w:vMerge/>
            <w:vAlign w:val="center"/>
          </w:tcPr>
          <w:p w14:paraId="6F5B1F1F" w14:textId="77777777" w:rsidR="005563C0" w:rsidRPr="000223A2" w:rsidRDefault="005563C0" w:rsidP="005563C0">
            <w:pPr>
              <w:jc w:val="center"/>
              <w:rPr>
                <w:rFonts w:ascii="Arial" w:eastAsiaTheme="minorHAnsi" w:hAnsi="Arial" w:cs="Arial"/>
                <w:sz w:val="16"/>
                <w:szCs w:val="16"/>
              </w:rPr>
            </w:pPr>
          </w:p>
        </w:tc>
        <w:tc>
          <w:tcPr>
            <w:tcW w:w="1761" w:type="dxa"/>
            <w:vAlign w:val="center"/>
          </w:tcPr>
          <w:p w14:paraId="15C5CDCB" w14:textId="77777777"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Agricultura alternativa</w:t>
            </w:r>
          </w:p>
        </w:tc>
        <w:tc>
          <w:tcPr>
            <w:tcW w:w="1559" w:type="dxa"/>
            <w:vAlign w:val="center"/>
          </w:tcPr>
          <w:p w14:paraId="60749D04" w14:textId="77777777"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Ecología y contaminación</w:t>
            </w:r>
          </w:p>
        </w:tc>
        <w:tc>
          <w:tcPr>
            <w:tcW w:w="1554" w:type="dxa"/>
            <w:vAlign w:val="center"/>
          </w:tcPr>
          <w:p w14:paraId="74B88C19" w14:textId="77777777"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Biotecnología</w:t>
            </w:r>
          </w:p>
        </w:tc>
        <w:tc>
          <w:tcPr>
            <w:tcW w:w="1559" w:type="dxa"/>
            <w:vMerge/>
            <w:vAlign w:val="center"/>
          </w:tcPr>
          <w:p w14:paraId="66E39FA1" w14:textId="77777777" w:rsidR="005563C0" w:rsidRPr="000223A2" w:rsidRDefault="005563C0" w:rsidP="005563C0">
            <w:pPr>
              <w:jc w:val="center"/>
              <w:rPr>
                <w:rFonts w:ascii="Arial" w:eastAsiaTheme="minorHAnsi" w:hAnsi="Arial" w:cs="Arial"/>
                <w:sz w:val="16"/>
                <w:szCs w:val="16"/>
              </w:rPr>
            </w:pPr>
          </w:p>
        </w:tc>
        <w:tc>
          <w:tcPr>
            <w:tcW w:w="1281" w:type="dxa"/>
            <w:vMerge/>
            <w:vAlign w:val="center"/>
          </w:tcPr>
          <w:p w14:paraId="456FC9C4" w14:textId="77777777" w:rsidR="005563C0" w:rsidRPr="000223A2" w:rsidRDefault="005563C0" w:rsidP="005563C0">
            <w:pPr>
              <w:jc w:val="center"/>
              <w:rPr>
                <w:rFonts w:ascii="Arial" w:eastAsiaTheme="minorHAnsi" w:hAnsi="Arial" w:cs="Arial"/>
                <w:sz w:val="16"/>
                <w:szCs w:val="16"/>
              </w:rPr>
            </w:pPr>
          </w:p>
        </w:tc>
      </w:tr>
      <w:tr w:rsidR="005563C0" w:rsidRPr="007923C2" w14:paraId="094B450A" w14:textId="77777777" w:rsidTr="005563C0">
        <w:tc>
          <w:tcPr>
            <w:tcW w:w="1495" w:type="dxa"/>
          </w:tcPr>
          <w:p w14:paraId="40ABE1AD"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Matemáticas</w:t>
            </w:r>
          </w:p>
          <w:p w14:paraId="1CFD8FFA"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Química</w:t>
            </w:r>
          </w:p>
          <w:p w14:paraId="46893366"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Biología</w:t>
            </w:r>
          </w:p>
          <w:p w14:paraId="1885B822"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Introducción a la ciencia del suelo</w:t>
            </w:r>
          </w:p>
          <w:p w14:paraId="5CF5AF4A"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Cálculo diferencial e integral</w:t>
            </w:r>
          </w:p>
          <w:p w14:paraId="585299E6"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Bioquímica </w:t>
            </w:r>
          </w:p>
          <w:p w14:paraId="73E6FB98"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Botánica I </w:t>
            </w:r>
          </w:p>
          <w:p w14:paraId="7F4EFDC3"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Botánica II</w:t>
            </w:r>
          </w:p>
          <w:p w14:paraId="146A124F" w14:textId="788216D4"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Zoología </w:t>
            </w:r>
            <w:r w:rsidR="000F6CCA">
              <w:rPr>
                <w:rFonts w:ascii="Arial" w:eastAsiaTheme="minorHAnsi" w:hAnsi="Arial" w:cs="Arial"/>
                <w:sz w:val="16"/>
                <w:szCs w:val="16"/>
              </w:rPr>
              <w:t>gral.</w:t>
            </w:r>
          </w:p>
          <w:p w14:paraId="444D2CE7"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Agrofísica I</w:t>
            </w:r>
          </w:p>
          <w:p w14:paraId="5FC06957"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Sistemas biológicos </w:t>
            </w:r>
          </w:p>
          <w:p w14:paraId="73961D1F"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Genética</w:t>
            </w:r>
          </w:p>
          <w:p w14:paraId="60E82B64"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Entomología </w:t>
            </w:r>
          </w:p>
          <w:p w14:paraId="45D5825B" w14:textId="31B2C75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Ecología </w:t>
            </w:r>
            <w:r w:rsidR="000F6CCA">
              <w:rPr>
                <w:rFonts w:ascii="Arial" w:eastAsiaTheme="minorHAnsi" w:hAnsi="Arial" w:cs="Arial"/>
                <w:sz w:val="16"/>
                <w:szCs w:val="16"/>
              </w:rPr>
              <w:t>I</w:t>
            </w:r>
          </w:p>
          <w:p w14:paraId="2AF6AD88"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Climatología y meteorología </w:t>
            </w:r>
          </w:p>
          <w:p w14:paraId="546C1764"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Bioestadística </w:t>
            </w:r>
          </w:p>
          <w:p w14:paraId="51CA4120"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Fisiología vegetal </w:t>
            </w:r>
          </w:p>
          <w:p w14:paraId="573154BF"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Anatomía e histología vegetal </w:t>
            </w:r>
          </w:p>
          <w:p w14:paraId="1A8D0159"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Diseños experimentales</w:t>
            </w:r>
          </w:p>
          <w:p w14:paraId="2E7984A1"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Taller de investigación I </w:t>
            </w:r>
          </w:p>
          <w:p w14:paraId="06E1F167"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Taller de investigación II</w:t>
            </w:r>
          </w:p>
        </w:tc>
        <w:tc>
          <w:tcPr>
            <w:tcW w:w="1761" w:type="dxa"/>
          </w:tcPr>
          <w:p w14:paraId="24F6B8E3"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Manejo integra</w:t>
            </w:r>
            <w:r w:rsidR="0016422F">
              <w:rPr>
                <w:rFonts w:ascii="Arial" w:eastAsiaTheme="minorHAnsi" w:hAnsi="Arial" w:cs="Arial"/>
                <w:sz w:val="16"/>
                <w:szCs w:val="16"/>
              </w:rPr>
              <w:t>do</w:t>
            </w:r>
            <w:r w:rsidRPr="000223A2">
              <w:rPr>
                <w:rFonts w:ascii="Arial" w:eastAsiaTheme="minorHAnsi" w:hAnsi="Arial" w:cs="Arial"/>
                <w:sz w:val="16"/>
                <w:szCs w:val="16"/>
              </w:rPr>
              <w:t xml:space="preserve"> de plagas </w:t>
            </w:r>
          </w:p>
          <w:p w14:paraId="281FA659"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Fertilidad y fertilización del suelo</w:t>
            </w:r>
          </w:p>
          <w:p w14:paraId="613D5B8D"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Manejo agroecológico del suelo</w:t>
            </w:r>
          </w:p>
          <w:p w14:paraId="09EE2B69"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Agroecología </w:t>
            </w:r>
          </w:p>
          <w:p w14:paraId="1103FFF0"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Manejo agroecológico del agua</w:t>
            </w:r>
          </w:p>
          <w:p w14:paraId="617E54C8"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Agricultura sustentable e inocuidad </w:t>
            </w:r>
          </w:p>
          <w:p w14:paraId="46875825"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Bioagricultura </w:t>
            </w:r>
          </w:p>
          <w:p w14:paraId="514D54F6" w14:textId="77777777" w:rsidR="005563C0" w:rsidRPr="0016422F" w:rsidRDefault="005563C0" w:rsidP="005563C0">
            <w:pPr>
              <w:rPr>
                <w:rFonts w:ascii="Arial" w:eastAsiaTheme="minorHAnsi" w:hAnsi="Arial" w:cs="Arial"/>
                <w:b/>
                <w:sz w:val="16"/>
                <w:szCs w:val="16"/>
              </w:rPr>
            </w:pPr>
            <w:r w:rsidRPr="0016422F">
              <w:rPr>
                <w:rFonts w:ascii="Arial" w:eastAsiaTheme="minorHAnsi" w:hAnsi="Arial" w:cs="Arial"/>
                <w:b/>
                <w:sz w:val="16"/>
                <w:szCs w:val="16"/>
              </w:rPr>
              <w:t xml:space="preserve">Optativas </w:t>
            </w:r>
          </w:p>
          <w:p w14:paraId="1EC15330"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Agricultura biointensiva sostenible </w:t>
            </w:r>
          </w:p>
          <w:p w14:paraId="79A1088A"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Agrostología</w:t>
            </w:r>
          </w:p>
          <w:p w14:paraId="31D18780"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Ecología de plagas y enfermedades</w:t>
            </w:r>
          </w:p>
          <w:p w14:paraId="4E480C98"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Plantas medicinales y aromáticas </w:t>
            </w:r>
          </w:p>
          <w:p w14:paraId="3D180DEB"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Recursos genéticos </w:t>
            </w:r>
          </w:p>
          <w:p w14:paraId="5EDABD05"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Sistemas tradicionales de producción </w:t>
            </w:r>
          </w:p>
          <w:p w14:paraId="0892620E"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Manejo de invernadero</w:t>
            </w:r>
          </w:p>
          <w:p w14:paraId="72C86283"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Producción de cultivos básicos</w:t>
            </w:r>
          </w:p>
          <w:p w14:paraId="0C783AF9"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Ecología y desarrollo sostenible </w:t>
            </w:r>
          </w:p>
          <w:p w14:paraId="7B7B0DD6"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Ecología, producción y desarrollo campesino </w:t>
            </w:r>
          </w:p>
          <w:p w14:paraId="3ACED177"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lastRenderedPageBreak/>
              <w:t xml:space="preserve">Olericultura </w:t>
            </w:r>
          </w:p>
          <w:p w14:paraId="2B468C7C"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Producción agroecológica </w:t>
            </w:r>
          </w:p>
          <w:p w14:paraId="4C884B1C"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Economía de las unidades de producción </w:t>
            </w:r>
          </w:p>
          <w:p w14:paraId="23B657C0"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Producción de hongos comestibles </w:t>
            </w:r>
          </w:p>
          <w:p w14:paraId="25512DC7"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Topografía </w:t>
            </w:r>
          </w:p>
          <w:p w14:paraId="3655FAA5"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Fisiotecnia de cultivos hortícolas </w:t>
            </w:r>
          </w:p>
          <w:p w14:paraId="1B7D4D22"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Principios de producción </w:t>
            </w:r>
          </w:p>
          <w:p w14:paraId="3104C5E1"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Cultivo en invernadero rústico </w:t>
            </w:r>
          </w:p>
          <w:p w14:paraId="1F2808E1" w14:textId="77777777" w:rsidR="005563C0" w:rsidRPr="000223A2" w:rsidRDefault="005563C0" w:rsidP="005563C0">
            <w:pPr>
              <w:jc w:val="center"/>
              <w:rPr>
                <w:rFonts w:ascii="Arial" w:eastAsiaTheme="minorHAnsi" w:hAnsi="Arial" w:cs="Arial"/>
                <w:sz w:val="16"/>
                <w:szCs w:val="16"/>
              </w:rPr>
            </w:pPr>
          </w:p>
        </w:tc>
        <w:tc>
          <w:tcPr>
            <w:tcW w:w="1559" w:type="dxa"/>
          </w:tcPr>
          <w:p w14:paraId="5DE965CB"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lastRenderedPageBreak/>
              <w:t xml:space="preserve">Biodiversidad </w:t>
            </w:r>
          </w:p>
          <w:p w14:paraId="5DF31694"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Ecofisiología vegetal </w:t>
            </w:r>
          </w:p>
          <w:p w14:paraId="51B612F1"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Contaminación ambiental </w:t>
            </w:r>
          </w:p>
          <w:p w14:paraId="510185F6"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Fauna silvestre</w:t>
            </w:r>
          </w:p>
          <w:p w14:paraId="427D031C" w14:textId="41A65871"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Evaluación de ecosistemas </w:t>
            </w:r>
          </w:p>
          <w:p w14:paraId="50ED33B8"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Biología de las zonas áridas</w:t>
            </w:r>
          </w:p>
          <w:p w14:paraId="36E5FEEC"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Manejo y cons</w:t>
            </w:r>
            <w:r w:rsidR="00072CE3">
              <w:rPr>
                <w:rFonts w:ascii="Arial" w:eastAsiaTheme="minorHAnsi" w:hAnsi="Arial" w:cs="Arial"/>
                <w:sz w:val="16"/>
                <w:szCs w:val="16"/>
              </w:rPr>
              <w:t>ervación</w:t>
            </w:r>
            <w:r w:rsidRPr="000223A2">
              <w:rPr>
                <w:rFonts w:ascii="Arial" w:eastAsiaTheme="minorHAnsi" w:hAnsi="Arial" w:cs="Arial"/>
                <w:sz w:val="16"/>
                <w:szCs w:val="16"/>
              </w:rPr>
              <w:t xml:space="preserve"> de recursos bióticos</w:t>
            </w:r>
          </w:p>
          <w:p w14:paraId="30717ED9"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Ecología de áreas naturales protegidas</w:t>
            </w:r>
          </w:p>
          <w:p w14:paraId="0D1C1FE1" w14:textId="77777777" w:rsidR="005563C0" w:rsidRPr="00072CE3" w:rsidRDefault="005563C0" w:rsidP="005563C0">
            <w:pPr>
              <w:rPr>
                <w:rFonts w:ascii="Arial" w:eastAsiaTheme="minorHAnsi" w:hAnsi="Arial" w:cs="Arial"/>
                <w:b/>
                <w:sz w:val="16"/>
                <w:szCs w:val="16"/>
              </w:rPr>
            </w:pPr>
            <w:r w:rsidRPr="00072CE3">
              <w:rPr>
                <w:rFonts w:ascii="Arial" w:eastAsiaTheme="minorHAnsi" w:hAnsi="Arial" w:cs="Arial"/>
                <w:b/>
                <w:sz w:val="16"/>
                <w:szCs w:val="16"/>
              </w:rPr>
              <w:t xml:space="preserve">Optativas </w:t>
            </w:r>
          </w:p>
          <w:p w14:paraId="0AFFB470"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Arquitectura del paisaje</w:t>
            </w:r>
          </w:p>
          <w:p w14:paraId="0EB9DAEC"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Educación ambiental</w:t>
            </w:r>
          </w:p>
          <w:p w14:paraId="0B1045FC"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Legislación forestal y ambiental </w:t>
            </w:r>
          </w:p>
          <w:p w14:paraId="0A599B82"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Ordenamiento ecológico</w:t>
            </w:r>
          </w:p>
          <w:p w14:paraId="2AAF7E3A"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Percepción remota</w:t>
            </w:r>
          </w:p>
          <w:p w14:paraId="298A5329"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Plantas útiles de zonas áridas </w:t>
            </w:r>
          </w:p>
          <w:p w14:paraId="3AA50870"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Etnoecología </w:t>
            </w:r>
          </w:p>
          <w:p w14:paraId="68418188"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Toxicología ambiental </w:t>
            </w:r>
          </w:p>
          <w:p w14:paraId="34133E3C"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Organización cinegética</w:t>
            </w:r>
          </w:p>
          <w:p w14:paraId="614758FD"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Conservación de suelo y agua </w:t>
            </w:r>
          </w:p>
          <w:p w14:paraId="092DCFE9"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Sensores remotos </w:t>
            </w:r>
          </w:p>
          <w:p w14:paraId="3D8DC3A2"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lastRenderedPageBreak/>
              <w:t xml:space="preserve">Recursos renovables de zonas áridas  </w:t>
            </w:r>
          </w:p>
          <w:p w14:paraId="0296FB37" w14:textId="77777777" w:rsidR="005563C0" w:rsidRPr="000223A2" w:rsidRDefault="005563C0" w:rsidP="005563C0">
            <w:pPr>
              <w:rPr>
                <w:rFonts w:ascii="Arial" w:eastAsiaTheme="minorHAnsi" w:hAnsi="Arial" w:cs="Arial"/>
                <w:sz w:val="16"/>
                <w:szCs w:val="16"/>
              </w:rPr>
            </w:pPr>
          </w:p>
        </w:tc>
        <w:tc>
          <w:tcPr>
            <w:tcW w:w="1554" w:type="dxa"/>
          </w:tcPr>
          <w:p w14:paraId="75302CE4"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lastRenderedPageBreak/>
              <w:t xml:space="preserve">Microbiología </w:t>
            </w:r>
          </w:p>
          <w:p w14:paraId="543724B6"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Introducción a la genética molecular </w:t>
            </w:r>
          </w:p>
          <w:p w14:paraId="62882AAA" w14:textId="54F11A2F"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Biotecnología </w:t>
            </w:r>
          </w:p>
          <w:p w14:paraId="1CD99FB7" w14:textId="77777777" w:rsidR="005563C0" w:rsidRPr="00072CE3" w:rsidRDefault="005563C0" w:rsidP="005563C0">
            <w:pPr>
              <w:rPr>
                <w:rFonts w:ascii="Arial" w:eastAsiaTheme="minorHAnsi" w:hAnsi="Arial" w:cs="Arial"/>
                <w:sz w:val="16"/>
                <w:szCs w:val="16"/>
              </w:rPr>
            </w:pPr>
            <w:r w:rsidRPr="00072CE3">
              <w:rPr>
                <w:rFonts w:ascii="Arial" w:eastAsiaTheme="minorHAnsi" w:hAnsi="Arial" w:cs="Arial"/>
                <w:b/>
                <w:sz w:val="16"/>
                <w:szCs w:val="16"/>
              </w:rPr>
              <w:t>Optativas</w:t>
            </w:r>
          </w:p>
          <w:p w14:paraId="63D0EECB"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Biología molecular</w:t>
            </w:r>
          </w:p>
          <w:p w14:paraId="6165CE3E"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Biotecnología II </w:t>
            </w:r>
          </w:p>
          <w:p w14:paraId="19A5FAF7"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Organismos transgénicos</w:t>
            </w:r>
          </w:p>
          <w:p w14:paraId="0F99926D"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Ingeniería genética </w:t>
            </w:r>
          </w:p>
          <w:p w14:paraId="11931806"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Microbiología industrial</w:t>
            </w:r>
          </w:p>
          <w:p w14:paraId="530D490A"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Recursos genéticos </w:t>
            </w:r>
          </w:p>
          <w:p w14:paraId="3FB7DA93"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Introducción a la biotecnología molecular</w:t>
            </w:r>
          </w:p>
          <w:p w14:paraId="0B49205B"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Biotecnología ambiental</w:t>
            </w:r>
          </w:p>
        </w:tc>
        <w:tc>
          <w:tcPr>
            <w:tcW w:w="1559" w:type="dxa"/>
          </w:tcPr>
          <w:p w14:paraId="0F6B0C91"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Taller de comunicación oral y escrita</w:t>
            </w:r>
          </w:p>
          <w:p w14:paraId="18CDD16C"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Administración I </w:t>
            </w:r>
          </w:p>
          <w:p w14:paraId="2AE7DF4C"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Economía ambiental y de recursos naturales</w:t>
            </w:r>
          </w:p>
          <w:p w14:paraId="1C6E2FE4"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Formulación y evaluación de proyectos </w:t>
            </w:r>
          </w:p>
        </w:tc>
        <w:tc>
          <w:tcPr>
            <w:tcW w:w="1281" w:type="dxa"/>
          </w:tcPr>
          <w:p w14:paraId="4A300A08"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Ingles I</w:t>
            </w:r>
          </w:p>
          <w:p w14:paraId="2FFDA455"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Ingles II</w:t>
            </w:r>
          </w:p>
          <w:p w14:paraId="30961909" w14:textId="77777777"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Prácticas profesionales</w:t>
            </w:r>
          </w:p>
        </w:tc>
      </w:tr>
    </w:tbl>
    <w:p w14:paraId="27A45126" w14:textId="77777777" w:rsidR="005F2952" w:rsidRPr="007923C2" w:rsidRDefault="005F2952" w:rsidP="005E47E4">
      <w:pPr>
        <w:widowControl w:val="0"/>
        <w:autoSpaceDE w:val="0"/>
        <w:autoSpaceDN w:val="0"/>
        <w:adjustRightInd w:val="0"/>
        <w:jc w:val="both"/>
        <w:rPr>
          <w:rFonts w:ascii="Arial" w:hAnsi="Arial" w:cs="Arial"/>
          <w:b/>
          <w:sz w:val="22"/>
          <w:szCs w:val="22"/>
        </w:rPr>
      </w:pPr>
    </w:p>
    <w:p w14:paraId="65C9E157" w14:textId="77777777" w:rsidR="00496FF5" w:rsidRPr="007923C2" w:rsidRDefault="00496FF5"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5.8.-PLAN DE ESTUDIOS</w:t>
      </w:r>
    </w:p>
    <w:p w14:paraId="0CD6ABD6" w14:textId="77777777" w:rsidR="00496FF5" w:rsidRPr="007923C2" w:rsidRDefault="00DC147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reestructuración de la curricula de la carrera de Ingeniero en Agrobiologia fue hecha en base a diferentes criterios.</w:t>
      </w:r>
    </w:p>
    <w:p w14:paraId="228AF36E" w14:textId="77777777" w:rsidR="00DC1474" w:rsidRPr="007923C2" w:rsidRDefault="00DC147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1.-Resultado de un análisis de las oportunidades y amenazas y de las fortalezas y debilidades presentadas por el programa docente de Agrobiología originalmente, así como la variabilidad que ha presentado la carrera en el transcurso de los 10 años de operación delPlan de estudios 2006.</w:t>
      </w:r>
    </w:p>
    <w:p w14:paraId="47A98FC3" w14:textId="77777777" w:rsidR="00DC1474" w:rsidRPr="007923C2" w:rsidRDefault="00DC1474"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2.-Haber hecho un análisis comparativo del perfil del egresado originalmente y los términos en que se han cumplido en el ámbito laboral del profesionista.</w:t>
      </w:r>
    </w:p>
    <w:p w14:paraId="4EFD0CA6" w14:textId="77777777" w:rsidR="00DC1474" w:rsidRPr="007923C2" w:rsidRDefault="00DC1474"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3.-Integrarlo como parte importante del Plan de Desarrollo del Programa en el proceso de mejora continua.y en base a una planeación estratégica participativa.</w:t>
      </w:r>
    </w:p>
    <w:p w14:paraId="5CDB09DB" w14:textId="77777777" w:rsidR="009941DC" w:rsidRPr="007923C2" w:rsidRDefault="009941DC"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4.-Tomar como referencia las opiniones de los posibles empleadores de acuerdo a las </w:t>
      </w:r>
      <w:r w:rsidR="00C4769A" w:rsidRPr="007923C2">
        <w:rPr>
          <w:rFonts w:ascii="Arial" w:hAnsi="Arial" w:cs="Arial"/>
          <w:sz w:val="22"/>
          <w:szCs w:val="22"/>
        </w:rPr>
        <w:t>prácticas profesionales.</w:t>
      </w:r>
    </w:p>
    <w:p w14:paraId="5A15F052" w14:textId="77777777" w:rsidR="009941DC" w:rsidRPr="007923C2" w:rsidRDefault="009941DC"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5.-La opinió de los egresados importante para establecer la pertinencia de los contenidos teóricos y prácticos que ofrecen las asignaturas que integran el Plan de estudios para desempeñar su profesión.</w:t>
      </w:r>
    </w:p>
    <w:p w14:paraId="16B16ADC" w14:textId="77777777" w:rsidR="009941DC" w:rsidRPr="007923C2" w:rsidRDefault="009941DC"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Plan de Desarrollo del Programa Docente de IAB establece una serie de estrategias que permite darle vigencia a la carrera, renovar sus líneas de acción a través de una evaluación continua.</w:t>
      </w:r>
    </w:p>
    <w:p w14:paraId="2F5D3112" w14:textId="77777777" w:rsidR="00015157" w:rsidRPr="007923C2" w:rsidRDefault="009941DC"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acreditación de las carreras está permitiendo a </w:t>
      </w:r>
      <w:r w:rsidR="00015157" w:rsidRPr="007923C2">
        <w:rPr>
          <w:rFonts w:ascii="Arial" w:hAnsi="Arial" w:cs="Arial"/>
          <w:sz w:val="22"/>
          <w:szCs w:val="22"/>
        </w:rPr>
        <w:t>l</w:t>
      </w:r>
      <w:r w:rsidRPr="007923C2">
        <w:rPr>
          <w:rFonts w:ascii="Arial" w:hAnsi="Arial" w:cs="Arial"/>
          <w:sz w:val="22"/>
          <w:szCs w:val="22"/>
        </w:rPr>
        <w:t>os profesores hacer una serie de revisiones que perm</w:t>
      </w:r>
      <w:r w:rsidR="00015157" w:rsidRPr="007923C2">
        <w:rPr>
          <w:rFonts w:ascii="Arial" w:hAnsi="Arial" w:cs="Arial"/>
          <w:sz w:val="22"/>
          <w:szCs w:val="22"/>
        </w:rPr>
        <w:t>ita</w:t>
      </w:r>
      <w:r w:rsidRPr="007923C2">
        <w:rPr>
          <w:rFonts w:ascii="Arial" w:hAnsi="Arial" w:cs="Arial"/>
          <w:sz w:val="22"/>
          <w:szCs w:val="22"/>
        </w:rPr>
        <w:t>n</w:t>
      </w:r>
      <w:r w:rsidR="00015157" w:rsidRPr="007923C2">
        <w:rPr>
          <w:rFonts w:ascii="Arial" w:hAnsi="Arial" w:cs="Arial"/>
          <w:sz w:val="22"/>
          <w:szCs w:val="22"/>
        </w:rPr>
        <w:t xml:space="preserve"> renovarlas y mejorarlas, al entrar en  </w:t>
      </w:r>
      <w:r w:rsidRPr="007923C2">
        <w:rPr>
          <w:rFonts w:ascii="Arial" w:hAnsi="Arial" w:cs="Arial"/>
          <w:sz w:val="22"/>
          <w:szCs w:val="22"/>
        </w:rPr>
        <w:t xml:space="preserve"> este proceso ayuda a integrar a los programas de las carreras en el contexto </w:t>
      </w:r>
      <w:r w:rsidR="00015157" w:rsidRPr="007923C2">
        <w:rPr>
          <w:rFonts w:ascii="Arial" w:hAnsi="Arial" w:cs="Arial"/>
          <w:sz w:val="22"/>
          <w:szCs w:val="22"/>
        </w:rPr>
        <w:t>nacional vigente de acuerdo a las necesidades del país.</w:t>
      </w:r>
    </w:p>
    <w:p w14:paraId="25304D64" w14:textId="77777777" w:rsidR="009941DC" w:rsidRPr="007923C2" w:rsidRDefault="002E4E98" w:rsidP="000223A2">
      <w:pPr>
        <w:jc w:val="both"/>
        <w:rPr>
          <w:rFonts w:ascii="Arial" w:hAnsi="Arial" w:cs="Arial"/>
          <w:sz w:val="22"/>
          <w:szCs w:val="22"/>
        </w:rPr>
      </w:pPr>
      <w:r w:rsidRPr="007923C2">
        <w:rPr>
          <w:rFonts w:ascii="Arial" w:hAnsi="Arial" w:cs="Arial"/>
          <w:sz w:val="22"/>
          <w:szCs w:val="22"/>
        </w:rPr>
        <w:t>El CIEES y el COMEAA organismos acreditadores del proceso educativo  de las Universidades agrícolas establecen que los planes de estudio deben:</w:t>
      </w:r>
    </w:p>
    <w:p w14:paraId="4915C49A" w14:textId="77777777" w:rsidR="002E4E98" w:rsidRPr="007923C2" w:rsidRDefault="002E4E98" w:rsidP="000223A2">
      <w:pPr>
        <w:jc w:val="both"/>
        <w:rPr>
          <w:rFonts w:ascii="Arial" w:hAnsi="Arial" w:cs="Arial"/>
          <w:sz w:val="22"/>
          <w:szCs w:val="22"/>
        </w:rPr>
      </w:pPr>
      <w:r w:rsidRPr="007923C2">
        <w:rPr>
          <w:rFonts w:ascii="Arial" w:hAnsi="Arial" w:cs="Arial"/>
          <w:sz w:val="22"/>
          <w:szCs w:val="22"/>
        </w:rPr>
        <w:t>-Reducir el número de asignaturas en el Plan de Estudios.</w:t>
      </w:r>
    </w:p>
    <w:p w14:paraId="63242887" w14:textId="77777777" w:rsidR="002E4E98" w:rsidRPr="007923C2" w:rsidRDefault="002E4E98" w:rsidP="000223A2">
      <w:pPr>
        <w:jc w:val="both"/>
        <w:rPr>
          <w:rFonts w:ascii="Arial" w:hAnsi="Arial" w:cs="Arial"/>
          <w:sz w:val="22"/>
          <w:szCs w:val="22"/>
        </w:rPr>
      </w:pPr>
      <w:r w:rsidRPr="007923C2">
        <w:rPr>
          <w:rFonts w:ascii="Arial" w:hAnsi="Arial" w:cs="Arial"/>
          <w:sz w:val="22"/>
          <w:szCs w:val="22"/>
        </w:rPr>
        <w:t>-Dar flexibilidad al Plan de Estudios.</w:t>
      </w:r>
    </w:p>
    <w:p w14:paraId="7D33A20C" w14:textId="77777777" w:rsidR="002E4E98" w:rsidRDefault="002E4E98" w:rsidP="000223A2">
      <w:pPr>
        <w:jc w:val="both"/>
        <w:rPr>
          <w:rFonts w:ascii="Arial" w:hAnsi="Arial" w:cs="Arial"/>
          <w:sz w:val="22"/>
          <w:szCs w:val="22"/>
        </w:rPr>
      </w:pPr>
      <w:r w:rsidRPr="007923C2">
        <w:rPr>
          <w:rFonts w:ascii="Arial" w:hAnsi="Arial" w:cs="Arial"/>
          <w:sz w:val="22"/>
          <w:szCs w:val="22"/>
        </w:rPr>
        <w:t>-Realizar prácticas integrales.</w:t>
      </w:r>
    </w:p>
    <w:p w14:paraId="40DCB2DA" w14:textId="77777777" w:rsidR="00FB15B9" w:rsidRPr="007923C2" w:rsidRDefault="00FB15B9" w:rsidP="000223A2">
      <w:pPr>
        <w:jc w:val="both"/>
        <w:rPr>
          <w:rFonts w:ascii="Arial" w:hAnsi="Arial" w:cs="Arial"/>
          <w:sz w:val="22"/>
          <w:szCs w:val="22"/>
        </w:rPr>
      </w:pPr>
    </w:p>
    <w:p w14:paraId="4B28D846" w14:textId="178065B7" w:rsidR="003200EC" w:rsidRDefault="002E4E98" w:rsidP="000223A2">
      <w:pPr>
        <w:jc w:val="both"/>
        <w:rPr>
          <w:rFonts w:ascii="Arial" w:hAnsi="Arial" w:cs="Arial"/>
          <w:sz w:val="22"/>
          <w:szCs w:val="22"/>
        </w:rPr>
      </w:pPr>
      <w:r w:rsidRPr="007923C2">
        <w:rPr>
          <w:rFonts w:ascii="Arial" w:hAnsi="Arial" w:cs="Arial"/>
          <w:sz w:val="22"/>
          <w:szCs w:val="22"/>
        </w:rPr>
        <w:lastRenderedPageBreak/>
        <w:t xml:space="preserve">El Plan de Estudios vigente está constituido de 56 asignaturas, de las cuales 46 son obligatorias y 10 optativas, teniendo la opción de elegir las 10 optativas </w:t>
      </w:r>
      <w:r w:rsidR="000E5EFE" w:rsidRPr="007923C2">
        <w:rPr>
          <w:rFonts w:ascii="Arial" w:hAnsi="Arial" w:cs="Arial"/>
          <w:sz w:val="22"/>
          <w:szCs w:val="22"/>
        </w:rPr>
        <w:t xml:space="preserve">de un total de 45 asignaturas </w:t>
      </w:r>
      <w:r w:rsidRPr="007923C2">
        <w:rPr>
          <w:rFonts w:ascii="Arial" w:hAnsi="Arial" w:cs="Arial"/>
          <w:sz w:val="22"/>
          <w:szCs w:val="22"/>
        </w:rPr>
        <w:t>que van a cursar</w:t>
      </w:r>
      <w:r w:rsidR="000E5EFE" w:rsidRPr="007923C2">
        <w:rPr>
          <w:rFonts w:ascii="Arial" w:hAnsi="Arial" w:cs="Arial"/>
          <w:sz w:val="22"/>
          <w:szCs w:val="22"/>
        </w:rPr>
        <w:t xml:space="preserve"> de acuerdo al enfoque que le van a dar a la carrera ya sea con especialización en agricultura alternativa, contaminación ambiental y ecología, biotecnología que el Plan de estudios deberá ser integral congruente con el perfil del egresado, que significa incluir asignaturas cuyo conocimiento permita al alumno aprender de las cuatro ár</w:t>
      </w:r>
      <w:r w:rsidR="00F30B13" w:rsidRPr="007923C2">
        <w:rPr>
          <w:rFonts w:ascii="Arial" w:hAnsi="Arial" w:cs="Arial"/>
          <w:sz w:val="22"/>
          <w:szCs w:val="22"/>
        </w:rPr>
        <w:t xml:space="preserve">eas </w:t>
      </w:r>
      <w:r w:rsidR="000E5EFE" w:rsidRPr="007923C2">
        <w:rPr>
          <w:rFonts w:ascii="Arial" w:hAnsi="Arial" w:cs="Arial"/>
          <w:sz w:val="22"/>
          <w:szCs w:val="22"/>
        </w:rPr>
        <w:t>de formación.</w:t>
      </w:r>
    </w:p>
    <w:tbl>
      <w:tblPr>
        <w:tblStyle w:val="Tablaconcuadrcula2"/>
        <w:tblpPr w:leftFromText="141" w:rightFromText="141" w:vertAnchor="text" w:horzAnchor="margin" w:tblpY="265"/>
        <w:tblW w:w="9918" w:type="dxa"/>
        <w:tblLayout w:type="fixed"/>
        <w:tblLook w:val="04A0" w:firstRow="1" w:lastRow="0" w:firstColumn="1" w:lastColumn="0" w:noHBand="0" w:noVBand="1"/>
      </w:tblPr>
      <w:tblGrid>
        <w:gridCol w:w="1555"/>
        <w:gridCol w:w="1134"/>
        <w:gridCol w:w="1275"/>
        <w:gridCol w:w="1276"/>
        <w:gridCol w:w="1276"/>
        <w:gridCol w:w="1276"/>
        <w:gridCol w:w="1134"/>
        <w:gridCol w:w="992"/>
      </w:tblGrid>
      <w:tr w:rsidR="00426961" w:rsidRPr="000223A2" w14:paraId="74C6D6D9" w14:textId="77777777" w:rsidTr="00426961">
        <w:tc>
          <w:tcPr>
            <w:tcW w:w="1555" w:type="dxa"/>
            <w:vAlign w:val="center"/>
          </w:tcPr>
          <w:p w14:paraId="05B8E384" w14:textId="77777777"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Elementos del modelo educativo</w:t>
            </w:r>
          </w:p>
        </w:tc>
        <w:tc>
          <w:tcPr>
            <w:tcW w:w="1134" w:type="dxa"/>
            <w:vAlign w:val="center"/>
          </w:tcPr>
          <w:p w14:paraId="20FCE35F" w14:textId="77777777"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Misión UAAAN</w:t>
            </w:r>
          </w:p>
        </w:tc>
        <w:tc>
          <w:tcPr>
            <w:tcW w:w="1275" w:type="dxa"/>
            <w:vAlign w:val="center"/>
          </w:tcPr>
          <w:p w14:paraId="20AB71A1" w14:textId="77777777"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Visión UAAAN</w:t>
            </w:r>
          </w:p>
        </w:tc>
        <w:tc>
          <w:tcPr>
            <w:tcW w:w="1276" w:type="dxa"/>
            <w:vAlign w:val="center"/>
          </w:tcPr>
          <w:p w14:paraId="6C32F737" w14:textId="77777777"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Misión IAB</w:t>
            </w:r>
          </w:p>
        </w:tc>
        <w:tc>
          <w:tcPr>
            <w:tcW w:w="1276" w:type="dxa"/>
            <w:vAlign w:val="center"/>
          </w:tcPr>
          <w:p w14:paraId="7A42EEFD" w14:textId="77777777"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Visión IAB</w:t>
            </w:r>
          </w:p>
        </w:tc>
        <w:tc>
          <w:tcPr>
            <w:tcW w:w="1276" w:type="dxa"/>
            <w:vAlign w:val="center"/>
          </w:tcPr>
          <w:p w14:paraId="74D76368" w14:textId="77777777"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Objetivo IAB</w:t>
            </w:r>
          </w:p>
        </w:tc>
        <w:tc>
          <w:tcPr>
            <w:tcW w:w="1134" w:type="dxa"/>
            <w:vAlign w:val="center"/>
          </w:tcPr>
          <w:p w14:paraId="060D8498" w14:textId="77777777"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Perfil ingreso</w:t>
            </w:r>
          </w:p>
        </w:tc>
        <w:tc>
          <w:tcPr>
            <w:tcW w:w="992" w:type="dxa"/>
            <w:vAlign w:val="center"/>
          </w:tcPr>
          <w:p w14:paraId="4FA47FC7" w14:textId="77777777"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Perfil egreso</w:t>
            </w:r>
          </w:p>
        </w:tc>
      </w:tr>
      <w:tr w:rsidR="00426961" w:rsidRPr="000223A2" w14:paraId="3BD98BC9" w14:textId="77777777" w:rsidTr="00426961">
        <w:tc>
          <w:tcPr>
            <w:tcW w:w="1555" w:type="dxa"/>
          </w:tcPr>
          <w:p w14:paraId="0B2D2FB5" w14:textId="77777777" w:rsidR="00426961" w:rsidRPr="000223A2" w:rsidRDefault="00426961" w:rsidP="00426961">
            <w:pPr>
              <w:numPr>
                <w:ilvl w:val="0"/>
                <w:numId w:val="214"/>
              </w:numPr>
              <w:ind w:right="-284"/>
              <w:contextualSpacing/>
              <w:rPr>
                <w:rFonts w:ascii="Arial" w:eastAsiaTheme="minorHAnsi" w:hAnsi="Arial" w:cs="Arial"/>
                <w:sz w:val="16"/>
                <w:szCs w:val="16"/>
              </w:rPr>
            </w:pPr>
            <w:r w:rsidRPr="000223A2">
              <w:rPr>
                <w:rFonts w:ascii="Arial" w:eastAsiaTheme="minorHAnsi" w:hAnsi="Arial" w:cs="Arial"/>
                <w:sz w:val="16"/>
                <w:szCs w:val="16"/>
              </w:rPr>
              <w:t>Currículo integr</w:t>
            </w:r>
            <w:r>
              <w:rPr>
                <w:rFonts w:ascii="Arial" w:eastAsiaTheme="minorHAnsi" w:hAnsi="Arial" w:cs="Arial"/>
                <w:sz w:val="16"/>
                <w:szCs w:val="16"/>
              </w:rPr>
              <w:t>al</w:t>
            </w:r>
          </w:p>
          <w:p w14:paraId="5F8BE361"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Formación de valores esenciales en educando y educador</w:t>
            </w:r>
          </w:p>
          <w:p w14:paraId="149EFC06"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Formación para el autoempleo </w:t>
            </w:r>
          </w:p>
          <w:p w14:paraId="3237285B"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Educación agrícola práctica </w:t>
            </w:r>
          </w:p>
          <w:p w14:paraId="0913EB0D"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Educación centrada en la persona</w:t>
            </w:r>
          </w:p>
          <w:p w14:paraId="5C2D09D8"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Aprendizaje significativo </w:t>
            </w:r>
          </w:p>
          <w:p w14:paraId="46DF7F2E"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Identificación vocacional </w:t>
            </w:r>
          </w:p>
          <w:p w14:paraId="071EEE24"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Examen de ubicación </w:t>
            </w:r>
          </w:p>
          <w:p w14:paraId="48A29A2B"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Nivel propedéutico </w:t>
            </w:r>
          </w:p>
          <w:p w14:paraId="21013B37"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Creación de nuevos niveles: diplomado y especialización </w:t>
            </w:r>
          </w:p>
          <w:p w14:paraId="47496D6B"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Currículo flexible </w:t>
            </w:r>
          </w:p>
          <w:p w14:paraId="66F783CD"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Cambio de modelo tradicional a integral </w:t>
            </w:r>
          </w:p>
          <w:p w14:paraId="408838D2"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Formación de profesores </w:t>
            </w:r>
          </w:p>
          <w:p w14:paraId="44F8B8F7" w14:textId="77777777"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Modelo de docencia  </w:t>
            </w:r>
          </w:p>
        </w:tc>
        <w:tc>
          <w:tcPr>
            <w:tcW w:w="1134" w:type="dxa"/>
          </w:tcPr>
          <w:p w14:paraId="14DCAC0E" w14:textId="77777777"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 xml:space="preserve">La UAAAN es una institución de Educación Superior que forma profesionales para atender las necesidades del sector agroalimentario y rural, realiza investigación científica y transfiere sus resultados a la sociedad para contribuir a la preservación y difusión de la cultura, al desarrollo sustentable y mejorar la calidad de vida de la población, respetando los valores del juicio crítico, la vocación humanística, la democracia y el nacionalismo. </w:t>
            </w:r>
          </w:p>
          <w:p w14:paraId="70C16422" w14:textId="77777777" w:rsidR="00426961" w:rsidRPr="000223A2" w:rsidRDefault="00426961" w:rsidP="00426961">
            <w:pPr>
              <w:rPr>
                <w:rFonts w:ascii="Arial" w:eastAsiaTheme="minorHAnsi" w:hAnsi="Arial" w:cs="Arial"/>
                <w:sz w:val="16"/>
                <w:szCs w:val="16"/>
              </w:rPr>
            </w:pPr>
          </w:p>
        </w:tc>
        <w:tc>
          <w:tcPr>
            <w:tcW w:w="1275" w:type="dxa"/>
          </w:tcPr>
          <w:p w14:paraId="462B5E64" w14:textId="77777777"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 xml:space="preserve">La UAAAN en el 2018 es una institución superior reconocida por la calidad y pertinencia académica a través de los programas educativos para formar profesionales competitivos comprometidos con su país por su vocación nacionalista; sus cuerpos académicos son capaces de generar y/o aplicar innovadoramente conocimientos de vanguardia útiles para impactar en forma positiva en el bienestar social, con justicia y equidad. Asimismo, la transferencia de sus innovaciones enriquece su vínculo con la sociedad principalmente con los sectores productivos para contribuir al desarrollo sustentable, ejerce responsablemente su autonomía utilizando los recursos para cumplir su </w:t>
            </w:r>
            <w:r w:rsidRPr="000223A2">
              <w:rPr>
                <w:rFonts w:ascii="Arial" w:eastAsiaTheme="minorHAnsi" w:hAnsi="Arial" w:cs="Arial"/>
                <w:sz w:val="16"/>
                <w:szCs w:val="16"/>
              </w:rPr>
              <w:lastRenderedPageBreak/>
              <w:t xml:space="preserve">misión y visión de manera eficiente y transparente por lo que presenta cuentas claras a la sociedad. </w:t>
            </w:r>
          </w:p>
        </w:tc>
        <w:tc>
          <w:tcPr>
            <w:tcW w:w="1276" w:type="dxa"/>
          </w:tcPr>
          <w:p w14:paraId="08D10DDB" w14:textId="77777777"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lastRenderedPageBreak/>
              <w:t xml:space="preserve">Formar profesionistas con juicio crítico y objetivo, con principio ético, espíritu emprendedor, colaborativo e innovador, capaces de contribuir al desarrollo del país mediante el uso sostenible de los recursos naturales para la producción agropecuaria a través de la aplicación del conocimiento científico y tecnológico. </w:t>
            </w:r>
          </w:p>
        </w:tc>
        <w:tc>
          <w:tcPr>
            <w:tcW w:w="1276" w:type="dxa"/>
          </w:tcPr>
          <w:p w14:paraId="570D30C5" w14:textId="77777777"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 xml:space="preserve">Contribuir a una nueva cultura de conciencia y responsabilidad en el sector productivo, económico y social, mediante la generación y/o aplicación del conocimiento y tecnología para el desarrollo sostenible del país. </w:t>
            </w:r>
          </w:p>
        </w:tc>
        <w:tc>
          <w:tcPr>
            <w:tcW w:w="1276" w:type="dxa"/>
          </w:tcPr>
          <w:p w14:paraId="3014E7D5" w14:textId="77777777"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 xml:space="preserve">Formar profesionistas con un enfoque multidisciplinario en el campo de la producción silvo-agropecuaria sostenible, manejo, legislación y conservación de recursos naturales apoyándose en conocimientos científicos y prácticos. </w:t>
            </w:r>
          </w:p>
          <w:p w14:paraId="2D0EB04B" w14:textId="77777777" w:rsidR="00426961" w:rsidRPr="000223A2" w:rsidRDefault="00426961" w:rsidP="00426961">
            <w:pPr>
              <w:rPr>
                <w:rFonts w:ascii="Arial" w:eastAsiaTheme="minorHAnsi" w:hAnsi="Arial" w:cs="Arial"/>
                <w:sz w:val="16"/>
                <w:szCs w:val="16"/>
              </w:rPr>
            </w:pPr>
          </w:p>
        </w:tc>
        <w:tc>
          <w:tcPr>
            <w:tcW w:w="1134" w:type="dxa"/>
          </w:tcPr>
          <w:p w14:paraId="278E05E3" w14:textId="77777777" w:rsidR="00426961" w:rsidRPr="000223A2" w:rsidRDefault="00426961" w:rsidP="00426961">
            <w:pPr>
              <w:rPr>
                <w:rFonts w:ascii="Arial" w:eastAsiaTheme="minorHAnsi" w:hAnsi="Arial" w:cs="Arial"/>
                <w:sz w:val="16"/>
                <w:szCs w:val="16"/>
              </w:rPr>
            </w:pPr>
            <w:r>
              <w:rPr>
                <w:rFonts w:ascii="Arial" w:eastAsiaTheme="minorHAnsi" w:hAnsi="Arial" w:cs="Arial"/>
                <w:sz w:val="16"/>
                <w:szCs w:val="16"/>
              </w:rPr>
              <w:t>El aspirante a ingresar deberá interesarse en recibir una formación para entender la vida dentro de un sistema agroecológico del cual parte una producción alimentaria dentro de un contexto sostenible considerando la interacción con el medio ambiente, además haber cursado un bachillerato general en donde haya incluido materias como matemáticas, química, biología, inglés, para acreditar un examen de admisión que le permita ingresar a la Universidad.</w:t>
            </w:r>
          </w:p>
        </w:tc>
        <w:tc>
          <w:tcPr>
            <w:tcW w:w="992" w:type="dxa"/>
          </w:tcPr>
          <w:p w14:paraId="0E84AABD" w14:textId="77777777"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 xml:space="preserve">Contará con el conocimiento teórico-práctico para uso y manejo sostenible de los recursos silvo-agropecuario lo que permitirá participar en la solución de la problemática ambiental. Analizará los sistemas de producción y su interacción con el medio ambiente para realizar una producción alimentaria dentro de un contexto sostenible. Establecerá y/o participará en empresas de asesoría, servicio y consultoría dirigido al sector agropecuario, industrial y </w:t>
            </w:r>
            <w:r w:rsidRPr="000223A2">
              <w:rPr>
                <w:rFonts w:ascii="Arial" w:eastAsiaTheme="minorHAnsi" w:hAnsi="Arial" w:cs="Arial"/>
                <w:sz w:val="16"/>
                <w:szCs w:val="16"/>
              </w:rPr>
              <w:lastRenderedPageBreak/>
              <w:t xml:space="preserve">gubernamental en el manejo y cuidado del medio ambiente. Estará capacitado para proponer y ejecutar acciones de evaluación y conservación basándose en el conocimiento de la legislación jurídica en materia de biodiversidad, bioética y seguridad ambiental. </w:t>
            </w:r>
          </w:p>
          <w:p w14:paraId="1296BCE6" w14:textId="77777777"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Diseñará y/o ejecutará programas de investigación y docencia enfocados al desarrollo de la producción silvo-agropecuario sostenible, planes de mane</w:t>
            </w:r>
            <w:r>
              <w:rPr>
                <w:rFonts w:ascii="Arial" w:eastAsiaTheme="minorHAnsi" w:hAnsi="Arial" w:cs="Arial"/>
                <w:sz w:val="16"/>
                <w:szCs w:val="16"/>
              </w:rPr>
              <w:t>jo de áreas naturales protegida, uso de ecotecní</w:t>
            </w:r>
            <w:r w:rsidRPr="000223A2">
              <w:rPr>
                <w:rFonts w:ascii="Arial" w:eastAsiaTheme="minorHAnsi" w:hAnsi="Arial" w:cs="Arial"/>
                <w:sz w:val="16"/>
                <w:szCs w:val="16"/>
              </w:rPr>
              <w:t xml:space="preserve">as en la producción agrícola y conservación de suelo y agua. </w:t>
            </w:r>
          </w:p>
        </w:tc>
      </w:tr>
    </w:tbl>
    <w:p w14:paraId="78FDD15D" w14:textId="77777777" w:rsidR="003200EC" w:rsidRPr="007923C2" w:rsidRDefault="003200EC" w:rsidP="000223A2">
      <w:pPr>
        <w:jc w:val="both"/>
        <w:rPr>
          <w:rFonts w:ascii="Arial" w:hAnsi="Arial" w:cs="Arial"/>
          <w:sz w:val="22"/>
          <w:szCs w:val="22"/>
        </w:rPr>
      </w:pPr>
    </w:p>
    <w:p w14:paraId="33CACBA3" w14:textId="77777777" w:rsidR="00426961" w:rsidRDefault="00426961" w:rsidP="000223A2">
      <w:pPr>
        <w:jc w:val="both"/>
        <w:rPr>
          <w:rFonts w:ascii="Arial" w:hAnsi="Arial" w:cs="Arial"/>
          <w:sz w:val="22"/>
          <w:szCs w:val="22"/>
        </w:rPr>
      </w:pPr>
    </w:p>
    <w:p w14:paraId="436B58F3" w14:textId="77777777" w:rsidR="000E5EFE" w:rsidRPr="007923C2" w:rsidRDefault="000E5EFE" w:rsidP="000223A2">
      <w:pPr>
        <w:jc w:val="both"/>
        <w:rPr>
          <w:rFonts w:ascii="Arial" w:hAnsi="Arial" w:cs="Arial"/>
          <w:sz w:val="22"/>
          <w:szCs w:val="22"/>
        </w:rPr>
      </w:pPr>
      <w:r w:rsidRPr="007923C2">
        <w:rPr>
          <w:rFonts w:ascii="Arial" w:hAnsi="Arial" w:cs="Arial"/>
          <w:sz w:val="22"/>
          <w:szCs w:val="22"/>
        </w:rPr>
        <w:t>Las 46 asignaturas obligatorias se organizaron desde las ciencias básicas generales</w:t>
      </w:r>
      <w:r w:rsidR="005B2438" w:rsidRPr="007923C2">
        <w:rPr>
          <w:rFonts w:ascii="Arial" w:hAnsi="Arial" w:cs="Arial"/>
          <w:sz w:val="22"/>
          <w:szCs w:val="22"/>
        </w:rPr>
        <w:t xml:space="preserve"> con las introductoras al área de formación y las especializadas o de integración tecnológica que le permitirán al alumno realizar la aplicación del conocimiento, culminando con las prácticas profesionales.</w:t>
      </w:r>
    </w:p>
    <w:p w14:paraId="08402F88" w14:textId="77777777" w:rsidR="005B2438" w:rsidRPr="007923C2" w:rsidRDefault="005B2438" w:rsidP="000223A2">
      <w:pPr>
        <w:jc w:val="both"/>
        <w:rPr>
          <w:rFonts w:ascii="Arial" w:hAnsi="Arial" w:cs="Arial"/>
          <w:sz w:val="22"/>
          <w:szCs w:val="22"/>
        </w:rPr>
      </w:pPr>
      <w:r w:rsidRPr="007923C2">
        <w:rPr>
          <w:rFonts w:ascii="Arial" w:hAnsi="Arial" w:cs="Arial"/>
          <w:sz w:val="22"/>
          <w:szCs w:val="22"/>
        </w:rPr>
        <w:lastRenderedPageBreak/>
        <w:t>Las asignaturas tienen una secuencia lógica y coherencia de tal modo que le permitan al alumno ir relacionando y facilitando el aprendizaje.</w:t>
      </w:r>
    </w:p>
    <w:p w14:paraId="216C324D" w14:textId="77777777" w:rsidR="005B2438" w:rsidRPr="007923C2" w:rsidRDefault="005B2438" w:rsidP="000223A2">
      <w:pPr>
        <w:jc w:val="both"/>
        <w:rPr>
          <w:rFonts w:ascii="Arial" w:hAnsi="Arial" w:cs="Arial"/>
          <w:sz w:val="22"/>
          <w:szCs w:val="22"/>
        </w:rPr>
      </w:pPr>
      <w:r w:rsidRPr="007923C2">
        <w:rPr>
          <w:rFonts w:ascii="Arial" w:hAnsi="Arial" w:cs="Arial"/>
          <w:sz w:val="22"/>
          <w:szCs w:val="22"/>
        </w:rPr>
        <w:t>El Plan de Estudios está constituido de materias cuyo contenido es el mas adecuado para alcanzar el objetivo del programa.</w:t>
      </w:r>
    </w:p>
    <w:p w14:paraId="4ED268CC" w14:textId="77777777" w:rsidR="004C2EB7" w:rsidRPr="007923C2" w:rsidRDefault="005B2438" w:rsidP="000223A2">
      <w:pPr>
        <w:jc w:val="both"/>
        <w:rPr>
          <w:rFonts w:ascii="Arial" w:hAnsi="Arial" w:cs="Arial"/>
          <w:sz w:val="22"/>
          <w:szCs w:val="22"/>
        </w:rPr>
      </w:pPr>
      <w:r w:rsidRPr="007923C2">
        <w:rPr>
          <w:rFonts w:ascii="Arial" w:hAnsi="Arial" w:cs="Arial"/>
          <w:sz w:val="22"/>
          <w:szCs w:val="22"/>
        </w:rPr>
        <w:t>De las 21 materias optativas establecidas se dio apertura a integrar un total de 45 asignaturas que se fueron seleccionando en parte por sugerencia de los alumnos cuidando</w:t>
      </w:r>
      <w:r w:rsidR="004C2EB7" w:rsidRPr="007923C2">
        <w:rPr>
          <w:rFonts w:ascii="Arial" w:hAnsi="Arial" w:cs="Arial"/>
          <w:sz w:val="22"/>
          <w:szCs w:val="22"/>
        </w:rPr>
        <w:t xml:space="preserve"> cumplieran con el perfil del egresado.</w:t>
      </w:r>
    </w:p>
    <w:p w14:paraId="790B361E" w14:textId="77777777" w:rsidR="005B2438" w:rsidRPr="007923C2" w:rsidRDefault="00324E4D" w:rsidP="000223A2">
      <w:pPr>
        <w:jc w:val="both"/>
        <w:rPr>
          <w:rFonts w:ascii="Arial" w:hAnsi="Arial" w:cs="Arial"/>
          <w:sz w:val="22"/>
          <w:szCs w:val="22"/>
        </w:rPr>
      </w:pPr>
      <w:r w:rsidRPr="007923C2">
        <w:rPr>
          <w:rFonts w:ascii="Arial" w:hAnsi="Arial" w:cs="Arial"/>
          <w:sz w:val="22"/>
          <w:szCs w:val="22"/>
        </w:rPr>
        <w:t>La integración del Plan de Estudios se realiz</w:t>
      </w:r>
      <w:r w:rsidR="003872E9">
        <w:rPr>
          <w:rFonts w:ascii="Arial" w:hAnsi="Arial" w:cs="Arial"/>
          <w:sz w:val="22"/>
          <w:szCs w:val="22"/>
        </w:rPr>
        <w:t>ó</w:t>
      </w:r>
      <w:r w:rsidRPr="007923C2">
        <w:rPr>
          <w:rFonts w:ascii="Arial" w:hAnsi="Arial" w:cs="Arial"/>
          <w:sz w:val="22"/>
          <w:szCs w:val="22"/>
        </w:rPr>
        <w:t xml:space="preserve"> bajo el entendido de que la Agrobiología no solo se enfoca hacia la producción agrícola también entran las áreas como el manejo de recursos naturales, la biotecnología, el manejo integrado de cultivos, todos con el denominador común de hacer más eficaces estos procesos reduciendo impactos al medio ambiente y proponiendo ca</w:t>
      </w:r>
      <w:r w:rsidR="00F30B13" w:rsidRPr="007923C2">
        <w:rPr>
          <w:rFonts w:ascii="Arial" w:hAnsi="Arial" w:cs="Arial"/>
          <w:sz w:val="22"/>
          <w:szCs w:val="22"/>
        </w:rPr>
        <w:t>mbios que encaminen hacia un desarrollo sustentable.</w:t>
      </w:r>
    </w:p>
    <w:p w14:paraId="3E281F33" w14:textId="77777777" w:rsidR="00496FF5" w:rsidRPr="007923C2" w:rsidRDefault="00F30B13"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campo de la Agrobiología es muy amplio es por eso de que el alumno se debe de dirigir hacia un área de especialización  y tener más oportunidad de desarrollarse en él y aplicar el conocimiento adquirido.</w:t>
      </w:r>
    </w:p>
    <w:p w14:paraId="2441BC93" w14:textId="77777777" w:rsidR="00F30B13" w:rsidRPr="007923C2" w:rsidRDefault="00480886"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desarrollo del proceso enseñanza aprendizaje en las asignaturas especializantes en ocaciones ha sido deficiente debido a que el aspecto práctico</w:t>
      </w:r>
      <w:r w:rsidR="003872E9">
        <w:rPr>
          <w:rFonts w:ascii="Arial" w:hAnsi="Arial" w:cs="Arial"/>
          <w:sz w:val="22"/>
          <w:szCs w:val="22"/>
        </w:rPr>
        <w:t>no ha</w:t>
      </w:r>
      <w:r w:rsidRPr="007923C2">
        <w:rPr>
          <w:rFonts w:ascii="Arial" w:hAnsi="Arial" w:cs="Arial"/>
          <w:sz w:val="22"/>
          <w:szCs w:val="22"/>
        </w:rPr>
        <w:t xml:space="preserve"> sido </w:t>
      </w:r>
      <w:r w:rsidR="003872E9">
        <w:rPr>
          <w:rFonts w:ascii="Arial" w:hAnsi="Arial" w:cs="Arial"/>
          <w:sz w:val="22"/>
          <w:szCs w:val="22"/>
        </w:rPr>
        <w:t>suficien</w:t>
      </w:r>
      <w:r w:rsidRPr="007923C2">
        <w:rPr>
          <w:rFonts w:ascii="Arial" w:hAnsi="Arial" w:cs="Arial"/>
          <w:sz w:val="22"/>
          <w:szCs w:val="22"/>
        </w:rPr>
        <w:t>te y el alumno se ha sentido deficiente en el Aprender-  hacer.</w:t>
      </w:r>
    </w:p>
    <w:p w14:paraId="08EC0D1A" w14:textId="77777777" w:rsidR="00480886" w:rsidRPr="007923C2" w:rsidRDefault="00480886"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Lo anterior ha dado pauta a que el alumno estudie un posgrado de alguna especialidad esperando de esa manera sentirse más preparado en un área específica.</w:t>
      </w:r>
    </w:p>
    <w:p w14:paraId="62BF4CAD" w14:textId="77777777" w:rsidR="00480886" w:rsidRPr="007923C2" w:rsidRDefault="00480886"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 México la producción agrícola orgánica no a tenido una apertura significativa por eso el estudiante duda en este tipo de producción por lo que el agrobiólogo ha presentado renuencia a dedicarse a la agricultura </w:t>
      </w:r>
      <w:r w:rsidR="003872E9">
        <w:rPr>
          <w:rFonts w:ascii="Arial" w:hAnsi="Arial" w:cs="Arial"/>
          <w:sz w:val="22"/>
          <w:szCs w:val="22"/>
        </w:rPr>
        <w:t>alternativa</w:t>
      </w:r>
      <w:r w:rsidRPr="007923C2">
        <w:rPr>
          <w:rFonts w:ascii="Arial" w:hAnsi="Arial" w:cs="Arial"/>
          <w:sz w:val="22"/>
          <w:szCs w:val="22"/>
        </w:rPr>
        <w:t>.</w:t>
      </w:r>
    </w:p>
    <w:p w14:paraId="5FED6575" w14:textId="77777777" w:rsidR="00480886" w:rsidRPr="007923C2" w:rsidRDefault="00480886"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UAAAN está entrando poco a poco en el cambio de nuevas formas de producción y es ahí en donde el Agrobiólogo se debe de desarrollar.</w:t>
      </w:r>
    </w:p>
    <w:p w14:paraId="315A26D3" w14:textId="77777777" w:rsidR="00F30B13" w:rsidRPr="007923C2" w:rsidRDefault="00F30B13" w:rsidP="005E47E4">
      <w:pPr>
        <w:widowControl w:val="0"/>
        <w:autoSpaceDE w:val="0"/>
        <w:autoSpaceDN w:val="0"/>
        <w:adjustRightInd w:val="0"/>
        <w:jc w:val="both"/>
        <w:rPr>
          <w:rFonts w:ascii="Arial" w:hAnsi="Arial" w:cs="Arial"/>
          <w:sz w:val="22"/>
          <w:szCs w:val="22"/>
        </w:rPr>
      </w:pPr>
    </w:p>
    <w:p w14:paraId="6A904703" w14:textId="77777777" w:rsidR="00496FF5" w:rsidRPr="007923C2" w:rsidRDefault="008E3D5C"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5.8.1.-CONGRUENCIA INTERNA</w:t>
      </w:r>
    </w:p>
    <w:p w14:paraId="1715D10A" w14:textId="77777777" w:rsidR="00802831" w:rsidRPr="007923C2" w:rsidRDefault="00802831" w:rsidP="005563C0">
      <w:pPr>
        <w:widowControl w:val="0"/>
        <w:autoSpaceDE w:val="0"/>
        <w:autoSpaceDN w:val="0"/>
        <w:adjustRightInd w:val="0"/>
        <w:spacing w:after="0" w:line="240" w:lineRule="auto"/>
        <w:rPr>
          <w:rFonts w:ascii="Arial" w:hAnsi="Arial" w:cs="Arial"/>
          <w:b/>
          <w:sz w:val="22"/>
          <w:szCs w:val="22"/>
          <w:lang w:val="es-ES"/>
        </w:rPr>
      </w:pPr>
      <w:bookmarkStart w:id="47" w:name="page61"/>
      <w:bookmarkEnd w:id="47"/>
      <w:r w:rsidRPr="007923C2">
        <w:rPr>
          <w:rFonts w:ascii="Arial" w:hAnsi="Arial" w:cs="Arial"/>
          <w:b/>
          <w:sz w:val="22"/>
          <w:szCs w:val="22"/>
          <w:lang w:val="es-ES"/>
        </w:rPr>
        <w:t>PLAN DE ESTUDIOS DE INGENIERO EN IAB 20</w:t>
      </w:r>
      <w:r w:rsidR="008151BE" w:rsidRPr="007923C2">
        <w:rPr>
          <w:rFonts w:ascii="Arial" w:hAnsi="Arial" w:cs="Arial"/>
          <w:b/>
          <w:sz w:val="22"/>
          <w:szCs w:val="22"/>
          <w:lang w:val="es-ES"/>
        </w:rPr>
        <w:t>06</w:t>
      </w:r>
    </w:p>
    <w:p w14:paraId="3B013D7B" w14:textId="77777777" w:rsidR="00802831" w:rsidRPr="007923C2" w:rsidRDefault="00802831" w:rsidP="00802831">
      <w:pPr>
        <w:widowControl w:val="0"/>
        <w:autoSpaceDE w:val="0"/>
        <w:autoSpaceDN w:val="0"/>
        <w:adjustRightInd w:val="0"/>
        <w:spacing w:after="0" w:line="200" w:lineRule="exact"/>
        <w:rPr>
          <w:rFonts w:ascii="Arial" w:hAnsi="Arial" w:cs="Arial"/>
          <w:b/>
          <w:sz w:val="22"/>
          <w:szCs w:val="22"/>
          <w:lang w:val="es-ES"/>
        </w:rPr>
      </w:pPr>
    </w:p>
    <w:p w14:paraId="39A07126" w14:textId="77777777" w:rsidR="00802831" w:rsidRPr="007923C2" w:rsidRDefault="00802831" w:rsidP="00802831">
      <w:pPr>
        <w:widowControl w:val="0"/>
        <w:autoSpaceDE w:val="0"/>
        <w:autoSpaceDN w:val="0"/>
        <w:adjustRightInd w:val="0"/>
        <w:spacing w:after="0" w:line="200" w:lineRule="exact"/>
        <w:rPr>
          <w:rFonts w:ascii="Arial" w:hAnsi="Arial" w:cs="Arial"/>
          <w:b/>
          <w:sz w:val="22"/>
          <w:szCs w:val="22"/>
          <w:lang w:val="es-ES"/>
        </w:rPr>
      </w:pPr>
    </w:p>
    <w:p w14:paraId="36CD3E69" w14:textId="77777777"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7AE007C0" w14:textId="77777777"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7F964722" w14:textId="77777777"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4333E341" w14:textId="77777777"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38A210DA" w14:textId="77777777"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3C6D45AD" w14:textId="77777777"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4716C674" w14:textId="77777777"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4FC82A5B" w14:textId="77777777"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40867243" w14:textId="77777777" w:rsidR="000F6CCA" w:rsidRDefault="000F6CCA"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00DA517B" w14:textId="77777777" w:rsidR="000F6CCA" w:rsidRDefault="000F6CCA"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527486B1" w14:textId="77777777" w:rsidR="000F6CCA" w:rsidRDefault="000F6CCA"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5B60182E" w14:textId="77777777" w:rsidR="000F6CCA" w:rsidRDefault="000F6CCA"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108C86E3" w14:textId="77777777" w:rsidR="000F6CCA" w:rsidRDefault="000F6CCA"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14:paraId="5B2193FF" w14:textId="77777777" w:rsidR="00802831" w:rsidRPr="007923C2" w:rsidRDefault="00802831"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r w:rsidRPr="007923C2">
        <w:rPr>
          <w:rFonts w:ascii="Arial" w:hAnsi="Arial" w:cs="Arial"/>
          <w:b/>
          <w:sz w:val="22"/>
          <w:szCs w:val="22"/>
          <w:lang w:val="es-ES"/>
        </w:rPr>
        <w:lastRenderedPageBreak/>
        <w:t>EL PLAN DE ESTUDIOS ACTUAL DE LA CARRERA DE INGENIERO EN AGROBIOLOGIA CONSTA DE 46 MATERIAS OBLIGATORIAS MAS 10 OPTATIVAS</w:t>
      </w:r>
    </w:p>
    <w:p w14:paraId="32378BA2" w14:textId="77FC96CB" w:rsidR="00802831" w:rsidRPr="007923C2" w:rsidRDefault="001F23E0" w:rsidP="00802831">
      <w:pPr>
        <w:widowControl w:val="0"/>
        <w:autoSpaceDE w:val="0"/>
        <w:autoSpaceDN w:val="0"/>
        <w:adjustRightInd w:val="0"/>
        <w:spacing w:after="0" w:line="200" w:lineRule="exact"/>
        <w:rPr>
          <w:rFonts w:ascii="Arial" w:hAnsi="Arial" w:cs="Arial"/>
          <w:sz w:val="22"/>
          <w:szCs w:val="22"/>
          <w:lang w:val="es-ES"/>
        </w:rPr>
      </w:pPr>
      <w:r>
        <w:rPr>
          <w:rFonts w:ascii="Arial" w:hAnsi="Arial" w:cs="Arial"/>
          <w:noProof/>
          <w:sz w:val="22"/>
          <w:szCs w:val="22"/>
        </w:rPr>
        <mc:AlternateContent>
          <mc:Choice Requires="wps">
            <w:drawing>
              <wp:anchor distT="4294967295" distB="4294967295" distL="114300" distR="114300" simplePos="0" relativeHeight="251803136" behindDoc="1" locked="0" layoutInCell="0" allowOverlap="1" wp14:anchorId="45DFE938" wp14:editId="38CEFE3F">
                <wp:simplePos x="0" y="0"/>
                <wp:positionH relativeFrom="column">
                  <wp:posOffset>-4445</wp:posOffset>
                </wp:positionH>
                <wp:positionV relativeFrom="paragraph">
                  <wp:posOffset>378459</wp:posOffset>
                </wp:positionV>
                <wp:extent cx="6272530" cy="0"/>
                <wp:effectExtent l="0" t="0" r="33020" b="19050"/>
                <wp:wrapNone/>
                <wp:docPr id="513" name="Conector recto 5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253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4F5378" id="Conector recto 513" o:spid="_x0000_s1026" style="position:absolute;z-index:-251513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5pt,29.8pt" to="493.5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" o:allowincell="f" strokeweight=".21164mm"/>
            </w:pict>
          </mc:Fallback>
        </mc:AlternateContent>
      </w:r>
      <w:r>
        <w:rPr>
          <w:rFonts w:ascii="Arial" w:hAnsi="Arial" w:cs="Arial"/>
          <w:noProof/>
          <w:sz w:val="22"/>
          <w:szCs w:val="22"/>
        </w:rPr>
        <mc:AlternateContent>
          <mc:Choice Requires="wps">
            <w:drawing>
              <wp:anchor distT="0" distB="0" distL="114299" distR="114299" simplePos="0" relativeHeight="251804160" behindDoc="1" locked="0" layoutInCell="0" allowOverlap="1" wp14:anchorId="3A02D1F3" wp14:editId="44C2BAA2">
                <wp:simplePos x="0" y="0"/>
                <wp:positionH relativeFrom="column">
                  <wp:posOffset>-636</wp:posOffset>
                </wp:positionH>
                <wp:positionV relativeFrom="paragraph">
                  <wp:posOffset>374650</wp:posOffset>
                </wp:positionV>
                <wp:extent cx="0" cy="6743065"/>
                <wp:effectExtent l="0" t="0" r="19050" b="19685"/>
                <wp:wrapNone/>
                <wp:docPr id="512" name="Conector recto 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43065"/>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6ED461" id="Conector recto 512" o:spid="_x0000_s1026" style="position:absolute;z-index:-251512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05pt,29.5pt" to="-.05pt,5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" o:allowincell="f" strokeweight=".21164mm"/>
            </w:pict>
          </mc:Fallback>
        </mc:AlternateContent>
      </w:r>
      <w:r>
        <w:rPr>
          <w:rFonts w:ascii="Arial" w:hAnsi="Arial" w:cs="Arial"/>
          <w:noProof/>
          <w:sz w:val="22"/>
          <w:szCs w:val="22"/>
        </w:rPr>
        <mc:AlternateContent>
          <mc:Choice Requires="wps">
            <w:drawing>
              <wp:anchor distT="0" distB="0" distL="114299" distR="114299" simplePos="0" relativeHeight="251805184" behindDoc="1" locked="0" layoutInCell="0" allowOverlap="1" wp14:anchorId="193D317E" wp14:editId="09D93780">
                <wp:simplePos x="0" y="0"/>
                <wp:positionH relativeFrom="column">
                  <wp:posOffset>6264274</wp:posOffset>
                </wp:positionH>
                <wp:positionV relativeFrom="paragraph">
                  <wp:posOffset>374650</wp:posOffset>
                </wp:positionV>
                <wp:extent cx="0" cy="6743065"/>
                <wp:effectExtent l="0" t="0" r="19050" b="19685"/>
                <wp:wrapNone/>
                <wp:docPr id="63" name="Conector recto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43065"/>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4AD068" id="Conector recto 63" o:spid="_x0000_s1026" style="position:absolute;z-index:-251511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93.25pt,29.5pt" to="493.25pt,5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" o:allowincell="f" strokeweight=".21164mm"/>
            </w:pict>
          </mc:Fallback>
        </mc:AlternateContent>
      </w:r>
    </w:p>
    <w:p w14:paraId="17F49235" w14:textId="77777777" w:rsidR="00802831" w:rsidRPr="007923C2" w:rsidRDefault="00802831" w:rsidP="00802831">
      <w:pPr>
        <w:widowControl w:val="0"/>
        <w:autoSpaceDE w:val="0"/>
        <w:autoSpaceDN w:val="0"/>
        <w:adjustRightInd w:val="0"/>
        <w:spacing w:after="0" w:line="200" w:lineRule="exact"/>
        <w:rPr>
          <w:rFonts w:ascii="Arial" w:hAnsi="Arial" w:cs="Arial"/>
          <w:sz w:val="22"/>
          <w:szCs w:val="22"/>
          <w:lang w:val="es-ES"/>
        </w:rPr>
      </w:pPr>
    </w:p>
    <w:p w14:paraId="1C99B241" w14:textId="77777777" w:rsidR="00802831" w:rsidRPr="007923C2" w:rsidRDefault="00802831" w:rsidP="00802831">
      <w:pPr>
        <w:widowControl w:val="0"/>
        <w:autoSpaceDE w:val="0"/>
        <w:autoSpaceDN w:val="0"/>
        <w:adjustRightInd w:val="0"/>
        <w:spacing w:after="0" w:line="305" w:lineRule="exact"/>
        <w:rPr>
          <w:rFonts w:ascii="Arial" w:hAnsi="Arial" w:cs="Arial"/>
          <w:sz w:val="22"/>
          <w:szCs w:val="22"/>
          <w:lang w:val="es-ES"/>
        </w:rPr>
      </w:pPr>
    </w:p>
    <w:p w14:paraId="4F582787" w14:textId="77777777" w:rsidR="00802831" w:rsidRPr="007923C2" w:rsidRDefault="00802831" w:rsidP="00802831">
      <w:pPr>
        <w:widowControl w:val="0"/>
        <w:autoSpaceDE w:val="0"/>
        <w:autoSpaceDN w:val="0"/>
        <w:adjustRightInd w:val="0"/>
        <w:spacing w:after="0" w:line="240" w:lineRule="auto"/>
        <w:ind w:left="3320"/>
        <w:rPr>
          <w:rFonts w:ascii="Arial" w:hAnsi="Arial" w:cs="Arial"/>
          <w:sz w:val="22"/>
          <w:szCs w:val="22"/>
        </w:rPr>
      </w:pPr>
      <w:r w:rsidRPr="007923C2">
        <w:rPr>
          <w:rFonts w:ascii="Arial" w:hAnsi="Arial" w:cs="Arial"/>
          <w:b/>
          <w:bCs/>
          <w:sz w:val="22"/>
          <w:szCs w:val="22"/>
        </w:rPr>
        <w:t>MATERIAS OBLIGATORIAS</w:t>
      </w:r>
    </w:p>
    <w:p w14:paraId="03F13D90" w14:textId="77777777" w:rsidR="00802831" w:rsidRPr="007923C2" w:rsidRDefault="00802831" w:rsidP="00802831">
      <w:pPr>
        <w:widowControl w:val="0"/>
        <w:autoSpaceDE w:val="0"/>
        <w:autoSpaceDN w:val="0"/>
        <w:adjustRightInd w:val="0"/>
        <w:spacing w:after="0" w:line="84" w:lineRule="exact"/>
        <w:rPr>
          <w:rFonts w:ascii="Arial" w:hAnsi="Arial" w:cs="Arial"/>
          <w:sz w:val="22"/>
          <w:szCs w:val="22"/>
        </w:rPr>
      </w:pPr>
    </w:p>
    <w:tbl>
      <w:tblPr>
        <w:tblW w:w="0" w:type="auto"/>
        <w:tblLayout w:type="fixed"/>
        <w:tblCellMar>
          <w:left w:w="0" w:type="dxa"/>
          <w:right w:w="0" w:type="dxa"/>
        </w:tblCellMar>
        <w:tblLook w:val="0000" w:firstRow="0" w:lastRow="0" w:firstColumn="0" w:lastColumn="0" w:noHBand="0" w:noVBand="0"/>
      </w:tblPr>
      <w:tblGrid>
        <w:gridCol w:w="3760"/>
        <w:gridCol w:w="6120"/>
      </w:tblGrid>
      <w:tr w:rsidR="00802831" w:rsidRPr="007923C2" w14:paraId="3CD454BB" w14:textId="77777777" w:rsidTr="00802831">
        <w:trPr>
          <w:trHeight w:val="400"/>
        </w:trPr>
        <w:tc>
          <w:tcPr>
            <w:tcW w:w="3760" w:type="dxa"/>
            <w:tcBorders>
              <w:top w:val="single" w:sz="8" w:space="0" w:color="auto"/>
              <w:left w:val="nil"/>
              <w:bottom w:val="nil"/>
              <w:right w:val="single" w:sz="8" w:space="0" w:color="auto"/>
            </w:tcBorders>
            <w:vAlign w:val="bottom"/>
          </w:tcPr>
          <w:p w14:paraId="58D376C8" w14:textId="77777777" w:rsidR="00802831" w:rsidRPr="007923C2" w:rsidRDefault="00802831" w:rsidP="00802831">
            <w:pPr>
              <w:widowControl w:val="0"/>
              <w:autoSpaceDE w:val="0"/>
              <w:autoSpaceDN w:val="0"/>
              <w:adjustRightInd w:val="0"/>
              <w:spacing w:after="0" w:line="240" w:lineRule="auto"/>
              <w:ind w:left="1300"/>
              <w:rPr>
                <w:rFonts w:ascii="Arial" w:hAnsi="Arial" w:cs="Arial"/>
                <w:sz w:val="22"/>
                <w:szCs w:val="22"/>
              </w:rPr>
            </w:pPr>
            <w:r w:rsidRPr="007923C2">
              <w:rPr>
                <w:rFonts w:ascii="Arial" w:hAnsi="Arial" w:cs="Arial"/>
                <w:b/>
                <w:bCs/>
                <w:sz w:val="22"/>
                <w:szCs w:val="22"/>
              </w:rPr>
              <w:t>MATERIA</w:t>
            </w:r>
          </w:p>
        </w:tc>
        <w:tc>
          <w:tcPr>
            <w:tcW w:w="6120" w:type="dxa"/>
            <w:tcBorders>
              <w:top w:val="single" w:sz="8" w:space="0" w:color="auto"/>
              <w:left w:val="nil"/>
              <w:bottom w:val="nil"/>
              <w:right w:val="nil"/>
            </w:tcBorders>
            <w:vAlign w:val="bottom"/>
          </w:tcPr>
          <w:p w14:paraId="4380BCB5"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b/>
                <w:bCs/>
                <w:w w:val="98"/>
                <w:sz w:val="22"/>
                <w:szCs w:val="22"/>
              </w:rPr>
              <w:t>CLAVE</w:t>
            </w:r>
          </w:p>
        </w:tc>
      </w:tr>
      <w:tr w:rsidR="00802831" w:rsidRPr="007923C2" w14:paraId="7330A086" w14:textId="77777777" w:rsidTr="0058745E">
        <w:trPr>
          <w:trHeight w:val="104"/>
        </w:trPr>
        <w:tc>
          <w:tcPr>
            <w:tcW w:w="3760" w:type="dxa"/>
            <w:tcBorders>
              <w:top w:val="nil"/>
              <w:left w:val="nil"/>
              <w:bottom w:val="single" w:sz="4" w:space="0" w:color="auto"/>
              <w:right w:val="single" w:sz="8" w:space="0" w:color="auto"/>
            </w:tcBorders>
            <w:vAlign w:val="bottom"/>
          </w:tcPr>
          <w:p w14:paraId="38C34FC4" w14:textId="77777777" w:rsidR="00802831" w:rsidRPr="007923C2" w:rsidRDefault="00802831" w:rsidP="00802831">
            <w:pPr>
              <w:widowControl w:val="0"/>
              <w:autoSpaceDE w:val="0"/>
              <w:autoSpaceDN w:val="0"/>
              <w:adjustRightInd w:val="0"/>
              <w:spacing w:after="0" w:line="240" w:lineRule="auto"/>
              <w:rPr>
                <w:rFonts w:ascii="Arial" w:hAnsi="Arial" w:cs="Arial"/>
                <w:sz w:val="22"/>
                <w:szCs w:val="22"/>
              </w:rPr>
            </w:pPr>
          </w:p>
        </w:tc>
        <w:tc>
          <w:tcPr>
            <w:tcW w:w="6120" w:type="dxa"/>
            <w:tcBorders>
              <w:top w:val="nil"/>
              <w:left w:val="nil"/>
              <w:bottom w:val="single" w:sz="4" w:space="0" w:color="auto"/>
              <w:right w:val="nil"/>
            </w:tcBorders>
            <w:vAlign w:val="bottom"/>
          </w:tcPr>
          <w:p w14:paraId="37D7F722" w14:textId="77777777" w:rsidR="00802831" w:rsidRPr="007923C2" w:rsidRDefault="00802831" w:rsidP="00802831">
            <w:pPr>
              <w:widowControl w:val="0"/>
              <w:autoSpaceDE w:val="0"/>
              <w:autoSpaceDN w:val="0"/>
              <w:adjustRightInd w:val="0"/>
              <w:spacing w:after="0" w:line="240" w:lineRule="auto"/>
              <w:rPr>
                <w:rFonts w:ascii="Arial" w:hAnsi="Arial" w:cs="Arial"/>
                <w:sz w:val="22"/>
                <w:szCs w:val="22"/>
              </w:rPr>
            </w:pPr>
          </w:p>
        </w:tc>
      </w:tr>
      <w:tr w:rsidR="00802831" w:rsidRPr="007923C2" w14:paraId="7B73D328" w14:textId="77777777" w:rsidTr="0058745E">
        <w:trPr>
          <w:trHeight w:val="380"/>
        </w:trPr>
        <w:tc>
          <w:tcPr>
            <w:tcW w:w="3760" w:type="dxa"/>
            <w:tcBorders>
              <w:top w:val="single" w:sz="4" w:space="0" w:color="auto"/>
              <w:left w:val="single" w:sz="4" w:space="0" w:color="auto"/>
              <w:bottom w:val="single" w:sz="4" w:space="0" w:color="auto"/>
              <w:right w:val="single" w:sz="4" w:space="0" w:color="auto"/>
            </w:tcBorders>
            <w:vAlign w:val="bottom"/>
          </w:tcPr>
          <w:p w14:paraId="2B8B3855" w14:textId="77777777" w:rsidR="00802831" w:rsidRPr="007923C2" w:rsidRDefault="00802831" w:rsidP="00802831">
            <w:pPr>
              <w:widowControl w:val="0"/>
              <w:autoSpaceDE w:val="0"/>
              <w:autoSpaceDN w:val="0"/>
              <w:adjustRightInd w:val="0"/>
              <w:spacing w:after="0" w:line="240" w:lineRule="auto"/>
              <w:ind w:left="80"/>
              <w:rPr>
                <w:rFonts w:ascii="Arial" w:hAnsi="Arial" w:cs="Arial"/>
                <w:sz w:val="22"/>
                <w:szCs w:val="22"/>
              </w:rPr>
            </w:pPr>
            <w:r w:rsidRPr="007923C2">
              <w:rPr>
                <w:rFonts w:ascii="Arial" w:hAnsi="Arial" w:cs="Arial"/>
                <w:sz w:val="22"/>
                <w:szCs w:val="22"/>
              </w:rPr>
              <w:t>Biología</w:t>
            </w:r>
          </w:p>
        </w:tc>
        <w:tc>
          <w:tcPr>
            <w:tcW w:w="6120" w:type="dxa"/>
            <w:tcBorders>
              <w:top w:val="single" w:sz="4" w:space="0" w:color="auto"/>
              <w:left w:val="single" w:sz="4" w:space="0" w:color="auto"/>
              <w:bottom w:val="single" w:sz="4" w:space="0" w:color="auto"/>
              <w:right w:val="single" w:sz="4" w:space="0" w:color="auto"/>
            </w:tcBorders>
            <w:vAlign w:val="bottom"/>
          </w:tcPr>
          <w:p w14:paraId="16FCCDE7" w14:textId="77777777" w:rsidR="00802831" w:rsidRPr="007923C2" w:rsidRDefault="00802831" w:rsidP="003872E9">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w:t>
            </w:r>
            <w:r w:rsidR="003872E9">
              <w:rPr>
                <w:rFonts w:ascii="Arial" w:hAnsi="Arial" w:cs="Arial"/>
                <w:w w:val="98"/>
                <w:sz w:val="22"/>
                <w:szCs w:val="22"/>
              </w:rPr>
              <w:t>404</w:t>
            </w:r>
          </w:p>
        </w:tc>
      </w:tr>
      <w:tr w:rsidR="00802831" w:rsidRPr="007923C2" w14:paraId="44B19F2B"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2578A73C"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Matemáticas</w:t>
            </w:r>
          </w:p>
        </w:tc>
        <w:tc>
          <w:tcPr>
            <w:tcW w:w="6120" w:type="dxa"/>
            <w:tcBorders>
              <w:top w:val="single" w:sz="4" w:space="0" w:color="auto"/>
              <w:left w:val="single" w:sz="4" w:space="0" w:color="auto"/>
              <w:bottom w:val="single" w:sz="4" w:space="0" w:color="auto"/>
              <w:right w:val="single" w:sz="4" w:space="0" w:color="auto"/>
            </w:tcBorders>
            <w:vAlign w:val="bottom"/>
          </w:tcPr>
          <w:p w14:paraId="20B46C76"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DEC-410</w:t>
            </w:r>
          </w:p>
        </w:tc>
      </w:tr>
      <w:tr w:rsidR="00802831" w:rsidRPr="007923C2" w14:paraId="3829858D"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6D340637"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lang w:val="es-ES"/>
              </w:rPr>
            </w:pPr>
            <w:r w:rsidRPr="007923C2">
              <w:rPr>
                <w:rFonts w:ascii="Arial" w:hAnsi="Arial" w:cs="Arial"/>
                <w:sz w:val="22"/>
                <w:szCs w:val="22"/>
                <w:lang w:val="es-ES"/>
              </w:rPr>
              <w:t>Introducción a la ciencia del suelo</w:t>
            </w:r>
          </w:p>
        </w:tc>
        <w:tc>
          <w:tcPr>
            <w:tcW w:w="6120" w:type="dxa"/>
            <w:tcBorders>
              <w:top w:val="single" w:sz="4" w:space="0" w:color="auto"/>
              <w:left w:val="single" w:sz="4" w:space="0" w:color="auto"/>
              <w:bottom w:val="single" w:sz="4" w:space="0" w:color="auto"/>
              <w:right w:val="single" w:sz="4" w:space="0" w:color="auto"/>
            </w:tcBorders>
            <w:vAlign w:val="bottom"/>
          </w:tcPr>
          <w:p w14:paraId="7FDF64C3"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SUE-403</w:t>
            </w:r>
          </w:p>
        </w:tc>
      </w:tr>
      <w:tr w:rsidR="00802831" w:rsidRPr="007923C2" w14:paraId="4DB5AA6E"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2BF53DAD"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Ingles I</w:t>
            </w:r>
          </w:p>
        </w:tc>
        <w:tc>
          <w:tcPr>
            <w:tcW w:w="6120" w:type="dxa"/>
            <w:tcBorders>
              <w:top w:val="single" w:sz="4" w:space="0" w:color="auto"/>
              <w:left w:val="single" w:sz="4" w:space="0" w:color="auto"/>
              <w:bottom w:val="single" w:sz="4" w:space="0" w:color="auto"/>
              <w:right w:val="single" w:sz="4" w:space="0" w:color="auto"/>
            </w:tcBorders>
            <w:vAlign w:val="bottom"/>
          </w:tcPr>
          <w:p w14:paraId="7A4BEC50"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UAI-401</w:t>
            </w:r>
          </w:p>
        </w:tc>
      </w:tr>
      <w:tr w:rsidR="00802831" w:rsidRPr="007923C2" w14:paraId="17C35BAD"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4D58110E"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lang w:val="es-ES"/>
              </w:rPr>
            </w:pPr>
            <w:r w:rsidRPr="007923C2">
              <w:rPr>
                <w:rFonts w:ascii="Arial" w:hAnsi="Arial" w:cs="Arial"/>
                <w:sz w:val="22"/>
                <w:szCs w:val="22"/>
                <w:lang w:val="es-ES"/>
              </w:rPr>
              <w:t>Taller de comunicación  Oral y Esc</w:t>
            </w:r>
          </w:p>
        </w:tc>
        <w:tc>
          <w:tcPr>
            <w:tcW w:w="6120" w:type="dxa"/>
            <w:tcBorders>
              <w:top w:val="single" w:sz="4" w:space="0" w:color="auto"/>
              <w:left w:val="single" w:sz="4" w:space="0" w:color="auto"/>
              <w:bottom w:val="single" w:sz="4" w:space="0" w:color="auto"/>
              <w:right w:val="single" w:sz="4" w:space="0" w:color="auto"/>
            </w:tcBorders>
            <w:vAlign w:val="bottom"/>
          </w:tcPr>
          <w:p w14:paraId="469330C9"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SOC-405</w:t>
            </w:r>
          </w:p>
        </w:tc>
      </w:tr>
      <w:tr w:rsidR="00802831" w:rsidRPr="007923C2" w14:paraId="6FC70435" w14:textId="77777777" w:rsidTr="0058745E">
        <w:trPr>
          <w:trHeight w:val="380"/>
        </w:trPr>
        <w:tc>
          <w:tcPr>
            <w:tcW w:w="3760" w:type="dxa"/>
            <w:tcBorders>
              <w:top w:val="single" w:sz="4" w:space="0" w:color="auto"/>
              <w:left w:val="single" w:sz="4" w:space="0" w:color="auto"/>
              <w:bottom w:val="single" w:sz="4" w:space="0" w:color="auto"/>
              <w:right w:val="single" w:sz="4" w:space="0" w:color="auto"/>
            </w:tcBorders>
            <w:vAlign w:val="bottom"/>
          </w:tcPr>
          <w:p w14:paraId="3CA0A85B"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Cálculo diferencial e integral</w:t>
            </w:r>
          </w:p>
        </w:tc>
        <w:tc>
          <w:tcPr>
            <w:tcW w:w="6120" w:type="dxa"/>
            <w:tcBorders>
              <w:top w:val="single" w:sz="4" w:space="0" w:color="auto"/>
              <w:left w:val="single" w:sz="4" w:space="0" w:color="auto"/>
              <w:bottom w:val="single" w:sz="4" w:space="0" w:color="auto"/>
              <w:right w:val="single" w:sz="4" w:space="0" w:color="auto"/>
            </w:tcBorders>
            <w:vAlign w:val="bottom"/>
          </w:tcPr>
          <w:p w14:paraId="7A6780D9"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Dec –405</w:t>
            </w:r>
          </w:p>
        </w:tc>
      </w:tr>
      <w:tr w:rsidR="00802831" w:rsidRPr="007923C2" w14:paraId="6F25CA6A" w14:textId="77777777" w:rsidTr="0058745E">
        <w:trPr>
          <w:trHeight w:val="380"/>
        </w:trPr>
        <w:tc>
          <w:tcPr>
            <w:tcW w:w="3760" w:type="dxa"/>
            <w:tcBorders>
              <w:top w:val="single" w:sz="4" w:space="0" w:color="auto"/>
              <w:left w:val="single" w:sz="4" w:space="0" w:color="auto"/>
              <w:bottom w:val="single" w:sz="4" w:space="0" w:color="auto"/>
              <w:right w:val="single" w:sz="4" w:space="0" w:color="auto"/>
            </w:tcBorders>
            <w:vAlign w:val="bottom"/>
          </w:tcPr>
          <w:p w14:paraId="40F95D5D"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Sistemas Biológicos</w:t>
            </w:r>
          </w:p>
        </w:tc>
        <w:tc>
          <w:tcPr>
            <w:tcW w:w="6120" w:type="dxa"/>
            <w:tcBorders>
              <w:top w:val="single" w:sz="4" w:space="0" w:color="auto"/>
              <w:left w:val="single" w:sz="4" w:space="0" w:color="auto"/>
              <w:bottom w:val="single" w:sz="4" w:space="0" w:color="auto"/>
              <w:right w:val="single" w:sz="4" w:space="0" w:color="auto"/>
            </w:tcBorders>
            <w:vAlign w:val="bottom"/>
          </w:tcPr>
          <w:p w14:paraId="397F9938"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BOT-416</w:t>
            </w:r>
          </w:p>
        </w:tc>
      </w:tr>
      <w:tr w:rsidR="00802831" w:rsidRPr="007923C2" w14:paraId="50C64BAA"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17D332E1"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Entomología</w:t>
            </w:r>
          </w:p>
        </w:tc>
        <w:tc>
          <w:tcPr>
            <w:tcW w:w="6120" w:type="dxa"/>
            <w:tcBorders>
              <w:top w:val="single" w:sz="4" w:space="0" w:color="auto"/>
              <w:left w:val="single" w:sz="4" w:space="0" w:color="auto"/>
              <w:bottom w:val="single" w:sz="4" w:space="0" w:color="auto"/>
              <w:right w:val="single" w:sz="4" w:space="0" w:color="auto"/>
            </w:tcBorders>
            <w:vAlign w:val="bottom"/>
          </w:tcPr>
          <w:p w14:paraId="1C53AAA5"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PAR-486</w:t>
            </w:r>
          </w:p>
        </w:tc>
      </w:tr>
      <w:tr w:rsidR="00802831" w:rsidRPr="007923C2" w14:paraId="33AADD22"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62519CC9"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Ingles II</w:t>
            </w:r>
          </w:p>
        </w:tc>
        <w:tc>
          <w:tcPr>
            <w:tcW w:w="6120" w:type="dxa"/>
            <w:tcBorders>
              <w:top w:val="single" w:sz="4" w:space="0" w:color="auto"/>
              <w:left w:val="single" w:sz="4" w:space="0" w:color="auto"/>
              <w:bottom w:val="single" w:sz="4" w:space="0" w:color="auto"/>
              <w:right w:val="single" w:sz="4" w:space="0" w:color="auto"/>
            </w:tcBorders>
            <w:vAlign w:val="bottom"/>
          </w:tcPr>
          <w:p w14:paraId="6FF8B7AA"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UAI-410</w:t>
            </w:r>
          </w:p>
        </w:tc>
      </w:tr>
      <w:tr w:rsidR="00802831" w:rsidRPr="007923C2" w14:paraId="2C20FDD1"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3CF23C3D"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Etnoecología</w:t>
            </w:r>
          </w:p>
        </w:tc>
        <w:tc>
          <w:tcPr>
            <w:tcW w:w="6120" w:type="dxa"/>
            <w:tcBorders>
              <w:top w:val="single" w:sz="4" w:space="0" w:color="auto"/>
              <w:left w:val="single" w:sz="4" w:space="0" w:color="auto"/>
              <w:bottom w:val="single" w:sz="4" w:space="0" w:color="auto"/>
              <w:right w:val="single" w:sz="4" w:space="0" w:color="auto"/>
            </w:tcBorders>
            <w:vAlign w:val="bottom"/>
          </w:tcPr>
          <w:p w14:paraId="33FDD6AA"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BOT-469</w:t>
            </w:r>
          </w:p>
        </w:tc>
      </w:tr>
      <w:tr w:rsidR="00802831" w:rsidRPr="007923C2" w14:paraId="4EFA660F"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08B60E66"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Microbiología</w:t>
            </w:r>
            <w:r w:rsidR="008151BE" w:rsidRPr="007923C2">
              <w:rPr>
                <w:rFonts w:ascii="Arial" w:hAnsi="Arial" w:cs="Arial"/>
                <w:sz w:val="22"/>
                <w:szCs w:val="22"/>
              </w:rPr>
              <w:t xml:space="preserve"> industrial</w:t>
            </w:r>
          </w:p>
        </w:tc>
        <w:tc>
          <w:tcPr>
            <w:tcW w:w="6120" w:type="dxa"/>
            <w:tcBorders>
              <w:top w:val="single" w:sz="4" w:space="0" w:color="auto"/>
              <w:left w:val="single" w:sz="4" w:space="0" w:color="auto"/>
              <w:bottom w:val="single" w:sz="4" w:space="0" w:color="auto"/>
              <w:right w:val="single" w:sz="4" w:space="0" w:color="auto"/>
            </w:tcBorders>
            <w:vAlign w:val="bottom"/>
          </w:tcPr>
          <w:p w14:paraId="4B531FDE" w14:textId="77777777" w:rsidR="00802831" w:rsidRPr="007923C2" w:rsidRDefault="00802831" w:rsidP="008151B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PAR-4</w:t>
            </w:r>
            <w:r w:rsidR="008151BE" w:rsidRPr="007923C2">
              <w:rPr>
                <w:rFonts w:ascii="Arial" w:hAnsi="Arial" w:cs="Arial"/>
                <w:w w:val="99"/>
                <w:sz w:val="22"/>
                <w:szCs w:val="22"/>
              </w:rPr>
              <w:t>96</w:t>
            </w:r>
          </w:p>
        </w:tc>
      </w:tr>
      <w:tr w:rsidR="00802831" w:rsidRPr="007923C2" w14:paraId="7C70E78F" w14:textId="77777777" w:rsidTr="0058745E">
        <w:trPr>
          <w:trHeight w:val="380"/>
        </w:trPr>
        <w:tc>
          <w:tcPr>
            <w:tcW w:w="3760" w:type="dxa"/>
            <w:tcBorders>
              <w:top w:val="single" w:sz="4" w:space="0" w:color="auto"/>
              <w:left w:val="single" w:sz="4" w:space="0" w:color="auto"/>
              <w:bottom w:val="single" w:sz="4" w:space="0" w:color="auto"/>
              <w:right w:val="single" w:sz="4" w:space="0" w:color="auto"/>
            </w:tcBorders>
            <w:vAlign w:val="bottom"/>
          </w:tcPr>
          <w:p w14:paraId="772A2231"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Física</w:t>
            </w:r>
          </w:p>
        </w:tc>
        <w:tc>
          <w:tcPr>
            <w:tcW w:w="6120" w:type="dxa"/>
            <w:tcBorders>
              <w:top w:val="single" w:sz="4" w:space="0" w:color="auto"/>
              <w:left w:val="single" w:sz="4" w:space="0" w:color="auto"/>
              <w:bottom w:val="single" w:sz="4" w:space="0" w:color="auto"/>
              <w:right w:val="single" w:sz="4" w:space="0" w:color="auto"/>
            </w:tcBorders>
            <w:vAlign w:val="bottom"/>
          </w:tcPr>
          <w:p w14:paraId="266E9C5A"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CSB-401</w:t>
            </w:r>
          </w:p>
        </w:tc>
      </w:tr>
      <w:tr w:rsidR="00802831" w:rsidRPr="007923C2" w14:paraId="6DFD4705"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12704200"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Bioquímica</w:t>
            </w:r>
          </w:p>
        </w:tc>
        <w:tc>
          <w:tcPr>
            <w:tcW w:w="6120" w:type="dxa"/>
            <w:tcBorders>
              <w:top w:val="single" w:sz="4" w:space="0" w:color="auto"/>
              <w:left w:val="single" w:sz="4" w:space="0" w:color="auto"/>
              <w:bottom w:val="single" w:sz="4" w:space="0" w:color="auto"/>
              <w:right w:val="single" w:sz="4" w:space="0" w:color="auto"/>
            </w:tcBorders>
            <w:vAlign w:val="bottom"/>
          </w:tcPr>
          <w:p w14:paraId="77A0C6F3"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DEC-451</w:t>
            </w:r>
          </w:p>
        </w:tc>
      </w:tr>
      <w:tr w:rsidR="00802831" w:rsidRPr="007923C2" w14:paraId="76BBC268"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289A76A4"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Botánica I</w:t>
            </w:r>
          </w:p>
        </w:tc>
        <w:tc>
          <w:tcPr>
            <w:tcW w:w="6120" w:type="dxa"/>
            <w:tcBorders>
              <w:top w:val="single" w:sz="4" w:space="0" w:color="auto"/>
              <w:left w:val="single" w:sz="4" w:space="0" w:color="auto"/>
              <w:bottom w:val="single" w:sz="4" w:space="0" w:color="auto"/>
              <w:right w:val="single" w:sz="4" w:space="0" w:color="auto"/>
            </w:tcBorders>
            <w:vAlign w:val="bottom"/>
          </w:tcPr>
          <w:p w14:paraId="48C633BD"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CSB-415</w:t>
            </w:r>
          </w:p>
        </w:tc>
      </w:tr>
      <w:tr w:rsidR="00802831" w:rsidRPr="007923C2" w14:paraId="4EE8F552"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1C1E0D70"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Genética</w:t>
            </w:r>
          </w:p>
        </w:tc>
        <w:tc>
          <w:tcPr>
            <w:tcW w:w="6120" w:type="dxa"/>
            <w:tcBorders>
              <w:top w:val="single" w:sz="4" w:space="0" w:color="auto"/>
              <w:left w:val="single" w:sz="4" w:space="0" w:color="auto"/>
              <w:bottom w:val="single" w:sz="4" w:space="0" w:color="auto"/>
              <w:right w:val="single" w:sz="4" w:space="0" w:color="auto"/>
            </w:tcBorders>
            <w:vAlign w:val="bottom"/>
          </w:tcPr>
          <w:p w14:paraId="47F64CB1"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FIT-401</w:t>
            </w:r>
          </w:p>
        </w:tc>
      </w:tr>
      <w:tr w:rsidR="00802831" w:rsidRPr="007923C2" w14:paraId="3B41C5DA"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5A182E84"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Meteorología y Climatología</w:t>
            </w:r>
          </w:p>
        </w:tc>
        <w:tc>
          <w:tcPr>
            <w:tcW w:w="6120" w:type="dxa"/>
            <w:tcBorders>
              <w:top w:val="single" w:sz="4" w:space="0" w:color="auto"/>
              <w:left w:val="single" w:sz="4" w:space="0" w:color="auto"/>
              <w:bottom w:val="single" w:sz="4" w:space="0" w:color="auto"/>
              <w:right w:val="single" w:sz="4" w:space="0" w:color="auto"/>
            </w:tcBorders>
            <w:vAlign w:val="bottom"/>
          </w:tcPr>
          <w:p w14:paraId="6CBD7516"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AGM-407</w:t>
            </w:r>
          </w:p>
        </w:tc>
      </w:tr>
      <w:tr w:rsidR="00802831" w:rsidRPr="007923C2" w14:paraId="0A0B039A"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65501595" w14:textId="77777777" w:rsidR="00802831" w:rsidRPr="007923C2" w:rsidRDefault="00815FF6"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Química</w:t>
            </w:r>
          </w:p>
        </w:tc>
        <w:tc>
          <w:tcPr>
            <w:tcW w:w="6120" w:type="dxa"/>
            <w:tcBorders>
              <w:top w:val="single" w:sz="4" w:space="0" w:color="auto"/>
              <w:left w:val="single" w:sz="4" w:space="0" w:color="auto"/>
              <w:bottom w:val="single" w:sz="4" w:space="0" w:color="auto"/>
              <w:right w:val="single" w:sz="4" w:space="0" w:color="auto"/>
            </w:tcBorders>
            <w:vAlign w:val="bottom"/>
          </w:tcPr>
          <w:p w14:paraId="4C58E9B8" w14:textId="77777777" w:rsidR="00802831" w:rsidRPr="007923C2" w:rsidRDefault="00815FF6"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CSB-403</w:t>
            </w:r>
          </w:p>
        </w:tc>
      </w:tr>
      <w:tr w:rsidR="00802831" w:rsidRPr="007923C2" w14:paraId="096765E7" w14:textId="77777777" w:rsidTr="0058745E">
        <w:trPr>
          <w:trHeight w:val="380"/>
        </w:trPr>
        <w:tc>
          <w:tcPr>
            <w:tcW w:w="3760" w:type="dxa"/>
            <w:tcBorders>
              <w:top w:val="single" w:sz="4" w:space="0" w:color="auto"/>
              <w:left w:val="single" w:sz="4" w:space="0" w:color="auto"/>
              <w:bottom w:val="single" w:sz="4" w:space="0" w:color="auto"/>
              <w:right w:val="single" w:sz="4" w:space="0" w:color="auto"/>
            </w:tcBorders>
            <w:vAlign w:val="bottom"/>
          </w:tcPr>
          <w:p w14:paraId="6395D08F" w14:textId="77777777" w:rsidR="00802831" w:rsidRPr="007923C2" w:rsidRDefault="00802831" w:rsidP="00802831">
            <w:pPr>
              <w:widowControl w:val="0"/>
              <w:autoSpaceDE w:val="0"/>
              <w:autoSpaceDN w:val="0"/>
              <w:adjustRightInd w:val="0"/>
              <w:spacing w:after="0" w:line="288" w:lineRule="exact"/>
              <w:ind w:left="20"/>
              <w:rPr>
                <w:rFonts w:ascii="Arial" w:hAnsi="Arial" w:cs="Arial"/>
                <w:sz w:val="22"/>
                <w:szCs w:val="22"/>
              </w:rPr>
            </w:pPr>
            <w:r w:rsidRPr="007923C2">
              <w:rPr>
                <w:rFonts w:ascii="Arial" w:hAnsi="Arial" w:cs="Arial"/>
                <w:sz w:val="22"/>
                <w:szCs w:val="22"/>
              </w:rPr>
              <w:t>Zoología I</w:t>
            </w:r>
          </w:p>
        </w:tc>
        <w:tc>
          <w:tcPr>
            <w:tcW w:w="6120" w:type="dxa"/>
            <w:tcBorders>
              <w:top w:val="single" w:sz="4" w:space="0" w:color="auto"/>
              <w:left w:val="single" w:sz="4" w:space="0" w:color="auto"/>
              <w:bottom w:val="single" w:sz="4" w:space="0" w:color="auto"/>
              <w:right w:val="single" w:sz="4" w:space="0" w:color="auto"/>
            </w:tcBorders>
            <w:vAlign w:val="bottom"/>
          </w:tcPr>
          <w:p w14:paraId="056EDED6" w14:textId="77777777" w:rsidR="00802831" w:rsidRPr="007923C2" w:rsidRDefault="00802831" w:rsidP="00802831">
            <w:pPr>
              <w:widowControl w:val="0"/>
              <w:autoSpaceDE w:val="0"/>
              <w:autoSpaceDN w:val="0"/>
              <w:adjustRightInd w:val="0"/>
              <w:spacing w:after="0" w:line="288" w:lineRule="exact"/>
              <w:jc w:val="center"/>
              <w:rPr>
                <w:rFonts w:ascii="Arial" w:hAnsi="Arial" w:cs="Arial"/>
                <w:sz w:val="22"/>
                <w:szCs w:val="22"/>
              </w:rPr>
            </w:pPr>
            <w:r w:rsidRPr="007923C2">
              <w:rPr>
                <w:rFonts w:ascii="Arial" w:hAnsi="Arial" w:cs="Arial"/>
                <w:w w:val="98"/>
                <w:sz w:val="22"/>
                <w:szCs w:val="22"/>
              </w:rPr>
              <w:t>BOT-415</w:t>
            </w:r>
          </w:p>
        </w:tc>
      </w:tr>
      <w:tr w:rsidR="00802831" w:rsidRPr="007923C2" w14:paraId="65F3D54C" w14:textId="77777777"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14:paraId="5EBCFE32"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Botánica II</w:t>
            </w:r>
          </w:p>
        </w:tc>
        <w:tc>
          <w:tcPr>
            <w:tcW w:w="6120" w:type="dxa"/>
            <w:tcBorders>
              <w:top w:val="single" w:sz="4" w:space="0" w:color="auto"/>
              <w:left w:val="single" w:sz="4" w:space="0" w:color="auto"/>
              <w:bottom w:val="single" w:sz="4" w:space="0" w:color="auto"/>
              <w:right w:val="single" w:sz="4" w:space="0" w:color="auto"/>
            </w:tcBorders>
            <w:vAlign w:val="bottom"/>
          </w:tcPr>
          <w:p w14:paraId="1370B59C"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BOT-417</w:t>
            </w:r>
          </w:p>
        </w:tc>
      </w:tr>
    </w:tbl>
    <w:p w14:paraId="564AA438" w14:textId="77777777" w:rsidR="00802831" w:rsidRPr="007923C2" w:rsidRDefault="00802831" w:rsidP="00802831">
      <w:pPr>
        <w:widowControl w:val="0"/>
        <w:autoSpaceDE w:val="0"/>
        <w:autoSpaceDN w:val="0"/>
        <w:adjustRightInd w:val="0"/>
        <w:spacing w:after="0" w:line="240" w:lineRule="auto"/>
        <w:rPr>
          <w:rFonts w:ascii="Arial" w:hAnsi="Arial" w:cs="Arial"/>
          <w:sz w:val="22"/>
          <w:szCs w:val="22"/>
        </w:rPr>
        <w:sectPr w:rsidR="00802831" w:rsidRPr="007923C2">
          <w:footerReference w:type="default" r:id="rId131"/>
          <w:pgSz w:w="12240" w:h="15840"/>
          <w:pgMar w:top="1414" w:right="1180" w:bottom="1440" w:left="1180" w:header="720" w:footer="720" w:gutter="0"/>
          <w:cols w:space="720" w:equalWidth="0">
            <w:col w:w="9880"/>
          </w:cols>
          <w:noEndnote/>
        </w:sectPr>
      </w:pPr>
    </w:p>
    <w:tbl>
      <w:tblPr>
        <w:tblW w:w="9194" w:type="dxa"/>
        <w:tblInd w:w="10" w:type="dxa"/>
        <w:tblLayout w:type="fixed"/>
        <w:tblCellMar>
          <w:left w:w="0" w:type="dxa"/>
          <w:right w:w="0" w:type="dxa"/>
        </w:tblCellMar>
        <w:tblLook w:val="0000" w:firstRow="0" w:lastRow="0" w:firstColumn="0" w:lastColumn="0" w:noHBand="0" w:noVBand="0"/>
      </w:tblPr>
      <w:tblGrid>
        <w:gridCol w:w="5509"/>
        <w:gridCol w:w="3685"/>
      </w:tblGrid>
      <w:tr w:rsidR="00802831" w:rsidRPr="007923C2" w14:paraId="4C294B75" w14:textId="77777777" w:rsidTr="0058745E">
        <w:trPr>
          <w:trHeight w:val="404"/>
        </w:trPr>
        <w:tc>
          <w:tcPr>
            <w:tcW w:w="5509" w:type="dxa"/>
            <w:tcBorders>
              <w:top w:val="single" w:sz="8" w:space="0" w:color="auto"/>
              <w:left w:val="single" w:sz="8" w:space="0" w:color="auto"/>
              <w:bottom w:val="nil"/>
              <w:right w:val="single" w:sz="8" w:space="0" w:color="auto"/>
            </w:tcBorders>
            <w:vAlign w:val="bottom"/>
          </w:tcPr>
          <w:bookmarkStart w:id="48" w:name="page63"/>
          <w:bookmarkEnd w:id="48"/>
          <w:p w14:paraId="088AC97F" w14:textId="65370066" w:rsidR="00802831" w:rsidRPr="007923C2" w:rsidRDefault="001F23E0" w:rsidP="00815FF6">
            <w:pPr>
              <w:widowControl w:val="0"/>
              <w:autoSpaceDE w:val="0"/>
              <w:autoSpaceDN w:val="0"/>
              <w:adjustRightInd w:val="0"/>
              <w:spacing w:after="0" w:line="240" w:lineRule="auto"/>
              <w:ind w:left="20"/>
              <w:rPr>
                <w:rFonts w:ascii="Arial" w:hAnsi="Arial" w:cs="Arial"/>
                <w:sz w:val="22"/>
                <w:szCs w:val="22"/>
              </w:rPr>
            </w:pPr>
            <w:r>
              <w:rPr>
                <w:rFonts w:ascii="Arial" w:hAnsi="Arial" w:cs="Arial"/>
                <w:noProof/>
                <w:sz w:val="22"/>
                <w:szCs w:val="22"/>
              </w:rPr>
              <w:lastRenderedPageBreak/>
              <mc:AlternateContent>
                <mc:Choice Requires="wps">
                  <w:drawing>
                    <wp:anchor distT="0" distB="0" distL="114300" distR="114300" simplePos="0" relativeHeight="251806208" behindDoc="1" locked="0" layoutInCell="0" allowOverlap="1" wp14:anchorId="5BA07CEC" wp14:editId="004B5636">
                      <wp:simplePos x="0" y="0"/>
                      <wp:positionH relativeFrom="page">
                        <wp:posOffset>741680</wp:posOffset>
                      </wp:positionH>
                      <wp:positionV relativeFrom="page">
                        <wp:posOffset>897890</wp:posOffset>
                      </wp:positionV>
                      <wp:extent cx="12700" cy="12700"/>
                      <wp:effectExtent l="0" t="0" r="0" b="0"/>
                      <wp:wrapNone/>
                      <wp:docPr id="62" name="Rectángulo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A501DE" id="Rectángulo 62" o:spid="_x0000_s1026" style="position:absolute;margin-left:58.4pt;margin-top:70.7pt;width:1pt;height:1pt;z-index:-25151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" o:allowincell="f" fillcolor="black" stroked="f">
                      <w10:wrap anchorx="page" anchory="page"/>
                    </v:rect>
                  </w:pict>
                </mc:Fallback>
              </mc:AlternateContent>
            </w:r>
            <w:r>
              <w:rPr>
                <w:rFonts w:ascii="Arial" w:hAnsi="Arial" w:cs="Arial"/>
                <w:noProof/>
                <w:sz w:val="22"/>
                <w:szCs w:val="22"/>
              </w:rPr>
              <mc:AlternateContent>
                <mc:Choice Requires="wps">
                  <w:drawing>
                    <wp:anchor distT="0" distB="0" distL="114300" distR="114300" simplePos="0" relativeHeight="251807232" behindDoc="1" locked="0" layoutInCell="0" allowOverlap="1" wp14:anchorId="36E554E2" wp14:editId="750F1625">
                      <wp:simplePos x="0" y="0"/>
                      <wp:positionH relativeFrom="page">
                        <wp:posOffset>3119755</wp:posOffset>
                      </wp:positionH>
                      <wp:positionV relativeFrom="page">
                        <wp:posOffset>897890</wp:posOffset>
                      </wp:positionV>
                      <wp:extent cx="12700" cy="12700"/>
                      <wp:effectExtent l="0" t="0" r="0" b="0"/>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10BD54" id="Rectángulo 22" o:spid="_x0000_s1026" style="position:absolute;margin-left:245.65pt;margin-top:70.7pt;width:1pt;height:1pt;z-index:-25150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84LeQIAAPw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" o:allowincell="f" fillcolor="black" stroked="f">
                      <w10:wrap anchorx="page" anchory="page"/>
                    </v:rect>
                  </w:pict>
                </mc:Fallback>
              </mc:AlternateContent>
            </w:r>
            <w:r>
              <w:rPr>
                <w:rFonts w:ascii="Arial" w:hAnsi="Arial" w:cs="Arial"/>
                <w:noProof/>
                <w:sz w:val="22"/>
                <w:szCs w:val="22"/>
              </w:rPr>
              <mc:AlternateContent>
                <mc:Choice Requires="wps">
                  <w:drawing>
                    <wp:anchor distT="0" distB="0" distL="114300" distR="114300" simplePos="0" relativeHeight="251808256" behindDoc="1" locked="0" layoutInCell="0" allowOverlap="1" wp14:anchorId="16F63234" wp14:editId="79BAE99B">
                      <wp:simplePos x="0" y="0"/>
                      <wp:positionH relativeFrom="page">
                        <wp:posOffset>7007225</wp:posOffset>
                      </wp:positionH>
                      <wp:positionV relativeFrom="page">
                        <wp:posOffset>897890</wp:posOffset>
                      </wp:positionV>
                      <wp:extent cx="12700" cy="12700"/>
                      <wp:effectExtent l="0" t="0" r="0" b="0"/>
                      <wp:wrapNone/>
                      <wp:docPr id="21" name="Rectá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16EF91" id="Rectángulo 21" o:spid="_x0000_s1026" style="position:absolute;margin-left:551.75pt;margin-top:70.7pt;width:1pt;height:1pt;z-index:-25150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" o:allowincell="f" fillcolor="black" stroked="f">
                      <w10:wrap anchorx="page" anchory="page"/>
                    </v:rect>
                  </w:pict>
                </mc:Fallback>
              </mc:AlternateContent>
            </w:r>
            <w:r w:rsidR="00802831" w:rsidRPr="007923C2">
              <w:rPr>
                <w:rFonts w:ascii="Arial" w:hAnsi="Arial" w:cs="Arial"/>
                <w:sz w:val="22"/>
                <w:szCs w:val="22"/>
              </w:rPr>
              <w:t xml:space="preserve">Fisiología </w:t>
            </w:r>
            <w:r w:rsidR="00815FF6" w:rsidRPr="007923C2">
              <w:rPr>
                <w:rFonts w:ascii="Arial" w:hAnsi="Arial" w:cs="Arial"/>
                <w:sz w:val="22"/>
                <w:szCs w:val="22"/>
              </w:rPr>
              <w:t>Vegetal</w:t>
            </w:r>
          </w:p>
        </w:tc>
        <w:tc>
          <w:tcPr>
            <w:tcW w:w="3685" w:type="dxa"/>
            <w:tcBorders>
              <w:top w:val="single" w:sz="8" w:space="0" w:color="auto"/>
              <w:left w:val="nil"/>
              <w:bottom w:val="nil"/>
              <w:right w:val="single" w:sz="8" w:space="0" w:color="auto"/>
            </w:tcBorders>
            <w:vAlign w:val="bottom"/>
          </w:tcPr>
          <w:p w14:paraId="4F60B5BF" w14:textId="77777777" w:rsidR="00802831" w:rsidRPr="007923C2" w:rsidRDefault="00802831" w:rsidP="00815FF6">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BOT-42</w:t>
            </w:r>
            <w:r w:rsidR="00815FF6" w:rsidRPr="007923C2">
              <w:rPr>
                <w:rFonts w:ascii="Arial" w:hAnsi="Arial" w:cs="Arial"/>
                <w:w w:val="98"/>
                <w:sz w:val="22"/>
                <w:szCs w:val="22"/>
              </w:rPr>
              <w:t>4</w:t>
            </w:r>
          </w:p>
        </w:tc>
      </w:tr>
      <w:tr w:rsidR="00802831" w:rsidRPr="007923C2" w14:paraId="34D6BD5F" w14:textId="77777777" w:rsidTr="0058745E">
        <w:trPr>
          <w:trHeight w:val="384"/>
        </w:trPr>
        <w:tc>
          <w:tcPr>
            <w:tcW w:w="5509" w:type="dxa"/>
            <w:tcBorders>
              <w:top w:val="nil"/>
              <w:left w:val="single" w:sz="8" w:space="0" w:color="auto"/>
              <w:bottom w:val="nil"/>
              <w:right w:val="single" w:sz="8" w:space="0" w:color="auto"/>
            </w:tcBorders>
            <w:vAlign w:val="bottom"/>
          </w:tcPr>
          <w:p w14:paraId="6740B6FF" w14:textId="77777777" w:rsidR="00802831" w:rsidRPr="007923C2" w:rsidRDefault="00815FF6"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Ecología I</w:t>
            </w:r>
          </w:p>
        </w:tc>
        <w:tc>
          <w:tcPr>
            <w:tcW w:w="3685" w:type="dxa"/>
            <w:tcBorders>
              <w:top w:val="nil"/>
              <w:left w:val="nil"/>
              <w:bottom w:val="nil"/>
              <w:right w:val="single" w:sz="8" w:space="0" w:color="auto"/>
            </w:tcBorders>
            <w:vAlign w:val="bottom"/>
          </w:tcPr>
          <w:p w14:paraId="38B93944" w14:textId="77777777" w:rsidR="00802831" w:rsidRPr="007923C2" w:rsidRDefault="00815FF6" w:rsidP="00815FF6">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w:t>
            </w:r>
            <w:r w:rsidR="00802831" w:rsidRPr="007923C2">
              <w:rPr>
                <w:rFonts w:ascii="Arial" w:hAnsi="Arial" w:cs="Arial"/>
                <w:sz w:val="22"/>
                <w:szCs w:val="22"/>
              </w:rPr>
              <w:t>-42</w:t>
            </w:r>
            <w:r w:rsidRPr="007923C2">
              <w:rPr>
                <w:rFonts w:ascii="Arial" w:hAnsi="Arial" w:cs="Arial"/>
                <w:sz w:val="22"/>
                <w:szCs w:val="22"/>
              </w:rPr>
              <w:t>7</w:t>
            </w:r>
          </w:p>
        </w:tc>
      </w:tr>
      <w:tr w:rsidR="00802831" w:rsidRPr="007923C2" w14:paraId="27EF7B70" w14:textId="77777777" w:rsidTr="0058745E">
        <w:trPr>
          <w:trHeight w:val="380"/>
        </w:trPr>
        <w:tc>
          <w:tcPr>
            <w:tcW w:w="5509" w:type="dxa"/>
            <w:tcBorders>
              <w:top w:val="nil"/>
              <w:left w:val="single" w:sz="8" w:space="0" w:color="auto"/>
              <w:bottom w:val="nil"/>
              <w:right w:val="single" w:sz="8" w:space="0" w:color="auto"/>
            </w:tcBorders>
            <w:vAlign w:val="bottom"/>
          </w:tcPr>
          <w:p w14:paraId="2D2BACEB"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Zoología II</w:t>
            </w:r>
          </w:p>
        </w:tc>
        <w:tc>
          <w:tcPr>
            <w:tcW w:w="3685" w:type="dxa"/>
            <w:tcBorders>
              <w:top w:val="nil"/>
              <w:left w:val="nil"/>
              <w:bottom w:val="nil"/>
              <w:right w:val="single" w:sz="8" w:space="0" w:color="auto"/>
            </w:tcBorders>
            <w:vAlign w:val="bottom"/>
          </w:tcPr>
          <w:p w14:paraId="7F95912E"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BOT-419</w:t>
            </w:r>
          </w:p>
        </w:tc>
      </w:tr>
      <w:tr w:rsidR="00802831" w:rsidRPr="007923C2" w14:paraId="1490523C" w14:textId="77777777" w:rsidTr="0058745E">
        <w:trPr>
          <w:trHeight w:val="385"/>
        </w:trPr>
        <w:tc>
          <w:tcPr>
            <w:tcW w:w="5509" w:type="dxa"/>
            <w:tcBorders>
              <w:top w:val="nil"/>
              <w:left w:val="single" w:sz="8" w:space="0" w:color="auto"/>
              <w:bottom w:val="nil"/>
              <w:right w:val="single" w:sz="8" w:space="0" w:color="auto"/>
            </w:tcBorders>
            <w:vAlign w:val="bottom"/>
          </w:tcPr>
          <w:p w14:paraId="295F368E"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Anatomía e Histología Vegetal</w:t>
            </w:r>
          </w:p>
        </w:tc>
        <w:tc>
          <w:tcPr>
            <w:tcW w:w="3685" w:type="dxa"/>
            <w:tcBorders>
              <w:top w:val="nil"/>
              <w:left w:val="nil"/>
              <w:bottom w:val="nil"/>
              <w:right w:val="single" w:sz="8" w:space="0" w:color="auto"/>
            </w:tcBorders>
            <w:vAlign w:val="bottom"/>
          </w:tcPr>
          <w:p w14:paraId="44BCA846"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BOT-425</w:t>
            </w:r>
          </w:p>
        </w:tc>
      </w:tr>
      <w:tr w:rsidR="00802831" w:rsidRPr="007923C2" w14:paraId="0B6D7CBF" w14:textId="77777777" w:rsidTr="0058745E">
        <w:trPr>
          <w:trHeight w:val="384"/>
        </w:trPr>
        <w:tc>
          <w:tcPr>
            <w:tcW w:w="5509" w:type="dxa"/>
            <w:tcBorders>
              <w:top w:val="nil"/>
              <w:left w:val="single" w:sz="8" w:space="0" w:color="auto"/>
              <w:bottom w:val="nil"/>
              <w:right w:val="single" w:sz="8" w:space="0" w:color="auto"/>
            </w:tcBorders>
            <w:vAlign w:val="bottom"/>
          </w:tcPr>
          <w:p w14:paraId="7FAF823D"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Biología de la Reproducción</w:t>
            </w:r>
          </w:p>
        </w:tc>
        <w:tc>
          <w:tcPr>
            <w:tcW w:w="3685" w:type="dxa"/>
            <w:tcBorders>
              <w:top w:val="nil"/>
              <w:left w:val="nil"/>
              <w:bottom w:val="nil"/>
              <w:right w:val="single" w:sz="8" w:space="0" w:color="auto"/>
            </w:tcBorders>
            <w:vAlign w:val="bottom"/>
          </w:tcPr>
          <w:p w14:paraId="0B245214"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BOT-441</w:t>
            </w:r>
          </w:p>
        </w:tc>
      </w:tr>
      <w:tr w:rsidR="00802831" w:rsidRPr="007923C2" w14:paraId="515F1B50" w14:textId="77777777" w:rsidTr="0058745E">
        <w:trPr>
          <w:trHeight w:val="384"/>
        </w:trPr>
        <w:tc>
          <w:tcPr>
            <w:tcW w:w="5509" w:type="dxa"/>
            <w:tcBorders>
              <w:top w:val="nil"/>
              <w:left w:val="single" w:sz="8" w:space="0" w:color="auto"/>
              <w:bottom w:val="nil"/>
              <w:right w:val="single" w:sz="8" w:space="0" w:color="auto"/>
            </w:tcBorders>
            <w:vAlign w:val="bottom"/>
          </w:tcPr>
          <w:p w14:paraId="025756B3" w14:textId="77777777" w:rsidR="00802831" w:rsidRPr="007923C2" w:rsidRDefault="00815FF6" w:rsidP="00815FF6">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Diseños experimentales</w:t>
            </w:r>
          </w:p>
        </w:tc>
        <w:tc>
          <w:tcPr>
            <w:tcW w:w="3685" w:type="dxa"/>
            <w:tcBorders>
              <w:top w:val="nil"/>
              <w:left w:val="nil"/>
              <w:bottom w:val="nil"/>
              <w:right w:val="single" w:sz="8" w:space="0" w:color="auto"/>
            </w:tcBorders>
            <w:vAlign w:val="bottom"/>
          </w:tcPr>
          <w:p w14:paraId="6BA5C40D" w14:textId="77777777" w:rsidR="00802831" w:rsidRPr="007923C2" w:rsidRDefault="00815FF6"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DEC-430</w:t>
            </w:r>
          </w:p>
        </w:tc>
      </w:tr>
      <w:tr w:rsidR="00802831" w:rsidRPr="007923C2" w14:paraId="224BFD20" w14:textId="77777777" w:rsidTr="0058745E">
        <w:trPr>
          <w:trHeight w:val="384"/>
        </w:trPr>
        <w:tc>
          <w:tcPr>
            <w:tcW w:w="5509" w:type="dxa"/>
            <w:tcBorders>
              <w:top w:val="nil"/>
              <w:left w:val="single" w:sz="8" w:space="0" w:color="auto"/>
              <w:bottom w:val="nil"/>
              <w:right w:val="single" w:sz="8" w:space="0" w:color="auto"/>
            </w:tcBorders>
            <w:vAlign w:val="bottom"/>
          </w:tcPr>
          <w:p w14:paraId="48A7AEE5"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Economía General</w:t>
            </w:r>
          </w:p>
        </w:tc>
        <w:tc>
          <w:tcPr>
            <w:tcW w:w="3685" w:type="dxa"/>
            <w:tcBorders>
              <w:top w:val="nil"/>
              <w:left w:val="nil"/>
              <w:bottom w:val="nil"/>
              <w:right w:val="single" w:sz="8" w:space="0" w:color="auto"/>
            </w:tcBorders>
            <w:vAlign w:val="bottom"/>
          </w:tcPr>
          <w:p w14:paraId="63ED5112"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ECA-401</w:t>
            </w:r>
          </w:p>
        </w:tc>
      </w:tr>
      <w:tr w:rsidR="00802831" w:rsidRPr="007923C2" w14:paraId="18578CA3" w14:textId="77777777" w:rsidTr="0058745E">
        <w:trPr>
          <w:trHeight w:val="385"/>
        </w:trPr>
        <w:tc>
          <w:tcPr>
            <w:tcW w:w="5509" w:type="dxa"/>
            <w:tcBorders>
              <w:top w:val="nil"/>
              <w:left w:val="single" w:sz="8" w:space="0" w:color="auto"/>
              <w:bottom w:val="nil"/>
              <w:right w:val="single" w:sz="8" w:space="0" w:color="auto"/>
            </w:tcBorders>
            <w:vAlign w:val="bottom"/>
          </w:tcPr>
          <w:p w14:paraId="583A8971" w14:textId="77777777" w:rsidR="00802831" w:rsidRPr="007923C2" w:rsidRDefault="00815FF6"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Ecología II</w:t>
            </w:r>
          </w:p>
        </w:tc>
        <w:tc>
          <w:tcPr>
            <w:tcW w:w="3685" w:type="dxa"/>
            <w:tcBorders>
              <w:top w:val="nil"/>
              <w:left w:val="nil"/>
              <w:bottom w:val="nil"/>
              <w:right w:val="single" w:sz="8" w:space="0" w:color="auto"/>
            </w:tcBorders>
            <w:vAlign w:val="bottom"/>
          </w:tcPr>
          <w:p w14:paraId="58B7A591" w14:textId="77777777" w:rsidR="00802831" w:rsidRPr="007923C2" w:rsidRDefault="00802831" w:rsidP="00815FF6">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w:t>
            </w:r>
            <w:r w:rsidR="00815FF6" w:rsidRPr="007923C2">
              <w:rPr>
                <w:rFonts w:ascii="Arial" w:hAnsi="Arial" w:cs="Arial"/>
                <w:w w:val="98"/>
                <w:sz w:val="22"/>
                <w:szCs w:val="22"/>
              </w:rPr>
              <w:t>45</w:t>
            </w:r>
          </w:p>
        </w:tc>
      </w:tr>
      <w:tr w:rsidR="00802831" w:rsidRPr="007923C2" w14:paraId="254FBA71" w14:textId="77777777" w:rsidTr="0058745E">
        <w:trPr>
          <w:trHeight w:val="380"/>
        </w:trPr>
        <w:tc>
          <w:tcPr>
            <w:tcW w:w="5509" w:type="dxa"/>
            <w:tcBorders>
              <w:top w:val="nil"/>
              <w:left w:val="single" w:sz="8" w:space="0" w:color="auto"/>
              <w:bottom w:val="nil"/>
              <w:right w:val="single" w:sz="8" w:space="0" w:color="auto"/>
            </w:tcBorders>
            <w:vAlign w:val="bottom"/>
          </w:tcPr>
          <w:p w14:paraId="71BAFE56"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Biodiversidad</w:t>
            </w:r>
          </w:p>
        </w:tc>
        <w:tc>
          <w:tcPr>
            <w:tcW w:w="3685" w:type="dxa"/>
            <w:tcBorders>
              <w:top w:val="nil"/>
              <w:left w:val="nil"/>
              <w:bottom w:val="nil"/>
              <w:right w:val="single" w:sz="8" w:space="0" w:color="auto"/>
            </w:tcBorders>
            <w:vAlign w:val="bottom"/>
          </w:tcPr>
          <w:p w14:paraId="2DBC2121"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BOT-450</w:t>
            </w:r>
          </w:p>
        </w:tc>
      </w:tr>
      <w:tr w:rsidR="00802831" w:rsidRPr="007923C2" w14:paraId="6321A0E2" w14:textId="77777777" w:rsidTr="0058745E">
        <w:trPr>
          <w:trHeight w:val="384"/>
        </w:trPr>
        <w:tc>
          <w:tcPr>
            <w:tcW w:w="5509" w:type="dxa"/>
            <w:tcBorders>
              <w:top w:val="nil"/>
              <w:left w:val="single" w:sz="8" w:space="0" w:color="auto"/>
              <w:bottom w:val="nil"/>
              <w:right w:val="single" w:sz="8" w:space="0" w:color="auto"/>
            </w:tcBorders>
            <w:vAlign w:val="bottom"/>
          </w:tcPr>
          <w:p w14:paraId="7EB05784"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Evolución Orgánica</w:t>
            </w:r>
          </w:p>
        </w:tc>
        <w:tc>
          <w:tcPr>
            <w:tcW w:w="3685" w:type="dxa"/>
            <w:tcBorders>
              <w:top w:val="nil"/>
              <w:left w:val="nil"/>
              <w:bottom w:val="nil"/>
              <w:right w:val="single" w:sz="8" w:space="0" w:color="auto"/>
            </w:tcBorders>
            <w:vAlign w:val="bottom"/>
          </w:tcPr>
          <w:p w14:paraId="4E1A5452"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BOT-443</w:t>
            </w:r>
          </w:p>
        </w:tc>
      </w:tr>
      <w:tr w:rsidR="00802831" w:rsidRPr="007923C2" w14:paraId="1DAA1780" w14:textId="77777777" w:rsidTr="0058745E">
        <w:trPr>
          <w:trHeight w:val="384"/>
        </w:trPr>
        <w:tc>
          <w:tcPr>
            <w:tcW w:w="5509" w:type="dxa"/>
            <w:tcBorders>
              <w:top w:val="nil"/>
              <w:left w:val="single" w:sz="8" w:space="0" w:color="auto"/>
              <w:bottom w:val="nil"/>
              <w:right w:val="single" w:sz="8" w:space="0" w:color="auto"/>
            </w:tcBorders>
            <w:vAlign w:val="bottom"/>
          </w:tcPr>
          <w:p w14:paraId="1C25E8CD"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Fisiología Animal Comparada</w:t>
            </w:r>
          </w:p>
        </w:tc>
        <w:tc>
          <w:tcPr>
            <w:tcW w:w="3685" w:type="dxa"/>
            <w:tcBorders>
              <w:top w:val="nil"/>
              <w:left w:val="nil"/>
              <w:bottom w:val="nil"/>
              <w:right w:val="single" w:sz="8" w:space="0" w:color="auto"/>
            </w:tcBorders>
            <w:vAlign w:val="bottom"/>
          </w:tcPr>
          <w:p w14:paraId="7560CD1F"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BOT-420</w:t>
            </w:r>
          </w:p>
        </w:tc>
      </w:tr>
      <w:tr w:rsidR="00802831" w:rsidRPr="007923C2" w14:paraId="2C357CDA" w14:textId="77777777" w:rsidTr="0058745E">
        <w:trPr>
          <w:trHeight w:val="384"/>
        </w:trPr>
        <w:tc>
          <w:tcPr>
            <w:tcW w:w="5509" w:type="dxa"/>
            <w:tcBorders>
              <w:top w:val="nil"/>
              <w:left w:val="single" w:sz="8" w:space="0" w:color="auto"/>
              <w:bottom w:val="nil"/>
              <w:right w:val="single" w:sz="8" w:space="0" w:color="auto"/>
            </w:tcBorders>
            <w:vAlign w:val="bottom"/>
          </w:tcPr>
          <w:p w14:paraId="21543915"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Biotecnología I</w:t>
            </w:r>
          </w:p>
        </w:tc>
        <w:tc>
          <w:tcPr>
            <w:tcW w:w="3685" w:type="dxa"/>
            <w:tcBorders>
              <w:top w:val="nil"/>
              <w:left w:val="nil"/>
              <w:bottom w:val="nil"/>
              <w:right w:val="single" w:sz="8" w:space="0" w:color="auto"/>
            </w:tcBorders>
            <w:vAlign w:val="bottom"/>
          </w:tcPr>
          <w:p w14:paraId="371E9B38"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FIT-492</w:t>
            </w:r>
          </w:p>
        </w:tc>
      </w:tr>
      <w:tr w:rsidR="00802831" w:rsidRPr="007923C2" w14:paraId="4C466951" w14:textId="77777777" w:rsidTr="0058745E">
        <w:trPr>
          <w:trHeight w:val="384"/>
        </w:trPr>
        <w:tc>
          <w:tcPr>
            <w:tcW w:w="5509" w:type="dxa"/>
            <w:tcBorders>
              <w:top w:val="nil"/>
              <w:left w:val="single" w:sz="8" w:space="0" w:color="auto"/>
              <w:bottom w:val="nil"/>
              <w:right w:val="single" w:sz="8" w:space="0" w:color="auto"/>
            </w:tcBorders>
            <w:vAlign w:val="bottom"/>
          </w:tcPr>
          <w:p w14:paraId="1B0371F1"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Ecofisiología</w:t>
            </w:r>
            <w:r w:rsidR="003872E9">
              <w:rPr>
                <w:rFonts w:ascii="Arial" w:hAnsi="Arial" w:cs="Arial"/>
                <w:sz w:val="22"/>
                <w:szCs w:val="22"/>
              </w:rPr>
              <w:t xml:space="preserve"> vegetal</w:t>
            </w:r>
          </w:p>
        </w:tc>
        <w:tc>
          <w:tcPr>
            <w:tcW w:w="3685" w:type="dxa"/>
            <w:tcBorders>
              <w:top w:val="nil"/>
              <w:left w:val="nil"/>
              <w:bottom w:val="nil"/>
              <w:right w:val="single" w:sz="8" w:space="0" w:color="auto"/>
            </w:tcBorders>
            <w:vAlign w:val="bottom"/>
          </w:tcPr>
          <w:p w14:paraId="6E36ED9C"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BOT-447</w:t>
            </w:r>
          </w:p>
        </w:tc>
      </w:tr>
      <w:tr w:rsidR="00802831" w:rsidRPr="007923C2" w14:paraId="5A1033F2" w14:textId="77777777" w:rsidTr="0058745E">
        <w:trPr>
          <w:trHeight w:val="384"/>
        </w:trPr>
        <w:tc>
          <w:tcPr>
            <w:tcW w:w="5509" w:type="dxa"/>
            <w:tcBorders>
              <w:top w:val="nil"/>
              <w:left w:val="single" w:sz="8" w:space="0" w:color="auto"/>
              <w:bottom w:val="nil"/>
              <w:right w:val="single" w:sz="8" w:space="0" w:color="auto"/>
            </w:tcBorders>
            <w:vAlign w:val="bottom"/>
          </w:tcPr>
          <w:p w14:paraId="444314C7"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lang w:val="es-ES"/>
              </w:rPr>
            </w:pPr>
            <w:r w:rsidRPr="007923C2">
              <w:rPr>
                <w:rFonts w:ascii="Arial" w:hAnsi="Arial" w:cs="Arial"/>
                <w:sz w:val="22"/>
                <w:szCs w:val="22"/>
                <w:lang w:val="es-ES"/>
              </w:rPr>
              <w:t>Formulación y Eval.de Proyectos</w:t>
            </w:r>
          </w:p>
        </w:tc>
        <w:tc>
          <w:tcPr>
            <w:tcW w:w="3685" w:type="dxa"/>
            <w:tcBorders>
              <w:top w:val="nil"/>
              <w:left w:val="nil"/>
              <w:bottom w:val="nil"/>
              <w:right w:val="single" w:sz="8" w:space="0" w:color="auto"/>
            </w:tcBorders>
            <w:vAlign w:val="bottom"/>
          </w:tcPr>
          <w:p w14:paraId="5C80F3A7"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ADM-459</w:t>
            </w:r>
          </w:p>
        </w:tc>
      </w:tr>
      <w:tr w:rsidR="00652601" w:rsidRPr="007923C2" w14:paraId="02FD92CD" w14:textId="77777777" w:rsidTr="0058745E">
        <w:trPr>
          <w:trHeight w:val="104"/>
        </w:trPr>
        <w:tc>
          <w:tcPr>
            <w:tcW w:w="5509" w:type="dxa"/>
            <w:tcBorders>
              <w:top w:val="nil"/>
              <w:left w:val="single" w:sz="8" w:space="0" w:color="auto"/>
              <w:bottom w:val="single" w:sz="8" w:space="0" w:color="auto"/>
              <w:right w:val="single" w:sz="8" w:space="0" w:color="auto"/>
            </w:tcBorders>
            <w:vAlign w:val="bottom"/>
          </w:tcPr>
          <w:p w14:paraId="3AA5A26E" w14:textId="77777777" w:rsidR="00652601" w:rsidRPr="007923C2" w:rsidRDefault="00652601"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Administración I</w:t>
            </w:r>
          </w:p>
        </w:tc>
        <w:tc>
          <w:tcPr>
            <w:tcW w:w="3685" w:type="dxa"/>
            <w:tcBorders>
              <w:top w:val="nil"/>
              <w:left w:val="nil"/>
              <w:bottom w:val="single" w:sz="8" w:space="0" w:color="auto"/>
              <w:right w:val="single" w:sz="8" w:space="0" w:color="auto"/>
            </w:tcBorders>
            <w:vAlign w:val="bottom"/>
          </w:tcPr>
          <w:p w14:paraId="7F5535CA" w14:textId="77777777" w:rsidR="00652601" w:rsidRPr="007923C2" w:rsidRDefault="00652601"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ADM-403</w:t>
            </w:r>
          </w:p>
        </w:tc>
      </w:tr>
      <w:tr w:rsidR="00652601" w:rsidRPr="007923C2" w14:paraId="620C085D" w14:textId="77777777" w:rsidTr="0058745E">
        <w:trPr>
          <w:trHeight w:val="104"/>
        </w:trPr>
        <w:tc>
          <w:tcPr>
            <w:tcW w:w="5509" w:type="dxa"/>
            <w:tcBorders>
              <w:top w:val="nil"/>
              <w:left w:val="single" w:sz="8" w:space="0" w:color="auto"/>
              <w:bottom w:val="single" w:sz="8" w:space="0" w:color="auto"/>
              <w:right w:val="single" w:sz="8" w:space="0" w:color="auto"/>
            </w:tcBorders>
            <w:vAlign w:val="bottom"/>
          </w:tcPr>
          <w:p w14:paraId="54F5853C" w14:textId="77777777" w:rsidR="00652601" w:rsidRPr="007923C2" w:rsidRDefault="00652601"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Manejo integrado de plagas  </w:t>
            </w:r>
          </w:p>
        </w:tc>
        <w:tc>
          <w:tcPr>
            <w:tcW w:w="3685" w:type="dxa"/>
            <w:tcBorders>
              <w:top w:val="nil"/>
              <w:left w:val="nil"/>
              <w:bottom w:val="single" w:sz="8" w:space="0" w:color="auto"/>
              <w:right w:val="single" w:sz="8" w:space="0" w:color="auto"/>
            </w:tcBorders>
            <w:vAlign w:val="bottom"/>
          </w:tcPr>
          <w:p w14:paraId="6A052291" w14:textId="77777777" w:rsidR="00652601" w:rsidRPr="007923C2" w:rsidRDefault="00652601"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PAR-498</w:t>
            </w:r>
          </w:p>
        </w:tc>
      </w:tr>
      <w:tr w:rsidR="00652601" w:rsidRPr="007923C2" w14:paraId="4B641A22" w14:textId="77777777" w:rsidTr="0058745E">
        <w:trPr>
          <w:trHeight w:val="104"/>
        </w:trPr>
        <w:tc>
          <w:tcPr>
            <w:tcW w:w="5509" w:type="dxa"/>
            <w:tcBorders>
              <w:top w:val="nil"/>
              <w:left w:val="single" w:sz="8" w:space="0" w:color="auto"/>
              <w:bottom w:val="single" w:sz="8" w:space="0" w:color="auto"/>
              <w:right w:val="single" w:sz="8" w:space="0" w:color="auto"/>
            </w:tcBorders>
            <w:vAlign w:val="bottom"/>
          </w:tcPr>
          <w:p w14:paraId="02A9C303" w14:textId="77777777" w:rsidR="00652601" w:rsidRPr="007923C2" w:rsidRDefault="00652601"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Contaminación Ambiental</w:t>
            </w:r>
          </w:p>
        </w:tc>
        <w:tc>
          <w:tcPr>
            <w:tcW w:w="3685" w:type="dxa"/>
            <w:tcBorders>
              <w:top w:val="nil"/>
              <w:left w:val="nil"/>
              <w:bottom w:val="single" w:sz="8" w:space="0" w:color="auto"/>
              <w:right w:val="single" w:sz="8" w:space="0" w:color="auto"/>
            </w:tcBorders>
            <w:vAlign w:val="bottom"/>
          </w:tcPr>
          <w:p w14:paraId="45AAFACB" w14:textId="77777777" w:rsidR="00652601" w:rsidRPr="007923C2" w:rsidRDefault="00652601"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BOT-480</w:t>
            </w:r>
          </w:p>
        </w:tc>
      </w:tr>
      <w:tr w:rsidR="00652601" w:rsidRPr="007923C2" w14:paraId="28C484DC" w14:textId="77777777" w:rsidTr="0058745E">
        <w:trPr>
          <w:trHeight w:val="104"/>
        </w:trPr>
        <w:tc>
          <w:tcPr>
            <w:tcW w:w="5509" w:type="dxa"/>
            <w:tcBorders>
              <w:top w:val="nil"/>
              <w:left w:val="single" w:sz="8" w:space="0" w:color="auto"/>
              <w:bottom w:val="single" w:sz="8" w:space="0" w:color="auto"/>
              <w:right w:val="single" w:sz="8" w:space="0" w:color="auto"/>
            </w:tcBorders>
            <w:vAlign w:val="bottom"/>
          </w:tcPr>
          <w:p w14:paraId="5A4B79C5" w14:textId="77777777" w:rsidR="00652601" w:rsidRPr="007923C2" w:rsidRDefault="00652601"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Evaluación de Ecosistemas</w:t>
            </w:r>
          </w:p>
        </w:tc>
        <w:tc>
          <w:tcPr>
            <w:tcW w:w="3685" w:type="dxa"/>
            <w:tcBorders>
              <w:top w:val="nil"/>
              <w:left w:val="nil"/>
              <w:bottom w:val="single" w:sz="8" w:space="0" w:color="auto"/>
              <w:right w:val="single" w:sz="8" w:space="0" w:color="auto"/>
            </w:tcBorders>
            <w:vAlign w:val="bottom"/>
          </w:tcPr>
          <w:p w14:paraId="1C8B583B" w14:textId="77777777" w:rsidR="00652601" w:rsidRPr="007923C2" w:rsidRDefault="00652601"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w:t>
            </w:r>
            <w:r w:rsidR="008C626A" w:rsidRPr="007923C2">
              <w:rPr>
                <w:rFonts w:ascii="Arial" w:hAnsi="Arial" w:cs="Arial"/>
                <w:sz w:val="22"/>
                <w:szCs w:val="22"/>
              </w:rPr>
              <w:t>455</w:t>
            </w:r>
          </w:p>
        </w:tc>
      </w:tr>
      <w:tr w:rsidR="00652601" w:rsidRPr="007923C2" w14:paraId="5014F76C" w14:textId="77777777" w:rsidTr="0058745E">
        <w:trPr>
          <w:trHeight w:val="104"/>
        </w:trPr>
        <w:tc>
          <w:tcPr>
            <w:tcW w:w="5509" w:type="dxa"/>
            <w:tcBorders>
              <w:top w:val="nil"/>
              <w:left w:val="single" w:sz="8" w:space="0" w:color="auto"/>
              <w:bottom w:val="single" w:sz="8" w:space="0" w:color="auto"/>
              <w:right w:val="single" w:sz="8" w:space="0" w:color="auto"/>
            </w:tcBorders>
            <w:vAlign w:val="bottom"/>
          </w:tcPr>
          <w:p w14:paraId="1629B2F5" w14:textId="77777777" w:rsidR="00652601" w:rsidRPr="007923C2" w:rsidRDefault="008C626A"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Ingeniería Genética</w:t>
            </w:r>
          </w:p>
        </w:tc>
        <w:tc>
          <w:tcPr>
            <w:tcW w:w="3685" w:type="dxa"/>
            <w:tcBorders>
              <w:top w:val="nil"/>
              <w:left w:val="nil"/>
              <w:bottom w:val="single" w:sz="8" w:space="0" w:color="auto"/>
              <w:right w:val="single" w:sz="8" w:space="0" w:color="auto"/>
            </w:tcBorders>
            <w:vAlign w:val="bottom"/>
          </w:tcPr>
          <w:p w14:paraId="58C31BF9" w14:textId="77777777" w:rsidR="0065260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FIT-498</w:t>
            </w:r>
          </w:p>
        </w:tc>
      </w:tr>
      <w:tr w:rsidR="00652601" w:rsidRPr="007923C2" w14:paraId="0089A505" w14:textId="77777777" w:rsidTr="0058745E">
        <w:trPr>
          <w:trHeight w:val="104"/>
        </w:trPr>
        <w:tc>
          <w:tcPr>
            <w:tcW w:w="5509" w:type="dxa"/>
            <w:tcBorders>
              <w:top w:val="nil"/>
              <w:left w:val="single" w:sz="8" w:space="0" w:color="auto"/>
              <w:bottom w:val="single" w:sz="8" w:space="0" w:color="auto"/>
              <w:right w:val="single" w:sz="8" w:space="0" w:color="auto"/>
            </w:tcBorders>
            <w:vAlign w:val="bottom"/>
          </w:tcPr>
          <w:p w14:paraId="4F64CD84" w14:textId="77777777" w:rsidR="00652601" w:rsidRPr="007923C2" w:rsidRDefault="008C626A"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Ecología y Desarrollo Sostenible</w:t>
            </w:r>
          </w:p>
        </w:tc>
        <w:tc>
          <w:tcPr>
            <w:tcW w:w="3685" w:type="dxa"/>
            <w:tcBorders>
              <w:top w:val="nil"/>
              <w:left w:val="nil"/>
              <w:bottom w:val="single" w:sz="8" w:space="0" w:color="auto"/>
              <w:right w:val="single" w:sz="8" w:space="0" w:color="auto"/>
            </w:tcBorders>
            <w:vAlign w:val="bottom"/>
          </w:tcPr>
          <w:p w14:paraId="692D0E47" w14:textId="77777777" w:rsidR="0065260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BOT-453</w:t>
            </w:r>
          </w:p>
        </w:tc>
      </w:tr>
      <w:tr w:rsidR="00652601" w:rsidRPr="007923C2" w14:paraId="17E26846" w14:textId="77777777" w:rsidTr="0058745E">
        <w:trPr>
          <w:trHeight w:val="104"/>
        </w:trPr>
        <w:tc>
          <w:tcPr>
            <w:tcW w:w="5509" w:type="dxa"/>
            <w:tcBorders>
              <w:top w:val="nil"/>
              <w:left w:val="single" w:sz="8" w:space="0" w:color="auto"/>
              <w:bottom w:val="single" w:sz="8" w:space="0" w:color="auto"/>
              <w:right w:val="single" w:sz="8" w:space="0" w:color="auto"/>
            </w:tcBorders>
            <w:vAlign w:val="bottom"/>
          </w:tcPr>
          <w:p w14:paraId="3B8C6185" w14:textId="77777777" w:rsidR="00652601" w:rsidRPr="007923C2" w:rsidRDefault="008C626A"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Evaluación del Impacto Ambiental</w:t>
            </w:r>
          </w:p>
        </w:tc>
        <w:tc>
          <w:tcPr>
            <w:tcW w:w="3685" w:type="dxa"/>
            <w:tcBorders>
              <w:top w:val="nil"/>
              <w:left w:val="nil"/>
              <w:bottom w:val="single" w:sz="8" w:space="0" w:color="auto"/>
              <w:right w:val="single" w:sz="8" w:space="0" w:color="auto"/>
            </w:tcBorders>
            <w:vAlign w:val="bottom"/>
          </w:tcPr>
          <w:p w14:paraId="138607B5" w14:textId="77777777" w:rsidR="0065260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FOR-466</w:t>
            </w:r>
          </w:p>
        </w:tc>
      </w:tr>
      <w:tr w:rsidR="00652601" w:rsidRPr="007923C2" w14:paraId="4FCA25EC" w14:textId="77777777" w:rsidTr="0058745E">
        <w:trPr>
          <w:trHeight w:val="104"/>
        </w:trPr>
        <w:tc>
          <w:tcPr>
            <w:tcW w:w="5509" w:type="dxa"/>
            <w:tcBorders>
              <w:top w:val="nil"/>
              <w:left w:val="single" w:sz="8" w:space="0" w:color="auto"/>
              <w:bottom w:val="single" w:sz="8" w:space="0" w:color="auto"/>
              <w:right w:val="single" w:sz="8" w:space="0" w:color="auto"/>
            </w:tcBorders>
            <w:vAlign w:val="bottom"/>
          </w:tcPr>
          <w:p w14:paraId="63C6FDC6" w14:textId="77777777" w:rsidR="00652601" w:rsidRPr="007923C2" w:rsidRDefault="008C626A" w:rsidP="008C626A">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Agroecología</w:t>
            </w:r>
          </w:p>
        </w:tc>
        <w:tc>
          <w:tcPr>
            <w:tcW w:w="3685" w:type="dxa"/>
            <w:tcBorders>
              <w:top w:val="nil"/>
              <w:left w:val="nil"/>
              <w:bottom w:val="single" w:sz="8" w:space="0" w:color="auto"/>
              <w:right w:val="single" w:sz="8" w:space="0" w:color="auto"/>
            </w:tcBorders>
            <w:vAlign w:val="bottom"/>
          </w:tcPr>
          <w:p w14:paraId="6402858C" w14:textId="77777777" w:rsidR="0065260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BOT-457</w:t>
            </w:r>
          </w:p>
        </w:tc>
      </w:tr>
      <w:tr w:rsidR="00652601" w:rsidRPr="007923C2" w14:paraId="5301C0B4" w14:textId="77777777" w:rsidTr="0058745E">
        <w:trPr>
          <w:trHeight w:val="104"/>
        </w:trPr>
        <w:tc>
          <w:tcPr>
            <w:tcW w:w="5509" w:type="dxa"/>
            <w:tcBorders>
              <w:top w:val="nil"/>
              <w:left w:val="single" w:sz="8" w:space="0" w:color="auto"/>
              <w:bottom w:val="single" w:sz="8" w:space="0" w:color="auto"/>
              <w:right w:val="single" w:sz="8" w:space="0" w:color="auto"/>
            </w:tcBorders>
            <w:vAlign w:val="bottom"/>
          </w:tcPr>
          <w:p w14:paraId="191DB550" w14:textId="77777777" w:rsidR="00652601" w:rsidRPr="007923C2" w:rsidRDefault="008C626A"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Manejo y Conservación de Recursos Bióticos</w:t>
            </w:r>
          </w:p>
        </w:tc>
        <w:tc>
          <w:tcPr>
            <w:tcW w:w="3685" w:type="dxa"/>
            <w:tcBorders>
              <w:top w:val="nil"/>
              <w:left w:val="nil"/>
              <w:bottom w:val="single" w:sz="8" w:space="0" w:color="auto"/>
              <w:right w:val="single" w:sz="8" w:space="0" w:color="auto"/>
            </w:tcBorders>
            <w:vAlign w:val="bottom"/>
          </w:tcPr>
          <w:p w14:paraId="23C18B17" w14:textId="77777777" w:rsidR="0065260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BOT-475</w:t>
            </w:r>
          </w:p>
        </w:tc>
      </w:tr>
      <w:tr w:rsidR="00652601" w:rsidRPr="007923C2" w14:paraId="606F6730" w14:textId="77777777" w:rsidTr="0058745E">
        <w:trPr>
          <w:trHeight w:val="104"/>
        </w:trPr>
        <w:tc>
          <w:tcPr>
            <w:tcW w:w="5509" w:type="dxa"/>
            <w:tcBorders>
              <w:top w:val="nil"/>
              <w:left w:val="single" w:sz="8" w:space="0" w:color="auto"/>
              <w:bottom w:val="single" w:sz="4" w:space="0" w:color="auto"/>
              <w:right w:val="single" w:sz="8" w:space="0" w:color="auto"/>
            </w:tcBorders>
            <w:vAlign w:val="bottom"/>
          </w:tcPr>
          <w:p w14:paraId="054AA0F2" w14:textId="77777777" w:rsidR="00652601" w:rsidRPr="007923C2" w:rsidRDefault="008C626A" w:rsidP="008C626A">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Biología de Zonas Áridas</w:t>
            </w:r>
          </w:p>
        </w:tc>
        <w:tc>
          <w:tcPr>
            <w:tcW w:w="3685" w:type="dxa"/>
            <w:tcBorders>
              <w:top w:val="nil"/>
              <w:left w:val="nil"/>
              <w:bottom w:val="single" w:sz="4" w:space="0" w:color="auto"/>
              <w:right w:val="single" w:sz="8" w:space="0" w:color="auto"/>
            </w:tcBorders>
            <w:vAlign w:val="bottom"/>
          </w:tcPr>
          <w:p w14:paraId="1B0D1871" w14:textId="77777777" w:rsidR="0065260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BOT-465</w:t>
            </w:r>
          </w:p>
        </w:tc>
      </w:tr>
      <w:tr w:rsidR="00802831" w:rsidRPr="007923C2" w14:paraId="55B96A81" w14:textId="77777777" w:rsidTr="0058745E">
        <w:trPr>
          <w:trHeight w:val="380"/>
        </w:trPr>
        <w:tc>
          <w:tcPr>
            <w:tcW w:w="5509" w:type="dxa"/>
            <w:tcBorders>
              <w:top w:val="single" w:sz="4" w:space="0" w:color="auto"/>
              <w:left w:val="single" w:sz="4" w:space="0" w:color="auto"/>
              <w:bottom w:val="single" w:sz="4" w:space="0" w:color="auto"/>
              <w:right w:val="single" w:sz="4" w:space="0" w:color="auto"/>
            </w:tcBorders>
            <w:vAlign w:val="bottom"/>
          </w:tcPr>
          <w:p w14:paraId="2CD688DC"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Taller de Investigación I</w:t>
            </w:r>
          </w:p>
        </w:tc>
        <w:tc>
          <w:tcPr>
            <w:tcW w:w="3685" w:type="dxa"/>
            <w:tcBorders>
              <w:top w:val="single" w:sz="4" w:space="0" w:color="auto"/>
              <w:left w:val="single" w:sz="4" w:space="0" w:color="auto"/>
              <w:bottom w:val="single" w:sz="4" w:space="0" w:color="auto"/>
              <w:right w:val="single" w:sz="4" w:space="0" w:color="auto"/>
            </w:tcBorders>
            <w:vAlign w:val="bottom"/>
          </w:tcPr>
          <w:p w14:paraId="3D4D3364" w14:textId="77777777" w:rsidR="00802831" w:rsidRPr="007923C2" w:rsidRDefault="00802831"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BOT-449</w:t>
            </w:r>
          </w:p>
        </w:tc>
      </w:tr>
      <w:tr w:rsidR="00802831" w:rsidRPr="007923C2" w14:paraId="6D166988"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4537B546"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Taller de Investigación II</w:t>
            </w:r>
          </w:p>
        </w:tc>
        <w:tc>
          <w:tcPr>
            <w:tcW w:w="3685" w:type="dxa"/>
            <w:tcBorders>
              <w:top w:val="single" w:sz="4" w:space="0" w:color="auto"/>
              <w:left w:val="single" w:sz="4" w:space="0" w:color="auto"/>
              <w:bottom w:val="single" w:sz="4" w:space="0" w:color="auto"/>
              <w:right w:val="single" w:sz="4" w:space="0" w:color="auto"/>
            </w:tcBorders>
            <w:vAlign w:val="bottom"/>
          </w:tcPr>
          <w:p w14:paraId="0532132D" w14:textId="77777777" w:rsidR="00802831" w:rsidRPr="007923C2" w:rsidRDefault="00802831"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BOT-452</w:t>
            </w:r>
          </w:p>
        </w:tc>
      </w:tr>
      <w:tr w:rsidR="00802831" w:rsidRPr="007923C2" w14:paraId="2D91BD23"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0FDB6B7D"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Prácticas Profesionales</w:t>
            </w:r>
          </w:p>
        </w:tc>
        <w:tc>
          <w:tcPr>
            <w:tcW w:w="3685" w:type="dxa"/>
            <w:tcBorders>
              <w:top w:val="single" w:sz="4" w:space="0" w:color="auto"/>
              <w:left w:val="single" w:sz="4" w:space="0" w:color="auto"/>
              <w:bottom w:val="single" w:sz="4" w:space="0" w:color="auto"/>
              <w:right w:val="single" w:sz="4" w:space="0" w:color="auto"/>
            </w:tcBorders>
            <w:vAlign w:val="bottom"/>
          </w:tcPr>
          <w:p w14:paraId="6FB74F3B" w14:textId="77777777" w:rsidR="00802831" w:rsidRPr="007923C2" w:rsidRDefault="00802831" w:rsidP="0058745E">
            <w:pPr>
              <w:widowControl w:val="0"/>
              <w:autoSpaceDE w:val="0"/>
              <w:autoSpaceDN w:val="0"/>
              <w:adjustRightInd w:val="0"/>
              <w:spacing w:after="0" w:line="240" w:lineRule="auto"/>
              <w:jc w:val="center"/>
              <w:rPr>
                <w:rFonts w:ascii="Arial" w:hAnsi="Arial" w:cs="Arial"/>
                <w:w w:val="98"/>
                <w:sz w:val="22"/>
                <w:szCs w:val="22"/>
              </w:rPr>
            </w:pPr>
            <w:r w:rsidRPr="007923C2">
              <w:rPr>
                <w:rFonts w:ascii="Arial" w:hAnsi="Arial" w:cs="Arial"/>
                <w:w w:val="98"/>
                <w:sz w:val="22"/>
                <w:szCs w:val="22"/>
              </w:rPr>
              <w:t>BOT-490</w:t>
            </w:r>
          </w:p>
          <w:p w14:paraId="66678CCF" w14:textId="77777777" w:rsidR="00815FF6" w:rsidRPr="007923C2" w:rsidRDefault="00815FF6" w:rsidP="0058745E">
            <w:pPr>
              <w:widowControl w:val="0"/>
              <w:autoSpaceDE w:val="0"/>
              <w:autoSpaceDN w:val="0"/>
              <w:adjustRightInd w:val="0"/>
              <w:spacing w:after="0" w:line="240" w:lineRule="auto"/>
              <w:jc w:val="center"/>
              <w:rPr>
                <w:rFonts w:ascii="Arial" w:hAnsi="Arial" w:cs="Arial"/>
                <w:sz w:val="22"/>
                <w:szCs w:val="22"/>
              </w:rPr>
            </w:pPr>
          </w:p>
        </w:tc>
      </w:tr>
      <w:tr w:rsidR="00802831" w:rsidRPr="007923C2" w14:paraId="11BC787A" w14:textId="77777777" w:rsidTr="0058745E">
        <w:trPr>
          <w:trHeight w:val="384"/>
        </w:trPr>
        <w:tc>
          <w:tcPr>
            <w:tcW w:w="5509" w:type="dxa"/>
            <w:tcBorders>
              <w:top w:val="single" w:sz="4" w:space="0" w:color="auto"/>
              <w:left w:val="single" w:sz="8" w:space="0" w:color="auto"/>
              <w:bottom w:val="nil"/>
              <w:right w:val="single" w:sz="8" w:space="0" w:color="auto"/>
            </w:tcBorders>
            <w:vAlign w:val="bottom"/>
          </w:tcPr>
          <w:p w14:paraId="4B11BCAF"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b/>
                <w:bCs/>
                <w:sz w:val="22"/>
                <w:szCs w:val="22"/>
              </w:rPr>
              <w:t>Materias obligatorias: 46</w:t>
            </w:r>
          </w:p>
        </w:tc>
        <w:tc>
          <w:tcPr>
            <w:tcW w:w="3685" w:type="dxa"/>
            <w:tcBorders>
              <w:top w:val="single" w:sz="4" w:space="0" w:color="auto"/>
              <w:left w:val="nil"/>
              <w:bottom w:val="nil"/>
              <w:right w:val="single" w:sz="8" w:space="0" w:color="auto"/>
            </w:tcBorders>
            <w:vAlign w:val="bottom"/>
          </w:tcPr>
          <w:p w14:paraId="02805EAB" w14:textId="77777777" w:rsidR="00802831" w:rsidRPr="007923C2" w:rsidRDefault="00802831" w:rsidP="0058745E">
            <w:pPr>
              <w:widowControl w:val="0"/>
              <w:autoSpaceDE w:val="0"/>
              <w:autoSpaceDN w:val="0"/>
              <w:adjustRightInd w:val="0"/>
              <w:spacing w:after="0" w:line="240" w:lineRule="auto"/>
              <w:jc w:val="right"/>
              <w:rPr>
                <w:rFonts w:ascii="Arial" w:hAnsi="Arial" w:cs="Arial"/>
                <w:sz w:val="22"/>
                <w:szCs w:val="22"/>
              </w:rPr>
            </w:pPr>
          </w:p>
        </w:tc>
      </w:tr>
      <w:tr w:rsidR="00802831" w:rsidRPr="007923C2" w14:paraId="24EFE8D9" w14:textId="77777777" w:rsidTr="0058745E">
        <w:trPr>
          <w:trHeight w:val="384"/>
        </w:trPr>
        <w:tc>
          <w:tcPr>
            <w:tcW w:w="5509" w:type="dxa"/>
            <w:tcBorders>
              <w:top w:val="nil"/>
              <w:left w:val="single" w:sz="8" w:space="0" w:color="auto"/>
              <w:bottom w:val="nil"/>
              <w:right w:val="single" w:sz="8" w:space="0" w:color="auto"/>
            </w:tcBorders>
            <w:vAlign w:val="bottom"/>
          </w:tcPr>
          <w:p w14:paraId="06669633" w14:textId="77777777" w:rsidR="00802831" w:rsidRPr="007923C2" w:rsidRDefault="00802831" w:rsidP="00802831">
            <w:pPr>
              <w:widowControl w:val="0"/>
              <w:autoSpaceDE w:val="0"/>
              <w:autoSpaceDN w:val="0"/>
              <w:adjustRightInd w:val="0"/>
              <w:spacing w:after="0" w:line="288" w:lineRule="exact"/>
              <w:ind w:left="20"/>
              <w:rPr>
                <w:rFonts w:ascii="Arial" w:hAnsi="Arial" w:cs="Arial"/>
                <w:sz w:val="22"/>
                <w:szCs w:val="22"/>
              </w:rPr>
            </w:pPr>
            <w:r w:rsidRPr="007923C2">
              <w:rPr>
                <w:rFonts w:ascii="Arial" w:hAnsi="Arial" w:cs="Arial"/>
                <w:b/>
                <w:bCs/>
                <w:sz w:val="22"/>
                <w:szCs w:val="22"/>
              </w:rPr>
              <w:t>Materias optativas:    10</w:t>
            </w:r>
          </w:p>
        </w:tc>
        <w:tc>
          <w:tcPr>
            <w:tcW w:w="3685" w:type="dxa"/>
            <w:tcBorders>
              <w:top w:val="nil"/>
              <w:left w:val="nil"/>
              <w:bottom w:val="nil"/>
              <w:right w:val="single" w:sz="8" w:space="0" w:color="auto"/>
            </w:tcBorders>
            <w:vAlign w:val="bottom"/>
          </w:tcPr>
          <w:p w14:paraId="289CDDA6" w14:textId="77777777" w:rsidR="00802831" w:rsidRPr="007923C2" w:rsidRDefault="00802831" w:rsidP="0058745E">
            <w:pPr>
              <w:widowControl w:val="0"/>
              <w:autoSpaceDE w:val="0"/>
              <w:autoSpaceDN w:val="0"/>
              <w:adjustRightInd w:val="0"/>
              <w:spacing w:after="0" w:line="240" w:lineRule="auto"/>
              <w:jc w:val="right"/>
              <w:rPr>
                <w:rFonts w:ascii="Arial" w:hAnsi="Arial" w:cs="Arial"/>
                <w:sz w:val="22"/>
                <w:szCs w:val="22"/>
              </w:rPr>
            </w:pPr>
          </w:p>
        </w:tc>
      </w:tr>
      <w:tr w:rsidR="00802831" w:rsidRPr="007923C2" w14:paraId="5F2F3C26" w14:textId="77777777" w:rsidTr="0058745E">
        <w:trPr>
          <w:trHeight w:val="484"/>
        </w:trPr>
        <w:tc>
          <w:tcPr>
            <w:tcW w:w="5509" w:type="dxa"/>
            <w:tcBorders>
              <w:top w:val="nil"/>
              <w:left w:val="single" w:sz="8" w:space="0" w:color="auto"/>
              <w:bottom w:val="single" w:sz="4" w:space="0" w:color="auto"/>
              <w:right w:val="single" w:sz="8" w:space="0" w:color="auto"/>
            </w:tcBorders>
            <w:vAlign w:val="bottom"/>
          </w:tcPr>
          <w:p w14:paraId="22C48182" w14:textId="77777777" w:rsidR="00802831" w:rsidRPr="007923C2" w:rsidRDefault="008C626A" w:rsidP="00802831">
            <w:pPr>
              <w:widowControl w:val="0"/>
              <w:autoSpaceDE w:val="0"/>
              <w:autoSpaceDN w:val="0"/>
              <w:adjustRightInd w:val="0"/>
              <w:spacing w:after="0" w:line="240" w:lineRule="auto"/>
              <w:rPr>
                <w:rFonts w:ascii="Arial" w:hAnsi="Arial" w:cs="Arial"/>
                <w:b/>
                <w:sz w:val="22"/>
                <w:szCs w:val="22"/>
              </w:rPr>
            </w:pPr>
            <w:r w:rsidRPr="007923C2">
              <w:rPr>
                <w:rFonts w:ascii="Arial" w:hAnsi="Arial" w:cs="Arial"/>
                <w:b/>
                <w:sz w:val="22"/>
                <w:szCs w:val="22"/>
              </w:rPr>
              <w:t xml:space="preserve"> MATERIAS OPTATIVAS</w:t>
            </w:r>
          </w:p>
        </w:tc>
        <w:tc>
          <w:tcPr>
            <w:tcW w:w="3685" w:type="dxa"/>
            <w:tcBorders>
              <w:top w:val="nil"/>
              <w:left w:val="nil"/>
              <w:bottom w:val="single" w:sz="4" w:space="0" w:color="auto"/>
              <w:right w:val="single" w:sz="8" w:space="0" w:color="auto"/>
            </w:tcBorders>
            <w:vAlign w:val="bottom"/>
          </w:tcPr>
          <w:p w14:paraId="67A9264D" w14:textId="77777777" w:rsidR="00802831" w:rsidRPr="007923C2" w:rsidRDefault="00802831" w:rsidP="0058745E">
            <w:pPr>
              <w:widowControl w:val="0"/>
              <w:autoSpaceDE w:val="0"/>
              <w:autoSpaceDN w:val="0"/>
              <w:adjustRightInd w:val="0"/>
              <w:spacing w:after="0" w:line="240" w:lineRule="auto"/>
              <w:jc w:val="right"/>
              <w:rPr>
                <w:rFonts w:ascii="Arial" w:hAnsi="Arial" w:cs="Arial"/>
                <w:sz w:val="22"/>
                <w:szCs w:val="22"/>
              </w:rPr>
            </w:pPr>
          </w:p>
        </w:tc>
      </w:tr>
      <w:tr w:rsidR="00802831" w:rsidRPr="007923C2" w14:paraId="2696F0A5" w14:textId="77777777" w:rsidTr="0058745E">
        <w:trPr>
          <w:trHeight w:val="484"/>
        </w:trPr>
        <w:tc>
          <w:tcPr>
            <w:tcW w:w="5509" w:type="dxa"/>
            <w:tcBorders>
              <w:top w:val="single" w:sz="4" w:space="0" w:color="auto"/>
              <w:left w:val="single" w:sz="4" w:space="0" w:color="auto"/>
              <w:bottom w:val="single" w:sz="4" w:space="0" w:color="auto"/>
              <w:right w:val="single" w:sz="4" w:space="0" w:color="auto"/>
            </w:tcBorders>
            <w:vAlign w:val="bottom"/>
          </w:tcPr>
          <w:p w14:paraId="32237863" w14:textId="77777777" w:rsidR="00802831" w:rsidRPr="007923C2" w:rsidRDefault="008C626A"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Bioagricultura</w:t>
            </w:r>
          </w:p>
        </w:tc>
        <w:tc>
          <w:tcPr>
            <w:tcW w:w="3685" w:type="dxa"/>
            <w:tcBorders>
              <w:top w:val="single" w:sz="4" w:space="0" w:color="auto"/>
              <w:left w:val="single" w:sz="4" w:space="0" w:color="auto"/>
              <w:bottom w:val="single" w:sz="4" w:space="0" w:color="auto"/>
              <w:right w:val="single" w:sz="4" w:space="0" w:color="auto"/>
            </w:tcBorders>
            <w:vAlign w:val="bottom"/>
          </w:tcPr>
          <w:p w14:paraId="15CE4E1A" w14:textId="77777777" w:rsidR="0080283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BOT-473</w:t>
            </w:r>
          </w:p>
        </w:tc>
      </w:tr>
      <w:tr w:rsidR="00802831" w:rsidRPr="007923C2" w14:paraId="4A277ADF"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079AC26F" w14:textId="77777777" w:rsidR="00802831" w:rsidRPr="007923C2" w:rsidRDefault="009C61F4" w:rsidP="009C61F4">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Fertilidad y fertilización de suelos</w:t>
            </w:r>
          </w:p>
        </w:tc>
        <w:tc>
          <w:tcPr>
            <w:tcW w:w="3685" w:type="dxa"/>
            <w:tcBorders>
              <w:top w:val="single" w:sz="4" w:space="0" w:color="auto"/>
              <w:left w:val="single" w:sz="4" w:space="0" w:color="auto"/>
              <w:bottom w:val="single" w:sz="4" w:space="0" w:color="auto"/>
              <w:right w:val="single" w:sz="4" w:space="0" w:color="auto"/>
            </w:tcBorders>
            <w:vAlign w:val="bottom"/>
          </w:tcPr>
          <w:p w14:paraId="5721E3A8" w14:textId="77777777" w:rsidR="00802831" w:rsidRPr="007923C2" w:rsidRDefault="009C61F4"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SUE-420</w:t>
            </w:r>
          </w:p>
        </w:tc>
      </w:tr>
      <w:tr w:rsidR="00802831" w:rsidRPr="007923C2" w14:paraId="522960D8"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67A1AADB"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Agricultura Biointensiva Sostenible</w:t>
            </w:r>
          </w:p>
        </w:tc>
        <w:tc>
          <w:tcPr>
            <w:tcW w:w="3685" w:type="dxa"/>
            <w:tcBorders>
              <w:top w:val="single" w:sz="4" w:space="0" w:color="auto"/>
              <w:left w:val="single" w:sz="4" w:space="0" w:color="auto"/>
              <w:bottom w:val="single" w:sz="4" w:space="0" w:color="auto"/>
              <w:right w:val="single" w:sz="4" w:space="0" w:color="auto"/>
            </w:tcBorders>
            <w:vAlign w:val="bottom"/>
          </w:tcPr>
          <w:p w14:paraId="40247856"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BOT-496</w:t>
            </w:r>
          </w:p>
        </w:tc>
      </w:tr>
      <w:tr w:rsidR="00802831" w:rsidRPr="007923C2" w14:paraId="5D907CD8"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18752400" w14:textId="77777777" w:rsidR="00802831" w:rsidRPr="007923C2" w:rsidRDefault="00802831" w:rsidP="00802831">
            <w:pPr>
              <w:widowControl w:val="0"/>
              <w:autoSpaceDE w:val="0"/>
              <w:autoSpaceDN w:val="0"/>
              <w:adjustRightInd w:val="0"/>
              <w:spacing w:after="0" w:line="288" w:lineRule="exact"/>
              <w:ind w:left="20"/>
              <w:rPr>
                <w:rFonts w:ascii="Arial" w:hAnsi="Arial" w:cs="Arial"/>
                <w:sz w:val="22"/>
                <w:szCs w:val="22"/>
              </w:rPr>
            </w:pPr>
            <w:r w:rsidRPr="007923C2">
              <w:rPr>
                <w:rFonts w:ascii="Arial" w:hAnsi="Arial" w:cs="Arial"/>
                <w:sz w:val="22"/>
                <w:szCs w:val="22"/>
              </w:rPr>
              <w:t>Arquitectura del Paisaje</w:t>
            </w:r>
          </w:p>
        </w:tc>
        <w:tc>
          <w:tcPr>
            <w:tcW w:w="3685" w:type="dxa"/>
            <w:tcBorders>
              <w:top w:val="single" w:sz="4" w:space="0" w:color="auto"/>
              <w:left w:val="single" w:sz="4" w:space="0" w:color="auto"/>
              <w:bottom w:val="single" w:sz="4" w:space="0" w:color="auto"/>
              <w:right w:val="single" w:sz="4" w:space="0" w:color="auto"/>
            </w:tcBorders>
            <w:vAlign w:val="bottom"/>
          </w:tcPr>
          <w:p w14:paraId="60F2CC32" w14:textId="77777777" w:rsidR="00802831" w:rsidRPr="007923C2" w:rsidRDefault="00802831" w:rsidP="00802831">
            <w:pPr>
              <w:widowControl w:val="0"/>
              <w:autoSpaceDE w:val="0"/>
              <w:autoSpaceDN w:val="0"/>
              <w:adjustRightInd w:val="0"/>
              <w:spacing w:after="0" w:line="288" w:lineRule="exact"/>
              <w:jc w:val="center"/>
              <w:rPr>
                <w:rFonts w:ascii="Arial" w:hAnsi="Arial" w:cs="Arial"/>
                <w:sz w:val="22"/>
                <w:szCs w:val="22"/>
              </w:rPr>
            </w:pPr>
            <w:r w:rsidRPr="007923C2">
              <w:rPr>
                <w:rFonts w:ascii="Arial" w:hAnsi="Arial" w:cs="Arial"/>
                <w:w w:val="99"/>
                <w:sz w:val="22"/>
                <w:szCs w:val="22"/>
              </w:rPr>
              <w:t>SUE-409</w:t>
            </w:r>
          </w:p>
        </w:tc>
      </w:tr>
      <w:tr w:rsidR="00802831" w:rsidRPr="007923C2" w14:paraId="32A03F8C"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0B124CC7"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Biología Molecular</w:t>
            </w:r>
          </w:p>
        </w:tc>
        <w:tc>
          <w:tcPr>
            <w:tcW w:w="3685" w:type="dxa"/>
            <w:tcBorders>
              <w:top w:val="single" w:sz="4" w:space="0" w:color="auto"/>
              <w:left w:val="single" w:sz="4" w:space="0" w:color="auto"/>
              <w:bottom w:val="single" w:sz="4" w:space="0" w:color="auto"/>
              <w:right w:val="single" w:sz="4" w:space="0" w:color="auto"/>
            </w:tcBorders>
            <w:vAlign w:val="bottom"/>
          </w:tcPr>
          <w:p w14:paraId="58182DC2" w14:textId="77777777"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BOT-403</w:t>
            </w:r>
          </w:p>
        </w:tc>
      </w:tr>
      <w:tr w:rsidR="00802831" w:rsidRPr="007923C2" w14:paraId="7944BE91" w14:textId="77777777" w:rsidTr="0058745E">
        <w:trPr>
          <w:trHeight w:val="104"/>
        </w:trPr>
        <w:tc>
          <w:tcPr>
            <w:tcW w:w="5509" w:type="dxa"/>
            <w:tcBorders>
              <w:top w:val="single" w:sz="4" w:space="0" w:color="auto"/>
              <w:left w:val="single" w:sz="4" w:space="0" w:color="auto"/>
              <w:bottom w:val="single" w:sz="4" w:space="0" w:color="auto"/>
              <w:right w:val="single" w:sz="4" w:space="0" w:color="auto"/>
            </w:tcBorders>
            <w:vAlign w:val="bottom"/>
          </w:tcPr>
          <w:p w14:paraId="48B2B00E" w14:textId="77777777" w:rsidR="00802831" w:rsidRPr="007923C2" w:rsidRDefault="00802831" w:rsidP="00802831">
            <w:pPr>
              <w:widowControl w:val="0"/>
              <w:autoSpaceDE w:val="0"/>
              <w:autoSpaceDN w:val="0"/>
              <w:adjustRightInd w:val="0"/>
              <w:spacing w:after="0" w:line="240" w:lineRule="auto"/>
              <w:rPr>
                <w:rFonts w:ascii="Arial" w:hAnsi="Arial" w:cs="Arial"/>
                <w:sz w:val="22"/>
                <w:szCs w:val="22"/>
              </w:rPr>
            </w:pPr>
          </w:p>
        </w:tc>
        <w:tc>
          <w:tcPr>
            <w:tcW w:w="3685" w:type="dxa"/>
            <w:tcBorders>
              <w:top w:val="single" w:sz="4" w:space="0" w:color="auto"/>
              <w:left w:val="single" w:sz="4" w:space="0" w:color="auto"/>
              <w:bottom w:val="single" w:sz="4" w:space="0" w:color="auto"/>
              <w:right w:val="single" w:sz="4" w:space="0" w:color="auto"/>
            </w:tcBorders>
            <w:vAlign w:val="bottom"/>
          </w:tcPr>
          <w:p w14:paraId="0A18ECE5" w14:textId="77777777" w:rsidR="00802831" w:rsidRPr="007923C2" w:rsidRDefault="00802831" w:rsidP="00802831">
            <w:pPr>
              <w:widowControl w:val="0"/>
              <w:autoSpaceDE w:val="0"/>
              <w:autoSpaceDN w:val="0"/>
              <w:adjustRightInd w:val="0"/>
              <w:spacing w:after="0" w:line="240" w:lineRule="auto"/>
              <w:rPr>
                <w:rFonts w:ascii="Arial" w:hAnsi="Arial" w:cs="Arial"/>
                <w:sz w:val="22"/>
                <w:szCs w:val="22"/>
              </w:rPr>
            </w:pPr>
          </w:p>
        </w:tc>
      </w:tr>
      <w:bookmarkStart w:id="49" w:name="page65"/>
      <w:bookmarkEnd w:id="49"/>
      <w:tr w:rsidR="00802831" w:rsidRPr="007923C2" w14:paraId="5FA89101" w14:textId="77777777" w:rsidTr="0058745E">
        <w:trPr>
          <w:trHeight w:val="404"/>
        </w:trPr>
        <w:tc>
          <w:tcPr>
            <w:tcW w:w="5509" w:type="dxa"/>
            <w:tcBorders>
              <w:top w:val="single" w:sz="4" w:space="0" w:color="auto"/>
              <w:left w:val="single" w:sz="4" w:space="0" w:color="auto"/>
              <w:bottom w:val="single" w:sz="4" w:space="0" w:color="auto"/>
              <w:right w:val="single" w:sz="4" w:space="0" w:color="auto"/>
            </w:tcBorders>
            <w:vAlign w:val="bottom"/>
          </w:tcPr>
          <w:p w14:paraId="5D4FB56A" w14:textId="51052E6B" w:rsidR="00802831" w:rsidRPr="007923C2" w:rsidRDefault="001F23E0" w:rsidP="00802831">
            <w:pPr>
              <w:widowControl w:val="0"/>
              <w:autoSpaceDE w:val="0"/>
              <w:autoSpaceDN w:val="0"/>
              <w:adjustRightInd w:val="0"/>
              <w:spacing w:after="0" w:line="240" w:lineRule="auto"/>
              <w:ind w:left="20"/>
              <w:rPr>
                <w:rFonts w:ascii="Arial" w:hAnsi="Arial" w:cs="Arial"/>
                <w:sz w:val="22"/>
                <w:szCs w:val="22"/>
                <w:lang w:val="es-ES"/>
              </w:rPr>
            </w:pPr>
            <w:r>
              <w:rPr>
                <w:rFonts w:ascii="Arial" w:hAnsi="Arial" w:cs="Arial"/>
                <w:noProof/>
                <w:sz w:val="22"/>
                <w:szCs w:val="22"/>
              </w:rPr>
              <mc:AlternateContent>
                <mc:Choice Requires="wps">
                  <w:drawing>
                    <wp:anchor distT="0" distB="0" distL="114300" distR="114300" simplePos="0" relativeHeight="251812352" behindDoc="1" locked="0" layoutInCell="0" allowOverlap="1" wp14:anchorId="7DF0AF08" wp14:editId="5284F057">
                      <wp:simplePos x="0" y="0"/>
                      <wp:positionH relativeFrom="page">
                        <wp:posOffset>741680</wp:posOffset>
                      </wp:positionH>
                      <wp:positionV relativeFrom="page">
                        <wp:posOffset>897890</wp:posOffset>
                      </wp:positionV>
                      <wp:extent cx="12700" cy="12700"/>
                      <wp:effectExtent l="0" t="0" r="0" b="0"/>
                      <wp:wrapNone/>
                      <wp:docPr id="15" name="Rectángulo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4FF18C" id="Rectángulo 15" o:spid="_x0000_s1026" style="position:absolute;margin-left:58.4pt;margin-top:70.7pt;width:1pt;height:1pt;z-index:-25150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912eQIAAPw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" o:allowincell="f" fillcolor="black" stroked="f">
                      <w10:wrap anchorx="page" anchory="page"/>
                    </v:rect>
                  </w:pict>
                </mc:Fallback>
              </mc:AlternateContent>
            </w:r>
            <w:r>
              <w:rPr>
                <w:rFonts w:ascii="Arial" w:hAnsi="Arial" w:cs="Arial"/>
                <w:noProof/>
                <w:sz w:val="22"/>
                <w:szCs w:val="22"/>
              </w:rPr>
              <mc:AlternateContent>
                <mc:Choice Requires="wps">
                  <w:drawing>
                    <wp:anchor distT="0" distB="0" distL="114300" distR="114300" simplePos="0" relativeHeight="251813376" behindDoc="1" locked="0" layoutInCell="0" allowOverlap="1" wp14:anchorId="1577C450" wp14:editId="4D7B0ECE">
                      <wp:simplePos x="0" y="0"/>
                      <wp:positionH relativeFrom="page">
                        <wp:posOffset>3119755</wp:posOffset>
                      </wp:positionH>
                      <wp:positionV relativeFrom="page">
                        <wp:posOffset>897890</wp:posOffset>
                      </wp:positionV>
                      <wp:extent cx="12700" cy="12700"/>
                      <wp:effectExtent l="0" t="0" r="0" b="0"/>
                      <wp:wrapNone/>
                      <wp:docPr id="14" name="Rectángulo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0FC0A9" id="Rectángulo 14" o:spid="_x0000_s1026" style="position:absolute;margin-left:245.65pt;margin-top:70.7pt;width:1pt;height:1pt;z-index:-25150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MfleQIAAPw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" o:allowincell="f" fillcolor="black" stroked="f">
                      <w10:wrap anchorx="page" anchory="page"/>
                    </v:rect>
                  </w:pict>
                </mc:Fallback>
              </mc:AlternateContent>
            </w:r>
            <w:r>
              <w:rPr>
                <w:rFonts w:ascii="Arial" w:hAnsi="Arial" w:cs="Arial"/>
                <w:noProof/>
                <w:sz w:val="22"/>
                <w:szCs w:val="22"/>
              </w:rPr>
              <mc:AlternateContent>
                <mc:Choice Requires="wps">
                  <w:drawing>
                    <wp:anchor distT="0" distB="0" distL="114300" distR="114300" simplePos="0" relativeHeight="251814400" behindDoc="1" locked="0" layoutInCell="0" allowOverlap="1" wp14:anchorId="2EB2F506" wp14:editId="5061B088">
                      <wp:simplePos x="0" y="0"/>
                      <wp:positionH relativeFrom="page">
                        <wp:posOffset>7007225</wp:posOffset>
                      </wp:positionH>
                      <wp:positionV relativeFrom="page">
                        <wp:posOffset>897890</wp:posOffset>
                      </wp:positionV>
                      <wp:extent cx="12700" cy="12700"/>
                      <wp:effectExtent l="0" t="0" r="0" b="0"/>
                      <wp:wrapNone/>
                      <wp:docPr id="3"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CAFCC6" id="Rectángulo 1" o:spid="_x0000_s1026" style="position:absolute;margin-left:551.75pt;margin-top:70.7pt;width:1pt;height:1pt;z-index:-25150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" o:allowincell="f" fillcolor="black" stroked="f">
                      <w10:wrap anchorx="page" anchory="page"/>
                    </v:rect>
                  </w:pict>
                </mc:Fallback>
              </mc:AlternateContent>
            </w:r>
            <w:r w:rsidR="00802831" w:rsidRPr="007923C2">
              <w:rPr>
                <w:rFonts w:ascii="Arial" w:hAnsi="Arial" w:cs="Arial"/>
                <w:sz w:val="22"/>
                <w:szCs w:val="22"/>
                <w:lang w:val="es-ES"/>
              </w:rPr>
              <w:t>Plantas útiles de Zonas Aridas</w:t>
            </w:r>
          </w:p>
        </w:tc>
        <w:tc>
          <w:tcPr>
            <w:tcW w:w="3685" w:type="dxa"/>
            <w:tcBorders>
              <w:top w:val="single" w:sz="4" w:space="0" w:color="auto"/>
              <w:left w:val="single" w:sz="4" w:space="0" w:color="auto"/>
              <w:bottom w:val="single" w:sz="4" w:space="0" w:color="auto"/>
              <w:right w:val="single" w:sz="4" w:space="0" w:color="auto"/>
            </w:tcBorders>
            <w:vAlign w:val="bottom"/>
          </w:tcPr>
          <w:p w14:paraId="55EF7D59" w14:textId="77777777"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BOT-467</w:t>
            </w:r>
          </w:p>
        </w:tc>
      </w:tr>
      <w:tr w:rsidR="00802831" w:rsidRPr="007923C2" w14:paraId="53E8735B"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60CFACC0"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Agrostología</w:t>
            </w:r>
          </w:p>
        </w:tc>
        <w:tc>
          <w:tcPr>
            <w:tcW w:w="3685" w:type="dxa"/>
            <w:tcBorders>
              <w:top w:val="single" w:sz="4" w:space="0" w:color="auto"/>
              <w:left w:val="single" w:sz="4" w:space="0" w:color="auto"/>
              <w:bottom w:val="single" w:sz="4" w:space="0" w:color="auto"/>
              <w:right w:val="single" w:sz="4" w:space="0" w:color="auto"/>
            </w:tcBorders>
            <w:vAlign w:val="bottom"/>
          </w:tcPr>
          <w:p w14:paraId="1A233657" w14:textId="77777777" w:rsidR="00802831" w:rsidRPr="007923C2" w:rsidRDefault="00802831" w:rsidP="0058745E">
            <w:pPr>
              <w:widowControl w:val="0"/>
              <w:autoSpaceDE w:val="0"/>
              <w:autoSpaceDN w:val="0"/>
              <w:adjustRightInd w:val="0"/>
              <w:spacing w:after="0" w:line="240" w:lineRule="auto"/>
              <w:ind w:left="2560" w:hanging="2439"/>
              <w:jc w:val="center"/>
              <w:rPr>
                <w:rFonts w:ascii="Arial" w:hAnsi="Arial" w:cs="Arial"/>
                <w:sz w:val="22"/>
                <w:szCs w:val="22"/>
              </w:rPr>
            </w:pPr>
            <w:r w:rsidRPr="007923C2">
              <w:rPr>
                <w:rFonts w:ascii="Arial" w:hAnsi="Arial" w:cs="Arial"/>
                <w:sz w:val="22"/>
                <w:szCs w:val="22"/>
              </w:rPr>
              <w:t>BOT-4</w:t>
            </w:r>
            <w:r w:rsidR="003A485A" w:rsidRPr="007923C2">
              <w:rPr>
                <w:rFonts w:ascii="Arial" w:hAnsi="Arial" w:cs="Arial"/>
                <w:sz w:val="22"/>
                <w:szCs w:val="22"/>
              </w:rPr>
              <w:t>48</w:t>
            </w:r>
          </w:p>
        </w:tc>
      </w:tr>
      <w:tr w:rsidR="00802831" w:rsidRPr="007923C2" w14:paraId="3BC3ECB5" w14:textId="77777777" w:rsidTr="0058745E">
        <w:trPr>
          <w:trHeight w:val="380"/>
        </w:trPr>
        <w:tc>
          <w:tcPr>
            <w:tcW w:w="5509" w:type="dxa"/>
            <w:tcBorders>
              <w:top w:val="single" w:sz="4" w:space="0" w:color="auto"/>
              <w:left w:val="single" w:sz="4" w:space="0" w:color="auto"/>
              <w:bottom w:val="single" w:sz="4" w:space="0" w:color="auto"/>
              <w:right w:val="single" w:sz="4" w:space="0" w:color="auto"/>
            </w:tcBorders>
            <w:vAlign w:val="bottom"/>
          </w:tcPr>
          <w:p w14:paraId="179E5C67"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lang w:val="es-ES"/>
              </w:rPr>
            </w:pPr>
            <w:r w:rsidRPr="007923C2">
              <w:rPr>
                <w:rFonts w:ascii="Arial" w:hAnsi="Arial" w:cs="Arial"/>
                <w:sz w:val="22"/>
                <w:szCs w:val="22"/>
                <w:lang w:val="es-ES"/>
              </w:rPr>
              <w:t>Ecología de Plagas y enfernedades</w:t>
            </w:r>
          </w:p>
        </w:tc>
        <w:tc>
          <w:tcPr>
            <w:tcW w:w="3685" w:type="dxa"/>
            <w:tcBorders>
              <w:top w:val="single" w:sz="4" w:space="0" w:color="auto"/>
              <w:left w:val="single" w:sz="4" w:space="0" w:color="auto"/>
              <w:bottom w:val="single" w:sz="4" w:space="0" w:color="auto"/>
              <w:right w:val="single" w:sz="4" w:space="0" w:color="auto"/>
            </w:tcBorders>
            <w:vAlign w:val="bottom"/>
          </w:tcPr>
          <w:p w14:paraId="314B95F0" w14:textId="77777777" w:rsidR="00802831" w:rsidRPr="007923C2" w:rsidRDefault="00802831" w:rsidP="0058745E">
            <w:pPr>
              <w:widowControl w:val="0"/>
              <w:autoSpaceDE w:val="0"/>
              <w:autoSpaceDN w:val="0"/>
              <w:adjustRightInd w:val="0"/>
              <w:spacing w:after="0" w:line="240" w:lineRule="auto"/>
              <w:ind w:left="2600" w:hanging="2439"/>
              <w:jc w:val="center"/>
              <w:rPr>
                <w:rFonts w:ascii="Arial" w:hAnsi="Arial" w:cs="Arial"/>
                <w:sz w:val="22"/>
                <w:szCs w:val="22"/>
              </w:rPr>
            </w:pPr>
            <w:r w:rsidRPr="007923C2">
              <w:rPr>
                <w:rFonts w:ascii="Arial" w:hAnsi="Arial" w:cs="Arial"/>
                <w:sz w:val="22"/>
                <w:szCs w:val="22"/>
              </w:rPr>
              <w:t>PAR-497</w:t>
            </w:r>
          </w:p>
        </w:tc>
      </w:tr>
      <w:tr w:rsidR="00802831" w:rsidRPr="007923C2" w14:paraId="7BB12F56" w14:textId="77777777" w:rsidTr="0058745E">
        <w:trPr>
          <w:trHeight w:val="385"/>
        </w:trPr>
        <w:tc>
          <w:tcPr>
            <w:tcW w:w="5509" w:type="dxa"/>
            <w:tcBorders>
              <w:top w:val="single" w:sz="4" w:space="0" w:color="auto"/>
              <w:left w:val="single" w:sz="4" w:space="0" w:color="auto"/>
              <w:bottom w:val="single" w:sz="4" w:space="0" w:color="auto"/>
              <w:right w:val="single" w:sz="4" w:space="0" w:color="auto"/>
            </w:tcBorders>
            <w:vAlign w:val="bottom"/>
          </w:tcPr>
          <w:p w14:paraId="665CB165"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lang w:val="es-ES"/>
              </w:rPr>
            </w:pPr>
            <w:r w:rsidRPr="007923C2">
              <w:rPr>
                <w:rFonts w:ascii="Arial" w:hAnsi="Arial" w:cs="Arial"/>
                <w:sz w:val="22"/>
                <w:szCs w:val="22"/>
                <w:lang w:val="es-ES"/>
              </w:rPr>
              <w:t>Ecología, Prod. Y Des. Campesino</w:t>
            </w:r>
          </w:p>
        </w:tc>
        <w:tc>
          <w:tcPr>
            <w:tcW w:w="3685" w:type="dxa"/>
            <w:tcBorders>
              <w:top w:val="single" w:sz="4" w:space="0" w:color="auto"/>
              <w:left w:val="single" w:sz="4" w:space="0" w:color="auto"/>
              <w:bottom w:val="single" w:sz="4" w:space="0" w:color="auto"/>
              <w:right w:val="single" w:sz="4" w:space="0" w:color="auto"/>
            </w:tcBorders>
            <w:vAlign w:val="bottom"/>
          </w:tcPr>
          <w:p w14:paraId="0D0E6123" w14:textId="77777777"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BOT-453</w:t>
            </w:r>
          </w:p>
        </w:tc>
      </w:tr>
      <w:tr w:rsidR="00802831" w:rsidRPr="007923C2" w14:paraId="657D0FF6"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5771FC36"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Biotecnología II</w:t>
            </w:r>
          </w:p>
        </w:tc>
        <w:tc>
          <w:tcPr>
            <w:tcW w:w="3685" w:type="dxa"/>
            <w:tcBorders>
              <w:top w:val="single" w:sz="4" w:space="0" w:color="auto"/>
              <w:left w:val="single" w:sz="4" w:space="0" w:color="auto"/>
              <w:bottom w:val="single" w:sz="4" w:space="0" w:color="auto"/>
              <w:right w:val="single" w:sz="4" w:space="0" w:color="auto"/>
            </w:tcBorders>
            <w:vAlign w:val="bottom"/>
          </w:tcPr>
          <w:p w14:paraId="4AE59B21" w14:textId="77777777" w:rsidR="00802831" w:rsidRPr="007923C2" w:rsidRDefault="00802831" w:rsidP="0058745E">
            <w:pPr>
              <w:widowControl w:val="0"/>
              <w:autoSpaceDE w:val="0"/>
              <w:autoSpaceDN w:val="0"/>
              <w:adjustRightInd w:val="0"/>
              <w:spacing w:after="0" w:line="240" w:lineRule="auto"/>
              <w:ind w:left="2620" w:hanging="2439"/>
              <w:jc w:val="center"/>
              <w:rPr>
                <w:rFonts w:ascii="Arial" w:hAnsi="Arial" w:cs="Arial"/>
                <w:sz w:val="22"/>
                <w:szCs w:val="22"/>
              </w:rPr>
            </w:pPr>
            <w:r w:rsidRPr="007923C2">
              <w:rPr>
                <w:rFonts w:ascii="Arial" w:hAnsi="Arial" w:cs="Arial"/>
                <w:sz w:val="22"/>
                <w:szCs w:val="22"/>
              </w:rPr>
              <w:t>FIT-493</w:t>
            </w:r>
          </w:p>
        </w:tc>
      </w:tr>
      <w:tr w:rsidR="00802831" w:rsidRPr="007923C2" w14:paraId="3D16F457"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09DA3B71"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lang w:val="es-ES"/>
              </w:rPr>
            </w:pPr>
            <w:r w:rsidRPr="007923C2">
              <w:rPr>
                <w:rFonts w:ascii="Arial" w:hAnsi="Arial" w:cs="Arial"/>
                <w:sz w:val="22"/>
                <w:szCs w:val="22"/>
                <w:lang w:val="es-ES"/>
              </w:rPr>
              <w:t>Economía de las Unidades de Prod</w:t>
            </w:r>
          </w:p>
        </w:tc>
        <w:tc>
          <w:tcPr>
            <w:tcW w:w="3685" w:type="dxa"/>
            <w:tcBorders>
              <w:top w:val="single" w:sz="4" w:space="0" w:color="auto"/>
              <w:left w:val="single" w:sz="4" w:space="0" w:color="auto"/>
              <w:bottom w:val="single" w:sz="4" w:space="0" w:color="auto"/>
              <w:right w:val="single" w:sz="4" w:space="0" w:color="auto"/>
            </w:tcBorders>
            <w:vAlign w:val="bottom"/>
          </w:tcPr>
          <w:p w14:paraId="1427272F" w14:textId="77777777" w:rsidR="00802831" w:rsidRPr="007923C2" w:rsidRDefault="00802831" w:rsidP="0058745E">
            <w:pPr>
              <w:widowControl w:val="0"/>
              <w:autoSpaceDE w:val="0"/>
              <w:autoSpaceDN w:val="0"/>
              <w:adjustRightInd w:val="0"/>
              <w:spacing w:after="0" w:line="240" w:lineRule="auto"/>
              <w:ind w:left="2600" w:hanging="2439"/>
              <w:jc w:val="center"/>
              <w:rPr>
                <w:rFonts w:ascii="Arial" w:hAnsi="Arial" w:cs="Arial"/>
                <w:sz w:val="22"/>
                <w:szCs w:val="22"/>
              </w:rPr>
            </w:pPr>
            <w:r w:rsidRPr="007923C2">
              <w:rPr>
                <w:rFonts w:ascii="Arial" w:hAnsi="Arial" w:cs="Arial"/>
                <w:sz w:val="22"/>
                <w:szCs w:val="22"/>
              </w:rPr>
              <w:t>ECA-496</w:t>
            </w:r>
          </w:p>
        </w:tc>
      </w:tr>
      <w:tr w:rsidR="00802831" w:rsidRPr="007923C2" w14:paraId="643A108D"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34A88546"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Educación Ambiental</w:t>
            </w:r>
          </w:p>
        </w:tc>
        <w:tc>
          <w:tcPr>
            <w:tcW w:w="3685" w:type="dxa"/>
            <w:tcBorders>
              <w:top w:val="single" w:sz="4" w:space="0" w:color="auto"/>
              <w:left w:val="single" w:sz="4" w:space="0" w:color="auto"/>
              <w:bottom w:val="single" w:sz="4" w:space="0" w:color="auto"/>
              <w:right w:val="single" w:sz="4" w:space="0" w:color="auto"/>
            </w:tcBorders>
            <w:vAlign w:val="bottom"/>
          </w:tcPr>
          <w:p w14:paraId="400D95D6" w14:textId="77777777"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BOT-462</w:t>
            </w:r>
          </w:p>
        </w:tc>
      </w:tr>
      <w:tr w:rsidR="00802831" w:rsidRPr="007923C2" w14:paraId="2EBF7D42" w14:textId="77777777" w:rsidTr="0058745E">
        <w:trPr>
          <w:trHeight w:val="385"/>
        </w:trPr>
        <w:tc>
          <w:tcPr>
            <w:tcW w:w="5509" w:type="dxa"/>
            <w:tcBorders>
              <w:top w:val="single" w:sz="4" w:space="0" w:color="auto"/>
              <w:left w:val="single" w:sz="4" w:space="0" w:color="auto"/>
              <w:bottom w:val="single" w:sz="4" w:space="0" w:color="auto"/>
              <w:right w:val="single" w:sz="4" w:space="0" w:color="auto"/>
            </w:tcBorders>
            <w:vAlign w:val="bottom"/>
          </w:tcPr>
          <w:p w14:paraId="2299DAF3"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Legislación Forestal y Ambiental</w:t>
            </w:r>
          </w:p>
        </w:tc>
        <w:tc>
          <w:tcPr>
            <w:tcW w:w="3685" w:type="dxa"/>
            <w:tcBorders>
              <w:top w:val="single" w:sz="4" w:space="0" w:color="auto"/>
              <w:left w:val="single" w:sz="4" w:space="0" w:color="auto"/>
              <w:bottom w:val="single" w:sz="4" w:space="0" w:color="auto"/>
              <w:right w:val="single" w:sz="4" w:space="0" w:color="auto"/>
            </w:tcBorders>
            <w:vAlign w:val="bottom"/>
          </w:tcPr>
          <w:p w14:paraId="03715B12" w14:textId="77777777" w:rsidR="00802831" w:rsidRPr="007923C2" w:rsidRDefault="00802831" w:rsidP="0058745E">
            <w:pPr>
              <w:widowControl w:val="0"/>
              <w:autoSpaceDE w:val="0"/>
              <w:autoSpaceDN w:val="0"/>
              <w:adjustRightInd w:val="0"/>
              <w:spacing w:after="0" w:line="240" w:lineRule="auto"/>
              <w:ind w:left="2560" w:hanging="2439"/>
              <w:jc w:val="center"/>
              <w:rPr>
                <w:rFonts w:ascii="Arial" w:hAnsi="Arial" w:cs="Arial"/>
                <w:sz w:val="22"/>
                <w:szCs w:val="22"/>
              </w:rPr>
            </w:pPr>
            <w:r w:rsidRPr="007923C2">
              <w:rPr>
                <w:rFonts w:ascii="Arial" w:hAnsi="Arial" w:cs="Arial"/>
                <w:sz w:val="22"/>
                <w:szCs w:val="22"/>
              </w:rPr>
              <w:t>FOR-436</w:t>
            </w:r>
          </w:p>
        </w:tc>
      </w:tr>
      <w:tr w:rsidR="00802831" w:rsidRPr="007923C2" w14:paraId="606C1AFC" w14:textId="77777777" w:rsidTr="0058745E">
        <w:trPr>
          <w:trHeight w:val="380"/>
        </w:trPr>
        <w:tc>
          <w:tcPr>
            <w:tcW w:w="5509" w:type="dxa"/>
            <w:tcBorders>
              <w:top w:val="single" w:sz="4" w:space="0" w:color="auto"/>
              <w:left w:val="single" w:sz="4" w:space="0" w:color="auto"/>
              <w:bottom w:val="single" w:sz="4" w:space="0" w:color="auto"/>
              <w:right w:val="single" w:sz="4" w:space="0" w:color="auto"/>
            </w:tcBorders>
            <w:vAlign w:val="bottom"/>
          </w:tcPr>
          <w:p w14:paraId="03351DE7"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Manejo Agroecológico del Agua</w:t>
            </w:r>
          </w:p>
        </w:tc>
        <w:tc>
          <w:tcPr>
            <w:tcW w:w="3685" w:type="dxa"/>
            <w:tcBorders>
              <w:top w:val="single" w:sz="4" w:space="0" w:color="auto"/>
              <w:left w:val="single" w:sz="4" w:space="0" w:color="auto"/>
              <w:bottom w:val="single" w:sz="4" w:space="0" w:color="auto"/>
              <w:right w:val="single" w:sz="4" w:space="0" w:color="auto"/>
            </w:tcBorders>
            <w:vAlign w:val="bottom"/>
          </w:tcPr>
          <w:p w14:paraId="27C8E0FD" w14:textId="77777777"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RYD-483</w:t>
            </w:r>
          </w:p>
        </w:tc>
      </w:tr>
      <w:tr w:rsidR="00802831" w:rsidRPr="007923C2" w14:paraId="6808430F"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2E54148F"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Manejo Agroecológico del Suelo</w:t>
            </w:r>
          </w:p>
        </w:tc>
        <w:tc>
          <w:tcPr>
            <w:tcW w:w="3685" w:type="dxa"/>
            <w:tcBorders>
              <w:top w:val="single" w:sz="4" w:space="0" w:color="auto"/>
              <w:left w:val="single" w:sz="4" w:space="0" w:color="auto"/>
              <w:bottom w:val="single" w:sz="4" w:space="0" w:color="auto"/>
              <w:right w:val="single" w:sz="4" w:space="0" w:color="auto"/>
            </w:tcBorders>
            <w:vAlign w:val="bottom"/>
          </w:tcPr>
          <w:p w14:paraId="6AA571B6" w14:textId="77777777" w:rsidR="00802831" w:rsidRPr="007923C2" w:rsidRDefault="00802831" w:rsidP="0058745E">
            <w:pPr>
              <w:widowControl w:val="0"/>
              <w:autoSpaceDE w:val="0"/>
              <w:autoSpaceDN w:val="0"/>
              <w:adjustRightInd w:val="0"/>
              <w:spacing w:after="0" w:line="240" w:lineRule="auto"/>
              <w:ind w:left="2600" w:hanging="2439"/>
              <w:jc w:val="center"/>
              <w:rPr>
                <w:rFonts w:ascii="Arial" w:hAnsi="Arial" w:cs="Arial"/>
                <w:sz w:val="22"/>
                <w:szCs w:val="22"/>
              </w:rPr>
            </w:pPr>
            <w:r w:rsidRPr="007923C2">
              <w:rPr>
                <w:rFonts w:ascii="Arial" w:hAnsi="Arial" w:cs="Arial"/>
                <w:sz w:val="22"/>
                <w:szCs w:val="22"/>
              </w:rPr>
              <w:t>SUE-486</w:t>
            </w:r>
          </w:p>
        </w:tc>
      </w:tr>
      <w:tr w:rsidR="00802831" w:rsidRPr="007923C2" w14:paraId="1854F034"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20017E87"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Recursos Genéticos</w:t>
            </w:r>
          </w:p>
        </w:tc>
        <w:tc>
          <w:tcPr>
            <w:tcW w:w="3685" w:type="dxa"/>
            <w:tcBorders>
              <w:top w:val="single" w:sz="4" w:space="0" w:color="auto"/>
              <w:left w:val="single" w:sz="4" w:space="0" w:color="auto"/>
              <w:bottom w:val="single" w:sz="4" w:space="0" w:color="auto"/>
              <w:right w:val="single" w:sz="4" w:space="0" w:color="auto"/>
            </w:tcBorders>
            <w:vAlign w:val="bottom"/>
          </w:tcPr>
          <w:p w14:paraId="745FBFFB" w14:textId="77777777" w:rsidR="00802831" w:rsidRPr="007923C2" w:rsidRDefault="00802831" w:rsidP="0058745E">
            <w:pPr>
              <w:widowControl w:val="0"/>
              <w:autoSpaceDE w:val="0"/>
              <w:autoSpaceDN w:val="0"/>
              <w:adjustRightInd w:val="0"/>
              <w:spacing w:after="0" w:line="240" w:lineRule="auto"/>
              <w:ind w:left="2620" w:hanging="2439"/>
              <w:jc w:val="center"/>
              <w:rPr>
                <w:rFonts w:ascii="Arial" w:hAnsi="Arial" w:cs="Arial"/>
                <w:sz w:val="22"/>
                <w:szCs w:val="22"/>
              </w:rPr>
            </w:pPr>
            <w:r w:rsidRPr="007923C2">
              <w:rPr>
                <w:rFonts w:ascii="Arial" w:hAnsi="Arial" w:cs="Arial"/>
                <w:sz w:val="22"/>
                <w:szCs w:val="22"/>
              </w:rPr>
              <w:t>FIT-454</w:t>
            </w:r>
          </w:p>
        </w:tc>
      </w:tr>
      <w:tr w:rsidR="00802831" w:rsidRPr="007923C2" w14:paraId="539F53A0"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0D8FC3A6"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Ordenamiento Ecológico</w:t>
            </w:r>
          </w:p>
        </w:tc>
        <w:tc>
          <w:tcPr>
            <w:tcW w:w="3685" w:type="dxa"/>
            <w:tcBorders>
              <w:top w:val="single" w:sz="4" w:space="0" w:color="auto"/>
              <w:left w:val="single" w:sz="4" w:space="0" w:color="auto"/>
              <w:bottom w:val="single" w:sz="4" w:space="0" w:color="auto"/>
              <w:right w:val="single" w:sz="4" w:space="0" w:color="auto"/>
            </w:tcBorders>
            <w:vAlign w:val="bottom"/>
          </w:tcPr>
          <w:p w14:paraId="5F517917" w14:textId="77777777" w:rsidR="00802831" w:rsidRPr="007923C2" w:rsidRDefault="00802831" w:rsidP="0058745E">
            <w:pPr>
              <w:widowControl w:val="0"/>
              <w:autoSpaceDE w:val="0"/>
              <w:autoSpaceDN w:val="0"/>
              <w:adjustRightInd w:val="0"/>
              <w:spacing w:after="0" w:line="240" w:lineRule="auto"/>
              <w:ind w:left="2560" w:hanging="2439"/>
              <w:jc w:val="center"/>
              <w:rPr>
                <w:rFonts w:ascii="Arial" w:hAnsi="Arial" w:cs="Arial"/>
                <w:sz w:val="22"/>
                <w:szCs w:val="22"/>
              </w:rPr>
            </w:pPr>
            <w:r w:rsidRPr="007923C2">
              <w:rPr>
                <w:rFonts w:ascii="Arial" w:hAnsi="Arial" w:cs="Arial"/>
                <w:sz w:val="22"/>
                <w:szCs w:val="22"/>
              </w:rPr>
              <w:t>FOR-482</w:t>
            </w:r>
          </w:p>
        </w:tc>
      </w:tr>
      <w:tr w:rsidR="00802831" w:rsidRPr="007923C2" w14:paraId="22C3A376"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22580D06"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Organismos Transgénicos</w:t>
            </w:r>
          </w:p>
        </w:tc>
        <w:tc>
          <w:tcPr>
            <w:tcW w:w="3685" w:type="dxa"/>
            <w:tcBorders>
              <w:top w:val="single" w:sz="4" w:space="0" w:color="auto"/>
              <w:left w:val="single" w:sz="4" w:space="0" w:color="auto"/>
              <w:bottom w:val="single" w:sz="4" w:space="0" w:color="auto"/>
              <w:right w:val="single" w:sz="4" w:space="0" w:color="auto"/>
            </w:tcBorders>
            <w:vAlign w:val="bottom"/>
          </w:tcPr>
          <w:p w14:paraId="26F8683D" w14:textId="77777777" w:rsidR="00802831" w:rsidRPr="007923C2" w:rsidRDefault="00802831" w:rsidP="0058745E">
            <w:pPr>
              <w:widowControl w:val="0"/>
              <w:autoSpaceDE w:val="0"/>
              <w:autoSpaceDN w:val="0"/>
              <w:adjustRightInd w:val="0"/>
              <w:spacing w:after="0" w:line="240" w:lineRule="auto"/>
              <w:ind w:left="2620" w:hanging="2439"/>
              <w:jc w:val="center"/>
              <w:rPr>
                <w:rFonts w:ascii="Arial" w:hAnsi="Arial" w:cs="Arial"/>
                <w:sz w:val="22"/>
                <w:szCs w:val="22"/>
              </w:rPr>
            </w:pPr>
            <w:r w:rsidRPr="007923C2">
              <w:rPr>
                <w:rFonts w:ascii="Arial" w:hAnsi="Arial" w:cs="Arial"/>
                <w:sz w:val="22"/>
                <w:szCs w:val="22"/>
              </w:rPr>
              <w:t>FIT-481</w:t>
            </w:r>
          </w:p>
        </w:tc>
      </w:tr>
      <w:tr w:rsidR="00802831" w:rsidRPr="007923C2" w14:paraId="3843AC20"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46629B4A"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Percepción Remota</w:t>
            </w:r>
          </w:p>
        </w:tc>
        <w:tc>
          <w:tcPr>
            <w:tcW w:w="3685" w:type="dxa"/>
            <w:tcBorders>
              <w:top w:val="single" w:sz="4" w:space="0" w:color="auto"/>
              <w:left w:val="single" w:sz="4" w:space="0" w:color="auto"/>
              <w:bottom w:val="single" w:sz="4" w:space="0" w:color="auto"/>
              <w:right w:val="single" w:sz="4" w:space="0" w:color="auto"/>
            </w:tcBorders>
            <w:vAlign w:val="bottom"/>
          </w:tcPr>
          <w:p w14:paraId="4FEC5347" w14:textId="77777777"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RNR-439</w:t>
            </w:r>
          </w:p>
        </w:tc>
      </w:tr>
      <w:tr w:rsidR="00802831" w:rsidRPr="007923C2" w14:paraId="5B73570A" w14:textId="77777777" w:rsidTr="0058745E">
        <w:trPr>
          <w:trHeight w:val="380"/>
        </w:trPr>
        <w:tc>
          <w:tcPr>
            <w:tcW w:w="5509" w:type="dxa"/>
            <w:tcBorders>
              <w:top w:val="single" w:sz="4" w:space="0" w:color="auto"/>
              <w:left w:val="single" w:sz="4" w:space="0" w:color="auto"/>
              <w:bottom w:val="single" w:sz="4" w:space="0" w:color="auto"/>
              <w:right w:val="single" w:sz="4" w:space="0" w:color="auto"/>
            </w:tcBorders>
            <w:vAlign w:val="bottom"/>
          </w:tcPr>
          <w:p w14:paraId="172F1F98"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Plantas Medicinales y Aromáticas</w:t>
            </w:r>
          </w:p>
        </w:tc>
        <w:tc>
          <w:tcPr>
            <w:tcW w:w="3685" w:type="dxa"/>
            <w:tcBorders>
              <w:top w:val="single" w:sz="4" w:space="0" w:color="auto"/>
              <w:left w:val="single" w:sz="4" w:space="0" w:color="auto"/>
              <w:bottom w:val="single" w:sz="4" w:space="0" w:color="auto"/>
              <w:right w:val="single" w:sz="4" w:space="0" w:color="auto"/>
            </w:tcBorders>
            <w:vAlign w:val="bottom"/>
          </w:tcPr>
          <w:p w14:paraId="05DBC724" w14:textId="77777777"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BOT-463</w:t>
            </w:r>
          </w:p>
        </w:tc>
      </w:tr>
      <w:tr w:rsidR="00802831" w:rsidRPr="007923C2" w14:paraId="5476CBA9"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72DF05DA"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Sistemas Tradicionales de Prod.</w:t>
            </w:r>
          </w:p>
        </w:tc>
        <w:tc>
          <w:tcPr>
            <w:tcW w:w="3685" w:type="dxa"/>
            <w:tcBorders>
              <w:top w:val="single" w:sz="4" w:space="0" w:color="auto"/>
              <w:left w:val="single" w:sz="4" w:space="0" w:color="auto"/>
              <w:bottom w:val="single" w:sz="4" w:space="0" w:color="auto"/>
              <w:right w:val="single" w:sz="4" w:space="0" w:color="auto"/>
            </w:tcBorders>
            <w:vAlign w:val="bottom"/>
          </w:tcPr>
          <w:p w14:paraId="70F0799F" w14:textId="77777777"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BOT-495</w:t>
            </w:r>
          </w:p>
        </w:tc>
      </w:tr>
      <w:tr w:rsidR="00802831" w:rsidRPr="007923C2" w14:paraId="6616D1C3" w14:textId="77777777"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14:paraId="6C6FF8D2" w14:textId="77777777"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Toxicología Ambiental</w:t>
            </w:r>
          </w:p>
        </w:tc>
        <w:tc>
          <w:tcPr>
            <w:tcW w:w="3685" w:type="dxa"/>
            <w:tcBorders>
              <w:top w:val="single" w:sz="4" w:space="0" w:color="auto"/>
              <w:left w:val="single" w:sz="4" w:space="0" w:color="auto"/>
              <w:bottom w:val="single" w:sz="4" w:space="0" w:color="auto"/>
              <w:right w:val="single" w:sz="4" w:space="0" w:color="auto"/>
            </w:tcBorders>
            <w:vAlign w:val="bottom"/>
          </w:tcPr>
          <w:p w14:paraId="1EA975BF" w14:textId="77777777" w:rsidR="00802831" w:rsidRPr="007923C2" w:rsidRDefault="00802831" w:rsidP="0058745E">
            <w:pPr>
              <w:widowControl w:val="0"/>
              <w:autoSpaceDE w:val="0"/>
              <w:autoSpaceDN w:val="0"/>
              <w:adjustRightInd w:val="0"/>
              <w:spacing w:after="0" w:line="240" w:lineRule="auto"/>
              <w:ind w:left="2560" w:hanging="2439"/>
              <w:jc w:val="center"/>
              <w:rPr>
                <w:rFonts w:ascii="Arial" w:hAnsi="Arial" w:cs="Arial"/>
                <w:sz w:val="22"/>
                <w:szCs w:val="22"/>
              </w:rPr>
            </w:pPr>
            <w:r w:rsidRPr="007923C2">
              <w:rPr>
                <w:rFonts w:ascii="Arial" w:hAnsi="Arial" w:cs="Arial"/>
                <w:sz w:val="22"/>
                <w:szCs w:val="22"/>
              </w:rPr>
              <w:t>SUE-483</w:t>
            </w:r>
          </w:p>
        </w:tc>
      </w:tr>
      <w:tr w:rsidR="00802831" w:rsidRPr="007923C2" w14:paraId="48F2413D" w14:textId="77777777" w:rsidTr="0058745E">
        <w:trPr>
          <w:trHeight w:val="488"/>
        </w:trPr>
        <w:tc>
          <w:tcPr>
            <w:tcW w:w="5509" w:type="dxa"/>
            <w:tcBorders>
              <w:top w:val="single" w:sz="4" w:space="0" w:color="auto"/>
              <w:left w:val="single" w:sz="4" w:space="0" w:color="auto"/>
              <w:bottom w:val="single" w:sz="4" w:space="0" w:color="auto"/>
              <w:right w:val="single" w:sz="4" w:space="0" w:color="auto"/>
            </w:tcBorders>
            <w:vAlign w:val="bottom"/>
          </w:tcPr>
          <w:p w14:paraId="147A1A95" w14:textId="77777777" w:rsidR="00802831" w:rsidRPr="007923C2" w:rsidRDefault="009C61F4"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Plantas Útiles de Zonas Áridas</w:t>
            </w:r>
          </w:p>
        </w:tc>
        <w:tc>
          <w:tcPr>
            <w:tcW w:w="3685" w:type="dxa"/>
            <w:tcBorders>
              <w:top w:val="single" w:sz="4" w:space="0" w:color="auto"/>
              <w:left w:val="single" w:sz="4" w:space="0" w:color="auto"/>
              <w:bottom w:val="single" w:sz="4" w:space="0" w:color="auto"/>
              <w:right w:val="single" w:sz="4" w:space="0" w:color="auto"/>
            </w:tcBorders>
            <w:vAlign w:val="bottom"/>
          </w:tcPr>
          <w:p w14:paraId="2B5A7975" w14:textId="77777777" w:rsidR="00802831" w:rsidRPr="007923C2" w:rsidRDefault="009C61F4"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BOT-467</w:t>
            </w:r>
          </w:p>
        </w:tc>
      </w:tr>
      <w:tr w:rsidR="00652601" w:rsidRPr="007923C2" w14:paraId="67BD4480" w14:textId="77777777" w:rsidTr="0058745E">
        <w:trPr>
          <w:trHeight w:val="488"/>
        </w:trPr>
        <w:tc>
          <w:tcPr>
            <w:tcW w:w="5509" w:type="dxa"/>
            <w:tcBorders>
              <w:top w:val="single" w:sz="4" w:space="0" w:color="auto"/>
              <w:left w:val="single" w:sz="4" w:space="0" w:color="auto"/>
              <w:bottom w:val="single" w:sz="4" w:space="0" w:color="auto"/>
              <w:right w:val="single" w:sz="4" w:space="0" w:color="auto"/>
            </w:tcBorders>
            <w:vAlign w:val="bottom"/>
          </w:tcPr>
          <w:p w14:paraId="10BDA2CC" w14:textId="77777777" w:rsidR="00652601" w:rsidRPr="007923C2" w:rsidRDefault="009C61F4"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Producción de Hongos Comestibles</w:t>
            </w:r>
          </w:p>
        </w:tc>
        <w:tc>
          <w:tcPr>
            <w:tcW w:w="3685" w:type="dxa"/>
            <w:tcBorders>
              <w:top w:val="single" w:sz="4" w:space="0" w:color="auto"/>
              <w:left w:val="single" w:sz="4" w:space="0" w:color="auto"/>
              <w:bottom w:val="single" w:sz="4" w:space="0" w:color="auto"/>
              <w:right w:val="single" w:sz="4" w:space="0" w:color="auto"/>
            </w:tcBorders>
            <w:vAlign w:val="bottom"/>
          </w:tcPr>
          <w:p w14:paraId="561B1339" w14:textId="77777777" w:rsidR="00652601" w:rsidRPr="007923C2" w:rsidRDefault="009C61F4"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FIT-496</w:t>
            </w:r>
          </w:p>
        </w:tc>
      </w:tr>
      <w:tr w:rsidR="00652601" w:rsidRPr="007923C2" w14:paraId="5E43A246" w14:textId="77777777" w:rsidTr="0058745E">
        <w:trPr>
          <w:trHeight w:val="488"/>
        </w:trPr>
        <w:tc>
          <w:tcPr>
            <w:tcW w:w="5509" w:type="dxa"/>
            <w:tcBorders>
              <w:top w:val="single" w:sz="4" w:space="0" w:color="auto"/>
              <w:left w:val="single" w:sz="8" w:space="0" w:color="auto"/>
              <w:bottom w:val="single" w:sz="8" w:space="0" w:color="auto"/>
              <w:right w:val="single" w:sz="8" w:space="0" w:color="auto"/>
            </w:tcBorders>
            <w:vAlign w:val="bottom"/>
          </w:tcPr>
          <w:p w14:paraId="62F9D7B0" w14:textId="77777777" w:rsidR="00652601" w:rsidRPr="007923C2" w:rsidRDefault="009C61F4" w:rsidP="009C61F4">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Productividad Agroecológica</w:t>
            </w:r>
          </w:p>
        </w:tc>
        <w:tc>
          <w:tcPr>
            <w:tcW w:w="3685" w:type="dxa"/>
            <w:tcBorders>
              <w:top w:val="single" w:sz="4" w:space="0" w:color="auto"/>
              <w:left w:val="nil"/>
              <w:bottom w:val="single" w:sz="8" w:space="0" w:color="auto"/>
              <w:right w:val="single" w:sz="8" w:space="0" w:color="auto"/>
            </w:tcBorders>
            <w:vAlign w:val="bottom"/>
          </w:tcPr>
          <w:p w14:paraId="25D45813" w14:textId="77777777" w:rsidR="00652601" w:rsidRPr="007923C2" w:rsidRDefault="009C61F4"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FIT-427</w:t>
            </w:r>
          </w:p>
        </w:tc>
      </w:tr>
      <w:tr w:rsidR="00652601" w:rsidRPr="007923C2" w14:paraId="38CE9A66"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63B53B4F" w14:textId="77777777" w:rsidR="00652601" w:rsidRPr="007923C2" w:rsidRDefault="009C61F4"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Producción en invernadero</w:t>
            </w:r>
          </w:p>
        </w:tc>
        <w:tc>
          <w:tcPr>
            <w:tcW w:w="3685" w:type="dxa"/>
            <w:tcBorders>
              <w:top w:val="nil"/>
              <w:left w:val="nil"/>
              <w:bottom w:val="single" w:sz="8" w:space="0" w:color="auto"/>
              <w:right w:val="single" w:sz="8" w:space="0" w:color="auto"/>
            </w:tcBorders>
            <w:vAlign w:val="bottom"/>
          </w:tcPr>
          <w:p w14:paraId="3AB12469" w14:textId="77777777" w:rsidR="00652601" w:rsidRPr="007923C2" w:rsidRDefault="009C61F4"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FIT-477</w:t>
            </w:r>
          </w:p>
        </w:tc>
      </w:tr>
      <w:tr w:rsidR="00652601" w:rsidRPr="007923C2" w14:paraId="23B64359"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6906151E" w14:textId="77777777" w:rsidR="00652601" w:rsidRPr="007923C2" w:rsidRDefault="009C61F4"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Topografía General</w:t>
            </w:r>
          </w:p>
        </w:tc>
        <w:tc>
          <w:tcPr>
            <w:tcW w:w="3685" w:type="dxa"/>
            <w:tcBorders>
              <w:top w:val="nil"/>
              <w:left w:val="nil"/>
              <w:bottom w:val="single" w:sz="8" w:space="0" w:color="auto"/>
              <w:right w:val="single" w:sz="8" w:space="0" w:color="auto"/>
            </w:tcBorders>
            <w:vAlign w:val="bottom"/>
          </w:tcPr>
          <w:p w14:paraId="2965067A" w14:textId="77777777" w:rsidR="00652601" w:rsidRPr="007923C2" w:rsidRDefault="009C61F4"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CSB-416</w:t>
            </w:r>
          </w:p>
        </w:tc>
      </w:tr>
      <w:tr w:rsidR="00652601" w:rsidRPr="007923C2" w14:paraId="412E41BA"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22427CAF" w14:textId="77777777"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Conservación de Suelo y Agua</w:t>
            </w:r>
          </w:p>
        </w:tc>
        <w:tc>
          <w:tcPr>
            <w:tcW w:w="3685" w:type="dxa"/>
            <w:tcBorders>
              <w:top w:val="nil"/>
              <w:left w:val="nil"/>
              <w:bottom w:val="single" w:sz="8" w:space="0" w:color="auto"/>
              <w:right w:val="single" w:sz="8" w:space="0" w:color="auto"/>
            </w:tcBorders>
            <w:vAlign w:val="bottom"/>
          </w:tcPr>
          <w:p w14:paraId="6BB606C2" w14:textId="77777777"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SUE-462</w:t>
            </w:r>
          </w:p>
        </w:tc>
      </w:tr>
      <w:tr w:rsidR="00652601" w:rsidRPr="007923C2" w14:paraId="52793BBA"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269C6326" w14:textId="77777777" w:rsidR="00652601" w:rsidRPr="007923C2" w:rsidRDefault="004662E0" w:rsidP="004662E0">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Recursos renovables de Zonas Áridas</w:t>
            </w:r>
          </w:p>
        </w:tc>
        <w:tc>
          <w:tcPr>
            <w:tcW w:w="3685" w:type="dxa"/>
            <w:tcBorders>
              <w:top w:val="nil"/>
              <w:left w:val="nil"/>
              <w:bottom w:val="single" w:sz="8" w:space="0" w:color="auto"/>
              <w:right w:val="single" w:sz="8" w:space="0" w:color="auto"/>
            </w:tcBorders>
            <w:vAlign w:val="bottom"/>
          </w:tcPr>
          <w:p w14:paraId="589475D4" w14:textId="77777777"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FOR-474</w:t>
            </w:r>
          </w:p>
        </w:tc>
      </w:tr>
      <w:tr w:rsidR="00652601" w:rsidRPr="007923C2" w14:paraId="63D37E4E"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0FF53620" w14:textId="77777777"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Agricultura sustentable e inocuidad</w:t>
            </w:r>
          </w:p>
        </w:tc>
        <w:tc>
          <w:tcPr>
            <w:tcW w:w="3685" w:type="dxa"/>
            <w:tcBorders>
              <w:top w:val="nil"/>
              <w:left w:val="nil"/>
              <w:bottom w:val="single" w:sz="8" w:space="0" w:color="auto"/>
              <w:right w:val="single" w:sz="8" w:space="0" w:color="auto"/>
            </w:tcBorders>
            <w:vAlign w:val="bottom"/>
          </w:tcPr>
          <w:p w14:paraId="4D2A1E26" w14:textId="77777777"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FIT-471</w:t>
            </w:r>
          </w:p>
        </w:tc>
      </w:tr>
      <w:tr w:rsidR="00652601" w:rsidRPr="007923C2" w14:paraId="0E774E18"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43A162C2" w14:textId="77777777"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Fisiotecnia de cultivos hortícolas</w:t>
            </w:r>
          </w:p>
        </w:tc>
        <w:tc>
          <w:tcPr>
            <w:tcW w:w="3685" w:type="dxa"/>
            <w:tcBorders>
              <w:top w:val="nil"/>
              <w:left w:val="nil"/>
              <w:bottom w:val="single" w:sz="8" w:space="0" w:color="auto"/>
              <w:right w:val="single" w:sz="8" w:space="0" w:color="auto"/>
            </w:tcBorders>
            <w:vAlign w:val="bottom"/>
          </w:tcPr>
          <w:p w14:paraId="21567FF3" w14:textId="77777777"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HOR-421</w:t>
            </w:r>
          </w:p>
        </w:tc>
      </w:tr>
      <w:tr w:rsidR="00652601" w:rsidRPr="007923C2" w14:paraId="7F3B0B75"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11FBA6C5" w14:textId="77777777"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Introducción a la Biotecnología Molecular</w:t>
            </w:r>
          </w:p>
        </w:tc>
        <w:tc>
          <w:tcPr>
            <w:tcW w:w="3685" w:type="dxa"/>
            <w:tcBorders>
              <w:top w:val="nil"/>
              <w:left w:val="nil"/>
              <w:bottom w:val="single" w:sz="8" w:space="0" w:color="auto"/>
              <w:right w:val="single" w:sz="8" w:space="0" w:color="auto"/>
            </w:tcBorders>
            <w:vAlign w:val="bottom"/>
          </w:tcPr>
          <w:p w14:paraId="7E3981F2" w14:textId="77777777"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PAR-478</w:t>
            </w:r>
          </w:p>
        </w:tc>
      </w:tr>
      <w:tr w:rsidR="00652601" w:rsidRPr="007923C2" w14:paraId="5B577A3D"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17339319" w14:textId="77777777"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Sensores Remotos</w:t>
            </w:r>
          </w:p>
        </w:tc>
        <w:tc>
          <w:tcPr>
            <w:tcW w:w="3685" w:type="dxa"/>
            <w:tcBorders>
              <w:top w:val="nil"/>
              <w:left w:val="nil"/>
              <w:bottom w:val="single" w:sz="8" w:space="0" w:color="auto"/>
              <w:right w:val="single" w:sz="8" w:space="0" w:color="auto"/>
            </w:tcBorders>
            <w:vAlign w:val="bottom"/>
          </w:tcPr>
          <w:p w14:paraId="309EE8D8" w14:textId="77777777"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FOR-433</w:t>
            </w:r>
          </w:p>
        </w:tc>
      </w:tr>
      <w:tr w:rsidR="00652601" w:rsidRPr="007923C2" w14:paraId="651814B8"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45F952D9" w14:textId="77777777"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lastRenderedPageBreak/>
              <w:t xml:space="preserve"> Manejo de Áreas Naturales Protegidas</w:t>
            </w:r>
          </w:p>
        </w:tc>
        <w:tc>
          <w:tcPr>
            <w:tcW w:w="3685" w:type="dxa"/>
            <w:tcBorders>
              <w:top w:val="nil"/>
              <w:left w:val="nil"/>
              <w:bottom w:val="single" w:sz="8" w:space="0" w:color="auto"/>
              <w:right w:val="single" w:sz="8" w:space="0" w:color="auto"/>
            </w:tcBorders>
            <w:vAlign w:val="bottom"/>
          </w:tcPr>
          <w:p w14:paraId="08EC1CC3" w14:textId="77777777"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FOR-475</w:t>
            </w:r>
          </w:p>
        </w:tc>
      </w:tr>
      <w:tr w:rsidR="00652601" w:rsidRPr="007923C2" w14:paraId="5B18F373"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67DFB34E" w14:textId="77777777"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Organización Cinegética</w:t>
            </w:r>
          </w:p>
        </w:tc>
        <w:tc>
          <w:tcPr>
            <w:tcW w:w="3685" w:type="dxa"/>
            <w:tcBorders>
              <w:top w:val="nil"/>
              <w:left w:val="nil"/>
              <w:bottom w:val="single" w:sz="8" w:space="0" w:color="auto"/>
              <w:right w:val="single" w:sz="8" w:space="0" w:color="auto"/>
            </w:tcBorders>
            <w:vAlign w:val="bottom"/>
          </w:tcPr>
          <w:p w14:paraId="0BEE96B9" w14:textId="77777777"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RNR-433</w:t>
            </w:r>
          </w:p>
        </w:tc>
      </w:tr>
      <w:tr w:rsidR="00652601" w:rsidRPr="007923C2" w14:paraId="392030BE"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67405E1D" w14:textId="77777777"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Olericultura</w:t>
            </w:r>
          </w:p>
        </w:tc>
        <w:tc>
          <w:tcPr>
            <w:tcW w:w="3685" w:type="dxa"/>
            <w:tcBorders>
              <w:top w:val="nil"/>
              <w:left w:val="nil"/>
              <w:bottom w:val="single" w:sz="8" w:space="0" w:color="auto"/>
              <w:right w:val="single" w:sz="8" w:space="0" w:color="auto"/>
            </w:tcBorders>
            <w:vAlign w:val="bottom"/>
          </w:tcPr>
          <w:p w14:paraId="2B67687C" w14:textId="77777777"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HOR-443</w:t>
            </w:r>
          </w:p>
        </w:tc>
      </w:tr>
      <w:tr w:rsidR="00652601" w:rsidRPr="007923C2" w14:paraId="7156F567"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22FABEBE" w14:textId="77777777"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Producción de Cultivos Básicos</w:t>
            </w:r>
          </w:p>
        </w:tc>
        <w:tc>
          <w:tcPr>
            <w:tcW w:w="3685" w:type="dxa"/>
            <w:tcBorders>
              <w:top w:val="nil"/>
              <w:left w:val="nil"/>
              <w:bottom w:val="single" w:sz="8" w:space="0" w:color="auto"/>
              <w:right w:val="single" w:sz="8" w:space="0" w:color="auto"/>
            </w:tcBorders>
            <w:vAlign w:val="bottom"/>
          </w:tcPr>
          <w:p w14:paraId="08745113" w14:textId="77777777"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w:t>
            </w:r>
            <w:r w:rsidR="008D4ADD" w:rsidRPr="007923C2">
              <w:rPr>
                <w:rFonts w:ascii="Arial" w:hAnsi="Arial" w:cs="Arial"/>
                <w:sz w:val="22"/>
                <w:szCs w:val="22"/>
              </w:rPr>
              <w:t>450</w:t>
            </w:r>
          </w:p>
        </w:tc>
      </w:tr>
      <w:tr w:rsidR="00652601" w:rsidRPr="007923C2" w14:paraId="67DD279E"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301176C4" w14:textId="77777777" w:rsidR="00652601" w:rsidRPr="007923C2" w:rsidRDefault="008D4ADD"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Biotecnología Ambiental</w:t>
            </w:r>
          </w:p>
        </w:tc>
        <w:tc>
          <w:tcPr>
            <w:tcW w:w="3685" w:type="dxa"/>
            <w:tcBorders>
              <w:top w:val="nil"/>
              <w:left w:val="nil"/>
              <w:bottom w:val="single" w:sz="8" w:space="0" w:color="auto"/>
              <w:right w:val="single" w:sz="8" w:space="0" w:color="auto"/>
            </w:tcBorders>
            <w:vAlign w:val="bottom"/>
          </w:tcPr>
          <w:p w14:paraId="29060AE8" w14:textId="77777777" w:rsidR="00652601" w:rsidRPr="007923C2" w:rsidRDefault="008D4ADD"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BOT-481</w:t>
            </w:r>
          </w:p>
        </w:tc>
      </w:tr>
      <w:tr w:rsidR="00652601" w:rsidRPr="007923C2" w14:paraId="4EAA41E7"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2A45C13A" w14:textId="77777777" w:rsidR="00652601" w:rsidRPr="007923C2" w:rsidRDefault="008D4ADD"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Ecología de Áreas Naturales Protegidas.</w:t>
            </w:r>
          </w:p>
        </w:tc>
        <w:tc>
          <w:tcPr>
            <w:tcW w:w="3685" w:type="dxa"/>
            <w:tcBorders>
              <w:top w:val="nil"/>
              <w:left w:val="nil"/>
              <w:bottom w:val="single" w:sz="8" w:space="0" w:color="auto"/>
              <w:right w:val="single" w:sz="8" w:space="0" w:color="auto"/>
            </w:tcBorders>
            <w:vAlign w:val="bottom"/>
          </w:tcPr>
          <w:p w14:paraId="511285F7" w14:textId="77777777" w:rsidR="00652601" w:rsidRPr="007923C2" w:rsidRDefault="008D4ADD"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BOT-456</w:t>
            </w:r>
          </w:p>
        </w:tc>
      </w:tr>
      <w:tr w:rsidR="00652601" w:rsidRPr="007923C2" w14:paraId="612108D7"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74AF0758" w14:textId="77777777" w:rsidR="00652601" w:rsidRPr="007923C2" w:rsidRDefault="008D4ADD"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Principios de Producción</w:t>
            </w:r>
          </w:p>
        </w:tc>
        <w:tc>
          <w:tcPr>
            <w:tcW w:w="3685" w:type="dxa"/>
            <w:tcBorders>
              <w:top w:val="nil"/>
              <w:left w:val="nil"/>
              <w:bottom w:val="single" w:sz="8" w:space="0" w:color="auto"/>
              <w:right w:val="single" w:sz="8" w:space="0" w:color="auto"/>
            </w:tcBorders>
            <w:vAlign w:val="bottom"/>
          </w:tcPr>
          <w:p w14:paraId="79B99F4B" w14:textId="77777777" w:rsidR="00652601" w:rsidRPr="007923C2" w:rsidRDefault="008D4ADD"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FIT-423</w:t>
            </w:r>
          </w:p>
        </w:tc>
      </w:tr>
      <w:tr w:rsidR="00652601" w:rsidRPr="007923C2" w14:paraId="39C5F05C" w14:textId="77777777" w:rsidTr="0058745E">
        <w:trPr>
          <w:trHeight w:val="488"/>
        </w:trPr>
        <w:tc>
          <w:tcPr>
            <w:tcW w:w="5509" w:type="dxa"/>
            <w:tcBorders>
              <w:top w:val="nil"/>
              <w:left w:val="single" w:sz="8" w:space="0" w:color="auto"/>
              <w:bottom w:val="single" w:sz="8" w:space="0" w:color="auto"/>
              <w:right w:val="single" w:sz="8" w:space="0" w:color="auto"/>
            </w:tcBorders>
            <w:vAlign w:val="bottom"/>
          </w:tcPr>
          <w:p w14:paraId="4B5CFF0A" w14:textId="77777777" w:rsidR="00652601" w:rsidRPr="007923C2" w:rsidRDefault="008D4ADD"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Cultivos en invernaderos rústicos</w:t>
            </w:r>
          </w:p>
          <w:p w14:paraId="49B101CB" w14:textId="77777777" w:rsidR="008D4ADD" w:rsidRPr="007923C2" w:rsidRDefault="008D4ADD" w:rsidP="008D4ADD">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Agrofísica I</w:t>
            </w:r>
          </w:p>
        </w:tc>
        <w:tc>
          <w:tcPr>
            <w:tcW w:w="3685" w:type="dxa"/>
            <w:tcBorders>
              <w:top w:val="nil"/>
              <w:left w:val="nil"/>
              <w:bottom w:val="single" w:sz="8" w:space="0" w:color="auto"/>
              <w:right w:val="single" w:sz="8" w:space="0" w:color="auto"/>
            </w:tcBorders>
            <w:vAlign w:val="bottom"/>
          </w:tcPr>
          <w:p w14:paraId="269E9673" w14:textId="77777777" w:rsidR="00652601" w:rsidRPr="007923C2" w:rsidRDefault="008D4ADD"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BOT-435</w:t>
            </w:r>
          </w:p>
          <w:p w14:paraId="2CFE7B1E" w14:textId="77777777" w:rsidR="008D4ADD" w:rsidRPr="007923C2" w:rsidRDefault="008D4ADD"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AGF-403</w:t>
            </w:r>
          </w:p>
        </w:tc>
      </w:tr>
    </w:tbl>
    <w:p w14:paraId="79A2D7AE" w14:textId="77777777" w:rsidR="00802831" w:rsidRPr="007923C2" w:rsidRDefault="00802831" w:rsidP="00802831">
      <w:pPr>
        <w:widowControl w:val="0"/>
        <w:autoSpaceDE w:val="0"/>
        <w:autoSpaceDN w:val="0"/>
        <w:adjustRightInd w:val="0"/>
        <w:spacing w:after="0" w:line="200" w:lineRule="exact"/>
        <w:rPr>
          <w:rFonts w:ascii="Arial" w:hAnsi="Arial" w:cs="Arial"/>
          <w:sz w:val="22"/>
          <w:szCs w:val="22"/>
        </w:rPr>
      </w:pPr>
    </w:p>
    <w:p w14:paraId="77391B61" w14:textId="77777777" w:rsidR="00802831" w:rsidRPr="007923C2" w:rsidRDefault="00802831" w:rsidP="00802831">
      <w:pPr>
        <w:widowControl w:val="0"/>
        <w:autoSpaceDE w:val="0"/>
        <w:autoSpaceDN w:val="0"/>
        <w:adjustRightInd w:val="0"/>
        <w:spacing w:after="0" w:line="200" w:lineRule="exact"/>
        <w:rPr>
          <w:rFonts w:ascii="Arial" w:hAnsi="Arial" w:cs="Arial"/>
          <w:sz w:val="22"/>
          <w:szCs w:val="22"/>
        </w:rPr>
      </w:pPr>
    </w:p>
    <w:p w14:paraId="64DC4B1A" w14:textId="77777777" w:rsidR="00802831" w:rsidRPr="007923C2" w:rsidRDefault="00802831" w:rsidP="00802831">
      <w:pPr>
        <w:widowControl w:val="0"/>
        <w:autoSpaceDE w:val="0"/>
        <w:autoSpaceDN w:val="0"/>
        <w:adjustRightInd w:val="0"/>
        <w:spacing w:after="0" w:line="200" w:lineRule="exact"/>
        <w:rPr>
          <w:rFonts w:ascii="Arial" w:hAnsi="Arial" w:cs="Arial"/>
          <w:sz w:val="22"/>
          <w:szCs w:val="22"/>
        </w:rPr>
      </w:pPr>
    </w:p>
    <w:p w14:paraId="723A0FD1" w14:textId="77777777" w:rsidR="00864EBA" w:rsidRPr="007923C2" w:rsidRDefault="003A485A"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DEPARTAMENTOS QUE PARTICIPAN EN LA CARRERA DE INGENIERO EN AGROBIOLOGÍA</w:t>
      </w:r>
    </w:p>
    <w:p w14:paraId="387DA9EE" w14:textId="77777777" w:rsidR="0053461A" w:rsidRPr="007923C2" w:rsidRDefault="0053461A" w:rsidP="005E47E4">
      <w:pPr>
        <w:widowControl w:val="0"/>
        <w:autoSpaceDE w:val="0"/>
        <w:autoSpaceDN w:val="0"/>
        <w:adjustRightInd w:val="0"/>
        <w:jc w:val="both"/>
        <w:rPr>
          <w:rFonts w:ascii="Arial" w:hAnsi="Arial" w:cs="Arial"/>
          <w:b/>
          <w:sz w:val="22"/>
          <w:szCs w:val="22"/>
        </w:rPr>
      </w:pPr>
    </w:p>
    <w:tbl>
      <w:tblPr>
        <w:tblStyle w:val="Tablaconcuadrcula"/>
        <w:tblW w:w="0" w:type="auto"/>
        <w:jc w:val="center"/>
        <w:tblLook w:val="04A0" w:firstRow="1" w:lastRow="0" w:firstColumn="1" w:lastColumn="0" w:noHBand="0" w:noVBand="1"/>
      </w:tblPr>
      <w:tblGrid>
        <w:gridCol w:w="1795"/>
        <w:gridCol w:w="1961"/>
        <w:gridCol w:w="1630"/>
        <w:gridCol w:w="1796"/>
        <w:gridCol w:w="1796"/>
      </w:tblGrid>
      <w:tr w:rsidR="00576B26" w:rsidRPr="007923C2" w14:paraId="0FFEA067" w14:textId="77777777" w:rsidTr="00BA0B24">
        <w:trPr>
          <w:jc w:val="center"/>
        </w:trPr>
        <w:tc>
          <w:tcPr>
            <w:tcW w:w="1795" w:type="dxa"/>
          </w:tcPr>
          <w:p w14:paraId="47ECE39B" w14:textId="77777777" w:rsidR="00576B26" w:rsidRPr="007923C2" w:rsidRDefault="00576B26" w:rsidP="00BA0B24">
            <w:pPr>
              <w:jc w:val="center"/>
              <w:rPr>
                <w:rFonts w:ascii="Arial" w:hAnsi="Arial" w:cs="Arial"/>
                <w:b/>
                <w:sz w:val="22"/>
                <w:szCs w:val="22"/>
              </w:rPr>
            </w:pPr>
            <w:r w:rsidRPr="007923C2">
              <w:rPr>
                <w:rFonts w:ascii="Arial" w:hAnsi="Arial" w:cs="Arial"/>
                <w:b/>
                <w:sz w:val="22"/>
                <w:szCs w:val="22"/>
              </w:rPr>
              <w:t>DEPTOS</w:t>
            </w:r>
          </w:p>
        </w:tc>
        <w:tc>
          <w:tcPr>
            <w:tcW w:w="1961" w:type="dxa"/>
          </w:tcPr>
          <w:p w14:paraId="65E48A79" w14:textId="77777777" w:rsidR="00576B26" w:rsidRPr="007923C2" w:rsidRDefault="00576B26" w:rsidP="00BA0B24">
            <w:pPr>
              <w:jc w:val="center"/>
              <w:rPr>
                <w:rFonts w:ascii="Arial" w:hAnsi="Arial" w:cs="Arial"/>
                <w:b/>
                <w:sz w:val="22"/>
                <w:szCs w:val="22"/>
              </w:rPr>
            </w:pPr>
            <w:r w:rsidRPr="007923C2">
              <w:rPr>
                <w:rFonts w:ascii="Arial" w:hAnsi="Arial" w:cs="Arial"/>
                <w:b/>
                <w:sz w:val="22"/>
                <w:szCs w:val="22"/>
              </w:rPr>
              <w:t>Mat. Obligatorias</w:t>
            </w:r>
          </w:p>
        </w:tc>
        <w:tc>
          <w:tcPr>
            <w:tcW w:w="1630" w:type="dxa"/>
          </w:tcPr>
          <w:p w14:paraId="0BA123A5" w14:textId="77777777" w:rsidR="00576B26" w:rsidRPr="007923C2" w:rsidRDefault="00576B26" w:rsidP="00BA0B24">
            <w:pPr>
              <w:jc w:val="center"/>
              <w:rPr>
                <w:rFonts w:ascii="Arial" w:hAnsi="Arial" w:cs="Arial"/>
                <w:b/>
                <w:sz w:val="22"/>
                <w:szCs w:val="22"/>
              </w:rPr>
            </w:pPr>
            <w:r w:rsidRPr="007923C2">
              <w:rPr>
                <w:rFonts w:ascii="Arial" w:hAnsi="Arial" w:cs="Arial"/>
                <w:b/>
                <w:sz w:val="22"/>
                <w:szCs w:val="22"/>
              </w:rPr>
              <w:t>Mat. Optativas</w:t>
            </w:r>
          </w:p>
        </w:tc>
        <w:tc>
          <w:tcPr>
            <w:tcW w:w="1796" w:type="dxa"/>
          </w:tcPr>
          <w:p w14:paraId="3FE122B2" w14:textId="77777777" w:rsidR="00576B26" w:rsidRPr="007923C2" w:rsidRDefault="00576B26" w:rsidP="00BA0B24">
            <w:pPr>
              <w:jc w:val="center"/>
              <w:rPr>
                <w:rFonts w:ascii="Arial" w:hAnsi="Arial" w:cs="Arial"/>
                <w:b/>
                <w:sz w:val="22"/>
                <w:szCs w:val="22"/>
              </w:rPr>
            </w:pPr>
            <w:r w:rsidRPr="007923C2">
              <w:rPr>
                <w:rFonts w:ascii="Arial" w:hAnsi="Arial" w:cs="Arial"/>
                <w:b/>
                <w:sz w:val="22"/>
                <w:szCs w:val="22"/>
              </w:rPr>
              <w:t>% Obligatorias</w:t>
            </w:r>
          </w:p>
        </w:tc>
        <w:tc>
          <w:tcPr>
            <w:tcW w:w="1796" w:type="dxa"/>
          </w:tcPr>
          <w:p w14:paraId="3AFCD185" w14:textId="77777777" w:rsidR="00576B26" w:rsidRPr="007923C2" w:rsidRDefault="00576B26" w:rsidP="00BA0B24">
            <w:pPr>
              <w:jc w:val="center"/>
              <w:rPr>
                <w:rFonts w:ascii="Arial" w:hAnsi="Arial" w:cs="Arial"/>
                <w:b/>
                <w:sz w:val="22"/>
                <w:szCs w:val="22"/>
              </w:rPr>
            </w:pPr>
            <w:r w:rsidRPr="007923C2">
              <w:rPr>
                <w:rFonts w:ascii="Arial" w:hAnsi="Arial" w:cs="Arial"/>
                <w:b/>
                <w:sz w:val="22"/>
                <w:szCs w:val="22"/>
              </w:rPr>
              <w:t>% Optativas</w:t>
            </w:r>
          </w:p>
        </w:tc>
      </w:tr>
      <w:tr w:rsidR="00576B26" w:rsidRPr="007923C2" w14:paraId="7F374E70" w14:textId="77777777" w:rsidTr="00BA0B24">
        <w:trPr>
          <w:jc w:val="center"/>
        </w:trPr>
        <w:tc>
          <w:tcPr>
            <w:tcW w:w="1795" w:type="dxa"/>
          </w:tcPr>
          <w:p w14:paraId="365C5507"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ADM</w:t>
            </w:r>
          </w:p>
        </w:tc>
        <w:tc>
          <w:tcPr>
            <w:tcW w:w="1961" w:type="dxa"/>
          </w:tcPr>
          <w:p w14:paraId="0F36BD92"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630" w:type="dxa"/>
          </w:tcPr>
          <w:p w14:paraId="42133D37"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14:paraId="77204324"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4.34</w:t>
            </w:r>
          </w:p>
        </w:tc>
        <w:tc>
          <w:tcPr>
            <w:tcW w:w="1796" w:type="dxa"/>
          </w:tcPr>
          <w:p w14:paraId="2BBCA5F4"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14:paraId="755E2C53" w14:textId="77777777" w:rsidTr="00BA0B24">
        <w:trPr>
          <w:jc w:val="center"/>
        </w:trPr>
        <w:tc>
          <w:tcPr>
            <w:tcW w:w="1795" w:type="dxa"/>
          </w:tcPr>
          <w:p w14:paraId="07C925DD"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AGF</w:t>
            </w:r>
          </w:p>
        </w:tc>
        <w:tc>
          <w:tcPr>
            <w:tcW w:w="1961" w:type="dxa"/>
          </w:tcPr>
          <w:p w14:paraId="4ABE3679"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14:paraId="7E3C99B8"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14:paraId="75E218E8"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14:paraId="7DE2803A"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14:paraId="1F1A4851" w14:textId="77777777" w:rsidTr="00BA0B24">
        <w:trPr>
          <w:jc w:val="center"/>
        </w:trPr>
        <w:tc>
          <w:tcPr>
            <w:tcW w:w="1795" w:type="dxa"/>
          </w:tcPr>
          <w:p w14:paraId="38D764B6"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AGM</w:t>
            </w:r>
          </w:p>
        </w:tc>
        <w:tc>
          <w:tcPr>
            <w:tcW w:w="1961" w:type="dxa"/>
          </w:tcPr>
          <w:p w14:paraId="3A3F7DFF"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14:paraId="30D17E59"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14:paraId="6FE8E695"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14:paraId="54E2E28E"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14:paraId="733D8074" w14:textId="77777777" w:rsidTr="00BA0B24">
        <w:trPr>
          <w:jc w:val="center"/>
        </w:trPr>
        <w:tc>
          <w:tcPr>
            <w:tcW w:w="1795" w:type="dxa"/>
          </w:tcPr>
          <w:p w14:paraId="4E550006"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BOT</w:t>
            </w:r>
          </w:p>
        </w:tc>
        <w:tc>
          <w:tcPr>
            <w:tcW w:w="1961" w:type="dxa"/>
          </w:tcPr>
          <w:p w14:paraId="2DEED3A7"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22</w:t>
            </w:r>
          </w:p>
        </w:tc>
        <w:tc>
          <w:tcPr>
            <w:tcW w:w="1630" w:type="dxa"/>
          </w:tcPr>
          <w:p w14:paraId="3E3A6F9B"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14</w:t>
            </w:r>
          </w:p>
        </w:tc>
        <w:tc>
          <w:tcPr>
            <w:tcW w:w="1796" w:type="dxa"/>
          </w:tcPr>
          <w:p w14:paraId="62D86127"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47.8</w:t>
            </w:r>
          </w:p>
        </w:tc>
        <w:tc>
          <w:tcPr>
            <w:tcW w:w="1796" w:type="dxa"/>
          </w:tcPr>
          <w:p w14:paraId="2213F8D3"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34.10</w:t>
            </w:r>
          </w:p>
        </w:tc>
      </w:tr>
      <w:tr w:rsidR="00576B26" w:rsidRPr="007923C2" w14:paraId="085CC35F" w14:textId="77777777" w:rsidTr="00BA0B24">
        <w:trPr>
          <w:jc w:val="center"/>
        </w:trPr>
        <w:tc>
          <w:tcPr>
            <w:tcW w:w="1795" w:type="dxa"/>
          </w:tcPr>
          <w:p w14:paraId="1975DF20"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CSB</w:t>
            </w:r>
          </w:p>
        </w:tc>
        <w:tc>
          <w:tcPr>
            <w:tcW w:w="1961" w:type="dxa"/>
          </w:tcPr>
          <w:p w14:paraId="59FD8133"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630" w:type="dxa"/>
          </w:tcPr>
          <w:p w14:paraId="6D5272AB"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796" w:type="dxa"/>
          </w:tcPr>
          <w:p w14:paraId="0F05EE9A"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4.34</w:t>
            </w:r>
          </w:p>
        </w:tc>
        <w:tc>
          <w:tcPr>
            <w:tcW w:w="1796" w:type="dxa"/>
          </w:tcPr>
          <w:p w14:paraId="719F53BF"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2.40</w:t>
            </w:r>
          </w:p>
        </w:tc>
      </w:tr>
      <w:tr w:rsidR="00576B26" w:rsidRPr="007923C2" w14:paraId="207A403E" w14:textId="77777777" w:rsidTr="00BA0B24">
        <w:trPr>
          <w:jc w:val="center"/>
        </w:trPr>
        <w:tc>
          <w:tcPr>
            <w:tcW w:w="1795" w:type="dxa"/>
          </w:tcPr>
          <w:p w14:paraId="69BFC616"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DEC</w:t>
            </w:r>
          </w:p>
        </w:tc>
        <w:tc>
          <w:tcPr>
            <w:tcW w:w="1961" w:type="dxa"/>
          </w:tcPr>
          <w:p w14:paraId="7D1F2B21"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4</w:t>
            </w:r>
          </w:p>
        </w:tc>
        <w:tc>
          <w:tcPr>
            <w:tcW w:w="1630" w:type="dxa"/>
          </w:tcPr>
          <w:p w14:paraId="2FC69BD5"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14:paraId="7155042E"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8.69</w:t>
            </w:r>
          </w:p>
        </w:tc>
        <w:tc>
          <w:tcPr>
            <w:tcW w:w="1796" w:type="dxa"/>
          </w:tcPr>
          <w:p w14:paraId="658E55B0"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14:paraId="6F6BA2E8" w14:textId="77777777" w:rsidTr="00BA0B24">
        <w:trPr>
          <w:jc w:val="center"/>
        </w:trPr>
        <w:tc>
          <w:tcPr>
            <w:tcW w:w="1795" w:type="dxa"/>
          </w:tcPr>
          <w:p w14:paraId="0CFF554E"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ECA</w:t>
            </w:r>
          </w:p>
        </w:tc>
        <w:tc>
          <w:tcPr>
            <w:tcW w:w="1961" w:type="dxa"/>
          </w:tcPr>
          <w:p w14:paraId="3A784F74"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14:paraId="348CDEDF"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796" w:type="dxa"/>
          </w:tcPr>
          <w:p w14:paraId="1B4EE0AA"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4.34</w:t>
            </w:r>
          </w:p>
        </w:tc>
        <w:tc>
          <w:tcPr>
            <w:tcW w:w="1796" w:type="dxa"/>
          </w:tcPr>
          <w:p w14:paraId="3C0D9075"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2.40</w:t>
            </w:r>
          </w:p>
        </w:tc>
      </w:tr>
      <w:tr w:rsidR="00576B26" w:rsidRPr="007923C2" w14:paraId="4B445305" w14:textId="77777777" w:rsidTr="00BA0B24">
        <w:trPr>
          <w:jc w:val="center"/>
        </w:trPr>
        <w:tc>
          <w:tcPr>
            <w:tcW w:w="1795" w:type="dxa"/>
          </w:tcPr>
          <w:p w14:paraId="0F558649"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FIT</w:t>
            </w:r>
          </w:p>
        </w:tc>
        <w:tc>
          <w:tcPr>
            <w:tcW w:w="1961" w:type="dxa"/>
          </w:tcPr>
          <w:p w14:paraId="5F0D567D"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630" w:type="dxa"/>
          </w:tcPr>
          <w:p w14:paraId="1DBBED8D"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10</w:t>
            </w:r>
          </w:p>
        </w:tc>
        <w:tc>
          <w:tcPr>
            <w:tcW w:w="1796" w:type="dxa"/>
          </w:tcPr>
          <w:p w14:paraId="4D950287"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4.34</w:t>
            </w:r>
          </w:p>
        </w:tc>
        <w:tc>
          <w:tcPr>
            <w:tcW w:w="1796" w:type="dxa"/>
          </w:tcPr>
          <w:p w14:paraId="688ED9BF"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24.30</w:t>
            </w:r>
          </w:p>
        </w:tc>
      </w:tr>
      <w:tr w:rsidR="00576B26" w:rsidRPr="007923C2" w14:paraId="265FD5CC" w14:textId="77777777" w:rsidTr="00BA0B24">
        <w:trPr>
          <w:jc w:val="center"/>
        </w:trPr>
        <w:tc>
          <w:tcPr>
            <w:tcW w:w="1795" w:type="dxa"/>
          </w:tcPr>
          <w:p w14:paraId="1731D078"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FOR</w:t>
            </w:r>
          </w:p>
        </w:tc>
        <w:tc>
          <w:tcPr>
            <w:tcW w:w="1961" w:type="dxa"/>
          </w:tcPr>
          <w:p w14:paraId="6D17436A"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630" w:type="dxa"/>
          </w:tcPr>
          <w:p w14:paraId="30821FB6"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6</w:t>
            </w:r>
          </w:p>
        </w:tc>
        <w:tc>
          <w:tcPr>
            <w:tcW w:w="1796" w:type="dxa"/>
          </w:tcPr>
          <w:p w14:paraId="0B0759AB"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c>
          <w:tcPr>
            <w:tcW w:w="1796" w:type="dxa"/>
          </w:tcPr>
          <w:p w14:paraId="3407B2B7"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14.60</w:t>
            </w:r>
          </w:p>
        </w:tc>
      </w:tr>
      <w:tr w:rsidR="00576B26" w:rsidRPr="007923C2" w14:paraId="5E5C6993" w14:textId="77777777" w:rsidTr="00BA0B24">
        <w:trPr>
          <w:jc w:val="center"/>
        </w:trPr>
        <w:tc>
          <w:tcPr>
            <w:tcW w:w="1795" w:type="dxa"/>
          </w:tcPr>
          <w:p w14:paraId="4599B93E"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PAR</w:t>
            </w:r>
          </w:p>
        </w:tc>
        <w:tc>
          <w:tcPr>
            <w:tcW w:w="1961" w:type="dxa"/>
          </w:tcPr>
          <w:p w14:paraId="356459F6"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630" w:type="dxa"/>
          </w:tcPr>
          <w:p w14:paraId="65DC156C"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5</w:t>
            </w:r>
          </w:p>
        </w:tc>
        <w:tc>
          <w:tcPr>
            <w:tcW w:w="1796" w:type="dxa"/>
          </w:tcPr>
          <w:p w14:paraId="472EAF05"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4.34</w:t>
            </w:r>
          </w:p>
        </w:tc>
        <w:tc>
          <w:tcPr>
            <w:tcW w:w="1796" w:type="dxa"/>
          </w:tcPr>
          <w:p w14:paraId="64FD2409"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12.00</w:t>
            </w:r>
          </w:p>
        </w:tc>
      </w:tr>
      <w:tr w:rsidR="00576B26" w:rsidRPr="007923C2" w14:paraId="47720108" w14:textId="77777777" w:rsidTr="00BA0B24">
        <w:trPr>
          <w:jc w:val="center"/>
        </w:trPr>
        <w:tc>
          <w:tcPr>
            <w:tcW w:w="1795" w:type="dxa"/>
          </w:tcPr>
          <w:p w14:paraId="1A4B135B"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RNR</w:t>
            </w:r>
          </w:p>
        </w:tc>
        <w:tc>
          <w:tcPr>
            <w:tcW w:w="1961" w:type="dxa"/>
          </w:tcPr>
          <w:p w14:paraId="4D325390"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14:paraId="1EBC9C6C"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796" w:type="dxa"/>
          </w:tcPr>
          <w:p w14:paraId="44C99E4C"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14:paraId="05CA92E5"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4.80</w:t>
            </w:r>
          </w:p>
        </w:tc>
      </w:tr>
      <w:tr w:rsidR="00576B26" w:rsidRPr="007923C2" w14:paraId="37441B0A" w14:textId="77777777" w:rsidTr="00BA0B24">
        <w:trPr>
          <w:jc w:val="center"/>
        </w:trPr>
        <w:tc>
          <w:tcPr>
            <w:tcW w:w="1795" w:type="dxa"/>
          </w:tcPr>
          <w:p w14:paraId="7B9E5F54"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RYD</w:t>
            </w:r>
          </w:p>
        </w:tc>
        <w:tc>
          <w:tcPr>
            <w:tcW w:w="1961" w:type="dxa"/>
          </w:tcPr>
          <w:p w14:paraId="05BC080A"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14:paraId="198D181D"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14:paraId="54E2D804"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14:paraId="1D85F63C"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14:paraId="10F93E56" w14:textId="77777777" w:rsidTr="00BA0B24">
        <w:trPr>
          <w:jc w:val="center"/>
        </w:trPr>
        <w:tc>
          <w:tcPr>
            <w:tcW w:w="1795" w:type="dxa"/>
          </w:tcPr>
          <w:p w14:paraId="4ACE0DCC"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SOC</w:t>
            </w:r>
          </w:p>
        </w:tc>
        <w:tc>
          <w:tcPr>
            <w:tcW w:w="1961" w:type="dxa"/>
          </w:tcPr>
          <w:p w14:paraId="5DF429AB"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14:paraId="7AEF67CC"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14:paraId="4D6E05C7"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14:paraId="10E08920"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14:paraId="6FC402E4" w14:textId="77777777" w:rsidTr="00BA0B24">
        <w:trPr>
          <w:jc w:val="center"/>
        </w:trPr>
        <w:tc>
          <w:tcPr>
            <w:tcW w:w="1795" w:type="dxa"/>
          </w:tcPr>
          <w:p w14:paraId="44D91513"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SUE</w:t>
            </w:r>
          </w:p>
        </w:tc>
        <w:tc>
          <w:tcPr>
            <w:tcW w:w="1961" w:type="dxa"/>
          </w:tcPr>
          <w:p w14:paraId="570A5DB5"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3</w:t>
            </w:r>
          </w:p>
        </w:tc>
        <w:tc>
          <w:tcPr>
            <w:tcW w:w="1630" w:type="dxa"/>
          </w:tcPr>
          <w:p w14:paraId="43B9C07F"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3</w:t>
            </w:r>
          </w:p>
        </w:tc>
        <w:tc>
          <w:tcPr>
            <w:tcW w:w="1796" w:type="dxa"/>
          </w:tcPr>
          <w:p w14:paraId="481A9683"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6.50</w:t>
            </w:r>
          </w:p>
        </w:tc>
        <w:tc>
          <w:tcPr>
            <w:tcW w:w="1796" w:type="dxa"/>
          </w:tcPr>
          <w:p w14:paraId="3F0CF948"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7.30</w:t>
            </w:r>
          </w:p>
        </w:tc>
      </w:tr>
      <w:tr w:rsidR="00576B26" w:rsidRPr="007923C2" w14:paraId="290AC69B" w14:textId="77777777" w:rsidTr="00BA0B24">
        <w:trPr>
          <w:jc w:val="center"/>
        </w:trPr>
        <w:tc>
          <w:tcPr>
            <w:tcW w:w="1795" w:type="dxa"/>
          </w:tcPr>
          <w:p w14:paraId="4DAFC676"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UAI</w:t>
            </w:r>
          </w:p>
        </w:tc>
        <w:tc>
          <w:tcPr>
            <w:tcW w:w="1961" w:type="dxa"/>
          </w:tcPr>
          <w:p w14:paraId="6B5D6A6A"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630" w:type="dxa"/>
          </w:tcPr>
          <w:p w14:paraId="79C864A2"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14:paraId="17C98C12"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4.34</w:t>
            </w:r>
          </w:p>
        </w:tc>
        <w:tc>
          <w:tcPr>
            <w:tcW w:w="1796" w:type="dxa"/>
          </w:tcPr>
          <w:p w14:paraId="2A0F53B3"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14:paraId="5B033D96" w14:textId="77777777" w:rsidTr="00BA0B24">
        <w:trPr>
          <w:jc w:val="center"/>
        </w:trPr>
        <w:tc>
          <w:tcPr>
            <w:tcW w:w="1795" w:type="dxa"/>
          </w:tcPr>
          <w:p w14:paraId="1D71F437"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HOR</w:t>
            </w:r>
          </w:p>
        </w:tc>
        <w:tc>
          <w:tcPr>
            <w:tcW w:w="1961" w:type="dxa"/>
          </w:tcPr>
          <w:p w14:paraId="37B29588"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630" w:type="dxa"/>
          </w:tcPr>
          <w:p w14:paraId="591F5B0C"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796" w:type="dxa"/>
          </w:tcPr>
          <w:p w14:paraId="22F4B0A1"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c>
          <w:tcPr>
            <w:tcW w:w="1796" w:type="dxa"/>
          </w:tcPr>
          <w:p w14:paraId="2028DF17"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4.80</w:t>
            </w:r>
          </w:p>
        </w:tc>
      </w:tr>
      <w:tr w:rsidR="00576B26" w:rsidRPr="007923C2" w14:paraId="406BFFD5" w14:textId="77777777" w:rsidTr="00BA0B24">
        <w:trPr>
          <w:jc w:val="center"/>
        </w:trPr>
        <w:tc>
          <w:tcPr>
            <w:tcW w:w="1795" w:type="dxa"/>
          </w:tcPr>
          <w:p w14:paraId="265E813B"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AGF</w:t>
            </w:r>
          </w:p>
        </w:tc>
        <w:tc>
          <w:tcPr>
            <w:tcW w:w="1961" w:type="dxa"/>
          </w:tcPr>
          <w:p w14:paraId="129070D4"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14:paraId="4A4537ED"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14:paraId="5C7F60CE"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14:paraId="1DB19348"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14:paraId="06B67423" w14:textId="77777777" w:rsidTr="00BA0B24">
        <w:trPr>
          <w:jc w:val="center"/>
        </w:trPr>
        <w:tc>
          <w:tcPr>
            <w:tcW w:w="1795" w:type="dxa"/>
          </w:tcPr>
          <w:p w14:paraId="0A425D95"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PRA</w:t>
            </w:r>
          </w:p>
        </w:tc>
        <w:tc>
          <w:tcPr>
            <w:tcW w:w="1961" w:type="dxa"/>
          </w:tcPr>
          <w:p w14:paraId="2F0CD062"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14:paraId="19A2FC5F"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14:paraId="1CB887E7"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14:paraId="6E427604" w14:textId="77777777"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bl>
    <w:p w14:paraId="20921FC9" w14:textId="77777777" w:rsidR="0053461A" w:rsidRPr="007923C2" w:rsidRDefault="0053461A" w:rsidP="005E47E4">
      <w:pPr>
        <w:widowControl w:val="0"/>
        <w:autoSpaceDE w:val="0"/>
        <w:autoSpaceDN w:val="0"/>
        <w:adjustRightInd w:val="0"/>
        <w:jc w:val="both"/>
        <w:rPr>
          <w:rFonts w:ascii="Arial" w:hAnsi="Arial" w:cs="Arial"/>
          <w:b/>
          <w:sz w:val="22"/>
          <w:szCs w:val="22"/>
        </w:rPr>
      </w:pPr>
    </w:p>
    <w:p w14:paraId="20DA16EC" w14:textId="77777777" w:rsidR="0053461A" w:rsidRPr="007923C2" w:rsidRDefault="0053461A"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5.8.2.-INTEGRACIÓN Y CONTINUIDAD</w:t>
      </w:r>
    </w:p>
    <w:p w14:paraId="69AE1859" w14:textId="77777777" w:rsidR="00C17EE3" w:rsidRPr="007923C2" w:rsidRDefault="00032D8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academia del Programa Docente de la carrera de IAB decide hacer una nueva re</w:t>
      </w:r>
      <w:r w:rsidR="005505E8">
        <w:rPr>
          <w:rFonts w:ascii="Arial" w:hAnsi="Arial" w:cs="Arial"/>
          <w:sz w:val="22"/>
          <w:szCs w:val="22"/>
        </w:rPr>
        <w:t>v</w:t>
      </w:r>
      <w:r w:rsidR="001C3290">
        <w:rPr>
          <w:rFonts w:ascii="Arial" w:hAnsi="Arial" w:cs="Arial"/>
          <w:sz w:val="22"/>
          <w:szCs w:val="22"/>
        </w:rPr>
        <w:t>is</w:t>
      </w:r>
      <w:r w:rsidRPr="007923C2">
        <w:rPr>
          <w:rFonts w:ascii="Arial" w:hAnsi="Arial" w:cs="Arial"/>
          <w:sz w:val="22"/>
          <w:szCs w:val="22"/>
        </w:rPr>
        <w:t>ión</w:t>
      </w:r>
      <w:r w:rsidR="00C17EE3" w:rsidRPr="007923C2">
        <w:rPr>
          <w:rFonts w:ascii="Arial" w:hAnsi="Arial" w:cs="Arial"/>
          <w:sz w:val="22"/>
          <w:szCs w:val="22"/>
        </w:rPr>
        <w:t>del Plan de Estudios en el 2015, así también de la situación general del Programa Docente IAB que a partir  de la acreditación no se había hecho una re</w:t>
      </w:r>
      <w:r w:rsidR="001C3290">
        <w:rPr>
          <w:rFonts w:ascii="Arial" w:hAnsi="Arial" w:cs="Arial"/>
          <w:sz w:val="22"/>
          <w:szCs w:val="22"/>
        </w:rPr>
        <w:t>v</w:t>
      </w:r>
      <w:r w:rsidR="00C17EE3" w:rsidRPr="007923C2">
        <w:rPr>
          <w:rFonts w:ascii="Arial" w:hAnsi="Arial" w:cs="Arial"/>
          <w:sz w:val="22"/>
          <w:szCs w:val="22"/>
        </w:rPr>
        <w:t>i</w:t>
      </w:r>
      <w:r w:rsidR="001C3290">
        <w:rPr>
          <w:rFonts w:ascii="Arial" w:hAnsi="Arial" w:cs="Arial"/>
          <w:sz w:val="22"/>
          <w:szCs w:val="22"/>
        </w:rPr>
        <w:t>s</w:t>
      </w:r>
      <w:r w:rsidR="00C17EE3" w:rsidRPr="007923C2">
        <w:rPr>
          <w:rFonts w:ascii="Arial" w:hAnsi="Arial" w:cs="Arial"/>
          <w:sz w:val="22"/>
          <w:szCs w:val="22"/>
        </w:rPr>
        <w:t>ión a fondo.</w:t>
      </w:r>
    </w:p>
    <w:p w14:paraId="56E90C83" w14:textId="77777777" w:rsidR="00C17EE3" w:rsidRPr="007923C2" w:rsidRDefault="00C17EE3"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La UAAAN tiene establecido entre sus objetivos mantener las acreditaciones de las carreras para dar cumplimiento a la mejora continua  de sus Programas Docentes así como a la pertinencia que cumplen.</w:t>
      </w:r>
    </w:p>
    <w:p w14:paraId="4591D2EF" w14:textId="77777777" w:rsidR="00470735" w:rsidRPr="007923C2" w:rsidRDefault="00C17EE3"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Plan de estudios de Ingeniero en Agrobiología 2006 está vigente hasta la fecha y han egresado </w:t>
      </w:r>
      <w:r w:rsidR="001C3290">
        <w:rPr>
          <w:rFonts w:ascii="Arial" w:hAnsi="Arial" w:cs="Arial"/>
          <w:sz w:val="22"/>
          <w:szCs w:val="22"/>
        </w:rPr>
        <w:t>6</w:t>
      </w:r>
      <w:r w:rsidR="00470735" w:rsidRPr="007923C2">
        <w:rPr>
          <w:rFonts w:ascii="Arial" w:hAnsi="Arial" w:cs="Arial"/>
          <w:sz w:val="22"/>
          <w:szCs w:val="22"/>
        </w:rPr>
        <w:t xml:space="preserve"> generaciones con la preparación ofrecida por este plan de estudios.</w:t>
      </w:r>
    </w:p>
    <w:p w14:paraId="0655F065" w14:textId="77777777"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Aunque son pocas las generaciones que han egresado la mejora continua de las carreras debe estar vigente al menos cada 5 años, por lo que se deben realizar constantes análisis de los resultados en base a;</w:t>
      </w:r>
    </w:p>
    <w:p w14:paraId="29F416CE" w14:textId="77777777"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Seguimiento de egresados.</w:t>
      </w:r>
    </w:p>
    <w:p w14:paraId="141B9496" w14:textId="77777777"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Análisis de la pertinencia de la carrera de acuerdo a los requerimientos del país.</w:t>
      </w:r>
    </w:p>
    <w:p w14:paraId="011FF75E" w14:textId="77777777"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Áreas de oportunidad para desempeñarse el egresado.</w:t>
      </w:r>
    </w:p>
    <w:p w14:paraId="42617F74" w14:textId="77777777"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Es por eso que se decide hacer varios cambios en los aspectos esenciales que fundamentan el Plan de Estudios</w:t>
      </w:r>
      <w:r w:rsidR="001C3290">
        <w:rPr>
          <w:rFonts w:ascii="Arial" w:hAnsi="Arial" w:cs="Arial"/>
          <w:sz w:val="22"/>
          <w:szCs w:val="22"/>
        </w:rPr>
        <w:t>basados</w:t>
      </w:r>
      <w:r w:rsidR="00934CF4" w:rsidRPr="007923C2">
        <w:rPr>
          <w:rFonts w:ascii="Arial" w:hAnsi="Arial" w:cs="Arial"/>
          <w:sz w:val="22"/>
          <w:szCs w:val="22"/>
        </w:rPr>
        <w:t xml:space="preserve"> en los estudios anteriores</w:t>
      </w:r>
      <w:r w:rsidRPr="007923C2">
        <w:rPr>
          <w:rFonts w:ascii="Arial" w:hAnsi="Arial" w:cs="Arial"/>
          <w:sz w:val="22"/>
          <w:szCs w:val="22"/>
        </w:rPr>
        <w:t xml:space="preserve"> como</w:t>
      </w:r>
      <w:r w:rsidR="001C3290">
        <w:rPr>
          <w:rFonts w:ascii="Arial" w:hAnsi="Arial" w:cs="Arial"/>
          <w:sz w:val="22"/>
          <w:szCs w:val="22"/>
        </w:rPr>
        <w:t xml:space="preserve"> son</w:t>
      </w:r>
      <w:r w:rsidRPr="007923C2">
        <w:rPr>
          <w:rFonts w:ascii="Arial" w:hAnsi="Arial" w:cs="Arial"/>
          <w:sz w:val="22"/>
          <w:szCs w:val="22"/>
        </w:rPr>
        <w:t>:</w:t>
      </w:r>
    </w:p>
    <w:p w14:paraId="316368B9" w14:textId="77777777"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Misión</w:t>
      </w:r>
    </w:p>
    <w:p w14:paraId="4DB54F82" w14:textId="77777777"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Visión</w:t>
      </w:r>
    </w:p>
    <w:p w14:paraId="3FB800F3" w14:textId="77777777"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Objetivo general</w:t>
      </w:r>
    </w:p>
    <w:p w14:paraId="11093223" w14:textId="77777777"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Perfil profesional</w:t>
      </w:r>
    </w:p>
    <w:p w14:paraId="28D5239C" w14:textId="77777777" w:rsidR="00934CF4" w:rsidRPr="007923C2" w:rsidRDefault="00934CF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concluyó que la carrera IAB sigue siendo pertinente debido a la problemática ambiental que se vive en la actualidad</w:t>
      </w:r>
      <w:r w:rsidR="000039E3">
        <w:rPr>
          <w:rFonts w:ascii="Arial" w:hAnsi="Arial" w:cs="Arial"/>
          <w:sz w:val="22"/>
          <w:szCs w:val="22"/>
        </w:rPr>
        <w:t xml:space="preserve"> y</w:t>
      </w:r>
      <w:r w:rsidRPr="007923C2">
        <w:rPr>
          <w:rFonts w:ascii="Arial" w:hAnsi="Arial" w:cs="Arial"/>
          <w:sz w:val="22"/>
          <w:szCs w:val="22"/>
        </w:rPr>
        <w:t xml:space="preserve"> la crisis en la producción agr</w:t>
      </w:r>
      <w:r w:rsidR="003E0087" w:rsidRPr="007923C2">
        <w:rPr>
          <w:rFonts w:ascii="Arial" w:hAnsi="Arial" w:cs="Arial"/>
          <w:sz w:val="22"/>
          <w:szCs w:val="22"/>
        </w:rPr>
        <w:t>ícola</w:t>
      </w:r>
      <w:r w:rsidRPr="007923C2">
        <w:rPr>
          <w:rFonts w:ascii="Arial" w:hAnsi="Arial" w:cs="Arial"/>
          <w:sz w:val="22"/>
          <w:szCs w:val="22"/>
        </w:rPr>
        <w:t>.</w:t>
      </w:r>
    </w:p>
    <w:p w14:paraId="13C3E8AC" w14:textId="77777777" w:rsidR="00934CF4" w:rsidRPr="007923C2" w:rsidRDefault="00934CF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versatilidad de la carrera permite presentar una amplia gama de áreas en donde el egresado se puede desarrollar como profesionista.</w:t>
      </w:r>
    </w:p>
    <w:p w14:paraId="5DC1CF85" w14:textId="77777777" w:rsidR="003E0087" w:rsidRPr="007923C2" w:rsidRDefault="00934CF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Otro de los requerimientos que se destac</w:t>
      </w:r>
      <w:r w:rsidR="000039E3">
        <w:rPr>
          <w:rFonts w:ascii="Arial" w:hAnsi="Arial" w:cs="Arial"/>
          <w:sz w:val="22"/>
          <w:szCs w:val="22"/>
        </w:rPr>
        <w:t>ó</w:t>
      </w:r>
      <w:r w:rsidRPr="007923C2">
        <w:rPr>
          <w:rFonts w:ascii="Arial" w:hAnsi="Arial" w:cs="Arial"/>
          <w:sz w:val="22"/>
          <w:szCs w:val="22"/>
        </w:rPr>
        <w:t xml:space="preserve"> e</w:t>
      </w:r>
      <w:r w:rsidR="003E0087" w:rsidRPr="007923C2">
        <w:rPr>
          <w:rFonts w:ascii="Arial" w:hAnsi="Arial" w:cs="Arial"/>
          <w:sz w:val="22"/>
          <w:szCs w:val="22"/>
        </w:rPr>
        <w:t>s el dar un poco de mayor énfasis en la preparación en la producción agrícola alternativa ya que la Institución se distingue por esta actividad.</w:t>
      </w:r>
    </w:p>
    <w:p w14:paraId="6F4314A1" w14:textId="77777777" w:rsidR="00934CF4" w:rsidRPr="007923C2" w:rsidRDefault="003E008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Otro indica</w:t>
      </w:r>
      <w:r w:rsidR="00F93780" w:rsidRPr="007923C2">
        <w:rPr>
          <w:rFonts w:ascii="Arial" w:hAnsi="Arial" w:cs="Arial"/>
          <w:sz w:val="22"/>
          <w:szCs w:val="22"/>
        </w:rPr>
        <w:t>d</w:t>
      </w:r>
      <w:r w:rsidRPr="007923C2">
        <w:rPr>
          <w:rFonts w:ascii="Arial" w:hAnsi="Arial" w:cs="Arial"/>
          <w:sz w:val="22"/>
          <w:szCs w:val="22"/>
        </w:rPr>
        <w:t>or importante es que en el área de conservación los egresados se han  estado desempeñando</w:t>
      </w:r>
      <w:r w:rsidR="00F93780" w:rsidRPr="007923C2">
        <w:rPr>
          <w:rFonts w:ascii="Arial" w:hAnsi="Arial" w:cs="Arial"/>
          <w:sz w:val="22"/>
          <w:szCs w:val="22"/>
        </w:rPr>
        <w:t xml:space="preserve"> con frecuencia, en áreas naturales protegidas, restauración de áreas naturales impactadas, estudios de flora y fauna amenazadas, aplicación de la legislación ambiental</w:t>
      </w:r>
      <w:r w:rsidRPr="007923C2">
        <w:rPr>
          <w:rFonts w:ascii="Arial" w:hAnsi="Arial" w:cs="Arial"/>
          <w:sz w:val="22"/>
          <w:szCs w:val="22"/>
        </w:rPr>
        <w:t>.</w:t>
      </w:r>
    </w:p>
    <w:p w14:paraId="7B7B533B" w14:textId="77777777" w:rsidR="003E0087" w:rsidRPr="007923C2" w:rsidRDefault="003E008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área de biotecnología también destaca como importante como una herramienta que se puede aplicar en el tratamiento de los contaminantes</w:t>
      </w:r>
      <w:r w:rsidR="00F93780" w:rsidRPr="007923C2">
        <w:rPr>
          <w:rFonts w:ascii="Arial" w:hAnsi="Arial" w:cs="Arial"/>
          <w:sz w:val="22"/>
          <w:szCs w:val="22"/>
        </w:rPr>
        <w:t xml:space="preserve"> para biorremediar el suelo el agua, para la producción de energías alternativas, producción de fertilizantes biológicos. </w:t>
      </w:r>
    </w:p>
    <w:p w14:paraId="4534EA41" w14:textId="77777777" w:rsidR="007758BD" w:rsidRPr="007923C2" w:rsidRDefault="00F9378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misión, visión, objetivo, perfil del egresado están estructurados de una forma similar a </w:t>
      </w:r>
      <w:r w:rsidR="005275BA">
        <w:rPr>
          <w:rFonts w:ascii="Arial" w:hAnsi="Arial" w:cs="Arial"/>
          <w:sz w:val="22"/>
          <w:szCs w:val="22"/>
        </w:rPr>
        <w:t xml:space="preserve">las </w:t>
      </w:r>
      <w:r w:rsidRPr="007923C2">
        <w:rPr>
          <w:rFonts w:ascii="Arial" w:hAnsi="Arial" w:cs="Arial"/>
          <w:sz w:val="22"/>
          <w:szCs w:val="22"/>
        </w:rPr>
        <w:t>anterior</w:t>
      </w:r>
      <w:r w:rsidR="005275BA">
        <w:rPr>
          <w:rFonts w:ascii="Arial" w:hAnsi="Arial" w:cs="Arial"/>
          <w:sz w:val="22"/>
          <w:szCs w:val="22"/>
        </w:rPr>
        <w:t>es</w:t>
      </w:r>
      <w:r w:rsidR="007758BD" w:rsidRPr="007923C2">
        <w:rPr>
          <w:rFonts w:ascii="Arial" w:hAnsi="Arial" w:cs="Arial"/>
          <w:sz w:val="22"/>
          <w:szCs w:val="22"/>
        </w:rPr>
        <w:t>, solo se realizaron algunos cambios en la redacción pero con el mismo fundamento.</w:t>
      </w:r>
    </w:p>
    <w:p w14:paraId="1A0BA824" w14:textId="77777777" w:rsidR="007758BD" w:rsidRPr="007923C2" w:rsidRDefault="007758B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 estructuración del Plan de estudios se le da mayor prioridad a la formación en agricultura alternativa y conservación (contaminación ambiental y ecología) y un poco menos al área de biotecnología aunque sin restarle importancia, el área de zonas áridas queda integrada dentro del área de conservación.</w:t>
      </w:r>
    </w:p>
    <w:p w14:paraId="4C3E2F77" w14:textId="77777777" w:rsidR="007758BD" w:rsidRPr="007923C2" w:rsidRDefault="007758B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 xml:space="preserve">Se destacará que las asignaturas especializantes desarrollen el aspecto práctico para que el alumno </w:t>
      </w:r>
      <w:r w:rsidR="005275BA">
        <w:rPr>
          <w:rFonts w:ascii="Arial" w:hAnsi="Arial" w:cs="Arial"/>
          <w:sz w:val="22"/>
          <w:szCs w:val="22"/>
        </w:rPr>
        <w:t>conozca la</w:t>
      </w:r>
      <w:r w:rsidRPr="007923C2">
        <w:rPr>
          <w:rFonts w:ascii="Arial" w:hAnsi="Arial" w:cs="Arial"/>
          <w:sz w:val="22"/>
          <w:szCs w:val="22"/>
        </w:rPr>
        <w:t xml:space="preserve"> tecnología </w:t>
      </w:r>
      <w:r w:rsidR="005275BA">
        <w:rPr>
          <w:rFonts w:ascii="Arial" w:hAnsi="Arial" w:cs="Arial"/>
          <w:sz w:val="22"/>
          <w:szCs w:val="22"/>
        </w:rPr>
        <w:t>y</w:t>
      </w:r>
      <w:r w:rsidRPr="007923C2">
        <w:rPr>
          <w:rFonts w:ascii="Arial" w:hAnsi="Arial" w:cs="Arial"/>
          <w:sz w:val="22"/>
          <w:szCs w:val="22"/>
        </w:rPr>
        <w:t xml:space="preserve"> aplique el conocimiento adquirido.</w:t>
      </w:r>
    </w:p>
    <w:p w14:paraId="08AFBF87" w14:textId="77777777" w:rsidR="00B941FE" w:rsidRPr="007923C2" w:rsidRDefault="007758B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Se integrará </w:t>
      </w:r>
      <w:r w:rsidR="00B941FE" w:rsidRPr="007923C2">
        <w:rPr>
          <w:rFonts w:ascii="Arial" w:hAnsi="Arial" w:cs="Arial"/>
          <w:sz w:val="22"/>
          <w:szCs w:val="22"/>
        </w:rPr>
        <w:t>al</w:t>
      </w:r>
      <w:r w:rsidRPr="007923C2">
        <w:rPr>
          <w:rFonts w:ascii="Arial" w:hAnsi="Arial" w:cs="Arial"/>
          <w:sz w:val="22"/>
          <w:szCs w:val="22"/>
        </w:rPr>
        <w:t xml:space="preserve"> Plan de Estudios</w:t>
      </w:r>
      <w:r w:rsidR="00B941FE" w:rsidRPr="007923C2">
        <w:rPr>
          <w:rFonts w:ascii="Arial" w:hAnsi="Arial" w:cs="Arial"/>
          <w:sz w:val="22"/>
          <w:szCs w:val="22"/>
        </w:rPr>
        <w:t xml:space="preserve"> Cursos taller como materias cocurriculares en apoyo a la formación tecnológica del estudiante.</w:t>
      </w:r>
    </w:p>
    <w:p w14:paraId="5953429B" w14:textId="77777777" w:rsidR="00B941FE" w:rsidRDefault="00B941F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nuevo Plan de Estudios conservará 2 cursos de inglés</w:t>
      </w:r>
      <w:r w:rsidR="009E2B4B" w:rsidRPr="007923C2">
        <w:rPr>
          <w:rFonts w:ascii="Arial" w:hAnsi="Arial" w:cs="Arial"/>
          <w:sz w:val="22"/>
          <w:szCs w:val="22"/>
        </w:rPr>
        <w:t xml:space="preserve"> y como una disposición de la Institución y en pro de una buena preparación del estudiante de todas las carreras el alumno deberá cumplir 350 puntos del Toefel para titularse por tal motivo deberá cursar como </w:t>
      </w:r>
      <w:r w:rsidR="005275BA">
        <w:rPr>
          <w:rFonts w:ascii="Arial" w:hAnsi="Arial" w:cs="Arial"/>
          <w:sz w:val="22"/>
          <w:szCs w:val="22"/>
        </w:rPr>
        <w:t>materias</w:t>
      </w:r>
      <w:r w:rsidR="009E2B4B" w:rsidRPr="007923C2">
        <w:rPr>
          <w:rFonts w:ascii="Arial" w:hAnsi="Arial" w:cs="Arial"/>
          <w:sz w:val="22"/>
          <w:szCs w:val="22"/>
        </w:rPr>
        <w:t xml:space="preserve"> cocurriculares </w:t>
      </w:r>
      <w:r w:rsidR="005275BA">
        <w:rPr>
          <w:rFonts w:ascii="Arial" w:hAnsi="Arial" w:cs="Arial"/>
          <w:sz w:val="22"/>
          <w:szCs w:val="22"/>
        </w:rPr>
        <w:t>otros niveles de</w:t>
      </w:r>
      <w:r w:rsidR="009E2B4B" w:rsidRPr="007923C2">
        <w:rPr>
          <w:rFonts w:ascii="Arial" w:hAnsi="Arial" w:cs="Arial"/>
          <w:sz w:val="22"/>
          <w:szCs w:val="22"/>
        </w:rPr>
        <w:t xml:space="preserve"> inglés hasta que esté preparado para alcanzar la puntuación.  </w:t>
      </w:r>
    </w:p>
    <w:p w14:paraId="6A2F26B9" w14:textId="77777777" w:rsidR="000913B9" w:rsidRDefault="000913B9" w:rsidP="005E47E4">
      <w:pPr>
        <w:widowControl w:val="0"/>
        <w:autoSpaceDE w:val="0"/>
        <w:autoSpaceDN w:val="0"/>
        <w:adjustRightInd w:val="0"/>
        <w:jc w:val="both"/>
        <w:rPr>
          <w:rFonts w:ascii="Arial" w:hAnsi="Arial" w:cs="Arial"/>
          <w:sz w:val="22"/>
          <w:szCs w:val="22"/>
        </w:rPr>
      </w:pPr>
    </w:p>
    <w:p w14:paraId="2DED6F0F" w14:textId="77777777" w:rsidR="00B941FE" w:rsidRPr="007923C2" w:rsidRDefault="00B941FE" w:rsidP="002A45EA">
      <w:pPr>
        <w:widowControl w:val="0"/>
        <w:overflowPunct w:val="0"/>
        <w:autoSpaceDE w:val="0"/>
        <w:autoSpaceDN w:val="0"/>
        <w:adjustRightInd w:val="0"/>
        <w:spacing w:after="0" w:line="216" w:lineRule="auto"/>
        <w:ind w:left="520" w:right="800"/>
        <w:jc w:val="center"/>
        <w:rPr>
          <w:rFonts w:ascii="Arial" w:hAnsi="Arial" w:cs="Arial"/>
          <w:sz w:val="22"/>
          <w:szCs w:val="22"/>
          <w:lang w:val="es-ES"/>
        </w:rPr>
      </w:pPr>
      <w:r w:rsidRPr="007923C2">
        <w:rPr>
          <w:rFonts w:ascii="Arial" w:hAnsi="Arial" w:cs="Arial"/>
          <w:sz w:val="22"/>
          <w:szCs w:val="22"/>
          <w:lang w:val="es-ES"/>
        </w:rPr>
        <w:t>PLAN DE ESTUDIOS REESTRUCTURADO 2016 DE LA CARRERA DE INGENIERO EN AGROBIOLOGIA CONSTA DE 46 MATERIAS OBLIGATORIAS</w:t>
      </w:r>
      <w:r w:rsidR="005275BA">
        <w:rPr>
          <w:rFonts w:ascii="Arial" w:hAnsi="Arial" w:cs="Arial"/>
          <w:sz w:val="22"/>
          <w:szCs w:val="22"/>
          <w:lang w:val="es-ES"/>
        </w:rPr>
        <w:t xml:space="preserve"> Y</w:t>
      </w:r>
      <w:r w:rsidRPr="007923C2">
        <w:rPr>
          <w:rFonts w:ascii="Arial" w:hAnsi="Arial" w:cs="Arial"/>
          <w:sz w:val="22"/>
          <w:szCs w:val="22"/>
          <w:lang w:val="es-ES"/>
        </w:rPr>
        <w:t>10 OPTATIVAS</w:t>
      </w:r>
    </w:p>
    <w:p w14:paraId="0DDF08FD" w14:textId="77777777" w:rsidR="00BB508A" w:rsidRDefault="00BB508A" w:rsidP="00BB508A">
      <w:pPr>
        <w:widowControl w:val="0"/>
        <w:autoSpaceDE w:val="0"/>
        <w:autoSpaceDN w:val="0"/>
        <w:adjustRightInd w:val="0"/>
        <w:jc w:val="center"/>
        <w:rPr>
          <w:rFonts w:ascii="Arial" w:hAnsi="Arial" w:cs="Arial"/>
          <w:b/>
          <w:sz w:val="22"/>
          <w:szCs w:val="22"/>
        </w:rPr>
      </w:pPr>
    </w:p>
    <w:p w14:paraId="765B5914" w14:textId="0D68F080" w:rsidR="002A45EA" w:rsidRDefault="00BB508A" w:rsidP="00BB508A">
      <w:pPr>
        <w:widowControl w:val="0"/>
        <w:autoSpaceDE w:val="0"/>
        <w:autoSpaceDN w:val="0"/>
        <w:adjustRightInd w:val="0"/>
        <w:jc w:val="center"/>
        <w:rPr>
          <w:rFonts w:ascii="Arial" w:hAnsi="Arial" w:cs="Arial"/>
          <w:b/>
          <w:sz w:val="22"/>
          <w:szCs w:val="22"/>
        </w:rPr>
      </w:pPr>
      <w:r>
        <w:rPr>
          <w:rFonts w:ascii="Arial" w:hAnsi="Arial" w:cs="Arial"/>
          <w:b/>
          <w:sz w:val="22"/>
          <w:szCs w:val="22"/>
        </w:rPr>
        <w:t>MATERIAS OBLIGATORIAS</w:t>
      </w:r>
    </w:p>
    <w:tbl>
      <w:tblPr>
        <w:tblW w:w="7938" w:type="dxa"/>
        <w:tblInd w:w="421" w:type="dxa"/>
        <w:tblLayout w:type="fixed"/>
        <w:tblCellMar>
          <w:left w:w="0" w:type="dxa"/>
          <w:right w:w="0" w:type="dxa"/>
        </w:tblCellMar>
        <w:tblLook w:val="0000" w:firstRow="0" w:lastRow="0" w:firstColumn="0" w:lastColumn="0" w:noHBand="0" w:noVBand="0"/>
      </w:tblPr>
      <w:tblGrid>
        <w:gridCol w:w="5953"/>
        <w:gridCol w:w="1985"/>
      </w:tblGrid>
      <w:tr w:rsidR="00746C37" w:rsidRPr="00731429" w14:paraId="0BB88A15"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27F57752" w14:textId="77777777" w:rsidR="00746C37" w:rsidRPr="00731429" w:rsidRDefault="00746C37" w:rsidP="00CF3FE9">
            <w:pPr>
              <w:widowControl w:val="0"/>
              <w:autoSpaceDE w:val="0"/>
              <w:autoSpaceDN w:val="0"/>
              <w:adjustRightInd w:val="0"/>
              <w:spacing w:after="0" w:line="240" w:lineRule="auto"/>
              <w:contextualSpacing/>
              <w:jc w:val="center"/>
              <w:rPr>
                <w:rFonts w:ascii="Arial" w:hAnsi="Arial" w:cs="Arial"/>
                <w:b/>
                <w:sz w:val="20"/>
                <w:szCs w:val="20"/>
              </w:rPr>
            </w:pPr>
            <w:r w:rsidRPr="00731429">
              <w:rPr>
                <w:rFonts w:ascii="Arial" w:hAnsi="Arial" w:cs="Arial"/>
                <w:b/>
                <w:sz w:val="20"/>
                <w:szCs w:val="20"/>
              </w:rPr>
              <w:t>Materias</w:t>
            </w:r>
          </w:p>
        </w:tc>
        <w:tc>
          <w:tcPr>
            <w:tcW w:w="1985" w:type="dxa"/>
            <w:tcBorders>
              <w:top w:val="single" w:sz="4" w:space="0" w:color="auto"/>
              <w:left w:val="single" w:sz="4" w:space="0" w:color="auto"/>
              <w:bottom w:val="single" w:sz="4" w:space="0" w:color="auto"/>
              <w:right w:val="single" w:sz="4" w:space="0" w:color="auto"/>
            </w:tcBorders>
            <w:vAlign w:val="bottom"/>
          </w:tcPr>
          <w:p w14:paraId="0EEF41B6" w14:textId="77777777" w:rsidR="00746C37" w:rsidRPr="00731429" w:rsidRDefault="00746C37" w:rsidP="00CF3FE9">
            <w:pPr>
              <w:widowControl w:val="0"/>
              <w:autoSpaceDE w:val="0"/>
              <w:autoSpaceDN w:val="0"/>
              <w:adjustRightInd w:val="0"/>
              <w:spacing w:after="0" w:line="240" w:lineRule="auto"/>
              <w:jc w:val="center"/>
              <w:rPr>
                <w:rFonts w:ascii="Arial" w:hAnsi="Arial" w:cs="Arial"/>
                <w:b/>
                <w:sz w:val="20"/>
                <w:szCs w:val="20"/>
              </w:rPr>
            </w:pPr>
            <w:r w:rsidRPr="00731429">
              <w:rPr>
                <w:rFonts w:ascii="Arial" w:hAnsi="Arial" w:cs="Arial"/>
                <w:b/>
                <w:w w:val="98"/>
                <w:sz w:val="20"/>
                <w:szCs w:val="20"/>
              </w:rPr>
              <w:t>Clave</w:t>
            </w:r>
          </w:p>
        </w:tc>
      </w:tr>
      <w:tr w:rsidR="00746C37" w:rsidRPr="00731429" w14:paraId="5EEE9AB5"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41960C7D"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Biología</w:t>
            </w:r>
          </w:p>
        </w:tc>
        <w:tc>
          <w:tcPr>
            <w:tcW w:w="1985" w:type="dxa"/>
            <w:tcBorders>
              <w:top w:val="single" w:sz="4" w:space="0" w:color="auto"/>
              <w:left w:val="single" w:sz="4" w:space="0" w:color="auto"/>
              <w:bottom w:val="single" w:sz="4" w:space="0" w:color="auto"/>
              <w:right w:val="single" w:sz="4" w:space="0" w:color="auto"/>
            </w:tcBorders>
            <w:vAlign w:val="bottom"/>
          </w:tcPr>
          <w:p w14:paraId="3469EE7A"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BOT-404</w:t>
            </w:r>
          </w:p>
        </w:tc>
      </w:tr>
      <w:tr w:rsidR="00746C37" w:rsidRPr="00731429" w14:paraId="5DA3E34C"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02B1EA2C"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Matemáticas</w:t>
            </w:r>
          </w:p>
        </w:tc>
        <w:tc>
          <w:tcPr>
            <w:tcW w:w="1985" w:type="dxa"/>
            <w:tcBorders>
              <w:top w:val="single" w:sz="4" w:space="0" w:color="auto"/>
              <w:left w:val="single" w:sz="4" w:space="0" w:color="auto"/>
              <w:bottom w:val="single" w:sz="4" w:space="0" w:color="auto"/>
              <w:right w:val="single" w:sz="4" w:space="0" w:color="auto"/>
            </w:tcBorders>
            <w:vAlign w:val="bottom"/>
          </w:tcPr>
          <w:p w14:paraId="7E715A58"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9"/>
                <w:sz w:val="20"/>
                <w:szCs w:val="20"/>
              </w:rPr>
              <w:t>DEC-410</w:t>
            </w:r>
          </w:p>
        </w:tc>
      </w:tr>
      <w:tr w:rsidR="00746C37" w:rsidRPr="00731429" w14:paraId="0B871FD4"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7353B8CB"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sidRPr="00731429">
              <w:rPr>
                <w:rFonts w:ascii="Arial" w:hAnsi="Arial" w:cs="Arial"/>
                <w:sz w:val="20"/>
                <w:szCs w:val="20"/>
                <w:lang w:val="es-ES"/>
              </w:rPr>
              <w:t>Introducción a la ciencia del suelo</w:t>
            </w:r>
          </w:p>
        </w:tc>
        <w:tc>
          <w:tcPr>
            <w:tcW w:w="1985" w:type="dxa"/>
            <w:tcBorders>
              <w:top w:val="single" w:sz="4" w:space="0" w:color="auto"/>
              <w:left w:val="single" w:sz="4" w:space="0" w:color="auto"/>
              <w:bottom w:val="single" w:sz="4" w:space="0" w:color="auto"/>
              <w:right w:val="single" w:sz="4" w:space="0" w:color="auto"/>
            </w:tcBorders>
            <w:vAlign w:val="bottom"/>
          </w:tcPr>
          <w:p w14:paraId="6DE529F2"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9"/>
                <w:sz w:val="20"/>
                <w:szCs w:val="20"/>
              </w:rPr>
              <w:t>SUE-403</w:t>
            </w:r>
          </w:p>
        </w:tc>
      </w:tr>
      <w:tr w:rsidR="00746C37" w:rsidRPr="00731429" w14:paraId="48FA09EF"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59DCC5AE"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Ingles I</w:t>
            </w:r>
          </w:p>
        </w:tc>
        <w:tc>
          <w:tcPr>
            <w:tcW w:w="1985" w:type="dxa"/>
            <w:tcBorders>
              <w:top w:val="single" w:sz="4" w:space="0" w:color="auto"/>
              <w:left w:val="single" w:sz="4" w:space="0" w:color="auto"/>
              <w:bottom w:val="single" w:sz="4" w:space="0" w:color="auto"/>
              <w:right w:val="single" w:sz="4" w:space="0" w:color="auto"/>
            </w:tcBorders>
            <w:vAlign w:val="bottom"/>
          </w:tcPr>
          <w:p w14:paraId="059890DC"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UAI-401</w:t>
            </w:r>
          </w:p>
        </w:tc>
      </w:tr>
      <w:tr w:rsidR="00746C37" w:rsidRPr="00731429" w14:paraId="0C5D9BEF"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3B5BF0A3"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sidRPr="00731429">
              <w:rPr>
                <w:rFonts w:ascii="Arial" w:hAnsi="Arial" w:cs="Arial"/>
                <w:sz w:val="20"/>
                <w:szCs w:val="20"/>
                <w:lang w:val="es-ES"/>
              </w:rPr>
              <w:t>Taller de comunicación  Oral y Escrita</w:t>
            </w:r>
          </w:p>
        </w:tc>
        <w:tc>
          <w:tcPr>
            <w:tcW w:w="1985" w:type="dxa"/>
            <w:tcBorders>
              <w:top w:val="single" w:sz="4" w:space="0" w:color="auto"/>
              <w:left w:val="single" w:sz="4" w:space="0" w:color="auto"/>
              <w:bottom w:val="single" w:sz="4" w:space="0" w:color="auto"/>
              <w:right w:val="single" w:sz="4" w:space="0" w:color="auto"/>
            </w:tcBorders>
            <w:vAlign w:val="bottom"/>
          </w:tcPr>
          <w:p w14:paraId="512B7CBF"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9"/>
                <w:sz w:val="20"/>
                <w:szCs w:val="20"/>
              </w:rPr>
              <w:t>SOC-405</w:t>
            </w:r>
          </w:p>
        </w:tc>
      </w:tr>
      <w:tr w:rsidR="00746C37" w:rsidRPr="00731429" w14:paraId="1237132D"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7E33CC8E"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Cálculo diferencial e integral</w:t>
            </w:r>
          </w:p>
        </w:tc>
        <w:tc>
          <w:tcPr>
            <w:tcW w:w="1985" w:type="dxa"/>
            <w:tcBorders>
              <w:top w:val="single" w:sz="4" w:space="0" w:color="auto"/>
              <w:left w:val="single" w:sz="4" w:space="0" w:color="auto"/>
              <w:bottom w:val="single" w:sz="4" w:space="0" w:color="auto"/>
              <w:right w:val="single" w:sz="4" w:space="0" w:color="auto"/>
            </w:tcBorders>
            <w:vAlign w:val="bottom"/>
          </w:tcPr>
          <w:p w14:paraId="243B4E49"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DEC –405</w:t>
            </w:r>
          </w:p>
        </w:tc>
      </w:tr>
      <w:tr w:rsidR="00746C37" w:rsidRPr="00731429" w14:paraId="79E599B5"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65E751DA"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Sistemas Biológicos</w:t>
            </w:r>
          </w:p>
        </w:tc>
        <w:tc>
          <w:tcPr>
            <w:tcW w:w="1985" w:type="dxa"/>
            <w:tcBorders>
              <w:top w:val="single" w:sz="4" w:space="0" w:color="auto"/>
              <w:left w:val="single" w:sz="4" w:space="0" w:color="auto"/>
              <w:bottom w:val="single" w:sz="4" w:space="0" w:color="auto"/>
              <w:right w:val="single" w:sz="4" w:space="0" w:color="auto"/>
            </w:tcBorders>
            <w:vAlign w:val="bottom"/>
          </w:tcPr>
          <w:p w14:paraId="763C1459"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BOT-416</w:t>
            </w:r>
          </w:p>
        </w:tc>
      </w:tr>
      <w:tr w:rsidR="00746C37" w:rsidRPr="00731429" w14:paraId="3F0AB5FE"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7846ACDC"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Entomología</w:t>
            </w:r>
          </w:p>
        </w:tc>
        <w:tc>
          <w:tcPr>
            <w:tcW w:w="1985" w:type="dxa"/>
            <w:tcBorders>
              <w:top w:val="single" w:sz="4" w:space="0" w:color="auto"/>
              <w:left w:val="single" w:sz="4" w:space="0" w:color="auto"/>
              <w:bottom w:val="single" w:sz="4" w:space="0" w:color="auto"/>
              <w:right w:val="single" w:sz="4" w:space="0" w:color="auto"/>
            </w:tcBorders>
            <w:vAlign w:val="bottom"/>
          </w:tcPr>
          <w:p w14:paraId="4A627AB8"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9"/>
                <w:sz w:val="20"/>
                <w:szCs w:val="20"/>
              </w:rPr>
              <w:t>PAR-486</w:t>
            </w:r>
          </w:p>
        </w:tc>
      </w:tr>
      <w:tr w:rsidR="00746C37" w:rsidRPr="00731429" w14:paraId="5604557F"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18F4A040"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Ingles II</w:t>
            </w:r>
          </w:p>
        </w:tc>
        <w:tc>
          <w:tcPr>
            <w:tcW w:w="1985" w:type="dxa"/>
            <w:tcBorders>
              <w:top w:val="single" w:sz="4" w:space="0" w:color="auto"/>
              <w:left w:val="single" w:sz="4" w:space="0" w:color="auto"/>
              <w:bottom w:val="single" w:sz="4" w:space="0" w:color="auto"/>
              <w:right w:val="single" w:sz="4" w:space="0" w:color="auto"/>
            </w:tcBorders>
            <w:vAlign w:val="bottom"/>
          </w:tcPr>
          <w:p w14:paraId="7BB47BF5"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UAI-410</w:t>
            </w:r>
          </w:p>
        </w:tc>
      </w:tr>
      <w:tr w:rsidR="00746C37" w:rsidRPr="00731429" w14:paraId="4E51C591"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7F50CDC3"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Química</w:t>
            </w:r>
          </w:p>
        </w:tc>
        <w:tc>
          <w:tcPr>
            <w:tcW w:w="1985" w:type="dxa"/>
            <w:tcBorders>
              <w:top w:val="single" w:sz="4" w:space="0" w:color="auto"/>
              <w:left w:val="single" w:sz="4" w:space="0" w:color="auto"/>
              <w:bottom w:val="single" w:sz="4" w:space="0" w:color="auto"/>
              <w:right w:val="single" w:sz="4" w:space="0" w:color="auto"/>
            </w:tcBorders>
            <w:vAlign w:val="bottom"/>
          </w:tcPr>
          <w:p w14:paraId="59F2AFDE"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CSB-403</w:t>
            </w:r>
          </w:p>
        </w:tc>
      </w:tr>
      <w:tr w:rsidR="00746C37" w:rsidRPr="00731429" w14:paraId="4A5A5162"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3215376D"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Microbiología I</w:t>
            </w:r>
          </w:p>
        </w:tc>
        <w:tc>
          <w:tcPr>
            <w:tcW w:w="1985" w:type="dxa"/>
            <w:tcBorders>
              <w:top w:val="single" w:sz="4" w:space="0" w:color="auto"/>
              <w:left w:val="single" w:sz="4" w:space="0" w:color="auto"/>
              <w:bottom w:val="single" w:sz="4" w:space="0" w:color="auto"/>
              <w:right w:val="single" w:sz="4" w:space="0" w:color="auto"/>
            </w:tcBorders>
            <w:vAlign w:val="bottom"/>
          </w:tcPr>
          <w:p w14:paraId="72FC0BB7"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PRA-423</w:t>
            </w:r>
          </w:p>
        </w:tc>
      </w:tr>
      <w:tr w:rsidR="00746C37" w:rsidRPr="00731429" w14:paraId="5DAD16D8"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05F0F7A5"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Agrofísica I</w:t>
            </w:r>
          </w:p>
        </w:tc>
        <w:tc>
          <w:tcPr>
            <w:tcW w:w="1985" w:type="dxa"/>
            <w:tcBorders>
              <w:top w:val="single" w:sz="4" w:space="0" w:color="auto"/>
              <w:left w:val="single" w:sz="4" w:space="0" w:color="auto"/>
              <w:bottom w:val="single" w:sz="4" w:space="0" w:color="auto"/>
              <w:right w:val="single" w:sz="4" w:space="0" w:color="auto"/>
            </w:tcBorders>
            <w:vAlign w:val="bottom"/>
          </w:tcPr>
          <w:p w14:paraId="08591CA8"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AGF-403</w:t>
            </w:r>
          </w:p>
        </w:tc>
      </w:tr>
      <w:tr w:rsidR="00746C37" w:rsidRPr="00731429" w14:paraId="0A9D4620"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5452570D"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Bioquímica</w:t>
            </w:r>
          </w:p>
        </w:tc>
        <w:tc>
          <w:tcPr>
            <w:tcW w:w="1985" w:type="dxa"/>
            <w:tcBorders>
              <w:top w:val="single" w:sz="4" w:space="0" w:color="auto"/>
              <w:left w:val="single" w:sz="4" w:space="0" w:color="auto"/>
              <w:bottom w:val="single" w:sz="4" w:space="0" w:color="auto"/>
              <w:right w:val="single" w:sz="4" w:space="0" w:color="auto"/>
            </w:tcBorders>
            <w:vAlign w:val="bottom"/>
          </w:tcPr>
          <w:p w14:paraId="75E26DDA"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9"/>
                <w:sz w:val="20"/>
                <w:szCs w:val="20"/>
              </w:rPr>
              <w:t>DEC-451</w:t>
            </w:r>
          </w:p>
        </w:tc>
      </w:tr>
      <w:tr w:rsidR="00746C37" w:rsidRPr="00731429" w14:paraId="39294A0A"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4E97EBE7"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Botánica I</w:t>
            </w:r>
          </w:p>
        </w:tc>
        <w:tc>
          <w:tcPr>
            <w:tcW w:w="1985" w:type="dxa"/>
            <w:tcBorders>
              <w:top w:val="single" w:sz="4" w:space="0" w:color="auto"/>
              <w:left w:val="single" w:sz="4" w:space="0" w:color="auto"/>
              <w:bottom w:val="single" w:sz="4" w:space="0" w:color="auto"/>
              <w:right w:val="single" w:sz="4" w:space="0" w:color="auto"/>
            </w:tcBorders>
            <w:vAlign w:val="bottom"/>
          </w:tcPr>
          <w:p w14:paraId="3541D230"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BOT-413</w:t>
            </w:r>
          </w:p>
        </w:tc>
      </w:tr>
      <w:tr w:rsidR="00746C37" w:rsidRPr="00731429" w14:paraId="6D695F92"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000A29DE"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Genética</w:t>
            </w:r>
          </w:p>
        </w:tc>
        <w:tc>
          <w:tcPr>
            <w:tcW w:w="1985" w:type="dxa"/>
            <w:tcBorders>
              <w:top w:val="single" w:sz="4" w:space="0" w:color="auto"/>
              <w:left w:val="single" w:sz="4" w:space="0" w:color="auto"/>
              <w:bottom w:val="single" w:sz="4" w:space="0" w:color="auto"/>
              <w:right w:val="single" w:sz="4" w:space="0" w:color="auto"/>
            </w:tcBorders>
            <w:vAlign w:val="bottom"/>
          </w:tcPr>
          <w:p w14:paraId="20F4E106"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FIT-401</w:t>
            </w:r>
          </w:p>
        </w:tc>
      </w:tr>
      <w:tr w:rsidR="00746C37" w:rsidRPr="00731429" w14:paraId="7FF29D0E"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7E845AF2"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Meteorología y Climatología</w:t>
            </w:r>
          </w:p>
        </w:tc>
        <w:tc>
          <w:tcPr>
            <w:tcW w:w="1985" w:type="dxa"/>
            <w:tcBorders>
              <w:top w:val="single" w:sz="4" w:space="0" w:color="auto"/>
              <w:left w:val="single" w:sz="4" w:space="0" w:color="auto"/>
              <w:bottom w:val="single" w:sz="4" w:space="0" w:color="auto"/>
              <w:right w:val="single" w:sz="4" w:space="0" w:color="auto"/>
            </w:tcBorders>
            <w:vAlign w:val="bottom"/>
          </w:tcPr>
          <w:p w14:paraId="36A2004F"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AGM-407</w:t>
            </w:r>
          </w:p>
        </w:tc>
      </w:tr>
      <w:tr w:rsidR="00746C37" w:rsidRPr="00731429" w14:paraId="1018C952"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1980116F"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Botánica II</w:t>
            </w:r>
          </w:p>
        </w:tc>
        <w:tc>
          <w:tcPr>
            <w:tcW w:w="1985" w:type="dxa"/>
            <w:tcBorders>
              <w:top w:val="single" w:sz="4" w:space="0" w:color="auto"/>
              <w:left w:val="single" w:sz="4" w:space="0" w:color="auto"/>
              <w:bottom w:val="single" w:sz="4" w:space="0" w:color="auto"/>
              <w:right w:val="single" w:sz="4" w:space="0" w:color="auto"/>
            </w:tcBorders>
            <w:vAlign w:val="bottom"/>
          </w:tcPr>
          <w:p w14:paraId="61297FCD"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BOT-417</w:t>
            </w:r>
          </w:p>
        </w:tc>
      </w:tr>
      <w:tr w:rsidR="00746C37" w:rsidRPr="00731429" w14:paraId="15D6EC4E"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21F00D35" w14:textId="46AED45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 xml:space="preserve">Zoología </w:t>
            </w:r>
            <w:r w:rsidR="00F85CBB">
              <w:rPr>
                <w:rFonts w:ascii="Arial" w:hAnsi="Arial" w:cs="Arial"/>
                <w:sz w:val="20"/>
                <w:szCs w:val="20"/>
              </w:rPr>
              <w:t>general</w:t>
            </w:r>
          </w:p>
        </w:tc>
        <w:tc>
          <w:tcPr>
            <w:tcW w:w="1985" w:type="dxa"/>
            <w:tcBorders>
              <w:top w:val="single" w:sz="4" w:space="0" w:color="auto"/>
              <w:left w:val="single" w:sz="4" w:space="0" w:color="auto"/>
              <w:bottom w:val="single" w:sz="4" w:space="0" w:color="auto"/>
              <w:right w:val="single" w:sz="4" w:space="0" w:color="auto"/>
            </w:tcBorders>
            <w:vAlign w:val="bottom"/>
          </w:tcPr>
          <w:p w14:paraId="1137697F"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w:t>
            </w:r>
          </w:p>
        </w:tc>
      </w:tr>
      <w:tr w:rsidR="00746C37" w:rsidRPr="00731429" w14:paraId="22C22660"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71342488"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Bioestadística</w:t>
            </w:r>
          </w:p>
        </w:tc>
        <w:tc>
          <w:tcPr>
            <w:tcW w:w="1985" w:type="dxa"/>
            <w:tcBorders>
              <w:top w:val="single" w:sz="4" w:space="0" w:color="auto"/>
              <w:left w:val="single" w:sz="4" w:space="0" w:color="auto"/>
              <w:bottom w:val="single" w:sz="4" w:space="0" w:color="auto"/>
              <w:right w:val="single" w:sz="4" w:space="0" w:color="auto"/>
            </w:tcBorders>
            <w:vAlign w:val="bottom"/>
          </w:tcPr>
          <w:p w14:paraId="786A5815"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DEC-427</w:t>
            </w:r>
          </w:p>
        </w:tc>
      </w:tr>
      <w:tr w:rsidR="00746C37" w:rsidRPr="00731429" w14:paraId="241759C5" w14:textId="77777777" w:rsidTr="00CF3FE9">
        <w:trPr>
          <w:trHeight w:val="404"/>
        </w:trPr>
        <w:tc>
          <w:tcPr>
            <w:tcW w:w="5953" w:type="dxa"/>
            <w:tcBorders>
              <w:top w:val="single" w:sz="4" w:space="0" w:color="auto"/>
              <w:left w:val="single" w:sz="4" w:space="0" w:color="auto"/>
              <w:bottom w:val="single" w:sz="4" w:space="0" w:color="auto"/>
              <w:right w:val="single" w:sz="4" w:space="0" w:color="auto"/>
            </w:tcBorders>
            <w:vAlign w:val="bottom"/>
          </w:tcPr>
          <w:p w14:paraId="0D46F763"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noProof/>
                <w:sz w:val="20"/>
                <w:szCs w:val="20"/>
              </w:rPr>
              <w:lastRenderedPageBreak/>
              <mc:AlternateContent>
                <mc:Choice Requires="wps">
                  <w:drawing>
                    <wp:anchor distT="0" distB="0" distL="114300" distR="114300" simplePos="0" relativeHeight="251898368" behindDoc="1" locked="0" layoutInCell="0" allowOverlap="1" wp14:anchorId="5D7A685F" wp14:editId="3C02F50E">
                      <wp:simplePos x="0" y="0"/>
                      <wp:positionH relativeFrom="page">
                        <wp:posOffset>741680</wp:posOffset>
                      </wp:positionH>
                      <wp:positionV relativeFrom="page">
                        <wp:posOffset>897890</wp:posOffset>
                      </wp:positionV>
                      <wp:extent cx="12700" cy="12700"/>
                      <wp:effectExtent l="0" t="0" r="0" b="0"/>
                      <wp:wrapNone/>
                      <wp:docPr id="522" name="Rectángulo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8202E3" id="Rectángulo 522" o:spid="_x0000_s1026" style="position:absolute;margin-left:58.4pt;margin-top:70.7pt;width:1pt;height:1pt;z-index:-25141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Ni5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" o:allowincell="f" fillcolor="black" stroked="f">
                      <w10:wrap anchorx="page" anchory="page"/>
                    </v:rect>
                  </w:pict>
                </mc:Fallback>
              </mc:AlternateContent>
            </w:r>
            <w:r w:rsidRPr="00731429">
              <w:rPr>
                <w:rFonts w:ascii="Arial" w:hAnsi="Arial" w:cs="Arial"/>
                <w:noProof/>
                <w:sz w:val="20"/>
                <w:szCs w:val="20"/>
              </w:rPr>
              <mc:AlternateContent>
                <mc:Choice Requires="wps">
                  <w:drawing>
                    <wp:anchor distT="0" distB="0" distL="114300" distR="114300" simplePos="0" relativeHeight="251899392" behindDoc="1" locked="0" layoutInCell="0" allowOverlap="1" wp14:anchorId="587FED2E" wp14:editId="3EBAE869">
                      <wp:simplePos x="0" y="0"/>
                      <wp:positionH relativeFrom="page">
                        <wp:posOffset>3119755</wp:posOffset>
                      </wp:positionH>
                      <wp:positionV relativeFrom="page">
                        <wp:posOffset>897890</wp:posOffset>
                      </wp:positionV>
                      <wp:extent cx="12700" cy="12700"/>
                      <wp:effectExtent l="0" t="0" r="0" b="0"/>
                      <wp:wrapNone/>
                      <wp:docPr id="521" name="Rectángulo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A1CFF" id="Rectángulo 521" o:spid="_x0000_s1026" style="position:absolute;margin-left:245.65pt;margin-top:70.7pt;width:1pt;height:1pt;z-index:-25141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" o:allowincell="f" fillcolor="black" stroked="f">
                      <w10:wrap anchorx="page" anchory="page"/>
                    </v:rect>
                  </w:pict>
                </mc:Fallback>
              </mc:AlternateContent>
            </w:r>
            <w:r w:rsidRPr="00731429">
              <w:rPr>
                <w:rFonts w:ascii="Arial" w:hAnsi="Arial" w:cs="Arial"/>
                <w:noProof/>
                <w:sz w:val="20"/>
                <w:szCs w:val="20"/>
              </w:rPr>
              <mc:AlternateContent>
                <mc:Choice Requires="wps">
                  <w:drawing>
                    <wp:anchor distT="0" distB="0" distL="114300" distR="114300" simplePos="0" relativeHeight="251900416" behindDoc="1" locked="0" layoutInCell="0" allowOverlap="1" wp14:anchorId="2372D0CC" wp14:editId="06C0F4FC">
                      <wp:simplePos x="0" y="0"/>
                      <wp:positionH relativeFrom="page">
                        <wp:posOffset>7007225</wp:posOffset>
                      </wp:positionH>
                      <wp:positionV relativeFrom="page">
                        <wp:posOffset>897890</wp:posOffset>
                      </wp:positionV>
                      <wp:extent cx="12700" cy="12700"/>
                      <wp:effectExtent l="0" t="0" r="0" b="0"/>
                      <wp:wrapNone/>
                      <wp:docPr id="520" name="Rectángulo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0F238" id="Rectángulo 520" o:spid="_x0000_s1026" style="position:absolute;margin-left:551.75pt;margin-top:70.7pt;width:1pt;height:1pt;z-index:-25141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" o:allowincell="f" fillcolor="black" stroked="f">
                      <w10:wrap anchorx="page" anchory="page"/>
                    </v:rect>
                  </w:pict>
                </mc:Fallback>
              </mc:AlternateContent>
            </w:r>
            <w:r w:rsidRPr="00731429">
              <w:rPr>
                <w:rFonts w:ascii="Arial" w:hAnsi="Arial" w:cs="Arial"/>
                <w:sz w:val="20"/>
                <w:szCs w:val="20"/>
              </w:rPr>
              <w:t>Fisiología vegetal</w:t>
            </w:r>
          </w:p>
        </w:tc>
        <w:tc>
          <w:tcPr>
            <w:tcW w:w="1985" w:type="dxa"/>
            <w:tcBorders>
              <w:top w:val="single" w:sz="4" w:space="0" w:color="auto"/>
              <w:left w:val="single" w:sz="4" w:space="0" w:color="auto"/>
              <w:bottom w:val="single" w:sz="4" w:space="0" w:color="auto"/>
              <w:right w:val="single" w:sz="4" w:space="0" w:color="auto"/>
            </w:tcBorders>
            <w:vAlign w:val="bottom"/>
          </w:tcPr>
          <w:p w14:paraId="768D4184"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BOT-424</w:t>
            </w:r>
          </w:p>
        </w:tc>
      </w:tr>
      <w:tr w:rsidR="00746C37" w:rsidRPr="00731429" w14:paraId="0A984075"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2EDB94F0"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Economía ambiental y de recursos naturales</w:t>
            </w:r>
          </w:p>
        </w:tc>
        <w:tc>
          <w:tcPr>
            <w:tcW w:w="1985" w:type="dxa"/>
            <w:tcBorders>
              <w:top w:val="single" w:sz="4" w:space="0" w:color="auto"/>
              <w:left w:val="single" w:sz="4" w:space="0" w:color="auto"/>
              <w:bottom w:val="single" w:sz="4" w:space="0" w:color="auto"/>
              <w:right w:val="single" w:sz="4" w:space="0" w:color="auto"/>
            </w:tcBorders>
            <w:vAlign w:val="bottom"/>
          </w:tcPr>
          <w:p w14:paraId="38ED81C5"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ECA-410</w:t>
            </w:r>
          </w:p>
        </w:tc>
      </w:tr>
      <w:tr w:rsidR="00746C37" w:rsidRPr="00731429" w14:paraId="56289494"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0DED6C79" w14:textId="21A0E367" w:rsidR="00746C37" w:rsidRPr="00731429" w:rsidRDefault="00746C37" w:rsidP="00EE2904">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Diseños experimentales</w:t>
            </w:r>
            <w:r>
              <w:rPr>
                <w:rFonts w:ascii="Arial" w:hAnsi="Arial" w:cs="Arial"/>
                <w:sz w:val="20"/>
                <w:szCs w:val="20"/>
              </w:rPr>
              <w:t xml:space="preserve"> </w:t>
            </w:r>
            <w:r w:rsidR="00EE2904">
              <w:rPr>
                <w:rFonts w:ascii="Arial" w:hAnsi="Arial" w:cs="Arial"/>
                <w:sz w:val="20"/>
                <w:szCs w:val="20"/>
              </w:rPr>
              <w:t xml:space="preserve"> </w:t>
            </w:r>
          </w:p>
        </w:tc>
        <w:tc>
          <w:tcPr>
            <w:tcW w:w="1985" w:type="dxa"/>
            <w:tcBorders>
              <w:top w:val="single" w:sz="4" w:space="0" w:color="auto"/>
              <w:left w:val="single" w:sz="4" w:space="0" w:color="auto"/>
              <w:bottom w:val="single" w:sz="4" w:space="0" w:color="auto"/>
              <w:right w:val="single" w:sz="4" w:space="0" w:color="auto"/>
            </w:tcBorders>
            <w:vAlign w:val="bottom"/>
          </w:tcPr>
          <w:p w14:paraId="686718A0"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DEC-430</w:t>
            </w:r>
          </w:p>
        </w:tc>
      </w:tr>
      <w:tr w:rsidR="00746C37" w:rsidRPr="00731429" w14:paraId="1E2DF6BF" w14:textId="77777777" w:rsidTr="00CF3FE9">
        <w:trPr>
          <w:trHeight w:val="385"/>
        </w:trPr>
        <w:tc>
          <w:tcPr>
            <w:tcW w:w="5953" w:type="dxa"/>
            <w:tcBorders>
              <w:top w:val="single" w:sz="4" w:space="0" w:color="auto"/>
              <w:left w:val="single" w:sz="4" w:space="0" w:color="auto"/>
              <w:bottom w:val="single" w:sz="4" w:space="0" w:color="auto"/>
              <w:right w:val="single" w:sz="4" w:space="0" w:color="auto"/>
            </w:tcBorders>
            <w:vAlign w:val="bottom"/>
          </w:tcPr>
          <w:p w14:paraId="6DD8E587"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Anatomía e Histología Vegetal</w:t>
            </w:r>
          </w:p>
        </w:tc>
        <w:tc>
          <w:tcPr>
            <w:tcW w:w="1985" w:type="dxa"/>
            <w:tcBorders>
              <w:top w:val="single" w:sz="4" w:space="0" w:color="auto"/>
              <w:left w:val="single" w:sz="4" w:space="0" w:color="auto"/>
              <w:bottom w:val="single" w:sz="4" w:space="0" w:color="auto"/>
              <w:right w:val="single" w:sz="4" w:space="0" w:color="auto"/>
            </w:tcBorders>
            <w:vAlign w:val="bottom"/>
          </w:tcPr>
          <w:p w14:paraId="34EA5E3C"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BOT-425</w:t>
            </w:r>
          </w:p>
        </w:tc>
      </w:tr>
      <w:tr w:rsidR="00746C37" w:rsidRPr="00731429" w14:paraId="5D26B521"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645FB3C8"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Administración I</w:t>
            </w:r>
          </w:p>
        </w:tc>
        <w:tc>
          <w:tcPr>
            <w:tcW w:w="1985" w:type="dxa"/>
            <w:tcBorders>
              <w:top w:val="single" w:sz="4" w:space="0" w:color="auto"/>
              <w:left w:val="single" w:sz="4" w:space="0" w:color="auto"/>
              <w:bottom w:val="single" w:sz="4" w:space="0" w:color="auto"/>
              <w:right w:val="single" w:sz="4" w:space="0" w:color="auto"/>
            </w:tcBorders>
            <w:vAlign w:val="bottom"/>
          </w:tcPr>
          <w:p w14:paraId="4680FAEA"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ADM-403</w:t>
            </w:r>
          </w:p>
        </w:tc>
      </w:tr>
      <w:tr w:rsidR="00746C37" w:rsidRPr="00731429" w14:paraId="6A9F2EF4"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30FF8FD3"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 xml:space="preserve">Ecología </w:t>
            </w:r>
          </w:p>
        </w:tc>
        <w:tc>
          <w:tcPr>
            <w:tcW w:w="1985" w:type="dxa"/>
            <w:tcBorders>
              <w:top w:val="single" w:sz="4" w:space="0" w:color="auto"/>
              <w:left w:val="single" w:sz="4" w:space="0" w:color="auto"/>
              <w:bottom w:val="single" w:sz="4" w:space="0" w:color="auto"/>
              <w:right w:val="single" w:sz="4" w:space="0" w:color="auto"/>
            </w:tcBorders>
            <w:vAlign w:val="bottom"/>
          </w:tcPr>
          <w:p w14:paraId="573D6D83"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w:t>
            </w:r>
          </w:p>
        </w:tc>
      </w:tr>
      <w:tr w:rsidR="00746C37" w:rsidRPr="00731429" w14:paraId="416F799A"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77D923D9"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Contaminación ambiental</w:t>
            </w:r>
          </w:p>
        </w:tc>
        <w:tc>
          <w:tcPr>
            <w:tcW w:w="1985" w:type="dxa"/>
            <w:tcBorders>
              <w:top w:val="single" w:sz="4" w:space="0" w:color="auto"/>
              <w:left w:val="single" w:sz="4" w:space="0" w:color="auto"/>
              <w:bottom w:val="single" w:sz="4" w:space="0" w:color="auto"/>
              <w:right w:val="single" w:sz="4" w:space="0" w:color="auto"/>
            </w:tcBorders>
            <w:vAlign w:val="bottom"/>
          </w:tcPr>
          <w:p w14:paraId="60413A89"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BOT-480</w:t>
            </w:r>
          </w:p>
        </w:tc>
      </w:tr>
      <w:tr w:rsidR="00746C37" w:rsidRPr="00731429" w14:paraId="51196DF1" w14:textId="77777777" w:rsidTr="00CF3FE9">
        <w:trPr>
          <w:trHeight w:val="385"/>
        </w:trPr>
        <w:tc>
          <w:tcPr>
            <w:tcW w:w="5953" w:type="dxa"/>
            <w:tcBorders>
              <w:top w:val="single" w:sz="4" w:space="0" w:color="auto"/>
              <w:left w:val="single" w:sz="4" w:space="0" w:color="auto"/>
              <w:bottom w:val="single" w:sz="4" w:space="0" w:color="auto"/>
              <w:right w:val="single" w:sz="4" w:space="0" w:color="auto"/>
            </w:tcBorders>
            <w:vAlign w:val="bottom"/>
          </w:tcPr>
          <w:p w14:paraId="6C98EEFF"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Fisiología Vegetal</w:t>
            </w:r>
          </w:p>
        </w:tc>
        <w:tc>
          <w:tcPr>
            <w:tcW w:w="1985" w:type="dxa"/>
            <w:tcBorders>
              <w:top w:val="single" w:sz="4" w:space="0" w:color="auto"/>
              <w:left w:val="single" w:sz="4" w:space="0" w:color="auto"/>
              <w:bottom w:val="single" w:sz="4" w:space="0" w:color="auto"/>
              <w:right w:val="single" w:sz="4" w:space="0" w:color="auto"/>
            </w:tcBorders>
            <w:vAlign w:val="bottom"/>
          </w:tcPr>
          <w:p w14:paraId="4215959D"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BOT-424</w:t>
            </w:r>
          </w:p>
        </w:tc>
      </w:tr>
      <w:tr w:rsidR="00746C37" w:rsidRPr="00731429" w14:paraId="77786F09"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579BA272"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Biodiversidad</w:t>
            </w:r>
          </w:p>
        </w:tc>
        <w:tc>
          <w:tcPr>
            <w:tcW w:w="1985" w:type="dxa"/>
            <w:tcBorders>
              <w:top w:val="single" w:sz="4" w:space="0" w:color="auto"/>
              <w:left w:val="single" w:sz="4" w:space="0" w:color="auto"/>
              <w:bottom w:val="single" w:sz="4" w:space="0" w:color="auto"/>
              <w:right w:val="single" w:sz="4" w:space="0" w:color="auto"/>
            </w:tcBorders>
            <w:vAlign w:val="bottom"/>
          </w:tcPr>
          <w:p w14:paraId="08B3DED6"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BOT-450</w:t>
            </w:r>
          </w:p>
        </w:tc>
      </w:tr>
      <w:tr w:rsidR="00746C37" w:rsidRPr="00731429" w14:paraId="66A9EDE7"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6248AE6B"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Introducción a la genética molecular</w:t>
            </w:r>
          </w:p>
        </w:tc>
        <w:tc>
          <w:tcPr>
            <w:tcW w:w="1985" w:type="dxa"/>
            <w:tcBorders>
              <w:top w:val="single" w:sz="4" w:space="0" w:color="auto"/>
              <w:left w:val="single" w:sz="4" w:space="0" w:color="auto"/>
              <w:bottom w:val="single" w:sz="4" w:space="0" w:color="auto"/>
              <w:right w:val="single" w:sz="4" w:space="0" w:color="auto"/>
            </w:tcBorders>
            <w:vAlign w:val="bottom"/>
          </w:tcPr>
          <w:p w14:paraId="19582C58"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w:t>
            </w:r>
          </w:p>
        </w:tc>
      </w:tr>
      <w:tr w:rsidR="00746C37" w:rsidRPr="00731429" w14:paraId="0D8E1FF7"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2018B121"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Fauna silvestre</w:t>
            </w:r>
          </w:p>
        </w:tc>
        <w:tc>
          <w:tcPr>
            <w:tcW w:w="1985" w:type="dxa"/>
            <w:tcBorders>
              <w:top w:val="single" w:sz="4" w:space="0" w:color="auto"/>
              <w:left w:val="single" w:sz="4" w:space="0" w:color="auto"/>
              <w:bottom w:val="single" w:sz="4" w:space="0" w:color="auto"/>
              <w:right w:val="single" w:sz="4" w:space="0" w:color="auto"/>
            </w:tcBorders>
            <w:vAlign w:val="bottom"/>
          </w:tcPr>
          <w:p w14:paraId="6E4FFC47"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RNR-431</w:t>
            </w:r>
          </w:p>
        </w:tc>
      </w:tr>
      <w:tr w:rsidR="00746C37" w:rsidRPr="00731429" w14:paraId="5F1BC214"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206CF710" w14:textId="137D3D8C" w:rsidR="00746C37" w:rsidRPr="00731429" w:rsidRDefault="00746C37" w:rsidP="00F85CBB">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 xml:space="preserve">Biotecnología </w:t>
            </w:r>
          </w:p>
        </w:tc>
        <w:tc>
          <w:tcPr>
            <w:tcW w:w="1985" w:type="dxa"/>
            <w:tcBorders>
              <w:top w:val="single" w:sz="4" w:space="0" w:color="auto"/>
              <w:left w:val="single" w:sz="4" w:space="0" w:color="auto"/>
              <w:bottom w:val="single" w:sz="4" w:space="0" w:color="auto"/>
              <w:right w:val="single" w:sz="4" w:space="0" w:color="auto"/>
            </w:tcBorders>
            <w:vAlign w:val="bottom"/>
          </w:tcPr>
          <w:p w14:paraId="0F4EDA5C"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w:t>
            </w:r>
          </w:p>
        </w:tc>
      </w:tr>
      <w:tr w:rsidR="00746C37" w:rsidRPr="00731429" w14:paraId="0E3D8A01"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46F15E1E"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Ecofisiología vegetal</w:t>
            </w:r>
          </w:p>
        </w:tc>
        <w:tc>
          <w:tcPr>
            <w:tcW w:w="1985" w:type="dxa"/>
            <w:tcBorders>
              <w:top w:val="single" w:sz="4" w:space="0" w:color="auto"/>
              <w:left w:val="single" w:sz="4" w:space="0" w:color="auto"/>
              <w:bottom w:val="single" w:sz="4" w:space="0" w:color="auto"/>
              <w:right w:val="single" w:sz="4" w:space="0" w:color="auto"/>
            </w:tcBorders>
            <w:vAlign w:val="bottom"/>
          </w:tcPr>
          <w:p w14:paraId="34B49178"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BOT-447</w:t>
            </w:r>
          </w:p>
        </w:tc>
      </w:tr>
      <w:tr w:rsidR="00746C37" w:rsidRPr="00731429" w14:paraId="2DE02440"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69E400EF"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sidRPr="00731429">
              <w:rPr>
                <w:rFonts w:ascii="Arial" w:hAnsi="Arial" w:cs="Arial"/>
                <w:sz w:val="20"/>
                <w:szCs w:val="20"/>
                <w:lang w:val="es-ES"/>
              </w:rPr>
              <w:t>Formulación y Eval</w:t>
            </w:r>
            <w:r>
              <w:rPr>
                <w:rFonts w:ascii="Arial" w:hAnsi="Arial" w:cs="Arial"/>
                <w:sz w:val="20"/>
                <w:szCs w:val="20"/>
                <w:lang w:val="es-ES"/>
              </w:rPr>
              <w:t>uación</w:t>
            </w:r>
            <w:r w:rsidRPr="00731429">
              <w:rPr>
                <w:rFonts w:ascii="Arial" w:hAnsi="Arial" w:cs="Arial"/>
                <w:sz w:val="20"/>
                <w:szCs w:val="20"/>
                <w:lang w:val="es-ES"/>
              </w:rPr>
              <w:t>.de Proyectos</w:t>
            </w:r>
          </w:p>
        </w:tc>
        <w:tc>
          <w:tcPr>
            <w:tcW w:w="1985" w:type="dxa"/>
            <w:tcBorders>
              <w:top w:val="single" w:sz="4" w:space="0" w:color="auto"/>
              <w:left w:val="single" w:sz="4" w:space="0" w:color="auto"/>
              <w:bottom w:val="single" w:sz="4" w:space="0" w:color="auto"/>
              <w:right w:val="single" w:sz="4" w:space="0" w:color="auto"/>
            </w:tcBorders>
            <w:vAlign w:val="bottom"/>
          </w:tcPr>
          <w:p w14:paraId="6B04AFFB"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ADM-459</w:t>
            </w:r>
          </w:p>
        </w:tc>
      </w:tr>
      <w:tr w:rsidR="00851E59" w:rsidRPr="00731429" w14:paraId="321D5E3E" w14:textId="77777777" w:rsidTr="0086714E">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22EABC81" w14:textId="7ACE0E3B" w:rsidR="00851E59" w:rsidRPr="00731429" w:rsidRDefault="0086714E" w:rsidP="0086714E">
            <w:pPr>
              <w:widowControl w:val="0"/>
              <w:autoSpaceDE w:val="0"/>
              <w:autoSpaceDN w:val="0"/>
              <w:adjustRightInd w:val="0"/>
              <w:spacing w:after="0" w:line="240" w:lineRule="auto"/>
              <w:rPr>
                <w:rFonts w:ascii="Arial" w:hAnsi="Arial" w:cs="Arial"/>
                <w:sz w:val="20"/>
                <w:szCs w:val="20"/>
                <w:lang w:val="es-ES"/>
              </w:rPr>
            </w:pPr>
            <w:r>
              <w:rPr>
                <w:rFonts w:ascii="Arial" w:hAnsi="Arial" w:cs="Arial"/>
                <w:sz w:val="20"/>
                <w:szCs w:val="20"/>
                <w:lang w:val="es-ES"/>
              </w:rPr>
              <w:t xml:space="preserve">Manejo Integrado de Plagas </w:t>
            </w:r>
          </w:p>
        </w:tc>
        <w:tc>
          <w:tcPr>
            <w:tcW w:w="1985" w:type="dxa"/>
            <w:tcBorders>
              <w:top w:val="single" w:sz="4" w:space="0" w:color="auto"/>
              <w:left w:val="single" w:sz="4" w:space="0" w:color="auto"/>
              <w:bottom w:val="single" w:sz="4" w:space="0" w:color="auto"/>
              <w:right w:val="single" w:sz="4" w:space="0" w:color="auto"/>
            </w:tcBorders>
            <w:vAlign w:val="bottom"/>
          </w:tcPr>
          <w:p w14:paraId="224E54F1" w14:textId="4E04E53E"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PAR498</w:t>
            </w:r>
          </w:p>
        </w:tc>
      </w:tr>
      <w:tr w:rsidR="00746C37" w:rsidRPr="00731429" w14:paraId="3EF02E94"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0ADB6CAA" w14:textId="77F604F8" w:rsidR="00746C37" w:rsidRPr="00731429" w:rsidRDefault="0086714E"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Fertilidad y Fertilización de Suelos</w:t>
            </w:r>
          </w:p>
        </w:tc>
        <w:tc>
          <w:tcPr>
            <w:tcW w:w="1985" w:type="dxa"/>
            <w:tcBorders>
              <w:top w:val="single" w:sz="4" w:space="0" w:color="auto"/>
              <w:left w:val="single" w:sz="4" w:space="0" w:color="auto"/>
              <w:bottom w:val="single" w:sz="4" w:space="0" w:color="auto"/>
              <w:right w:val="single" w:sz="4" w:space="0" w:color="auto"/>
            </w:tcBorders>
            <w:vAlign w:val="bottom"/>
          </w:tcPr>
          <w:p w14:paraId="1EE47F31" w14:textId="34298AF7" w:rsidR="00746C37" w:rsidRPr="00731429" w:rsidRDefault="0086714E"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SUE420</w:t>
            </w:r>
          </w:p>
        </w:tc>
      </w:tr>
      <w:tr w:rsidR="00851E59" w:rsidRPr="00731429" w14:paraId="4F4C8EF5" w14:textId="77777777"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496158ED" w14:textId="02AA48AA" w:rsidR="00851E59" w:rsidRPr="00731429" w:rsidRDefault="0086714E"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Evaluación de Ecosistemas</w:t>
            </w:r>
          </w:p>
        </w:tc>
        <w:tc>
          <w:tcPr>
            <w:tcW w:w="1985" w:type="dxa"/>
            <w:tcBorders>
              <w:top w:val="single" w:sz="4" w:space="0" w:color="auto"/>
              <w:left w:val="single" w:sz="4" w:space="0" w:color="auto"/>
              <w:bottom w:val="single" w:sz="4" w:space="0" w:color="auto"/>
              <w:right w:val="single" w:sz="4" w:space="0" w:color="auto"/>
            </w:tcBorders>
            <w:vAlign w:val="bottom"/>
          </w:tcPr>
          <w:p w14:paraId="369D6586" w14:textId="59B261D2"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BOT455</w:t>
            </w:r>
          </w:p>
        </w:tc>
      </w:tr>
      <w:tr w:rsidR="00851E59" w:rsidRPr="00731429" w14:paraId="1D0A0464" w14:textId="77777777"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47153F92" w14:textId="7DA2AFA9" w:rsidR="00851E59" w:rsidRPr="00731429" w:rsidRDefault="0086714E"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Manejo Agroecológico del Suelo</w:t>
            </w:r>
          </w:p>
        </w:tc>
        <w:tc>
          <w:tcPr>
            <w:tcW w:w="1985" w:type="dxa"/>
            <w:tcBorders>
              <w:top w:val="single" w:sz="4" w:space="0" w:color="auto"/>
              <w:left w:val="single" w:sz="4" w:space="0" w:color="auto"/>
              <w:bottom w:val="single" w:sz="4" w:space="0" w:color="auto"/>
              <w:right w:val="single" w:sz="4" w:space="0" w:color="auto"/>
            </w:tcBorders>
            <w:vAlign w:val="bottom"/>
          </w:tcPr>
          <w:p w14:paraId="15349377" w14:textId="2B5F9ABF"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SUE486</w:t>
            </w:r>
          </w:p>
        </w:tc>
      </w:tr>
      <w:tr w:rsidR="00851E59" w:rsidRPr="00731429" w14:paraId="4719CA19" w14:textId="77777777"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245720BC" w14:textId="5781BA6D"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Agroecología</w:t>
            </w:r>
          </w:p>
        </w:tc>
        <w:tc>
          <w:tcPr>
            <w:tcW w:w="1985" w:type="dxa"/>
            <w:tcBorders>
              <w:top w:val="single" w:sz="4" w:space="0" w:color="auto"/>
              <w:left w:val="single" w:sz="4" w:space="0" w:color="auto"/>
              <w:bottom w:val="single" w:sz="4" w:space="0" w:color="auto"/>
              <w:right w:val="single" w:sz="4" w:space="0" w:color="auto"/>
            </w:tcBorders>
            <w:vAlign w:val="bottom"/>
          </w:tcPr>
          <w:p w14:paraId="3D8F8CD0" w14:textId="0DC0599F"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BOT457</w:t>
            </w:r>
          </w:p>
        </w:tc>
      </w:tr>
      <w:tr w:rsidR="00851E59" w:rsidRPr="00731429" w14:paraId="0BF6AB8E" w14:textId="77777777"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436B064F" w14:textId="5440C434"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Biología de Zonas Áridas</w:t>
            </w:r>
          </w:p>
        </w:tc>
        <w:tc>
          <w:tcPr>
            <w:tcW w:w="1985" w:type="dxa"/>
            <w:tcBorders>
              <w:top w:val="single" w:sz="4" w:space="0" w:color="auto"/>
              <w:left w:val="single" w:sz="4" w:space="0" w:color="auto"/>
              <w:bottom w:val="single" w:sz="4" w:space="0" w:color="auto"/>
              <w:right w:val="single" w:sz="4" w:space="0" w:color="auto"/>
            </w:tcBorders>
            <w:vAlign w:val="bottom"/>
          </w:tcPr>
          <w:p w14:paraId="7BDDEDBF" w14:textId="273AE023"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BOT465</w:t>
            </w:r>
          </w:p>
        </w:tc>
      </w:tr>
      <w:tr w:rsidR="00851E59" w:rsidRPr="00731429" w14:paraId="3B11B529" w14:textId="77777777"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1120211C" w14:textId="011EB149"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Agricultura Sustentable e Inocuidad</w:t>
            </w:r>
          </w:p>
        </w:tc>
        <w:tc>
          <w:tcPr>
            <w:tcW w:w="1985" w:type="dxa"/>
            <w:tcBorders>
              <w:top w:val="single" w:sz="4" w:space="0" w:color="auto"/>
              <w:left w:val="single" w:sz="4" w:space="0" w:color="auto"/>
              <w:bottom w:val="single" w:sz="4" w:space="0" w:color="auto"/>
              <w:right w:val="single" w:sz="4" w:space="0" w:color="auto"/>
            </w:tcBorders>
            <w:vAlign w:val="bottom"/>
          </w:tcPr>
          <w:p w14:paraId="18A2DD55" w14:textId="18B55B1C"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FIT471</w:t>
            </w:r>
          </w:p>
        </w:tc>
      </w:tr>
      <w:tr w:rsidR="00851E59" w:rsidRPr="00731429" w14:paraId="27A46706" w14:textId="77777777"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315FB0F9" w14:textId="40FE8356"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Manejo y Conservación de Recursos Bióticos</w:t>
            </w:r>
          </w:p>
        </w:tc>
        <w:tc>
          <w:tcPr>
            <w:tcW w:w="1985" w:type="dxa"/>
            <w:tcBorders>
              <w:top w:val="single" w:sz="4" w:space="0" w:color="auto"/>
              <w:left w:val="single" w:sz="4" w:space="0" w:color="auto"/>
              <w:bottom w:val="single" w:sz="4" w:space="0" w:color="auto"/>
              <w:right w:val="single" w:sz="4" w:space="0" w:color="auto"/>
            </w:tcBorders>
            <w:vAlign w:val="bottom"/>
          </w:tcPr>
          <w:p w14:paraId="3F151A72" w14:textId="00750416"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BOT475</w:t>
            </w:r>
          </w:p>
        </w:tc>
      </w:tr>
      <w:tr w:rsidR="00851E59" w:rsidRPr="00731429" w14:paraId="3AE5097C" w14:textId="77777777"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69112253" w14:textId="068A59BF"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Ecología de Áreas Naturales Protegidas</w:t>
            </w:r>
          </w:p>
        </w:tc>
        <w:tc>
          <w:tcPr>
            <w:tcW w:w="1985" w:type="dxa"/>
            <w:tcBorders>
              <w:top w:val="single" w:sz="4" w:space="0" w:color="auto"/>
              <w:left w:val="single" w:sz="4" w:space="0" w:color="auto"/>
              <w:bottom w:val="single" w:sz="4" w:space="0" w:color="auto"/>
              <w:right w:val="single" w:sz="4" w:space="0" w:color="auto"/>
            </w:tcBorders>
            <w:vAlign w:val="bottom"/>
          </w:tcPr>
          <w:p w14:paraId="515EBF7D" w14:textId="242A7B56"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BOT456</w:t>
            </w:r>
          </w:p>
        </w:tc>
      </w:tr>
      <w:tr w:rsidR="00851E59" w:rsidRPr="00731429" w14:paraId="71E8238F" w14:textId="77777777"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7FA9A32C" w14:textId="04A1992E"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Bioagricultura</w:t>
            </w:r>
          </w:p>
        </w:tc>
        <w:tc>
          <w:tcPr>
            <w:tcW w:w="1985" w:type="dxa"/>
            <w:tcBorders>
              <w:top w:val="single" w:sz="4" w:space="0" w:color="auto"/>
              <w:left w:val="single" w:sz="4" w:space="0" w:color="auto"/>
              <w:bottom w:val="single" w:sz="4" w:space="0" w:color="auto"/>
              <w:right w:val="single" w:sz="4" w:space="0" w:color="auto"/>
            </w:tcBorders>
            <w:vAlign w:val="bottom"/>
          </w:tcPr>
          <w:p w14:paraId="29E5D9FA" w14:textId="0CCA66B1"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BOT473</w:t>
            </w:r>
          </w:p>
        </w:tc>
      </w:tr>
      <w:tr w:rsidR="00851E59" w:rsidRPr="00731429" w14:paraId="0719FA0B" w14:textId="77777777"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71A919AF" w14:textId="6933C32C"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Manejo Agroecológico del Agua</w:t>
            </w:r>
          </w:p>
        </w:tc>
        <w:tc>
          <w:tcPr>
            <w:tcW w:w="1985" w:type="dxa"/>
            <w:tcBorders>
              <w:top w:val="single" w:sz="4" w:space="0" w:color="auto"/>
              <w:left w:val="single" w:sz="4" w:space="0" w:color="auto"/>
              <w:bottom w:val="single" w:sz="4" w:space="0" w:color="auto"/>
              <w:right w:val="single" w:sz="4" w:space="0" w:color="auto"/>
            </w:tcBorders>
            <w:vAlign w:val="bottom"/>
          </w:tcPr>
          <w:p w14:paraId="7F4B4EC6" w14:textId="4BD2481D"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RYD483</w:t>
            </w:r>
          </w:p>
        </w:tc>
      </w:tr>
      <w:tr w:rsidR="00746C37" w:rsidRPr="00731429" w14:paraId="3ABBDBCC"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1F37AAF3"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Taller de Investigación II</w:t>
            </w:r>
          </w:p>
        </w:tc>
        <w:tc>
          <w:tcPr>
            <w:tcW w:w="1985" w:type="dxa"/>
            <w:tcBorders>
              <w:top w:val="single" w:sz="4" w:space="0" w:color="auto"/>
              <w:left w:val="single" w:sz="4" w:space="0" w:color="auto"/>
              <w:bottom w:val="single" w:sz="4" w:space="0" w:color="auto"/>
              <w:right w:val="single" w:sz="4" w:space="0" w:color="auto"/>
            </w:tcBorders>
            <w:vAlign w:val="bottom"/>
          </w:tcPr>
          <w:p w14:paraId="35A5F52F"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BOT-452</w:t>
            </w:r>
          </w:p>
        </w:tc>
      </w:tr>
      <w:tr w:rsidR="00746C37" w:rsidRPr="00731429" w14:paraId="02173DCD"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53EC0523"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Prácticas Profesionales</w:t>
            </w:r>
          </w:p>
        </w:tc>
        <w:tc>
          <w:tcPr>
            <w:tcW w:w="1985" w:type="dxa"/>
            <w:tcBorders>
              <w:top w:val="single" w:sz="4" w:space="0" w:color="auto"/>
              <w:left w:val="single" w:sz="4" w:space="0" w:color="auto"/>
              <w:bottom w:val="single" w:sz="4" w:space="0" w:color="auto"/>
              <w:right w:val="single" w:sz="4" w:space="0" w:color="auto"/>
            </w:tcBorders>
            <w:vAlign w:val="bottom"/>
          </w:tcPr>
          <w:p w14:paraId="208DFC5D"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BOT-490</w:t>
            </w:r>
          </w:p>
        </w:tc>
      </w:tr>
      <w:tr w:rsidR="00746C37" w:rsidRPr="00731429" w14:paraId="159B5E40" w14:textId="77777777" w:rsidTr="00CF3FE9">
        <w:trPr>
          <w:trHeight w:val="384"/>
        </w:trPr>
        <w:tc>
          <w:tcPr>
            <w:tcW w:w="5953" w:type="dxa"/>
            <w:tcBorders>
              <w:left w:val="single" w:sz="4" w:space="0" w:color="auto"/>
            </w:tcBorders>
            <w:vAlign w:val="bottom"/>
          </w:tcPr>
          <w:p w14:paraId="50AA95EC"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b/>
                <w:bCs/>
                <w:sz w:val="20"/>
                <w:szCs w:val="20"/>
              </w:rPr>
              <w:t>Materias obligatorias: 46</w:t>
            </w:r>
          </w:p>
        </w:tc>
        <w:tc>
          <w:tcPr>
            <w:tcW w:w="1985" w:type="dxa"/>
            <w:tcBorders>
              <w:right w:val="single" w:sz="4" w:space="0" w:color="auto"/>
            </w:tcBorders>
            <w:vAlign w:val="bottom"/>
          </w:tcPr>
          <w:p w14:paraId="3B465E45"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p>
        </w:tc>
      </w:tr>
      <w:tr w:rsidR="00746C37" w:rsidRPr="00731429" w14:paraId="6289E200" w14:textId="77777777" w:rsidTr="00CF3FE9">
        <w:trPr>
          <w:trHeight w:val="384"/>
        </w:trPr>
        <w:tc>
          <w:tcPr>
            <w:tcW w:w="5953" w:type="dxa"/>
            <w:tcBorders>
              <w:left w:val="single" w:sz="4" w:space="0" w:color="auto"/>
              <w:bottom w:val="single" w:sz="4" w:space="0" w:color="auto"/>
            </w:tcBorders>
            <w:vAlign w:val="bottom"/>
          </w:tcPr>
          <w:p w14:paraId="047B8748"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b/>
                <w:bCs/>
                <w:sz w:val="20"/>
                <w:szCs w:val="20"/>
              </w:rPr>
              <w:t>Materias optativas:    10</w:t>
            </w:r>
          </w:p>
        </w:tc>
        <w:tc>
          <w:tcPr>
            <w:tcW w:w="1985" w:type="dxa"/>
            <w:tcBorders>
              <w:bottom w:val="single" w:sz="4" w:space="0" w:color="auto"/>
              <w:right w:val="single" w:sz="4" w:space="0" w:color="auto"/>
            </w:tcBorders>
            <w:vAlign w:val="bottom"/>
          </w:tcPr>
          <w:p w14:paraId="12019A51"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p>
        </w:tc>
      </w:tr>
      <w:tr w:rsidR="00746C37" w:rsidRPr="00731429" w14:paraId="2314940A"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5EB00C44"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b/>
                <w:bCs/>
                <w:sz w:val="20"/>
                <w:szCs w:val="20"/>
              </w:rPr>
              <w:t>MATERIAS OPTATIVAS</w:t>
            </w:r>
          </w:p>
        </w:tc>
        <w:tc>
          <w:tcPr>
            <w:tcW w:w="1985" w:type="dxa"/>
            <w:tcBorders>
              <w:top w:val="single" w:sz="4" w:space="0" w:color="auto"/>
              <w:left w:val="single" w:sz="4" w:space="0" w:color="auto"/>
              <w:bottom w:val="single" w:sz="4" w:space="0" w:color="auto"/>
              <w:right w:val="single" w:sz="4" w:space="0" w:color="auto"/>
            </w:tcBorders>
            <w:vAlign w:val="bottom"/>
          </w:tcPr>
          <w:p w14:paraId="22D3669F"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p>
        </w:tc>
      </w:tr>
      <w:tr w:rsidR="00746C37" w:rsidRPr="00731429" w14:paraId="42ADCA8C"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678018E6"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Agricultura Biointensiva Sostenible</w:t>
            </w:r>
          </w:p>
        </w:tc>
        <w:tc>
          <w:tcPr>
            <w:tcW w:w="1985" w:type="dxa"/>
            <w:tcBorders>
              <w:top w:val="single" w:sz="4" w:space="0" w:color="auto"/>
              <w:left w:val="single" w:sz="4" w:space="0" w:color="auto"/>
              <w:bottom w:val="single" w:sz="4" w:space="0" w:color="auto"/>
              <w:right w:val="single" w:sz="4" w:space="0" w:color="auto"/>
            </w:tcBorders>
            <w:vAlign w:val="bottom"/>
          </w:tcPr>
          <w:p w14:paraId="38482485"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BOT-496</w:t>
            </w:r>
          </w:p>
        </w:tc>
      </w:tr>
      <w:tr w:rsidR="00746C37" w:rsidRPr="00731429" w14:paraId="457C28BB"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20403A99"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Arquitectura del Paisaje</w:t>
            </w:r>
          </w:p>
        </w:tc>
        <w:tc>
          <w:tcPr>
            <w:tcW w:w="1985" w:type="dxa"/>
            <w:tcBorders>
              <w:top w:val="single" w:sz="4" w:space="0" w:color="auto"/>
              <w:left w:val="single" w:sz="4" w:space="0" w:color="auto"/>
              <w:bottom w:val="single" w:sz="4" w:space="0" w:color="auto"/>
              <w:right w:val="single" w:sz="4" w:space="0" w:color="auto"/>
            </w:tcBorders>
            <w:vAlign w:val="bottom"/>
          </w:tcPr>
          <w:p w14:paraId="5B14BBF9"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9"/>
                <w:sz w:val="20"/>
                <w:szCs w:val="20"/>
              </w:rPr>
              <w:t>SUE-409</w:t>
            </w:r>
          </w:p>
        </w:tc>
      </w:tr>
      <w:tr w:rsidR="00746C37" w:rsidRPr="00731429" w14:paraId="3669A3DB"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47336FA4"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lastRenderedPageBreak/>
              <w:t>Biología Molecular</w:t>
            </w:r>
          </w:p>
        </w:tc>
        <w:tc>
          <w:tcPr>
            <w:tcW w:w="1985" w:type="dxa"/>
            <w:tcBorders>
              <w:top w:val="single" w:sz="4" w:space="0" w:color="auto"/>
              <w:left w:val="single" w:sz="4" w:space="0" w:color="auto"/>
              <w:bottom w:val="single" w:sz="4" w:space="0" w:color="auto"/>
              <w:right w:val="single" w:sz="4" w:space="0" w:color="auto"/>
            </w:tcBorders>
            <w:vAlign w:val="bottom"/>
          </w:tcPr>
          <w:p w14:paraId="1B4EBB06"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BOT-403</w:t>
            </w:r>
          </w:p>
        </w:tc>
      </w:tr>
      <w:tr w:rsidR="00746C37" w:rsidRPr="00731429" w14:paraId="08ADE07D" w14:textId="77777777" w:rsidTr="00CF3FE9">
        <w:trPr>
          <w:trHeight w:val="404"/>
        </w:trPr>
        <w:tc>
          <w:tcPr>
            <w:tcW w:w="5953" w:type="dxa"/>
            <w:tcBorders>
              <w:top w:val="single" w:sz="4" w:space="0" w:color="auto"/>
              <w:left w:val="single" w:sz="4" w:space="0" w:color="auto"/>
              <w:bottom w:val="single" w:sz="4" w:space="0" w:color="auto"/>
              <w:right w:val="single" w:sz="4" w:space="0" w:color="auto"/>
            </w:tcBorders>
            <w:vAlign w:val="bottom"/>
          </w:tcPr>
          <w:p w14:paraId="0DBFD7C3"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sidRPr="00731429">
              <w:rPr>
                <w:rFonts w:ascii="Arial" w:hAnsi="Arial" w:cs="Arial"/>
                <w:noProof/>
                <w:sz w:val="20"/>
                <w:szCs w:val="20"/>
              </w:rPr>
              <mc:AlternateContent>
                <mc:Choice Requires="wps">
                  <w:drawing>
                    <wp:anchor distT="0" distB="0" distL="114300" distR="114300" simplePos="0" relativeHeight="251901440" behindDoc="1" locked="0" layoutInCell="0" allowOverlap="1" wp14:anchorId="338316FA" wp14:editId="47154DD6">
                      <wp:simplePos x="0" y="0"/>
                      <wp:positionH relativeFrom="column">
                        <wp:posOffset>-6985</wp:posOffset>
                      </wp:positionH>
                      <wp:positionV relativeFrom="paragraph">
                        <wp:posOffset>-651510</wp:posOffset>
                      </wp:positionV>
                      <wp:extent cx="12065" cy="12700"/>
                      <wp:effectExtent l="0" t="0" r="0" b="0"/>
                      <wp:wrapNone/>
                      <wp:docPr id="519" name="Rectángulo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D28FC3" id="Rectángulo 519" o:spid="_x0000_s1026" style="position:absolute;margin-left:-.55pt;margin-top:-51.3pt;width:.95pt;height:1pt;z-index:-2514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" o:allowincell="f" fillcolor="black" stroked="f"/>
                  </w:pict>
                </mc:Fallback>
              </mc:AlternateContent>
            </w:r>
            <w:r w:rsidRPr="00731429">
              <w:rPr>
                <w:rFonts w:ascii="Arial" w:hAnsi="Arial" w:cs="Arial"/>
                <w:noProof/>
                <w:sz w:val="20"/>
                <w:szCs w:val="20"/>
              </w:rPr>
              <mc:AlternateContent>
                <mc:Choice Requires="wps">
                  <w:drawing>
                    <wp:anchor distT="0" distB="0" distL="114300" distR="114300" simplePos="0" relativeHeight="251902464" behindDoc="1" locked="0" layoutInCell="0" allowOverlap="1" wp14:anchorId="1757DC7E" wp14:editId="20B287C5">
                      <wp:simplePos x="0" y="0"/>
                      <wp:positionH relativeFrom="column">
                        <wp:posOffset>2370455</wp:posOffset>
                      </wp:positionH>
                      <wp:positionV relativeFrom="paragraph">
                        <wp:posOffset>-651510</wp:posOffset>
                      </wp:positionV>
                      <wp:extent cx="12700" cy="12700"/>
                      <wp:effectExtent l="0" t="0" r="0" b="0"/>
                      <wp:wrapNone/>
                      <wp:docPr id="518" name="Rectángulo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C2BFE0" id="Rectángulo 518" o:spid="_x0000_s1026" style="position:absolute;margin-left:186.65pt;margin-top:-51.3pt;width:1pt;height:1pt;z-index:-2514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abt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" o:allowincell="f" fillcolor="black" stroked="f"/>
                  </w:pict>
                </mc:Fallback>
              </mc:AlternateContent>
            </w:r>
            <w:r w:rsidRPr="00731429">
              <w:rPr>
                <w:rFonts w:ascii="Arial" w:hAnsi="Arial" w:cs="Arial"/>
                <w:noProof/>
                <w:sz w:val="20"/>
                <w:szCs w:val="20"/>
              </w:rPr>
              <mc:AlternateContent>
                <mc:Choice Requires="wps">
                  <w:drawing>
                    <wp:anchor distT="0" distB="0" distL="114300" distR="114300" simplePos="0" relativeHeight="251903488" behindDoc="1" locked="0" layoutInCell="0" allowOverlap="1" wp14:anchorId="7C0F5AAB" wp14:editId="7416449C">
                      <wp:simplePos x="0" y="0"/>
                      <wp:positionH relativeFrom="column">
                        <wp:posOffset>6257925</wp:posOffset>
                      </wp:positionH>
                      <wp:positionV relativeFrom="paragraph">
                        <wp:posOffset>-651510</wp:posOffset>
                      </wp:positionV>
                      <wp:extent cx="12700" cy="12700"/>
                      <wp:effectExtent l="0" t="0" r="0" b="0"/>
                      <wp:wrapNone/>
                      <wp:docPr id="517" name="Rectángulo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D30C16" id="Rectángulo 517" o:spid="_x0000_s1026" style="position:absolute;margin-left:492.75pt;margin-top:-51.3pt;width:1pt;height:1pt;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Dlm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" o:allowincell="f" fillcolor="black" stroked="f"/>
                  </w:pict>
                </mc:Fallback>
              </mc:AlternateContent>
            </w:r>
            <w:r w:rsidRPr="00731429">
              <w:rPr>
                <w:rFonts w:ascii="Arial" w:hAnsi="Arial" w:cs="Arial"/>
                <w:noProof/>
                <w:sz w:val="20"/>
                <w:szCs w:val="20"/>
              </w:rPr>
              <mc:AlternateContent>
                <mc:Choice Requires="wps">
                  <w:drawing>
                    <wp:anchor distT="0" distB="0" distL="114300" distR="114300" simplePos="0" relativeHeight="251904512" behindDoc="1" locked="0" layoutInCell="0" allowOverlap="1" wp14:anchorId="1553037E" wp14:editId="2CB9C520">
                      <wp:simplePos x="0" y="0"/>
                      <wp:positionH relativeFrom="page">
                        <wp:posOffset>741680</wp:posOffset>
                      </wp:positionH>
                      <wp:positionV relativeFrom="page">
                        <wp:posOffset>897890</wp:posOffset>
                      </wp:positionV>
                      <wp:extent cx="12700" cy="12700"/>
                      <wp:effectExtent l="0" t="0" r="0" b="0"/>
                      <wp:wrapNone/>
                      <wp:docPr id="516" name="Rectángulo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F1DC8D" id="Rectángulo 516" o:spid="_x0000_s1026" style="position:absolute;margin-left:58.4pt;margin-top:70.7pt;width:1pt;height:1pt;z-index:-25141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" o:allowincell="f" fillcolor="black" stroked="f">
                      <w10:wrap anchorx="page" anchory="page"/>
                    </v:rect>
                  </w:pict>
                </mc:Fallback>
              </mc:AlternateContent>
            </w:r>
            <w:r w:rsidRPr="00731429">
              <w:rPr>
                <w:rFonts w:ascii="Arial" w:hAnsi="Arial" w:cs="Arial"/>
                <w:noProof/>
                <w:sz w:val="20"/>
                <w:szCs w:val="20"/>
              </w:rPr>
              <mc:AlternateContent>
                <mc:Choice Requires="wps">
                  <w:drawing>
                    <wp:anchor distT="0" distB="0" distL="114300" distR="114300" simplePos="0" relativeHeight="251905536" behindDoc="1" locked="0" layoutInCell="0" allowOverlap="1" wp14:anchorId="6DCC39FC" wp14:editId="4ED95ED3">
                      <wp:simplePos x="0" y="0"/>
                      <wp:positionH relativeFrom="page">
                        <wp:posOffset>3119755</wp:posOffset>
                      </wp:positionH>
                      <wp:positionV relativeFrom="page">
                        <wp:posOffset>897890</wp:posOffset>
                      </wp:positionV>
                      <wp:extent cx="12700" cy="12700"/>
                      <wp:effectExtent l="0" t="0" r="0" b="0"/>
                      <wp:wrapNone/>
                      <wp:docPr id="515" name="Rectángulo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986C9C" id="Rectángulo 515" o:spid="_x0000_s1026" style="position:absolute;margin-left:245.65pt;margin-top:70.7pt;width:1pt;height:1pt;z-index:-25141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HTg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" o:allowincell="f" fillcolor="black" stroked="f">
                      <w10:wrap anchorx="page" anchory="page"/>
                    </v:rect>
                  </w:pict>
                </mc:Fallback>
              </mc:AlternateContent>
            </w:r>
            <w:r w:rsidRPr="00731429">
              <w:rPr>
                <w:rFonts w:ascii="Arial" w:hAnsi="Arial" w:cs="Arial"/>
                <w:noProof/>
                <w:sz w:val="20"/>
                <w:szCs w:val="20"/>
              </w:rPr>
              <mc:AlternateContent>
                <mc:Choice Requires="wps">
                  <w:drawing>
                    <wp:anchor distT="0" distB="0" distL="114300" distR="114300" simplePos="0" relativeHeight="251906560" behindDoc="1" locked="0" layoutInCell="0" allowOverlap="1" wp14:anchorId="04179C3F" wp14:editId="18D1DD54">
                      <wp:simplePos x="0" y="0"/>
                      <wp:positionH relativeFrom="page">
                        <wp:posOffset>7007225</wp:posOffset>
                      </wp:positionH>
                      <wp:positionV relativeFrom="page">
                        <wp:posOffset>897890</wp:posOffset>
                      </wp:positionV>
                      <wp:extent cx="12700" cy="12700"/>
                      <wp:effectExtent l="0" t="0" r="0" b="0"/>
                      <wp:wrapNone/>
                      <wp:docPr id="514" name="Rectángulo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9C2416" id="Rectángulo 514" o:spid="_x0000_s1026" style="position:absolute;margin-left:551.75pt;margin-top:70.7pt;width:1pt;height:1pt;z-index:-25140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pO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" o:allowincell="f" fillcolor="black" stroked="f">
                      <w10:wrap anchorx="page" anchory="page"/>
                    </v:rect>
                  </w:pict>
                </mc:Fallback>
              </mc:AlternateContent>
            </w:r>
            <w:r w:rsidRPr="00731429">
              <w:rPr>
                <w:rFonts w:ascii="Arial" w:hAnsi="Arial" w:cs="Arial"/>
                <w:sz w:val="20"/>
                <w:szCs w:val="20"/>
                <w:lang w:val="es-ES"/>
              </w:rPr>
              <w:t>Plantas útiles de Zonas Aridas</w:t>
            </w:r>
          </w:p>
        </w:tc>
        <w:tc>
          <w:tcPr>
            <w:tcW w:w="1985" w:type="dxa"/>
            <w:tcBorders>
              <w:top w:val="single" w:sz="4" w:space="0" w:color="auto"/>
              <w:left w:val="single" w:sz="4" w:space="0" w:color="auto"/>
              <w:bottom w:val="single" w:sz="4" w:space="0" w:color="auto"/>
              <w:right w:val="single" w:sz="4" w:space="0" w:color="auto"/>
            </w:tcBorders>
            <w:vAlign w:val="bottom"/>
          </w:tcPr>
          <w:p w14:paraId="13C50718"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BOT-467</w:t>
            </w:r>
          </w:p>
        </w:tc>
      </w:tr>
      <w:tr w:rsidR="00746C37" w:rsidRPr="00731429" w14:paraId="20DE58B9"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1189DACD"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Agrostología</w:t>
            </w:r>
          </w:p>
        </w:tc>
        <w:tc>
          <w:tcPr>
            <w:tcW w:w="1985" w:type="dxa"/>
            <w:tcBorders>
              <w:top w:val="single" w:sz="4" w:space="0" w:color="auto"/>
              <w:left w:val="single" w:sz="4" w:space="0" w:color="auto"/>
              <w:bottom w:val="single" w:sz="4" w:space="0" w:color="auto"/>
              <w:right w:val="single" w:sz="4" w:space="0" w:color="auto"/>
            </w:tcBorders>
            <w:vAlign w:val="bottom"/>
          </w:tcPr>
          <w:p w14:paraId="709BB792"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w:t>
            </w:r>
          </w:p>
        </w:tc>
      </w:tr>
      <w:tr w:rsidR="00746C37" w:rsidRPr="00731429" w14:paraId="06ACBF49"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0CFE6E47"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sidRPr="00731429">
              <w:rPr>
                <w:rFonts w:ascii="Arial" w:hAnsi="Arial" w:cs="Arial"/>
                <w:sz w:val="20"/>
                <w:szCs w:val="20"/>
                <w:lang w:val="es-ES"/>
              </w:rPr>
              <w:t>Ecología de Plagas y enfermedades</w:t>
            </w:r>
          </w:p>
        </w:tc>
        <w:tc>
          <w:tcPr>
            <w:tcW w:w="1985" w:type="dxa"/>
            <w:tcBorders>
              <w:top w:val="single" w:sz="4" w:space="0" w:color="auto"/>
              <w:left w:val="single" w:sz="4" w:space="0" w:color="auto"/>
              <w:bottom w:val="single" w:sz="4" w:space="0" w:color="auto"/>
              <w:right w:val="single" w:sz="4" w:space="0" w:color="auto"/>
            </w:tcBorders>
            <w:vAlign w:val="bottom"/>
          </w:tcPr>
          <w:p w14:paraId="17D94EB2"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PAR-497</w:t>
            </w:r>
          </w:p>
        </w:tc>
      </w:tr>
      <w:tr w:rsidR="00746C37" w:rsidRPr="00731429" w14:paraId="47E3230A" w14:textId="77777777" w:rsidTr="00CF3FE9">
        <w:trPr>
          <w:trHeight w:val="385"/>
        </w:trPr>
        <w:tc>
          <w:tcPr>
            <w:tcW w:w="5953" w:type="dxa"/>
            <w:tcBorders>
              <w:top w:val="single" w:sz="4" w:space="0" w:color="auto"/>
              <w:left w:val="single" w:sz="4" w:space="0" w:color="auto"/>
              <w:bottom w:val="single" w:sz="4" w:space="0" w:color="auto"/>
              <w:right w:val="single" w:sz="4" w:space="0" w:color="auto"/>
            </w:tcBorders>
            <w:vAlign w:val="bottom"/>
          </w:tcPr>
          <w:p w14:paraId="2C3304F9"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Pr>
                <w:rFonts w:ascii="Arial" w:hAnsi="Arial" w:cs="Arial"/>
                <w:sz w:val="20"/>
                <w:szCs w:val="20"/>
                <w:lang w:val="es-ES"/>
              </w:rPr>
              <w:t>Ecología, Producción y Desarrollo</w:t>
            </w:r>
            <w:r w:rsidRPr="00731429">
              <w:rPr>
                <w:rFonts w:ascii="Arial" w:hAnsi="Arial" w:cs="Arial"/>
                <w:sz w:val="20"/>
                <w:szCs w:val="20"/>
                <w:lang w:val="es-ES"/>
              </w:rPr>
              <w:t xml:space="preserve"> Campesino</w:t>
            </w:r>
          </w:p>
        </w:tc>
        <w:tc>
          <w:tcPr>
            <w:tcW w:w="1985" w:type="dxa"/>
            <w:tcBorders>
              <w:top w:val="single" w:sz="4" w:space="0" w:color="auto"/>
              <w:left w:val="single" w:sz="4" w:space="0" w:color="auto"/>
              <w:bottom w:val="single" w:sz="4" w:space="0" w:color="auto"/>
              <w:right w:val="single" w:sz="4" w:space="0" w:color="auto"/>
            </w:tcBorders>
            <w:vAlign w:val="bottom"/>
          </w:tcPr>
          <w:p w14:paraId="3C5299CD"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BOT-453</w:t>
            </w:r>
          </w:p>
        </w:tc>
      </w:tr>
      <w:tr w:rsidR="00746C37" w:rsidRPr="00731429" w14:paraId="1F45A49B"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6FC4211A"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Biotecnología II</w:t>
            </w:r>
          </w:p>
        </w:tc>
        <w:tc>
          <w:tcPr>
            <w:tcW w:w="1985" w:type="dxa"/>
            <w:tcBorders>
              <w:top w:val="single" w:sz="4" w:space="0" w:color="auto"/>
              <w:left w:val="single" w:sz="4" w:space="0" w:color="auto"/>
              <w:bottom w:val="single" w:sz="4" w:space="0" w:color="auto"/>
              <w:right w:val="single" w:sz="4" w:space="0" w:color="auto"/>
            </w:tcBorders>
            <w:vAlign w:val="bottom"/>
          </w:tcPr>
          <w:p w14:paraId="5236E6EB"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FIT-493</w:t>
            </w:r>
          </w:p>
        </w:tc>
      </w:tr>
      <w:tr w:rsidR="00746C37" w:rsidRPr="00731429" w14:paraId="05E41642"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4DC8A2FA"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sidRPr="00731429">
              <w:rPr>
                <w:rFonts w:ascii="Arial" w:hAnsi="Arial" w:cs="Arial"/>
                <w:sz w:val="20"/>
                <w:szCs w:val="20"/>
                <w:lang w:val="es-ES"/>
              </w:rPr>
              <w:t>Economía de las Unidades de Prod</w:t>
            </w:r>
            <w:r>
              <w:rPr>
                <w:rFonts w:ascii="Arial" w:hAnsi="Arial" w:cs="Arial"/>
                <w:sz w:val="20"/>
                <w:szCs w:val="20"/>
                <w:lang w:val="es-ES"/>
              </w:rPr>
              <w:t>ucción</w:t>
            </w:r>
          </w:p>
        </w:tc>
        <w:tc>
          <w:tcPr>
            <w:tcW w:w="1985" w:type="dxa"/>
            <w:tcBorders>
              <w:top w:val="single" w:sz="4" w:space="0" w:color="auto"/>
              <w:left w:val="single" w:sz="4" w:space="0" w:color="auto"/>
              <w:bottom w:val="single" w:sz="4" w:space="0" w:color="auto"/>
              <w:right w:val="single" w:sz="4" w:space="0" w:color="auto"/>
            </w:tcBorders>
            <w:vAlign w:val="bottom"/>
          </w:tcPr>
          <w:p w14:paraId="25213467"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ECA-496</w:t>
            </w:r>
          </w:p>
        </w:tc>
      </w:tr>
      <w:tr w:rsidR="00746C37" w:rsidRPr="00731429" w14:paraId="27DF7FA4"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1A36965B"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Educación Ambiental</w:t>
            </w:r>
          </w:p>
        </w:tc>
        <w:tc>
          <w:tcPr>
            <w:tcW w:w="1985" w:type="dxa"/>
            <w:tcBorders>
              <w:top w:val="single" w:sz="4" w:space="0" w:color="auto"/>
              <w:left w:val="single" w:sz="4" w:space="0" w:color="auto"/>
              <w:bottom w:val="single" w:sz="4" w:space="0" w:color="auto"/>
              <w:right w:val="single" w:sz="4" w:space="0" w:color="auto"/>
            </w:tcBorders>
            <w:vAlign w:val="bottom"/>
          </w:tcPr>
          <w:p w14:paraId="3B32D343"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BOT-462</w:t>
            </w:r>
          </w:p>
        </w:tc>
      </w:tr>
      <w:tr w:rsidR="00746C37" w:rsidRPr="00731429" w14:paraId="2548A446" w14:textId="77777777" w:rsidTr="00CF3FE9">
        <w:trPr>
          <w:trHeight w:val="385"/>
        </w:trPr>
        <w:tc>
          <w:tcPr>
            <w:tcW w:w="5953" w:type="dxa"/>
            <w:tcBorders>
              <w:top w:val="single" w:sz="4" w:space="0" w:color="auto"/>
              <w:left w:val="single" w:sz="4" w:space="0" w:color="auto"/>
              <w:bottom w:val="single" w:sz="4" w:space="0" w:color="auto"/>
              <w:right w:val="single" w:sz="4" w:space="0" w:color="auto"/>
            </w:tcBorders>
            <w:vAlign w:val="bottom"/>
          </w:tcPr>
          <w:p w14:paraId="4430894D" w14:textId="77777777"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Legislación Forestal y Ambiental</w:t>
            </w:r>
          </w:p>
        </w:tc>
        <w:tc>
          <w:tcPr>
            <w:tcW w:w="1985" w:type="dxa"/>
            <w:tcBorders>
              <w:top w:val="single" w:sz="4" w:space="0" w:color="auto"/>
              <w:left w:val="single" w:sz="4" w:space="0" w:color="auto"/>
              <w:bottom w:val="single" w:sz="4" w:space="0" w:color="auto"/>
              <w:right w:val="single" w:sz="4" w:space="0" w:color="auto"/>
            </w:tcBorders>
            <w:vAlign w:val="bottom"/>
          </w:tcPr>
          <w:p w14:paraId="151016D5"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FOR-436</w:t>
            </w:r>
          </w:p>
        </w:tc>
      </w:tr>
      <w:tr w:rsidR="00746C37" w:rsidRPr="00731429" w14:paraId="1E2767F4"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6ED2E26D" w14:textId="1556EE52" w:rsidR="00746C37" w:rsidRPr="00731429" w:rsidRDefault="00DC3E5A" w:rsidP="00DC3E5A">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Microbiología industrial</w:t>
            </w:r>
          </w:p>
        </w:tc>
        <w:tc>
          <w:tcPr>
            <w:tcW w:w="1985" w:type="dxa"/>
            <w:tcBorders>
              <w:top w:val="single" w:sz="4" w:space="0" w:color="auto"/>
              <w:left w:val="single" w:sz="4" w:space="0" w:color="auto"/>
              <w:bottom w:val="single" w:sz="4" w:space="0" w:color="auto"/>
              <w:right w:val="single" w:sz="4" w:space="0" w:color="auto"/>
            </w:tcBorders>
            <w:vAlign w:val="bottom"/>
          </w:tcPr>
          <w:p w14:paraId="2B455700" w14:textId="66CD83EB" w:rsidR="00746C37" w:rsidRPr="00731429" w:rsidRDefault="00DC3E5A"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PAR-496</w:t>
            </w:r>
          </w:p>
        </w:tc>
      </w:tr>
      <w:tr w:rsidR="00746C37" w:rsidRPr="00731429" w14:paraId="6A2998EC" w14:textId="77777777" w:rsidTr="00CF3FE9">
        <w:trPr>
          <w:trHeight w:val="404"/>
        </w:trPr>
        <w:tc>
          <w:tcPr>
            <w:tcW w:w="5953" w:type="dxa"/>
            <w:tcBorders>
              <w:top w:val="single" w:sz="4" w:space="0" w:color="auto"/>
              <w:left w:val="single" w:sz="4" w:space="0" w:color="auto"/>
              <w:bottom w:val="single" w:sz="4" w:space="0" w:color="auto"/>
              <w:right w:val="single" w:sz="4" w:space="0" w:color="auto"/>
            </w:tcBorders>
            <w:vAlign w:val="bottom"/>
          </w:tcPr>
          <w:p w14:paraId="68CBC405" w14:textId="4E8B159D" w:rsidR="00746C37" w:rsidRPr="00731429" w:rsidRDefault="00746C37" w:rsidP="00DC3E5A">
            <w:pPr>
              <w:widowControl w:val="0"/>
              <w:autoSpaceDE w:val="0"/>
              <w:autoSpaceDN w:val="0"/>
              <w:adjustRightInd w:val="0"/>
              <w:spacing w:after="0" w:line="240" w:lineRule="auto"/>
              <w:rPr>
                <w:rFonts w:ascii="Arial" w:hAnsi="Arial" w:cs="Arial"/>
                <w:sz w:val="20"/>
                <w:szCs w:val="20"/>
                <w:lang w:val="es-ES"/>
              </w:rPr>
            </w:pPr>
            <w:r w:rsidRPr="00731429">
              <w:rPr>
                <w:rFonts w:ascii="Arial" w:hAnsi="Arial" w:cs="Arial"/>
                <w:noProof/>
                <w:sz w:val="20"/>
                <w:szCs w:val="20"/>
              </w:rPr>
              <mc:AlternateContent>
                <mc:Choice Requires="wps">
                  <w:drawing>
                    <wp:anchor distT="0" distB="0" distL="114300" distR="114300" simplePos="0" relativeHeight="251907584" behindDoc="1" locked="0" layoutInCell="0" allowOverlap="1" wp14:anchorId="46249B15" wp14:editId="055E5DFB">
                      <wp:simplePos x="0" y="0"/>
                      <wp:positionH relativeFrom="column">
                        <wp:posOffset>-6985</wp:posOffset>
                      </wp:positionH>
                      <wp:positionV relativeFrom="paragraph">
                        <wp:posOffset>-651510</wp:posOffset>
                      </wp:positionV>
                      <wp:extent cx="12065" cy="12700"/>
                      <wp:effectExtent l="0" t="0" r="0" b="0"/>
                      <wp:wrapNone/>
                      <wp:docPr id="7" name="Rectángulo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BB14EA" id="Rectángulo 7" o:spid="_x0000_s1026" style="position:absolute;margin-left:-.55pt;margin-top:-51.3pt;width:.95pt;height:1pt;z-index:-2514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" o:allowincell="f" fillcolor="black" stroked="f"/>
                  </w:pict>
                </mc:Fallback>
              </mc:AlternateContent>
            </w:r>
            <w:r w:rsidRPr="00731429">
              <w:rPr>
                <w:rFonts w:ascii="Arial" w:hAnsi="Arial" w:cs="Arial"/>
                <w:noProof/>
                <w:sz w:val="20"/>
                <w:szCs w:val="20"/>
              </w:rPr>
              <mc:AlternateContent>
                <mc:Choice Requires="wps">
                  <w:drawing>
                    <wp:anchor distT="0" distB="0" distL="114300" distR="114300" simplePos="0" relativeHeight="251908608" behindDoc="1" locked="0" layoutInCell="0" allowOverlap="1" wp14:anchorId="10482880" wp14:editId="3B466076">
                      <wp:simplePos x="0" y="0"/>
                      <wp:positionH relativeFrom="column">
                        <wp:posOffset>2370455</wp:posOffset>
                      </wp:positionH>
                      <wp:positionV relativeFrom="paragraph">
                        <wp:posOffset>-651510</wp:posOffset>
                      </wp:positionV>
                      <wp:extent cx="12700" cy="12700"/>
                      <wp:effectExtent l="0" t="0" r="0" b="0"/>
                      <wp:wrapNone/>
                      <wp:docPr id="19" name="Rectá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FBEC27" id="Rectángulo 19" o:spid="_x0000_s1026" style="position:absolute;margin-left:186.65pt;margin-top:-51.3pt;width:1pt;height:1pt;z-index:-2514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dMUeQIAAPw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" o:allowincell="f" fillcolor="black" stroked="f"/>
                  </w:pict>
                </mc:Fallback>
              </mc:AlternateContent>
            </w:r>
            <w:r w:rsidRPr="00731429">
              <w:rPr>
                <w:rFonts w:ascii="Arial" w:hAnsi="Arial" w:cs="Arial"/>
                <w:noProof/>
                <w:sz w:val="20"/>
                <w:szCs w:val="20"/>
              </w:rPr>
              <mc:AlternateContent>
                <mc:Choice Requires="wps">
                  <w:drawing>
                    <wp:anchor distT="0" distB="0" distL="114300" distR="114300" simplePos="0" relativeHeight="251909632" behindDoc="1" locked="0" layoutInCell="0" allowOverlap="1" wp14:anchorId="15EF5DEB" wp14:editId="1AF2CC0D">
                      <wp:simplePos x="0" y="0"/>
                      <wp:positionH relativeFrom="column">
                        <wp:posOffset>6257925</wp:posOffset>
                      </wp:positionH>
                      <wp:positionV relativeFrom="paragraph">
                        <wp:posOffset>-651510</wp:posOffset>
                      </wp:positionV>
                      <wp:extent cx="12700" cy="12700"/>
                      <wp:effectExtent l="0" t="0" r="0" b="0"/>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0B7F1C" id="Rectángulo 23" o:spid="_x0000_s1026" style="position:absolute;margin-left:492.75pt;margin-top:-51.3pt;width:1pt;height:1pt;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" o:allowincell="f" fillcolor="black" stroked="f"/>
                  </w:pict>
                </mc:Fallback>
              </mc:AlternateContent>
            </w:r>
            <w:r w:rsidRPr="00731429">
              <w:rPr>
                <w:rFonts w:ascii="Arial" w:hAnsi="Arial" w:cs="Arial"/>
                <w:noProof/>
                <w:sz w:val="20"/>
                <w:szCs w:val="20"/>
              </w:rPr>
              <mc:AlternateContent>
                <mc:Choice Requires="wps">
                  <w:drawing>
                    <wp:anchor distT="0" distB="0" distL="114300" distR="114300" simplePos="0" relativeHeight="251910656" behindDoc="1" locked="0" layoutInCell="0" allowOverlap="1" wp14:anchorId="6F8AD3BB" wp14:editId="3BE991F0">
                      <wp:simplePos x="0" y="0"/>
                      <wp:positionH relativeFrom="page">
                        <wp:posOffset>741680</wp:posOffset>
                      </wp:positionH>
                      <wp:positionV relativeFrom="page">
                        <wp:posOffset>897890</wp:posOffset>
                      </wp:positionV>
                      <wp:extent cx="12700" cy="12700"/>
                      <wp:effectExtent l="0" t="0" r="0" b="0"/>
                      <wp:wrapNone/>
                      <wp:docPr id="529" name="Rectángulo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586B92" id="Rectángulo 529" o:spid="_x0000_s1026" style="position:absolute;margin-left:58.4pt;margin-top:70.7pt;width:1pt;height:1pt;z-index:-25140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zl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" o:allowincell="f" fillcolor="black" stroked="f">
                      <w10:wrap anchorx="page" anchory="page"/>
                    </v:rect>
                  </w:pict>
                </mc:Fallback>
              </mc:AlternateContent>
            </w:r>
            <w:r w:rsidRPr="00731429">
              <w:rPr>
                <w:rFonts w:ascii="Arial" w:hAnsi="Arial" w:cs="Arial"/>
                <w:noProof/>
                <w:sz w:val="20"/>
                <w:szCs w:val="20"/>
              </w:rPr>
              <mc:AlternateContent>
                <mc:Choice Requires="wps">
                  <w:drawing>
                    <wp:anchor distT="0" distB="0" distL="114300" distR="114300" simplePos="0" relativeHeight="251911680" behindDoc="1" locked="0" layoutInCell="0" allowOverlap="1" wp14:anchorId="0A907856" wp14:editId="63652E0B">
                      <wp:simplePos x="0" y="0"/>
                      <wp:positionH relativeFrom="page">
                        <wp:posOffset>3119755</wp:posOffset>
                      </wp:positionH>
                      <wp:positionV relativeFrom="page">
                        <wp:posOffset>897890</wp:posOffset>
                      </wp:positionV>
                      <wp:extent cx="12700" cy="12700"/>
                      <wp:effectExtent l="0" t="0" r="0" b="0"/>
                      <wp:wrapNone/>
                      <wp:docPr id="530" name="Rectángulo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8C93AF" id="Rectángulo 530" o:spid="_x0000_s1026" style="position:absolute;margin-left:245.65pt;margin-top:70.7pt;width:1pt;height:1pt;z-index:-25140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" o:allowincell="f" fillcolor="black" stroked="f">
                      <w10:wrap anchorx="page" anchory="page"/>
                    </v:rect>
                  </w:pict>
                </mc:Fallback>
              </mc:AlternateContent>
            </w:r>
            <w:r w:rsidRPr="00731429">
              <w:rPr>
                <w:rFonts w:ascii="Arial" w:hAnsi="Arial" w:cs="Arial"/>
                <w:noProof/>
                <w:sz w:val="20"/>
                <w:szCs w:val="20"/>
              </w:rPr>
              <mc:AlternateContent>
                <mc:Choice Requires="wps">
                  <w:drawing>
                    <wp:anchor distT="0" distB="0" distL="114300" distR="114300" simplePos="0" relativeHeight="251912704" behindDoc="1" locked="0" layoutInCell="0" allowOverlap="1" wp14:anchorId="3BA43BAE" wp14:editId="26925A54">
                      <wp:simplePos x="0" y="0"/>
                      <wp:positionH relativeFrom="page">
                        <wp:posOffset>7007225</wp:posOffset>
                      </wp:positionH>
                      <wp:positionV relativeFrom="page">
                        <wp:posOffset>897890</wp:posOffset>
                      </wp:positionV>
                      <wp:extent cx="12700" cy="12700"/>
                      <wp:effectExtent l="0" t="0" r="0" b="0"/>
                      <wp:wrapNone/>
                      <wp:docPr id="531" name="Rectángulo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38DD3" id="Rectángulo 531" o:spid="_x0000_s1026" style="position:absolute;margin-left:551.75pt;margin-top:70.7pt;width:1pt;height:1pt;z-index:-25140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" o:allowincell="f" fillcolor="black" stroked="f">
                      <w10:wrap anchorx="page" anchory="page"/>
                    </v:rect>
                  </w:pict>
                </mc:Fallback>
              </mc:AlternateContent>
            </w:r>
            <w:r w:rsidR="00DC3E5A">
              <w:rPr>
                <w:rFonts w:ascii="Arial" w:hAnsi="Arial" w:cs="Arial"/>
                <w:sz w:val="20"/>
                <w:szCs w:val="20"/>
                <w:lang w:val="es-ES"/>
              </w:rPr>
              <w:t>Etnoecología</w:t>
            </w:r>
          </w:p>
        </w:tc>
        <w:tc>
          <w:tcPr>
            <w:tcW w:w="1985" w:type="dxa"/>
            <w:tcBorders>
              <w:top w:val="single" w:sz="4" w:space="0" w:color="auto"/>
              <w:left w:val="single" w:sz="4" w:space="0" w:color="auto"/>
              <w:bottom w:val="single" w:sz="4" w:space="0" w:color="auto"/>
              <w:right w:val="single" w:sz="4" w:space="0" w:color="auto"/>
            </w:tcBorders>
            <w:vAlign w:val="bottom"/>
          </w:tcPr>
          <w:p w14:paraId="6C2BDF7C" w14:textId="573144F9" w:rsidR="00746C37" w:rsidRPr="00731429" w:rsidRDefault="00746C37" w:rsidP="00DC3E5A">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w:t>
            </w:r>
            <w:r w:rsidR="00DC3E5A">
              <w:rPr>
                <w:rFonts w:ascii="Arial" w:hAnsi="Arial" w:cs="Arial"/>
                <w:sz w:val="20"/>
                <w:szCs w:val="20"/>
              </w:rPr>
              <w:t>469</w:t>
            </w:r>
          </w:p>
        </w:tc>
      </w:tr>
      <w:tr w:rsidR="00746C37" w:rsidRPr="00731429" w14:paraId="025E06AE"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58DC7FC2" w14:textId="125A3720" w:rsidR="00746C37" w:rsidRPr="00731429" w:rsidRDefault="00DC3E5A"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Evolución orgánica</w:t>
            </w:r>
          </w:p>
        </w:tc>
        <w:tc>
          <w:tcPr>
            <w:tcW w:w="1985" w:type="dxa"/>
            <w:tcBorders>
              <w:top w:val="single" w:sz="4" w:space="0" w:color="auto"/>
              <w:left w:val="single" w:sz="4" w:space="0" w:color="auto"/>
              <w:bottom w:val="single" w:sz="4" w:space="0" w:color="auto"/>
              <w:right w:val="single" w:sz="4" w:space="0" w:color="auto"/>
            </w:tcBorders>
            <w:vAlign w:val="bottom"/>
          </w:tcPr>
          <w:p w14:paraId="1E1E1024" w14:textId="14EA094E" w:rsidR="00746C37" w:rsidRPr="00731429" w:rsidRDefault="00746C37" w:rsidP="00DC3E5A">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w:t>
            </w:r>
            <w:r w:rsidR="00DC3E5A">
              <w:rPr>
                <w:rFonts w:ascii="Arial" w:hAnsi="Arial" w:cs="Arial"/>
                <w:sz w:val="20"/>
                <w:szCs w:val="20"/>
              </w:rPr>
              <w:t>443</w:t>
            </w:r>
          </w:p>
        </w:tc>
      </w:tr>
      <w:tr w:rsidR="00746C37" w:rsidRPr="00731429" w14:paraId="4291BEE4"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6C32ED44" w14:textId="61D1E6F9" w:rsidR="00746C37" w:rsidRPr="00731429" w:rsidRDefault="00DC3E5A" w:rsidP="00CF3FE9">
            <w:pPr>
              <w:widowControl w:val="0"/>
              <w:autoSpaceDE w:val="0"/>
              <w:autoSpaceDN w:val="0"/>
              <w:adjustRightInd w:val="0"/>
              <w:spacing w:after="0" w:line="240" w:lineRule="auto"/>
              <w:rPr>
                <w:rFonts w:ascii="Arial" w:hAnsi="Arial" w:cs="Arial"/>
                <w:sz w:val="20"/>
                <w:szCs w:val="20"/>
                <w:lang w:val="es-ES"/>
              </w:rPr>
            </w:pPr>
            <w:r>
              <w:rPr>
                <w:rFonts w:ascii="Arial" w:hAnsi="Arial" w:cs="Arial"/>
                <w:sz w:val="20"/>
                <w:szCs w:val="20"/>
                <w:lang w:val="es-ES"/>
              </w:rPr>
              <w:t>Ingeniería genética</w:t>
            </w:r>
          </w:p>
        </w:tc>
        <w:tc>
          <w:tcPr>
            <w:tcW w:w="1985" w:type="dxa"/>
            <w:tcBorders>
              <w:top w:val="single" w:sz="4" w:space="0" w:color="auto"/>
              <w:left w:val="single" w:sz="4" w:space="0" w:color="auto"/>
              <w:bottom w:val="single" w:sz="4" w:space="0" w:color="auto"/>
              <w:right w:val="single" w:sz="4" w:space="0" w:color="auto"/>
            </w:tcBorders>
            <w:vAlign w:val="bottom"/>
          </w:tcPr>
          <w:p w14:paraId="78C54269" w14:textId="0813621B" w:rsidR="00746C37" w:rsidRPr="00731429" w:rsidRDefault="00DC3E5A"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FIT-498</w:t>
            </w:r>
          </w:p>
        </w:tc>
      </w:tr>
      <w:tr w:rsidR="00746C37" w:rsidRPr="00731429" w14:paraId="57187458" w14:textId="77777777" w:rsidTr="00CF3FE9">
        <w:trPr>
          <w:trHeight w:val="385"/>
        </w:trPr>
        <w:tc>
          <w:tcPr>
            <w:tcW w:w="5953" w:type="dxa"/>
            <w:tcBorders>
              <w:top w:val="single" w:sz="4" w:space="0" w:color="auto"/>
              <w:left w:val="single" w:sz="4" w:space="0" w:color="auto"/>
              <w:bottom w:val="single" w:sz="4" w:space="0" w:color="auto"/>
              <w:right w:val="single" w:sz="4" w:space="0" w:color="auto"/>
            </w:tcBorders>
            <w:vAlign w:val="bottom"/>
          </w:tcPr>
          <w:p w14:paraId="6C54F755" w14:textId="2E9DD3C6" w:rsidR="00746C37" w:rsidRPr="00731429" w:rsidRDefault="00DC3E5A" w:rsidP="00CF3FE9">
            <w:pPr>
              <w:widowControl w:val="0"/>
              <w:autoSpaceDE w:val="0"/>
              <w:autoSpaceDN w:val="0"/>
              <w:adjustRightInd w:val="0"/>
              <w:spacing w:after="0" w:line="240" w:lineRule="auto"/>
              <w:rPr>
                <w:rFonts w:ascii="Arial" w:hAnsi="Arial" w:cs="Arial"/>
                <w:sz w:val="20"/>
                <w:szCs w:val="20"/>
                <w:lang w:val="es-ES"/>
              </w:rPr>
            </w:pPr>
            <w:r>
              <w:rPr>
                <w:rFonts w:ascii="Arial" w:hAnsi="Arial" w:cs="Arial"/>
                <w:sz w:val="20"/>
                <w:szCs w:val="20"/>
                <w:lang w:val="es-ES"/>
              </w:rPr>
              <w:t>Ecología y desarrollo sostenible</w:t>
            </w:r>
          </w:p>
        </w:tc>
        <w:tc>
          <w:tcPr>
            <w:tcW w:w="1985" w:type="dxa"/>
            <w:tcBorders>
              <w:top w:val="single" w:sz="4" w:space="0" w:color="auto"/>
              <w:left w:val="single" w:sz="4" w:space="0" w:color="auto"/>
              <w:bottom w:val="single" w:sz="4" w:space="0" w:color="auto"/>
              <w:right w:val="single" w:sz="4" w:space="0" w:color="auto"/>
            </w:tcBorders>
            <w:vAlign w:val="bottom"/>
          </w:tcPr>
          <w:p w14:paraId="12A17529" w14:textId="77777777"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BOT-453</w:t>
            </w:r>
          </w:p>
        </w:tc>
      </w:tr>
      <w:tr w:rsidR="00746C37" w:rsidRPr="00731429" w14:paraId="5016FB73"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603434A0" w14:textId="537CC537" w:rsidR="00746C37" w:rsidRPr="00731429" w:rsidRDefault="00DC3E5A"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Evaluación de impacto ambiental</w:t>
            </w:r>
          </w:p>
        </w:tc>
        <w:tc>
          <w:tcPr>
            <w:tcW w:w="1985" w:type="dxa"/>
            <w:tcBorders>
              <w:top w:val="single" w:sz="4" w:space="0" w:color="auto"/>
              <w:left w:val="single" w:sz="4" w:space="0" w:color="auto"/>
              <w:bottom w:val="single" w:sz="4" w:space="0" w:color="auto"/>
              <w:right w:val="single" w:sz="4" w:space="0" w:color="auto"/>
            </w:tcBorders>
            <w:vAlign w:val="bottom"/>
          </w:tcPr>
          <w:p w14:paraId="4DD3C41A" w14:textId="3B0E5586" w:rsidR="00746C37" w:rsidRPr="00731429" w:rsidRDefault="00DC3E5A"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FOR-466</w:t>
            </w:r>
          </w:p>
        </w:tc>
      </w:tr>
      <w:tr w:rsidR="00746C37" w:rsidRPr="00731429" w14:paraId="2D5A2A21"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1CB95B19" w14:textId="3408DA0C" w:rsidR="00746C37" w:rsidRPr="00731429" w:rsidRDefault="00DC3E5A" w:rsidP="00CF3FE9">
            <w:pPr>
              <w:widowControl w:val="0"/>
              <w:autoSpaceDE w:val="0"/>
              <w:autoSpaceDN w:val="0"/>
              <w:adjustRightInd w:val="0"/>
              <w:spacing w:after="0" w:line="240" w:lineRule="auto"/>
              <w:rPr>
                <w:rFonts w:ascii="Arial" w:hAnsi="Arial" w:cs="Arial"/>
                <w:sz w:val="20"/>
                <w:szCs w:val="20"/>
                <w:lang w:val="es-ES"/>
              </w:rPr>
            </w:pPr>
            <w:r>
              <w:rPr>
                <w:rFonts w:ascii="Arial" w:hAnsi="Arial" w:cs="Arial"/>
                <w:sz w:val="20"/>
                <w:szCs w:val="20"/>
                <w:lang w:val="es-ES"/>
              </w:rPr>
              <w:t>Ordenamiento ecológico</w:t>
            </w:r>
          </w:p>
        </w:tc>
        <w:tc>
          <w:tcPr>
            <w:tcW w:w="1985" w:type="dxa"/>
            <w:tcBorders>
              <w:top w:val="single" w:sz="4" w:space="0" w:color="auto"/>
              <w:left w:val="single" w:sz="4" w:space="0" w:color="auto"/>
              <w:bottom w:val="single" w:sz="4" w:space="0" w:color="auto"/>
              <w:right w:val="single" w:sz="4" w:space="0" w:color="auto"/>
            </w:tcBorders>
            <w:vAlign w:val="bottom"/>
          </w:tcPr>
          <w:p w14:paraId="0DE88C47" w14:textId="398D690B" w:rsidR="00746C37" w:rsidRPr="00731429" w:rsidRDefault="00DC3E5A"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FOR-482</w:t>
            </w:r>
          </w:p>
        </w:tc>
      </w:tr>
      <w:tr w:rsidR="00746C37" w:rsidRPr="00731429" w14:paraId="1C7EEB4A"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770EFF83" w14:textId="043EF2C3" w:rsidR="00746C37" w:rsidRPr="00731429" w:rsidRDefault="00DC3E5A"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Organismos transgénicos</w:t>
            </w:r>
          </w:p>
        </w:tc>
        <w:tc>
          <w:tcPr>
            <w:tcW w:w="1985" w:type="dxa"/>
            <w:tcBorders>
              <w:top w:val="single" w:sz="4" w:space="0" w:color="auto"/>
              <w:left w:val="single" w:sz="4" w:space="0" w:color="auto"/>
              <w:bottom w:val="single" w:sz="4" w:space="0" w:color="auto"/>
              <w:right w:val="single" w:sz="4" w:space="0" w:color="auto"/>
            </w:tcBorders>
            <w:vAlign w:val="bottom"/>
          </w:tcPr>
          <w:p w14:paraId="156D4864" w14:textId="093F82E5" w:rsidR="00746C37" w:rsidRPr="00731429" w:rsidRDefault="00DC3E5A"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FIT-481</w:t>
            </w:r>
          </w:p>
        </w:tc>
      </w:tr>
      <w:tr w:rsidR="00746C37" w:rsidRPr="00731429" w14:paraId="5D8BD757" w14:textId="77777777" w:rsidTr="00CF3FE9">
        <w:trPr>
          <w:trHeight w:val="385"/>
        </w:trPr>
        <w:tc>
          <w:tcPr>
            <w:tcW w:w="5953" w:type="dxa"/>
            <w:tcBorders>
              <w:top w:val="single" w:sz="4" w:space="0" w:color="auto"/>
              <w:left w:val="single" w:sz="4" w:space="0" w:color="auto"/>
              <w:bottom w:val="single" w:sz="4" w:space="0" w:color="auto"/>
              <w:right w:val="single" w:sz="4" w:space="0" w:color="auto"/>
            </w:tcBorders>
            <w:vAlign w:val="bottom"/>
          </w:tcPr>
          <w:p w14:paraId="4C1529E2" w14:textId="19877959" w:rsidR="00746C37" w:rsidRPr="00731429" w:rsidRDefault="00DC3E5A"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Percepción remota</w:t>
            </w:r>
          </w:p>
        </w:tc>
        <w:tc>
          <w:tcPr>
            <w:tcW w:w="1985" w:type="dxa"/>
            <w:tcBorders>
              <w:top w:val="single" w:sz="4" w:space="0" w:color="auto"/>
              <w:left w:val="single" w:sz="4" w:space="0" w:color="auto"/>
              <w:bottom w:val="single" w:sz="4" w:space="0" w:color="auto"/>
              <w:right w:val="single" w:sz="4" w:space="0" w:color="auto"/>
            </w:tcBorders>
            <w:vAlign w:val="bottom"/>
          </w:tcPr>
          <w:p w14:paraId="62F49F30" w14:textId="412F80DF" w:rsidR="00746C37" w:rsidRPr="00731429" w:rsidRDefault="00DC3E5A"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RNR439</w:t>
            </w:r>
          </w:p>
        </w:tc>
      </w:tr>
      <w:tr w:rsidR="00746C37" w:rsidRPr="00731429" w14:paraId="4AA6A385"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58D11BD1" w14:textId="00E59DB7"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Plantas medicinales y aromáticas</w:t>
            </w:r>
          </w:p>
        </w:tc>
        <w:tc>
          <w:tcPr>
            <w:tcW w:w="1985" w:type="dxa"/>
            <w:tcBorders>
              <w:top w:val="single" w:sz="4" w:space="0" w:color="auto"/>
              <w:left w:val="single" w:sz="4" w:space="0" w:color="auto"/>
              <w:bottom w:val="single" w:sz="4" w:space="0" w:color="auto"/>
              <w:right w:val="single" w:sz="4" w:space="0" w:color="auto"/>
            </w:tcBorders>
            <w:vAlign w:val="bottom"/>
          </w:tcPr>
          <w:p w14:paraId="6924FA63" w14:textId="3A239608" w:rsidR="00746C37" w:rsidRPr="00731429" w:rsidRDefault="00746C37" w:rsidP="004431E0">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w:t>
            </w:r>
            <w:r w:rsidR="004431E0">
              <w:rPr>
                <w:rFonts w:ascii="Arial" w:hAnsi="Arial" w:cs="Arial"/>
                <w:sz w:val="20"/>
                <w:szCs w:val="20"/>
              </w:rPr>
              <w:t>463</w:t>
            </w:r>
          </w:p>
        </w:tc>
      </w:tr>
      <w:tr w:rsidR="00746C37" w:rsidRPr="00731429" w14:paraId="51C5AFF1"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75DC134F" w14:textId="59A97F58"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Producción de hongos comestibles</w:t>
            </w:r>
          </w:p>
        </w:tc>
        <w:tc>
          <w:tcPr>
            <w:tcW w:w="1985" w:type="dxa"/>
            <w:tcBorders>
              <w:top w:val="single" w:sz="4" w:space="0" w:color="auto"/>
              <w:left w:val="single" w:sz="4" w:space="0" w:color="auto"/>
              <w:bottom w:val="single" w:sz="4" w:space="0" w:color="auto"/>
              <w:right w:val="single" w:sz="4" w:space="0" w:color="auto"/>
            </w:tcBorders>
            <w:vAlign w:val="bottom"/>
          </w:tcPr>
          <w:p w14:paraId="16DDB06B" w14:textId="5687343A"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FIT-496</w:t>
            </w:r>
          </w:p>
        </w:tc>
      </w:tr>
      <w:tr w:rsidR="00746C37" w:rsidRPr="00731429" w14:paraId="35592B12"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27FB9DCC" w14:textId="3429F9E0"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Recursos genéticos</w:t>
            </w:r>
          </w:p>
        </w:tc>
        <w:tc>
          <w:tcPr>
            <w:tcW w:w="1985" w:type="dxa"/>
            <w:tcBorders>
              <w:top w:val="single" w:sz="4" w:space="0" w:color="auto"/>
              <w:left w:val="single" w:sz="4" w:space="0" w:color="auto"/>
              <w:bottom w:val="single" w:sz="4" w:space="0" w:color="auto"/>
              <w:right w:val="single" w:sz="4" w:space="0" w:color="auto"/>
            </w:tcBorders>
            <w:vAlign w:val="bottom"/>
          </w:tcPr>
          <w:p w14:paraId="7AE16E80" w14:textId="4963D426"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FIT-459</w:t>
            </w:r>
          </w:p>
        </w:tc>
      </w:tr>
      <w:tr w:rsidR="00746C37" w:rsidRPr="00731429" w14:paraId="4E4A345A"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38D63412" w14:textId="33889AA9"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Sistemas tradicionales de producción</w:t>
            </w:r>
          </w:p>
        </w:tc>
        <w:tc>
          <w:tcPr>
            <w:tcW w:w="1985" w:type="dxa"/>
            <w:tcBorders>
              <w:top w:val="single" w:sz="4" w:space="0" w:color="auto"/>
              <w:left w:val="single" w:sz="4" w:space="0" w:color="auto"/>
              <w:bottom w:val="single" w:sz="4" w:space="0" w:color="auto"/>
              <w:right w:val="single" w:sz="4" w:space="0" w:color="auto"/>
            </w:tcBorders>
            <w:vAlign w:val="bottom"/>
          </w:tcPr>
          <w:p w14:paraId="0C986AE9" w14:textId="1AA22408"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BOT-495</w:t>
            </w:r>
          </w:p>
        </w:tc>
      </w:tr>
      <w:tr w:rsidR="00746C37" w:rsidRPr="00731429" w14:paraId="2EC1AAF4"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0FC73405" w14:textId="7B8CD7FB"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Toxicología ambiental</w:t>
            </w:r>
          </w:p>
        </w:tc>
        <w:tc>
          <w:tcPr>
            <w:tcW w:w="1985" w:type="dxa"/>
            <w:tcBorders>
              <w:top w:val="single" w:sz="4" w:space="0" w:color="auto"/>
              <w:left w:val="single" w:sz="4" w:space="0" w:color="auto"/>
              <w:bottom w:val="single" w:sz="4" w:space="0" w:color="auto"/>
              <w:right w:val="single" w:sz="4" w:space="0" w:color="auto"/>
            </w:tcBorders>
            <w:vAlign w:val="bottom"/>
          </w:tcPr>
          <w:p w14:paraId="682356B1" w14:textId="6546C4BF"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SUE-483</w:t>
            </w:r>
          </w:p>
        </w:tc>
      </w:tr>
      <w:tr w:rsidR="00746C37" w:rsidRPr="00731429" w14:paraId="3F2704FA"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56C826A2" w14:textId="4E64DEFD" w:rsidR="00746C37" w:rsidRPr="00731429" w:rsidRDefault="004431E0" w:rsidP="004431E0">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Productividad agroecológica</w:t>
            </w:r>
          </w:p>
        </w:tc>
        <w:tc>
          <w:tcPr>
            <w:tcW w:w="1985" w:type="dxa"/>
            <w:tcBorders>
              <w:top w:val="single" w:sz="4" w:space="0" w:color="auto"/>
              <w:left w:val="single" w:sz="4" w:space="0" w:color="auto"/>
              <w:bottom w:val="single" w:sz="4" w:space="0" w:color="auto"/>
              <w:right w:val="single" w:sz="4" w:space="0" w:color="auto"/>
            </w:tcBorders>
            <w:vAlign w:val="bottom"/>
          </w:tcPr>
          <w:p w14:paraId="577F0671" w14:textId="0ECB7C69"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FIT-427</w:t>
            </w:r>
          </w:p>
        </w:tc>
      </w:tr>
      <w:tr w:rsidR="00746C37" w:rsidRPr="00731429" w14:paraId="1CC9142D"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56F6C230" w14:textId="095A5367"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Producción en invernadero</w:t>
            </w:r>
          </w:p>
        </w:tc>
        <w:tc>
          <w:tcPr>
            <w:tcW w:w="1985" w:type="dxa"/>
            <w:tcBorders>
              <w:top w:val="single" w:sz="4" w:space="0" w:color="auto"/>
              <w:left w:val="single" w:sz="4" w:space="0" w:color="auto"/>
              <w:bottom w:val="single" w:sz="4" w:space="0" w:color="auto"/>
              <w:right w:val="single" w:sz="4" w:space="0" w:color="auto"/>
            </w:tcBorders>
            <w:vAlign w:val="bottom"/>
          </w:tcPr>
          <w:p w14:paraId="53847D55" w14:textId="693E4ED6"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FIT-477</w:t>
            </w:r>
          </w:p>
        </w:tc>
      </w:tr>
      <w:tr w:rsidR="00746C37" w:rsidRPr="00731429" w14:paraId="56EB818C" w14:textId="77777777"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14:paraId="6917C435" w14:textId="7D4CEF74"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Topografía general</w:t>
            </w:r>
          </w:p>
        </w:tc>
        <w:tc>
          <w:tcPr>
            <w:tcW w:w="1985" w:type="dxa"/>
            <w:tcBorders>
              <w:top w:val="single" w:sz="4" w:space="0" w:color="auto"/>
              <w:left w:val="single" w:sz="4" w:space="0" w:color="auto"/>
              <w:bottom w:val="single" w:sz="4" w:space="0" w:color="auto"/>
              <w:right w:val="single" w:sz="4" w:space="0" w:color="auto"/>
            </w:tcBorders>
            <w:vAlign w:val="bottom"/>
          </w:tcPr>
          <w:p w14:paraId="4FCF187E" w14:textId="0B8B4275"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CSB-416</w:t>
            </w:r>
          </w:p>
        </w:tc>
      </w:tr>
      <w:tr w:rsidR="00746C37" w:rsidRPr="00731429" w14:paraId="06F26B63"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23D5C7A8" w14:textId="13538994"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Conservación de suelo y agua</w:t>
            </w:r>
          </w:p>
        </w:tc>
        <w:tc>
          <w:tcPr>
            <w:tcW w:w="1985" w:type="dxa"/>
            <w:tcBorders>
              <w:top w:val="single" w:sz="4" w:space="0" w:color="auto"/>
              <w:left w:val="single" w:sz="4" w:space="0" w:color="auto"/>
              <w:bottom w:val="single" w:sz="4" w:space="0" w:color="auto"/>
              <w:right w:val="single" w:sz="4" w:space="0" w:color="auto"/>
            </w:tcBorders>
            <w:vAlign w:val="bottom"/>
          </w:tcPr>
          <w:p w14:paraId="5B592BCE" w14:textId="06D1ADBD"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SUE-462</w:t>
            </w:r>
          </w:p>
        </w:tc>
      </w:tr>
      <w:tr w:rsidR="00746C37" w:rsidRPr="00731429" w14:paraId="10657F4F" w14:textId="77777777"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14:paraId="1D0E5782" w14:textId="49EF369F"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Recursos renovables de zonas áridas</w:t>
            </w:r>
          </w:p>
        </w:tc>
        <w:tc>
          <w:tcPr>
            <w:tcW w:w="1985" w:type="dxa"/>
            <w:tcBorders>
              <w:top w:val="single" w:sz="4" w:space="0" w:color="auto"/>
              <w:left w:val="single" w:sz="4" w:space="0" w:color="auto"/>
              <w:bottom w:val="single" w:sz="4" w:space="0" w:color="auto"/>
              <w:right w:val="single" w:sz="4" w:space="0" w:color="auto"/>
            </w:tcBorders>
            <w:vAlign w:val="bottom"/>
          </w:tcPr>
          <w:p w14:paraId="4A3FE5F3" w14:textId="790F3F16"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FOR-474</w:t>
            </w:r>
          </w:p>
        </w:tc>
      </w:tr>
      <w:tr w:rsidR="00746C37" w:rsidRPr="00731429" w14:paraId="1BEC90C4" w14:textId="77777777" w:rsidTr="00CF3FE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14:paraId="20D1BFFC" w14:textId="76D1C9AF"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Fisiotecnia de cultivos hortícolas</w:t>
            </w:r>
          </w:p>
        </w:tc>
        <w:tc>
          <w:tcPr>
            <w:tcW w:w="1985" w:type="dxa"/>
            <w:tcBorders>
              <w:top w:val="single" w:sz="4" w:space="0" w:color="auto"/>
              <w:left w:val="single" w:sz="4" w:space="0" w:color="auto"/>
              <w:bottom w:val="single" w:sz="4" w:space="0" w:color="auto"/>
              <w:right w:val="single" w:sz="4" w:space="0" w:color="auto"/>
            </w:tcBorders>
            <w:vAlign w:val="bottom"/>
          </w:tcPr>
          <w:p w14:paraId="29BEE88F" w14:textId="69333B97"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HOR-421</w:t>
            </w:r>
          </w:p>
        </w:tc>
      </w:tr>
      <w:tr w:rsidR="00B16E59" w:rsidRPr="00731429" w14:paraId="2AC4618C" w14:textId="77777777"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14:paraId="2DB81126" w14:textId="081FF2FE"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Introducción a la Biotecnología Molecular</w:t>
            </w:r>
          </w:p>
        </w:tc>
        <w:tc>
          <w:tcPr>
            <w:tcW w:w="1985" w:type="dxa"/>
            <w:tcBorders>
              <w:top w:val="single" w:sz="4" w:space="0" w:color="auto"/>
              <w:left w:val="single" w:sz="4" w:space="0" w:color="auto"/>
              <w:bottom w:val="single" w:sz="4" w:space="0" w:color="auto"/>
              <w:right w:val="single" w:sz="4" w:space="0" w:color="auto"/>
            </w:tcBorders>
            <w:vAlign w:val="bottom"/>
          </w:tcPr>
          <w:p w14:paraId="0976B9D9" w14:textId="4CB9B444"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PAR478</w:t>
            </w:r>
          </w:p>
        </w:tc>
      </w:tr>
      <w:tr w:rsidR="00B16E59" w:rsidRPr="00731429" w14:paraId="67B8E64F" w14:textId="77777777"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14:paraId="4ADEF5AD" w14:textId="222692B5"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Sensores Remotos</w:t>
            </w:r>
          </w:p>
        </w:tc>
        <w:tc>
          <w:tcPr>
            <w:tcW w:w="1985" w:type="dxa"/>
            <w:tcBorders>
              <w:top w:val="single" w:sz="4" w:space="0" w:color="auto"/>
              <w:left w:val="single" w:sz="4" w:space="0" w:color="auto"/>
              <w:bottom w:val="single" w:sz="4" w:space="0" w:color="auto"/>
              <w:right w:val="single" w:sz="4" w:space="0" w:color="auto"/>
            </w:tcBorders>
            <w:vAlign w:val="bottom"/>
          </w:tcPr>
          <w:p w14:paraId="6683C211" w14:textId="0B45852D"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FOR433</w:t>
            </w:r>
          </w:p>
        </w:tc>
      </w:tr>
      <w:tr w:rsidR="00B16E59" w:rsidRPr="00731429" w14:paraId="34230CB6" w14:textId="77777777"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14:paraId="3B684043" w14:textId="19CC93CA"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lastRenderedPageBreak/>
              <w:t>Manejo de Áreas Naturales Protegidas</w:t>
            </w:r>
          </w:p>
        </w:tc>
        <w:tc>
          <w:tcPr>
            <w:tcW w:w="1985" w:type="dxa"/>
            <w:tcBorders>
              <w:top w:val="single" w:sz="4" w:space="0" w:color="auto"/>
              <w:left w:val="single" w:sz="4" w:space="0" w:color="auto"/>
              <w:bottom w:val="single" w:sz="4" w:space="0" w:color="auto"/>
              <w:right w:val="single" w:sz="4" w:space="0" w:color="auto"/>
            </w:tcBorders>
            <w:vAlign w:val="bottom"/>
          </w:tcPr>
          <w:p w14:paraId="297622D5" w14:textId="0512B51E"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FOR475</w:t>
            </w:r>
          </w:p>
        </w:tc>
      </w:tr>
      <w:tr w:rsidR="00B16E59" w:rsidRPr="00731429" w14:paraId="77C7359C" w14:textId="77777777"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14:paraId="3FAB78F6" w14:textId="3576B912"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Organización Cinegética</w:t>
            </w:r>
          </w:p>
        </w:tc>
        <w:tc>
          <w:tcPr>
            <w:tcW w:w="1985" w:type="dxa"/>
            <w:tcBorders>
              <w:top w:val="single" w:sz="4" w:space="0" w:color="auto"/>
              <w:left w:val="single" w:sz="4" w:space="0" w:color="auto"/>
              <w:bottom w:val="single" w:sz="4" w:space="0" w:color="auto"/>
              <w:right w:val="single" w:sz="4" w:space="0" w:color="auto"/>
            </w:tcBorders>
            <w:vAlign w:val="bottom"/>
          </w:tcPr>
          <w:p w14:paraId="304C3CDA" w14:textId="39BAE1FE"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RNR433</w:t>
            </w:r>
          </w:p>
        </w:tc>
      </w:tr>
      <w:tr w:rsidR="00B16E59" w:rsidRPr="00731429" w14:paraId="63B12E90" w14:textId="77777777"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14:paraId="30608747" w14:textId="26A6B2D8"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Olericultura</w:t>
            </w:r>
          </w:p>
        </w:tc>
        <w:tc>
          <w:tcPr>
            <w:tcW w:w="1985" w:type="dxa"/>
            <w:tcBorders>
              <w:top w:val="single" w:sz="4" w:space="0" w:color="auto"/>
              <w:left w:val="single" w:sz="4" w:space="0" w:color="auto"/>
              <w:bottom w:val="single" w:sz="4" w:space="0" w:color="auto"/>
              <w:right w:val="single" w:sz="4" w:space="0" w:color="auto"/>
            </w:tcBorders>
            <w:vAlign w:val="bottom"/>
          </w:tcPr>
          <w:p w14:paraId="02326DF6" w14:textId="517C998D"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HOR443</w:t>
            </w:r>
          </w:p>
        </w:tc>
      </w:tr>
      <w:tr w:rsidR="00B16E59" w:rsidRPr="00731429" w14:paraId="219601E4" w14:textId="77777777"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14:paraId="1F542CFF" w14:textId="4DA10328"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Producción de Cultivos Básicos</w:t>
            </w:r>
          </w:p>
        </w:tc>
        <w:tc>
          <w:tcPr>
            <w:tcW w:w="1985" w:type="dxa"/>
            <w:tcBorders>
              <w:top w:val="single" w:sz="4" w:space="0" w:color="auto"/>
              <w:left w:val="single" w:sz="4" w:space="0" w:color="auto"/>
              <w:bottom w:val="single" w:sz="4" w:space="0" w:color="auto"/>
              <w:right w:val="single" w:sz="4" w:space="0" w:color="auto"/>
            </w:tcBorders>
            <w:vAlign w:val="bottom"/>
          </w:tcPr>
          <w:p w14:paraId="7B4F0594" w14:textId="1FEE4D70"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FIT450</w:t>
            </w:r>
          </w:p>
        </w:tc>
      </w:tr>
      <w:tr w:rsidR="00B16E59" w:rsidRPr="00731429" w14:paraId="50E20222" w14:textId="77777777"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14:paraId="12D35CE0" w14:textId="4F2F83F5"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Biotecnología Ambiental</w:t>
            </w:r>
          </w:p>
        </w:tc>
        <w:tc>
          <w:tcPr>
            <w:tcW w:w="1985" w:type="dxa"/>
            <w:tcBorders>
              <w:top w:val="single" w:sz="4" w:space="0" w:color="auto"/>
              <w:left w:val="single" w:sz="4" w:space="0" w:color="auto"/>
              <w:bottom w:val="single" w:sz="4" w:space="0" w:color="auto"/>
              <w:right w:val="single" w:sz="4" w:space="0" w:color="auto"/>
            </w:tcBorders>
            <w:vAlign w:val="bottom"/>
          </w:tcPr>
          <w:p w14:paraId="519EB712" w14:textId="141D7278"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BOT481</w:t>
            </w:r>
          </w:p>
        </w:tc>
      </w:tr>
    </w:tbl>
    <w:p w14:paraId="297538BF" w14:textId="77777777" w:rsidR="002A45EA" w:rsidRDefault="002A45EA" w:rsidP="00746C37">
      <w:pPr>
        <w:widowControl w:val="0"/>
        <w:autoSpaceDE w:val="0"/>
        <w:autoSpaceDN w:val="0"/>
        <w:adjustRightInd w:val="0"/>
        <w:jc w:val="center"/>
        <w:rPr>
          <w:rFonts w:ascii="Arial" w:hAnsi="Arial" w:cs="Arial"/>
          <w:b/>
          <w:sz w:val="22"/>
          <w:szCs w:val="22"/>
        </w:rPr>
      </w:pPr>
    </w:p>
    <w:p w14:paraId="640BEB4F" w14:textId="77777777" w:rsidR="00976A39" w:rsidRPr="007923C2" w:rsidRDefault="00976A39"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CONGRUENCIA DE OBJETIVOS</w:t>
      </w:r>
      <w:r w:rsidR="00835AD0" w:rsidRPr="007923C2">
        <w:rPr>
          <w:rFonts w:ascii="Arial" w:hAnsi="Arial" w:cs="Arial"/>
          <w:b/>
          <w:sz w:val="22"/>
          <w:szCs w:val="22"/>
        </w:rPr>
        <w:t xml:space="preserve"> DEL BLOQUE CON EL PERFIL PROFESIONAL</w:t>
      </w:r>
    </w:p>
    <w:p w14:paraId="384F12D6" w14:textId="77777777" w:rsidR="00976A39" w:rsidRPr="007923C2" w:rsidRDefault="004B72AC" w:rsidP="005E47E4">
      <w:pPr>
        <w:widowControl w:val="0"/>
        <w:autoSpaceDE w:val="0"/>
        <w:autoSpaceDN w:val="0"/>
        <w:adjustRightInd w:val="0"/>
        <w:jc w:val="both"/>
        <w:rPr>
          <w:rFonts w:ascii="Arial" w:hAnsi="Arial" w:cs="Arial"/>
          <w:b/>
          <w:sz w:val="22"/>
          <w:szCs w:val="22"/>
        </w:rPr>
      </w:pPr>
      <w:r>
        <w:rPr>
          <w:rFonts w:ascii="Arial" w:hAnsi="Arial" w:cs="Arial"/>
          <w:b/>
          <w:sz w:val="22"/>
          <w:szCs w:val="22"/>
        </w:rPr>
        <w:t>Y OBJETIVO DE LA CARRERA</w:t>
      </w:r>
    </w:p>
    <w:tbl>
      <w:tblPr>
        <w:tblStyle w:val="Tablaconcuadrcula3"/>
        <w:tblW w:w="9634" w:type="dxa"/>
        <w:tblLayout w:type="fixed"/>
        <w:tblLook w:val="04A0" w:firstRow="1" w:lastRow="0" w:firstColumn="1" w:lastColumn="0" w:noHBand="0" w:noVBand="1"/>
      </w:tblPr>
      <w:tblGrid>
        <w:gridCol w:w="1980"/>
        <w:gridCol w:w="1559"/>
        <w:gridCol w:w="1276"/>
        <w:gridCol w:w="2268"/>
        <w:gridCol w:w="2551"/>
      </w:tblGrid>
      <w:tr w:rsidR="000069E6" w:rsidRPr="007923C2" w14:paraId="23E9C258" w14:textId="77777777" w:rsidTr="000069E6">
        <w:tc>
          <w:tcPr>
            <w:tcW w:w="1980" w:type="dxa"/>
            <w:vAlign w:val="center"/>
          </w:tcPr>
          <w:p w14:paraId="4C926D1D" w14:textId="77777777" w:rsidR="000069E6" w:rsidRPr="007923C2" w:rsidRDefault="000069E6" w:rsidP="00576B26">
            <w:pPr>
              <w:jc w:val="center"/>
              <w:rPr>
                <w:rFonts w:ascii="Arial" w:eastAsiaTheme="minorHAnsi" w:hAnsi="Arial" w:cs="Arial"/>
                <w:sz w:val="22"/>
                <w:szCs w:val="22"/>
              </w:rPr>
            </w:pPr>
            <w:r w:rsidRPr="007923C2">
              <w:rPr>
                <w:rFonts w:ascii="Arial" w:eastAsiaTheme="minorHAnsi" w:hAnsi="Arial" w:cs="Arial"/>
                <w:sz w:val="22"/>
                <w:szCs w:val="22"/>
              </w:rPr>
              <w:t>Perfil profesional</w:t>
            </w:r>
          </w:p>
        </w:tc>
        <w:tc>
          <w:tcPr>
            <w:tcW w:w="1559" w:type="dxa"/>
            <w:vAlign w:val="center"/>
          </w:tcPr>
          <w:p w14:paraId="0BB82238" w14:textId="77777777" w:rsidR="000069E6" w:rsidRPr="007923C2" w:rsidRDefault="000069E6" w:rsidP="00576B26">
            <w:pPr>
              <w:jc w:val="center"/>
              <w:rPr>
                <w:rFonts w:ascii="Arial" w:eastAsiaTheme="minorHAnsi" w:hAnsi="Arial" w:cs="Arial"/>
                <w:sz w:val="22"/>
                <w:szCs w:val="22"/>
              </w:rPr>
            </w:pPr>
            <w:r w:rsidRPr="007923C2">
              <w:rPr>
                <w:rFonts w:ascii="Arial" w:eastAsiaTheme="minorHAnsi" w:hAnsi="Arial" w:cs="Arial"/>
                <w:sz w:val="22"/>
                <w:szCs w:val="22"/>
              </w:rPr>
              <w:t>Objetivo general del programa</w:t>
            </w:r>
          </w:p>
        </w:tc>
        <w:tc>
          <w:tcPr>
            <w:tcW w:w="1276" w:type="dxa"/>
            <w:vAlign w:val="center"/>
          </w:tcPr>
          <w:p w14:paraId="32058899" w14:textId="77777777" w:rsidR="000069E6" w:rsidRPr="007923C2" w:rsidRDefault="000069E6" w:rsidP="00576B26">
            <w:pPr>
              <w:jc w:val="center"/>
              <w:rPr>
                <w:rFonts w:ascii="Arial" w:eastAsiaTheme="minorHAnsi" w:hAnsi="Arial" w:cs="Arial"/>
                <w:sz w:val="22"/>
                <w:szCs w:val="22"/>
              </w:rPr>
            </w:pPr>
            <w:r w:rsidRPr="007923C2">
              <w:rPr>
                <w:rFonts w:ascii="Arial" w:eastAsiaTheme="minorHAnsi" w:hAnsi="Arial" w:cs="Arial"/>
                <w:sz w:val="22"/>
                <w:szCs w:val="22"/>
              </w:rPr>
              <w:t>Áreas de formación</w:t>
            </w:r>
          </w:p>
        </w:tc>
        <w:tc>
          <w:tcPr>
            <w:tcW w:w="2268" w:type="dxa"/>
            <w:vAlign w:val="center"/>
          </w:tcPr>
          <w:p w14:paraId="19562FA6" w14:textId="77777777" w:rsidR="000069E6" w:rsidRPr="007923C2" w:rsidRDefault="000069E6" w:rsidP="00576B26">
            <w:pPr>
              <w:jc w:val="center"/>
              <w:rPr>
                <w:rFonts w:ascii="Arial" w:eastAsiaTheme="minorHAnsi" w:hAnsi="Arial" w:cs="Arial"/>
                <w:sz w:val="22"/>
                <w:szCs w:val="22"/>
              </w:rPr>
            </w:pPr>
            <w:r w:rsidRPr="007923C2">
              <w:rPr>
                <w:rFonts w:ascii="Arial" w:eastAsiaTheme="minorHAnsi" w:hAnsi="Arial" w:cs="Arial"/>
                <w:sz w:val="22"/>
                <w:szCs w:val="22"/>
              </w:rPr>
              <w:t>Descripción del bloque (con asignaturas)</w:t>
            </w:r>
          </w:p>
        </w:tc>
        <w:tc>
          <w:tcPr>
            <w:tcW w:w="2551" w:type="dxa"/>
            <w:vAlign w:val="center"/>
          </w:tcPr>
          <w:p w14:paraId="1A6EB385" w14:textId="77777777" w:rsidR="000069E6" w:rsidRPr="007923C2" w:rsidRDefault="000069E6" w:rsidP="00576B26">
            <w:pPr>
              <w:jc w:val="center"/>
              <w:rPr>
                <w:rFonts w:ascii="Arial" w:eastAsiaTheme="minorHAnsi" w:hAnsi="Arial" w:cs="Arial"/>
                <w:sz w:val="22"/>
                <w:szCs w:val="22"/>
              </w:rPr>
            </w:pPr>
            <w:r w:rsidRPr="007923C2">
              <w:rPr>
                <w:rFonts w:ascii="Arial" w:eastAsiaTheme="minorHAnsi" w:hAnsi="Arial" w:cs="Arial"/>
                <w:sz w:val="22"/>
                <w:szCs w:val="22"/>
              </w:rPr>
              <w:t>Objetivo del bloque</w:t>
            </w:r>
          </w:p>
        </w:tc>
      </w:tr>
      <w:tr w:rsidR="000069E6" w:rsidRPr="007923C2" w14:paraId="7F172A25" w14:textId="77777777" w:rsidTr="000069E6">
        <w:tc>
          <w:tcPr>
            <w:tcW w:w="1980" w:type="dxa"/>
          </w:tcPr>
          <w:p w14:paraId="59D17951" w14:textId="77777777" w:rsidR="000069E6" w:rsidRDefault="000069E6" w:rsidP="00576B26">
            <w:pPr>
              <w:rPr>
                <w:rFonts w:ascii="Arial" w:eastAsiaTheme="minorHAnsi" w:hAnsi="Arial" w:cs="Arial"/>
                <w:sz w:val="22"/>
                <w:szCs w:val="22"/>
              </w:rPr>
            </w:pPr>
            <w:r>
              <w:rPr>
                <w:rFonts w:ascii="Arial" w:eastAsiaTheme="minorHAnsi" w:hAnsi="Arial" w:cs="Arial"/>
                <w:sz w:val="22"/>
                <w:szCs w:val="22"/>
              </w:rPr>
              <w:t>Contará con el conocimiento teórico práctico para uso y manejo sostenible de los recursos silvo-agropecuarios, lo que permitirá participar en la solución de la problemática ambiental.</w:t>
            </w:r>
          </w:p>
          <w:p w14:paraId="5427FFFA" w14:textId="77777777" w:rsidR="000069E6" w:rsidRDefault="000069E6" w:rsidP="00576B26">
            <w:pPr>
              <w:rPr>
                <w:rFonts w:ascii="Arial" w:eastAsiaTheme="minorHAnsi" w:hAnsi="Arial" w:cs="Arial"/>
                <w:sz w:val="22"/>
                <w:szCs w:val="22"/>
              </w:rPr>
            </w:pPr>
            <w:r>
              <w:rPr>
                <w:rFonts w:ascii="Arial" w:eastAsiaTheme="minorHAnsi" w:hAnsi="Arial" w:cs="Arial"/>
                <w:sz w:val="22"/>
                <w:szCs w:val="22"/>
              </w:rPr>
              <w:t>Establecerá y/o participará en empresas de asesoría, servicio y consultoría dirigido al sector agropecuario, industrial y gubernamental en el manejo y cuidado del medio ambiente.</w:t>
            </w:r>
          </w:p>
          <w:p w14:paraId="1D93F4B6" w14:textId="77777777" w:rsidR="000069E6" w:rsidRDefault="000069E6" w:rsidP="006460D1">
            <w:pPr>
              <w:rPr>
                <w:rFonts w:eastAsiaTheme="minorHAnsi"/>
              </w:rPr>
            </w:pPr>
            <w:r>
              <w:rPr>
                <w:rFonts w:eastAsiaTheme="minorHAnsi"/>
              </w:rPr>
              <w:t xml:space="preserve">Estará capacitado para proponer y ejecutar acciones de evaluación y conservación basándose en el conocimiento de la </w:t>
            </w:r>
            <w:r>
              <w:rPr>
                <w:rFonts w:eastAsiaTheme="minorHAnsi"/>
              </w:rPr>
              <w:lastRenderedPageBreak/>
              <w:t>legislación jurídica en materia de biodiversidad, bioética y seguridad ambiental.</w:t>
            </w:r>
          </w:p>
          <w:p w14:paraId="501FAA41" w14:textId="77777777" w:rsidR="000069E6" w:rsidRPr="007923C2" w:rsidRDefault="000069E6" w:rsidP="006460D1">
            <w:pPr>
              <w:rPr>
                <w:rFonts w:eastAsiaTheme="minorHAnsi"/>
              </w:rPr>
            </w:pPr>
            <w:r>
              <w:rPr>
                <w:rFonts w:eastAsiaTheme="minorHAnsi"/>
              </w:rPr>
              <w:t xml:space="preserve">Diseñará y/o ejecutará programas de investigación y docencia enfocados al desarrollo de la producción silvo-agropecuaria sostenible, planes de manejo de áreas naturales protegidas, uso de ecotecnias en la producción agrícola y conservación de suelo y agua. </w:t>
            </w:r>
          </w:p>
        </w:tc>
        <w:tc>
          <w:tcPr>
            <w:tcW w:w="1559" w:type="dxa"/>
          </w:tcPr>
          <w:p w14:paraId="6EE468BD" w14:textId="77777777"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lastRenderedPageBreak/>
              <w:t xml:space="preserve">Formar profesionistas con un enfoque multidisciplinario en el campo de la producción silvo-agropecuaria sostenible, manejo, legislación y conservación de recursos naturales, apoyándose en conocimientos científicos y prácticos.  </w:t>
            </w:r>
          </w:p>
        </w:tc>
        <w:tc>
          <w:tcPr>
            <w:tcW w:w="1276" w:type="dxa"/>
          </w:tcPr>
          <w:p w14:paraId="4B9301D6" w14:textId="77777777"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Agricultura alternativa </w:t>
            </w:r>
          </w:p>
          <w:p w14:paraId="61BA4D3A" w14:textId="77777777" w:rsidR="000069E6" w:rsidRPr="007923C2" w:rsidRDefault="000069E6" w:rsidP="00576B26">
            <w:pPr>
              <w:rPr>
                <w:rFonts w:ascii="Arial" w:eastAsiaTheme="minorHAnsi" w:hAnsi="Arial" w:cs="Arial"/>
                <w:sz w:val="22"/>
                <w:szCs w:val="22"/>
              </w:rPr>
            </w:pPr>
          </w:p>
          <w:p w14:paraId="433185C8" w14:textId="77777777" w:rsidR="000069E6" w:rsidRPr="007923C2" w:rsidRDefault="000069E6" w:rsidP="00576B26">
            <w:pPr>
              <w:rPr>
                <w:rFonts w:ascii="Arial" w:eastAsiaTheme="minorHAnsi" w:hAnsi="Arial" w:cs="Arial"/>
                <w:sz w:val="22"/>
                <w:szCs w:val="22"/>
              </w:rPr>
            </w:pPr>
          </w:p>
          <w:p w14:paraId="5DE63015" w14:textId="77777777" w:rsidR="000069E6" w:rsidRPr="007923C2" w:rsidRDefault="000069E6" w:rsidP="00576B26">
            <w:pPr>
              <w:rPr>
                <w:rFonts w:ascii="Arial" w:eastAsiaTheme="minorHAnsi" w:hAnsi="Arial" w:cs="Arial"/>
                <w:sz w:val="22"/>
                <w:szCs w:val="22"/>
              </w:rPr>
            </w:pPr>
          </w:p>
          <w:p w14:paraId="62CF7B14" w14:textId="77777777" w:rsidR="000069E6" w:rsidRPr="007923C2" w:rsidRDefault="000069E6" w:rsidP="00576B26">
            <w:pPr>
              <w:rPr>
                <w:rFonts w:ascii="Arial" w:eastAsiaTheme="minorHAnsi" w:hAnsi="Arial" w:cs="Arial"/>
                <w:sz w:val="22"/>
                <w:szCs w:val="22"/>
              </w:rPr>
            </w:pPr>
          </w:p>
          <w:p w14:paraId="4CB1AC38" w14:textId="77777777" w:rsidR="000069E6" w:rsidRPr="007923C2" w:rsidRDefault="000069E6" w:rsidP="00576B26">
            <w:pPr>
              <w:rPr>
                <w:rFonts w:ascii="Arial" w:eastAsiaTheme="minorHAnsi" w:hAnsi="Arial" w:cs="Arial"/>
                <w:sz w:val="22"/>
                <w:szCs w:val="22"/>
              </w:rPr>
            </w:pPr>
          </w:p>
          <w:p w14:paraId="5728C725" w14:textId="77777777" w:rsidR="000069E6" w:rsidRPr="007923C2" w:rsidRDefault="000069E6" w:rsidP="00576B26">
            <w:pPr>
              <w:rPr>
                <w:rFonts w:ascii="Arial" w:eastAsiaTheme="minorHAnsi" w:hAnsi="Arial" w:cs="Arial"/>
                <w:sz w:val="22"/>
                <w:szCs w:val="22"/>
              </w:rPr>
            </w:pPr>
          </w:p>
          <w:p w14:paraId="526CB85F" w14:textId="77777777" w:rsidR="000069E6" w:rsidRPr="007923C2" w:rsidRDefault="000069E6" w:rsidP="00576B26">
            <w:pPr>
              <w:rPr>
                <w:rFonts w:ascii="Arial" w:eastAsiaTheme="minorHAnsi" w:hAnsi="Arial" w:cs="Arial"/>
                <w:sz w:val="22"/>
                <w:szCs w:val="22"/>
              </w:rPr>
            </w:pPr>
          </w:p>
          <w:p w14:paraId="2FE9FDDD" w14:textId="77777777" w:rsidR="000069E6" w:rsidRPr="007923C2" w:rsidRDefault="000069E6" w:rsidP="00576B26">
            <w:pPr>
              <w:rPr>
                <w:rFonts w:ascii="Arial" w:eastAsiaTheme="minorHAnsi" w:hAnsi="Arial" w:cs="Arial"/>
                <w:sz w:val="22"/>
                <w:szCs w:val="22"/>
              </w:rPr>
            </w:pPr>
          </w:p>
          <w:p w14:paraId="3EBCC999" w14:textId="77777777" w:rsidR="000069E6" w:rsidRPr="007923C2" w:rsidRDefault="000069E6" w:rsidP="00576B26">
            <w:pPr>
              <w:rPr>
                <w:rFonts w:ascii="Arial" w:eastAsiaTheme="minorHAnsi" w:hAnsi="Arial" w:cs="Arial"/>
                <w:sz w:val="22"/>
                <w:szCs w:val="22"/>
              </w:rPr>
            </w:pPr>
          </w:p>
          <w:p w14:paraId="6B8EC2E7" w14:textId="77777777" w:rsidR="000069E6" w:rsidRPr="007923C2" w:rsidRDefault="000069E6" w:rsidP="00576B26">
            <w:pPr>
              <w:rPr>
                <w:rFonts w:ascii="Arial" w:eastAsiaTheme="minorHAnsi" w:hAnsi="Arial" w:cs="Arial"/>
                <w:sz w:val="22"/>
                <w:szCs w:val="22"/>
              </w:rPr>
            </w:pPr>
          </w:p>
          <w:p w14:paraId="5ED80D54" w14:textId="77777777" w:rsidR="000069E6" w:rsidRPr="007923C2" w:rsidRDefault="000069E6" w:rsidP="00576B26">
            <w:pPr>
              <w:rPr>
                <w:rFonts w:ascii="Arial" w:eastAsiaTheme="minorHAnsi" w:hAnsi="Arial" w:cs="Arial"/>
                <w:sz w:val="22"/>
                <w:szCs w:val="22"/>
              </w:rPr>
            </w:pPr>
          </w:p>
          <w:p w14:paraId="218441A2" w14:textId="77777777" w:rsidR="000069E6" w:rsidRPr="007923C2" w:rsidRDefault="000069E6" w:rsidP="00576B26">
            <w:pPr>
              <w:rPr>
                <w:rFonts w:ascii="Arial" w:eastAsiaTheme="minorHAnsi" w:hAnsi="Arial" w:cs="Arial"/>
                <w:sz w:val="22"/>
                <w:szCs w:val="22"/>
              </w:rPr>
            </w:pPr>
          </w:p>
          <w:p w14:paraId="69D6AFD4" w14:textId="77777777" w:rsidR="000069E6" w:rsidRDefault="000069E6" w:rsidP="00576B26">
            <w:pPr>
              <w:rPr>
                <w:rFonts w:ascii="Arial" w:eastAsiaTheme="minorHAnsi" w:hAnsi="Arial" w:cs="Arial"/>
                <w:sz w:val="22"/>
                <w:szCs w:val="22"/>
              </w:rPr>
            </w:pPr>
          </w:p>
          <w:p w14:paraId="6C2438E5" w14:textId="77777777" w:rsidR="000069E6" w:rsidRDefault="000069E6" w:rsidP="00576B26">
            <w:pPr>
              <w:rPr>
                <w:rFonts w:ascii="Arial" w:eastAsiaTheme="minorHAnsi" w:hAnsi="Arial" w:cs="Arial"/>
                <w:sz w:val="22"/>
                <w:szCs w:val="22"/>
              </w:rPr>
            </w:pPr>
          </w:p>
          <w:p w14:paraId="44A7A413" w14:textId="77777777" w:rsidR="000069E6" w:rsidRDefault="000069E6" w:rsidP="00576B26">
            <w:pPr>
              <w:rPr>
                <w:rFonts w:ascii="Arial" w:eastAsiaTheme="minorHAnsi" w:hAnsi="Arial" w:cs="Arial"/>
                <w:sz w:val="22"/>
                <w:szCs w:val="22"/>
              </w:rPr>
            </w:pPr>
          </w:p>
          <w:p w14:paraId="6E4E428B" w14:textId="77777777" w:rsidR="000069E6" w:rsidRDefault="000069E6" w:rsidP="00576B26">
            <w:pPr>
              <w:rPr>
                <w:rFonts w:ascii="Arial" w:eastAsiaTheme="minorHAnsi" w:hAnsi="Arial" w:cs="Arial"/>
                <w:sz w:val="22"/>
                <w:szCs w:val="22"/>
              </w:rPr>
            </w:pPr>
          </w:p>
          <w:p w14:paraId="4B5BBFF0" w14:textId="77777777" w:rsidR="000069E6" w:rsidRDefault="000069E6" w:rsidP="00576B26">
            <w:pPr>
              <w:rPr>
                <w:rFonts w:ascii="Arial" w:eastAsiaTheme="minorHAnsi" w:hAnsi="Arial" w:cs="Arial"/>
                <w:sz w:val="22"/>
                <w:szCs w:val="22"/>
              </w:rPr>
            </w:pPr>
          </w:p>
          <w:p w14:paraId="19DF3454" w14:textId="77777777" w:rsidR="000069E6" w:rsidRDefault="000069E6" w:rsidP="00576B26">
            <w:pPr>
              <w:rPr>
                <w:rFonts w:ascii="Arial" w:eastAsiaTheme="minorHAnsi" w:hAnsi="Arial" w:cs="Arial"/>
                <w:sz w:val="22"/>
                <w:szCs w:val="22"/>
              </w:rPr>
            </w:pPr>
          </w:p>
          <w:p w14:paraId="22E741B3" w14:textId="77777777" w:rsidR="000069E6" w:rsidRDefault="000069E6" w:rsidP="00576B26">
            <w:pPr>
              <w:rPr>
                <w:rFonts w:ascii="Arial" w:eastAsiaTheme="minorHAnsi" w:hAnsi="Arial" w:cs="Arial"/>
                <w:sz w:val="22"/>
                <w:szCs w:val="22"/>
              </w:rPr>
            </w:pPr>
          </w:p>
          <w:p w14:paraId="1CD038EF" w14:textId="77777777" w:rsidR="000069E6" w:rsidRDefault="000069E6" w:rsidP="00576B26">
            <w:pPr>
              <w:rPr>
                <w:rFonts w:ascii="Arial" w:eastAsiaTheme="minorHAnsi" w:hAnsi="Arial" w:cs="Arial"/>
                <w:sz w:val="22"/>
                <w:szCs w:val="22"/>
              </w:rPr>
            </w:pPr>
          </w:p>
          <w:p w14:paraId="7B24F88B" w14:textId="77777777" w:rsidR="000069E6" w:rsidRDefault="000069E6" w:rsidP="00576B26">
            <w:pPr>
              <w:rPr>
                <w:rFonts w:ascii="Arial" w:eastAsiaTheme="minorHAnsi" w:hAnsi="Arial" w:cs="Arial"/>
                <w:sz w:val="22"/>
                <w:szCs w:val="22"/>
              </w:rPr>
            </w:pPr>
          </w:p>
          <w:p w14:paraId="545FF6E3" w14:textId="77777777" w:rsidR="000069E6" w:rsidRDefault="000069E6" w:rsidP="00576B26">
            <w:pPr>
              <w:rPr>
                <w:rFonts w:ascii="Arial" w:eastAsiaTheme="minorHAnsi" w:hAnsi="Arial" w:cs="Arial"/>
                <w:sz w:val="22"/>
                <w:szCs w:val="22"/>
              </w:rPr>
            </w:pPr>
          </w:p>
          <w:p w14:paraId="524EC283" w14:textId="77777777"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Ecología y contaminación ambiental </w:t>
            </w:r>
          </w:p>
          <w:p w14:paraId="3288FCEC" w14:textId="77777777" w:rsidR="000069E6" w:rsidRPr="007923C2" w:rsidRDefault="000069E6" w:rsidP="00576B26">
            <w:pPr>
              <w:rPr>
                <w:rFonts w:ascii="Arial" w:eastAsiaTheme="minorHAnsi" w:hAnsi="Arial" w:cs="Arial"/>
                <w:sz w:val="22"/>
                <w:szCs w:val="22"/>
              </w:rPr>
            </w:pPr>
          </w:p>
          <w:p w14:paraId="4C5BC1B3" w14:textId="77777777" w:rsidR="000069E6" w:rsidRPr="007923C2" w:rsidRDefault="000069E6" w:rsidP="00576B26">
            <w:pPr>
              <w:rPr>
                <w:rFonts w:ascii="Arial" w:eastAsiaTheme="minorHAnsi" w:hAnsi="Arial" w:cs="Arial"/>
                <w:sz w:val="22"/>
                <w:szCs w:val="22"/>
              </w:rPr>
            </w:pPr>
          </w:p>
          <w:p w14:paraId="7722D34E" w14:textId="77777777" w:rsidR="000069E6" w:rsidRPr="007923C2" w:rsidRDefault="000069E6" w:rsidP="00576B26">
            <w:pPr>
              <w:rPr>
                <w:rFonts w:ascii="Arial" w:eastAsiaTheme="minorHAnsi" w:hAnsi="Arial" w:cs="Arial"/>
                <w:sz w:val="22"/>
                <w:szCs w:val="22"/>
              </w:rPr>
            </w:pPr>
          </w:p>
          <w:p w14:paraId="0E114B07" w14:textId="77777777" w:rsidR="000069E6" w:rsidRPr="007923C2" w:rsidRDefault="000069E6" w:rsidP="00576B26">
            <w:pPr>
              <w:rPr>
                <w:rFonts w:ascii="Arial" w:eastAsiaTheme="minorHAnsi" w:hAnsi="Arial" w:cs="Arial"/>
                <w:sz w:val="22"/>
                <w:szCs w:val="22"/>
              </w:rPr>
            </w:pPr>
          </w:p>
          <w:p w14:paraId="48781067" w14:textId="77777777" w:rsidR="000069E6" w:rsidRPr="007923C2" w:rsidRDefault="000069E6" w:rsidP="00576B26">
            <w:pPr>
              <w:rPr>
                <w:rFonts w:ascii="Arial" w:eastAsiaTheme="minorHAnsi" w:hAnsi="Arial" w:cs="Arial"/>
                <w:sz w:val="22"/>
                <w:szCs w:val="22"/>
              </w:rPr>
            </w:pPr>
          </w:p>
          <w:p w14:paraId="411A167C" w14:textId="77777777" w:rsidR="000069E6" w:rsidRPr="007923C2" w:rsidRDefault="000069E6" w:rsidP="00576B26">
            <w:pPr>
              <w:rPr>
                <w:rFonts w:ascii="Arial" w:eastAsiaTheme="minorHAnsi" w:hAnsi="Arial" w:cs="Arial"/>
                <w:sz w:val="22"/>
                <w:szCs w:val="22"/>
              </w:rPr>
            </w:pPr>
          </w:p>
          <w:p w14:paraId="20DD6F70" w14:textId="77777777" w:rsidR="000069E6" w:rsidRPr="007923C2" w:rsidRDefault="000069E6" w:rsidP="00576B26">
            <w:pPr>
              <w:rPr>
                <w:rFonts w:ascii="Arial" w:eastAsiaTheme="minorHAnsi" w:hAnsi="Arial" w:cs="Arial"/>
                <w:sz w:val="22"/>
                <w:szCs w:val="22"/>
              </w:rPr>
            </w:pPr>
          </w:p>
          <w:p w14:paraId="6A08CDBD" w14:textId="77777777" w:rsidR="000069E6" w:rsidRPr="007923C2" w:rsidRDefault="000069E6" w:rsidP="00576B26">
            <w:pPr>
              <w:rPr>
                <w:rFonts w:ascii="Arial" w:eastAsiaTheme="minorHAnsi" w:hAnsi="Arial" w:cs="Arial"/>
                <w:sz w:val="22"/>
                <w:szCs w:val="22"/>
              </w:rPr>
            </w:pPr>
          </w:p>
          <w:p w14:paraId="6EC9B262" w14:textId="77777777" w:rsidR="000069E6" w:rsidRPr="007923C2" w:rsidRDefault="000069E6" w:rsidP="00576B26">
            <w:pPr>
              <w:rPr>
                <w:rFonts w:ascii="Arial" w:eastAsiaTheme="minorHAnsi" w:hAnsi="Arial" w:cs="Arial"/>
                <w:sz w:val="22"/>
                <w:szCs w:val="22"/>
              </w:rPr>
            </w:pPr>
          </w:p>
          <w:p w14:paraId="4ACD5AED" w14:textId="77777777" w:rsidR="000069E6" w:rsidRPr="007923C2" w:rsidRDefault="000069E6" w:rsidP="00576B26">
            <w:pPr>
              <w:rPr>
                <w:rFonts w:ascii="Arial" w:eastAsiaTheme="minorHAnsi" w:hAnsi="Arial" w:cs="Arial"/>
                <w:sz w:val="22"/>
                <w:szCs w:val="22"/>
              </w:rPr>
            </w:pPr>
          </w:p>
          <w:p w14:paraId="432623B8" w14:textId="77777777" w:rsidR="000069E6" w:rsidRDefault="000069E6" w:rsidP="00576B26">
            <w:pPr>
              <w:rPr>
                <w:rFonts w:ascii="Arial" w:eastAsiaTheme="minorHAnsi" w:hAnsi="Arial" w:cs="Arial"/>
                <w:sz w:val="22"/>
                <w:szCs w:val="22"/>
              </w:rPr>
            </w:pPr>
          </w:p>
          <w:p w14:paraId="293519B8" w14:textId="77777777" w:rsidR="000069E6" w:rsidRDefault="000069E6" w:rsidP="00576B26">
            <w:pPr>
              <w:rPr>
                <w:rFonts w:ascii="Arial" w:eastAsiaTheme="minorHAnsi" w:hAnsi="Arial" w:cs="Arial"/>
                <w:sz w:val="22"/>
                <w:szCs w:val="22"/>
              </w:rPr>
            </w:pPr>
          </w:p>
          <w:p w14:paraId="75287372" w14:textId="77777777" w:rsidR="000069E6" w:rsidRDefault="000069E6" w:rsidP="00576B26">
            <w:pPr>
              <w:rPr>
                <w:rFonts w:ascii="Arial" w:eastAsiaTheme="minorHAnsi" w:hAnsi="Arial" w:cs="Arial"/>
                <w:sz w:val="22"/>
                <w:szCs w:val="22"/>
              </w:rPr>
            </w:pPr>
          </w:p>
          <w:p w14:paraId="2BE1C0D2" w14:textId="77777777" w:rsidR="000069E6" w:rsidRDefault="000069E6" w:rsidP="00576B26">
            <w:pPr>
              <w:rPr>
                <w:rFonts w:ascii="Arial" w:eastAsiaTheme="minorHAnsi" w:hAnsi="Arial" w:cs="Arial"/>
                <w:sz w:val="22"/>
                <w:szCs w:val="22"/>
              </w:rPr>
            </w:pPr>
          </w:p>
          <w:p w14:paraId="0EAEFB0E" w14:textId="77777777" w:rsidR="000069E6" w:rsidRDefault="000069E6" w:rsidP="00576B26">
            <w:pPr>
              <w:rPr>
                <w:rFonts w:ascii="Arial" w:eastAsiaTheme="minorHAnsi" w:hAnsi="Arial" w:cs="Arial"/>
                <w:sz w:val="22"/>
                <w:szCs w:val="22"/>
              </w:rPr>
            </w:pPr>
          </w:p>
          <w:p w14:paraId="69E1F57E" w14:textId="77777777" w:rsidR="000069E6" w:rsidRDefault="000069E6" w:rsidP="00576B26">
            <w:pPr>
              <w:rPr>
                <w:rFonts w:ascii="Arial" w:eastAsiaTheme="minorHAnsi" w:hAnsi="Arial" w:cs="Arial"/>
                <w:sz w:val="22"/>
                <w:szCs w:val="22"/>
              </w:rPr>
            </w:pPr>
          </w:p>
          <w:p w14:paraId="632B15E9" w14:textId="77777777"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Biotecnología </w:t>
            </w:r>
          </w:p>
        </w:tc>
        <w:tc>
          <w:tcPr>
            <w:tcW w:w="2268" w:type="dxa"/>
          </w:tcPr>
          <w:p w14:paraId="06F469C2"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lastRenderedPageBreak/>
              <w:t xml:space="preserve">Agroecología </w:t>
            </w:r>
          </w:p>
          <w:p w14:paraId="6989F058"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Bioagricultura </w:t>
            </w:r>
          </w:p>
          <w:p w14:paraId="6BD65B00"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Fertilidad y fertilización del suelo </w:t>
            </w:r>
          </w:p>
          <w:p w14:paraId="196DF295"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Manejo agroecológico del agua </w:t>
            </w:r>
          </w:p>
          <w:p w14:paraId="2A00010B"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Manejo integrado de plagas </w:t>
            </w:r>
          </w:p>
          <w:p w14:paraId="5D34BE56"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Agricultura sustentable e inocuidad</w:t>
            </w:r>
          </w:p>
          <w:p w14:paraId="4B76E40D" w14:textId="77777777" w:rsidR="000069E6" w:rsidRDefault="000069E6" w:rsidP="00576B26">
            <w:pPr>
              <w:ind w:left="720"/>
              <w:contextualSpacing/>
              <w:rPr>
                <w:rFonts w:ascii="Arial" w:eastAsiaTheme="minorHAnsi" w:hAnsi="Arial" w:cs="Arial"/>
                <w:sz w:val="22"/>
                <w:szCs w:val="22"/>
              </w:rPr>
            </w:pPr>
          </w:p>
          <w:p w14:paraId="2B179566" w14:textId="77777777" w:rsidR="000069E6" w:rsidRDefault="000069E6" w:rsidP="00576B26">
            <w:pPr>
              <w:ind w:left="720"/>
              <w:contextualSpacing/>
              <w:rPr>
                <w:rFonts w:ascii="Arial" w:eastAsiaTheme="minorHAnsi" w:hAnsi="Arial" w:cs="Arial"/>
                <w:sz w:val="22"/>
                <w:szCs w:val="22"/>
              </w:rPr>
            </w:pPr>
          </w:p>
          <w:p w14:paraId="42CB3941" w14:textId="77777777" w:rsidR="000069E6" w:rsidRDefault="000069E6" w:rsidP="00576B26">
            <w:pPr>
              <w:ind w:left="720"/>
              <w:contextualSpacing/>
              <w:rPr>
                <w:rFonts w:ascii="Arial" w:eastAsiaTheme="minorHAnsi" w:hAnsi="Arial" w:cs="Arial"/>
                <w:sz w:val="22"/>
                <w:szCs w:val="22"/>
              </w:rPr>
            </w:pPr>
          </w:p>
          <w:p w14:paraId="09604C3B" w14:textId="77777777" w:rsidR="000069E6" w:rsidRDefault="000069E6" w:rsidP="00576B26">
            <w:pPr>
              <w:ind w:left="720"/>
              <w:contextualSpacing/>
              <w:rPr>
                <w:rFonts w:ascii="Arial" w:eastAsiaTheme="minorHAnsi" w:hAnsi="Arial" w:cs="Arial"/>
                <w:sz w:val="22"/>
                <w:szCs w:val="22"/>
              </w:rPr>
            </w:pPr>
          </w:p>
          <w:p w14:paraId="4E593033" w14:textId="77777777" w:rsidR="000069E6" w:rsidRDefault="000069E6" w:rsidP="00576B26">
            <w:pPr>
              <w:ind w:left="720"/>
              <w:contextualSpacing/>
              <w:rPr>
                <w:rFonts w:ascii="Arial" w:eastAsiaTheme="minorHAnsi" w:hAnsi="Arial" w:cs="Arial"/>
                <w:sz w:val="22"/>
                <w:szCs w:val="22"/>
              </w:rPr>
            </w:pPr>
          </w:p>
          <w:p w14:paraId="4E9AFA48" w14:textId="77777777" w:rsidR="000069E6" w:rsidRDefault="000069E6" w:rsidP="00576B26">
            <w:pPr>
              <w:ind w:left="720"/>
              <w:contextualSpacing/>
              <w:rPr>
                <w:rFonts w:ascii="Arial" w:eastAsiaTheme="minorHAnsi" w:hAnsi="Arial" w:cs="Arial"/>
                <w:sz w:val="22"/>
                <w:szCs w:val="22"/>
              </w:rPr>
            </w:pPr>
          </w:p>
          <w:p w14:paraId="2A806942" w14:textId="77777777" w:rsidR="000069E6" w:rsidRDefault="000069E6" w:rsidP="00576B26">
            <w:pPr>
              <w:ind w:left="720"/>
              <w:contextualSpacing/>
              <w:rPr>
                <w:rFonts w:ascii="Arial" w:eastAsiaTheme="minorHAnsi" w:hAnsi="Arial" w:cs="Arial"/>
                <w:sz w:val="22"/>
                <w:szCs w:val="22"/>
              </w:rPr>
            </w:pPr>
          </w:p>
          <w:p w14:paraId="1B52DF4C" w14:textId="77777777" w:rsidR="000069E6" w:rsidRDefault="000069E6" w:rsidP="00576B26">
            <w:pPr>
              <w:ind w:left="720"/>
              <w:contextualSpacing/>
              <w:rPr>
                <w:rFonts w:ascii="Arial" w:eastAsiaTheme="minorHAnsi" w:hAnsi="Arial" w:cs="Arial"/>
                <w:sz w:val="22"/>
                <w:szCs w:val="22"/>
              </w:rPr>
            </w:pPr>
          </w:p>
          <w:p w14:paraId="554D23AD" w14:textId="77777777" w:rsidR="000069E6" w:rsidRDefault="000069E6" w:rsidP="00576B26">
            <w:pPr>
              <w:ind w:left="720"/>
              <w:contextualSpacing/>
              <w:rPr>
                <w:rFonts w:ascii="Arial" w:eastAsiaTheme="minorHAnsi" w:hAnsi="Arial" w:cs="Arial"/>
                <w:sz w:val="22"/>
                <w:szCs w:val="22"/>
              </w:rPr>
            </w:pPr>
          </w:p>
          <w:p w14:paraId="0B5E7F1D" w14:textId="77777777" w:rsidR="000069E6" w:rsidRDefault="000069E6" w:rsidP="00576B26">
            <w:pPr>
              <w:ind w:left="720"/>
              <w:contextualSpacing/>
              <w:rPr>
                <w:rFonts w:ascii="Arial" w:eastAsiaTheme="minorHAnsi" w:hAnsi="Arial" w:cs="Arial"/>
                <w:sz w:val="22"/>
                <w:szCs w:val="22"/>
              </w:rPr>
            </w:pPr>
          </w:p>
          <w:p w14:paraId="433F3827" w14:textId="77777777" w:rsidR="000069E6" w:rsidRDefault="000069E6" w:rsidP="00576B26">
            <w:pPr>
              <w:ind w:left="720"/>
              <w:contextualSpacing/>
              <w:rPr>
                <w:rFonts w:ascii="Arial" w:eastAsiaTheme="minorHAnsi" w:hAnsi="Arial" w:cs="Arial"/>
                <w:sz w:val="22"/>
                <w:szCs w:val="22"/>
              </w:rPr>
            </w:pPr>
          </w:p>
          <w:p w14:paraId="17CCEFBC"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Biodiversidad </w:t>
            </w:r>
          </w:p>
          <w:p w14:paraId="2C15CB33"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Ecofisiología vegetal </w:t>
            </w:r>
          </w:p>
          <w:p w14:paraId="5B213D71"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Contaminación ambiental </w:t>
            </w:r>
          </w:p>
          <w:p w14:paraId="253EF0B1"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Fauna silvestre </w:t>
            </w:r>
          </w:p>
          <w:p w14:paraId="7AA48B91" w14:textId="438E31BC"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Evaluación de ecosistemas  </w:t>
            </w:r>
          </w:p>
          <w:p w14:paraId="158B2EA4"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lastRenderedPageBreak/>
              <w:t xml:space="preserve">Manejo y conservación de recursos bióticos </w:t>
            </w:r>
          </w:p>
          <w:p w14:paraId="178911E3"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Ecología de áreas naturales protegidas </w:t>
            </w:r>
          </w:p>
          <w:p w14:paraId="007FEFCF" w14:textId="77777777" w:rsidR="000069E6" w:rsidRDefault="000069E6" w:rsidP="00576B26">
            <w:pPr>
              <w:rPr>
                <w:rFonts w:ascii="Arial" w:eastAsiaTheme="minorHAnsi" w:hAnsi="Arial" w:cs="Arial"/>
                <w:sz w:val="22"/>
                <w:szCs w:val="22"/>
              </w:rPr>
            </w:pPr>
          </w:p>
          <w:p w14:paraId="471F9078" w14:textId="77777777" w:rsidR="000069E6" w:rsidRDefault="000069E6" w:rsidP="00576B26">
            <w:pPr>
              <w:rPr>
                <w:rFonts w:ascii="Arial" w:eastAsiaTheme="minorHAnsi" w:hAnsi="Arial" w:cs="Arial"/>
                <w:sz w:val="22"/>
                <w:szCs w:val="22"/>
              </w:rPr>
            </w:pPr>
          </w:p>
          <w:p w14:paraId="20F6353F" w14:textId="77777777" w:rsidR="000069E6" w:rsidRDefault="000069E6" w:rsidP="00576B26">
            <w:pPr>
              <w:rPr>
                <w:rFonts w:ascii="Arial" w:eastAsiaTheme="minorHAnsi" w:hAnsi="Arial" w:cs="Arial"/>
                <w:sz w:val="22"/>
                <w:szCs w:val="22"/>
              </w:rPr>
            </w:pPr>
          </w:p>
          <w:p w14:paraId="2065752D" w14:textId="77777777" w:rsidR="000069E6" w:rsidRDefault="000069E6" w:rsidP="00576B26">
            <w:pPr>
              <w:rPr>
                <w:rFonts w:ascii="Arial" w:eastAsiaTheme="minorHAnsi" w:hAnsi="Arial" w:cs="Arial"/>
                <w:sz w:val="22"/>
                <w:szCs w:val="22"/>
              </w:rPr>
            </w:pPr>
          </w:p>
          <w:p w14:paraId="6F4CF72B" w14:textId="77777777" w:rsidR="000069E6" w:rsidRDefault="000069E6" w:rsidP="00576B26">
            <w:pPr>
              <w:rPr>
                <w:rFonts w:ascii="Arial" w:eastAsiaTheme="minorHAnsi" w:hAnsi="Arial" w:cs="Arial"/>
                <w:sz w:val="22"/>
                <w:szCs w:val="22"/>
              </w:rPr>
            </w:pPr>
          </w:p>
          <w:p w14:paraId="76B312D2" w14:textId="77777777" w:rsidR="000069E6" w:rsidRPr="007923C2" w:rsidRDefault="000069E6" w:rsidP="00576B26">
            <w:pPr>
              <w:rPr>
                <w:rFonts w:ascii="Arial" w:eastAsiaTheme="minorHAnsi" w:hAnsi="Arial" w:cs="Arial"/>
                <w:sz w:val="22"/>
                <w:szCs w:val="22"/>
              </w:rPr>
            </w:pPr>
          </w:p>
          <w:p w14:paraId="4EE5F933"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Microbiología I</w:t>
            </w:r>
          </w:p>
          <w:p w14:paraId="6795FD8E"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Introducción a la genética molecular </w:t>
            </w:r>
          </w:p>
          <w:p w14:paraId="002D1D3C" w14:textId="77777777" w:rsidR="000069E6"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Biotecnología general </w:t>
            </w:r>
          </w:p>
          <w:p w14:paraId="5DC748CF" w14:textId="77777777" w:rsidR="000069E6" w:rsidRPr="007923C2" w:rsidRDefault="000069E6" w:rsidP="000B7F34">
            <w:pPr>
              <w:contextualSpacing/>
              <w:rPr>
                <w:rFonts w:ascii="Arial" w:eastAsiaTheme="minorHAnsi" w:hAnsi="Arial" w:cs="Arial"/>
                <w:sz w:val="22"/>
                <w:szCs w:val="22"/>
              </w:rPr>
            </w:pPr>
            <w:r>
              <w:rPr>
                <w:rFonts w:ascii="Arial" w:eastAsiaTheme="minorHAnsi" w:hAnsi="Arial" w:cs="Arial"/>
                <w:sz w:val="22"/>
                <w:szCs w:val="22"/>
              </w:rPr>
              <w:t>OPTATIVAS</w:t>
            </w:r>
          </w:p>
          <w:p w14:paraId="41410804"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Microbiología industrial </w:t>
            </w:r>
          </w:p>
          <w:p w14:paraId="76DD4902"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Recursos genéticos </w:t>
            </w:r>
          </w:p>
          <w:p w14:paraId="2246BD7A"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Biotecnología ambiental </w:t>
            </w:r>
          </w:p>
          <w:p w14:paraId="0EDFAC98"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Organismos transgénicos </w:t>
            </w:r>
          </w:p>
          <w:p w14:paraId="35ECEA55" w14:textId="77777777"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Ingeniería genética </w:t>
            </w:r>
          </w:p>
          <w:p w14:paraId="5CE691AC" w14:textId="77777777" w:rsidR="000069E6" w:rsidRDefault="000069E6" w:rsidP="00576B26">
            <w:pPr>
              <w:rPr>
                <w:rFonts w:ascii="Arial" w:eastAsiaTheme="minorHAnsi" w:hAnsi="Arial" w:cs="Arial"/>
                <w:sz w:val="22"/>
                <w:szCs w:val="22"/>
              </w:rPr>
            </w:pPr>
            <w:r>
              <w:rPr>
                <w:rFonts w:ascii="Arial" w:eastAsiaTheme="minorHAnsi" w:hAnsi="Arial" w:cs="Arial"/>
                <w:sz w:val="22"/>
                <w:szCs w:val="22"/>
              </w:rPr>
              <w:t>-Biotecnología II</w:t>
            </w:r>
          </w:p>
          <w:p w14:paraId="146F68AD" w14:textId="77777777" w:rsidR="000069E6" w:rsidRPr="007923C2" w:rsidRDefault="000069E6" w:rsidP="00576B26">
            <w:pPr>
              <w:rPr>
                <w:rFonts w:ascii="Arial" w:eastAsiaTheme="minorHAnsi" w:hAnsi="Arial" w:cs="Arial"/>
                <w:sz w:val="22"/>
                <w:szCs w:val="22"/>
              </w:rPr>
            </w:pPr>
            <w:r>
              <w:rPr>
                <w:rFonts w:ascii="Arial" w:eastAsiaTheme="minorHAnsi" w:hAnsi="Arial" w:cs="Arial"/>
                <w:sz w:val="22"/>
                <w:szCs w:val="22"/>
              </w:rPr>
              <w:t>-Introducción a la biotecnología molecular.</w:t>
            </w:r>
          </w:p>
        </w:tc>
        <w:tc>
          <w:tcPr>
            <w:tcW w:w="2551" w:type="dxa"/>
          </w:tcPr>
          <w:p w14:paraId="110F6BA0" w14:textId="77777777" w:rsidR="000069E6" w:rsidRPr="007923C2" w:rsidRDefault="000069E6" w:rsidP="00576B26">
            <w:pPr>
              <w:rPr>
                <w:rFonts w:ascii="Arial" w:eastAsiaTheme="minorHAnsi" w:hAnsi="Arial" w:cs="Arial"/>
                <w:sz w:val="22"/>
                <w:szCs w:val="22"/>
                <w:u w:val="single"/>
              </w:rPr>
            </w:pPr>
            <w:r w:rsidRPr="007923C2">
              <w:rPr>
                <w:rFonts w:ascii="Arial" w:eastAsiaTheme="minorHAnsi" w:hAnsi="Arial" w:cs="Arial"/>
                <w:sz w:val="22"/>
                <w:szCs w:val="22"/>
                <w:u w:val="single"/>
              </w:rPr>
              <w:lastRenderedPageBreak/>
              <w:t>Agricultura alternativa</w:t>
            </w:r>
          </w:p>
          <w:p w14:paraId="17A08423" w14:textId="77777777"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Objetivo: </w:t>
            </w:r>
          </w:p>
          <w:p w14:paraId="03F9F03C" w14:textId="77777777"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Será capaz de contribuir a la producción de alimentos bajo técnicas no convencionales de tal manera que la producción de los mismos destituya la pérdida de la autosuficiencia alimentaria al alcance de las mayorías o la totalidad de la población sean biológicamente sanas, no se contamine el ambiente, se conserve la biodiversidad y hagamos de la tierra un planeta más habitable y sostenible. </w:t>
            </w:r>
          </w:p>
          <w:p w14:paraId="2681E625" w14:textId="77777777" w:rsidR="000069E6" w:rsidRPr="007923C2" w:rsidRDefault="000069E6" w:rsidP="00576B26">
            <w:pPr>
              <w:rPr>
                <w:rFonts w:ascii="Arial" w:eastAsiaTheme="minorHAnsi" w:hAnsi="Arial" w:cs="Arial"/>
                <w:sz w:val="22"/>
                <w:szCs w:val="22"/>
              </w:rPr>
            </w:pPr>
          </w:p>
          <w:p w14:paraId="6066E3B2" w14:textId="77777777" w:rsidR="000069E6" w:rsidRPr="007923C2" w:rsidRDefault="000069E6" w:rsidP="00576B26">
            <w:pPr>
              <w:rPr>
                <w:rFonts w:ascii="Arial" w:eastAsiaTheme="minorHAnsi" w:hAnsi="Arial" w:cs="Arial"/>
                <w:sz w:val="22"/>
                <w:szCs w:val="22"/>
                <w:u w:val="single"/>
              </w:rPr>
            </w:pPr>
            <w:r w:rsidRPr="007923C2">
              <w:rPr>
                <w:rFonts w:ascii="Arial" w:eastAsiaTheme="minorHAnsi" w:hAnsi="Arial" w:cs="Arial"/>
                <w:sz w:val="22"/>
                <w:szCs w:val="22"/>
                <w:u w:val="single"/>
              </w:rPr>
              <w:t xml:space="preserve">Ecología y contaminación ambiental </w:t>
            </w:r>
          </w:p>
          <w:p w14:paraId="6639FDBA" w14:textId="77777777"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El objetivo es el conocimiento de los principios ecológicos que rigen el funcionamiento de los </w:t>
            </w:r>
            <w:r w:rsidRPr="007923C2">
              <w:rPr>
                <w:rFonts w:ascii="Arial" w:eastAsiaTheme="minorHAnsi" w:hAnsi="Arial" w:cs="Arial"/>
                <w:sz w:val="22"/>
                <w:szCs w:val="22"/>
              </w:rPr>
              <w:lastRenderedPageBreak/>
              <w:t xml:space="preserve">ecosistemas y el impacto de las actividades del hombre a través de los sistemas de producción industrial, agrícola y actividades domésticas, además de la restauración de los ecosistemas dañados. </w:t>
            </w:r>
          </w:p>
          <w:p w14:paraId="59C7AF25" w14:textId="77777777" w:rsidR="000069E6" w:rsidRPr="007923C2" w:rsidRDefault="000069E6" w:rsidP="00576B26">
            <w:pPr>
              <w:rPr>
                <w:rFonts w:ascii="Arial" w:eastAsiaTheme="minorHAnsi" w:hAnsi="Arial" w:cs="Arial"/>
                <w:sz w:val="22"/>
                <w:szCs w:val="22"/>
              </w:rPr>
            </w:pPr>
          </w:p>
          <w:p w14:paraId="5C9711D4" w14:textId="77777777" w:rsidR="000069E6" w:rsidRPr="007923C2" w:rsidRDefault="000069E6" w:rsidP="00576B26">
            <w:pPr>
              <w:rPr>
                <w:rFonts w:ascii="Arial" w:eastAsiaTheme="minorHAnsi" w:hAnsi="Arial" w:cs="Arial"/>
                <w:sz w:val="22"/>
                <w:szCs w:val="22"/>
                <w:u w:val="single"/>
              </w:rPr>
            </w:pPr>
            <w:r w:rsidRPr="007923C2">
              <w:rPr>
                <w:rFonts w:ascii="Arial" w:eastAsiaTheme="minorHAnsi" w:hAnsi="Arial" w:cs="Arial"/>
                <w:sz w:val="22"/>
                <w:szCs w:val="22"/>
                <w:u w:val="single"/>
              </w:rPr>
              <w:t xml:space="preserve">Biotecnología </w:t>
            </w:r>
          </w:p>
          <w:p w14:paraId="2A93E7BB" w14:textId="77777777"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Objetivo: </w:t>
            </w:r>
          </w:p>
          <w:p w14:paraId="072DB220" w14:textId="77777777"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Serán capaces de aplicar el conocimiento de las ciencias a través del uso de los seres vivos y principalmente los microorganismos para la realización de procesos industriales, el uso de la biología molecular, la ingeniería genética y los cultivos in vitro  para la conservación de especies en peligro de extinción y el aprovechamiento de formas vivas resistentes al estrés ambiental. </w:t>
            </w:r>
          </w:p>
        </w:tc>
      </w:tr>
    </w:tbl>
    <w:p w14:paraId="36B8DA4F" w14:textId="77777777" w:rsidR="00976A39" w:rsidRPr="007923C2" w:rsidRDefault="00976A39" w:rsidP="005E47E4">
      <w:pPr>
        <w:widowControl w:val="0"/>
        <w:autoSpaceDE w:val="0"/>
        <w:autoSpaceDN w:val="0"/>
        <w:adjustRightInd w:val="0"/>
        <w:jc w:val="both"/>
        <w:rPr>
          <w:rFonts w:ascii="Arial" w:hAnsi="Arial" w:cs="Arial"/>
          <w:b/>
          <w:sz w:val="22"/>
          <w:szCs w:val="22"/>
        </w:rPr>
      </w:pPr>
    </w:p>
    <w:p w14:paraId="3057BBF3" w14:textId="77777777" w:rsidR="00976A39" w:rsidRPr="007923C2" w:rsidRDefault="00376499"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w:t>
      </w:r>
      <w:r w:rsidR="00976A39" w:rsidRPr="007923C2">
        <w:rPr>
          <w:rFonts w:ascii="Arial" w:hAnsi="Arial" w:cs="Arial"/>
          <w:b/>
          <w:sz w:val="22"/>
          <w:szCs w:val="22"/>
        </w:rPr>
        <w:t>.8.3.- COHERENCIA  EXTERNA</w:t>
      </w:r>
    </w:p>
    <w:p w14:paraId="30D21A3E" w14:textId="77777777" w:rsidR="00976A39" w:rsidRPr="007923C2" w:rsidRDefault="00976A3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programa docente de la carrera de IAB fue evaluado para su acreditación en el año 2006, para lo cual se hizo una reestructuración </w:t>
      </w:r>
      <w:r w:rsidR="00376499" w:rsidRPr="007923C2">
        <w:rPr>
          <w:rFonts w:ascii="Arial" w:hAnsi="Arial" w:cs="Arial"/>
          <w:sz w:val="22"/>
          <w:szCs w:val="22"/>
        </w:rPr>
        <w:t>del Plan de Estudios reduciendo el número de asignaturas ofrecidas por el Plan de estudios</w:t>
      </w:r>
      <w:r w:rsidR="00E43FCF">
        <w:rPr>
          <w:rFonts w:ascii="Arial" w:hAnsi="Arial" w:cs="Arial"/>
          <w:sz w:val="22"/>
          <w:szCs w:val="22"/>
        </w:rPr>
        <w:t xml:space="preserve"> anterior</w:t>
      </w:r>
      <w:r w:rsidR="00376499" w:rsidRPr="007923C2">
        <w:rPr>
          <w:rFonts w:ascii="Arial" w:hAnsi="Arial" w:cs="Arial"/>
          <w:sz w:val="22"/>
          <w:szCs w:val="22"/>
        </w:rPr>
        <w:t>.</w:t>
      </w:r>
    </w:p>
    <w:p w14:paraId="07458283" w14:textId="77777777" w:rsidR="00376499" w:rsidRPr="007923C2" w:rsidRDefault="0037649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Con el que inició la carrera fue con 49 materias curriculares y 16 optativas las que se redujeron a 46 materias curriculares y 10 optativas con un total de 56 asignaturas.</w:t>
      </w:r>
    </w:p>
    <w:p w14:paraId="10AC81BB" w14:textId="77777777" w:rsidR="00376499" w:rsidRPr="007923C2" w:rsidRDefault="0037649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hizo un análisis de las materias que quedarían de acuerdo al perfil profesional y el objetivo del programa.</w:t>
      </w:r>
    </w:p>
    <w:p w14:paraId="44F9A7DE" w14:textId="77777777" w:rsidR="00376499" w:rsidRPr="007923C2" w:rsidRDefault="0037649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A partir del 2006 ingresa la primera generacióncon </w:t>
      </w:r>
      <w:r w:rsidR="00E43FCF">
        <w:rPr>
          <w:rFonts w:ascii="Arial" w:hAnsi="Arial" w:cs="Arial"/>
          <w:sz w:val="22"/>
          <w:szCs w:val="22"/>
        </w:rPr>
        <w:t xml:space="preserve">con </w:t>
      </w:r>
      <w:r w:rsidRPr="007923C2">
        <w:rPr>
          <w:rFonts w:ascii="Arial" w:hAnsi="Arial" w:cs="Arial"/>
          <w:sz w:val="22"/>
          <w:szCs w:val="22"/>
        </w:rPr>
        <w:t xml:space="preserve">el plan de estudios reestructurado, la cual egresó en el año 2011 y en total han egresado </w:t>
      </w:r>
      <w:r w:rsidR="00E43FCF">
        <w:rPr>
          <w:rFonts w:ascii="Arial" w:hAnsi="Arial" w:cs="Arial"/>
          <w:sz w:val="22"/>
          <w:szCs w:val="22"/>
        </w:rPr>
        <w:t>6</w:t>
      </w:r>
      <w:r w:rsidRPr="007923C2">
        <w:rPr>
          <w:rFonts w:ascii="Arial" w:hAnsi="Arial" w:cs="Arial"/>
          <w:sz w:val="22"/>
          <w:szCs w:val="22"/>
        </w:rPr>
        <w:t xml:space="preserve"> generaciones.</w:t>
      </w:r>
    </w:p>
    <w:p w14:paraId="38A9CDAF" w14:textId="77777777" w:rsidR="009A10F3" w:rsidRPr="007923C2" w:rsidRDefault="009A10F3"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Hasta la generación que ingresó en el 2015 faltarían por egresar otras 5 generaciones hasta el 2020.</w:t>
      </w:r>
    </w:p>
    <w:p w14:paraId="65448AD6" w14:textId="77777777" w:rsidR="009A10F3" w:rsidRPr="007923C2" w:rsidRDefault="009A10F3"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Se realizó un análisis de la carrera para determinar si se está dando cumplimiento a la demanda de los empleadores y dar cumplimiento a un diagnóstico de actividades dominantes emergentes.</w:t>
      </w:r>
    </w:p>
    <w:p w14:paraId="118F32E6" w14:textId="77777777" w:rsidR="0009483D" w:rsidRPr="007923C2" w:rsidRDefault="0009483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perfil profesional y objetivo del programa IAB es coherente con las necesidades  externas del país, ya que la Agrobiología no solo se enfoca a la producción agrícola sino también a la conservación de los recursos naturales para un desarrollo sostenible.</w:t>
      </w:r>
    </w:p>
    <w:p w14:paraId="3DA05E66" w14:textId="77777777" w:rsidR="00C652CE" w:rsidRPr="007923C2" w:rsidRDefault="0009483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análisis actualizado de los  los factores externos han confirmado los´elementos básicos que fundamentaron la carrera IAB y que son temas de actualidad lo que requiere de </w:t>
      </w:r>
      <w:r w:rsidR="00C652CE" w:rsidRPr="007923C2">
        <w:rPr>
          <w:rFonts w:ascii="Arial" w:hAnsi="Arial" w:cs="Arial"/>
          <w:sz w:val="22"/>
          <w:szCs w:val="22"/>
        </w:rPr>
        <w:t>profesionistas como un Ingeniero en Agrobiología.</w:t>
      </w:r>
    </w:p>
    <w:p w14:paraId="4C523569" w14:textId="77777777" w:rsidR="00376499" w:rsidRPr="007923C2" w:rsidRDefault="00C652CE"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COMENTARIOS DEL ESTUDIO DE PERTINENCIA</w:t>
      </w:r>
    </w:p>
    <w:p w14:paraId="08D7EC7E" w14:textId="77777777" w:rsidR="00EE08AE" w:rsidRPr="007923C2" w:rsidRDefault="00EE08AE" w:rsidP="00EE08AE">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Investigación a empresas y empleadores</w:t>
      </w:r>
    </w:p>
    <w:p w14:paraId="5E984E1A" w14:textId="77777777" w:rsidR="00EE08AE" w:rsidRPr="007923C2" w:rsidRDefault="00EE08AE" w:rsidP="00EE08AE">
      <w:pPr>
        <w:widowControl w:val="0"/>
        <w:autoSpaceDE w:val="0"/>
        <w:autoSpaceDN w:val="0"/>
        <w:adjustRightInd w:val="0"/>
        <w:spacing w:after="0" w:line="276" w:lineRule="exact"/>
        <w:rPr>
          <w:rFonts w:ascii="Arial" w:hAnsi="Arial" w:cs="Arial"/>
          <w:sz w:val="22"/>
          <w:szCs w:val="22"/>
        </w:rPr>
      </w:pPr>
    </w:p>
    <w:p w14:paraId="13F91B5B" w14:textId="77777777" w:rsidR="00EE08AE" w:rsidRPr="007923C2" w:rsidRDefault="00EE08AE" w:rsidP="00EE08AE">
      <w:pPr>
        <w:widowControl w:val="0"/>
        <w:overflowPunct w:val="0"/>
        <w:autoSpaceDE w:val="0"/>
        <w:autoSpaceDN w:val="0"/>
        <w:adjustRightInd w:val="0"/>
        <w:spacing w:after="0" w:line="217" w:lineRule="auto"/>
        <w:ind w:right="40"/>
        <w:jc w:val="both"/>
        <w:rPr>
          <w:rFonts w:ascii="Arial" w:hAnsi="Arial" w:cs="Arial"/>
          <w:sz w:val="22"/>
          <w:szCs w:val="22"/>
        </w:rPr>
      </w:pPr>
      <w:r w:rsidRPr="007923C2">
        <w:rPr>
          <w:rFonts w:ascii="Arial" w:hAnsi="Arial" w:cs="Arial"/>
          <w:sz w:val="22"/>
          <w:szCs w:val="22"/>
        </w:rPr>
        <w:t>Se realizó una investigación directa ante empresas y empleadores de egresados de Ingeniero en Agrobiología.</w:t>
      </w:r>
    </w:p>
    <w:p w14:paraId="569B38B7" w14:textId="77777777" w:rsidR="00EE08AE" w:rsidRPr="007923C2" w:rsidRDefault="00EE08AE" w:rsidP="00EE08AE">
      <w:pPr>
        <w:widowControl w:val="0"/>
        <w:autoSpaceDE w:val="0"/>
        <w:autoSpaceDN w:val="0"/>
        <w:adjustRightInd w:val="0"/>
        <w:spacing w:after="0" w:line="231" w:lineRule="exact"/>
        <w:rPr>
          <w:rFonts w:ascii="Arial" w:hAnsi="Arial" w:cs="Arial"/>
          <w:sz w:val="22"/>
          <w:szCs w:val="22"/>
        </w:rPr>
      </w:pPr>
    </w:p>
    <w:p w14:paraId="1BDBA956" w14:textId="77777777" w:rsidR="00EE08AE" w:rsidRPr="007923C2" w:rsidRDefault="00EE08AE" w:rsidP="00EE08AE">
      <w:pPr>
        <w:widowControl w:val="0"/>
        <w:autoSpaceDE w:val="0"/>
        <w:autoSpaceDN w:val="0"/>
        <w:adjustRightInd w:val="0"/>
        <w:spacing w:after="0" w:line="239" w:lineRule="auto"/>
        <w:rPr>
          <w:rFonts w:ascii="Arial" w:hAnsi="Arial" w:cs="Arial"/>
          <w:sz w:val="22"/>
          <w:szCs w:val="22"/>
        </w:rPr>
      </w:pPr>
      <w:r w:rsidRPr="007923C2">
        <w:rPr>
          <w:rFonts w:ascii="Arial" w:hAnsi="Arial" w:cs="Arial"/>
          <w:sz w:val="22"/>
          <w:szCs w:val="22"/>
        </w:rPr>
        <w:t>En general, las empresas y empleadores tienen buena</w:t>
      </w:r>
      <w:r w:rsidR="00E43FCF">
        <w:rPr>
          <w:rFonts w:ascii="Arial" w:hAnsi="Arial" w:cs="Arial"/>
          <w:sz w:val="22"/>
          <w:szCs w:val="22"/>
        </w:rPr>
        <w:t xml:space="preserve"> opinión</w:t>
      </w:r>
      <w:r w:rsidRPr="007923C2">
        <w:rPr>
          <w:rFonts w:ascii="Arial" w:hAnsi="Arial" w:cs="Arial"/>
          <w:sz w:val="22"/>
          <w:szCs w:val="22"/>
        </w:rPr>
        <w:t xml:space="preserve"> sobre la Universidad UAAAN y sus egresados.</w:t>
      </w:r>
    </w:p>
    <w:p w14:paraId="54FC0E73" w14:textId="77777777" w:rsidR="00EE08AE" w:rsidRPr="007923C2" w:rsidRDefault="00EE08AE" w:rsidP="00EE08AE">
      <w:pPr>
        <w:widowControl w:val="0"/>
        <w:autoSpaceDE w:val="0"/>
        <w:autoSpaceDN w:val="0"/>
        <w:adjustRightInd w:val="0"/>
        <w:spacing w:after="0" w:line="274" w:lineRule="exact"/>
        <w:rPr>
          <w:rFonts w:ascii="Arial" w:hAnsi="Arial" w:cs="Arial"/>
          <w:sz w:val="22"/>
          <w:szCs w:val="22"/>
        </w:rPr>
      </w:pPr>
    </w:p>
    <w:p w14:paraId="64C3332F" w14:textId="77777777" w:rsidR="00EE08AE" w:rsidRPr="007923C2" w:rsidRDefault="00EE08AE" w:rsidP="00EE08AE">
      <w:pPr>
        <w:widowControl w:val="0"/>
        <w:overflowPunct w:val="0"/>
        <w:autoSpaceDE w:val="0"/>
        <w:autoSpaceDN w:val="0"/>
        <w:adjustRightInd w:val="0"/>
        <w:spacing w:after="0" w:line="224" w:lineRule="auto"/>
        <w:ind w:right="20"/>
        <w:jc w:val="both"/>
        <w:rPr>
          <w:rFonts w:ascii="Arial" w:hAnsi="Arial" w:cs="Arial"/>
          <w:sz w:val="22"/>
          <w:szCs w:val="22"/>
        </w:rPr>
      </w:pPr>
      <w:r w:rsidRPr="007923C2">
        <w:rPr>
          <w:rFonts w:ascii="Arial" w:hAnsi="Arial" w:cs="Arial"/>
          <w:sz w:val="22"/>
          <w:szCs w:val="22"/>
        </w:rPr>
        <w:t>El 100% conoce la UAAAN. El 90% de los entrevistados aportaron buenos comentarios acerca del desempeño de los egresados, comentaron que son buenos profesionistas, conocen bien la zona donde trabajan, se desarrollan con facilidad en diversas áreas, son dedicados y responsables</w:t>
      </w:r>
    </w:p>
    <w:p w14:paraId="2F8F7102" w14:textId="77777777" w:rsidR="00EE08AE" w:rsidRPr="007923C2" w:rsidRDefault="00EE08AE" w:rsidP="00EE08AE">
      <w:pPr>
        <w:widowControl w:val="0"/>
        <w:autoSpaceDE w:val="0"/>
        <w:autoSpaceDN w:val="0"/>
        <w:adjustRightInd w:val="0"/>
        <w:spacing w:after="0" w:line="278" w:lineRule="exact"/>
        <w:rPr>
          <w:rFonts w:ascii="Arial" w:hAnsi="Arial" w:cs="Arial"/>
          <w:sz w:val="22"/>
          <w:szCs w:val="22"/>
        </w:rPr>
      </w:pPr>
    </w:p>
    <w:p w14:paraId="2CEF38E3" w14:textId="77777777" w:rsidR="00EE08AE" w:rsidRPr="007923C2" w:rsidRDefault="00EE08AE" w:rsidP="00EE08AE">
      <w:pPr>
        <w:widowControl w:val="0"/>
        <w:overflowPunct w:val="0"/>
        <w:autoSpaceDE w:val="0"/>
        <w:autoSpaceDN w:val="0"/>
        <w:adjustRightInd w:val="0"/>
        <w:spacing w:after="0" w:line="232" w:lineRule="auto"/>
        <w:ind w:right="20"/>
        <w:jc w:val="both"/>
        <w:rPr>
          <w:rFonts w:ascii="Arial" w:hAnsi="Arial" w:cs="Arial"/>
          <w:sz w:val="22"/>
          <w:szCs w:val="22"/>
        </w:rPr>
      </w:pPr>
      <w:r w:rsidRPr="007923C2">
        <w:rPr>
          <w:rFonts w:ascii="Arial" w:hAnsi="Arial" w:cs="Arial"/>
          <w:sz w:val="22"/>
          <w:szCs w:val="22"/>
        </w:rPr>
        <w:t>Tomando como referencia la calificación de 8 a las expectativas laborales que tenían al contratar a los egresados de la carrera de Ingeniero en Agrobiología, se les pidió que calificaran el desenvolvimiento laboral y aporte de valor hacia la empresa. Los entrevistados les otorgaron una calificación promedio de 8.8, lo que indica que los egresados estuvieron por arriba de las expectativas que tenía el empleador al contratarlos. Las debilidades que marcan son: requieren de más prácticas de campo, liderazgo, conocimientos administrativos, más iniciativa y mayor conocimiento de software.</w:t>
      </w:r>
    </w:p>
    <w:p w14:paraId="70662A2A" w14:textId="77777777" w:rsidR="00E43FCF" w:rsidRDefault="00E43FCF" w:rsidP="00EE08AE">
      <w:pPr>
        <w:widowControl w:val="0"/>
        <w:autoSpaceDE w:val="0"/>
        <w:autoSpaceDN w:val="0"/>
        <w:adjustRightInd w:val="0"/>
        <w:spacing w:after="0" w:line="239" w:lineRule="auto"/>
        <w:rPr>
          <w:rFonts w:ascii="Arial" w:hAnsi="Arial" w:cs="Arial"/>
          <w:b/>
          <w:bCs/>
          <w:sz w:val="22"/>
          <w:szCs w:val="22"/>
        </w:rPr>
      </w:pPr>
    </w:p>
    <w:p w14:paraId="1A6C74F6" w14:textId="77777777" w:rsidR="00EE08AE" w:rsidRPr="007923C2" w:rsidRDefault="00EE08AE" w:rsidP="00EE08AE">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Investigación a expertos</w:t>
      </w:r>
    </w:p>
    <w:p w14:paraId="4DCFC3D4" w14:textId="77777777" w:rsidR="00EE08AE" w:rsidRPr="007923C2" w:rsidRDefault="00EE08AE" w:rsidP="00EE08AE">
      <w:pPr>
        <w:widowControl w:val="0"/>
        <w:overflowPunct w:val="0"/>
        <w:autoSpaceDE w:val="0"/>
        <w:autoSpaceDN w:val="0"/>
        <w:adjustRightInd w:val="0"/>
        <w:spacing w:after="0" w:line="228" w:lineRule="auto"/>
        <w:ind w:right="20"/>
        <w:jc w:val="both"/>
        <w:rPr>
          <w:rFonts w:ascii="Arial" w:hAnsi="Arial" w:cs="Arial"/>
          <w:sz w:val="22"/>
          <w:szCs w:val="22"/>
        </w:rPr>
      </w:pPr>
      <w:r w:rsidRPr="007923C2">
        <w:rPr>
          <w:rFonts w:ascii="Arial" w:hAnsi="Arial" w:cs="Arial"/>
          <w:sz w:val="22"/>
          <w:szCs w:val="22"/>
        </w:rPr>
        <w:t>Los expertos entrevistados enfatizaron sobre las tendencias de cambio en el campo donde los temas más recurrentes son la protección del medio ambiente, el desarrollo de agronegocios y agroindustria, tecnificación del campo, nuevos sistemas de riego y sobre todo el desarrollo de capacidades para fortalecer a una industria de exportación con productos innovadores y de calidad</w:t>
      </w:r>
    </w:p>
    <w:p w14:paraId="36987A47" w14:textId="77777777" w:rsidR="00EE08AE" w:rsidRPr="007923C2" w:rsidRDefault="00EE08AE" w:rsidP="00EE08AE">
      <w:pPr>
        <w:widowControl w:val="0"/>
        <w:autoSpaceDE w:val="0"/>
        <w:autoSpaceDN w:val="0"/>
        <w:adjustRightInd w:val="0"/>
        <w:spacing w:after="0" w:line="276" w:lineRule="exact"/>
        <w:rPr>
          <w:rFonts w:ascii="Arial" w:hAnsi="Arial" w:cs="Arial"/>
          <w:sz w:val="22"/>
          <w:szCs w:val="22"/>
        </w:rPr>
      </w:pPr>
    </w:p>
    <w:p w14:paraId="1297BC9A" w14:textId="77777777" w:rsidR="00EE08AE" w:rsidRPr="007923C2" w:rsidRDefault="00EE08AE" w:rsidP="00EE08AE">
      <w:pPr>
        <w:widowControl w:val="0"/>
        <w:overflowPunct w:val="0"/>
        <w:autoSpaceDE w:val="0"/>
        <w:autoSpaceDN w:val="0"/>
        <w:adjustRightInd w:val="0"/>
        <w:spacing w:after="0" w:line="228" w:lineRule="auto"/>
        <w:ind w:right="20"/>
        <w:jc w:val="both"/>
        <w:rPr>
          <w:rFonts w:ascii="Arial" w:hAnsi="Arial" w:cs="Arial"/>
          <w:sz w:val="22"/>
          <w:szCs w:val="22"/>
        </w:rPr>
      </w:pPr>
      <w:r w:rsidRPr="007923C2">
        <w:rPr>
          <w:rFonts w:ascii="Arial" w:hAnsi="Arial" w:cs="Arial"/>
          <w:sz w:val="22"/>
          <w:szCs w:val="22"/>
        </w:rPr>
        <w:t>Algunas tendencias destacadas por los expertos son: Crecimiento de la industria de invernaderos, desarrollo de alimentos funcionales, análisis de propiedades y métodos de conservación de alimentos, procesos de reconversión forestal y plantaciones forestales, hidroponía, equipamiento y evolución del campo tanto a nivel tecnológico como en equipamiento.</w:t>
      </w:r>
    </w:p>
    <w:p w14:paraId="622B2C5F" w14:textId="77777777" w:rsidR="00EE08AE" w:rsidRPr="007923C2" w:rsidRDefault="00EE08AE" w:rsidP="00EE08AE">
      <w:pPr>
        <w:widowControl w:val="0"/>
        <w:autoSpaceDE w:val="0"/>
        <w:autoSpaceDN w:val="0"/>
        <w:adjustRightInd w:val="0"/>
        <w:spacing w:after="0" w:line="396" w:lineRule="exact"/>
        <w:rPr>
          <w:rFonts w:ascii="Arial" w:hAnsi="Arial" w:cs="Arial"/>
          <w:sz w:val="22"/>
          <w:szCs w:val="22"/>
        </w:rPr>
      </w:pPr>
    </w:p>
    <w:p w14:paraId="2D521CD8" w14:textId="77777777" w:rsidR="00EE08AE" w:rsidRPr="007923C2" w:rsidRDefault="00EE08AE" w:rsidP="00EE08AE">
      <w:pPr>
        <w:widowControl w:val="0"/>
        <w:overflowPunct w:val="0"/>
        <w:autoSpaceDE w:val="0"/>
        <w:autoSpaceDN w:val="0"/>
        <w:adjustRightInd w:val="0"/>
        <w:spacing w:after="0" w:line="224" w:lineRule="auto"/>
        <w:ind w:right="20"/>
        <w:jc w:val="both"/>
        <w:rPr>
          <w:rFonts w:ascii="Arial" w:hAnsi="Arial" w:cs="Arial"/>
          <w:sz w:val="22"/>
          <w:szCs w:val="22"/>
        </w:rPr>
      </w:pPr>
      <w:r w:rsidRPr="007923C2">
        <w:rPr>
          <w:rFonts w:ascii="Arial" w:hAnsi="Arial" w:cs="Arial"/>
          <w:sz w:val="22"/>
          <w:szCs w:val="22"/>
        </w:rPr>
        <w:t>El 88% de los expertos entrevistados comentó que conocen la UAAAN o tienen referencias por medio de compañeros. Así mismo consideran que la UAAAN contribuye en gran medida al desarrollo de la agricultura a nivel nacional especialmente en el área de producción de alimentos de procedencia agrícola.</w:t>
      </w:r>
    </w:p>
    <w:p w14:paraId="42294643" w14:textId="77777777" w:rsidR="00EE08AE" w:rsidRPr="007923C2" w:rsidRDefault="00EE08AE" w:rsidP="00EE08AE">
      <w:pPr>
        <w:widowControl w:val="0"/>
        <w:autoSpaceDE w:val="0"/>
        <w:autoSpaceDN w:val="0"/>
        <w:adjustRightInd w:val="0"/>
        <w:spacing w:after="0" w:line="200" w:lineRule="exact"/>
        <w:rPr>
          <w:rFonts w:ascii="Arial" w:hAnsi="Arial" w:cs="Arial"/>
          <w:sz w:val="22"/>
          <w:szCs w:val="22"/>
        </w:rPr>
      </w:pPr>
    </w:p>
    <w:p w14:paraId="4479503B" w14:textId="77777777" w:rsidR="00EE08AE" w:rsidRPr="007923C2" w:rsidRDefault="00EE08AE" w:rsidP="00EE08AE">
      <w:pPr>
        <w:widowControl w:val="0"/>
        <w:overflowPunct w:val="0"/>
        <w:autoSpaceDE w:val="0"/>
        <w:autoSpaceDN w:val="0"/>
        <w:adjustRightInd w:val="0"/>
        <w:spacing w:after="0" w:line="228" w:lineRule="auto"/>
        <w:ind w:right="40"/>
        <w:jc w:val="both"/>
        <w:rPr>
          <w:rFonts w:ascii="Arial" w:hAnsi="Arial" w:cs="Arial"/>
          <w:sz w:val="22"/>
          <w:szCs w:val="22"/>
        </w:rPr>
      </w:pPr>
      <w:r w:rsidRPr="007923C2">
        <w:rPr>
          <w:rFonts w:ascii="Arial" w:hAnsi="Arial" w:cs="Arial"/>
          <w:sz w:val="22"/>
          <w:szCs w:val="22"/>
        </w:rPr>
        <w:t>Desde su perspectiva, la UAAAN tiene demasiadas carreras y no todas están totalmente dirigidas a lo agrícola, existen importantes carencias de infraestructura y recursos humanos (un ejemplo es el caso de la carencia de equipo y maquinaria agrícola). Un tema generalizado es el hecho de que se considera que no se realizan las suficientes prácticas para reforzar la teoría.</w:t>
      </w:r>
    </w:p>
    <w:p w14:paraId="7D07C3BE" w14:textId="77777777" w:rsidR="00EE08AE" w:rsidRPr="007923C2" w:rsidRDefault="00EE08AE" w:rsidP="00EE08AE">
      <w:pPr>
        <w:widowControl w:val="0"/>
        <w:overflowPunct w:val="0"/>
        <w:autoSpaceDE w:val="0"/>
        <w:autoSpaceDN w:val="0"/>
        <w:adjustRightInd w:val="0"/>
        <w:spacing w:after="0" w:line="217" w:lineRule="auto"/>
        <w:ind w:right="20"/>
        <w:rPr>
          <w:rFonts w:ascii="Arial" w:hAnsi="Arial" w:cs="Arial"/>
          <w:sz w:val="22"/>
          <w:szCs w:val="22"/>
        </w:rPr>
      </w:pPr>
      <w:r w:rsidRPr="007923C2">
        <w:rPr>
          <w:rFonts w:ascii="Arial" w:hAnsi="Arial" w:cs="Arial"/>
          <w:sz w:val="22"/>
          <w:szCs w:val="22"/>
        </w:rPr>
        <w:t>Los expertos consideraron que es una carrera afín a las necesidades actuales, que tienen una buena formación académica y técnica,</w:t>
      </w:r>
    </w:p>
    <w:p w14:paraId="2DED47D6" w14:textId="77777777" w:rsidR="00EE08AE" w:rsidRPr="007923C2" w:rsidRDefault="00EE08AE" w:rsidP="00EE08AE">
      <w:pPr>
        <w:widowControl w:val="0"/>
        <w:autoSpaceDE w:val="0"/>
        <w:autoSpaceDN w:val="0"/>
        <w:adjustRightInd w:val="0"/>
        <w:spacing w:after="0" w:line="273" w:lineRule="exact"/>
        <w:rPr>
          <w:rFonts w:ascii="Arial" w:hAnsi="Arial" w:cs="Arial"/>
          <w:sz w:val="22"/>
          <w:szCs w:val="22"/>
        </w:rPr>
      </w:pPr>
    </w:p>
    <w:p w14:paraId="02E9A14E" w14:textId="77777777" w:rsidR="00EE08AE" w:rsidRPr="007923C2" w:rsidRDefault="00EE08AE" w:rsidP="00EE08AE">
      <w:pPr>
        <w:widowControl w:val="0"/>
        <w:overflowPunct w:val="0"/>
        <w:autoSpaceDE w:val="0"/>
        <w:autoSpaceDN w:val="0"/>
        <w:adjustRightInd w:val="0"/>
        <w:spacing w:after="0" w:line="217" w:lineRule="auto"/>
        <w:ind w:right="20"/>
        <w:rPr>
          <w:rFonts w:ascii="Arial" w:hAnsi="Arial" w:cs="Arial"/>
          <w:sz w:val="22"/>
          <w:szCs w:val="22"/>
        </w:rPr>
      </w:pPr>
      <w:r w:rsidRPr="007923C2">
        <w:rPr>
          <w:rFonts w:ascii="Arial" w:hAnsi="Arial" w:cs="Arial"/>
          <w:sz w:val="22"/>
          <w:szCs w:val="22"/>
        </w:rPr>
        <w:t>Otro elemento importante para evaluar la pertinencia de la carrera de Ingeniero en Agrobiología es la demanda expresada en inscripciones y alumnos de nuevo ingreso, teniendo los hallazgos siguientes:</w:t>
      </w:r>
    </w:p>
    <w:p w14:paraId="57DDE887" w14:textId="77777777" w:rsidR="00EE08AE" w:rsidRPr="007923C2" w:rsidRDefault="00EE08AE" w:rsidP="00EE08AE">
      <w:pPr>
        <w:widowControl w:val="0"/>
        <w:autoSpaceDE w:val="0"/>
        <w:autoSpaceDN w:val="0"/>
        <w:adjustRightInd w:val="0"/>
        <w:spacing w:after="0" w:line="349" w:lineRule="exact"/>
        <w:rPr>
          <w:rFonts w:ascii="Arial" w:hAnsi="Arial" w:cs="Arial"/>
          <w:sz w:val="22"/>
          <w:szCs w:val="22"/>
        </w:rPr>
      </w:pPr>
    </w:p>
    <w:p w14:paraId="772E6FEA" w14:textId="77777777" w:rsidR="00EE08AE" w:rsidRPr="007923C2" w:rsidRDefault="00EE08AE" w:rsidP="00EE08AE">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Tendencias en la carrera</w:t>
      </w:r>
    </w:p>
    <w:p w14:paraId="4B8851ED" w14:textId="77777777" w:rsidR="00EE08AE" w:rsidRPr="007923C2" w:rsidRDefault="00EE08AE" w:rsidP="00EE08AE">
      <w:pPr>
        <w:widowControl w:val="0"/>
        <w:autoSpaceDE w:val="0"/>
        <w:autoSpaceDN w:val="0"/>
        <w:adjustRightInd w:val="0"/>
        <w:spacing w:after="0" w:line="168" w:lineRule="exact"/>
        <w:rPr>
          <w:rFonts w:ascii="Arial" w:hAnsi="Arial" w:cs="Arial"/>
          <w:sz w:val="22"/>
          <w:szCs w:val="22"/>
        </w:rPr>
      </w:pPr>
    </w:p>
    <w:p w14:paraId="47BBDCEB" w14:textId="77777777" w:rsidR="00EE08AE" w:rsidRPr="007923C2" w:rsidRDefault="00EE08AE" w:rsidP="00EE08AE">
      <w:pPr>
        <w:widowControl w:val="0"/>
        <w:overflowPunct w:val="0"/>
        <w:autoSpaceDE w:val="0"/>
        <w:autoSpaceDN w:val="0"/>
        <w:adjustRightInd w:val="0"/>
        <w:spacing w:after="0" w:line="217" w:lineRule="auto"/>
        <w:ind w:right="20"/>
        <w:rPr>
          <w:rFonts w:ascii="Arial" w:hAnsi="Arial" w:cs="Arial"/>
          <w:sz w:val="22"/>
          <w:szCs w:val="22"/>
        </w:rPr>
      </w:pPr>
      <w:r w:rsidRPr="007923C2">
        <w:rPr>
          <w:rFonts w:ascii="Arial" w:hAnsi="Arial" w:cs="Arial"/>
          <w:sz w:val="22"/>
          <w:szCs w:val="22"/>
        </w:rPr>
        <w:t>Se realizó un análisis en base a la estadística de la matrícula total y egresados de la carrera de Ingeniero en Agrobiología, encontrando lo siguiente:</w:t>
      </w:r>
    </w:p>
    <w:p w14:paraId="0D170BD3" w14:textId="77777777" w:rsidR="00EE08AE" w:rsidRPr="007923C2" w:rsidRDefault="00EE08AE" w:rsidP="00EE08AE">
      <w:pPr>
        <w:widowControl w:val="0"/>
        <w:autoSpaceDE w:val="0"/>
        <w:autoSpaceDN w:val="0"/>
        <w:adjustRightInd w:val="0"/>
        <w:spacing w:after="0" w:line="177" w:lineRule="exact"/>
        <w:rPr>
          <w:rFonts w:ascii="Arial" w:hAnsi="Arial" w:cs="Arial"/>
          <w:sz w:val="22"/>
          <w:szCs w:val="22"/>
        </w:rPr>
      </w:pPr>
    </w:p>
    <w:p w14:paraId="482D5912" w14:textId="77777777" w:rsidR="00EE08AE" w:rsidRPr="007923C2" w:rsidRDefault="00EE08AE" w:rsidP="00A60C78">
      <w:pPr>
        <w:widowControl w:val="0"/>
        <w:numPr>
          <w:ilvl w:val="0"/>
          <w:numId w:val="106"/>
        </w:numPr>
        <w:overflowPunct w:val="0"/>
        <w:autoSpaceDE w:val="0"/>
        <w:autoSpaceDN w:val="0"/>
        <w:adjustRightInd w:val="0"/>
        <w:spacing w:after="0" w:line="210" w:lineRule="auto"/>
        <w:ind w:right="20"/>
        <w:jc w:val="both"/>
        <w:rPr>
          <w:rFonts w:ascii="Arial" w:hAnsi="Arial" w:cs="Arial"/>
          <w:sz w:val="22"/>
          <w:szCs w:val="22"/>
        </w:rPr>
      </w:pPr>
      <w:r w:rsidRPr="007923C2">
        <w:rPr>
          <w:rFonts w:ascii="Arial" w:hAnsi="Arial" w:cs="Arial"/>
          <w:sz w:val="22"/>
          <w:szCs w:val="22"/>
        </w:rPr>
        <w:t xml:space="preserve">El alumnado de la Sede Saltillo ha crecido de manera sostenida en el periodo 2005- 2011, a excepción del año 2008, donde se presentó una baja en el nivel de alumnos </w:t>
      </w:r>
    </w:p>
    <w:p w14:paraId="0EBEE2F4" w14:textId="77777777" w:rsidR="00EE08AE" w:rsidRPr="007923C2" w:rsidRDefault="00EE08AE" w:rsidP="00EE08AE">
      <w:pPr>
        <w:widowControl w:val="0"/>
        <w:autoSpaceDE w:val="0"/>
        <w:autoSpaceDN w:val="0"/>
        <w:adjustRightInd w:val="0"/>
        <w:spacing w:after="0" w:line="200" w:lineRule="exact"/>
        <w:rPr>
          <w:rFonts w:ascii="Arial" w:hAnsi="Arial" w:cs="Arial"/>
          <w:sz w:val="22"/>
          <w:szCs w:val="22"/>
        </w:rPr>
      </w:pPr>
    </w:p>
    <w:p w14:paraId="4C157532" w14:textId="77777777" w:rsidR="00EE08AE" w:rsidRPr="007923C2" w:rsidRDefault="00EE08AE" w:rsidP="00EE08AE">
      <w:pPr>
        <w:widowControl w:val="0"/>
        <w:autoSpaceDE w:val="0"/>
        <w:autoSpaceDN w:val="0"/>
        <w:adjustRightInd w:val="0"/>
        <w:spacing w:after="0" w:line="327" w:lineRule="exact"/>
        <w:rPr>
          <w:rFonts w:ascii="Arial" w:hAnsi="Arial" w:cs="Arial"/>
          <w:sz w:val="22"/>
          <w:szCs w:val="22"/>
        </w:rPr>
      </w:pPr>
    </w:p>
    <w:p w14:paraId="6E3DCEBC" w14:textId="77777777" w:rsidR="00EE08AE" w:rsidRPr="007923C2" w:rsidRDefault="00EE08AE" w:rsidP="00A60C78">
      <w:pPr>
        <w:widowControl w:val="0"/>
        <w:numPr>
          <w:ilvl w:val="0"/>
          <w:numId w:val="106"/>
        </w:numPr>
        <w:overflowPunct w:val="0"/>
        <w:autoSpaceDE w:val="0"/>
        <w:autoSpaceDN w:val="0"/>
        <w:adjustRightInd w:val="0"/>
        <w:spacing w:after="0" w:line="210" w:lineRule="auto"/>
        <w:ind w:right="40"/>
        <w:jc w:val="both"/>
        <w:rPr>
          <w:rFonts w:ascii="Arial" w:hAnsi="Arial" w:cs="Arial"/>
          <w:sz w:val="22"/>
          <w:szCs w:val="22"/>
        </w:rPr>
      </w:pPr>
      <w:r w:rsidRPr="007923C2">
        <w:rPr>
          <w:rFonts w:ascii="Arial" w:hAnsi="Arial" w:cs="Arial"/>
          <w:sz w:val="22"/>
          <w:szCs w:val="22"/>
        </w:rPr>
        <w:t xml:space="preserve">Los alumnos de la carrera de Ingeniero en Agrobiología representan el 8% del total del alumnado de LA sede Saltillo </w:t>
      </w:r>
    </w:p>
    <w:p w14:paraId="5430FEC0" w14:textId="77777777" w:rsidR="00EE08AE" w:rsidRPr="007923C2" w:rsidRDefault="00EE08AE" w:rsidP="00EE08AE">
      <w:pPr>
        <w:widowControl w:val="0"/>
        <w:autoSpaceDE w:val="0"/>
        <w:autoSpaceDN w:val="0"/>
        <w:adjustRightInd w:val="0"/>
        <w:spacing w:after="0" w:line="200" w:lineRule="exact"/>
        <w:rPr>
          <w:rFonts w:ascii="Arial" w:hAnsi="Arial" w:cs="Arial"/>
          <w:sz w:val="22"/>
          <w:szCs w:val="22"/>
        </w:rPr>
      </w:pPr>
    </w:p>
    <w:p w14:paraId="76AA00B6" w14:textId="77777777" w:rsidR="00EE08AE" w:rsidRPr="007923C2" w:rsidRDefault="00EE08AE" w:rsidP="00A60C78">
      <w:pPr>
        <w:widowControl w:val="0"/>
        <w:numPr>
          <w:ilvl w:val="0"/>
          <w:numId w:val="106"/>
        </w:numPr>
        <w:overflowPunct w:val="0"/>
        <w:autoSpaceDE w:val="0"/>
        <w:autoSpaceDN w:val="0"/>
        <w:adjustRightInd w:val="0"/>
        <w:spacing w:after="0" w:line="209" w:lineRule="auto"/>
        <w:ind w:right="40"/>
        <w:jc w:val="both"/>
        <w:rPr>
          <w:rFonts w:ascii="Arial" w:hAnsi="Arial" w:cs="Arial"/>
          <w:sz w:val="22"/>
          <w:szCs w:val="22"/>
        </w:rPr>
      </w:pPr>
      <w:r w:rsidRPr="007923C2">
        <w:rPr>
          <w:rFonts w:ascii="Arial" w:hAnsi="Arial" w:cs="Arial"/>
          <w:sz w:val="22"/>
          <w:szCs w:val="22"/>
        </w:rPr>
        <w:t xml:space="preserve">Los alumnos de nuevo ingreso para la carrera de Ingeniero en Agrobiología sede saltillo han crecido sostenidamente del año 2003 al 2009. En el año 2010 y 2011 la tendencia es decreciente </w:t>
      </w:r>
    </w:p>
    <w:p w14:paraId="72EA34B5" w14:textId="77777777" w:rsidR="00EE08AE" w:rsidRPr="007923C2" w:rsidRDefault="00EE08AE" w:rsidP="00EE08AE">
      <w:pPr>
        <w:widowControl w:val="0"/>
        <w:autoSpaceDE w:val="0"/>
        <w:autoSpaceDN w:val="0"/>
        <w:adjustRightInd w:val="0"/>
        <w:spacing w:after="0" w:line="297" w:lineRule="exact"/>
        <w:rPr>
          <w:rFonts w:ascii="Arial" w:hAnsi="Arial" w:cs="Arial"/>
          <w:sz w:val="22"/>
          <w:szCs w:val="22"/>
        </w:rPr>
      </w:pPr>
    </w:p>
    <w:p w14:paraId="1DF507DB" w14:textId="77777777" w:rsidR="00EE08AE" w:rsidRPr="007923C2" w:rsidRDefault="00EE08AE" w:rsidP="00EE08AE">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Evaluación de expectativas y pertinencia</w:t>
      </w:r>
    </w:p>
    <w:p w14:paraId="5C3B1906" w14:textId="77777777" w:rsidR="00EE08AE" w:rsidRPr="007923C2" w:rsidRDefault="00EE08AE" w:rsidP="00EE08AE">
      <w:pPr>
        <w:widowControl w:val="0"/>
        <w:autoSpaceDE w:val="0"/>
        <w:autoSpaceDN w:val="0"/>
        <w:adjustRightInd w:val="0"/>
        <w:spacing w:after="0" w:line="200" w:lineRule="exact"/>
        <w:rPr>
          <w:rFonts w:ascii="Arial" w:hAnsi="Arial" w:cs="Arial"/>
          <w:sz w:val="22"/>
          <w:szCs w:val="22"/>
        </w:rPr>
      </w:pPr>
    </w:p>
    <w:p w14:paraId="623BEB6C" w14:textId="77777777" w:rsidR="00EE08AE" w:rsidRPr="007923C2" w:rsidRDefault="00EE08AE" w:rsidP="00EE08AE">
      <w:pPr>
        <w:widowControl w:val="0"/>
        <w:overflowPunct w:val="0"/>
        <w:autoSpaceDE w:val="0"/>
        <w:autoSpaceDN w:val="0"/>
        <w:adjustRightInd w:val="0"/>
        <w:spacing w:after="0" w:line="228" w:lineRule="auto"/>
        <w:ind w:right="20"/>
        <w:jc w:val="both"/>
        <w:rPr>
          <w:rFonts w:ascii="Arial" w:hAnsi="Arial" w:cs="Arial"/>
          <w:sz w:val="22"/>
          <w:szCs w:val="22"/>
        </w:rPr>
      </w:pPr>
      <w:r w:rsidRPr="007923C2">
        <w:rPr>
          <w:rFonts w:ascii="Arial" w:hAnsi="Arial" w:cs="Arial"/>
          <w:sz w:val="22"/>
          <w:szCs w:val="22"/>
        </w:rPr>
        <w:t>Del análisis de la información generada durante las entrevistas a empleadores y expertos se determinó que los egresados de la carrera de Ingeniero en Agrobiología superaron las expectativas para lo cual fueron contratados y que los conocimientos impartidos en la UAAAN mantienen concordancia con las necesidades del sector agropecuario regional y nacional.</w:t>
      </w:r>
    </w:p>
    <w:p w14:paraId="2FC36BD2" w14:textId="77777777" w:rsidR="00EE08AE" w:rsidRPr="007923C2" w:rsidRDefault="00EE08AE" w:rsidP="00EE08AE">
      <w:pPr>
        <w:widowControl w:val="0"/>
        <w:autoSpaceDE w:val="0"/>
        <w:autoSpaceDN w:val="0"/>
        <w:adjustRightInd w:val="0"/>
        <w:spacing w:after="0" w:line="200" w:lineRule="exact"/>
        <w:rPr>
          <w:rFonts w:ascii="Arial" w:hAnsi="Arial" w:cs="Arial"/>
          <w:sz w:val="22"/>
          <w:szCs w:val="22"/>
        </w:rPr>
      </w:pPr>
    </w:p>
    <w:p w14:paraId="770C2C1B" w14:textId="77777777" w:rsidR="00EE08AE" w:rsidRPr="007923C2" w:rsidRDefault="00EE08AE" w:rsidP="00EE08AE">
      <w:pPr>
        <w:widowControl w:val="0"/>
        <w:overflowPunct w:val="0"/>
        <w:autoSpaceDE w:val="0"/>
        <w:autoSpaceDN w:val="0"/>
        <w:adjustRightInd w:val="0"/>
        <w:spacing w:after="0" w:line="224" w:lineRule="auto"/>
        <w:ind w:right="20"/>
        <w:jc w:val="both"/>
        <w:rPr>
          <w:rFonts w:ascii="Arial" w:hAnsi="Arial" w:cs="Arial"/>
          <w:sz w:val="22"/>
          <w:szCs w:val="22"/>
        </w:rPr>
      </w:pPr>
      <w:r w:rsidRPr="007923C2">
        <w:rPr>
          <w:rFonts w:ascii="Arial" w:hAnsi="Arial" w:cs="Arial"/>
          <w:sz w:val="22"/>
          <w:szCs w:val="22"/>
        </w:rPr>
        <w:t>Al comparar los indicadores de satisfacción generadores durante la investigación con el promedio obtenido para la UAAAN estos fueron superiores, lo que nos indica que el nivel de satisfacción de esta carrera es de los altos en la Universidad</w:t>
      </w:r>
    </w:p>
    <w:p w14:paraId="2904F954" w14:textId="77777777" w:rsidR="00EE08AE" w:rsidRPr="007923C2" w:rsidRDefault="00EE08AE" w:rsidP="00EE08AE">
      <w:pPr>
        <w:widowControl w:val="0"/>
        <w:autoSpaceDE w:val="0"/>
        <w:autoSpaceDN w:val="0"/>
        <w:adjustRightInd w:val="0"/>
        <w:spacing w:after="0" w:line="200" w:lineRule="exact"/>
        <w:rPr>
          <w:rFonts w:ascii="Arial" w:hAnsi="Arial" w:cs="Arial"/>
          <w:sz w:val="22"/>
          <w:szCs w:val="22"/>
        </w:rPr>
      </w:pPr>
    </w:p>
    <w:p w14:paraId="3EDDC62F" w14:textId="77777777" w:rsidR="00EE08AE" w:rsidRPr="007923C2" w:rsidRDefault="00EE08AE" w:rsidP="00EE08AE">
      <w:pPr>
        <w:widowControl w:val="0"/>
        <w:overflowPunct w:val="0"/>
        <w:autoSpaceDE w:val="0"/>
        <w:autoSpaceDN w:val="0"/>
        <w:adjustRightInd w:val="0"/>
        <w:spacing w:after="0" w:line="217" w:lineRule="auto"/>
        <w:ind w:right="20"/>
        <w:jc w:val="both"/>
        <w:rPr>
          <w:rFonts w:ascii="Arial" w:hAnsi="Arial" w:cs="Arial"/>
          <w:sz w:val="22"/>
          <w:szCs w:val="22"/>
        </w:rPr>
      </w:pPr>
      <w:r w:rsidRPr="007923C2">
        <w:rPr>
          <w:rFonts w:ascii="Arial" w:hAnsi="Arial" w:cs="Arial"/>
          <w:b/>
          <w:bCs/>
          <w:sz w:val="22"/>
          <w:szCs w:val="22"/>
        </w:rPr>
        <w:t>En base a lo anterior se considera que la carrera mantiene un buen nivel de pertinencia con las demandas del sector agropecuario regional y nacional.</w:t>
      </w:r>
    </w:p>
    <w:p w14:paraId="5DB07A06" w14:textId="77777777" w:rsidR="00CB1328" w:rsidRDefault="00CB1328" w:rsidP="000D1A41">
      <w:pPr>
        <w:widowControl w:val="0"/>
        <w:autoSpaceDE w:val="0"/>
        <w:autoSpaceDN w:val="0"/>
        <w:adjustRightInd w:val="0"/>
        <w:spacing w:after="0" w:line="239" w:lineRule="auto"/>
        <w:rPr>
          <w:rFonts w:ascii="Arial" w:hAnsi="Arial" w:cs="Arial"/>
          <w:b/>
          <w:bCs/>
          <w:sz w:val="22"/>
          <w:szCs w:val="22"/>
        </w:rPr>
      </w:pPr>
    </w:p>
    <w:p w14:paraId="5646317D" w14:textId="77777777" w:rsidR="00CB1328" w:rsidRDefault="00CB1328" w:rsidP="000D1A41">
      <w:pPr>
        <w:widowControl w:val="0"/>
        <w:autoSpaceDE w:val="0"/>
        <w:autoSpaceDN w:val="0"/>
        <w:adjustRightInd w:val="0"/>
        <w:spacing w:after="0" w:line="239" w:lineRule="auto"/>
        <w:rPr>
          <w:rFonts w:ascii="Arial" w:hAnsi="Arial" w:cs="Arial"/>
          <w:b/>
          <w:bCs/>
          <w:sz w:val="22"/>
          <w:szCs w:val="22"/>
        </w:rPr>
      </w:pPr>
    </w:p>
    <w:p w14:paraId="5DE5652B" w14:textId="77777777" w:rsidR="000D1A41" w:rsidRPr="007923C2" w:rsidRDefault="000D1A41" w:rsidP="000D1A41">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Fortalezas de la carrera de Ingeniero en Agrobiología</w:t>
      </w:r>
    </w:p>
    <w:p w14:paraId="44671DE1" w14:textId="77777777" w:rsidR="000D1A41" w:rsidRPr="007923C2" w:rsidRDefault="000D1A41" w:rsidP="000D1A41">
      <w:pPr>
        <w:widowControl w:val="0"/>
        <w:autoSpaceDE w:val="0"/>
        <w:autoSpaceDN w:val="0"/>
        <w:adjustRightInd w:val="0"/>
        <w:spacing w:after="0" w:line="200" w:lineRule="exact"/>
        <w:rPr>
          <w:rFonts w:ascii="Arial" w:hAnsi="Arial" w:cs="Arial"/>
          <w:sz w:val="22"/>
          <w:szCs w:val="22"/>
        </w:rPr>
      </w:pPr>
    </w:p>
    <w:p w14:paraId="42F212DC" w14:textId="77777777" w:rsidR="000D1A41" w:rsidRPr="007923C2" w:rsidRDefault="000D1A41" w:rsidP="000D1A41">
      <w:pPr>
        <w:widowControl w:val="0"/>
        <w:overflowPunct w:val="0"/>
        <w:autoSpaceDE w:val="0"/>
        <w:autoSpaceDN w:val="0"/>
        <w:adjustRightInd w:val="0"/>
        <w:spacing w:after="0" w:line="228" w:lineRule="auto"/>
        <w:ind w:right="20"/>
        <w:jc w:val="both"/>
        <w:rPr>
          <w:rFonts w:ascii="Arial" w:hAnsi="Arial" w:cs="Arial"/>
          <w:sz w:val="22"/>
          <w:szCs w:val="22"/>
        </w:rPr>
      </w:pPr>
      <w:r w:rsidRPr="007923C2">
        <w:rPr>
          <w:rFonts w:ascii="Arial" w:hAnsi="Arial" w:cs="Arial"/>
          <w:b/>
          <w:bCs/>
          <w:sz w:val="22"/>
          <w:szCs w:val="22"/>
        </w:rPr>
        <w:t xml:space="preserve">34.3% </w:t>
      </w:r>
      <w:r w:rsidRPr="007923C2">
        <w:rPr>
          <w:rFonts w:ascii="Arial" w:hAnsi="Arial" w:cs="Arial"/>
          <w:sz w:val="22"/>
          <w:szCs w:val="22"/>
        </w:rPr>
        <w:t>de los entrevistados consideró como la principal fortaleza de los egresados</w:t>
      </w:r>
      <w:r w:rsidRPr="007923C2">
        <w:rPr>
          <w:rFonts w:ascii="Arial" w:hAnsi="Arial" w:cs="Arial"/>
          <w:b/>
          <w:bCs/>
          <w:sz w:val="22"/>
          <w:szCs w:val="22"/>
        </w:rPr>
        <w:t xml:space="preserve"> el prestigio de la UAAAN</w:t>
      </w:r>
      <w:r w:rsidRPr="007923C2">
        <w:rPr>
          <w:rFonts w:ascii="Arial" w:hAnsi="Arial" w:cs="Arial"/>
          <w:sz w:val="22"/>
          <w:szCs w:val="22"/>
        </w:rPr>
        <w:t>,25.7% considera la formación académica con la que egresan los estudiantes, 11.4% considera que es la actitud de servicio que tienen los egresados, 5.7% considera que es la versatilidad y adaptabilidad que tienen para cualquier tipo de trabajo y 5.7% considera que la realización de prácticas profesionales.</w:t>
      </w:r>
    </w:p>
    <w:p w14:paraId="16782911" w14:textId="26ABF078" w:rsidR="00976A39" w:rsidRPr="007923C2" w:rsidRDefault="000D1A41" w:rsidP="00B0725E">
      <w:pPr>
        <w:widowControl w:val="0"/>
        <w:autoSpaceDE w:val="0"/>
        <w:autoSpaceDN w:val="0"/>
        <w:adjustRightInd w:val="0"/>
        <w:spacing w:after="0" w:line="200" w:lineRule="exact"/>
        <w:rPr>
          <w:rFonts w:ascii="Arial" w:hAnsi="Arial" w:cs="Arial"/>
          <w:b/>
          <w:sz w:val="22"/>
          <w:szCs w:val="22"/>
        </w:rPr>
      </w:pPr>
      <w:r w:rsidRPr="007923C2">
        <w:rPr>
          <w:rFonts w:ascii="Arial" w:hAnsi="Arial" w:cs="Arial"/>
          <w:noProof/>
          <w:sz w:val="22"/>
          <w:szCs w:val="22"/>
        </w:rPr>
        <w:drawing>
          <wp:anchor distT="0" distB="0" distL="114300" distR="114300" simplePos="0" relativeHeight="251830784" behindDoc="1" locked="0" layoutInCell="0" allowOverlap="1" wp14:anchorId="24D8F4FB" wp14:editId="323AF616">
            <wp:simplePos x="0" y="0"/>
            <wp:positionH relativeFrom="column">
              <wp:posOffset>-17145</wp:posOffset>
            </wp:positionH>
            <wp:positionV relativeFrom="paragraph">
              <wp:posOffset>5011420</wp:posOffset>
            </wp:positionV>
            <wp:extent cx="6255385" cy="8890"/>
            <wp:effectExtent l="0" t="0" r="0" b="0"/>
            <wp:wrapNone/>
            <wp:docPr id="526" name="Imagen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55385" cy="8890"/>
                    </a:xfrm>
                    <a:prstGeom prst="rect">
                      <a:avLst/>
                    </a:prstGeom>
                    <a:noFill/>
                  </pic:spPr>
                </pic:pic>
              </a:graphicData>
            </a:graphic>
          </wp:anchor>
        </w:drawing>
      </w:r>
    </w:p>
    <w:p w14:paraId="1ACC3EBB" w14:textId="77777777" w:rsidR="000D1A41" w:rsidRPr="007923C2" w:rsidRDefault="000D1A41" w:rsidP="000D1A41">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Debilidades de la carrera de Ingeniero en Agrobiología</w:t>
      </w:r>
    </w:p>
    <w:p w14:paraId="288F3F56" w14:textId="77777777" w:rsidR="000D1A41" w:rsidRPr="007923C2" w:rsidRDefault="000D1A41" w:rsidP="000D1A41">
      <w:pPr>
        <w:widowControl w:val="0"/>
        <w:autoSpaceDE w:val="0"/>
        <w:autoSpaceDN w:val="0"/>
        <w:adjustRightInd w:val="0"/>
        <w:spacing w:after="0" w:line="200" w:lineRule="exact"/>
        <w:rPr>
          <w:rFonts w:ascii="Arial" w:hAnsi="Arial" w:cs="Arial"/>
          <w:sz w:val="22"/>
          <w:szCs w:val="22"/>
        </w:rPr>
      </w:pPr>
    </w:p>
    <w:p w14:paraId="1A7D90F3" w14:textId="77777777" w:rsidR="000D1A41" w:rsidRPr="007923C2" w:rsidRDefault="000D1A41" w:rsidP="000D1A41">
      <w:pPr>
        <w:widowControl w:val="0"/>
        <w:autoSpaceDE w:val="0"/>
        <w:autoSpaceDN w:val="0"/>
        <w:adjustRightInd w:val="0"/>
        <w:spacing w:after="0" w:line="316" w:lineRule="exact"/>
        <w:rPr>
          <w:rFonts w:ascii="Arial" w:hAnsi="Arial" w:cs="Arial"/>
          <w:sz w:val="22"/>
          <w:szCs w:val="22"/>
        </w:rPr>
      </w:pPr>
    </w:p>
    <w:p w14:paraId="5E2E716C" w14:textId="77777777" w:rsidR="000D1A41" w:rsidRPr="007923C2" w:rsidRDefault="000D1A41" w:rsidP="000D1A41">
      <w:pPr>
        <w:widowControl w:val="0"/>
        <w:overflowPunct w:val="0"/>
        <w:autoSpaceDE w:val="0"/>
        <w:autoSpaceDN w:val="0"/>
        <w:adjustRightInd w:val="0"/>
        <w:spacing w:after="0" w:line="228" w:lineRule="auto"/>
        <w:ind w:right="20"/>
        <w:jc w:val="both"/>
        <w:rPr>
          <w:rFonts w:ascii="Arial" w:hAnsi="Arial" w:cs="Arial"/>
          <w:sz w:val="22"/>
          <w:szCs w:val="22"/>
        </w:rPr>
      </w:pPr>
      <w:r w:rsidRPr="007923C2">
        <w:rPr>
          <w:rFonts w:ascii="Arial" w:hAnsi="Arial" w:cs="Arial"/>
          <w:b/>
          <w:bCs/>
          <w:sz w:val="22"/>
          <w:szCs w:val="22"/>
        </w:rPr>
        <w:t xml:space="preserve">45.7% </w:t>
      </w:r>
      <w:r w:rsidRPr="007923C2">
        <w:rPr>
          <w:rFonts w:ascii="Arial" w:hAnsi="Arial" w:cs="Arial"/>
          <w:sz w:val="22"/>
          <w:szCs w:val="22"/>
        </w:rPr>
        <w:t>de los egresados considera que la</w:t>
      </w:r>
      <w:r w:rsidRPr="007923C2">
        <w:rPr>
          <w:rFonts w:ascii="Arial" w:hAnsi="Arial" w:cs="Arial"/>
          <w:b/>
          <w:bCs/>
          <w:sz w:val="22"/>
          <w:szCs w:val="22"/>
        </w:rPr>
        <w:t xml:space="preserve"> falta de prácticas </w:t>
      </w:r>
      <w:r w:rsidRPr="007923C2">
        <w:rPr>
          <w:rFonts w:ascii="Arial" w:hAnsi="Arial" w:cs="Arial"/>
          <w:sz w:val="22"/>
          <w:szCs w:val="22"/>
        </w:rPr>
        <w:t>que provoca que tengan</w:t>
      </w:r>
      <w:r w:rsidRPr="007923C2">
        <w:rPr>
          <w:rFonts w:ascii="Arial" w:hAnsi="Arial" w:cs="Arial"/>
          <w:b/>
          <w:bCs/>
          <w:sz w:val="22"/>
          <w:szCs w:val="22"/>
        </w:rPr>
        <w:t xml:space="preserve"> poca experiencia en campo </w:t>
      </w:r>
      <w:r w:rsidRPr="007923C2">
        <w:rPr>
          <w:rFonts w:ascii="Arial" w:hAnsi="Arial" w:cs="Arial"/>
          <w:sz w:val="22"/>
          <w:szCs w:val="22"/>
        </w:rPr>
        <w:t>es la principal debilidad que tienen los egresados, 14.3% considera que la comunicación es unadebilidad importante, 11.4% considera que existen materias que no incluye la carreras que las hace faltan en el mercado laboral y un 5.7% considera falta de la falta de Inglés la principal debilidad.</w:t>
      </w:r>
    </w:p>
    <w:p w14:paraId="36C23073" w14:textId="77777777" w:rsidR="000D1A41" w:rsidRDefault="000D1A41" w:rsidP="000D1A41">
      <w:pPr>
        <w:widowControl w:val="0"/>
        <w:overflowPunct w:val="0"/>
        <w:autoSpaceDE w:val="0"/>
        <w:autoSpaceDN w:val="0"/>
        <w:adjustRightInd w:val="0"/>
        <w:spacing w:after="0" w:line="228" w:lineRule="auto"/>
        <w:ind w:right="20"/>
        <w:jc w:val="both"/>
        <w:rPr>
          <w:rFonts w:ascii="Arial" w:hAnsi="Arial" w:cs="Arial"/>
          <w:sz w:val="22"/>
          <w:szCs w:val="22"/>
        </w:rPr>
      </w:pPr>
    </w:p>
    <w:p w14:paraId="52C97B0D" w14:textId="77777777" w:rsidR="00CB1328" w:rsidRDefault="00CB1328" w:rsidP="000D1A41">
      <w:pPr>
        <w:widowControl w:val="0"/>
        <w:overflowPunct w:val="0"/>
        <w:autoSpaceDE w:val="0"/>
        <w:autoSpaceDN w:val="0"/>
        <w:adjustRightInd w:val="0"/>
        <w:spacing w:after="0" w:line="228" w:lineRule="auto"/>
        <w:ind w:right="20"/>
        <w:jc w:val="both"/>
        <w:rPr>
          <w:rFonts w:ascii="Arial" w:hAnsi="Arial" w:cs="Arial"/>
          <w:sz w:val="22"/>
          <w:szCs w:val="22"/>
        </w:rPr>
      </w:pPr>
    </w:p>
    <w:p w14:paraId="04288B08" w14:textId="77777777" w:rsidR="000D1A41" w:rsidRPr="007923C2" w:rsidRDefault="000D1A41" w:rsidP="000D1A41">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Opinión de las materias cursadas ¿cuáles fueron más útiles y menos útiles?</w:t>
      </w:r>
    </w:p>
    <w:p w14:paraId="226A6336" w14:textId="77777777" w:rsidR="000D1A41" w:rsidRPr="007923C2" w:rsidRDefault="000D1A41" w:rsidP="000D1A41">
      <w:pPr>
        <w:widowControl w:val="0"/>
        <w:autoSpaceDE w:val="0"/>
        <w:autoSpaceDN w:val="0"/>
        <w:adjustRightInd w:val="0"/>
        <w:spacing w:after="0" w:line="121" w:lineRule="exact"/>
        <w:rPr>
          <w:rFonts w:ascii="Arial" w:hAnsi="Arial" w:cs="Arial"/>
          <w:sz w:val="22"/>
          <w:szCs w:val="22"/>
        </w:rPr>
      </w:pPr>
    </w:p>
    <w:p w14:paraId="666CD606" w14:textId="77777777" w:rsidR="000D1A41" w:rsidRPr="007923C2" w:rsidRDefault="000D1A41" w:rsidP="000D1A41">
      <w:pPr>
        <w:widowControl w:val="0"/>
        <w:autoSpaceDE w:val="0"/>
        <w:autoSpaceDN w:val="0"/>
        <w:adjustRightInd w:val="0"/>
        <w:spacing w:after="0" w:line="239" w:lineRule="auto"/>
        <w:rPr>
          <w:rFonts w:ascii="Arial" w:hAnsi="Arial" w:cs="Arial"/>
          <w:sz w:val="22"/>
          <w:szCs w:val="22"/>
        </w:rPr>
      </w:pPr>
      <w:r w:rsidRPr="007923C2">
        <w:rPr>
          <w:rFonts w:ascii="Arial" w:hAnsi="Arial" w:cs="Arial"/>
          <w:sz w:val="22"/>
          <w:szCs w:val="22"/>
        </w:rPr>
        <w:t xml:space="preserve">Materias </w:t>
      </w:r>
      <w:r w:rsidRPr="007923C2">
        <w:rPr>
          <w:rFonts w:ascii="Arial" w:hAnsi="Arial" w:cs="Arial"/>
          <w:b/>
          <w:bCs/>
          <w:sz w:val="22"/>
          <w:szCs w:val="22"/>
        </w:rPr>
        <w:t>más útiles</w:t>
      </w:r>
      <w:r w:rsidRPr="007923C2">
        <w:rPr>
          <w:rFonts w:ascii="Arial" w:hAnsi="Arial" w:cs="Arial"/>
          <w:sz w:val="22"/>
          <w:szCs w:val="22"/>
        </w:rPr>
        <w:t xml:space="preserve"> desde el punto de vista de los egresados.</w:t>
      </w:r>
    </w:p>
    <w:p w14:paraId="785B81FD" w14:textId="77777777" w:rsidR="000D1A41" w:rsidRPr="007923C2" w:rsidRDefault="000D1A41" w:rsidP="000D1A41">
      <w:pPr>
        <w:widowControl w:val="0"/>
        <w:autoSpaceDE w:val="0"/>
        <w:autoSpaceDN w:val="0"/>
        <w:adjustRightInd w:val="0"/>
        <w:spacing w:after="0" w:line="276" w:lineRule="exact"/>
        <w:rPr>
          <w:rFonts w:ascii="Arial" w:hAnsi="Arial" w:cs="Arial"/>
          <w:sz w:val="22"/>
          <w:szCs w:val="22"/>
        </w:rPr>
      </w:pPr>
    </w:p>
    <w:p w14:paraId="6996B0A2" w14:textId="77777777" w:rsidR="000D1A41" w:rsidRPr="007923C2" w:rsidRDefault="000D1A41" w:rsidP="000D1A41">
      <w:pPr>
        <w:widowControl w:val="0"/>
        <w:overflowPunct w:val="0"/>
        <w:autoSpaceDE w:val="0"/>
        <w:autoSpaceDN w:val="0"/>
        <w:adjustRightInd w:val="0"/>
        <w:spacing w:after="0" w:line="218" w:lineRule="auto"/>
        <w:ind w:right="20"/>
        <w:rPr>
          <w:rFonts w:ascii="Arial" w:hAnsi="Arial" w:cs="Arial"/>
          <w:sz w:val="22"/>
          <w:szCs w:val="22"/>
        </w:rPr>
      </w:pPr>
      <w:r w:rsidRPr="007923C2">
        <w:rPr>
          <w:rFonts w:ascii="Arial" w:hAnsi="Arial" w:cs="Arial"/>
          <w:sz w:val="22"/>
          <w:szCs w:val="22"/>
        </w:rPr>
        <w:t xml:space="preserve">En base a la opinión de los entrevistados las siguientes fueron las materias </w:t>
      </w:r>
      <w:r w:rsidRPr="007923C2">
        <w:rPr>
          <w:rFonts w:ascii="Arial" w:hAnsi="Arial" w:cs="Arial"/>
          <w:b/>
          <w:bCs/>
          <w:sz w:val="22"/>
          <w:szCs w:val="22"/>
        </w:rPr>
        <w:t>más útiles</w:t>
      </w:r>
      <w:r w:rsidRPr="007923C2">
        <w:rPr>
          <w:rFonts w:ascii="Arial" w:hAnsi="Arial" w:cs="Arial"/>
          <w:sz w:val="22"/>
          <w:szCs w:val="22"/>
        </w:rPr>
        <w:t xml:space="preserve"> que cursaron durante su carrera (ordenadas en orden descendente).</w:t>
      </w:r>
    </w:p>
    <w:p w14:paraId="55031C14" w14:textId="77777777" w:rsidR="000D1A41" w:rsidRPr="007923C2" w:rsidRDefault="000D1A41" w:rsidP="000D1A41">
      <w:pPr>
        <w:widowControl w:val="0"/>
        <w:autoSpaceDE w:val="0"/>
        <w:autoSpaceDN w:val="0"/>
        <w:adjustRightInd w:val="0"/>
        <w:spacing w:after="0" w:line="229" w:lineRule="exact"/>
        <w:rPr>
          <w:rFonts w:ascii="Arial" w:hAnsi="Arial" w:cs="Arial"/>
          <w:sz w:val="22"/>
          <w:szCs w:val="22"/>
        </w:rPr>
      </w:pPr>
    </w:p>
    <w:p w14:paraId="73591450" w14:textId="77777777"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Botánica </w:t>
      </w:r>
    </w:p>
    <w:p w14:paraId="3B6D343A" w14:textId="77777777"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14:paraId="677975F3" w14:textId="77777777" w:rsidR="000D1A41" w:rsidRPr="007923C2" w:rsidRDefault="000D1A41" w:rsidP="00A60C78">
      <w:pPr>
        <w:widowControl w:val="0"/>
        <w:numPr>
          <w:ilvl w:val="0"/>
          <w:numId w:val="107"/>
        </w:numPr>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Biología </w:t>
      </w:r>
    </w:p>
    <w:p w14:paraId="39AEE629" w14:textId="77777777"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Fisiología </w:t>
      </w:r>
    </w:p>
    <w:p w14:paraId="05C0888B" w14:textId="77777777"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14:paraId="4642E136" w14:textId="77777777"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Ecología </w:t>
      </w:r>
    </w:p>
    <w:p w14:paraId="0EC6AE9C" w14:textId="77777777" w:rsidR="000D1A41" w:rsidRPr="007923C2" w:rsidRDefault="000D1A41" w:rsidP="00A60C78">
      <w:pPr>
        <w:widowControl w:val="0"/>
        <w:numPr>
          <w:ilvl w:val="0"/>
          <w:numId w:val="107"/>
        </w:numPr>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 xml:space="preserve">Modelos Biológicos </w:t>
      </w:r>
    </w:p>
    <w:p w14:paraId="77254FEA" w14:textId="77777777"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14:paraId="6D77BB84" w14:textId="77777777"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Manejo integrado de plagas </w:t>
      </w:r>
    </w:p>
    <w:p w14:paraId="2561AC5E" w14:textId="77777777"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14:paraId="2F1E5DE7" w14:textId="77777777"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Formación y evaluación de proyectos </w:t>
      </w:r>
    </w:p>
    <w:p w14:paraId="3B0532E5" w14:textId="77777777"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14:paraId="517E5C13" w14:textId="77777777"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Control biológico de plagas </w:t>
      </w:r>
    </w:p>
    <w:p w14:paraId="779F196B" w14:textId="77777777"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14:paraId="2D9F19E1" w14:textId="77777777"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Química </w:t>
      </w:r>
    </w:p>
    <w:p w14:paraId="4BB097E4" w14:textId="77777777"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14:paraId="50BFE6C9" w14:textId="77777777"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Contaminación ambiental </w:t>
      </w:r>
    </w:p>
    <w:p w14:paraId="6D058881" w14:textId="77777777" w:rsidR="000D1A41" w:rsidRPr="007923C2" w:rsidRDefault="000D1A41" w:rsidP="00A60C78">
      <w:pPr>
        <w:widowControl w:val="0"/>
        <w:numPr>
          <w:ilvl w:val="0"/>
          <w:numId w:val="107"/>
        </w:numPr>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 xml:space="preserve">Matemáticas </w:t>
      </w:r>
    </w:p>
    <w:p w14:paraId="0852B4C1" w14:textId="77777777"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14:paraId="67ECF533" w14:textId="77777777"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Taller de investigación </w:t>
      </w:r>
    </w:p>
    <w:p w14:paraId="0887A25D" w14:textId="77777777"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14:paraId="566C6E6D" w14:textId="77777777" w:rsidR="000D1A41" w:rsidRPr="007923C2" w:rsidRDefault="000D1A41" w:rsidP="00A60C78">
      <w:pPr>
        <w:widowControl w:val="0"/>
        <w:numPr>
          <w:ilvl w:val="0"/>
          <w:numId w:val="107"/>
        </w:numPr>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Agroecológica </w:t>
      </w:r>
    </w:p>
    <w:p w14:paraId="18D51E9F" w14:textId="1980C568"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Agrofísica </w:t>
      </w:r>
    </w:p>
    <w:p w14:paraId="43047721" w14:textId="77777777"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14:paraId="1D5AFDC3" w14:textId="77777777"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Ciencias de la salud </w:t>
      </w:r>
    </w:p>
    <w:p w14:paraId="46C5F456" w14:textId="77777777" w:rsidR="00976A39" w:rsidRDefault="00976A39" w:rsidP="005E47E4">
      <w:pPr>
        <w:widowControl w:val="0"/>
        <w:autoSpaceDE w:val="0"/>
        <w:autoSpaceDN w:val="0"/>
        <w:adjustRightInd w:val="0"/>
        <w:jc w:val="both"/>
        <w:rPr>
          <w:rFonts w:ascii="Arial" w:hAnsi="Arial" w:cs="Arial"/>
          <w:b/>
          <w:sz w:val="22"/>
          <w:szCs w:val="22"/>
        </w:rPr>
      </w:pPr>
    </w:p>
    <w:p w14:paraId="39DE6221" w14:textId="77777777" w:rsidR="00DD549C" w:rsidRPr="007923C2" w:rsidRDefault="00DD549C" w:rsidP="00DD549C">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¿Considera que la planta docente de UAAAN se encuentra capacitada para cubrir estas tendencias?</w:t>
      </w:r>
    </w:p>
    <w:p w14:paraId="23675798" w14:textId="77777777" w:rsidR="00DD549C" w:rsidRPr="007923C2" w:rsidRDefault="00DD549C" w:rsidP="00DD549C">
      <w:pPr>
        <w:widowControl w:val="0"/>
        <w:autoSpaceDE w:val="0"/>
        <w:autoSpaceDN w:val="0"/>
        <w:adjustRightInd w:val="0"/>
        <w:spacing w:after="0" w:line="354" w:lineRule="exact"/>
        <w:rPr>
          <w:rFonts w:ascii="Arial" w:hAnsi="Arial" w:cs="Arial"/>
          <w:sz w:val="22"/>
          <w:szCs w:val="22"/>
        </w:rPr>
      </w:pPr>
    </w:p>
    <w:tbl>
      <w:tblPr>
        <w:tblW w:w="0" w:type="auto"/>
        <w:tblLayout w:type="fixed"/>
        <w:tblCellMar>
          <w:left w:w="0" w:type="dxa"/>
          <w:right w:w="0" w:type="dxa"/>
        </w:tblCellMar>
        <w:tblLook w:val="0000" w:firstRow="0" w:lastRow="0" w:firstColumn="0" w:lastColumn="0" w:noHBand="0" w:noVBand="0"/>
      </w:tblPr>
      <w:tblGrid>
        <w:gridCol w:w="480"/>
        <w:gridCol w:w="580"/>
        <w:gridCol w:w="640"/>
      </w:tblGrid>
      <w:tr w:rsidR="00DD549C" w:rsidRPr="007923C2" w14:paraId="3AD6E4AB" w14:textId="77777777" w:rsidTr="00DD549C">
        <w:trPr>
          <w:trHeight w:val="230"/>
        </w:trPr>
        <w:tc>
          <w:tcPr>
            <w:tcW w:w="480" w:type="dxa"/>
            <w:tcBorders>
              <w:top w:val="nil"/>
              <w:left w:val="nil"/>
              <w:bottom w:val="nil"/>
              <w:right w:val="nil"/>
            </w:tcBorders>
            <w:vAlign w:val="bottom"/>
          </w:tcPr>
          <w:p w14:paraId="4E982042" w14:textId="77777777" w:rsidR="00DD549C" w:rsidRPr="007923C2" w:rsidRDefault="00DD549C" w:rsidP="00DD549C">
            <w:pPr>
              <w:widowControl w:val="0"/>
              <w:autoSpaceDE w:val="0"/>
              <w:autoSpaceDN w:val="0"/>
              <w:adjustRightInd w:val="0"/>
              <w:spacing w:after="0" w:line="229" w:lineRule="exact"/>
              <w:rPr>
                <w:rFonts w:ascii="Arial" w:hAnsi="Arial" w:cs="Arial"/>
                <w:sz w:val="22"/>
                <w:szCs w:val="22"/>
              </w:rPr>
            </w:pPr>
            <w:r w:rsidRPr="007923C2">
              <w:rPr>
                <w:rFonts w:ascii="Arial" w:hAnsi="Arial" w:cs="Arial"/>
                <w:sz w:val="22"/>
                <w:szCs w:val="22"/>
              </w:rPr>
              <w:t>Si</w:t>
            </w:r>
          </w:p>
        </w:tc>
        <w:tc>
          <w:tcPr>
            <w:tcW w:w="580" w:type="dxa"/>
            <w:tcBorders>
              <w:top w:val="nil"/>
              <w:left w:val="nil"/>
              <w:bottom w:val="nil"/>
              <w:right w:val="nil"/>
            </w:tcBorders>
            <w:vAlign w:val="bottom"/>
          </w:tcPr>
          <w:p w14:paraId="3D1A6D1A" w14:textId="77777777" w:rsidR="00DD549C" w:rsidRPr="007923C2" w:rsidRDefault="00DD549C" w:rsidP="00DD549C">
            <w:pPr>
              <w:widowControl w:val="0"/>
              <w:autoSpaceDE w:val="0"/>
              <w:autoSpaceDN w:val="0"/>
              <w:adjustRightInd w:val="0"/>
              <w:spacing w:after="0" w:line="229" w:lineRule="exact"/>
              <w:ind w:left="240"/>
              <w:rPr>
                <w:rFonts w:ascii="Arial" w:hAnsi="Arial" w:cs="Arial"/>
                <w:sz w:val="22"/>
                <w:szCs w:val="22"/>
              </w:rPr>
            </w:pPr>
            <w:r w:rsidRPr="007923C2">
              <w:rPr>
                <w:rFonts w:ascii="Arial" w:hAnsi="Arial" w:cs="Arial"/>
                <w:sz w:val="22"/>
                <w:szCs w:val="22"/>
              </w:rPr>
              <w:t>28</w:t>
            </w:r>
          </w:p>
        </w:tc>
        <w:tc>
          <w:tcPr>
            <w:tcW w:w="640" w:type="dxa"/>
            <w:tcBorders>
              <w:top w:val="nil"/>
              <w:left w:val="nil"/>
              <w:bottom w:val="nil"/>
              <w:right w:val="nil"/>
            </w:tcBorders>
            <w:vAlign w:val="bottom"/>
          </w:tcPr>
          <w:p w14:paraId="39D85237" w14:textId="77777777" w:rsidR="00DD549C" w:rsidRPr="007923C2" w:rsidRDefault="00DD549C" w:rsidP="00DD549C">
            <w:pPr>
              <w:widowControl w:val="0"/>
              <w:autoSpaceDE w:val="0"/>
              <w:autoSpaceDN w:val="0"/>
              <w:adjustRightInd w:val="0"/>
              <w:spacing w:after="0" w:line="229" w:lineRule="exact"/>
              <w:jc w:val="right"/>
              <w:rPr>
                <w:rFonts w:ascii="Arial" w:hAnsi="Arial" w:cs="Arial"/>
                <w:sz w:val="22"/>
                <w:szCs w:val="22"/>
              </w:rPr>
            </w:pPr>
            <w:r w:rsidRPr="007923C2">
              <w:rPr>
                <w:rFonts w:ascii="Arial" w:hAnsi="Arial" w:cs="Arial"/>
                <w:sz w:val="22"/>
                <w:szCs w:val="22"/>
              </w:rPr>
              <w:t>(80%)</w:t>
            </w:r>
          </w:p>
        </w:tc>
      </w:tr>
      <w:tr w:rsidR="00DD549C" w:rsidRPr="007923C2" w14:paraId="6DBE212A" w14:textId="77777777" w:rsidTr="00DD549C">
        <w:trPr>
          <w:trHeight w:val="228"/>
        </w:trPr>
        <w:tc>
          <w:tcPr>
            <w:tcW w:w="480" w:type="dxa"/>
            <w:tcBorders>
              <w:top w:val="nil"/>
              <w:left w:val="nil"/>
              <w:bottom w:val="nil"/>
              <w:right w:val="nil"/>
            </w:tcBorders>
            <w:vAlign w:val="bottom"/>
          </w:tcPr>
          <w:p w14:paraId="610F420B" w14:textId="77777777" w:rsidR="00DD549C" w:rsidRPr="007923C2" w:rsidRDefault="00DD549C" w:rsidP="00DD549C">
            <w:pPr>
              <w:widowControl w:val="0"/>
              <w:autoSpaceDE w:val="0"/>
              <w:autoSpaceDN w:val="0"/>
              <w:adjustRightInd w:val="0"/>
              <w:spacing w:after="0" w:line="227" w:lineRule="exact"/>
              <w:rPr>
                <w:rFonts w:ascii="Arial" w:hAnsi="Arial" w:cs="Arial"/>
                <w:sz w:val="22"/>
                <w:szCs w:val="22"/>
              </w:rPr>
            </w:pPr>
            <w:r w:rsidRPr="007923C2">
              <w:rPr>
                <w:rFonts w:ascii="Arial" w:hAnsi="Arial" w:cs="Arial"/>
                <w:sz w:val="22"/>
                <w:szCs w:val="22"/>
              </w:rPr>
              <w:t>No</w:t>
            </w:r>
          </w:p>
        </w:tc>
        <w:tc>
          <w:tcPr>
            <w:tcW w:w="580" w:type="dxa"/>
            <w:tcBorders>
              <w:top w:val="nil"/>
              <w:left w:val="nil"/>
              <w:bottom w:val="nil"/>
              <w:right w:val="nil"/>
            </w:tcBorders>
            <w:vAlign w:val="bottom"/>
          </w:tcPr>
          <w:p w14:paraId="21659C9B" w14:textId="77777777" w:rsidR="00DD549C" w:rsidRPr="007923C2" w:rsidRDefault="00DD549C" w:rsidP="00DD549C">
            <w:pPr>
              <w:widowControl w:val="0"/>
              <w:autoSpaceDE w:val="0"/>
              <w:autoSpaceDN w:val="0"/>
              <w:adjustRightInd w:val="0"/>
              <w:spacing w:after="0" w:line="227" w:lineRule="exact"/>
              <w:ind w:left="240"/>
              <w:rPr>
                <w:rFonts w:ascii="Arial" w:hAnsi="Arial" w:cs="Arial"/>
                <w:sz w:val="22"/>
                <w:szCs w:val="22"/>
              </w:rPr>
            </w:pPr>
            <w:r w:rsidRPr="007923C2">
              <w:rPr>
                <w:rFonts w:ascii="Arial" w:hAnsi="Arial" w:cs="Arial"/>
                <w:sz w:val="22"/>
                <w:szCs w:val="22"/>
              </w:rPr>
              <w:t>7</w:t>
            </w:r>
          </w:p>
        </w:tc>
        <w:tc>
          <w:tcPr>
            <w:tcW w:w="640" w:type="dxa"/>
            <w:tcBorders>
              <w:top w:val="nil"/>
              <w:left w:val="nil"/>
              <w:bottom w:val="nil"/>
              <w:right w:val="nil"/>
            </w:tcBorders>
            <w:vAlign w:val="bottom"/>
          </w:tcPr>
          <w:p w14:paraId="52359C68" w14:textId="77777777" w:rsidR="00DD549C" w:rsidRPr="007923C2" w:rsidRDefault="00DD549C" w:rsidP="00DD549C">
            <w:pPr>
              <w:widowControl w:val="0"/>
              <w:autoSpaceDE w:val="0"/>
              <w:autoSpaceDN w:val="0"/>
              <w:adjustRightInd w:val="0"/>
              <w:spacing w:after="0" w:line="227" w:lineRule="exact"/>
              <w:jc w:val="right"/>
              <w:rPr>
                <w:rFonts w:ascii="Arial" w:hAnsi="Arial" w:cs="Arial"/>
                <w:sz w:val="22"/>
                <w:szCs w:val="22"/>
              </w:rPr>
            </w:pPr>
            <w:r w:rsidRPr="007923C2">
              <w:rPr>
                <w:rFonts w:ascii="Arial" w:hAnsi="Arial" w:cs="Arial"/>
                <w:sz w:val="22"/>
                <w:szCs w:val="22"/>
              </w:rPr>
              <w:t>(20%)</w:t>
            </w:r>
          </w:p>
        </w:tc>
      </w:tr>
      <w:tr w:rsidR="00CB69B8" w:rsidRPr="007923C2" w14:paraId="08B975D7" w14:textId="77777777" w:rsidTr="00DD549C">
        <w:trPr>
          <w:trHeight w:val="228"/>
        </w:trPr>
        <w:tc>
          <w:tcPr>
            <w:tcW w:w="480" w:type="dxa"/>
            <w:tcBorders>
              <w:top w:val="nil"/>
              <w:left w:val="nil"/>
              <w:bottom w:val="nil"/>
              <w:right w:val="nil"/>
            </w:tcBorders>
            <w:vAlign w:val="bottom"/>
          </w:tcPr>
          <w:p w14:paraId="4DEA60BE" w14:textId="77777777" w:rsidR="00CB69B8" w:rsidRDefault="00CB69B8" w:rsidP="00DD549C">
            <w:pPr>
              <w:widowControl w:val="0"/>
              <w:autoSpaceDE w:val="0"/>
              <w:autoSpaceDN w:val="0"/>
              <w:adjustRightInd w:val="0"/>
              <w:spacing w:after="0" w:line="227" w:lineRule="exact"/>
              <w:rPr>
                <w:rFonts w:ascii="Arial" w:hAnsi="Arial" w:cs="Arial"/>
                <w:sz w:val="22"/>
                <w:szCs w:val="22"/>
              </w:rPr>
            </w:pPr>
          </w:p>
          <w:p w14:paraId="72046C93" w14:textId="77777777" w:rsidR="00CB69B8" w:rsidRPr="007923C2" w:rsidRDefault="00CB69B8" w:rsidP="00DD549C">
            <w:pPr>
              <w:widowControl w:val="0"/>
              <w:autoSpaceDE w:val="0"/>
              <w:autoSpaceDN w:val="0"/>
              <w:adjustRightInd w:val="0"/>
              <w:spacing w:after="0" w:line="227" w:lineRule="exact"/>
              <w:rPr>
                <w:rFonts w:ascii="Arial" w:hAnsi="Arial" w:cs="Arial"/>
                <w:sz w:val="22"/>
                <w:szCs w:val="22"/>
              </w:rPr>
            </w:pPr>
          </w:p>
        </w:tc>
        <w:tc>
          <w:tcPr>
            <w:tcW w:w="580" w:type="dxa"/>
            <w:tcBorders>
              <w:top w:val="nil"/>
              <w:left w:val="nil"/>
              <w:bottom w:val="nil"/>
              <w:right w:val="nil"/>
            </w:tcBorders>
            <w:vAlign w:val="bottom"/>
          </w:tcPr>
          <w:p w14:paraId="2EC63BE3" w14:textId="77777777" w:rsidR="00CB69B8" w:rsidRPr="007923C2" w:rsidRDefault="00CB69B8" w:rsidP="00DD549C">
            <w:pPr>
              <w:widowControl w:val="0"/>
              <w:autoSpaceDE w:val="0"/>
              <w:autoSpaceDN w:val="0"/>
              <w:adjustRightInd w:val="0"/>
              <w:spacing w:after="0" w:line="227" w:lineRule="exact"/>
              <w:ind w:left="240"/>
              <w:rPr>
                <w:rFonts w:ascii="Arial" w:hAnsi="Arial" w:cs="Arial"/>
                <w:sz w:val="22"/>
                <w:szCs w:val="22"/>
              </w:rPr>
            </w:pPr>
          </w:p>
        </w:tc>
        <w:tc>
          <w:tcPr>
            <w:tcW w:w="640" w:type="dxa"/>
            <w:tcBorders>
              <w:top w:val="nil"/>
              <w:left w:val="nil"/>
              <w:bottom w:val="nil"/>
              <w:right w:val="nil"/>
            </w:tcBorders>
            <w:vAlign w:val="bottom"/>
          </w:tcPr>
          <w:p w14:paraId="05F4504E" w14:textId="77777777" w:rsidR="00CB69B8" w:rsidRPr="007923C2" w:rsidRDefault="00CB69B8" w:rsidP="00DD549C">
            <w:pPr>
              <w:widowControl w:val="0"/>
              <w:autoSpaceDE w:val="0"/>
              <w:autoSpaceDN w:val="0"/>
              <w:adjustRightInd w:val="0"/>
              <w:spacing w:after="0" w:line="227" w:lineRule="exact"/>
              <w:jc w:val="right"/>
              <w:rPr>
                <w:rFonts w:ascii="Arial" w:hAnsi="Arial" w:cs="Arial"/>
                <w:sz w:val="22"/>
                <w:szCs w:val="22"/>
              </w:rPr>
            </w:pPr>
          </w:p>
        </w:tc>
      </w:tr>
    </w:tbl>
    <w:tbl>
      <w:tblPr>
        <w:tblStyle w:val="Tablaconcuadrcula"/>
        <w:tblW w:w="9121" w:type="dxa"/>
        <w:tblLook w:val="04A0" w:firstRow="1" w:lastRow="0" w:firstColumn="1" w:lastColumn="0" w:noHBand="0" w:noVBand="1"/>
      </w:tblPr>
      <w:tblGrid>
        <w:gridCol w:w="1129"/>
        <w:gridCol w:w="2694"/>
        <w:gridCol w:w="1766"/>
        <w:gridCol w:w="1766"/>
        <w:gridCol w:w="1766"/>
      </w:tblGrid>
      <w:tr w:rsidR="00C0425B" w:rsidRPr="00115C4F" w14:paraId="1E71290C" w14:textId="77777777" w:rsidTr="00CF3FE9">
        <w:tc>
          <w:tcPr>
            <w:tcW w:w="1129" w:type="dxa"/>
          </w:tcPr>
          <w:p w14:paraId="774EBA97" w14:textId="77777777" w:rsidR="00C0425B" w:rsidRPr="00115C4F" w:rsidRDefault="00C0425B" w:rsidP="00CF3FE9">
            <w:pPr>
              <w:rPr>
                <w:b/>
                <w:sz w:val="16"/>
                <w:szCs w:val="16"/>
              </w:rPr>
            </w:pPr>
            <w:r w:rsidRPr="00115C4F">
              <w:rPr>
                <w:b/>
                <w:sz w:val="16"/>
                <w:szCs w:val="16"/>
              </w:rPr>
              <w:t>Clave 1</w:t>
            </w:r>
          </w:p>
        </w:tc>
        <w:tc>
          <w:tcPr>
            <w:tcW w:w="2694" w:type="dxa"/>
            <w:vAlign w:val="bottom"/>
          </w:tcPr>
          <w:p w14:paraId="2259183C" w14:textId="77777777" w:rsidR="00C0425B" w:rsidRPr="00115C4F" w:rsidRDefault="00C0425B" w:rsidP="00CF3FE9">
            <w:pPr>
              <w:widowControl w:val="0"/>
              <w:autoSpaceDE w:val="0"/>
              <w:autoSpaceDN w:val="0"/>
              <w:adjustRightInd w:val="0"/>
              <w:rPr>
                <w:rFonts w:ascii="Times New Roman" w:hAnsi="Times New Roman"/>
                <w:b/>
                <w:sz w:val="16"/>
                <w:szCs w:val="16"/>
              </w:rPr>
            </w:pPr>
            <w:r w:rsidRPr="00115C4F">
              <w:rPr>
                <w:rFonts w:ascii="Arial" w:hAnsi="Arial" w:cs="Arial"/>
                <w:b/>
                <w:bCs/>
                <w:sz w:val="16"/>
                <w:szCs w:val="16"/>
              </w:rPr>
              <w:t>Materia 1</w:t>
            </w:r>
          </w:p>
        </w:tc>
        <w:tc>
          <w:tcPr>
            <w:tcW w:w="1766" w:type="dxa"/>
            <w:vAlign w:val="bottom"/>
          </w:tcPr>
          <w:p w14:paraId="4F03867E" w14:textId="77777777" w:rsidR="00C0425B" w:rsidRPr="00115C4F" w:rsidRDefault="00C0425B" w:rsidP="00CF3FE9">
            <w:pPr>
              <w:widowControl w:val="0"/>
              <w:autoSpaceDE w:val="0"/>
              <w:autoSpaceDN w:val="0"/>
              <w:adjustRightInd w:val="0"/>
              <w:ind w:left="380"/>
              <w:rPr>
                <w:rFonts w:ascii="Times New Roman" w:hAnsi="Times New Roman"/>
                <w:b/>
                <w:sz w:val="16"/>
                <w:szCs w:val="16"/>
              </w:rPr>
            </w:pPr>
            <w:r w:rsidRPr="00115C4F">
              <w:rPr>
                <w:rFonts w:ascii="Arial" w:hAnsi="Arial" w:cs="Arial"/>
                <w:b/>
                <w:bCs/>
                <w:sz w:val="16"/>
                <w:szCs w:val="16"/>
              </w:rPr>
              <w:t>Materia 2</w:t>
            </w:r>
          </w:p>
        </w:tc>
        <w:tc>
          <w:tcPr>
            <w:tcW w:w="1766" w:type="dxa"/>
          </w:tcPr>
          <w:p w14:paraId="554B81AA" w14:textId="77777777" w:rsidR="00C0425B" w:rsidRPr="00115C4F" w:rsidRDefault="00C0425B" w:rsidP="00CF3FE9">
            <w:pPr>
              <w:rPr>
                <w:b/>
                <w:sz w:val="16"/>
                <w:szCs w:val="16"/>
              </w:rPr>
            </w:pPr>
            <w:r w:rsidRPr="00115C4F">
              <w:rPr>
                <w:rFonts w:ascii="Arial" w:hAnsi="Arial" w:cs="Arial"/>
                <w:b/>
                <w:bCs/>
                <w:sz w:val="16"/>
                <w:szCs w:val="16"/>
              </w:rPr>
              <w:t>Materia 3</w:t>
            </w:r>
          </w:p>
        </w:tc>
        <w:tc>
          <w:tcPr>
            <w:tcW w:w="1766" w:type="dxa"/>
          </w:tcPr>
          <w:p w14:paraId="4CBA3431" w14:textId="77777777" w:rsidR="00C0425B" w:rsidRPr="00115C4F" w:rsidRDefault="00C0425B" w:rsidP="00CF3FE9">
            <w:pPr>
              <w:rPr>
                <w:b/>
                <w:sz w:val="16"/>
                <w:szCs w:val="16"/>
              </w:rPr>
            </w:pPr>
            <w:r w:rsidRPr="00115C4F">
              <w:rPr>
                <w:rFonts w:ascii="Arial" w:hAnsi="Arial" w:cs="Arial"/>
                <w:b/>
                <w:bCs/>
                <w:sz w:val="16"/>
                <w:szCs w:val="16"/>
              </w:rPr>
              <w:t>Materia 4</w:t>
            </w:r>
          </w:p>
        </w:tc>
      </w:tr>
      <w:tr w:rsidR="00C0425B" w:rsidRPr="00115C4F" w14:paraId="7AA5CD43" w14:textId="77777777" w:rsidTr="00CF3FE9">
        <w:tc>
          <w:tcPr>
            <w:tcW w:w="1129" w:type="dxa"/>
          </w:tcPr>
          <w:p w14:paraId="764084C0" w14:textId="77777777" w:rsidR="00C0425B" w:rsidRPr="00115C4F" w:rsidRDefault="00C0425B" w:rsidP="00CF3FE9">
            <w:pPr>
              <w:rPr>
                <w:sz w:val="16"/>
                <w:szCs w:val="16"/>
              </w:rPr>
            </w:pPr>
          </w:p>
        </w:tc>
        <w:tc>
          <w:tcPr>
            <w:tcW w:w="2694" w:type="dxa"/>
            <w:vAlign w:val="bottom"/>
          </w:tcPr>
          <w:p w14:paraId="2431C053"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23ABEC52"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tcPr>
          <w:p w14:paraId="1595DA29" w14:textId="77777777" w:rsidR="00C0425B" w:rsidRPr="00115C4F" w:rsidRDefault="00C0425B" w:rsidP="00CF3FE9">
            <w:pPr>
              <w:rPr>
                <w:sz w:val="16"/>
                <w:szCs w:val="16"/>
              </w:rPr>
            </w:pPr>
          </w:p>
        </w:tc>
        <w:tc>
          <w:tcPr>
            <w:tcW w:w="1766" w:type="dxa"/>
          </w:tcPr>
          <w:p w14:paraId="30DF1E9A" w14:textId="77777777" w:rsidR="00C0425B" w:rsidRPr="00115C4F" w:rsidRDefault="00C0425B" w:rsidP="00CF3FE9">
            <w:pPr>
              <w:rPr>
                <w:sz w:val="16"/>
                <w:szCs w:val="16"/>
              </w:rPr>
            </w:pPr>
          </w:p>
        </w:tc>
      </w:tr>
      <w:tr w:rsidR="00C0425B" w:rsidRPr="00115C4F" w14:paraId="481890CE" w14:textId="77777777" w:rsidTr="00CF3FE9">
        <w:tc>
          <w:tcPr>
            <w:tcW w:w="1129" w:type="dxa"/>
            <w:vAlign w:val="bottom"/>
          </w:tcPr>
          <w:p w14:paraId="45C082F1"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w:t>
            </w:r>
          </w:p>
        </w:tc>
        <w:tc>
          <w:tcPr>
            <w:tcW w:w="2694" w:type="dxa"/>
            <w:vAlign w:val="bottom"/>
          </w:tcPr>
          <w:p w14:paraId="056C3E48"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Todas</w:t>
            </w:r>
          </w:p>
        </w:tc>
        <w:tc>
          <w:tcPr>
            <w:tcW w:w="1766" w:type="dxa"/>
            <w:vAlign w:val="bottom"/>
          </w:tcPr>
          <w:p w14:paraId="249E04C2"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tcPr>
          <w:p w14:paraId="5D294D95" w14:textId="77777777" w:rsidR="00C0425B" w:rsidRPr="00115C4F" w:rsidRDefault="00C0425B" w:rsidP="00CF3FE9">
            <w:pPr>
              <w:rPr>
                <w:sz w:val="16"/>
                <w:szCs w:val="16"/>
              </w:rPr>
            </w:pPr>
          </w:p>
        </w:tc>
        <w:tc>
          <w:tcPr>
            <w:tcW w:w="1766" w:type="dxa"/>
          </w:tcPr>
          <w:p w14:paraId="1492356F" w14:textId="77777777" w:rsidR="00C0425B" w:rsidRPr="00115C4F" w:rsidRDefault="00C0425B" w:rsidP="00CF3FE9">
            <w:pPr>
              <w:rPr>
                <w:sz w:val="16"/>
                <w:szCs w:val="16"/>
              </w:rPr>
            </w:pPr>
          </w:p>
        </w:tc>
      </w:tr>
      <w:tr w:rsidR="00C0425B" w:rsidRPr="00115C4F" w14:paraId="7211961C" w14:textId="77777777" w:rsidTr="00CF3FE9">
        <w:tc>
          <w:tcPr>
            <w:tcW w:w="1129" w:type="dxa"/>
            <w:vAlign w:val="bottom"/>
          </w:tcPr>
          <w:p w14:paraId="7178127D"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w:t>
            </w:r>
          </w:p>
        </w:tc>
        <w:tc>
          <w:tcPr>
            <w:tcW w:w="2694" w:type="dxa"/>
            <w:vAlign w:val="bottom"/>
          </w:tcPr>
          <w:p w14:paraId="266A3594"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Control biológico de plagas</w:t>
            </w:r>
          </w:p>
        </w:tc>
        <w:tc>
          <w:tcPr>
            <w:tcW w:w="1766" w:type="dxa"/>
            <w:vAlign w:val="bottom"/>
          </w:tcPr>
          <w:p w14:paraId="53964575"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w:t>
            </w:r>
          </w:p>
        </w:tc>
        <w:tc>
          <w:tcPr>
            <w:tcW w:w="1766" w:type="dxa"/>
            <w:vAlign w:val="bottom"/>
          </w:tcPr>
          <w:p w14:paraId="46F37969"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Producción de insectos benéficos</w:t>
            </w:r>
          </w:p>
        </w:tc>
        <w:tc>
          <w:tcPr>
            <w:tcW w:w="1766" w:type="dxa"/>
            <w:vAlign w:val="bottom"/>
          </w:tcPr>
          <w:p w14:paraId="05859E2B"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Taxonomía de suelos</w:t>
            </w:r>
          </w:p>
        </w:tc>
      </w:tr>
      <w:tr w:rsidR="00C0425B" w:rsidRPr="00115C4F" w14:paraId="7418FBA1" w14:textId="77777777" w:rsidTr="00CF3FE9">
        <w:tc>
          <w:tcPr>
            <w:tcW w:w="1129" w:type="dxa"/>
            <w:vAlign w:val="bottom"/>
          </w:tcPr>
          <w:p w14:paraId="27B89CBF" w14:textId="77777777"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3</w:t>
            </w:r>
          </w:p>
        </w:tc>
        <w:tc>
          <w:tcPr>
            <w:tcW w:w="2694" w:type="dxa"/>
            <w:vAlign w:val="bottom"/>
          </w:tcPr>
          <w:p w14:paraId="70620681"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Fisiología</w:t>
            </w:r>
          </w:p>
        </w:tc>
        <w:tc>
          <w:tcPr>
            <w:tcW w:w="1766" w:type="dxa"/>
            <w:vAlign w:val="bottom"/>
          </w:tcPr>
          <w:p w14:paraId="7BA068C3"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Biología</w:t>
            </w:r>
          </w:p>
        </w:tc>
        <w:tc>
          <w:tcPr>
            <w:tcW w:w="1766" w:type="dxa"/>
            <w:vAlign w:val="bottom"/>
          </w:tcPr>
          <w:p w14:paraId="53E0023D"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Biología molecular</w:t>
            </w:r>
          </w:p>
        </w:tc>
        <w:tc>
          <w:tcPr>
            <w:tcW w:w="1766" w:type="dxa"/>
            <w:vAlign w:val="bottom"/>
          </w:tcPr>
          <w:p w14:paraId="53C2D2AC"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Química</w:t>
            </w:r>
          </w:p>
        </w:tc>
      </w:tr>
      <w:tr w:rsidR="00C0425B" w:rsidRPr="00115C4F" w14:paraId="3B6AE59A" w14:textId="77777777" w:rsidTr="00CF3FE9">
        <w:tc>
          <w:tcPr>
            <w:tcW w:w="1129" w:type="dxa"/>
            <w:vAlign w:val="bottom"/>
          </w:tcPr>
          <w:p w14:paraId="7D7A45F2"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4</w:t>
            </w:r>
          </w:p>
        </w:tc>
        <w:tc>
          <w:tcPr>
            <w:tcW w:w="2694" w:type="dxa"/>
            <w:vAlign w:val="bottom"/>
          </w:tcPr>
          <w:p w14:paraId="56DA5BDC"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Manejo integrado de plagas</w:t>
            </w:r>
          </w:p>
        </w:tc>
        <w:tc>
          <w:tcPr>
            <w:tcW w:w="1766" w:type="dxa"/>
            <w:vAlign w:val="bottom"/>
          </w:tcPr>
          <w:p w14:paraId="1202E602"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Enzimología</w:t>
            </w:r>
          </w:p>
        </w:tc>
        <w:tc>
          <w:tcPr>
            <w:tcW w:w="1766" w:type="dxa"/>
            <w:vAlign w:val="bottom"/>
          </w:tcPr>
          <w:p w14:paraId="143EA176"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41C4F153"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22B4C52C" w14:textId="77777777" w:rsidTr="00CF3FE9">
        <w:tc>
          <w:tcPr>
            <w:tcW w:w="1129" w:type="dxa"/>
            <w:vAlign w:val="bottom"/>
          </w:tcPr>
          <w:p w14:paraId="0EF726BB"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5</w:t>
            </w:r>
          </w:p>
        </w:tc>
        <w:tc>
          <w:tcPr>
            <w:tcW w:w="2694" w:type="dxa"/>
            <w:vAlign w:val="bottom"/>
          </w:tcPr>
          <w:p w14:paraId="3A9588FC"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Química</w:t>
            </w:r>
          </w:p>
        </w:tc>
        <w:tc>
          <w:tcPr>
            <w:tcW w:w="1766" w:type="dxa"/>
            <w:vAlign w:val="bottom"/>
          </w:tcPr>
          <w:p w14:paraId="15B4F61A"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Física</w:t>
            </w:r>
          </w:p>
        </w:tc>
        <w:tc>
          <w:tcPr>
            <w:tcW w:w="1766" w:type="dxa"/>
            <w:vAlign w:val="bottom"/>
          </w:tcPr>
          <w:p w14:paraId="5A521305"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Geología</w:t>
            </w:r>
          </w:p>
        </w:tc>
        <w:tc>
          <w:tcPr>
            <w:tcW w:w="1766" w:type="dxa"/>
            <w:vAlign w:val="bottom"/>
          </w:tcPr>
          <w:p w14:paraId="19B07CE9"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Ciencias de la salud</w:t>
            </w:r>
          </w:p>
        </w:tc>
      </w:tr>
      <w:tr w:rsidR="00C0425B" w:rsidRPr="00115C4F" w14:paraId="01C9791F" w14:textId="77777777" w:rsidTr="00CF3FE9">
        <w:tc>
          <w:tcPr>
            <w:tcW w:w="1129" w:type="dxa"/>
            <w:vAlign w:val="bottom"/>
          </w:tcPr>
          <w:p w14:paraId="0BFCEA40" w14:textId="77777777"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6</w:t>
            </w:r>
          </w:p>
        </w:tc>
        <w:tc>
          <w:tcPr>
            <w:tcW w:w="2694" w:type="dxa"/>
            <w:vAlign w:val="bottom"/>
          </w:tcPr>
          <w:p w14:paraId="00B354BF"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Biología</w:t>
            </w:r>
          </w:p>
        </w:tc>
        <w:tc>
          <w:tcPr>
            <w:tcW w:w="1766" w:type="dxa"/>
            <w:vAlign w:val="bottom"/>
          </w:tcPr>
          <w:p w14:paraId="7AC6DF67"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Formulación y evaluación de proyectos</w:t>
            </w:r>
          </w:p>
        </w:tc>
        <w:tc>
          <w:tcPr>
            <w:tcW w:w="1766" w:type="dxa"/>
            <w:vAlign w:val="bottom"/>
          </w:tcPr>
          <w:p w14:paraId="3A755F37"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Formulación y evaluación de proyectos</w:t>
            </w:r>
          </w:p>
        </w:tc>
        <w:tc>
          <w:tcPr>
            <w:tcW w:w="1766" w:type="dxa"/>
            <w:vAlign w:val="bottom"/>
          </w:tcPr>
          <w:p w14:paraId="43D29C78"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Modelos biológicos   Química</w:t>
            </w:r>
          </w:p>
        </w:tc>
      </w:tr>
      <w:tr w:rsidR="00C0425B" w:rsidRPr="00115C4F" w14:paraId="5ADAB930" w14:textId="77777777" w:rsidTr="00CF3FE9">
        <w:tc>
          <w:tcPr>
            <w:tcW w:w="1129" w:type="dxa"/>
            <w:vAlign w:val="bottom"/>
          </w:tcPr>
          <w:p w14:paraId="29383F5A"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7</w:t>
            </w:r>
          </w:p>
        </w:tc>
        <w:tc>
          <w:tcPr>
            <w:tcW w:w="2694" w:type="dxa"/>
            <w:vAlign w:val="bottom"/>
          </w:tcPr>
          <w:p w14:paraId="6DE3362A"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w:t>
            </w:r>
          </w:p>
        </w:tc>
        <w:tc>
          <w:tcPr>
            <w:tcW w:w="1766" w:type="dxa"/>
            <w:vAlign w:val="bottom"/>
          </w:tcPr>
          <w:p w14:paraId="40A1CB44"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Fisiología vegetal</w:t>
            </w:r>
          </w:p>
        </w:tc>
        <w:tc>
          <w:tcPr>
            <w:tcW w:w="1766" w:type="dxa"/>
            <w:vAlign w:val="bottom"/>
          </w:tcPr>
          <w:p w14:paraId="19FFB9A9"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Microbiología</w:t>
            </w:r>
          </w:p>
        </w:tc>
        <w:tc>
          <w:tcPr>
            <w:tcW w:w="1766" w:type="dxa"/>
            <w:vAlign w:val="bottom"/>
          </w:tcPr>
          <w:p w14:paraId="02824697"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Bioquímica</w:t>
            </w:r>
          </w:p>
        </w:tc>
      </w:tr>
      <w:tr w:rsidR="00C0425B" w:rsidRPr="00115C4F" w14:paraId="463CC5FC" w14:textId="77777777" w:rsidTr="00CF3FE9">
        <w:tc>
          <w:tcPr>
            <w:tcW w:w="1129" w:type="dxa"/>
            <w:vAlign w:val="bottom"/>
          </w:tcPr>
          <w:p w14:paraId="13FF5855"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8</w:t>
            </w:r>
          </w:p>
        </w:tc>
        <w:tc>
          <w:tcPr>
            <w:tcW w:w="2694" w:type="dxa"/>
            <w:vAlign w:val="bottom"/>
          </w:tcPr>
          <w:p w14:paraId="45EC82F4"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 forestal</w:t>
            </w:r>
          </w:p>
        </w:tc>
        <w:tc>
          <w:tcPr>
            <w:tcW w:w="1766" w:type="dxa"/>
            <w:vAlign w:val="bottom"/>
          </w:tcPr>
          <w:p w14:paraId="1D68AED2"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Ecología</w:t>
            </w:r>
          </w:p>
        </w:tc>
        <w:tc>
          <w:tcPr>
            <w:tcW w:w="1766" w:type="dxa"/>
            <w:vAlign w:val="bottom"/>
          </w:tcPr>
          <w:p w14:paraId="54078282"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w w:val="99"/>
                <w:sz w:val="16"/>
                <w:szCs w:val="16"/>
              </w:rPr>
              <w:t>Fisiología</w:t>
            </w:r>
          </w:p>
        </w:tc>
        <w:tc>
          <w:tcPr>
            <w:tcW w:w="1766" w:type="dxa"/>
            <w:vAlign w:val="bottom"/>
          </w:tcPr>
          <w:p w14:paraId="3F26955C"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Manejo y conservación de suelos</w:t>
            </w:r>
          </w:p>
        </w:tc>
      </w:tr>
      <w:tr w:rsidR="00C0425B" w:rsidRPr="00115C4F" w14:paraId="3F2B5062" w14:textId="77777777" w:rsidTr="00CF3FE9">
        <w:tc>
          <w:tcPr>
            <w:tcW w:w="1129" w:type="dxa"/>
            <w:vAlign w:val="bottom"/>
          </w:tcPr>
          <w:p w14:paraId="24842D0A" w14:textId="77777777"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9</w:t>
            </w:r>
          </w:p>
        </w:tc>
        <w:tc>
          <w:tcPr>
            <w:tcW w:w="2694" w:type="dxa"/>
            <w:vAlign w:val="bottom"/>
          </w:tcPr>
          <w:p w14:paraId="7DC09FF6"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Ecología</w:t>
            </w:r>
          </w:p>
        </w:tc>
        <w:tc>
          <w:tcPr>
            <w:tcW w:w="1766" w:type="dxa"/>
            <w:vAlign w:val="bottom"/>
          </w:tcPr>
          <w:p w14:paraId="61C59D92"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Botánica</w:t>
            </w:r>
          </w:p>
        </w:tc>
        <w:tc>
          <w:tcPr>
            <w:tcW w:w="1766" w:type="dxa"/>
            <w:vAlign w:val="bottom"/>
          </w:tcPr>
          <w:p w14:paraId="753AD7F5"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Zoología</w:t>
            </w:r>
          </w:p>
        </w:tc>
        <w:tc>
          <w:tcPr>
            <w:tcW w:w="1766" w:type="dxa"/>
            <w:vAlign w:val="bottom"/>
          </w:tcPr>
          <w:p w14:paraId="6D7BBDC0"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5BE7C25E" w14:textId="77777777" w:rsidTr="00CF3FE9">
        <w:tc>
          <w:tcPr>
            <w:tcW w:w="1129" w:type="dxa"/>
            <w:vAlign w:val="bottom"/>
          </w:tcPr>
          <w:p w14:paraId="7BB78D26"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10</w:t>
            </w:r>
          </w:p>
        </w:tc>
        <w:tc>
          <w:tcPr>
            <w:tcW w:w="2694" w:type="dxa"/>
            <w:vAlign w:val="bottom"/>
          </w:tcPr>
          <w:p w14:paraId="4BAEEAEF"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Fisiología vegetal</w:t>
            </w:r>
          </w:p>
        </w:tc>
        <w:tc>
          <w:tcPr>
            <w:tcW w:w="1766" w:type="dxa"/>
            <w:vAlign w:val="bottom"/>
          </w:tcPr>
          <w:p w14:paraId="10779DAE"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Impacto ambiental</w:t>
            </w:r>
          </w:p>
        </w:tc>
        <w:tc>
          <w:tcPr>
            <w:tcW w:w="1766" w:type="dxa"/>
            <w:vAlign w:val="bottom"/>
          </w:tcPr>
          <w:p w14:paraId="57E8E14B"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 Sistemática</w:t>
            </w:r>
          </w:p>
        </w:tc>
        <w:tc>
          <w:tcPr>
            <w:tcW w:w="1766" w:type="dxa"/>
            <w:vAlign w:val="bottom"/>
          </w:tcPr>
          <w:p w14:paraId="1C17E638"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 Genética</w:t>
            </w:r>
          </w:p>
        </w:tc>
      </w:tr>
      <w:tr w:rsidR="00C0425B" w:rsidRPr="00115C4F" w14:paraId="766F3E7D" w14:textId="77777777" w:rsidTr="00CF3FE9">
        <w:tc>
          <w:tcPr>
            <w:tcW w:w="1129" w:type="dxa"/>
            <w:vAlign w:val="bottom"/>
          </w:tcPr>
          <w:p w14:paraId="651869B0"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lastRenderedPageBreak/>
              <w:t>Alumno 11</w:t>
            </w:r>
          </w:p>
        </w:tc>
        <w:tc>
          <w:tcPr>
            <w:tcW w:w="2694" w:type="dxa"/>
            <w:vAlign w:val="bottom"/>
          </w:tcPr>
          <w:p w14:paraId="749B6119"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No sabe</w:t>
            </w:r>
          </w:p>
        </w:tc>
        <w:tc>
          <w:tcPr>
            <w:tcW w:w="1766" w:type="dxa"/>
            <w:vAlign w:val="bottom"/>
          </w:tcPr>
          <w:p w14:paraId="07E8E5F6"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0CCAB4CF"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578723A4"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17554B0F" w14:textId="77777777" w:rsidTr="00CF3FE9">
        <w:tc>
          <w:tcPr>
            <w:tcW w:w="1129" w:type="dxa"/>
            <w:vAlign w:val="bottom"/>
          </w:tcPr>
          <w:p w14:paraId="24BD418A" w14:textId="77777777"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12</w:t>
            </w:r>
          </w:p>
        </w:tc>
        <w:tc>
          <w:tcPr>
            <w:tcW w:w="2694" w:type="dxa"/>
            <w:vAlign w:val="bottom"/>
          </w:tcPr>
          <w:p w14:paraId="0B8815FD"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Todas</w:t>
            </w:r>
          </w:p>
        </w:tc>
        <w:tc>
          <w:tcPr>
            <w:tcW w:w="1766" w:type="dxa"/>
            <w:vAlign w:val="bottom"/>
          </w:tcPr>
          <w:p w14:paraId="7EC04FFE"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32C9AF3F"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7E54D3FB"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705CF3A8" w14:textId="77777777" w:rsidTr="00CF3FE9">
        <w:tc>
          <w:tcPr>
            <w:tcW w:w="1129" w:type="dxa"/>
            <w:vAlign w:val="bottom"/>
          </w:tcPr>
          <w:p w14:paraId="3E2D3021"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13</w:t>
            </w:r>
          </w:p>
        </w:tc>
        <w:tc>
          <w:tcPr>
            <w:tcW w:w="2694" w:type="dxa"/>
            <w:vAlign w:val="bottom"/>
          </w:tcPr>
          <w:p w14:paraId="669C25DF"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Fisiología vegetal</w:t>
            </w:r>
          </w:p>
        </w:tc>
        <w:tc>
          <w:tcPr>
            <w:tcW w:w="1766" w:type="dxa"/>
            <w:vAlign w:val="bottom"/>
          </w:tcPr>
          <w:p w14:paraId="0F65CB95"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Modelos Biológicos Biología</w:t>
            </w:r>
          </w:p>
        </w:tc>
        <w:tc>
          <w:tcPr>
            <w:tcW w:w="1766" w:type="dxa"/>
            <w:vAlign w:val="bottom"/>
          </w:tcPr>
          <w:p w14:paraId="4F3FD85D"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Modelos Biológicos Biología</w:t>
            </w:r>
          </w:p>
        </w:tc>
        <w:tc>
          <w:tcPr>
            <w:tcW w:w="1766" w:type="dxa"/>
            <w:vAlign w:val="bottom"/>
          </w:tcPr>
          <w:p w14:paraId="5F5C3B54"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Biología de plantas</w:t>
            </w:r>
          </w:p>
        </w:tc>
      </w:tr>
      <w:tr w:rsidR="00C0425B" w:rsidRPr="00115C4F" w14:paraId="7A40E93A" w14:textId="77777777" w:rsidTr="00CF3FE9">
        <w:tc>
          <w:tcPr>
            <w:tcW w:w="1129" w:type="dxa"/>
            <w:vAlign w:val="bottom"/>
          </w:tcPr>
          <w:p w14:paraId="38FC74AF"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14</w:t>
            </w:r>
          </w:p>
        </w:tc>
        <w:tc>
          <w:tcPr>
            <w:tcW w:w="2694" w:type="dxa"/>
            <w:vAlign w:val="bottom"/>
          </w:tcPr>
          <w:p w14:paraId="481532C4"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Control de plagas y enfermedades</w:t>
            </w:r>
          </w:p>
        </w:tc>
        <w:tc>
          <w:tcPr>
            <w:tcW w:w="1766" w:type="dxa"/>
            <w:vAlign w:val="bottom"/>
          </w:tcPr>
          <w:p w14:paraId="70497732"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Control de plagas y enfermedades</w:t>
            </w:r>
          </w:p>
        </w:tc>
        <w:tc>
          <w:tcPr>
            <w:tcW w:w="1766" w:type="dxa"/>
            <w:vAlign w:val="bottom"/>
          </w:tcPr>
          <w:p w14:paraId="4D6EABE1"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w:t>
            </w:r>
          </w:p>
        </w:tc>
        <w:tc>
          <w:tcPr>
            <w:tcW w:w="1766" w:type="dxa"/>
            <w:vAlign w:val="bottom"/>
          </w:tcPr>
          <w:p w14:paraId="29C4B42D"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Computación</w:t>
            </w:r>
          </w:p>
        </w:tc>
      </w:tr>
      <w:tr w:rsidR="00C0425B" w:rsidRPr="00115C4F" w14:paraId="1121993A" w14:textId="77777777" w:rsidTr="00CF3FE9">
        <w:tc>
          <w:tcPr>
            <w:tcW w:w="1129" w:type="dxa"/>
            <w:vAlign w:val="bottom"/>
          </w:tcPr>
          <w:p w14:paraId="27404FD5" w14:textId="77777777"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15</w:t>
            </w:r>
          </w:p>
        </w:tc>
        <w:tc>
          <w:tcPr>
            <w:tcW w:w="2694" w:type="dxa"/>
            <w:vAlign w:val="bottom"/>
          </w:tcPr>
          <w:p w14:paraId="6943584C"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Manejo integrado de plagas</w:t>
            </w:r>
          </w:p>
        </w:tc>
        <w:tc>
          <w:tcPr>
            <w:tcW w:w="1766" w:type="dxa"/>
            <w:vAlign w:val="bottom"/>
          </w:tcPr>
          <w:p w14:paraId="579F451B"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142B136C"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Toxicología ambiental</w:t>
            </w:r>
          </w:p>
        </w:tc>
        <w:tc>
          <w:tcPr>
            <w:tcW w:w="1766" w:type="dxa"/>
            <w:vAlign w:val="bottom"/>
          </w:tcPr>
          <w:p w14:paraId="5394DE51"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423D850F" w14:textId="77777777" w:rsidTr="00CF3FE9">
        <w:tc>
          <w:tcPr>
            <w:tcW w:w="1129" w:type="dxa"/>
            <w:vAlign w:val="bottom"/>
          </w:tcPr>
          <w:p w14:paraId="51000AB4"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16</w:t>
            </w:r>
          </w:p>
        </w:tc>
        <w:tc>
          <w:tcPr>
            <w:tcW w:w="2694" w:type="dxa"/>
            <w:vAlign w:val="bottom"/>
          </w:tcPr>
          <w:p w14:paraId="09A783EB"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Suelos (optativa)</w:t>
            </w:r>
          </w:p>
        </w:tc>
        <w:tc>
          <w:tcPr>
            <w:tcW w:w="1766" w:type="dxa"/>
            <w:vAlign w:val="bottom"/>
          </w:tcPr>
          <w:p w14:paraId="7A7C90C1"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Proyectos productivos en especial diseño</w:t>
            </w:r>
          </w:p>
        </w:tc>
        <w:tc>
          <w:tcPr>
            <w:tcW w:w="1766" w:type="dxa"/>
            <w:vAlign w:val="bottom"/>
          </w:tcPr>
          <w:p w14:paraId="17CA39C5"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Proyectos productivos en especial diseño</w:t>
            </w:r>
          </w:p>
        </w:tc>
        <w:tc>
          <w:tcPr>
            <w:tcW w:w="1766" w:type="dxa"/>
            <w:vAlign w:val="bottom"/>
          </w:tcPr>
          <w:p w14:paraId="44170592"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5D013329" w14:textId="77777777" w:rsidTr="00CF3FE9">
        <w:tc>
          <w:tcPr>
            <w:tcW w:w="1129" w:type="dxa"/>
            <w:vAlign w:val="bottom"/>
          </w:tcPr>
          <w:p w14:paraId="4D26742E"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17</w:t>
            </w:r>
          </w:p>
        </w:tc>
        <w:tc>
          <w:tcPr>
            <w:tcW w:w="2694" w:type="dxa"/>
            <w:vAlign w:val="bottom"/>
          </w:tcPr>
          <w:p w14:paraId="5743D97C"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Estadísticas</w:t>
            </w:r>
          </w:p>
        </w:tc>
        <w:tc>
          <w:tcPr>
            <w:tcW w:w="1766" w:type="dxa"/>
            <w:vAlign w:val="bottom"/>
          </w:tcPr>
          <w:p w14:paraId="60FB3C8B"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Matemáticas</w:t>
            </w:r>
          </w:p>
        </w:tc>
        <w:tc>
          <w:tcPr>
            <w:tcW w:w="1766" w:type="dxa"/>
            <w:vAlign w:val="bottom"/>
          </w:tcPr>
          <w:p w14:paraId="214E79D0"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Modelos biológicos</w:t>
            </w:r>
          </w:p>
        </w:tc>
        <w:tc>
          <w:tcPr>
            <w:tcW w:w="1766" w:type="dxa"/>
            <w:vAlign w:val="bottom"/>
          </w:tcPr>
          <w:p w14:paraId="5AA3E7D1"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Biología</w:t>
            </w:r>
          </w:p>
        </w:tc>
      </w:tr>
      <w:tr w:rsidR="00C0425B" w:rsidRPr="00115C4F" w14:paraId="5EF9FBED" w14:textId="77777777" w:rsidTr="00CF3FE9">
        <w:tc>
          <w:tcPr>
            <w:tcW w:w="1129" w:type="dxa"/>
            <w:vAlign w:val="bottom"/>
          </w:tcPr>
          <w:p w14:paraId="12149DDD" w14:textId="77777777"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18</w:t>
            </w:r>
          </w:p>
        </w:tc>
        <w:tc>
          <w:tcPr>
            <w:tcW w:w="2694" w:type="dxa"/>
            <w:vAlign w:val="bottom"/>
          </w:tcPr>
          <w:p w14:paraId="3BF8E554"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Formación y evaluación de proyectos</w:t>
            </w:r>
          </w:p>
        </w:tc>
        <w:tc>
          <w:tcPr>
            <w:tcW w:w="1766" w:type="dxa"/>
            <w:vAlign w:val="bottom"/>
          </w:tcPr>
          <w:p w14:paraId="56828A47"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Formación y evaluación de proyectos</w:t>
            </w:r>
          </w:p>
        </w:tc>
        <w:tc>
          <w:tcPr>
            <w:tcW w:w="1766" w:type="dxa"/>
            <w:vAlign w:val="bottom"/>
          </w:tcPr>
          <w:p w14:paraId="68FF9990"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30B30600"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0D6C23B0" w14:textId="77777777" w:rsidTr="00CF3FE9">
        <w:trPr>
          <w:trHeight w:val="198"/>
        </w:trPr>
        <w:tc>
          <w:tcPr>
            <w:tcW w:w="1129" w:type="dxa"/>
            <w:vAlign w:val="bottom"/>
          </w:tcPr>
          <w:p w14:paraId="37428957"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19</w:t>
            </w:r>
          </w:p>
        </w:tc>
        <w:tc>
          <w:tcPr>
            <w:tcW w:w="2694" w:type="dxa"/>
            <w:vAlign w:val="bottom"/>
          </w:tcPr>
          <w:p w14:paraId="0E9BAB12"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Talleres de investigación</w:t>
            </w:r>
          </w:p>
        </w:tc>
        <w:tc>
          <w:tcPr>
            <w:tcW w:w="1766" w:type="dxa"/>
            <w:vAlign w:val="bottom"/>
          </w:tcPr>
          <w:p w14:paraId="04FE8A90"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Percepción  remota</w:t>
            </w:r>
          </w:p>
        </w:tc>
        <w:tc>
          <w:tcPr>
            <w:tcW w:w="1766" w:type="dxa"/>
            <w:vAlign w:val="bottom"/>
          </w:tcPr>
          <w:p w14:paraId="3416728E"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5C358CEC"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 sistemática</w:t>
            </w:r>
          </w:p>
        </w:tc>
      </w:tr>
      <w:tr w:rsidR="00C0425B" w:rsidRPr="00115C4F" w14:paraId="7914C2CE" w14:textId="77777777" w:rsidTr="00CF3FE9">
        <w:tc>
          <w:tcPr>
            <w:tcW w:w="1129" w:type="dxa"/>
            <w:vAlign w:val="bottom"/>
          </w:tcPr>
          <w:p w14:paraId="08A1C446"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20</w:t>
            </w:r>
          </w:p>
        </w:tc>
        <w:tc>
          <w:tcPr>
            <w:tcW w:w="2694" w:type="dxa"/>
            <w:vAlign w:val="bottom"/>
          </w:tcPr>
          <w:p w14:paraId="40F360C9"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w:t>
            </w:r>
          </w:p>
        </w:tc>
        <w:tc>
          <w:tcPr>
            <w:tcW w:w="1766" w:type="dxa"/>
            <w:vAlign w:val="bottom"/>
          </w:tcPr>
          <w:p w14:paraId="53D4D111"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biología</w:t>
            </w:r>
          </w:p>
        </w:tc>
        <w:tc>
          <w:tcPr>
            <w:tcW w:w="1766" w:type="dxa"/>
            <w:vAlign w:val="bottom"/>
          </w:tcPr>
          <w:p w14:paraId="26654F0C"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Química</w:t>
            </w:r>
          </w:p>
        </w:tc>
        <w:tc>
          <w:tcPr>
            <w:tcW w:w="1766" w:type="dxa"/>
            <w:vAlign w:val="bottom"/>
          </w:tcPr>
          <w:p w14:paraId="179638FB"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Modelos biológicos</w:t>
            </w:r>
          </w:p>
        </w:tc>
      </w:tr>
      <w:tr w:rsidR="00C0425B" w:rsidRPr="00115C4F" w14:paraId="65989E06" w14:textId="77777777" w:rsidTr="00CF3FE9">
        <w:tc>
          <w:tcPr>
            <w:tcW w:w="1129" w:type="dxa"/>
            <w:vAlign w:val="bottom"/>
          </w:tcPr>
          <w:p w14:paraId="2C825FEF" w14:textId="77777777"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21</w:t>
            </w:r>
          </w:p>
        </w:tc>
        <w:tc>
          <w:tcPr>
            <w:tcW w:w="2694" w:type="dxa"/>
            <w:vAlign w:val="bottom"/>
          </w:tcPr>
          <w:p w14:paraId="20A71A7C"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Botánica</w:t>
            </w:r>
          </w:p>
        </w:tc>
        <w:tc>
          <w:tcPr>
            <w:tcW w:w="1766" w:type="dxa"/>
            <w:vAlign w:val="bottom"/>
          </w:tcPr>
          <w:p w14:paraId="45AFC589"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Ecología</w:t>
            </w:r>
          </w:p>
        </w:tc>
        <w:tc>
          <w:tcPr>
            <w:tcW w:w="1766" w:type="dxa"/>
            <w:vAlign w:val="bottom"/>
          </w:tcPr>
          <w:p w14:paraId="033A0558"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Biología</w:t>
            </w:r>
          </w:p>
        </w:tc>
        <w:tc>
          <w:tcPr>
            <w:tcW w:w="1766" w:type="dxa"/>
            <w:vAlign w:val="bottom"/>
          </w:tcPr>
          <w:p w14:paraId="63EBBC03"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33C69E45" w14:textId="77777777" w:rsidTr="00CF3FE9">
        <w:tc>
          <w:tcPr>
            <w:tcW w:w="1129" w:type="dxa"/>
            <w:vAlign w:val="bottom"/>
          </w:tcPr>
          <w:p w14:paraId="2AF34258"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22</w:t>
            </w:r>
          </w:p>
        </w:tc>
        <w:tc>
          <w:tcPr>
            <w:tcW w:w="2694" w:type="dxa"/>
            <w:vAlign w:val="bottom"/>
          </w:tcPr>
          <w:p w14:paraId="5144EE9A"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Evaluación de ecosistemas</w:t>
            </w:r>
          </w:p>
        </w:tc>
        <w:tc>
          <w:tcPr>
            <w:tcW w:w="1766" w:type="dxa"/>
            <w:vAlign w:val="bottom"/>
          </w:tcPr>
          <w:p w14:paraId="5C827278"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Contaminación ambienta</w:t>
            </w:r>
          </w:p>
        </w:tc>
        <w:tc>
          <w:tcPr>
            <w:tcW w:w="1766" w:type="dxa"/>
            <w:vAlign w:val="bottom"/>
          </w:tcPr>
          <w:p w14:paraId="136E4E59"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Contaminación ambienta</w:t>
            </w:r>
          </w:p>
        </w:tc>
        <w:tc>
          <w:tcPr>
            <w:tcW w:w="1766" w:type="dxa"/>
            <w:vAlign w:val="bottom"/>
          </w:tcPr>
          <w:p w14:paraId="09C05D44"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1AB3F301" w14:textId="77777777" w:rsidTr="00CF3FE9">
        <w:tc>
          <w:tcPr>
            <w:tcW w:w="1129" w:type="dxa"/>
            <w:vAlign w:val="bottom"/>
          </w:tcPr>
          <w:p w14:paraId="65B2891E"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23</w:t>
            </w:r>
          </w:p>
        </w:tc>
        <w:tc>
          <w:tcPr>
            <w:tcW w:w="2694" w:type="dxa"/>
            <w:vAlign w:val="bottom"/>
          </w:tcPr>
          <w:p w14:paraId="0D432BC1"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Plagas y enfermedades</w:t>
            </w:r>
          </w:p>
        </w:tc>
        <w:tc>
          <w:tcPr>
            <w:tcW w:w="1766" w:type="dxa"/>
            <w:vAlign w:val="bottom"/>
          </w:tcPr>
          <w:p w14:paraId="64F23525"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Cultivos</w:t>
            </w:r>
          </w:p>
        </w:tc>
        <w:tc>
          <w:tcPr>
            <w:tcW w:w="1766" w:type="dxa"/>
            <w:vAlign w:val="bottom"/>
          </w:tcPr>
          <w:p w14:paraId="3AEDC8D3"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4F3E0E35"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5665528B" w14:textId="77777777" w:rsidTr="00CF3FE9">
        <w:tc>
          <w:tcPr>
            <w:tcW w:w="1129" w:type="dxa"/>
            <w:vAlign w:val="bottom"/>
          </w:tcPr>
          <w:p w14:paraId="047E287C" w14:textId="77777777"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24</w:t>
            </w:r>
          </w:p>
        </w:tc>
        <w:tc>
          <w:tcPr>
            <w:tcW w:w="2694" w:type="dxa"/>
            <w:vAlign w:val="bottom"/>
          </w:tcPr>
          <w:p w14:paraId="76E3DC95"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Todas son importantes</w:t>
            </w:r>
          </w:p>
        </w:tc>
        <w:tc>
          <w:tcPr>
            <w:tcW w:w="1766" w:type="dxa"/>
            <w:vAlign w:val="bottom"/>
          </w:tcPr>
          <w:p w14:paraId="1E924188"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6BE8CC8E"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5CFC4EBB"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2E64640B" w14:textId="77777777" w:rsidTr="00CF3FE9">
        <w:tc>
          <w:tcPr>
            <w:tcW w:w="1129" w:type="dxa"/>
            <w:vAlign w:val="bottom"/>
          </w:tcPr>
          <w:p w14:paraId="081C8CF2"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25</w:t>
            </w:r>
          </w:p>
        </w:tc>
        <w:tc>
          <w:tcPr>
            <w:tcW w:w="2694" w:type="dxa"/>
            <w:vAlign w:val="bottom"/>
          </w:tcPr>
          <w:p w14:paraId="4A57C959"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w:t>
            </w:r>
          </w:p>
        </w:tc>
        <w:tc>
          <w:tcPr>
            <w:tcW w:w="1766" w:type="dxa"/>
            <w:vAlign w:val="bottom"/>
          </w:tcPr>
          <w:p w14:paraId="24D44655"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Contaminación ambiental</w:t>
            </w:r>
          </w:p>
        </w:tc>
        <w:tc>
          <w:tcPr>
            <w:tcW w:w="1766" w:type="dxa"/>
            <w:vAlign w:val="bottom"/>
          </w:tcPr>
          <w:p w14:paraId="7E9AED09"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Contaminación ambiental</w:t>
            </w:r>
          </w:p>
        </w:tc>
        <w:tc>
          <w:tcPr>
            <w:tcW w:w="1766" w:type="dxa"/>
            <w:vAlign w:val="bottom"/>
          </w:tcPr>
          <w:p w14:paraId="18848163"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Fertilidad de suelos</w:t>
            </w:r>
          </w:p>
        </w:tc>
      </w:tr>
      <w:tr w:rsidR="00C0425B" w:rsidRPr="00115C4F" w14:paraId="28FCB436" w14:textId="77777777" w:rsidTr="00CF3FE9">
        <w:tc>
          <w:tcPr>
            <w:tcW w:w="1129" w:type="dxa"/>
            <w:vAlign w:val="bottom"/>
          </w:tcPr>
          <w:p w14:paraId="5C5ED2DC" w14:textId="77777777"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26</w:t>
            </w:r>
          </w:p>
        </w:tc>
        <w:tc>
          <w:tcPr>
            <w:tcW w:w="2694" w:type="dxa"/>
            <w:vAlign w:val="bottom"/>
          </w:tcPr>
          <w:p w14:paraId="3CCC2C19"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La gran mayoría</w:t>
            </w:r>
          </w:p>
        </w:tc>
        <w:tc>
          <w:tcPr>
            <w:tcW w:w="1766" w:type="dxa"/>
            <w:vAlign w:val="bottom"/>
          </w:tcPr>
          <w:p w14:paraId="7FC47D51"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30087C25"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508F6AB0"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377D4D5C" w14:textId="77777777" w:rsidTr="00CF3FE9">
        <w:tc>
          <w:tcPr>
            <w:tcW w:w="1129" w:type="dxa"/>
            <w:vAlign w:val="bottom"/>
          </w:tcPr>
          <w:p w14:paraId="019A4008"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27</w:t>
            </w:r>
          </w:p>
        </w:tc>
        <w:tc>
          <w:tcPr>
            <w:tcW w:w="2694" w:type="dxa"/>
            <w:vAlign w:val="bottom"/>
          </w:tcPr>
          <w:p w14:paraId="1597202A"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w w:val="99"/>
                <w:sz w:val="16"/>
                <w:szCs w:val="16"/>
              </w:rPr>
              <w:t>Todas me son útiles</w:t>
            </w:r>
          </w:p>
        </w:tc>
        <w:tc>
          <w:tcPr>
            <w:tcW w:w="1766" w:type="dxa"/>
            <w:vAlign w:val="bottom"/>
          </w:tcPr>
          <w:p w14:paraId="61B9BA02"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2D21C066"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02DEC6CD"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6AEFD733" w14:textId="77777777" w:rsidTr="00CF3FE9">
        <w:tc>
          <w:tcPr>
            <w:tcW w:w="1129" w:type="dxa"/>
            <w:vAlign w:val="bottom"/>
          </w:tcPr>
          <w:p w14:paraId="5D0DA6AD"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28</w:t>
            </w:r>
          </w:p>
        </w:tc>
        <w:tc>
          <w:tcPr>
            <w:tcW w:w="2694" w:type="dxa"/>
            <w:vAlign w:val="bottom"/>
          </w:tcPr>
          <w:p w14:paraId="6FC02D09"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Ecología</w:t>
            </w:r>
          </w:p>
        </w:tc>
        <w:tc>
          <w:tcPr>
            <w:tcW w:w="1766" w:type="dxa"/>
            <w:vAlign w:val="bottom"/>
          </w:tcPr>
          <w:p w14:paraId="3A8CAB94"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  Forestal</w:t>
            </w:r>
          </w:p>
        </w:tc>
        <w:tc>
          <w:tcPr>
            <w:tcW w:w="1766" w:type="dxa"/>
            <w:vAlign w:val="bottom"/>
          </w:tcPr>
          <w:p w14:paraId="419F299A"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Ordenamiento Ecológico</w:t>
            </w:r>
          </w:p>
        </w:tc>
        <w:tc>
          <w:tcPr>
            <w:tcW w:w="1766" w:type="dxa"/>
            <w:vAlign w:val="bottom"/>
          </w:tcPr>
          <w:p w14:paraId="120BD4CF"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57A88F99" w14:textId="77777777" w:rsidTr="00CF3FE9">
        <w:tc>
          <w:tcPr>
            <w:tcW w:w="1129" w:type="dxa"/>
            <w:vAlign w:val="bottom"/>
          </w:tcPr>
          <w:p w14:paraId="0E1F9CBE" w14:textId="77777777"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29</w:t>
            </w:r>
          </w:p>
        </w:tc>
        <w:tc>
          <w:tcPr>
            <w:tcW w:w="2694" w:type="dxa"/>
            <w:vAlign w:val="bottom"/>
          </w:tcPr>
          <w:p w14:paraId="6DCCD700"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Percepción remota</w:t>
            </w:r>
          </w:p>
        </w:tc>
        <w:tc>
          <w:tcPr>
            <w:tcW w:w="1766" w:type="dxa"/>
            <w:vAlign w:val="bottom"/>
          </w:tcPr>
          <w:p w14:paraId="6660FAC2"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Ordenamiento ecológico</w:t>
            </w:r>
          </w:p>
        </w:tc>
        <w:tc>
          <w:tcPr>
            <w:tcW w:w="1766" w:type="dxa"/>
            <w:vAlign w:val="bottom"/>
          </w:tcPr>
          <w:p w14:paraId="3180C3B6"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Ordenamiento ecológico</w:t>
            </w:r>
          </w:p>
        </w:tc>
        <w:tc>
          <w:tcPr>
            <w:tcW w:w="1766" w:type="dxa"/>
            <w:vAlign w:val="bottom"/>
          </w:tcPr>
          <w:p w14:paraId="33E0F1CA"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Biología</w:t>
            </w:r>
          </w:p>
        </w:tc>
      </w:tr>
      <w:tr w:rsidR="00C0425B" w:rsidRPr="00115C4F" w14:paraId="072CBF04" w14:textId="77777777" w:rsidTr="00CF3FE9">
        <w:tc>
          <w:tcPr>
            <w:tcW w:w="1129" w:type="dxa"/>
            <w:vAlign w:val="bottom"/>
          </w:tcPr>
          <w:p w14:paraId="7899C9C7"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30</w:t>
            </w:r>
          </w:p>
        </w:tc>
        <w:tc>
          <w:tcPr>
            <w:tcW w:w="2694" w:type="dxa"/>
            <w:vAlign w:val="bottom"/>
          </w:tcPr>
          <w:p w14:paraId="3EDED865"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Todas</w:t>
            </w:r>
          </w:p>
        </w:tc>
        <w:tc>
          <w:tcPr>
            <w:tcW w:w="1766" w:type="dxa"/>
            <w:vAlign w:val="bottom"/>
          </w:tcPr>
          <w:p w14:paraId="06207356"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25F55926" w14:textId="77777777"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14:paraId="5069D567"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63433379" w14:textId="77777777" w:rsidTr="00CF3FE9">
        <w:tc>
          <w:tcPr>
            <w:tcW w:w="1129" w:type="dxa"/>
            <w:vAlign w:val="bottom"/>
          </w:tcPr>
          <w:p w14:paraId="5AA8B3D3"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31</w:t>
            </w:r>
          </w:p>
        </w:tc>
        <w:tc>
          <w:tcPr>
            <w:tcW w:w="2694" w:type="dxa"/>
            <w:vAlign w:val="bottom"/>
          </w:tcPr>
          <w:p w14:paraId="15078869"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Contaminación ambiental</w:t>
            </w:r>
          </w:p>
        </w:tc>
        <w:tc>
          <w:tcPr>
            <w:tcW w:w="1766" w:type="dxa"/>
            <w:vAlign w:val="bottom"/>
          </w:tcPr>
          <w:p w14:paraId="5D08E70E"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Plagas y enfermedades</w:t>
            </w:r>
          </w:p>
        </w:tc>
        <w:tc>
          <w:tcPr>
            <w:tcW w:w="1766" w:type="dxa"/>
            <w:vAlign w:val="bottom"/>
          </w:tcPr>
          <w:p w14:paraId="3994E5CB"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Plagas y enfermedades</w:t>
            </w:r>
          </w:p>
        </w:tc>
        <w:tc>
          <w:tcPr>
            <w:tcW w:w="1766" w:type="dxa"/>
            <w:vAlign w:val="bottom"/>
          </w:tcPr>
          <w:p w14:paraId="20407131"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Las optativas</w:t>
            </w:r>
          </w:p>
        </w:tc>
      </w:tr>
      <w:tr w:rsidR="00C0425B" w:rsidRPr="00115C4F" w14:paraId="18698F40" w14:textId="77777777" w:rsidTr="00CF3FE9">
        <w:tc>
          <w:tcPr>
            <w:tcW w:w="1129" w:type="dxa"/>
            <w:vAlign w:val="bottom"/>
          </w:tcPr>
          <w:p w14:paraId="241A9E86" w14:textId="77777777"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32</w:t>
            </w:r>
          </w:p>
        </w:tc>
        <w:tc>
          <w:tcPr>
            <w:tcW w:w="2694" w:type="dxa"/>
            <w:vAlign w:val="bottom"/>
          </w:tcPr>
          <w:p w14:paraId="2C402DEF"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Matemáticas</w:t>
            </w:r>
          </w:p>
        </w:tc>
        <w:tc>
          <w:tcPr>
            <w:tcW w:w="1766" w:type="dxa"/>
            <w:vAlign w:val="bottom"/>
          </w:tcPr>
          <w:p w14:paraId="352EE698"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Ecología  Estadísticas</w:t>
            </w:r>
          </w:p>
        </w:tc>
        <w:tc>
          <w:tcPr>
            <w:tcW w:w="1766" w:type="dxa"/>
            <w:vAlign w:val="bottom"/>
          </w:tcPr>
          <w:p w14:paraId="6351149B"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Ecología  Estadísticas</w:t>
            </w:r>
          </w:p>
        </w:tc>
        <w:tc>
          <w:tcPr>
            <w:tcW w:w="1766" w:type="dxa"/>
            <w:vAlign w:val="bottom"/>
          </w:tcPr>
          <w:p w14:paraId="389071C6" w14:textId="77777777"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14:paraId="78EC2639" w14:textId="77777777" w:rsidTr="00CF3FE9">
        <w:tc>
          <w:tcPr>
            <w:tcW w:w="1129" w:type="dxa"/>
            <w:vAlign w:val="bottom"/>
          </w:tcPr>
          <w:p w14:paraId="24A94752"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33</w:t>
            </w:r>
          </w:p>
        </w:tc>
        <w:tc>
          <w:tcPr>
            <w:tcW w:w="2694" w:type="dxa"/>
            <w:vAlign w:val="bottom"/>
          </w:tcPr>
          <w:p w14:paraId="0D21C9B1"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Formulación y evaluación de proyectos</w:t>
            </w:r>
          </w:p>
        </w:tc>
        <w:tc>
          <w:tcPr>
            <w:tcW w:w="1766" w:type="dxa"/>
            <w:vAlign w:val="bottom"/>
          </w:tcPr>
          <w:p w14:paraId="644347EA"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Formulación y evaluación de proyectos</w:t>
            </w:r>
          </w:p>
        </w:tc>
        <w:tc>
          <w:tcPr>
            <w:tcW w:w="1766" w:type="dxa"/>
            <w:vAlign w:val="bottom"/>
          </w:tcPr>
          <w:p w14:paraId="042ADA31"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Procesos Industriales</w:t>
            </w:r>
          </w:p>
        </w:tc>
        <w:tc>
          <w:tcPr>
            <w:tcW w:w="1766" w:type="dxa"/>
            <w:vAlign w:val="bottom"/>
          </w:tcPr>
          <w:p w14:paraId="7B0138C7"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Control de calidad</w:t>
            </w:r>
          </w:p>
        </w:tc>
      </w:tr>
      <w:tr w:rsidR="00C0425B" w:rsidRPr="00115C4F" w14:paraId="5533F306" w14:textId="77777777" w:rsidTr="00CF3FE9">
        <w:tc>
          <w:tcPr>
            <w:tcW w:w="1129" w:type="dxa"/>
            <w:vAlign w:val="bottom"/>
          </w:tcPr>
          <w:p w14:paraId="16834355" w14:textId="77777777"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34</w:t>
            </w:r>
          </w:p>
        </w:tc>
        <w:tc>
          <w:tcPr>
            <w:tcW w:w="2694" w:type="dxa"/>
            <w:vAlign w:val="bottom"/>
          </w:tcPr>
          <w:p w14:paraId="44BAD9A3"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Fisiología vegetal</w:t>
            </w:r>
          </w:p>
        </w:tc>
        <w:tc>
          <w:tcPr>
            <w:tcW w:w="1766" w:type="dxa"/>
            <w:vAlign w:val="bottom"/>
          </w:tcPr>
          <w:p w14:paraId="4F3C202D"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Maquinaria</w:t>
            </w:r>
          </w:p>
        </w:tc>
        <w:tc>
          <w:tcPr>
            <w:tcW w:w="1766" w:type="dxa"/>
            <w:vAlign w:val="bottom"/>
          </w:tcPr>
          <w:p w14:paraId="50AB2FA5"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Matemáticas</w:t>
            </w:r>
          </w:p>
        </w:tc>
        <w:tc>
          <w:tcPr>
            <w:tcW w:w="1766" w:type="dxa"/>
            <w:vAlign w:val="bottom"/>
          </w:tcPr>
          <w:p w14:paraId="524FA9DA" w14:textId="77777777"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Formulación y evaluación de proyectos</w:t>
            </w:r>
          </w:p>
        </w:tc>
      </w:tr>
      <w:tr w:rsidR="00C0425B" w:rsidRPr="00115C4F" w14:paraId="20762588" w14:textId="77777777" w:rsidTr="00CF3FE9">
        <w:tc>
          <w:tcPr>
            <w:tcW w:w="1129" w:type="dxa"/>
            <w:vAlign w:val="bottom"/>
          </w:tcPr>
          <w:p w14:paraId="44FF1D6C" w14:textId="77777777"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35</w:t>
            </w:r>
          </w:p>
        </w:tc>
        <w:tc>
          <w:tcPr>
            <w:tcW w:w="2694" w:type="dxa"/>
            <w:vAlign w:val="bottom"/>
          </w:tcPr>
          <w:p w14:paraId="0A1895D3"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Agroecológica</w:t>
            </w:r>
          </w:p>
        </w:tc>
        <w:tc>
          <w:tcPr>
            <w:tcW w:w="1766" w:type="dxa"/>
            <w:vAlign w:val="bottom"/>
          </w:tcPr>
          <w:p w14:paraId="6C386E1B"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Fisiología</w:t>
            </w:r>
          </w:p>
        </w:tc>
        <w:tc>
          <w:tcPr>
            <w:tcW w:w="1766" w:type="dxa"/>
            <w:vAlign w:val="bottom"/>
          </w:tcPr>
          <w:p w14:paraId="4BE4F353" w14:textId="77777777"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Biología molecular</w:t>
            </w:r>
          </w:p>
        </w:tc>
        <w:tc>
          <w:tcPr>
            <w:tcW w:w="1766" w:type="dxa"/>
            <w:vAlign w:val="bottom"/>
          </w:tcPr>
          <w:p w14:paraId="29579830" w14:textId="77777777" w:rsidR="00C0425B" w:rsidRPr="00115C4F" w:rsidRDefault="00C0425B" w:rsidP="00CF3FE9">
            <w:pPr>
              <w:widowControl w:val="0"/>
              <w:autoSpaceDE w:val="0"/>
              <w:autoSpaceDN w:val="0"/>
              <w:adjustRightInd w:val="0"/>
              <w:rPr>
                <w:rFonts w:ascii="Times New Roman" w:hAnsi="Times New Roman"/>
                <w:sz w:val="16"/>
                <w:szCs w:val="16"/>
              </w:rPr>
            </w:pPr>
          </w:p>
        </w:tc>
      </w:tr>
    </w:tbl>
    <w:p w14:paraId="320B2ADD" w14:textId="77777777" w:rsidR="00976A39" w:rsidRPr="007923C2" w:rsidRDefault="00976A39" w:rsidP="005E47E4">
      <w:pPr>
        <w:widowControl w:val="0"/>
        <w:autoSpaceDE w:val="0"/>
        <w:autoSpaceDN w:val="0"/>
        <w:adjustRightInd w:val="0"/>
        <w:jc w:val="both"/>
        <w:rPr>
          <w:rFonts w:ascii="Arial" w:hAnsi="Arial" w:cs="Arial"/>
          <w:b/>
          <w:sz w:val="22"/>
          <w:szCs w:val="22"/>
        </w:rPr>
      </w:pPr>
    </w:p>
    <w:p w14:paraId="171A151F" w14:textId="77777777" w:rsidR="00976A39" w:rsidRPr="007923C2" w:rsidRDefault="00470352"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 xml:space="preserve">SEGUIMIENTO DE EGRESADOS </w:t>
      </w:r>
    </w:p>
    <w:p w14:paraId="5EA8F3BE" w14:textId="77777777" w:rsidR="00470352" w:rsidRPr="007923C2" w:rsidRDefault="0047035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Comentario</w:t>
      </w:r>
    </w:p>
    <w:p w14:paraId="129BA3AE" w14:textId="77777777" w:rsidR="00470352" w:rsidRPr="007923C2" w:rsidRDefault="0047035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Considera que recibió buena preparación, le sirvió la experiencia de prácticas profesionales.</w:t>
      </w:r>
    </w:p>
    <w:p w14:paraId="77E31403" w14:textId="77777777" w:rsidR="00470352" w:rsidRPr="007923C2" w:rsidRDefault="0047035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preparación del Ingeniero en Agrobiología requiere de más  inglés, sí existen fuentes de trabajo para un agrobiólogo.</w:t>
      </w:r>
    </w:p>
    <w:p w14:paraId="5D83B412" w14:textId="77777777" w:rsidR="00470352"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Es una carrera que por tener enfoques en diferentes áreas proporciona una visión más amplia integral, lo que permite un mejor desarrollo profesional.</w:t>
      </w:r>
    </w:p>
    <w:p w14:paraId="209FEF7B" w14:textId="77777777"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2.-Empleo, Comisión Nacional para el Desarrollo de los Pueblos indígenas..</w:t>
      </w:r>
    </w:p>
    <w:p w14:paraId="32B30C77" w14:textId="77777777"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formación recibida cumplió un 70 %relacionado con el campo laboral.</w:t>
      </w:r>
    </w:p>
    <w:p w14:paraId="19F1EF59" w14:textId="77777777"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 preparación faltó herramientas relacionadas con el campo mexicano.</w:t>
      </w:r>
    </w:p>
    <w:p w14:paraId="7177F30F" w14:textId="77777777"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Recomienda que se realice una bolsa de trabajo entre los egresados.</w:t>
      </w:r>
    </w:p>
    <w:p w14:paraId="21B47C77" w14:textId="77777777"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Se necesita ampliar Formulación y evaluación de proyectos especiales, seminarios sobre el desarrollo rural y el sector agroalimentario.</w:t>
      </w:r>
    </w:p>
    <w:p w14:paraId="24179801" w14:textId="77777777"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Tuve la oportunidad un despacho de consultoría y asesoría.</w:t>
      </w:r>
    </w:p>
    <w:p w14:paraId="382F2FBC" w14:textId="77777777"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3.-Ingresé </w:t>
      </w:r>
      <w:r w:rsidR="007F161F" w:rsidRPr="007923C2">
        <w:rPr>
          <w:rFonts w:ascii="Arial" w:hAnsi="Arial" w:cs="Arial"/>
          <w:sz w:val="22"/>
          <w:szCs w:val="22"/>
        </w:rPr>
        <w:t>a la maestría de Biotecnología genómica del Instituto politécnico.</w:t>
      </w:r>
    </w:p>
    <w:p w14:paraId="0547232E" w14:textId="77777777" w:rsidR="007F161F" w:rsidRPr="007923C2" w:rsidRDefault="007F161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Considero que recibí buena preparación como Agrobiólogo, recomiendo actualizar los cursos de Ingeniería genética, Biología Molecular.</w:t>
      </w:r>
    </w:p>
    <w:p w14:paraId="151D540F" w14:textId="77777777" w:rsidR="007F161F" w:rsidRPr="007923C2" w:rsidRDefault="007F161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Obtuve el mejor promedio de la generación de maestría, la carrera de IAB es una buena opción en la UAAAN.</w:t>
      </w:r>
    </w:p>
    <w:p w14:paraId="212E8DB5" w14:textId="77777777" w:rsidR="00F066E9" w:rsidRPr="007923C2" w:rsidRDefault="007F161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4</w:t>
      </w:r>
      <w:r w:rsidR="00F066E9" w:rsidRPr="007923C2">
        <w:rPr>
          <w:rFonts w:ascii="Arial" w:hAnsi="Arial" w:cs="Arial"/>
          <w:sz w:val="22"/>
          <w:szCs w:val="22"/>
        </w:rPr>
        <w:t>.-</w:t>
      </w:r>
      <w:r w:rsidR="00C31ED8" w:rsidRPr="007923C2">
        <w:rPr>
          <w:rFonts w:ascii="Arial" w:hAnsi="Arial" w:cs="Arial"/>
          <w:sz w:val="22"/>
          <w:szCs w:val="22"/>
        </w:rPr>
        <w:t>El egresado estudió la maestría en el Colegio de Postgraduados Campus Montecillos en Fisiología Vegetal.</w:t>
      </w:r>
    </w:p>
    <w:p w14:paraId="11FF0C75" w14:textId="77777777" w:rsidR="00C31ED8" w:rsidRPr="007923C2" w:rsidRDefault="00C31ED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w:t>
      </w:r>
    </w:p>
    <w:p w14:paraId="008DA4B9" w14:textId="77777777" w:rsidR="00C31ED8" w:rsidRPr="007923C2" w:rsidRDefault="00C31ED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materias optativas deben ser más afines y más complejas con las líneas e investigación que ofrece la carrera.</w:t>
      </w:r>
    </w:p>
    <w:p w14:paraId="54F4F3DE" w14:textId="77777777" w:rsidR="00C31ED8" w:rsidRPr="007923C2" w:rsidRDefault="00C31ED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5.-Empleo- Greencorp Biorganiks de México S. A de C.V., Puesto gerente regional de desarrollo agrícola comercial en zona Bajío y occidente.</w:t>
      </w:r>
    </w:p>
    <w:p w14:paraId="543C815C" w14:textId="77777777" w:rsidR="00C31ED8" w:rsidRPr="007923C2" w:rsidRDefault="00C31ED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Análisis de mercado, relacionado con el sector de insumos para la producción agrícola convencional, de transición y orgánica.</w:t>
      </w:r>
    </w:p>
    <w:p w14:paraId="303B9970" w14:textId="77777777" w:rsidR="00C31ED8" w:rsidRPr="007923C2" w:rsidRDefault="00C31ED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 Incluir materias relacionadas con inteligencia comercial, administración, manejo de personal.</w:t>
      </w:r>
    </w:p>
    <w:p w14:paraId="797A308E" w14:textId="77777777" w:rsidR="00C31ED8"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6.-</w:t>
      </w:r>
      <w:r w:rsidR="00C31ED8" w:rsidRPr="007923C2">
        <w:rPr>
          <w:rFonts w:ascii="Arial" w:hAnsi="Arial" w:cs="Arial"/>
          <w:sz w:val="22"/>
          <w:szCs w:val="22"/>
        </w:rPr>
        <w:t>Empresa: Servicios y estudios integrales en ingeniería ambiental S.A. de C.V.</w:t>
      </w:r>
    </w:p>
    <w:p w14:paraId="5FA5B3BE" w14:textId="77777777" w:rsidR="00246EDF"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Gestión ambiental.</w:t>
      </w:r>
    </w:p>
    <w:p w14:paraId="72ED591C" w14:textId="77777777" w:rsidR="00246EDF"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 Que se afiancen materias como legislación ambiental, sistema de administración ambiental, gestión de residuos, impacto y riesgo ambiental.</w:t>
      </w:r>
    </w:p>
    <w:p w14:paraId="16808641" w14:textId="77777777" w:rsidR="00246EDF"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7.-Empleo: Secretaría del Medio Ambiente.</w:t>
      </w:r>
    </w:p>
    <w:p w14:paraId="5BAB217C" w14:textId="77777777" w:rsidR="00246EDF"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Educador ambiental</w:t>
      </w:r>
    </w:p>
    <w:p w14:paraId="4F3082E3" w14:textId="77777777" w:rsidR="00246EDF"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Talleres de Educación ambiental y ordenamiento ecológico.</w:t>
      </w:r>
    </w:p>
    <w:p w14:paraId="131A2D70" w14:textId="77777777" w:rsidR="00246EDF"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Sugerencias: Materias para aprender manejo de JPS </w:t>
      </w:r>
      <w:r w:rsidR="00396A0E" w:rsidRPr="007923C2">
        <w:rPr>
          <w:rFonts w:ascii="Arial" w:hAnsi="Arial" w:cs="Arial"/>
          <w:sz w:val="22"/>
          <w:szCs w:val="22"/>
        </w:rPr>
        <w:t>y sistema de información geográfica.</w:t>
      </w:r>
    </w:p>
    <w:p w14:paraId="6E4DD589" w14:textId="77777777" w:rsidR="00396A0E" w:rsidRPr="007923C2" w:rsidRDefault="00396A0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8.-</w:t>
      </w:r>
      <w:r w:rsidR="008A6CE0" w:rsidRPr="007923C2">
        <w:rPr>
          <w:rFonts w:ascii="Arial" w:hAnsi="Arial" w:cs="Arial"/>
          <w:sz w:val="22"/>
          <w:szCs w:val="22"/>
        </w:rPr>
        <w:t>Empresa: Comisión Nacional Forestal.</w:t>
      </w:r>
    </w:p>
    <w:p w14:paraId="3B05DD49" w14:textId="77777777" w:rsidR="008A6CE0" w:rsidRPr="007923C2" w:rsidRDefault="008A6CE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Agente de desarrollo Agrícola en el marco del proyecto de desarrollo comunitario de los Estados del sur, revisión, dictaminación y validación de presupuestos técnicos  </w:t>
      </w:r>
    </w:p>
    <w:p w14:paraId="6B06FE60" w14:textId="77777777" w:rsidR="00976A39" w:rsidRPr="007923C2" w:rsidRDefault="008A6CE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Presentados al proyecto para su financiamiento.</w:t>
      </w:r>
    </w:p>
    <w:p w14:paraId="0659A64F" w14:textId="77777777" w:rsidR="008A6CE0" w:rsidRPr="007923C2" w:rsidRDefault="008A6CE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Seguimiento en campo a los apoyos otorgados por la CONAFOR.</w:t>
      </w:r>
    </w:p>
    <w:p w14:paraId="384DDAE0" w14:textId="77777777" w:rsidR="008A6CE0" w:rsidRPr="007923C2" w:rsidRDefault="008A6CE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9.-Empresa. Consultoría de  proyectos Zona Mixe S.C.</w:t>
      </w:r>
    </w:p>
    <w:p w14:paraId="1DD2835E" w14:textId="77777777" w:rsidR="008A6CE0" w:rsidRPr="007923C2" w:rsidRDefault="008A6CE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Técnico facilitador, especialista en café.</w:t>
      </w:r>
    </w:p>
    <w:p w14:paraId="30066545" w14:textId="77777777" w:rsidR="008A6CE0" w:rsidRPr="007923C2" w:rsidRDefault="008A6CE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 xml:space="preserve">Consultoría  </w:t>
      </w:r>
      <w:r w:rsidR="005B2B4F" w:rsidRPr="007923C2">
        <w:rPr>
          <w:rFonts w:ascii="Arial" w:hAnsi="Arial" w:cs="Arial"/>
          <w:sz w:val="22"/>
          <w:szCs w:val="22"/>
        </w:rPr>
        <w:t xml:space="preserve"> en servicios técnicos, operación de proyectos estratégicos de </w:t>
      </w:r>
    </w:p>
    <w:p w14:paraId="0067E3C8" w14:textId="77777777" w:rsidR="005B2B4F" w:rsidRPr="007923C2" w:rsidRDefault="005B2B4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Seguridad alimentaria de la SAGARPA en la región sierra norte del Estado de Oaxaca.</w:t>
      </w:r>
    </w:p>
    <w:p w14:paraId="2C9A2FB9" w14:textId="77777777" w:rsidR="00E554BF" w:rsidRPr="007923C2" w:rsidRDefault="005B2B4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 Mejor especialización en manejo de plagas y enfermedades, producción orgánica, química, (</w:t>
      </w:r>
      <w:r w:rsidR="00E554BF" w:rsidRPr="007923C2">
        <w:rPr>
          <w:rFonts w:ascii="Arial" w:hAnsi="Arial" w:cs="Arial"/>
          <w:sz w:val="22"/>
          <w:szCs w:val="22"/>
        </w:rPr>
        <w:t>análisis e interpretación de estudios de suelo) agroecología, para el desarrollo rural.</w:t>
      </w:r>
    </w:p>
    <w:p w14:paraId="32258B4D" w14:textId="77777777" w:rsidR="00E554BF" w:rsidRPr="007923C2" w:rsidRDefault="00E554B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10.-Empresa: Servicios agropecuarios olor a tierra SC, coordinador de proyectos PIIEX, visitas a los productores de tomate y acompañamiento a los productores a la comercialización.</w:t>
      </w:r>
    </w:p>
    <w:p w14:paraId="655DC896" w14:textId="77777777" w:rsidR="00E554BF" w:rsidRPr="007923C2" w:rsidRDefault="00E554B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 Que las materias curriculares estén más enfocadas a nuestro perfil.</w:t>
      </w:r>
    </w:p>
    <w:p w14:paraId="59E5047F" w14:textId="77777777" w:rsidR="00E554BF" w:rsidRPr="007923C2" w:rsidRDefault="00E554B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Que la titulación sea obligatoria.</w:t>
      </w:r>
    </w:p>
    <w:p w14:paraId="41EA6C74" w14:textId="77777777" w:rsidR="00E554BF" w:rsidRPr="007923C2" w:rsidRDefault="00E554B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11.-Entró a estudiar maestría en la UAAAN </w:t>
      </w:r>
    </w:p>
    <w:p w14:paraId="594F82B1" w14:textId="77777777" w:rsidR="00E554BF" w:rsidRPr="007923C2" w:rsidRDefault="00E554B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 Más prácticas de cultivos agrícolas, de nutrición vegetal.</w:t>
      </w:r>
    </w:p>
    <w:p w14:paraId="5A55B75C" w14:textId="77777777" w:rsidR="00E554BF" w:rsidRPr="007923C2" w:rsidRDefault="00E554B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Materias en donde se unan la parte ecológica con la parte agrícola.</w:t>
      </w:r>
    </w:p>
    <w:p w14:paraId="25683651" w14:textId="77777777" w:rsidR="0088615A"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enfoque de la carrera no cumple con las expectativas deseadas a la hora de laborar.</w:t>
      </w:r>
    </w:p>
    <w:p w14:paraId="29F87880" w14:textId="77777777" w:rsidR="0088615A"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17.-Empresa COLPOS </w:t>
      </w:r>
    </w:p>
    <w:p w14:paraId="3C338D62" w14:textId="77777777" w:rsidR="0088615A"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 Enfocar al alumno desde el inicio de la carrera a cursar materias optativas adecuadas a su interés.</w:t>
      </w:r>
    </w:p>
    <w:p w14:paraId="20C3BC00" w14:textId="77777777" w:rsidR="0088615A"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Formar club de lectura para motivar al alumno a leer más, que los profesores se actualicen en la materia que imparten.</w:t>
      </w:r>
    </w:p>
    <w:p w14:paraId="101005D9" w14:textId="77777777" w:rsidR="0088615A"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Incentivar a que los alumnos trabajen con algún profesor en los proyectos que  maneje para adquirir experiencia.</w:t>
      </w:r>
    </w:p>
    <w:p w14:paraId="51BD1200" w14:textId="77777777" w:rsidR="00E554BF"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Actualizar el equipo y material de lababoratorio, realizar más prácticas fuera de   </w:t>
      </w:r>
    </w:p>
    <w:p w14:paraId="5D685E5E" w14:textId="77777777" w:rsidR="002A6522"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institución, invitar a los egresados a</w:t>
      </w:r>
      <w:r w:rsidR="002A6522" w:rsidRPr="007923C2">
        <w:rPr>
          <w:rFonts w:ascii="Arial" w:hAnsi="Arial" w:cs="Arial"/>
          <w:sz w:val="22"/>
          <w:szCs w:val="22"/>
        </w:rPr>
        <w:t xml:space="preserve"> impartir cursos, talleres, conferencias sobre temas de la carrera para fomentar el intercambio de conocimientos.</w:t>
      </w:r>
    </w:p>
    <w:p w14:paraId="07F92A39" w14:textId="77777777" w:rsidR="002A6522" w:rsidRPr="007923C2" w:rsidRDefault="002A652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13.-Empresa: INEA, Puesto, docente.</w:t>
      </w:r>
    </w:p>
    <w:p w14:paraId="7CD579A9" w14:textId="77777777" w:rsidR="002A6522" w:rsidRPr="007923C2" w:rsidRDefault="002A652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 Incluir másmaterias de ecología y medio ambiente, más salidas a campo.</w:t>
      </w:r>
    </w:p>
    <w:p w14:paraId="24A94800" w14:textId="77777777" w:rsidR="002A6522" w:rsidRPr="007923C2" w:rsidRDefault="002A652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14.-Empreas: Procuraduría ambiental y de ordenamiento territorial del Estado de Guanajuato.</w:t>
      </w:r>
    </w:p>
    <w:p w14:paraId="0D3BE85E" w14:textId="77777777" w:rsidR="002A6522" w:rsidRPr="007923C2" w:rsidRDefault="002A652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Inspector ambiental.</w:t>
      </w:r>
    </w:p>
    <w:p w14:paraId="4E4E12BF" w14:textId="77777777" w:rsidR="002A6522" w:rsidRPr="007923C2" w:rsidRDefault="002A652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realizan auditorías ambientales para verificar el cumplimiento a la normatividad ambiental.</w:t>
      </w:r>
    </w:p>
    <w:p w14:paraId="243216DC" w14:textId="77777777" w:rsidR="00A24E6F" w:rsidRPr="007923C2" w:rsidRDefault="002A652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Sugerencias: Materias sobre sistemas de información, manejo de </w:t>
      </w:r>
      <w:r w:rsidR="00A24E6F" w:rsidRPr="007923C2">
        <w:rPr>
          <w:rFonts w:ascii="Arial" w:hAnsi="Arial" w:cs="Arial"/>
          <w:sz w:val="22"/>
          <w:szCs w:val="22"/>
        </w:rPr>
        <w:t>software (Arcgis, arcview)</w:t>
      </w:r>
    </w:p>
    <w:p w14:paraId="30A3B7DC" w14:textId="77777777" w:rsidR="00A24E6F" w:rsidRPr="007923C2" w:rsidRDefault="00A24E6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Más materias con temas forestales, así como legislación ambiental.</w:t>
      </w:r>
    </w:p>
    <w:p w14:paraId="13D146C5" w14:textId="77777777" w:rsidR="00A24E6F" w:rsidRPr="007923C2" w:rsidRDefault="00A24E6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15.-Empresa:Presidencia municipal de Pedro Escobedo, Querétaro.</w:t>
      </w:r>
    </w:p>
    <w:p w14:paraId="5E94B0DB" w14:textId="77777777" w:rsidR="00A24E6F" w:rsidRPr="007923C2" w:rsidRDefault="00A24E6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Ecología Municipal.</w:t>
      </w:r>
    </w:p>
    <w:p w14:paraId="0951B1BB" w14:textId="77777777" w:rsidR="00A24E6F" w:rsidRPr="007923C2" w:rsidRDefault="00A24E6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Creación de programas y campañas ambientales para el municipio, inspección de focos de </w:t>
      </w:r>
      <w:r w:rsidRPr="007923C2">
        <w:rPr>
          <w:rFonts w:ascii="Arial" w:hAnsi="Arial" w:cs="Arial"/>
          <w:sz w:val="22"/>
          <w:szCs w:val="22"/>
        </w:rPr>
        <w:lastRenderedPageBreak/>
        <w:t>infección, aplicación del reglamento de Ecología municipal</w:t>
      </w:r>
      <w:r w:rsidR="00FF5966" w:rsidRPr="007923C2">
        <w:rPr>
          <w:rFonts w:ascii="Arial" w:hAnsi="Arial" w:cs="Arial"/>
          <w:sz w:val="22"/>
          <w:szCs w:val="22"/>
        </w:rPr>
        <w:t>, ge</w:t>
      </w:r>
      <w:r w:rsidRPr="007923C2">
        <w:rPr>
          <w:rFonts w:ascii="Arial" w:hAnsi="Arial" w:cs="Arial"/>
          <w:sz w:val="22"/>
          <w:szCs w:val="22"/>
        </w:rPr>
        <w:t>stión de recursos del Programa huella del carbono.</w:t>
      </w:r>
    </w:p>
    <w:p w14:paraId="1E1C0331" w14:textId="77777777" w:rsidR="00A24E6F" w:rsidRPr="007923C2" w:rsidRDefault="00A24E6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Sugerencias: Ampliar las prácticas, desarrollar relaciones interpersonales  </w:t>
      </w:r>
      <w:r w:rsidR="00FF5966" w:rsidRPr="007923C2">
        <w:rPr>
          <w:rFonts w:ascii="Arial" w:hAnsi="Arial" w:cs="Arial"/>
          <w:sz w:val="22"/>
          <w:szCs w:val="22"/>
        </w:rPr>
        <w:t xml:space="preserve">con </w:t>
      </w:r>
      <w:r w:rsidRPr="007923C2">
        <w:rPr>
          <w:rFonts w:ascii="Arial" w:hAnsi="Arial" w:cs="Arial"/>
          <w:sz w:val="22"/>
          <w:szCs w:val="22"/>
        </w:rPr>
        <w:t>productores y sociedad.</w:t>
      </w:r>
    </w:p>
    <w:p w14:paraId="33B32161" w14:textId="77777777" w:rsidR="00976A39" w:rsidRPr="007923C2" w:rsidRDefault="00A24E6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Aprender más ampliamente para la elaboración de proyectos , considero que el perfil de la carrera </w:t>
      </w:r>
      <w:r w:rsidR="00FF5966" w:rsidRPr="007923C2">
        <w:rPr>
          <w:rFonts w:ascii="Arial" w:hAnsi="Arial" w:cs="Arial"/>
          <w:sz w:val="22"/>
          <w:szCs w:val="22"/>
        </w:rPr>
        <w:t xml:space="preserve">son de suma importancia para lograr grandes aportaciones en la agricultura y conservación de las áreas naturales de nuestro país que últimamente se han visto muy afectadas por el cambio de uso del suelo. </w:t>
      </w:r>
    </w:p>
    <w:p w14:paraId="7A145103" w14:textId="77777777" w:rsidR="00976A39" w:rsidRPr="007923C2" w:rsidRDefault="00976A39" w:rsidP="005E47E4">
      <w:pPr>
        <w:widowControl w:val="0"/>
        <w:autoSpaceDE w:val="0"/>
        <w:autoSpaceDN w:val="0"/>
        <w:adjustRightInd w:val="0"/>
        <w:jc w:val="both"/>
        <w:rPr>
          <w:rFonts w:ascii="Arial" w:hAnsi="Arial" w:cs="Arial"/>
          <w:sz w:val="22"/>
          <w:szCs w:val="22"/>
        </w:rPr>
      </w:pPr>
    </w:p>
    <w:p w14:paraId="7874EAEE" w14:textId="77777777" w:rsidR="00F60CD0" w:rsidRPr="007923C2" w:rsidRDefault="00F60CD0"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5.8.4.-RELACIÓN ENTRE EL MODELO EDUCATIVO DE LA UAAAN Y LA PROPUESTA CURRICULAR</w:t>
      </w:r>
    </w:p>
    <w:p w14:paraId="38659CA1" w14:textId="77777777" w:rsidR="00F60CD0" w:rsidRPr="007923C2" w:rsidRDefault="00F60CD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docente promueve una educación integral (dimensiones socio-afectiva, espiritual, física, cognitiva), apuntando al desarrollo del educando en su totalidad: pensamiento, sentimiento y acción.</w:t>
      </w:r>
    </w:p>
    <w:p w14:paraId="2D36A32F" w14:textId="77777777" w:rsidR="00F60CD0" w:rsidRPr="007923C2" w:rsidRDefault="00F60CD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Entiende al aprendizaje como un proceso por el cual cada individuo construye su propia experiencia y adquiere un conjunto de competencias y experiencias para su desarrollopersonal y profesional.</w:t>
      </w:r>
    </w:p>
    <w:p w14:paraId="241EFB9F" w14:textId="77777777" w:rsidR="002C0A9B" w:rsidRPr="007923C2" w:rsidRDefault="00F60CD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Entiende a la enseñanza como el proceso en el que se ofrecen al alumno estímulos que</w:t>
      </w:r>
      <w:r w:rsidR="002C0A9B" w:rsidRPr="007923C2">
        <w:rPr>
          <w:rFonts w:ascii="Arial" w:hAnsi="Arial" w:cs="Arial"/>
          <w:sz w:val="22"/>
          <w:szCs w:val="22"/>
        </w:rPr>
        <w:t xml:space="preserve"> contribuyen a la construcción de un aprendizaje significativo, prestando especial atención a las concepciones previas de cada alumno.</w:t>
      </w:r>
    </w:p>
    <w:p w14:paraId="53A7C96B" w14:textId="77777777"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Propicia una formación humanística, resaltando la actitud positiva en el proceso educativo.</w:t>
      </w:r>
    </w:p>
    <w:p w14:paraId="66E6F2B9" w14:textId="77777777"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valores mas distintivos son el amor, creatividad, solidaridad, esfuerzo, responsabilidad,compromiso respeto, excelencia.</w:t>
      </w:r>
    </w:p>
    <w:p w14:paraId="44FA8FC7" w14:textId="77777777"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b/>
          <w:sz w:val="22"/>
          <w:szCs w:val="22"/>
        </w:rPr>
        <w:t>MODELO EDUCATIVO VIGENTE PARA FORMAR PROFESIONALES EN LAS DISTINTAS CARRERAS QUE OFRECE LA UNIVERSIDAD QUE GARANTIZA LA CALIDAD DEL EGRESADO</w:t>
      </w:r>
      <w:r w:rsidRPr="007923C2">
        <w:rPr>
          <w:rFonts w:ascii="Arial" w:hAnsi="Arial" w:cs="Arial"/>
          <w:sz w:val="22"/>
          <w:szCs w:val="22"/>
        </w:rPr>
        <w:t>.</w:t>
      </w:r>
    </w:p>
    <w:p w14:paraId="5B6AA6B3" w14:textId="77777777"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1.-En el proceso de enseñanza-aprendizaje debe darse un </w:t>
      </w:r>
      <w:r w:rsidRPr="007923C2">
        <w:rPr>
          <w:rFonts w:ascii="Arial" w:hAnsi="Arial" w:cs="Arial"/>
          <w:b/>
          <w:sz w:val="22"/>
          <w:szCs w:val="22"/>
        </w:rPr>
        <w:t>aprendizaje significativo</w:t>
      </w:r>
      <w:r w:rsidRPr="007923C2">
        <w:rPr>
          <w:rFonts w:ascii="Arial" w:hAnsi="Arial" w:cs="Arial"/>
          <w:sz w:val="22"/>
          <w:szCs w:val="22"/>
        </w:rPr>
        <w:t xml:space="preserve"> que propicie el desarrollo intelectual del alumno.</w:t>
      </w:r>
    </w:p>
    <w:p w14:paraId="2589FFF7" w14:textId="77777777"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2.-Se propiciará que el alumno adquiera una </w:t>
      </w:r>
      <w:r w:rsidRPr="007923C2">
        <w:rPr>
          <w:rFonts w:ascii="Arial" w:hAnsi="Arial" w:cs="Arial"/>
          <w:b/>
          <w:sz w:val="22"/>
          <w:szCs w:val="22"/>
        </w:rPr>
        <w:t>actitud emprendedora</w:t>
      </w:r>
      <w:r w:rsidRPr="007923C2">
        <w:rPr>
          <w:rFonts w:ascii="Arial" w:hAnsi="Arial" w:cs="Arial"/>
          <w:sz w:val="22"/>
          <w:szCs w:val="22"/>
        </w:rPr>
        <w:t>.</w:t>
      </w:r>
    </w:p>
    <w:p w14:paraId="3A2D5F87" w14:textId="77777777"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3.-El proceso educativo deberá darse dentro de una </w:t>
      </w:r>
      <w:r w:rsidRPr="007923C2">
        <w:rPr>
          <w:rFonts w:ascii="Arial" w:hAnsi="Arial" w:cs="Arial"/>
          <w:b/>
          <w:sz w:val="22"/>
          <w:szCs w:val="22"/>
        </w:rPr>
        <w:t>educación activa</w:t>
      </w:r>
      <w:r w:rsidRPr="007923C2">
        <w:rPr>
          <w:rFonts w:ascii="Arial" w:hAnsi="Arial" w:cs="Arial"/>
          <w:sz w:val="22"/>
          <w:szCs w:val="22"/>
        </w:rPr>
        <w:t>.</w:t>
      </w:r>
    </w:p>
    <w:p w14:paraId="79B68BBE" w14:textId="77777777"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4,.El proceso aprendizaje consistirá en una </w:t>
      </w:r>
      <w:r w:rsidRPr="007923C2">
        <w:rPr>
          <w:rFonts w:ascii="Arial" w:hAnsi="Arial" w:cs="Arial"/>
          <w:b/>
          <w:sz w:val="22"/>
          <w:szCs w:val="22"/>
        </w:rPr>
        <w:t>educación centrada en el estudiante</w:t>
      </w:r>
      <w:r w:rsidRPr="007923C2">
        <w:rPr>
          <w:rFonts w:ascii="Arial" w:hAnsi="Arial" w:cs="Arial"/>
          <w:sz w:val="22"/>
          <w:szCs w:val="22"/>
        </w:rPr>
        <w:t>.</w:t>
      </w:r>
    </w:p>
    <w:p w14:paraId="6B1BDFB9" w14:textId="77777777"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5.-Los alumnos deberán adquirir una </w:t>
      </w:r>
      <w:r w:rsidRPr="007923C2">
        <w:rPr>
          <w:rFonts w:ascii="Arial" w:hAnsi="Arial" w:cs="Arial"/>
          <w:b/>
          <w:sz w:val="22"/>
          <w:szCs w:val="22"/>
        </w:rPr>
        <w:t>formación para la producción</w:t>
      </w:r>
      <w:r w:rsidRPr="007923C2">
        <w:rPr>
          <w:rFonts w:ascii="Arial" w:hAnsi="Arial" w:cs="Arial"/>
          <w:sz w:val="22"/>
          <w:szCs w:val="22"/>
        </w:rPr>
        <w:t>.</w:t>
      </w:r>
    </w:p>
    <w:p w14:paraId="2762A509" w14:textId="77777777" w:rsidR="002C0A9B" w:rsidRPr="007923C2" w:rsidRDefault="002C0A9B" w:rsidP="005E47E4">
      <w:pPr>
        <w:widowControl w:val="0"/>
        <w:autoSpaceDE w:val="0"/>
        <w:autoSpaceDN w:val="0"/>
        <w:adjustRightInd w:val="0"/>
        <w:jc w:val="both"/>
        <w:rPr>
          <w:rFonts w:ascii="Arial" w:hAnsi="Arial" w:cs="Arial"/>
          <w:b/>
          <w:sz w:val="22"/>
          <w:szCs w:val="22"/>
        </w:rPr>
      </w:pPr>
      <w:r w:rsidRPr="007923C2">
        <w:rPr>
          <w:rFonts w:ascii="Arial" w:hAnsi="Arial" w:cs="Arial"/>
          <w:sz w:val="22"/>
          <w:szCs w:val="22"/>
        </w:rPr>
        <w:t xml:space="preserve">6.-Los cursos del plan de estudios contienen principios para la </w:t>
      </w:r>
      <w:r w:rsidRPr="007923C2">
        <w:rPr>
          <w:rFonts w:ascii="Arial" w:hAnsi="Arial" w:cs="Arial"/>
          <w:b/>
          <w:sz w:val="22"/>
          <w:szCs w:val="22"/>
        </w:rPr>
        <w:t>formación, para la investigación.</w:t>
      </w:r>
    </w:p>
    <w:p w14:paraId="0E62023F" w14:textId="77777777" w:rsidR="003F391F"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7.-El proceso educativo</w:t>
      </w:r>
      <w:r w:rsidR="003F391F" w:rsidRPr="007923C2">
        <w:rPr>
          <w:rFonts w:ascii="Arial" w:hAnsi="Arial" w:cs="Arial"/>
          <w:sz w:val="22"/>
          <w:szCs w:val="22"/>
        </w:rPr>
        <w:t xml:space="preserve"> tendrá indicativos para la </w:t>
      </w:r>
      <w:r w:rsidR="003F391F" w:rsidRPr="007923C2">
        <w:rPr>
          <w:rFonts w:ascii="Arial" w:hAnsi="Arial" w:cs="Arial"/>
          <w:b/>
          <w:sz w:val="22"/>
          <w:szCs w:val="22"/>
        </w:rPr>
        <w:t>formación para el autoempleo</w:t>
      </w:r>
      <w:r w:rsidR="003F391F" w:rsidRPr="007923C2">
        <w:rPr>
          <w:rFonts w:ascii="Arial" w:hAnsi="Arial" w:cs="Arial"/>
          <w:sz w:val="22"/>
          <w:szCs w:val="22"/>
        </w:rPr>
        <w:t>.</w:t>
      </w:r>
    </w:p>
    <w:p w14:paraId="60FCD24C" w14:textId="77777777" w:rsidR="003F391F" w:rsidRPr="007923C2" w:rsidRDefault="003F391F" w:rsidP="005E47E4">
      <w:pPr>
        <w:widowControl w:val="0"/>
        <w:autoSpaceDE w:val="0"/>
        <w:autoSpaceDN w:val="0"/>
        <w:adjustRightInd w:val="0"/>
        <w:jc w:val="both"/>
        <w:rPr>
          <w:rFonts w:ascii="Arial" w:hAnsi="Arial" w:cs="Arial"/>
          <w:b/>
          <w:sz w:val="22"/>
          <w:szCs w:val="22"/>
        </w:rPr>
      </w:pPr>
      <w:r w:rsidRPr="007923C2">
        <w:rPr>
          <w:rFonts w:ascii="Arial" w:hAnsi="Arial" w:cs="Arial"/>
          <w:sz w:val="22"/>
          <w:szCs w:val="22"/>
        </w:rPr>
        <w:t xml:space="preserve">8.-El proceso educativo garantiza el uso de valores propiciando la </w:t>
      </w:r>
      <w:r w:rsidRPr="007923C2">
        <w:rPr>
          <w:rFonts w:ascii="Arial" w:hAnsi="Arial" w:cs="Arial"/>
          <w:b/>
          <w:sz w:val="22"/>
          <w:szCs w:val="22"/>
        </w:rPr>
        <w:t>formación de valores.</w:t>
      </w:r>
    </w:p>
    <w:p w14:paraId="5E1C9C47" w14:textId="77777777" w:rsidR="003F391F" w:rsidRPr="007923C2" w:rsidRDefault="003F391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 xml:space="preserve">9.-La </w:t>
      </w:r>
      <w:r w:rsidRPr="007923C2">
        <w:rPr>
          <w:rFonts w:ascii="Arial" w:hAnsi="Arial" w:cs="Arial"/>
          <w:b/>
          <w:sz w:val="22"/>
          <w:szCs w:val="22"/>
        </w:rPr>
        <w:t>formación integral</w:t>
      </w:r>
      <w:r w:rsidRPr="007923C2">
        <w:rPr>
          <w:rFonts w:ascii="Arial" w:hAnsi="Arial" w:cs="Arial"/>
          <w:sz w:val="22"/>
          <w:szCs w:val="22"/>
        </w:rPr>
        <w:t xml:space="preserve"> del alumno será producto de todas las actividades un curriculares.</w:t>
      </w:r>
    </w:p>
    <w:p w14:paraId="0AA43480" w14:textId="77777777" w:rsidR="002C0A9B" w:rsidRPr="007923C2" w:rsidRDefault="003F391F" w:rsidP="005E47E4">
      <w:pPr>
        <w:widowControl w:val="0"/>
        <w:autoSpaceDE w:val="0"/>
        <w:autoSpaceDN w:val="0"/>
        <w:adjustRightInd w:val="0"/>
        <w:jc w:val="both"/>
        <w:rPr>
          <w:rFonts w:ascii="Arial" w:hAnsi="Arial" w:cs="Arial"/>
          <w:b/>
          <w:sz w:val="22"/>
          <w:szCs w:val="22"/>
        </w:rPr>
      </w:pPr>
      <w:r w:rsidRPr="007923C2">
        <w:rPr>
          <w:rFonts w:ascii="Arial" w:hAnsi="Arial" w:cs="Arial"/>
          <w:sz w:val="22"/>
          <w:szCs w:val="22"/>
        </w:rPr>
        <w:t xml:space="preserve">10.-La participación del alumno en el proceso educativo deberá ser un </w:t>
      </w:r>
      <w:r w:rsidRPr="007923C2">
        <w:rPr>
          <w:rFonts w:ascii="Arial" w:hAnsi="Arial" w:cs="Arial"/>
          <w:b/>
          <w:sz w:val="22"/>
          <w:szCs w:val="22"/>
        </w:rPr>
        <w:t xml:space="preserve">desempeño con calidad. </w:t>
      </w:r>
    </w:p>
    <w:p w14:paraId="587ECAC5" w14:textId="77777777" w:rsidR="00F06890" w:rsidRPr="007923C2" w:rsidRDefault="00B2096B"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5.8.4.</w:t>
      </w:r>
      <w:r w:rsidR="00AF354F">
        <w:rPr>
          <w:rFonts w:ascii="Arial" w:hAnsi="Arial" w:cs="Arial"/>
          <w:b/>
          <w:sz w:val="22"/>
          <w:szCs w:val="22"/>
        </w:rPr>
        <w:t>1</w:t>
      </w:r>
      <w:r w:rsidRPr="007923C2">
        <w:rPr>
          <w:rFonts w:ascii="Arial" w:hAnsi="Arial" w:cs="Arial"/>
          <w:b/>
          <w:sz w:val="22"/>
          <w:szCs w:val="22"/>
        </w:rPr>
        <w:t>-</w:t>
      </w:r>
      <w:r w:rsidR="00F06890" w:rsidRPr="007923C2">
        <w:rPr>
          <w:rFonts w:ascii="Arial" w:hAnsi="Arial" w:cs="Arial"/>
          <w:b/>
          <w:sz w:val="22"/>
          <w:szCs w:val="22"/>
        </w:rPr>
        <w:t>RELACIÓN CON EL MODELO EDUCATIVO</w:t>
      </w:r>
    </w:p>
    <w:tbl>
      <w:tblPr>
        <w:tblStyle w:val="Tablaconcuadrcula"/>
        <w:tblW w:w="9464" w:type="dxa"/>
        <w:tblLook w:val="04A0" w:firstRow="1" w:lastRow="0" w:firstColumn="1" w:lastColumn="0" w:noHBand="0" w:noVBand="1"/>
      </w:tblPr>
      <w:tblGrid>
        <w:gridCol w:w="3369"/>
        <w:gridCol w:w="6095"/>
      </w:tblGrid>
      <w:tr w:rsidR="00576B26" w:rsidRPr="007923C2" w14:paraId="35F15D6B" w14:textId="77777777" w:rsidTr="00BA0B24">
        <w:tc>
          <w:tcPr>
            <w:tcW w:w="3369" w:type="dxa"/>
          </w:tcPr>
          <w:p w14:paraId="1335D138" w14:textId="77777777" w:rsidR="00576B26" w:rsidRPr="007923C2" w:rsidRDefault="00576B26" w:rsidP="00BA0B24">
            <w:pPr>
              <w:rPr>
                <w:rFonts w:ascii="Arial" w:hAnsi="Arial" w:cs="Arial"/>
                <w:sz w:val="22"/>
                <w:szCs w:val="22"/>
              </w:rPr>
            </w:pPr>
            <w:r w:rsidRPr="007923C2">
              <w:rPr>
                <w:rFonts w:ascii="Arial" w:hAnsi="Arial" w:cs="Arial"/>
                <w:sz w:val="22"/>
                <w:szCs w:val="22"/>
              </w:rPr>
              <w:t>Módulo Educativo UAAAN</w:t>
            </w:r>
          </w:p>
        </w:tc>
        <w:tc>
          <w:tcPr>
            <w:tcW w:w="6095" w:type="dxa"/>
          </w:tcPr>
          <w:p w14:paraId="12A8092B" w14:textId="77777777" w:rsidR="00576B26" w:rsidRPr="007923C2" w:rsidRDefault="00576B26" w:rsidP="00BA0B24">
            <w:pPr>
              <w:rPr>
                <w:rFonts w:ascii="Arial" w:hAnsi="Arial" w:cs="Arial"/>
                <w:sz w:val="22"/>
                <w:szCs w:val="22"/>
              </w:rPr>
            </w:pPr>
            <w:r w:rsidRPr="007923C2">
              <w:rPr>
                <w:rFonts w:ascii="Arial" w:hAnsi="Arial" w:cs="Arial"/>
                <w:sz w:val="22"/>
                <w:szCs w:val="22"/>
              </w:rPr>
              <w:t xml:space="preserve">Relación/Congruencia con el Plan de Estudios </w:t>
            </w:r>
          </w:p>
          <w:p w14:paraId="53747676" w14:textId="77777777" w:rsidR="00576B26" w:rsidRPr="007923C2" w:rsidRDefault="00576B26" w:rsidP="00BA0B24">
            <w:pPr>
              <w:rPr>
                <w:rFonts w:ascii="Arial" w:hAnsi="Arial" w:cs="Arial"/>
                <w:sz w:val="22"/>
                <w:szCs w:val="22"/>
              </w:rPr>
            </w:pPr>
            <w:r w:rsidRPr="007923C2">
              <w:rPr>
                <w:rFonts w:ascii="Arial" w:hAnsi="Arial" w:cs="Arial"/>
                <w:sz w:val="22"/>
                <w:szCs w:val="22"/>
              </w:rPr>
              <w:t xml:space="preserve">Estrategias </w:t>
            </w:r>
          </w:p>
        </w:tc>
      </w:tr>
      <w:tr w:rsidR="00576B26" w:rsidRPr="007923C2" w14:paraId="451AE38E" w14:textId="77777777" w:rsidTr="00BA0B24">
        <w:tc>
          <w:tcPr>
            <w:tcW w:w="3369" w:type="dxa"/>
          </w:tcPr>
          <w:p w14:paraId="07998F77" w14:textId="77777777" w:rsidR="00576B26" w:rsidRPr="007923C2" w:rsidRDefault="00576B26" w:rsidP="00BA0B24">
            <w:pPr>
              <w:rPr>
                <w:rFonts w:ascii="Arial" w:hAnsi="Arial" w:cs="Arial"/>
                <w:sz w:val="22"/>
                <w:szCs w:val="22"/>
              </w:rPr>
            </w:pPr>
            <w:r w:rsidRPr="007923C2">
              <w:rPr>
                <w:rFonts w:ascii="Arial" w:hAnsi="Arial" w:cs="Arial"/>
                <w:sz w:val="22"/>
                <w:szCs w:val="22"/>
              </w:rPr>
              <w:t>1. Curriculum integral: Pluridimensional, globalizante y unificador</w:t>
            </w:r>
          </w:p>
          <w:p w14:paraId="2921878C" w14:textId="77777777" w:rsidR="00576B26" w:rsidRPr="007923C2" w:rsidRDefault="00576B26" w:rsidP="00BA0B24">
            <w:pPr>
              <w:rPr>
                <w:rFonts w:ascii="Arial" w:hAnsi="Arial" w:cs="Arial"/>
                <w:sz w:val="22"/>
                <w:szCs w:val="22"/>
              </w:rPr>
            </w:pPr>
            <w:r w:rsidRPr="007923C2">
              <w:rPr>
                <w:rFonts w:ascii="Arial" w:hAnsi="Arial" w:cs="Arial"/>
                <w:sz w:val="22"/>
                <w:szCs w:val="22"/>
              </w:rPr>
              <w:t>2. Formación de valores esenciales en el educando y el educador.</w:t>
            </w:r>
          </w:p>
          <w:p w14:paraId="0659CBFF" w14:textId="77777777" w:rsidR="00576B26" w:rsidRPr="007923C2" w:rsidRDefault="00576B26" w:rsidP="00BA0B24">
            <w:pPr>
              <w:rPr>
                <w:rFonts w:ascii="Arial" w:hAnsi="Arial" w:cs="Arial"/>
                <w:sz w:val="22"/>
                <w:szCs w:val="22"/>
              </w:rPr>
            </w:pPr>
            <w:r w:rsidRPr="007923C2">
              <w:rPr>
                <w:rFonts w:ascii="Arial" w:hAnsi="Arial" w:cs="Arial"/>
                <w:sz w:val="22"/>
                <w:szCs w:val="22"/>
              </w:rPr>
              <w:t>3. Formación para el autoempleo</w:t>
            </w:r>
          </w:p>
          <w:p w14:paraId="3DF3A9B6" w14:textId="77777777" w:rsidR="00576B26" w:rsidRPr="007923C2" w:rsidRDefault="00576B26" w:rsidP="00BA0B24">
            <w:pPr>
              <w:rPr>
                <w:rFonts w:ascii="Arial" w:hAnsi="Arial" w:cs="Arial"/>
                <w:sz w:val="22"/>
                <w:szCs w:val="22"/>
              </w:rPr>
            </w:pPr>
            <w:r w:rsidRPr="007923C2">
              <w:rPr>
                <w:rFonts w:ascii="Arial" w:hAnsi="Arial" w:cs="Arial"/>
                <w:sz w:val="22"/>
                <w:szCs w:val="22"/>
              </w:rPr>
              <w:t>4. Educación agrícola práctica</w:t>
            </w:r>
          </w:p>
          <w:p w14:paraId="47C28E2C" w14:textId="77777777" w:rsidR="00576B26" w:rsidRPr="007923C2" w:rsidRDefault="00576B26" w:rsidP="00BA0B24">
            <w:pPr>
              <w:rPr>
                <w:rFonts w:ascii="Arial" w:hAnsi="Arial" w:cs="Arial"/>
                <w:sz w:val="22"/>
                <w:szCs w:val="22"/>
              </w:rPr>
            </w:pPr>
            <w:r w:rsidRPr="007923C2">
              <w:rPr>
                <w:rFonts w:ascii="Arial" w:hAnsi="Arial" w:cs="Arial"/>
                <w:sz w:val="22"/>
                <w:szCs w:val="22"/>
              </w:rPr>
              <w:t>5. Aprendizaje significativo</w:t>
            </w:r>
          </w:p>
          <w:p w14:paraId="0DD50CC6" w14:textId="77777777" w:rsidR="00576B26" w:rsidRPr="007923C2" w:rsidRDefault="00576B26" w:rsidP="00BA0B24">
            <w:pPr>
              <w:rPr>
                <w:rFonts w:ascii="Arial" w:hAnsi="Arial" w:cs="Arial"/>
                <w:sz w:val="22"/>
                <w:szCs w:val="22"/>
              </w:rPr>
            </w:pPr>
            <w:r w:rsidRPr="007923C2">
              <w:rPr>
                <w:rFonts w:ascii="Arial" w:hAnsi="Arial" w:cs="Arial"/>
                <w:sz w:val="22"/>
                <w:szCs w:val="22"/>
              </w:rPr>
              <w:t>6. Educación centrada en la persona</w:t>
            </w:r>
          </w:p>
          <w:p w14:paraId="4157B2CA" w14:textId="77777777" w:rsidR="00576B26" w:rsidRPr="007923C2" w:rsidRDefault="00576B26" w:rsidP="00BA0B24">
            <w:pPr>
              <w:rPr>
                <w:rFonts w:ascii="Arial" w:hAnsi="Arial" w:cs="Arial"/>
                <w:sz w:val="22"/>
                <w:szCs w:val="22"/>
              </w:rPr>
            </w:pPr>
            <w:r w:rsidRPr="007923C2">
              <w:rPr>
                <w:rFonts w:ascii="Arial" w:hAnsi="Arial" w:cs="Arial"/>
                <w:sz w:val="22"/>
                <w:szCs w:val="22"/>
              </w:rPr>
              <w:t>7. Identificación vocacional</w:t>
            </w:r>
          </w:p>
          <w:p w14:paraId="5C72C553" w14:textId="77777777" w:rsidR="00576B26" w:rsidRPr="007923C2" w:rsidRDefault="00576B26" w:rsidP="00BA0B24">
            <w:pPr>
              <w:rPr>
                <w:rFonts w:ascii="Arial" w:hAnsi="Arial" w:cs="Arial"/>
                <w:sz w:val="22"/>
                <w:szCs w:val="22"/>
              </w:rPr>
            </w:pPr>
            <w:r w:rsidRPr="007923C2">
              <w:rPr>
                <w:rFonts w:ascii="Arial" w:hAnsi="Arial" w:cs="Arial"/>
                <w:sz w:val="22"/>
                <w:szCs w:val="22"/>
              </w:rPr>
              <w:t>8. Examen de ubicación</w:t>
            </w:r>
          </w:p>
          <w:p w14:paraId="3A08E81B" w14:textId="77777777" w:rsidR="00576B26" w:rsidRPr="007923C2" w:rsidRDefault="00576B26" w:rsidP="00BA0B24">
            <w:pPr>
              <w:rPr>
                <w:rFonts w:ascii="Arial" w:hAnsi="Arial" w:cs="Arial"/>
                <w:sz w:val="22"/>
                <w:szCs w:val="22"/>
              </w:rPr>
            </w:pPr>
            <w:r w:rsidRPr="007923C2">
              <w:rPr>
                <w:rFonts w:ascii="Arial" w:hAnsi="Arial" w:cs="Arial"/>
                <w:sz w:val="22"/>
                <w:szCs w:val="22"/>
              </w:rPr>
              <w:t>9. Nivel propedéutico</w:t>
            </w:r>
          </w:p>
          <w:p w14:paraId="02BD1D51" w14:textId="77777777" w:rsidR="00576B26" w:rsidRPr="007923C2" w:rsidRDefault="00576B26" w:rsidP="00BA0B24">
            <w:pPr>
              <w:rPr>
                <w:rFonts w:ascii="Arial" w:hAnsi="Arial" w:cs="Arial"/>
                <w:sz w:val="22"/>
                <w:szCs w:val="22"/>
              </w:rPr>
            </w:pPr>
            <w:r w:rsidRPr="007923C2">
              <w:rPr>
                <w:rFonts w:ascii="Arial" w:hAnsi="Arial" w:cs="Arial"/>
                <w:sz w:val="22"/>
                <w:szCs w:val="22"/>
              </w:rPr>
              <w:t>10. Creación de nuevos niveles: diplomado y especialización</w:t>
            </w:r>
          </w:p>
          <w:p w14:paraId="2C1A672C" w14:textId="77777777" w:rsidR="00576B26" w:rsidRPr="007923C2" w:rsidRDefault="00576B26" w:rsidP="00BA0B24">
            <w:pPr>
              <w:rPr>
                <w:rFonts w:ascii="Arial" w:hAnsi="Arial" w:cs="Arial"/>
                <w:sz w:val="22"/>
                <w:szCs w:val="22"/>
              </w:rPr>
            </w:pPr>
            <w:r w:rsidRPr="007923C2">
              <w:rPr>
                <w:rFonts w:ascii="Arial" w:hAnsi="Arial" w:cs="Arial"/>
                <w:sz w:val="22"/>
                <w:szCs w:val="22"/>
              </w:rPr>
              <w:t>11. Curriculum flexible</w:t>
            </w:r>
          </w:p>
          <w:p w14:paraId="0BF4C60D" w14:textId="77777777" w:rsidR="00576B26" w:rsidRPr="007923C2" w:rsidRDefault="00576B26" w:rsidP="00BA0B24">
            <w:pPr>
              <w:rPr>
                <w:rFonts w:ascii="Arial" w:hAnsi="Arial" w:cs="Arial"/>
                <w:sz w:val="22"/>
                <w:szCs w:val="22"/>
              </w:rPr>
            </w:pPr>
            <w:r w:rsidRPr="007923C2">
              <w:rPr>
                <w:rFonts w:ascii="Arial" w:hAnsi="Arial" w:cs="Arial"/>
                <w:sz w:val="22"/>
                <w:szCs w:val="22"/>
              </w:rPr>
              <w:t>12. Cambio del modelo tradicional al nuevo modelo educativo integral</w:t>
            </w:r>
          </w:p>
          <w:p w14:paraId="485E9AA4" w14:textId="77777777" w:rsidR="00576B26" w:rsidRPr="007923C2" w:rsidRDefault="00576B26" w:rsidP="00BA0B24">
            <w:pPr>
              <w:rPr>
                <w:rFonts w:ascii="Arial" w:hAnsi="Arial" w:cs="Arial"/>
                <w:sz w:val="22"/>
                <w:szCs w:val="22"/>
              </w:rPr>
            </w:pPr>
            <w:r w:rsidRPr="007923C2">
              <w:rPr>
                <w:rFonts w:ascii="Arial" w:hAnsi="Arial" w:cs="Arial"/>
                <w:sz w:val="22"/>
                <w:szCs w:val="22"/>
              </w:rPr>
              <w:t>13. Formación de profesores</w:t>
            </w:r>
          </w:p>
          <w:p w14:paraId="705F6F13" w14:textId="77777777" w:rsidR="00576B26" w:rsidRPr="007923C2" w:rsidRDefault="00576B26" w:rsidP="00BA0B24">
            <w:pPr>
              <w:rPr>
                <w:rFonts w:ascii="Arial" w:hAnsi="Arial" w:cs="Arial"/>
                <w:sz w:val="22"/>
                <w:szCs w:val="22"/>
              </w:rPr>
            </w:pPr>
            <w:r w:rsidRPr="007923C2">
              <w:rPr>
                <w:rFonts w:ascii="Arial" w:hAnsi="Arial" w:cs="Arial"/>
                <w:sz w:val="22"/>
                <w:szCs w:val="22"/>
              </w:rPr>
              <w:t>14. Modelo de Docencia</w:t>
            </w:r>
          </w:p>
        </w:tc>
        <w:tc>
          <w:tcPr>
            <w:tcW w:w="6095" w:type="dxa"/>
          </w:tcPr>
          <w:p w14:paraId="18352284" w14:textId="77777777" w:rsidR="00576B26" w:rsidRPr="007923C2" w:rsidRDefault="00576B26" w:rsidP="00BA0B24">
            <w:pPr>
              <w:rPr>
                <w:rFonts w:ascii="Arial" w:hAnsi="Arial" w:cs="Arial"/>
                <w:sz w:val="22"/>
                <w:szCs w:val="22"/>
              </w:rPr>
            </w:pPr>
            <w:r w:rsidRPr="007923C2">
              <w:rPr>
                <w:rFonts w:ascii="Arial" w:hAnsi="Arial" w:cs="Arial"/>
                <w:sz w:val="22"/>
                <w:szCs w:val="22"/>
              </w:rPr>
              <w:t>1. Desde al inicio de la formación del estudiante se plante</w:t>
            </w:r>
            <w:r w:rsidR="00870516">
              <w:rPr>
                <w:rFonts w:ascii="Arial" w:hAnsi="Arial" w:cs="Arial"/>
                <w:sz w:val="22"/>
                <w:szCs w:val="22"/>
              </w:rPr>
              <w:t>a</w:t>
            </w:r>
            <w:r w:rsidRPr="007923C2">
              <w:rPr>
                <w:rFonts w:ascii="Arial" w:hAnsi="Arial" w:cs="Arial"/>
                <w:sz w:val="22"/>
                <w:szCs w:val="22"/>
              </w:rPr>
              <w:t xml:space="preserve"> primero fundamentar el conocimiento para posteriormente ser llevado a través de las materias profesionalizantes a un aprendizaje significativo que pueda aplicar el estudiante en la solución de problemas a partir de proyectos y que sean de importancia a la sociedad.</w:t>
            </w:r>
          </w:p>
          <w:p w14:paraId="4979EA1C" w14:textId="77777777" w:rsidR="00576B26" w:rsidRPr="007923C2" w:rsidRDefault="00576B26" w:rsidP="00BA0B24">
            <w:pPr>
              <w:rPr>
                <w:rFonts w:ascii="Arial" w:hAnsi="Arial" w:cs="Arial"/>
                <w:sz w:val="22"/>
                <w:szCs w:val="22"/>
              </w:rPr>
            </w:pPr>
          </w:p>
          <w:p w14:paraId="65170AF0" w14:textId="77777777" w:rsidR="00576B26" w:rsidRPr="007923C2" w:rsidRDefault="00576B26" w:rsidP="00BA0B24">
            <w:pPr>
              <w:rPr>
                <w:rFonts w:ascii="Arial" w:hAnsi="Arial" w:cs="Arial"/>
                <w:sz w:val="22"/>
                <w:szCs w:val="22"/>
              </w:rPr>
            </w:pPr>
            <w:r w:rsidRPr="007923C2">
              <w:rPr>
                <w:rFonts w:ascii="Arial" w:hAnsi="Arial" w:cs="Arial"/>
                <w:sz w:val="22"/>
                <w:szCs w:val="22"/>
              </w:rPr>
              <w:t>2. El docente promoverá una educación integral (dimensiones socio-afectiva, espiritual, física y cognitiva)  apuntando al desarrollo del educando en su totalidad: pensamiento, afectivo y acción.</w:t>
            </w:r>
          </w:p>
          <w:p w14:paraId="400B8010" w14:textId="77777777" w:rsidR="00576B26" w:rsidRPr="007923C2" w:rsidRDefault="00576B26" w:rsidP="00BA0B24">
            <w:pPr>
              <w:rPr>
                <w:rFonts w:ascii="Arial" w:hAnsi="Arial" w:cs="Arial"/>
                <w:sz w:val="22"/>
                <w:szCs w:val="22"/>
              </w:rPr>
            </w:pPr>
            <w:r w:rsidRPr="007923C2">
              <w:rPr>
                <w:rFonts w:ascii="Arial" w:hAnsi="Arial" w:cs="Arial"/>
                <w:sz w:val="22"/>
                <w:szCs w:val="22"/>
              </w:rPr>
              <w:t>Entiende al aprendizaje como un proceso por el cual cada individuo construye su propia experiencia y adquiere un conjunto de competencias y experiencias para su desarrollo personal y profesional.</w:t>
            </w:r>
          </w:p>
          <w:p w14:paraId="143CCEB7" w14:textId="77777777" w:rsidR="00576B26" w:rsidRPr="007923C2" w:rsidRDefault="00576B26" w:rsidP="00BA0B24">
            <w:pPr>
              <w:rPr>
                <w:rFonts w:ascii="Arial" w:hAnsi="Arial" w:cs="Arial"/>
                <w:sz w:val="22"/>
                <w:szCs w:val="22"/>
              </w:rPr>
            </w:pPr>
          </w:p>
          <w:p w14:paraId="7BD30158" w14:textId="77777777" w:rsidR="00576B26" w:rsidRPr="007923C2" w:rsidRDefault="00576B26" w:rsidP="00BA0B24">
            <w:pPr>
              <w:rPr>
                <w:rFonts w:ascii="Arial" w:hAnsi="Arial" w:cs="Arial"/>
                <w:sz w:val="22"/>
                <w:szCs w:val="22"/>
              </w:rPr>
            </w:pPr>
            <w:r w:rsidRPr="007923C2">
              <w:rPr>
                <w:rFonts w:ascii="Arial" w:hAnsi="Arial" w:cs="Arial"/>
                <w:sz w:val="22"/>
                <w:szCs w:val="22"/>
              </w:rPr>
              <w:t>3. Las materias especializadas ofrecerán a cada estudiante las experiencias prácticas que lo puedan encaminar a su aplicación para que tenga la capacidad de auto emplearse.</w:t>
            </w:r>
          </w:p>
          <w:p w14:paraId="68E77604" w14:textId="77777777" w:rsidR="00576B26" w:rsidRPr="007923C2" w:rsidRDefault="00576B26" w:rsidP="00BA0B24">
            <w:pPr>
              <w:rPr>
                <w:rFonts w:ascii="Arial" w:hAnsi="Arial" w:cs="Arial"/>
                <w:sz w:val="22"/>
                <w:szCs w:val="22"/>
              </w:rPr>
            </w:pPr>
          </w:p>
          <w:p w14:paraId="12A76AC5" w14:textId="77777777" w:rsidR="00576B26" w:rsidRPr="007923C2" w:rsidRDefault="00576B26" w:rsidP="00BA0B24">
            <w:pPr>
              <w:rPr>
                <w:rFonts w:ascii="Arial" w:hAnsi="Arial" w:cs="Arial"/>
                <w:sz w:val="22"/>
                <w:szCs w:val="22"/>
              </w:rPr>
            </w:pPr>
            <w:r w:rsidRPr="007923C2">
              <w:rPr>
                <w:rFonts w:ascii="Arial" w:hAnsi="Arial" w:cs="Arial"/>
                <w:sz w:val="22"/>
                <w:szCs w:val="22"/>
              </w:rPr>
              <w:t>4. Como parte del perfil profesional de la carrera IAB está la formación para la producción agrícola alternativa para lo cual cada materia con este aprendizaje desarrollará el aspecto práctico de la producción agrícola.</w:t>
            </w:r>
          </w:p>
          <w:p w14:paraId="3BB7CFF3" w14:textId="77777777" w:rsidR="00576B26" w:rsidRPr="007923C2" w:rsidRDefault="00576B26" w:rsidP="00BA0B24">
            <w:pPr>
              <w:rPr>
                <w:rFonts w:ascii="Arial" w:hAnsi="Arial" w:cs="Arial"/>
                <w:sz w:val="22"/>
                <w:szCs w:val="22"/>
              </w:rPr>
            </w:pPr>
          </w:p>
          <w:p w14:paraId="15B16297" w14:textId="77777777" w:rsidR="00576B26" w:rsidRPr="007923C2" w:rsidRDefault="00576B26" w:rsidP="00BA0B24">
            <w:pPr>
              <w:rPr>
                <w:rFonts w:ascii="Arial" w:hAnsi="Arial" w:cs="Arial"/>
                <w:sz w:val="22"/>
                <w:szCs w:val="22"/>
              </w:rPr>
            </w:pPr>
            <w:r w:rsidRPr="007923C2">
              <w:rPr>
                <w:rFonts w:ascii="Arial" w:hAnsi="Arial" w:cs="Arial"/>
                <w:sz w:val="22"/>
                <w:szCs w:val="22"/>
              </w:rPr>
              <w:t>5. En cada asignatura el docente desarrollará un proceso enseñanza –aprendizaje que propicie el desarrollo intelectual del alumno.</w:t>
            </w:r>
          </w:p>
          <w:p w14:paraId="511FEF01" w14:textId="77777777" w:rsidR="00576B26" w:rsidRPr="007923C2" w:rsidRDefault="00576B26" w:rsidP="00BA0B24">
            <w:pPr>
              <w:rPr>
                <w:rFonts w:ascii="Arial" w:hAnsi="Arial" w:cs="Arial"/>
                <w:sz w:val="22"/>
                <w:szCs w:val="22"/>
              </w:rPr>
            </w:pPr>
          </w:p>
          <w:p w14:paraId="5120E363" w14:textId="77777777" w:rsidR="00576B26" w:rsidRPr="007923C2" w:rsidRDefault="00576B26" w:rsidP="00BA0B24">
            <w:pPr>
              <w:rPr>
                <w:rFonts w:ascii="Arial" w:hAnsi="Arial" w:cs="Arial"/>
                <w:sz w:val="22"/>
                <w:szCs w:val="22"/>
              </w:rPr>
            </w:pPr>
            <w:r w:rsidRPr="007923C2">
              <w:rPr>
                <w:rFonts w:ascii="Arial" w:hAnsi="Arial" w:cs="Arial"/>
                <w:sz w:val="22"/>
                <w:szCs w:val="22"/>
              </w:rPr>
              <w:t>6. El docente deberá cambiar la forma tradicional de enseñar el sólo informar a un proceso en el que el educando sea el centro de atención que el aprender-ser, aprender-hacer sea el principio activo del aprendizaje.</w:t>
            </w:r>
          </w:p>
          <w:p w14:paraId="75C027A0" w14:textId="77777777" w:rsidR="00576B26" w:rsidRPr="007923C2" w:rsidRDefault="00576B26" w:rsidP="00BA0B24">
            <w:pPr>
              <w:rPr>
                <w:rFonts w:ascii="Arial" w:hAnsi="Arial" w:cs="Arial"/>
                <w:sz w:val="22"/>
                <w:szCs w:val="22"/>
              </w:rPr>
            </w:pPr>
          </w:p>
          <w:p w14:paraId="67BD1D15" w14:textId="77777777" w:rsidR="00576B26" w:rsidRPr="007923C2" w:rsidRDefault="00576B26" w:rsidP="00BA0B24">
            <w:pPr>
              <w:rPr>
                <w:rFonts w:ascii="Arial" w:hAnsi="Arial" w:cs="Arial"/>
                <w:sz w:val="22"/>
                <w:szCs w:val="22"/>
              </w:rPr>
            </w:pPr>
            <w:r w:rsidRPr="007923C2">
              <w:rPr>
                <w:rFonts w:ascii="Arial" w:hAnsi="Arial" w:cs="Arial"/>
                <w:sz w:val="22"/>
                <w:szCs w:val="22"/>
              </w:rPr>
              <w:t>7. Desde el ingreso del estudiante se debe hacer labor de inducción, información acerca de la carrera para que el alumno se identifique con ella y se sienta integrado.</w:t>
            </w:r>
          </w:p>
          <w:p w14:paraId="5D11A77D" w14:textId="77777777" w:rsidR="00576B26" w:rsidRPr="007923C2" w:rsidRDefault="00576B26" w:rsidP="00BA0B24">
            <w:pPr>
              <w:rPr>
                <w:rFonts w:ascii="Arial" w:hAnsi="Arial" w:cs="Arial"/>
                <w:sz w:val="22"/>
                <w:szCs w:val="22"/>
              </w:rPr>
            </w:pPr>
          </w:p>
          <w:p w14:paraId="09533FBA" w14:textId="77777777" w:rsidR="00576B26" w:rsidRPr="007923C2" w:rsidRDefault="00576B26" w:rsidP="00BA0B24">
            <w:pPr>
              <w:rPr>
                <w:rFonts w:ascii="Arial" w:hAnsi="Arial" w:cs="Arial"/>
                <w:sz w:val="22"/>
                <w:szCs w:val="22"/>
              </w:rPr>
            </w:pPr>
            <w:r w:rsidRPr="007923C2">
              <w:rPr>
                <w:rFonts w:ascii="Arial" w:hAnsi="Arial" w:cs="Arial"/>
                <w:sz w:val="22"/>
                <w:szCs w:val="22"/>
              </w:rPr>
              <w:t xml:space="preserve">8. El examen de admisión a parte de medir el conocimiento y capacidades del estudiante a ingresar debe seleccionar al alumno para que su ubicación en una Carrera sea la </w:t>
            </w:r>
            <w:r w:rsidRPr="007923C2">
              <w:rPr>
                <w:rFonts w:ascii="Arial" w:hAnsi="Arial" w:cs="Arial"/>
                <w:sz w:val="22"/>
                <w:szCs w:val="22"/>
              </w:rPr>
              <w:lastRenderedPageBreak/>
              <w:t>correcta; por lo que el Programa Docente se debe encargar de esta actividad.</w:t>
            </w:r>
          </w:p>
          <w:p w14:paraId="59C089D3" w14:textId="77777777" w:rsidR="00576B26" w:rsidRPr="007923C2" w:rsidRDefault="00576B26" w:rsidP="00BA0B24">
            <w:pPr>
              <w:rPr>
                <w:rFonts w:ascii="Arial" w:hAnsi="Arial" w:cs="Arial"/>
                <w:sz w:val="22"/>
                <w:szCs w:val="22"/>
              </w:rPr>
            </w:pPr>
          </w:p>
          <w:p w14:paraId="4A7459E4" w14:textId="77777777" w:rsidR="00576B26" w:rsidRPr="007923C2" w:rsidRDefault="00576B26" w:rsidP="00BA0B24">
            <w:pPr>
              <w:rPr>
                <w:rFonts w:ascii="Arial" w:hAnsi="Arial" w:cs="Arial"/>
                <w:sz w:val="22"/>
                <w:szCs w:val="22"/>
              </w:rPr>
            </w:pPr>
            <w:r w:rsidRPr="007923C2">
              <w:rPr>
                <w:rFonts w:ascii="Arial" w:hAnsi="Arial" w:cs="Arial"/>
                <w:sz w:val="22"/>
                <w:szCs w:val="22"/>
              </w:rPr>
              <w:t>9. El examen de admisión, da los resultados que obtuvieron cada alumno al ingresar y éstos se utilizan para encaminar al alumno detectado con bajo puntaje en materias como matemáticas, biología para lo cual cursarán como propedéutico.</w:t>
            </w:r>
          </w:p>
          <w:p w14:paraId="6CA94B6E" w14:textId="77777777" w:rsidR="00576B26" w:rsidRPr="007923C2" w:rsidRDefault="00576B26" w:rsidP="00BA0B24">
            <w:pPr>
              <w:rPr>
                <w:rFonts w:ascii="Arial" w:hAnsi="Arial" w:cs="Arial"/>
                <w:sz w:val="22"/>
                <w:szCs w:val="22"/>
              </w:rPr>
            </w:pPr>
          </w:p>
          <w:p w14:paraId="35BF9F5E" w14:textId="77777777" w:rsidR="00576B26" w:rsidRPr="007923C2" w:rsidRDefault="00576B26" w:rsidP="00BA0B24">
            <w:pPr>
              <w:rPr>
                <w:rFonts w:ascii="Arial" w:hAnsi="Arial" w:cs="Arial"/>
                <w:sz w:val="22"/>
                <w:szCs w:val="22"/>
              </w:rPr>
            </w:pPr>
            <w:r w:rsidRPr="007923C2">
              <w:rPr>
                <w:rFonts w:ascii="Arial" w:hAnsi="Arial" w:cs="Arial"/>
                <w:sz w:val="22"/>
                <w:szCs w:val="22"/>
              </w:rPr>
              <w:t>10. El estudiante tendrá oportunidad a través de diferentes eventos como “ciclos de conferencias” asistencia a congresos en donde se ofrecen cursos-talleres a los que pueden asistir.</w:t>
            </w:r>
          </w:p>
          <w:p w14:paraId="13519BEA" w14:textId="77777777" w:rsidR="00576B26" w:rsidRPr="007923C2" w:rsidRDefault="00576B26" w:rsidP="00BA0B24">
            <w:pPr>
              <w:rPr>
                <w:rFonts w:ascii="Arial" w:hAnsi="Arial" w:cs="Arial"/>
                <w:sz w:val="22"/>
                <w:szCs w:val="22"/>
              </w:rPr>
            </w:pPr>
            <w:r w:rsidRPr="007923C2">
              <w:rPr>
                <w:rFonts w:ascii="Arial" w:hAnsi="Arial" w:cs="Arial"/>
                <w:sz w:val="22"/>
                <w:szCs w:val="22"/>
              </w:rPr>
              <w:t>Así mismo se ofrecerán cursos extracurriculares especializados en algunos aspectos de la carrera.</w:t>
            </w:r>
          </w:p>
          <w:p w14:paraId="3CD70D6A" w14:textId="77777777" w:rsidR="00576B26" w:rsidRPr="007923C2" w:rsidRDefault="00576B26" w:rsidP="00BA0B24">
            <w:pPr>
              <w:rPr>
                <w:rFonts w:ascii="Arial" w:hAnsi="Arial" w:cs="Arial"/>
                <w:sz w:val="22"/>
                <w:szCs w:val="22"/>
              </w:rPr>
            </w:pPr>
          </w:p>
          <w:p w14:paraId="212A7832" w14:textId="77777777" w:rsidR="00576B26" w:rsidRPr="007923C2" w:rsidRDefault="00576B26" w:rsidP="00BA0B24">
            <w:pPr>
              <w:rPr>
                <w:rFonts w:ascii="Arial" w:hAnsi="Arial" w:cs="Arial"/>
                <w:sz w:val="22"/>
                <w:szCs w:val="22"/>
              </w:rPr>
            </w:pPr>
            <w:r w:rsidRPr="007923C2">
              <w:rPr>
                <w:rFonts w:ascii="Arial" w:hAnsi="Arial" w:cs="Arial"/>
                <w:sz w:val="22"/>
                <w:szCs w:val="22"/>
              </w:rPr>
              <w:t>11. El plan de estudios IAB ofrece amplia flexibilidad debido a que el alumno puede seleccionar entre 40-45 materias optativas que amplía la gama del aprendizaje.</w:t>
            </w:r>
          </w:p>
          <w:p w14:paraId="7551E416" w14:textId="77777777" w:rsidR="00576B26" w:rsidRPr="007923C2" w:rsidRDefault="00576B26" w:rsidP="00BA0B24">
            <w:pPr>
              <w:rPr>
                <w:rFonts w:ascii="Arial" w:hAnsi="Arial" w:cs="Arial"/>
                <w:sz w:val="22"/>
                <w:szCs w:val="22"/>
              </w:rPr>
            </w:pPr>
          </w:p>
          <w:p w14:paraId="61A81C99" w14:textId="77777777" w:rsidR="00576B26" w:rsidRPr="007923C2" w:rsidRDefault="00576B26" w:rsidP="00BA0B24">
            <w:pPr>
              <w:rPr>
                <w:rFonts w:ascii="Arial" w:hAnsi="Arial" w:cs="Arial"/>
                <w:sz w:val="22"/>
                <w:szCs w:val="22"/>
              </w:rPr>
            </w:pPr>
            <w:r w:rsidRPr="007923C2">
              <w:rPr>
                <w:rFonts w:ascii="Arial" w:hAnsi="Arial" w:cs="Arial"/>
                <w:sz w:val="22"/>
                <w:szCs w:val="22"/>
              </w:rPr>
              <w:t>12. El proceso de enseñanza aprendizaje no sólo será informativo sino formativo en el cual el alumno se formará para la producción investigación, valores, y que sea capaz de aplicar el conocimiento.</w:t>
            </w:r>
          </w:p>
          <w:p w14:paraId="095DF61F" w14:textId="77777777" w:rsidR="00576B26" w:rsidRPr="007923C2" w:rsidRDefault="00576B26" w:rsidP="00BA0B24">
            <w:pPr>
              <w:rPr>
                <w:rFonts w:ascii="Arial" w:hAnsi="Arial" w:cs="Arial"/>
                <w:sz w:val="22"/>
                <w:szCs w:val="22"/>
              </w:rPr>
            </w:pPr>
          </w:p>
          <w:p w14:paraId="74B7C33F" w14:textId="77777777" w:rsidR="00576B26" w:rsidRPr="007923C2" w:rsidRDefault="00576B26" w:rsidP="00BA0B24">
            <w:pPr>
              <w:rPr>
                <w:rFonts w:ascii="Arial" w:hAnsi="Arial" w:cs="Arial"/>
                <w:sz w:val="22"/>
                <w:szCs w:val="22"/>
              </w:rPr>
            </w:pPr>
            <w:r w:rsidRPr="007923C2">
              <w:rPr>
                <w:rFonts w:ascii="Arial" w:hAnsi="Arial" w:cs="Arial"/>
                <w:sz w:val="22"/>
                <w:szCs w:val="22"/>
              </w:rPr>
              <w:t>13. A través del Plan de Mejora Continua la planta docente que imparte alguna materia a los alumnos de la carrera de IAB deberán de actualizarse en su área, de aplicar nuevas tecnologías en el proceso y metodología del aprendizaje.</w:t>
            </w:r>
          </w:p>
          <w:p w14:paraId="48CA4CBC" w14:textId="77777777" w:rsidR="00576B26" w:rsidRPr="007923C2" w:rsidRDefault="00576B26" w:rsidP="00BA0B24">
            <w:pPr>
              <w:rPr>
                <w:rFonts w:ascii="Arial" w:hAnsi="Arial" w:cs="Arial"/>
                <w:sz w:val="22"/>
                <w:szCs w:val="22"/>
              </w:rPr>
            </w:pPr>
          </w:p>
          <w:p w14:paraId="13EEA416" w14:textId="77777777" w:rsidR="00576B26" w:rsidRPr="007923C2" w:rsidRDefault="00576B26" w:rsidP="00BA0B24">
            <w:pPr>
              <w:rPr>
                <w:rFonts w:ascii="Arial" w:hAnsi="Arial" w:cs="Arial"/>
                <w:sz w:val="22"/>
                <w:szCs w:val="22"/>
              </w:rPr>
            </w:pPr>
            <w:r w:rsidRPr="007923C2">
              <w:rPr>
                <w:rFonts w:ascii="Arial" w:hAnsi="Arial" w:cs="Arial"/>
                <w:sz w:val="22"/>
                <w:szCs w:val="22"/>
              </w:rPr>
              <w:t>14. Para logar un aprendizaje significativo el docente deberá relacionar al estudiante con la realidad de acuerdo al campo de conocimiento que aplica.</w:t>
            </w:r>
          </w:p>
          <w:p w14:paraId="4519A706" w14:textId="77777777" w:rsidR="00576B26" w:rsidRPr="007923C2" w:rsidRDefault="00576B26" w:rsidP="00BA0B24">
            <w:pPr>
              <w:rPr>
                <w:rFonts w:ascii="Arial" w:hAnsi="Arial" w:cs="Arial"/>
                <w:sz w:val="22"/>
                <w:szCs w:val="22"/>
              </w:rPr>
            </w:pPr>
            <w:r w:rsidRPr="007923C2">
              <w:rPr>
                <w:rFonts w:ascii="Arial" w:hAnsi="Arial" w:cs="Arial"/>
                <w:sz w:val="22"/>
                <w:szCs w:val="22"/>
              </w:rPr>
              <w:t>El alumno debe entender el conocimiento teórico a través de la práctica, es por eso la importancia de que el maestro  entre en contacto con el alumno para transferir su experiencia.</w:t>
            </w:r>
          </w:p>
          <w:p w14:paraId="04297284" w14:textId="77777777" w:rsidR="00576B26" w:rsidRPr="007923C2" w:rsidRDefault="00576B26" w:rsidP="00BA0B24">
            <w:pPr>
              <w:rPr>
                <w:rFonts w:ascii="Arial" w:hAnsi="Arial" w:cs="Arial"/>
                <w:sz w:val="22"/>
                <w:szCs w:val="22"/>
              </w:rPr>
            </w:pPr>
          </w:p>
        </w:tc>
      </w:tr>
    </w:tbl>
    <w:p w14:paraId="3398A1DE" w14:textId="77777777" w:rsidR="00F06890" w:rsidRPr="007923C2" w:rsidRDefault="00F06890" w:rsidP="005E47E4">
      <w:pPr>
        <w:widowControl w:val="0"/>
        <w:autoSpaceDE w:val="0"/>
        <w:autoSpaceDN w:val="0"/>
        <w:adjustRightInd w:val="0"/>
        <w:jc w:val="both"/>
        <w:rPr>
          <w:rFonts w:ascii="Arial" w:hAnsi="Arial" w:cs="Arial"/>
          <w:b/>
          <w:sz w:val="22"/>
          <w:szCs w:val="22"/>
        </w:rPr>
      </w:pPr>
    </w:p>
    <w:p w14:paraId="01868EFB" w14:textId="77777777" w:rsidR="00F06890" w:rsidRPr="007923C2" w:rsidRDefault="00F06890" w:rsidP="005E47E4">
      <w:pPr>
        <w:widowControl w:val="0"/>
        <w:autoSpaceDE w:val="0"/>
        <w:autoSpaceDN w:val="0"/>
        <w:adjustRightInd w:val="0"/>
        <w:jc w:val="both"/>
        <w:rPr>
          <w:rFonts w:ascii="Arial" w:hAnsi="Arial" w:cs="Arial"/>
          <w:b/>
          <w:sz w:val="22"/>
          <w:szCs w:val="22"/>
        </w:rPr>
      </w:pPr>
    </w:p>
    <w:p w14:paraId="63BD3153" w14:textId="77777777" w:rsidR="002E3C95" w:rsidRDefault="002E3C95" w:rsidP="005E47E4">
      <w:pPr>
        <w:widowControl w:val="0"/>
        <w:autoSpaceDE w:val="0"/>
        <w:autoSpaceDN w:val="0"/>
        <w:adjustRightInd w:val="0"/>
        <w:jc w:val="both"/>
        <w:rPr>
          <w:rFonts w:ascii="Arial" w:hAnsi="Arial" w:cs="Arial"/>
          <w:b/>
          <w:sz w:val="22"/>
          <w:szCs w:val="22"/>
        </w:rPr>
      </w:pPr>
    </w:p>
    <w:p w14:paraId="2227D1AE" w14:textId="77777777" w:rsidR="00F06890" w:rsidRPr="007923C2" w:rsidRDefault="00F06890"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5.8.5.-CONGRUENCIA ENTRE EL PERFIL PROFESIONAL, OBJETIVO GENERAL DE LA CARRERA Y ASIGNATURAS DEL PLAN DE ESTUDIOS.</w:t>
      </w:r>
    </w:p>
    <w:tbl>
      <w:tblPr>
        <w:tblStyle w:val="Tablaconcuadrcula"/>
        <w:tblW w:w="10348" w:type="dxa"/>
        <w:tblInd w:w="-601" w:type="dxa"/>
        <w:tblLayout w:type="fixed"/>
        <w:tblLook w:val="04A0" w:firstRow="1" w:lastRow="0" w:firstColumn="1" w:lastColumn="0" w:noHBand="0" w:noVBand="1"/>
      </w:tblPr>
      <w:tblGrid>
        <w:gridCol w:w="1716"/>
        <w:gridCol w:w="1792"/>
        <w:gridCol w:w="1792"/>
        <w:gridCol w:w="1567"/>
        <w:gridCol w:w="1780"/>
        <w:gridCol w:w="1701"/>
      </w:tblGrid>
      <w:tr w:rsidR="00BA0B24" w:rsidRPr="007923C2" w14:paraId="37045EDD" w14:textId="77777777" w:rsidTr="00BA0B24">
        <w:tc>
          <w:tcPr>
            <w:tcW w:w="1716" w:type="dxa"/>
          </w:tcPr>
          <w:p w14:paraId="6CA3D747" w14:textId="77777777" w:rsidR="00BA0B24" w:rsidRPr="007923C2" w:rsidRDefault="00BA0B24" w:rsidP="00BA0B24">
            <w:pPr>
              <w:jc w:val="center"/>
              <w:rPr>
                <w:rFonts w:ascii="Arial" w:hAnsi="Arial" w:cs="Arial"/>
                <w:b/>
                <w:sz w:val="22"/>
                <w:szCs w:val="22"/>
              </w:rPr>
            </w:pPr>
            <w:r w:rsidRPr="007923C2">
              <w:rPr>
                <w:rFonts w:ascii="Arial" w:hAnsi="Arial" w:cs="Arial"/>
                <w:b/>
                <w:sz w:val="22"/>
                <w:szCs w:val="22"/>
              </w:rPr>
              <w:t>Elementos del Modelo educativo</w:t>
            </w:r>
          </w:p>
        </w:tc>
        <w:tc>
          <w:tcPr>
            <w:tcW w:w="1792" w:type="dxa"/>
          </w:tcPr>
          <w:p w14:paraId="6486A6AE" w14:textId="77777777" w:rsidR="00BA0B24" w:rsidRPr="007923C2" w:rsidRDefault="00BA0B24" w:rsidP="00BA0B24">
            <w:pPr>
              <w:jc w:val="center"/>
              <w:rPr>
                <w:rFonts w:ascii="Arial" w:hAnsi="Arial" w:cs="Arial"/>
                <w:b/>
                <w:sz w:val="22"/>
                <w:szCs w:val="22"/>
              </w:rPr>
            </w:pPr>
            <w:r w:rsidRPr="007923C2">
              <w:rPr>
                <w:rFonts w:ascii="Arial" w:hAnsi="Arial" w:cs="Arial"/>
                <w:b/>
                <w:sz w:val="22"/>
                <w:szCs w:val="22"/>
              </w:rPr>
              <w:t>Perfil profesional primario y secundario</w:t>
            </w:r>
          </w:p>
        </w:tc>
        <w:tc>
          <w:tcPr>
            <w:tcW w:w="1792" w:type="dxa"/>
          </w:tcPr>
          <w:p w14:paraId="1CB54864" w14:textId="77777777" w:rsidR="00BA0B24" w:rsidRPr="007923C2" w:rsidRDefault="00BA0B24" w:rsidP="00BA0B24">
            <w:pPr>
              <w:jc w:val="center"/>
              <w:rPr>
                <w:rFonts w:ascii="Arial" w:hAnsi="Arial" w:cs="Arial"/>
                <w:b/>
                <w:sz w:val="22"/>
                <w:szCs w:val="22"/>
              </w:rPr>
            </w:pPr>
            <w:r w:rsidRPr="007923C2">
              <w:rPr>
                <w:rFonts w:ascii="Arial" w:hAnsi="Arial" w:cs="Arial"/>
                <w:b/>
                <w:sz w:val="22"/>
                <w:szCs w:val="22"/>
              </w:rPr>
              <w:t>Objetivo general del programa</w:t>
            </w:r>
          </w:p>
        </w:tc>
        <w:tc>
          <w:tcPr>
            <w:tcW w:w="1567" w:type="dxa"/>
          </w:tcPr>
          <w:p w14:paraId="71A6DC5F" w14:textId="77777777" w:rsidR="00BA0B24" w:rsidRPr="007923C2" w:rsidRDefault="00BA0B24" w:rsidP="00BA0B24">
            <w:pPr>
              <w:jc w:val="center"/>
              <w:rPr>
                <w:rFonts w:ascii="Arial" w:hAnsi="Arial" w:cs="Arial"/>
                <w:b/>
                <w:sz w:val="22"/>
                <w:szCs w:val="22"/>
              </w:rPr>
            </w:pPr>
            <w:r w:rsidRPr="007923C2">
              <w:rPr>
                <w:rFonts w:ascii="Arial" w:hAnsi="Arial" w:cs="Arial"/>
                <w:b/>
                <w:sz w:val="22"/>
                <w:szCs w:val="22"/>
              </w:rPr>
              <w:t>Áreas de formación primaria y secundaria</w:t>
            </w:r>
          </w:p>
        </w:tc>
        <w:tc>
          <w:tcPr>
            <w:tcW w:w="1780" w:type="dxa"/>
          </w:tcPr>
          <w:p w14:paraId="2961239F" w14:textId="77777777" w:rsidR="00BA0B24" w:rsidRPr="007923C2" w:rsidRDefault="00BA0B24" w:rsidP="00BA0B24">
            <w:pPr>
              <w:jc w:val="center"/>
              <w:rPr>
                <w:rFonts w:ascii="Arial" w:hAnsi="Arial" w:cs="Arial"/>
                <w:b/>
                <w:sz w:val="22"/>
                <w:szCs w:val="22"/>
              </w:rPr>
            </w:pPr>
            <w:r w:rsidRPr="007923C2">
              <w:rPr>
                <w:rFonts w:ascii="Arial" w:hAnsi="Arial" w:cs="Arial"/>
                <w:b/>
                <w:sz w:val="22"/>
                <w:szCs w:val="22"/>
              </w:rPr>
              <w:t>Descripción del Bloque (con asignaturas)</w:t>
            </w:r>
          </w:p>
        </w:tc>
        <w:tc>
          <w:tcPr>
            <w:tcW w:w="1701" w:type="dxa"/>
          </w:tcPr>
          <w:p w14:paraId="0EA04F06" w14:textId="77777777" w:rsidR="00BA0B24" w:rsidRPr="007923C2" w:rsidRDefault="00BA0B24" w:rsidP="00BA0B24">
            <w:pPr>
              <w:jc w:val="center"/>
              <w:rPr>
                <w:rFonts w:ascii="Arial" w:hAnsi="Arial" w:cs="Arial"/>
                <w:b/>
                <w:sz w:val="22"/>
                <w:szCs w:val="22"/>
              </w:rPr>
            </w:pPr>
            <w:r w:rsidRPr="007923C2">
              <w:rPr>
                <w:rFonts w:ascii="Arial" w:hAnsi="Arial" w:cs="Arial"/>
                <w:b/>
                <w:sz w:val="22"/>
                <w:szCs w:val="22"/>
              </w:rPr>
              <w:t>Objetivo del bloque</w:t>
            </w:r>
          </w:p>
        </w:tc>
      </w:tr>
      <w:tr w:rsidR="00BA0B24" w:rsidRPr="007923C2" w14:paraId="4FDA6334" w14:textId="77777777" w:rsidTr="00BA0B24">
        <w:tc>
          <w:tcPr>
            <w:tcW w:w="1716" w:type="dxa"/>
          </w:tcPr>
          <w:p w14:paraId="3DB81B47"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1. Currículum integral</w:t>
            </w:r>
          </w:p>
          <w:p w14:paraId="5AFB4836" w14:textId="77777777" w:rsidR="00BA0B24" w:rsidRPr="007923C2" w:rsidRDefault="00BA0B24" w:rsidP="00BA0B24">
            <w:pPr>
              <w:rPr>
                <w:rFonts w:ascii="Arial" w:hAnsi="Arial" w:cs="Arial"/>
                <w:sz w:val="22"/>
                <w:szCs w:val="22"/>
              </w:rPr>
            </w:pPr>
            <w:r w:rsidRPr="007923C2">
              <w:rPr>
                <w:rFonts w:ascii="Arial" w:hAnsi="Arial" w:cs="Arial"/>
                <w:sz w:val="22"/>
                <w:szCs w:val="22"/>
              </w:rPr>
              <w:t>2. Formación de valores esenciales en el educando y educador</w:t>
            </w:r>
          </w:p>
          <w:p w14:paraId="750E1C27" w14:textId="77777777" w:rsidR="00BA0B24" w:rsidRPr="007923C2" w:rsidRDefault="00BA0B24" w:rsidP="00BA0B24">
            <w:pPr>
              <w:rPr>
                <w:rFonts w:ascii="Arial" w:hAnsi="Arial" w:cs="Arial"/>
                <w:sz w:val="22"/>
                <w:szCs w:val="22"/>
              </w:rPr>
            </w:pPr>
            <w:r w:rsidRPr="007923C2">
              <w:rPr>
                <w:rFonts w:ascii="Arial" w:hAnsi="Arial" w:cs="Arial"/>
                <w:sz w:val="22"/>
                <w:szCs w:val="22"/>
              </w:rPr>
              <w:t>3. Formación para el autoempleo</w:t>
            </w:r>
          </w:p>
          <w:p w14:paraId="395AEA85" w14:textId="77777777" w:rsidR="00BA0B24" w:rsidRPr="007923C2" w:rsidRDefault="00BA0B24" w:rsidP="00BA0B24">
            <w:pPr>
              <w:rPr>
                <w:rFonts w:ascii="Arial" w:hAnsi="Arial" w:cs="Arial"/>
                <w:sz w:val="22"/>
                <w:szCs w:val="22"/>
              </w:rPr>
            </w:pPr>
            <w:r w:rsidRPr="007923C2">
              <w:rPr>
                <w:rFonts w:ascii="Arial" w:hAnsi="Arial" w:cs="Arial"/>
                <w:sz w:val="22"/>
                <w:szCs w:val="22"/>
              </w:rPr>
              <w:t>4. Educación agrícola práctica</w:t>
            </w:r>
          </w:p>
          <w:p w14:paraId="6FE3CEF3" w14:textId="77777777" w:rsidR="00BA0B24" w:rsidRPr="007923C2" w:rsidRDefault="00BA0B24" w:rsidP="00BA0B24">
            <w:pPr>
              <w:rPr>
                <w:rFonts w:ascii="Arial" w:hAnsi="Arial" w:cs="Arial"/>
                <w:sz w:val="22"/>
                <w:szCs w:val="22"/>
              </w:rPr>
            </w:pPr>
            <w:r w:rsidRPr="007923C2">
              <w:rPr>
                <w:rFonts w:ascii="Arial" w:hAnsi="Arial" w:cs="Arial"/>
                <w:sz w:val="22"/>
                <w:szCs w:val="22"/>
              </w:rPr>
              <w:t>5. Aprendizaje significativo</w:t>
            </w:r>
          </w:p>
          <w:p w14:paraId="118729EE" w14:textId="77777777" w:rsidR="00BA0B24" w:rsidRPr="007923C2" w:rsidRDefault="00BA0B24" w:rsidP="00BA0B24">
            <w:pPr>
              <w:rPr>
                <w:rFonts w:ascii="Arial" w:hAnsi="Arial" w:cs="Arial"/>
                <w:sz w:val="22"/>
                <w:szCs w:val="22"/>
              </w:rPr>
            </w:pPr>
            <w:r w:rsidRPr="007923C2">
              <w:rPr>
                <w:rFonts w:ascii="Arial" w:hAnsi="Arial" w:cs="Arial"/>
                <w:sz w:val="22"/>
                <w:szCs w:val="22"/>
              </w:rPr>
              <w:t>6. Educación centrada en la persona</w:t>
            </w:r>
          </w:p>
          <w:p w14:paraId="09604770" w14:textId="77777777" w:rsidR="00BA0B24" w:rsidRPr="007923C2" w:rsidRDefault="00BA0B24" w:rsidP="00BA0B24">
            <w:pPr>
              <w:rPr>
                <w:rFonts w:ascii="Arial" w:hAnsi="Arial" w:cs="Arial"/>
                <w:sz w:val="22"/>
                <w:szCs w:val="22"/>
              </w:rPr>
            </w:pPr>
            <w:r w:rsidRPr="007923C2">
              <w:rPr>
                <w:rFonts w:ascii="Arial" w:hAnsi="Arial" w:cs="Arial"/>
                <w:sz w:val="22"/>
                <w:szCs w:val="22"/>
              </w:rPr>
              <w:t>7. Identificación vocacional</w:t>
            </w:r>
          </w:p>
          <w:p w14:paraId="4DA13B19" w14:textId="77777777" w:rsidR="00BA0B24" w:rsidRPr="007923C2" w:rsidRDefault="00BA0B24" w:rsidP="00BA0B24">
            <w:pPr>
              <w:rPr>
                <w:rFonts w:ascii="Arial" w:hAnsi="Arial" w:cs="Arial"/>
                <w:sz w:val="22"/>
                <w:szCs w:val="22"/>
              </w:rPr>
            </w:pPr>
            <w:r w:rsidRPr="007923C2">
              <w:rPr>
                <w:rFonts w:ascii="Arial" w:hAnsi="Arial" w:cs="Arial"/>
                <w:sz w:val="22"/>
                <w:szCs w:val="22"/>
              </w:rPr>
              <w:t>8. Examen de ubicación</w:t>
            </w:r>
          </w:p>
          <w:p w14:paraId="3D651CC0" w14:textId="77777777" w:rsidR="00BA0B24" w:rsidRPr="007923C2" w:rsidRDefault="00BA0B24" w:rsidP="00BA0B24">
            <w:pPr>
              <w:rPr>
                <w:rFonts w:ascii="Arial" w:hAnsi="Arial" w:cs="Arial"/>
                <w:sz w:val="22"/>
                <w:szCs w:val="22"/>
              </w:rPr>
            </w:pPr>
            <w:r w:rsidRPr="007923C2">
              <w:rPr>
                <w:rFonts w:ascii="Arial" w:hAnsi="Arial" w:cs="Arial"/>
                <w:sz w:val="22"/>
                <w:szCs w:val="22"/>
              </w:rPr>
              <w:t>9. Nivel propedéutico</w:t>
            </w:r>
          </w:p>
          <w:p w14:paraId="6B0CD674" w14:textId="77777777" w:rsidR="00BA0B24" w:rsidRPr="007923C2" w:rsidRDefault="00BA0B24" w:rsidP="00BA0B24">
            <w:pPr>
              <w:rPr>
                <w:rFonts w:ascii="Arial" w:hAnsi="Arial" w:cs="Arial"/>
                <w:sz w:val="22"/>
                <w:szCs w:val="22"/>
              </w:rPr>
            </w:pPr>
            <w:r w:rsidRPr="007923C2">
              <w:rPr>
                <w:rFonts w:ascii="Arial" w:hAnsi="Arial" w:cs="Arial"/>
                <w:sz w:val="22"/>
                <w:szCs w:val="22"/>
              </w:rPr>
              <w:t>10. Creación de nuevos niveles diplomado y especialización</w:t>
            </w:r>
          </w:p>
          <w:p w14:paraId="668BFEC6" w14:textId="77777777" w:rsidR="00BA0B24" w:rsidRPr="007923C2" w:rsidRDefault="00BA0B24" w:rsidP="00BA0B24">
            <w:pPr>
              <w:rPr>
                <w:rFonts w:ascii="Arial" w:hAnsi="Arial" w:cs="Arial"/>
                <w:sz w:val="22"/>
                <w:szCs w:val="22"/>
              </w:rPr>
            </w:pPr>
            <w:r w:rsidRPr="007923C2">
              <w:rPr>
                <w:rFonts w:ascii="Arial" w:hAnsi="Arial" w:cs="Arial"/>
                <w:sz w:val="22"/>
                <w:szCs w:val="22"/>
              </w:rPr>
              <w:t>11. Currículum</w:t>
            </w:r>
            <w:r w:rsidR="00850DEE">
              <w:rPr>
                <w:rFonts w:ascii="Arial" w:hAnsi="Arial" w:cs="Arial"/>
                <w:sz w:val="22"/>
                <w:szCs w:val="22"/>
              </w:rPr>
              <w:t xml:space="preserve"> flexible</w:t>
            </w:r>
          </w:p>
          <w:p w14:paraId="23B9DBA8" w14:textId="77777777" w:rsidR="00BA0B24" w:rsidRPr="007923C2" w:rsidRDefault="00BA0B24" w:rsidP="00BA0B24">
            <w:pPr>
              <w:rPr>
                <w:rFonts w:ascii="Arial" w:hAnsi="Arial" w:cs="Arial"/>
                <w:sz w:val="22"/>
                <w:szCs w:val="22"/>
              </w:rPr>
            </w:pPr>
            <w:r w:rsidRPr="007923C2">
              <w:rPr>
                <w:rFonts w:ascii="Arial" w:hAnsi="Arial" w:cs="Arial"/>
                <w:sz w:val="22"/>
                <w:szCs w:val="22"/>
              </w:rPr>
              <w:t>12. Cambio del modelo tradicional al nuevo modelo educativo integral</w:t>
            </w:r>
          </w:p>
          <w:p w14:paraId="2C2C7AD3" w14:textId="77777777" w:rsidR="00BA0B24" w:rsidRPr="007923C2" w:rsidRDefault="00BA0B24" w:rsidP="00BA0B24">
            <w:pPr>
              <w:rPr>
                <w:rFonts w:ascii="Arial" w:hAnsi="Arial" w:cs="Arial"/>
                <w:sz w:val="22"/>
                <w:szCs w:val="22"/>
              </w:rPr>
            </w:pPr>
            <w:r w:rsidRPr="007923C2">
              <w:rPr>
                <w:rFonts w:ascii="Arial" w:hAnsi="Arial" w:cs="Arial"/>
                <w:sz w:val="22"/>
                <w:szCs w:val="22"/>
              </w:rPr>
              <w:t>13. Formación de profesores</w:t>
            </w:r>
          </w:p>
          <w:p w14:paraId="4170AC5F" w14:textId="77777777" w:rsidR="00BA0B24" w:rsidRPr="007923C2" w:rsidRDefault="00BA0B24" w:rsidP="00BA0B24">
            <w:pPr>
              <w:rPr>
                <w:rFonts w:ascii="Arial" w:hAnsi="Arial" w:cs="Arial"/>
                <w:sz w:val="22"/>
                <w:szCs w:val="22"/>
              </w:rPr>
            </w:pPr>
            <w:r w:rsidRPr="007923C2">
              <w:rPr>
                <w:rFonts w:ascii="Arial" w:hAnsi="Arial" w:cs="Arial"/>
                <w:sz w:val="22"/>
                <w:szCs w:val="22"/>
              </w:rPr>
              <w:t>14. Modelo de Docencia</w:t>
            </w:r>
          </w:p>
          <w:p w14:paraId="1A918970" w14:textId="77777777" w:rsidR="00BA0B24" w:rsidRPr="007923C2" w:rsidRDefault="00BA0B24" w:rsidP="00BA0B24">
            <w:pPr>
              <w:rPr>
                <w:rFonts w:ascii="Arial" w:hAnsi="Arial" w:cs="Arial"/>
                <w:sz w:val="22"/>
                <w:szCs w:val="22"/>
              </w:rPr>
            </w:pPr>
          </w:p>
        </w:tc>
        <w:tc>
          <w:tcPr>
            <w:tcW w:w="1792" w:type="dxa"/>
          </w:tcPr>
          <w:p w14:paraId="5C5247C1" w14:textId="77777777" w:rsidR="00BA0B24" w:rsidRPr="007923C2" w:rsidRDefault="00BA0B24" w:rsidP="00BA0B24">
            <w:pPr>
              <w:rPr>
                <w:rFonts w:ascii="Arial" w:hAnsi="Arial" w:cs="Arial"/>
                <w:sz w:val="22"/>
                <w:szCs w:val="22"/>
              </w:rPr>
            </w:pPr>
            <w:r w:rsidRPr="007923C2">
              <w:rPr>
                <w:rFonts w:ascii="Arial" w:hAnsi="Arial" w:cs="Arial"/>
                <w:sz w:val="22"/>
                <w:szCs w:val="22"/>
              </w:rPr>
              <w:t>Contará con el conocimiento teórico práctico para uso y manejo sostenible de los recursos silvo-agropecuarios  lo que permitirá la participar en la solución de la problemática ambiental.</w:t>
            </w:r>
          </w:p>
          <w:p w14:paraId="5B97AE8C" w14:textId="77777777" w:rsidR="00BA0B24" w:rsidRPr="007923C2" w:rsidRDefault="00BA0B24" w:rsidP="00BA0B24">
            <w:pPr>
              <w:rPr>
                <w:rFonts w:ascii="Arial" w:hAnsi="Arial" w:cs="Arial"/>
                <w:sz w:val="22"/>
                <w:szCs w:val="22"/>
              </w:rPr>
            </w:pPr>
            <w:r w:rsidRPr="007923C2">
              <w:rPr>
                <w:rFonts w:ascii="Arial" w:hAnsi="Arial" w:cs="Arial"/>
                <w:sz w:val="22"/>
                <w:szCs w:val="22"/>
              </w:rPr>
              <w:t>Establecerá y/o participará en empresas de asesoría, servicio y consultoría dirigido al sector agropecuario, industrial y gubernamental en el manejo y cuidado del medio ambiente.</w:t>
            </w:r>
          </w:p>
          <w:p w14:paraId="65101F3A" w14:textId="77777777" w:rsidR="00BA0B24" w:rsidRPr="007923C2" w:rsidRDefault="00BA0B24" w:rsidP="00BA0B24">
            <w:pPr>
              <w:rPr>
                <w:rFonts w:ascii="Arial" w:hAnsi="Arial" w:cs="Arial"/>
                <w:sz w:val="22"/>
                <w:szCs w:val="22"/>
              </w:rPr>
            </w:pPr>
            <w:r w:rsidRPr="007923C2">
              <w:rPr>
                <w:rFonts w:ascii="Arial" w:hAnsi="Arial" w:cs="Arial"/>
                <w:sz w:val="22"/>
                <w:szCs w:val="22"/>
              </w:rPr>
              <w:t>Estará capacitado para proponer y ejecutar acciones de evaluación y conservación basándose en el conocimiento, de la legislación jurídica en materia de biodiversidad, bioética y seguridad ambiental.</w:t>
            </w:r>
          </w:p>
          <w:p w14:paraId="368AE344" w14:textId="77777777" w:rsidR="00BA0B24" w:rsidRPr="007923C2" w:rsidRDefault="00BA0B24" w:rsidP="00BA0B24">
            <w:pPr>
              <w:rPr>
                <w:rFonts w:ascii="Arial" w:hAnsi="Arial" w:cs="Arial"/>
                <w:sz w:val="22"/>
                <w:szCs w:val="22"/>
              </w:rPr>
            </w:pPr>
            <w:r w:rsidRPr="007923C2">
              <w:rPr>
                <w:rFonts w:ascii="Arial" w:hAnsi="Arial" w:cs="Arial"/>
                <w:sz w:val="22"/>
                <w:szCs w:val="22"/>
              </w:rPr>
              <w:t xml:space="preserve">Diseñará y/o ejecutará programas de inv. y docencia </w:t>
            </w:r>
            <w:r w:rsidRPr="007923C2">
              <w:rPr>
                <w:rFonts w:ascii="Arial" w:hAnsi="Arial" w:cs="Arial"/>
                <w:sz w:val="22"/>
                <w:szCs w:val="22"/>
              </w:rPr>
              <w:lastRenderedPageBreak/>
              <w:t>enfocados al desarrollo de la producción silvoagropecuaria sostenible.</w:t>
            </w:r>
          </w:p>
          <w:p w14:paraId="093D7076" w14:textId="77777777" w:rsidR="00BA0B24" w:rsidRPr="007923C2" w:rsidRDefault="00BA0B24" w:rsidP="00BA0B24">
            <w:pPr>
              <w:rPr>
                <w:rFonts w:ascii="Arial" w:hAnsi="Arial" w:cs="Arial"/>
                <w:sz w:val="22"/>
                <w:szCs w:val="22"/>
              </w:rPr>
            </w:pPr>
            <w:r w:rsidRPr="007923C2">
              <w:rPr>
                <w:rFonts w:ascii="Arial" w:hAnsi="Arial" w:cs="Arial"/>
                <w:sz w:val="22"/>
                <w:szCs w:val="22"/>
              </w:rPr>
              <w:t>Planes de manejo de áreas naturales protegidas, uso de ecotecnias en la producción agrícola y conservación de suelo  y agua.</w:t>
            </w:r>
          </w:p>
        </w:tc>
        <w:tc>
          <w:tcPr>
            <w:tcW w:w="1792" w:type="dxa"/>
          </w:tcPr>
          <w:p w14:paraId="151020A8"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Formar profesionistas con un enfoque multidisciplinario en el campo de la producción silvoagropecuaria sostenible, manejo legislación y conservación de recursos naturales apoyándose en conocimientos científicos y prácticos.</w:t>
            </w:r>
          </w:p>
        </w:tc>
        <w:tc>
          <w:tcPr>
            <w:tcW w:w="1567" w:type="dxa"/>
          </w:tcPr>
          <w:p w14:paraId="26C192F1" w14:textId="77777777" w:rsidR="00BA0B24" w:rsidRPr="007923C2" w:rsidRDefault="00BA0B24" w:rsidP="00BA0B24">
            <w:pPr>
              <w:rPr>
                <w:rFonts w:ascii="Arial" w:hAnsi="Arial" w:cs="Arial"/>
                <w:sz w:val="22"/>
                <w:szCs w:val="22"/>
              </w:rPr>
            </w:pPr>
            <w:r w:rsidRPr="007923C2">
              <w:rPr>
                <w:rFonts w:ascii="Arial" w:hAnsi="Arial" w:cs="Arial"/>
                <w:sz w:val="22"/>
                <w:szCs w:val="22"/>
              </w:rPr>
              <w:t>Agricultura alternativa</w:t>
            </w:r>
          </w:p>
          <w:p w14:paraId="6B2EED15" w14:textId="77777777" w:rsidR="00BA0B24" w:rsidRPr="007923C2" w:rsidRDefault="00BA0B24" w:rsidP="00BA0B24">
            <w:pPr>
              <w:rPr>
                <w:rFonts w:ascii="Arial" w:hAnsi="Arial" w:cs="Arial"/>
                <w:sz w:val="22"/>
                <w:szCs w:val="22"/>
              </w:rPr>
            </w:pPr>
          </w:p>
          <w:p w14:paraId="024A2E0D" w14:textId="77777777" w:rsidR="00BA0B24" w:rsidRPr="007923C2" w:rsidRDefault="00BA0B24" w:rsidP="00BA0B24">
            <w:pPr>
              <w:rPr>
                <w:rFonts w:ascii="Arial" w:hAnsi="Arial" w:cs="Arial"/>
                <w:sz w:val="22"/>
                <w:szCs w:val="22"/>
              </w:rPr>
            </w:pPr>
          </w:p>
          <w:p w14:paraId="72D56018" w14:textId="77777777" w:rsidR="00BA0B24" w:rsidRPr="007923C2" w:rsidRDefault="00BA0B24" w:rsidP="00BA0B24">
            <w:pPr>
              <w:rPr>
                <w:rFonts w:ascii="Arial" w:hAnsi="Arial" w:cs="Arial"/>
                <w:sz w:val="22"/>
                <w:szCs w:val="22"/>
              </w:rPr>
            </w:pPr>
          </w:p>
          <w:p w14:paraId="7ED45B79" w14:textId="77777777" w:rsidR="00BA0B24" w:rsidRPr="007923C2" w:rsidRDefault="00BA0B24" w:rsidP="00BA0B24">
            <w:pPr>
              <w:rPr>
                <w:rFonts w:ascii="Arial" w:hAnsi="Arial" w:cs="Arial"/>
                <w:sz w:val="22"/>
                <w:szCs w:val="22"/>
              </w:rPr>
            </w:pPr>
          </w:p>
          <w:p w14:paraId="33C6314F" w14:textId="77777777" w:rsidR="00BA0B24" w:rsidRPr="007923C2" w:rsidRDefault="00BA0B24" w:rsidP="00BA0B24">
            <w:pPr>
              <w:rPr>
                <w:rFonts w:ascii="Arial" w:hAnsi="Arial" w:cs="Arial"/>
                <w:sz w:val="22"/>
                <w:szCs w:val="22"/>
              </w:rPr>
            </w:pPr>
          </w:p>
          <w:p w14:paraId="555E8362" w14:textId="77777777" w:rsidR="00BA0B24" w:rsidRPr="007923C2" w:rsidRDefault="00BA0B24" w:rsidP="00BA0B24">
            <w:pPr>
              <w:rPr>
                <w:rFonts w:ascii="Arial" w:hAnsi="Arial" w:cs="Arial"/>
                <w:sz w:val="22"/>
                <w:szCs w:val="22"/>
              </w:rPr>
            </w:pPr>
          </w:p>
          <w:p w14:paraId="25E31EB8" w14:textId="77777777" w:rsidR="00BA0B24" w:rsidRPr="007923C2" w:rsidRDefault="00BA0B24" w:rsidP="00BA0B24">
            <w:pPr>
              <w:rPr>
                <w:rFonts w:ascii="Arial" w:hAnsi="Arial" w:cs="Arial"/>
                <w:sz w:val="22"/>
                <w:szCs w:val="22"/>
              </w:rPr>
            </w:pPr>
          </w:p>
          <w:p w14:paraId="151E43B3" w14:textId="77777777" w:rsidR="00BA0B24" w:rsidRPr="007923C2" w:rsidRDefault="00BA0B24" w:rsidP="00BA0B24">
            <w:pPr>
              <w:rPr>
                <w:rFonts w:ascii="Arial" w:hAnsi="Arial" w:cs="Arial"/>
                <w:sz w:val="22"/>
                <w:szCs w:val="22"/>
              </w:rPr>
            </w:pPr>
          </w:p>
          <w:p w14:paraId="4517EF1C" w14:textId="77777777" w:rsidR="00BA0B24" w:rsidRPr="007923C2" w:rsidRDefault="00BA0B24" w:rsidP="00BA0B24">
            <w:pPr>
              <w:rPr>
                <w:rFonts w:ascii="Arial" w:hAnsi="Arial" w:cs="Arial"/>
                <w:sz w:val="22"/>
                <w:szCs w:val="22"/>
              </w:rPr>
            </w:pPr>
          </w:p>
          <w:p w14:paraId="423CF125" w14:textId="77777777" w:rsidR="00BA0B24" w:rsidRPr="007923C2" w:rsidRDefault="00BA0B24" w:rsidP="00BA0B24">
            <w:pPr>
              <w:rPr>
                <w:rFonts w:ascii="Arial" w:hAnsi="Arial" w:cs="Arial"/>
                <w:sz w:val="22"/>
                <w:szCs w:val="22"/>
              </w:rPr>
            </w:pPr>
          </w:p>
          <w:p w14:paraId="36FBE877" w14:textId="77777777" w:rsidR="00BA0B24" w:rsidRPr="007923C2" w:rsidRDefault="00BA0B24" w:rsidP="00BA0B24">
            <w:pPr>
              <w:rPr>
                <w:rFonts w:ascii="Arial" w:hAnsi="Arial" w:cs="Arial"/>
                <w:sz w:val="22"/>
                <w:szCs w:val="22"/>
              </w:rPr>
            </w:pPr>
          </w:p>
          <w:p w14:paraId="7911F6C4" w14:textId="77777777" w:rsidR="00BA0B24" w:rsidRPr="007923C2" w:rsidRDefault="00BA0B24" w:rsidP="00BA0B24">
            <w:pPr>
              <w:rPr>
                <w:rFonts w:ascii="Arial" w:hAnsi="Arial" w:cs="Arial"/>
                <w:sz w:val="22"/>
                <w:szCs w:val="22"/>
              </w:rPr>
            </w:pPr>
          </w:p>
          <w:p w14:paraId="4134BFBA" w14:textId="77777777" w:rsidR="00BA0B24" w:rsidRPr="007923C2" w:rsidRDefault="00BA0B24" w:rsidP="00BA0B24">
            <w:pPr>
              <w:rPr>
                <w:rFonts w:ascii="Arial" w:hAnsi="Arial" w:cs="Arial"/>
                <w:sz w:val="22"/>
                <w:szCs w:val="22"/>
              </w:rPr>
            </w:pPr>
          </w:p>
          <w:p w14:paraId="1FAC2C99" w14:textId="77777777" w:rsidR="00BA0B24" w:rsidRPr="007923C2" w:rsidRDefault="00BA0B24" w:rsidP="00BA0B24">
            <w:pPr>
              <w:rPr>
                <w:rFonts w:ascii="Arial" w:hAnsi="Arial" w:cs="Arial"/>
                <w:sz w:val="22"/>
                <w:szCs w:val="22"/>
              </w:rPr>
            </w:pPr>
          </w:p>
          <w:p w14:paraId="2B379DE2" w14:textId="77777777" w:rsidR="00BA0B24" w:rsidRPr="007923C2" w:rsidRDefault="00BA0B24" w:rsidP="00BA0B24">
            <w:pPr>
              <w:rPr>
                <w:rFonts w:ascii="Arial" w:hAnsi="Arial" w:cs="Arial"/>
                <w:sz w:val="22"/>
                <w:szCs w:val="22"/>
              </w:rPr>
            </w:pPr>
          </w:p>
          <w:p w14:paraId="0FB0B8B4" w14:textId="77777777" w:rsidR="00BA0B24" w:rsidRPr="007923C2" w:rsidRDefault="00BA0B24" w:rsidP="00BA0B24">
            <w:pPr>
              <w:rPr>
                <w:rFonts w:ascii="Arial" w:hAnsi="Arial" w:cs="Arial"/>
                <w:sz w:val="22"/>
                <w:szCs w:val="22"/>
              </w:rPr>
            </w:pPr>
          </w:p>
          <w:p w14:paraId="09AA7D74" w14:textId="77777777" w:rsidR="00BA0B24" w:rsidRPr="007923C2" w:rsidRDefault="00BA0B24" w:rsidP="00BA0B24">
            <w:pPr>
              <w:rPr>
                <w:rFonts w:ascii="Arial" w:hAnsi="Arial" w:cs="Arial"/>
                <w:sz w:val="22"/>
                <w:szCs w:val="22"/>
              </w:rPr>
            </w:pPr>
          </w:p>
          <w:p w14:paraId="6C9B771F" w14:textId="77777777" w:rsidR="00BA0B24" w:rsidRPr="007923C2" w:rsidRDefault="00BA0B24" w:rsidP="00BA0B24">
            <w:pPr>
              <w:rPr>
                <w:rFonts w:ascii="Arial" w:hAnsi="Arial" w:cs="Arial"/>
                <w:sz w:val="22"/>
                <w:szCs w:val="22"/>
              </w:rPr>
            </w:pPr>
          </w:p>
          <w:p w14:paraId="2335D201" w14:textId="77777777" w:rsidR="00BA0B24" w:rsidRPr="007923C2" w:rsidRDefault="00BA0B24" w:rsidP="00BA0B24">
            <w:pPr>
              <w:rPr>
                <w:rFonts w:ascii="Arial" w:hAnsi="Arial" w:cs="Arial"/>
                <w:sz w:val="22"/>
                <w:szCs w:val="22"/>
              </w:rPr>
            </w:pPr>
          </w:p>
          <w:p w14:paraId="62C64003" w14:textId="77777777" w:rsidR="00BA0B24" w:rsidRPr="007923C2" w:rsidRDefault="00BA0B24" w:rsidP="00BA0B24">
            <w:pPr>
              <w:rPr>
                <w:rFonts w:ascii="Arial" w:hAnsi="Arial" w:cs="Arial"/>
                <w:sz w:val="22"/>
                <w:szCs w:val="22"/>
              </w:rPr>
            </w:pPr>
          </w:p>
          <w:p w14:paraId="6A929026" w14:textId="77777777" w:rsidR="00BA0B24" w:rsidRPr="007923C2" w:rsidRDefault="00BA0B24" w:rsidP="00BA0B24">
            <w:pPr>
              <w:rPr>
                <w:rFonts w:ascii="Arial" w:hAnsi="Arial" w:cs="Arial"/>
                <w:sz w:val="22"/>
                <w:szCs w:val="22"/>
              </w:rPr>
            </w:pPr>
          </w:p>
          <w:p w14:paraId="13B0F293" w14:textId="77777777" w:rsidR="00BA0B24" w:rsidRPr="007923C2" w:rsidRDefault="00BA0B24" w:rsidP="00BA0B24">
            <w:pPr>
              <w:rPr>
                <w:rFonts w:ascii="Arial" w:hAnsi="Arial" w:cs="Arial"/>
                <w:sz w:val="22"/>
                <w:szCs w:val="22"/>
              </w:rPr>
            </w:pPr>
          </w:p>
          <w:p w14:paraId="0656B30B" w14:textId="77777777" w:rsidR="00BA0B24" w:rsidRPr="007923C2" w:rsidRDefault="00BA0B24" w:rsidP="00BA0B24">
            <w:pPr>
              <w:rPr>
                <w:rFonts w:ascii="Arial" w:hAnsi="Arial" w:cs="Arial"/>
                <w:sz w:val="22"/>
                <w:szCs w:val="22"/>
              </w:rPr>
            </w:pPr>
          </w:p>
          <w:p w14:paraId="471F64F8" w14:textId="77777777" w:rsidR="00BA0B24" w:rsidRPr="007923C2" w:rsidRDefault="00BA0B24" w:rsidP="00BA0B24">
            <w:pPr>
              <w:rPr>
                <w:rFonts w:ascii="Arial" w:hAnsi="Arial" w:cs="Arial"/>
                <w:sz w:val="22"/>
                <w:szCs w:val="22"/>
              </w:rPr>
            </w:pPr>
          </w:p>
          <w:p w14:paraId="1A714BDF" w14:textId="77777777" w:rsidR="00BA0B24" w:rsidRPr="007923C2" w:rsidRDefault="00BA0B24" w:rsidP="00BA0B24">
            <w:pPr>
              <w:rPr>
                <w:rFonts w:ascii="Arial" w:hAnsi="Arial" w:cs="Arial"/>
                <w:sz w:val="22"/>
                <w:szCs w:val="22"/>
              </w:rPr>
            </w:pPr>
          </w:p>
          <w:p w14:paraId="07787252" w14:textId="77777777" w:rsidR="00BA0B24" w:rsidRPr="007923C2" w:rsidRDefault="00BA0B24" w:rsidP="00BA0B24">
            <w:pPr>
              <w:rPr>
                <w:rFonts w:ascii="Arial" w:hAnsi="Arial" w:cs="Arial"/>
                <w:sz w:val="22"/>
                <w:szCs w:val="22"/>
              </w:rPr>
            </w:pPr>
          </w:p>
          <w:p w14:paraId="32C67221" w14:textId="77777777" w:rsidR="00BA0B24" w:rsidRPr="007923C2" w:rsidRDefault="00BA0B24" w:rsidP="00BA0B24">
            <w:pPr>
              <w:rPr>
                <w:rFonts w:ascii="Arial" w:hAnsi="Arial" w:cs="Arial"/>
                <w:sz w:val="22"/>
                <w:szCs w:val="22"/>
              </w:rPr>
            </w:pPr>
          </w:p>
          <w:p w14:paraId="02153AA0" w14:textId="77777777" w:rsidR="00BA0B24" w:rsidRPr="007923C2" w:rsidRDefault="00BA0B24" w:rsidP="00BA0B24">
            <w:pPr>
              <w:rPr>
                <w:rFonts w:ascii="Arial" w:hAnsi="Arial" w:cs="Arial"/>
                <w:sz w:val="22"/>
                <w:szCs w:val="22"/>
              </w:rPr>
            </w:pPr>
          </w:p>
          <w:p w14:paraId="0376CF6A" w14:textId="77777777" w:rsidR="00BA0B24" w:rsidRPr="007923C2" w:rsidRDefault="00BA0B24" w:rsidP="00BA0B24">
            <w:pPr>
              <w:rPr>
                <w:rFonts w:ascii="Arial" w:hAnsi="Arial" w:cs="Arial"/>
                <w:sz w:val="22"/>
                <w:szCs w:val="22"/>
              </w:rPr>
            </w:pPr>
            <w:r w:rsidRPr="007923C2">
              <w:rPr>
                <w:rFonts w:ascii="Arial" w:hAnsi="Arial" w:cs="Arial"/>
                <w:sz w:val="22"/>
                <w:szCs w:val="22"/>
              </w:rPr>
              <w:t>Ecología y Contaminación ambiental</w:t>
            </w:r>
          </w:p>
          <w:p w14:paraId="7FFFCD54" w14:textId="77777777" w:rsidR="00BA0B24" w:rsidRPr="007923C2" w:rsidRDefault="00BA0B24" w:rsidP="00BA0B24">
            <w:pPr>
              <w:rPr>
                <w:rFonts w:ascii="Arial" w:hAnsi="Arial" w:cs="Arial"/>
                <w:sz w:val="22"/>
                <w:szCs w:val="22"/>
              </w:rPr>
            </w:pPr>
          </w:p>
          <w:p w14:paraId="13750CB7" w14:textId="77777777" w:rsidR="00BA0B24" w:rsidRPr="007923C2" w:rsidRDefault="00BA0B24" w:rsidP="00BA0B24">
            <w:pPr>
              <w:rPr>
                <w:rFonts w:ascii="Arial" w:hAnsi="Arial" w:cs="Arial"/>
                <w:sz w:val="22"/>
                <w:szCs w:val="22"/>
              </w:rPr>
            </w:pPr>
          </w:p>
          <w:p w14:paraId="0C7580C1" w14:textId="77777777" w:rsidR="00BA0B24" w:rsidRPr="007923C2" w:rsidRDefault="00BA0B24" w:rsidP="00BA0B24">
            <w:pPr>
              <w:rPr>
                <w:rFonts w:ascii="Arial" w:hAnsi="Arial" w:cs="Arial"/>
                <w:sz w:val="22"/>
                <w:szCs w:val="22"/>
              </w:rPr>
            </w:pPr>
          </w:p>
          <w:p w14:paraId="12D92F67" w14:textId="77777777" w:rsidR="00BA0B24" w:rsidRPr="007923C2" w:rsidRDefault="00BA0B24" w:rsidP="00BA0B24">
            <w:pPr>
              <w:rPr>
                <w:rFonts w:ascii="Arial" w:hAnsi="Arial" w:cs="Arial"/>
                <w:sz w:val="22"/>
                <w:szCs w:val="22"/>
              </w:rPr>
            </w:pPr>
          </w:p>
          <w:p w14:paraId="30FC3A3E" w14:textId="77777777" w:rsidR="00BA0B24" w:rsidRPr="007923C2" w:rsidRDefault="00BA0B24" w:rsidP="00BA0B24">
            <w:pPr>
              <w:rPr>
                <w:rFonts w:ascii="Arial" w:hAnsi="Arial" w:cs="Arial"/>
                <w:sz w:val="22"/>
                <w:szCs w:val="22"/>
              </w:rPr>
            </w:pPr>
          </w:p>
          <w:p w14:paraId="57531C5C" w14:textId="77777777" w:rsidR="00BA0B24" w:rsidRPr="007923C2" w:rsidRDefault="00BA0B24" w:rsidP="00BA0B24">
            <w:pPr>
              <w:rPr>
                <w:rFonts w:ascii="Arial" w:hAnsi="Arial" w:cs="Arial"/>
                <w:sz w:val="22"/>
                <w:szCs w:val="22"/>
              </w:rPr>
            </w:pPr>
          </w:p>
          <w:p w14:paraId="2A73EC56" w14:textId="77777777" w:rsidR="00BA0B24" w:rsidRPr="007923C2" w:rsidRDefault="00BA0B24" w:rsidP="00BA0B24">
            <w:pPr>
              <w:rPr>
                <w:rFonts w:ascii="Arial" w:hAnsi="Arial" w:cs="Arial"/>
                <w:sz w:val="22"/>
                <w:szCs w:val="22"/>
              </w:rPr>
            </w:pPr>
          </w:p>
          <w:p w14:paraId="3C3E5CD5" w14:textId="77777777" w:rsidR="00BA0B24" w:rsidRPr="007923C2" w:rsidRDefault="00BA0B24" w:rsidP="00BA0B24">
            <w:pPr>
              <w:rPr>
                <w:rFonts w:ascii="Arial" w:hAnsi="Arial" w:cs="Arial"/>
                <w:sz w:val="22"/>
                <w:szCs w:val="22"/>
              </w:rPr>
            </w:pPr>
          </w:p>
          <w:p w14:paraId="3F7C3D0F" w14:textId="77777777" w:rsidR="00BA0B24" w:rsidRPr="007923C2" w:rsidRDefault="00BA0B24" w:rsidP="00BA0B24">
            <w:pPr>
              <w:rPr>
                <w:rFonts w:ascii="Arial" w:hAnsi="Arial" w:cs="Arial"/>
                <w:sz w:val="22"/>
                <w:szCs w:val="22"/>
              </w:rPr>
            </w:pPr>
          </w:p>
          <w:p w14:paraId="1C3F2E96" w14:textId="77777777" w:rsidR="00BA0B24" w:rsidRPr="007923C2" w:rsidRDefault="00BA0B24" w:rsidP="00BA0B24">
            <w:pPr>
              <w:rPr>
                <w:rFonts w:ascii="Arial" w:hAnsi="Arial" w:cs="Arial"/>
                <w:sz w:val="22"/>
                <w:szCs w:val="22"/>
              </w:rPr>
            </w:pPr>
          </w:p>
          <w:p w14:paraId="3EEAE491" w14:textId="77777777" w:rsidR="00BA0B24" w:rsidRPr="007923C2" w:rsidRDefault="00BA0B24" w:rsidP="00BA0B24">
            <w:pPr>
              <w:rPr>
                <w:rFonts w:ascii="Arial" w:hAnsi="Arial" w:cs="Arial"/>
                <w:sz w:val="22"/>
                <w:szCs w:val="22"/>
              </w:rPr>
            </w:pPr>
          </w:p>
          <w:p w14:paraId="544F71BB" w14:textId="77777777" w:rsidR="00BA0B24" w:rsidRPr="007923C2" w:rsidRDefault="00BA0B24" w:rsidP="00BA0B24">
            <w:pPr>
              <w:rPr>
                <w:rFonts w:ascii="Arial" w:hAnsi="Arial" w:cs="Arial"/>
                <w:sz w:val="22"/>
                <w:szCs w:val="22"/>
              </w:rPr>
            </w:pPr>
          </w:p>
          <w:p w14:paraId="06CAF1B9" w14:textId="77777777" w:rsidR="00BA0B24" w:rsidRPr="007923C2" w:rsidRDefault="00BA0B24" w:rsidP="00BA0B24">
            <w:pPr>
              <w:rPr>
                <w:rFonts w:ascii="Arial" w:hAnsi="Arial" w:cs="Arial"/>
                <w:sz w:val="22"/>
                <w:szCs w:val="22"/>
              </w:rPr>
            </w:pPr>
          </w:p>
          <w:p w14:paraId="32A7F111" w14:textId="77777777" w:rsidR="00BA0B24" w:rsidRPr="007923C2" w:rsidRDefault="00BA0B24" w:rsidP="00BA0B24">
            <w:pPr>
              <w:rPr>
                <w:rFonts w:ascii="Arial" w:hAnsi="Arial" w:cs="Arial"/>
                <w:sz w:val="22"/>
                <w:szCs w:val="22"/>
              </w:rPr>
            </w:pPr>
          </w:p>
          <w:p w14:paraId="6FD7EF1E" w14:textId="77777777" w:rsidR="00BA0B24" w:rsidRPr="007923C2" w:rsidRDefault="00BA0B24" w:rsidP="00BA0B24">
            <w:pPr>
              <w:rPr>
                <w:rFonts w:ascii="Arial" w:hAnsi="Arial" w:cs="Arial"/>
                <w:sz w:val="22"/>
                <w:szCs w:val="22"/>
              </w:rPr>
            </w:pPr>
          </w:p>
          <w:p w14:paraId="49FD38DA" w14:textId="77777777" w:rsidR="00BA0B24" w:rsidRPr="007923C2" w:rsidRDefault="00BA0B24" w:rsidP="00BA0B24">
            <w:pPr>
              <w:rPr>
                <w:rFonts w:ascii="Arial" w:hAnsi="Arial" w:cs="Arial"/>
                <w:sz w:val="22"/>
                <w:szCs w:val="22"/>
              </w:rPr>
            </w:pPr>
          </w:p>
          <w:p w14:paraId="127ACCDA" w14:textId="77777777" w:rsidR="00BA0B24" w:rsidRPr="007923C2" w:rsidRDefault="00BA0B24" w:rsidP="00BA0B24">
            <w:pPr>
              <w:rPr>
                <w:rFonts w:ascii="Arial" w:hAnsi="Arial" w:cs="Arial"/>
                <w:sz w:val="22"/>
                <w:szCs w:val="22"/>
              </w:rPr>
            </w:pPr>
          </w:p>
          <w:p w14:paraId="0C118FE1" w14:textId="77777777" w:rsidR="00BA0B24" w:rsidRPr="007923C2" w:rsidRDefault="00BA0B24" w:rsidP="00BA0B24">
            <w:pPr>
              <w:rPr>
                <w:rFonts w:ascii="Arial" w:hAnsi="Arial" w:cs="Arial"/>
                <w:sz w:val="22"/>
                <w:szCs w:val="22"/>
              </w:rPr>
            </w:pPr>
          </w:p>
          <w:p w14:paraId="18C9658F" w14:textId="77777777" w:rsidR="00BA0B24" w:rsidRPr="007923C2" w:rsidRDefault="00BA0B24" w:rsidP="00BA0B24">
            <w:pPr>
              <w:rPr>
                <w:rFonts w:ascii="Arial" w:hAnsi="Arial" w:cs="Arial"/>
                <w:sz w:val="22"/>
                <w:szCs w:val="22"/>
              </w:rPr>
            </w:pPr>
          </w:p>
          <w:p w14:paraId="0149E8FC" w14:textId="77777777" w:rsidR="00BA0B24" w:rsidRPr="007923C2" w:rsidRDefault="00BA0B24" w:rsidP="00BA0B24">
            <w:pPr>
              <w:rPr>
                <w:rFonts w:ascii="Arial" w:hAnsi="Arial" w:cs="Arial"/>
                <w:sz w:val="22"/>
                <w:szCs w:val="22"/>
              </w:rPr>
            </w:pPr>
          </w:p>
          <w:p w14:paraId="0B7BAA59" w14:textId="77777777" w:rsidR="00BA0B24" w:rsidRPr="007923C2" w:rsidRDefault="00BA0B24" w:rsidP="00BA0B24">
            <w:pPr>
              <w:rPr>
                <w:rFonts w:ascii="Arial" w:hAnsi="Arial" w:cs="Arial"/>
                <w:sz w:val="22"/>
                <w:szCs w:val="22"/>
              </w:rPr>
            </w:pPr>
          </w:p>
          <w:p w14:paraId="2242BE8C" w14:textId="77777777" w:rsidR="00850DEE" w:rsidRDefault="00850DEE" w:rsidP="00BA0B24">
            <w:pPr>
              <w:rPr>
                <w:rFonts w:ascii="Arial" w:hAnsi="Arial" w:cs="Arial"/>
                <w:sz w:val="22"/>
                <w:szCs w:val="22"/>
              </w:rPr>
            </w:pPr>
          </w:p>
          <w:p w14:paraId="7594D843" w14:textId="77777777" w:rsidR="00850DEE" w:rsidRDefault="00850DEE" w:rsidP="00BA0B24">
            <w:pPr>
              <w:rPr>
                <w:rFonts w:ascii="Arial" w:hAnsi="Arial" w:cs="Arial"/>
                <w:sz w:val="22"/>
                <w:szCs w:val="22"/>
              </w:rPr>
            </w:pPr>
          </w:p>
          <w:p w14:paraId="6A396AE6" w14:textId="77777777" w:rsidR="00850DEE" w:rsidRDefault="00850DEE" w:rsidP="00BA0B24">
            <w:pPr>
              <w:rPr>
                <w:rFonts w:ascii="Arial" w:hAnsi="Arial" w:cs="Arial"/>
                <w:sz w:val="22"/>
                <w:szCs w:val="22"/>
              </w:rPr>
            </w:pPr>
          </w:p>
          <w:p w14:paraId="37C6F902" w14:textId="77777777" w:rsidR="00BA0B24" w:rsidRPr="007923C2" w:rsidRDefault="00BA0B24" w:rsidP="00BA0B24">
            <w:pPr>
              <w:rPr>
                <w:rFonts w:ascii="Arial" w:hAnsi="Arial" w:cs="Arial"/>
                <w:sz w:val="22"/>
                <w:szCs w:val="22"/>
              </w:rPr>
            </w:pPr>
            <w:r w:rsidRPr="007923C2">
              <w:rPr>
                <w:rFonts w:ascii="Arial" w:hAnsi="Arial" w:cs="Arial"/>
                <w:sz w:val="22"/>
                <w:szCs w:val="22"/>
              </w:rPr>
              <w:t>Biotecnología</w:t>
            </w:r>
          </w:p>
        </w:tc>
        <w:tc>
          <w:tcPr>
            <w:tcW w:w="1780" w:type="dxa"/>
          </w:tcPr>
          <w:p w14:paraId="674B9A71"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-Agroecología</w:t>
            </w:r>
          </w:p>
          <w:p w14:paraId="5A70BD49" w14:textId="77777777" w:rsidR="00BA0B24" w:rsidRPr="007923C2" w:rsidRDefault="00BA0B24" w:rsidP="00BA0B24">
            <w:pPr>
              <w:rPr>
                <w:rFonts w:ascii="Arial" w:hAnsi="Arial" w:cs="Arial"/>
                <w:sz w:val="22"/>
                <w:szCs w:val="22"/>
              </w:rPr>
            </w:pPr>
            <w:r w:rsidRPr="007923C2">
              <w:rPr>
                <w:rFonts w:ascii="Arial" w:hAnsi="Arial" w:cs="Arial"/>
                <w:sz w:val="22"/>
                <w:szCs w:val="22"/>
              </w:rPr>
              <w:t>-Bioagricultura</w:t>
            </w:r>
          </w:p>
          <w:p w14:paraId="321A8A5D" w14:textId="77777777" w:rsidR="00BA0B24" w:rsidRPr="007923C2" w:rsidRDefault="00BA0B24" w:rsidP="00BA0B24">
            <w:pPr>
              <w:rPr>
                <w:rFonts w:ascii="Arial" w:hAnsi="Arial" w:cs="Arial"/>
                <w:sz w:val="22"/>
                <w:szCs w:val="22"/>
              </w:rPr>
            </w:pPr>
            <w:r w:rsidRPr="007923C2">
              <w:rPr>
                <w:rFonts w:ascii="Arial" w:hAnsi="Arial" w:cs="Arial"/>
                <w:sz w:val="22"/>
                <w:szCs w:val="22"/>
              </w:rPr>
              <w:t>-Fertilidad y Fertilización del suelo</w:t>
            </w:r>
          </w:p>
          <w:p w14:paraId="3F3ADA64" w14:textId="77777777" w:rsidR="00BA0B24" w:rsidRPr="007923C2" w:rsidRDefault="00BA0B24" w:rsidP="00BA0B24">
            <w:pPr>
              <w:rPr>
                <w:rFonts w:ascii="Arial" w:hAnsi="Arial" w:cs="Arial"/>
                <w:sz w:val="22"/>
                <w:szCs w:val="22"/>
              </w:rPr>
            </w:pPr>
            <w:r w:rsidRPr="007923C2">
              <w:rPr>
                <w:rFonts w:ascii="Arial" w:hAnsi="Arial" w:cs="Arial"/>
                <w:sz w:val="22"/>
                <w:szCs w:val="22"/>
              </w:rPr>
              <w:t>-Manejo agroecológico del agua</w:t>
            </w:r>
          </w:p>
          <w:p w14:paraId="4FD9088B" w14:textId="77777777" w:rsidR="00BA0B24" w:rsidRPr="007923C2" w:rsidRDefault="00BA0B24" w:rsidP="00BA0B24">
            <w:pPr>
              <w:rPr>
                <w:rFonts w:ascii="Arial" w:hAnsi="Arial" w:cs="Arial"/>
                <w:sz w:val="22"/>
                <w:szCs w:val="22"/>
              </w:rPr>
            </w:pPr>
            <w:r w:rsidRPr="007923C2">
              <w:rPr>
                <w:rFonts w:ascii="Arial" w:hAnsi="Arial" w:cs="Arial"/>
                <w:sz w:val="22"/>
                <w:szCs w:val="22"/>
              </w:rPr>
              <w:t>-Manejo integrado de plagas</w:t>
            </w:r>
          </w:p>
          <w:p w14:paraId="54298AA5" w14:textId="77777777" w:rsidR="00BA0B24" w:rsidRPr="007923C2" w:rsidRDefault="00BA0B24" w:rsidP="00BA0B24">
            <w:pPr>
              <w:rPr>
                <w:rFonts w:ascii="Arial" w:hAnsi="Arial" w:cs="Arial"/>
                <w:sz w:val="22"/>
                <w:szCs w:val="22"/>
              </w:rPr>
            </w:pPr>
            <w:r w:rsidRPr="007923C2">
              <w:rPr>
                <w:rFonts w:ascii="Arial" w:hAnsi="Arial" w:cs="Arial"/>
                <w:sz w:val="22"/>
                <w:szCs w:val="22"/>
              </w:rPr>
              <w:t>-Agricultura sostenible e inocuidad.</w:t>
            </w:r>
          </w:p>
          <w:p w14:paraId="58B8C716" w14:textId="77777777" w:rsidR="00BA0B24" w:rsidRPr="007923C2" w:rsidRDefault="00BA0B24" w:rsidP="00BA0B24">
            <w:pPr>
              <w:rPr>
                <w:rFonts w:ascii="Arial" w:hAnsi="Arial" w:cs="Arial"/>
                <w:sz w:val="22"/>
                <w:szCs w:val="22"/>
              </w:rPr>
            </w:pPr>
          </w:p>
          <w:p w14:paraId="43BA8D74" w14:textId="77777777" w:rsidR="00BA0B24" w:rsidRPr="007923C2" w:rsidRDefault="00BA0B24" w:rsidP="00BA0B24">
            <w:pPr>
              <w:rPr>
                <w:rFonts w:ascii="Arial" w:hAnsi="Arial" w:cs="Arial"/>
                <w:sz w:val="22"/>
                <w:szCs w:val="22"/>
              </w:rPr>
            </w:pPr>
          </w:p>
          <w:p w14:paraId="66D17BA5" w14:textId="77777777" w:rsidR="00BA0B24" w:rsidRPr="007923C2" w:rsidRDefault="00BA0B24" w:rsidP="00BA0B24">
            <w:pPr>
              <w:rPr>
                <w:rFonts w:ascii="Arial" w:hAnsi="Arial" w:cs="Arial"/>
                <w:sz w:val="22"/>
                <w:szCs w:val="22"/>
              </w:rPr>
            </w:pPr>
          </w:p>
          <w:p w14:paraId="0D816759" w14:textId="77777777" w:rsidR="00BA0B24" w:rsidRPr="007923C2" w:rsidRDefault="00BA0B24" w:rsidP="00BA0B24">
            <w:pPr>
              <w:rPr>
                <w:rFonts w:ascii="Arial" w:hAnsi="Arial" w:cs="Arial"/>
                <w:sz w:val="22"/>
                <w:szCs w:val="22"/>
              </w:rPr>
            </w:pPr>
          </w:p>
          <w:p w14:paraId="38668538" w14:textId="77777777" w:rsidR="00BA0B24" w:rsidRPr="007923C2" w:rsidRDefault="00BA0B24" w:rsidP="00BA0B24">
            <w:pPr>
              <w:rPr>
                <w:rFonts w:ascii="Arial" w:hAnsi="Arial" w:cs="Arial"/>
                <w:sz w:val="22"/>
                <w:szCs w:val="22"/>
              </w:rPr>
            </w:pPr>
          </w:p>
          <w:p w14:paraId="50117E8C" w14:textId="77777777" w:rsidR="00BA0B24" w:rsidRPr="007923C2" w:rsidRDefault="00BA0B24" w:rsidP="00BA0B24">
            <w:pPr>
              <w:rPr>
                <w:rFonts w:ascii="Arial" w:hAnsi="Arial" w:cs="Arial"/>
                <w:sz w:val="22"/>
                <w:szCs w:val="22"/>
              </w:rPr>
            </w:pPr>
          </w:p>
          <w:p w14:paraId="4A30AC75" w14:textId="77777777" w:rsidR="00BA0B24" w:rsidRPr="007923C2" w:rsidRDefault="00BA0B24" w:rsidP="00BA0B24">
            <w:pPr>
              <w:rPr>
                <w:rFonts w:ascii="Arial" w:hAnsi="Arial" w:cs="Arial"/>
                <w:sz w:val="22"/>
                <w:szCs w:val="22"/>
              </w:rPr>
            </w:pPr>
          </w:p>
          <w:p w14:paraId="4854D80C" w14:textId="77777777" w:rsidR="00BA0B24" w:rsidRPr="007923C2" w:rsidRDefault="00BA0B24" w:rsidP="00BA0B24">
            <w:pPr>
              <w:rPr>
                <w:rFonts w:ascii="Arial" w:hAnsi="Arial" w:cs="Arial"/>
                <w:sz w:val="22"/>
                <w:szCs w:val="22"/>
              </w:rPr>
            </w:pPr>
          </w:p>
          <w:p w14:paraId="79F13280" w14:textId="77777777" w:rsidR="00BA0B24" w:rsidRPr="007923C2" w:rsidRDefault="00BA0B24" w:rsidP="00BA0B24">
            <w:pPr>
              <w:rPr>
                <w:rFonts w:ascii="Arial" w:hAnsi="Arial" w:cs="Arial"/>
                <w:sz w:val="22"/>
                <w:szCs w:val="22"/>
              </w:rPr>
            </w:pPr>
          </w:p>
          <w:p w14:paraId="352B5927" w14:textId="77777777" w:rsidR="00BA0B24" w:rsidRPr="007923C2" w:rsidRDefault="00BA0B24" w:rsidP="00BA0B24">
            <w:pPr>
              <w:rPr>
                <w:rFonts w:ascii="Arial" w:hAnsi="Arial" w:cs="Arial"/>
                <w:sz w:val="22"/>
                <w:szCs w:val="22"/>
              </w:rPr>
            </w:pPr>
          </w:p>
          <w:p w14:paraId="5B08025C" w14:textId="77777777" w:rsidR="00BA0B24" w:rsidRPr="007923C2" w:rsidRDefault="00BA0B24" w:rsidP="00BA0B24">
            <w:pPr>
              <w:rPr>
                <w:rFonts w:ascii="Arial" w:hAnsi="Arial" w:cs="Arial"/>
                <w:sz w:val="22"/>
                <w:szCs w:val="22"/>
              </w:rPr>
            </w:pPr>
          </w:p>
          <w:p w14:paraId="5D4F716A" w14:textId="77777777" w:rsidR="00BA0B24" w:rsidRPr="007923C2" w:rsidRDefault="00BA0B24" w:rsidP="00BA0B24">
            <w:pPr>
              <w:rPr>
                <w:rFonts w:ascii="Arial" w:hAnsi="Arial" w:cs="Arial"/>
                <w:sz w:val="22"/>
                <w:szCs w:val="22"/>
              </w:rPr>
            </w:pPr>
          </w:p>
          <w:p w14:paraId="4BBEE239" w14:textId="77777777" w:rsidR="00BA0B24" w:rsidRPr="007923C2" w:rsidRDefault="00BA0B24" w:rsidP="00BA0B24">
            <w:pPr>
              <w:rPr>
                <w:rFonts w:ascii="Arial" w:hAnsi="Arial" w:cs="Arial"/>
                <w:sz w:val="22"/>
                <w:szCs w:val="22"/>
              </w:rPr>
            </w:pPr>
          </w:p>
          <w:p w14:paraId="74F98211" w14:textId="77777777" w:rsidR="00BA0B24" w:rsidRPr="007923C2" w:rsidRDefault="00BA0B24" w:rsidP="00BA0B24">
            <w:pPr>
              <w:rPr>
                <w:rFonts w:ascii="Arial" w:hAnsi="Arial" w:cs="Arial"/>
                <w:sz w:val="22"/>
                <w:szCs w:val="22"/>
              </w:rPr>
            </w:pPr>
          </w:p>
          <w:p w14:paraId="22FFAC74" w14:textId="77777777" w:rsidR="00BA0B24" w:rsidRPr="007923C2" w:rsidRDefault="00BA0B24" w:rsidP="00BA0B24">
            <w:pPr>
              <w:rPr>
                <w:rFonts w:ascii="Arial" w:hAnsi="Arial" w:cs="Arial"/>
                <w:sz w:val="22"/>
                <w:szCs w:val="22"/>
              </w:rPr>
            </w:pPr>
          </w:p>
          <w:p w14:paraId="4587B5BB" w14:textId="77777777" w:rsidR="00BA0B24" w:rsidRPr="007923C2" w:rsidRDefault="00BA0B24" w:rsidP="00BA0B24">
            <w:pPr>
              <w:rPr>
                <w:rFonts w:ascii="Arial" w:hAnsi="Arial" w:cs="Arial"/>
                <w:sz w:val="22"/>
                <w:szCs w:val="22"/>
              </w:rPr>
            </w:pPr>
          </w:p>
          <w:p w14:paraId="0253ADBD" w14:textId="77777777" w:rsidR="00BA0B24" w:rsidRPr="007923C2" w:rsidRDefault="00BA0B24" w:rsidP="00BA0B24">
            <w:pPr>
              <w:rPr>
                <w:rFonts w:ascii="Arial" w:hAnsi="Arial" w:cs="Arial"/>
                <w:sz w:val="22"/>
                <w:szCs w:val="22"/>
              </w:rPr>
            </w:pPr>
            <w:r w:rsidRPr="007923C2">
              <w:rPr>
                <w:rFonts w:ascii="Arial" w:hAnsi="Arial" w:cs="Arial"/>
                <w:sz w:val="22"/>
                <w:szCs w:val="22"/>
              </w:rPr>
              <w:t>-Biodiversidad</w:t>
            </w:r>
          </w:p>
          <w:p w14:paraId="5F3CE73A" w14:textId="77777777" w:rsidR="00BA0B24" w:rsidRPr="007923C2" w:rsidRDefault="00BA0B24" w:rsidP="00BA0B24">
            <w:pPr>
              <w:rPr>
                <w:rFonts w:ascii="Arial" w:hAnsi="Arial" w:cs="Arial"/>
                <w:sz w:val="22"/>
                <w:szCs w:val="22"/>
              </w:rPr>
            </w:pPr>
            <w:r w:rsidRPr="007923C2">
              <w:rPr>
                <w:rFonts w:ascii="Arial" w:hAnsi="Arial" w:cs="Arial"/>
                <w:sz w:val="22"/>
                <w:szCs w:val="22"/>
              </w:rPr>
              <w:t>-Ecofisiología Vegetal</w:t>
            </w:r>
          </w:p>
          <w:p w14:paraId="3E7F856C" w14:textId="77777777" w:rsidR="00BA0B24" w:rsidRPr="007923C2" w:rsidRDefault="00BA0B24" w:rsidP="00BA0B24">
            <w:pPr>
              <w:rPr>
                <w:rFonts w:ascii="Arial" w:hAnsi="Arial" w:cs="Arial"/>
                <w:sz w:val="22"/>
                <w:szCs w:val="22"/>
              </w:rPr>
            </w:pPr>
            <w:r w:rsidRPr="007923C2">
              <w:rPr>
                <w:rFonts w:ascii="Arial" w:hAnsi="Arial" w:cs="Arial"/>
                <w:sz w:val="22"/>
                <w:szCs w:val="22"/>
              </w:rPr>
              <w:t>-Contaminación Ambiental</w:t>
            </w:r>
          </w:p>
          <w:p w14:paraId="3D2E598D" w14:textId="77777777" w:rsidR="00BA0B24" w:rsidRPr="007923C2" w:rsidRDefault="00BA0B24" w:rsidP="00BA0B24">
            <w:pPr>
              <w:rPr>
                <w:rFonts w:ascii="Arial" w:hAnsi="Arial" w:cs="Arial"/>
                <w:sz w:val="22"/>
                <w:szCs w:val="22"/>
              </w:rPr>
            </w:pPr>
            <w:r w:rsidRPr="007923C2">
              <w:rPr>
                <w:rFonts w:ascii="Arial" w:hAnsi="Arial" w:cs="Arial"/>
                <w:sz w:val="22"/>
                <w:szCs w:val="22"/>
              </w:rPr>
              <w:t>-Fauna silvestre</w:t>
            </w:r>
          </w:p>
          <w:p w14:paraId="362E3D7B" w14:textId="0E7C7A9F" w:rsidR="00BA0B24" w:rsidRPr="007923C2" w:rsidRDefault="00BA0B24" w:rsidP="00BA0B24">
            <w:pPr>
              <w:rPr>
                <w:rFonts w:ascii="Arial" w:hAnsi="Arial" w:cs="Arial"/>
                <w:sz w:val="22"/>
                <w:szCs w:val="22"/>
              </w:rPr>
            </w:pPr>
            <w:r w:rsidRPr="007923C2">
              <w:rPr>
                <w:rFonts w:ascii="Arial" w:hAnsi="Arial" w:cs="Arial"/>
                <w:sz w:val="22"/>
                <w:szCs w:val="22"/>
              </w:rPr>
              <w:t xml:space="preserve">-Evaluación de Ecosistemas </w:t>
            </w:r>
          </w:p>
          <w:p w14:paraId="26F9678F" w14:textId="77777777" w:rsidR="00BA0B24" w:rsidRPr="007923C2" w:rsidRDefault="00BA0B24" w:rsidP="00BA0B24">
            <w:pPr>
              <w:rPr>
                <w:rFonts w:ascii="Arial" w:hAnsi="Arial" w:cs="Arial"/>
                <w:sz w:val="22"/>
                <w:szCs w:val="22"/>
              </w:rPr>
            </w:pPr>
            <w:r w:rsidRPr="007923C2">
              <w:rPr>
                <w:rFonts w:ascii="Arial" w:hAnsi="Arial" w:cs="Arial"/>
                <w:sz w:val="22"/>
                <w:szCs w:val="22"/>
              </w:rPr>
              <w:t>-Manejo y Conservación de Recursos Bióticos.</w:t>
            </w:r>
          </w:p>
          <w:p w14:paraId="4906A48D" w14:textId="77777777" w:rsidR="00BA0B24" w:rsidRPr="007923C2" w:rsidRDefault="00BA0B24" w:rsidP="00BA0B24">
            <w:pPr>
              <w:rPr>
                <w:rFonts w:ascii="Arial" w:hAnsi="Arial" w:cs="Arial"/>
                <w:sz w:val="22"/>
                <w:szCs w:val="22"/>
              </w:rPr>
            </w:pPr>
            <w:r w:rsidRPr="007923C2">
              <w:rPr>
                <w:rFonts w:ascii="Arial" w:hAnsi="Arial" w:cs="Arial"/>
                <w:sz w:val="22"/>
                <w:szCs w:val="22"/>
              </w:rPr>
              <w:t>-Ecología de áreas naturales protegidas.</w:t>
            </w:r>
          </w:p>
          <w:p w14:paraId="1EE399A1" w14:textId="77777777" w:rsidR="00BA0B24" w:rsidRPr="007923C2" w:rsidRDefault="00BA0B24" w:rsidP="00BA0B24">
            <w:pPr>
              <w:rPr>
                <w:rFonts w:ascii="Arial" w:hAnsi="Arial" w:cs="Arial"/>
                <w:sz w:val="22"/>
                <w:szCs w:val="22"/>
              </w:rPr>
            </w:pPr>
          </w:p>
          <w:p w14:paraId="1C897840" w14:textId="77777777" w:rsidR="00BA0B24" w:rsidRPr="007923C2" w:rsidRDefault="00BA0B24" w:rsidP="00BA0B24">
            <w:pPr>
              <w:rPr>
                <w:rFonts w:ascii="Arial" w:hAnsi="Arial" w:cs="Arial"/>
                <w:sz w:val="22"/>
                <w:szCs w:val="22"/>
              </w:rPr>
            </w:pPr>
          </w:p>
          <w:p w14:paraId="60D70305" w14:textId="77777777" w:rsidR="00BA0B24" w:rsidRPr="007923C2" w:rsidRDefault="00BA0B24" w:rsidP="00BA0B24">
            <w:pPr>
              <w:rPr>
                <w:rFonts w:ascii="Arial" w:hAnsi="Arial" w:cs="Arial"/>
                <w:sz w:val="22"/>
                <w:szCs w:val="22"/>
              </w:rPr>
            </w:pPr>
          </w:p>
          <w:p w14:paraId="339BB381" w14:textId="77777777" w:rsidR="00BA0B24" w:rsidRPr="007923C2" w:rsidRDefault="00BA0B24" w:rsidP="00BA0B24">
            <w:pPr>
              <w:rPr>
                <w:rFonts w:ascii="Arial" w:hAnsi="Arial" w:cs="Arial"/>
                <w:sz w:val="22"/>
                <w:szCs w:val="22"/>
              </w:rPr>
            </w:pPr>
          </w:p>
          <w:p w14:paraId="774229C9" w14:textId="77777777" w:rsidR="00BA0B24" w:rsidRPr="007923C2" w:rsidRDefault="00BA0B24" w:rsidP="00BA0B24">
            <w:pPr>
              <w:rPr>
                <w:rFonts w:ascii="Arial" w:hAnsi="Arial" w:cs="Arial"/>
                <w:sz w:val="22"/>
                <w:szCs w:val="22"/>
              </w:rPr>
            </w:pPr>
          </w:p>
          <w:p w14:paraId="404A00A0" w14:textId="77777777" w:rsidR="00BA0B24" w:rsidRPr="007923C2" w:rsidRDefault="00BA0B24" w:rsidP="00BA0B24">
            <w:pPr>
              <w:rPr>
                <w:rFonts w:ascii="Arial" w:hAnsi="Arial" w:cs="Arial"/>
                <w:sz w:val="22"/>
                <w:szCs w:val="22"/>
              </w:rPr>
            </w:pPr>
          </w:p>
          <w:p w14:paraId="7206D6A9" w14:textId="77777777" w:rsidR="00BA0B24" w:rsidRPr="007923C2" w:rsidRDefault="00BA0B24" w:rsidP="00BA0B24">
            <w:pPr>
              <w:rPr>
                <w:rFonts w:ascii="Arial" w:hAnsi="Arial" w:cs="Arial"/>
                <w:sz w:val="22"/>
                <w:szCs w:val="22"/>
              </w:rPr>
            </w:pPr>
          </w:p>
          <w:p w14:paraId="0B65F7C0" w14:textId="77777777" w:rsidR="00850DEE" w:rsidRDefault="00850DEE" w:rsidP="00BA0B24">
            <w:pPr>
              <w:rPr>
                <w:rFonts w:ascii="Arial" w:hAnsi="Arial" w:cs="Arial"/>
                <w:sz w:val="22"/>
                <w:szCs w:val="22"/>
              </w:rPr>
            </w:pPr>
          </w:p>
          <w:p w14:paraId="61DE3905" w14:textId="77777777" w:rsidR="00850DEE" w:rsidRDefault="00850DEE" w:rsidP="00BA0B24">
            <w:pPr>
              <w:rPr>
                <w:rFonts w:ascii="Arial" w:hAnsi="Arial" w:cs="Arial"/>
                <w:sz w:val="22"/>
                <w:szCs w:val="22"/>
              </w:rPr>
            </w:pPr>
          </w:p>
          <w:p w14:paraId="4116DD67" w14:textId="77777777" w:rsidR="00F85CBB" w:rsidRDefault="00F85CBB" w:rsidP="00BA0B24">
            <w:pPr>
              <w:rPr>
                <w:rFonts w:ascii="Arial" w:hAnsi="Arial" w:cs="Arial"/>
                <w:sz w:val="22"/>
                <w:szCs w:val="22"/>
              </w:rPr>
            </w:pPr>
          </w:p>
          <w:p w14:paraId="253885AC" w14:textId="77777777" w:rsidR="00F85CBB" w:rsidRDefault="00F85CBB" w:rsidP="00BA0B24">
            <w:pPr>
              <w:rPr>
                <w:rFonts w:ascii="Arial" w:hAnsi="Arial" w:cs="Arial"/>
                <w:sz w:val="22"/>
                <w:szCs w:val="22"/>
              </w:rPr>
            </w:pPr>
          </w:p>
          <w:p w14:paraId="253E5E78" w14:textId="77777777" w:rsidR="00BA0B24" w:rsidRPr="007923C2" w:rsidRDefault="00BA0B24" w:rsidP="00BA0B24">
            <w:pPr>
              <w:rPr>
                <w:rFonts w:ascii="Arial" w:hAnsi="Arial" w:cs="Arial"/>
                <w:sz w:val="22"/>
                <w:szCs w:val="22"/>
              </w:rPr>
            </w:pPr>
            <w:r w:rsidRPr="007923C2">
              <w:rPr>
                <w:rFonts w:ascii="Arial" w:hAnsi="Arial" w:cs="Arial"/>
                <w:sz w:val="22"/>
                <w:szCs w:val="22"/>
              </w:rPr>
              <w:t>-Microbiología I</w:t>
            </w:r>
          </w:p>
          <w:p w14:paraId="64BAD96A" w14:textId="77777777" w:rsidR="00BA0B24" w:rsidRPr="007923C2" w:rsidRDefault="00BA0B24" w:rsidP="00BA0B24">
            <w:pPr>
              <w:rPr>
                <w:rFonts w:ascii="Arial" w:hAnsi="Arial" w:cs="Arial"/>
                <w:sz w:val="22"/>
                <w:szCs w:val="22"/>
              </w:rPr>
            </w:pPr>
            <w:r w:rsidRPr="007923C2">
              <w:rPr>
                <w:rFonts w:ascii="Arial" w:hAnsi="Arial" w:cs="Arial"/>
                <w:sz w:val="22"/>
                <w:szCs w:val="22"/>
              </w:rPr>
              <w:t>-Introducción a la Genética Molecular</w:t>
            </w:r>
          </w:p>
          <w:p w14:paraId="6F339DB5" w14:textId="77777777" w:rsidR="00BA0B24" w:rsidRPr="007923C2" w:rsidRDefault="00BA0B24" w:rsidP="00BA0B24">
            <w:pPr>
              <w:rPr>
                <w:rFonts w:ascii="Arial" w:hAnsi="Arial" w:cs="Arial"/>
                <w:sz w:val="22"/>
                <w:szCs w:val="22"/>
              </w:rPr>
            </w:pPr>
            <w:r w:rsidRPr="007923C2">
              <w:rPr>
                <w:rFonts w:ascii="Arial" w:hAnsi="Arial" w:cs="Arial"/>
                <w:sz w:val="22"/>
                <w:szCs w:val="22"/>
              </w:rPr>
              <w:t>-Biotecnología general</w:t>
            </w:r>
          </w:p>
          <w:p w14:paraId="2A361FAB" w14:textId="77777777" w:rsidR="00BA0B24" w:rsidRPr="007923C2" w:rsidRDefault="00BA0B24" w:rsidP="00BA0B24">
            <w:pPr>
              <w:rPr>
                <w:rFonts w:ascii="Arial" w:hAnsi="Arial" w:cs="Arial"/>
                <w:sz w:val="22"/>
                <w:szCs w:val="22"/>
              </w:rPr>
            </w:pPr>
          </w:p>
          <w:p w14:paraId="7969A0C9" w14:textId="77777777" w:rsidR="00BA0B24" w:rsidRPr="007923C2" w:rsidRDefault="00BA0B24" w:rsidP="00BA0B24">
            <w:pPr>
              <w:rPr>
                <w:rFonts w:ascii="Arial" w:hAnsi="Arial" w:cs="Arial"/>
                <w:sz w:val="22"/>
                <w:szCs w:val="22"/>
              </w:rPr>
            </w:pPr>
            <w:r w:rsidRPr="007923C2">
              <w:rPr>
                <w:rFonts w:ascii="Arial" w:hAnsi="Arial" w:cs="Arial"/>
                <w:sz w:val="22"/>
                <w:szCs w:val="22"/>
              </w:rPr>
              <w:t>Optativas</w:t>
            </w:r>
          </w:p>
          <w:p w14:paraId="644A2BAA" w14:textId="77777777" w:rsidR="00BA0B24" w:rsidRPr="007923C2" w:rsidRDefault="00BA0B24" w:rsidP="00BA0B24">
            <w:pPr>
              <w:rPr>
                <w:rFonts w:ascii="Arial" w:hAnsi="Arial" w:cs="Arial"/>
                <w:sz w:val="22"/>
                <w:szCs w:val="22"/>
              </w:rPr>
            </w:pPr>
            <w:r w:rsidRPr="007923C2">
              <w:rPr>
                <w:rFonts w:ascii="Arial" w:hAnsi="Arial" w:cs="Arial"/>
                <w:sz w:val="22"/>
                <w:szCs w:val="22"/>
              </w:rPr>
              <w:t>-Microbiología Industrial</w:t>
            </w:r>
          </w:p>
          <w:p w14:paraId="0C7A0149" w14:textId="77777777" w:rsidR="00BA0B24" w:rsidRPr="007923C2" w:rsidRDefault="00BA0B24" w:rsidP="00BA0B24">
            <w:pPr>
              <w:rPr>
                <w:rFonts w:ascii="Arial" w:hAnsi="Arial" w:cs="Arial"/>
                <w:sz w:val="22"/>
                <w:szCs w:val="22"/>
              </w:rPr>
            </w:pPr>
            <w:r w:rsidRPr="007923C2">
              <w:rPr>
                <w:rFonts w:ascii="Arial" w:hAnsi="Arial" w:cs="Arial"/>
                <w:sz w:val="22"/>
                <w:szCs w:val="22"/>
              </w:rPr>
              <w:t>-Recursos Genéticos</w:t>
            </w:r>
          </w:p>
          <w:p w14:paraId="3F900FE8" w14:textId="77777777" w:rsidR="00BA0B24" w:rsidRPr="007923C2" w:rsidRDefault="00BA0B24" w:rsidP="00BA0B24">
            <w:pPr>
              <w:rPr>
                <w:rFonts w:ascii="Arial" w:hAnsi="Arial" w:cs="Arial"/>
                <w:sz w:val="22"/>
                <w:szCs w:val="22"/>
              </w:rPr>
            </w:pPr>
            <w:r w:rsidRPr="007923C2">
              <w:rPr>
                <w:rFonts w:ascii="Arial" w:hAnsi="Arial" w:cs="Arial"/>
                <w:sz w:val="22"/>
                <w:szCs w:val="22"/>
              </w:rPr>
              <w:t>-Biotecnología ambiental</w:t>
            </w:r>
          </w:p>
          <w:p w14:paraId="14BF0E93" w14:textId="77777777" w:rsidR="00BA0B24" w:rsidRPr="007923C2" w:rsidRDefault="00BA0B24" w:rsidP="00BA0B24">
            <w:pPr>
              <w:rPr>
                <w:rFonts w:ascii="Arial" w:hAnsi="Arial" w:cs="Arial"/>
                <w:sz w:val="22"/>
                <w:szCs w:val="22"/>
              </w:rPr>
            </w:pPr>
            <w:r w:rsidRPr="007923C2">
              <w:rPr>
                <w:rFonts w:ascii="Arial" w:hAnsi="Arial" w:cs="Arial"/>
                <w:sz w:val="22"/>
                <w:szCs w:val="22"/>
              </w:rPr>
              <w:t>-Organismos Transgénicos</w:t>
            </w:r>
          </w:p>
          <w:p w14:paraId="009EE856" w14:textId="77777777" w:rsidR="00BA0B24" w:rsidRDefault="00BA0B24" w:rsidP="00BA0B24">
            <w:pPr>
              <w:rPr>
                <w:rFonts w:ascii="Arial" w:hAnsi="Arial" w:cs="Arial"/>
                <w:sz w:val="22"/>
                <w:szCs w:val="22"/>
              </w:rPr>
            </w:pPr>
            <w:r w:rsidRPr="007923C2">
              <w:rPr>
                <w:rFonts w:ascii="Arial" w:hAnsi="Arial" w:cs="Arial"/>
                <w:sz w:val="22"/>
                <w:szCs w:val="22"/>
              </w:rPr>
              <w:t>-Ingenieria Genética</w:t>
            </w:r>
          </w:p>
          <w:p w14:paraId="6B43D0EE" w14:textId="77777777" w:rsidR="00850DEE" w:rsidRDefault="00B42E10" w:rsidP="00BA0B24">
            <w:pPr>
              <w:rPr>
                <w:rFonts w:ascii="Arial" w:hAnsi="Arial" w:cs="Arial"/>
                <w:sz w:val="22"/>
                <w:szCs w:val="22"/>
              </w:rPr>
            </w:pPr>
            <w:r>
              <w:rPr>
                <w:rFonts w:ascii="Arial" w:hAnsi="Arial" w:cs="Arial"/>
                <w:sz w:val="22"/>
                <w:szCs w:val="22"/>
              </w:rPr>
              <w:t>-</w:t>
            </w:r>
            <w:r w:rsidR="00850DEE">
              <w:rPr>
                <w:rFonts w:ascii="Arial" w:hAnsi="Arial" w:cs="Arial"/>
                <w:sz w:val="22"/>
                <w:szCs w:val="22"/>
              </w:rPr>
              <w:t>Biotecnología II</w:t>
            </w:r>
          </w:p>
          <w:p w14:paraId="23B32251" w14:textId="77777777" w:rsidR="00850DEE" w:rsidRDefault="00B42E10" w:rsidP="00BA0B24">
            <w:pPr>
              <w:rPr>
                <w:rFonts w:ascii="Arial" w:hAnsi="Arial" w:cs="Arial"/>
                <w:sz w:val="22"/>
                <w:szCs w:val="22"/>
              </w:rPr>
            </w:pPr>
            <w:r>
              <w:rPr>
                <w:rFonts w:ascii="Arial" w:hAnsi="Arial" w:cs="Arial"/>
                <w:sz w:val="22"/>
                <w:szCs w:val="22"/>
              </w:rPr>
              <w:t>-Biología molecular</w:t>
            </w:r>
          </w:p>
          <w:p w14:paraId="2A383300" w14:textId="77777777" w:rsidR="00B42E10" w:rsidRPr="007923C2" w:rsidRDefault="00B42E10" w:rsidP="00BA0B24">
            <w:pPr>
              <w:rPr>
                <w:rFonts w:ascii="Arial" w:hAnsi="Arial" w:cs="Arial"/>
                <w:sz w:val="22"/>
                <w:szCs w:val="22"/>
              </w:rPr>
            </w:pPr>
            <w:r>
              <w:rPr>
                <w:rFonts w:ascii="Arial" w:hAnsi="Arial" w:cs="Arial"/>
                <w:sz w:val="22"/>
                <w:szCs w:val="22"/>
              </w:rPr>
              <w:t>-Introducción a la biotecnología molecular</w:t>
            </w:r>
          </w:p>
        </w:tc>
        <w:tc>
          <w:tcPr>
            <w:tcW w:w="1701" w:type="dxa"/>
          </w:tcPr>
          <w:p w14:paraId="49095BF8"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Será capaz de contribuir a la producción de alimentos bajo técnicas no convencionales de tal manera que la producción de los mismos destituya la pérdida de la autosuficiencia alimentaria al alcance de las mayorías o la totalidad de la población sean biológicamente sanas no se contamine el ambiente, se conserve la biodiversidad y hagamos de la tierra un planeta más habitable  y sostenible.</w:t>
            </w:r>
          </w:p>
          <w:p w14:paraId="071A1230" w14:textId="77777777" w:rsidR="00BA0B24" w:rsidRPr="007923C2" w:rsidRDefault="00BA0B24" w:rsidP="00BA0B24">
            <w:pPr>
              <w:rPr>
                <w:rFonts w:ascii="Arial" w:hAnsi="Arial" w:cs="Arial"/>
                <w:sz w:val="22"/>
                <w:szCs w:val="22"/>
              </w:rPr>
            </w:pPr>
          </w:p>
          <w:p w14:paraId="0E386DCB" w14:textId="77777777" w:rsidR="00BA0B24" w:rsidRPr="007923C2" w:rsidRDefault="00BA0B24" w:rsidP="00BA0B24">
            <w:pPr>
              <w:rPr>
                <w:rFonts w:ascii="Arial" w:hAnsi="Arial" w:cs="Arial"/>
                <w:sz w:val="22"/>
                <w:szCs w:val="22"/>
              </w:rPr>
            </w:pPr>
            <w:r w:rsidRPr="007923C2">
              <w:rPr>
                <w:rFonts w:ascii="Arial" w:hAnsi="Arial" w:cs="Arial"/>
                <w:sz w:val="22"/>
                <w:szCs w:val="22"/>
                <w:u w:val="single"/>
              </w:rPr>
              <w:t xml:space="preserve">Ecología y contaminación ambiental </w:t>
            </w:r>
            <w:r w:rsidRPr="007923C2">
              <w:rPr>
                <w:rFonts w:ascii="Arial" w:hAnsi="Arial" w:cs="Arial"/>
                <w:sz w:val="22"/>
                <w:szCs w:val="22"/>
              </w:rPr>
              <w:t xml:space="preserve">conocimiento de los principios ecológicos que rigen el fundamento de los ecosistemas y el impacto de las actividades del hombre a través de los sistemas de producción industrial, agrícola y actividades </w:t>
            </w:r>
            <w:r w:rsidRPr="007923C2">
              <w:rPr>
                <w:rFonts w:ascii="Arial" w:hAnsi="Arial" w:cs="Arial"/>
                <w:sz w:val="22"/>
                <w:szCs w:val="22"/>
              </w:rPr>
              <w:lastRenderedPageBreak/>
              <w:t>domésticas, además de la restauración de los ecosistemas dañados.</w:t>
            </w:r>
          </w:p>
          <w:p w14:paraId="25D8BA9F" w14:textId="77777777" w:rsidR="00BA0B24" w:rsidRPr="007923C2" w:rsidRDefault="00BA0B24" w:rsidP="00BA0B24">
            <w:pPr>
              <w:rPr>
                <w:rFonts w:ascii="Arial" w:hAnsi="Arial" w:cs="Arial"/>
                <w:sz w:val="22"/>
                <w:szCs w:val="22"/>
              </w:rPr>
            </w:pPr>
          </w:p>
          <w:p w14:paraId="067C303F" w14:textId="77777777" w:rsidR="00BA0B24" w:rsidRPr="007923C2" w:rsidRDefault="00BA0B24" w:rsidP="00BA0B24">
            <w:pPr>
              <w:rPr>
                <w:rFonts w:ascii="Arial" w:hAnsi="Arial" w:cs="Arial"/>
                <w:sz w:val="22"/>
                <w:szCs w:val="22"/>
                <w:u w:val="single"/>
              </w:rPr>
            </w:pPr>
            <w:r w:rsidRPr="007923C2">
              <w:rPr>
                <w:rFonts w:ascii="Arial" w:hAnsi="Arial" w:cs="Arial"/>
                <w:sz w:val="22"/>
                <w:szCs w:val="22"/>
                <w:u w:val="single"/>
              </w:rPr>
              <w:t xml:space="preserve">Biotecnología </w:t>
            </w:r>
          </w:p>
          <w:p w14:paraId="65538321" w14:textId="77777777" w:rsidR="00BA0B24" w:rsidRPr="007923C2" w:rsidRDefault="00BA0B24" w:rsidP="00BA0B24">
            <w:pPr>
              <w:rPr>
                <w:rFonts w:ascii="Arial" w:hAnsi="Arial" w:cs="Arial"/>
                <w:sz w:val="22"/>
                <w:szCs w:val="22"/>
              </w:rPr>
            </w:pPr>
            <w:r w:rsidRPr="007923C2">
              <w:rPr>
                <w:rFonts w:ascii="Arial" w:hAnsi="Arial" w:cs="Arial"/>
                <w:sz w:val="22"/>
                <w:szCs w:val="22"/>
              </w:rPr>
              <w:t>Serán capaces de aplicar el conocimiento de las ciencias a través del uso de los seres vivos y principalmente los microorganismos para la realización de procesos industriales, el uso de la biotecnología molecuar, la ingeniería genética y los cultivos in vitro para la conservación de especies en peligro de extinción y el aprovechamiento de formas vivas resistentes al stress ambiental</w:t>
            </w:r>
          </w:p>
        </w:tc>
      </w:tr>
    </w:tbl>
    <w:p w14:paraId="081C900B" w14:textId="77777777" w:rsidR="00F06890" w:rsidRPr="007923C2" w:rsidRDefault="00F06890" w:rsidP="005E47E4">
      <w:pPr>
        <w:widowControl w:val="0"/>
        <w:autoSpaceDE w:val="0"/>
        <w:autoSpaceDN w:val="0"/>
        <w:adjustRightInd w:val="0"/>
        <w:jc w:val="both"/>
        <w:rPr>
          <w:rFonts w:ascii="Arial" w:hAnsi="Arial" w:cs="Arial"/>
          <w:b/>
          <w:sz w:val="22"/>
          <w:szCs w:val="22"/>
        </w:rPr>
      </w:pPr>
    </w:p>
    <w:p w14:paraId="4ACEBAC8" w14:textId="77777777" w:rsidR="00F06890" w:rsidRPr="007923C2" w:rsidRDefault="00F06890" w:rsidP="005E47E4">
      <w:pPr>
        <w:widowControl w:val="0"/>
        <w:autoSpaceDE w:val="0"/>
        <w:autoSpaceDN w:val="0"/>
        <w:adjustRightInd w:val="0"/>
        <w:jc w:val="both"/>
        <w:rPr>
          <w:rFonts w:ascii="Arial" w:hAnsi="Arial" w:cs="Arial"/>
          <w:b/>
          <w:sz w:val="22"/>
          <w:szCs w:val="22"/>
        </w:rPr>
      </w:pPr>
    </w:p>
    <w:p w14:paraId="77E05AC0" w14:textId="77777777" w:rsidR="00F06890" w:rsidRPr="007923C2" w:rsidRDefault="00F06890" w:rsidP="005E47E4">
      <w:pPr>
        <w:widowControl w:val="0"/>
        <w:autoSpaceDE w:val="0"/>
        <w:autoSpaceDN w:val="0"/>
        <w:adjustRightInd w:val="0"/>
        <w:jc w:val="both"/>
        <w:rPr>
          <w:rFonts w:ascii="Arial" w:hAnsi="Arial" w:cs="Arial"/>
          <w:b/>
          <w:sz w:val="22"/>
          <w:szCs w:val="22"/>
        </w:rPr>
      </w:pPr>
    </w:p>
    <w:p w14:paraId="75067E9E" w14:textId="77777777" w:rsidR="00F06890" w:rsidRPr="007923C2" w:rsidRDefault="00F06890" w:rsidP="005E47E4">
      <w:pPr>
        <w:widowControl w:val="0"/>
        <w:autoSpaceDE w:val="0"/>
        <w:autoSpaceDN w:val="0"/>
        <w:adjustRightInd w:val="0"/>
        <w:jc w:val="both"/>
        <w:rPr>
          <w:rFonts w:ascii="Arial" w:hAnsi="Arial" w:cs="Arial"/>
          <w:b/>
          <w:sz w:val="22"/>
          <w:szCs w:val="22"/>
        </w:rPr>
      </w:pPr>
    </w:p>
    <w:p w14:paraId="215FEAF0" w14:textId="77777777" w:rsidR="004A1428" w:rsidRDefault="004A1428" w:rsidP="005E47E4">
      <w:pPr>
        <w:widowControl w:val="0"/>
        <w:autoSpaceDE w:val="0"/>
        <w:autoSpaceDN w:val="0"/>
        <w:adjustRightInd w:val="0"/>
        <w:jc w:val="both"/>
        <w:rPr>
          <w:rFonts w:ascii="Arial" w:hAnsi="Arial" w:cs="Arial"/>
          <w:b/>
          <w:sz w:val="22"/>
          <w:szCs w:val="22"/>
        </w:rPr>
      </w:pPr>
    </w:p>
    <w:p w14:paraId="046CD561" w14:textId="77777777" w:rsidR="00F85CBB" w:rsidRDefault="00F85CBB" w:rsidP="005E47E4">
      <w:pPr>
        <w:widowControl w:val="0"/>
        <w:autoSpaceDE w:val="0"/>
        <w:autoSpaceDN w:val="0"/>
        <w:adjustRightInd w:val="0"/>
        <w:jc w:val="both"/>
        <w:rPr>
          <w:rFonts w:ascii="Arial" w:hAnsi="Arial" w:cs="Arial"/>
          <w:b/>
          <w:sz w:val="22"/>
          <w:szCs w:val="22"/>
        </w:rPr>
      </w:pPr>
    </w:p>
    <w:p w14:paraId="5E429F10" w14:textId="77777777" w:rsidR="00F85CBB" w:rsidRDefault="00F85CBB" w:rsidP="005E47E4">
      <w:pPr>
        <w:widowControl w:val="0"/>
        <w:autoSpaceDE w:val="0"/>
        <w:autoSpaceDN w:val="0"/>
        <w:adjustRightInd w:val="0"/>
        <w:jc w:val="both"/>
        <w:rPr>
          <w:rFonts w:ascii="Arial" w:hAnsi="Arial" w:cs="Arial"/>
          <w:b/>
          <w:sz w:val="22"/>
          <w:szCs w:val="22"/>
        </w:rPr>
      </w:pPr>
    </w:p>
    <w:p w14:paraId="153471CE" w14:textId="77777777" w:rsidR="00114934" w:rsidRPr="007923C2" w:rsidRDefault="005D30B7"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lastRenderedPageBreak/>
        <w:t>BLOQUES. DESCRIPCIÓN DE ÁREAS DEL CONOCIMIENTO QUE CONFORMAN EL PLAN DE ESTUDIOS EXPRESADOS EN ASIGNATURAS.</w:t>
      </w:r>
    </w:p>
    <w:p w14:paraId="17FEAFCC" w14:textId="77777777" w:rsidR="00114934" w:rsidRPr="007923C2" w:rsidRDefault="00114934" w:rsidP="005E47E4">
      <w:pPr>
        <w:widowControl w:val="0"/>
        <w:autoSpaceDE w:val="0"/>
        <w:autoSpaceDN w:val="0"/>
        <w:adjustRightInd w:val="0"/>
        <w:jc w:val="both"/>
        <w:rPr>
          <w:rFonts w:ascii="Arial" w:hAnsi="Arial" w:cs="Arial"/>
          <w:b/>
          <w:sz w:val="22"/>
          <w:szCs w:val="22"/>
        </w:rPr>
      </w:pPr>
    </w:p>
    <w:tbl>
      <w:tblPr>
        <w:tblStyle w:val="Tablaconcuadrcula"/>
        <w:tblW w:w="9577" w:type="dxa"/>
        <w:tblInd w:w="-113" w:type="dxa"/>
        <w:tblLook w:val="04A0" w:firstRow="1" w:lastRow="0" w:firstColumn="1" w:lastColumn="0" w:noHBand="0" w:noVBand="1"/>
      </w:tblPr>
      <w:tblGrid>
        <w:gridCol w:w="113"/>
        <w:gridCol w:w="1483"/>
        <w:gridCol w:w="250"/>
        <w:gridCol w:w="1692"/>
        <w:gridCol w:w="241"/>
        <w:gridCol w:w="2057"/>
        <w:gridCol w:w="208"/>
        <w:gridCol w:w="3420"/>
        <w:gridCol w:w="113"/>
      </w:tblGrid>
      <w:tr w:rsidR="00BA0B24" w:rsidRPr="007923C2" w14:paraId="6155B17B" w14:textId="77777777" w:rsidTr="0049242B">
        <w:trPr>
          <w:gridBefore w:val="1"/>
          <w:wBefore w:w="113" w:type="dxa"/>
        </w:trPr>
        <w:tc>
          <w:tcPr>
            <w:tcW w:w="1733" w:type="dxa"/>
            <w:gridSpan w:val="2"/>
            <w:tcBorders>
              <w:bottom w:val="single" w:sz="4" w:space="0" w:color="auto"/>
            </w:tcBorders>
          </w:tcPr>
          <w:p w14:paraId="20AAF549" w14:textId="77777777" w:rsidR="00BA0B24" w:rsidRPr="007923C2" w:rsidRDefault="00BA0B24" w:rsidP="00BA0B24">
            <w:pPr>
              <w:rPr>
                <w:rFonts w:ascii="Arial" w:hAnsi="Arial" w:cs="Arial"/>
                <w:sz w:val="22"/>
                <w:szCs w:val="22"/>
              </w:rPr>
            </w:pPr>
            <w:r w:rsidRPr="007923C2">
              <w:rPr>
                <w:rFonts w:ascii="Arial" w:hAnsi="Arial" w:cs="Arial"/>
                <w:sz w:val="22"/>
                <w:szCs w:val="22"/>
              </w:rPr>
              <w:t>Bloque</w:t>
            </w:r>
          </w:p>
        </w:tc>
        <w:tc>
          <w:tcPr>
            <w:tcW w:w="1933" w:type="dxa"/>
            <w:gridSpan w:val="2"/>
            <w:tcBorders>
              <w:bottom w:val="single" w:sz="4" w:space="0" w:color="auto"/>
            </w:tcBorders>
          </w:tcPr>
          <w:p w14:paraId="5990B2A2" w14:textId="77777777" w:rsidR="00BA0B24" w:rsidRPr="007923C2" w:rsidRDefault="00BA0B24" w:rsidP="00BA0B24">
            <w:pPr>
              <w:rPr>
                <w:rFonts w:ascii="Arial" w:hAnsi="Arial" w:cs="Arial"/>
                <w:sz w:val="22"/>
                <w:szCs w:val="22"/>
              </w:rPr>
            </w:pPr>
            <w:r w:rsidRPr="007923C2">
              <w:rPr>
                <w:rFonts w:ascii="Arial" w:hAnsi="Arial" w:cs="Arial"/>
                <w:sz w:val="22"/>
                <w:szCs w:val="22"/>
              </w:rPr>
              <w:t>Objetivo del Bloque</w:t>
            </w:r>
          </w:p>
        </w:tc>
        <w:tc>
          <w:tcPr>
            <w:tcW w:w="2265" w:type="dxa"/>
            <w:gridSpan w:val="2"/>
            <w:tcBorders>
              <w:bottom w:val="single" w:sz="4" w:space="0" w:color="auto"/>
            </w:tcBorders>
          </w:tcPr>
          <w:p w14:paraId="1F21C4C6" w14:textId="77777777" w:rsidR="00BA0B24" w:rsidRPr="007923C2" w:rsidRDefault="00BA0B24" w:rsidP="00BA0B24">
            <w:pPr>
              <w:rPr>
                <w:rFonts w:ascii="Arial" w:hAnsi="Arial" w:cs="Arial"/>
                <w:sz w:val="22"/>
                <w:szCs w:val="22"/>
              </w:rPr>
            </w:pPr>
            <w:r w:rsidRPr="007923C2">
              <w:rPr>
                <w:rFonts w:ascii="Arial" w:hAnsi="Arial" w:cs="Arial"/>
                <w:sz w:val="22"/>
                <w:szCs w:val="22"/>
              </w:rPr>
              <w:t>Secuencia de Asignaturas</w:t>
            </w:r>
          </w:p>
        </w:tc>
        <w:tc>
          <w:tcPr>
            <w:tcW w:w="3533" w:type="dxa"/>
            <w:gridSpan w:val="2"/>
            <w:tcBorders>
              <w:bottom w:val="single" w:sz="4" w:space="0" w:color="auto"/>
            </w:tcBorders>
          </w:tcPr>
          <w:p w14:paraId="6D86A430" w14:textId="77777777" w:rsidR="00BA0B24" w:rsidRPr="007923C2" w:rsidRDefault="00BA0B24" w:rsidP="00BA0B24">
            <w:pPr>
              <w:rPr>
                <w:rFonts w:ascii="Arial" w:hAnsi="Arial" w:cs="Arial"/>
                <w:sz w:val="22"/>
                <w:szCs w:val="22"/>
              </w:rPr>
            </w:pPr>
            <w:r w:rsidRPr="007923C2">
              <w:rPr>
                <w:rFonts w:ascii="Arial" w:hAnsi="Arial" w:cs="Arial"/>
                <w:sz w:val="22"/>
                <w:szCs w:val="22"/>
              </w:rPr>
              <w:t>Orientación formativa de la Asignatura</w:t>
            </w:r>
          </w:p>
        </w:tc>
      </w:tr>
      <w:tr w:rsidR="00BA0B24" w:rsidRPr="007923C2" w14:paraId="18B95E96" w14:textId="77777777" w:rsidTr="0049242B">
        <w:trPr>
          <w:gridBefore w:val="1"/>
          <w:wBefore w:w="113" w:type="dxa"/>
        </w:trPr>
        <w:tc>
          <w:tcPr>
            <w:tcW w:w="1733" w:type="dxa"/>
            <w:gridSpan w:val="2"/>
          </w:tcPr>
          <w:p w14:paraId="2F86B931" w14:textId="77777777" w:rsidR="00BA0B24" w:rsidRPr="007923C2" w:rsidRDefault="00BA0B24" w:rsidP="00BA0B24">
            <w:pPr>
              <w:rPr>
                <w:rFonts w:ascii="Arial" w:hAnsi="Arial" w:cs="Arial"/>
                <w:sz w:val="22"/>
                <w:szCs w:val="22"/>
              </w:rPr>
            </w:pPr>
            <w:r w:rsidRPr="007923C2">
              <w:rPr>
                <w:rFonts w:ascii="Arial" w:hAnsi="Arial" w:cs="Arial"/>
                <w:sz w:val="22"/>
                <w:szCs w:val="22"/>
              </w:rPr>
              <w:t>Formación General Ciencias Naturales y Exactas</w:t>
            </w:r>
          </w:p>
        </w:tc>
        <w:tc>
          <w:tcPr>
            <w:tcW w:w="1933" w:type="dxa"/>
            <w:gridSpan w:val="2"/>
          </w:tcPr>
          <w:p w14:paraId="5E7B49CA" w14:textId="77777777" w:rsidR="00BA0B24" w:rsidRPr="007923C2" w:rsidRDefault="00BA0B24" w:rsidP="00BA0B24">
            <w:pPr>
              <w:rPr>
                <w:rFonts w:ascii="Arial" w:hAnsi="Arial" w:cs="Arial"/>
                <w:sz w:val="22"/>
                <w:szCs w:val="22"/>
              </w:rPr>
            </w:pPr>
            <w:r w:rsidRPr="007923C2">
              <w:rPr>
                <w:rFonts w:ascii="Arial" w:hAnsi="Arial" w:cs="Arial"/>
                <w:sz w:val="22"/>
                <w:szCs w:val="22"/>
              </w:rPr>
              <w:t>Fundamentar los conocimientos generales que serán utilizados por las asignaturas especializantes para interpretar los fenómenos y poder aplicarlo en un aprendizaje significativo.</w:t>
            </w:r>
          </w:p>
        </w:tc>
        <w:tc>
          <w:tcPr>
            <w:tcW w:w="2265" w:type="dxa"/>
            <w:gridSpan w:val="2"/>
          </w:tcPr>
          <w:p w14:paraId="3ACAC50B" w14:textId="77777777" w:rsidR="00BA0B24" w:rsidRPr="007923C2" w:rsidRDefault="00BA0B24" w:rsidP="00BA0B24">
            <w:pPr>
              <w:rPr>
                <w:rFonts w:ascii="Arial" w:hAnsi="Arial" w:cs="Arial"/>
                <w:sz w:val="22"/>
                <w:szCs w:val="22"/>
              </w:rPr>
            </w:pPr>
            <w:r w:rsidRPr="007923C2">
              <w:rPr>
                <w:rFonts w:ascii="Arial" w:hAnsi="Arial" w:cs="Arial"/>
                <w:sz w:val="22"/>
                <w:szCs w:val="22"/>
              </w:rPr>
              <w:t>Matemáticas</w:t>
            </w:r>
          </w:p>
          <w:p w14:paraId="0FF5F7BD" w14:textId="77777777" w:rsidR="00BA0B24" w:rsidRPr="007923C2" w:rsidRDefault="00BA0B24" w:rsidP="00BA0B24">
            <w:pPr>
              <w:rPr>
                <w:rFonts w:ascii="Arial" w:hAnsi="Arial" w:cs="Arial"/>
                <w:sz w:val="22"/>
                <w:szCs w:val="22"/>
              </w:rPr>
            </w:pPr>
          </w:p>
          <w:p w14:paraId="6A2DBEBC" w14:textId="77777777" w:rsidR="00BA0B24" w:rsidRPr="007923C2" w:rsidRDefault="00BA0B24" w:rsidP="00BA0B24">
            <w:pPr>
              <w:rPr>
                <w:rFonts w:ascii="Arial" w:hAnsi="Arial" w:cs="Arial"/>
                <w:sz w:val="22"/>
                <w:szCs w:val="22"/>
              </w:rPr>
            </w:pPr>
          </w:p>
          <w:p w14:paraId="77FB3186" w14:textId="77777777" w:rsidR="00BA0B24" w:rsidRPr="007923C2" w:rsidRDefault="00BA0B24" w:rsidP="00BA0B24">
            <w:pPr>
              <w:rPr>
                <w:rFonts w:ascii="Arial" w:hAnsi="Arial" w:cs="Arial"/>
                <w:sz w:val="22"/>
                <w:szCs w:val="22"/>
              </w:rPr>
            </w:pPr>
          </w:p>
          <w:p w14:paraId="7AA7CBDA" w14:textId="77777777" w:rsidR="00BA0B24" w:rsidRPr="007923C2" w:rsidRDefault="00BA0B24" w:rsidP="00BA0B24">
            <w:pPr>
              <w:rPr>
                <w:rFonts w:ascii="Arial" w:hAnsi="Arial" w:cs="Arial"/>
                <w:sz w:val="22"/>
                <w:szCs w:val="22"/>
              </w:rPr>
            </w:pPr>
          </w:p>
          <w:p w14:paraId="124452E0" w14:textId="77777777" w:rsidR="00BA0B24" w:rsidRPr="007923C2" w:rsidRDefault="00BA0B24" w:rsidP="00BA0B24">
            <w:pPr>
              <w:rPr>
                <w:rFonts w:ascii="Arial" w:hAnsi="Arial" w:cs="Arial"/>
                <w:sz w:val="22"/>
                <w:szCs w:val="22"/>
              </w:rPr>
            </w:pPr>
          </w:p>
          <w:p w14:paraId="622C0568" w14:textId="77777777" w:rsidR="00BA0B24" w:rsidRPr="007923C2" w:rsidRDefault="00BA0B24" w:rsidP="00BA0B24">
            <w:pPr>
              <w:rPr>
                <w:rFonts w:ascii="Arial" w:hAnsi="Arial" w:cs="Arial"/>
                <w:sz w:val="22"/>
                <w:szCs w:val="22"/>
              </w:rPr>
            </w:pPr>
            <w:r w:rsidRPr="007923C2">
              <w:rPr>
                <w:rFonts w:ascii="Arial" w:hAnsi="Arial" w:cs="Arial"/>
                <w:sz w:val="22"/>
                <w:szCs w:val="22"/>
              </w:rPr>
              <w:t xml:space="preserve">-Química </w:t>
            </w:r>
          </w:p>
          <w:p w14:paraId="4DD86329" w14:textId="77777777" w:rsidR="00BA0B24" w:rsidRPr="007923C2" w:rsidRDefault="00BA0B24" w:rsidP="00BA0B24">
            <w:pPr>
              <w:rPr>
                <w:rFonts w:ascii="Arial" w:hAnsi="Arial" w:cs="Arial"/>
                <w:sz w:val="22"/>
                <w:szCs w:val="22"/>
              </w:rPr>
            </w:pPr>
          </w:p>
          <w:p w14:paraId="016109D2" w14:textId="77777777" w:rsidR="00BA0B24" w:rsidRPr="007923C2" w:rsidRDefault="00BA0B24" w:rsidP="00BA0B24">
            <w:pPr>
              <w:rPr>
                <w:rFonts w:ascii="Arial" w:hAnsi="Arial" w:cs="Arial"/>
                <w:sz w:val="22"/>
                <w:szCs w:val="22"/>
              </w:rPr>
            </w:pPr>
          </w:p>
          <w:p w14:paraId="02C25C50" w14:textId="77777777" w:rsidR="00BA0B24" w:rsidRPr="007923C2" w:rsidRDefault="00BA0B24" w:rsidP="00BA0B24">
            <w:pPr>
              <w:rPr>
                <w:rFonts w:ascii="Arial" w:hAnsi="Arial" w:cs="Arial"/>
                <w:sz w:val="22"/>
                <w:szCs w:val="22"/>
              </w:rPr>
            </w:pPr>
          </w:p>
          <w:p w14:paraId="755C242E" w14:textId="77777777" w:rsidR="00BA0B24" w:rsidRPr="007923C2" w:rsidRDefault="00BA0B24" w:rsidP="00BA0B24">
            <w:pPr>
              <w:rPr>
                <w:rFonts w:ascii="Arial" w:hAnsi="Arial" w:cs="Arial"/>
                <w:sz w:val="22"/>
                <w:szCs w:val="22"/>
              </w:rPr>
            </w:pPr>
          </w:p>
          <w:p w14:paraId="6AE4EA1C" w14:textId="77777777" w:rsidR="00BA0B24" w:rsidRPr="007923C2" w:rsidRDefault="00BA0B24" w:rsidP="00BA0B24">
            <w:pPr>
              <w:rPr>
                <w:rFonts w:ascii="Arial" w:hAnsi="Arial" w:cs="Arial"/>
                <w:sz w:val="22"/>
                <w:szCs w:val="22"/>
              </w:rPr>
            </w:pPr>
            <w:r w:rsidRPr="007923C2">
              <w:rPr>
                <w:rFonts w:ascii="Arial" w:hAnsi="Arial" w:cs="Arial"/>
                <w:sz w:val="22"/>
                <w:szCs w:val="22"/>
              </w:rPr>
              <w:t>-Biología</w:t>
            </w:r>
          </w:p>
          <w:p w14:paraId="6AF62D54" w14:textId="77777777" w:rsidR="00BA0B24" w:rsidRPr="007923C2" w:rsidRDefault="00BA0B24" w:rsidP="00BA0B24">
            <w:pPr>
              <w:rPr>
                <w:rFonts w:ascii="Arial" w:hAnsi="Arial" w:cs="Arial"/>
                <w:sz w:val="22"/>
                <w:szCs w:val="22"/>
              </w:rPr>
            </w:pPr>
          </w:p>
          <w:p w14:paraId="0135E4C8" w14:textId="77777777" w:rsidR="00BA0B24" w:rsidRPr="007923C2" w:rsidRDefault="00BA0B24" w:rsidP="00BA0B24">
            <w:pPr>
              <w:rPr>
                <w:rFonts w:ascii="Arial" w:hAnsi="Arial" w:cs="Arial"/>
                <w:sz w:val="22"/>
                <w:szCs w:val="22"/>
              </w:rPr>
            </w:pPr>
          </w:p>
          <w:p w14:paraId="0B968A7A" w14:textId="77777777" w:rsidR="00BA0B24" w:rsidRPr="007923C2" w:rsidRDefault="00BA0B24" w:rsidP="00BA0B24">
            <w:pPr>
              <w:rPr>
                <w:rFonts w:ascii="Arial" w:hAnsi="Arial" w:cs="Arial"/>
                <w:sz w:val="22"/>
                <w:szCs w:val="22"/>
              </w:rPr>
            </w:pPr>
          </w:p>
          <w:p w14:paraId="294B182E" w14:textId="77777777" w:rsidR="00BA0B24" w:rsidRPr="007923C2" w:rsidRDefault="00BA0B24" w:rsidP="00BA0B24">
            <w:pPr>
              <w:rPr>
                <w:rFonts w:ascii="Arial" w:hAnsi="Arial" w:cs="Arial"/>
                <w:sz w:val="22"/>
                <w:szCs w:val="22"/>
              </w:rPr>
            </w:pPr>
          </w:p>
          <w:p w14:paraId="40EB61FB" w14:textId="77777777" w:rsidR="00BA0B24" w:rsidRPr="007923C2" w:rsidRDefault="00BA0B24" w:rsidP="00BA0B24">
            <w:pPr>
              <w:rPr>
                <w:rFonts w:ascii="Arial" w:hAnsi="Arial" w:cs="Arial"/>
                <w:sz w:val="22"/>
                <w:szCs w:val="22"/>
              </w:rPr>
            </w:pPr>
          </w:p>
          <w:p w14:paraId="211AC466" w14:textId="77777777" w:rsidR="00BA0B24" w:rsidRPr="007923C2" w:rsidRDefault="00BA0B24" w:rsidP="00BA0B24">
            <w:pPr>
              <w:rPr>
                <w:rFonts w:ascii="Arial" w:hAnsi="Arial" w:cs="Arial"/>
                <w:sz w:val="22"/>
                <w:szCs w:val="22"/>
              </w:rPr>
            </w:pPr>
          </w:p>
          <w:p w14:paraId="1AED2F8F" w14:textId="77777777" w:rsidR="00BA0B24" w:rsidRPr="007923C2" w:rsidRDefault="00BA0B24" w:rsidP="00BA0B24">
            <w:pPr>
              <w:rPr>
                <w:rFonts w:ascii="Arial" w:hAnsi="Arial" w:cs="Arial"/>
                <w:sz w:val="22"/>
                <w:szCs w:val="22"/>
              </w:rPr>
            </w:pPr>
            <w:r w:rsidRPr="007923C2">
              <w:rPr>
                <w:rFonts w:ascii="Arial" w:hAnsi="Arial" w:cs="Arial"/>
                <w:sz w:val="22"/>
                <w:szCs w:val="22"/>
              </w:rPr>
              <w:t>-Introducción a las Ciencias del Suelo</w:t>
            </w:r>
          </w:p>
        </w:tc>
        <w:tc>
          <w:tcPr>
            <w:tcW w:w="3533" w:type="dxa"/>
            <w:gridSpan w:val="2"/>
          </w:tcPr>
          <w:p w14:paraId="184644C3" w14:textId="77777777" w:rsidR="00BA0B24" w:rsidRPr="007923C2" w:rsidRDefault="00BA0B24" w:rsidP="00BA0B24">
            <w:pPr>
              <w:rPr>
                <w:rFonts w:ascii="Arial" w:hAnsi="Arial" w:cs="Arial"/>
                <w:sz w:val="22"/>
                <w:szCs w:val="22"/>
              </w:rPr>
            </w:pPr>
            <w:r w:rsidRPr="007923C2">
              <w:rPr>
                <w:rFonts w:ascii="Arial" w:hAnsi="Arial" w:cs="Arial"/>
                <w:sz w:val="22"/>
                <w:szCs w:val="22"/>
              </w:rPr>
              <w:t>-Emplear el lenguaje matemático como una herramienta descriptiva en fenómenos físicos, sociales, económicos, biológicos y de cualquier rama de la ingeniería.</w:t>
            </w:r>
          </w:p>
          <w:p w14:paraId="5AC8AF13" w14:textId="77777777" w:rsidR="00BA0B24" w:rsidRPr="007923C2" w:rsidRDefault="00BA0B24" w:rsidP="00BA0B24">
            <w:pPr>
              <w:rPr>
                <w:rFonts w:ascii="Arial" w:hAnsi="Arial" w:cs="Arial"/>
                <w:sz w:val="22"/>
                <w:szCs w:val="22"/>
              </w:rPr>
            </w:pPr>
          </w:p>
          <w:p w14:paraId="5FF15B9E" w14:textId="77777777" w:rsidR="00BA0B24" w:rsidRPr="007923C2" w:rsidRDefault="00BA0B24" w:rsidP="00BA0B24">
            <w:pPr>
              <w:rPr>
                <w:rFonts w:ascii="Arial" w:hAnsi="Arial" w:cs="Arial"/>
                <w:sz w:val="22"/>
                <w:szCs w:val="22"/>
              </w:rPr>
            </w:pPr>
            <w:r w:rsidRPr="007923C2">
              <w:rPr>
                <w:rFonts w:ascii="Arial" w:hAnsi="Arial" w:cs="Arial"/>
                <w:sz w:val="22"/>
                <w:szCs w:val="22"/>
              </w:rPr>
              <w:t>-Comprender la importancia de la química en las ciencias agrícolas e investiga</w:t>
            </w:r>
            <w:r w:rsidR="00BD6BDD">
              <w:rPr>
                <w:rFonts w:ascii="Arial" w:hAnsi="Arial" w:cs="Arial"/>
                <w:sz w:val="22"/>
                <w:szCs w:val="22"/>
              </w:rPr>
              <w:t>r</w:t>
            </w:r>
            <w:r w:rsidRPr="007923C2">
              <w:rPr>
                <w:rFonts w:ascii="Arial" w:hAnsi="Arial" w:cs="Arial"/>
                <w:sz w:val="22"/>
                <w:szCs w:val="22"/>
              </w:rPr>
              <w:t xml:space="preserve"> los productos agroquímicos.</w:t>
            </w:r>
          </w:p>
          <w:p w14:paraId="4954B5EF" w14:textId="77777777" w:rsidR="00BA0B24" w:rsidRPr="007923C2" w:rsidRDefault="00BA0B24" w:rsidP="00BA0B24">
            <w:pPr>
              <w:rPr>
                <w:rFonts w:ascii="Arial" w:hAnsi="Arial" w:cs="Arial"/>
                <w:sz w:val="22"/>
                <w:szCs w:val="22"/>
              </w:rPr>
            </w:pPr>
          </w:p>
          <w:p w14:paraId="51D45D20" w14:textId="77777777" w:rsidR="00BA0B24" w:rsidRPr="007923C2" w:rsidRDefault="00BA0B24" w:rsidP="00BA0B24">
            <w:pPr>
              <w:rPr>
                <w:rFonts w:ascii="Arial" w:hAnsi="Arial" w:cs="Arial"/>
                <w:sz w:val="22"/>
                <w:szCs w:val="22"/>
              </w:rPr>
            </w:pPr>
            <w:r w:rsidRPr="007923C2">
              <w:rPr>
                <w:rFonts w:ascii="Arial" w:hAnsi="Arial" w:cs="Arial"/>
                <w:sz w:val="22"/>
                <w:szCs w:val="22"/>
              </w:rPr>
              <w:t>-Analizar el conocimiento de la materia viva, su composición química, organización, formas, comportamiento y respuesta a factores físicos que conforman su entorno con enfoque integral.</w:t>
            </w:r>
          </w:p>
          <w:p w14:paraId="5B058384" w14:textId="77777777" w:rsidR="00BA0B24" w:rsidRPr="007923C2" w:rsidRDefault="00BA0B24" w:rsidP="00BA0B24">
            <w:pPr>
              <w:rPr>
                <w:rFonts w:ascii="Arial" w:hAnsi="Arial" w:cs="Arial"/>
                <w:sz w:val="22"/>
                <w:szCs w:val="22"/>
              </w:rPr>
            </w:pPr>
          </w:p>
          <w:p w14:paraId="7D93588F" w14:textId="77777777" w:rsidR="00BA0B24" w:rsidRPr="007923C2" w:rsidRDefault="00BA0B24" w:rsidP="00BA0B24">
            <w:pPr>
              <w:rPr>
                <w:rFonts w:ascii="Arial" w:hAnsi="Arial" w:cs="Arial"/>
                <w:sz w:val="22"/>
                <w:szCs w:val="22"/>
              </w:rPr>
            </w:pPr>
            <w:r w:rsidRPr="007923C2">
              <w:rPr>
                <w:rFonts w:ascii="Arial" w:hAnsi="Arial" w:cs="Arial"/>
                <w:sz w:val="22"/>
                <w:szCs w:val="22"/>
              </w:rPr>
              <w:t>Vincular al alumno en el estudio del suelo como un factor fundamental en la producción de alimentos. Se enfatiza técnicas sobre análisis físico, químico y biológico de los suelos, interpretación de manejo adecuado nutricional y productivo.</w:t>
            </w:r>
          </w:p>
        </w:tc>
      </w:tr>
      <w:tr w:rsidR="00BA0B24" w:rsidRPr="007923C2" w14:paraId="056A3681" w14:textId="77777777" w:rsidTr="0049242B">
        <w:trPr>
          <w:gridBefore w:val="1"/>
          <w:wBefore w:w="113" w:type="dxa"/>
        </w:trPr>
        <w:tc>
          <w:tcPr>
            <w:tcW w:w="1733" w:type="dxa"/>
            <w:gridSpan w:val="2"/>
            <w:tcBorders>
              <w:bottom w:val="single" w:sz="4" w:space="0" w:color="auto"/>
            </w:tcBorders>
          </w:tcPr>
          <w:p w14:paraId="1A6E650E" w14:textId="77777777" w:rsidR="00BA0B24" w:rsidRPr="007923C2" w:rsidRDefault="00BA0B24" w:rsidP="00BA0B24">
            <w:pPr>
              <w:rPr>
                <w:rFonts w:ascii="Arial" w:hAnsi="Arial" w:cs="Arial"/>
                <w:sz w:val="22"/>
                <w:szCs w:val="22"/>
              </w:rPr>
            </w:pPr>
          </w:p>
        </w:tc>
        <w:tc>
          <w:tcPr>
            <w:tcW w:w="1933" w:type="dxa"/>
            <w:gridSpan w:val="2"/>
            <w:tcBorders>
              <w:bottom w:val="single" w:sz="4" w:space="0" w:color="auto"/>
            </w:tcBorders>
          </w:tcPr>
          <w:p w14:paraId="18278548" w14:textId="77777777" w:rsidR="00BA0B24" w:rsidRPr="007923C2" w:rsidRDefault="00BA0B24" w:rsidP="00BA0B24">
            <w:pPr>
              <w:rPr>
                <w:rFonts w:ascii="Arial" w:hAnsi="Arial" w:cs="Arial"/>
                <w:sz w:val="22"/>
                <w:szCs w:val="22"/>
              </w:rPr>
            </w:pPr>
          </w:p>
        </w:tc>
        <w:tc>
          <w:tcPr>
            <w:tcW w:w="2265" w:type="dxa"/>
            <w:gridSpan w:val="2"/>
            <w:tcBorders>
              <w:bottom w:val="single" w:sz="4" w:space="0" w:color="auto"/>
            </w:tcBorders>
          </w:tcPr>
          <w:p w14:paraId="3F30E1AA" w14:textId="77777777" w:rsidR="00BA0B24" w:rsidRPr="007923C2" w:rsidRDefault="00BA0B24" w:rsidP="00BA0B24">
            <w:pPr>
              <w:rPr>
                <w:rFonts w:ascii="Arial" w:hAnsi="Arial" w:cs="Arial"/>
                <w:sz w:val="22"/>
                <w:szCs w:val="22"/>
              </w:rPr>
            </w:pPr>
            <w:r w:rsidRPr="007923C2">
              <w:rPr>
                <w:rFonts w:ascii="Arial" w:hAnsi="Arial" w:cs="Arial"/>
                <w:sz w:val="22"/>
                <w:szCs w:val="22"/>
              </w:rPr>
              <w:t>-Cálculo Diferencia</w:t>
            </w:r>
            <w:r w:rsidR="00BD6BDD">
              <w:rPr>
                <w:rFonts w:ascii="Arial" w:hAnsi="Arial" w:cs="Arial"/>
                <w:sz w:val="22"/>
                <w:szCs w:val="22"/>
              </w:rPr>
              <w:t>l</w:t>
            </w:r>
            <w:r w:rsidRPr="007923C2">
              <w:rPr>
                <w:rFonts w:ascii="Arial" w:hAnsi="Arial" w:cs="Arial"/>
                <w:sz w:val="22"/>
                <w:szCs w:val="22"/>
              </w:rPr>
              <w:t xml:space="preserve"> e Integral</w:t>
            </w:r>
          </w:p>
          <w:p w14:paraId="514E0DAD" w14:textId="77777777" w:rsidR="00BA0B24" w:rsidRPr="007923C2" w:rsidRDefault="00BA0B24" w:rsidP="00BA0B24">
            <w:pPr>
              <w:rPr>
                <w:rFonts w:ascii="Arial" w:hAnsi="Arial" w:cs="Arial"/>
                <w:sz w:val="22"/>
                <w:szCs w:val="22"/>
              </w:rPr>
            </w:pPr>
          </w:p>
          <w:p w14:paraId="3A6F744C" w14:textId="77777777" w:rsidR="00BA0B24" w:rsidRPr="007923C2" w:rsidRDefault="00BA0B24" w:rsidP="00BA0B24">
            <w:pPr>
              <w:rPr>
                <w:rFonts w:ascii="Arial" w:hAnsi="Arial" w:cs="Arial"/>
                <w:sz w:val="22"/>
                <w:szCs w:val="22"/>
              </w:rPr>
            </w:pPr>
          </w:p>
          <w:p w14:paraId="60CD6844" w14:textId="77777777" w:rsidR="00BA0B24" w:rsidRPr="007923C2" w:rsidRDefault="00BA0B24" w:rsidP="00BA0B24">
            <w:pPr>
              <w:rPr>
                <w:rFonts w:ascii="Arial" w:hAnsi="Arial" w:cs="Arial"/>
                <w:sz w:val="22"/>
                <w:szCs w:val="22"/>
              </w:rPr>
            </w:pPr>
          </w:p>
          <w:p w14:paraId="4325DEAE" w14:textId="77777777" w:rsidR="00BA0B24" w:rsidRPr="007923C2" w:rsidRDefault="00BA0B24" w:rsidP="00BA0B24">
            <w:pPr>
              <w:rPr>
                <w:rFonts w:ascii="Arial" w:hAnsi="Arial" w:cs="Arial"/>
                <w:sz w:val="22"/>
                <w:szCs w:val="22"/>
              </w:rPr>
            </w:pPr>
          </w:p>
          <w:p w14:paraId="1EDC9B38" w14:textId="77777777" w:rsidR="00BA0B24" w:rsidRPr="007923C2" w:rsidRDefault="00BA0B24" w:rsidP="00BA0B24">
            <w:pPr>
              <w:rPr>
                <w:rFonts w:ascii="Arial" w:hAnsi="Arial" w:cs="Arial"/>
                <w:sz w:val="22"/>
                <w:szCs w:val="22"/>
              </w:rPr>
            </w:pPr>
            <w:r w:rsidRPr="007923C2">
              <w:rPr>
                <w:rFonts w:ascii="Arial" w:hAnsi="Arial" w:cs="Arial"/>
                <w:sz w:val="22"/>
                <w:szCs w:val="22"/>
              </w:rPr>
              <w:t>-Agrofísica I</w:t>
            </w:r>
          </w:p>
          <w:p w14:paraId="103B7D4D" w14:textId="77777777" w:rsidR="00BA0B24" w:rsidRPr="007923C2" w:rsidRDefault="00BA0B24" w:rsidP="00BA0B24">
            <w:pPr>
              <w:rPr>
                <w:rFonts w:ascii="Arial" w:hAnsi="Arial" w:cs="Arial"/>
                <w:sz w:val="22"/>
                <w:szCs w:val="22"/>
              </w:rPr>
            </w:pPr>
          </w:p>
          <w:p w14:paraId="5542B12A" w14:textId="77777777" w:rsidR="00BA0B24" w:rsidRPr="007923C2" w:rsidRDefault="00BA0B24" w:rsidP="00BA0B24">
            <w:pPr>
              <w:rPr>
                <w:rFonts w:ascii="Arial" w:hAnsi="Arial" w:cs="Arial"/>
                <w:sz w:val="22"/>
                <w:szCs w:val="22"/>
              </w:rPr>
            </w:pPr>
          </w:p>
          <w:p w14:paraId="7A9368F4" w14:textId="77777777" w:rsidR="00BA0B24" w:rsidRPr="007923C2" w:rsidRDefault="00BA0B24" w:rsidP="00BA0B24">
            <w:pPr>
              <w:rPr>
                <w:rFonts w:ascii="Arial" w:hAnsi="Arial" w:cs="Arial"/>
                <w:sz w:val="22"/>
                <w:szCs w:val="22"/>
              </w:rPr>
            </w:pPr>
          </w:p>
          <w:p w14:paraId="042E4A89" w14:textId="77777777" w:rsidR="00BA0B24" w:rsidRPr="007923C2" w:rsidRDefault="00BA0B24" w:rsidP="00BA0B24">
            <w:pPr>
              <w:rPr>
                <w:rFonts w:ascii="Arial" w:hAnsi="Arial" w:cs="Arial"/>
                <w:sz w:val="22"/>
                <w:szCs w:val="22"/>
              </w:rPr>
            </w:pPr>
            <w:r w:rsidRPr="007923C2">
              <w:rPr>
                <w:rFonts w:ascii="Arial" w:hAnsi="Arial" w:cs="Arial"/>
                <w:sz w:val="22"/>
                <w:szCs w:val="22"/>
              </w:rPr>
              <w:t>-Botánica</w:t>
            </w:r>
            <w:r w:rsidR="00BD6BDD">
              <w:rPr>
                <w:rFonts w:ascii="Arial" w:hAnsi="Arial" w:cs="Arial"/>
                <w:sz w:val="22"/>
                <w:szCs w:val="22"/>
              </w:rPr>
              <w:t xml:space="preserve"> I</w:t>
            </w:r>
          </w:p>
          <w:p w14:paraId="7EEE20D7" w14:textId="77777777" w:rsidR="00BA0B24" w:rsidRPr="007923C2" w:rsidRDefault="00BA0B24" w:rsidP="00BA0B24">
            <w:pPr>
              <w:rPr>
                <w:rFonts w:ascii="Arial" w:hAnsi="Arial" w:cs="Arial"/>
                <w:sz w:val="22"/>
                <w:szCs w:val="22"/>
              </w:rPr>
            </w:pPr>
          </w:p>
          <w:p w14:paraId="106EC55B" w14:textId="77777777" w:rsidR="00BA0B24" w:rsidRPr="007923C2" w:rsidRDefault="00BA0B24" w:rsidP="00BA0B24">
            <w:pPr>
              <w:rPr>
                <w:rFonts w:ascii="Arial" w:hAnsi="Arial" w:cs="Arial"/>
                <w:sz w:val="22"/>
                <w:szCs w:val="22"/>
              </w:rPr>
            </w:pPr>
          </w:p>
          <w:p w14:paraId="0495E13F" w14:textId="77777777" w:rsidR="00BA0B24" w:rsidRPr="007923C2" w:rsidRDefault="00BA0B24" w:rsidP="00BA0B24">
            <w:pPr>
              <w:rPr>
                <w:rFonts w:ascii="Arial" w:hAnsi="Arial" w:cs="Arial"/>
                <w:sz w:val="22"/>
                <w:szCs w:val="22"/>
              </w:rPr>
            </w:pPr>
          </w:p>
          <w:p w14:paraId="04EECF4F" w14:textId="77777777" w:rsidR="00BA0B24" w:rsidRPr="007923C2" w:rsidRDefault="00BA0B24" w:rsidP="00BA0B24">
            <w:pPr>
              <w:rPr>
                <w:rFonts w:ascii="Arial" w:hAnsi="Arial" w:cs="Arial"/>
                <w:sz w:val="22"/>
                <w:szCs w:val="22"/>
              </w:rPr>
            </w:pPr>
          </w:p>
          <w:p w14:paraId="5893BDA0" w14:textId="77777777" w:rsidR="00BA0B24" w:rsidRPr="007923C2" w:rsidRDefault="00BA0B24" w:rsidP="00BA0B24">
            <w:pPr>
              <w:rPr>
                <w:rFonts w:ascii="Arial" w:hAnsi="Arial" w:cs="Arial"/>
                <w:sz w:val="22"/>
                <w:szCs w:val="22"/>
              </w:rPr>
            </w:pPr>
          </w:p>
          <w:p w14:paraId="36DE783F" w14:textId="77777777" w:rsidR="00BA0B24" w:rsidRPr="007923C2" w:rsidRDefault="00BA0B24" w:rsidP="00BA0B24">
            <w:pPr>
              <w:rPr>
                <w:rFonts w:ascii="Arial" w:hAnsi="Arial" w:cs="Arial"/>
                <w:sz w:val="22"/>
                <w:szCs w:val="22"/>
              </w:rPr>
            </w:pPr>
          </w:p>
          <w:p w14:paraId="0FB7C98E" w14:textId="77777777" w:rsidR="00BA0B24" w:rsidRPr="007923C2" w:rsidRDefault="00BA0B24" w:rsidP="00BA0B24">
            <w:pPr>
              <w:rPr>
                <w:rFonts w:ascii="Arial" w:hAnsi="Arial" w:cs="Arial"/>
                <w:sz w:val="22"/>
                <w:szCs w:val="22"/>
              </w:rPr>
            </w:pPr>
          </w:p>
        </w:tc>
        <w:tc>
          <w:tcPr>
            <w:tcW w:w="3533" w:type="dxa"/>
            <w:gridSpan w:val="2"/>
            <w:tcBorders>
              <w:bottom w:val="single" w:sz="4" w:space="0" w:color="auto"/>
            </w:tcBorders>
          </w:tcPr>
          <w:p w14:paraId="18BBF6B3"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Desarrollo de las capacidades lógicas y abstractas para aplicarlos en la interpretación de los fenómenos químicos, físicos y biológicos.</w:t>
            </w:r>
          </w:p>
          <w:p w14:paraId="7DF3E7A6" w14:textId="77777777" w:rsidR="00BA0B24" w:rsidRPr="007923C2" w:rsidRDefault="00BA0B24" w:rsidP="00BA0B24">
            <w:pPr>
              <w:rPr>
                <w:rFonts w:ascii="Arial" w:hAnsi="Arial" w:cs="Arial"/>
                <w:sz w:val="22"/>
                <w:szCs w:val="22"/>
              </w:rPr>
            </w:pPr>
          </w:p>
          <w:p w14:paraId="110AB51B" w14:textId="77777777" w:rsidR="00BA0B24" w:rsidRPr="007923C2" w:rsidRDefault="00BA0B24" w:rsidP="00BA0B24">
            <w:pPr>
              <w:rPr>
                <w:rFonts w:ascii="Arial" w:hAnsi="Arial" w:cs="Arial"/>
                <w:sz w:val="22"/>
                <w:szCs w:val="22"/>
              </w:rPr>
            </w:pPr>
            <w:r w:rsidRPr="007923C2">
              <w:rPr>
                <w:rFonts w:ascii="Arial" w:hAnsi="Arial" w:cs="Arial"/>
                <w:sz w:val="22"/>
                <w:szCs w:val="22"/>
              </w:rPr>
              <w:t>-Analizar los fenómenos que interact</w:t>
            </w:r>
            <w:r w:rsidR="00BD6BDD">
              <w:rPr>
                <w:rFonts w:ascii="Arial" w:hAnsi="Arial" w:cs="Arial"/>
                <w:sz w:val="22"/>
                <w:szCs w:val="22"/>
              </w:rPr>
              <w:t>u</w:t>
            </w:r>
            <w:r w:rsidRPr="007923C2">
              <w:rPr>
                <w:rFonts w:ascii="Arial" w:hAnsi="Arial" w:cs="Arial"/>
                <w:sz w:val="22"/>
                <w:szCs w:val="22"/>
              </w:rPr>
              <w:t>an con los fenómenos biológicos en el ecosistema.</w:t>
            </w:r>
          </w:p>
          <w:p w14:paraId="62D29291" w14:textId="77777777" w:rsidR="00BA0B24" w:rsidRPr="007923C2" w:rsidRDefault="00BA0B24" w:rsidP="00BA0B24">
            <w:pPr>
              <w:rPr>
                <w:rFonts w:ascii="Arial" w:hAnsi="Arial" w:cs="Arial"/>
                <w:sz w:val="22"/>
                <w:szCs w:val="22"/>
              </w:rPr>
            </w:pPr>
          </w:p>
          <w:p w14:paraId="434DA2A3" w14:textId="77777777" w:rsidR="00BA0B24" w:rsidRPr="007923C2" w:rsidRDefault="00BA0B24" w:rsidP="00BA0B24">
            <w:pPr>
              <w:rPr>
                <w:rFonts w:ascii="Arial" w:hAnsi="Arial" w:cs="Arial"/>
                <w:sz w:val="22"/>
                <w:szCs w:val="22"/>
              </w:rPr>
            </w:pPr>
            <w:r w:rsidRPr="007923C2">
              <w:rPr>
                <w:rFonts w:ascii="Arial" w:hAnsi="Arial" w:cs="Arial"/>
                <w:sz w:val="22"/>
                <w:szCs w:val="22"/>
              </w:rPr>
              <w:t>-Describir y analizar los procesos biológicos y ecológicos de los grupos de vegetales inferiores y hongos y su clasificación taxonómica para reconocer su importancia, ecológica y económica.</w:t>
            </w:r>
          </w:p>
          <w:p w14:paraId="14651884" w14:textId="77777777" w:rsidR="00BA0B24" w:rsidRPr="007923C2" w:rsidRDefault="00BA0B24" w:rsidP="00BA0B24">
            <w:pPr>
              <w:rPr>
                <w:rFonts w:ascii="Arial" w:hAnsi="Arial" w:cs="Arial"/>
                <w:sz w:val="22"/>
                <w:szCs w:val="22"/>
              </w:rPr>
            </w:pPr>
          </w:p>
        </w:tc>
      </w:tr>
      <w:tr w:rsidR="00BA0B24" w:rsidRPr="007923C2" w14:paraId="59971101" w14:textId="77777777" w:rsidTr="0049242B">
        <w:trPr>
          <w:gridBefore w:val="1"/>
          <w:wBefore w:w="113" w:type="dxa"/>
        </w:trPr>
        <w:tc>
          <w:tcPr>
            <w:tcW w:w="1733" w:type="dxa"/>
            <w:gridSpan w:val="2"/>
          </w:tcPr>
          <w:p w14:paraId="56B9AF54"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Bloque</w:t>
            </w:r>
          </w:p>
        </w:tc>
        <w:tc>
          <w:tcPr>
            <w:tcW w:w="1933" w:type="dxa"/>
            <w:gridSpan w:val="2"/>
          </w:tcPr>
          <w:p w14:paraId="2C8819C2" w14:textId="77777777" w:rsidR="00BA0B24" w:rsidRPr="007923C2" w:rsidRDefault="00BA0B24" w:rsidP="00BA0B24">
            <w:pPr>
              <w:rPr>
                <w:rFonts w:ascii="Arial" w:hAnsi="Arial" w:cs="Arial"/>
                <w:sz w:val="22"/>
                <w:szCs w:val="22"/>
              </w:rPr>
            </w:pPr>
            <w:r w:rsidRPr="007923C2">
              <w:rPr>
                <w:rFonts w:ascii="Arial" w:hAnsi="Arial" w:cs="Arial"/>
                <w:sz w:val="22"/>
                <w:szCs w:val="22"/>
              </w:rPr>
              <w:t>Objetivo del Bloque</w:t>
            </w:r>
          </w:p>
        </w:tc>
        <w:tc>
          <w:tcPr>
            <w:tcW w:w="2265" w:type="dxa"/>
            <w:gridSpan w:val="2"/>
          </w:tcPr>
          <w:p w14:paraId="7C51050F" w14:textId="77777777" w:rsidR="00BA0B24" w:rsidRPr="007923C2" w:rsidRDefault="00BA0B24" w:rsidP="00BA0B24">
            <w:pPr>
              <w:rPr>
                <w:rFonts w:ascii="Arial" w:hAnsi="Arial" w:cs="Arial"/>
                <w:sz w:val="22"/>
                <w:szCs w:val="22"/>
              </w:rPr>
            </w:pPr>
            <w:r w:rsidRPr="007923C2">
              <w:rPr>
                <w:rFonts w:ascii="Arial" w:hAnsi="Arial" w:cs="Arial"/>
                <w:sz w:val="22"/>
                <w:szCs w:val="22"/>
              </w:rPr>
              <w:t>Secuencia de Asignaturas</w:t>
            </w:r>
          </w:p>
        </w:tc>
        <w:tc>
          <w:tcPr>
            <w:tcW w:w="3533" w:type="dxa"/>
            <w:gridSpan w:val="2"/>
          </w:tcPr>
          <w:p w14:paraId="4B3C0BA2" w14:textId="77777777" w:rsidR="00BA0B24" w:rsidRPr="007923C2" w:rsidRDefault="00BA0B24" w:rsidP="00BA0B24">
            <w:pPr>
              <w:rPr>
                <w:rFonts w:ascii="Arial" w:hAnsi="Arial" w:cs="Arial"/>
                <w:sz w:val="22"/>
                <w:szCs w:val="22"/>
              </w:rPr>
            </w:pPr>
            <w:r w:rsidRPr="007923C2">
              <w:rPr>
                <w:rFonts w:ascii="Arial" w:hAnsi="Arial" w:cs="Arial"/>
                <w:sz w:val="22"/>
                <w:szCs w:val="22"/>
              </w:rPr>
              <w:t>Orientación formativa de la Asignatura</w:t>
            </w:r>
          </w:p>
        </w:tc>
      </w:tr>
      <w:tr w:rsidR="00BA0B24" w:rsidRPr="007923C2" w14:paraId="63E1CBBA" w14:textId="77777777" w:rsidTr="0049242B">
        <w:trPr>
          <w:gridBefore w:val="1"/>
          <w:wBefore w:w="113" w:type="dxa"/>
        </w:trPr>
        <w:tc>
          <w:tcPr>
            <w:tcW w:w="1733" w:type="dxa"/>
            <w:gridSpan w:val="2"/>
          </w:tcPr>
          <w:p w14:paraId="13743453" w14:textId="77777777" w:rsidR="00BA0B24" w:rsidRPr="007923C2" w:rsidRDefault="00BA0B24" w:rsidP="00BA0B24">
            <w:pPr>
              <w:rPr>
                <w:rFonts w:ascii="Arial" w:hAnsi="Arial" w:cs="Arial"/>
                <w:sz w:val="22"/>
                <w:szCs w:val="22"/>
              </w:rPr>
            </w:pPr>
          </w:p>
          <w:p w14:paraId="6C080946" w14:textId="77777777" w:rsidR="00BA0B24" w:rsidRPr="007923C2" w:rsidRDefault="00BA0B24" w:rsidP="00BA0B24">
            <w:pPr>
              <w:rPr>
                <w:rFonts w:ascii="Arial" w:hAnsi="Arial" w:cs="Arial"/>
                <w:sz w:val="22"/>
                <w:szCs w:val="22"/>
              </w:rPr>
            </w:pPr>
          </w:p>
          <w:p w14:paraId="0B58BA52" w14:textId="77777777" w:rsidR="00BA0B24" w:rsidRPr="007923C2" w:rsidRDefault="00BA0B24" w:rsidP="00BA0B24">
            <w:pPr>
              <w:rPr>
                <w:rFonts w:ascii="Arial" w:hAnsi="Arial" w:cs="Arial"/>
                <w:sz w:val="22"/>
                <w:szCs w:val="22"/>
              </w:rPr>
            </w:pPr>
          </w:p>
          <w:p w14:paraId="65F080E0" w14:textId="77777777" w:rsidR="00BA0B24" w:rsidRPr="007923C2" w:rsidRDefault="00BA0B24" w:rsidP="00BA0B24">
            <w:pPr>
              <w:rPr>
                <w:rFonts w:ascii="Arial" w:hAnsi="Arial" w:cs="Arial"/>
                <w:sz w:val="22"/>
                <w:szCs w:val="22"/>
              </w:rPr>
            </w:pPr>
          </w:p>
          <w:p w14:paraId="568D0E34" w14:textId="77777777" w:rsidR="00BA0B24" w:rsidRPr="007923C2" w:rsidRDefault="00BA0B24" w:rsidP="00BA0B24">
            <w:pPr>
              <w:rPr>
                <w:rFonts w:ascii="Arial" w:hAnsi="Arial" w:cs="Arial"/>
                <w:sz w:val="22"/>
                <w:szCs w:val="22"/>
              </w:rPr>
            </w:pPr>
          </w:p>
          <w:p w14:paraId="7C66D241" w14:textId="77777777" w:rsidR="00BA0B24" w:rsidRPr="007923C2" w:rsidRDefault="00BA0B24" w:rsidP="00BA0B24">
            <w:pPr>
              <w:rPr>
                <w:rFonts w:ascii="Arial" w:hAnsi="Arial" w:cs="Arial"/>
                <w:sz w:val="22"/>
                <w:szCs w:val="22"/>
              </w:rPr>
            </w:pPr>
          </w:p>
          <w:p w14:paraId="0F9D0100" w14:textId="77777777" w:rsidR="00BA0B24" w:rsidRPr="007923C2" w:rsidRDefault="00BA0B24" w:rsidP="00BA0B24">
            <w:pPr>
              <w:rPr>
                <w:rFonts w:ascii="Arial" w:hAnsi="Arial" w:cs="Arial"/>
                <w:sz w:val="22"/>
                <w:szCs w:val="22"/>
              </w:rPr>
            </w:pPr>
          </w:p>
          <w:p w14:paraId="153C1A5F" w14:textId="77777777" w:rsidR="00BA0B24" w:rsidRPr="007923C2" w:rsidRDefault="00BA0B24" w:rsidP="00BA0B24">
            <w:pPr>
              <w:rPr>
                <w:rFonts w:ascii="Arial" w:hAnsi="Arial" w:cs="Arial"/>
                <w:sz w:val="22"/>
                <w:szCs w:val="22"/>
              </w:rPr>
            </w:pPr>
          </w:p>
          <w:p w14:paraId="3DCC58EC" w14:textId="77777777" w:rsidR="00BA0B24" w:rsidRPr="007923C2" w:rsidRDefault="00BA0B24" w:rsidP="00BA0B24">
            <w:pPr>
              <w:rPr>
                <w:rFonts w:ascii="Arial" w:hAnsi="Arial" w:cs="Arial"/>
                <w:sz w:val="22"/>
                <w:szCs w:val="22"/>
              </w:rPr>
            </w:pPr>
          </w:p>
          <w:p w14:paraId="637C283B" w14:textId="77777777" w:rsidR="00BA0B24" w:rsidRPr="007923C2" w:rsidRDefault="00BA0B24" w:rsidP="00BA0B24">
            <w:pPr>
              <w:rPr>
                <w:rFonts w:ascii="Arial" w:hAnsi="Arial" w:cs="Arial"/>
                <w:sz w:val="22"/>
                <w:szCs w:val="22"/>
              </w:rPr>
            </w:pPr>
          </w:p>
          <w:p w14:paraId="2D2038C0" w14:textId="77777777" w:rsidR="00BA0B24" w:rsidRPr="007923C2" w:rsidRDefault="00BA0B24" w:rsidP="00BA0B24">
            <w:pPr>
              <w:rPr>
                <w:rFonts w:ascii="Arial" w:hAnsi="Arial" w:cs="Arial"/>
                <w:sz w:val="22"/>
                <w:szCs w:val="22"/>
              </w:rPr>
            </w:pPr>
          </w:p>
          <w:p w14:paraId="482DE502" w14:textId="77777777" w:rsidR="00BA0B24" w:rsidRPr="007923C2" w:rsidRDefault="00BA0B24" w:rsidP="00BA0B24">
            <w:pPr>
              <w:rPr>
                <w:rFonts w:ascii="Arial" w:hAnsi="Arial" w:cs="Arial"/>
                <w:sz w:val="22"/>
                <w:szCs w:val="22"/>
              </w:rPr>
            </w:pPr>
          </w:p>
          <w:p w14:paraId="23B74D9A" w14:textId="77777777" w:rsidR="00BA0B24" w:rsidRPr="007923C2" w:rsidRDefault="00BA0B24" w:rsidP="00BA0B24">
            <w:pPr>
              <w:rPr>
                <w:rFonts w:ascii="Arial" w:hAnsi="Arial" w:cs="Arial"/>
                <w:sz w:val="22"/>
                <w:szCs w:val="22"/>
              </w:rPr>
            </w:pPr>
          </w:p>
          <w:p w14:paraId="4A28D88C" w14:textId="77777777" w:rsidR="00BA0B24" w:rsidRPr="007923C2" w:rsidRDefault="00BA0B24" w:rsidP="00BA0B24">
            <w:pPr>
              <w:rPr>
                <w:rFonts w:ascii="Arial" w:hAnsi="Arial" w:cs="Arial"/>
                <w:sz w:val="22"/>
                <w:szCs w:val="22"/>
              </w:rPr>
            </w:pPr>
          </w:p>
          <w:p w14:paraId="1C085744" w14:textId="77777777" w:rsidR="00BA0B24" w:rsidRPr="007923C2" w:rsidRDefault="00BA0B24" w:rsidP="00BA0B24">
            <w:pPr>
              <w:rPr>
                <w:rFonts w:ascii="Arial" w:hAnsi="Arial" w:cs="Arial"/>
                <w:sz w:val="22"/>
                <w:szCs w:val="22"/>
              </w:rPr>
            </w:pPr>
          </w:p>
          <w:p w14:paraId="07088E78" w14:textId="77777777" w:rsidR="00BA0B24" w:rsidRPr="007923C2" w:rsidRDefault="00BA0B24" w:rsidP="00BA0B24">
            <w:pPr>
              <w:rPr>
                <w:rFonts w:ascii="Arial" w:hAnsi="Arial" w:cs="Arial"/>
                <w:sz w:val="22"/>
                <w:szCs w:val="22"/>
              </w:rPr>
            </w:pPr>
          </w:p>
          <w:p w14:paraId="6E4E3EFF" w14:textId="77777777" w:rsidR="00BA0B24" w:rsidRPr="007923C2" w:rsidRDefault="00BA0B24" w:rsidP="00BA0B24">
            <w:pPr>
              <w:rPr>
                <w:rFonts w:ascii="Arial" w:hAnsi="Arial" w:cs="Arial"/>
                <w:sz w:val="22"/>
                <w:szCs w:val="22"/>
              </w:rPr>
            </w:pPr>
          </w:p>
          <w:p w14:paraId="4AD3BFB0" w14:textId="77777777" w:rsidR="00BA0B24" w:rsidRPr="007923C2" w:rsidRDefault="00BA0B24" w:rsidP="00BA0B24">
            <w:pPr>
              <w:rPr>
                <w:rFonts w:ascii="Arial" w:hAnsi="Arial" w:cs="Arial"/>
                <w:sz w:val="22"/>
                <w:szCs w:val="22"/>
              </w:rPr>
            </w:pPr>
          </w:p>
          <w:p w14:paraId="386D90F0" w14:textId="77777777" w:rsidR="00BA0B24" w:rsidRPr="007923C2" w:rsidRDefault="00BA0B24" w:rsidP="00BA0B24">
            <w:pPr>
              <w:rPr>
                <w:rFonts w:ascii="Arial" w:hAnsi="Arial" w:cs="Arial"/>
                <w:sz w:val="22"/>
                <w:szCs w:val="22"/>
              </w:rPr>
            </w:pPr>
          </w:p>
          <w:p w14:paraId="5E5E2466" w14:textId="77777777" w:rsidR="00BA0B24" w:rsidRPr="007923C2" w:rsidRDefault="00BA0B24" w:rsidP="00BA0B24">
            <w:pPr>
              <w:rPr>
                <w:rFonts w:ascii="Arial" w:hAnsi="Arial" w:cs="Arial"/>
                <w:sz w:val="22"/>
                <w:szCs w:val="22"/>
              </w:rPr>
            </w:pPr>
          </w:p>
          <w:p w14:paraId="5CA73565" w14:textId="77777777" w:rsidR="00BA0B24" w:rsidRPr="007923C2" w:rsidRDefault="00BA0B24" w:rsidP="00BA0B24">
            <w:pPr>
              <w:rPr>
                <w:rFonts w:ascii="Arial" w:hAnsi="Arial" w:cs="Arial"/>
                <w:sz w:val="22"/>
                <w:szCs w:val="22"/>
              </w:rPr>
            </w:pPr>
          </w:p>
          <w:p w14:paraId="15B84374" w14:textId="77777777" w:rsidR="00BA0B24" w:rsidRPr="007923C2" w:rsidRDefault="00BA0B24" w:rsidP="00BA0B24">
            <w:pPr>
              <w:rPr>
                <w:rFonts w:ascii="Arial" w:hAnsi="Arial" w:cs="Arial"/>
                <w:sz w:val="22"/>
                <w:szCs w:val="22"/>
              </w:rPr>
            </w:pPr>
          </w:p>
          <w:p w14:paraId="590071DC" w14:textId="77777777" w:rsidR="00BA0B24" w:rsidRPr="007923C2" w:rsidRDefault="00BA0B24" w:rsidP="00BA0B24">
            <w:pPr>
              <w:rPr>
                <w:rFonts w:ascii="Arial" w:hAnsi="Arial" w:cs="Arial"/>
                <w:sz w:val="22"/>
                <w:szCs w:val="22"/>
              </w:rPr>
            </w:pPr>
          </w:p>
          <w:p w14:paraId="011CF206" w14:textId="77777777" w:rsidR="00BA0B24" w:rsidRPr="007923C2" w:rsidRDefault="00BA0B24" w:rsidP="00BA0B24">
            <w:pPr>
              <w:rPr>
                <w:rFonts w:ascii="Arial" w:hAnsi="Arial" w:cs="Arial"/>
                <w:sz w:val="22"/>
                <w:szCs w:val="22"/>
              </w:rPr>
            </w:pPr>
          </w:p>
          <w:p w14:paraId="4E7D6F46" w14:textId="77777777" w:rsidR="00BA0B24" w:rsidRPr="007923C2" w:rsidRDefault="00BA0B24" w:rsidP="00BA0B24">
            <w:pPr>
              <w:rPr>
                <w:rFonts w:ascii="Arial" w:hAnsi="Arial" w:cs="Arial"/>
                <w:sz w:val="22"/>
                <w:szCs w:val="22"/>
              </w:rPr>
            </w:pPr>
          </w:p>
          <w:p w14:paraId="3D22B8E2" w14:textId="77777777" w:rsidR="00BA0B24" w:rsidRPr="007923C2" w:rsidRDefault="00BA0B24" w:rsidP="00BA0B24">
            <w:pPr>
              <w:rPr>
                <w:rFonts w:ascii="Arial" w:hAnsi="Arial" w:cs="Arial"/>
                <w:sz w:val="22"/>
                <w:szCs w:val="22"/>
              </w:rPr>
            </w:pPr>
          </w:p>
          <w:p w14:paraId="781B7CFB" w14:textId="77777777" w:rsidR="00BA0B24" w:rsidRPr="007923C2" w:rsidRDefault="00BA0B24" w:rsidP="00BA0B24">
            <w:pPr>
              <w:rPr>
                <w:rFonts w:ascii="Arial" w:hAnsi="Arial" w:cs="Arial"/>
                <w:sz w:val="22"/>
                <w:szCs w:val="22"/>
              </w:rPr>
            </w:pPr>
          </w:p>
          <w:p w14:paraId="5196A2F1" w14:textId="77777777" w:rsidR="00BA0B24" w:rsidRPr="007923C2" w:rsidRDefault="00BA0B24" w:rsidP="00BA0B24">
            <w:pPr>
              <w:rPr>
                <w:rFonts w:ascii="Arial" w:hAnsi="Arial" w:cs="Arial"/>
                <w:sz w:val="22"/>
                <w:szCs w:val="22"/>
              </w:rPr>
            </w:pPr>
          </w:p>
          <w:p w14:paraId="1AF5D7D6" w14:textId="77777777" w:rsidR="00813374" w:rsidRDefault="00813374" w:rsidP="00BA0B24">
            <w:pPr>
              <w:rPr>
                <w:rFonts w:ascii="Arial" w:hAnsi="Arial" w:cs="Arial"/>
                <w:sz w:val="22"/>
                <w:szCs w:val="22"/>
              </w:rPr>
            </w:pPr>
          </w:p>
          <w:p w14:paraId="6465EFE0" w14:textId="77777777" w:rsidR="00813374" w:rsidRDefault="00813374" w:rsidP="00BA0B24">
            <w:pPr>
              <w:rPr>
                <w:rFonts w:ascii="Arial" w:hAnsi="Arial" w:cs="Arial"/>
                <w:sz w:val="22"/>
                <w:szCs w:val="22"/>
              </w:rPr>
            </w:pPr>
          </w:p>
          <w:p w14:paraId="5044031C" w14:textId="77777777" w:rsidR="006A78F4" w:rsidRDefault="006A78F4" w:rsidP="00BA0B24">
            <w:pPr>
              <w:rPr>
                <w:rFonts w:ascii="Arial" w:hAnsi="Arial" w:cs="Arial"/>
                <w:sz w:val="22"/>
                <w:szCs w:val="22"/>
              </w:rPr>
            </w:pPr>
          </w:p>
          <w:p w14:paraId="35B05AFD" w14:textId="77777777" w:rsidR="00BA0B24" w:rsidRPr="007923C2" w:rsidRDefault="00BA0B24" w:rsidP="00BA0B24">
            <w:pPr>
              <w:rPr>
                <w:rFonts w:ascii="Arial" w:hAnsi="Arial" w:cs="Arial"/>
                <w:sz w:val="22"/>
                <w:szCs w:val="22"/>
              </w:rPr>
            </w:pPr>
            <w:r w:rsidRPr="007923C2">
              <w:rPr>
                <w:rFonts w:ascii="Arial" w:hAnsi="Arial" w:cs="Arial"/>
                <w:sz w:val="22"/>
                <w:szCs w:val="22"/>
              </w:rPr>
              <w:t>Ciencias Naturales y Exactas Fundamentales</w:t>
            </w:r>
          </w:p>
        </w:tc>
        <w:tc>
          <w:tcPr>
            <w:tcW w:w="1933" w:type="dxa"/>
            <w:gridSpan w:val="2"/>
          </w:tcPr>
          <w:p w14:paraId="499F63FE" w14:textId="77777777" w:rsidR="00BA0B24" w:rsidRPr="007923C2" w:rsidRDefault="00BA0B24" w:rsidP="00BA0B24">
            <w:pPr>
              <w:rPr>
                <w:rFonts w:ascii="Arial" w:hAnsi="Arial" w:cs="Arial"/>
                <w:sz w:val="22"/>
                <w:szCs w:val="22"/>
              </w:rPr>
            </w:pPr>
          </w:p>
          <w:p w14:paraId="02CBD713" w14:textId="77777777" w:rsidR="00BA0B24" w:rsidRPr="007923C2" w:rsidRDefault="00BA0B24" w:rsidP="00BA0B24">
            <w:pPr>
              <w:rPr>
                <w:rFonts w:ascii="Arial" w:hAnsi="Arial" w:cs="Arial"/>
                <w:sz w:val="22"/>
                <w:szCs w:val="22"/>
              </w:rPr>
            </w:pPr>
          </w:p>
          <w:p w14:paraId="6106B889" w14:textId="77777777" w:rsidR="00BA0B24" w:rsidRPr="007923C2" w:rsidRDefault="00BA0B24" w:rsidP="00BA0B24">
            <w:pPr>
              <w:rPr>
                <w:rFonts w:ascii="Arial" w:hAnsi="Arial" w:cs="Arial"/>
                <w:sz w:val="22"/>
                <w:szCs w:val="22"/>
              </w:rPr>
            </w:pPr>
          </w:p>
          <w:p w14:paraId="59E2484C" w14:textId="77777777" w:rsidR="00BA0B24" w:rsidRPr="007923C2" w:rsidRDefault="00BA0B24" w:rsidP="00BA0B24">
            <w:pPr>
              <w:rPr>
                <w:rFonts w:ascii="Arial" w:hAnsi="Arial" w:cs="Arial"/>
                <w:sz w:val="22"/>
                <w:szCs w:val="22"/>
              </w:rPr>
            </w:pPr>
          </w:p>
          <w:p w14:paraId="58FC64FF" w14:textId="77777777" w:rsidR="00BA0B24" w:rsidRPr="007923C2" w:rsidRDefault="00BA0B24" w:rsidP="00BA0B24">
            <w:pPr>
              <w:rPr>
                <w:rFonts w:ascii="Arial" w:hAnsi="Arial" w:cs="Arial"/>
                <w:sz w:val="22"/>
                <w:szCs w:val="22"/>
              </w:rPr>
            </w:pPr>
          </w:p>
          <w:p w14:paraId="65BB7F39" w14:textId="77777777" w:rsidR="00BA0B24" w:rsidRPr="007923C2" w:rsidRDefault="00BA0B24" w:rsidP="00BA0B24">
            <w:pPr>
              <w:rPr>
                <w:rFonts w:ascii="Arial" w:hAnsi="Arial" w:cs="Arial"/>
                <w:sz w:val="22"/>
                <w:szCs w:val="22"/>
              </w:rPr>
            </w:pPr>
          </w:p>
          <w:p w14:paraId="650C9FD2" w14:textId="77777777" w:rsidR="00BA0B24" w:rsidRPr="007923C2" w:rsidRDefault="00BA0B24" w:rsidP="00BA0B24">
            <w:pPr>
              <w:rPr>
                <w:rFonts w:ascii="Arial" w:hAnsi="Arial" w:cs="Arial"/>
                <w:sz w:val="22"/>
                <w:szCs w:val="22"/>
              </w:rPr>
            </w:pPr>
          </w:p>
          <w:p w14:paraId="305C2DA2" w14:textId="77777777" w:rsidR="00BA0B24" w:rsidRPr="007923C2" w:rsidRDefault="00BA0B24" w:rsidP="00BA0B24">
            <w:pPr>
              <w:rPr>
                <w:rFonts w:ascii="Arial" w:hAnsi="Arial" w:cs="Arial"/>
                <w:sz w:val="22"/>
                <w:szCs w:val="22"/>
              </w:rPr>
            </w:pPr>
          </w:p>
          <w:p w14:paraId="5B4F5A5F" w14:textId="77777777" w:rsidR="00BA0B24" w:rsidRPr="007923C2" w:rsidRDefault="00BA0B24" w:rsidP="00BA0B24">
            <w:pPr>
              <w:rPr>
                <w:rFonts w:ascii="Arial" w:hAnsi="Arial" w:cs="Arial"/>
                <w:sz w:val="22"/>
                <w:szCs w:val="22"/>
              </w:rPr>
            </w:pPr>
          </w:p>
          <w:p w14:paraId="0E4AC309" w14:textId="77777777" w:rsidR="00BA0B24" w:rsidRPr="007923C2" w:rsidRDefault="00BA0B24" w:rsidP="00BA0B24">
            <w:pPr>
              <w:rPr>
                <w:rFonts w:ascii="Arial" w:hAnsi="Arial" w:cs="Arial"/>
                <w:sz w:val="22"/>
                <w:szCs w:val="22"/>
              </w:rPr>
            </w:pPr>
          </w:p>
          <w:p w14:paraId="6528DF8C" w14:textId="77777777" w:rsidR="00BA0B24" w:rsidRPr="007923C2" w:rsidRDefault="00BA0B24" w:rsidP="00BA0B24">
            <w:pPr>
              <w:rPr>
                <w:rFonts w:ascii="Arial" w:hAnsi="Arial" w:cs="Arial"/>
                <w:sz w:val="22"/>
                <w:szCs w:val="22"/>
              </w:rPr>
            </w:pPr>
          </w:p>
          <w:p w14:paraId="6C14EF4C" w14:textId="77777777" w:rsidR="00BA0B24" w:rsidRPr="007923C2" w:rsidRDefault="00BA0B24" w:rsidP="00BA0B24">
            <w:pPr>
              <w:rPr>
                <w:rFonts w:ascii="Arial" w:hAnsi="Arial" w:cs="Arial"/>
                <w:sz w:val="22"/>
                <w:szCs w:val="22"/>
              </w:rPr>
            </w:pPr>
          </w:p>
          <w:p w14:paraId="7A2D36F5" w14:textId="77777777" w:rsidR="00BA0B24" w:rsidRPr="007923C2" w:rsidRDefault="00BA0B24" w:rsidP="00BA0B24">
            <w:pPr>
              <w:rPr>
                <w:rFonts w:ascii="Arial" w:hAnsi="Arial" w:cs="Arial"/>
                <w:sz w:val="22"/>
                <w:szCs w:val="22"/>
              </w:rPr>
            </w:pPr>
          </w:p>
          <w:p w14:paraId="33A25B0D" w14:textId="77777777" w:rsidR="00BA0B24" w:rsidRPr="007923C2" w:rsidRDefault="00BA0B24" w:rsidP="00BA0B24">
            <w:pPr>
              <w:rPr>
                <w:rFonts w:ascii="Arial" w:hAnsi="Arial" w:cs="Arial"/>
                <w:sz w:val="22"/>
                <w:szCs w:val="22"/>
              </w:rPr>
            </w:pPr>
          </w:p>
          <w:p w14:paraId="768BD9E9" w14:textId="77777777" w:rsidR="00BA0B24" w:rsidRPr="007923C2" w:rsidRDefault="00BA0B24" w:rsidP="00BA0B24">
            <w:pPr>
              <w:rPr>
                <w:rFonts w:ascii="Arial" w:hAnsi="Arial" w:cs="Arial"/>
                <w:sz w:val="22"/>
                <w:szCs w:val="22"/>
              </w:rPr>
            </w:pPr>
          </w:p>
          <w:p w14:paraId="6E33B7D4" w14:textId="77777777" w:rsidR="00BA0B24" w:rsidRPr="007923C2" w:rsidRDefault="00BA0B24" w:rsidP="00BA0B24">
            <w:pPr>
              <w:rPr>
                <w:rFonts w:ascii="Arial" w:hAnsi="Arial" w:cs="Arial"/>
                <w:sz w:val="22"/>
                <w:szCs w:val="22"/>
              </w:rPr>
            </w:pPr>
          </w:p>
          <w:p w14:paraId="51202757" w14:textId="77777777" w:rsidR="00BA0B24" w:rsidRPr="007923C2" w:rsidRDefault="00BA0B24" w:rsidP="00BA0B24">
            <w:pPr>
              <w:rPr>
                <w:rFonts w:ascii="Arial" w:hAnsi="Arial" w:cs="Arial"/>
                <w:sz w:val="22"/>
                <w:szCs w:val="22"/>
              </w:rPr>
            </w:pPr>
          </w:p>
          <w:p w14:paraId="59922107" w14:textId="77777777" w:rsidR="00BA0B24" w:rsidRPr="007923C2" w:rsidRDefault="00BA0B24" w:rsidP="00BA0B24">
            <w:pPr>
              <w:rPr>
                <w:rFonts w:ascii="Arial" w:hAnsi="Arial" w:cs="Arial"/>
                <w:sz w:val="22"/>
                <w:szCs w:val="22"/>
              </w:rPr>
            </w:pPr>
          </w:p>
          <w:p w14:paraId="5609DD03" w14:textId="77777777" w:rsidR="00BA0B24" w:rsidRPr="007923C2" w:rsidRDefault="00BA0B24" w:rsidP="00BA0B24">
            <w:pPr>
              <w:rPr>
                <w:rFonts w:ascii="Arial" w:hAnsi="Arial" w:cs="Arial"/>
                <w:sz w:val="22"/>
                <w:szCs w:val="22"/>
              </w:rPr>
            </w:pPr>
          </w:p>
          <w:p w14:paraId="5370A344" w14:textId="77777777" w:rsidR="00BA0B24" w:rsidRPr="007923C2" w:rsidRDefault="00BA0B24" w:rsidP="00BA0B24">
            <w:pPr>
              <w:rPr>
                <w:rFonts w:ascii="Arial" w:hAnsi="Arial" w:cs="Arial"/>
                <w:sz w:val="22"/>
                <w:szCs w:val="22"/>
              </w:rPr>
            </w:pPr>
          </w:p>
          <w:p w14:paraId="2334461D" w14:textId="77777777" w:rsidR="00BA0B24" w:rsidRPr="007923C2" w:rsidRDefault="00BA0B24" w:rsidP="00BA0B24">
            <w:pPr>
              <w:rPr>
                <w:rFonts w:ascii="Arial" w:hAnsi="Arial" w:cs="Arial"/>
                <w:sz w:val="22"/>
                <w:szCs w:val="22"/>
              </w:rPr>
            </w:pPr>
          </w:p>
          <w:p w14:paraId="27729B48" w14:textId="77777777" w:rsidR="00BA0B24" w:rsidRPr="007923C2" w:rsidRDefault="00BA0B24" w:rsidP="00BA0B24">
            <w:pPr>
              <w:rPr>
                <w:rFonts w:ascii="Arial" w:hAnsi="Arial" w:cs="Arial"/>
                <w:sz w:val="22"/>
                <w:szCs w:val="22"/>
              </w:rPr>
            </w:pPr>
          </w:p>
          <w:p w14:paraId="72BBDD57" w14:textId="77777777" w:rsidR="00BA0B24" w:rsidRPr="007923C2" w:rsidRDefault="00BA0B24" w:rsidP="00BA0B24">
            <w:pPr>
              <w:rPr>
                <w:rFonts w:ascii="Arial" w:hAnsi="Arial" w:cs="Arial"/>
                <w:sz w:val="22"/>
                <w:szCs w:val="22"/>
              </w:rPr>
            </w:pPr>
          </w:p>
          <w:p w14:paraId="2C2737AF" w14:textId="77777777" w:rsidR="00BA0B24" w:rsidRPr="007923C2" w:rsidRDefault="00BA0B24" w:rsidP="00BA0B24">
            <w:pPr>
              <w:rPr>
                <w:rFonts w:ascii="Arial" w:hAnsi="Arial" w:cs="Arial"/>
                <w:sz w:val="22"/>
                <w:szCs w:val="22"/>
              </w:rPr>
            </w:pPr>
          </w:p>
          <w:p w14:paraId="77900FC2" w14:textId="77777777" w:rsidR="00BA0B24" w:rsidRPr="007923C2" w:rsidRDefault="00BA0B24" w:rsidP="00BA0B24">
            <w:pPr>
              <w:rPr>
                <w:rFonts w:ascii="Arial" w:hAnsi="Arial" w:cs="Arial"/>
                <w:sz w:val="22"/>
                <w:szCs w:val="22"/>
              </w:rPr>
            </w:pPr>
          </w:p>
          <w:p w14:paraId="6CB987D9" w14:textId="77777777" w:rsidR="00BA0B24" w:rsidRPr="007923C2" w:rsidRDefault="00BA0B24" w:rsidP="00BA0B24">
            <w:pPr>
              <w:rPr>
                <w:rFonts w:ascii="Arial" w:hAnsi="Arial" w:cs="Arial"/>
                <w:sz w:val="22"/>
                <w:szCs w:val="22"/>
              </w:rPr>
            </w:pPr>
          </w:p>
          <w:p w14:paraId="249D9222" w14:textId="77777777" w:rsidR="00BA0B24" w:rsidRPr="007923C2" w:rsidRDefault="00BA0B24" w:rsidP="00BA0B24">
            <w:pPr>
              <w:rPr>
                <w:rFonts w:ascii="Arial" w:hAnsi="Arial" w:cs="Arial"/>
                <w:sz w:val="22"/>
                <w:szCs w:val="22"/>
              </w:rPr>
            </w:pPr>
          </w:p>
          <w:p w14:paraId="4BFBF765" w14:textId="77777777" w:rsidR="00BA0B24" w:rsidRPr="007923C2" w:rsidRDefault="00BA0B24" w:rsidP="00BA0B24">
            <w:pPr>
              <w:rPr>
                <w:rFonts w:ascii="Arial" w:hAnsi="Arial" w:cs="Arial"/>
                <w:sz w:val="22"/>
                <w:szCs w:val="22"/>
              </w:rPr>
            </w:pPr>
          </w:p>
          <w:p w14:paraId="1C4EBDC1" w14:textId="77777777" w:rsidR="00813374" w:rsidRDefault="00813374" w:rsidP="00BA0B24">
            <w:pPr>
              <w:rPr>
                <w:rFonts w:ascii="Arial" w:hAnsi="Arial" w:cs="Arial"/>
                <w:sz w:val="22"/>
                <w:szCs w:val="22"/>
              </w:rPr>
            </w:pPr>
          </w:p>
          <w:p w14:paraId="13D24359" w14:textId="77777777" w:rsidR="00813374" w:rsidRDefault="00813374" w:rsidP="00BA0B24">
            <w:pPr>
              <w:rPr>
                <w:rFonts w:ascii="Arial" w:hAnsi="Arial" w:cs="Arial"/>
                <w:sz w:val="22"/>
                <w:szCs w:val="22"/>
              </w:rPr>
            </w:pPr>
          </w:p>
          <w:p w14:paraId="5C383A3D" w14:textId="77777777" w:rsidR="006A78F4" w:rsidRDefault="006A78F4" w:rsidP="00BA0B24">
            <w:pPr>
              <w:rPr>
                <w:rFonts w:ascii="Arial" w:hAnsi="Arial" w:cs="Arial"/>
                <w:sz w:val="22"/>
                <w:szCs w:val="22"/>
              </w:rPr>
            </w:pPr>
          </w:p>
          <w:p w14:paraId="046E6396" w14:textId="77777777" w:rsidR="00BA0B24" w:rsidRPr="007923C2" w:rsidRDefault="00BA0B24" w:rsidP="00BA0B24">
            <w:pPr>
              <w:rPr>
                <w:rFonts w:ascii="Arial" w:hAnsi="Arial" w:cs="Arial"/>
                <w:sz w:val="22"/>
                <w:szCs w:val="22"/>
              </w:rPr>
            </w:pPr>
            <w:r w:rsidRPr="007923C2">
              <w:rPr>
                <w:rFonts w:ascii="Arial" w:hAnsi="Arial" w:cs="Arial"/>
                <w:sz w:val="22"/>
                <w:szCs w:val="22"/>
              </w:rPr>
              <w:t>-Permitirá al alumno adentrarse en el conocimiento básico que fundamentará las materias especializantes.</w:t>
            </w:r>
          </w:p>
        </w:tc>
        <w:tc>
          <w:tcPr>
            <w:tcW w:w="2265" w:type="dxa"/>
            <w:gridSpan w:val="2"/>
          </w:tcPr>
          <w:p w14:paraId="19EF1217" w14:textId="77777777" w:rsidR="00BA0B24" w:rsidRPr="007923C2" w:rsidRDefault="00BA0B24" w:rsidP="00BA0B24">
            <w:pPr>
              <w:rPr>
                <w:rFonts w:ascii="Arial" w:hAnsi="Arial" w:cs="Arial"/>
                <w:sz w:val="22"/>
                <w:szCs w:val="22"/>
              </w:rPr>
            </w:pPr>
            <w:r w:rsidRPr="007923C2">
              <w:rPr>
                <w:rFonts w:ascii="Arial" w:hAnsi="Arial" w:cs="Arial"/>
                <w:sz w:val="22"/>
                <w:szCs w:val="22"/>
              </w:rPr>
              <w:t>-Ecología</w:t>
            </w:r>
          </w:p>
          <w:p w14:paraId="0395B05C" w14:textId="77777777" w:rsidR="00BA0B24" w:rsidRPr="007923C2" w:rsidRDefault="00BA0B24" w:rsidP="00BA0B24">
            <w:pPr>
              <w:rPr>
                <w:rFonts w:ascii="Arial" w:hAnsi="Arial" w:cs="Arial"/>
                <w:sz w:val="22"/>
                <w:szCs w:val="22"/>
              </w:rPr>
            </w:pPr>
          </w:p>
          <w:p w14:paraId="209B6F26" w14:textId="77777777" w:rsidR="00BA0B24" w:rsidRPr="007923C2" w:rsidRDefault="00BA0B24" w:rsidP="00BA0B24">
            <w:pPr>
              <w:rPr>
                <w:rFonts w:ascii="Arial" w:hAnsi="Arial" w:cs="Arial"/>
                <w:sz w:val="22"/>
                <w:szCs w:val="22"/>
              </w:rPr>
            </w:pPr>
          </w:p>
          <w:p w14:paraId="0603C15A" w14:textId="77777777" w:rsidR="00BA0B24" w:rsidRPr="007923C2" w:rsidRDefault="00BA0B24" w:rsidP="00BA0B24">
            <w:pPr>
              <w:rPr>
                <w:rFonts w:ascii="Arial" w:hAnsi="Arial" w:cs="Arial"/>
                <w:sz w:val="22"/>
                <w:szCs w:val="22"/>
              </w:rPr>
            </w:pPr>
          </w:p>
          <w:p w14:paraId="591D442E" w14:textId="77777777" w:rsidR="00BA0B24" w:rsidRPr="007923C2" w:rsidRDefault="00BA0B24" w:rsidP="00BA0B24">
            <w:pPr>
              <w:rPr>
                <w:rFonts w:ascii="Arial" w:hAnsi="Arial" w:cs="Arial"/>
                <w:sz w:val="22"/>
                <w:szCs w:val="22"/>
              </w:rPr>
            </w:pPr>
          </w:p>
          <w:p w14:paraId="52CD722D" w14:textId="77777777" w:rsidR="00BA0B24" w:rsidRPr="007923C2" w:rsidRDefault="00BA0B24" w:rsidP="00BA0B24">
            <w:pPr>
              <w:rPr>
                <w:rFonts w:ascii="Arial" w:hAnsi="Arial" w:cs="Arial"/>
                <w:sz w:val="22"/>
                <w:szCs w:val="22"/>
              </w:rPr>
            </w:pPr>
          </w:p>
          <w:p w14:paraId="2EA1FD8B" w14:textId="77777777" w:rsidR="00813374" w:rsidRDefault="00813374" w:rsidP="00BA0B24">
            <w:pPr>
              <w:rPr>
                <w:rFonts w:ascii="Arial" w:hAnsi="Arial" w:cs="Arial"/>
                <w:sz w:val="22"/>
                <w:szCs w:val="22"/>
              </w:rPr>
            </w:pPr>
          </w:p>
          <w:p w14:paraId="17888521" w14:textId="77777777" w:rsidR="00BA0B24" w:rsidRPr="007923C2" w:rsidRDefault="00BA0B24" w:rsidP="00BA0B24">
            <w:pPr>
              <w:rPr>
                <w:rFonts w:ascii="Arial" w:hAnsi="Arial" w:cs="Arial"/>
                <w:sz w:val="22"/>
                <w:szCs w:val="22"/>
              </w:rPr>
            </w:pPr>
            <w:r w:rsidRPr="007923C2">
              <w:rPr>
                <w:rFonts w:ascii="Arial" w:hAnsi="Arial" w:cs="Arial"/>
                <w:sz w:val="22"/>
                <w:szCs w:val="22"/>
              </w:rPr>
              <w:t xml:space="preserve">-Zoología </w:t>
            </w:r>
          </w:p>
          <w:p w14:paraId="6B680F56" w14:textId="77777777" w:rsidR="00BA0B24" w:rsidRPr="007923C2" w:rsidRDefault="00BA0B24" w:rsidP="00BA0B24">
            <w:pPr>
              <w:rPr>
                <w:rFonts w:ascii="Arial" w:hAnsi="Arial" w:cs="Arial"/>
                <w:sz w:val="22"/>
                <w:szCs w:val="22"/>
              </w:rPr>
            </w:pPr>
          </w:p>
          <w:p w14:paraId="122159F8" w14:textId="77777777" w:rsidR="00BA0B24" w:rsidRPr="007923C2" w:rsidRDefault="00BA0B24" w:rsidP="00BA0B24">
            <w:pPr>
              <w:rPr>
                <w:rFonts w:ascii="Arial" w:hAnsi="Arial" w:cs="Arial"/>
                <w:sz w:val="22"/>
                <w:szCs w:val="22"/>
              </w:rPr>
            </w:pPr>
          </w:p>
          <w:p w14:paraId="24853F29" w14:textId="77777777" w:rsidR="00BA0B24" w:rsidRPr="007923C2" w:rsidRDefault="00BA0B24" w:rsidP="00BA0B24">
            <w:pPr>
              <w:rPr>
                <w:rFonts w:ascii="Arial" w:hAnsi="Arial" w:cs="Arial"/>
                <w:sz w:val="22"/>
                <w:szCs w:val="22"/>
              </w:rPr>
            </w:pPr>
          </w:p>
          <w:p w14:paraId="26D4C6FC" w14:textId="77777777" w:rsidR="00BA0B24" w:rsidRPr="007923C2" w:rsidRDefault="00BA0B24" w:rsidP="00BA0B24">
            <w:pPr>
              <w:rPr>
                <w:rFonts w:ascii="Arial" w:hAnsi="Arial" w:cs="Arial"/>
                <w:sz w:val="22"/>
                <w:szCs w:val="22"/>
              </w:rPr>
            </w:pPr>
          </w:p>
          <w:p w14:paraId="4BE28923" w14:textId="77777777" w:rsidR="00BA0B24" w:rsidRPr="007923C2" w:rsidRDefault="00BA0B24" w:rsidP="00BA0B24">
            <w:pPr>
              <w:rPr>
                <w:rFonts w:ascii="Arial" w:hAnsi="Arial" w:cs="Arial"/>
                <w:sz w:val="22"/>
                <w:szCs w:val="22"/>
              </w:rPr>
            </w:pPr>
          </w:p>
          <w:p w14:paraId="4CB3EA84" w14:textId="77777777" w:rsidR="00BA0B24" w:rsidRPr="007923C2" w:rsidRDefault="00BA0B24" w:rsidP="00BA0B24">
            <w:pPr>
              <w:rPr>
                <w:rFonts w:ascii="Arial" w:hAnsi="Arial" w:cs="Arial"/>
                <w:sz w:val="22"/>
                <w:szCs w:val="22"/>
              </w:rPr>
            </w:pPr>
          </w:p>
          <w:p w14:paraId="2D38ABE3" w14:textId="77777777" w:rsidR="00BA0B24" w:rsidRPr="007923C2" w:rsidRDefault="00BA0B24" w:rsidP="00BA0B24">
            <w:pPr>
              <w:rPr>
                <w:rFonts w:ascii="Arial" w:hAnsi="Arial" w:cs="Arial"/>
                <w:sz w:val="22"/>
                <w:szCs w:val="22"/>
              </w:rPr>
            </w:pPr>
          </w:p>
          <w:p w14:paraId="7226E673" w14:textId="77777777" w:rsidR="00BA0B24" w:rsidRPr="007923C2" w:rsidRDefault="00BA0B24" w:rsidP="00BA0B24">
            <w:pPr>
              <w:rPr>
                <w:rFonts w:ascii="Arial" w:hAnsi="Arial" w:cs="Arial"/>
                <w:sz w:val="22"/>
                <w:szCs w:val="22"/>
              </w:rPr>
            </w:pPr>
          </w:p>
          <w:p w14:paraId="5963B273" w14:textId="77777777" w:rsidR="00BA0B24" w:rsidRPr="007923C2" w:rsidRDefault="00BA0B24" w:rsidP="00BA0B24">
            <w:pPr>
              <w:rPr>
                <w:rFonts w:ascii="Arial" w:hAnsi="Arial" w:cs="Arial"/>
                <w:sz w:val="22"/>
                <w:szCs w:val="22"/>
              </w:rPr>
            </w:pPr>
          </w:p>
          <w:p w14:paraId="60C1DC89" w14:textId="77777777" w:rsidR="00BA0B24" w:rsidRPr="007923C2" w:rsidRDefault="00BA0B24" w:rsidP="00BA0B24">
            <w:pPr>
              <w:rPr>
                <w:rFonts w:ascii="Arial" w:hAnsi="Arial" w:cs="Arial"/>
                <w:sz w:val="22"/>
                <w:szCs w:val="22"/>
              </w:rPr>
            </w:pPr>
          </w:p>
          <w:p w14:paraId="08367027" w14:textId="77777777" w:rsidR="00813374" w:rsidRDefault="00813374" w:rsidP="00BA0B24">
            <w:pPr>
              <w:rPr>
                <w:rFonts w:ascii="Arial" w:hAnsi="Arial" w:cs="Arial"/>
                <w:sz w:val="22"/>
                <w:szCs w:val="22"/>
              </w:rPr>
            </w:pPr>
          </w:p>
          <w:p w14:paraId="2B794FBA" w14:textId="77777777" w:rsidR="00BA0B24" w:rsidRPr="007923C2" w:rsidRDefault="00BA0B24" w:rsidP="00BA0B24">
            <w:pPr>
              <w:rPr>
                <w:rFonts w:ascii="Arial" w:hAnsi="Arial" w:cs="Arial"/>
                <w:sz w:val="22"/>
                <w:szCs w:val="22"/>
              </w:rPr>
            </w:pPr>
            <w:r w:rsidRPr="007923C2">
              <w:rPr>
                <w:rFonts w:ascii="Arial" w:hAnsi="Arial" w:cs="Arial"/>
                <w:sz w:val="22"/>
                <w:szCs w:val="22"/>
              </w:rPr>
              <w:t>-Meteorología y Climatología</w:t>
            </w:r>
          </w:p>
          <w:p w14:paraId="67F457F4" w14:textId="77777777" w:rsidR="00BA0B24" w:rsidRPr="007923C2" w:rsidRDefault="00BA0B24" w:rsidP="00BA0B24">
            <w:pPr>
              <w:rPr>
                <w:rFonts w:ascii="Arial" w:hAnsi="Arial" w:cs="Arial"/>
                <w:sz w:val="22"/>
                <w:szCs w:val="22"/>
              </w:rPr>
            </w:pPr>
          </w:p>
          <w:p w14:paraId="23DF0D20" w14:textId="77777777" w:rsidR="00BA0B24" w:rsidRPr="007923C2" w:rsidRDefault="00BA0B24" w:rsidP="00BA0B24">
            <w:pPr>
              <w:rPr>
                <w:rFonts w:ascii="Arial" w:hAnsi="Arial" w:cs="Arial"/>
                <w:sz w:val="22"/>
                <w:szCs w:val="22"/>
              </w:rPr>
            </w:pPr>
          </w:p>
          <w:p w14:paraId="6B115296" w14:textId="77777777" w:rsidR="006A78F4" w:rsidRDefault="006A78F4" w:rsidP="00BA0B24">
            <w:pPr>
              <w:rPr>
                <w:rFonts w:ascii="Arial" w:hAnsi="Arial" w:cs="Arial"/>
                <w:sz w:val="22"/>
                <w:szCs w:val="22"/>
              </w:rPr>
            </w:pPr>
          </w:p>
          <w:p w14:paraId="3F07442A" w14:textId="77777777" w:rsidR="00BA0B24" w:rsidRPr="007923C2" w:rsidRDefault="00BA0B24" w:rsidP="00BA0B24">
            <w:pPr>
              <w:rPr>
                <w:rFonts w:ascii="Arial" w:hAnsi="Arial" w:cs="Arial"/>
                <w:sz w:val="22"/>
                <w:szCs w:val="22"/>
              </w:rPr>
            </w:pPr>
            <w:r w:rsidRPr="007923C2">
              <w:rPr>
                <w:rFonts w:ascii="Arial" w:hAnsi="Arial" w:cs="Arial"/>
                <w:sz w:val="22"/>
                <w:szCs w:val="22"/>
              </w:rPr>
              <w:t>-Bioestadística</w:t>
            </w:r>
          </w:p>
          <w:p w14:paraId="14CEDA4C" w14:textId="77777777" w:rsidR="00BA0B24" w:rsidRPr="007923C2" w:rsidRDefault="00BA0B24" w:rsidP="00BA0B24">
            <w:pPr>
              <w:rPr>
                <w:rFonts w:ascii="Arial" w:hAnsi="Arial" w:cs="Arial"/>
                <w:sz w:val="22"/>
                <w:szCs w:val="22"/>
              </w:rPr>
            </w:pPr>
          </w:p>
          <w:p w14:paraId="5E9963AF" w14:textId="77777777" w:rsidR="00BA0B24" w:rsidRPr="007923C2" w:rsidRDefault="00BA0B24" w:rsidP="00BA0B24">
            <w:pPr>
              <w:rPr>
                <w:rFonts w:ascii="Arial" w:hAnsi="Arial" w:cs="Arial"/>
                <w:sz w:val="22"/>
                <w:szCs w:val="22"/>
              </w:rPr>
            </w:pPr>
          </w:p>
          <w:p w14:paraId="3D9214C1" w14:textId="77777777" w:rsidR="00BA0B24" w:rsidRPr="007923C2" w:rsidRDefault="00BA0B24" w:rsidP="00BA0B24">
            <w:pPr>
              <w:rPr>
                <w:rFonts w:ascii="Arial" w:hAnsi="Arial" w:cs="Arial"/>
                <w:sz w:val="22"/>
                <w:szCs w:val="22"/>
              </w:rPr>
            </w:pPr>
          </w:p>
          <w:p w14:paraId="28330456" w14:textId="77777777" w:rsidR="00BA0B24" w:rsidRPr="007923C2" w:rsidRDefault="00BA0B24" w:rsidP="00BA0B24">
            <w:pPr>
              <w:rPr>
                <w:rFonts w:ascii="Arial" w:hAnsi="Arial" w:cs="Arial"/>
                <w:sz w:val="22"/>
                <w:szCs w:val="22"/>
              </w:rPr>
            </w:pPr>
          </w:p>
          <w:p w14:paraId="483A1103" w14:textId="77777777" w:rsidR="00BA0B24" w:rsidRPr="007923C2" w:rsidRDefault="00BA0B24" w:rsidP="00BA0B24">
            <w:pPr>
              <w:rPr>
                <w:rFonts w:ascii="Arial" w:hAnsi="Arial" w:cs="Arial"/>
                <w:sz w:val="22"/>
                <w:szCs w:val="22"/>
              </w:rPr>
            </w:pPr>
          </w:p>
          <w:p w14:paraId="76AB7BA6" w14:textId="77777777" w:rsidR="00BA0B24" w:rsidRPr="007923C2" w:rsidRDefault="00BA0B24" w:rsidP="00BA0B24">
            <w:pPr>
              <w:rPr>
                <w:rFonts w:ascii="Arial" w:hAnsi="Arial" w:cs="Arial"/>
                <w:sz w:val="22"/>
                <w:szCs w:val="22"/>
              </w:rPr>
            </w:pPr>
          </w:p>
          <w:p w14:paraId="2BB38E29" w14:textId="77777777" w:rsidR="00BA0B24" w:rsidRPr="007923C2" w:rsidRDefault="00BA0B24" w:rsidP="00BA0B24">
            <w:pPr>
              <w:rPr>
                <w:rFonts w:ascii="Arial" w:hAnsi="Arial" w:cs="Arial"/>
                <w:sz w:val="22"/>
                <w:szCs w:val="22"/>
              </w:rPr>
            </w:pPr>
            <w:r w:rsidRPr="007923C2">
              <w:rPr>
                <w:rFonts w:ascii="Arial" w:hAnsi="Arial" w:cs="Arial"/>
                <w:sz w:val="22"/>
                <w:szCs w:val="22"/>
              </w:rPr>
              <w:t>-Bioquímica</w:t>
            </w:r>
          </w:p>
          <w:p w14:paraId="2261824E" w14:textId="77777777" w:rsidR="00BA0B24" w:rsidRPr="007923C2" w:rsidRDefault="00BA0B24" w:rsidP="00BA0B24">
            <w:pPr>
              <w:rPr>
                <w:rFonts w:ascii="Arial" w:hAnsi="Arial" w:cs="Arial"/>
                <w:sz w:val="22"/>
                <w:szCs w:val="22"/>
              </w:rPr>
            </w:pPr>
          </w:p>
          <w:p w14:paraId="11D0A1C9" w14:textId="77777777" w:rsidR="00BA0B24" w:rsidRPr="007923C2" w:rsidRDefault="00BA0B24" w:rsidP="00BA0B24">
            <w:pPr>
              <w:rPr>
                <w:rFonts w:ascii="Arial" w:hAnsi="Arial" w:cs="Arial"/>
                <w:sz w:val="22"/>
                <w:szCs w:val="22"/>
              </w:rPr>
            </w:pPr>
          </w:p>
          <w:p w14:paraId="0BDB5F62" w14:textId="77777777" w:rsidR="00BA0B24" w:rsidRPr="007923C2" w:rsidRDefault="00BA0B24" w:rsidP="00BA0B24">
            <w:pPr>
              <w:rPr>
                <w:rFonts w:ascii="Arial" w:hAnsi="Arial" w:cs="Arial"/>
                <w:sz w:val="22"/>
                <w:szCs w:val="22"/>
              </w:rPr>
            </w:pPr>
          </w:p>
          <w:p w14:paraId="79E6F163" w14:textId="77777777" w:rsidR="00BA0B24" w:rsidRPr="007923C2" w:rsidRDefault="00BA0B24" w:rsidP="00BA0B24">
            <w:pPr>
              <w:rPr>
                <w:rFonts w:ascii="Arial" w:hAnsi="Arial" w:cs="Arial"/>
                <w:sz w:val="22"/>
                <w:szCs w:val="22"/>
              </w:rPr>
            </w:pPr>
            <w:r w:rsidRPr="007923C2">
              <w:rPr>
                <w:rFonts w:ascii="Arial" w:hAnsi="Arial" w:cs="Arial"/>
                <w:sz w:val="22"/>
                <w:szCs w:val="22"/>
              </w:rPr>
              <w:t>-Sistemas Biológicos</w:t>
            </w:r>
          </w:p>
          <w:p w14:paraId="2BC76B69" w14:textId="77777777" w:rsidR="00BA0B24" w:rsidRPr="007923C2" w:rsidRDefault="00BA0B24" w:rsidP="00BA0B24">
            <w:pPr>
              <w:rPr>
                <w:rFonts w:ascii="Arial" w:hAnsi="Arial" w:cs="Arial"/>
                <w:sz w:val="22"/>
                <w:szCs w:val="22"/>
              </w:rPr>
            </w:pPr>
          </w:p>
          <w:p w14:paraId="1C706C25" w14:textId="77777777" w:rsidR="00BA0B24" w:rsidRPr="007923C2" w:rsidRDefault="00BA0B24" w:rsidP="00BA0B24">
            <w:pPr>
              <w:rPr>
                <w:rFonts w:ascii="Arial" w:hAnsi="Arial" w:cs="Arial"/>
                <w:sz w:val="22"/>
                <w:szCs w:val="22"/>
              </w:rPr>
            </w:pPr>
          </w:p>
          <w:p w14:paraId="1FF1887B" w14:textId="77777777" w:rsidR="00BA0B24" w:rsidRPr="007923C2" w:rsidRDefault="00BA0B24" w:rsidP="00BA0B24">
            <w:pPr>
              <w:rPr>
                <w:rFonts w:ascii="Arial" w:hAnsi="Arial" w:cs="Arial"/>
                <w:sz w:val="22"/>
                <w:szCs w:val="22"/>
              </w:rPr>
            </w:pPr>
          </w:p>
          <w:p w14:paraId="100DA3A3" w14:textId="77777777" w:rsidR="00BA0B24" w:rsidRPr="007923C2" w:rsidRDefault="00BA0B24" w:rsidP="00BA0B24">
            <w:pPr>
              <w:rPr>
                <w:rFonts w:ascii="Arial" w:hAnsi="Arial" w:cs="Arial"/>
                <w:sz w:val="22"/>
                <w:szCs w:val="22"/>
              </w:rPr>
            </w:pPr>
            <w:r w:rsidRPr="007923C2">
              <w:rPr>
                <w:rFonts w:ascii="Arial" w:hAnsi="Arial" w:cs="Arial"/>
                <w:sz w:val="22"/>
                <w:szCs w:val="22"/>
              </w:rPr>
              <w:t>-Genética</w:t>
            </w:r>
          </w:p>
          <w:p w14:paraId="764B6C98" w14:textId="77777777" w:rsidR="00BA0B24" w:rsidRPr="007923C2" w:rsidRDefault="00BA0B24" w:rsidP="00BA0B24">
            <w:pPr>
              <w:rPr>
                <w:rFonts w:ascii="Arial" w:hAnsi="Arial" w:cs="Arial"/>
                <w:sz w:val="22"/>
                <w:szCs w:val="22"/>
              </w:rPr>
            </w:pPr>
          </w:p>
        </w:tc>
        <w:tc>
          <w:tcPr>
            <w:tcW w:w="3533" w:type="dxa"/>
            <w:gridSpan w:val="2"/>
          </w:tcPr>
          <w:p w14:paraId="4691EEE4" w14:textId="77777777" w:rsidR="00BA0B24" w:rsidRPr="007923C2" w:rsidRDefault="00BA0B24" w:rsidP="00BA0B24">
            <w:pPr>
              <w:rPr>
                <w:rFonts w:ascii="Arial" w:hAnsi="Arial" w:cs="Arial"/>
                <w:sz w:val="22"/>
                <w:szCs w:val="22"/>
              </w:rPr>
            </w:pPr>
            <w:r w:rsidRPr="007923C2">
              <w:rPr>
                <w:rFonts w:ascii="Arial" w:hAnsi="Arial" w:cs="Arial"/>
                <w:sz w:val="22"/>
                <w:szCs w:val="22"/>
              </w:rPr>
              <w:t>-Analizar la dinámica de las poblaciones y comunidades y su relación con la productividad y describir el funcionamiento y regulación de los sistemas ecológicos.</w:t>
            </w:r>
          </w:p>
          <w:p w14:paraId="67867B6A" w14:textId="77777777" w:rsidR="00BA0B24" w:rsidRPr="007923C2" w:rsidRDefault="00BA0B24" w:rsidP="00BA0B24">
            <w:pPr>
              <w:rPr>
                <w:rFonts w:ascii="Arial" w:hAnsi="Arial" w:cs="Arial"/>
                <w:sz w:val="22"/>
                <w:szCs w:val="22"/>
              </w:rPr>
            </w:pPr>
          </w:p>
          <w:p w14:paraId="2D398280" w14:textId="77777777" w:rsidR="00BA0B24" w:rsidRPr="007923C2" w:rsidRDefault="00BA0B24" w:rsidP="00BA0B24">
            <w:pPr>
              <w:rPr>
                <w:rFonts w:ascii="Arial" w:hAnsi="Arial" w:cs="Arial"/>
                <w:sz w:val="22"/>
                <w:szCs w:val="22"/>
              </w:rPr>
            </w:pPr>
            <w:r w:rsidRPr="007923C2">
              <w:rPr>
                <w:rFonts w:ascii="Arial" w:hAnsi="Arial" w:cs="Arial"/>
                <w:sz w:val="22"/>
                <w:szCs w:val="22"/>
              </w:rPr>
              <w:t>-Diferenciar los grupos de invertebrados y vertebrados reconociendo su importancia desde el punto de vista agropecuario, salud humana y ambiental para su conservación. Manejar el conocimiento necesario para describir y analizar los procesos fisiológicos de los animales desde un punto de vista dinámico e integrador.</w:t>
            </w:r>
          </w:p>
          <w:p w14:paraId="12503F0C" w14:textId="77777777" w:rsidR="00BA0B24" w:rsidRPr="007923C2" w:rsidRDefault="00BA0B24" w:rsidP="00BA0B24">
            <w:pPr>
              <w:rPr>
                <w:rFonts w:ascii="Arial" w:hAnsi="Arial" w:cs="Arial"/>
                <w:sz w:val="22"/>
                <w:szCs w:val="22"/>
              </w:rPr>
            </w:pPr>
          </w:p>
          <w:p w14:paraId="2B8F5AF8" w14:textId="77777777" w:rsidR="00BA0B24" w:rsidRPr="007923C2" w:rsidRDefault="00BA0B24" w:rsidP="00BA0B24">
            <w:pPr>
              <w:rPr>
                <w:rFonts w:ascii="Arial" w:hAnsi="Arial" w:cs="Arial"/>
                <w:sz w:val="22"/>
                <w:szCs w:val="22"/>
              </w:rPr>
            </w:pPr>
            <w:r w:rsidRPr="007923C2">
              <w:rPr>
                <w:rFonts w:ascii="Arial" w:hAnsi="Arial" w:cs="Arial"/>
                <w:sz w:val="22"/>
                <w:szCs w:val="22"/>
              </w:rPr>
              <w:t>Comprender la influencia del tiempo y del clima sobre la producción silvoagropecuaria.</w:t>
            </w:r>
          </w:p>
          <w:p w14:paraId="35A1AAFF" w14:textId="77777777" w:rsidR="00BA0B24" w:rsidRPr="007923C2" w:rsidRDefault="00BA0B24" w:rsidP="00BA0B24">
            <w:pPr>
              <w:rPr>
                <w:rFonts w:ascii="Arial" w:hAnsi="Arial" w:cs="Arial"/>
                <w:sz w:val="22"/>
                <w:szCs w:val="22"/>
              </w:rPr>
            </w:pPr>
          </w:p>
          <w:p w14:paraId="1629B661" w14:textId="77777777" w:rsidR="00BA0B24" w:rsidRPr="007923C2" w:rsidRDefault="00BA0B24" w:rsidP="00BA0B24">
            <w:pPr>
              <w:rPr>
                <w:rFonts w:ascii="Arial" w:hAnsi="Arial" w:cs="Arial"/>
                <w:sz w:val="22"/>
                <w:szCs w:val="22"/>
              </w:rPr>
            </w:pPr>
            <w:r w:rsidRPr="007923C2">
              <w:rPr>
                <w:rFonts w:ascii="Arial" w:hAnsi="Arial" w:cs="Arial"/>
                <w:sz w:val="22"/>
                <w:szCs w:val="22"/>
              </w:rPr>
              <w:t>Hacer predicciones, pronósticos, generar expectativas sobre una población en base a una muestra representativa de ella, con la finalidad de tomar cursos de acción o políticas de manejo.</w:t>
            </w:r>
          </w:p>
          <w:p w14:paraId="5946747D" w14:textId="77777777" w:rsidR="00BA0B24" w:rsidRPr="007923C2" w:rsidRDefault="00BA0B24" w:rsidP="00BA0B24">
            <w:pPr>
              <w:rPr>
                <w:rFonts w:ascii="Arial" w:hAnsi="Arial" w:cs="Arial"/>
                <w:sz w:val="22"/>
                <w:szCs w:val="22"/>
              </w:rPr>
            </w:pPr>
          </w:p>
          <w:p w14:paraId="7EEFC3A9" w14:textId="77777777" w:rsidR="00BA0B24" w:rsidRPr="007923C2" w:rsidRDefault="00BA0B24" w:rsidP="00BA0B24">
            <w:pPr>
              <w:rPr>
                <w:rFonts w:ascii="Arial" w:hAnsi="Arial" w:cs="Arial"/>
                <w:sz w:val="22"/>
                <w:szCs w:val="22"/>
              </w:rPr>
            </w:pPr>
            <w:r w:rsidRPr="007923C2">
              <w:rPr>
                <w:rFonts w:ascii="Arial" w:hAnsi="Arial" w:cs="Arial"/>
                <w:sz w:val="22"/>
                <w:szCs w:val="22"/>
              </w:rPr>
              <w:t>-Entender la relación de la composición química con los procesos biológicos.</w:t>
            </w:r>
          </w:p>
          <w:p w14:paraId="4F322BF2" w14:textId="77777777" w:rsidR="00BA0B24" w:rsidRPr="007923C2" w:rsidRDefault="00BA0B24" w:rsidP="00BA0B24">
            <w:pPr>
              <w:rPr>
                <w:rFonts w:ascii="Arial" w:hAnsi="Arial" w:cs="Arial"/>
                <w:sz w:val="22"/>
                <w:szCs w:val="22"/>
              </w:rPr>
            </w:pPr>
          </w:p>
          <w:p w14:paraId="52CCBF00" w14:textId="77777777" w:rsidR="00BA0B24" w:rsidRPr="007923C2" w:rsidRDefault="00BA0B24" w:rsidP="00BA0B24">
            <w:pPr>
              <w:rPr>
                <w:rFonts w:ascii="Arial" w:hAnsi="Arial" w:cs="Arial"/>
                <w:sz w:val="22"/>
                <w:szCs w:val="22"/>
              </w:rPr>
            </w:pPr>
            <w:r w:rsidRPr="007923C2">
              <w:rPr>
                <w:rFonts w:ascii="Arial" w:hAnsi="Arial" w:cs="Arial"/>
                <w:sz w:val="22"/>
                <w:szCs w:val="22"/>
              </w:rPr>
              <w:t>-Aprender el conocimiento matemático para el análisis de los procesos biológicos.</w:t>
            </w:r>
          </w:p>
          <w:p w14:paraId="13C845E9" w14:textId="77777777" w:rsidR="00BA0B24" w:rsidRPr="007923C2" w:rsidRDefault="00BA0B24" w:rsidP="00BA0B24">
            <w:pPr>
              <w:rPr>
                <w:rFonts w:ascii="Arial" w:hAnsi="Arial" w:cs="Arial"/>
                <w:sz w:val="22"/>
                <w:szCs w:val="22"/>
              </w:rPr>
            </w:pPr>
          </w:p>
          <w:p w14:paraId="052EA622" w14:textId="77777777" w:rsidR="00BA0B24" w:rsidRPr="007923C2" w:rsidRDefault="00BA0B24" w:rsidP="00BA0B24">
            <w:pPr>
              <w:rPr>
                <w:rFonts w:ascii="Arial" w:hAnsi="Arial" w:cs="Arial"/>
                <w:sz w:val="22"/>
                <w:szCs w:val="22"/>
              </w:rPr>
            </w:pPr>
            <w:r w:rsidRPr="007923C2">
              <w:rPr>
                <w:rFonts w:ascii="Arial" w:hAnsi="Arial" w:cs="Arial"/>
                <w:sz w:val="22"/>
                <w:szCs w:val="22"/>
              </w:rPr>
              <w:t>-Analizar cómo se expresan las unidades de la herencia, cómo se da la variación hereditaria, evolución y sobrevivencia. La importancia de la genética aplicada al mejoramiento de las plantas y animales de importancia económica.</w:t>
            </w:r>
          </w:p>
          <w:p w14:paraId="69A81973" w14:textId="77777777" w:rsidR="00BA0B24" w:rsidRPr="007923C2" w:rsidRDefault="00BA0B24" w:rsidP="00BA0B24">
            <w:pPr>
              <w:rPr>
                <w:rFonts w:ascii="Arial" w:hAnsi="Arial" w:cs="Arial"/>
                <w:sz w:val="22"/>
                <w:szCs w:val="22"/>
              </w:rPr>
            </w:pPr>
          </w:p>
          <w:p w14:paraId="70E54C55" w14:textId="77777777" w:rsidR="00BA0B24" w:rsidRPr="007923C2" w:rsidRDefault="00BA0B24" w:rsidP="00BA0B24">
            <w:pPr>
              <w:rPr>
                <w:rFonts w:ascii="Arial" w:hAnsi="Arial" w:cs="Arial"/>
                <w:sz w:val="22"/>
                <w:szCs w:val="22"/>
              </w:rPr>
            </w:pPr>
          </w:p>
          <w:p w14:paraId="27AE46E0" w14:textId="77777777" w:rsidR="00BA0B24" w:rsidRPr="007923C2" w:rsidRDefault="00BA0B24" w:rsidP="00BA0B24">
            <w:pPr>
              <w:rPr>
                <w:rFonts w:ascii="Arial" w:hAnsi="Arial" w:cs="Arial"/>
                <w:sz w:val="22"/>
                <w:szCs w:val="22"/>
              </w:rPr>
            </w:pPr>
          </w:p>
        </w:tc>
      </w:tr>
      <w:tr w:rsidR="00BA0B24" w:rsidRPr="007923C2" w14:paraId="637165C3" w14:textId="77777777" w:rsidTr="0049242B">
        <w:trPr>
          <w:gridBefore w:val="1"/>
          <w:wBefore w:w="113" w:type="dxa"/>
        </w:trPr>
        <w:tc>
          <w:tcPr>
            <w:tcW w:w="1733" w:type="dxa"/>
            <w:gridSpan w:val="2"/>
          </w:tcPr>
          <w:p w14:paraId="68517BEE"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Bloque</w:t>
            </w:r>
          </w:p>
        </w:tc>
        <w:tc>
          <w:tcPr>
            <w:tcW w:w="1933" w:type="dxa"/>
            <w:gridSpan w:val="2"/>
          </w:tcPr>
          <w:p w14:paraId="190C3FBE" w14:textId="77777777" w:rsidR="00BA0B24" w:rsidRPr="007923C2" w:rsidRDefault="00BA0B24" w:rsidP="00BA0B24">
            <w:pPr>
              <w:rPr>
                <w:rFonts w:ascii="Arial" w:hAnsi="Arial" w:cs="Arial"/>
                <w:sz w:val="22"/>
                <w:szCs w:val="22"/>
              </w:rPr>
            </w:pPr>
            <w:r w:rsidRPr="007923C2">
              <w:rPr>
                <w:rFonts w:ascii="Arial" w:hAnsi="Arial" w:cs="Arial"/>
                <w:sz w:val="22"/>
                <w:szCs w:val="22"/>
              </w:rPr>
              <w:t>Objetivo del Bloque</w:t>
            </w:r>
          </w:p>
        </w:tc>
        <w:tc>
          <w:tcPr>
            <w:tcW w:w="2265" w:type="dxa"/>
            <w:gridSpan w:val="2"/>
          </w:tcPr>
          <w:p w14:paraId="05F60D2E" w14:textId="77777777" w:rsidR="00BA0B24" w:rsidRPr="007923C2" w:rsidRDefault="00BA0B24" w:rsidP="00BA0B24">
            <w:pPr>
              <w:rPr>
                <w:rFonts w:ascii="Arial" w:hAnsi="Arial" w:cs="Arial"/>
                <w:sz w:val="22"/>
                <w:szCs w:val="22"/>
              </w:rPr>
            </w:pPr>
            <w:r w:rsidRPr="007923C2">
              <w:rPr>
                <w:rFonts w:ascii="Arial" w:hAnsi="Arial" w:cs="Arial"/>
                <w:sz w:val="22"/>
                <w:szCs w:val="22"/>
              </w:rPr>
              <w:t>Secuencia de Asignaturas</w:t>
            </w:r>
          </w:p>
        </w:tc>
        <w:tc>
          <w:tcPr>
            <w:tcW w:w="3533" w:type="dxa"/>
            <w:gridSpan w:val="2"/>
          </w:tcPr>
          <w:p w14:paraId="4B64572E" w14:textId="77777777" w:rsidR="00BA0B24" w:rsidRPr="007923C2" w:rsidRDefault="00BA0B24" w:rsidP="00BA0B24">
            <w:pPr>
              <w:rPr>
                <w:rFonts w:ascii="Arial" w:hAnsi="Arial" w:cs="Arial"/>
                <w:sz w:val="22"/>
                <w:szCs w:val="22"/>
              </w:rPr>
            </w:pPr>
            <w:r w:rsidRPr="007923C2">
              <w:rPr>
                <w:rFonts w:ascii="Arial" w:hAnsi="Arial" w:cs="Arial"/>
                <w:sz w:val="22"/>
                <w:szCs w:val="22"/>
              </w:rPr>
              <w:t>Orientación formativa de la Asignatura</w:t>
            </w:r>
          </w:p>
        </w:tc>
      </w:tr>
      <w:tr w:rsidR="00BA0B24" w:rsidRPr="007923C2" w14:paraId="3CB3EDCC" w14:textId="77777777" w:rsidTr="0049242B">
        <w:trPr>
          <w:gridBefore w:val="1"/>
          <w:wBefore w:w="113" w:type="dxa"/>
        </w:trPr>
        <w:tc>
          <w:tcPr>
            <w:tcW w:w="1733" w:type="dxa"/>
            <w:gridSpan w:val="2"/>
          </w:tcPr>
          <w:p w14:paraId="1059D2D1" w14:textId="77777777" w:rsidR="00BA0B24" w:rsidRPr="007923C2" w:rsidRDefault="00BA0B24" w:rsidP="00BA0B24">
            <w:pPr>
              <w:rPr>
                <w:rFonts w:ascii="Arial" w:hAnsi="Arial" w:cs="Arial"/>
                <w:sz w:val="22"/>
                <w:szCs w:val="22"/>
              </w:rPr>
            </w:pPr>
          </w:p>
          <w:p w14:paraId="60F961C2" w14:textId="77777777" w:rsidR="00BA0B24" w:rsidRPr="007923C2" w:rsidRDefault="00BA0B24" w:rsidP="00BA0B24">
            <w:pPr>
              <w:rPr>
                <w:rFonts w:ascii="Arial" w:hAnsi="Arial" w:cs="Arial"/>
                <w:sz w:val="22"/>
                <w:szCs w:val="22"/>
              </w:rPr>
            </w:pPr>
          </w:p>
          <w:p w14:paraId="5A283467" w14:textId="77777777" w:rsidR="00BA0B24" w:rsidRPr="007923C2" w:rsidRDefault="00BA0B24" w:rsidP="00BA0B24">
            <w:pPr>
              <w:rPr>
                <w:rFonts w:ascii="Arial" w:hAnsi="Arial" w:cs="Arial"/>
                <w:sz w:val="22"/>
                <w:szCs w:val="22"/>
              </w:rPr>
            </w:pPr>
          </w:p>
          <w:p w14:paraId="536F46F5" w14:textId="77777777" w:rsidR="00BA0B24" w:rsidRPr="007923C2" w:rsidRDefault="00BA0B24" w:rsidP="00BA0B24">
            <w:pPr>
              <w:rPr>
                <w:rFonts w:ascii="Arial" w:hAnsi="Arial" w:cs="Arial"/>
                <w:sz w:val="22"/>
                <w:szCs w:val="22"/>
              </w:rPr>
            </w:pPr>
          </w:p>
          <w:p w14:paraId="6F020249" w14:textId="77777777" w:rsidR="00BA0B24" w:rsidRPr="007923C2" w:rsidRDefault="00BA0B24" w:rsidP="00BA0B24">
            <w:pPr>
              <w:rPr>
                <w:rFonts w:ascii="Arial" w:hAnsi="Arial" w:cs="Arial"/>
                <w:sz w:val="22"/>
                <w:szCs w:val="22"/>
              </w:rPr>
            </w:pPr>
          </w:p>
          <w:p w14:paraId="3B1EB031" w14:textId="77777777" w:rsidR="00BA0B24" w:rsidRPr="007923C2" w:rsidRDefault="00BA0B24" w:rsidP="00BA0B24">
            <w:pPr>
              <w:rPr>
                <w:rFonts w:ascii="Arial" w:hAnsi="Arial" w:cs="Arial"/>
                <w:sz w:val="22"/>
                <w:szCs w:val="22"/>
              </w:rPr>
            </w:pPr>
          </w:p>
          <w:p w14:paraId="235A2371" w14:textId="77777777" w:rsidR="00BA0B24" w:rsidRPr="007923C2" w:rsidRDefault="00BA0B24" w:rsidP="00BA0B24">
            <w:pPr>
              <w:rPr>
                <w:rFonts w:ascii="Arial" w:hAnsi="Arial" w:cs="Arial"/>
                <w:sz w:val="22"/>
                <w:szCs w:val="22"/>
              </w:rPr>
            </w:pPr>
          </w:p>
          <w:p w14:paraId="540E5F25" w14:textId="77777777" w:rsidR="00BA0B24" w:rsidRPr="007923C2" w:rsidRDefault="00BA0B24" w:rsidP="00BA0B24">
            <w:pPr>
              <w:rPr>
                <w:rFonts w:ascii="Arial" w:hAnsi="Arial" w:cs="Arial"/>
                <w:sz w:val="22"/>
                <w:szCs w:val="22"/>
              </w:rPr>
            </w:pPr>
          </w:p>
          <w:p w14:paraId="4664F804" w14:textId="77777777" w:rsidR="00BA0B24" w:rsidRPr="007923C2" w:rsidRDefault="00BA0B24" w:rsidP="00BA0B24">
            <w:pPr>
              <w:rPr>
                <w:rFonts w:ascii="Arial" w:hAnsi="Arial" w:cs="Arial"/>
                <w:sz w:val="22"/>
                <w:szCs w:val="22"/>
              </w:rPr>
            </w:pPr>
          </w:p>
          <w:p w14:paraId="2A8B88AC" w14:textId="77777777" w:rsidR="00BA0B24" w:rsidRPr="007923C2" w:rsidRDefault="00BA0B24" w:rsidP="00BA0B24">
            <w:pPr>
              <w:rPr>
                <w:rFonts w:ascii="Arial" w:hAnsi="Arial" w:cs="Arial"/>
                <w:sz w:val="22"/>
                <w:szCs w:val="22"/>
              </w:rPr>
            </w:pPr>
          </w:p>
          <w:p w14:paraId="4606F272" w14:textId="77777777" w:rsidR="00BA0B24" w:rsidRPr="007923C2" w:rsidRDefault="00BA0B24" w:rsidP="00BA0B24">
            <w:pPr>
              <w:rPr>
                <w:rFonts w:ascii="Arial" w:hAnsi="Arial" w:cs="Arial"/>
                <w:sz w:val="22"/>
                <w:szCs w:val="22"/>
              </w:rPr>
            </w:pPr>
          </w:p>
          <w:p w14:paraId="138FCF97" w14:textId="77777777" w:rsidR="00BA0B24" w:rsidRPr="007923C2" w:rsidRDefault="00BA0B24" w:rsidP="00BA0B24">
            <w:pPr>
              <w:rPr>
                <w:rFonts w:ascii="Arial" w:hAnsi="Arial" w:cs="Arial"/>
                <w:sz w:val="22"/>
                <w:szCs w:val="22"/>
              </w:rPr>
            </w:pPr>
          </w:p>
          <w:p w14:paraId="0F1B94F9" w14:textId="77777777" w:rsidR="00BA0B24" w:rsidRPr="007923C2" w:rsidRDefault="00BA0B24" w:rsidP="00BA0B24">
            <w:pPr>
              <w:rPr>
                <w:rFonts w:ascii="Arial" w:hAnsi="Arial" w:cs="Arial"/>
                <w:sz w:val="22"/>
                <w:szCs w:val="22"/>
              </w:rPr>
            </w:pPr>
          </w:p>
          <w:p w14:paraId="302EC204" w14:textId="77777777" w:rsidR="00BA0B24" w:rsidRPr="007923C2" w:rsidRDefault="00BA0B24" w:rsidP="00BA0B24">
            <w:pPr>
              <w:rPr>
                <w:rFonts w:ascii="Arial" w:hAnsi="Arial" w:cs="Arial"/>
                <w:sz w:val="22"/>
                <w:szCs w:val="22"/>
              </w:rPr>
            </w:pPr>
          </w:p>
          <w:p w14:paraId="0CD5D7B7" w14:textId="77777777" w:rsidR="00BA0B24" w:rsidRPr="007923C2" w:rsidRDefault="00BA0B24" w:rsidP="00BA0B24">
            <w:pPr>
              <w:rPr>
                <w:rFonts w:ascii="Arial" w:hAnsi="Arial" w:cs="Arial"/>
                <w:sz w:val="22"/>
                <w:szCs w:val="22"/>
              </w:rPr>
            </w:pPr>
          </w:p>
          <w:p w14:paraId="02C14D2B" w14:textId="77777777" w:rsidR="00BA0B24" w:rsidRPr="007923C2" w:rsidRDefault="00BA0B24" w:rsidP="00BA0B24">
            <w:pPr>
              <w:rPr>
                <w:rFonts w:ascii="Arial" w:hAnsi="Arial" w:cs="Arial"/>
                <w:sz w:val="22"/>
                <w:szCs w:val="22"/>
              </w:rPr>
            </w:pPr>
          </w:p>
          <w:p w14:paraId="4CBA1B40" w14:textId="77777777" w:rsidR="00BA0B24" w:rsidRPr="007923C2" w:rsidRDefault="00BA0B24" w:rsidP="00BA0B24">
            <w:pPr>
              <w:rPr>
                <w:rFonts w:ascii="Arial" w:hAnsi="Arial" w:cs="Arial"/>
                <w:sz w:val="22"/>
                <w:szCs w:val="22"/>
              </w:rPr>
            </w:pPr>
          </w:p>
          <w:p w14:paraId="1AB43BAC" w14:textId="77777777" w:rsidR="00BA0B24" w:rsidRPr="007923C2" w:rsidRDefault="00BA0B24" w:rsidP="00BA0B24">
            <w:pPr>
              <w:rPr>
                <w:rFonts w:ascii="Arial" w:hAnsi="Arial" w:cs="Arial"/>
                <w:sz w:val="22"/>
                <w:szCs w:val="22"/>
              </w:rPr>
            </w:pPr>
          </w:p>
          <w:p w14:paraId="0F6202AA" w14:textId="77777777" w:rsidR="00BA0B24" w:rsidRPr="007923C2" w:rsidRDefault="00BA0B24" w:rsidP="00BA0B24">
            <w:pPr>
              <w:rPr>
                <w:rFonts w:ascii="Arial" w:hAnsi="Arial" w:cs="Arial"/>
                <w:sz w:val="22"/>
                <w:szCs w:val="22"/>
              </w:rPr>
            </w:pPr>
          </w:p>
          <w:p w14:paraId="3E0CEAAE" w14:textId="77777777" w:rsidR="00BA0B24" w:rsidRPr="007923C2" w:rsidRDefault="00BA0B24" w:rsidP="00BA0B24">
            <w:pPr>
              <w:rPr>
                <w:rFonts w:ascii="Arial" w:hAnsi="Arial" w:cs="Arial"/>
                <w:sz w:val="22"/>
                <w:szCs w:val="22"/>
              </w:rPr>
            </w:pPr>
          </w:p>
          <w:p w14:paraId="1093F486" w14:textId="77777777" w:rsidR="00BA0B24" w:rsidRPr="007923C2" w:rsidRDefault="00BA0B24" w:rsidP="00BA0B24">
            <w:pPr>
              <w:rPr>
                <w:rFonts w:ascii="Arial" w:hAnsi="Arial" w:cs="Arial"/>
                <w:sz w:val="22"/>
                <w:szCs w:val="22"/>
              </w:rPr>
            </w:pPr>
          </w:p>
          <w:p w14:paraId="17186DF5" w14:textId="77777777" w:rsidR="00BA0B24" w:rsidRPr="007923C2" w:rsidRDefault="00BA0B24" w:rsidP="00BA0B24">
            <w:pPr>
              <w:rPr>
                <w:rFonts w:ascii="Arial" w:hAnsi="Arial" w:cs="Arial"/>
                <w:sz w:val="22"/>
                <w:szCs w:val="22"/>
              </w:rPr>
            </w:pPr>
          </w:p>
          <w:p w14:paraId="1F3F091A" w14:textId="77777777" w:rsidR="00BA0B24" w:rsidRPr="007923C2" w:rsidRDefault="00BA0B24" w:rsidP="00BA0B24">
            <w:pPr>
              <w:rPr>
                <w:rFonts w:ascii="Arial" w:hAnsi="Arial" w:cs="Arial"/>
                <w:sz w:val="22"/>
                <w:szCs w:val="22"/>
              </w:rPr>
            </w:pPr>
          </w:p>
          <w:p w14:paraId="504CEDA8" w14:textId="77777777" w:rsidR="00BA0B24" w:rsidRPr="007923C2" w:rsidRDefault="00BA0B24" w:rsidP="00BA0B24">
            <w:pPr>
              <w:rPr>
                <w:rFonts w:ascii="Arial" w:hAnsi="Arial" w:cs="Arial"/>
                <w:sz w:val="22"/>
                <w:szCs w:val="22"/>
              </w:rPr>
            </w:pPr>
          </w:p>
          <w:p w14:paraId="32461D40" w14:textId="77777777" w:rsidR="00BA0B24" w:rsidRPr="007923C2" w:rsidRDefault="00BA0B24" w:rsidP="00BA0B24">
            <w:pPr>
              <w:rPr>
                <w:rFonts w:ascii="Arial" w:hAnsi="Arial" w:cs="Arial"/>
                <w:sz w:val="22"/>
                <w:szCs w:val="22"/>
              </w:rPr>
            </w:pPr>
          </w:p>
          <w:p w14:paraId="46DCE436" w14:textId="77777777" w:rsidR="00BA0B24" w:rsidRPr="007923C2" w:rsidRDefault="00BA0B24" w:rsidP="00BA0B24">
            <w:pPr>
              <w:rPr>
                <w:rFonts w:ascii="Arial" w:hAnsi="Arial" w:cs="Arial"/>
                <w:sz w:val="22"/>
                <w:szCs w:val="22"/>
              </w:rPr>
            </w:pPr>
          </w:p>
          <w:p w14:paraId="232BBBCB" w14:textId="77777777" w:rsidR="00BA0B24" w:rsidRPr="007923C2" w:rsidRDefault="00BA0B24" w:rsidP="00BA0B24">
            <w:pPr>
              <w:rPr>
                <w:rFonts w:ascii="Arial" w:hAnsi="Arial" w:cs="Arial"/>
                <w:sz w:val="22"/>
                <w:szCs w:val="22"/>
              </w:rPr>
            </w:pPr>
          </w:p>
          <w:p w14:paraId="5FD01BDB" w14:textId="77777777" w:rsidR="00BA0B24" w:rsidRPr="007923C2" w:rsidRDefault="00BA0B24" w:rsidP="00BA0B24">
            <w:pPr>
              <w:rPr>
                <w:rFonts w:ascii="Arial" w:hAnsi="Arial" w:cs="Arial"/>
                <w:sz w:val="22"/>
                <w:szCs w:val="22"/>
              </w:rPr>
            </w:pPr>
          </w:p>
          <w:p w14:paraId="4DC99AD7" w14:textId="77777777" w:rsidR="00BA0B24" w:rsidRPr="007923C2" w:rsidRDefault="00BA0B24" w:rsidP="00BA0B24">
            <w:pPr>
              <w:rPr>
                <w:rFonts w:ascii="Arial" w:hAnsi="Arial" w:cs="Arial"/>
                <w:sz w:val="22"/>
                <w:szCs w:val="22"/>
              </w:rPr>
            </w:pPr>
          </w:p>
          <w:p w14:paraId="4A4614BA" w14:textId="77777777" w:rsidR="00BA0B24" w:rsidRPr="007923C2" w:rsidRDefault="00BA0B24" w:rsidP="00BA0B24">
            <w:pPr>
              <w:rPr>
                <w:rFonts w:ascii="Arial" w:hAnsi="Arial" w:cs="Arial"/>
                <w:sz w:val="22"/>
                <w:szCs w:val="22"/>
              </w:rPr>
            </w:pPr>
          </w:p>
          <w:p w14:paraId="7D960F9D" w14:textId="77777777" w:rsidR="00BA0B24" w:rsidRPr="007923C2" w:rsidRDefault="00BA0B24" w:rsidP="00BA0B24">
            <w:pPr>
              <w:rPr>
                <w:rFonts w:ascii="Arial" w:hAnsi="Arial" w:cs="Arial"/>
                <w:sz w:val="22"/>
                <w:szCs w:val="22"/>
              </w:rPr>
            </w:pPr>
          </w:p>
          <w:p w14:paraId="00E1F765" w14:textId="77777777" w:rsidR="00BA0B24" w:rsidRPr="007923C2" w:rsidRDefault="00BA0B24" w:rsidP="00BA0B24">
            <w:pPr>
              <w:rPr>
                <w:rFonts w:ascii="Arial" w:hAnsi="Arial" w:cs="Arial"/>
                <w:sz w:val="22"/>
                <w:szCs w:val="22"/>
              </w:rPr>
            </w:pPr>
          </w:p>
          <w:p w14:paraId="77DC8CD1" w14:textId="77777777" w:rsidR="00BA0B24" w:rsidRPr="007923C2" w:rsidRDefault="00BA0B24" w:rsidP="00BA0B24">
            <w:pPr>
              <w:rPr>
                <w:rFonts w:ascii="Arial" w:hAnsi="Arial" w:cs="Arial"/>
                <w:sz w:val="22"/>
                <w:szCs w:val="22"/>
              </w:rPr>
            </w:pPr>
          </w:p>
          <w:p w14:paraId="631337CB" w14:textId="77777777" w:rsidR="00BA0B24" w:rsidRPr="007923C2" w:rsidRDefault="00BA0B24" w:rsidP="00BA0B24">
            <w:pPr>
              <w:rPr>
                <w:rFonts w:ascii="Arial" w:hAnsi="Arial" w:cs="Arial"/>
                <w:sz w:val="22"/>
                <w:szCs w:val="22"/>
              </w:rPr>
            </w:pPr>
          </w:p>
          <w:p w14:paraId="73505483" w14:textId="77777777" w:rsidR="00BA0B24" w:rsidRPr="007923C2" w:rsidRDefault="00BA0B24" w:rsidP="00BA0B24">
            <w:pPr>
              <w:rPr>
                <w:rFonts w:ascii="Arial" w:hAnsi="Arial" w:cs="Arial"/>
                <w:sz w:val="22"/>
                <w:szCs w:val="22"/>
              </w:rPr>
            </w:pPr>
          </w:p>
          <w:p w14:paraId="6BC729C3" w14:textId="77777777" w:rsidR="00BA0B24" w:rsidRPr="007923C2" w:rsidRDefault="00BA0B24" w:rsidP="00BA0B24">
            <w:pPr>
              <w:rPr>
                <w:rFonts w:ascii="Arial" w:hAnsi="Arial" w:cs="Arial"/>
                <w:sz w:val="22"/>
                <w:szCs w:val="22"/>
              </w:rPr>
            </w:pPr>
          </w:p>
          <w:p w14:paraId="529A0790" w14:textId="77777777" w:rsidR="00BA0B24" w:rsidRPr="007923C2" w:rsidRDefault="00BA0B24" w:rsidP="00BA0B24">
            <w:pPr>
              <w:rPr>
                <w:rFonts w:ascii="Arial" w:hAnsi="Arial" w:cs="Arial"/>
                <w:sz w:val="22"/>
                <w:szCs w:val="22"/>
              </w:rPr>
            </w:pPr>
          </w:p>
          <w:p w14:paraId="7A21048A" w14:textId="77777777" w:rsidR="00BA0B24" w:rsidRPr="007923C2" w:rsidRDefault="00BA0B24" w:rsidP="00BA0B24">
            <w:pPr>
              <w:rPr>
                <w:rFonts w:ascii="Arial" w:hAnsi="Arial" w:cs="Arial"/>
                <w:sz w:val="22"/>
                <w:szCs w:val="22"/>
              </w:rPr>
            </w:pPr>
          </w:p>
          <w:p w14:paraId="5FB80B2E" w14:textId="77777777" w:rsidR="00BA0B24" w:rsidRPr="007923C2" w:rsidRDefault="00BA0B24" w:rsidP="00BA0B24">
            <w:pPr>
              <w:rPr>
                <w:rFonts w:ascii="Arial" w:hAnsi="Arial" w:cs="Arial"/>
                <w:sz w:val="22"/>
                <w:szCs w:val="22"/>
              </w:rPr>
            </w:pPr>
          </w:p>
          <w:p w14:paraId="3291D707" w14:textId="77777777" w:rsidR="00BA0B24" w:rsidRPr="007923C2" w:rsidRDefault="00BA0B24" w:rsidP="00BA0B24">
            <w:pPr>
              <w:rPr>
                <w:rFonts w:ascii="Arial" w:hAnsi="Arial" w:cs="Arial"/>
                <w:sz w:val="22"/>
                <w:szCs w:val="22"/>
              </w:rPr>
            </w:pPr>
          </w:p>
          <w:p w14:paraId="1FF2EFED" w14:textId="77777777" w:rsidR="00813374" w:rsidRDefault="00813374" w:rsidP="00BA0B24">
            <w:pPr>
              <w:rPr>
                <w:rFonts w:ascii="Arial" w:hAnsi="Arial" w:cs="Arial"/>
                <w:sz w:val="22"/>
                <w:szCs w:val="22"/>
              </w:rPr>
            </w:pPr>
          </w:p>
          <w:p w14:paraId="45EB1C68" w14:textId="77777777" w:rsidR="00813374" w:rsidRDefault="00813374" w:rsidP="00BA0B24">
            <w:pPr>
              <w:rPr>
                <w:rFonts w:ascii="Arial" w:hAnsi="Arial" w:cs="Arial"/>
                <w:sz w:val="22"/>
                <w:szCs w:val="22"/>
              </w:rPr>
            </w:pPr>
          </w:p>
          <w:p w14:paraId="67AD9C4B" w14:textId="77777777" w:rsidR="00813374" w:rsidRDefault="00813374" w:rsidP="00BA0B24">
            <w:pPr>
              <w:rPr>
                <w:rFonts w:ascii="Arial" w:hAnsi="Arial" w:cs="Arial"/>
                <w:sz w:val="22"/>
                <w:szCs w:val="22"/>
              </w:rPr>
            </w:pPr>
          </w:p>
          <w:p w14:paraId="0A51D346" w14:textId="77777777" w:rsidR="00813374" w:rsidRDefault="00813374" w:rsidP="00BA0B24">
            <w:pPr>
              <w:rPr>
                <w:rFonts w:ascii="Arial" w:hAnsi="Arial" w:cs="Arial"/>
                <w:sz w:val="22"/>
                <w:szCs w:val="22"/>
              </w:rPr>
            </w:pPr>
          </w:p>
          <w:p w14:paraId="0022D8BC" w14:textId="77777777" w:rsidR="00BA0B24" w:rsidRPr="007923C2" w:rsidRDefault="00BA0B24" w:rsidP="00BA0B24">
            <w:pPr>
              <w:rPr>
                <w:rFonts w:ascii="Arial" w:hAnsi="Arial" w:cs="Arial"/>
                <w:sz w:val="22"/>
                <w:szCs w:val="22"/>
              </w:rPr>
            </w:pPr>
            <w:r w:rsidRPr="007923C2">
              <w:rPr>
                <w:rFonts w:ascii="Arial" w:hAnsi="Arial" w:cs="Arial"/>
                <w:sz w:val="22"/>
                <w:szCs w:val="22"/>
              </w:rPr>
              <w:t xml:space="preserve">Ciencias Naturales y </w:t>
            </w:r>
            <w:r w:rsidRPr="007923C2">
              <w:rPr>
                <w:rFonts w:ascii="Arial" w:hAnsi="Arial" w:cs="Arial"/>
                <w:sz w:val="22"/>
                <w:szCs w:val="22"/>
              </w:rPr>
              <w:lastRenderedPageBreak/>
              <w:t>Exactas aplicadas Agricultura Alternativa</w:t>
            </w:r>
          </w:p>
        </w:tc>
        <w:tc>
          <w:tcPr>
            <w:tcW w:w="1933" w:type="dxa"/>
            <w:gridSpan w:val="2"/>
          </w:tcPr>
          <w:p w14:paraId="53E14F88" w14:textId="77777777" w:rsidR="00BA0B24" w:rsidRPr="007923C2" w:rsidRDefault="00BA0B24" w:rsidP="00BA0B24">
            <w:pPr>
              <w:rPr>
                <w:rFonts w:ascii="Arial" w:hAnsi="Arial" w:cs="Arial"/>
                <w:sz w:val="22"/>
                <w:szCs w:val="22"/>
              </w:rPr>
            </w:pPr>
          </w:p>
          <w:p w14:paraId="05B4E6D5" w14:textId="77777777" w:rsidR="00BA0B24" w:rsidRPr="007923C2" w:rsidRDefault="00BA0B24" w:rsidP="00BA0B24">
            <w:pPr>
              <w:rPr>
                <w:rFonts w:ascii="Arial" w:hAnsi="Arial" w:cs="Arial"/>
                <w:sz w:val="22"/>
                <w:szCs w:val="22"/>
              </w:rPr>
            </w:pPr>
          </w:p>
          <w:p w14:paraId="080833C0" w14:textId="77777777" w:rsidR="00BA0B24" w:rsidRPr="007923C2" w:rsidRDefault="00BA0B24" w:rsidP="00BA0B24">
            <w:pPr>
              <w:rPr>
                <w:rFonts w:ascii="Arial" w:hAnsi="Arial" w:cs="Arial"/>
                <w:sz w:val="22"/>
                <w:szCs w:val="22"/>
              </w:rPr>
            </w:pPr>
          </w:p>
          <w:p w14:paraId="3DB61355" w14:textId="77777777" w:rsidR="00BA0B24" w:rsidRPr="007923C2" w:rsidRDefault="00BA0B24" w:rsidP="00BA0B24">
            <w:pPr>
              <w:rPr>
                <w:rFonts w:ascii="Arial" w:hAnsi="Arial" w:cs="Arial"/>
                <w:sz w:val="22"/>
                <w:szCs w:val="22"/>
              </w:rPr>
            </w:pPr>
          </w:p>
          <w:p w14:paraId="0D1081C4" w14:textId="77777777" w:rsidR="00BA0B24" w:rsidRPr="007923C2" w:rsidRDefault="00BA0B24" w:rsidP="00BA0B24">
            <w:pPr>
              <w:rPr>
                <w:rFonts w:ascii="Arial" w:hAnsi="Arial" w:cs="Arial"/>
                <w:sz w:val="22"/>
                <w:szCs w:val="22"/>
              </w:rPr>
            </w:pPr>
          </w:p>
          <w:p w14:paraId="4D4F0688" w14:textId="77777777" w:rsidR="00BA0B24" w:rsidRPr="007923C2" w:rsidRDefault="00BA0B24" w:rsidP="00BA0B24">
            <w:pPr>
              <w:rPr>
                <w:rFonts w:ascii="Arial" w:hAnsi="Arial" w:cs="Arial"/>
                <w:sz w:val="22"/>
                <w:szCs w:val="22"/>
              </w:rPr>
            </w:pPr>
          </w:p>
          <w:p w14:paraId="6BBA7070" w14:textId="77777777" w:rsidR="00BA0B24" w:rsidRPr="007923C2" w:rsidRDefault="00BA0B24" w:rsidP="00BA0B24">
            <w:pPr>
              <w:rPr>
                <w:rFonts w:ascii="Arial" w:hAnsi="Arial" w:cs="Arial"/>
                <w:sz w:val="22"/>
                <w:szCs w:val="22"/>
              </w:rPr>
            </w:pPr>
          </w:p>
          <w:p w14:paraId="6A785B24" w14:textId="77777777" w:rsidR="00BA0B24" w:rsidRPr="007923C2" w:rsidRDefault="00BA0B24" w:rsidP="00BA0B24">
            <w:pPr>
              <w:rPr>
                <w:rFonts w:ascii="Arial" w:hAnsi="Arial" w:cs="Arial"/>
                <w:sz w:val="22"/>
                <w:szCs w:val="22"/>
              </w:rPr>
            </w:pPr>
          </w:p>
          <w:p w14:paraId="264D67FE" w14:textId="77777777" w:rsidR="00BA0B24" w:rsidRPr="007923C2" w:rsidRDefault="00BA0B24" w:rsidP="00BA0B24">
            <w:pPr>
              <w:rPr>
                <w:rFonts w:ascii="Arial" w:hAnsi="Arial" w:cs="Arial"/>
                <w:sz w:val="22"/>
                <w:szCs w:val="22"/>
              </w:rPr>
            </w:pPr>
          </w:p>
          <w:p w14:paraId="029B550B" w14:textId="77777777" w:rsidR="00BA0B24" w:rsidRPr="007923C2" w:rsidRDefault="00BA0B24" w:rsidP="00BA0B24">
            <w:pPr>
              <w:rPr>
                <w:rFonts w:ascii="Arial" w:hAnsi="Arial" w:cs="Arial"/>
                <w:sz w:val="22"/>
                <w:szCs w:val="22"/>
              </w:rPr>
            </w:pPr>
          </w:p>
          <w:p w14:paraId="1C1A2B57" w14:textId="77777777" w:rsidR="00BA0B24" w:rsidRPr="007923C2" w:rsidRDefault="00BA0B24" w:rsidP="00BA0B24">
            <w:pPr>
              <w:rPr>
                <w:rFonts w:ascii="Arial" w:hAnsi="Arial" w:cs="Arial"/>
                <w:sz w:val="22"/>
                <w:szCs w:val="22"/>
              </w:rPr>
            </w:pPr>
          </w:p>
          <w:p w14:paraId="32FD5FC2" w14:textId="77777777" w:rsidR="00BA0B24" w:rsidRPr="007923C2" w:rsidRDefault="00BA0B24" w:rsidP="00BA0B24">
            <w:pPr>
              <w:rPr>
                <w:rFonts w:ascii="Arial" w:hAnsi="Arial" w:cs="Arial"/>
                <w:sz w:val="22"/>
                <w:szCs w:val="22"/>
              </w:rPr>
            </w:pPr>
          </w:p>
          <w:p w14:paraId="3D4F53F8" w14:textId="77777777" w:rsidR="00BA0B24" w:rsidRPr="007923C2" w:rsidRDefault="00BA0B24" w:rsidP="00BA0B24">
            <w:pPr>
              <w:rPr>
                <w:rFonts w:ascii="Arial" w:hAnsi="Arial" w:cs="Arial"/>
                <w:sz w:val="22"/>
                <w:szCs w:val="22"/>
              </w:rPr>
            </w:pPr>
          </w:p>
          <w:p w14:paraId="2755174E" w14:textId="77777777" w:rsidR="00BA0B24" w:rsidRPr="007923C2" w:rsidRDefault="00BA0B24" w:rsidP="00BA0B24">
            <w:pPr>
              <w:rPr>
                <w:rFonts w:ascii="Arial" w:hAnsi="Arial" w:cs="Arial"/>
                <w:sz w:val="22"/>
                <w:szCs w:val="22"/>
              </w:rPr>
            </w:pPr>
          </w:p>
          <w:p w14:paraId="066BC662" w14:textId="77777777" w:rsidR="00BA0B24" w:rsidRPr="007923C2" w:rsidRDefault="00BA0B24" w:rsidP="00BA0B24">
            <w:pPr>
              <w:rPr>
                <w:rFonts w:ascii="Arial" w:hAnsi="Arial" w:cs="Arial"/>
                <w:sz w:val="22"/>
                <w:szCs w:val="22"/>
              </w:rPr>
            </w:pPr>
          </w:p>
          <w:p w14:paraId="6FA6562B" w14:textId="77777777" w:rsidR="00BA0B24" w:rsidRPr="007923C2" w:rsidRDefault="00BA0B24" w:rsidP="00BA0B24">
            <w:pPr>
              <w:rPr>
                <w:rFonts w:ascii="Arial" w:hAnsi="Arial" w:cs="Arial"/>
                <w:sz w:val="22"/>
                <w:szCs w:val="22"/>
              </w:rPr>
            </w:pPr>
          </w:p>
          <w:p w14:paraId="5B44B524" w14:textId="77777777" w:rsidR="00BA0B24" w:rsidRPr="007923C2" w:rsidRDefault="00BA0B24" w:rsidP="00BA0B24">
            <w:pPr>
              <w:rPr>
                <w:rFonts w:ascii="Arial" w:hAnsi="Arial" w:cs="Arial"/>
                <w:sz w:val="22"/>
                <w:szCs w:val="22"/>
              </w:rPr>
            </w:pPr>
          </w:p>
          <w:p w14:paraId="75E61A4A" w14:textId="77777777" w:rsidR="00BA0B24" w:rsidRPr="007923C2" w:rsidRDefault="00BA0B24" w:rsidP="00BA0B24">
            <w:pPr>
              <w:rPr>
                <w:rFonts w:ascii="Arial" w:hAnsi="Arial" w:cs="Arial"/>
                <w:sz w:val="22"/>
                <w:szCs w:val="22"/>
              </w:rPr>
            </w:pPr>
          </w:p>
          <w:p w14:paraId="178B7E86" w14:textId="77777777" w:rsidR="00BA0B24" w:rsidRPr="007923C2" w:rsidRDefault="00BA0B24" w:rsidP="00BA0B24">
            <w:pPr>
              <w:rPr>
                <w:rFonts w:ascii="Arial" w:hAnsi="Arial" w:cs="Arial"/>
                <w:sz w:val="22"/>
                <w:szCs w:val="22"/>
              </w:rPr>
            </w:pPr>
          </w:p>
          <w:p w14:paraId="5D81950C" w14:textId="77777777" w:rsidR="00BA0B24" w:rsidRPr="007923C2" w:rsidRDefault="00BA0B24" w:rsidP="00BA0B24">
            <w:pPr>
              <w:rPr>
                <w:rFonts w:ascii="Arial" w:hAnsi="Arial" w:cs="Arial"/>
                <w:sz w:val="22"/>
                <w:szCs w:val="22"/>
              </w:rPr>
            </w:pPr>
          </w:p>
          <w:p w14:paraId="4F3FDA4E" w14:textId="77777777" w:rsidR="00BA0B24" w:rsidRPr="007923C2" w:rsidRDefault="00BA0B24" w:rsidP="00BA0B24">
            <w:pPr>
              <w:rPr>
                <w:rFonts w:ascii="Arial" w:hAnsi="Arial" w:cs="Arial"/>
                <w:sz w:val="22"/>
                <w:szCs w:val="22"/>
              </w:rPr>
            </w:pPr>
          </w:p>
          <w:p w14:paraId="5FA6C038" w14:textId="77777777" w:rsidR="00BA0B24" w:rsidRPr="007923C2" w:rsidRDefault="00BA0B24" w:rsidP="00BA0B24">
            <w:pPr>
              <w:rPr>
                <w:rFonts w:ascii="Arial" w:hAnsi="Arial" w:cs="Arial"/>
                <w:sz w:val="22"/>
                <w:szCs w:val="22"/>
              </w:rPr>
            </w:pPr>
          </w:p>
          <w:p w14:paraId="1B29150A" w14:textId="77777777" w:rsidR="00BA0B24" w:rsidRPr="007923C2" w:rsidRDefault="00BA0B24" w:rsidP="00BA0B24">
            <w:pPr>
              <w:rPr>
                <w:rFonts w:ascii="Arial" w:hAnsi="Arial" w:cs="Arial"/>
                <w:sz w:val="22"/>
                <w:szCs w:val="22"/>
              </w:rPr>
            </w:pPr>
          </w:p>
          <w:p w14:paraId="1218DB4E" w14:textId="77777777" w:rsidR="00BA0B24" w:rsidRPr="007923C2" w:rsidRDefault="00BA0B24" w:rsidP="00BA0B24">
            <w:pPr>
              <w:rPr>
                <w:rFonts w:ascii="Arial" w:hAnsi="Arial" w:cs="Arial"/>
                <w:sz w:val="22"/>
                <w:szCs w:val="22"/>
              </w:rPr>
            </w:pPr>
          </w:p>
          <w:p w14:paraId="5EA1FB6D" w14:textId="77777777" w:rsidR="00BA0B24" w:rsidRPr="007923C2" w:rsidRDefault="00BA0B24" w:rsidP="00BA0B24">
            <w:pPr>
              <w:rPr>
                <w:rFonts w:ascii="Arial" w:hAnsi="Arial" w:cs="Arial"/>
                <w:sz w:val="22"/>
                <w:szCs w:val="22"/>
              </w:rPr>
            </w:pPr>
          </w:p>
          <w:p w14:paraId="0737785E" w14:textId="77777777" w:rsidR="00BA0B24" w:rsidRPr="007923C2" w:rsidRDefault="00BA0B24" w:rsidP="00BA0B24">
            <w:pPr>
              <w:rPr>
                <w:rFonts w:ascii="Arial" w:hAnsi="Arial" w:cs="Arial"/>
                <w:sz w:val="22"/>
                <w:szCs w:val="22"/>
              </w:rPr>
            </w:pPr>
          </w:p>
          <w:p w14:paraId="7611539C" w14:textId="77777777" w:rsidR="00BA0B24" w:rsidRPr="007923C2" w:rsidRDefault="00BA0B24" w:rsidP="00BA0B24">
            <w:pPr>
              <w:rPr>
                <w:rFonts w:ascii="Arial" w:hAnsi="Arial" w:cs="Arial"/>
                <w:sz w:val="22"/>
                <w:szCs w:val="22"/>
              </w:rPr>
            </w:pPr>
          </w:p>
          <w:p w14:paraId="11C180FC" w14:textId="77777777" w:rsidR="00BA0B24" w:rsidRPr="007923C2" w:rsidRDefault="00BA0B24" w:rsidP="00BA0B24">
            <w:pPr>
              <w:rPr>
                <w:rFonts w:ascii="Arial" w:hAnsi="Arial" w:cs="Arial"/>
                <w:sz w:val="22"/>
                <w:szCs w:val="22"/>
              </w:rPr>
            </w:pPr>
          </w:p>
          <w:p w14:paraId="477DFA05" w14:textId="77777777" w:rsidR="00BA0B24" w:rsidRPr="007923C2" w:rsidRDefault="00BA0B24" w:rsidP="00BA0B24">
            <w:pPr>
              <w:rPr>
                <w:rFonts w:ascii="Arial" w:hAnsi="Arial" w:cs="Arial"/>
                <w:sz w:val="22"/>
                <w:szCs w:val="22"/>
              </w:rPr>
            </w:pPr>
          </w:p>
          <w:p w14:paraId="46ED6DAE" w14:textId="77777777" w:rsidR="00BA0B24" w:rsidRPr="007923C2" w:rsidRDefault="00BA0B24" w:rsidP="00BA0B24">
            <w:pPr>
              <w:rPr>
                <w:rFonts w:ascii="Arial" w:hAnsi="Arial" w:cs="Arial"/>
                <w:sz w:val="22"/>
                <w:szCs w:val="22"/>
              </w:rPr>
            </w:pPr>
          </w:p>
          <w:p w14:paraId="1D957A37" w14:textId="77777777" w:rsidR="00BA0B24" w:rsidRPr="007923C2" w:rsidRDefault="00BA0B24" w:rsidP="00BA0B24">
            <w:pPr>
              <w:rPr>
                <w:rFonts w:ascii="Arial" w:hAnsi="Arial" w:cs="Arial"/>
                <w:sz w:val="22"/>
                <w:szCs w:val="22"/>
              </w:rPr>
            </w:pPr>
          </w:p>
          <w:p w14:paraId="0A7E46D5" w14:textId="77777777" w:rsidR="00BA0B24" w:rsidRPr="007923C2" w:rsidRDefault="00BA0B24" w:rsidP="00BA0B24">
            <w:pPr>
              <w:rPr>
                <w:rFonts w:ascii="Arial" w:hAnsi="Arial" w:cs="Arial"/>
                <w:sz w:val="22"/>
                <w:szCs w:val="22"/>
              </w:rPr>
            </w:pPr>
          </w:p>
          <w:p w14:paraId="29700B5C" w14:textId="77777777" w:rsidR="00BA0B24" w:rsidRPr="007923C2" w:rsidRDefault="00BA0B24" w:rsidP="00BA0B24">
            <w:pPr>
              <w:rPr>
                <w:rFonts w:ascii="Arial" w:hAnsi="Arial" w:cs="Arial"/>
                <w:sz w:val="22"/>
                <w:szCs w:val="22"/>
              </w:rPr>
            </w:pPr>
          </w:p>
          <w:p w14:paraId="4A7081D1" w14:textId="77777777" w:rsidR="00BA0B24" w:rsidRPr="007923C2" w:rsidRDefault="00BA0B24" w:rsidP="00BA0B24">
            <w:pPr>
              <w:rPr>
                <w:rFonts w:ascii="Arial" w:hAnsi="Arial" w:cs="Arial"/>
                <w:sz w:val="22"/>
                <w:szCs w:val="22"/>
              </w:rPr>
            </w:pPr>
          </w:p>
          <w:p w14:paraId="59310E02" w14:textId="77777777" w:rsidR="00BA0B24" w:rsidRPr="007923C2" w:rsidRDefault="00BA0B24" w:rsidP="00BA0B24">
            <w:pPr>
              <w:rPr>
                <w:rFonts w:ascii="Arial" w:hAnsi="Arial" w:cs="Arial"/>
                <w:sz w:val="22"/>
                <w:szCs w:val="22"/>
              </w:rPr>
            </w:pPr>
          </w:p>
          <w:p w14:paraId="49F34FD2" w14:textId="77777777" w:rsidR="00BA0B24" w:rsidRPr="007923C2" w:rsidRDefault="00BA0B24" w:rsidP="00BA0B24">
            <w:pPr>
              <w:rPr>
                <w:rFonts w:ascii="Arial" w:hAnsi="Arial" w:cs="Arial"/>
                <w:sz w:val="22"/>
                <w:szCs w:val="22"/>
              </w:rPr>
            </w:pPr>
          </w:p>
          <w:p w14:paraId="164A171D" w14:textId="77777777" w:rsidR="00BA0B24" w:rsidRPr="007923C2" w:rsidRDefault="00BA0B24" w:rsidP="00BA0B24">
            <w:pPr>
              <w:rPr>
                <w:rFonts w:ascii="Arial" w:hAnsi="Arial" w:cs="Arial"/>
                <w:sz w:val="22"/>
                <w:szCs w:val="22"/>
              </w:rPr>
            </w:pPr>
          </w:p>
          <w:p w14:paraId="3365759F" w14:textId="77777777" w:rsidR="00BA0B24" w:rsidRPr="007923C2" w:rsidRDefault="00BA0B24" w:rsidP="00BA0B24">
            <w:pPr>
              <w:rPr>
                <w:rFonts w:ascii="Arial" w:hAnsi="Arial" w:cs="Arial"/>
                <w:sz w:val="22"/>
                <w:szCs w:val="22"/>
              </w:rPr>
            </w:pPr>
          </w:p>
          <w:p w14:paraId="565E368B" w14:textId="77777777" w:rsidR="00BA0B24" w:rsidRPr="007923C2" w:rsidRDefault="00BA0B24" w:rsidP="00BA0B24">
            <w:pPr>
              <w:rPr>
                <w:rFonts w:ascii="Arial" w:hAnsi="Arial" w:cs="Arial"/>
                <w:sz w:val="22"/>
                <w:szCs w:val="22"/>
              </w:rPr>
            </w:pPr>
          </w:p>
          <w:p w14:paraId="775F4DE8" w14:textId="77777777" w:rsidR="00BA0B24" w:rsidRPr="007923C2" w:rsidRDefault="00BA0B24" w:rsidP="00BA0B24">
            <w:pPr>
              <w:rPr>
                <w:rFonts w:ascii="Arial" w:hAnsi="Arial" w:cs="Arial"/>
                <w:sz w:val="22"/>
                <w:szCs w:val="22"/>
              </w:rPr>
            </w:pPr>
          </w:p>
          <w:p w14:paraId="1E3CAE33" w14:textId="77777777" w:rsidR="00813374" w:rsidRDefault="00813374" w:rsidP="00BA0B24">
            <w:pPr>
              <w:rPr>
                <w:rFonts w:ascii="Arial" w:hAnsi="Arial" w:cs="Arial"/>
                <w:sz w:val="22"/>
                <w:szCs w:val="22"/>
              </w:rPr>
            </w:pPr>
          </w:p>
          <w:p w14:paraId="18F3AA2E" w14:textId="77777777" w:rsidR="00813374" w:rsidRDefault="00813374" w:rsidP="00BA0B24">
            <w:pPr>
              <w:rPr>
                <w:rFonts w:ascii="Arial" w:hAnsi="Arial" w:cs="Arial"/>
                <w:sz w:val="22"/>
                <w:szCs w:val="22"/>
              </w:rPr>
            </w:pPr>
          </w:p>
          <w:p w14:paraId="56D45D68" w14:textId="77777777" w:rsidR="00813374" w:rsidRDefault="00813374" w:rsidP="00BA0B24">
            <w:pPr>
              <w:rPr>
                <w:rFonts w:ascii="Arial" w:hAnsi="Arial" w:cs="Arial"/>
                <w:sz w:val="22"/>
                <w:szCs w:val="22"/>
              </w:rPr>
            </w:pPr>
          </w:p>
          <w:p w14:paraId="2C104F8D" w14:textId="77777777" w:rsidR="00813374" w:rsidRDefault="00813374" w:rsidP="00BA0B24">
            <w:pPr>
              <w:rPr>
                <w:rFonts w:ascii="Arial" w:hAnsi="Arial" w:cs="Arial"/>
                <w:sz w:val="22"/>
                <w:szCs w:val="22"/>
              </w:rPr>
            </w:pPr>
          </w:p>
          <w:p w14:paraId="08C895DD" w14:textId="77777777" w:rsidR="00BA0B24" w:rsidRPr="007923C2" w:rsidRDefault="00BA0B24" w:rsidP="00BA0B24">
            <w:pPr>
              <w:rPr>
                <w:rFonts w:ascii="Arial" w:hAnsi="Arial" w:cs="Arial"/>
                <w:sz w:val="22"/>
                <w:szCs w:val="22"/>
              </w:rPr>
            </w:pPr>
            <w:r w:rsidRPr="007923C2">
              <w:rPr>
                <w:rFonts w:ascii="Arial" w:hAnsi="Arial" w:cs="Arial"/>
                <w:sz w:val="22"/>
                <w:szCs w:val="22"/>
              </w:rPr>
              <w:t xml:space="preserve">Será capaz de contribuir a la </w:t>
            </w:r>
            <w:r w:rsidRPr="007923C2">
              <w:rPr>
                <w:rFonts w:ascii="Arial" w:hAnsi="Arial" w:cs="Arial"/>
                <w:sz w:val="22"/>
                <w:szCs w:val="22"/>
              </w:rPr>
              <w:lastRenderedPageBreak/>
              <w:t xml:space="preserve">producción de alimentos bajo técnicas no convencionales de </w:t>
            </w:r>
          </w:p>
        </w:tc>
        <w:tc>
          <w:tcPr>
            <w:tcW w:w="2265" w:type="dxa"/>
            <w:gridSpan w:val="2"/>
          </w:tcPr>
          <w:p w14:paraId="1229F742"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-Botánica II</w:t>
            </w:r>
          </w:p>
          <w:p w14:paraId="6EFF6CC0" w14:textId="77777777" w:rsidR="00BA0B24" w:rsidRPr="007923C2" w:rsidRDefault="00BA0B24" w:rsidP="00BA0B24">
            <w:pPr>
              <w:rPr>
                <w:rFonts w:ascii="Arial" w:hAnsi="Arial" w:cs="Arial"/>
                <w:sz w:val="22"/>
                <w:szCs w:val="22"/>
              </w:rPr>
            </w:pPr>
          </w:p>
          <w:p w14:paraId="57FBF06B" w14:textId="77777777" w:rsidR="00BA0B24" w:rsidRPr="007923C2" w:rsidRDefault="00BA0B24" w:rsidP="00BA0B24">
            <w:pPr>
              <w:rPr>
                <w:rFonts w:ascii="Arial" w:hAnsi="Arial" w:cs="Arial"/>
                <w:sz w:val="22"/>
                <w:szCs w:val="22"/>
              </w:rPr>
            </w:pPr>
          </w:p>
          <w:p w14:paraId="77431DA6" w14:textId="77777777" w:rsidR="00BA0B24" w:rsidRPr="007923C2" w:rsidRDefault="00BA0B24" w:rsidP="00BA0B24">
            <w:pPr>
              <w:rPr>
                <w:rFonts w:ascii="Arial" w:hAnsi="Arial" w:cs="Arial"/>
                <w:sz w:val="22"/>
                <w:szCs w:val="22"/>
              </w:rPr>
            </w:pPr>
          </w:p>
          <w:p w14:paraId="64D54EE8" w14:textId="77777777" w:rsidR="00813374" w:rsidRDefault="00813374" w:rsidP="00BA0B24">
            <w:pPr>
              <w:rPr>
                <w:rFonts w:ascii="Arial" w:hAnsi="Arial" w:cs="Arial"/>
                <w:sz w:val="22"/>
                <w:szCs w:val="22"/>
              </w:rPr>
            </w:pPr>
          </w:p>
          <w:p w14:paraId="6640FFCF" w14:textId="77777777" w:rsidR="00BA0B24" w:rsidRPr="007923C2" w:rsidRDefault="00BA0B24" w:rsidP="00BA0B24">
            <w:pPr>
              <w:rPr>
                <w:rFonts w:ascii="Arial" w:hAnsi="Arial" w:cs="Arial"/>
                <w:sz w:val="22"/>
                <w:szCs w:val="22"/>
              </w:rPr>
            </w:pPr>
            <w:r w:rsidRPr="007923C2">
              <w:rPr>
                <w:rFonts w:ascii="Arial" w:hAnsi="Arial" w:cs="Arial"/>
                <w:sz w:val="22"/>
                <w:szCs w:val="22"/>
              </w:rPr>
              <w:t>-Anatomía e Histología Vegetal</w:t>
            </w:r>
          </w:p>
          <w:p w14:paraId="66A286C2" w14:textId="77777777" w:rsidR="00BA0B24" w:rsidRPr="007923C2" w:rsidRDefault="00BA0B24" w:rsidP="00BA0B24">
            <w:pPr>
              <w:rPr>
                <w:rFonts w:ascii="Arial" w:hAnsi="Arial" w:cs="Arial"/>
                <w:sz w:val="22"/>
                <w:szCs w:val="22"/>
              </w:rPr>
            </w:pPr>
          </w:p>
          <w:p w14:paraId="0418A329" w14:textId="77777777" w:rsidR="00BA0B24" w:rsidRPr="007923C2" w:rsidRDefault="00BA0B24" w:rsidP="00BA0B24">
            <w:pPr>
              <w:rPr>
                <w:rFonts w:ascii="Arial" w:hAnsi="Arial" w:cs="Arial"/>
                <w:sz w:val="22"/>
                <w:szCs w:val="22"/>
              </w:rPr>
            </w:pPr>
          </w:p>
          <w:p w14:paraId="403817D6" w14:textId="77777777" w:rsidR="00BA0B24" w:rsidRPr="007923C2" w:rsidRDefault="00BA0B24" w:rsidP="00BA0B24">
            <w:pPr>
              <w:rPr>
                <w:rFonts w:ascii="Arial" w:hAnsi="Arial" w:cs="Arial"/>
                <w:sz w:val="22"/>
                <w:szCs w:val="22"/>
              </w:rPr>
            </w:pPr>
            <w:r w:rsidRPr="007923C2">
              <w:rPr>
                <w:rFonts w:ascii="Arial" w:hAnsi="Arial" w:cs="Arial"/>
                <w:sz w:val="22"/>
                <w:szCs w:val="22"/>
              </w:rPr>
              <w:t>-Microbiología I</w:t>
            </w:r>
          </w:p>
          <w:p w14:paraId="42F75292" w14:textId="77777777" w:rsidR="00BA0B24" w:rsidRPr="007923C2" w:rsidRDefault="00BA0B24" w:rsidP="00BA0B24">
            <w:pPr>
              <w:rPr>
                <w:rFonts w:ascii="Arial" w:hAnsi="Arial" w:cs="Arial"/>
                <w:sz w:val="22"/>
                <w:szCs w:val="22"/>
              </w:rPr>
            </w:pPr>
          </w:p>
          <w:p w14:paraId="25277F1C" w14:textId="77777777" w:rsidR="00BA0B24" w:rsidRPr="007923C2" w:rsidRDefault="00BA0B24" w:rsidP="00BA0B24">
            <w:pPr>
              <w:rPr>
                <w:rFonts w:ascii="Arial" w:hAnsi="Arial" w:cs="Arial"/>
                <w:sz w:val="22"/>
                <w:szCs w:val="22"/>
              </w:rPr>
            </w:pPr>
          </w:p>
          <w:p w14:paraId="7744275D" w14:textId="77777777" w:rsidR="00BA0B24" w:rsidRPr="007923C2" w:rsidRDefault="00BA0B24" w:rsidP="00BA0B24">
            <w:pPr>
              <w:rPr>
                <w:rFonts w:ascii="Arial" w:hAnsi="Arial" w:cs="Arial"/>
                <w:sz w:val="22"/>
                <w:szCs w:val="22"/>
              </w:rPr>
            </w:pPr>
          </w:p>
          <w:p w14:paraId="0CA724F5" w14:textId="77777777" w:rsidR="00BA0B24" w:rsidRPr="007923C2" w:rsidRDefault="00BA0B24" w:rsidP="00BA0B24">
            <w:pPr>
              <w:rPr>
                <w:rFonts w:ascii="Arial" w:hAnsi="Arial" w:cs="Arial"/>
                <w:sz w:val="22"/>
                <w:szCs w:val="22"/>
              </w:rPr>
            </w:pPr>
          </w:p>
          <w:p w14:paraId="03417C63" w14:textId="77777777" w:rsidR="00BA0B24" w:rsidRPr="007923C2" w:rsidRDefault="00BA0B24" w:rsidP="00BA0B24">
            <w:pPr>
              <w:rPr>
                <w:rFonts w:ascii="Arial" w:hAnsi="Arial" w:cs="Arial"/>
                <w:sz w:val="22"/>
                <w:szCs w:val="22"/>
              </w:rPr>
            </w:pPr>
          </w:p>
          <w:p w14:paraId="024D89FB" w14:textId="77777777" w:rsidR="00BA0B24" w:rsidRPr="007923C2" w:rsidRDefault="00BA0B24" w:rsidP="00BA0B24">
            <w:pPr>
              <w:rPr>
                <w:rFonts w:ascii="Arial" w:hAnsi="Arial" w:cs="Arial"/>
                <w:sz w:val="22"/>
                <w:szCs w:val="22"/>
              </w:rPr>
            </w:pPr>
          </w:p>
          <w:p w14:paraId="73B31582" w14:textId="77777777" w:rsidR="00BA0B24" w:rsidRPr="007923C2" w:rsidRDefault="00BA0B24" w:rsidP="00BA0B24">
            <w:pPr>
              <w:rPr>
                <w:rFonts w:ascii="Arial" w:hAnsi="Arial" w:cs="Arial"/>
                <w:sz w:val="22"/>
                <w:szCs w:val="22"/>
              </w:rPr>
            </w:pPr>
            <w:r w:rsidRPr="007923C2">
              <w:rPr>
                <w:rFonts w:ascii="Arial" w:hAnsi="Arial" w:cs="Arial"/>
                <w:sz w:val="22"/>
                <w:szCs w:val="22"/>
              </w:rPr>
              <w:t>-Fisiología vegetal</w:t>
            </w:r>
          </w:p>
          <w:p w14:paraId="384D1D53" w14:textId="77777777" w:rsidR="00BA0B24" w:rsidRPr="007923C2" w:rsidRDefault="00BA0B24" w:rsidP="00BA0B24">
            <w:pPr>
              <w:rPr>
                <w:rFonts w:ascii="Arial" w:hAnsi="Arial" w:cs="Arial"/>
                <w:sz w:val="22"/>
                <w:szCs w:val="22"/>
              </w:rPr>
            </w:pPr>
          </w:p>
          <w:p w14:paraId="016ACA27" w14:textId="77777777" w:rsidR="00BA0B24" w:rsidRPr="007923C2" w:rsidRDefault="00BA0B24" w:rsidP="00BA0B24">
            <w:pPr>
              <w:rPr>
                <w:rFonts w:ascii="Arial" w:hAnsi="Arial" w:cs="Arial"/>
                <w:sz w:val="22"/>
                <w:szCs w:val="22"/>
              </w:rPr>
            </w:pPr>
          </w:p>
          <w:p w14:paraId="78D9FB34" w14:textId="77777777" w:rsidR="00BA0B24" w:rsidRPr="007923C2" w:rsidRDefault="00BA0B24" w:rsidP="00BA0B24">
            <w:pPr>
              <w:rPr>
                <w:rFonts w:ascii="Arial" w:hAnsi="Arial" w:cs="Arial"/>
                <w:sz w:val="22"/>
                <w:szCs w:val="22"/>
              </w:rPr>
            </w:pPr>
          </w:p>
          <w:p w14:paraId="5D86ED34" w14:textId="77777777" w:rsidR="00BA0B24" w:rsidRPr="007923C2" w:rsidRDefault="00BA0B24" w:rsidP="00BA0B24">
            <w:pPr>
              <w:rPr>
                <w:rFonts w:ascii="Arial" w:hAnsi="Arial" w:cs="Arial"/>
                <w:sz w:val="22"/>
                <w:szCs w:val="22"/>
              </w:rPr>
            </w:pPr>
          </w:p>
          <w:p w14:paraId="1C46DE40" w14:textId="77777777" w:rsidR="00BA0B24" w:rsidRPr="007923C2" w:rsidRDefault="00BA0B24" w:rsidP="00BA0B24">
            <w:pPr>
              <w:rPr>
                <w:rFonts w:ascii="Arial" w:hAnsi="Arial" w:cs="Arial"/>
                <w:sz w:val="22"/>
                <w:szCs w:val="22"/>
              </w:rPr>
            </w:pPr>
          </w:p>
          <w:p w14:paraId="65C9087A" w14:textId="77777777" w:rsidR="00BA0B24" w:rsidRPr="007923C2" w:rsidRDefault="00BA0B24" w:rsidP="00BA0B24">
            <w:pPr>
              <w:rPr>
                <w:rFonts w:ascii="Arial" w:hAnsi="Arial" w:cs="Arial"/>
                <w:sz w:val="22"/>
                <w:szCs w:val="22"/>
              </w:rPr>
            </w:pPr>
          </w:p>
          <w:p w14:paraId="6C57183E" w14:textId="77777777" w:rsidR="00BA0B24" w:rsidRPr="007923C2" w:rsidRDefault="00BA0B24" w:rsidP="00BA0B24">
            <w:pPr>
              <w:rPr>
                <w:rFonts w:ascii="Arial" w:hAnsi="Arial" w:cs="Arial"/>
                <w:sz w:val="22"/>
                <w:szCs w:val="22"/>
              </w:rPr>
            </w:pPr>
          </w:p>
          <w:p w14:paraId="644A0040" w14:textId="77777777" w:rsidR="00BA0B24" w:rsidRPr="007923C2" w:rsidRDefault="00BA0B24" w:rsidP="00BA0B24">
            <w:pPr>
              <w:rPr>
                <w:rFonts w:ascii="Arial" w:hAnsi="Arial" w:cs="Arial"/>
                <w:sz w:val="22"/>
                <w:szCs w:val="22"/>
              </w:rPr>
            </w:pPr>
          </w:p>
          <w:p w14:paraId="22D57884" w14:textId="77777777" w:rsidR="00FE1EF4" w:rsidRDefault="00FE1EF4" w:rsidP="00BA0B24">
            <w:pPr>
              <w:rPr>
                <w:rFonts w:ascii="Arial" w:hAnsi="Arial" w:cs="Arial"/>
                <w:sz w:val="22"/>
                <w:szCs w:val="22"/>
              </w:rPr>
            </w:pPr>
          </w:p>
          <w:p w14:paraId="05F88FAA" w14:textId="77777777" w:rsidR="00BA0B24" w:rsidRPr="007923C2" w:rsidRDefault="00BA0B24" w:rsidP="00BA0B24">
            <w:pPr>
              <w:rPr>
                <w:rFonts w:ascii="Arial" w:hAnsi="Arial" w:cs="Arial"/>
                <w:sz w:val="22"/>
                <w:szCs w:val="22"/>
              </w:rPr>
            </w:pPr>
            <w:r w:rsidRPr="007923C2">
              <w:rPr>
                <w:rFonts w:ascii="Arial" w:hAnsi="Arial" w:cs="Arial"/>
                <w:sz w:val="22"/>
                <w:szCs w:val="22"/>
              </w:rPr>
              <w:t>-Diseños Experimentales</w:t>
            </w:r>
          </w:p>
          <w:p w14:paraId="2BAC1C44" w14:textId="77777777" w:rsidR="00BA0B24" w:rsidRPr="007923C2" w:rsidRDefault="00BA0B24" w:rsidP="00BA0B24">
            <w:pPr>
              <w:rPr>
                <w:rFonts w:ascii="Arial" w:hAnsi="Arial" w:cs="Arial"/>
                <w:sz w:val="22"/>
                <w:szCs w:val="22"/>
              </w:rPr>
            </w:pPr>
          </w:p>
          <w:p w14:paraId="04C51654" w14:textId="77777777" w:rsidR="00BA0B24" w:rsidRPr="007923C2" w:rsidRDefault="00BA0B24" w:rsidP="00BA0B24">
            <w:pPr>
              <w:rPr>
                <w:rFonts w:ascii="Arial" w:hAnsi="Arial" w:cs="Arial"/>
                <w:sz w:val="22"/>
                <w:szCs w:val="22"/>
              </w:rPr>
            </w:pPr>
          </w:p>
          <w:p w14:paraId="17F63BC8" w14:textId="77777777" w:rsidR="00BA0B24" w:rsidRPr="007923C2" w:rsidRDefault="00BA0B24" w:rsidP="00BA0B24">
            <w:pPr>
              <w:rPr>
                <w:rFonts w:ascii="Arial" w:hAnsi="Arial" w:cs="Arial"/>
                <w:sz w:val="22"/>
                <w:szCs w:val="22"/>
              </w:rPr>
            </w:pPr>
          </w:p>
          <w:p w14:paraId="5C602206" w14:textId="77777777" w:rsidR="00813374" w:rsidRDefault="00813374" w:rsidP="00BA0B24">
            <w:pPr>
              <w:rPr>
                <w:rFonts w:ascii="Arial" w:hAnsi="Arial" w:cs="Arial"/>
                <w:sz w:val="22"/>
                <w:szCs w:val="22"/>
              </w:rPr>
            </w:pPr>
          </w:p>
          <w:p w14:paraId="6F062D1F" w14:textId="77777777" w:rsidR="00BA0B24" w:rsidRPr="007923C2" w:rsidRDefault="00BA0B24" w:rsidP="00BA0B24">
            <w:pPr>
              <w:rPr>
                <w:rFonts w:ascii="Arial" w:hAnsi="Arial" w:cs="Arial"/>
                <w:sz w:val="22"/>
                <w:szCs w:val="22"/>
              </w:rPr>
            </w:pPr>
            <w:r w:rsidRPr="007923C2">
              <w:rPr>
                <w:rFonts w:ascii="Arial" w:hAnsi="Arial" w:cs="Arial"/>
                <w:sz w:val="22"/>
                <w:szCs w:val="22"/>
              </w:rPr>
              <w:t>-Entomología</w:t>
            </w:r>
          </w:p>
          <w:p w14:paraId="5AFE0282" w14:textId="77777777" w:rsidR="00BA0B24" w:rsidRPr="007923C2" w:rsidRDefault="00BA0B24" w:rsidP="00BA0B24">
            <w:pPr>
              <w:rPr>
                <w:rFonts w:ascii="Arial" w:hAnsi="Arial" w:cs="Arial"/>
                <w:sz w:val="22"/>
                <w:szCs w:val="22"/>
              </w:rPr>
            </w:pPr>
          </w:p>
          <w:p w14:paraId="5DB325FE" w14:textId="77777777" w:rsidR="00BA0B24" w:rsidRPr="007923C2" w:rsidRDefault="00BA0B24" w:rsidP="00BA0B24">
            <w:pPr>
              <w:rPr>
                <w:rFonts w:ascii="Arial" w:hAnsi="Arial" w:cs="Arial"/>
                <w:sz w:val="22"/>
                <w:szCs w:val="22"/>
              </w:rPr>
            </w:pPr>
          </w:p>
          <w:p w14:paraId="3CC56946" w14:textId="77777777" w:rsidR="00BA0B24" w:rsidRPr="007923C2" w:rsidRDefault="00BA0B24" w:rsidP="00BA0B24">
            <w:pPr>
              <w:rPr>
                <w:rFonts w:ascii="Arial" w:hAnsi="Arial" w:cs="Arial"/>
                <w:sz w:val="22"/>
                <w:szCs w:val="22"/>
              </w:rPr>
            </w:pPr>
          </w:p>
          <w:p w14:paraId="7C6480C3" w14:textId="77777777" w:rsidR="00BA0B24" w:rsidRPr="007923C2" w:rsidRDefault="00BA0B24" w:rsidP="00BA0B24">
            <w:pPr>
              <w:rPr>
                <w:rFonts w:ascii="Arial" w:hAnsi="Arial" w:cs="Arial"/>
                <w:sz w:val="22"/>
                <w:szCs w:val="22"/>
              </w:rPr>
            </w:pPr>
          </w:p>
          <w:p w14:paraId="36ACACFB" w14:textId="77777777" w:rsidR="00BA0B24" w:rsidRPr="007923C2" w:rsidRDefault="00BA0B24" w:rsidP="00BA0B24">
            <w:pPr>
              <w:rPr>
                <w:rFonts w:ascii="Arial" w:hAnsi="Arial" w:cs="Arial"/>
                <w:sz w:val="22"/>
                <w:szCs w:val="22"/>
              </w:rPr>
            </w:pPr>
            <w:r w:rsidRPr="007923C2">
              <w:rPr>
                <w:rFonts w:ascii="Arial" w:hAnsi="Arial" w:cs="Arial"/>
                <w:sz w:val="22"/>
                <w:szCs w:val="22"/>
              </w:rPr>
              <w:t>-Ecofisiología Vegetal</w:t>
            </w:r>
          </w:p>
          <w:p w14:paraId="1974E1A4" w14:textId="77777777" w:rsidR="00BA0B24" w:rsidRPr="007923C2" w:rsidRDefault="00BA0B24" w:rsidP="00BA0B24">
            <w:pPr>
              <w:rPr>
                <w:rFonts w:ascii="Arial" w:hAnsi="Arial" w:cs="Arial"/>
                <w:sz w:val="22"/>
                <w:szCs w:val="22"/>
              </w:rPr>
            </w:pPr>
          </w:p>
          <w:p w14:paraId="34011CDB" w14:textId="77777777" w:rsidR="00BA0B24" w:rsidRPr="007923C2" w:rsidRDefault="00BA0B24" w:rsidP="00BA0B24">
            <w:pPr>
              <w:rPr>
                <w:rFonts w:ascii="Arial" w:hAnsi="Arial" w:cs="Arial"/>
                <w:sz w:val="22"/>
                <w:szCs w:val="22"/>
              </w:rPr>
            </w:pPr>
          </w:p>
          <w:p w14:paraId="29BCD3F4" w14:textId="77777777" w:rsidR="00BA0B24" w:rsidRPr="007923C2" w:rsidRDefault="00BA0B24" w:rsidP="00BA0B24">
            <w:pPr>
              <w:rPr>
                <w:rFonts w:ascii="Arial" w:hAnsi="Arial" w:cs="Arial"/>
                <w:sz w:val="22"/>
                <w:szCs w:val="22"/>
              </w:rPr>
            </w:pPr>
          </w:p>
          <w:p w14:paraId="4C1BFBAD" w14:textId="77777777" w:rsidR="00BA0B24" w:rsidRPr="007923C2" w:rsidRDefault="00BA0B24" w:rsidP="00BA0B24">
            <w:pPr>
              <w:rPr>
                <w:rFonts w:ascii="Arial" w:hAnsi="Arial" w:cs="Arial"/>
                <w:sz w:val="22"/>
                <w:szCs w:val="22"/>
              </w:rPr>
            </w:pPr>
          </w:p>
          <w:p w14:paraId="6892F2FD" w14:textId="77777777" w:rsidR="00BA0B24" w:rsidRPr="007923C2" w:rsidRDefault="00BA0B24" w:rsidP="00BA0B24">
            <w:pPr>
              <w:rPr>
                <w:rFonts w:ascii="Arial" w:hAnsi="Arial" w:cs="Arial"/>
                <w:sz w:val="22"/>
                <w:szCs w:val="22"/>
              </w:rPr>
            </w:pPr>
          </w:p>
          <w:p w14:paraId="6880B743" w14:textId="77777777" w:rsidR="00BA0B24" w:rsidRPr="007923C2" w:rsidRDefault="00BA0B24" w:rsidP="00BA0B24">
            <w:pPr>
              <w:rPr>
                <w:rFonts w:ascii="Arial" w:hAnsi="Arial" w:cs="Arial"/>
                <w:sz w:val="22"/>
                <w:szCs w:val="22"/>
              </w:rPr>
            </w:pPr>
            <w:r w:rsidRPr="007923C2">
              <w:rPr>
                <w:rFonts w:ascii="Arial" w:hAnsi="Arial" w:cs="Arial"/>
                <w:sz w:val="22"/>
                <w:szCs w:val="22"/>
              </w:rPr>
              <w:t>-Agroecología</w:t>
            </w:r>
          </w:p>
          <w:p w14:paraId="2D038000" w14:textId="77777777" w:rsidR="00BA0B24" w:rsidRPr="007923C2" w:rsidRDefault="00BA0B24" w:rsidP="00BA0B24">
            <w:pPr>
              <w:rPr>
                <w:rFonts w:ascii="Arial" w:hAnsi="Arial" w:cs="Arial"/>
                <w:sz w:val="22"/>
                <w:szCs w:val="22"/>
              </w:rPr>
            </w:pPr>
          </w:p>
        </w:tc>
        <w:tc>
          <w:tcPr>
            <w:tcW w:w="3533" w:type="dxa"/>
            <w:gridSpan w:val="2"/>
          </w:tcPr>
          <w:p w14:paraId="7A5240BC" w14:textId="77777777" w:rsidR="00BA0B24" w:rsidRPr="007923C2" w:rsidRDefault="00BA0B24" w:rsidP="00BA0B24">
            <w:pPr>
              <w:rPr>
                <w:rFonts w:ascii="Arial" w:hAnsi="Arial" w:cs="Arial"/>
                <w:sz w:val="22"/>
                <w:szCs w:val="22"/>
              </w:rPr>
            </w:pPr>
            <w:r w:rsidRPr="007923C2">
              <w:rPr>
                <w:rFonts w:ascii="Arial" w:hAnsi="Arial" w:cs="Arial"/>
                <w:sz w:val="22"/>
                <w:szCs w:val="22"/>
              </w:rPr>
              <w:t>-Reconocer algunas familias de plantas vasculares de importancia económica en la agricultura.</w:t>
            </w:r>
          </w:p>
          <w:p w14:paraId="408A6A1A" w14:textId="77777777" w:rsidR="00BA0B24" w:rsidRPr="007923C2" w:rsidRDefault="00BA0B24" w:rsidP="00BA0B24">
            <w:pPr>
              <w:rPr>
                <w:rFonts w:ascii="Arial" w:hAnsi="Arial" w:cs="Arial"/>
                <w:sz w:val="22"/>
                <w:szCs w:val="22"/>
              </w:rPr>
            </w:pPr>
          </w:p>
          <w:p w14:paraId="19154063" w14:textId="77777777" w:rsidR="00BA0B24" w:rsidRPr="007923C2" w:rsidRDefault="00BA0B24" w:rsidP="00BA0B24">
            <w:pPr>
              <w:rPr>
                <w:rFonts w:ascii="Arial" w:hAnsi="Arial" w:cs="Arial"/>
                <w:sz w:val="22"/>
                <w:szCs w:val="22"/>
              </w:rPr>
            </w:pPr>
            <w:r w:rsidRPr="007923C2">
              <w:rPr>
                <w:rFonts w:ascii="Arial" w:hAnsi="Arial" w:cs="Arial"/>
                <w:sz w:val="22"/>
                <w:szCs w:val="22"/>
              </w:rPr>
              <w:t>-Conocer las características histológicas de los diferentes tejidos vegetales.</w:t>
            </w:r>
          </w:p>
          <w:p w14:paraId="5F53E0BE" w14:textId="77777777" w:rsidR="00BA0B24" w:rsidRPr="007923C2" w:rsidRDefault="00BA0B24" w:rsidP="00BA0B24">
            <w:pPr>
              <w:rPr>
                <w:rFonts w:ascii="Arial" w:hAnsi="Arial" w:cs="Arial"/>
                <w:sz w:val="22"/>
                <w:szCs w:val="22"/>
              </w:rPr>
            </w:pPr>
          </w:p>
          <w:p w14:paraId="2FE1BD81" w14:textId="67427B55" w:rsidR="00BA0B24" w:rsidRPr="007923C2" w:rsidRDefault="00BA0B24" w:rsidP="00BA0B24">
            <w:pPr>
              <w:rPr>
                <w:rFonts w:ascii="Arial" w:hAnsi="Arial" w:cs="Arial"/>
                <w:sz w:val="22"/>
                <w:szCs w:val="22"/>
              </w:rPr>
            </w:pPr>
            <w:r w:rsidRPr="007923C2">
              <w:rPr>
                <w:rFonts w:ascii="Arial" w:hAnsi="Arial" w:cs="Arial"/>
                <w:sz w:val="22"/>
                <w:szCs w:val="22"/>
              </w:rPr>
              <w:t>-Conocimiento general de los microorganismos que se emplean industrialmente, su biología, propiedades bioquímicos e identificación de productos m</w:t>
            </w:r>
            <w:r w:rsidR="006A78F4">
              <w:rPr>
                <w:rFonts w:ascii="Arial" w:hAnsi="Arial" w:cs="Arial"/>
                <w:sz w:val="22"/>
                <w:szCs w:val="22"/>
              </w:rPr>
              <w:t>i</w:t>
            </w:r>
            <w:r w:rsidRPr="007923C2">
              <w:rPr>
                <w:rFonts w:ascii="Arial" w:hAnsi="Arial" w:cs="Arial"/>
                <w:sz w:val="22"/>
                <w:szCs w:val="22"/>
              </w:rPr>
              <w:t>crobianos.</w:t>
            </w:r>
          </w:p>
          <w:p w14:paraId="022FC799" w14:textId="77777777" w:rsidR="00BA0B24" w:rsidRPr="007923C2" w:rsidRDefault="00BA0B24" w:rsidP="00BA0B24">
            <w:pPr>
              <w:rPr>
                <w:rFonts w:ascii="Arial" w:hAnsi="Arial" w:cs="Arial"/>
                <w:sz w:val="22"/>
                <w:szCs w:val="22"/>
              </w:rPr>
            </w:pPr>
          </w:p>
          <w:p w14:paraId="7E08E1DD" w14:textId="77777777" w:rsidR="00BA0B24" w:rsidRPr="007923C2" w:rsidRDefault="00BA0B24" w:rsidP="00BA0B24">
            <w:pPr>
              <w:rPr>
                <w:rFonts w:ascii="Arial" w:hAnsi="Arial" w:cs="Arial"/>
                <w:sz w:val="22"/>
                <w:szCs w:val="22"/>
              </w:rPr>
            </w:pPr>
            <w:r w:rsidRPr="007923C2">
              <w:rPr>
                <w:rFonts w:ascii="Arial" w:hAnsi="Arial" w:cs="Arial"/>
                <w:sz w:val="22"/>
                <w:szCs w:val="22"/>
              </w:rPr>
              <w:t>-Tener el conocimiento necesario para describir y analizar los procesos fisiológicos de los vegetales desde un punto de vista dinámico e integrador. Analizar las variaciones de los procesos y sus interrelaciones bajo diferentes conductores ambientales agronómicos.</w:t>
            </w:r>
          </w:p>
          <w:p w14:paraId="35CDDEB6" w14:textId="77777777" w:rsidR="00BA0B24" w:rsidRPr="007923C2" w:rsidRDefault="00BA0B24" w:rsidP="00BA0B24">
            <w:pPr>
              <w:rPr>
                <w:rFonts w:ascii="Arial" w:hAnsi="Arial" w:cs="Arial"/>
                <w:sz w:val="22"/>
                <w:szCs w:val="22"/>
              </w:rPr>
            </w:pPr>
          </w:p>
          <w:p w14:paraId="35E5CD9A" w14:textId="77777777" w:rsidR="00BA0B24" w:rsidRPr="007923C2" w:rsidRDefault="00BA0B24" w:rsidP="00BA0B24">
            <w:pPr>
              <w:rPr>
                <w:rFonts w:ascii="Arial" w:hAnsi="Arial" w:cs="Arial"/>
                <w:sz w:val="22"/>
                <w:szCs w:val="22"/>
              </w:rPr>
            </w:pPr>
            <w:r w:rsidRPr="007923C2">
              <w:rPr>
                <w:rFonts w:ascii="Arial" w:hAnsi="Arial" w:cs="Arial"/>
                <w:sz w:val="22"/>
                <w:szCs w:val="22"/>
              </w:rPr>
              <w:t>Comprender que los diseños experimentales es la herramienta fundamental para probar hipótesis en los modelos estadísticos.</w:t>
            </w:r>
          </w:p>
          <w:p w14:paraId="4C0D4C7C" w14:textId="77777777" w:rsidR="00BA0B24" w:rsidRPr="007923C2" w:rsidRDefault="00BA0B24" w:rsidP="00BA0B24">
            <w:pPr>
              <w:rPr>
                <w:rFonts w:ascii="Arial" w:hAnsi="Arial" w:cs="Arial"/>
                <w:sz w:val="22"/>
                <w:szCs w:val="22"/>
              </w:rPr>
            </w:pPr>
          </w:p>
          <w:p w14:paraId="353C0C16" w14:textId="77777777" w:rsidR="00BA0B24" w:rsidRPr="007923C2" w:rsidRDefault="00BA0B24" w:rsidP="00BA0B24">
            <w:pPr>
              <w:rPr>
                <w:rFonts w:ascii="Arial" w:hAnsi="Arial" w:cs="Arial"/>
                <w:sz w:val="22"/>
                <w:szCs w:val="22"/>
              </w:rPr>
            </w:pPr>
            <w:r w:rsidRPr="007923C2">
              <w:rPr>
                <w:rFonts w:ascii="Arial" w:hAnsi="Arial" w:cs="Arial"/>
                <w:sz w:val="22"/>
                <w:szCs w:val="22"/>
              </w:rPr>
              <w:t>Conocer las características morfológicas, ciclo de vida de los insectos importantes, desde el punto de vista agronómico.</w:t>
            </w:r>
          </w:p>
          <w:p w14:paraId="5BA87611" w14:textId="77777777" w:rsidR="00BA0B24" w:rsidRPr="007923C2" w:rsidRDefault="00BA0B24" w:rsidP="00BA0B24">
            <w:pPr>
              <w:rPr>
                <w:rFonts w:ascii="Arial" w:hAnsi="Arial" w:cs="Arial"/>
                <w:sz w:val="22"/>
                <w:szCs w:val="22"/>
              </w:rPr>
            </w:pPr>
          </w:p>
          <w:p w14:paraId="68C64E5A" w14:textId="77777777" w:rsidR="00BA0B24" w:rsidRPr="007923C2" w:rsidRDefault="00BA0B24" w:rsidP="00BA0B24">
            <w:pPr>
              <w:rPr>
                <w:rFonts w:ascii="Arial" w:hAnsi="Arial" w:cs="Arial"/>
                <w:sz w:val="22"/>
                <w:szCs w:val="22"/>
              </w:rPr>
            </w:pPr>
            <w:r w:rsidRPr="007923C2">
              <w:rPr>
                <w:rFonts w:ascii="Arial" w:hAnsi="Arial" w:cs="Arial"/>
                <w:sz w:val="22"/>
                <w:szCs w:val="22"/>
              </w:rPr>
              <w:t>-Analizar y describir los procesos fisiológicos de las plantas, sus bases bioquímicas y su impacto ecológico y analizar los efectos ambientales sobre los procesos de las plantas.</w:t>
            </w:r>
          </w:p>
          <w:p w14:paraId="1AB8CD48" w14:textId="77777777" w:rsidR="00BA0B24" w:rsidRPr="007923C2" w:rsidRDefault="00BA0B24" w:rsidP="00BA0B24">
            <w:pPr>
              <w:rPr>
                <w:rFonts w:ascii="Arial" w:hAnsi="Arial" w:cs="Arial"/>
                <w:sz w:val="22"/>
                <w:szCs w:val="22"/>
              </w:rPr>
            </w:pPr>
          </w:p>
          <w:p w14:paraId="3EA7FCED" w14:textId="77777777" w:rsidR="00BA0B24" w:rsidRPr="007923C2" w:rsidRDefault="00BA0B24" w:rsidP="00BA0B24">
            <w:pPr>
              <w:rPr>
                <w:rFonts w:ascii="Arial" w:hAnsi="Arial" w:cs="Arial"/>
                <w:sz w:val="22"/>
                <w:szCs w:val="22"/>
              </w:rPr>
            </w:pPr>
            <w:r w:rsidRPr="007923C2">
              <w:rPr>
                <w:rFonts w:ascii="Arial" w:hAnsi="Arial" w:cs="Arial"/>
                <w:sz w:val="22"/>
                <w:szCs w:val="22"/>
              </w:rPr>
              <w:t xml:space="preserve">-Conocer la importancia de producir de una manera </w:t>
            </w:r>
            <w:r w:rsidRPr="007923C2">
              <w:rPr>
                <w:rFonts w:ascii="Arial" w:hAnsi="Arial" w:cs="Arial"/>
                <w:sz w:val="22"/>
                <w:szCs w:val="22"/>
              </w:rPr>
              <w:lastRenderedPageBreak/>
              <w:t>sostenible. Identificar estrategias de una producción agroecológica.</w:t>
            </w:r>
          </w:p>
          <w:p w14:paraId="4D9EEBA9" w14:textId="77777777" w:rsidR="00BA0B24" w:rsidRPr="007923C2" w:rsidRDefault="00BA0B24" w:rsidP="00BA0B24">
            <w:pPr>
              <w:rPr>
                <w:rFonts w:ascii="Arial" w:hAnsi="Arial" w:cs="Arial"/>
                <w:sz w:val="22"/>
                <w:szCs w:val="22"/>
              </w:rPr>
            </w:pPr>
          </w:p>
          <w:p w14:paraId="64C38AE2" w14:textId="77777777" w:rsidR="00BA0B24" w:rsidRPr="007923C2" w:rsidRDefault="00BA0B24" w:rsidP="00BA0B24">
            <w:pPr>
              <w:rPr>
                <w:rFonts w:ascii="Arial" w:hAnsi="Arial" w:cs="Arial"/>
                <w:sz w:val="22"/>
                <w:szCs w:val="22"/>
              </w:rPr>
            </w:pPr>
          </w:p>
        </w:tc>
      </w:tr>
      <w:tr w:rsidR="00BA0B24" w:rsidRPr="007923C2" w14:paraId="6892F753" w14:textId="77777777" w:rsidTr="0049242B">
        <w:trPr>
          <w:gridBefore w:val="1"/>
          <w:wBefore w:w="113" w:type="dxa"/>
          <w:trHeight w:val="566"/>
        </w:trPr>
        <w:tc>
          <w:tcPr>
            <w:tcW w:w="1733" w:type="dxa"/>
            <w:gridSpan w:val="2"/>
          </w:tcPr>
          <w:p w14:paraId="5DB681F3"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Bloque</w:t>
            </w:r>
          </w:p>
        </w:tc>
        <w:tc>
          <w:tcPr>
            <w:tcW w:w="1933" w:type="dxa"/>
            <w:gridSpan w:val="2"/>
          </w:tcPr>
          <w:p w14:paraId="3DA4351F" w14:textId="77777777" w:rsidR="00BA0B24" w:rsidRPr="007923C2" w:rsidRDefault="00BA0B24" w:rsidP="00BA0B24">
            <w:pPr>
              <w:rPr>
                <w:rFonts w:ascii="Arial" w:hAnsi="Arial" w:cs="Arial"/>
                <w:sz w:val="22"/>
                <w:szCs w:val="22"/>
              </w:rPr>
            </w:pPr>
            <w:r w:rsidRPr="007923C2">
              <w:rPr>
                <w:rFonts w:ascii="Arial" w:hAnsi="Arial" w:cs="Arial"/>
                <w:sz w:val="22"/>
                <w:szCs w:val="22"/>
              </w:rPr>
              <w:t>Objetivo del Bloque</w:t>
            </w:r>
          </w:p>
        </w:tc>
        <w:tc>
          <w:tcPr>
            <w:tcW w:w="2265" w:type="dxa"/>
            <w:gridSpan w:val="2"/>
          </w:tcPr>
          <w:p w14:paraId="5F96CB0A" w14:textId="77777777" w:rsidR="00BA0B24" w:rsidRPr="007923C2" w:rsidRDefault="00BA0B24" w:rsidP="00BA0B24">
            <w:pPr>
              <w:rPr>
                <w:rFonts w:ascii="Arial" w:hAnsi="Arial" w:cs="Arial"/>
                <w:sz w:val="22"/>
                <w:szCs w:val="22"/>
              </w:rPr>
            </w:pPr>
            <w:r w:rsidRPr="007923C2">
              <w:rPr>
                <w:rFonts w:ascii="Arial" w:hAnsi="Arial" w:cs="Arial"/>
                <w:sz w:val="22"/>
                <w:szCs w:val="22"/>
              </w:rPr>
              <w:t>Secuencia de Asignaturas</w:t>
            </w:r>
          </w:p>
        </w:tc>
        <w:tc>
          <w:tcPr>
            <w:tcW w:w="3533" w:type="dxa"/>
            <w:gridSpan w:val="2"/>
          </w:tcPr>
          <w:p w14:paraId="36F8243D" w14:textId="77777777" w:rsidR="00BA0B24" w:rsidRPr="007923C2" w:rsidRDefault="00BA0B24" w:rsidP="00BA0B24">
            <w:pPr>
              <w:rPr>
                <w:rFonts w:ascii="Arial" w:hAnsi="Arial" w:cs="Arial"/>
                <w:sz w:val="22"/>
                <w:szCs w:val="22"/>
              </w:rPr>
            </w:pPr>
            <w:r w:rsidRPr="007923C2">
              <w:rPr>
                <w:rFonts w:ascii="Arial" w:hAnsi="Arial" w:cs="Arial"/>
                <w:sz w:val="22"/>
                <w:szCs w:val="22"/>
              </w:rPr>
              <w:t>Orientación formativa de la Asignatura</w:t>
            </w:r>
          </w:p>
        </w:tc>
      </w:tr>
      <w:tr w:rsidR="00BA0B24" w:rsidRPr="007923C2" w14:paraId="7280858D" w14:textId="77777777" w:rsidTr="0049242B">
        <w:trPr>
          <w:gridBefore w:val="1"/>
          <w:wBefore w:w="113" w:type="dxa"/>
        </w:trPr>
        <w:tc>
          <w:tcPr>
            <w:tcW w:w="1733" w:type="dxa"/>
            <w:gridSpan w:val="2"/>
          </w:tcPr>
          <w:p w14:paraId="692709B6" w14:textId="77777777" w:rsidR="00BA0B24" w:rsidRPr="007923C2" w:rsidRDefault="00BA0B24" w:rsidP="00BA0B24">
            <w:pPr>
              <w:rPr>
                <w:rFonts w:ascii="Arial" w:hAnsi="Arial" w:cs="Arial"/>
                <w:sz w:val="22"/>
                <w:szCs w:val="22"/>
              </w:rPr>
            </w:pPr>
          </w:p>
        </w:tc>
        <w:tc>
          <w:tcPr>
            <w:tcW w:w="1933" w:type="dxa"/>
            <w:gridSpan w:val="2"/>
          </w:tcPr>
          <w:p w14:paraId="19AC6DCD" w14:textId="727D220A" w:rsidR="00BA0B24" w:rsidRPr="007923C2" w:rsidRDefault="00BA0B24" w:rsidP="00BA0B24">
            <w:pPr>
              <w:rPr>
                <w:rFonts w:ascii="Arial" w:hAnsi="Arial" w:cs="Arial"/>
                <w:sz w:val="22"/>
                <w:szCs w:val="22"/>
              </w:rPr>
            </w:pPr>
            <w:r w:rsidRPr="007923C2">
              <w:rPr>
                <w:rFonts w:ascii="Arial" w:hAnsi="Arial" w:cs="Arial"/>
                <w:sz w:val="22"/>
                <w:szCs w:val="22"/>
              </w:rPr>
              <w:t>Tal manera que la producción de los</w:t>
            </w:r>
            <w:r w:rsidR="00FE1EF4">
              <w:rPr>
                <w:rFonts w:ascii="Arial" w:hAnsi="Arial" w:cs="Arial"/>
                <w:sz w:val="22"/>
                <w:szCs w:val="22"/>
              </w:rPr>
              <w:t xml:space="preserve"> </w:t>
            </w:r>
            <w:r w:rsidRPr="007923C2">
              <w:rPr>
                <w:rFonts w:ascii="Arial" w:hAnsi="Arial" w:cs="Arial"/>
                <w:sz w:val="22"/>
                <w:szCs w:val="22"/>
              </w:rPr>
              <w:t>mismos destituye la pérdida de la autosuficiencia alimentaria al alcance de las mayorías o la totalidad de la población, sean bilógicamente sanas, no se contamine el ambiente, se conserve la biodiversidad y hagamos de la tierra un planeta más habitable y duradero.</w:t>
            </w:r>
          </w:p>
        </w:tc>
        <w:tc>
          <w:tcPr>
            <w:tcW w:w="2265" w:type="dxa"/>
            <w:gridSpan w:val="2"/>
          </w:tcPr>
          <w:p w14:paraId="06FD0D6B" w14:textId="77777777" w:rsidR="00BA0B24" w:rsidRPr="007923C2" w:rsidRDefault="00BA0B24" w:rsidP="00BA0B24">
            <w:pPr>
              <w:rPr>
                <w:rFonts w:ascii="Arial" w:hAnsi="Arial" w:cs="Arial"/>
                <w:sz w:val="22"/>
                <w:szCs w:val="22"/>
              </w:rPr>
            </w:pPr>
            <w:r w:rsidRPr="007923C2">
              <w:rPr>
                <w:rFonts w:ascii="Arial" w:hAnsi="Arial" w:cs="Arial"/>
                <w:sz w:val="22"/>
                <w:szCs w:val="22"/>
              </w:rPr>
              <w:t>-Bioagricultura</w:t>
            </w:r>
          </w:p>
          <w:p w14:paraId="34F88156" w14:textId="77777777" w:rsidR="00BA0B24" w:rsidRPr="007923C2" w:rsidRDefault="00BA0B24" w:rsidP="00BA0B24">
            <w:pPr>
              <w:rPr>
                <w:rFonts w:ascii="Arial" w:hAnsi="Arial" w:cs="Arial"/>
                <w:sz w:val="22"/>
                <w:szCs w:val="22"/>
              </w:rPr>
            </w:pPr>
          </w:p>
          <w:p w14:paraId="3C869450" w14:textId="77777777" w:rsidR="00BA0B24" w:rsidRPr="007923C2" w:rsidRDefault="00BA0B24" w:rsidP="00BA0B24">
            <w:pPr>
              <w:rPr>
                <w:rFonts w:ascii="Arial" w:hAnsi="Arial" w:cs="Arial"/>
                <w:sz w:val="22"/>
                <w:szCs w:val="22"/>
              </w:rPr>
            </w:pPr>
          </w:p>
          <w:p w14:paraId="11F49343" w14:textId="77777777" w:rsidR="00BA0B24" w:rsidRPr="007923C2" w:rsidRDefault="00BA0B24" w:rsidP="00BA0B24">
            <w:pPr>
              <w:rPr>
                <w:rFonts w:ascii="Arial" w:hAnsi="Arial" w:cs="Arial"/>
                <w:sz w:val="22"/>
                <w:szCs w:val="22"/>
              </w:rPr>
            </w:pPr>
          </w:p>
          <w:p w14:paraId="6EC22EC7" w14:textId="77777777" w:rsidR="00BA0B24" w:rsidRPr="007923C2" w:rsidRDefault="00BA0B24" w:rsidP="00BA0B24">
            <w:pPr>
              <w:rPr>
                <w:rFonts w:ascii="Arial" w:hAnsi="Arial" w:cs="Arial"/>
                <w:sz w:val="22"/>
                <w:szCs w:val="22"/>
              </w:rPr>
            </w:pPr>
            <w:r w:rsidRPr="007923C2">
              <w:rPr>
                <w:rFonts w:ascii="Arial" w:hAnsi="Arial" w:cs="Arial"/>
                <w:sz w:val="22"/>
                <w:szCs w:val="22"/>
              </w:rPr>
              <w:t>-Manejo Agroecológico del Agua</w:t>
            </w:r>
          </w:p>
          <w:p w14:paraId="2A898666" w14:textId="77777777" w:rsidR="00BA0B24" w:rsidRPr="007923C2" w:rsidRDefault="00BA0B24" w:rsidP="00BA0B24">
            <w:pPr>
              <w:rPr>
                <w:rFonts w:ascii="Arial" w:hAnsi="Arial" w:cs="Arial"/>
                <w:sz w:val="22"/>
                <w:szCs w:val="22"/>
              </w:rPr>
            </w:pPr>
          </w:p>
          <w:p w14:paraId="78F5C580" w14:textId="77777777" w:rsidR="00BA0B24" w:rsidRPr="007923C2" w:rsidRDefault="00BA0B24" w:rsidP="00BA0B24">
            <w:pPr>
              <w:rPr>
                <w:rFonts w:ascii="Arial" w:hAnsi="Arial" w:cs="Arial"/>
                <w:sz w:val="22"/>
                <w:szCs w:val="22"/>
              </w:rPr>
            </w:pPr>
            <w:r w:rsidRPr="007923C2">
              <w:rPr>
                <w:rFonts w:ascii="Arial" w:hAnsi="Arial" w:cs="Arial"/>
                <w:sz w:val="22"/>
                <w:szCs w:val="22"/>
              </w:rPr>
              <w:t>-Manejo Agroecológico del Suelo</w:t>
            </w:r>
          </w:p>
          <w:p w14:paraId="07A6C686" w14:textId="77777777" w:rsidR="00BA0B24" w:rsidRPr="007923C2" w:rsidRDefault="00BA0B24" w:rsidP="00BA0B24">
            <w:pPr>
              <w:rPr>
                <w:rFonts w:ascii="Arial" w:hAnsi="Arial" w:cs="Arial"/>
                <w:sz w:val="22"/>
                <w:szCs w:val="22"/>
              </w:rPr>
            </w:pPr>
          </w:p>
          <w:p w14:paraId="241AC272" w14:textId="77777777" w:rsidR="00BA0B24" w:rsidRPr="007923C2" w:rsidRDefault="00BA0B24" w:rsidP="00BA0B24">
            <w:pPr>
              <w:rPr>
                <w:rFonts w:ascii="Arial" w:hAnsi="Arial" w:cs="Arial"/>
                <w:sz w:val="22"/>
                <w:szCs w:val="22"/>
              </w:rPr>
            </w:pPr>
          </w:p>
          <w:p w14:paraId="31A258FF" w14:textId="77777777" w:rsidR="00BA0B24" w:rsidRPr="007923C2" w:rsidRDefault="00BA0B24" w:rsidP="00BA0B24">
            <w:pPr>
              <w:rPr>
                <w:rFonts w:ascii="Arial" w:hAnsi="Arial" w:cs="Arial"/>
                <w:sz w:val="22"/>
                <w:szCs w:val="22"/>
              </w:rPr>
            </w:pPr>
          </w:p>
          <w:p w14:paraId="3C3CF059" w14:textId="77777777" w:rsidR="00BA0B24" w:rsidRPr="007923C2" w:rsidRDefault="00BA0B24" w:rsidP="00BA0B24">
            <w:pPr>
              <w:rPr>
                <w:rFonts w:ascii="Arial" w:hAnsi="Arial" w:cs="Arial"/>
                <w:sz w:val="22"/>
                <w:szCs w:val="22"/>
              </w:rPr>
            </w:pPr>
          </w:p>
          <w:p w14:paraId="08DD6BA4" w14:textId="77777777" w:rsidR="00BA0B24" w:rsidRPr="007923C2" w:rsidRDefault="00BA0B24" w:rsidP="00BA0B24">
            <w:pPr>
              <w:rPr>
                <w:rFonts w:ascii="Arial" w:hAnsi="Arial" w:cs="Arial"/>
                <w:sz w:val="22"/>
                <w:szCs w:val="22"/>
              </w:rPr>
            </w:pPr>
            <w:r w:rsidRPr="007923C2">
              <w:rPr>
                <w:rFonts w:ascii="Arial" w:hAnsi="Arial" w:cs="Arial"/>
                <w:sz w:val="22"/>
                <w:szCs w:val="22"/>
              </w:rPr>
              <w:t>-Manejo Integrado de Plagas</w:t>
            </w:r>
          </w:p>
          <w:p w14:paraId="317715DF" w14:textId="77777777" w:rsidR="00BA0B24" w:rsidRPr="007923C2" w:rsidRDefault="00BA0B24" w:rsidP="00BA0B24">
            <w:pPr>
              <w:rPr>
                <w:rFonts w:ascii="Arial" w:hAnsi="Arial" w:cs="Arial"/>
                <w:sz w:val="22"/>
                <w:szCs w:val="22"/>
              </w:rPr>
            </w:pPr>
          </w:p>
          <w:p w14:paraId="408ED4B1" w14:textId="77777777" w:rsidR="00BA0B24" w:rsidRPr="007923C2" w:rsidRDefault="00BA0B24" w:rsidP="00BA0B24">
            <w:pPr>
              <w:rPr>
                <w:rFonts w:ascii="Arial" w:hAnsi="Arial" w:cs="Arial"/>
                <w:sz w:val="22"/>
                <w:szCs w:val="22"/>
              </w:rPr>
            </w:pPr>
          </w:p>
          <w:p w14:paraId="42826B7C" w14:textId="77777777" w:rsidR="00BA0B24" w:rsidRPr="007923C2" w:rsidRDefault="00BA0B24" w:rsidP="00BA0B24">
            <w:pPr>
              <w:rPr>
                <w:rFonts w:ascii="Arial" w:hAnsi="Arial" w:cs="Arial"/>
                <w:sz w:val="22"/>
                <w:szCs w:val="22"/>
              </w:rPr>
            </w:pPr>
            <w:r w:rsidRPr="007923C2">
              <w:rPr>
                <w:rFonts w:ascii="Arial" w:hAnsi="Arial" w:cs="Arial"/>
                <w:sz w:val="22"/>
                <w:szCs w:val="22"/>
              </w:rPr>
              <w:t>-Fertilidad y Fertilización del suelo</w:t>
            </w:r>
          </w:p>
          <w:p w14:paraId="20623E14" w14:textId="77777777" w:rsidR="00BA0B24" w:rsidRPr="007923C2" w:rsidRDefault="00BA0B24" w:rsidP="00BA0B24">
            <w:pPr>
              <w:rPr>
                <w:rFonts w:ascii="Arial" w:hAnsi="Arial" w:cs="Arial"/>
                <w:sz w:val="22"/>
                <w:szCs w:val="22"/>
              </w:rPr>
            </w:pPr>
          </w:p>
          <w:p w14:paraId="73F44A6C" w14:textId="77777777" w:rsidR="00BA0B24" w:rsidRPr="007923C2" w:rsidRDefault="00BA0B24" w:rsidP="00BA0B24">
            <w:pPr>
              <w:rPr>
                <w:rFonts w:ascii="Arial" w:hAnsi="Arial" w:cs="Arial"/>
                <w:sz w:val="22"/>
                <w:szCs w:val="22"/>
              </w:rPr>
            </w:pPr>
          </w:p>
          <w:p w14:paraId="7DD8042C" w14:textId="77777777" w:rsidR="00BA0B24" w:rsidRPr="007923C2" w:rsidRDefault="00BA0B24" w:rsidP="00BA0B24">
            <w:pPr>
              <w:rPr>
                <w:rFonts w:ascii="Arial" w:hAnsi="Arial" w:cs="Arial"/>
                <w:sz w:val="22"/>
                <w:szCs w:val="22"/>
              </w:rPr>
            </w:pPr>
          </w:p>
          <w:p w14:paraId="6324FE66" w14:textId="77777777" w:rsidR="00BA0B24" w:rsidRPr="007923C2" w:rsidRDefault="00BA0B24" w:rsidP="00BA0B24">
            <w:pPr>
              <w:rPr>
                <w:rFonts w:ascii="Arial" w:hAnsi="Arial" w:cs="Arial"/>
                <w:sz w:val="22"/>
                <w:szCs w:val="22"/>
              </w:rPr>
            </w:pPr>
          </w:p>
          <w:p w14:paraId="1D4076FC" w14:textId="77777777" w:rsidR="00BA0B24" w:rsidRPr="007923C2" w:rsidRDefault="00BA0B24" w:rsidP="00BA0B24">
            <w:pPr>
              <w:rPr>
                <w:rFonts w:ascii="Arial" w:hAnsi="Arial" w:cs="Arial"/>
                <w:sz w:val="22"/>
                <w:szCs w:val="22"/>
              </w:rPr>
            </w:pPr>
          </w:p>
          <w:p w14:paraId="4D21528D" w14:textId="77777777" w:rsidR="00BA0B24" w:rsidRDefault="00BA0B24" w:rsidP="00BA0B24">
            <w:pPr>
              <w:rPr>
                <w:rFonts w:ascii="Arial" w:hAnsi="Arial" w:cs="Arial"/>
                <w:sz w:val="22"/>
                <w:szCs w:val="22"/>
              </w:rPr>
            </w:pPr>
            <w:r w:rsidRPr="007923C2">
              <w:rPr>
                <w:rFonts w:ascii="Arial" w:hAnsi="Arial" w:cs="Arial"/>
                <w:sz w:val="22"/>
                <w:szCs w:val="22"/>
              </w:rPr>
              <w:t>-Agricultura sustentable e inocuidad</w:t>
            </w:r>
          </w:p>
          <w:p w14:paraId="1268BD1F" w14:textId="77777777" w:rsidR="00B2294A" w:rsidRDefault="00B2294A" w:rsidP="00BA0B24">
            <w:pPr>
              <w:rPr>
                <w:rFonts w:ascii="Arial" w:hAnsi="Arial" w:cs="Arial"/>
                <w:sz w:val="22"/>
                <w:szCs w:val="22"/>
              </w:rPr>
            </w:pPr>
          </w:p>
          <w:p w14:paraId="572C1631" w14:textId="77777777" w:rsidR="00B2294A" w:rsidRDefault="00B2294A" w:rsidP="00BA0B24">
            <w:pPr>
              <w:rPr>
                <w:rFonts w:ascii="Arial" w:hAnsi="Arial" w:cs="Arial"/>
                <w:sz w:val="22"/>
                <w:szCs w:val="22"/>
              </w:rPr>
            </w:pPr>
          </w:p>
          <w:p w14:paraId="515C3E06" w14:textId="77777777" w:rsidR="00B2294A" w:rsidRDefault="00B2294A" w:rsidP="00BA0B24">
            <w:pPr>
              <w:rPr>
                <w:rFonts w:ascii="Arial" w:hAnsi="Arial" w:cs="Arial"/>
                <w:sz w:val="22"/>
                <w:szCs w:val="22"/>
              </w:rPr>
            </w:pPr>
          </w:p>
          <w:p w14:paraId="5AC45F6B" w14:textId="77777777" w:rsidR="00B2294A" w:rsidRDefault="00B2294A" w:rsidP="00BA0B24">
            <w:pPr>
              <w:rPr>
                <w:rFonts w:ascii="Arial" w:hAnsi="Arial" w:cs="Arial"/>
                <w:sz w:val="22"/>
                <w:szCs w:val="22"/>
              </w:rPr>
            </w:pPr>
          </w:p>
          <w:p w14:paraId="3A8D73A6" w14:textId="77777777" w:rsidR="00B2294A" w:rsidRDefault="00B2294A" w:rsidP="00BA0B24">
            <w:pPr>
              <w:rPr>
                <w:rFonts w:ascii="Arial" w:hAnsi="Arial" w:cs="Arial"/>
                <w:sz w:val="22"/>
                <w:szCs w:val="22"/>
              </w:rPr>
            </w:pPr>
          </w:p>
          <w:p w14:paraId="6DA3EF8B" w14:textId="77777777" w:rsidR="002D0A54" w:rsidRDefault="002D0A54" w:rsidP="00BA0B24">
            <w:pPr>
              <w:rPr>
                <w:rFonts w:ascii="Arial" w:hAnsi="Arial" w:cs="Arial"/>
                <w:sz w:val="22"/>
                <w:szCs w:val="22"/>
              </w:rPr>
            </w:pPr>
          </w:p>
          <w:p w14:paraId="5F9A70BC" w14:textId="77777777" w:rsidR="00B2294A" w:rsidRDefault="00B2294A" w:rsidP="00BA0B24">
            <w:pPr>
              <w:rPr>
                <w:rFonts w:ascii="Arial" w:hAnsi="Arial" w:cs="Arial"/>
                <w:sz w:val="22"/>
                <w:szCs w:val="22"/>
              </w:rPr>
            </w:pPr>
            <w:r>
              <w:rPr>
                <w:rFonts w:ascii="Arial" w:hAnsi="Arial" w:cs="Arial"/>
                <w:sz w:val="22"/>
                <w:szCs w:val="22"/>
              </w:rPr>
              <w:t>OPTATIVAS</w:t>
            </w:r>
          </w:p>
          <w:p w14:paraId="42E3B670" w14:textId="77777777" w:rsidR="00B2294A" w:rsidRDefault="00B2294A" w:rsidP="00BA0B24">
            <w:pPr>
              <w:rPr>
                <w:rFonts w:ascii="Arial" w:hAnsi="Arial" w:cs="Arial"/>
                <w:sz w:val="22"/>
                <w:szCs w:val="22"/>
              </w:rPr>
            </w:pPr>
          </w:p>
          <w:p w14:paraId="34DAADDF" w14:textId="77777777" w:rsidR="00B2294A" w:rsidRDefault="00B2294A" w:rsidP="00BA0B24">
            <w:pPr>
              <w:rPr>
                <w:rFonts w:ascii="Arial" w:hAnsi="Arial" w:cs="Arial"/>
                <w:sz w:val="22"/>
                <w:szCs w:val="22"/>
              </w:rPr>
            </w:pPr>
            <w:r>
              <w:rPr>
                <w:rFonts w:ascii="Arial" w:hAnsi="Arial" w:cs="Arial"/>
                <w:sz w:val="22"/>
                <w:szCs w:val="22"/>
              </w:rPr>
              <w:t>-Agricultura biointensiva sostenible</w:t>
            </w:r>
          </w:p>
          <w:p w14:paraId="444D0CEB" w14:textId="77777777" w:rsidR="00B2294A" w:rsidRDefault="00B2294A" w:rsidP="00BA0B24">
            <w:pPr>
              <w:rPr>
                <w:rFonts w:ascii="Arial" w:hAnsi="Arial" w:cs="Arial"/>
                <w:sz w:val="22"/>
                <w:szCs w:val="22"/>
              </w:rPr>
            </w:pPr>
          </w:p>
          <w:p w14:paraId="5AF56318" w14:textId="77777777" w:rsidR="00B2294A" w:rsidRDefault="00B2294A" w:rsidP="00BA0B24">
            <w:pPr>
              <w:rPr>
                <w:rFonts w:ascii="Arial" w:hAnsi="Arial" w:cs="Arial"/>
                <w:sz w:val="22"/>
                <w:szCs w:val="22"/>
              </w:rPr>
            </w:pPr>
          </w:p>
          <w:p w14:paraId="12E773C0" w14:textId="77777777" w:rsidR="00B2294A" w:rsidRDefault="00B2294A" w:rsidP="00BA0B24">
            <w:pPr>
              <w:rPr>
                <w:rFonts w:ascii="Arial" w:hAnsi="Arial" w:cs="Arial"/>
                <w:sz w:val="22"/>
                <w:szCs w:val="22"/>
              </w:rPr>
            </w:pPr>
          </w:p>
          <w:p w14:paraId="54505308" w14:textId="77777777" w:rsidR="00B2294A" w:rsidRPr="007923C2" w:rsidRDefault="00B2294A" w:rsidP="00BA0B24">
            <w:pPr>
              <w:rPr>
                <w:rFonts w:ascii="Arial" w:hAnsi="Arial" w:cs="Arial"/>
                <w:sz w:val="22"/>
                <w:szCs w:val="22"/>
              </w:rPr>
            </w:pPr>
            <w:r>
              <w:rPr>
                <w:rFonts w:ascii="Arial" w:hAnsi="Arial" w:cs="Arial"/>
                <w:sz w:val="22"/>
                <w:szCs w:val="22"/>
              </w:rPr>
              <w:t>Agrostología</w:t>
            </w:r>
          </w:p>
        </w:tc>
        <w:tc>
          <w:tcPr>
            <w:tcW w:w="3533" w:type="dxa"/>
            <w:gridSpan w:val="2"/>
          </w:tcPr>
          <w:p w14:paraId="288E4248"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-Manejo del cultivo agrícola con técnicas alternativas sin dañar el medio ambiente.</w:t>
            </w:r>
          </w:p>
          <w:p w14:paraId="74919EF7" w14:textId="77777777" w:rsidR="00BA0B24" w:rsidRPr="007923C2" w:rsidRDefault="00BA0B24" w:rsidP="00BA0B24">
            <w:pPr>
              <w:rPr>
                <w:rFonts w:ascii="Arial" w:hAnsi="Arial" w:cs="Arial"/>
                <w:sz w:val="22"/>
                <w:szCs w:val="22"/>
              </w:rPr>
            </w:pPr>
          </w:p>
          <w:p w14:paraId="118C6FA1" w14:textId="77777777" w:rsidR="00BA0B24" w:rsidRPr="007923C2" w:rsidRDefault="00BA0B24" w:rsidP="00BA0B24">
            <w:pPr>
              <w:rPr>
                <w:rFonts w:ascii="Arial" w:hAnsi="Arial" w:cs="Arial"/>
                <w:sz w:val="22"/>
                <w:szCs w:val="22"/>
              </w:rPr>
            </w:pPr>
            <w:r w:rsidRPr="007923C2">
              <w:rPr>
                <w:rFonts w:ascii="Arial" w:hAnsi="Arial" w:cs="Arial"/>
                <w:sz w:val="22"/>
                <w:szCs w:val="22"/>
              </w:rPr>
              <w:t>-Conocimiento para logar un manejo integral agroecológico del agua.</w:t>
            </w:r>
          </w:p>
          <w:p w14:paraId="53A33DBE" w14:textId="77777777" w:rsidR="00BA0B24" w:rsidRPr="007923C2" w:rsidRDefault="00BA0B24" w:rsidP="00BA0B24">
            <w:pPr>
              <w:rPr>
                <w:rFonts w:ascii="Arial" w:hAnsi="Arial" w:cs="Arial"/>
                <w:sz w:val="22"/>
                <w:szCs w:val="22"/>
              </w:rPr>
            </w:pPr>
          </w:p>
          <w:p w14:paraId="38847C17" w14:textId="77777777" w:rsidR="00BA0B24" w:rsidRPr="007923C2" w:rsidRDefault="00BA0B24" w:rsidP="00BA0B24">
            <w:pPr>
              <w:rPr>
                <w:rFonts w:ascii="Arial" w:hAnsi="Arial" w:cs="Arial"/>
                <w:sz w:val="22"/>
                <w:szCs w:val="22"/>
              </w:rPr>
            </w:pPr>
            <w:r w:rsidRPr="007923C2">
              <w:rPr>
                <w:rFonts w:ascii="Arial" w:hAnsi="Arial" w:cs="Arial"/>
                <w:sz w:val="22"/>
                <w:szCs w:val="22"/>
              </w:rPr>
              <w:t>-Conocerá la forma de manejar sustratos orgánicos para recuperar y manejar suelos. Realizar abonado de suelos con sustratos orgánicos y utilizarlos en cultivos.</w:t>
            </w:r>
          </w:p>
          <w:p w14:paraId="4D993E92" w14:textId="77777777" w:rsidR="00BA0B24" w:rsidRPr="007923C2" w:rsidRDefault="00BA0B24" w:rsidP="00BA0B24">
            <w:pPr>
              <w:rPr>
                <w:rFonts w:ascii="Arial" w:hAnsi="Arial" w:cs="Arial"/>
                <w:sz w:val="22"/>
                <w:szCs w:val="22"/>
              </w:rPr>
            </w:pPr>
          </w:p>
          <w:p w14:paraId="0B023412" w14:textId="77777777" w:rsidR="00BA0B24" w:rsidRPr="007923C2" w:rsidRDefault="00BA0B24" w:rsidP="00BA0B24">
            <w:pPr>
              <w:rPr>
                <w:rFonts w:ascii="Arial" w:hAnsi="Arial" w:cs="Arial"/>
                <w:sz w:val="22"/>
                <w:szCs w:val="22"/>
              </w:rPr>
            </w:pPr>
            <w:r w:rsidRPr="007923C2">
              <w:rPr>
                <w:rFonts w:ascii="Arial" w:hAnsi="Arial" w:cs="Arial"/>
                <w:sz w:val="22"/>
                <w:szCs w:val="22"/>
              </w:rPr>
              <w:t>-Identificar las plagas que dañan a los cultivos con un manejo de técnicas integradas.</w:t>
            </w:r>
          </w:p>
          <w:p w14:paraId="6E943F86" w14:textId="77777777" w:rsidR="00BA0B24" w:rsidRPr="007923C2" w:rsidRDefault="00BA0B24" w:rsidP="00BA0B24">
            <w:pPr>
              <w:rPr>
                <w:rFonts w:ascii="Arial" w:hAnsi="Arial" w:cs="Arial"/>
                <w:sz w:val="22"/>
                <w:szCs w:val="22"/>
              </w:rPr>
            </w:pPr>
          </w:p>
          <w:p w14:paraId="4855DF3B" w14:textId="77777777" w:rsidR="00BA0B24" w:rsidRPr="007923C2" w:rsidRDefault="00BA0B24" w:rsidP="00BA0B24">
            <w:pPr>
              <w:rPr>
                <w:rFonts w:ascii="Arial" w:hAnsi="Arial" w:cs="Arial"/>
                <w:sz w:val="22"/>
                <w:szCs w:val="22"/>
              </w:rPr>
            </w:pPr>
            <w:r w:rsidRPr="007923C2">
              <w:rPr>
                <w:rFonts w:ascii="Arial" w:hAnsi="Arial" w:cs="Arial"/>
                <w:sz w:val="22"/>
                <w:szCs w:val="22"/>
              </w:rPr>
              <w:t>-Provee al alumno de los conocimientos necesarios para que sea capaz de diagnosticar, corregir y manejar problemas de fertilidad y nutrición vegetal dentro de los sistemas de producción agrícola.</w:t>
            </w:r>
          </w:p>
          <w:p w14:paraId="2161B579" w14:textId="77777777" w:rsidR="00BA0B24" w:rsidRPr="007923C2" w:rsidRDefault="00BA0B24" w:rsidP="00BA0B24">
            <w:pPr>
              <w:rPr>
                <w:rFonts w:ascii="Arial" w:hAnsi="Arial" w:cs="Arial"/>
                <w:sz w:val="22"/>
                <w:szCs w:val="22"/>
              </w:rPr>
            </w:pPr>
          </w:p>
          <w:p w14:paraId="3C7BB108" w14:textId="77777777" w:rsidR="00BA0B24" w:rsidRPr="007923C2" w:rsidRDefault="00BA0B24" w:rsidP="00BA0B24">
            <w:pPr>
              <w:rPr>
                <w:rFonts w:ascii="Arial" w:hAnsi="Arial" w:cs="Arial"/>
                <w:sz w:val="22"/>
                <w:szCs w:val="22"/>
              </w:rPr>
            </w:pPr>
            <w:r w:rsidRPr="007923C2">
              <w:rPr>
                <w:rFonts w:ascii="Arial" w:hAnsi="Arial" w:cs="Arial"/>
                <w:sz w:val="22"/>
                <w:szCs w:val="22"/>
              </w:rPr>
              <w:t>-Proporcionar al estudiante una visión panorámica de los sistemas de producción  agropecuarios con base en el cuidado y conservación del medio ambiente y los recursos naturales, así como en la filosofía de sustentabilidad de los procesos productivos.</w:t>
            </w:r>
          </w:p>
          <w:p w14:paraId="70436415" w14:textId="77777777" w:rsidR="00BA0B24" w:rsidRPr="007923C2" w:rsidRDefault="00BA0B24" w:rsidP="00BA0B24">
            <w:pPr>
              <w:rPr>
                <w:rFonts w:ascii="Arial" w:hAnsi="Arial" w:cs="Arial"/>
                <w:sz w:val="22"/>
                <w:szCs w:val="22"/>
              </w:rPr>
            </w:pPr>
          </w:p>
          <w:p w14:paraId="64637436" w14:textId="77777777" w:rsidR="00BA0B24" w:rsidRPr="007923C2" w:rsidRDefault="00BA0B24" w:rsidP="00BA0B24">
            <w:pPr>
              <w:rPr>
                <w:rFonts w:ascii="Arial" w:hAnsi="Arial" w:cs="Arial"/>
                <w:sz w:val="22"/>
                <w:szCs w:val="22"/>
              </w:rPr>
            </w:pPr>
            <w:r w:rsidRPr="007923C2">
              <w:rPr>
                <w:rFonts w:ascii="Arial" w:hAnsi="Arial" w:cs="Arial"/>
                <w:sz w:val="22"/>
                <w:szCs w:val="22"/>
              </w:rPr>
              <w:t>-Conocimiento de la problemática</w:t>
            </w:r>
            <w:r w:rsidR="00B2294A">
              <w:rPr>
                <w:rFonts w:ascii="Arial" w:hAnsi="Arial" w:cs="Arial"/>
                <w:sz w:val="22"/>
                <w:szCs w:val="22"/>
              </w:rPr>
              <w:t xml:space="preserve"> generada</w:t>
            </w:r>
            <w:r w:rsidRPr="007923C2">
              <w:rPr>
                <w:rFonts w:ascii="Arial" w:hAnsi="Arial" w:cs="Arial"/>
                <w:sz w:val="22"/>
                <w:szCs w:val="22"/>
              </w:rPr>
              <w:t xml:space="preserve"> en la producción agrícola industrial que conozca las bases de una producción agrícola alternativa.</w:t>
            </w:r>
          </w:p>
          <w:p w14:paraId="566E1BC0" w14:textId="77777777" w:rsidR="00BA0B24" w:rsidRPr="007923C2" w:rsidRDefault="00BA0B24" w:rsidP="00BA0B24">
            <w:pPr>
              <w:rPr>
                <w:rFonts w:ascii="Arial" w:hAnsi="Arial" w:cs="Arial"/>
                <w:sz w:val="22"/>
                <w:szCs w:val="22"/>
              </w:rPr>
            </w:pPr>
          </w:p>
          <w:p w14:paraId="592B7050"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-El alumno establecerá definiciones y semejanzas entre grupos, a través del conocimiento de las estructuras y características morfológicas de las espiguillas de una gramínea a nivel tribu, género y especies.</w:t>
            </w:r>
          </w:p>
        </w:tc>
      </w:tr>
      <w:tr w:rsidR="0049242B" w14:paraId="585791BE" w14:textId="77777777" w:rsidTr="0049242B">
        <w:trPr>
          <w:gridAfter w:val="1"/>
          <w:wAfter w:w="113" w:type="dxa"/>
        </w:trPr>
        <w:tc>
          <w:tcPr>
            <w:tcW w:w="1596" w:type="dxa"/>
            <w:gridSpan w:val="2"/>
          </w:tcPr>
          <w:p w14:paraId="0D3009DE" w14:textId="77777777" w:rsidR="0049242B" w:rsidRDefault="0049242B" w:rsidP="00492398">
            <w:r>
              <w:lastRenderedPageBreak/>
              <w:t>Bloque</w:t>
            </w:r>
          </w:p>
        </w:tc>
        <w:tc>
          <w:tcPr>
            <w:tcW w:w="1942" w:type="dxa"/>
            <w:gridSpan w:val="2"/>
          </w:tcPr>
          <w:p w14:paraId="06F75089" w14:textId="77777777" w:rsidR="0049242B" w:rsidRDefault="0049242B" w:rsidP="00492398">
            <w:r>
              <w:t>Objetivo del Bloque</w:t>
            </w:r>
          </w:p>
        </w:tc>
        <w:tc>
          <w:tcPr>
            <w:tcW w:w="2298" w:type="dxa"/>
            <w:gridSpan w:val="2"/>
          </w:tcPr>
          <w:p w14:paraId="58D944CD" w14:textId="77777777" w:rsidR="0049242B" w:rsidRDefault="0049242B" w:rsidP="00492398">
            <w:r>
              <w:t>Secuencia de Asignaturas</w:t>
            </w:r>
          </w:p>
        </w:tc>
        <w:tc>
          <w:tcPr>
            <w:tcW w:w="3628" w:type="dxa"/>
            <w:gridSpan w:val="2"/>
          </w:tcPr>
          <w:p w14:paraId="22314CAF" w14:textId="77777777" w:rsidR="0049242B" w:rsidRDefault="0049242B" w:rsidP="00492398">
            <w:r>
              <w:t>Orientación formativa de la Asignatura</w:t>
            </w:r>
          </w:p>
        </w:tc>
      </w:tr>
      <w:tr w:rsidR="0049242B" w14:paraId="66BA75BB" w14:textId="77777777" w:rsidTr="0049242B">
        <w:trPr>
          <w:gridAfter w:val="1"/>
          <w:wAfter w:w="113" w:type="dxa"/>
        </w:trPr>
        <w:tc>
          <w:tcPr>
            <w:tcW w:w="1596" w:type="dxa"/>
            <w:gridSpan w:val="2"/>
          </w:tcPr>
          <w:p w14:paraId="327EFA65" w14:textId="77777777" w:rsidR="0049242B" w:rsidRDefault="0049242B" w:rsidP="00492398"/>
        </w:tc>
        <w:tc>
          <w:tcPr>
            <w:tcW w:w="1942" w:type="dxa"/>
            <w:gridSpan w:val="2"/>
          </w:tcPr>
          <w:p w14:paraId="4C58BC66" w14:textId="77777777" w:rsidR="0049242B" w:rsidRDefault="0049242B" w:rsidP="00492398"/>
        </w:tc>
        <w:tc>
          <w:tcPr>
            <w:tcW w:w="2298" w:type="dxa"/>
            <w:gridSpan w:val="2"/>
          </w:tcPr>
          <w:p w14:paraId="03406861" w14:textId="72DA51C5" w:rsidR="0049242B" w:rsidRDefault="0049242B" w:rsidP="00492398"/>
          <w:p w14:paraId="58F1041D" w14:textId="77777777" w:rsidR="0049242B" w:rsidRDefault="0049242B" w:rsidP="00492398">
            <w:r>
              <w:t>-Ecología de plagas y enfermedades</w:t>
            </w:r>
          </w:p>
          <w:p w14:paraId="3137B331" w14:textId="77777777" w:rsidR="0049242B" w:rsidRDefault="0049242B" w:rsidP="00492398"/>
          <w:p w14:paraId="40E2236F" w14:textId="77777777" w:rsidR="0049242B" w:rsidRDefault="0049242B" w:rsidP="00492398"/>
          <w:p w14:paraId="3E7641D9" w14:textId="77777777" w:rsidR="0049242B" w:rsidRDefault="0049242B" w:rsidP="00492398"/>
          <w:p w14:paraId="59C90A95" w14:textId="77777777" w:rsidR="0049242B" w:rsidRDefault="0049242B" w:rsidP="00492398">
            <w:r>
              <w:t>-Ecología, producción y desarrollo campesino</w:t>
            </w:r>
          </w:p>
          <w:p w14:paraId="10A7CD6C" w14:textId="77777777" w:rsidR="0049242B" w:rsidRDefault="0049242B" w:rsidP="00492398"/>
          <w:p w14:paraId="1080732A" w14:textId="77777777" w:rsidR="0049242B" w:rsidRDefault="0049242B" w:rsidP="00492398"/>
          <w:p w14:paraId="2ACEDE50" w14:textId="77777777" w:rsidR="0049242B" w:rsidRDefault="0049242B" w:rsidP="00492398"/>
          <w:p w14:paraId="5D33648C" w14:textId="77777777" w:rsidR="0049242B" w:rsidRDefault="0049242B" w:rsidP="00492398"/>
          <w:p w14:paraId="17A545A0" w14:textId="77777777" w:rsidR="0049242B" w:rsidRDefault="0049242B" w:rsidP="00492398"/>
          <w:p w14:paraId="3A6CBAC8" w14:textId="77777777" w:rsidR="0049242B" w:rsidRDefault="0049242B" w:rsidP="00492398">
            <w:r>
              <w:t>-Economía de las unidades de producción</w:t>
            </w:r>
          </w:p>
          <w:p w14:paraId="78465236" w14:textId="77777777" w:rsidR="0049242B" w:rsidRDefault="0049242B" w:rsidP="00492398"/>
          <w:p w14:paraId="3CCCCD5D" w14:textId="77777777" w:rsidR="0049242B" w:rsidRDefault="0049242B" w:rsidP="00492398"/>
          <w:p w14:paraId="17EF4A6B" w14:textId="77777777" w:rsidR="0049242B" w:rsidRDefault="0049242B" w:rsidP="00492398"/>
          <w:p w14:paraId="5206B859" w14:textId="77777777" w:rsidR="0049242B" w:rsidRDefault="0049242B" w:rsidP="00492398"/>
          <w:p w14:paraId="3C7FDA31" w14:textId="77777777" w:rsidR="00F02F7D" w:rsidRDefault="00F02F7D" w:rsidP="00492398"/>
          <w:p w14:paraId="66DB0120" w14:textId="77777777" w:rsidR="0049242B" w:rsidRDefault="0049242B" w:rsidP="00492398">
            <w:r>
              <w:t>-Ecología y desarrollo sostenible</w:t>
            </w:r>
          </w:p>
          <w:p w14:paraId="7AC71DCF" w14:textId="77777777" w:rsidR="0049242B" w:rsidRDefault="0049242B" w:rsidP="00492398"/>
          <w:p w14:paraId="43CF91B3" w14:textId="77777777" w:rsidR="0049242B" w:rsidRDefault="0049242B" w:rsidP="00492398"/>
          <w:p w14:paraId="0D15517A" w14:textId="77777777" w:rsidR="0049242B" w:rsidRDefault="0049242B" w:rsidP="00492398"/>
          <w:p w14:paraId="05E379CF" w14:textId="77777777" w:rsidR="0049242B" w:rsidRDefault="0049242B" w:rsidP="00492398"/>
          <w:p w14:paraId="4E64563A" w14:textId="77777777" w:rsidR="0049242B" w:rsidRDefault="0049242B" w:rsidP="00492398">
            <w:r>
              <w:t>-Plantas medicinales y aromáticas</w:t>
            </w:r>
          </w:p>
          <w:p w14:paraId="7A4CC59D" w14:textId="77777777" w:rsidR="0049242B" w:rsidRDefault="0049242B" w:rsidP="00492398"/>
          <w:p w14:paraId="6E460102" w14:textId="77777777" w:rsidR="0049242B" w:rsidRDefault="0049242B" w:rsidP="00492398"/>
          <w:p w14:paraId="0EA19600" w14:textId="77777777" w:rsidR="0049242B" w:rsidRDefault="0049242B" w:rsidP="00492398"/>
          <w:p w14:paraId="6804439B" w14:textId="77777777" w:rsidR="0049242B" w:rsidRDefault="0049242B" w:rsidP="00492398"/>
          <w:p w14:paraId="06A287B3" w14:textId="77777777" w:rsidR="0049242B" w:rsidRDefault="0049242B" w:rsidP="00492398"/>
          <w:p w14:paraId="243C9135" w14:textId="77777777" w:rsidR="0049242B" w:rsidRDefault="0049242B" w:rsidP="00492398">
            <w:r>
              <w:t>-Producción de hongos comestibles</w:t>
            </w:r>
          </w:p>
          <w:p w14:paraId="429B540D" w14:textId="77777777" w:rsidR="0049242B" w:rsidRDefault="0049242B" w:rsidP="00492398"/>
          <w:p w14:paraId="5BF46098" w14:textId="77777777" w:rsidR="0049242B" w:rsidRDefault="0049242B" w:rsidP="00492398"/>
          <w:p w14:paraId="492A9A4F" w14:textId="77777777" w:rsidR="0049242B" w:rsidRDefault="0049242B" w:rsidP="00492398"/>
          <w:p w14:paraId="026EA28B" w14:textId="77777777" w:rsidR="0049242B" w:rsidRDefault="0049242B" w:rsidP="00492398">
            <w:r>
              <w:t>-Sistemas tradicionales de producción</w:t>
            </w:r>
          </w:p>
          <w:p w14:paraId="695E59CD" w14:textId="77777777" w:rsidR="0049242B" w:rsidRDefault="0049242B" w:rsidP="00492398"/>
          <w:p w14:paraId="63A80D3A" w14:textId="77777777" w:rsidR="0049242B" w:rsidRDefault="0049242B" w:rsidP="00492398"/>
          <w:p w14:paraId="41104F4C" w14:textId="77777777" w:rsidR="0049242B" w:rsidRDefault="0049242B" w:rsidP="00492398"/>
          <w:p w14:paraId="29BEFFA9" w14:textId="77777777" w:rsidR="0049242B" w:rsidRDefault="0049242B" w:rsidP="00492398">
            <w:r>
              <w:t>-Productividad Agroecológica</w:t>
            </w:r>
          </w:p>
          <w:p w14:paraId="1F62C333" w14:textId="77777777" w:rsidR="0049242B" w:rsidRDefault="0049242B" w:rsidP="00492398"/>
        </w:tc>
        <w:tc>
          <w:tcPr>
            <w:tcW w:w="3628" w:type="dxa"/>
            <w:gridSpan w:val="2"/>
          </w:tcPr>
          <w:p w14:paraId="2AE735F9" w14:textId="77777777" w:rsidR="0049242B" w:rsidRDefault="0049242B" w:rsidP="00492398"/>
          <w:p w14:paraId="030E5F03" w14:textId="77777777" w:rsidR="0049242B" w:rsidRDefault="0049242B" w:rsidP="00492398">
            <w:r>
              <w:t>-Conocer los principios ecológicos que explican la presencia de insectos y microorganismos, plagas en los agroecosistemas.</w:t>
            </w:r>
          </w:p>
          <w:p w14:paraId="595FA97D" w14:textId="77777777" w:rsidR="0049242B" w:rsidRDefault="0049242B" w:rsidP="00492398"/>
          <w:p w14:paraId="45F6117B" w14:textId="77777777" w:rsidR="0049242B" w:rsidRDefault="0049242B" w:rsidP="00492398">
            <w:r>
              <w:t>-que el alumno conozca acerca de las capacidades ecológicas y socioculturales de los ambientes y los procesos tecnológicos en cada área socioecográfica productiva y/o de trabajo.</w:t>
            </w:r>
          </w:p>
          <w:p w14:paraId="0C0969D6" w14:textId="77777777" w:rsidR="0049242B" w:rsidRDefault="0049242B" w:rsidP="00492398"/>
          <w:p w14:paraId="602DFB86" w14:textId="77777777" w:rsidR="0049242B" w:rsidRDefault="0049242B" w:rsidP="00492398">
            <w:r>
              <w:t>-Comprenderá los diversos tipos de unidades de producción agropecuaria, a partir de la composición de conceptos y categorías de la ciencia económica y social.</w:t>
            </w:r>
          </w:p>
          <w:p w14:paraId="5F173A24" w14:textId="77777777" w:rsidR="0049242B" w:rsidRDefault="0049242B" w:rsidP="00492398"/>
          <w:p w14:paraId="191E5797" w14:textId="77777777" w:rsidR="0049242B" w:rsidRDefault="0049242B" w:rsidP="00492398">
            <w:r>
              <w:t>-Comprender las relaciones que se dan entre la ecología y la economía como medida de producción. Causas de las crisis sociales, económicas y ambientales que se han venido dando.</w:t>
            </w:r>
          </w:p>
          <w:p w14:paraId="3C12ED89" w14:textId="77777777" w:rsidR="0049242B" w:rsidRDefault="0049242B" w:rsidP="00492398"/>
          <w:p w14:paraId="3D2F64A8" w14:textId="77777777" w:rsidR="0049242B" w:rsidRDefault="0049242B" w:rsidP="00492398">
            <w:r>
              <w:t>Comprenderá la importancia de la producción, establecimiento y aprovechamiento de las plantas medicinales, aromáticas, condimentarias e insecticidas para poder utilizarlas.</w:t>
            </w:r>
          </w:p>
          <w:p w14:paraId="5E354A3C" w14:textId="77777777" w:rsidR="0049242B" w:rsidRDefault="0049242B" w:rsidP="00492398"/>
          <w:p w14:paraId="3D6DCB65" w14:textId="77777777" w:rsidR="0049242B" w:rsidRDefault="0049242B" w:rsidP="00492398">
            <w:r>
              <w:t>El alumno conocerá el grupo de hongos setas como un grupo comestible y desarrollará procesos para su producción.</w:t>
            </w:r>
          </w:p>
          <w:p w14:paraId="3820B53D" w14:textId="77777777" w:rsidR="0049242B" w:rsidRDefault="0049242B" w:rsidP="00492398"/>
          <w:p w14:paraId="59D5ACF1" w14:textId="77777777" w:rsidR="0049242B" w:rsidRDefault="0049242B" w:rsidP="00492398">
            <w:r>
              <w:t>-Diagnosticar la evolución de los diversos sistemas de producción, limitaciones y efectos de la tecnología de vanguardia.</w:t>
            </w:r>
          </w:p>
          <w:p w14:paraId="755873D6" w14:textId="77777777" w:rsidR="0049242B" w:rsidRDefault="0049242B" w:rsidP="00492398"/>
          <w:p w14:paraId="5D60D439" w14:textId="77777777" w:rsidR="0049242B" w:rsidRDefault="0049242B" w:rsidP="00492398">
            <w:r>
              <w:t>-Proporcionar al estudiante los mecanismos básicos mediante los cuales funciona un ecosistema y un</w:t>
            </w:r>
          </w:p>
        </w:tc>
      </w:tr>
      <w:tr w:rsidR="0049242B" w14:paraId="3E2B8E39" w14:textId="77777777" w:rsidTr="0049242B">
        <w:trPr>
          <w:gridAfter w:val="1"/>
          <w:wAfter w:w="113" w:type="dxa"/>
        </w:trPr>
        <w:tc>
          <w:tcPr>
            <w:tcW w:w="1596" w:type="dxa"/>
            <w:gridSpan w:val="2"/>
          </w:tcPr>
          <w:p w14:paraId="1A437DC6" w14:textId="77777777" w:rsidR="0049242B" w:rsidRDefault="0049242B" w:rsidP="00492398">
            <w:r>
              <w:lastRenderedPageBreak/>
              <w:t>Bloque</w:t>
            </w:r>
          </w:p>
        </w:tc>
        <w:tc>
          <w:tcPr>
            <w:tcW w:w="1942" w:type="dxa"/>
            <w:gridSpan w:val="2"/>
          </w:tcPr>
          <w:p w14:paraId="2A3CCB8E" w14:textId="77777777" w:rsidR="0049242B" w:rsidRDefault="0049242B" w:rsidP="00492398">
            <w:r>
              <w:t>Objetivo del Bloque</w:t>
            </w:r>
          </w:p>
        </w:tc>
        <w:tc>
          <w:tcPr>
            <w:tcW w:w="2298" w:type="dxa"/>
            <w:gridSpan w:val="2"/>
          </w:tcPr>
          <w:p w14:paraId="7959CA05" w14:textId="77777777" w:rsidR="0049242B" w:rsidRDefault="0049242B" w:rsidP="00492398">
            <w:r>
              <w:t>Secuencia de Asignaturas</w:t>
            </w:r>
          </w:p>
        </w:tc>
        <w:tc>
          <w:tcPr>
            <w:tcW w:w="3628" w:type="dxa"/>
            <w:gridSpan w:val="2"/>
          </w:tcPr>
          <w:p w14:paraId="04A80DF1" w14:textId="77777777" w:rsidR="0049242B" w:rsidRDefault="0049242B" w:rsidP="00492398">
            <w:r>
              <w:t>Orientación formativa de la Asignatura</w:t>
            </w:r>
          </w:p>
        </w:tc>
      </w:tr>
      <w:tr w:rsidR="0049242B" w14:paraId="069DFC5B" w14:textId="77777777" w:rsidTr="0049242B">
        <w:trPr>
          <w:gridAfter w:val="1"/>
          <w:wAfter w:w="113" w:type="dxa"/>
        </w:trPr>
        <w:tc>
          <w:tcPr>
            <w:tcW w:w="1596" w:type="dxa"/>
            <w:gridSpan w:val="2"/>
          </w:tcPr>
          <w:p w14:paraId="27FBF8F9" w14:textId="77777777" w:rsidR="0049242B" w:rsidRDefault="0049242B" w:rsidP="00492398"/>
        </w:tc>
        <w:tc>
          <w:tcPr>
            <w:tcW w:w="1942" w:type="dxa"/>
            <w:gridSpan w:val="2"/>
          </w:tcPr>
          <w:p w14:paraId="088B4140" w14:textId="77777777" w:rsidR="0049242B" w:rsidRDefault="0049242B" w:rsidP="00492398"/>
        </w:tc>
        <w:tc>
          <w:tcPr>
            <w:tcW w:w="2298" w:type="dxa"/>
            <w:gridSpan w:val="2"/>
          </w:tcPr>
          <w:p w14:paraId="6152F117" w14:textId="77777777" w:rsidR="0049242B" w:rsidRDefault="0049242B" w:rsidP="00492398"/>
          <w:p w14:paraId="45F7EC14" w14:textId="77777777" w:rsidR="0049242B" w:rsidRDefault="0049242B" w:rsidP="00492398"/>
          <w:p w14:paraId="5328843F" w14:textId="77777777" w:rsidR="0049242B" w:rsidRDefault="0049242B" w:rsidP="00492398"/>
          <w:p w14:paraId="54663B94" w14:textId="77777777" w:rsidR="0049242B" w:rsidRDefault="0049242B" w:rsidP="00492398"/>
          <w:p w14:paraId="40FE31AE" w14:textId="77777777" w:rsidR="008A7A32" w:rsidRDefault="008A7A32" w:rsidP="00492398"/>
          <w:p w14:paraId="71087CAC" w14:textId="77777777" w:rsidR="0049242B" w:rsidRDefault="0049242B" w:rsidP="00492398">
            <w:r>
              <w:t>-Producción en invernaderos</w:t>
            </w:r>
          </w:p>
          <w:p w14:paraId="6DA3BF81" w14:textId="77777777" w:rsidR="0049242B" w:rsidRDefault="0049242B" w:rsidP="00492398"/>
          <w:p w14:paraId="3DF69CCB" w14:textId="77777777" w:rsidR="0049242B" w:rsidRDefault="0049242B" w:rsidP="00492398"/>
          <w:p w14:paraId="38E9E4FF" w14:textId="77777777" w:rsidR="0049242B" w:rsidRDefault="0049242B" w:rsidP="00492398"/>
          <w:p w14:paraId="0002EEE5" w14:textId="77777777" w:rsidR="0049242B" w:rsidRDefault="0049242B" w:rsidP="00492398"/>
          <w:p w14:paraId="34098178" w14:textId="77777777" w:rsidR="0049242B" w:rsidRDefault="0049242B" w:rsidP="00492398">
            <w:r>
              <w:t>-Topografía general</w:t>
            </w:r>
          </w:p>
          <w:p w14:paraId="6BB89C00" w14:textId="77777777" w:rsidR="0049242B" w:rsidRDefault="0049242B" w:rsidP="00492398"/>
          <w:p w14:paraId="244590B5" w14:textId="77777777" w:rsidR="0049242B" w:rsidRDefault="0049242B" w:rsidP="00492398"/>
          <w:p w14:paraId="1BCD2807" w14:textId="77777777" w:rsidR="0049242B" w:rsidRDefault="0049242B" w:rsidP="00492398"/>
          <w:p w14:paraId="288557D5" w14:textId="77777777" w:rsidR="0049242B" w:rsidRDefault="0049242B" w:rsidP="00492398"/>
          <w:p w14:paraId="1E873E34" w14:textId="77777777" w:rsidR="0049242B" w:rsidRDefault="0049242B" w:rsidP="00492398"/>
          <w:p w14:paraId="456A10BB" w14:textId="77777777" w:rsidR="0049242B" w:rsidRDefault="0049242B" w:rsidP="00492398">
            <w:r>
              <w:t>-Fisiotecnica de cultivos hortícolas</w:t>
            </w:r>
          </w:p>
          <w:p w14:paraId="1110A67C" w14:textId="77777777" w:rsidR="0049242B" w:rsidRDefault="0049242B" w:rsidP="00492398"/>
          <w:p w14:paraId="46CFA0A3" w14:textId="77777777" w:rsidR="0049242B" w:rsidRDefault="0049242B" w:rsidP="00492398"/>
          <w:p w14:paraId="265272E5" w14:textId="77777777" w:rsidR="0049242B" w:rsidRDefault="0049242B" w:rsidP="00492398"/>
          <w:p w14:paraId="440E8153" w14:textId="77777777" w:rsidR="0049242B" w:rsidRDefault="0049242B" w:rsidP="00492398"/>
          <w:p w14:paraId="7B842796" w14:textId="77777777" w:rsidR="0049242B" w:rsidRDefault="0049242B" w:rsidP="00492398">
            <w:r>
              <w:t>-Olericultura</w:t>
            </w:r>
          </w:p>
          <w:p w14:paraId="17EFAEEA" w14:textId="77777777" w:rsidR="0049242B" w:rsidRDefault="0049242B" w:rsidP="00492398"/>
          <w:p w14:paraId="6115FF94" w14:textId="77777777" w:rsidR="0049242B" w:rsidRDefault="0049242B" w:rsidP="00492398"/>
          <w:p w14:paraId="23FAAFED" w14:textId="77777777" w:rsidR="0049242B" w:rsidRDefault="0049242B" w:rsidP="00492398"/>
          <w:p w14:paraId="633BE4CC" w14:textId="77777777" w:rsidR="0049242B" w:rsidRDefault="0049242B" w:rsidP="00492398"/>
          <w:p w14:paraId="0BC54DD0" w14:textId="77777777" w:rsidR="0049242B" w:rsidRDefault="0049242B" w:rsidP="00492398">
            <w:r>
              <w:t>-Producción de cultivos básicos</w:t>
            </w:r>
          </w:p>
          <w:p w14:paraId="2B46E707" w14:textId="77777777" w:rsidR="0049242B" w:rsidRDefault="0049242B" w:rsidP="00492398"/>
          <w:p w14:paraId="5A19AF70" w14:textId="77777777" w:rsidR="0049242B" w:rsidRDefault="0049242B" w:rsidP="00492398"/>
          <w:p w14:paraId="266C48DC" w14:textId="77777777" w:rsidR="0049242B" w:rsidRDefault="0049242B" w:rsidP="00492398"/>
          <w:p w14:paraId="2333EC5A" w14:textId="77777777" w:rsidR="0049242B" w:rsidRDefault="0049242B" w:rsidP="00492398"/>
          <w:p w14:paraId="19FEF6AA" w14:textId="77777777" w:rsidR="0049242B" w:rsidRDefault="0049242B" w:rsidP="00492398"/>
          <w:p w14:paraId="6549938C" w14:textId="77777777" w:rsidR="0049242B" w:rsidRDefault="0049242B" w:rsidP="00492398">
            <w:r>
              <w:t>-Principios de producción</w:t>
            </w:r>
          </w:p>
          <w:p w14:paraId="52AE601D" w14:textId="77777777" w:rsidR="0049242B" w:rsidRDefault="0049242B" w:rsidP="00492398"/>
          <w:p w14:paraId="06AA14DA" w14:textId="77777777" w:rsidR="0049242B" w:rsidRDefault="0049242B" w:rsidP="00492398"/>
          <w:p w14:paraId="45EE9A47" w14:textId="77777777" w:rsidR="0049242B" w:rsidRDefault="0049242B" w:rsidP="00492398"/>
          <w:p w14:paraId="6DA180A3" w14:textId="77777777" w:rsidR="0049242B" w:rsidRDefault="0049242B" w:rsidP="00492398"/>
          <w:p w14:paraId="67D0EE2A" w14:textId="4A1AB9F0" w:rsidR="0049242B" w:rsidRDefault="0049242B" w:rsidP="00492398">
            <w:r>
              <w:lastRenderedPageBreak/>
              <w:t>-Cultivo e</w:t>
            </w:r>
            <w:r w:rsidR="003706B0">
              <w:t>n</w:t>
            </w:r>
            <w:r>
              <w:t xml:space="preserve"> invernaderos rústicos</w:t>
            </w:r>
          </w:p>
          <w:p w14:paraId="554DB253" w14:textId="77777777" w:rsidR="0049242B" w:rsidRDefault="0049242B" w:rsidP="00492398"/>
          <w:p w14:paraId="20BEF7AA" w14:textId="77777777" w:rsidR="0049242B" w:rsidRDefault="0049242B" w:rsidP="00492398"/>
        </w:tc>
        <w:tc>
          <w:tcPr>
            <w:tcW w:w="3628" w:type="dxa"/>
            <w:gridSpan w:val="2"/>
          </w:tcPr>
          <w:p w14:paraId="5930029B" w14:textId="661B50F8" w:rsidR="0049242B" w:rsidRDefault="0049242B" w:rsidP="00492398">
            <w:r>
              <w:lastRenderedPageBreak/>
              <w:t xml:space="preserve">Agroecosistema para buscar una función integral de la producción agrícola que favorezca un </w:t>
            </w:r>
            <w:r w:rsidR="008A7A32">
              <w:t>desarrollo sostenible.</w:t>
            </w:r>
          </w:p>
          <w:p w14:paraId="21E0E9F3" w14:textId="77777777" w:rsidR="0049242B" w:rsidRDefault="0049242B" w:rsidP="00492398"/>
          <w:p w14:paraId="4C7BC97F" w14:textId="487D9CBE" w:rsidR="0049242B" w:rsidRDefault="0049242B" w:rsidP="00492398">
            <w:r>
              <w:t xml:space="preserve">-Que el alumno conozca y comprenda los aspectos necesarios para el manejo de invernaderos para </w:t>
            </w:r>
            <w:r w:rsidR="008A7A32">
              <w:t>su constru</w:t>
            </w:r>
            <w:r>
              <w:t>cción</w:t>
            </w:r>
            <w:r w:rsidR="008A7A32">
              <w:t xml:space="preserve"> y</w:t>
            </w:r>
            <w:r>
              <w:t xml:space="preserve"> manejo de cultivos que se producen bajo condiciones </w:t>
            </w:r>
            <w:r w:rsidR="008A7A32">
              <w:t>controladas</w:t>
            </w:r>
            <w:r>
              <w:t>.</w:t>
            </w:r>
          </w:p>
          <w:p w14:paraId="43EDEC25" w14:textId="77777777" w:rsidR="0049242B" w:rsidRDefault="0049242B" w:rsidP="00492398"/>
          <w:p w14:paraId="19892D92" w14:textId="77777777" w:rsidR="0049242B" w:rsidRDefault="0049242B" w:rsidP="00492398">
            <w:r>
              <w:t>-Capacitar al alumno sobre los conocimientos de la planimetría y aprender el uso y manejo de los diversos instrumentos topográficos y obtener su presentación gráfica.</w:t>
            </w:r>
          </w:p>
          <w:p w14:paraId="3EA6039E" w14:textId="77777777" w:rsidR="0049242B" w:rsidRDefault="0049242B" w:rsidP="00492398"/>
          <w:p w14:paraId="01E5AC7A" w14:textId="77777777" w:rsidR="0049242B" w:rsidRDefault="0049242B" w:rsidP="00492398">
            <w:r>
              <w:t>-El alumno aplicará los procesos fisiológicos de las plantas en técnicas de cultivo hortícola para detectar las deficiencias que presentan en la producción.</w:t>
            </w:r>
          </w:p>
          <w:p w14:paraId="63168342" w14:textId="77777777" w:rsidR="0049242B" w:rsidRDefault="0049242B" w:rsidP="00492398"/>
          <w:p w14:paraId="71B66AFE" w14:textId="77777777" w:rsidR="0049242B" w:rsidRDefault="0049242B" w:rsidP="00492398">
            <w:r>
              <w:t>El alumno adquirirá las destrezas que le permitirán producir hortalizas durante todo el año de acuerdo al clima de cada región.</w:t>
            </w:r>
          </w:p>
          <w:p w14:paraId="7E339851" w14:textId="77777777" w:rsidR="0049242B" w:rsidRDefault="0049242B" w:rsidP="00492398"/>
          <w:p w14:paraId="1C6759FB" w14:textId="77777777" w:rsidR="0049242B" w:rsidRDefault="0049242B" w:rsidP="00492398">
            <w:r>
              <w:t>-Proporcionar al estudiante los elementos esenciales de los cultivos alimenticios para el hombre, para contar con la información necesaria de como produce, donde se produce y para que se produce y aplicación.</w:t>
            </w:r>
          </w:p>
          <w:p w14:paraId="43F3C415" w14:textId="77777777" w:rsidR="0049242B" w:rsidRDefault="0049242B" w:rsidP="00492398"/>
          <w:p w14:paraId="79B6218F" w14:textId="77777777" w:rsidR="0049242B" w:rsidRDefault="0049242B" w:rsidP="00492398">
            <w:r>
              <w:t>-Capacitar al estudiante en la producción y procesamiento de cultivos poniendo énfasis en la productividad, calidad de cosecha y de productos finales.</w:t>
            </w:r>
          </w:p>
          <w:p w14:paraId="5B32532C" w14:textId="77777777" w:rsidR="0049242B" w:rsidRDefault="0049242B" w:rsidP="00492398"/>
          <w:p w14:paraId="34ADB24D" w14:textId="77777777" w:rsidR="0049242B" w:rsidRDefault="0049242B" w:rsidP="00492398">
            <w:r>
              <w:lastRenderedPageBreak/>
              <w:t>-El alumno construirá invernaderos rústicos como una manera de ahorrar materiales de construcción para producir cultivos orgánicos.</w:t>
            </w:r>
          </w:p>
        </w:tc>
      </w:tr>
    </w:tbl>
    <w:p w14:paraId="75E6F45D" w14:textId="77777777" w:rsidR="0049242B" w:rsidRDefault="0049242B" w:rsidP="0049242B"/>
    <w:tbl>
      <w:tblPr>
        <w:tblStyle w:val="Tablaconcuadrcula"/>
        <w:tblW w:w="9464" w:type="dxa"/>
        <w:tblLook w:val="04A0" w:firstRow="1" w:lastRow="0" w:firstColumn="1" w:lastColumn="0" w:noHBand="0" w:noVBand="1"/>
      </w:tblPr>
      <w:tblGrid>
        <w:gridCol w:w="1596"/>
        <w:gridCol w:w="1942"/>
        <w:gridCol w:w="2298"/>
        <w:gridCol w:w="3628"/>
      </w:tblGrid>
      <w:tr w:rsidR="0049242B" w14:paraId="23A87D92" w14:textId="77777777" w:rsidTr="00492398">
        <w:tc>
          <w:tcPr>
            <w:tcW w:w="1596" w:type="dxa"/>
          </w:tcPr>
          <w:p w14:paraId="383994AA" w14:textId="77777777" w:rsidR="0049242B" w:rsidRDefault="0049242B" w:rsidP="00492398">
            <w:r>
              <w:t>Bloque</w:t>
            </w:r>
          </w:p>
        </w:tc>
        <w:tc>
          <w:tcPr>
            <w:tcW w:w="1942" w:type="dxa"/>
          </w:tcPr>
          <w:p w14:paraId="1409016C" w14:textId="77777777" w:rsidR="0049242B" w:rsidRDefault="0049242B" w:rsidP="00492398">
            <w:r>
              <w:t>Objetivo del Bloque</w:t>
            </w:r>
          </w:p>
        </w:tc>
        <w:tc>
          <w:tcPr>
            <w:tcW w:w="2298" w:type="dxa"/>
          </w:tcPr>
          <w:p w14:paraId="38884089" w14:textId="77777777" w:rsidR="0049242B" w:rsidRDefault="0049242B" w:rsidP="00492398">
            <w:r>
              <w:t>Secuencia de Asignaturas</w:t>
            </w:r>
          </w:p>
        </w:tc>
        <w:tc>
          <w:tcPr>
            <w:tcW w:w="3628" w:type="dxa"/>
          </w:tcPr>
          <w:p w14:paraId="5E20995D" w14:textId="77777777" w:rsidR="0049242B" w:rsidRDefault="0049242B" w:rsidP="00492398">
            <w:r>
              <w:t>Orientación formativa de la Asignatura</w:t>
            </w:r>
          </w:p>
        </w:tc>
      </w:tr>
      <w:tr w:rsidR="0049242B" w14:paraId="5D43016A" w14:textId="77777777" w:rsidTr="00492398">
        <w:tc>
          <w:tcPr>
            <w:tcW w:w="1596" w:type="dxa"/>
          </w:tcPr>
          <w:p w14:paraId="11E61C63" w14:textId="77777777" w:rsidR="0049242B" w:rsidRDefault="0049242B" w:rsidP="00492398">
            <w:r>
              <w:t>Ecología y contaminación ambiental</w:t>
            </w:r>
          </w:p>
        </w:tc>
        <w:tc>
          <w:tcPr>
            <w:tcW w:w="1942" w:type="dxa"/>
          </w:tcPr>
          <w:p w14:paraId="43DBCD58" w14:textId="77777777" w:rsidR="0049242B" w:rsidRDefault="0049242B" w:rsidP="00492398">
            <w:r>
              <w:t>El objetivo es el conocimientos de los principios ecológicos que rigen el funcionamiento de los ecosistemas y el impacto de las actividades del hombre a través de los sistemas de producción, industrial, agrícola y actividades domésticas, además de la restauración de los ecosistemas dañados.</w:t>
            </w:r>
          </w:p>
        </w:tc>
        <w:tc>
          <w:tcPr>
            <w:tcW w:w="2298" w:type="dxa"/>
          </w:tcPr>
          <w:p w14:paraId="62617877" w14:textId="77777777" w:rsidR="0049242B" w:rsidRDefault="0049242B" w:rsidP="00492398">
            <w:r>
              <w:t>-Biodiversidad</w:t>
            </w:r>
          </w:p>
          <w:p w14:paraId="505762B8" w14:textId="77777777" w:rsidR="0049242B" w:rsidRDefault="0049242B" w:rsidP="00492398"/>
          <w:p w14:paraId="4372FF7D" w14:textId="77777777" w:rsidR="0049242B" w:rsidRDefault="0049242B" w:rsidP="00492398"/>
          <w:p w14:paraId="2DC045AA" w14:textId="680D1FFD" w:rsidR="0049242B" w:rsidRDefault="0049242B" w:rsidP="00492398">
            <w:r>
              <w:t xml:space="preserve">-Evaluación de ecosistemas </w:t>
            </w:r>
          </w:p>
          <w:p w14:paraId="5A911F66" w14:textId="77777777" w:rsidR="001C42B7" w:rsidRDefault="001C42B7" w:rsidP="00492398"/>
          <w:p w14:paraId="443D49C6" w14:textId="77777777" w:rsidR="0049242B" w:rsidRDefault="0049242B" w:rsidP="00492398"/>
          <w:p w14:paraId="7E44018D" w14:textId="77777777" w:rsidR="0049242B" w:rsidRDefault="0049242B" w:rsidP="00492398"/>
          <w:p w14:paraId="11FC6926" w14:textId="77777777" w:rsidR="0049242B" w:rsidRDefault="0049242B" w:rsidP="00492398"/>
          <w:p w14:paraId="1B5A9213" w14:textId="392C3C2A" w:rsidR="0049242B" w:rsidRDefault="003706B0" w:rsidP="00492398">
            <w:r>
              <w:t xml:space="preserve">Evaluación  </w:t>
            </w:r>
            <w:r w:rsidR="001C42B7">
              <w:t>de impacto ambiental</w:t>
            </w:r>
          </w:p>
          <w:p w14:paraId="7CA2B060" w14:textId="77777777" w:rsidR="0049242B" w:rsidRDefault="0049242B" w:rsidP="00492398"/>
          <w:p w14:paraId="08554C0A" w14:textId="77777777" w:rsidR="0049242B" w:rsidRDefault="0049242B" w:rsidP="00492398"/>
          <w:p w14:paraId="4B52C42B" w14:textId="77777777" w:rsidR="0049242B" w:rsidRDefault="0049242B" w:rsidP="00492398"/>
          <w:p w14:paraId="413C89BA" w14:textId="77777777" w:rsidR="0049242B" w:rsidRDefault="0049242B" w:rsidP="00492398"/>
          <w:p w14:paraId="4A7C71D2" w14:textId="77777777" w:rsidR="0049242B" w:rsidRDefault="0049242B" w:rsidP="00492398"/>
          <w:p w14:paraId="2327698C" w14:textId="77777777" w:rsidR="0049242B" w:rsidRDefault="0049242B" w:rsidP="00492398"/>
          <w:p w14:paraId="3A08D4AF" w14:textId="77777777" w:rsidR="0049242B" w:rsidRDefault="0049242B" w:rsidP="00492398">
            <w:r>
              <w:t>-Biología de las zonas áridas</w:t>
            </w:r>
          </w:p>
          <w:p w14:paraId="7FD41995" w14:textId="77777777" w:rsidR="0049242B" w:rsidRDefault="0049242B" w:rsidP="00492398"/>
          <w:p w14:paraId="06E66B6F" w14:textId="77777777" w:rsidR="0049242B" w:rsidRDefault="0049242B" w:rsidP="00492398"/>
          <w:p w14:paraId="50B43001" w14:textId="77777777" w:rsidR="0049242B" w:rsidRDefault="0049242B" w:rsidP="00492398"/>
          <w:p w14:paraId="2BA2766C" w14:textId="77777777" w:rsidR="0049242B" w:rsidRDefault="0049242B" w:rsidP="00492398">
            <w:r>
              <w:t>-Manejo y conservación de recursos bióticos</w:t>
            </w:r>
          </w:p>
          <w:p w14:paraId="12A5E1D5" w14:textId="77777777" w:rsidR="0049242B" w:rsidRDefault="0049242B" w:rsidP="00492398"/>
          <w:p w14:paraId="00D55EA2" w14:textId="77777777" w:rsidR="0049242B" w:rsidRDefault="0049242B" w:rsidP="00492398"/>
          <w:p w14:paraId="0D709910" w14:textId="77777777" w:rsidR="003706B0" w:rsidRDefault="003706B0" w:rsidP="00492398"/>
          <w:p w14:paraId="149C0D73" w14:textId="77777777" w:rsidR="0049242B" w:rsidRDefault="0049242B" w:rsidP="00492398">
            <w:r>
              <w:t>-Ecología de áreas naturales protegidas</w:t>
            </w:r>
          </w:p>
          <w:p w14:paraId="41BCA8C7" w14:textId="77777777" w:rsidR="0049242B" w:rsidRDefault="0049242B" w:rsidP="00492398"/>
          <w:p w14:paraId="7DA3C1E1" w14:textId="77777777" w:rsidR="0049242B" w:rsidRDefault="0049242B" w:rsidP="00492398"/>
          <w:p w14:paraId="0E51C655" w14:textId="77777777" w:rsidR="0049242B" w:rsidRDefault="0049242B" w:rsidP="00492398"/>
          <w:p w14:paraId="72326C70" w14:textId="77777777" w:rsidR="0049242B" w:rsidRDefault="0049242B" w:rsidP="00492398"/>
          <w:p w14:paraId="1377026C" w14:textId="77777777" w:rsidR="0049242B" w:rsidRDefault="0049242B" w:rsidP="00492398">
            <w:r>
              <w:t>-Fauna Silvestre</w:t>
            </w:r>
          </w:p>
          <w:p w14:paraId="57A494EB" w14:textId="77777777" w:rsidR="0049242B" w:rsidRDefault="0049242B" w:rsidP="00492398"/>
          <w:p w14:paraId="5FF1D13D" w14:textId="77777777" w:rsidR="0049242B" w:rsidRDefault="0049242B" w:rsidP="00492398"/>
          <w:p w14:paraId="5AF4F124" w14:textId="77777777" w:rsidR="0049242B" w:rsidRDefault="0049242B" w:rsidP="00492398"/>
          <w:p w14:paraId="01D3E612" w14:textId="77777777" w:rsidR="0049242B" w:rsidRDefault="0049242B" w:rsidP="00492398"/>
          <w:p w14:paraId="392DFAE9" w14:textId="77777777" w:rsidR="0049242B" w:rsidRDefault="0049242B" w:rsidP="00492398"/>
          <w:p w14:paraId="6C5A3CF5" w14:textId="77777777" w:rsidR="0049242B" w:rsidRDefault="0049242B" w:rsidP="00492398">
            <w:r>
              <w:t>-Contaminación ambiental</w:t>
            </w:r>
          </w:p>
        </w:tc>
        <w:tc>
          <w:tcPr>
            <w:tcW w:w="3628" w:type="dxa"/>
          </w:tcPr>
          <w:p w14:paraId="5CE16AA1" w14:textId="3A495481" w:rsidR="0049242B" w:rsidRDefault="0049242B" w:rsidP="00492398">
            <w:r>
              <w:t>-conocer su valoración eco</w:t>
            </w:r>
            <w:r w:rsidR="003706B0">
              <w:t>log</w:t>
            </w:r>
            <w:r>
              <w:t>ica y la estrategia de conservación.</w:t>
            </w:r>
          </w:p>
          <w:p w14:paraId="4EC4846B" w14:textId="77777777" w:rsidR="0049242B" w:rsidRDefault="0049242B" w:rsidP="00492398"/>
          <w:p w14:paraId="6418E638" w14:textId="77777777" w:rsidR="0049242B" w:rsidRDefault="0049242B" w:rsidP="00492398">
            <w:r>
              <w:t>-Analizar los diferentes ecosistemas terrestes, mediante la realización de los diferentes perfiles. Identificar por análisis cuantitativo los patrones en las comunidades vegetales.</w:t>
            </w:r>
          </w:p>
          <w:p w14:paraId="2A44DB05" w14:textId="77777777" w:rsidR="0049242B" w:rsidRDefault="0049242B" w:rsidP="00492398"/>
          <w:p w14:paraId="2E931F24" w14:textId="77777777" w:rsidR="0049242B" w:rsidRDefault="0049242B" w:rsidP="00492398">
            <w:r>
              <w:t>-Proporcionar las herramientas teórico-práctico para realizar y evaluar estudios de impacto ambiental para ser capaces de analizar, supervisar y llevar a cabo estos estudios.</w:t>
            </w:r>
          </w:p>
          <w:p w14:paraId="5D1E7720" w14:textId="77777777" w:rsidR="0049242B" w:rsidRDefault="0049242B" w:rsidP="00492398"/>
          <w:p w14:paraId="02D10E7A" w14:textId="77777777" w:rsidR="003706B0" w:rsidRDefault="003706B0" w:rsidP="00492398"/>
          <w:p w14:paraId="29250D01" w14:textId="77777777" w:rsidR="003706B0" w:rsidRDefault="003706B0" w:rsidP="00492398"/>
          <w:p w14:paraId="74CCF8AA" w14:textId="77777777" w:rsidR="0049242B" w:rsidRDefault="0049242B" w:rsidP="00492398">
            <w:r>
              <w:t>-Manejar conceptos de zonas áridas, comprender los procesos de desertificación, su evaluación y alternativas de solución.</w:t>
            </w:r>
          </w:p>
          <w:p w14:paraId="766C7D21" w14:textId="77777777" w:rsidR="0049242B" w:rsidRDefault="0049242B" w:rsidP="00492398"/>
          <w:p w14:paraId="3B094011" w14:textId="77777777" w:rsidR="0049242B" w:rsidRDefault="0049242B" w:rsidP="00492398">
            <w:r>
              <w:t>-Conocimiento de cómo planificar y desarrollar programas de investigación de los recursos bióticos y promover su uso sostenible.</w:t>
            </w:r>
          </w:p>
          <w:p w14:paraId="6CEBA75C" w14:textId="77777777" w:rsidR="0049242B" w:rsidRDefault="0049242B" w:rsidP="00492398"/>
          <w:p w14:paraId="278076CD" w14:textId="77777777" w:rsidR="0049242B" w:rsidRDefault="0049242B" w:rsidP="00492398">
            <w:r>
              <w:t>-El alumno destacará la importancia de las áreas protegidas y entenderá la relación entre cada uno de los elementos que forman un ecosistema.</w:t>
            </w:r>
          </w:p>
          <w:p w14:paraId="065A4C0D" w14:textId="77777777" w:rsidR="0049242B" w:rsidRDefault="0049242B" w:rsidP="00492398"/>
          <w:p w14:paraId="51243D54" w14:textId="777C0F0F" w:rsidR="0049242B" w:rsidRDefault="0049242B" w:rsidP="00492398">
            <w:r>
              <w:t>-Conocer características anatómicas y morfolog</w:t>
            </w:r>
            <w:r w:rsidR="003706B0">
              <w:t>ic</w:t>
            </w:r>
            <w:r>
              <w:t>as de los vertebrados superiores así como su clasificación para identificar vertebrados de importancia ecológica, económica y desde el punto de vista agropecuario.</w:t>
            </w:r>
          </w:p>
          <w:p w14:paraId="7651989A" w14:textId="77777777" w:rsidR="0049242B" w:rsidRDefault="0049242B" w:rsidP="00492398"/>
          <w:p w14:paraId="33584B06" w14:textId="4B95C1A3" w:rsidR="0049242B" w:rsidRDefault="0049242B" w:rsidP="003706B0">
            <w:r>
              <w:t>-</w:t>
            </w:r>
            <w:r w:rsidR="003706B0">
              <w:t>A</w:t>
            </w:r>
            <w:r>
              <w:t xml:space="preserve">nalizar los factores físicos, químicos y biológicos que contaminan el ambiente que les permita presentar alternativas </w:t>
            </w:r>
            <w:r>
              <w:lastRenderedPageBreak/>
              <w:t>de solución y ser capaz de aplicar su conocimiento en el control.</w:t>
            </w:r>
          </w:p>
        </w:tc>
      </w:tr>
    </w:tbl>
    <w:p w14:paraId="6E9A3059" w14:textId="77777777" w:rsidR="0049242B" w:rsidRDefault="0049242B" w:rsidP="0049242B"/>
    <w:tbl>
      <w:tblPr>
        <w:tblStyle w:val="Tablaconcuadrcula"/>
        <w:tblW w:w="9464" w:type="dxa"/>
        <w:tblLook w:val="04A0" w:firstRow="1" w:lastRow="0" w:firstColumn="1" w:lastColumn="0" w:noHBand="0" w:noVBand="1"/>
      </w:tblPr>
      <w:tblGrid>
        <w:gridCol w:w="1596"/>
        <w:gridCol w:w="1942"/>
        <w:gridCol w:w="2298"/>
        <w:gridCol w:w="3628"/>
      </w:tblGrid>
      <w:tr w:rsidR="0049242B" w14:paraId="160F54E2" w14:textId="77777777" w:rsidTr="00492398">
        <w:tc>
          <w:tcPr>
            <w:tcW w:w="1596" w:type="dxa"/>
          </w:tcPr>
          <w:p w14:paraId="2C3DB54D" w14:textId="77777777" w:rsidR="0049242B" w:rsidRDefault="0049242B" w:rsidP="00492398">
            <w:r>
              <w:t>Bloque</w:t>
            </w:r>
          </w:p>
        </w:tc>
        <w:tc>
          <w:tcPr>
            <w:tcW w:w="1942" w:type="dxa"/>
          </w:tcPr>
          <w:p w14:paraId="56612543" w14:textId="77777777" w:rsidR="0049242B" w:rsidRDefault="0049242B" w:rsidP="00492398">
            <w:r>
              <w:t>Objetivo del Bloque</w:t>
            </w:r>
          </w:p>
        </w:tc>
        <w:tc>
          <w:tcPr>
            <w:tcW w:w="2298" w:type="dxa"/>
          </w:tcPr>
          <w:p w14:paraId="67DF5075" w14:textId="77777777" w:rsidR="0049242B" w:rsidRDefault="0049242B" w:rsidP="00492398">
            <w:r>
              <w:t>Secuencia de Asignaturas</w:t>
            </w:r>
          </w:p>
        </w:tc>
        <w:tc>
          <w:tcPr>
            <w:tcW w:w="3628" w:type="dxa"/>
          </w:tcPr>
          <w:p w14:paraId="7D1E7F87" w14:textId="77777777" w:rsidR="0049242B" w:rsidRDefault="0049242B" w:rsidP="00492398">
            <w:r>
              <w:t>Orientación formativa de la Asignatura</w:t>
            </w:r>
          </w:p>
        </w:tc>
      </w:tr>
      <w:tr w:rsidR="0049242B" w14:paraId="5E02FD83" w14:textId="77777777" w:rsidTr="00492398">
        <w:tc>
          <w:tcPr>
            <w:tcW w:w="1596" w:type="dxa"/>
          </w:tcPr>
          <w:p w14:paraId="653818DF" w14:textId="77777777" w:rsidR="0049242B" w:rsidRDefault="0049242B" w:rsidP="00492398"/>
        </w:tc>
        <w:tc>
          <w:tcPr>
            <w:tcW w:w="1942" w:type="dxa"/>
          </w:tcPr>
          <w:p w14:paraId="341F1AC0" w14:textId="77777777" w:rsidR="0049242B" w:rsidRDefault="0049242B" w:rsidP="00492398"/>
        </w:tc>
        <w:tc>
          <w:tcPr>
            <w:tcW w:w="2298" w:type="dxa"/>
          </w:tcPr>
          <w:p w14:paraId="2851F545" w14:textId="77777777" w:rsidR="0049242B" w:rsidRDefault="0049242B" w:rsidP="00492398">
            <w:r>
              <w:t>OPTATIVAS</w:t>
            </w:r>
          </w:p>
          <w:p w14:paraId="6B3B1069" w14:textId="77777777" w:rsidR="0049242B" w:rsidRDefault="0049242B" w:rsidP="00492398">
            <w:r>
              <w:t>-Arquitectura del paisaje</w:t>
            </w:r>
          </w:p>
          <w:p w14:paraId="53F17CC3" w14:textId="77777777" w:rsidR="0049242B" w:rsidRDefault="0049242B" w:rsidP="00492398"/>
          <w:p w14:paraId="724C1EFA" w14:textId="77777777" w:rsidR="0049242B" w:rsidRDefault="0049242B" w:rsidP="00492398"/>
          <w:p w14:paraId="6D4D4A5D" w14:textId="77777777" w:rsidR="0049242B" w:rsidRDefault="0049242B" w:rsidP="00492398"/>
          <w:p w14:paraId="492AC134" w14:textId="77777777" w:rsidR="0049242B" w:rsidRDefault="0049242B" w:rsidP="00492398"/>
          <w:p w14:paraId="0842C5A1" w14:textId="77777777" w:rsidR="0049242B" w:rsidRDefault="0049242B" w:rsidP="00492398">
            <w:r>
              <w:t>-Educación Ambiental</w:t>
            </w:r>
          </w:p>
          <w:p w14:paraId="04A46DE2" w14:textId="77777777" w:rsidR="0049242B" w:rsidRDefault="0049242B" w:rsidP="00492398"/>
          <w:p w14:paraId="33183A03" w14:textId="77777777" w:rsidR="0049242B" w:rsidRDefault="0049242B" w:rsidP="00492398"/>
          <w:p w14:paraId="437666CC" w14:textId="77777777" w:rsidR="0049242B" w:rsidRDefault="0049242B" w:rsidP="00492398"/>
          <w:p w14:paraId="3052748E" w14:textId="77777777" w:rsidR="0049242B" w:rsidRDefault="0049242B" w:rsidP="00492398"/>
          <w:p w14:paraId="664E3A42" w14:textId="77777777" w:rsidR="0049242B" w:rsidRDefault="0049242B" w:rsidP="00492398"/>
          <w:p w14:paraId="621DEB8A" w14:textId="77777777" w:rsidR="0049242B" w:rsidRDefault="0049242B" w:rsidP="00492398"/>
          <w:p w14:paraId="30E1E6C0" w14:textId="77777777" w:rsidR="0049242B" w:rsidRDefault="0049242B" w:rsidP="00492398"/>
          <w:p w14:paraId="64AC7DB4" w14:textId="77777777" w:rsidR="0049242B" w:rsidRDefault="0049242B" w:rsidP="00492398">
            <w:r>
              <w:t>-Legislación Forestal Ambiental</w:t>
            </w:r>
          </w:p>
          <w:p w14:paraId="485F55DB" w14:textId="77777777" w:rsidR="0049242B" w:rsidRDefault="0049242B" w:rsidP="00492398"/>
          <w:p w14:paraId="0C6D88E1" w14:textId="77777777" w:rsidR="0049242B" w:rsidRDefault="0049242B" w:rsidP="00492398"/>
          <w:p w14:paraId="6128DCCE" w14:textId="77777777" w:rsidR="0049242B" w:rsidRDefault="0049242B" w:rsidP="00492398"/>
          <w:p w14:paraId="77ABA618" w14:textId="77777777" w:rsidR="0049242B" w:rsidRDefault="0049242B" w:rsidP="00492398">
            <w:r>
              <w:t>-Ordenamiento ecológico.</w:t>
            </w:r>
          </w:p>
          <w:p w14:paraId="0F0FF011" w14:textId="77777777" w:rsidR="0049242B" w:rsidRDefault="0049242B" w:rsidP="00492398"/>
          <w:p w14:paraId="71796DB3" w14:textId="77777777" w:rsidR="0049242B" w:rsidRDefault="0049242B" w:rsidP="00492398"/>
          <w:p w14:paraId="5A726EB3" w14:textId="77777777" w:rsidR="0049242B" w:rsidRDefault="0049242B" w:rsidP="00492398"/>
          <w:p w14:paraId="730DC0D6" w14:textId="77777777" w:rsidR="0049242B" w:rsidRDefault="0049242B" w:rsidP="00492398"/>
          <w:p w14:paraId="71ABBC96" w14:textId="77777777" w:rsidR="0049242B" w:rsidRDefault="0049242B" w:rsidP="00492398"/>
          <w:p w14:paraId="646EC797" w14:textId="77777777" w:rsidR="0049242B" w:rsidRDefault="0049242B" w:rsidP="00492398">
            <w:r>
              <w:t>-Percepción remota</w:t>
            </w:r>
          </w:p>
          <w:p w14:paraId="08EBEADD" w14:textId="77777777" w:rsidR="0049242B" w:rsidRDefault="0049242B" w:rsidP="00492398"/>
          <w:p w14:paraId="5D9DCF30" w14:textId="77777777" w:rsidR="0049242B" w:rsidRDefault="0049242B" w:rsidP="00492398"/>
          <w:p w14:paraId="0A225967" w14:textId="77777777" w:rsidR="0049242B" w:rsidRDefault="0049242B" w:rsidP="00492398"/>
          <w:p w14:paraId="62CC8CA6" w14:textId="77777777" w:rsidR="0049242B" w:rsidRDefault="0049242B" w:rsidP="00492398">
            <w:r>
              <w:t>-Plantas útiles de zonas áridas.</w:t>
            </w:r>
          </w:p>
          <w:p w14:paraId="5C3C9A0A" w14:textId="77777777" w:rsidR="0049242B" w:rsidRDefault="0049242B" w:rsidP="00492398"/>
          <w:p w14:paraId="1BEE5464" w14:textId="77777777" w:rsidR="0049242B" w:rsidRDefault="0049242B" w:rsidP="00492398"/>
          <w:p w14:paraId="2128433E" w14:textId="77777777" w:rsidR="0049242B" w:rsidRDefault="0049242B" w:rsidP="00492398"/>
          <w:p w14:paraId="20A85CDE" w14:textId="77777777" w:rsidR="0049242B" w:rsidRDefault="0049242B" w:rsidP="00492398">
            <w:r>
              <w:t>-Toxicología Ambiental</w:t>
            </w:r>
          </w:p>
          <w:p w14:paraId="75FF8517" w14:textId="77777777" w:rsidR="0049242B" w:rsidRDefault="0049242B" w:rsidP="00492398"/>
          <w:p w14:paraId="66A1B864" w14:textId="77777777" w:rsidR="0049242B" w:rsidRDefault="0049242B" w:rsidP="00492398"/>
          <w:p w14:paraId="652BCA0A" w14:textId="77777777" w:rsidR="0049242B" w:rsidRDefault="0049242B" w:rsidP="00492398"/>
          <w:p w14:paraId="5BF2C92F" w14:textId="77777777" w:rsidR="0049242B" w:rsidRDefault="0049242B" w:rsidP="00492398"/>
          <w:p w14:paraId="0C1CEAF7" w14:textId="77777777" w:rsidR="0049242B" w:rsidRDefault="0049242B" w:rsidP="00492398"/>
          <w:p w14:paraId="4C6EC5DE" w14:textId="77777777" w:rsidR="0049242B" w:rsidRDefault="0049242B" w:rsidP="00492398">
            <w:r>
              <w:t>-Evolución Orgánica</w:t>
            </w:r>
          </w:p>
        </w:tc>
        <w:tc>
          <w:tcPr>
            <w:tcW w:w="3628" w:type="dxa"/>
          </w:tcPr>
          <w:p w14:paraId="50A9C212" w14:textId="77777777" w:rsidR="0049242B" w:rsidRDefault="0049242B" w:rsidP="00492398"/>
          <w:p w14:paraId="1B870003" w14:textId="77777777" w:rsidR="0049242B" w:rsidRDefault="0049242B" w:rsidP="00492398">
            <w:r>
              <w:t>-Especialidad que permite crear, preservar, rehabilitar y/o restaurar la belleza en torno a paisajes naturales respetando el equilibrio del medio ambiente.</w:t>
            </w:r>
          </w:p>
          <w:p w14:paraId="251833E8" w14:textId="77777777" w:rsidR="0049242B" w:rsidRDefault="0049242B" w:rsidP="00492398"/>
          <w:p w14:paraId="2C8C0354" w14:textId="77777777" w:rsidR="0049242B" w:rsidRDefault="0049242B" w:rsidP="00492398">
            <w:r>
              <w:t>-Integrar y analizar el conocimiento que constituyan los principios básicos para comprender la problemática a que se enfrenta el medio ambiente generada por el desarrollo humano, propiciando la formación del alumno con criterio ambientalista y de sostenibilidad.</w:t>
            </w:r>
          </w:p>
          <w:p w14:paraId="12688243" w14:textId="77777777" w:rsidR="0049242B" w:rsidRDefault="0049242B" w:rsidP="00492398"/>
          <w:p w14:paraId="4E5A0886" w14:textId="77777777" w:rsidR="0049242B" w:rsidRDefault="0049242B" w:rsidP="00492398">
            <w:r>
              <w:t>-Proporciona la información jurídica básica sobre la legislación ambiental y forestal que le permita conocer esa legislación.</w:t>
            </w:r>
          </w:p>
          <w:p w14:paraId="6F05E1C1" w14:textId="77777777" w:rsidR="0049242B" w:rsidRDefault="0049242B" w:rsidP="00492398"/>
          <w:p w14:paraId="4FB2AA97" w14:textId="211CC5C2" w:rsidR="0049242B" w:rsidRDefault="0049242B" w:rsidP="00492398">
            <w:r>
              <w:t>-Enseñar las principales metodol</w:t>
            </w:r>
            <w:r w:rsidR="003706B0">
              <w:t>o</w:t>
            </w:r>
            <w:r>
              <w:t>g</w:t>
            </w:r>
            <w:r w:rsidR="003706B0">
              <w:t>í</w:t>
            </w:r>
            <w:r>
              <w:t>as utilizadas para realizar estudios de ordenamiento ecológico, elaborar documentos de ordenación territorial con bases ecológicas a nivel de comunidad rural.</w:t>
            </w:r>
          </w:p>
          <w:p w14:paraId="144737E7" w14:textId="77777777" w:rsidR="0049242B" w:rsidRDefault="0049242B" w:rsidP="00492398"/>
          <w:p w14:paraId="0B38529E" w14:textId="77777777" w:rsidR="0049242B" w:rsidRDefault="0049242B" w:rsidP="00492398">
            <w:r>
              <w:t>-Aprender los procesos y las técnicas para la determinación de las áreas geográficas y sus recursos naturales.</w:t>
            </w:r>
          </w:p>
          <w:p w14:paraId="0AC625A2" w14:textId="77777777" w:rsidR="0049242B" w:rsidRDefault="0049242B" w:rsidP="00492398"/>
          <w:p w14:paraId="6E9E6E19" w14:textId="77777777" w:rsidR="0049242B" w:rsidRDefault="0049242B" w:rsidP="00492398">
            <w:r>
              <w:t>-Conocer las especies de vegetales útiles de zonas áridas, destacando su valor económico y ecológico, su taxonomía, morfología y distribución.</w:t>
            </w:r>
          </w:p>
          <w:p w14:paraId="4EF2A267" w14:textId="77777777" w:rsidR="0049242B" w:rsidRDefault="0049242B" w:rsidP="00492398"/>
          <w:p w14:paraId="4D4D23DB" w14:textId="77777777" w:rsidR="0049242B" w:rsidRDefault="0049242B" w:rsidP="00492398">
            <w:r>
              <w:t>-Entender los fundamentos de la toxicología, los daños que producen los tóxicos y transformaciones de las sustancias dañinas en el organismo y la difusión en los ecosistemas.</w:t>
            </w:r>
          </w:p>
          <w:p w14:paraId="23656B9E" w14:textId="77777777" w:rsidR="0049242B" w:rsidRDefault="0049242B" w:rsidP="00492398"/>
          <w:p w14:paraId="04DE44D3" w14:textId="77777777" w:rsidR="0049242B" w:rsidRDefault="0049242B" w:rsidP="00492398">
            <w:r>
              <w:lastRenderedPageBreak/>
              <w:t>-Describir y analizar los mecanismos de la teoría evolutiva moderna desde Darwin hasta el nivel molecular.</w:t>
            </w:r>
          </w:p>
        </w:tc>
      </w:tr>
      <w:tr w:rsidR="0049242B" w14:paraId="2426CF51" w14:textId="77777777" w:rsidTr="00492398">
        <w:tc>
          <w:tcPr>
            <w:tcW w:w="1596" w:type="dxa"/>
          </w:tcPr>
          <w:p w14:paraId="33C46089" w14:textId="77777777" w:rsidR="0049242B" w:rsidRDefault="0049242B" w:rsidP="00492398">
            <w:r>
              <w:lastRenderedPageBreak/>
              <w:t>Bloque</w:t>
            </w:r>
          </w:p>
        </w:tc>
        <w:tc>
          <w:tcPr>
            <w:tcW w:w="1942" w:type="dxa"/>
          </w:tcPr>
          <w:p w14:paraId="0FB8285C" w14:textId="77777777" w:rsidR="0049242B" w:rsidRDefault="0049242B" w:rsidP="00492398">
            <w:r>
              <w:t>Objetivo del Bloque</w:t>
            </w:r>
          </w:p>
        </w:tc>
        <w:tc>
          <w:tcPr>
            <w:tcW w:w="2298" w:type="dxa"/>
          </w:tcPr>
          <w:p w14:paraId="26F11AEE" w14:textId="77777777" w:rsidR="0049242B" w:rsidRDefault="0049242B" w:rsidP="00492398">
            <w:r>
              <w:t>Secuencia de Asignaturas</w:t>
            </w:r>
          </w:p>
        </w:tc>
        <w:tc>
          <w:tcPr>
            <w:tcW w:w="3628" w:type="dxa"/>
          </w:tcPr>
          <w:p w14:paraId="0AA2D735" w14:textId="77777777" w:rsidR="0049242B" w:rsidRDefault="0049242B" w:rsidP="00492398">
            <w:r>
              <w:t>Orientación formativa de la Asignatura</w:t>
            </w:r>
          </w:p>
        </w:tc>
      </w:tr>
      <w:tr w:rsidR="0049242B" w14:paraId="55618219" w14:textId="77777777" w:rsidTr="00492398">
        <w:tc>
          <w:tcPr>
            <w:tcW w:w="1596" w:type="dxa"/>
          </w:tcPr>
          <w:p w14:paraId="7FEC1FB4" w14:textId="77777777" w:rsidR="0049242B" w:rsidRDefault="0049242B" w:rsidP="00492398"/>
          <w:p w14:paraId="20892EF5" w14:textId="77777777" w:rsidR="0049242B" w:rsidRDefault="0049242B" w:rsidP="00492398"/>
          <w:p w14:paraId="49DB3C81" w14:textId="77777777" w:rsidR="0049242B" w:rsidRDefault="0049242B" w:rsidP="00492398"/>
          <w:p w14:paraId="7AACEFFC" w14:textId="77777777" w:rsidR="0049242B" w:rsidRDefault="0049242B" w:rsidP="00492398"/>
          <w:p w14:paraId="577F8F8E" w14:textId="77777777" w:rsidR="0049242B" w:rsidRDefault="0049242B" w:rsidP="00492398"/>
          <w:p w14:paraId="53B321E9" w14:textId="77777777" w:rsidR="0049242B" w:rsidRDefault="0049242B" w:rsidP="00492398"/>
          <w:p w14:paraId="1A28D3FE" w14:textId="77777777" w:rsidR="0049242B" w:rsidRDefault="0049242B" w:rsidP="00492398"/>
          <w:p w14:paraId="2B5983C7" w14:textId="77777777" w:rsidR="0049242B" w:rsidRDefault="0049242B" w:rsidP="00492398"/>
          <w:p w14:paraId="24212E3B" w14:textId="77777777" w:rsidR="0049242B" w:rsidRDefault="0049242B" w:rsidP="00492398"/>
          <w:p w14:paraId="27F7451B" w14:textId="77777777" w:rsidR="0049242B" w:rsidRDefault="0049242B" w:rsidP="00492398"/>
          <w:p w14:paraId="5422F513" w14:textId="77777777" w:rsidR="0049242B" w:rsidRDefault="0049242B" w:rsidP="00492398"/>
          <w:p w14:paraId="5C20B2B1" w14:textId="77777777" w:rsidR="0049242B" w:rsidRDefault="0049242B" w:rsidP="00492398"/>
          <w:p w14:paraId="6D741381" w14:textId="77777777" w:rsidR="0049242B" w:rsidRDefault="0049242B" w:rsidP="00492398"/>
          <w:p w14:paraId="191D2896" w14:textId="77777777" w:rsidR="0049242B" w:rsidRDefault="0049242B" w:rsidP="00492398"/>
          <w:p w14:paraId="0EAACB8D" w14:textId="77777777" w:rsidR="0049242B" w:rsidRDefault="0049242B" w:rsidP="00492398"/>
          <w:p w14:paraId="494F9785" w14:textId="77777777" w:rsidR="0049242B" w:rsidRDefault="0049242B" w:rsidP="00492398"/>
          <w:p w14:paraId="0D74A51B" w14:textId="77777777" w:rsidR="0049242B" w:rsidRDefault="0049242B" w:rsidP="00492398"/>
          <w:p w14:paraId="4EEEC3D7" w14:textId="77777777" w:rsidR="0049242B" w:rsidRDefault="0049242B" w:rsidP="00492398"/>
          <w:p w14:paraId="38DBF070" w14:textId="77777777" w:rsidR="0049242B" w:rsidRDefault="0049242B" w:rsidP="00492398"/>
          <w:p w14:paraId="68A3D0A7" w14:textId="77777777" w:rsidR="0049242B" w:rsidRDefault="0049242B" w:rsidP="00492398"/>
          <w:p w14:paraId="6F8879F2" w14:textId="77777777" w:rsidR="0049242B" w:rsidRDefault="0049242B" w:rsidP="00492398"/>
          <w:p w14:paraId="61BB2C9A" w14:textId="77777777" w:rsidR="0049242B" w:rsidRDefault="0049242B" w:rsidP="00492398"/>
          <w:p w14:paraId="64AAFB2A" w14:textId="77777777" w:rsidR="0049242B" w:rsidRDefault="0049242B" w:rsidP="00492398"/>
          <w:p w14:paraId="0E7277B1" w14:textId="77777777" w:rsidR="0049242B" w:rsidRDefault="0049242B" w:rsidP="00492398"/>
          <w:p w14:paraId="58667753" w14:textId="77777777" w:rsidR="0049242B" w:rsidRDefault="0049242B" w:rsidP="00492398"/>
          <w:p w14:paraId="6DFC8391" w14:textId="77777777" w:rsidR="0049242B" w:rsidRDefault="0049242B" w:rsidP="00492398"/>
          <w:p w14:paraId="0B503868" w14:textId="77777777" w:rsidR="0049242B" w:rsidRDefault="0049242B" w:rsidP="00492398"/>
          <w:p w14:paraId="1F90A275" w14:textId="77777777" w:rsidR="0049242B" w:rsidRDefault="0049242B" w:rsidP="00492398"/>
          <w:p w14:paraId="0AB53095" w14:textId="77777777" w:rsidR="0049242B" w:rsidRDefault="0049242B" w:rsidP="00492398"/>
          <w:p w14:paraId="641581F1" w14:textId="77777777" w:rsidR="0049242B" w:rsidRDefault="0049242B" w:rsidP="00492398"/>
          <w:p w14:paraId="2826F523" w14:textId="77777777" w:rsidR="0049242B" w:rsidRDefault="0049242B" w:rsidP="00492398"/>
          <w:p w14:paraId="7996F97B" w14:textId="77777777" w:rsidR="0049242B" w:rsidRDefault="0049242B" w:rsidP="00492398"/>
          <w:p w14:paraId="2FEDE59C" w14:textId="77777777" w:rsidR="0049242B" w:rsidRDefault="0049242B" w:rsidP="00492398"/>
          <w:p w14:paraId="548E6A50" w14:textId="77777777" w:rsidR="0049242B" w:rsidRDefault="0049242B" w:rsidP="00492398"/>
          <w:p w14:paraId="76915454" w14:textId="77777777" w:rsidR="0049242B" w:rsidRDefault="0049242B" w:rsidP="00492398"/>
          <w:p w14:paraId="4EF274E7" w14:textId="77777777" w:rsidR="0049242B" w:rsidRDefault="0049242B" w:rsidP="00492398">
            <w:r>
              <w:t>Biotecnología</w:t>
            </w:r>
          </w:p>
        </w:tc>
        <w:tc>
          <w:tcPr>
            <w:tcW w:w="1942" w:type="dxa"/>
          </w:tcPr>
          <w:p w14:paraId="467B8FB2" w14:textId="77777777" w:rsidR="0049242B" w:rsidRDefault="0049242B" w:rsidP="00492398"/>
          <w:p w14:paraId="0D4467F9" w14:textId="77777777" w:rsidR="0049242B" w:rsidRDefault="0049242B" w:rsidP="00492398"/>
          <w:p w14:paraId="145579CD" w14:textId="77777777" w:rsidR="0049242B" w:rsidRDefault="0049242B" w:rsidP="00492398"/>
          <w:p w14:paraId="2E2E65BF" w14:textId="77777777" w:rsidR="0049242B" w:rsidRDefault="0049242B" w:rsidP="00492398"/>
          <w:p w14:paraId="450213AC" w14:textId="77777777" w:rsidR="0049242B" w:rsidRDefault="0049242B" w:rsidP="00492398"/>
          <w:p w14:paraId="7BB98BAA" w14:textId="77777777" w:rsidR="0049242B" w:rsidRDefault="0049242B" w:rsidP="00492398"/>
          <w:p w14:paraId="18300553" w14:textId="77777777" w:rsidR="0049242B" w:rsidRDefault="0049242B" w:rsidP="00492398"/>
          <w:p w14:paraId="054911B4" w14:textId="77777777" w:rsidR="0049242B" w:rsidRDefault="0049242B" w:rsidP="00492398"/>
          <w:p w14:paraId="5F38E3FB" w14:textId="77777777" w:rsidR="0049242B" w:rsidRDefault="0049242B" w:rsidP="00492398"/>
          <w:p w14:paraId="248EF9DD" w14:textId="77777777" w:rsidR="0049242B" w:rsidRDefault="0049242B" w:rsidP="00492398"/>
          <w:p w14:paraId="1C14596C" w14:textId="77777777" w:rsidR="0049242B" w:rsidRDefault="0049242B" w:rsidP="00492398"/>
          <w:p w14:paraId="53B7384F" w14:textId="77777777" w:rsidR="0049242B" w:rsidRDefault="0049242B" w:rsidP="00492398"/>
          <w:p w14:paraId="36F811C1" w14:textId="77777777" w:rsidR="0049242B" w:rsidRDefault="0049242B" w:rsidP="00492398"/>
          <w:p w14:paraId="65CDF7E5" w14:textId="77777777" w:rsidR="0049242B" w:rsidRDefault="0049242B" w:rsidP="00492398"/>
          <w:p w14:paraId="29AC03C7" w14:textId="77777777" w:rsidR="0049242B" w:rsidRDefault="0049242B" w:rsidP="00492398"/>
          <w:p w14:paraId="4719BF3C" w14:textId="77777777" w:rsidR="0049242B" w:rsidRDefault="0049242B" w:rsidP="00492398"/>
          <w:p w14:paraId="41CA47C0" w14:textId="77777777" w:rsidR="0049242B" w:rsidRDefault="0049242B" w:rsidP="00492398"/>
          <w:p w14:paraId="082F5A42" w14:textId="77777777" w:rsidR="0049242B" w:rsidRDefault="0049242B" w:rsidP="00492398"/>
          <w:p w14:paraId="1BA650B9" w14:textId="77777777" w:rsidR="0049242B" w:rsidRDefault="0049242B" w:rsidP="00492398"/>
          <w:p w14:paraId="56738C44" w14:textId="77777777" w:rsidR="0049242B" w:rsidRDefault="0049242B" w:rsidP="00492398"/>
          <w:p w14:paraId="29D8FC59" w14:textId="77777777" w:rsidR="0049242B" w:rsidRDefault="0049242B" w:rsidP="00492398"/>
          <w:p w14:paraId="0455AE8A" w14:textId="77777777" w:rsidR="0049242B" w:rsidRDefault="0049242B" w:rsidP="00492398"/>
          <w:p w14:paraId="66158D31" w14:textId="77777777" w:rsidR="0049242B" w:rsidRDefault="0049242B" w:rsidP="00492398"/>
          <w:p w14:paraId="63D67F51" w14:textId="77777777" w:rsidR="0049242B" w:rsidRDefault="0049242B" w:rsidP="00492398"/>
          <w:p w14:paraId="36DF438F" w14:textId="77777777" w:rsidR="0049242B" w:rsidRDefault="0049242B" w:rsidP="00492398"/>
          <w:p w14:paraId="2E2F8577" w14:textId="77777777" w:rsidR="0049242B" w:rsidRDefault="0049242B" w:rsidP="00492398"/>
          <w:p w14:paraId="701FE8C4" w14:textId="77777777" w:rsidR="0049242B" w:rsidRDefault="0049242B" w:rsidP="00492398"/>
          <w:p w14:paraId="13318C6F" w14:textId="77777777" w:rsidR="0049242B" w:rsidRDefault="0049242B" w:rsidP="00492398"/>
          <w:p w14:paraId="6EE54115" w14:textId="77777777" w:rsidR="0049242B" w:rsidRDefault="0049242B" w:rsidP="00492398"/>
          <w:p w14:paraId="6BFEBCC2" w14:textId="77777777" w:rsidR="0049242B" w:rsidRDefault="0049242B" w:rsidP="00492398"/>
          <w:p w14:paraId="269C61AE" w14:textId="77777777" w:rsidR="0049242B" w:rsidRDefault="0049242B" w:rsidP="00492398"/>
          <w:p w14:paraId="585C05C9" w14:textId="77777777" w:rsidR="0049242B" w:rsidRDefault="0049242B" w:rsidP="00492398"/>
          <w:p w14:paraId="5D56C4FD" w14:textId="77777777" w:rsidR="0049242B" w:rsidRDefault="0049242B" w:rsidP="00492398"/>
          <w:p w14:paraId="64CFF6FF" w14:textId="77777777" w:rsidR="0049242B" w:rsidRDefault="0049242B" w:rsidP="00492398"/>
          <w:p w14:paraId="194393B8" w14:textId="77777777" w:rsidR="0049242B" w:rsidRDefault="0049242B" w:rsidP="00492398"/>
          <w:p w14:paraId="7DD6FEEC" w14:textId="77777777" w:rsidR="0049242B" w:rsidRDefault="0049242B" w:rsidP="00492398">
            <w:r>
              <w:t>El objetivo es que serán capaces de aplicar el conocimiento de las ciencias a través  del uso de</w:t>
            </w:r>
          </w:p>
        </w:tc>
        <w:tc>
          <w:tcPr>
            <w:tcW w:w="2298" w:type="dxa"/>
          </w:tcPr>
          <w:p w14:paraId="3BFE9A32" w14:textId="77777777" w:rsidR="0049242B" w:rsidRDefault="0049242B" w:rsidP="00492398">
            <w:r>
              <w:t>-Etnoecología</w:t>
            </w:r>
          </w:p>
          <w:p w14:paraId="316E50BF" w14:textId="77777777" w:rsidR="0049242B" w:rsidRDefault="0049242B" w:rsidP="00492398"/>
          <w:p w14:paraId="701C8E65" w14:textId="77777777" w:rsidR="0049242B" w:rsidRDefault="0049242B" w:rsidP="00492398"/>
          <w:p w14:paraId="128F9ED2" w14:textId="77777777" w:rsidR="0049242B" w:rsidRDefault="0049242B" w:rsidP="00492398"/>
          <w:p w14:paraId="0853B799" w14:textId="77777777" w:rsidR="0049242B" w:rsidRDefault="0049242B" w:rsidP="00492398">
            <w:r>
              <w:t>-Conservación de suelos y agua</w:t>
            </w:r>
          </w:p>
          <w:p w14:paraId="0EB72367" w14:textId="77777777" w:rsidR="0049242B" w:rsidRDefault="0049242B" w:rsidP="00492398"/>
          <w:p w14:paraId="22D5F073" w14:textId="77777777" w:rsidR="0049242B" w:rsidRDefault="0049242B" w:rsidP="00492398"/>
          <w:p w14:paraId="047630F1" w14:textId="77777777" w:rsidR="0049242B" w:rsidRDefault="0049242B" w:rsidP="00492398"/>
          <w:p w14:paraId="454033C4" w14:textId="77777777" w:rsidR="0049242B" w:rsidRDefault="0049242B" w:rsidP="00492398"/>
          <w:p w14:paraId="4B0EB21B" w14:textId="77777777" w:rsidR="0049242B" w:rsidRDefault="0049242B" w:rsidP="00492398"/>
          <w:p w14:paraId="083D84DA" w14:textId="77777777" w:rsidR="0049242B" w:rsidRDefault="0049242B" w:rsidP="00492398">
            <w:r>
              <w:t>-Recursos renovables de zonas áridas</w:t>
            </w:r>
          </w:p>
          <w:p w14:paraId="3B1E4E1A" w14:textId="77777777" w:rsidR="0049242B" w:rsidRDefault="0049242B" w:rsidP="00492398"/>
          <w:p w14:paraId="14A70A0C" w14:textId="77777777" w:rsidR="0049242B" w:rsidRDefault="0049242B" w:rsidP="00492398"/>
          <w:p w14:paraId="67393697" w14:textId="77777777" w:rsidR="0049242B" w:rsidRDefault="0049242B" w:rsidP="00492398"/>
          <w:p w14:paraId="18F01C98" w14:textId="77777777" w:rsidR="0049242B" w:rsidRDefault="0049242B" w:rsidP="00492398"/>
          <w:p w14:paraId="79AEDCF1" w14:textId="77777777" w:rsidR="0049242B" w:rsidRDefault="0049242B" w:rsidP="00492398">
            <w:r>
              <w:t>-Sensores remotos</w:t>
            </w:r>
          </w:p>
          <w:p w14:paraId="445F119F" w14:textId="77777777" w:rsidR="0049242B" w:rsidRDefault="0049242B" w:rsidP="00492398"/>
          <w:p w14:paraId="0E33D536" w14:textId="77777777" w:rsidR="0049242B" w:rsidRDefault="0049242B" w:rsidP="00492398"/>
          <w:p w14:paraId="758720ED" w14:textId="77777777" w:rsidR="0049242B" w:rsidRDefault="0049242B" w:rsidP="00492398"/>
          <w:p w14:paraId="5C0719A9" w14:textId="77777777" w:rsidR="0049242B" w:rsidRDefault="0049242B" w:rsidP="00492398"/>
          <w:p w14:paraId="17704216" w14:textId="77777777" w:rsidR="0049242B" w:rsidRDefault="0049242B" w:rsidP="00492398">
            <w:r>
              <w:t>-Manejo de áreas naturales protegidas</w:t>
            </w:r>
          </w:p>
          <w:p w14:paraId="48A409BA" w14:textId="77777777" w:rsidR="0049242B" w:rsidRDefault="0049242B" w:rsidP="00492398"/>
          <w:p w14:paraId="58160633" w14:textId="77777777" w:rsidR="0049242B" w:rsidRDefault="0049242B" w:rsidP="00492398"/>
          <w:p w14:paraId="5FF8C65D" w14:textId="77777777" w:rsidR="0049242B" w:rsidRDefault="0049242B" w:rsidP="00492398"/>
          <w:p w14:paraId="65DED6F1" w14:textId="77777777" w:rsidR="0049242B" w:rsidRDefault="0049242B" w:rsidP="00492398"/>
          <w:p w14:paraId="0FE26BBC" w14:textId="77777777" w:rsidR="00F02F7D" w:rsidRDefault="00F02F7D" w:rsidP="00492398"/>
          <w:p w14:paraId="30E8D0BD" w14:textId="77777777" w:rsidR="0049242B" w:rsidRDefault="0049242B" w:rsidP="00492398">
            <w:r>
              <w:t>-Organización cinegética</w:t>
            </w:r>
          </w:p>
          <w:p w14:paraId="76165788" w14:textId="77777777" w:rsidR="0049242B" w:rsidRDefault="0049242B" w:rsidP="00492398"/>
          <w:p w14:paraId="7C4BCE48" w14:textId="77777777" w:rsidR="00F02F7D" w:rsidRDefault="00F02F7D" w:rsidP="00492398"/>
          <w:p w14:paraId="033588D6" w14:textId="77777777" w:rsidR="00F02F7D" w:rsidRDefault="00F02F7D" w:rsidP="00492398"/>
          <w:p w14:paraId="37CF23C7" w14:textId="77777777" w:rsidR="00F02F7D" w:rsidRDefault="00F02F7D" w:rsidP="00492398"/>
          <w:p w14:paraId="090E02D2" w14:textId="77777777" w:rsidR="0049242B" w:rsidRDefault="0049242B" w:rsidP="00492398">
            <w:r>
              <w:t>-Introducción a la genética molecular</w:t>
            </w:r>
          </w:p>
        </w:tc>
        <w:tc>
          <w:tcPr>
            <w:tcW w:w="3628" w:type="dxa"/>
          </w:tcPr>
          <w:p w14:paraId="798EDEF1" w14:textId="77777777" w:rsidR="0049242B" w:rsidRDefault="0049242B" w:rsidP="00492398">
            <w:r>
              <w:t>-Tendrá la capacidad de circunscribir el campo del estudio de etnoecología en el contexto de las ciencias ambientales.</w:t>
            </w:r>
          </w:p>
          <w:p w14:paraId="790BCDA4" w14:textId="77777777" w:rsidR="0049242B" w:rsidRDefault="0049242B" w:rsidP="00492398"/>
          <w:p w14:paraId="54DD03CA" w14:textId="77777777" w:rsidR="0049242B" w:rsidRDefault="0049242B" w:rsidP="00492398">
            <w:r>
              <w:t>-El alumno adquirirá los conocimientos teóricos y prácticos que le permitan realizar prácticas para conservar el suelo y agua para aumentar u optimizar la productividad sin deteriorar ni contaminar el medio natural.</w:t>
            </w:r>
          </w:p>
          <w:p w14:paraId="3DE735EC" w14:textId="77777777" w:rsidR="0049242B" w:rsidRDefault="0049242B" w:rsidP="00492398"/>
          <w:p w14:paraId="6A0C7AE5" w14:textId="77777777" w:rsidR="0049242B" w:rsidRDefault="0049242B" w:rsidP="00492398">
            <w:r>
              <w:t>-Describir los diferentes recursos renovables de zonas áridas y semiáridas de México (su biodiversidad) conozcan métodos de manejo y aprovechamiento sustentable.</w:t>
            </w:r>
          </w:p>
          <w:p w14:paraId="7BD38D10" w14:textId="77777777" w:rsidR="0049242B" w:rsidRDefault="0049242B" w:rsidP="00492398"/>
          <w:p w14:paraId="7DD791E6" w14:textId="77777777" w:rsidR="0049242B" w:rsidRDefault="0049242B" w:rsidP="00492398">
            <w:r>
              <w:t>-El alumno conocerá la metodología para localizar zonas geográficas, áreas forestales para hacer estudios de poblaciones.</w:t>
            </w:r>
          </w:p>
          <w:p w14:paraId="520524C2" w14:textId="77777777" w:rsidR="0049242B" w:rsidRDefault="0049242B" w:rsidP="00492398"/>
          <w:p w14:paraId="2A5FF83A" w14:textId="77777777" w:rsidR="0049242B" w:rsidRDefault="0049242B" w:rsidP="00492398">
            <w:r>
              <w:t>-Las áreas naturales protegidas se conocerá  su diversidad para entender su manejo y destacar las especies importantes para conservarlas en su ecosistema.</w:t>
            </w:r>
          </w:p>
          <w:p w14:paraId="3EC28311" w14:textId="77777777" w:rsidR="0049242B" w:rsidRDefault="0049242B" w:rsidP="00492398"/>
          <w:p w14:paraId="472AED48" w14:textId="77777777" w:rsidR="0049242B" w:rsidRDefault="0049242B" w:rsidP="00492398">
            <w:r>
              <w:t>-Conciliar la ecología con la economía conservando la biodiversidad de  México y aprovechando oportunidades de diversificación económica para el sector rural y elevar la producción y aprovechamiento sustentable de la vida silvestre.</w:t>
            </w:r>
          </w:p>
          <w:p w14:paraId="579A4BF9" w14:textId="77777777" w:rsidR="0049242B" w:rsidRDefault="0049242B" w:rsidP="00492398">
            <w:r>
              <w:t>-El alumno tendrá el conocimiento de la genética como parte importante de la herencia traducida en la sintetización molecular.</w:t>
            </w:r>
          </w:p>
        </w:tc>
      </w:tr>
      <w:tr w:rsidR="0049242B" w14:paraId="6BC1A244" w14:textId="77777777" w:rsidTr="00492398">
        <w:tc>
          <w:tcPr>
            <w:tcW w:w="1596" w:type="dxa"/>
          </w:tcPr>
          <w:p w14:paraId="18C8CF7A" w14:textId="77777777" w:rsidR="0049242B" w:rsidRDefault="0049242B" w:rsidP="00492398">
            <w:r>
              <w:t>Bloque</w:t>
            </w:r>
          </w:p>
        </w:tc>
        <w:tc>
          <w:tcPr>
            <w:tcW w:w="1942" w:type="dxa"/>
          </w:tcPr>
          <w:p w14:paraId="6ACC3F5A" w14:textId="77777777" w:rsidR="0049242B" w:rsidRDefault="0049242B" w:rsidP="00492398">
            <w:r>
              <w:t>Objetivo del Bloque</w:t>
            </w:r>
          </w:p>
        </w:tc>
        <w:tc>
          <w:tcPr>
            <w:tcW w:w="2298" w:type="dxa"/>
          </w:tcPr>
          <w:p w14:paraId="38A75D33" w14:textId="77777777" w:rsidR="0049242B" w:rsidRDefault="0049242B" w:rsidP="00492398">
            <w:r>
              <w:t>Secuencia de Asignaturas</w:t>
            </w:r>
          </w:p>
        </w:tc>
        <w:tc>
          <w:tcPr>
            <w:tcW w:w="3628" w:type="dxa"/>
          </w:tcPr>
          <w:p w14:paraId="07AF50F6" w14:textId="77777777" w:rsidR="0049242B" w:rsidRDefault="0049242B" w:rsidP="00492398">
            <w:r>
              <w:t>Orientación formativa de la Asignatura</w:t>
            </w:r>
          </w:p>
        </w:tc>
      </w:tr>
      <w:tr w:rsidR="0049242B" w14:paraId="1CE2D2BB" w14:textId="77777777" w:rsidTr="00492398">
        <w:tc>
          <w:tcPr>
            <w:tcW w:w="1596" w:type="dxa"/>
          </w:tcPr>
          <w:p w14:paraId="7E7AEDAE" w14:textId="77777777" w:rsidR="0049242B" w:rsidRDefault="0049242B" w:rsidP="00492398"/>
        </w:tc>
        <w:tc>
          <w:tcPr>
            <w:tcW w:w="1942" w:type="dxa"/>
          </w:tcPr>
          <w:p w14:paraId="4CFD2A77" w14:textId="77777777" w:rsidR="0049242B" w:rsidRDefault="0049242B" w:rsidP="00492398">
            <w:r>
              <w:t>Los seres vivos y principalmente los microorganismos para la realización de procesos industriales, el uso de la biología molecular, la ingeniería genética y los cultivos in-vitro para la conservación de especies en peligro de extinción, especies o cultígenos  importantes y el aprovechamiento de formas vivas resistentes al stress ambiental</w:t>
            </w:r>
          </w:p>
        </w:tc>
        <w:tc>
          <w:tcPr>
            <w:tcW w:w="2298" w:type="dxa"/>
          </w:tcPr>
          <w:p w14:paraId="2752F39E" w14:textId="77777777" w:rsidR="0049242B" w:rsidRDefault="0049242B" w:rsidP="00492398">
            <w:r>
              <w:t>-Biotecnología general</w:t>
            </w:r>
          </w:p>
          <w:p w14:paraId="3458CCD1" w14:textId="77777777" w:rsidR="0049242B" w:rsidRDefault="0049242B" w:rsidP="00492398"/>
          <w:p w14:paraId="4DB62E4A" w14:textId="77777777" w:rsidR="0049242B" w:rsidRDefault="0049242B" w:rsidP="00492398"/>
          <w:p w14:paraId="611AA7D8" w14:textId="77777777" w:rsidR="0049242B" w:rsidRDefault="0049242B" w:rsidP="00492398"/>
          <w:p w14:paraId="56A5F6F0" w14:textId="77777777" w:rsidR="0049242B" w:rsidRDefault="0049242B" w:rsidP="00492398"/>
          <w:p w14:paraId="37FF3D7D" w14:textId="77777777" w:rsidR="0049242B" w:rsidRDefault="0049242B" w:rsidP="00492398"/>
          <w:p w14:paraId="09F0BD5C" w14:textId="77777777" w:rsidR="00F02F7D" w:rsidRDefault="00F02F7D" w:rsidP="00492398"/>
          <w:p w14:paraId="55E6B841" w14:textId="77777777" w:rsidR="0049242B" w:rsidRDefault="0049242B" w:rsidP="00492398">
            <w:r>
              <w:t>OPTATIVAS</w:t>
            </w:r>
          </w:p>
          <w:p w14:paraId="5E3415DF" w14:textId="77777777" w:rsidR="0049242B" w:rsidRDefault="0049242B" w:rsidP="00492398">
            <w:r>
              <w:t>-Biología molecular</w:t>
            </w:r>
          </w:p>
          <w:p w14:paraId="0F37E2A2" w14:textId="77777777" w:rsidR="0049242B" w:rsidRDefault="0049242B" w:rsidP="00492398"/>
          <w:p w14:paraId="6DFE136D" w14:textId="77777777" w:rsidR="0049242B" w:rsidRDefault="0049242B" w:rsidP="00492398"/>
          <w:p w14:paraId="473C2DBD" w14:textId="77777777" w:rsidR="0049242B" w:rsidRDefault="0049242B" w:rsidP="00492398"/>
          <w:p w14:paraId="6AB39049" w14:textId="77777777" w:rsidR="0049242B" w:rsidRDefault="0049242B" w:rsidP="00492398"/>
          <w:p w14:paraId="05B33E8E" w14:textId="77777777" w:rsidR="0049242B" w:rsidRDefault="0049242B" w:rsidP="00492398"/>
          <w:p w14:paraId="48736EA1" w14:textId="77777777" w:rsidR="0049242B" w:rsidRDefault="0049242B" w:rsidP="00492398">
            <w:r>
              <w:t>-Biotecnología II</w:t>
            </w:r>
          </w:p>
          <w:p w14:paraId="0F67F44D" w14:textId="77777777" w:rsidR="0049242B" w:rsidRDefault="0049242B" w:rsidP="00492398"/>
          <w:p w14:paraId="2213F156" w14:textId="77777777" w:rsidR="0049242B" w:rsidRDefault="0049242B" w:rsidP="00492398"/>
          <w:p w14:paraId="721E2F08" w14:textId="77777777" w:rsidR="0049242B" w:rsidRDefault="0049242B" w:rsidP="00492398"/>
          <w:p w14:paraId="0AFF27FE" w14:textId="77777777" w:rsidR="0049242B" w:rsidRDefault="0049242B" w:rsidP="00492398"/>
          <w:p w14:paraId="1F59DCAF" w14:textId="77777777" w:rsidR="0049242B" w:rsidRDefault="0049242B" w:rsidP="00492398">
            <w:r>
              <w:t>-Organismos transgénicos</w:t>
            </w:r>
          </w:p>
          <w:p w14:paraId="5573F286" w14:textId="77777777" w:rsidR="0049242B" w:rsidRDefault="0049242B" w:rsidP="00492398"/>
          <w:p w14:paraId="5C2BED6C" w14:textId="77777777" w:rsidR="0049242B" w:rsidRDefault="0049242B" w:rsidP="00492398"/>
          <w:p w14:paraId="1C4033E9" w14:textId="77777777" w:rsidR="0049242B" w:rsidRDefault="0049242B" w:rsidP="00492398"/>
          <w:p w14:paraId="661425CB" w14:textId="77777777" w:rsidR="0049242B" w:rsidRDefault="0049242B" w:rsidP="00492398">
            <w:r>
              <w:t>-Recursos genéticos</w:t>
            </w:r>
          </w:p>
          <w:p w14:paraId="2DFAC6C5" w14:textId="77777777" w:rsidR="0049242B" w:rsidRDefault="0049242B" w:rsidP="00492398"/>
          <w:p w14:paraId="08A84E3C" w14:textId="77777777" w:rsidR="0049242B" w:rsidRDefault="0049242B" w:rsidP="00492398"/>
          <w:p w14:paraId="3BCDFF08" w14:textId="77777777" w:rsidR="0049242B" w:rsidRDefault="0049242B" w:rsidP="00492398"/>
          <w:p w14:paraId="68BDA853" w14:textId="77777777" w:rsidR="0049242B" w:rsidRDefault="0049242B" w:rsidP="00492398"/>
          <w:p w14:paraId="4EEF70DC" w14:textId="77777777" w:rsidR="0049242B" w:rsidRDefault="0049242B" w:rsidP="00492398"/>
          <w:p w14:paraId="52C999AA" w14:textId="77777777" w:rsidR="0049242B" w:rsidRDefault="0049242B" w:rsidP="00492398">
            <w:r>
              <w:t>-Introducción a la biotecnología molecular</w:t>
            </w:r>
          </w:p>
          <w:p w14:paraId="1B18DE42" w14:textId="77777777" w:rsidR="0049242B" w:rsidRDefault="0049242B" w:rsidP="00492398"/>
          <w:p w14:paraId="2413591A" w14:textId="77777777" w:rsidR="0049242B" w:rsidRDefault="0049242B" w:rsidP="00492398"/>
          <w:p w14:paraId="154E0D18" w14:textId="77777777" w:rsidR="0049242B" w:rsidRDefault="0049242B" w:rsidP="00492398"/>
          <w:p w14:paraId="6E59129B" w14:textId="77777777" w:rsidR="0049242B" w:rsidRDefault="0049242B" w:rsidP="00492398"/>
          <w:p w14:paraId="6A2BA9AF" w14:textId="77777777" w:rsidR="0049242B" w:rsidRDefault="0049242B" w:rsidP="00492398"/>
          <w:p w14:paraId="281995A3" w14:textId="77777777" w:rsidR="0049242B" w:rsidRDefault="0049242B" w:rsidP="00492398"/>
          <w:p w14:paraId="45000754" w14:textId="77777777" w:rsidR="000B43B1" w:rsidRDefault="000B43B1" w:rsidP="00492398"/>
          <w:p w14:paraId="788E59BD" w14:textId="77777777" w:rsidR="0049242B" w:rsidRDefault="0049242B" w:rsidP="00492398">
            <w:r>
              <w:t>-Biotecnología ambiental</w:t>
            </w:r>
          </w:p>
          <w:p w14:paraId="0815AB76" w14:textId="77777777" w:rsidR="0049242B" w:rsidRDefault="0049242B" w:rsidP="00492398"/>
          <w:p w14:paraId="425F94D3" w14:textId="77777777" w:rsidR="0049242B" w:rsidRDefault="0049242B" w:rsidP="00492398"/>
        </w:tc>
        <w:tc>
          <w:tcPr>
            <w:tcW w:w="3628" w:type="dxa"/>
          </w:tcPr>
          <w:p w14:paraId="67DD3D04" w14:textId="77777777" w:rsidR="0049242B" w:rsidRDefault="0049242B" w:rsidP="00492398">
            <w:r>
              <w:t>-Provee conocimiento sobre técnicas del cultivo de tejido para propagación de plantas libres de patógenos, mejoramiento genético, conservación de germoplasma y manejo de microorganismos para el tratamiento de la contaminación.</w:t>
            </w:r>
          </w:p>
          <w:p w14:paraId="2D7A9E8B" w14:textId="77777777" w:rsidR="0049242B" w:rsidRDefault="0049242B" w:rsidP="00492398"/>
          <w:p w14:paraId="5420F70A" w14:textId="21A68D9C" w:rsidR="0049242B" w:rsidRDefault="0049242B" w:rsidP="00492398">
            <w:r>
              <w:t>-</w:t>
            </w:r>
            <w:r w:rsidR="000B43B1">
              <w:t>Entender a los seres v</w:t>
            </w:r>
            <w:r>
              <w:t>ivos como entidades específicas para comprender que los procesos químicos, biológicos y genéticos propician la diversidad biológica.</w:t>
            </w:r>
          </w:p>
          <w:p w14:paraId="0FB20B7C" w14:textId="77777777" w:rsidR="0049242B" w:rsidRDefault="0049242B" w:rsidP="00492398"/>
          <w:p w14:paraId="3C6F4726" w14:textId="77777777" w:rsidR="0049242B" w:rsidRDefault="0049242B" w:rsidP="00492398">
            <w:r>
              <w:t>-Analizar las estrategias biotecnológicas para el mejoramiento del ambiente, conocer y valorar las aplicaciones de la biotecnología agrícola y forestal.</w:t>
            </w:r>
          </w:p>
          <w:p w14:paraId="14095200" w14:textId="77777777" w:rsidR="0049242B" w:rsidRDefault="0049242B" w:rsidP="00492398"/>
          <w:p w14:paraId="449B91A2" w14:textId="3443257B" w:rsidR="0049242B" w:rsidRDefault="0049242B" w:rsidP="00492398">
            <w:r>
              <w:t xml:space="preserve">-Métodos para obtención de organismo </w:t>
            </w:r>
            <w:r w:rsidR="000B43B1">
              <w:t>genéticamente mejorados</w:t>
            </w:r>
            <w:r>
              <w:t xml:space="preserve"> y su importancia en la agricultura, alimentos y otras actividades.</w:t>
            </w:r>
          </w:p>
          <w:p w14:paraId="1F2EC035" w14:textId="77777777" w:rsidR="0049242B" w:rsidRDefault="0049242B" w:rsidP="00492398"/>
          <w:p w14:paraId="5F906840" w14:textId="12A92D7E" w:rsidR="0049242B" w:rsidRDefault="0049242B" w:rsidP="00492398">
            <w:r>
              <w:t>-Conocimiento de especies de plantas agrícolas conserva</w:t>
            </w:r>
            <w:r w:rsidR="000B43B1">
              <w:t>ndo</w:t>
            </w:r>
            <w:r>
              <w:t xml:space="preserve"> </w:t>
            </w:r>
            <w:r w:rsidR="000B43B1">
              <w:t>las</w:t>
            </w:r>
            <w:r>
              <w:t xml:space="preserve"> plantas criollas que tienen su genoma completo y renuevan las especies mejoradas.</w:t>
            </w:r>
          </w:p>
          <w:p w14:paraId="41FC4587" w14:textId="77777777" w:rsidR="0049242B" w:rsidRDefault="0049242B" w:rsidP="00492398"/>
          <w:p w14:paraId="06042390" w14:textId="7F42E960" w:rsidR="0049242B" w:rsidRDefault="0049242B" w:rsidP="00492398">
            <w:r>
              <w:t xml:space="preserve">-El alumno comprenderá los fundamentos de </w:t>
            </w:r>
            <w:r w:rsidR="000B43B1">
              <w:t xml:space="preserve">la </w:t>
            </w:r>
            <w:r>
              <w:t>técnica biotecnológica en la producción de moléculas, mejoramiento genético, manejo de microorganismos para la transferencia genética y su participación en procesos de manejo de la contaminación.</w:t>
            </w:r>
          </w:p>
          <w:p w14:paraId="67D504C8" w14:textId="77777777" w:rsidR="0049242B" w:rsidRDefault="0049242B" w:rsidP="00492398"/>
          <w:p w14:paraId="722552B5" w14:textId="77777777" w:rsidR="0049242B" w:rsidRDefault="0049242B" w:rsidP="00492398">
            <w:r>
              <w:t>-El alumno manejará el aprendizaje práctico de la biotecnología como una forma aplicativa para disminuir el impacto ambiental del agua, aire y suelo.</w:t>
            </w:r>
          </w:p>
        </w:tc>
      </w:tr>
    </w:tbl>
    <w:p w14:paraId="44BB15D7" w14:textId="77777777" w:rsidR="0049242B" w:rsidRDefault="0049242B" w:rsidP="0049242B"/>
    <w:tbl>
      <w:tblPr>
        <w:tblStyle w:val="Tablaconcuadrcula"/>
        <w:tblW w:w="9464" w:type="dxa"/>
        <w:tblLook w:val="04A0" w:firstRow="1" w:lastRow="0" w:firstColumn="1" w:lastColumn="0" w:noHBand="0" w:noVBand="1"/>
      </w:tblPr>
      <w:tblGrid>
        <w:gridCol w:w="1596"/>
        <w:gridCol w:w="1942"/>
        <w:gridCol w:w="2298"/>
        <w:gridCol w:w="3628"/>
      </w:tblGrid>
      <w:tr w:rsidR="0049242B" w14:paraId="61A743F0" w14:textId="77777777" w:rsidTr="00492398">
        <w:tc>
          <w:tcPr>
            <w:tcW w:w="1596" w:type="dxa"/>
          </w:tcPr>
          <w:p w14:paraId="5841C500" w14:textId="77777777" w:rsidR="0049242B" w:rsidRDefault="0049242B" w:rsidP="00492398">
            <w:r>
              <w:t>Bloque</w:t>
            </w:r>
          </w:p>
        </w:tc>
        <w:tc>
          <w:tcPr>
            <w:tcW w:w="1942" w:type="dxa"/>
          </w:tcPr>
          <w:p w14:paraId="6E2F806A" w14:textId="77777777" w:rsidR="0049242B" w:rsidRDefault="0049242B" w:rsidP="00492398">
            <w:r>
              <w:t>Objetivo del Bloque</w:t>
            </w:r>
          </w:p>
        </w:tc>
        <w:tc>
          <w:tcPr>
            <w:tcW w:w="2298" w:type="dxa"/>
          </w:tcPr>
          <w:p w14:paraId="2F5E6688" w14:textId="77777777" w:rsidR="0049242B" w:rsidRDefault="0049242B" w:rsidP="00492398">
            <w:r>
              <w:t>Secuencia de Asignaturas</w:t>
            </w:r>
          </w:p>
        </w:tc>
        <w:tc>
          <w:tcPr>
            <w:tcW w:w="3628" w:type="dxa"/>
          </w:tcPr>
          <w:p w14:paraId="53904B58" w14:textId="77777777" w:rsidR="0049242B" w:rsidRDefault="0049242B" w:rsidP="00492398">
            <w:r>
              <w:t>Orientación formativa de la Asignatura</w:t>
            </w:r>
          </w:p>
        </w:tc>
      </w:tr>
      <w:tr w:rsidR="0049242B" w14:paraId="024234C0" w14:textId="77777777" w:rsidTr="00492398">
        <w:tc>
          <w:tcPr>
            <w:tcW w:w="1596" w:type="dxa"/>
          </w:tcPr>
          <w:p w14:paraId="708FA588" w14:textId="77777777" w:rsidR="0049242B" w:rsidRDefault="0049242B" w:rsidP="00492398"/>
          <w:p w14:paraId="51CE4B1D" w14:textId="77777777" w:rsidR="00F02F7D" w:rsidRDefault="00F02F7D" w:rsidP="00492398"/>
          <w:p w14:paraId="72248959" w14:textId="77777777" w:rsidR="00F02F7D" w:rsidRDefault="00F02F7D" w:rsidP="00492398"/>
          <w:p w14:paraId="7EB61829" w14:textId="77777777" w:rsidR="00F02F7D" w:rsidRDefault="00F02F7D" w:rsidP="00492398"/>
          <w:p w14:paraId="2AC9CE6A" w14:textId="77777777" w:rsidR="00F02F7D" w:rsidRDefault="00F02F7D" w:rsidP="00492398"/>
          <w:p w14:paraId="1B00732E" w14:textId="77777777" w:rsidR="00F02F7D" w:rsidRDefault="00F02F7D" w:rsidP="00492398"/>
          <w:p w14:paraId="7B4F67CD" w14:textId="77777777" w:rsidR="00F02F7D" w:rsidRDefault="00F02F7D" w:rsidP="00492398"/>
          <w:p w14:paraId="304E173D" w14:textId="77777777" w:rsidR="00F02F7D" w:rsidRDefault="00F02F7D" w:rsidP="00492398"/>
          <w:p w14:paraId="3EDE4B10" w14:textId="77777777" w:rsidR="00F02F7D" w:rsidRDefault="00F02F7D" w:rsidP="00492398"/>
          <w:p w14:paraId="70F27EB9" w14:textId="77777777" w:rsidR="00F02F7D" w:rsidRDefault="00F02F7D" w:rsidP="00492398"/>
          <w:p w14:paraId="21F47E36" w14:textId="77777777" w:rsidR="00F02F7D" w:rsidRDefault="00F02F7D" w:rsidP="00492398"/>
          <w:p w14:paraId="3B9AB2F6" w14:textId="77777777" w:rsidR="00F02F7D" w:rsidRDefault="00F02F7D" w:rsidP="00492398"/>
          <w:p w14:paraId="38D05CF0" w14:textId="77777777" w:rsidR="00F02F7D" w:rsidRDefault="00F02F7D" w:rsidP="00492398"/>
          <w:p w14:paraId="2C8A274D" w14:textId="77777777" w:rsidR="00F02F7D" w:rsidRDefault="00F02F7D" w:rsidP="00492398"/>
          <w:p w14:paraId="4B126CB8" w14:textId="77777777" w:rsidR="00F02F7D" w:rsidRDefault="00F02F7D" w:rsidP="00492398"/>
          <w:p w14:paraId="1CE1AE14" w14:textId="77777777" w:rsidR="00F02F7D" w:rsidRDefault="00F02F7D" w:rsidP="00492398"/>
          <w:p w14:paraId="18E009F0" w14:textId="77777777" w:rsidR="00F02F7D" w:rsidRDefault="00F02F7D" w:rsidP="00492398"/>
          <w:p w14:paraId="65E9F967" w14:textId="77777777" w:rsidR="00F02F7D" w:rsidRDefault="00F02F7D" w:rsidP="00492398"/>
          <w:p w14:paraId="5C11CD9E" w14:textId="77777777" w:rsidR="00F02F7D" w:rsidRDefault="00F02F7D" w:rsidP="00492398"/>
          <w:p w14:paraId="320A0123" w14:textId="77777777" w:rsidR="00F02F7D" w:rsidRDefault="00F02F7D" w:rsidP="00492398"/>
          <w:p w14:paraId="44DA7448" w14:textId="77777777" w:rsidR="00F02F7D" w:rsidRDefault="00F02F7D" w:rsidP="00492398"/>
          <w:p w14:paraId="0BABBC76" w14:textId="77777777" w:rsidR="00F02F7D" w:rsidRDefault="00F02F7D" w:rsidP="00492398"/>
          <w:p w14:paraId="5669A739" w14:textId="77777777" w:rsidR="00F02F7D" w:rsidRDefault="00F02F7D" w:rsidP="00492398"/>
          <w:p w14:paraId="2E4123EE" w14:textId="77777777" w:rsidR="00F02F7D" w:rsidRDefault="00F02F7D" w:rsidP="00492398"/>
          <w:p w14:paraId="140C1C5C" w14:textId="77777777" w:rsidR="00F02F7D" w:rsidRDefault="00F02F7D" w:rsidP="00492398"/>
          <w:p w14:paraId="68E62746" w14:textId="34C1A8B0" w:rsidR="00F02F7D" w:rsidRPr="00F02F7D" w:rsidRDefault="00C83C16" w:rsidP="00492398">
            <w:pPr>
              <w:rPr>
                <w:b/>
              </w:rPr>
            </w:pPr>
            <w:r>
              <w:rPr>
                <w:b/>
              </w:rPr>
              <w:t>Ciencias sociales y humanidades</w:t>
            </w:r>
          </w:p>
        </w:tc>
        <w:tc>
          <w:tcPr>
            <w:tcW w:w="1942" w:type="dxa"/>
          </w:tcPr>
          <w:p w14:paraId="04714993" w14:textId="77777777" w:rsidR="0049242B" w:rsidRDefault="0049242B" w:rsidP="00492398"/>
          <w:p w14:paraId="09203385" w14:textId="77777777" w:rsidR="00C83C16" w:rsidRDefault="00C83C16" w:rsidP="00492398"/>
          <w:p w14:paraId="336521C0" w14:textId="77777777" w:rsidR="00C83C16" w:rsidRDefault="00C83C16" w:rsidP="00492398"/>
          <w:p w14:paraId="49CC9193" w14:textId="77777777" w:rsidR="00C83C16" w:rsidRDefault="00C83C16" w:rsidP="00492398"/>
          <w:p w14:paraId="47F9918A" w14:textId="77777777" w:rsidR="00C83C16" w:rsidRDefault="00C83C16" w:rsidP="00492398"/>
          <w:p w14:paraId="4C512C81" w14:textId="77777777" w:rsidR="00C83C16" w:rsidRDefault="00C83C16" w:rsidP="00492398"/>
          <w:p w14:paraId="612534BE" w14:textId="77777777" w:rsidR="00C83C16" w:rsidRDefault="00C83C16" w:rsidP="00492398"/>
          <w:p w14:paraId="6B653BBB" w14:textId="77777777" w:rsidR="00C83C16" w:rsidRDefault="00C83C16" w:rsidP="00492398"/>
          <w:p w14:paraId="25B1658E" w14:textId="77777777" w:rsidR="00C83C16" w:rsidRDefault="00C83C16" w:rsidP="00492398"/>
          <w:p w14:paraId="2191AC5D" w14:textId="77777777" w:rsidR="00C83C16" w:rsidRDefault="00C83C16" w:rsidP="00492398"/>
          <w:p w14:paraId="6C8E32F7" w14:textId="77777777" w:rsidR="00C83C16" w:rsidRDefault="00C83C16" w:rsidP="00492398"/>
          <w:p w14:paraId="26461D00" w14:textId="77777777" w:rsidR="00C83C16" w:rsidRDefault="00C83C16" w:rsidP="00492398"/>
          <w:p w14:paraId="6AD358CC" w14:textId="77777777" w:rsidR="00C83C16" w:rsidRDefault="00C83C16" w:rsidP="00492398"/>
          <w:p w14:paraId="4902751B" w14:textId="77777777" w:rsidR="00C83C16" w:rsidRDefault="00C83C16" w:rsidP="00492398"/>
          <w:p w14:paraId="7E537555" w14:textId="77777777" w:rsidR="00C83C16" w:rsidRDefault="00C83C16" w:rsidP="00492398"/>
          <w:p w14:paraId="62C926A0" w14:textId="77777777" w:rsidR="00C83C16" w:rsidRDefault="00C83C16" w:rsidP="00492398"/>
          <w:p w14:paraId="59DBC5EE" w14:textId="77777777" w:rsidR="00C83C16" w:rsidRDefault="00C83C16" w:rsidP="00492398"/>
          <w:p w14:paraId="5F451453" w14:textId="77777777" w:rsidR="00C83C16" w:rsidRDefault="00C83C16" w:rsidP="00492398"/>
          <w:p w14:paraId="78299E53" w14:textId="77777777" w:rsidR="00C83C16" w:rsidRDefault="00C83C16" w:rsidP="00492398"/>
          <w:p w14:paraId="6FABBEC0" w14:textId="77777777" w:rsidR="00C83C16" w:rsidRDefault="00C83C16" w:rsidP="00492398"/>
          <w:p w14:paraId="2AC1BB78" w14:textId="77777777" w:rsidR="00C83C16" w:rsidRDefault="00C83C16" w:rsidP="00492398"/>
          <w:p w14:paraId="6541BDD6" w14:textId="77777777" w:rsidR="00C83C16" w:rsidRDefault="00C83C16" w:rsidP="00492398"/>
          <w:p w14:paraId="261CB361" w14:textId="77777777" w:rsidR="00C83C16" w:rsidRDefault="00C83C16" w:rsidP="00492398"/>
          <w:p w14:paraId="361A54A6" w14:textId="77777777" w:rsidR="00C83C16" w:rsidRDefault="00C83C16" w:rsidP="00492398"/>
          <w:p w14:paraId="2B2E37ED" w14:textId="77777777" w:rsidR="00C83C16" w:rsidRDefault="00C83C16" w:rsidP="00492398"/>
          <w:p w14:paraId="607DA782" w14:textId="1EFBC6F5" w:rsidR="00C83C16" w:rsidRDefault="00C83C16" w:rsidP="001D7E71">
            <w:r>
              <w:t>Desarrollar</w:t>
            </w:r>
            <w:r w:rsidR="001D7E71">
              <w:t>á</w:t>
            </w:r>
            <w:r>
              <w:t xml:space="preserve"> el aspecto social para complementar su formación en la comunicación oral y escrita y su relación con los intereses administrativos que le permitirán desarrollar proyectos.</w:t>
            </w:r>
          </w:p>
        </w:tc>
        <w:tc>
          <w:tcPr>
            <w:tcW w:w="2298" w:type="dxa"/>
          </w:tcPr>
          <w:p w14:paraId="4F900276" w14:textId="77777777" w:rsidR="0049242B" w:rsidRDefault="0049242B" w:rsidP="00492398">
            <w:r>
              <w:lastRenderedPageBreak/>
              <w:t>-Ingeniería genética</w:t>
            </w:r>
          </w:p>
          <w:p w14:paraId="62BB59B5" w14:textId="77777777" w:rsidR="0049242B" w:rsidRDefault="0049242B" w:rsidP="00492398"/>
          <w:p w14:paraId="486D63B9" w14:textId="77777777" w:rsidR="0049242B" w:rsidRDefault="0049242B" w:rsidP="00492398"/>
          <w:p w14:paraId="27978A6C" w14:textId="77777777" w:rsidR="0049242B" w:rsidRDefault="0049242B" w:rsidP="00492398"/>
          <w:p w14:paraId="7BA61F62" w14:textId="77777777" w:rsidR="0049242B" w:rsidRDefault="0049242B" w:rsidP="00492398">
            <w:r>
              <w:t>-Microbiología industrial</w:t>
            </w:r>
          </w:p>
          <w:p w14:paraId="2F0EDDC0" w14:textId="77777777" w:rsidR="0049242B" w:rsidRDefault="0049242B" w:rsidP="00492398"/>
          <w:p w14:paraId="685DDEFF" w14:textId="77777777" w:rsidR="0049242B" w:rsidRDefault="0049242B" w:rsidP="00492398"/>
          <w:p w14:paraId="7440CB14" w14:textId="77777777" w:rsidR="0049242B" w:rsidRDefault="0049242B" w:rsidP="00492398"/>
          <w:p w14:paraId="74BBB46D" w14:textId="77777777" w:rsidR="0049242B" w:rsidRDefault="0049242B" w:rsidP="00492398"/>
          <w:p w14:paraId="6005A4AB" w14:textId="77777777" w:rsidR="0049242B" w:rsidRDefault="0049242B" w:rsidP="00492398"/>
          <w:p w14:paraId="538B23B0" w14:textId="77777777" w:rsidR="0049242B" w:rsidRDefault="0049242B" w:rsidP="00492398">
            <w:r>
              <w:t>-Taller de investigación I</w:t>
            </w:r>
          </w:p>
          <w:p w14:paraId="1BE50289" w14:textId="77777777" w:rsidR="0049242B" w:rsidRDefault="0049242B" w:rsidP="00492398"/>
          <w:p w14:paraId="3B9F1551" w14:textId="77777777" w:rsidR="0049242B" w:rsidRDefault="0049242B" w:rsidP="00492398"/>
          <w:p w14:paraId="61018C35" w14:textId="77777777" w:rsidR="0049242B" w:rsidRDefault="0049242B" w:rsidP="00492398"/>
          <w:p w14:paraId="136CA78C" w14:textId="77777777" w:rsidR="0049242B" w:rsidRDefault="0049242B" w:rsidP="00492398">
            <w:r>
              <w:t>-Taller de investigación II</w:t>
            </w:r>
          </w:p>
          <w:p w14:paraId="4A64549D" w14:textId="77777777" w:rsidR="0049242B" w:rsidRDefault="0049242B" w:rsidP="00492398"/>
          <w:p w14:paraId="060EF211" w14:textId="77777777" w:rsidR="0049242B" w:rsidRDefault="0049242B" w:rsidP="00492398"/>
          <w:p w14:paraId="0669204A" w14:textId="77777777" w:rsidR="0049242B" w:rsidRDefault="0049242B" w:rsidP="00492398">
            <w:r>
              <w:t>-Prácticas Profesionales</w:t>
            </w:r>
          </w:p>
          <w:p w14:paraId="0A086D82" w14:textId="77777777" w:rsidR="0049242B" w:rsidRDefault="0049242B" w:rsidP="00492398"/>
          <w:p w14:paraId="005DD7AB" w14:textId="77777777" w:rsidR="0049242B" w:rsidRDefault="0049242B" w:rsidP="00492398"/>
          <w:p w14:paraId="2B275A85" w14:textId="77777777" w:rsidR="0049242B" w:rsidRDefault="0049242B" w:rsidP="00492398"/>
          <w:p w14:paraId="1FC857EB" w14:textId="77777777" w:rsidR="0049242B" w:rsidRDefault="0049242B" w:rsidP="00492398"/>
          <w:p w14:paraId="739D31E2" w14:textId="77777777" w:rsidR="00F02F7D" w:rsidRDefault="00F02F7D" w:rsidP="00492398"/>
          <w:p w14:paraId="63E18BB0" w14:textId="77777777" w:rsidR="0049242B" w:rsidRDefault="0049242B" w:rsidP="00492398">
            <w:r>
              <w:t>-Taller de comunicación oral y escrita</w:t>
            </w:r>
          </w:p>
          <w:p w14:paraId="5EB8DD6A" w14:textId="77777777" w:rsidR="0049242B" w:rsidRDefault="0049242B" w:rsidP="00492398"/>
          <w:p w14:paraId="75131CB9" w14:textId="77777777" w:rsidR="0049242B" w:rsidRDefault="0049242B" w:rsidP="00492398"/>
          <w:p w14:paraId="7941D0A7" w14:textId="77777777" w:rsidR="0049242B" w:rsidRDefault="0049242B" w:rsidP="00492398"/>
          <w:p w14:paraId="3C0C6CC9" w14:textId="77777777" w:rsidR="001D7E71" w:rsidRDefault="001D7E71" w:rsidP="00492398"/>
          <w:p w14:paraId="6CEE82C9" w14:textId="77777777" w:rsidR="0049242B" w:rsidRDefault="0049242B" w:rsidP="00492398">
            <w:r>
              <w:t>-Administración I</w:t>
            </w:r>
          </w:p>
          <w:p w14:paraId="151C5D6C" w14:textId="77777777" w:rsidR="0049242B" w:rsidRDefault="0049242B" w:rsidP="00492398"/>
          <w:p w14:paraId="7C38AA35" w14:textId="77777777" w:rsidR="0049242B" w:rsidRDefault="0049242B" w:rsidP="00492398"/>
          <w:p w14:paraId="24E6B961" w14:textId="77777777" w:rsidR="0049242B" w:rsidRDefault="0049242B" w:rsidP="00492398"/>
          <w:p w14:paraId="4262771C" w14:textId="77777777" w:rsidR="0049242B" w:rsidRDefault="0049242B" w:rsidP="00492398"/>
          <w:p w14:paraId="568041D7" w14:textId="77777777" w:rsidR="0049242B" w:rsidRDefault="0049242B" w:rsidP="00492398"/>
          <w:p w14:paraId="116AB8B0" w14:textId="77777777" w:rsidR="0049242B" w:rsidRDefault="0049242B" w:rsidP="00492398"/>
          <w:p w14:paraId="463BFAC6" w14:textId="77777777" w:rsidR="0049242B" w:rsidRDefault="0049242B" w:rsidP="00492398"/>
          <w:p w14:paraId="061058AC" w14:textId="77777777" w:rsidR="0049242B" w:rsidRDefault="0049242B" w:rsidP="00492398">
            <w:r>
              <w:t>-Formulación y evaluación de proyectos</w:t>
            </w:r>
          </w:p>
        </w:tc>
        <w:tc>
          <w:tcPr>
            <w:tcW w:w="3628" w:type="dxa"/>
          </w:tcPr>
          <w:p w14:paraId="3C2670B0" w14:textId="77777777" w:rsidR="0049242B" w:rsidRDefault="0049242B" w:rsidP="00492398">
            <w:r>
              <w:lastRenderedPageBreak/>
              <w:t>-Conocimiento de genética molecular, técnicas de transferencia de genes en plantas y sus aplicaciones.</w:t>
            </w:r>
          </w:p>
          <w:p w14:paraId="29BDDE3D" w14:textId="77777777" w:rsidR="0049242B" w:rsidRDefault="0049242B" w:rsidP="00492398"/>
          <w:p w14:paraId="74039CE1" w14:textId="77777777" w:rsidR="0049242B" w:rsidRDefault="0049242B" w:rsidP="00492398">
            <w:r>
              <w:t>-Tiene como objetivo transmitir al estudiante los conocimientos generales de los microorganismos que se emplean industrialmente, su biología, propiedades bioquímicas, aislamiento e identificación.</w:t>
            </w:r>
          </w:p>
          <w:p w14:paraId="49A651F5" w14:textId="77777777" w:rsidR="0049242B" w:rsidRDefault="0049242B" w:rsidP="00492398"/>
          <w:p w14:paraId="0CA30557" w14:textId="77777777" w:rsidR="0049242B" w:rsidRDefault="0049242B" w:rsidP="00492398">
            <w:r>
              <w:t>-Introducir en el conocimiento del proceso de la investigación científica y desarrollar una investigación original.</w:t>
            </w:r>
          </w:p>
          <w:p w14:paraId="65108C35" w14:textId="77777777" w:rsidR="0049242B" w:rsidRDefault="0049242B" w:rsidP="00492398"/>
          <w:p w14:paraId="46DFB089" w14:textId="77777777" w:rsidR="0049242B" w:rsidRDefault="0049242B" w:rsidP="00492398">
            <w:r>
              <w:t>-Ampliar y Fundamentar el conocimiento de la investigación científica.</w:t>
            </w:r>
          </w:p>
          <w:p w14:paraId="0E844519" w14:textId="77777777" w:rsidR="0049242B" w:rsidRDefault="0049242B" w:rsidP="00492398"/>
          <w:p w14:paraId="035B94F2" w14:textId="77777777" w:rsidR="0049242B" w:rsidRDefault="0049242B" w:rsidP="00492398">
            <w:r>
              <w:t>-El alumno pondrá en práctica sus conocimientos, tendrá la oportunidad de aprender un aspecto práctico que lo utilizará en su desarrollo como profesionista.</w:t>
            </w:r>
          </w:p>
          <w:p w14:paraId="6B6DB89D" w14:textId="77777777" w:rsidR="0049242B" w:rsidRDefault="0049242B" w:rsidP="00492398"/>
          <w:p w14:paraId="6B5061C8" w14:textId="77777777" w:rsidR="0049242B" w:rsidRDefault="0049242B" w:rsidP="00492398">
            <w:r>
              <w:t>-Conocimiento básico del lenguaje oral y escrito esencial para desarrollar las habilidades de hablar y escribir utilizando el idioma español de forma clara, sencilla y precisa.</w:t>
            </w:r>
          </w:p>
          <w:p w14:paraId="531F4CFF" w14:textId="77777777" w:rsidR="0049242B" w:rsidRDefault="0049242B" w:rsidP="00492398">
            <w:r>
              <w:t>-Proporcionar principios y elementos básicos de la administración de empresas para ampliar en el diagnóstico, análisis y toma de decisiones para optimizar el uso de sus recursos para obtención de beneficios.</w:t>
            </w:r>
          </w:p>
          <w:p w14:paraId="72D9B072" w14:textId="77777777" w:rsidR="0049242B" w:rsidRDefault="0049242B" w:rsidP="00492398"/>
          <w:p w14:paraId="2452EF24" w14:textId="77777777" w:rsidR="0049242B" w:rsidRDefault="0049242B" w:rsidP="00492398">
            <w:r>
              <w:t>-Formulación y evaluación de proyectos de inversión relacionados con el sector agropecuario, y las herramientas aplicables.</w:t>
            </w:r>
          </w:p>
          <w:p w14:paraId="1CACF6F2" w14:textId="77777777" w:rsidR="0049242B" w:rsidRDefault="0049242B" w:rsidP="00492398"/>
          <w:p w14:paraId="328A649A" w14:textId="77777777" w:rsidR="0049242B" w:rsidRDefault="0049242B" w:rsidP="00492398"/>
        </w:tc>
      </w:tr>
      <w:tr w:rsidR="0049242B" w14:paraId="658FFACC" w14:textId="77777777" w:rsidTr="00492398">
        <w:tc>
          <w:tcPr>
            <w:tcW w:w="1596" w:type="dxa"/>
          </w:tcPr>
          <w:p w14:paraId="40EE6432" w14:textId="77777777" w:rsidR="0049242B" w:rsidRDefault="0049242B" w:rsidP="00492398">
            <w:r>
              <w:lastRenderedPageBreak/>
              <w:t>Bloque</w:t>
            </w:r>
          </w:p>
        </w:tc>
        <w:tc>
          <w:tcPr>
            <w:tcW w:w="1942" w:type="dxa"/>
          </w:tcPr>
          <w:p w14:paraId="14869FB8" w14:textId="77777777" w:rsidR="0049242B" w:rsidRDefault="0049242B" w:rsidP="00492398">
            <w:r>
              <w:t>Objetivo del Bloque</w:t>
            </w:r>
          </w:p>
        </w:tc>
        <w:tc>
          <w:tcPr>
            <w:tcW w:w="2298" w:type="dxa"/>
          </w:tcPr>
          <w:p w14:paraId="0BAA2040" w14:textId="77777777" w:rsidR="0049242B" w:rsidRDefault="0049242B" w:rsidP="00492398">
            <w:r>
              <w:t>Secuencia de Asignaturas</w:t>
            </w:r>
          </w:p>
        </w:tc>
        <w:tc>
          <w:tcPr>
            <w:tcW w:w="3628" w:type="dxa"/>
          </w:tcPr>
          <w:p w14:paraId="18A3F8E4" w14:textId="77777777" w:rsidR="0049242B" w:rsidRDefault="0049242B" w:rsidP="00492398">
            <w:r>
              <w:t>Orientación formativa de la Asignatura</w:t>
            </w:r>
          </w:p>
        </w:tc>
      </w:tr>
      <w:tr w:rsidR="0049242B" w14:paraId="3B0E28B5" w14:textId="77777777" w:rsidTr="00492398">
        <w:tc>
          <w:tcPr>
            <w:tcW w:w="1596" w:type="dxa"/>
          </w:tcPr>
          <w:p w14:paraId="5F95583F" w14:textId="77777777" w:rsidR="0049242B" w:rsidRDefault="0049242B" w:rsidP="00492398"/>
          <w:p w14:paraId="7F67578D" w14:textId="77777777" w:rsidR="0049242B" w:rsidRDefault="0049242B" w:rsidP="00492398"/>
          <w:p w14:paraId="2182ABE9" w14:textId="77777777" w:rsidR="00C83C16" w:rsidRDefault="00C83C16" w:rsidP="00492398"/>
          <w:p w14:paraId="2D09CF1B" w14:textId="77777777" w:rsidR="00C83C16" w:rsidRDefault="00C83C16" w:rsidP="00492398"/>
          <w:p w14:paraId="3A96C74A" w14:textId="77777777" w:rsidR="0049242B" w:rsidRDefault="0049242B" w:rsidP="00492398"/>
          <w:p w14:paraId="45684084" w14:textId="77777777" w:rsidR="0049242B" w:rsidRDefault="0049242B" w:rsidP="00492398"/>
          <w:p w14:paraId="4B7FF19A" w14:textId="6C5B00E5" w:rsidR="0049242B" w:rsidRDefault="00C83C16" w:rsidP="00492398">
            <w:r>
              <w:lastRenderedPageBreak/>
              <w:t>Otros contenidos</w:t>
            </w:r>
          </w:p>
          <w:p w14:paraId="06647F22" w14:textId="77777777" w:rsidR="0049242B" w:rsidRDefault="0049242B" w:rsidP="00492398"/>
          <w:p w14:paraId="586DFB30" w14:textId="77777777" w:rsidR="0049242B" w:rsidRDefault="0049242B" w:rsidP="00492398"/>
          <w:p w14:paraId="0E4A575A" w14:textId="77777777" w:rsidR="0049242B" w:rsidRDefault="0049242B" w:rsidP="00492398"/>
          <w:p w14:paraId="5505D549" w14:textId="77777777" w:rsidR="0049242B" w:rsidRDefault="0049242B" w:rsidP="00492398"/>
          <w:p w14:paraId="791F7482" w14:textId="73BAEC7C" w:rsidR="0049242B" w:rsidRDefault="0049242B" w:rsidP="00492398">
            <w:r>
              <w:t xml:space="preserve">Materias </w:t>
            </w:r>
            <w:r w:rsidR="00C83C16">
              <w:t>co</w:t>
            </w:r>
            <w:r>
              <w:t>curriculares Curso-Taller</w:t>
            </w:r>
          </w:p>
        </w:tc>
        <w:tc>
          <w:tcPr>
            <w:tcW w:w="1942" w:type="dxa"/>
          </w:tcPr>
          <w:p w14:paraId="46C584FB" w14:textId="77777777" w:rsidR="0049242B" w:rsidRDefault="0049242B" w:rsidP="00492398"/>
          <w:p w14:paraId="228B5E70" w14:textId="77777777" w:rsidR="0049242B" w:rsidRDefault="0049242B" w:rsidP="00492398"/>
          <w:p w14:paraId="57B2AC94" w14:textId="77777777" w:rsidR="0049242B" w:rsidRDefault="0049242B" w:rsidP="00492398"/>
          <w:p w14:paraId="7C9384F3" w14:textId="77777777" w:rsidR="0049242B" w:rsidRDefault="0049242B" w:rsidP="00492398"/>
          <w:p w14:paraId="426060A7" w14:textId="77777777" w:rsidR="0049242B" w:rsidRDefault="0049242B" w:rsidP="00492398"/>
          <w:p w14:paraId="0668C29C" w14:textId="77777777" w:rsidR="0049242B" w:rsidRDefault="0049242B" w:rsidP="00492398"/>
          <w:p w14:paraId="7BFE8946" w14:textId="4027ECD1" w:rsidR="0049242B" w:rsidRDefault="00C83C16" w:rsidP="00492398">
            <w:r>
              <w:lastRenderedPageBreak/>
              <w:t xml:space="preserve">Complementará su </w:t>
            </w:r>
            <w:r w:rsidR="001D7E71">
              <w:t>f</w:t>
            </w:r>
            <w:r>
              <w:t>ormación con el desarrollo de otro idioma como el inglés.</w:t>
            </w:r>
          </w:p>
          <w:p w14:paraId="6EE541E1" w14:textId="77777777" w:rsidR="0049242B" w:rsidRDefault="0049242B" w:rsidP="00492398"/>
          <w:p w14:paraId="74DA9160" w14:textId="77777777" w:rsidR="0049242B" w:rsidRDefault="0049242B" w:rsidP="00492398">
            <w:r>
              <w:t>El alumno aprenderá el aspecto práctico en un área aplicada de interés a la Agrobiología</w:t>
            </w:r>
          </w:p>
        </w:tc>
        <w:tc>
          <w:tcPr>
            <w:tcW w:w="2298" w:type="dxa"/>
          </w:tcPr>
          <w:p w14:paraId="00081314" w14:textId="77777777" w:rsidR="0049242B" w:rsidRDefault="0049242B" w:rsidP="00492398">
            <w:r>
              <w:lastRenderedPageBreak/>
              <w:t>-Economía ambiental y de recursos naturales.</w:t>
            </w:r>
          </w:p>
          <w:p w14:paraId="50D09BD7" w14:textId="77777777" w:rsidR="0049242B" w:rsidRDefault="0049242B" w:rsidP="00492398"/>
          <w:p w14:paraId="6DF75C13" w14:textId="77777777" w:rsidR="0049242B" w:rsidRDefault="0049242B" w:rsidP="00492398"/>
          <w:p w14:paraId="45942BA1" w14:textId="77777777" w:rsidR="0049242B" w:rsidRDefault="0049242B" w:rsidP="00492398"/>
          <w:p w14:paraId="605A9A86" w14:textId="77777777" w:rsidR="0049242B" w:rsidRDefault="0049242B" w:rsidP="00492398"/>
          <w:p w14:paraId="0EE6FB1F" w14:textId="77777777" w:rsidR="0049242B" w:rsidRDefault="0049242B" w:rsidP="00492398">
            <w:r>
              <w:t>-Ingles I</w:t>
            </w:r>
          </w:p>
          <w:p w14:paraId="4E3C9214" w14:textId="77777777" w:rsidR="0049242B" w:rsidRDefault="0049242B" w:rsidP="00492398"/>
          <w:p w14:paraId="04BCDD7D" w14:textId="77777777" w:rsidR="0049242B" w:rsidRDefault="0049242B" w:rsidP="00492398"/>
          <w:p w14:paraId="5C89BE2E" w14:textId="77777777" w:rsidR="0049242B" w:rsidRDefault="0049242B" w:rsidP="00492398">
            <w:r>
              <w:t>-Inglés II</w:t>
            </w:r>
          </w:p>
          <w:p w14:paraId="2B51C646" w14:textId="77777777" w:rsidR="0049242B" w:rsidRDefault="0049242B" w:rsidP="00492398"/>
          <w:p w14:paraId="7B3043EB" w14:textId="77777777" w:rsidR="0049242B" w:rsidRDefault="0049242B" w:rsidP="00492398"/>
          <w:p w14:paraId="59160ADD" w14:textId="77777777" w:rsidR="00D86AFE" w:rsidRDefault="00D86AFE" w:rsidP="00492398"/>
          <w:p w14:paraId="05AA7C12" w14:textId="77777777" w:rsidR="0049242B" w:rsidRDefault="0049242B" w:rsidP="00492398">
            <w:r>
              <w:t>-Taller Biofertilizantes</w:t>
            </w:r>
          </w:p>
          <w:p w14:paraId="78666F04" w14:textId="77777777" w:rsidR="0049242B" w:rsidRDefault="0049242B" w:rsidP="00492398"/>
          <w:p w14:paraId="0CBDDA4D" w14:textId="77777777" w:rsidR="0049242B" w:rsidRDefault="0049242B" w:rsidP="00492398"/>
          <w:p w14:paraId="6A6C7A89" w14:textId="77777777" w:rsidR="0049242B" w:rsidRDefault="0049242B" w:rsidP="00492398"/>
          <w:p w14:paraId="19C22CFD" w14:textId="77777777" w:rsidR="0049242B" w:rsidRDefault="0049242B" w:rsidP="00492398">
            <w:r>
              <w:t>-Taller control biológico de plagas</w:t>
            </w:r>
          </w:p>
          <w:p w14:paraId="49449EDB" w14:textId="77777777" w:rsidR="0049242B" w:rsidRDefault="0049242B" w:rsidP="00492398"/>
          <w:p w14:paraId="688F1332" w14:textId="77777777" w:rsidR="0049242B" w:rsidRDefault="0049242B" w:rsidP="00492398"/>
          <w:p w14:paraId="53E0449F" w14:textId="77777777" w:rsidR="0049242B" w:rsidRDefault="0049242B" w:rsidP="00492398">
            <w:r>
              <w:t>-Taller manejo de sistemas geográficos</w:t>
            </w:r>
          </w:p>
        </w:tc>
        <w:tc>
          <w:tcPr>
            <w:tcW w:w="3628" w:type="dxa"/>
          </w:tcPr>
          <w:p w14:paraId="5DB57156" w14:textId="77777777" w:rsidR="0049242B" w:rsidRDefault="0049242B" w:rsidP="00492398">
            <w:r>
              <w:lastRenderedPageBreak/>
              <w:t>-Comprensión de los fenómenos económicos comunes en un sistema económico y conocer  la realidad económica del país y en particular el sector agropecuario.</w:t>
            </w:r>
          </w:p>
          <w:p w14:paraId="14C9C776" w14:textId="77777777" w:rsidR="0049242B" w:rsidRDefault="0049242B" w:rsidP="00492398"/>
          <w:p w14:paraId="1BF5BDD4" w14:textId="4E357449" w:rsidR="0049242B" w:rsidRDefault="00C83C16" w:rsidP="00492398">
            <w:r>
              <w:lastRenderedPageBreak/>
              <w:t xml:space="preserve">-El idioma inglés le permitirá al alumno complementar su aprendizaje con el conocimiento científico en otro idioma. </w:t>
            </w:r>
          </w:p>
          <w:p w14:paraId="3D803E30" w14:textId="77777777" w:rsidR="0049242B" w:rsidRDefault="0049242B" w:rsidP="00492398"/>
          <w:p w14:paraId="7BDE9EE9" w14:textId="77777777" w:rsidR="0049242B" w:rsidRDefault="0049242B" w:rsidP="00492398"/>
          <w:p w14:paraId="26834AEE" w14:textId="77777777" w:rsidR="0049242B" w:rsidRDefault="0049242B" w:rsidP="00492398"/>
          <w:p w14:paraId="783597D1" w14:textId="166ECE34" w:rsidR="0049242B" w:rsidRDefault="0049242B" w:rsidP="00C83C16">
            <w:r>
              <w:t>-Los talleres tendrá</w:t>
            </w:r>
            <w:r w:rsidR="00C83C16">
              <w:t xml:space="preserve">n </w:t>
            </w:r>
            <w:r>
              <w:t xml:space="preserve"> como objetivo formar al estudiante en un aspecto práctico aplicativo que podrá utilizar como profesionista.</w:t>
            </w:r>
          </w:p>
        </w:tc>
      </w:tr>
    </w:tbl>
    <w:p w14:paraId="47905FEB" w14:textId="77777777" w:rsidR="00114934" w:rsidRDefault="00114934" w:rsidP="005E47E4">
      <w:pPr>
        <w:widowControl w:val="0"/>
        <w:autoSpaceDE w:val="0"/>
        <w:autoSpaceDN w:val="0"/>
        <w:adjustRightInd w:val="0"/>
        <w:jc w:val="both"/>
        <w:rPr>
          <w:rFonts w:ascii="Arial" w:hAnsi="Arial" w:cs="Arial"/>
          <w:b/>
          <w:sz w:val="22"/>
          <w:szCs w:val="22"/>
        </w:rPr>
      </w:pPr>
    </w:p>
    <w:p w14:paraId="08BC9137" w14:textId="77777777" w:rsidR="00114934" w:rsidRPr="007923C2" w:rsidRDefault="00114934"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5.8.6.-TIPOLOGÍA DE ACTIVIDADES CURRICULARES</w:t>
      </w:r>
    </w:p>
    <w:p w14:paraId="451BB276" w14:textId="77777777" w:rsidR="00114934" w:rsidRPr="007923C2" w:rsidRDefault="00114934" w:rsidP="005E47E4">
      <w:pPr>
        <w:widowControl w:val="0"/>
        <w:autoSpaceDE w:val="0"/>
        <w:autoSpaceDN w:val="0"/>
        <w:adjustRightInd w:val="0"/>
        <w:jc w:val="both"/>
        <w:rPr>
          <w:rFonts w:ascii="Arial" w:hAnsi="Arial" w:cs="Arial"/>
          <w:b/>
          <w:sz w:val="22"/>
          <w:szCs w:val="22"/>
        </w:rPr>
      </w:pPr>
    </w:p>
    <w:p w14:paraId="529A3DA5" w14:textId="77777777" w:rsidR="00B244FD" w:rsidRPr="00FF546E" w:rsidRDefault="00B244FD" w:rsidP="00B244FD">
      <w:pPr>
        <w:pStyle w:val="Textoindependiente2"/>
        <w:spacing w:line="360" w:lineRule="auto"/>
        <w:rPr>
          <w:rFonts w:cs="Arial"/>
          <w:sz w:val="26"/>
          <w:szCs w:val="26"/>
        </w:rPr>
      </w:pPr>
      <w:r w:rsidRPr="00FF546E">
        <w:rPr>
          <w:rFonts w:cs="Arial"/>
          <w:sz w:val="26"/>
          <w:szCs w:val="26"/>
        </w:rPr>
        <w:t>Tabla 8. Tipología de Actividades Curriculares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B244FD" w:rsidRPr="00FF546E" w14:paraId="0B797259" w14:textId="77777777" w:rsidTr="00822367">
        <w:tc>
          <w:tcPr>
            <w:tcW w:w="2992" w:type="dxa"/>
            <w:shd w:val="clear" w:color="auto" w:fill="auto"/>
          </w:tcPr>
          <w:p w14:paraId="023BC88C"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NOMBRE DE LA ACTIVIDAD</w:t>
            </w:r>
          </w:p>
        </w:tc>
        <w:tc>
          <w:tcPr>
            <w:tcW w:w="2993" w:type="dxa"/>
            <w:shd w:val="clear" w:color="auto" w:fill="auto"/>
          </w:tcPr>
          <w:p w14:paraId="4A896206"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 xml:space="preserve">CLASIFICACIÓN DE LA ACTIVIDAD </w:t>
            </w:r>
          </w:p>
        </w:tc>
        <w:tc>
          <w:tcPr>
            <w:tcW w:w="2993" w:type="dxa"/>
            <w:shd w:val="clear" w:color="auto" w:fill="auto"/>
          </w:tcPr>
          <w:p w14:paraId="13825EBF"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PORCENTAJE DESEABLE</w:t>
            </w:r>
          </w:p>
        </w:tc>
      </w:tr>
      <w:tr w:rsidR="00B244FD" w:rsidRPr="00FF546E" w14:paraId="5F97B505" w14:textId="77777777" w:rsidTr="00822367">
        <w:tc>
          <w:tcPr>
            <w:tcW w:w="2992" w:type="dxa"/>
            <w:shd w:val="clear" w:color="auto" w:fill="auto"/>
          </w:tcPr>
          <w:p w14:paraId="4D247335"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1.-Cursos o materias balanceadas</w:t>
            </w:r>
          </w:p>
        </w:tc>
        <w:tc>
          <w:tcPr>
            <w:tcW w:w="2993" w:type="dxa"/>
            <w:shd w:val="clear" w:color="auto" w:fill="auto"/>
          </w:tcPr>
          <w:p w14:paraId="0A649EE9"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Formación Profesional básica, fundamental, aplicada, metodológica, social y humanística</w:t>
            </w:r>
          </w:p>
        </w:tc>
        <w:tc>
          <w:tcPr>
            <w:tcW w:w="2993" w:type="dxa"/>
            <w:shd w:val="clear" w:color="auto" w:fill="auto"/>
          </w:tcPr>
          <w:p w14:paraId="5130FE46"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60 a 70% (de 30 a 35 materias)</w:t>
            </w:r>
          </w:p>
        </w:tc>
      </w:tr>
      <w:tr w:rsidR="00B244FD" w:rsidRPr="00FF546E" w14:paraId="0FA71865" w14:textId="77777777" w:rsidTr="00822367">
        <w:tc>
          <w:tcPr>
            <w:tcW w:w="8978" w:type="dxa"/>
            <w:gridSpan w:val="3"/>
            <w:shd w:val="clear" w:color="auto" w:fill="auto"/>
          </w:tcPr>
          <w:p w14:paraId="5A0868BE"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Cursos y actividades obligatorias</w:t>
            </w:r>
          </w:p>
        </w:tc>
      </w:tr>
      <w:tr w:rsidR="00B244FD" w:rsidRPr="00FF546E" w14:paraId="4AF464F2" w14:textId="77777777" w:rsidTr="00822367">
        <w:tc>
          <w:tcPr>
            <w:tcW w:w="2992" w:type="dxa"/>
            <w:shd w:val="clear" w:color="auto" w:fill="auto"/>
          </w:tcPr>
          <w:p w14:paraId="185F863A"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1.1.- Seminario de Temas Selectos</w:t>
            </w:r>
          </w:p>
        </w:tc>
        <w:tc>
          <w:tcPr>
            <w:tcW w:w="2993" w:type="dxa"/>
            <w:shd w:val="clear" w:color="auto" w:fill="auto"/>
          </w:tcPr>
          <w:p w14:paraId="23AD2701"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Profundización y Actualización</w:t>
            </w:r>
          </w:p>
        </w:tc>
        <w:tc>
          <w:tcPr>
            <w:tcW w:w="2993" w:type="dxa"/>
            <w:shd w:val="clear" w:color="auto" w:fill="auto"/>
          </w:tcPr>
          <w:p w14:paraId="44BE133A"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4% (2 materias)</w:t>
            </w:r>
          </w:p>
        </w:tc>
      </w:tr>
      <w:tr w:rsidR="00B244FD" w:rsidRPr="00FF546E" w14:paraId="7B0C90D2" w14:textId="77777777" w:rsidTr="00822367">
        <w:tc>
          <w:tcPr>
            <w:tcW w:w="2992" w:type="dxa"/>
            <w:shd w:val="clear" w:color="auto" w:fill="auto"/>
          </w:tcPr>
          <w:p w14:paraId="1CD17FB1"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1.2.- Prácticas</w:t>
            </w:r>
          </w:p>
          <w:p w14:paraId="2C1C72BB" w14:textId="77777777" w:rsidR="00B244FD" w:rsidRPr="00FF546E" w:rsidRDefault="00B244FD" w:rsidP="00B244FD">
            <w:pPr>
              <w:pStyle w:val="Textoindependiente2"/>
              <w:numPr>
                <w:ilvl w:val="0"/>
                <w:numId w:val="219"/>
              </w:numPr>
              <w:spacing w:line="360" w:lineRule="auto"/>
              <w:rPr>
                <w:rFonts w:cs="Arial"/>
                <w:sz w:val="26"/>
                <w:szCs w:val="26"/>
              </w:rPr>
            </w:pPr>
            <w:r w:rsidRPr="00FF546E">
              <w:rPr>
                <w:rFonts w:cs="Arial"/>
                <w:sz w:val="26"/>
                <w:szCs w:val="26"/>
              </w:rPr>
              <w:t>De laboratorio</w:t>
            </w:r>
          </w:p>
          <w:p w14:paraId="5A6A4A12" w14:textId="77777777" w:rsidR="00B244FD" w:rsidRPr="00FF546E" w:rsidRDefault="00B244FD" w:rsidP="00B244FD">
            <w:pPr>
              <w:pStyle w:val="Textoindependiente2"/>
              <w:numPr>
                <w:ilvl w:val="0"/>
                <w:numId w:val="219"/>
              </w:numPr>
              <w:spacing w:line="360" w:lineRule="auto"/>
              <w:rPr>
                <w:rFonts w:cs="Arial"/>
                <w:sz w:val="26"/>
                <w:szCs w:val="26"/>
              </w:rPr>
            </w:pPr>
            <w:r w:rsidRPr="00FF546E">
              <w:rPr>
                <w:rFonts w:cs="Arial"/>
                <w:sz w:val="26"/>
                <w:szCs w:val="26"/>
              </w:rPr>
              <w:t>De campo</w:t>
            </w:r>
          </w:p>
          <w:p w14:paraId="3AA88216" w14:textId="77777777" w:rsidR="00B244FD" w:rsidRPr="00FF546E" w:rsidRDefault="00B244FD" w:rsidP="00B244FD">
            <w:pPr>
              <w:pStyle w:val="Textoindependiente2"/>
              <w:numPr>
                <w:ilvl w:val="0"/>
                <w:numId w:val="219"/>
              </w:numPr>
              <w:spacing w:line="360" w:lineRule="auto"/>
              <w:rPr>
                <w:rFonts w:cs="Arial"/>
                <w:sz w:val="26"/>
                <w:szCs w:val="26"/>
              </w:rPr>
            </w:pPr>
            <w:r w:rsidRPr="00FF546E">
              <w:rPr>
                <w:rFonts w:cs="Arial"/>
                <w:sz w:val="26"/>
                <w:szCs w:val="26"/>
              </w:rPr>
              <w:t>Taller</w:t>
            </w:r>
          </w:p>
        </w:tc>
        <w:tc>
          <w:tcPr>
            <w:tcW w:w="2993" w:type="dxa"/>
            <w:shd w:val="clear" w:color="auto" w:fill="auto"/>
          </w:tcPr>
          <w:p w14:paraId="6D934EE5"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Aplicación</w:t>
            </w:r>
          </w:p>
        </w:tc>
        <w:tc>
          <w:tcPr>
            <w:tcW w:w="2993" w:type="dxa"/>
            <w:shd w:val="clear" w:color="auto" w:fill="auto"/>
          </w:tcPr>
          <w:p w14:paraId="47469D47"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40% de todos los contenidos distribuidos en los diferentes tipos, más las materias específicas de prácticas</w:t>
            </w:r>
          </w:p>
        </w:tc>
      </w:tr>
      <w:tr w:rsidR="00B244FD" w:rsidRPr="00FF546E" w14:paraId="56F8A4EB" w14:textId="77777777" w:rsidTr="00822367">
        <w:tc>
          <w:tcPr>
            <w:tcW w:w="2992" w:type="dxa"/>
            <w:shd w:val="clear" w:color="auto" w:fill="auto"/>
          </w:tcPr>
          <w:p w14:paraId="2C1CB4F0"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lastRenderedPageBreak/>
              <w:t>1.3.- Seminario de tesis</w:t>
            </w:r>
          </w:p>
        </w:tc>
        <w:tc>
          <w:tcPr>
            <w:tcW w:w="2993" w:type="dxa"/>
            <w:shd w:val="clear" w:color="auto" w:fill="auto"/>
          </w:tcPr>
          <w:p w14:paraId="64561D59"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Investigación general para titulación</w:t>
            </w:r>
          </w:p>
        </w:tc>
        <w:tc>
          <w:tcPr>
            <w:tcW w:w="2993" w:type="dxa"/>
            <w:shd w:val="clear" w:color="auto" w:fill="auto"/>
          </w:tcPr>
          <w:p w14:paraId="56B0C815"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6%  (Considerar 3 materias en los últimos semestres)</w:t>
            </w:r>
          </w:p>
        </w:tc>
      </w:tr>
      <w:tr w:rsidR="00B244FD" w:rsidRPr="00FF546E" w14:paraId="3659B51F" w14:textId="77777777" w:rsidTr="00822367">
        <w:tc>
          <w:tcPr>
            <w:tcW w:w="2992" w:type="dxa"/>
            <w:shd w:val="clear" w:color="auto" w:fill="auto"/>
          </w:tcPr>
          <w:p w14:paraId="1BDBBCAA"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2.- Espacios para materias optativas</w:t>
            </w:r>
          </w:p>
        </w:tc>
        <w:tc>
          <w:tcPr>
            <w:tcW w:w="2993" w:type="dxa"/>
            <w:shd w:val="clear" w:color="auto" w:fill="auto"/>
          </w:tcPr>
          <w:p w14:paraId="57E191CF"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Desarrollo para toma de decisiones autónomo del alumno en cuanto a su propia formación</w:t>
            </w:r>
          </w:p>
        </w:tc>
        <w:tc>
          <w:tcPr>
            <w:tcW w:w="2993" w:type="dxa"/>
            <w:shd w:val="clear" w:color="auto" w:fill="auto"/>
          </w:tcPr>
          <w:p w14:paraId="03A39A0E" w14:textId="77777777" w:rsidR="00B244FD" w:rsidRPr="00FF546E" w:rsidRDefault="00B244FD" w:rsidP="00822367">
            <w:pPr>
              <w:pStyle w:val="Textoindependiente2"/>
              <w:spacing w:line="360" w:lineRule="auto"/>
              <w:rPr>
                <w:rFonts w:cs="Arial"/>
                <w:sz w:val="26"/>
                <w:szCs w:val="26"/>
              </w:rPr>
            </w:pPr>
            <w:r w:rsidRPr="00FF546E">
              <w:rPr>
                <w:rFonts w:cs="Arial"/>
                <w:sz w:val="26"/>
                <w:szCs w:val="26"/>
              </w:rPr>
              <w:t>20 a 30% del plan de estudios (de 10 a 15 materias)</w:t>
            </w:r>
          </w:p>
        </w:tc>
      </w:tr>
    </w:tbl>
    <w:p w14:paraId="2A863C48" w14:textId="77777777" w:rsidR="00114934" w:rsidRPr="007923C2" w:rsidRDefault="00114934" w:rsidP="005E47E4">
      <w:pPr>
        <w:widowControl w:val="0"/>
        <w:autoSpaceDE w:val="0"/>
        <w:autoSpaceDN w:val="0"/>
        <w:adjustRightInd w:val="0"/>
        <w:jc w:val="both"/>
        <w:rPr>
          <w:rFonts w:ascii="Arial" w:hAnsi="Arial" w:cs="Arial"/>
          <w:b/>
          <w:sz w:val="22"/>
          <w:szCs w:val="22"/>
        </w:rPr>
      </w:pPr>
    </w:p>
    <w:p w14:paraId="33EEFADD" w14:textId="77777777" w:rsidR="00114934" w:rsidRPr="007923C2" w:rsidRDefault="00114934"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5.9.-EJES DE DESARROLLO TRANSVERSAL EN LOS PLANES DE ESTUDIO.</w:t>
      </w:r>
    </w:p>
    <w:p w14:paraId="721AD1EA" w14:textId="77777777" w:rsidR="0044051F" w:rsidRPr="007923C2" w:rsidRDefault="0044051F" w:rsidP="0044051F">
      <w:pPr>
        <w:pStyle w:val="Textoindependiente2"/>
        <w:spacing w:line="360" w:lineRule="auto"/>
        <w:rPr>
          <w:rFonts w:cs="Arial"/>
          <w:sz w:val="22"/>
          <w:szCs w:val="22"/>
        </w:rPr>
      </w:pPr>
      <w:r w:rsidRPr="007923C2">
        <w:rPr>
          <w:rFonts w:cs="Arial"/>
          <w:sz w:val="22"/>
          <w:szCs w:val="22"/>
        </w:rPr>
        <w:t>Los ejes de desarrollo transversal se encuentran presentes en el diseño de los programas analíticos de cada materia, para ello es necesario hacer un análisis de contenidos y procesos de cada una de ellas para verificar su pertenencia al bloque y su relación con los otros bloques. Cuando se solicite la elaboración o actualización de una materia deberán considerarse los siguientes puntos:</w:t>
      </w:r>
    </w:p>
    <w:p w14:paraId="09F3F1DA" w14:textId="77777777"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El compromiso ético y la responsabilidad social, además de considerar materias sobre la ética profesional y valores.</w:t>
      </w:r>
    </w:p>
    <w:p w14:paraId="6E91E4C6" w14:textId="77777777"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Desarrollo de la creatividad, la innovación y el pensamiento crítico.</w:t>
      </w:r>
    </w:p>
    <w:p w14:paraId="6E02830D" w14:textId="77777777"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Desarrollo de actividades de investigación de todo tipo; documental, de campo, de observación, replicativa, entre otras.</w:t>
      </w:r>
    </w:p>
    <w:p w14:paraId="716A8520" w14:textId="77777777"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Desarrollo de actividades que formen la actitud de aprender a aprender, discriminación, actualización permanente y pensamiento lógico.</w:t>
      </w:r>
    </w:p>
    <w:p w14:paraId="1E822320" w14:textId="77777777"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El desarrollo de la crítica y la autocrítica como elementos del conocer.</w:t>
      </w:r>
    </w:p>
    <w:p w14:paraId="018A37E7" w14:textId="77777777"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Elaborar estrategias que desarrollen las habilidades de abstracción, y los métodos del pensamiento, como análisis, síntesis, deducción e inducción.</w:t>
      </w:r>
    </w:p>
    <w:p w14:paraId="2E8F5204" w14:textId="77777777"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Desarrollar actividades que fomenten el trabajo en equipo y la interculturalidad.</w:t>
      </w:r>
    </w:p>
    <w:p w14:paraId="4B4A26AA" w14:textId="77777777"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En la evaluación se deben considerar las habilidades de comunicación oral y escrita que presenta el alumno.</w:t>
      </w:r>
    </w:p>
    <w:p w14:paraId="76BA2A79" w14:textId="77777777" w:rsidR="0044051F" w:rsidRPr="007923C2" w:rsidRDefault="0044051F" w:rsidP="00A60C78">
      <w:pPr>
        <w:pStyle w:val="Textoindependiente2"/>
        <w:numPr>
          <w:ilvl w:val="0"/>
          <w:numId w:val="109"/>
        </w:numPr>
        <w:tabs>
          <w:tab w:val="clear" w:pos="720"/>
        </w:tabs>
        <w:spacing w:line="360" w:lineRule="auto"/>
        <w:rPr>
          <w:rFonts w:cs="Arial"/>
          <w:sz w:val="22"/>
          <w:szCs w:val="22"/>
        </w:rPr>
      </w:pPr>
      <w:r w:rsidRPr="007923C2">
        <w:rPr>
          <w:rFonts w:cs="Arial"/>
          <w:sz w:val="22"/>
          <w:szCs w:val="22"/>
        </w:rPr>
        <w:t>Los materiales de estudio en otro idioma son necesarios para que los alumnos practiquen lo que aprenden en las materias obligatorias y optativas de un segundo idioma.</w:t>
      </w:r>
    </w:p>
    <w:p w14:paraId="5EFC5CE4" w14:textId="77777777" w:rsidR="0044051F" w:rsidRPr="007923C2" w:rsidRDefault="0044051F" w:rsidP="00A60C78">
      <w:pPr>
        <w:pStyle w:val="Textoindependiente2"/>
        <w:numPr>
          <w:ilvl w:val="0"/>
          <w:numId w:val="109"/>
        </w:numPr>
        <w:tabs>
          <w:tab w:val="clear" w:pos="720"/>
          <w:tab w:val="left" w:pos="748"/>
        </w:tabs>
        <w:spacing w:line="360" w:lineRule="auto"/>
        <w:rPr>
          <w:rFonts w:cs="Arial"/>
          <w:sz w:val="22"/>
          <w:szCs w:val="22"/>
        </w:rPr>
      </w:pPr>
      <w:r w:rsidRPr="007923C2">
        <w:rPr>
          <w:rFonts w:cs="Arial"/>
          <w:sz w:val="22"/>
          <w:szCs w:val="22"/>
        </w:rPr>
        <w:t xml:space="preserve">En los contenidos y procesos de las materias del plan de estudios se deben contemplar el uso de las Tecnologías de la Información y la Comunicación como herramientas de </w:t>
      </w:r>
      <w:r w:rsidRPr="007923C2">
        <w:rPr>
          <w:rFonts w:cs="Arial"/>
          <w:sz w:val="22"/>
          <w:szCs w:val="22"/>
        </w:rPr>
        <w:lastRenderedPageBreak/>
        <w:t>acceso a los conocimientos más novedosos, por lo que su utilización debe quedar explícita en los programas analíticos. Además de desarrollar la habilidad de búsqueda procesamiento y discriminación de información en línea y en diversas fuentes.</w:t>
      </w:r>
    </w:p>
    <w:p w14:paraId="12847744" w14:textId="77777777" w:rsidR="0044051F" w:rsidRPr="007923C2" w:rsidRDefault="0044051F" w:rsidP="00A60C78">
      <w:pPr>
        <w:pStyle w:val="Textoindependiente2"/>
        <w:numPr>
          <w:ilvl w:val="0"/>
          <w:numId w:val="109"/>
        </w:numPr>
        <w:tabs>
          <w:tab w:val="clear" w:pos="720"/>
          <w:tab w:val="left" w:pos="748"/>
        </w:tabs>
        <w:spacing w:line="360" w:lineRule="auto"/>
        <w:rPr>
          <w:rFonts w:cs="Arial"/>
          <w:sz w:val="22"/>
          <w:szCs w:val="22"/>
        </w:rPr>
      </w:pPr>
      <w:r w:rsidRPr="007923C2">
        <w:rPr>
          <w:rFonts w:cs="Arial"/>
          <w:sz w:val="22"/>
          <w:szCs w:val="22"/>
        </w:rPr>
        <w:t>Desarrollo del compromiso por la Sustentabilidad y la ecología como forma de vida y enseñanza de la misma.</w:t>
      </w:r>
    </w:p>
    <w:p w14:paraId="7EE01669" w14:textId="77777777" w:rsidR="0044051F" w:rsidRPr="007923C2" w:rsidRDefault="0044051F" w:rsidP="0044051F">
      <w:pPr>
        <w:pStyle w:val="Textoindependiente2"/>
        <w:spacing w:line="360" w:lineRule="auto"/>
        <w:rPr>
          <w:rFonts w:cs="Arial"/>
          <w:sz w:val="22"/>
          <w:szCs w:val="22"/>
        </w:rPr>
      </w:pPr>
    </w:p>
    <w:p w14:paraId="75C8A883" w14:textId="77777777" w:rsidR="0044051F" w:rsidRPr="007923C2" w:rsidRDefault="0044051F" w:rsidP="0044051F">
      <w:pPr>
        <w:pStyle w:val="Textoindependiente2"/>
        <w:spacing w:line="360" w:lineRule="auto"/>
        <w:rPr>
          <w:rFonts w:cs="Arial"/>
          <w:sz w:val="22"/>
          <w:szCs w:val="22"/>
        </w:rPr>
      </w:pPr>
      <w:r w:rsidRPr="007923C2">
        <w:rPr>
          <w:rFonts w:cs="Arial"/>
          <w:sz w:val="22"/>
          <w:szCs w:val="22"/>
        </w:rPr>
        <w:t xml:space="preserve">Se deberán considerar materias, cursos, actividades programadas, prácticas, que sean susceptibles de registro y evidencien los siguientes aspectos del Modelo Educativo: </w:t>
      </w:r>
    </w:p>
    <w:p w14:paraId="2DF598DC" w14:textId="77777777" w:rsidR="0044051F" w:rsidRPr="007923C2" w:rsidRDefault="0044051F" w:rsidP="0044051F">
      <w:pPr>
        <w:pStyle w:val="Textoindependiente2"/>
        <w:spacing w:line="360" w:lineRule="auto"/>
        <w:rPr>
          <w:rFonts w:cs="Arial"/>
          <w:sz w:val="22"/>
          <w:szCs w:val="22"/>
        </w:rPr>
      </w:pPr>
    </w:p>
    <w:p w14:paraId="41F5FFB9" w14:textId="77777777" w:rsidR="0044051F" w:rsidRPr="007923C2" w:rsidRDefault="0044051F" w:rsidP="0044051F">
      <w:pPr>
        <w:pStyle w:val="Textoindependiente2"/>
        <w:tabs>
          <w:tab w:val="num" w:pos="720"/>
        </w:tabs>
        <w:spacing w:line="360" w:lineRule="auto"/>
        <w:ind w:left="360"/>
        <w:rPr>
          <w:rFonts w:cs="Arial"/>
          <w:sz w:val="22"/>
          <w:szCs w:val="22"/>
        </w:rPr>
      </w:pPr>
      <w:r w:rsidRPr="007923C2">
        <w:rPr>
          <w:rFonts w:cs="Arial"/>
          <w:noProof/>
          <w:sz w:val="22"/>
          <w:szCs w:val="22"/>
          <w:lang w:eastAsia="es-MX"/>
        </w:rPr>
        <w:drawing>
          <wp:inline distT="0" distB="0" distL="0" distR="0" wp14:anchorId="326CFEC1" wp14:editId="1A7607AF">
            <wp:extent cx="144145" cy="144145"/>
            <wp:effectExtent l="0" t="0" r="8255" b="8255"/>
            <wp:docPr id="628" name="Imagen 628"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D10263_"/>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a:ln>
                      <a:noFill/>
                    </a:ln>
                  </pic:spPr>
                </pic:pic>
              </a:graphicData>
            </a:graphic>
          </wp:inline>
        </w:drawing>
      </w:r>
      <w:r w:rsidRPr="007923C2">
        <w:rPr>
          <w:rFonts w:cs="Arial"/>
          <w:sz w:val="22"/>
          <w:szCs w:val="22"/>
        </w:rPr>
        <w:tab/>
        <w:t>La formación unificadora que representa la dirección que debe observar la formación integral mediante la unión de los procesos de investigación, de la docencia y el desarrollo comunitario.</w:t>
      </w:r>
    </w:p>
    <w:p w14:paraId="156020D8" w14:textId="77777777" w:rsidR="0044051F" w:rsidRPr="007923C2" w:rsidRDefault="0044051F" w:rsidP="0044051F">
      <w:pPr>
        <w:pStyle w:val="Textoindependiente2"/>
        <w:tabs>
          <w:tab w:val="num" w:pos="720"/>
        </w:tabs>
        <w:spacing w:line="360" w:lineRule="auto"/>
        <w:ind w:left="360"/>
        <w:rPr>
          <w:rFonts w:cs="Arial"/>
          <w:sz w:val="22"/>
          <w:szCs w:val="22"/>
        </w:rPr>
      </w:pPr>
      <w:r w:rsidRPr="007923C2">
        <w:rPr>
          <w:rFonts w:cs="Arial"/>
          <w:noProof/>
          <w:sz w:val="22"/>
          <w:szCs w:val="22"/>
          <w:lang w:eastAsia="es-MX"/>
        </w:rPr>
        <w:drawing>
          <wp:inline distT="0" distB="0" distL="0" distR="0" wp14:anchorId="3D1188AF" wp14:editId="64B57FAF">
            <wp:extent cx="144145" cy="144145"/>
            <wp:effectExtent l="0" t="0" r="8255" b="8255"/>
            <wp:docPr id="536" name="Imagen 536"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D10263_"/>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a:ln>
                      <a:noFill/>
                    </a:ln>
                  </pic:spPr>
                </pic:pic>
              </a:graphicData>
            </a:graphic>
          </wp:inline>
        </w:drawing>
      </w:r>
      <w:r w:rsidRPr="007923C2">
        <w:rPr>
          <w:rFonts w:cs="Arial"/>
          <w:sz w:val="22"/>
          <w:szCs w:val="22"/>
        </w:rPr>
        <w:tab/>
        <w:t>Formación para la producción</w:t>
      </w:r>
    </w:p>
    <w:p w14:paraId="23D8C0A2" w14:textId="77777777" w:rsidR="0044051F" w:rsidRPr="007923C2" w:rsidRDefault="0044051F" w:rsidP="0044051F">
      <w:pPr>
        <w:pStyle w:val="Textoindependiente2"/>
        <w:tabs>
          <w:tab w:val="num" w:pos="720"/>
        </w:tabs>
        <w:spacing w:line="360" w:lineRule="auto"/>
        <w:ind w:left="360"/>
        <w:rPr>
          <w:rFonts w:cs="Arial"/>
          <w:sz w:val="22"/>
          <w:szCs w:val="22"/>
        </w:rPr>
      </w:pPr>
      <w:r w:rsidRPr="007923C2">
        <w:rPr>
          <w:rFonts w:cs="Arial"/>
          <w:noProof/>
          <w:sz w:val="22"/>
          <w:szCs w:val="22"/>
          <w:lang w:eastAsia="es-MX"/>
        </w:rPr>
        <w:drawing>
          <wp:inline distT="0" distB="0" distL="0" distR="0" wp14:anchorId="21F03BCF" wp14:editId="183348DF">
            <wp:extent cx="144145" cy="144145"/>
            <wp:effectExtent l="0" t="0" r="8255" b="8255"/>
            <wp:docPr id="535" name="Imagen 535"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D10263_"/>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a:ln>
                      <a:noFill/>
                    </a:ln>
                  </pic:spPr>
                </pic:pic>
              </a:graphicData>
            </a:graphic>
          </wp:inline>
        </w:drawing>
      </w:r>
      <w:r w:rsidRPr="007923C2">
        <w:rPr>
          <w:rFonts w:cs="Arial"/>
          <w:sz w:val="22"/>
          <w:szCs w:val="22"/>
        </w:rPr>
        <w:tab/>
        <w:t>Formación para el autoempleo, con el compromiso del educando para crear  su propia fuente de empleo.</w:t>
      </w:r>
    </w:p>
    <w:p w14:paraId="4D62C93D" w14:textId="77777777" w:rsidR="0044051F" w:rsidRPr="007923C2" w:rsidRDefault="0044051F" w:rsidP="0044051F">
      <w:pPr>
        <w:pStyle w:val="Textoindependiente2"/>
        <w:tabs>
          <w:tab w:val="num" w:pos="720"/>
        </w:tabs>
        <w:spacing w:line="360" w:lineRule="auto"/>
        <w:ind w:left="360"/>
        <w:rPr>
          <w:rFonts w:cs="Arial"/>
          <w:sz w:val="22"/>
          <w:szCs w:val="22"/>
        </w:rPr>
      </w:pPr>
      <w:r w:rsidRPr="007923C2">
        <w:rPr>
          <w:rFonts w:cs="Arial"/>
          <w:noProof/>
          <w:sz w:val="22"/>
          <w:szCs w:val="22"/>
          <w:lang w:eastAsia="es-MX"/>
        </w:rPr>
        <w:drawing>
          <wp:inline distT="0" distB="0" distL="0" distR="0" wp14:anchorId="027F503B" wp14:editId="6935AA44">
            <wp:extent cx="144145" cy="144145"/>
            <wp:effectExtent l="0" t="0" r="8255" b="8255"/>
            <wp:docPr id="534" name="Imagen 534"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D10263_"/>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a:ln>
                      <a:noFill/>
                    </a:ln>
                  </pic:spPr>
                </pic:pic>
              </a:graphicData>
            </a:graphic>
          </wp:inline>
        </w:drawing>
      </w:r>
      <w:r w:rsidRPr="007923C2">
        <w:rPr>
          <w:rFonts w:cs="Arial"/>
          <w:sz w:val="22"/>
          <w:szCs w:val="22"/>
        </w:rPr>
        <w:tab/>
        <w:t>Formación para la calidad a través de contenidos y herramientas que permitan al alumno desarrollarse en el ámbito de la globalización del conocimiento y del empleo, para esto se debe recurrir a materiales en otros idiomas, al uso frecuente de las tecnologías de la información, al estudio de las condiciones sociales y económicas de otros países, entre otros.</w:t>
      </w:r>
    </w:p>
    <w:p w14:paraId="61CF0073" w14:textId="77777777" w:rsidR="0044051F" w:rsidRPr="007923C2" w:rsidRDefault="0044051F" w:rsidP="0044051F">
      <w:pPr>
        <w:pStyle w:val="Textoindependiente2"/>
        <w:tabs>
          <w:tab w:val="num" w:pos="720"/>
        </w:tabs>
        <w:spacing w:line="360" w:lineRule="auto"/>
        <w:ind w:left="360"/>
        <w:rPr>
          <w:rFonts w:cs="Arial"/>
          <w:sz w:val="22"/>
          <w:szCs w:val="22"/>
        </w:rPr>
      </w:pPr>
      <w:r w:rsidRPr="007923C2">
        <w:rPr>
          <w:rFonts w:cs="Arial"/>
          <w:noProof/>
          <w:sz w:val="22"/>
          <w:szCs w:val="22"/>
          <w:lang w:eastAsia="es-MX"/>
        </w:rPr>
        <w:drawing>
          <wp:inline distT="0" distB="0" distL="0" distR="0" wp14:anchorId="4AD1F3CE" wp14:editId="73831567">
            <wp:extent cx="144145" cy="144145"/>
            <wp:effectExtent l="0" t="0" r="8255" b="8255"/>
            <wp:docPr id="533" name="Imagen 533"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D10263_"/>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a:ln>
                      <a:noFill/>
                    </a:ln>
                  </pic:spPr>
                </pic:pic>
              </a:graphicData>
            </a:graphic>
          </wp:inline>
        </w:drawing>
      </w:r>
      <w:r w:rsidRPr="007923C2">
        <w:rPr>
          <w:rFonts w:cs="Arial"/>
          <w:sz w:val="22"/>
          <w:szCs w:val="22"/>
        </w:rPr>
        <w:tab/>
        <w:t>Formación práctica, durante el transcurso de la carrera y a través de un semestre de prácticas profesionales cuya duración no debe ser menor de 15 semanas.</w:t>
      </w:r>
    </w:p>
    <w:p w14:paraId="5D512D11" w14:textId="77777777" w:rsidR="0044051F" w:rsidRPr="007923C2" w:rsidRDefault="0044051F" w:rsidP="0044051F">
      <w:pPr>
        <w:pStyle w:val="Textoindependiente2"/>
        <w:spacing w:line="360" w:lineRule="auto"/>
        <w:rPr>
          <w:rFonts w:cs="Arial"/>
          <w:sz w:val="22"/>
          <w:szCs w:val="22"/>
        </w:rPr>
      </w:pPr>
    </w:p>
    <w:p w14:paraId="0E3AD798" w14:textId="77777777" w:rsidR="00D274BB" w:rsidRPr="007923C2" w:rsidRDefault="0044051F"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5.10.-MAPA CURRICULAR</w:t>
      </w:r>
    </w:p>
    <w:p w14:paraId="026DA3B6" w14:textId="77777777" w:rsidR="0044051F" w:rsidRPr="007923C2" w:rsidRDefault="0044051F"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5.10.1.-Balance de ciencias del Plan de Estudio Actualizado para el 2016</w:t>
      </w:r>
    </w:p>
    <w:p w14:paraId="432E2727" w14:textId="77777777" w:rsidR="0044051F" w:rsidRPr="007923C2" w:rsidRDefault="0044051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De acuerdo con la clasificación y recomendación de CIEES y COMEAA, debe existir una adecuada proporción entre las materias básicas, fundamentales, aplicadas, sociales, humanísticas, otros contenidos y las optativas</w:t>
      </w:r>
    </w:p>
    <w:p w14:paraId="5CA0D930" w14:textId="77777777" w:rsidR="00DD1BD7" w:rsidRPr="007923C2" w:rsidRDefault="0044051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Plan de Estudios actualizado que se propone </w:t>
      </w:r>
      <w:r w:rsidR="00DD1BD7" w:rsidRPr="007923C2">
        <w:rPr>
          <w:rFonts w:ascii="Arial" w:hAnsi="Arial" w:cs="Arial"/>
          <w:sz w:val="22"/>
          <w:szCs w:val="22"/>
        </w:rPr>
        <w:t>tiene cambios basados en un estudio de seguimiento de egresados, otras encuestas aplicadas a egresados según el lugar en donde están trabajando así como tendencias que han seguido los alumnos en las prácticas profesionales.</w:t>
      </w:r>
    </w:p>
    <w:p w14:paraId="21B8E500" w14:textId="77777777" w:rsidR="00DD1BD7" w:rsidRPr="007923C2" w:rsidRDefault="00DD1BD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realizó un análisis de los resultados de los cuales podemos destacar los siguientes:</w:t>
      </w:r>
    </w:p>
    <w:p w14:paraId="4D35ED51" w14:textId="77777777" w:rsidR="00DD1BD7" w:rsidRPr="007923C2" w:rsidRDefault="00DD1BD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1.-Se conservarán 3 áreas de formación para alcanzar el perfil del agrobiólogo que son, </w:t>
      </w:r>
      <w:r w:rsidRPr="007923C2">
        <w:rPr>
          <w:rFonts w:ascii="Arial" w:hAnsi="Arial" w:cs="Arial"/>
          <w:sz w:val="22"/>
          <w:szCs w:val="22"/>
        </w:rPr>
        <w:lastRenderedPageBreak/>
        <w:t>Agricultura alternativa, Ecología y Contaminación ambiental y biotecnología.</w:t>
      </w:r>
    </w:p>
    <w:p w14:paraId="28DE1EBC" w14:textId="77777777" w:rsidR="00DD1BD7" w:rsidRPr="007923C2" w:rsidRDefault="00DD1BD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2.-En el enfoque del perfil del egresado se destaca la producción silvo-agropecuaria encaminado a un desarrollo sustentable de los recursos naturales.</w:t>
      </w:r>
    </w:p>
    <w:p w14:paraId="6C4DD1C2" w14:textId="77777777" w:rsidR="00DD1BD7" w:rsidRPr="007923C2" w:rsidRDefault="00DD1BD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3.-Se integrarán materias que se señalaron que hacían falta para la buena formación del estudiante.</w:t>
      </w:r>
    </w:p>
    <w:p w14:paraId="0074F9EA" w14:textId="77777777" w:rsidR="00FE3B61" w:rsidRPr="007923C2" w:rsidRDefault="00DD1BD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4.-</w:t>
      </w:r>
      <w:r w:rsidR="00FE3B61" w:rsidRPr="007923C2">
        <w:rPr>
          <w:rFonts w:ascii="Arial" w:hAnsi="Arial" w:cs="Arial"/>
          <w:sz w:val="22"/>
          <w:szCs w:val="22"/>
        </w:rPr>
        <w:t>Se seguirá con el mismo número de asignaturas 46 curriculares obligatorias y 10 optativas con un total de 56 materias y se integrarán 3 cursos taller cocurriculares en apoyo a la formación práctica del alumno.</w:t>
      </w:r>
    </w:p>
    <w:p w14:paraId="22A431FE" w14:textId="77777777" w:rsidR="00FE3B61" w:rsidRPr="007923C2" w:rsidRDefault="00FE3B61"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5.-Para el idioma inglés se mantienen 2 cursos obligatorios y se deja a elección del alumno </w:t>
      </w:r>
      <w:r w:rsidR="0008363E">
        <w:rPr>
          <w:rFonts w:ascii="Arial" w:hAnsi="Arial" w:cs="Arial"/>
          <w:sz w:val="22"/>
          <w:szCs w:val="22"/>
        </w:rPr>
        <w:t xml:space="preserve">y nivel de inglés que tenga </w:t>
      </w:r>
      <w:r w:rsidRPr="007923C2">
        <w:rPr>
          <w:rFonts w:ascii="Arial" w:hAnsi="Arial" w:cs="Arial"/>
          <w:sz w:val="22"/>
          <w:szCs w:val="22"/>
        </w:rPr>
        <w:t>cursar otros más cocurriculares que les hagan falta para alcanzar los 350 puntos Toefel para poder titularse.</w:t>
      </w:r>
    </w:p>
    <w:p w14:paraId="101EA8A8" w14:textId="77777777" w:rsidR="00725AA1" w:rsidRPr="007923C2" w:rsidRDefault="00FE3B61"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6.-Se le dará seguimiento al proceso enseñanza-aprendizaje a las materias profesionalisantes </w:t>
      </w:r>
      <w:r w:rsidR="00725AA1" w:rsidRPr="007923C2">
        <w:rPr>
          <w:rFonts w:ascii="Arial" w:hAnsi="Arial" w:cs="Arial"/>
          <w:sz w:val="22"/>
          <w:szCs w:val="22"/>
        </w:rPr>
        <w:t>a través de las coordinaciones de materia para dar cumplimiento al aprender a hacer que se debe desarrollar en el educando.</w:t>
      </w:r>
    </w:p>
    <w:p w14:paraId="0338E9AC" w14:textId="77777777" w:rsidR="00725AA1" w:rsidRPr="007923C2" w:rsidRDefault="00725AA1" w:rsidP="005E47E4">
      <w:pPr>
        <w:widowControl w:val="0"/>
        <w:autoSpaceDE w:val="0"/>
        <w:autoSpaceDN w:val="0"/>
        <w:adjustRightInd w:val="0"/>
        <w:jc w:val="both"/>
        <w:rPr>
          <w:rFonts w:ascii="Arial" w:hAnsi="Arial" w:cs="Arial"/>
          <w:sz w:val="22"/>
          <w:szCs w:val="22"/>
        </w:rPr>
      </w:pPr>
    </w:p>
    <w:p w14:paraId="396922E5" w14:textId="77777777"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BALANCEO DEL PLAN DE ESTUDIOS DE LOS PROGRAMAS ACADÉMICOS</w:t>
      </w:r>
    </w:p>
    <w:p w14:paraId="116C7E41" w14:textId="77777777"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1.-CIENCIAS NATURALES Y EXACTAS……………………………….25 %</w:t>
      </w:r>
    </w:p>
    <w:p w14:paraId="0A344840" w14:textId="77777777"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2.-CIENCIAS NATURALES Y EXACTAS FUNDAMENTALES………30 %</w:t>
      </w:r>
    </w:p>
    <w:p w14:paraId="12C4816A" w14:textId="77777777"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3.-CIENCIAS NATURALES Y EXACTAS APLICADAS……………….30 %</w:t>
      </w:r>
    </w:p>
    <w:p w14:paraId="17A581E6" w14:textId="77777777"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4.-CIENCIAS SOCIALES Y HUMANIDADES……………………………10 %</w:t>
      </w:r>
    </w:p>
    <w:p w14:paraId="4375057C" w14:textId="77777777"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5.-OTROS CONTENIDOS…………………………………………………..5 %</w:t>
      </w:r>
    </w:p>
    <w:p w14:paraId="7B6030F9" w14:textId="77777777" w:rsidR="00725AA1" w:rsidRPr="007923C2" w:rsidRDefault="00725AA1" w:rsidP="005E47E4">
      <w:pPr>
        <w:widowControl w:val="0"/>
        <w:autoSpaceDE w:val="0"/>
        <w:autoSpaceDN w:val="0"/>
        <w:adjustRightInd w:val="0"/>
        <w:jc w:val="both"/>
        <w:rPr>
          <w:rFonts w:ascii="Arial" w:hAnsi="Arial" w:cs="Arial"/>
          <w:b/>
          <w:sz w:val="22"/>
          <w:szCs w:val="22"/>
        </w:rPr>
      </w:pPr>
    </w:p>
    <w:p w14:paraId="3443B2E0" w14:textId="77777777"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CIENCIAS NATURALES Y EXACTAS</w:t>
      </w:r>
    </w:p>
    <w:p w14:paraId="2431FCF0" w14:textId="77777777" w:rsidR="00725AA1" w:rsidRPr="007923C2" w:rsidRDefault="00725AA1"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w:t>
      </w:r>
      <w:r w:rsidR="000E463A" w:rsidRPr="007923C2">
        <w:rPr>
          <w:rFonts w:ascii="Arial" w:hAnsi="Arial" w:cs="Arial"/>
          <w:sz w:val="22"/>
          <w:szCs w:val="22"/>
        </w:rPr>
        <w:t>Biología</w:t>
      </w:r>
    </w:p>
    <w:p w14:paraId="2CC15A8E"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2.-Matemáticas</w:t>
      </w:r>
    </w:p>
    <w:p w14:paraId="10BBCB7C"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3.-Química</w:t>
      </w:r>
    </w:p>
    <w:p w14:paraId="0F7A1BFB"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4.-Introducción a las ciencias del suelo</w:t>
      </w:r>
    </w:p>
    <w:p w14:paraId="5A902E0B"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5.-Agrofísica</w:t>
      </w:r>
      <w:r w:rsidR="009B7ED3">
        <w:rPr>
          <w:rFonts w:ascii="Arial" w:hAnsi="Arial" w:cs="Arial"/>
          <w:sz w:val="22"/>
          <w:szCs w:val="22"/>
        </w:rPr>
        <w:t xml:space="preserve"> I</w:t>
      </w:r>
    </w:p>
    <w:p w14:paraId="68434F3C"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6.-Cálculo diferencial e integral</w:t>
      </w:r>
    </w:p>
    <w:p w14:paraId="79439892"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7.-Botánica I</w:t>
      </w:r>
    </w:p>
    <w:p w14:paraId="314108D5" w14:textId="22904608"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8.-Ecología</w:t>
      </w:r>
      <w:r w:rsidR="00D86AFE">
        <w:rPr>
          <w:rFonts w:ascii="Arial" w:hAnsi="Arial" w:cs="Arial"/>
          <w:sz w:val="22"/>
          <w:szCs w:val="22"/>
        </w:rPr>
        <w:t xml:space="preserve"> I</w:t>
      </w:r>
    </w:p>
    <w:p w14:paraId="26FCAD85"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9.-Meteorología y  climatología</w:t>
      </w:r>
    </w:p>
    <w:p w14:paraId="46998E80" w14:textId="061D0688"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10.-Zoología</w:t>
      </w:r>
      <w:r w:rsidR="00D86AFE">
        <w:rPr>
          <w:rFonts w:ascii="Arial" w:hAnsi="Arial" w:cs="Arial"/>
          <w:sz w:val="22"/>
          <w:szCs w:val="22"/>
        </w:rPr>
        <w:t xml:space="preserve"> general</w:t>
      </w:r>
    </w:p>
    <w:p w14:paraId="0BFC8D69"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11.-Bioestadística</w:t>
      </w:r>
    </w:p>
    <w:p w14:paraId="7E797835" w14:textId="77777777" w:rsidR="00B16E59" w:rsidRDefault="00B16E59" w:rsidP="005E47E4">
      <w:pPr>
        <w:widowControl w:val="0"/>
        <w:autoSpaceDE w:val="0"/>
        <w:autoSpaceDN w:val="0"/>
        <w:adjustRightInd w:val="0"/>
        <w:jc w:val="both"/>
        <w:rPr>
          <w:rFonts w:ascii="Arial" w:hAnsi="Arial" w:cs="Arial"/>
          <w:b/>
          <w:sz w:val="22"/>
          <w:szCs w:val="22"/>
        </w:rPr>
      </w:pPr>
    </w:p>
    <w:p w14:paraId="72C99E81" w14:textId="77777777" w:rsidR="000E463A" w:rsidRPr="007923C2" w:rsidRDefault="000E463A"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CIENCIAS NATURALES Y EXACTAS FUNDAMENTALES</w:t>
      </w:r>
    </w:p>
    <w:p w14:paraId="3BD29EE5"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1.-Sistemas biológicos</w:t>
      </w:r>
    </w:p>
    <w:p w14:paraId="1A267D8D"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2.-Bioquímica</w:t>
      </w:r>
    </w:p>
    <w:p w14:paraId="51AB5334"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3.-Botánica II</w:t>
      </w:r>
    </w:p>
    <w:p w14:paraId="34A3C895"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4.-Genética</w:t>
      </w:r>
    </w:p>
    <w:p w14:paraId="0A52DC0A"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5.-</w:t>
      </w:r>
      <w:r w:rsidR="00D67F5E" w:rsidRPr="007923C2">
        <w:rPr>
          <w:rFonts w:ascii="Arial" w:hAnsi="Arial" w:cs="Arial"/>
          <w:sz w:val="22"/>
          <w:szCs w:val="22"/>
        </w:rPr>
        <w:t>Economía ambiental y de recursos naturales</w:t>
      </w:r>
    </w:p>
    <w:p w14:paraId="27D0324B"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6.-Anatomía e histología vegetal</w:t>
      </w:r>
    </w:p>
    <w:p w14:paraId="792625BC"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7.-Microbiología I</w:t>
      </w:r>
    </w:p>
    <w:p w14:paraId="478289DE"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8.-Fisiología vegetal</w:t>
      </w:r>
    </w:p>
    <w:p w14:paraId="75EFEB21"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9.-Diseños experimentales</w:t>
      </w:r>
    </w:p>
    <w:p w14:paraId="101C36E5"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10.-Entomología</w:t>
      </w:r>
    </w:p>
    <w:p w14:paraId="2572A3DE" w14:textId="77777777"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11.-Ecofisiología vegetal</w:t>
      </w:r>
    </w:p>
    <w:p w14:paraId="3A0549B9" w14:textId="77777777"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w:t>
      </w:r>
      <w:r w:rsidR="00863AA1">
        <w:rPr>
          <w:rFonts w:ascii="Arial" w:hAnsi="Arial" w:cs="Arial"/>
          <w:sz w:val="22"/>
          <w:szCs w:val="22"/>
        </w:rPr>
        <w:t>2</w:t>
      </w:r>
      <w:r w:rsidRPr="007923C2">
        <w:rPr>
          <w:rFonts w:ascii="Arial" w:hAnsi="Arial" w:cs="Arial"/>
          <w:sz w:val="22"/>
          <w:szCs w:val="22"/>
        </w:rPr>
        <w:t>.-Biología de zonas áridas</w:t>
      </w:r>
    </w:p>
    <w:p w14:paraId="0978AEF7" w14:textId="77777777" w:rsidR="00B16E59" w:rsidRDefault="00B16E59" w:rsidP="005E47E4">
      <w:pPr>
        <w:widowControl w:val="0"/>
        <w:autoSpaceDE w:val="0"/>
        <w:autoSpaceDN w:val="0"/>
        <w:adjustRightInd w:val="0"/>
        <w:jc w:val="both"/>
        <w:rPr>
          <w:rFonts w:ascii="Arial" w:hAnsi="Arial" w:cs="Arial"/>
          <w:b/>
          <w:sz w:val="22"/>
          <w:szCs w:val="22"/>
        </w:rPr>
      </w:pPr>
    </w:p>
    <w:p w14:paraId="77EA2262" w14:textId="77777777" w:rsidR="00E8460D" w:rsidRPr="007923C2" w:rsidRDefault="00E8460D"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CIENCIAS NATURALES Y EXACTAS APLICADAS</w:t>
      </w:r>
    </w:p>
    <w:p w14:paraId="6C36042F" w14:textId="77777777"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1.-Taller de investigación I</w:t>
      </w:r>
    </w:p>
    <w:p w14:paraId="6F4B5F34" w14:textId="77777777"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2.-Taller de investigación II</w:t>
      </w:r>
    </w:p>
    <w:p w14:paraId="39904FE4" w14:textId="77777777"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AGRICULTURA ALTERNATIVA</w:t>
      </w:r>
    </w:p>
    <w:p w14:paraId="7055BD5C" w14:textId="77777777"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3.-Agroecología</w:t>
      </w:r>
    </w:p>
    <w:p w14:paraId="244E62F7" w14:textId="77777777"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4.-Bioagricultura</w:t>
      </w:r>
    </w:p>
    <w:p w14:paraId="6E3770F9" w14:textId="77777777"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5.-Fertilidad y fertilización de suelos</w:t>
      </w:r>
    </w:p>
    <w:p w14:paraId="5FF5F917" w14:textId="77777777"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6.-Manejo agroecológico del suelo</w:t>
      </w:r>
    </w:p>
    <w:p w14:paraId="7A61D246" w14:textId="77777777"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7.-Manejo agroecológico del agua</w:t>
      </w:r>
    </w:p>
    <w:p w14:paraId="15CCCF5A" w14:textId="77777777" w:rsidR="00E8460D"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8.-Agricultura sustentable e inocuidad</w:t>
      </w:r>
    </w:p>
    <w:p w14:paraId="6D3B765A" w14:textId="77777777" w:rsidR="00860DF8" w:rsidRPr="007923C2" w:rsidRDefault="00860DF8" w:rsidP="005E47E4">
      <w:pPr>
        <w:widowControl w:val="0"/>
        <w:autoSpaceDE w:val="0"/>
        <w:autoSpaceDN w:val="0"/>
        <w:adjustRightInd w:val="0"/>
        <w:jc w:val="both"/>
        <w:rPr>
          <w:rFonts w:ascii="Arial" w:hAnsi="Arial" w:cs="Arial"/>
          <w:sz w:val="22"/>
          <w:szCs w:val="22"/>
        </w:rPr>
      </w:pPr>
      <w:r>
        <w:rPr>
          <w:rFonts w:ascii="Arial" w:hAnsi="Arial" w:cs="Arial"/>
          <w:sz w:val="22"/>
          <w:szCs w:val="22"/>
        </w:rPr>
        <w:t>9.-Manejo integrado de plagas</w:t>
      </w:r>
    </w:p>
    <w:p w14:paraId="3A703A4D" w14:textId="77777777" w:rsidR="00B16E59" w:rsidRDefault="00B16E59" w:rsidP="005E47E4">
      <w:pPr>
        <w:widowControl w:val="0"/>
        <w:autoSpaceDE w:val="0"/>
        <w:autoSpaceDN w:val="0"/>
        <w:adjustRightInd w:val="0"/>
        <w:jc w:val="both"/>
        <w:rPr>
          <w:rFonts w:ascii="Arial" w:hAnsi="Arial" w:cs="Arial"/>
          <w:sz w:val="22"/>
          <w:szCs w:val="22"/>
        </w:rPr>
      </w:pPr>
    </w:p>
    <w:p w14:paraId="1D383F8D" w14:textId="77777777" w:rsidR="00725AA1" w:rsidRPr="00B16E59" w:rsidRDefault="00A04267" w:rsidP="005E47E4">
      <w:pPr>
        <w:widowControl w:val="0"/>
        <w:autoSpaceDE w:val="0"/>
        <w:autoSpaceDN w:val="0"/>
        <w:adjustRightInd w:val="0"/>
        <w:jc w:val="both"/>
        <w:rPr>
          <w:rFonts w:ascii="Arial" w:hAnsi="Arial" w:cs="Arial"/>
          <w:b/>
          <w:sz w:val="22"/>
          <w:szCs w:val="22"/>
        </w:rPr>
      </w:pPr>
      <w:r w:rsidRPr="00B16E59">
        <w:rPr>
          <w:rFonts w:ascii="Arial" w:hAnsi="Arial" w:cs="Arial"/>
          <w:b/>
          <w:sz w:val="22"/>
          <w:szCs w:val="22"/>
        </w:rPr>
        <w:t>OPTATIVAS</w:t>
      </w:r>
    </w:p>
    <w:p w14:paraId="11EACA95" w14:textId="77777777" w:rsidR="00725AA1"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Agricultura biointensiva sostenible</w:t>
      </w:r>
    </w:p>
    <w:p w14:paraId="776A7F1B" w14:textId="77777777" w:rsidR="00860DF8" w:rsidRPr="007923C2" w:rsidRDefault="00860DF8" w:rsidP="005E47E4">
      <w:pPr>
        <w:widowControl w:val="0"/>
        <w:autoSpaceDE w:val="0"/>
        <w:autoSpaceDN w:val="0"/>
        <w:adjustRightInd w:val="0"/>
        <w:jc w:val="both"/>
        <w:rPr>
          <w:rFonts w:ascii="Arial" w:hAnsi="Arial" w:cs="Arial"/>
          <w:sz w:val="22"/>
          <w:szCs w:val="22"/>
        </w:rPr>
      </w:pPr>
      <w:r>
        <w:rPr>
          <w:rFonts w:ascii="Arial" w:hAnsi="Arial" w:cs="Arial"/>
          <w:sz w:val="22"/>
          <w:szCs w:val="22"/>
        </w:rPr>
        <w:t>Agrostología</w:t>
      </w:r>
    </w:p>
    <w:p w14:paraId="4B9B2BDD" w14:textId="77777777"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Plantas medicinales y aromáticas</w:t>
      </w:r>
    </w:p>
    <w:p w14:paraId="1AEE9D45" w14:textId="77777777"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Producción de hongos comestibles</w:t>
      </w:r>
    </w:p>
    <w:p w14:paraId="4F142DB1" w14:textId="77777777"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Productividad agroecológica</w:t>
      </w:r>
    </w:p>
    <w:p w14:paraId="5429C008" w14:textId="77777777"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Producción en invernadero</w:t>
      </w:r>
    </w:p>
    <w:p w14:paraId="60B8DFDA" w14:textId="77777777"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Topografía general</w:t>
      </w:r>
    </w:p>
    <w:p w14:paraId="2F708C15" w14:textId="77777777"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Conservación de suelo y agua</w:t>
      </w:r>
    </w:p>
    <w:p w14:paraId="0BBACBF6" w14:textId="77777777"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Fisiotecnia de cultivos hortícolas</w:t>
      </w:r>
    </w:p>
    <w:p w14:paraId="182F570A" w14:textId="77777777"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Olericultura</w:t>
      </w:r>
    </w:p>
    <w:p w14:paraId="6B2AD6B9" w14:textId="77777777"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Producción de cultivos básicos</w:t>
      </w:r>
    </w:p>
    <w:p w14:paraId="657C6AF8" w14:textId="77777777" w:rsidR="00A04267" w:rsidRPr="007923C2" w:rsidRDefault="008D2C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Principios de producción</w:t>
      </w:r>
    </w:p>
    <w:p w14:paraId="71209E5B" w14:textId="77777777" w:rsidR="008D2C32" w:rsidRPr="007923C2" w:rsidRDefault="008D2C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Cultivo en invernadero rústico.</w:t>
      </w:r>
    </w:p>
    <w:p w14:paraId="0B680957" w14:textId="77777777" w:rsidR="00725AA1" w:rsidRPr="007923C2" w:rsidRDefault="008D2C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Ecología y desarrollo sostenible</w:t>
      </w:r>
    </w:p>
    <w:p w14:paraId="313B00E2" w14:textId="77777777" w:rsidR="008D2C32" w:rsidRPr="007923C2" w:rsidRDefault="008D2C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Economía de las unidades de producción</w:t>
      </w:r>
    </w:p>
    <w:p w14:paraId="75DD00AF" w14:textId="77777777" w:rsidR="00B16E59" w:rsidRDefault="00B16E59" w:rsidP="005E47E4">
      <w:pPr>
        <w:widowControl w:val="0"/>
        <w:autoSpaceDE w:val="0"/>
        <w:autoSpaceDN w:val="0"/>
        <w:adjustRightInd w:val="0"/>
        <w:jc w:val="both"/>
        <w:rPr>
          <w:rFonts w:ascii="Arial" w:hAnsi="Arial" w:cs="Arial"/>
          <w:b/>
          <w:sz w:val="22"/>
          <w:szCs w:val="22"/>
        </w:rPr>
      </w:pPr>
    </w:p>
    <w:p w14:paraId="3F9DB35F" w14:textId="77777777" w:rsidR="008D2C32" w:rsidRPr="00B16E59" w:rsidRDefault="008D2C32" w:rsidP="005E47E4">
      <w:pPr>
        <w:widowControl w:val="0"/>
        <w:autoSpaceDE w:val="0"/>
        <w:autoSpaceDN w:val="0"/>
        <w:adjustRightInd w:val="0"/>
        <w:jc w:val="both"/>
        <w:rPr>
          <w:rFonts w:ascii="Arial" w:hAnsi="Arial" w:cs="Arial"/>
          <w:b/>
          <w:sz w:val="22"/>
          <w:szCs w:val="22"/>
        </w:rPr>
      </w:pPr>
      <w:r w:rsidRPr="00B16E59">
        <w:rPr>
          <w:rFonts w:ascii="Arial" w:hAnsi="Arial" w:cs="Arial"/>
          <w:b/>
          <w:sz w:val="22"/>
          <w:szCs w:val="22"/>
        </w:rPr>
        <w:t>ECOLOGÍA Y CONTAMINACIÓN AMBIENTAL</w:t>
      </w:r>
    </w:p>
    <w:p w14:paraId="1FF7121D" w14:textId="77777777" w:rsidR="008D2C32" w:rsidRPr="007923C2" w:rsidRDefault="00860DF8" w:rsidP="005E47E4">
      <w:pPr>
        <w:widowControl w:val="0"/>
        <w:autoSpaceDE w:val="0"/>
        <w:autoSpaceDN w:val="0"/>
        <w:adjustRightInd w:val="0"/>
        <w:jc w:val="both"/>
        <w:rPr>
          <w:rFonts w:ascii="Arial" w:hAnsi="Arial" w:cs="Arial"/>
          <w:sz w:val="22"/>
          <w:szCs w:val="22"/>
        </w:rPr>
      </w:pPr>
      <w:r>
        <w:rPr>
          <w:rFonts w:ascii="Arial" w:hAnsi="Arial" w:cs="Arial"/>
          <w:sz w:val="22"/>
          <w:szCs w:val="22"/>
        </w:rPr>
        <w:t>10</w:t>
      </w:r>
      <w:r w:rsidR="008D2C32" w:rsidRPr="007923C2">
        <w:rPr>
          <w:rFonts w:ascii="Arial" w:hAnsi="Arial" w:cs="Arial"/>
          <w:sz w:val="22"/>
          <w:szCs w:val="22"/>
        </w:rPr>
        <w:t>.-Biodiversidad</w:t>
      </w:r>
    </w:p>
    <w:p w14:paraId="647EAAC4" w14:textId="77777777" w:rsidR="008D2C32" w:rsidRPr="007923C2" w:rsidRDefault="008D2C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11.-Contaminación ambiental</w:t>
      </w:r>
    </w:p>
    <w:p w14:paraId="6A69FEF0" w14:textId="77777777" w:rsidR="008D2C32" w:rsidRPr="007923C2" w:rsidRDefault="008D2C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12.-Fauna silvestre</w:t>
      </w:r>
    </w:p>
    <w:p w14:paraId="7F661FF0" w14:textId="12D7ED0F" w:rsidR="00725AA1"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13.-Evaluación de ecosistemas </w:t>
      </w:r>
    </w:p>
    <w:p w14:paraId="0BE449D4"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14.-Manejo y conservación de recursos bióticos</w:t>
      </w:r>
    </w:p>
    <w:p w14:paraId="4FF1056F" w14:textId="77777777" w:rsidR="00D67F5E"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15.-Ecología de áreas naturales protegidas</w:t>
      </w:r>
    </w:p>
    <w:p w14:paraId="15057A19" w14:textId="77777777" w:rsidR="00B16E59" w:rsidRPr="007923C2" w:rsidRDefault="00B16E59" w:rsidP="005E47E4">
      <w:pPr>
        <w:widowControl w:val="0"/>
        <w:autoSpaceDE w:val="0"/>
        <w:autoSpaceDN w:val="0"/>
        <w:adjustRightInd w:val="0"/>
        <w:jc w:val="both"/>
        <w:rPr>
          <w:rFonts w:ascii="Arial" w:hAnsi="Arial" w:cs="Arial"/>
          <w:sz w:val="22"/>
          <w:szCs w:val="22"/>
        </w:rPr>
      </w:pPr>
    </w:p>
    <w:p w14:paraId="6C6A4EBC" w14:textId="77777777" w:rsidR="00EB0054" w:rsidRPr="00B16E59" w:rsidRDefault="00EB0054" w:rsidP="005E47E4">
      <w:pPr>
        <w:widowControl w:val="0"/>
        <w:autoSpaceDE w:val="0"/>
        <w:autoSpaceDN w:val="0"/>
        <w:adjustRightInd w:val="0"/>
        <w:jc w:val="both"/>
        <w:rPr>
          <w:rFonts w:ascii="Arial" w:hAnsi="Arial" w:cs="Arial"/>
          <w:b/>
          <w:sz w:val="22"/>
          <w:szCs w:val="22"/>
        </w:rPr>
      </w:pPr>
      <w:r w:rsidRPr="00B16E59">
        <w:rPr>
          <w:rFonts w:ascii="Arial" w:hAnsi="Arial" w:cs="Arial"/>
          <w:b/>
          <w:sz w:val="22"/>
          <w:szCs w:val="22"/>
        </w:rPr>
        <w:t>OPTATIVAS</w:t>
      </w:r>
    </w:p>
    <w:p w14:paraId="455B7337"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Etnoecología</w:t>
      </w:r>
    </w:p>
    <w:p w14:paraId="605FD4A1"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Evolución</w:t>
      </w:r>
      <w:r w:rsidR="008C73BB">
        <w:rPr>
          <w:rFonts w:ascii="Arial" w:hAnsi="Arial" w:cs="Arial"/>
          <w:sz w:val="22"/>
          <w:szCs w:val="22"/>
        </w:rPr>
        <w:t xml:space="preserve"> orgánica</w:t>
      </w:r>
    </w:p>
    <w:p w14:paraId="576D018C"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Educación ambiental</w:t>
      </w:r>
    </w:p>
    <w:p w14:paraId="0BE148A1"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Legislación forestal y ambiental</w:t>
      </w:r>
    </w:p>
    <w:p w14:paraId="5CAC0A20"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Ordenamiento ecológico</w:t>
      </w:r>
    </w:p>
    <w:p w14:paraId="4F0D4BF6"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Percepción remota</w:t>
      </w:r>
    </w:p>
    <w:p w14:paraId="4C27EA24"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Plantas útiles en zonas áridas</w:t>
      </w:r>
    </w:p>
    <w:p w14:paraId="324E55C0"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Toxicología ambiental</w:t>
      </w:r>
    </w:p>
    <w:p w14:paraId="023C6518"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Recursos renovables de zonas áridas</w:t>
      </w:r>
    </w:p>
    <w:p w14:paraId="61FF01FD"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Sensores remotos</w:t>
      </w:r>
    </w:p>
    <w:p w14:paraId="0EFC3091"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Manejo de áreas naturales protegidas</w:t>
      </w:r>
    </w:p>
    <w:p w14:paraId="7BDFD322" w14:textId="77777777"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Organización cinegética</w:t>
      </w:r>
    </w:p>
    <w:p w14:paraId="0E29D9D7" w14:textId="77777777" w:rsidR="00B16E59" w:rsidRDefault="00B16E59" w:rsidP="005E47E4">
      <w:pPr>
        <w:widowControl w:val="0"/>
        <w:autoSpaceDE w:val="0"/>
        <w:autoSpaceDN w:val="0"/>
        <w:adjustRightInd w:val="0"/>
        <w:jc w:val="both"/>
        <w:rPr>
          <w:rFonts w:ascii="Arial" w:hAnsi="Arial" w:cs="Arial"/>
          <w:b/>
          <w:sz w:val="22"/>
          <w:szCs w:val="22"/>
        </w:rPr>
      </w:pPr>
    </w:p>
    <w:p w14:paraId="54B3C2DA" w14:textId="77777777" w:rsidR="00D67F5E" w:rsidRPr="00B16E59" w:rsidRDefault="00287688" w:rsidP="005E47E4">
      <w:pPr>
        <w:widowControl w:val="0"/>
        <w:autoSpaceDE w:val="0"/>
        <w:autoSpaceDN w:val="0"/>
        <w:adjustRightInd w:val="0"/>
        <w:jc w:val="both"/>
        <w:rPr>
          <w:rFonts w:ascii="Arial" w:hAnsi="Arial" w:cs="Arial"/>
          <w:b/>
          <w:sz w:val="22"/>
          <w:szCs w:val="22"/>
        </w:rPr>
      </w:pPr>
      <w:r w:rsidRPr="00B16E59">
        <w:rPr>
          <w:rFonts w:ascii="Arial" w:hAnsi="Arial" w:cs="Arial"/>
          <w:b/>
          <w:sz w:val="22"/>
          <w:szCs w:val="22"/>
        </w:rPr>
        <w:t>BIOTECNOLOGÍA</w:t>
      </w:r>
    </w:p>
    <w:p w14:paraId="0F46F6A5" w14:textId="0E025DC6" w:rsidR="008C73BB" w:rsidRDefault="009B7ED3" w:rsidP="005E47E4">
      <w:pPr>
        <w:widowControl w:val="0"/>
        <w:autoSpaceDE w:val="0"/>
        <w:autoSpaceDN w:val="0"/>
        <w:adjustRightInd w:val="0"/>
        <w:jc w:val="both"/>
        <w:rPr>
          <w:rFonts w:ascii="Arial" w:hAnsi="Arial" w:cs="Arial"/>
          <w:sz w:val="22"/>
          <w:szCs w:val="22"/>
        </w:rPr>
      </w:pPr>
      <w:r>
        <w:rPr>
          <w:rFonts w:ascii="Arial" w:hAnsi="Arial" w:cs="Arial"/>
          <w:sz w:val="22"/>
          <w:szCs w:val="22"/>
        </w:rPr>
        <w:t>16.-</w:t>
      </w:r>
      <w:r w:rsidR="008C73BB">
        <w:rPr>
          <w:rFonts w:ascii="Arial" w:hAnsi="Arial" w:cs="Arial"/>
          <w:sz w:val="22"/>
          <w:szCs w:val="22"/>
        </w:rPr>
        <w:t xml:space="preserve">Biotecnología </w:t>
      </w:r>
    </w:p>
    <w:p w14:paraId="3070DC6D" w14:textId="77777777" w:rsidR="008C73BB" w:rsidRPr="007923C2" w:rsidRDefault="009B7ED3" w:rsidP="005E47E4">
      <w:pPr>
        <w:widowControl w:val="0"/>
        <w:autoSpaceDE w:val="0"/>
        <w:autoSpaceDN w:val="0"/>
        <w:adjustRightInd w:val="0"/>
        <w:jc w:val="both"/>
        <w:rPr>
          <w:rFonts w:ascii="Arial" w:hAnsi="Arial" w:cs="Arial"/>
          <w:sz w:val="22"/>
          <w:szCs w:val="22"/>
        </w:rPr>
      </w:pPr>
      <w:r>
        <w:rPr>
          <w:rFonts w:ascii="Arial" w:hAnsi="Arial" w:cs="Arial"/>
          <w:sz w:val="22"/>
          <w:szCs w:val="22"/>
        </w:rPr>
        <w:t>17.-</w:t>
      </w:r>
      <w:r w:rsidR="008C73BB">
        <w:rPr>
          <w:rFonts w:ascii="Arial" w:hAnsi="Arial" w:cs="Arial"/>
          <w:sz w:val="22"/>
          <w:szCs w:val="22"/>
        </w:rPr>
        <w:t>Introducción a la genética molecular</w:t>
      </w:r>
    </w:p>
    <w:p w14:paraId="7696CEE4" w14:textId="77777777" w:rsidR="00B16E59" w:rsidRDefault="00B16E59" w:rsidP="005E47E4">
      <w:pPr>
        <w:widowControl w:val="0"/>
        <w:autoSpaceDE w:val="0"/>
        <w:autoSpaceDN w:val="0"/>
        <w:adjustRightInd w:val="0"/>
        <w:jc w:val="both"/>
        <w:rPr>
          <w:rFonts w:ascii="Arial" w:hAnsi="Arial" w:cs="Arial"/>
          <w:sz w:val="22"/>
          <w:szCs w:val="22"/>
        </w:rPr>
      </w:pPr>
    </w:p>
    <w:p w14:paraId="74C51C2F" w14:textId="77777777" w:rsidR="00287688" w:rsidRPr="00B16E59" w:rsidRDefault="00287688" w:rsidP="005E47E4">
      <w:pPr>
        <w:widowControl w:val="0"/>
        <w:autoSpaceDE w:val="0"/>
        <w:autoSpaceDN w:val="0"/>
        <w:adjustRightInd w:val="0"/>
        <w:jc w:val="both"/>
        <w:rPr>
          <w:rFonts w:ascii="Arial" w:hAnsi="Arial" w:cs="Arial"/>
          <w:b/>
          <w:sz w:val="22"/>
          <w:szCs w:val="22"/>
        </w:rPr>
      </w:pPr>
      <w:r w:rsidRPr="00B16E59">
        <w:rPr>
          <w:rFonts w:ascii="Arial" w:hAnsi="Arial" w:cs="Arial"/>
          <w:b/>
          <w:sz w:val="22"/>
          <w:szCs w:val="22"/>
        </w:rPr>
        <w:t>OPTATIVAS</w:t>
      </w:r>
    </w:p>
    <w:p w14:paraId="48D72811" w14:textId="77777777"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Biología molecular</w:t>
      </w:r>
    </w:p>
    <w:p w14:paraId="0128EAB9" w14:textId="77777777"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Biotecnología II</w:t>
      </w:r>
    </w:p>
    <w:p w14:paraId="19C166D1" w14:textId="77777777"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Microbiología industrial</w:t>
      </w:r>
    </w:p>
    <w:p w14:paraId="2B922ED4" w14:textId="77777777"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Recursos genéticos</w:t>
      </w:r>
    </w:p>
    <w:p w14:paraId="221B4443" w14:textId="77777777"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Biotecnología ambiental</w:t>
      </w:r>
    </w:p>
    <w:p w14:paraId="0B1673E1" w14:textId="77777777"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Organismos transgénicos</w:t>
      </w:r>
    </w:p>
    <w:p w14:paraId="77683D0A" w14:textId="77777777" w:rsidR="00287688"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Ingeniería genética</w:t>
      </w:r>
    </w:p>
    <w:p w14:paraId="74FA96F6" w14:textId="77777777" w:rsidR="009B7ED3" w:rsidRPr="007923C2" w:rsidRDefault="009B7ED3" w:rsidP="005E47E4">
      <w:pPr>
        <w:widowControl w:val="0"/>
        <w:autoSpaceDE w:val="0"/>
        <w:autoSpaceDN w:val="0"/>
        <w:adjustRightInd w:val="0"/>
        <w:jc w:val="both"/>
        <w:rPr>
          <w:rFonts w:ascii="Arial" w:hAnsi="Arial" w:cs="Arial"/>
          <w:sz w:val="22"/>
          <w:szCs w:val="22"/>
        </w:rPr>
      </w:pPr>
      <w:r>
        <w:rPr>
          <w:rFonts w:ascii="Arial" w:hAnsi="Arial" w:cs="Arial"/>
          <w:sz w:val="22"/>
          <w:szCs w:val="22"/>
        </w:rPr>
        <w:t>Introducción a la biotecnología molecular</w:t>
      </w:r>
    </w:p>
    <w:p w14:paraId="4C7E5A5F" w14:textId="77777777" w:rsidR="00287688" w:rsidRPr="007923C2" w:rsidRDefault="009B7ED3" w:rsidP="005E47E4">
      <w:pPr>
        <w:widowControl w:val="0"/>
        <w:autoSpaceDE w:val="0"/>
        <w:autoSpaceDN w:val="0"/>
        <w:adjustRightInd w:val="0"/>
        <w:jc w:val="both"/>
        <w:rPr>
          <w:rFonts w:ascii="Arial" w:hAnsi="Arial" w:cs="Arial"/>
          <w:sz w:val="22"/>
          <w:szCs w:val="22"/>
        </w:rPr>
      </w:pPr>
      <w:r>
        <w:rPr>
          <w:rFonts w:ascii="Arial" w:hAnsi="Arial" w:cs="Arial"/>
          <w:sz w:val="22"/>
          <w:szCs w:val="22"/>
        </w:rPr>
        <w:t>18.-</w:t>
      </w:r>
      <w:r w:rsidR="0082157B" w:rsidRPr="007923C2">
        <w:rPr>
          <w:rFonts w:ascii="Arial" w:hAnsi="Arial" w:cs="Arial"/>
          <w:sz w:val="22"/>
          <w:szCs w:val="22"/>
        </w:rPr>
        <w:t>PRÁCTICAS PROFESIONALES</w:t>
      </w:r>
    </w:p>
    <w:p w14:paraId="128BED1A" w14:textId="77777777" w:rsidR="00B16E59" w:rsidRDefault="00B16E59" w:rsidP="005E47E4">
      <w:pPr>
        <w:widowControl w:val="0"/>
        <w:autoSpaceDE w:val="0"/>
        <w:autoSpaceDN w:val="0"/>
        <w:adjustRightInd w:val="0"/>
        <w:jc w:val="both"/>
        <w:rPr>
          <w:rFonts w:ascii="Arial" w:hAnsi="Arial" w:cs="Arial"/>
          <w:b/>
          <w:sz w:val="22"/>
          <w:szCs w:val="22"/>
        </w:rPr>
      </w:pPr>
    </w:p>
    <w:p w14:paraId="265DC3DB" w14:textId="77777777" w:rsidR="0082157B" w:rsidRPr="007923C2" w:rsidRDefault="0082157B"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CIENCIAS SOCIALES Y HUMANIDADES</w:t>
      </w:r>
    </w:p>
    <w:p w14:paraId="762F7E20" w14:textId="77777777" w:rsidR="0082157B" w:rsidRPr="007923C2" w:rsidRDefault="0082157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1.-Taller de comunicación oral y escrita</w:t>
      </w:r>
    </w:p>
    <w:p w14:paraId="17067C1A" w14:textId="77777777" w:rsidR="0082157B" w:rsidRPr="007923C2" w:rsidRDefault="0082157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2.-Administración I</w:t>
      </w:r>
    </w:p>
    <w:p w14:paraId="6ED3A944" w14:textId="77777777" w:rsidR="0082157B" w:rsidRPr="007923C2" w:rsidRDefault="0082157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3.-Formulación y evaluación de proyectos</w:t>
      </w:r>
    </w:p>
    <w:p w14:paraId="1D13C40E" w14:textId="77777777" w:rsidR="00B16E59" w:rsidRDefault="00B16E59" w:rsidP="005E47E4">
      <w:pPr>
        <w:widowControl w:val="0"/>
        <w:autoSpaceDE w:val="0"/>
        <w:autoSpaceDN w:val="0"/>
        <w:adjustRightInd w:val="0"/>
        <w:jc w:val="both"/>
        <w:rPr>
          <w:rFonts w:ascii="Arial" w:hAnsi="Arial" w:cs="Arial"/>
          <w:b/>
          <w:sz w:val="22"/>
          <w:szCs w:val="22"/>
        </w:rPr>
      </w:pPr>
    </w:p>
    <w:p w14:paraId="49117BE8" w14:textId="77777777" w:rsidR="0082157B" w:rsidRPr="007923C2" w:rsidRDefault="0082157B"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OTROS CONTENIDOS</w:t>
      </w:r>
    </w:p>
    <w:p w14:paraId="3ECB43D4" w14:textId="77777777" w:rsidR="0082157B" w:rsidRPr="007923C2" w:rsidRDefault="0082157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1.-Inglés I</w:t>
      </w:r>
    </w:p>
    <w:p w14:paraId="16F5FFF9" w14:textId="77777777" w:rsidR="0082157B" w:rsidRPr="007923C2" w:rsidRDefault="008221A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w:t>
      </w:r>
      <w:r w:rsidR="0082157B" w:rsidRPr="007923C2">
        <w:rPr>
          <w:rFonts w:ascii="Arial" w:hAnsi="Arial" w:cs="Arial"/>
          <w:sz w:val="22"/>
          <w:szCs w:val="22"/>
        </w:rPr>
        <w:t>.-Inglés II</w:t>
      </w:r>
    </w:p>
    <w:p w14:paraId="1A551D1D" w14:textId="77777777" w:rsidR="00B16E59" w:rsidRDefault="00B16E59" w:rsidP="005E47E4">
      <w:pPr>
        <w:widowControl w:val="0"/>
        <w:autoSpaceDE w:val="0"/>
        <w:autoSpaceDN w:val="0"/>
        <w:adjustRightInd w:val="0"/>
        <w:jc w:val="both"/>
        <w:rPr>
          <w:rFonts w:ascii="Arial" w:hAnsi="Arial" w:cs="Arial"/>
          <w:sz w:val="22"/>
          <w:szCs w:val="22"/>
        </w:rPr>
      </w:pPr>
    </w:p>
    <w:p w14:paraId="7669B2C5" w14:textId="77777777" w:rsidR="00287688" w:rsidRPr="00B16E59" w:rsidRDefault="0082157B" w:rsidP="005E47E4">
      <w:pPr>
        <w:widowControl w:val="0"/>
        <w:autoSpaceDE w:val="0"/>
        <w:autoSpaceDN w:val="0"/>
        <w:adjustRightInd w:val="0"/>
        <w:jc w:val="both"/>
        <w:rPr>
          <w:rFonts w:ascii="Arial" w:hAnsi="Arial" w:cs="Arial"/>
          <w:b/>
          <w:sz w:val="22"/>
          <w:szCs w:val="22"/>
        </w:rPr>
      </w:pPr>
      <w:r w:rsidRPr="00B16E59">
        <w:rPr>
          <w:rFonts w:ascii="Arial" w:hAnsi="Arial" w:cs="Arial"/>
          <w:b/>
          <w:sz w:val="22"/>
          <w:szCs w:val="22"/>
        </w:rPr>
        <w:t>COCURRICULARES</w:t>
      </w:r>
    </w:p>
    <w:p w14:paraId="4FFC1C10" w14:textId="77777777" w:rsidR="0082157B" w:rsidRPr="007923C2" w:rsidRDefault="0082157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1.-Despúes de los 2 cursos de inglés obligatorios el estudiante se inscribirá en otros cursos </w:t>
      </w:r>
      <w:r w:rsidRPr="007923C2">
        <w:rPr>
          <w:rFonts w:ascii="Arial" w:hAnsi="Arial" w:cs="Arial"/>
          <w:sz w:val="22"/>
          <w:szCs w:val="22"/>
        </w:rPr>
        <w:lastRenderedPageBreak/>
        <w:t>de ingles los necesarios para cumplir con los 350 puntos del Toefel para poder titularse cuyos créditos no serán adisionados con los del Plan de Estudios.</w:t>
      </w:r>
    </w:p>
    <w:p w14:paraId="15CD6C41" w14:textId="77777777" w:rsidR="00BE07B2" w:rsidRPr="007923C2" w:rsidRDefault="0082157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2.-El alumno </w:t>
      </w:r>
      <w:r w:rsidR="00BE07B2" w:rsidRPr="007923C2">
        <w:rPr>
          <w:rFonts w:ascii="Arial" w:hAnsi="Arial" w:cs="Arial"/>
          <w:sz w:val="22"/>
          <w:szCs w:val="22"/>
        </w:rPr>
        <w:t>tendrá la opción de llevar 3 cursos taller para aplicar el conocimiento en un área de formación</w:t>
      </w:r>
      <w:r w:rsidR="00EB0054" w:rsidRPr="007923C2">
        <w:rPr>
          <w:rFonts w:ascii="Arial" w:hAnsi="Arial" w:cs="Arial"/>
          <w:sz w:val="22"/>
          <w:szCs w:val="22"/>
        </w:rPr>
        <w:t xml:space="preserve"> práctica</w:t>
      </w:r>
      <w:r w:rsidR="00BE07B2" w:rsidRPr="007923C2">
        <w:rPr>
          <w:rFonts w:ascii="Arial" w:hAnsi="Arial" w:cs="Arial"/>
          <w:sz w:val="22"/>
          <w:szCs w:val="22"/>
        </w:rPr>
        <w:t xml:space="preserve"> del agrobiólogo.</w:t>
      </w:r>
    </w:p>
    <w:p w14:paraId="04BEB64F" w14:textId="77777777" w:rsidR="00BE07B2" w:rsidRPr="007923C2" w:rsidRDefault="00BE07B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1.-Curso taller Elaboración de biofertilizantes</w:t>
      </w:r>
    </w:p>
    <w:p w14:paraId="2364AD1F" w14:textId="77777777" w:rsidR="00BE07B2" w:rsidRPr="007923C2" w:rsidRDefault="00BE07B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2.-Curso taller Técnicas de control biológico.</w:t>
      </w:r>
    </w:p>
    <w:p w14:paraId="68524F7B" w14:textId="77777777" w:rsidR="0082157B" w:rsidRDefault="00BE07B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3.-Curso taller de técnicas de sistemas geográficos.</w:t>
      </w:r>
    </w:p>
    <w:p w14:paraId="4E4A94B6" w14:textId="77777777" w:rsidR="00B16E59" w:rsidRPr="007923C2" w:rsidRDefault="00B16E59" w:rsidP="005E47E4">
      <w:pPr>
        <w:widowControl w:val="0"/>
        <w:autoSpaceDE w:val="0"/>
        <w:autoSpaceDN w:val="0"/>
        <w:adjustRightInd w:val="0"/>
        <w:jc w:val="both"/>
        <w:rPr>
          <w:rFonts w:ascii="Arial" w:hAnsi="Arial" w:cs="Arial"/>
          <w:sz w:val="22"/>
          <w:szCs w:val="22"/>
        </w:rPr>
      </w:pPr>
    </w:p>
    <w:p w14:paraId="38C01DFE" w14:textId="5861FAA0" w:rsidR="00725AA1" w:rsidRPr="00244CB6" w:rsidRDefault="00244CB6" w:rsidP="005E47E4">
      <w:pPr>
        <w:widowControl w:val="0"/>
        <w:autoSpaceDE w:val="0"/>
        <w:autoSpaceDN w:val="0"/>
        <w:adjustRightInd w:val="0"/>
        <w:jc w:val="both"/>
        <w:rPr>
          <w:rFonts w:ascii="Arial" w:hAnsi="Arial" w:cs="Arial"/>
          <w:b/>
          <w:sz w:val="22"/>
          <w:szCs w:val="22"/>
        </w:rPr>
      </w:pPr>
      <w:r>
        <w:rPr>
          <w:rFonts w:ascii="Arial" w:hAnsi="Arial" w:cs="Arial"/>
          <w:sz w:val="22"/>
          <w:szCs w:val="22"/>
        </w:rPr>
        <w:t xml:space="preserve">                   </w:t>
      </w:r>
      <w:r w:rsidRPr="00244CB6">
        <w:rPr>
          <w:rFonts w:ascii="Arial" w:hAnsi="Arial" w:cs="Arial"/>
          <w:b/>
          <w:sz w:val="22"/>
          <w:szCs w:val="22"/>
        </w:rPr>
        <w:t>PLAN DE ESTUDIOS INGENIERO EN AGROBIOLOGÍA 2016</w:t>
      </w:r>
    </w:p>
    <w:tbl>
      <w:tblPr>
        <w:tblStyle w:val="Tablaconcuadrcula"/>
        <w:tblW w:w="9067" w:type="dxa"/>
        <w:tblLayout w:type="fixed"/>
        <w:tblLook w:val="04A0" w:firstRow="1" w:lastRow="0" w:firstColumn="1" w:lastColumn="0" w:noHBand="0" w:noVBand="1"/>
      </w:tblPr>
      <w:tblGrid>
        <w:gridCol w:w="3227"/>
        <w:gridCol w:w="1304"/>
        <w:gridCol w:w="1560"/>
        <w:gridCol w:w="1134"/>
        <w:gridCol w:w="708"/>
        <w:gridCol w:w="1134"/>
      </w:tblGrid>
      <w:tr w:rsidR="00BA0B24" w:rsidRPr="007923C2" w14:paraId="47BF4C11" w14:textId="77777777" w:rsidTr="00B16E59">
        <w:trPr>
          <w:trHeight w:val="323"/>
        </w:trPr>
        <w:tc>
          <w:tcPr>
            <w:tcW w:w="3227" w:type="dxa"/>
          </w:tcPr>
          <w:p w14:paraId="3D4B59DD" w14:textId="77777777" w:rsidR="00BA0B24" w:rsidRPr="007923C2" w:rsidRDefault="00BA0B24" w:rsidP="00BA0B24">
            <w:pPr>
              <w:rPr>
                <w:rFonts w:ascii="Arial" w:hAnsi="Arial" w:cs="Arial"/>
                <w:b/>
                <w:sz w:val="22"/>
                <w:szCs w:val="22"/>
              </w:rPr>
            </w:pPr>
            <w:r w:rsidRPr="007923C2">
              <w:rPr>
                <w:rFonts w:ascii="Arial" w:hAnsi="Arial" w:cs="Arial"/>
                <w:b/>
                <w:sz w:val="22"/>
                <w:szCs w:val="22"/>
              </w:rPr>
              <w:t>Materia</w:t>
            </w:r>
          </w:p>
        </w:tc>
        <w:tc>
          <w:tcPr>
            <w:tcW w:w="1304" w:type="dxa"/>
          </w:tcPr>
          <w:p w14:paraId="0EC33CCB" w14:textId="77777777" w:rsidR="00BA0B24" w:rsidRPr="007923C2" w:rsidRDefault="00BA0B24" w:rsidP="00BA0B24">
            <w:pPr>
              <w:rPr>
                <w:rFonts w:ascii="Arial" w:hAnsi="Arial" w:cs="Arial"/>
                <w:b/>
                <w:sz w:val="22"/>
                <w:szCs w:val="22"/>
              </w:rPr>
            </w:pPr>
            <w:r w:rsidRPr="007923C2">
              <w:rPr>
                <w:rFonts w:ascii="Arial" w:hAnsi="Arial" w:cs="Arial"/>
                <w:b/>
                <w:sz w:val="22"/>
                <w:szCs w:val="22"/>
              </w:rPr>
              <w:t>Clave</w:t>
            </w:r>
          </w:p>
        </w:tc>
        <w:tc>
          <w:tcPr>
            <w:tcW w:w="1560" w:type="dxa"/>
          </w:tcPr>
          <w:p w14:paraId="72FFF27D" w14:textId="77777777" w:rsidR="00BA0B24" w:rsidRPr="007923C2" w:rsidRDefault="00BA0B24" w:rsidP="00BA0B24">
            <w:pPr>
              <w:rPr>
                <w:rFonts w:ascii="Arial" w:hAnsi="Arial" w:cs="Arial"/>
                <w:b/>
                <w:sz w:val="22"/>
                <w:szCs w:val="22"/>
              </w:rPr>
            </w:pPr>
            <w:r w:rsidRPr="007923C2">
              <w:rPr>
                <w:rFonts w:ascii="Arial" w:hAnsi="Arial" w:cs="Arial"/>
                <w:b/>
                <w:sz w:val="22"/>
                <w:szCs w:val="22"/>
              </w:rPr>
              <w:t>Requisito</w:t>
            </w:r>
          </w:p>
        </w:tc>
        <w:tc>
          <w:tcPr>
            <w:tcW w:w="1134" w:type="dxa"/>
          </w:tcPr>
          <w:p w14:paraId="60068ED5" w14:textId="77777777" w:rsidR="00BA0B24" w:rsidRPr="007923C2" w:rsidRDefault="00BA0B24" w:rsidP="00BA0B24">
            <w:pPr>
              <w:rPr>
                <w:rFonts w:ascii="Arial" w:hAnsi="Arial" w:cs="Arial"/>
                <w:b/>
                <w:sz w:val="22"/>
                <w:szCs w:val="22"/>
              </w:rPr>
            </w:pPr>
            <w:r w:rsidRPr="007923C2">
              <w:rPr>
                <w:rFonts w:ascii="Arial" w:hAnsi="Arial" w:cs="Arial"/>
                <w:b/>
                <w:sz w:val="22"/>
                <w:szCs w:val="22"/>
              </w:rPr>
              <w:t>Cve-Req</w:t>
            </w:r>
          </w:p>
        </w:tc>
        <w:tc>
          <w:tcPr>
            <w:tcW w:w="708" w:type="dxa"/>
          </w:tcPr>
          <w:p w14:paraId="76A27118" w14:textId="77777777" w:rsidR="00BA0B24" w:rsidRPr="007923C2" w:rsidRDefault="00BA0B24" w:rsidP="00BA0B24">
            <w:pPr>
              <w:rPr>
                <w:rFonts w:ascii="Arial" w:hAnsi="Arial" w:cs="Arial"/>
                <w:b/>
                <w:sz w:val="22"/>
                <w:szCs w:val="22"/>
              </w:rPr>
            </w:pPr>
            <w:r w:rsidRPr="007923C2">
              <w:rPr>
                <w:rFonts w:ascii="Arial" w:hAnsi="Arial" w:cs="Arial"/>
                <w:b/>
                <w:sz w:val="22"/>
                <w:szCs w:val="22"/>
              </w:rPr>
              <w:t>T-P</w:t>
            </w:r>
          </w:p>
        </w:tc>
        <w:tc>
          <w:tcPr>
            <w:tcW w:w="1134" w:type="dxa"/>
          </w:tcPr>
          <w:p w14:paraId="50D99F40" w14:textId="77777777" w:rsidR="00BA0B24" w:rsidRPr="007923C2" w:rsidRDefault="00BA0B24" w:rsidP="00BA0B24">
            <w:pPr>
              <w:rPr>
                <w:rFonts w:ascii="Arial" w:hAnsi="Arial" w:cs="Arial"/>
                <w:b/>
                <w:sz w:val="22"/>
                <w:szCs w:val="22"/>
              </w:rPr>
            </w:pPr>
            <w:r w:rsidRPr="007923C2">
              <w:rPr>
                <w:rFonts w:ascii="Arial" w:hAnsi="Arial" w:cs="Arial"/>
                <w:b/>
                <w:sz w:val="22"/>
                <w:szCs w:val="22"/>
              </w:rPr>
              <w:t>Créditos</w:t>
            </w:r>
          </w:p>
        </w:tc>
      </w:tr>
      <w:tr w:rsidR="00BA0B24" w:rsidRPr="007923C2" w14:paraId="4BCAB3C3" w14:textId="77777777" w:rsidTr="00B16E59">
        <w:tc>
          <w:tcPr>
            <w:tcW w:w="3227" w:type="dxa"/>
          </w:tcPr>
          <w:p w14:paraId="10D5FEA5" w14:textId="77777777" w:rsidR="00BA0B24" w:rsidRPr="007923C2" w:rsidRDefault="00BA0B24" w:rsidP="00BA0B24">
            <w:pPr>
              <w:rPr>
                <w:rFonts w:ascii="Arial" w:hAnsi="Arial" w:cs="Arial"/>
                <w:sz w:val="22"/>
                <w:szCs w:val="22"/>
              </w:rPr>
            </w:pPr>
            <w:r w:rsidRPr="007923C2">
              <w:rPr>
                <w:rFonts w:ascii="Arial" w:hAnsi="Arial" w:cs="Arial"/>
                <w:sz w:val="22"/>
                <w:szCs w:val="22"/>
              </w:rPr>
              <w:t>Matemáticas</w:t>
            </w:r>
          </w:p>
        </w:tc>
        <w:tc>
          <w:tcPr>
            <w:tcW w:w="1304" w:type="dxa"/>
          </w:tcPr>
          <w:p w14:paraId="7C96CAF1" w14:textId="77777777" w:rsidR="00BA0B24" w:rsidRPr="007923C2" w:rsidRDefault="00BA0B24" w:rsidP="00BA0B24">
            <w:pPr>
              <w:rPr>
                <w:rFonts w:ascii="Arial" w:hAnsi="Arial" w:cs="Arial"/>
                <w:sz w:val="22"/>
                <w:szCs w:val="22"/>
              </w:rPr>
            </w:pPr>
            <w:r w:rsidRPr="007923C2">
              <w:rPr>
                <w:rFonts w:ascii="Arial" w:hAnsi="Arial" w:cs="Arial"/>
                <w:sz w:val="22"/>
                <w:szCs w:val="22"/>
              </w:rPr>
              <w:t>DEC410</w:t>
            </w:r>
          </w:p>
        </w:tc>
        <w:tc>
          <w:tcPr>
            <w:tcW w:w="1560" w:type="dxa"/>
          </w:tcPr>
          <w:p w14:paraId="3FF478EF" w14:textId="77777777"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14:paraId="20D04C8E" w14:textId="77777777" w:rsidR="00BA0B24" w:rsidRPr="007923C2" w:rsidRDefault="00BA0B24" w:rsidP="00BA0B24">
            <w:pPr>
              <w:rPr>
                <w:rFonts w:ascii="Arial" w:hAnsi="Arial" w:cs="Arial"/>
                <w:sz w:val="22"/>
                <w:szCs w:val="22"/>
              </w:rPr>
            </w:pPr>
          </w:p>
        </w:tc>
        <w:tc>
          <w:tcPr>
            <w:tcW w:w="708" w:type="dxa"/>
          </w:tcPr>
          <w:p w14:paraId="7215B45B" w14:textId="77777777" w:rsidR="00BA0B24" w:rsidRPr="007923C2" w:rsidRDefault="00BA0B24" w:rsidP="00BA0B24">
            <w:pPr>
              <w:rPr>
                <w:rFonts w:ascii="Arial" w:hAnsi="Arial" w:cs="Arial"/>
                <w:sz w:val="22"/>
                <w:szCs w:val="22"/>
              </w:rPr>
            </w:pPr>
            <w:r w:rsidRPr="007923C2">
              <w:rPr>
                <w:rFonts w:ascii="Arial" w:hAnsi="Arial" w:cs="Arial"/>
                <w:sz w:val="22"/>
                <w:szCs w:val="22"/>
              </w:rPr>
              <w:t>5-0</w:t>
            </w:r>
          </w:p>
        </w:tc>
        <w:tc>
          <w:tcPr>
            <w:tcW w:w="1134" w:type="dxa"/>
          </w:tcPr>
          <w:p w14:paraId="45B4FFEB" w14:textId="77777777" w:rsidR="00BA0B24" w:rsidRPr="007923C2" w:rsidRDefault="00BA0B24" w:rsidP="00BA0B24">
            <w:pPr>
              <w:rPr>
                <w:rFonts w:ascii="Arial" w:hAnsi="Arial" w:cs="Arial"/>
                <w:sz w:val="22"/>
                <w:szCs w:val="22"/>
              </w:rPr>
            </w:pPr>
            <w:r w:rsidRPr="007923C2">
              <w:rPr>
                <w:rFonts w:ascii="Arial" w:hAnsi="Arial" w:cs="Arial"/>
                <w:sz w:val="22"/>
                <w:szCs w:val="22"/>
              </w:rPr>
              <w:t>10</w:t>
            </w:r>
          </w:p>
        </w:tc>
      </w:tr>
      <w:tr w:rsidR="00BA0B24" w:rsidRPr="007923C2" w14:paraId="246832B4" w14:textId="77777777" w:rsidTr="00B16E59">
        <w:tc>
          <w:tcPr>
            <w:tcW w:w="3227" w:type="dxa"/>
          </w:tcPr>
          <w:p w14:paraId="3A5F0E11" w14:textId="77777777" w:rsidR="00BA0B24" w:rsidRPr="007923C2" w:rsidRDefault="00BA0B24" w:rsidP="00BA0B24">
            <w:pPr>
              <w:rPr>
                <w:rFonts w:ascii="Arial" w:hAnsi="Arial" w:cs="Arial"/>
                <w:sz w:val="22"/>
                <w:szCs w:val="22"/>
              </w:rPr>
            </w:pPr>
            <w:r w:rsidRPr="007923C2">
              <w:rPr>
                <w:rFonts w:ascii="Arial" w:hAnsi="Arial" w:cs="Arial"/>
                <w:sz w:val="22"/>
                <w:szCs w:val="22"/>
              </w:rPr>
              <w:t>Química</w:t>
            </w:r>
          </w:p>
        </w:tc>
        <w:tc>
          <w:tcPr>
            <w:tcW w:w="1304" w:type="dxa"/>
          </w:tcPr>
          <w:p w14:paraId="6BAB6DED" w14:textId="77777777" w:rsidR="00BA0B24" w:rsidRPr="007923C2" w:rsidRDefault="00BA0B24" w:rsidP="00BA0B24">
            <w:pPr>
              <w:rPr>
                <w:rFonts w:ascii="Arial" w:hAnsi="Arial" w:cs="Arial"/>
                <w:sz w:val="22"/>
                <w:szCs w:val="22"/>
              </w:rPr>
            </w:pPr>
            <w:r w:rsidRPr="007923C2">
              <w:rPr>
                <w:rFonts w:ascii="Arial" w:hAnsi="Arial" w:cs="Arial"/>
                <w:sz w:val="22"/>
                <w:szCs w:val="22"/>
              </w:rPr>
              <w:t>CSB403</w:t>
            </w:r>
          </w:p>
        </w:tc>
        <w:tc>
          <w:tcPr>
            <w:tcW w:w="1560" w:type="dxa"/>
          </w:tcPr>
          <w:p w14:paraId="2AA50F71" w14:textId="77777777"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14:paraId="194E1CB9" w14:textId="77777777" w:rsidR="00BA0B24" w:rsidRPr="007923C2" w:rsidRDefault="00BA0B24" w:rsidP="00BA0B24">
            <w:pPr>
              <w:rPr>
                <w:rFonts w:ascii="Arial" w:hAnsi="Arial" w:cs="Arial"/>
                <w:sz w:val="22"/>
                <w:szCs w:val="22"/>
              </w:rPr>
            </w:pPr>
          </w:p>
        </w:tc>
        <w:tc>
          <w:tcPr>
            <w:tcW w:w="708" w:type="dxa"/>
          </w:tcPr>
          <w:p w14:paraId="64B0A14C"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6728D45F"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5A3BE0F2" w14:textId="77777777" w:rsidTr="00B16E59">
        <w:tc>
          <w:tcPr>
            <w:tcW w:w="3227" w:type="dxa"/>
          </w:tcPr>
          <w:p w14:paraId="4C6DF656" w14:textId="77777777" w:rsidR="00BA0B24" w:rsidRPr="007923C2" w:rsidRDefault="00BA0B24" w:rsidP="00BA0B24">
            <w:pPr>
              <w:rPr>
                <w:rFonts w:ascii="Arial" w:hAnsi="Arial" w:cs="Arial"/>
                <w:sz w:val="22"/>
                <w:szCs w:val="22"/>
              </w:rPr>
            </w:pPr>
            <w:r w:rsidRPr="007923C2">
              <w:rPr>
                <w:rFonts w:ascii="Arial" w:hAnsi="Arial" w:cs="Arial"/>
                <w:sz w:val="22"/>
                <w:szCs w:val="22"/>
              </w:rPr>
              <w:t>Biología</w:t>
            </w:r>
          </w:p>
        </w:tc>
        <w:tc>
          <w:tcPr>
            <w:tcW w:w="1304" w:type="dxa"/>
          </w:tcPr>
          <w:p w14:paraId="31901E01" w14:textId="77777777" w:rsidR="00BA0B24" w:rsidRPr="007923C2" w:rsidRDefault="00BA0B24" w:rsidP="00BA0B24">
            <w:pPr>
              <w:rPr>
                <w:rFonts w:ascii="Arial" w:hAnsi="Arial" w:cs="Arial"/>
                <w:sz w:val="22"/>
                <w:szCs w:val="22"/>
              </w:rPr>
            </w:pPr>
            <w:r w:rsidRPr="007923C2">
              <w:rPr>
                <w:rFonts w:ascii="Arial" w:hAnsi="Arial" w:cs="Arial"/>
                <w:sz w:val="22"/>
                <w:szCs w:val="22"/>
              </w:rPr>
              <w:t>BOT404</w:t>
            </w:r>
          </w:p>
        </w:tc>
        <w:tc>
          <w:tcPr>
            <w:tcW w:w="1560" w:type="dxa"/>
          </w:tcPr>
          <w:p w14:paraId="00DBE143" w14:textId="77777777"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14:paraId="0E5D731A" w14:textId="77777777" w:rsidR="00BA0B24" w:rsidRPr="007923C2" w:rsidRDefault="00BA0B24" w:rsidP="00BA0B24">
            <w:pPr>
              <w:rPr>
                <w:rFonts w:ascii="Arial" w:hAnsi="Arial" w:cs="Arial"/>
                <w:sz w:val="22"/>
                <w:szCs w:val="22"/>
              </w:rPr>
            </w:pPr>
          </w:p>
        </w:tc>
        <w:tc>
          <w:tcPr>
            <w:tcW w:w="708" w:type="dxa"/>
          </w:tcPr>
          <w:p w14:paraId="321562EC"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7980B8BB"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4FE3E238" w14:textId="77777777" w:rsidTr="00B16E59">
        <w:tc>
          <w:tcPr>
            <w:tcW w:w="3227" w:type="dxa"/>
          </w:tcPr>
          <w:p w14:paraId="463181A6" w14:textId="77777777" w:rsidR="00BA0B24" w:rsidRPr="007923C2" w:rsidRDefault="00BA0B24" w:rsidP="00BA0B24">
            <w:pPr>
              <w:rPr>
                <w:rFonts w:ascii="Arial" w:hAnsi="Arial" w:cs="Arial"/>
                <w:sz w:val="22"/>
                <w:szCs w:val="22"/>
              </w:rPr>
            </w:pPr>
            <w:r w:rsidRPr="007923C2">
              <w:rPr>
                <w:rFonts w:ascii="Arial" w:hAnsi="Arial" w:cs="Arial"/>
                <w:sz w:val="22"/>
                <w:szCs w:val="22"/>
              </w:rPr>
              <w:t>Introducción a la Ciencia del Suelo</w:t>
            </w:r>
          </w:p>
        </w:tc>
        <w:tc>
          <w:tcPr>
            <w:tcW w:w="1304" w:type="dxa"/>
          </w:tcPr>
          <w:p w14:paraId="7447A00F" w14:textId="77777777" w:rsidR="00BA0B24" w:rsidRPr="007923C2" w:rsidRDefault="00BA0B24" w:rsidP="00BA0B24">
            <w:pPr>
              <w:rPr>
                <w:rFonts w:ascii="Arial" w:hAnsi="Arial" w:cs="Arial"/>
                <w:sz w:val="22"/>
                <w:szCs w:val="22"/>
              </w:rPr>
            </w:pPr>
            <w:r w:rsidRPr="007923C2">
              <w:rPr>
                <w:rFonts w:ascii="Arial" w:hAnsi="Arial" w:cs="Arial"/>
                <w:sz w:val="22"/>
                <w:szCs w:val="22"/>
              </w:rPr>
              <w:t>SUE403</w:t>
            </w:r>
          </w:p>
        </w:tc>
        <w:tc>
          <w:tcPr>
            <w:tcW w:w="1560" w:type="dxa"/>
          </w:tcPr>
          <w:p w14:paraId="7AD448B8" w14:textId="77777777"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14:paraId="3CF6C2FD" w14:textId="77777777" w:rsidR="00BA0B24" w:rsidRPr="007923C2" w:rsidRDefault="00BA0B24" w:rsidP="00BA0B24">
            <w:pPr>
              <w:rPr>
                <w:rFonts w:ascii="Arial" w:hAnsi="Arial" w:cs="Arial"/>
                <w:sz w:val="22"/>
                <w:szCs w:val="22"/>
              </w:rPr>
            </w:pPr>
          </w:p>
        </w:tc>
        <w:tc>
          <w:tcPr>
            <w:tcW w:w="708" w:type="dxa"/>
          </w:tcPr>
          <w:p w14:paraId="61A33F65"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4EC3FD93"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1A44C521" w14:textId="77777777" w:rsidTr="00B16E59">
        <w:tc>
          <w:tcPr>
            <w:tcW w:w="3227" w:type="dxa"/>
          </w:tcPr>
          <w:p w14:paraId="746A54CF" w14:textId="77777777" w:rsidR="00BA0B24" w:rsidRPr="007923C2" w:rsidRDefault="00BA0B24" w:rsidP="00BA0B24">
            <w:pPr>
              <w:rPr>
                <w:rFonts w:ascii="Arial" w:hAnsi="Arial" w:cs="Arial"/>
                <w:sz w:val="22"/>
                <w:szCs w:val="22"/>
              </w:rPr>
            </w:pPr>
            <w:r w:rsidRPr="007923C2">
              <w:rPr>
                <w:rFonts w:ascii="Arial" w:hAnsi="Arial" w:cs="Arial"/>
                <w:sz w:val="22"/>
                <w:szCs w:val="22"/>
              </w:rPr>
              <w:t>Inglés</w:t>
            </w:r>
            <w:r w:rsidR="00AE5624">
              <w:rPr>
                <w:rFonts w:ascii="Arial" w:hAnsi="Arial" w:cs="Arial"/>
                <w:sz w:val="22"/>
                <w:szCs w:val="22"/>
              </w:rPr>
              <w:t xml:space="preserve"> I</w:t>
            </w:r>
          </w:p>
        </w:tc>
        <w:tc>
          <w:tcPr>
            <w:tcW w:w="1304" w:type="dxa"/>
          </w:tcPr>
          <w:p w14:paraId="2E447A91" w14:textId="77777777" w:rsidR="00BA0B24" w:rsidRPr="007923C2" w:rsidRDefault="00BA0B24" w:rsidP="00BA0B24">
            <w:pPr>
              <w:rPr>
                <w:rFonts w:ascii="Arial" w:hAnsi="Arial" w:cs="Arial"/>
                <w:sz w:val="22"/>
                <w:szCs w:val="22"/>
              </w:rPr>
            </w:pPr>
            <w:r w:rsidRPr="007923C2">
              <w:rPr>
                <w:rFonts w:ascii="Arial" w:hAnsi="Arial" w:cs="Arial"/>
                <w:sz w:val="22"/>
                <w:szCs w:val="22"/>
              </w:rPr>
              <w:t>UAI401</w:t>
            </w:r>
          </w:p>
        </w:tc>
        <w:tc>
          <w:tcPr>
            <w:tcW w:w="1560" w:type="dxa"/>
          </w:tcPr>
          <w:p w14:paraId="141EDFC6" w14:textId="77777777"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14:paraId="7F7B7343" w14:textId="77777777" w:rsidR="00BA0B24" w:rsidRPr="007923C2" w:rsidRDefault="00BA0B24" w:rsidP="00BA0B24">
            <w:pPr>
              <w:rPr>
                <w:rFonts w:ascii="Arial" w:hAnsi="Arial" w:cs="Arial"/>
                <w:sz w:val="22"/>
                <w:szCs w:val="22"/>
              </w:rPr>
            </w:pPr>
          </w:p>
        </w:tc>
        <w:tc>
          <w:tcPr>
            <w:tcW w:w="708" w:type="dxa"/>
          </w:tcPr>
          <w:p w14:paraId="3E01C45B" w14:textId="77777777" w:rsidR="00BA0B24" w:rsidRPr="007923C2" w:rsidRDefault="00BA0B24" w:rsidP="00BA0B24">
            <w:pPr>
              <w:rPr>
                <w:rFonts w:ascii="Arial" w:hAnsi="Arial" w:cs="Arial"/>
                <w:sz w:val="22"/>
                <w:szCs w:val="22"/>
              </w:rPr>
            </w:pPr>
            <w:r w:rsidRPr="007923C2">
              <w:rPr>
                <w:rFonts w:ascii="Arial" w:hAnsi="Arial" w:cs="Arial"/>
                <w:sz w:val="22"/>
                <w:szCs w:val="22"/>
              </w:rPr>
              <w:t>1-4</w:t>
            </w:r>
          </w:p>
        </w:tc>
        <w:tc>
          <w:tcPr>
            <w:tcW w:w="1134" w:type="dxa"/>
          </w:tcPr>
          <w:p w14:paraId="64D6AA01" w14:textId="77777777" w:rsidR="00BA0B24" w:rsidRPr="007923C2" w:rsidRDefault="00BA0B24" w:rsidP="00BA0B24">
            <w:pPr>
              <w:rPr>
                <w:rFonts w:ascii="Arial" w:hAnsi="Arial" w:cs="Arial"/>
                <w:sz w:val="22"/>
                <w:szCs w:val="22"/>
              </w:rPr>
            </w:pPr>
            <w:r w:rsidRPr="007923C2">
              <w:rPr>
                <w:rFonts w:ascii="Arial" w:hAnsi="Arial" w:cs="Arial"/>
                <w:sz w:val="22"/>
                <w:szCs w:val="22"/>
              </w:rPr>
              <w:t>6</w:t>
            </w:r>
          </w:p>
        </w:tc>
      </w:tr>
      <w:tr w:rsidR="00BA0B24" w:rsidRPr="007923C2" w14:paraId="1A378F9F" w14:textId="77777777" w:rsidTr="00B16E59">
        <w:tc>
          <w:tcPr>
            <w:tcW w:w="3227" w:type="dxa"/>
          </w:tcPr>
          <w:p w14:paraId="5B4B3184" w14:textId="77777777" w:rsidR="00BA0B24" w:rsidRPr="007923C2" w:rsidRDefault="00BA0B24" w:rsidP="00BA0B24">
            <w:pPr>
              <w:rPr>
                <w:rFonts w:ascii="Arial" w:hAnsi="Arial" w:cs="Arial"/>
                <w:sz w:val="22"/>
                <w:szCs w:val="22"/>
              </w:rPr>
            </w:pPr>
            <w:r w:rsidRPr="007923C2">
              <w:rPr>
                <w:rFonts w:ascii="Arial" w:hAnsi="Arial" w:cs="Arial"/>
                <w:sz w:val="22"/>
                <w:szCs w:val="22"/>
              </w:rPr>
              <w:t>Taller de Comunicación Oral y Escrita</w:t>
            </w:r>
          </w:p>
        </w:tc>
        <w:tc>
          <w:tcPr>
            <w:tcW w:w="1304" w:type="dxa"/>
          </w:tcPr>
          <w:p w14:paraId="6EB78D6F" w14:textId="77777777" w:rsidR="00BA0B24" w:rsidRPr="007923C2" w:rsidRDefault="00BA0B24" w:rsidP="00BA0B24">
            <w:pPr>
              <w:rPr>
                <w:rFonts w:ascii="Arial" w:hAnsi="Arial" w:cs="Arial"/>
                <w:sz w:val="22"/>
                <w:szCs w:val="22"/>
              </w:rPr>
            </w:pPr>
            <w:r w:rsidRPr="007923C2">
              <w:rPr>
                <w:rFonts w:ascii="Arial" w:hAnsi="Arial" w:cs="Arial"/>
                <w:sz w:val="22"/>
                <w:szCs w:val="22"/>
              </w:rPr>
              <w:t>SOC405</w:t>
            </w:r>
          </w:p>
        </w:tc>
        <w:tc>
          <w:tcPr>
            <w:tcW w:w="1560" w:type="dxa"/>
          </w:tcPr>
          <w:p w14:paraId="12B9DE87" w14:textId="77777777"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14:paraId="7F9A969D" w14:textId="77777777" w:rsidR="00BA0B24" w:rsidRPr="007923C2" w:rsidRDefault="00BA0B24" w:rsidP="00BA0B24">
            <w:pPr>
              <w:rPr>
                <w:rFonts w:ascii="Arial" w:hAnsi="Arial" w:cs="Arial"/>
                <w:sz w:val="22"/>
                <w:szCs w:val="22"/>
              </w:rPr>
            </w:pPr>
          </w:p>
        </w:tc>
        <w:tc>
          <w:tcPr>
            <w:tcW w:w="708" w:type="dxa"/>
          </w:tcPr>
          <w:p w14:paraId="6891005D" w14:textId="77777777" w:rsidR="00BA0B24" w:rsidRPr="007923C2" w:rsidRDefault="00BA0B24" w:rsidP="00BA0B24">
            <w:pPr>
              <w:rPr>
                <w:rFonts w:ascii="Arial" w:hAnsi="Arial" w:cs="Arial"/>
                <w:sz w:val="22"/>
                <w:szCs w:val="22"/>
              </w:rPr>
            </w:pPr>
            <w:r w:rsidRPr="007923C2">
              <w:rPr>
                <w:rFonts w:ascii="Arial" w:hAnsi="Arial" w:cs="Arial"/>
                <w:sz w:val="22"/>
                <w:szCs w:val="22"/>
              </w:rPr>
              <w:t>2-2</w:t>
            </w:r>
          </w:p>
        </w:tc>
        <w:tc>
          <w:tcPr>
            <w:tcW w:w="1134" w:type="dxa"/>
          </w:tcPr>
          <w:p w14:paraId="1DC7EF64" w14:textId="77777777" w:rsidR="00BA0B24" w:rsidRPr="007923C2" w:rsidRDefault="00BA0B24" w:rsidP="00BA0B24">
            <w:pPr>
              <w:rPr>
                <w:rFonts w:ascii="Arial" w:hAnsi="Arial" w:cs="Arial"/>
                <w:sz w:val="22"/>
                <w:szCs w:val="22"/>
              </w:rPr>
            </w:pPr>
            <w:r w:rsidRPr="007923C2">
              <w:rPr>
                <w:rFonts w:ascii="Arial" w:hAnsi="Arial" w:cs="Arial"/>
                <w:sz w:val="22"/>
                <w:szCs w:val="22"/>
              </w:rPr>
              <w:t>6</w:t>
            </w:r>
          </w:p>
        </w:tc>
      </w:tr>
      <w:tr w:rsidR="00BA0B24" w:rsidRPr="007923C2" w14:paraId="2A53FC28" w14:textId="77777777" w:rsidTr="00B16E59">
        <w:tc>
          <w:tcPr>
            <w:tcW w:w="3227" w:type="dxa"/>
          </w:tcPr>
          <w:p w14:paraId="608D7464" w14:textId="77777777" w:rsidR="00BA0B24" w:rsidRPr="007923C2" w:rsidRDefault="00BA0B24" w:rsidP="00BA0B24">
            <w:pPr>
              <w:rPr>
                <w:rFonts w:ascii="Arial" w:hAnsi="Arial" w:cs="Arial"/>
                <w:sz w:val="22"/>
                <w:szCs w:val="22"/>
              </w:rPr>
            </w:pPr>
            <w:r w:rsidRPr="007923C2">
              <w:rPr>
                <w:rFonts w:ascii="Arial" w:hAnsi="Arial" w:cs="Arial"/>
                <w:sz w:val="22"/>
                <w:szCs w:val="22"/>
              </w:rPr>
              <w:t>Cálculo diferencial e integral</w:t>
            </w:r>
          </w:p>
        </w:tc>
        <w:tc>
          <w:tcPr>
            <w:tcW w:w="1304" w:type="dxa"/>
          </w:tcPr>
          <w:p w14:paraId="2DB711EC" w14:textId="77777777" w:rsidR="00BA0B24" w:rsidRPr="007923C2" w:rsidRDefault="00BA0B24" w:rsidP="00BA0B24">
            <w:pPr>
              <w:rPr>
                <w:rFonts w:ascii="Arial" w:hAnsi="Arial" w:cs="Arial"/>
                <w:sz w:val="22"/>
                <w:szCs w:val="22"/>
              </w:rPr>
            </w:pPr>
            <w:r w:rsidRPr="007923C2">
              <w:rPr>
                <w:rFonts w:ascii="Arial" w:hAnsi="Arial" w:cs="Arial"/>
                <w:sz w:val="22"/>
                <w:szCs w:val="22"/>
              </w:rPr>
              <w:t>DEC405</w:t>
            </w:r>
          </w:p>
        </w:tc>
        <w:tc>
          <w:tcPr>
            <w:tcW w:w="1560" w:type="dxa"/>
          </w:tcPr>
          <w:p w14:paraId="63374C4B" w14:textId="77777777" w:rsidR="00BA0B24" w:rsidRPr="007923C2" w:rsidRDefault="00BA0B24" w:rsidP="00BA0B24">
            <w:pPr>
              <w:rPr>
                <w:rFonts w:ascii="Arial" w:hAnsi="Arial" w:cs="Arial"/>
                <w:sz w:val="22"/>
                <w:szCs w:val="22"/>
              </w:rPr>
            </w:pPr>
            <w:r w:rsidRPr="007923C2">
              <w:rPr>
                <w:rFonts w:ascii="Arial" w:hAnsi="Arial" w:cs="Arial"/>
                <w:sz w:val="22"/>
                <w:szCs w:val="22"/>
              </w:rPr>
              <w:t>Matemáticas</w:t>
            </w:r>
          </w:p>
        </w:tc>
        <w:tc>
          <w:tcPr>
            <w:tcW w:w="1134" w:type="dxa"/>
          </w:tcPr>
          <w:p w14:paraId="5B76D6F9" w14:textId="77777777" w:rsidR="00BA0B24" w:rsidRPr="007923C2" w:rsidRDefault="00BA0B24" w:rsidP="00BA0B24">
            <w:pPr>
              <w:rPr>
                <w:rFonts w:ascii="Arial" w:hAnsi="Arial" w:cs="Arial"/>
                <w:sz w:val="22"/>
                <w:szCs w:val="22"/>
              </w:rPr>
            </w:pPr>
            <w:r w:rsidRPr="007923C2">
              <w:rPr>
                <w:rFonts w:ascii="Arial" w:hAnsi="Arial" w:cs="Arial"/>
                <w:sz w:val="22"/>
                <w:szCs w:val="22"/>
              </w:rPr>
              <w:t>DEC410</w:t>
            </w:r>
          </w:p>
        </w:tc>
        <w:tc>
          <w:tcPr>
            <w:tcW w:w="708" w:type="dxa"/>
          </w:tcPr>
          <w:p w14:paraId="792206B7" w14:textId="77777777" w:rsidR="00BA0B24" w:rsidRPr="007923C2" w:rsidRDefault="00BA0B24" w:rsidP="00BA0B24">
            <w:pPr>
              <w:rPr>
                <w:rFonts w:ascii="Arial" w:hAnsi="Arial" w:cs="Arial"/>
                <w:sz w:val="22"/>
                <w:szCs w:val="22"/>
              </w:rPr>
            </w:pPr>
            <w:r w:rsidRPr="007923C2">
              <w:rPr>
                <w:rFonts w:ascii="Arial" w:hAnsi="Arial" w:cs="Arial"/>
                <w:sz w:val="22"/>
                <w:szCs w:val="22"/>
              </w:rPr>
              <w:t>5-0</w:t>
            </w:r>
          </w:p>
        </w:tc>
        <w:tc>
          <w:tcPr>
            <w:tcW w:w="1134" w:type="dxa"/>
          </w:tcPr>
          <w:p w14:paraId="296888C7" w14:textId="77777777" w:rsidR="00BA0B24" w:rsidRPr="007923C2" w:rsidRDefault="00BA0B24" w:rsidP="00BA0B24">
            <w:pPr>
              <w:rPr>
                <w:rFonts w:ascii="Arial" w:hAnsi="Arial" w:cs="Arial"/>
                <w:sz w:val="22"/>
                <w:szCs w:val="22"/>
              </w:rPr>
            </w:pPr>
            <w:r w:rsidRPr="007923C2">
              <w:rPr>
                <w:rFonts w:ascii="Arial" w:hAnsi="Arial" w:cs="Arial"/>
                <w:sz w:val="22"/>
                <w:szCs w:val="22"/>
              </w:rPr>
              <w:t>10</w:t>
            </w:r>
          </w:p>
        </w:tc>
      </w:tr>
      <w:tr w:rsidR="00BA0B24" w:rsidRPr="007923C2" w14:paraId="7E61525F" w14:textId="77777777" w:rsidTr="00B16E59">
        <w:tc>
          <w:tcPr>
            <w:tcW w:w="3227" w:type="dxa"/>
          </w:tcPr>
          <w:p w14:paraId="72FD5768" w14:textId="77777777" w:rsidR="00BA0B24" w:rsidRPr="007923C2" w:rsidRDefault="00BA0B24" w:rsidP="00BA0B24">
            <w:pPr>
              <w:rPr>
                <w:rFonts w:ascii="Arial" w:hAnsi="Arial" w:cs="Arial"/>
                <w:sz w:val="22"/>
                <w:szCs w:val="22"/>
              </w:rPr>
            </w:pPr>
            <w:r w:rsidRPr="007923C2">
              <w:rPr>
                <w:rFonts w:ascii="Arial" w:hAnsi="Arial" w:cs="Arial"/>
                <w:sz w:val="22"/>
                <w:szCs w:val="22"/>
              </w:rPr>
              <w:t>Bioquímica</w:t>
            </w:r>
          </w:p>
        </w:tc>
        <w:tc>
          <w:tcPr>
            <w:tcW w:w="1304" w:type="dxa"/>
          </w:tcPr>
          <w:p w14:paraId="7C0F188E" w14:textId="77777777" w:rsidR="00BA0B24" w:rsidRPr="007923C2" w:rsidRDefault="00BA0B24" w:rsidP="00BA0B24">
            <w:pPr>
              <w:rPr>
                <w:rFonts w:ascii="Arial" w:hAnsi="Arial" w:cs="Arial"/>
                <w:sz w:val="22"/>
                <w:szCs w:val="22"/>
              </w:rPr>
            </w:pPr>
            <w:r w:rsidRPr="007923C2">
              <w:rPr>
                <w:rFonts w:ascii="Arial" w:hAnsi="Arial" w:cs="Arial"/>
                <w:sz w:val="22"/>
                <w:szCs w:val="22"/>
              </w:rPr>
              <w:t>CSB421</w:t>
            </w:r>
          </w:p>
        </w:tc>
        <w:tc>
          <w:tcPr>
            <w:tcW w:w="1560" w:type="dxa"/>
          </w:tcPr>
          <w:p w14:paraId="6A2DEF74" w14:textId="77777777" w:rsidR="00BA0B24" w:rsidRPr="007923C2" w:rsidRDefault="00BA0B24" w:rsidP="00BA0B24">
            <w:pPr>
              <w:rPr>
                <w:rFonts w:ascii="Arial" w:hAnsi="Arial" w:cs="Arial"/>
                <w:sz w:val="22"/>
                <w:szCs w:val="22"/>
              </w:rPr>
            </w:pPr>
            <w:r w:rsidRPr="007923C2">
              <w:rPr>
                <w:rFonts w:ascii="Arial" w:hAnsi="Arial" w:cs="Arial"/>
                <w:sz w:val="22"/>
                <w:szCs w:val="22"/>
              </w:rPr>
              <w:t>Química</w:t>
            </w:r>
          </w:p>
        </w:tc>
        <w:tc>
          <w:tcPr>
            <w:tcW w:w="1134" w:type="dxa"/>
          </w:tcPr>
          <w:p w14:paraId="7F481652" w14:textId="77777777" w:rsidR="00BA0B24" w:rsidRPr="007923C2" w:rsidRDefault="00BA0B24" w:rsidP="00BA0B24">
            <w:pPr>
              <w:rPr>
                <w:rFonts w:ascii="Arial" w:hAnsi="Arial" w:cs="Arial"/>
                <w:sz w:val="22"/>
                <w:szCs w:val="22"/>
              </w:rPr>
            </w:pPr>
            <w:r w:rsidRPr="007923C2">
              <w:rPr>
                <w:rFonts w:ascii="Arial" w:hAnsi="Arial" w:cs="Arial"/>
                <w:sz w:val="22"/>
                <w:szCs w:val="22"/>
              </w:rPr>
              <w:t>CSB403</w:t>
            </w:r>
          </w:p>
        </w:tc>
        <w:tc>
          <w:tcPr>
            <w:tcW w:w="708" w:type="dxa"/>
          </w:tcPr>
          <w:p w14:paraId="0B8D382F"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43B1283C"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1A20DDAA" w14:textId="77777777" w:rsidTr="00B16E59">
        <w:tc>
          <w:tcPr>
            <w:tcW w:w="3227" w:type="dxa"/>
          </w:tcPr>
          <w:p w14:paraId="76A1F8C6" w14:textId="77777777" w:rsidR="00BA0B24" w:rsidRPr="007923C2" w:rsidRDefault="00BA0B24" w:rsidP="00BA0B24">
            <w:pPr>
              <w:rPr>
                <w:rFonts w:ascii="Arial" w:hAnsi="Arial" w:cs="Arial"/>
                <w:sz w:val="22"/>
                <w:szCs w:val="22"/>
              </w:rPr>
            </w:pPr>
            <w:r w:rsidRPr="007923C2">
              <w:rPr>
                <w:rFonts w:ascii="Arial" w:hAnsi="Arial" w:cs="Arial"/>
                <w:sz w:val="22"/>
                <w:szCs w:val="22"/>
              </w:rPr>
              <w:t>Botánica I</w:t>
            </w:r>
          </w:p>
        </w:tc>
        <w:tc>
          <w:tcPr>
            <w:tcW w:w="1304" w:type="dxa"/>
          </w:tcPr>
          <w:p w14:paraId="3ED1C448" w14:textId="77777777" w:rsidR="00BA0B24" w:rsidRPr="007923C2" w:rsidRDefault="00BA0B24" w:rsidP="00BA0B24">
            <w:pPr>
              <w:rPr>
                <w:rFonts w:ascii="Arial" w:hAnsi="Arial" w:cs="Arial"/>
                <w:sz w:val="22"/>
                <w:szCs w:val="22"/>
              </w:rPr>
            </w:pPr>
            <w:r w:rsidRPr="007923C2">
              <w:rPr>
                <w:rFonts w:ascii="Arial" w:hAnsi="Arial" w:cs="Arial"/>
                <w:sz w:val="22"/>
                <w:szCs w:val="22"/>
              </w:rPr>
              <w:t>BOT413</w:t>
            </w:r>
          </w:p>
        </w:tc>
        <w:tc>
          <w:tcPr>
            <w:tcW w:w="1560" w:type="dxa"/>
          </w:tcPr>
          <w:p w14:paraId="1063DDD8" w14:textId="77777777" w:rsidR="00BA0B24" w:rsidRPr="007923C2" w:rsidRDefault="00BA0B24" w:rsidP="00BA0B24">
            <w:pPr>
              <w:rPr>
                <w:rFonts w:ascii="Arial" w:hAnsi="Arial" w:cs="Arial"/>
                <w:sz w:val="22"/>
                <w:szCs w:val="22"/>
              </w:rPr>
            </w:pPr>
            <w:r w:rsidRPr="007923C2">
              <w:rPr>
                <w:rFonts w:ascii="Arial" w:hAnsi="Arial" w:cs="Arial"/>
                <w:sz w:val="22"/>
                <w:szCs w:val="22"/>
              </w:rPr>
              <w:t>Biología</w:t>
            </w:r>
          </w:p>
        </w:tc>
        <w:tc>
          <w:tcPr>
            <w:tcW w:w="1134" w:type="dxa"/>
          </w:tcPr>
          <w:p w14:paraId="62425938" w14:textId="77777777" w:rsidR="00BA0B24" w:rsidRPr="007923C2" w:rsidRDefault="00BA0B24" w:rsidP="00BA0B24">
            <w:pPr>
              <w:rPr>
                <w:rFonts w:ascii="Arial" w:hAnsi="Arial" w:cs="Arial"/>
                <w:sz w:val="22"/>
                <w:szCs w:val="22"/>
              </w:rPr>
            </w:pPr>
            <w:r w:rsidRPr="007923C2">
              <w:rPr>
                <w:rFonts w:ascii="Arial" w:hAnsi="Arial" w:cs="Arial"/>
                <w:sz w:val="22"/>
                <w:szCs w:val="22"/>
              </w:rPr>
              <w:t>BOT404</w:t>
            </w:r>
          </w:p>
        </w:tc>
        <w:tc>
          <w:tcPr>
            <w:tcW w:w="708" w:type="dxa"/>
          </w:tcPr>
          <w:p w14:paraId="2665AA90"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254D1B66"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24E22653" w14:textId="77777777" w:rsidTr="00B16E59">
        <w:tc>
          <w:tcPr>
            <w:tcW w:w="3227" w:type="dxa"/>
          </w:tcPr>
          <w:p w14:paraId="79E492C7" w14:textId="0BD41D3F" w:rsidR="00BA0B24" w:rsidRPr="007923C2" w:rsidRDefault="00BA0B24" w:rsidP="00BA0B24">
            <w:pPr>
              <w:rPr>
                <w:rFonts w:ascii="Arial" w:hAnsi="Arial" w:cs="Arial"/>
                <w:sz w:val="22"/>
                <w:szCs w:val="22"/>
              </w:rPr>
            </w:pPr>
            <w:r w:rsidRPr="007923C2">
              <w:rPr>
                <w:rFonts w:ascii="Arial" w:hAnsi="Arial" w:cs="Arial"/>
                <w:sz w:val="22"/>
                <w:szCs w:val="22"/>
              </w:rPr>
              <w:t xml:space="preserve">Zoología </w:t>
            </w:r>
            <w:r w:rsidR="00D86AFE">
              <w:rPr>
                <w:rFonts w:ascii="Arial" w:hAnsi="Arial" w:cs="Arial"/>
                <w:sz w:val="22"/>
                <w:szCs w:val="22"/>
              </w:rPr>
              <w:t>general</w:t>
            </w:r>
          </w:p>
        </w:tc>
        <w:tc>
          <w:tcPr>
            <w:tcW w:w="1304" w:type="dxa"/>
          </w:tcPr>
          <w:p w14:paraId="50DFDC32" w14:textId="77777777" w:rsidR="00BA0B24" w:rsidRPr="007923C2" w:rsidRDefault="00BA0B24" w:rsidP="00BA0B24">
            <w:pPr>
              <w:rPr>
                <w:rFonts w:ascii="Arial" w:hAnsi="Arial" w:cs="Arial"/>
                <w:sz w:val="22"/>
                <w:szCs w:val="22"/>
              </w:rPr>
            </w:pPr>
          </w:p>
        </w:tc>
        <w:tc>
          <w:tcPr>
            <w:tcW w:w="1560" w:type="dxa"/>
          </w:tcPr>
          <w:p w14:paraId="370F4667" w14:textId="77777777" w:rsidR="00BA0B24" w:rsidRPr="007923C2" w:rsidRDefault="00BA0B24" w:rsidP="00BA0B24">
            <w:pPr>
              <w:rPr>
                <w:rFonts w:ascii="Arial" w:hAnsi="Arial" w:cs="Arial"/>
                <w:sz w:val="22"/>
                <w:szCs w:val="22"/>
              </w:rPr>
            </w:pPr>
            <w:r w:rsidRPr="007923C2">
              <w:rPr>
                <w:rFonts w:ascii="Arial" w:hAnsi="Arial" w:cs="Arial"/>
                <w:sz w:val="22"/>
                <w:szCs w:val="22"/>
              </w:rPr>
              <w:t>Biología</w:t>
            </w:r>
          </w:p>
        </w:tc>
        <w:tc>
          <w:tcPr>
            <w:tcW w:w="1134" w:type="dxa"/>
          </w:tcPr>
          <w:p w14:paraId="600CA7E5" w14:textId="77777777" w:rsidR="00BA0B24" w:rsidRPr="007923C2" w:rsidRDefault="00BA0B24" w:rsidP="00BA0B24">
            <w:pPr>
              <w:rPr>
                <w:rFonts w:ascii="Arial" w:hAnsi="Arial" w:cs="Arial"/>
                <w:sz w:val="22"/>
                <w:szCs w:val="22"/>
              </w:rPr>
            </w:pPr>
            <w:r w:rsidRPr="007923C2">
              <w:rPr>
                <w:rFonts w:ascii="Arial" w:hAnsi="Arial" w:cs="Arial"/>
                <w:sz w:val="22"/>
                <w:szCs w:val="22"/>
              </w:rPr>
              <w:t>BOT404</w:t>
            </w:r>
          </w:p>
        </w:tc>
        <w:tc>
          <w:tcPr>
            <w:tcW w:w="708" w:type="dxa"/>
          </w:tcPr>
          <w:p w14:paraId="6091EB29"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58F75E1B"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6CDFD4A5" w14:textId="77777777" w:rsidTr="00B16E59">
        <w:tc>
          <w:tcPr>
            <w:tcW w:w="3227" w:type="dxa"/>
          </w:tcPr>
          <w:p w14:paraId="12E502F1" w14:textId="77777777" w:rsidR="00BA0B24" w:rsidRPr="007923C2" w:rsidRDefault="00BA0B24" w:rsidP="00BA0B24">
            <w:pPr>
              <w:rPr>
                <w:rFonts w:ascii="Arial" w:hAnsi="Arial" w:cs="Arial"/>
                <w:sz w:val="22"/>
                <w:szCs w:val="22"/>
              </w:rPr>
            </w:pPr>
            <w:r w:rsidRPr="007923C2">
              <w:rPr>
                <w:rFonts w:ascii="Arial" w:hAnsi="Arial" w:cs="Arial"/>
                <w:sz w:val="22"/>
                <w:szCs w:val="22"/>
              </w:rPr>
              <w:t>Inglés II</w:t>
            </w:r>
          </w:p>
        </w:tc>
        <w:tc>
          <w:tcPr>
            <w:tcW w:w="1304" w:type="dxa"/>
          </w:tcPr>
          <w:p w14:paraId="76AE8148" w14:textId="77777777" w:rsidR="00BA0B24" w:rsidRPr="007923C2" w:rsidRDefault="00BA0B24" w:rsidP="00BA0B24">
            <w:pPr>
              <w:rPr>
                <w:rFonts w:ascii="Arial" w:hAnsi="Arial" w:cs="Arial"/>
                <w:sz w:val="22"/>
                <w:szCs w:val="22"/>
              </w:rPr>
            </w:pPr>
            <w:r w:rsidRPr="007923C2">
              <w:rPr>
                <w:rFonts w:ascii="Arial" w:hAnsi="Arial" w:cs="Arial"/>
                <w:sz w:val="22"/>
                <w:szCs w:val="22"/>
              </w:rPr>
              <w:t>UAI410</w:t>
            </w:r>
          </w:p>
        </w:tc>
        <w:tc>
          <w:tcPr>
            <w:tcW w:w="1560" w:type="dxa"/>
          </w:tcPr>
          <w:p w14:paraId="1FA2AE08" w14:textId="77777777" w:rsidR="00BA0B24" w:rsidRPr="007923C2" w:rsidRDefault="00BA0B24" w:rsidP="00BA0B24">
            <w:pPr>
              <w:rPr>
                <w:rFonts w:ascii="Arial" w:hAnsi="Arial" w:cs="Arial"/>
                <w:sz w:val="22"/>
                <w:szCs w:val="22"/>
              </w:rPr>
            </w:pPr>
            <w:r w:rsidRPr="007923C2">
              <w:rPr>
                <w:rFonts w:ascii="Arial" w:hAnsi="Arial" w:cs="Arial"/>
                <w:sz w:val="22"/>
                <w:szCs w:val="22"/>
              </w:rPr>
              <w:t>Inglés</w:t>
            </w:r>
            <w:r w:rsidR="00114E71">
              <w:rPr>
                <w:rFonts w:ascii="Arial" w:hAnsi="Arial" w:cs="Arial"/>
                <w:sz w:val="22"/>
                <w:szCs w:val="22"/>
              </w:rPr>
              <w:t xml:space="preserve"> I</w:t>
            </w:r>
          </w:p>
        </w:tc>
        <w:tc>
          <w:tcPr>
            <w:tcW w:w="1134" w:type="dxa"/>
          </w:tcPr>
          <w:p w14:paraId="3EFB1A96" w14:textId="77777777" w:rsidR="00BA0B24" w:rsidRPr="007923C2" w:rsidRDefault="00BA0B24" w:rsidP="00BA0B24">
            <w:pPr>
              <w:rPr>
                <w:rFonts w:ascii="Arial" w:hAnsi="Arial" w:cs="Arial"/>
                <w:sz w:val="22"/>
                <w:szCs w:val="22"/>
              </w:rPr>
            </w:pPr>
            <w:r w:rsidRPr="007923C2">
              <w:rPr>
                <w:rFonts w:ascii="Arial" w:hAnsi="Arial" w:cs="Arial"/>
                <w:sz w:val="22"/>
                <w:szCs w:val="22"/>
              </w:rPr>
              <w:t>UAI401</w:t>
            </w:r>
          </w:p>
        </w:tc>
        <w:tc>
          <w:tcPr>
            <w:tcW w:w="708" w:type="dxa"/>
          </w:tcPr>
          <w:p w14:paraId="4237B061" w14:textId="77777777" w:rsidR="00BA0B24" w:rsidRPr="007923C2" w:rsidRDefault="00BA0B24" w:rsidP="00BA0B24">
            <w:pPr>
              <w:rPr>
                <w:rFonts w:ascii="Arial" w:hAnsi="Arial" w:cs="Arial"/>
                <w:sz w:val="22"/>
                <w:szCs w:val="22"/>
              </w:rPr>
            </w:pPr>
            <w:r w:rsidRPr="007923C2">
              <w:rPr>
                <w:rFonts w:ascii="Arial" w:hAnsi="Arial" w:cs="Arial"/>
                <w:sz w:val="22"/>
                <w:szCs w:val="22"/>
              </w:rPr>
              <w:t>1-4</w:t>
            </w:r>
          </w:p>
        </w:tc>
        <w:tc>
          <w:tcPr>
            <w:tcW w:w="1134" w:type="dxa"/>
          </w:tcPr>
          <w:p w14:paraId="6D764271" w14:textId="77777777" w:rsidR="00BA0B24" w:rsidRPr="007923C2" w:rsidRDefault="00BA0B24" w:rsidP="00BA0B24">
            <w:pPr>
              <w:rPr>
                <w:rFonts w:ascii="Arial" w:hAnsi="Arial" w:cs="Arial"/>
                <w:sz w:val="22"/>
                <w:szCs w:val="22"/>
              </w:rPr>
            </w:pPr>
            <w:r w:rsidRPr="007923C2">
              <w:rPr>
                <w:rFonts w:ascii="Arial" w:hAnsi="Arial" w:cs="Arial"/>
                <w:sz w:val="22"/>
                <w:szCs w:val="22"/>
              </w:rPr>
              <w:t>6</w:t>
            </w:r>
          </w:p>
        </w:tc>
      </w:tr>
      <w:tr w:rsidR="00BA0B24" w:rsidRPr="007923C2" w14:paraId="17F18033" w14:textId="77777777" w:rsidTr="00B16E59">
        <w:tc>
          <w:tcPr>
            <w:tcW w:w="3227" w:type="dxa"/>
          </w:tcPr>
          <w:p w14:paraId="61EDB7D9" w14:textId="77777777" w:rsidR="00BA0B24" w:rsidRPr="007923C2" w:rsidRDefault="00BA0B24" w:rsidP="00BA0B24">
            <w:pPr>
              <w:rPr>
                <w:rFonts w:ascii="Arial" w:hAnsi="Arial" w:cs="Arial"/>
                <w:sz w:val="22"/>
                <w:szCs w:val="22"/>
              </w:rPr>
            </w:pPr>
            <w:r w:rsidRPr="007923C2">
              <w:rPr>
                <w:rFonts w:ascii="Arial" w:hAnsi="Arial" w:cs="Arial"/>
                <w:sz w:val="22"/>
                <w:szCs w:val="22"/>
              </w:rPr>
              <w:t>Agrofísica I</w:t>
            </w:r>
          </w:p>
        </w:tc>
        <w:tc>
          <w:tcPr>
            <w:tcW w:w="1304" w:type="dxa"/>
          </w:tcPr>
          <w:p w14:paraId="77B2EE0C" w14:textId="77777777" w:rsidR="00BA0B24" w:rsidRPr="007923C2" w:rsidRDefault="00BA0B24" w:rsidP="00BA0B24">
            <w:pPr>
              <w:rPr>
                <w:rFonts w:ascii="Arial" w:hAnsi="Arial" w:cs="Arial"/>
                <w:sz w:val="22"/>
                <w:szCs w:val="22"/>
              </w:rPr>
            </w:pPr>
            <w:r w:rsidRPr="007923C2">
              <w:rPr>
                <w:rFonts w:ascii="Arial" w:hAnsi="Arial" w:cs="Arial"/>
                <w:sz w:val="22"/>
                <w:szCs w:val="22"/>
              </w:rPr>
              <w:t>AGF403</w:t>
            </w:r>
          </w:p>
        </w:tc>
        <w:tc>
          <w:tcPr>
            <w:tcW w:w="1560" w:type="dxa"/>
          </w:tcPr>
          <w:p w14:paraId="266349FB" w14:textId="77777777"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14:paraId="4A19F355" w14:textId="77777777" w:rsidR="00BA0B24" w:rsidRPr="007923C2" w:rsidRDefault="00BA0B24" w:rsidP="00BA0B24">
            <w:pPr>
              <w:rPr>
                <w:rFonts w:ascii="Arial" w:hAnsi="Arial" w:cs="Arial"/>
                <w:sz w:val="22"/>
                <w:szCs w:val="22"/>
              </w:rPr>
            </w:pPr>
          </w:p>
        </w:tc>
        <w:tc>
          <w:tcPr>
            <w:tcW w:w="708" w:type="dxa"/>
          </w:tcPr>
          <w:p w14:paraId="6098D2DA"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61DDE044"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15D10697" w14:textId="77777777" w:rsidTr="00B16E59">
        <w:tc>
          <w:tcPr>
            <w:tcW w:w="3227" w:type="dxa"/>
          </w:tcPr>
          <w:p w14:paraId="26CFE2CB" w14:textId="77777777" w:rsidR="00BA0B24" w:rsidRPr="007923C2" w:rsidRDefault="00BA0B24" w:rsidP="00BA0B24">
            <w:pPr>
              <w:rPr>
                <w:rFonts w:ascii="Arial" w:hAnsi="Arial" w:cs="Arial"/>
                <w:sz w:val="22"/>
                <w:szCs w:val="22"/>
              </w:rPr>
            </w:pPr>
            <w:r w:rsidRPr="007923C2">
              <w:rPr>
                <w:rFonts w:ascii="Arial" w:hAnsi="Arial" w:cs="Arial"/>
                <w:sz w:val="22"/>
                <w:szCs w:val="22"/>
              </w:rPr>
              <w:t>Sistemas Biológicos</w:t>
            </w:r>
          </w:p>
        </w:tc>
        <w:tc>
          <w:tcPr>
            <w:tcW w:w="1304" w:type="dxa"/>
          </w:tcPr>
          <w:p w14:paraId="103C5D6A" w14:textId="77777777" w:rsidR="00BA0B24" w:rsidRPr="007923C2" w:rsidRDefault="00BA0B24" w:rsidP="00BA0B24">
            <w:pPr>
              <w:rPr>
                <w:rFonts w:ascii="Arial" w:hAnsi="Arial" w:cs="Arial"/>
                <w:sz w:val="22"/>
                <w:szCs w:val="22"/>
              </w:rPr>
            </w:pPr>
            <w:r w:rsidRPr="007923C2">
              <w:rPr>
                <w:rFonts w:ascii="Arial" w:hAnsi="Arial" w:cs="Arial"/>
                <w:sz w:val="22"/>
                <w:szCs w:val="22"/>
              </w:rPr>
              <w:t>BOT416</w:t>
            </w:r>
          </w:p>
        </w:tc>
        <w:tc>
          <w:tcPr>
            <w:tcW w:w="1560" w:type="dxa"/>
          </w:tcPr>
          <w:p w14:paraId="76D872E9" w14:textId="77777777" w:rsidR="00BA0B24" w:rsidRPr="007923C2" w:rsidRDefault="00BA0B24" w:rsidP="00BA0B24">
            <w:pPr>
              <w:rPr>
                <w:rFonts w:ascii="Arial" w:hAnsi="Arial" w:cs="Arial"/>
                <w:sz w:val="22"/>
                <w:szCs w:val="22"/>
              </w:rPr>
            </w:pPr>
            <w:r w:rsidRPr="007923C2">
              <w:rPr>
                <w:rFonts w:ascii="Arial" w:hAnsi="Arial" w:cs="Arial"/>
                <w:sz w:val="22"/>
                <w:szCs w:val="22"/>
              </w:rPr>
              <w:t>Cálculo Diferencial e integral</w:t>
            </w:r>
          </w:p>
        </w:tc>
        <w:tc>
          <w:tcPr>
            <w:tcW w:w="1134" w:type="dxa"/>
          </w:tcPr>
          <w:p w14:paraId="68BD58D1" w14:textId="77777777" w:rsidR="00BA0B24" w:rsidRPr="007923C2" w:rsidRDefault="00BA0B24" w:rsidP="00BA0B24">
            <w:pPr>
              <w:rPr>
                <w:rFonts w:ascii="Arial" w:hAnsi="Arial" w:cs="Arial"/>
                <w:sz w:val="22"/>
                <w:szCs w:val="22"/>
              </w:rPr>
            </w:pPr>
            <w:r w:rsidRPr="007923C2">
              <w:rPr>
                <w:rFonts w:ascii="Arial" w:hAnsi="Arial" w:cs="Arial"/>
                <w:sz w:val="22"/>
                <w:szCs w:val="22"/>
              </w:rPr>
              <w:t>DEC405</w:t>
            </w:r>
          </w:p>
        </w:tc>
        <w:tc>
          <w:tcPr>
            <w:tcW w:w="708" w:type="dxa"/>
          </w:tcPr>
          <w:p w14:paraId="430533A6"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399B4C75"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274E802B" w14:textId="77777777" w:rsidTr="00B16E59">
        <w:tc>
          <w:tcPr>
            <w:tcW w:w="3227" w:type="dxa"/>
          </w:tcPr>
          <w:p w14:paraId="0EF6796B" w14:textId="77777777" w:rsidR="00BA0B24" w:rsidRPr="007923C2" w:rsidRDefault="00BA0B24" w:rsidP="00BA0B24">
            <w:pPr>
              <w:rPr>
                <w:rFonts w:ascii="Arial" w:hAnsi="Arial" w:cs="Arial"/>
                <w:sz w:val="22"/>
                <w:szCs w:val="22"/>
              </w:rPr>
            </w:pPr>
            <w:r w:rsidRPr="007923C2">
              <w:rPr>
                <w:rFonts w:ascii="Arial" w:hAnsi="Arial" w:cs="Arial"/>
                <w:sz w:val="22"/>
                <w:szCs w:val="22"/>
              </w:rPr>
              <w:t>Genética</w:t>
            </w:r>
          </w:p>
        </w:tc>
        <w:tc>
          <w:tcPr>
            <w:tcW w:w="1304" w:type="dxa"/>
          </w:tcPr>
          <w:p w14:paraId="209CB7F1" w14:textId="77777777" w:rsidR="00BA0B24" w:rsidRPr="007923C2" w:rsidRDefault="00BA0B24" w:rsidP="00BA0B24">
            <w:pPr>
              <w:rPr>
                <w:rFonts w:ascii="Arial" w:hAnsi="Arial" w:cs="Arial"/>
                <w:sz w:val="22"/>
                <w:szCs w:val="22"/>
              </w:rPr>
            </w:pPr>
            <w:r w:rsidRPr="007923C2">
              <w:rPr>
                <w:rFonts w:ascii="Arial" w:hAnsi="Arial" w:cs="Arial"/>
                <w:sz w:val="22"/>
                <w:szCs w:val="22"/>
              </w:rPr>
              <w:t>FIT401</w:t>
            </w:r>
          </w:p>
        </w:tc>
        <w:tc>
          <w:tcPr>
            <w:tcW w:w="1560" w:type="dxa"/>
          </w:tcPr>
          <w:p w14:paraId="374969A0" w14:textId="77777777" w:rsidR="00BA0B24" w:rsidRPr="007923C2" w:rsidRDefault="00BA0B24" w:rsidP="00BA0B24">
            <w:pPr>
              <w:rPr>
                <w:rFonts w:ascii="Arial" w:hAnsi="Arial" w:cs="Arial"/>
                <w:sz w:val="22"/>
                <w:szCs w:val="22"/>
              </w:rPr>
            </w:pPr>
            <w:r w:rsidRPr="007923C2">
              <w:rPr>
                <w:rFonts w:ascii="Arial" w:hAnsi="Arial" w:cs="Arial"/>
                <w:sz w:val="22"/>
                <w:szCs w:val="22"/>
              </w:rPr>
              <w:t>Biología</w:t>
            </w:r>
          </w:p>
        </w:tc>
        <w:tc>
          <w:tcPr>
            <w:tcW w:w="1134" w:type="dxa"/>
          </w:tcPr>
          <w:p w14:paraId="1665E722" w14:textId="77777777" w:rsidR="00BA0B24" w:rsidRPr="007923C2" w:rsidRDefault="00BA0B24" w:rsidP="00BA0B24">
            <w:pPr>
              <w:rPr>
                <w:rFonts w:ascii="Arial" w:hAnsi="Arial" w:cs="Arial"/>
                <w:sz w:val="22"/>
                <w:szCs w:val="22"/>
              </w:rPr>
            </w:pPr>
            <w:r w:rsidRPr="007923C2">
              <w:rPr>
                <w:rFonts w:ascii="Arial" w:hAnsi="Arial" w:cs="Arial"/>
                <w:sz w:val="22"/>
                <w:szCs w:val="22"/>
              </w:rPr>
              <w:t>BOT404</w:t>
            </w:r>
          </w:p>
        </w:tc>
        <w:tc>
          <w:tcPr>
            <w:tcW w:w="708" w:type="dxa"/>
          </w:tcPr>
          <w:p w14:paraId="5E60CC2E"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4285EFD4"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2640F177" w14:textId="77777777" w:rsidTr="00B16E59">
        <w:tc>
          <w:tcPr>
            <w:tcW w:w="3227" w:type="dxa"/>
          </w:tcPr>
          <w:p w14:paraId="0997B788" w14:textId="77777777" w:rsidR="00BA0B24" w:rsidRPr="007923C2" w:rsidRDefault="00BA0B24" w:rsidP="00BA0B24">
            <w:pPr>
              <w:rPr>
                <w:rFonts w:ascii="Arial" w:hAnsi="Arial" w:cs="Arial"/>
                <w:sz w:val="22"/>
                <w:szCs w:val="22"/>
              </w:rPr>
            </w:pPr>
            <w:r w:rsidRPr="007923C2">
              <w:rPr>
                <w:rFonts w:ascii="Arial" w:hAnsi="Arial" w:cs="Arial"/>
                <w:sz w:val="22"/>
                <w:szCs w:val="22"/>
              </w:rPr>
              <w:t>Botánica II</w:t>
            </w:r>
          </w:p>
        </w:tc>
        <w:tc>
          <w:tcPr>
            <w:tcW w:w="1304" w:type="dxa"/>
          </w:tcPr>
          <w:p w14:paraId="1C68A1F1" w14:textId="77777777" w:rsidR="00BA0B24" w:rsidRPr="007923C2" w:rsidRDefault="00BA0B24" w:rsidP="00BA0B24">
            <w:pPr>
              <w:rPr>
                <w:rFonts w:ascii="Arial" w:hAnsi="Arial" w:cs="Arial"/>
                <w:sz w:val="22"/>
                <w:szCs w:val="22"/>
              </w:rPr>
            </w:pPr>
            <w:r w:rsidRPr="007923C2">
              <w:rPr>
                <w:rFonts w:ascii="Arial" w:hAnsi="Arial" w:cs="Arial"/>
                <w:sz w:val="22"/>
                <w:szCs w:val="22"/>
              </w:rPr>
              <w:t>BOT417</w:t>
            </w:r>
          </w:p>
        </w:tc>
        <w:tc>
          <w:tcPr>
            <w:tcW w:w="1560" w:type="dxa"/>
          </w:tcPr>
          <w:p w14:paraId="7519639A" w14:textId="77777777" w:rsidR="00BA0B24" w:rsidRPr="007923C2" w:rsidRDefault="00BA0B24" w:rsidP="00BA0B24">
            <w:pPr>
              <w:rPr>
                <w:rFonts w:ascii="Arial" w:hAnsi="Arial" w:cs="Arial"/>
                <w:sz w:val="22"/>
                <w:szCs w:val="22"/>
              </w:rPr>
            </w:pPr>
            <w:r w:rsidRPr="007923C2">
              <w:rPr>
                <w:rFonts w:ascii="Arial" w:hAnsi="Arial" w:cs="Arial"/>
                <w:sz w:val="22"/>
                <w:szCs w:val="22"/>
              </w:rPr>
              <w:t>Botánica I</w:t>
            </w:r>
          </w:p>
        </w:tc>
        <w:tc>
          <w:tcPr>
            <w:tcW w:w="1134" w:type="dxa"/>
          </w:tcPr>
          <w:p w14:paraId="6A0F0EF7" w14:textId="77777777" w:rsidR="00BA0B24" w:rsidRPr="007923C2" w:rsidRDefault="00BA0B24" w:rsidP="00BA0B24">
            <w:pPr>
              <w:rPr>
                <w:rFonts w:ascii="Arial" w:hAnsi="Arial" w:cs="Arial"/>
                <w:sz w:val="22"/>
                <w:szCs w:val="22"/>
              </w:rPr>
            </w:pPr>
            <w:r w:rsidRPr="007923C2">
              <w:rPr>
                <w:rFonts w:ascii="Arial" w:hAnsi="Arial" w:cs="Arial"/>
                <w:sz w:val="22"/>
                <w:szCs w:val="22"/>
              </w:rPr>
              <w:t>BOT413</w:t>
            </w:r>
          </w:p>
        </w:tc>
        <w:tc>
          <w:tcPr>
            <w:tcW w:w="708" w:type="dxa"/>
          </w:tcPr>
          <w:p w14:paraId="5EBE1C07"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3E4633E0"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03E643B1" w14:textId="77777777" w:rsidTr="00B16E59">
        <w:tc>
          <w:tcPr>
            <w:tcW w:w="3227" w:type="dxa"/>
          </w:tcPr>
          <w:p w14:paraId="247C3AF3" w14:textId="77777777" w:rsidR="00BA0B24" w:rsidRPr="007923C2" w:rsidRDefault="00BA0B24" w:rsidP="00BA0B24">
            <w:pPr>
              <w:rPr>
                <w:rFonts w:ascii="Arial" w:hAnsi="Arial" w:cs="Arial"/>
                <w:sz w:val="22"/>
                <w:szCs w:val="22"/>
              </w:rPr>
            </w:pPr>
            <w:r w:rsidRPr="007923C2">
              <w:rPr>
                <w:rFonts w:ascii="Arial" w:hAnsi="Arial" w:cs="Arial"/>
                <w:sz w:val="22"/>
                <w:szCs w:val="22"/>
              </w:rPr>
              <w:t xml:space="preserve">Entomología </w:t>
            </w:r>
          </w:p>
        </w:tc>
        <w:tc>
          <w:tcPr>
            <w:tcW w:w="1304" w:type="dxa"/>
          </w:tcPr>
          <w:p w14:paraId="4CEE3226" w14:textId="77777777" w:rsidR="00BA0B24" w:rsidRPr="007923C2" w:rsidRDefault="00BA0B24" w:rsidP="00BA0B24">
            <w:pPr>
              <w:rPr>
                <w:rFonts w:ascii="Arial" w:hAnsi="Arial" w:cs="Arial"/>
                <w:sz w:val="22"/>
                <w:szCs w:val="22"/>
              </w:rPr>
            </w:pPr>
            <w:r w:rsidRPr="007923C2">
              <w:rPr>
                <w:rFonts w:ascii="Arial" w:hAnsi="Arial" w:cs="Arial"/>
                <w:sz w:val="22"/>
                <w:szCs w:val="22"/>
              </w:rPr>
              <w:t>PAR486</w:t>
            </w:r>
          </w:p>
        </w:tc>
        <w:tc>
          <w:tcPr>
            <w:tcW w:w="1560" w:type="dxa"/>
          </w:tcPr>
          <w:p w14:paraId="6906CCA5" w14:textId="6F53A363" w:rsidR="00BA0B24" w:rsidRPr="007923C2" w:rsidRDefault="00BA0B24" w:rsidP="00D86AFE">
            <w:pPr>
              <w:rPr>
                <w:rFonts w:ascii="Arial" w:hAnsi="Arial" w:cs="Arial"/>
                <w:sz w:val="22"/>
                <w:szCs w:val="22"/>
              </w:rPr>
            </w:pPr>
            <w:r w:rsidRPr="007923C2">
              <w:rPr>
                <w:rFonts w:ascii="Arial" w:hAnsi="Arial" w:cs="Arial"/>
                <w:sz w:val="22"/>
                <w:szCs w:val="22"/>
              </w:rPr>
              <w:t>Zoología</w:t>
            </w:r>
            <w:r w:rsidR="00D86AFE">
              <w:rPr>
                <w:rFonts w:ascii="Arial" w:hAnsi="Arial" w:cs="Arial"/>
                <w:sz w:val="22"/>
                <w:szCs w:val="22"/>
              </w:rPr>
              <w:t xml:space="preserve"> general</w:t>
            </w:r>
          </w:p>
        </w:tc>
        <w:tc>
          <w:tcPr>
            <w:tcW w:w="1134" w:type="dxa"/>
          </w:tcPr>
          <w:p w14:paraId="44E5C4E9" w14:textId="77777777" w:rsidR="00BA0B24" w:rsidRPr="007923C2" w:rsidRDefault="00BA0B24" w:rsidP="00BA0B24">
            <w:pPr>
              <w:rPr>
                <w:rFonts w:ascii="Arial" w:hAnsi="Arial" w:cs="Arial"/>
                <w:sz w:val="22"/>
                <w:szCs w:val="22"/>
              </w:rPr>
            </w:pPr>
          </w:p>
        </w:tc>
        <w:tc>
          <w:tcPr>
            <w:tcW w:w="708" w:type="dxa"/>
          </w:tcPr>
          <w:p w14:paraId="3DBFF8DC"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08BADE13"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2A062779" w14:textId="77777777" w:rsidTr="00B16E59">
        <w:tc>
          <w:tcPr>
            <w:tcW w:w="3227" w:type="dxa"/>
          </w:tcPr>
          <w:p w14:paraId="33BF8709" w14:textId="6372A2B9" w:rsidR="00BA0B24" w:rsidRPr="007923C2" w:rsidRDefault="00BA0B24" w:rsidP="00BA0B24">
            <w:pPr>
              <w:rPr>
                <w:rFonts w:ascii="Arial" w:hAnsi="Arial" w:cs="Arial"/>
                <w:sz w:val="22"/>
                <w:szCs w:val="22"/>
              </w:rPr>
            </w:pPr>
            <w:r w:rsidRPr="007923C2">
              <w:rPr>
                <w:rFonts w:ascii="Arial" w:hAnsi="Arial" w:cs="Arial"/>
                <w:sz w:val="22"/>
                <w:szCs w:val="22"/>
              </w:rPr>
              <w:t>Ecología</w:t>
            </w:r>
            <w:r w:rsidR="00D86AFE">
              <w:rPr>
                <w:rFonts w:ascii="Arial" w:hAnsi="Arial" w:cs="Arial"/>
                <w:sz w:val="22"/>
                <w:szCs w:val="22"/>
              </w:rPr>
              <w:t xml:space="preserve"> I</w:t>
            </w:r>
          </w:p>
        </w:tc>
        <w:tc>
          <w:tcPr>
            <w:tcW w:w="1304" w:type="dxa"/>
          </w:tcPr>
          <w:p w14:paraId="55AC44C7" w14:textId="77777777" w:rsidR="00BA0B24" w:rsidRPr="007923C2" w:rsidRDefault="00BA0B24" w:rsidP="00BA0B24">
            <w:pPr>
              <w:rPr>
                <w:rFonts w:ascii="Arial" w:hAnsi="Arial" w:cs="Arial"/>
                <w:sz w:val="22"/>
                <w:szCs w:val="22"/>
              </w:rPr>
            </w:pPr>
          </w:p>
        </w:tc>
        <w:tc>
          <w:tcPr>
            <w:tcW w:w="1560" w:type="dxa"/>
          </w:tcPr>
          <w:p w14:paraId="4CD75E55" w14:textId="77777777" w:rsidR="00BA0B24" w:rsidRPr="007923C2" w:rsidRDefault="00BA0B24" w:rsidP="00BA0B24">
            <w:pPr>
              <w:rPr>
                <w:rFonts w:ascii="Arial" w:hAnsi="Arial" w:cs="Arial"/>
                <w:sz w:val="22"/>
                <w:szCs w:val="22"/>
              </w:rPr>
            </w:pPr>
            <w:r w:rsidRPr="007923C2">
              <w:rPr>
                <w:rFonts w:ascii="Arial" w:hAnsi="Arial" w:cs="Arial"/>
                <w:sz w:val="22"/>
                <w:szCs w:val="22"/>
              </w:rPr>
              <w:t>Biología</w:t>
            </w:r>
          </w:p>
        </w:tc>
        <w:tc>
          <w:tcPr>
            <w:tcW w:w="1134" w:type="dxa"/>
          </w:tcPr>
          <w:p w14:paraId="7D4ACD20" w14:textId="77777777" w:rsidR="00BA0B24" w:rsidRPr="007923C2" w:rsidRDefault="00BA0B24" w:rsidP="00BA0B24">
            <w:pPr>
              <w:rPr>
                <w:rFonts w:ascii="Arial" w:hAnsi="Arial" w:cs="Arial"/>
                <w:sz w:val="22"/>
                <w:szCs w:val="22"/>
              </w:rPr>
            </w:pPr>
            <w:r w:rsidRPr="007923C2">
              <w:rPr>
                <w:rFonts w:ascii="Arial" w:hAnsi="Arial" w:cs="Arial"/>
                <w:sz w:val="22"/>
                <w:szCs w:val="22"/>
              </w:rPr>
              <w:t>BOT404</w:t>
            </w:r>
          </w:p>
        </w:tc>
        <w:tc>
          <w:tcPr>
            <w:tcW w:w="708" w:type="dxa"/>
          </w:tcPr>
          <w:p w14:paraId="39AC3432"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1E5B277A"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67F76499" w14:textId="77777777" w:rsidTr="00B16E59">
        <w:tc>
          <w:tcPr>
            <w:tcW w:w="3227" w:type="dxa"/>
          </w:tcPr>
          <w:p w14:paraId="4925109E" w14:textId="77777777" w:rsidR="00BA0B24" w:rsidRPr="007923C2" w:rsidRDefault="00BA0B24" w:rsidP="00BA0B24">
            <w:pPr>
              <w:rPr>
                <w:rFonts w:ascii="Arial" w:hAnsi="Arial" w:cs="Arial"/>
                <w:sz w:val="22"/>
                <w:szCs w:val="22"/>
              </w:rPr>
            </w:pPr>
            <w:r w:rsidRPr="007923C2">
              <w:rPr>
                <w:rFonts w:ascii="Arial" w:hAnsi="Arial" w:cs="Arial"/>
                <w:sz w:val="22"/>
                <w:szCs w:val="22"/>
              </w:rPr>
              <w:t>Climatología y Meteorología</w:t>
            </w:r>
          </w:p>
        </w:tc>
        <w:tc>
          <w:tcPr>
            <w:tcW w:w="1304" w:type="dxa"/>
          </w:tcPr>
          <w:p w14:paraId="2DFB5810" w14:textId="77777777" w:rsidR="00BA0B24" w:rsidRPr="007923C2" w:rsidRDefault="00BA0B24" w:rsidP="00BA0B24">
            <w:pPr>
              <w:rPr>
                <w:rFonts w:ascii="Arial" w:hAnsi="Arial" w:cs="Arial"/>
                <w:sz w:val="22"/>
                <w:szCs w:val="22"/>
              </w:rPr>
            </w:pPr>
            <w:r w:rsidRPr="007923C2">
              <w:rPr>
                <w:rFonts w:ascii="Arial" w:hAnsi="Arial" w:cs="Arial"/>
                <w:sz w:val="22"/>
                <w:szCs w:val="22"/>
              </w:rPr>
              <w:t>AGM410</w:t>
            </w:r>
          </w:p>
        </w:tc>
        <w:tc>
          <w:tcPr>
            <w:tcW w:w="1560" w:type="dxa"/>
          </w:tcPr>
          <w:p w14:paraId="1E6E2F69" w14:textId="77777777"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14:paraId="041DA192" w14:textId="77777777" w:rsidR="00BA0B24" w:rsidRPr="007923C2" w:rsidRDefault="00BA0B24" w:rsidP="00BA0B24">
            <w:pPr>
              <w:rPr>
                <w:rFonts w:ascii="Arial" w:hAnsi="Arial" w:cs="Arial"/>
                <w:sz w:val="22"/>
                <w:szCs w:val="22"/>
              </w:rPr>
            </w:pPr>
          </w:p>
        </w:tc>
        <w:tc>
          <w:tcPr>
            <w:tcW w:w="708" w:type="dxa"/>
          </w:tcPr>
          <w:p w14:paraId="7FCC0A05" w14:textId="77777777" w:rsidR="00BA0B24" w:rsidRPr="007923C2" w:rsidRDefault="00114E71" w:rsidP="00BA0B24">
            <w:pPr>
              <w:rPr>
                <w:rFonts w:ascii="Arial" w:hAnsi="Arial" w:cs="Arial"/>
                <w:sz w:val="22"/>
                <w:szCs w:val="22"/>
              </w:rPr>
            </w:pPr>
            <w:r>
              <w:rPr>
                <w:rFonts w:ascii="Arial" w:hAnsi="Arial" w:cs="Arial"/>
                <w:sz w:val="22"/>
                <w:szCs w:val="22"/>
              </w:rPr>
              <w:t>3</w:t>
            </w:r>
            <w:r w:rsidR="00BA0B24" w:rsidRPr="007923C2">
              <w:rPr>
                <w:rFonts w:ascii="Arial" w:hAnsi="Arial" w:cs="Arial"/>
                <w:sz w:val="22"/>
                <w:szCs w:val="22"/>
              </w:rPr>
              <w:t>-2</w:t>
            </w:r>
          </w:p>
        </w:tc>
        <w:tc>
          <w:tcPr>
            <w:tcW w:w="1134" w:type="dxa"/>
          </w:tcPr>
          <w:p w14:paraId="51A9538F" w14:textId="77777777" w:rsidR="00BA0B24" w:rsidRPr="007923C2" w:rsidRDefault="00114E71" w:rsidP="00BA0B24">
            <w:pPr>
              <w:rPr>
                <w:rFonts w:ascii="Arial" w:hAnsi="Arial" w:cs="Arial"/>
                <w:sz w:val="22"/>
                <w:szCs w:val="22"/>
              </w:rPr>
            </w:pPr>
            <w:r>
              <w:rPr>
                <w:rFonts w:ascii="Arial" w:hAnsi="Arial" w:cs="Arial"/>
                <w:sz w:val="22"/>
                <w:szCs w:val="22"/>
              </w:rPr>
              <w:t>8</w:t>
            </w:r>
          </w:p>
        </w:tc>
      </w:tr>
      <w:tr w:rsidR="00BA0B24" w:rsidRPr="007923C2" w14:paraId="1B18BC83" w14:textId="77777777" w:rsidTr="00B16E59">
        <w:tc>
          <w:tcPr>
            <w:tcW w:w="3227" w:type="dxa"/>
          </w:tcPr>
          <w:p w14:paraId="18DB1EA5" w14:textId="77777777" w:rsidR="00BA0B24" w:rsidRPr="007923C2" w:rsidRDefault="00BA0B24" w:rsidP="00BA0B24">
            <w:pPr>
              <w:rPr>
                <w:rFonts w:ascii="Arial" w:hAnsi="Arial" w:cs="Arial"/>
                <w:sz w:val="22"/>
                <w:szCs w:val="22"/>
              </w:rPr>
            </w:pPr>
            <w:r w:rsidRPr="007923C2">
              <w:rPr>
                <w:rFonts w:ascii="Arial" w:hAnsi="Arial" w:cs="Arial"/>
                <w:sz w:val="22"/>
                <w:szCs w:val="22"/>
              </w:rPr>
              <w:t>Bioestadística</w:t>
            </w:r>
          </w:p>
        </w:tc>
        <w:tc>
          <w:tcPr>
            <w:tcW w:w="1304" w:type="dxa"/>
          </w:tcPr>
          <w:p w14:paraId="29336A59" w14:textId="77777777" w:rsidR="00BA0B24" w:rsidRPr="007923C2" w:rsidRDefault="00BA0B24" w:rsidP="00BA0B24">
            <w:pPr>
              <w:rPr>
                <w:rFonts w:ascii="Arial" w:hAnsi="Arial" w:cs="Arial"/>
                <w:sz w:val="22"/>
                <w:szCs w:val="22"/>
              </w:rPr>
            </w:pPr>
            <w:r w:rsidRPr="007923C2">
              <w:rPr>
                <w:rFonts w:ascii="Arial" w:hAnsi="Arial" w:cs="Arial"/>
                <w:sz w:val="22"/>
                <w:szCs w:val="22"/>
              </w:rPr>
              <w:t>DEC427</w:t>
            </w:r>
          </w:p>
        </w:tc>
        <w:tc>
          <w:tcPr>
            <w:tcW w:w="1560" w:type="dxa"/>
          </w:tcPr>
          <w:p w14:paraId="348399F8" w14:textId="77777777" w:rsidR="00BA0B24" w:rsidRPr="007923C2" w:rsidRDefault="00114E71" w:rsidP="00BA0B24">
            <w:pPr>
              <w:rPr>
                <w:rFonts w:ascii="Arial" w:hAnsi="Arial" w:cs="Arial"/>
                <w:sz w:val="22"/>
                <w:szCs w:val="22"/>
              </w:rPr>
            </w:pPr>
            <w:r>
              <w:rPr>
                <w:rFonts w:ascii="Arial" w:hAnsi="Arial" w:cs="Arial"/>
                <w:sz w:val="22"/>
                <w:szCs w:val="22"/>
              </w:rPr>
              <w:t>Sistemas biológicos</w:t>
            </w:r>
          </w:p>
        </w:tc>
        <w:tc>
          <w:tcPr>
            <w:tcW w:w="1134" w:type="dxa"/>
          </w:tcPr>
          <w:p w14:paraId="37B69D6E" w14:textId="77777777" w:rsidR="00BA0B24" w:rsidRPr="007923C2" w:rsidRDefault="00114E71" w:rsidP="00BA0B24">
            <w:pPr>
              <w:rPr>
                <w:rFonts w:ascii="Arial" w:hAnsi="Arial" w:cs="Arial"/>
                <w:sz w:val="22"/>
                <w:szCs w:val="22"/>
              </w:rPr>
            </w:pPr>
            <w:r>
              <w:rPr>
                <w:rFonts w:ascii="Arial" w:hAnsi="Arial" w:cs="Arial"/>
                <w:sz w:val="22"/>
                <w:szCs w:val="22"/>
              </w:rPr>
              <w:t>BOT416</w:t>
            </w:r>
          </w:p>
        </w:tc>
        <w:tc>
          <w:tcPr>
            <w:tcW w:w="708" w:type="dxa"/>
          </w:tcPr>
          <w:p w14:paraId="73C252BC" w14:textId="77777777" w:rsidR="00BA0B24" w:rsidRPr="007923C2" w:rsidRDefault="00BA0B24" w:rsidP="00BA0B24">
            <w:pPr>
              <w:rPr>
                <w:rFonts w:ascii="Arial" w:hAnsi="Arial" w:cs="Arial"/>
                <w:sz w:val="22"/>
                <w:szCs w:val="22"/>
              </w:rPr>
            </w:pPr>
            <w:r w:rsidRPr="007923C2">
              <w:rPr>
                <w:rFonts w:ascii="Arial" w:hAnsi="Arial" w:cs="Arial"/>
                <w:sz w:val="22"/>
                <w:szCs w:val="22"/>
              </w:rPr>
              <w:t>5-0</w:t>
            </w:r>
          </w:p>
        </w:tc>
        <w:tc>
          <w:tcPr>
            <w:tcW w:w="1134" w:type="dxa"/>
          </w:tcPr>
          <w:p w14:paraId="00ECE4F8" w14:textId="77777777" w:rsidR="00BA0B24" w:rsidRPr="007923C2" w:rsidRDefault="00BA0B24" w:rsidP="00BA0B24">
            <w:pPr>
              <w:rPr>
                <w:rFonts w:ascii="Arial" w:hAnsi="Arial" w:cs="Arial"/>
                <w:sz w:val="22"/>
                <w:szCs w:val="22"/>
              </w:rPr>
            </w:pPr>
            <w:r w:rsidRPr="007923C2">
              <w:rPr>
                <w:rFonts w:ascii="Arial" w:hAnsi="Arial" w:cs="Arial"/>
                <w:sz w:val="22"/>
                <w:szCs w:val="22"/>
              </w:rPr>
              <w:t>10</w:t>
            </w:r>
          </w:p>
        </w:tc>
      </w:tr>
      <w:tr w:rsidR="00BA0B24" w:rsidRPr="007923C2" w14:paraId="4C27BE3D" w14:textId="77777777" w:rsidTr="00B16E59">
        <w:tc>
          <w:tcPr>
            <w:tcW w:w="3227" w:type="dxa"/>
          </w:tcPr>
          <w:p w14:paraId="1F04ACD5" w14:textId="77777777" w:rsidR="00BA0B24" w:rsidRPr="007923C2" w:rsidRDefault="00BA0B24" w:rsidP="00BA0B24">
            <w:pPr>
              <w:rPr>
                <w:rFonts w:ascii="Arial" w:hAnsi="Arial" w:cs="Arial"/>
                <w:sz w:val="22"/>
                <w:szCs w:val="22"/>
              </w:rPr>
            </w:pPr>
            <w:r w:rsidRPr="007923C2">
              <w:rPr>
                <w:rFonts w:ascii="Arial" w:hAnsi="Arial" w:cs="Arial"/>
                <w:sz w:val="22"/>
                <w:szCs w:val="22"/>
              </w:rPr>
              <w:t>Fisiología Vegetal</w:t>
            </w:r>
          </w:p>
        </w:tc>
        <w:tc>
          <w:tcPr>
            <w:tcW w:w="1304" w:type="dxa"/>
          </w:tcPr>
          <w:p w14:paraId="1167320C" w14:textId="77777777" w:rsidR="00BA0B24" w:rsidRPr="007923C2" w:rsidRDefault="00BA0B24" w:rsidP="00BA0B24">
            <w:pPr>
              <w:rPr>
                <w:rFonts w:ascii="Arial" w:hAnsi="Arial" w:cs="Arial"/>
                <w:sz w:val="22"/>
                <w:szCs w:val="22"/>
              </w:rPr>
            </w:pPr>
            <w:r w:rsidRPr="007923C2">
              <w:rPr>
                <w:rFonts w:ascii="Arial" w:hAnsi="Arial" w:cs="Arial"/>
                <w:sz w:val="22"/>
                <w:szCs w:val="22"/>
              </w:rPr>
              <w:t>BOT424</w:t>
            </w:r>
          </w:p>
        </w:tc>
        <w:tc>
          <w:tcPr>
            <w:tcW w:w="1560" w:type="dxa"/>
          </w:tcPr>
          <w:p w14:paraId="3EF7BD34" w14:textId="77777777" w:rsidR="00BA0B24" w:rsidRPr="007923C2" w:rsidRDefault="00BA0B24" w:rsidP="00BA0B24">
            <w:pPr>
              <w:rPr>
                <w:rFonts w:ascii="Arial" w:hAnsi="Arial" w:cs="Arial"/>
                <w:sz w:val="22"/>
                <w:szCs w:val="22"/>
              </w:rPr>
            </w:pPr>
            <w:r w:rsidRPr="007923C2">
              <w:rPr>
                <w:rFonts w:ascii="Arial" w:hAnsi="Arial" w:cs="Arial"/>
                <w:sz w:val="22"/>
                <w:szCs w:val="22"/>
              </w:rPr>
              <w:t>Bioquímica</w:t>
            </w:r>
          </w:p>
        </w:tc>
        <w:tc>
          <w:tcPr>
            <w:tcW w:w="1134" w:type="dxa"/>
          </w:tcPr>
          <w:p w14:paraId="412256FC" w14:textId="77777777" w:rsidR="00BA0B24" w:rsidRPr="007923C2" w:rsidRDefault="00BA0B24" w:rsidP="00BA0B24">
            <w:pPr>
              <w:rPr>
                <w:rFonts w:ascii="Arial" w:hAnsi="Arial" w:cs="Arial"/>
                <w:sz w:val="22"/>
                <w:szCs w:val="22"/>
              </w:rPr>
            </w:pPr>
            <w:r w:rsidRPr="007923C2">
              <w:rPr>
                <w:rFonts w:ascii="Arial" w:hAnsi="Arial" w:cs="Arial"/>
                <w:sz w:val="22"/>
                <w:szCs w:val="22"/>
              </w:rPr>
              <w:t>CSB421</w:t>
            </w:r>
          </w:p>
        </w:tc>
        <w:tc>
          <w:tcPr>
            <w:tcW w:w="708" w:type="dxa"/>
          </w:tcPr>
          <w:p w14:paraId="5D6FD0AB"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25A52922"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32B90408" w14:textId="77777777" w:rsidTr="00B16E59">
        <w:tc>
          <w:tcPr>
            <w:tcW w:w="3227" w:type="dxa"/>
          </w:tcPr>
          <w:p w14:paraId="2BBA0F8A" w14:textId="77777777" w:rsidR="00BA0B24" w:rsidRPr="007923C2" w:rsidRDefault="00BA0B24" w:rsidP="00BA0B24">
            <w:pPr>
              <w:rPr>
                <w:rFonts w:ascii="Arial" w:hAnsi="Arial" w:cs="Arial"/>
                <w:sz w:val="22"/>
                <w:szCs w:val="22"/>
              </w:rPr>
            </w:pPr>
            <w:r w:rsidRPr="007923C2">
              <w:rPr>
                <w:rFonts w:ascii="Arial" w:hAnsi="Arial" w:cs="Arial"/>
                <w:sz w:val="22"/>
                <w:szCs w:val="22"/>
              </w:rPr>
              <w:t>Anatomía e Histología Vegetal</w:t>
            </w:r>
          </w:p>
        </w:tc>
        <w:tc>
          <w:tcPr>
            <w:tcW w:w="1304" w:type="dxa"/>
          </w:tcPr>
          <w:p w14:paraId="1BF2F1C2" w14:textId="77777777" w:rsidR="00BA0B24" w:rsidRPr="007923C2" w:rsidRDefault="00BA0B24" w:rsidP="00BA0B24">
            <w:pPr>
              <w:rPr>
                <w:rFonts w:ascii="Arial" w:hAnsi="Arial" w:cs="Arial"/>
                <w:sz w:val="22"/>
                <w:szCs w:val="22"/>
              </w:rPr>
            </w:pPr>
            <w:r w:rsidRPr="007923C2">
              <w:rPr>
                <w:rFonts w:ascii="Arial" w:hAnsi="Arial" w:cs="Arial"/>
                <w:sz w:val="22"/>
                <w:szCs w:val="22"/>
              </w:rPr>
              <w:t>BOT425</w:t>
            </w:r>
          </w:p>
        </w:tc>
        <w:tc>
          <w:tcPr>
            <w:tcW w:w="1560" w:type="dxa"/>
          </w:tcPr>
          <w:p w14:paraId="52316409" w14:textId="77777777" w:rsidR="00BA0B24" w:rsidRPr="007923C2" w:rsidRDefault="00BA0B24" w:rsidP="00BA0B24">
            <w:pPr>
              <w:rPr>
                <w:rFonts w:ascii="Arial" w:hAnsi="Arial" w:cs="Arial"/>
                <w:sz w:val="22"/>
                <w:szCs w:val="22"/>
              </w:rPr>
            </w:pPr>
            <w:r w:rsidRPr="007923C2">
              <w:rPr>
                <w:rFonts w:ascii="Arial" w:hAnsi="Arial" w:cs="Arial"/>
                <w:sz w:val="22"/>
                <w:szCs w:val="22"/>
              </w:rPr>
              <w:t>Botánica</w:t>
            </w:r>
            <w:r w:rsidR="00114E71">
              <w:rPr>
                <w:rFonts w:ascii="Arial" w:hAnsi="Arial" w:cs="Arial"/>
                <w:sz w:val="22"/>
                <w:szCs w:val="22"/>
              </w:rPr>
              <w:t xml:space="preserve"> II</w:t>
            </w:r>
          </w:p>
        </w:tc>
        <w:tc>
          <w:tcPr>
            <w:tcW w:w="1134" w:type="dxa"/>
          </w:tcPr>
          <w:p w14:paraId="4BD78ED3" w14:textId="77777777" w:rsidR="00BA0B24" w:rsidRPr="007923C2" w:rsidRDefault="00BA0B24" w:rsidP="00BA0B24">
            <w:pPr>
              <w:rPr>
                <w:rFonts w:ascii="Arial" w:hAnsi="Arial" w:cs="Arial"/>
                <w:sz w:val="22"/>
                <w:szCs w:val="22"/>
              </w:rPr>
            </w:pPr>
            <w:r w:rsidRPr="007923C2">
              <w:rPr>
                <w:rFonts w:ascii="Arial" w:hAnsi="Arial" w:cs="Arial"/>
                <w:sz w:val="22"/>
                <w:szCs w:val="22"/>
              </w:rPr>
              <w:t>BOT417</w:t>
            </w:r>
          </w:p>
        </w:tc>
        <w:tc>
          <w:tcPr>
            <w:tcW w:w="708" w:type="dxa"/>
          </w:tcPr>
          <w:p w14:paraId="278F2186"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3905E899"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197F4087" w14:textId="77777777" w:rsidTr="00B16E59">
        <w:tc>
          <w:tcPr>
            <w:tcW w:w="3227" w:type="dxa"/>
          </w:tcPr>
          <w:p w14:paraId="7EDC878F" w14:textId="77777777" w:rsidR="00BA0B24" w:rsidRPr="007923C2" w:rsidRDefault="00BA0B24" w:rsidP="00BA0B24">
            <w:pPr>
              <w:rPr>
                <w:rFonts w:ascii="Arial" w:hAnsi="Arial" w:cs="Arial"/>
                <w:sz w:val="22"/>
                <w:szCs w:val="22"/>
              </w:rPr>
            </w:pPr>
            <w:r w:rsidRPr="007923C2">
              <w:rPr>
                <w:rFonts w:ascii="Arial" w:hAnsi="Arial" w:cs="Arial"/>
                <w:sz w:val="22"/>
                <w:szCs w:val="22"/>
              </w:rPr>
              <w:t>Biodiversidad</w:t>
            </w:r>
          </w:p>
        </w:tc>
        <w:tc>
          <w:tcPr>
            <w:tcW w:w="1304" w:type="dxa"/>
          </w:tcPr>
          <w:p w14:paraId="6D49854A" w14:textId="77777777" w:rsidR="00BA0B24" w:rsidRPr="007923C2" w:rsidRDefault="00BA0B24" w:rsidP="00BA0B24">
            <w:pPr>
              <w:rPr>
                <w:rFonts w:ascii="Arial" w:hAnsi="Arial" w:cs="Arial"/>
                <w:sz w:val="22"/>
                <w:szCs w:val="22"/>
              </w:rPr>
            </w:pPr>
            <w:r w:rsidRPr="007923C2">
              <w:rPr>
                <w:rFonts w:ascii="Arial" w:hAnsi="Arial" w:cs="Arial"/>
                <w:sz w:val="22"/>
                <w:szCs w:val="22"/>
              </w:rPr>
              <w:t>BOT450</w:t>
            </w:r>
          </w:p>
        </w:tc>
        <w:tc>
          <w:tcPr>
            <w:tcW w:w="1560" w:type="dxa"/>
          </w:tcPr>
          <w:p w14:paraId="388B49F7" w14:textId="77777777" w:rsidR="00BA0B24" w:rsidRPr="007923C2" w:rsidRDefault="005A5FF2" w:rsidP="00BA0B24">
            <w:pPr>
              <w:rPr>
                <w:rFonts w:ascii="Arial" w:hAnsi="Arial" w:cs="Arial"/>
                <w:sz w:val="22"/>
                <w:szCs w:val="22"/>
              </w:rPr>
            </w:pPr>
            <w:r>
              <w:rPr>
                <w:rFonts w:ascii="Arial" w:hAnsi="Arial" w:cs="Arial"/>
                <w:sz w:val="22"/>
                <w:szCs w:val="22"/>
              </w:rPr>
              <w:t>Botánica II</w:t>
            </w:r>
          </w:p>
        </w:tc>
        <w:tc>
          <w:tcPr>
            <w:tcW w:w="1134" w:type="dxa"/>
          </w:tcPr>
          <w:p w14:paraId="52A159BA" w14:textId="77777777" w:rsidR="00BA0B24" w:rsidRPr="007923C2" w:rsidRDefault="005A5FF2" w:rsidP="00BA0B24">
            <w:pPr>
              <w:rPr>
                <w:rFonts w:ascii="Arial" w:hAnsi="Arial" w:cs="Arial"/>
                <w:sz w:val="22"/>
                <w:szCs w:val="22"/>
              </w:rPr>
            </w:pPr>
            <w:r>
              <w:rPr>
                <w:rFonts w:ascii="Arial" w:hAnsi="Arial" w:cs="Arial"/>
                <w:sz w:val="22"/>
                <w:szCs w:val="22"/>
              </w:rPr>
              <w:t>BOT417</w:t>
            </w:r>
          </w:p>
        </w:tc>
        <w:tc>
          <w:tcPr>
            <w:tcW w:w="708" w:type="dxa"/>
          </w:tcPr>
          <w:p w14:paraId="12FC1BF9" w14:textId="77777777" w:rsidR="00BA0B24" w:rsidRPr="007923C2" w:rsidRDefault="00BA0B24" w:rsidP="00BA0B24">
            <w:pPr>
              <w:rPr>
                <w:rFonts w:ascii="Arial" w:hAnsi="Arial" w:cs="Arial"/>
                <w:sz w:val="22"/>
                <w:szCs w:val="22"/>
              </w:rPr>
            </w:pPr>
            <w:r w:rsidRPr="007923C2">
              <w:rPr>
                <w:rFonts w:ascii="Arial" w:hAnsi="Arial" w:cs="Arial"/>
                <w:sz w:val="22"/>
                <w:szCs w:val="22"/>
              </w:rPr>
              <w:t>3-0</w:t>
            </w:r>
          </w:p>
        </w:tc>
        <w:tc>
          <w:tcPr>
            <w:tcW w:w="1134" w:type="dxa"/>
          </w:tcPr>
          <w:p w14:paraId="6CC9EC68" w14:textId="77777777" w:rsidR="00BA0B24" w:rsidRPr="007923C2" w:rsidRDefault="00BA0B24" w:rsidP="00BA0B24">
            <w:pPr>
              <w:rPr>
                <w:rFonts w:ascii="Arial" w:hAnsi="Arial" w:cs="Arial"/>
                <w:sz w:val="22"/>
                <w:szCs w:val="22"/>
              </w:rPr>
            </w:pPr>
            <w:r w:rsidRPr="007923C2">
              <w:rPr>
                <w:rFonts w:ascii="Arial" w:hAnsi="Arial" w:cs="Arial"/>
                <w:sz w:val="22"/>
                <w:szCs w:val="22"/>
              </w:rPr>
              <w:t>6</w:t>
            </w:r>
          </w:p>
        </w:tc>
      </w:tr>
      <w:tr w:rsidR="00BA0B24" w:rsidRPr="007923C2" w14:paraId="3A93C84E" w14:textId="77777777" w:rsidTr="00B16E59">
        <w:tc>
          <w:tcPr>
            <w:tcW w:w="3227" w:type="dxa"/>
          </w:tcPr>
          <w:p w14:paraId="41DB4080" w14:textId="77777777" w:rsidR="00BA0B24" w:rsidRPr="007923C2" w:rsidRDefault="00BA0B24" w:rsidP="00BA0B24">
            <w:pPr>
              <w:rPr>
                <w:rFonts w:ascii="Arial" w:hAnsi="Arial" w:cs="Arial"/>
                <w:sz w:val="22"/>
                <w:szCs w:val="22"/>
              </w:rPr>
            </w:pPr>
            <w:r w:rsidRPr="007923C2">
              <w:rPr>
                <w:rFonts w:ascii="Arial" w:hAnsi="Arial" w:cs="Arial"/>
                <w:sz w:val="22"/>
                <w:szCs w:val="22"/>
              </w:rPr>
              <w:t>Microbiología I</w:t>
            </w:r>
          </w:p>
        </w:tc>
        <w:tc>
          <w:tcPr>
            <w:tcW w:w="1304" w:type="dxa"/>
          </w:tcPr>
          <w:p w14:paraId="134656F4" w14:textId="77777777" w:rsidR="00BA0B24" w:rsidRPr="007923C2" w:rsidRDefault="00BA0B24" w:rsidP="00BA0B24">
            <w:pPr>
              <w:rPr>
                <w:rFonts w:ascii="Arial" w:hAnsi="Arial" w:cs="Arial"/>
                <w:sz w:val="22"/>
                <w:szCs w:val="22"/>
              </w:rPr>
            </w:pPr>
            <w:r w:rsidRPr="007923C2">
              <w:rPr>
                <w:rFonts w:ascii="Arial" w:hAnsi="Arial" w:cs="Arial"/>
                <w:sz w:val="22"/>
                <w:szCs w:val="22"/>
              </w:rPr>
              <w:t>PRA-423</w:t>
            </w:r>
          </w:p>
        </w:tc>
        <w:tc>
          <w:tcPr>
            <w:tcW w:w="1560" w:type="dxa"/>
          </w:tcPr>
          <w:p w14:paraId="0C828A10" w14:textId="77777777" w:rsidR="00BA0B24" w:rsidRPr="007923C2" w:rsidRDefault="00BA0B24" w:rsidP="00BA0B24">
            <w:pPr>
              <w:rPr>
                <w:rFonts w:ascii="Arial" w:hAnsi="Arial" w:cs="Arial"/>
                <w:sz w:val="22"/>
                <w:szCs w:val="22"/>
              </w:rPr>
            </w:pPr>
            <w:r w:rsidRPr="007923C2">
              <w:rPr>
                <w:rFonts w:ascii="Arial" w:hAnsi="Arial" w:cs="Arial"/>
                <w:sz w:val="22"/>
                <w:szCs w:val="22"/>
              </w:rPr>
              <w:t>Biología</w:t>
            </w:r>
          </w:p>
        </w:tc>
        <w:tc>
          <w:tcPr>
            <w:tcW w:w="1134" w:type="dxa"/>
          </w:tcPr>
          <w:p w14:paraId="06F73CDE" w14:textId="77777777" w:rsidR="00BA0B24" w:rsidRPr="007923C2" w:rsidRDefault="00BA0B24" w:rsidP="00BA0B24">
            <w:pPr>
              <w:rPr>
                <w:rFonts w:ascii="Arial" w:hAnsi="Arial" w:cs="Arial"/>
                <w:sz w:val="22"/>
                <w:szCs w:val="22"/>
              </w:rPr>
            </w:pPr>
            <w:r w:rsidRPr="007923C2">
              <w:rPr>
                <w:rFonts w:ascii="Arial" w:hAnsi="Arial" w:cs="Arial"/>
                <w:sz w:val="22"/>
                <w:szCs w:val="22"/>
              </w:rPr>
              <w:t>BOT404</w:t>
            </w:r>
          </w:p>
        </w:tc>
        <w:tc>
          <w:tcPr>
            <w:tcW w:w="708" w:type="dxa"/>
          </w:tcPr>
          <w:p w14:paraId="55E6B4D6"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0EB46BAF"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36782765" w14:textId="77777777" w:rsidTr="00B16E59">
        <w:tc>
          <w:tcPr>
            <w:tcW w:w="3227" w:type="dxa"/>
          </w:tcPr>
          <w:p w14:paraId="527826DC" w14:textId="77777777" w:rsidR="00BA0B24" w:rsidRPr="007923C2" w:rsidRDefault="00BA0B24" w:rsidP="00BA0B24">
            <w:pPr>
              <w:rPr>
                <w:rFonts w:ascii="Arial" w:hAnsi="Arial" w:cs="Arial"/>
                <w:sz w:val="22"/>
                <w:szCs w:val="22"/>
              </w:rPr>
            </w:pPr>
            <w:r w:rsidRPr="007923C2">
              <w:rPr>
                <w:rFonts w:ascii="Arial" w:hAnsi="Arial" w:cs="Arial"/>
                <w:sz w:val="22"/>
                <w:szCs w:val="22"/>
              </w:rPr>
              <w:t>Economía Ambiental y de recursos naturales</w:t>
            </w:r>
          </w:p>
        </w:tc>
        <w:tc>
          <w:tcPr>
            <w:tcW w:w="1304" w:type="dxa"/>
          </w:tcPr>
          <w:p w14:paraId="6677AD8C" w14:textId="77777777" w:rsidR="00BA0B24" w:rsidRPr="007923C2" w:rsidRDefault="00BA0B24" w:rsidP="00BA0B24">
            <w:pPr>
              <w:rPr>
                <w:rFonts w:ascii="Arial" w:hAnsi="Arial" w:cs="Arial"/>
                <w:sz w:val="22"/>
                <w:szCs w:val="22"/>
              </w:rPr>
            </w:pPr>
            <w:r w:rsidRPr="007923C2">
              <w:rPr>
                <w:rFonts w:ascii="Arial" w:hAnsi="Arial" w:cs="Arial"/>
                <w:sz w:val="22"/>
                <w:szCs w:val="22"/>
              </w:rPr>
              <w:t>ECA410</w:t>
            </w:r>
          </w:p>
        </w:tc>
        <w:tc>
          <w:tcPr>
            <w:tcW w:w="1560" w:type="dxa"/>
          </w:tcPr>
          <w:p w14:paraId="1849B5B8" w14:textId="76AFF064" w:rsidR="00BA0B24" w:rsidRPr="007923C2" w:rsidRDefault="005A5FF2" w:rsidP="00BA0B24">
            <w:pPr>
              <w:rPr>
                <w:rFonts w:ascii="Arial" w:hAnsi="Arial" w:cs="Arial"/>
                <w:sz w:val="22"/>
                <w:szCs w:val="22"/>
              </w:rPr>
            </w:pPr>
            <w:r>
              <w:rPr>
                <w:rFonts w:ascii="Arial" w:hAnsi="Arial" w:cs="Arial"/>
                <w:sz w:val="22"/>
                <w:szCs w:val="22"/>
              </w:rPr>
              <w:t>Ecología</w:t>
            </w:r>
            <w:r w:rsidR="00D86AFE">
              <w:rPr>
                <w:rFonts w:ascii="Arial" w:hAnsi="Arial" w:cs="Arial"/>
                <w:sz w:val="22"/>
                <w:szCs w:val="22"/>
              </w:rPr>
              <w:t xml:space="preserve"> I</w:t>
            </w:r>
          </w:p>
        </w:tc>
        <w:tc>
          <w:tcPr>
            <w:tcW w:w="1134" w:type="dxa"/>
          </w:tcPr>
          <w:p w14:paraId="5ECD0FDC" w14:textId="56A62E07" w:rsidR="00BA0B24" w:rsidRPr="007923C2" w:rsidRDefault="005A5FF2" w:rsidP="00BA0B24">
            <w:pPr>
              <w:rPr>
                <w:rFonts w:ascii="Arial" w:hAnsi="Arial" w:cs="Arial"/>
                <w:sz w:val="22"/>
                <w:szCs w:val="22"/>
              </w:rPr>
            </w:pPr>
            <w:r>
              <w:rPr>
                <w:rFonts w:ascii="Arial" w:hAnsi="Arial" w:cs="Arial"/>
                <w:sz w:val="22"/>
                <w:szCs w:val="22"/>
              </w:rPr>
              <w:t>BOT</w:t>
            </w:r>
            <w:r w:rsidR="00D86AFE">
              <w:rPr>
                <w:rFonts w:ascii="Arial" w:hAnsi="Arial" w:cs="Arial"/>
                <w:sz w:val="22"/>
                <w:szCs w:val="22"/>
              </w:rPr>
              <w:t>427</w:t>
            </w:r>
          </w:p>
        </w:tc>
        <w:tc>
          <w:tcPr>
            <w:tcW w:w="708" w:type="dxa"/>
          </w:tcPr>
          <w:p w14:paraId="7BE657B7"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4EBFFDCB"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0191DAFD" w14:textId="77777777" w:rsidTr="00B16E59">
        <w:tc>
          <w:tcPr>
            <w:tcW w:w="3227" w:type="dxa"/>
          </w:tcPr>
          <w:p w14:paraId="3A8C0E94" w14:textId="77777777" w:rsidR="00BA0B24" w:rsidRPr="007923C2" w:rsidRDefault="00BA0B24" w:rsidP="005A5FF2">
            <w:pPr>
              <w:rPr>
                <w:rFonts w:ascii="Arial" w:hAnsi="Arial" w:cs="Arial"/>
                <w:sz w:val="22"/>
                <w:szCs w:val="22"/>
              </w:rPr>
            </w:pPr>
            <w:r w:rsidRPr="007923C2">
              <w:rPr>
                <w:rFonts w:ascii="Arial" w:hAnsi="Arial" w:cs="Arial"/>
                <w:sz w:val="22"/>
                <w:szCs w:val="22"/>
              </w:rPr>
              <w:t>Diseño</w:t>
            </w:r>
            <w:r w:rsidR="005A5FF2">
              <w:rPr>
                <w:rFonts w:ascii="Arial" w:hAnsi="Arial" w:cs="Arial"/>
                <w:sz w:val="22"/>
                <w:szCs w:val="22"/>
              </w:rPr>
              <w:t xml:space="preserve">s </w:t>
            </w:r>
            <w:r w:rsidRPr="007923C2">
              <w:rPr>
                <w:rFonts w:ascii="Arial" w:hAnsi="Arial" w:cs="Arial"/>
                <w:sz w:val="22"/>
                <w:szCs w:val="22"/>
              </w:rPr>
              <w:t xml:space="preserve"> experimental</w:t>
            </w:r>
            <w:r w:rsidR="005A5FF2">
              <w:rPr>
                <w:rFonts w:ascii="Arial" w:hAnsi="Arial" w:cs="Arial"/>
                <w:sz w:val="22"/>
                <w:szCs w:val="22"/>
              </w:rPr>
              <w:t>es</w:t>
            </w:r>
          </w:p>
        </w:tc>
        <w:tc>
          <w:tcPr>
            <w:tcW w:w="1304" w:type="dxa"/>
          </w:tcPr>
          <w:p w14:paraId="2A182925" w14:textId="77777777" w:rsidR="00BA0B24" w:rsidRPr="007923C2" w:rsidRDefault="00BA0B24" w:rsidP="00BA0B24">
            <w:pPr>
              <w:rPr>
                <w:rFonts w:ascii="Arial" w:hAnsi="Arial" w:cs="Arial"/>
                <w:sz w:val="22"/>
                <w:szCs w:val="22"/>
              </w:rPr>
            </w:pPr>
            <w:r w:rsidRPr="007923C2">
              <w:rPr>
                <w:rFonts w:ascii="Arial" w:hAnsi="Arial" w:cs="Arial"/>
                <w:sz w:val="22"/>
                <w:szCs w:val="22"/>
              </w:rPr>
              <w:t>DEC430</w:t>
            </w:r>
          </w:p>
        </w:tc>
        <w:tc>
          <w:tcPr>
            <w:tcW w:w="1560" w:type="dxa"/>
          </w:tcPr>
          <w:p w14:paraId="7BEF4110" w14:textId="77777777" w:rsidR="00BA0B24" w:rsidRPr="007923C2" w:rsidRDefault="00BA0B24" w:rsidP="00BA0B24">
            <w:pPr>
              <w:rPr>
                <w:rFonts w:ascii="Arial" w:hAnsi="Arial" w:cs="Arial"/>
                <w:sz w:val="22"/>
                <w:szCs w:val="22"/>
              </w:rPr>
            </w:pPr>
            <w:r w:rsidRPr="007923C2">
              <w:rPr>
                <w:rFonts w:ascii="Arial" w:hAnsi="Arial" w:cs="Arial"/>
                <w:sz w:val="22"/>
                <w:szCs w:val="22"/>
              </w:rPr>
              <w:t>Sistemas Biológicos</w:t>
            </w:r>
          </w:p>
        </w:tc>
        <w:tc>
          <w:tcPr>
            <w:tcW w:w="1134" w:type="dxa"/>
          </w:tcPr>
          <w:p w14:paraId="249FEDBD" w14:textId="77777777" w:rsidR="00BA0B24" w:rsidRPr="007923C2" w:rsidRDefault="00BA0B24" w:rsidP="00BA0B24">
            <w:pPr>
              <w:rPr>
                <w:rFonts w:ascii="Arial" w:hAnsi="Arial" w:cs="Arial"/>
                <w:sz w:val="22"/>
                <w:szCs w:val="22"/>
              </w:rPr>
            </w:pPr>
            <w:r w:rsidRPr="007923C2">
              <w:rPr>
                <w:rFonts w:ascii="Arial" w:hAnsi="Arial" w:cs="Arial"/>
                <w:sz w:val="22"/>
                <w:szCs w:val="22"/>
              </w:rPr>
              <w:t>BOT416</w:t>
            </w:r>
          </w:p>
        </w:tc>
        <w:tc>
          <w:tcPr>
            <w:tcW w:w="708" w:type="dxa"/>
          </w:tcPr>
          <w:p w14:paraId="267026EE" w14:textId="77777777" w:rsidR="00BA0B24" w:rsidRPr="007923C2" w:rsidRDefault="00BA0B24" w:rsidP="00BA0B24">
            <w:pPr>
              <w:rPr>
                <w:rFonts w:ascii="Arial" w:hAnsi="Arial" w:cs="Arial"/>
                <w:sz w:val="22"/>
                <w:szCs w:val="22"/>
              </w:rPr>
            </w:pPr>
            <w:r w:rsidRPr="007923C2">
              <w:rPr>
                <w:rFonts w:ascii="Arial" w:hAnsi="Arial" w:cs="Arial"/>
                <w:sz w:val="22"/>
                <w:szCs w:val="22"/>
              </w:rPr>
              <w:t>5-0</w:t>
            </w:r>
          </w:p>
        </w:tc>
        <w:tc>
          <w:tcPr>
            <w:tcW w:w="1134" w:type="dxa"/>
          </w:tcPr>
          <w:p w14:paraId="379245F0" w14:textId="77777777" w:rsidR="00BA0B24" w:rsidRPr="007923C2" w:rsidRDefault="00BA0B24" w:rsidP="00BA0B24">
            <w:pPr>
              <w:rPr>
                <w:rFonts w:ascii="Arial" w:hAnsi="Arial" w:cs="Arial"/>
                <w:sz w:val="22"/>
                <w:szCs w:val="22"/>
              </w:rPr>
            </w:pPr>
            <w:r w:rsidRPr="007923C2">
              <w:rPr>
                <w:rFonts w:ascii="Arial" w:hAnsi="Arial" w:cs="Arial"/>
                <w:sz w:val="22"/>
                <w:szCs w:val="22"/>
              </w:rPr>
              <w:t>10</w:t>
            </w:r>
          </w:p>
        </w:tc>
      </w:tr>
      <w:tr w:rsidR="00BA0B24" w:rsidRPr="007923C2" w14:paraId="088719AB" w14:textId="77777777" w:rsidTr="00B16E59">
        <w:tc>
          <w:tcPr>
            <w:tcW w:w="3227" w:type="dxa"/>
          </w:tcPr>
          <w:p w14:paraId="538AC45F" w14:textId="77777777" w:rsidR="00BA0B24" w:rsidRPr="007923C2" w:rsidRDefault="00BA0B24" w:rsidP="00BA0B24">
            <w:pPr>
              <w:rPr>
                <w:rFonts w:ascii="Arial" w:hAnsi="Arial" w:cs="Arial"/>
                <w:sz w:val="22"/>
                <w:szCs w:val="22"/>
              </w:rPr>
            </w:pPr>
            <w:r w:rsidRPr="007923C2">
              <w:rPr>
                <w:rFonts w:ascii="Arial" w:hAnsi="Arial" w:cs="Arial"/>
                <w:sz w:val="22"/>
                <w:szCs w:val="22"/>
              </w:rPr>
              <w:t>Administración I</w:t>
            </w:r>
          </w:p>
        </w:tc>
        <w:tc>
          <w:tcPr>
            <w:tcW w:w="1304" w:type="dxa"/>
          </w:tcPr>
          <w:p w14:paraId="0D9C4DA7" w14:textId="77777777" w:rsidR="00BA0B24" w:rsidRPr="007923C2" w:rsidRDefault="00BA0B24" w:rsidP="00BA0B24">
            <w:pPr>
              <w:rPr>
                <w:rFonts w:ascii="Arial" w:hAnsi="Arial" w:cs="Arial"/>
                <w:sz w:val="22"/>
                <w:szCs w:val="22"/>
              </w:rPr>
            </w:pPr>
            <w:r w:rsidRPr="007923C2">
              <w:rPr>
                <w:rFonts w:ascii="Arial" w:hAnsi="Arial" w:cs="Arial"/>
                <w:sz w:val="22"/>
                <w:szCs w:val="22"/>
              </w:rPr>
              <w:t>ADM403</w:t>
            </w:r>
          </w:p>
        </w:tc>
        <w:tc>
          <w:tcPr>
            <w:tcW w:w="1560" w:type="dxa"/>
          </w:tcPr>
          <w:p w14:paraId="405BB624" w14:textId="77777777"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14:paraId="19675EF1" w14:textId="77777777" w:rsidR="00BA0B24" w:rsidRPr="007923C2" w:rsidRDefault="00BA0B24" w:rsidP="00BA0B24">
            <w:pPr>
              <w:rPr>
                <w:rFonts w:ascii="Arial" w:hAnsi="Arial" w:cs="Arial"/>
                <w:sz w:val="22"/>
                <w:szCs w:val="22"/>
              </w:rPr>
            </w:pPr>
          </w:p>
        </w:tc>
        <w:tc>
          <w:tcPr>
            <w:tcW w:w="708" w:type="dxa"/>
          </w:tcPr>
          <w:p w14:paraId="2DB2118D"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23582B6F"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302DDB77" w14:textId="77777777" w:rsidTr="00B16E59">
        <w:tc>
          <w:tcPr>
            <w:tcW w:w="3227" w:type="dxa"/>
          </w:tcPr>
          <w:p w14:paraId="41F06E84"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Ecofisiología Vegetal</w:t>
            </w:r>
          </w:p>
        </w:tc>
        <w:tc>
          <w:tcPr>
            <w:tcW w:w="1304" w:type="dxa"/>
          </w:tcPr>
          <w:p w14:paraId="3FCC9D0A" w14:textId="77777777" w:rsidR="00BA0B24" w:rsidRPr="007923C2" w:rsidRDefault="00BA0B24" w:rsidP="00BA0B24">
            <w:pPr>
              <w:rPr>
                <w:rFonts w:ascii="Arial" w:hAnsi="Arial" w:cs="Arial"/>
                <w:sz w:val="22"/>
                <w:szCs w:val="22"/>
              </w:rPr>
            </w:pPr>
            <w:r w:rsidRPr="007923C2">
              <w:rPr>
                <w:rFonts w:ascii="Arial" w:hAnsi="Arial" w:cs="Arial"/>
                <w:sz w:val="22"/>
                <w:szCs w:val="22"/>
              </w:rPr>
              <w:t>BOT447</w:t>
            </w:r>
          </w:p>
        </w:tc>
        <w:tc>
          <w:tcPr>
            <w:tcW w:w="1560" w:type="dxa"/>
          </w:tcPr>
          <w:p w14:paraId="27B14F5E" w14:textId="77777777" w:rsidR="00BA0B24" w:rsidRPr="007923C2" w:rsidRDefault="00BA0B24" w:rsidP="00BA0B24">
            <w:pPr>
              <w:rPr>
                <w:rFonts w:ascii="Arial" w:hAnsi="Arial" w:cs="Arial"/>
                <w:sz w:val="22"/>
                <w:szCs w:val="22"/>
              </w:rPr>
            </w:pPr>
            <w:r w:rsidRPr="007923C2">
              <w:rPr>
                <w:rFonts w:ascii="Arial" w:hAnsi="Arial" w:cs="Arial"/>
                <w:sz w:val="22"/>
                <w:szCs w:val="22"/>
              </w:rPr>
              <w:t>Fisiología Vegetal</w:t>
            </w:r>
          </w:p>
        </w:tc>
        <w:tc>
          <w:tcPr>
            <w:tcW w:w="1134" w:type="dxa"/>
          </w:tcPr>
          <w:p w14:paraId="583E8E9B" w14:textId="77777777" w:rsidR="00BA0B24" w:rsidRPr="007923C2" w:rsidRDefault="00BA0B24" w:rsidP="005A5FF2">
            <w:pPr>
              <w:rPr>
                <w:rFonts w:ascii="Arial" w:hAnsi="Arial" w:cs="Arial"/>
                <w:sz w:val="22"/>
                <w:szCs w:val="22"/>
              </w:rPr>
            </w:pPr>
            <w:r w:rsidRPr="007923C2">
              <w:rPr>
                <w:rFonts w:ascii="Arial" w:hAnsi="Arial" w:cs="Arial"/>
                <w:sz w:val="22"/>
                <w:szCs w:val="22"/>
              </w:rPr>
              <w:t>BOT42</w:t>
            </w:r>
            <w:r w:rsidR="005A5FF2">
              <w:rPr>
                <w:rFonts w:ascii="Arial" w:hAnsi="Arial" w:cs="Arial"/>
                <w:sz w:val="22"/>
                <w:szCs w:val="22"/>
              </w:rPr>
              <w:t>4</w:t>
            </w:r>
          </w:p>
        </w:tc>
        <w:tc>
          <w:tcPr>
            <w:tcW w:w="708" w:type="dxa"/>
          </w:tcPr>
          <w:p w14:paraId="72F1B8C1"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3E49CC42"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48C366EF" w14:textId="77777777" w:rsidTr="00B16E59">
        <w:tc>
          <w:tcPr>
            <w:tcW w:w="3227" w:type="dxa"/>
          </w:tcPr>
          <w:p w14:paraId="6A4935C0" w14:textId="77777777" w:rsidR="00BA0B24" w:rsidRPr="007923C2" w:rsidRDefault="00BA0B24" w:rsidP="00BA0B24">
            <w:pPr>
              <w:rPr>
                <w:rFonts w:ascii="Arial" w:hAnsi="Arial" w:cs="Arial"/>
                <w:sz w:val="22"/>
                <w:szCs w:val="22"/>
              </w:rPr>
            </w:pPr>
            <w:r w:rsidRPr="007923C2">
              <w:rPr>
                <w:rFonts w:ascii="Arial" w:hAnsi="Arial" w:cs="Arial"/>
                <w:sz w:val="22"/>
                <w:szCs w:val="22"/>
              </w:rPr>
              <w:t>Contaminación Ambiental</w:t>
            </w:r>
          </w:p>
        </w:tc>
        <w:tc>
          <w:tcPr>
            <w:tcW w:w="1304" w:type="dxa"/>
          </w:tcPr>
          <w:p w14:paraId="159FF892" w14:textId="77777777" w:rsidR="00BA0B24" w:rsidRPr="007923C2" w:rsidRDefault="00BA0B24" w:rsidP="00BA0B24">
            <w:pPr>
              <w:rPr>
                <w:rFonts w:ascii="Arial" w:hAnsi="Arial" w:cs="Arial"/>
                <w:sz w:val="22"/>
                <w:szCs w:val="22"/>
              </w:rPr>
            </w:pPr>
            <w:r w:rsidRPr="007923C2">
              <w:rPr>
                <w:rFonts w:ascii="Arial" w:hAnsi="Arial" w:cs="Arial"/>
                <w:sz w:val="22"/>
                <w:szCs w:val="22"/>
              </w:rPr>
              <w:t>BOT480</w:t>
            </w:r>
          </w:p>
        </w:tc>
        <w:tc>
          <w:tcPr>
            <w:tcW w:w="1560" w:type="dxa"/>
          </w:tcPr>
          <w:p w14:paraId="350FA925" w14:textId="4040AC91" w:rsidR="00BA0B24" w:rsidRPr="007923C2" w:rsidRDefault="00BA0B24" w:rsidP="00BA0B24">
            <w:pPr>
              <w:rPr>
                <w:rFonts w:ascii="Arial" w:hAnsi="Arial" w:cs="Arial"/>
                <w:sz w:val="22"/>
                <w:szCs w:val="22"/>
              </w:rPr>
            </w:pPr>
            <w:r w:rsidRPr="007923C2">
              <w:rPr>
                <w:rFonts w:ascii="Arial" w:hAnsi="Arial" w:cs="Arial"/>
                <w:sz w:val="22"/>
                <w:szCs w:val="22"/>
              </w:rPr>
              <w:t>Ecología</w:t>
            </w:r>
            <w:r w:rsidR="00D86AFE">
              <w:rPr>
                <w:rFonts w:ascii="Arial" w:hAnsi="Arial" w:cs="Arial"/>
                <w:sz w:val="22"/>
                <w:szCs w:val="22"/>
              </w:rPr>
              <w:t xml:space="preserve"> I</w:t>
            </w:r>
          </w:p>
        </w:tc>
        <w:tc>
          <w:tcPr>
            <w:tcW w:w="1134" w:type="dxa"/>
          </w:tcPr>
          <w:p w14:paraId="34D8BB72" w14:textId="0C291158" w:rsidR="00BA0B24" w:rsidRPr="007923C2" w:rsidRDefault="00D86AFE" w:rsidP="00BA0B24">
            <w:pPr>
              <w:rPr>
                <w:rFonts w:ascii="Arial" w:hAnsi="Arial" w:cs="Arial"/>
                <w:sz w:val="22"/>
                <w:szCs w:val="22"/>
              </w:rPr>
            </w:pPr>
            <w:r>
              <w:rPr>
                <w:rFonts w:ascii="Arial" w:hAnsi="Arial" w:cs="Arial"/>
                <w:sz w:val="22"/>
                <w:szCs w:val="22"/>
              </w:rPr>
              <w:t>BOT427</w:t>
            </w:r>
          </w:p>
        </w:tc>
        <w:tc>
          <w:tcPr>
            <w:tcW w:w="708" w:type="dxa"/>
          </w:tcPr>
          <w:p w14:paraId="799BD76E"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6AA4A10D"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5DA97013" w14:textId="77777777" w:rsidTr="00B16E59">
        <w:tc>
          <w:tcPr>
            <w:tcW w:w="3227" w:type="dxa"/>
          </w:tcPr>
          <w:p w14:paraId="0B50B84B" w14:textId="77777777" w:rsidR="00BA0B24" w:rsidRPr="007923C2" w:rsidRDefault="00BA0B24" w:rsidP="00BA0B24">
            <w:pPr>
              <w:rPr>
                <w:rFonts w:ascii="Arial" w:hAnsi="Arial" w:cs="Arial"/>
                <w:sz w:val="22"/>
                <w:szCs w:val="22"/>
              </w:rPr>
            </w:pPr>
            <w:r w:rsidRPr="007923C2">
              <w:rPr>
                <w:rFonts w:ascii="Arial" w:hAnsi="Arial" w:cs="Arial"/>
                <w:sz w:val="22"/>
                <w:szCs w:val="22"/>
              </w:rPr>
              <w:t>Introducción a la Genética Molecular</w:t>
            </w:r>
          </w:p>
        </w:tc>
        <w:tc>
          <w:tcPr>
            <w:tcW w:w="1304" w:type="dxa"/>
          </w:tcPr>
          <w:p w14:paraId="32BAC414" w14:textId="77777777" w:rsidR="00BA0B24" w:rsidRPr="007923C2" w:rsidRDefault="00BA0B24" w:rsidP="00BA0B24">
            <w:pPr>
              <w:rPr>
                <w:rFonts w:ascii="Arial" w:hAnsi="Arial" w:cs="Arial"/>
                <w:sz w:val="22"/>
                <w:szCs w:val="22"/>
              </w:rPr>
            </w:pPr>
          </w:p>
        </w:tc>
        <w:tc>
          <w:tcPr>
            <w:tcW w:w="1560" w:type="dxa"/>
          </w:tcPr>
          <w:p w14:paraId="4200FAE6" w14:textId="77777777" w:rsidR="00BA0B24" w:rsidRPr="007923C2" w:rsidRDefault="005A5FF2" w:rsidP="00BA0B24">
            <w:pPr>
              <w:rPr>
                <w:rFonts w:ascii="Arial" w:hAnsi="Arial" w:cs="Arial"/>
                <w:sz w:val="22"/>
                <w:szCs w:val="22"/>
              </w:rPr>
            </w:pPr>
            <w:r>
              <w:rPr>
                <w:rFonts w:ascii="Arial" w:hAnsi="Arial" w:cs="Arial"/>
                <w:sz w:val="22"/>
                <w:szCs w:val="22"/>
              </w:rPr>
              <w:t>Genética</w:t>
            </w:r>
          </w:p>
        </w:tc>
        <w:tc>
          <w:tcPr>
            <w:tcW w:w="1134" w:type="dxa"/>
          </w:tcPr>
          <w:p w14:paraId="3AA615E8" w14:textId="77777777" w:rsidR="00BA0B24" w:rsidRPr="007923C2" w:rsidRDefault="005A5FF2" w:rsidP="00BA0B24">
            <w:pPr>
              <w:rPr>
                <w:rFonts w:ascii="Arial" w:hAnsi="Arial" w:cs="Arial"/>
                <w:sz w:val="22"/>
                <w:szCs w:val="22"/>
              </w:rPr>
            </w:pPr>
            <w:r>
              <w:rPr>
                <w:rFonts w:ascii="Arial" w:hAnsi="Arial" w:cs="Arial"/>
                <w:sz w:val="22"/>
                <w:szCs w:val="22"/>
              </w:rPr>
              <w:t>FIT401</w:t>
            </w:r>
          </w:p>
        </w:tc>
        <w:tc>
          <w:tcPr>
            <w:tcW w:w="708" w:type="dxa"/>
          </w:tcPr>
          <w:p w14:paraId="10A342A5"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624073DA"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488A695C" w14:textId="77777777" w:rsidTr="00B16E59">
        <w:tc>
          <w:tcPr>
            <w:tcW w:w="3227" w:type="dxa"/>
          </w:tcPr>
          <w:p w14:paraId="483D68BC" w14:textId="77777777" w:rsidR="00BA0B24" w:rsidRPr="007923C2" w:rsidRDefault="00BA0B24" w:rsidP="00BA0B24">
            <w:pPr>
              <w:rPr>
                <w:rFonts w:ascii="Arial" w:hAnsi="Arial" w:cs="Arial"/>
                <w:sz w:val="22"/>
                <w:szCs w:val="22"/>
              </w:rPr>
            </w:pPr>
            <w:r w:rsidRPr="007923C2">
              <w:rPr>
                <w:rFonts w:ascii="Arial" w:hAnsi="Arial" w:cs="Arial"/>
                <w:sz w:val="22"/>
                <w:szCs w:val="22"/>
              </w:rPr>
              <w:t>Fauna Silvestre</w:t>
            </w:r>
          </w:p>
        </w:tc>
        <w:tc>
          <w:tcPr>
            <w:tcW w:w="1304" w:type="dxa"/>
          </w:tcPr>
          <w:p w14:paraId="76E7DA59" w14:textId="77777777" w:rsidR="00BA0B24" w:rsidRPr="007923C2" w:rsidRDefault="00BA0B24" w:rsidP="00BA0B24">
            <w:pPr>
              <w:rPr>
                <w:rFonts w:ascii="Arial" w:hAnsi="Arial" w:cs="Arial"/>
                <w:sz w:val="22"/>
                <w:szCs w:val="22"/>
              </w:rPr>
            </w:pPr>
            <w:r w:rsidRPr="007923C2">
              <w:rPr>
                <w:rFonts w:ascii="Arial" w:hAnsi="Arial" w:cs="Arial"/>
                <w:sz w:val="22"/>
                <w:szCs w:val="22"/>
              </w:rPr>
              <w:t>RNR431</w:t>
            </w:r>
          </w:p>
        </w:tc>
        <w:tc>
          <w:tcPr>
            <w:tcW w:w="1560" w:type="dxa"/>
          </w:tcPr>
          <w:p w14:paraId="37B0714F" w14:textId="7FAF6736" w:rsidR="00BA0B24" w:rsidRPr="007923C2" w:rsidRDefault="00BA0B24" w:rsidP="00D86AFE">
            <w:pPr>
              <w:rPr>
                <w:rFonts w:ascii="Arial" w:hAnsi="Arial" w:cs="Arial"/>
                <w:sz w:val="22"/>
                <w:szCs w:val="22"/>
              </w:rPr>
            </w:pPr>
            <w:r w:rsidRPr="007923C2">
              <w:rPr>
                <w:rFonts w:ascii="Arial" w:hAnsi="Arial" w:cs="Arial"/>
                <w:sz w:val="22"/>
                <w:szCs w:val="22"/>
              </w:rPr>
              <w:t>Zoología</w:t>
            </w:r>
            <w:r w:rsidR="00D86AFE">
              <w:rPr>
                <w:rFonts w:ascii="Arial" w:hAnsi="Arial" w:cs="Arial"/>
                <w:sz w:val="22"/>
                <w:szCs w:val="22"/>
              </w:rPr>
              <w:t xml:space="preserve"> general</w:t>
            </w:r>
          </w:p>
        </w:tc>
        <w:tc>
          <w:tcPr>
            <w:tcW w:w="1134" w:type="dxa"/>
          </w:tcPr>
          <w:p w14:paraId="06F7A99C" w14:textId="77777777" w:rsidR="00BA0B24" w:rsidRPr="007923C2" w:rsidRDefault="00BA0B24" w:rsidP="00BA0B24">
            <w:pPr>
              <w:rPr>
                <w:rFonts w:ascii="Arial" w:hAnsi="Arial" w:cs="Arial"/>
                <w:sz w:val="22"/>
                <w:szCs w:val="22"/>
              </w:rPr>
            </w:pPr>
          </w:p>
        </w:tc>
        <w:tc>
          <w:tcPr>
            <w:tcW w:w="708" w:type="dxa"/>
          </w:tcPr>
          <w:p w14:paraId="66328B34"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3C13394F"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4E5B79D4" w14:textId="77777777" w:rsidTr="00B16E59">
        <w:tc>
          <w:tcPr>
            <w:tcW w:w="3227" w:type="dxa"/>
          </w:tcPr>
          <w:p w14:paraId="00F8CA37" w14:textId="77777777" w:rsidR="00BA0B24" w:rsidRPr="007923C2" w:rsidRDefault="00BA0B24" w:rsidP="00BA0B24">
            <w:pPr>
              <w:rPr>
                <w:rFonts w:ascii="Arial" w:hAnsi="Arial" w:cs="Arial"/>
                <w:sz w:val="22"/>
                <w:szCs w:val="22"/>
              </w:rPr>
            </w:pPr>
            <w:r w:rsidRPr="007923C2">
              <w:rPr>
                <w:rFonts w:ascii="Arial" w:hAnsi="Arial" w:cs="Arial"/>
                <w:sz w:val="22"/>
                <w:szCs w:val="22"/>
              </w:rPr>
              <w:t>Formulación y Evaluación de Proyectos</w:t>
            </w:r>
          </w:p>
        </w:tc>
        <w:tc>
          <w:tcPr>
            <w:tcW w:w="1304" w:type="dxa"/>
          </w:tcPr>
          <w:p w14:paraId="637240A6" w14:textId="77777777" w:rsidR="00BA0B24" w:rsidRPr="007923C2" w:rsidRDefault="00BA0B24" w:rsidP="00BA0B24">
            <w:pPr>
              <w:rPr>
                <w:rFonts w:ascii="Arial" w:hAnsi="Arial" w:cs="Arial"/>
                <w:sz w:val="22"/>
                <w:szCs w:val="22"/>
              </w:rPr>
            </w:pPr>
            <w:r w:rsidRPr="007923C2">
              <w:rPr>
                <w:rFonts w:ascii="Arial" w:hAnsi="Arial" w:cs="Arial"/>
                <w:sz w:val="22"/>
                <w:szCs w:val="22"/>
              </w:rPr>
              <w:t>ADM459</w:t>
            </w:r>
          </w:p>
        </w:tc>
        <w:tc>
          <w:tcPr>
            <w:tcW w:w="1560" w:type="dxa"/>
          </w:tcPr>
          <w:p w14:paraId="312701A4" w14:textId="77777777" w:rsidR="00BA0B24" w:rsidRPr="007923C2" w:rsidRDefault="00BA0B24" w:rsidP="00BA0B24">
            <w:pPr>
              <w:rPr>
                <w:rFonts w:ascii="Arial" w:hAnsi="Arial" w:cs="Arial"/>
                <w:sz w:val="22"/>
                <w:szCs w:val="22"/>
              </w:rPr>
            </w:pPr>
            <w:r w:rsidRPr="007923C2">
              <w:rPr>
                <w:rFonts w:ascii="Arial" w:hAnsi="Arial" w:cs="Arial"/>
                <w:sz w:val="22"/>
                <w:szCs w:val="22"/>
              </w:rPr>
              <w:t>Administración I</w:t>
            </w:r>
          </w:p>
        </w:tc>
        <w:tc>
          <w:tcPr>
            <w:tcW w:w="1134" w:type="dxa"/>
          </w:tcPr>
          <w:p w14:paraId="4076ADA5" w14:textId="77777777" w:rsidR="00BA0B24" w:rsidRPr="007923C2" w:rsidRDefault="00BA0B24" w:rsidP="00BA0B24">
            <w:pPr>
              <w:rPr>
                <w:rFonts w:ascii="Arial" w:hAnsi="Arial" w:cs="Arial"/>
                <w:sz w:val="22"/>
                <w:szCs w:val="22"/>
              </w:rPr>
            </w:pPr>
            <w:r w:rsidRPr="007923C2">
              <w:rPr>
                <w:rFonts w:ascii="Arial" w:hAnsi="Arial" w:cs="Arial"/>
                <w:sz w:val="22"/>
                <w:szCs w:val="22"/>
              </w:rPr>
              <w:t>ADM403</w:t>
            </w:r>
          </w:p>
        </w:tc>
        <w:tc>
          <w:tcPr>
            <w:tcW w:w="708" w:type="dxa"/>
          </w:tcPr>
          <w:p w14:paraId="23F06E35"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59C0A3DF"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724EAFA4" w14:textId="77777777" w:rsidTr="00B16E59">
        <w:tc>
          <w:tcPr>
            <w:tcW w:w="3227" w:type="dxa"/>
          </w:tcPr>
          <w:p w14:paraId="265D8F5C" w14:textId="3B162A70" w:rsidR="00BA0B24" w:rsidRPr="007923C2" w:rsidRDefault="00BA0B24" w:rsidP="006D7AE6">
            <w:pPr>
              <w:rPr>
                <w:rFonts w:ascii="Arial" w:hAnsi="Arial" w:cs="Arial"/>
                <w:sz w:val="22"/>
                <w:szCs w:val="22"/>
              </w:rPr>
            </w:pPr>
            <w:r w:rsidRPr="007923C2">
              <w:rPr>
                <w:rFonts w:ascii="Arial" w:hAnsi="Arial" w:cs="Arial"/>
                <w:sz w:val="22"/>
                <w:szCs w:val="22"/>
              </w:rPr>
              <w:t xml:space="preserve">Biotecnología </w:t>
            </w:r>
          </w:p>
        </w:tc>
        <w:tc>
          <w:tcPr>
            <w:tcW w:w="1304" w:type="dxa"/>
          </w:tcPr>
          <w:p w14:paraId="6E5191FD" w14:textId="77777777" w:rsidR="00BA0B24" w:rsidRPr="007923C2" w:rsidRDefault="00BA0B24" w:rsidP="00BA0B24">
            <w:pPr>
              <w:rPr>
                <w:rFonts w:ascii="Arial" w:hAnsi="Arial" w:cs="Arial"/>
                <w:sz w:val="22"/>
                <w:szCs w:val="22"/>
              </w:rPr>
            </w:pPr>
            <w:r w:rsidRPr="007923C2">
              <w:rPr>
                <w:rFonts w:ascii="Arial" w:hAnsi="Arial" w:cs="Arial"/>
                <w:sz w:val="22"/>
                <w:szCs w:val="22"/>
              </w:rPr>
              <w:t>BOT</w:t>
            </w:r>
          </w:p>
        </w:tc>
        <w:tc>
          <w:tcPr>
            <w:tcW w:w="1560" w:type="dxa"/>
          </w:tcPr>
          <w:p w14:paraId="4A5A8162" w14:textId="759EC765" w:rsidR="00BA0B24" w:rsidRPr="007923C2" w:rsidRDefault="006D7AE6" w:rsidP="00BA0B24">
            <w:pPr>
              <w:rPr>
                <w:rFonts w:ascii="Arial" w:hAnsi="Arial" w:cs="Arial"/>
                <w:sz w:val="22"/>
                <w:szCs w:val="22"/>
              </w:rPr>
            </w:pPr>
            <w:r>
              <w:rPr>
                <w:rFonts w:ascii="Arial" w:hAnsi="Arial" w:cs="Arial"/>
                <w:sz w:val="22"/>
                <w:szCs w:val="22"/>
              </w:rPr>
              <w:t>Bioquímica</w:t>
            </w:r>
          </w:p>
        </w:tc>
        <w:tc>
          <w:tcPr>
            <w:tcW w:w="1134" w:type="dxa"/>
          </w:tcPr>
          <w:p w14:paraId="0D226ACA" w14:textId="67547203" w:rsidR="00BA0B24" w:rsidRPr="007923C2" w:rsidRDefault="006D7AE6" w:rsidP="00BA0B24">
            <w:pPr>
              <w:rPr>
                <w:rFonts w:ascii="Arial" w:hAnsi="Arial" w:cs="Arial"/>
                <w:sz w:val="22"/>
                <w:szCs w:val="22"/>
              </w:rPr>
            </w:pPr>
            <w:r>
              <w:rPr>
                <w:rFonts w:ascii="Arial" w:hAnsi="Arial" w:cs="Arial"/>
                <w:sz w:val="22"/>
                <w:szCs w:val="22"/>
              </w:rPr>
              <w:t>CSB421</w:t>
            </w:r>
          </w:p>
        </w:tc>
        <w:tc>
          <w:tcPr>
            <w:tcW w:w="708" w:type="dxa"/>
          </w:tcPr>
          <w:p w14:paraId="7C678738"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2ABB6642"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452B8FAF" w14:textId="77777777" w:rsidTr="00B16E59">
        <w:tc>
          <w:tcPr>
            <w:tcW w:w="3227" w:type="dxa"/>
          </w:tcPr>
          <w:p w14:paraId="4FB51339" w14:textId="77777777" w:rsidR="00BA0B24" w:rsidRPr="007923C2" w:rsidRDefault="00BA0B24" w:rsidP="00BA0B24">
            <w:pPr>
              <w:rPr>
                <w:rFonts w:ascii="Arial" w:hAnsi="Arial" w:cs="Arial"/>
                <w:sz w:val="22"/>
                <w:szCs w:val="22"/>
              </w:rPr>
            </w:pPr>
            <w:r w:rsidRPr="007923C2">
              <w:rPr>
                <w:rFonts w:ascii="Arial" w:hAnsi="Arial" w:cs="Arial"/>
                <w:sz w:val="22"/>
                <w:szCs w:val="22"/>
              </w:rPr>
              <w:t>Manejo integrado del plagas</w:t>
            </w:r>
          </w:p>
        </w:tc>
        <w:tc>
          <w:tcPr>
            <w:tcW w:w="1304" w:type="dxa"/>
          </w:tcPr>
          <w:p w14:paraId="70AF5A3B" w14:textId="77777777" w:rsidR="00BA0B24" w:rsidRPr="007923C2" w:rsidRDefault="00BA0B24" w:rsidP="00BA0B24">
            <w:pPr>
              <w:rPr>
                <w:rFonts w:ascii="Arial" w:hAnsi="Arial" w:cs="Arial"/>
                <w:sz w:val="22"/>
                <w:szCs w:val="22"/>
              </w:rPr>
            </w:pPr>
            <w:r w:rsidRPr="007923C2">
              <w:rPr>
                <w:rFonts w:ascii="Arial" w:hAnsi="Arial" w:cs="Arial"/>
                <w:sz w:val="22"/>
                <w:szCs w:val="22"/>
              </w:rPr>
              <w:t>PAR498</w:t>
            </w:r>
          </w:p>
        </w:tc>
        <w:tc>
          <w:tcPr>
            <w:tcW w:w="1560" w:type="dxa"/>
          </w:tcPr>
          <w:p w14:paraId="12257230" w14:textId="77777777" w:rsidR="00BA0B24" w:rsidRPr="007923C2" w:rsidRDefault="00BA0B24" w:rsidP="00BA0B24">
            <w:pPr>
              <w:rPr>
                <w:rFonts w:ascii="Arial" w:hAnsi="Arial" w:cs="Arial"/>
                <w:sz w:val="22"/>
                <w:szCs w:val="22"/>
              </w:rPr>
            </w:pPr>
            <w:r w:rsidRPr="007923C2">
              <w:rPr>
                <w:rFonts w:ascii="Arial" w:hAnsi="Arial" w:cs="Arial"/>
                <w:sz w:val="22"/>
                <w:szCs w:val="22"/>
              </w:rPr>
              <w:t>Entomología</w:t>
            </w:r>
          </w:p>
        </w:tc>
        <w:tc>
          <w:tcPr>
            <w:tcW w:w="1134" w:type="dxa"/>
          </w:tcPr>
          <w:p w14:paraId="419A4C84" w14:textId="77777777" w:rsidR="00BA0B24" w:rsidRPr="007923C2" w:rsidRDefault="00BA0B24" w:rsidP="00BA0B24">
            <w:pPr>
              <w:rPr>
                <w:rFonts w:ascii="Arial" w:hAnsi="Arial" w:cs="Arial"/>
                <w:sz w:val="22"/>
                <w:szCs w:val="22"/>
              </w:rPr>
            </w:pPr>
            <w:r w:rsidRPr="007923C2">
              <w:rPr>
                <w:rFonts w:ascii="Arial" w:hAnsi="Arial" w:cs="Arial"/>
                <w:sz w:val="22"/>
                <w:szCs w:val="22"/>
              </w:rPr>
              <w:t>PAR486</w:t>
            </w:r>
          </w:p>
        </w:tc>
        <w:tc>
          <w:tcPr>
            <w:tcW w:w="708" w:type="dxa"/>
          </w:tcPr>
          <w:p w14:paraId="57763CD1"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6E080819"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7BA6F6D1" w14:textId="77777777" w:rsidTr="00B16E59">
        <w:tc>
          <w:tcPr>
            <w:tcW w:w="3227" w:type="dxa"/>
          </w:tcPr>
          <w:p w14:paraId="3333F5EE" w14:textId="77777777" w:rsidR="00BA0B24" w:rsidRPr="007923C2" w:rsidRDefault="00BA0B24" w:rsidP="00BA0B24">
            <w:pPr>
              <w:rPr>
                <w:rFonts w:ascii="Arial" w:hAnsi="Arial" w:cs="Arial"/>
                <w:sz w:val="22"/>
                <w:szCs w:val="22"/>
              </w:rPr>
            </w:pPr>
            <w:r w:rsidRPr="007923C2">
              <w:rPr>
                <w:rFonts w:ascii="Arial" w:hAnsi="Arial" w:cs="Arial"/>
                <w:sz w:val="22"/>
                <w:szCs w:val="22"/>
              </w:rPr>
              <w:t>Fertilidad y fertilización del suelo</w:t>
            </w:r>
          </w:p>
        </w:tc>
        <w:tc>
          <w:tcPr>
            <w:tcW w:w="1304" w:type="dxa"/>
          </w:tcPr>
          <w:p w14:paraId="6B6E7EA1" w14:textId="77777777" w:rsidR="00BA0B24" w:rsidRPr="007923C2" w:rsidRDefault="00BA0B24" w:rsidP="00BA0B24">
            <w:pPr>
              <w:rPr>
                <w:rFonts w:ascii="Arial" w:hAnsi="Arial" w:cs="Arial"/>
                <w:sz w:val="22"/>
                <w:szCs w:val="22"/>
              </w:rPr>
            </w:pPr>
            <w:r w:rsidRPr="007923C2">
              <w:rPr>
                <w:rFonts w:ascii="Arial" w:hAnsi="Arial" w:cs="Arial"/>
                <w:sz w:val="22"/>
                <w:szCs w:val="22"/>
              </w:rPr>
              <w:t>SUE420</w:t>
            </w:r>
          </w:p>
        </w:tc>
        <w:tc>
          <w:tcPr>
            <w:tcW w:w="1560" w:type="dxa"/>
          </w:tcPr>
          <w:p w14:paraId="08FCD828" w14:textId="77777777" w:rsidR="00BA0B24" w:rsidRPr="007923C2" w:rsidRDefault="00BA0B24" w:rsidP="00BA0B24">
            <w:pPr>
              <w:rPr>
                <w:rFonts w:ascii="Arial" w:hAnsi="Arial" w:cs="Arial"/>
                <w:sz w:val="22"/>
                <w:szCs w:val="22"/>
              </w:rPr>
            </w:pPr>
            <w:r w:rsidRPr="007923C2">
              <w:rPr>
                <w:rFonts w:ascii="Arial" w:hAnsi="Arial" w:cs="Arial"/>
                <w:sz w:val="22"/>
                <w:szCs w:val="22"/>
              </w:rPr>
              <w:t>Introducción a la Ciencia del Suelo</w:t>
            </w:r>
          </w:p>
        </w:tc>
        <w:tc>
          <w:tcPr>
            <w:tcW w:w="1134" w:type="dxa"/>
          </w:tcPr>
          <w:p w14:paraId="66FD3F22" w14:textId="77777777" w:rsidR="00BA0B24" w:rsidRPr="007923C2" w:rsidRDefault="00BA0B24" w:rsidP="00BA0B24">
            <w:pPr>
              <w:rPr>
                <w:rFonts w:ascii="Arial" w:hAnsi="Arial" w:cs="Arial"/>
                <w:sz w:val="22"/>
                <w:szCs w:val="22"/>
              </w:rPr>
            </w:pPr>
            <w:r w:rsidRPr="007923C2">
              <w:rPr>
                <w:rFonts w:ascii="Arial" w:hAnsi="Arial" w:cs="Arial"/>
                <w:sz w:val="22"/>
                <w:szCs w:val="22"/>
              </w:rPr>
              <w:t>SUE403</w:t>
            </w:r>
          </w:p>
        </w:tc>
        <w:tc>
          <w:tcPr>
            <w:tcW w:w="708" w:type="dxa"/>
          </w:tcPr>
          <w:p w14:paraId="1C6BFBEE"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75ACA79C"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3C41DB03" w14:textId="77777777" w:rsidTr="00B16E59">
        <w:tc>
          <w:tcPr>
            <w:tcW w:w="3227" w:type="dxa"/>
          </w:tcPr>
          <w:p w14:paraId="4F57A689" w14:textId="7E1CAD2F" w:rsidR="00BA0B24" w:rsidRPr="007923C2" w:rsidRDefault="00BA0B24" w:rsidP="00272529">
            <w:pPr>
              <w:rPr>
                <w:rFonts w:ascii="Arial" w:hAnsi="Arial" w:cs="Arial"/>
                <w:sz w:val="22"/>
                <w:szCs w:val="22"/>
              </w:rPr>
            </w:pPr>
            <w:r w:rsidRPr="007923C2">
              <w:rPr>
                <w:rFonts w:ascii="Arial" w:hAnsi="Arial" w:cs="Arial"/>
                <w:sz w:val="22"/>
                <w:szCs w:val="22"/>
              </w:rPr>
              <w:t>Evaluación de Ecosistemas</w:t>
            </w:r>
          </w:p>
        </w:tc>
        <w:tc>
          <w:tcPr>
            <w:tcW w:w="1304" w:type="dxa"/>
          </w:tcPr>
          <w:p w14:paraId="709CC449" w14:textId="2D2CED9B" w:rsidR="00BA0B24" w:rsidRPr="007923C2" w:rsidRDefault="00272529" w:rsidP="00BA0B24">
            <w:pPr>
              <w:rPr>
                <w:rFonts w:ascii="Arial" w:hAnsi="Arial" w:cs="Arial"/>
                <w:sz w:val="22"/>
                <w:szCs w:val="22"/>
              </w:rPr>
            </w:pPr>
            <w:r>
              <w:rPr>
                <w:rFonts w:ascii="Arial" w:hAnsi="Arial" w:cs="Arial"/>
                <w:sz w:val="22"/>
                <w:szCs w:val="22"/>
              </w:rPr>
              <w:t>BOT-455</w:t>
            </w:r>
          </w:p>
        </w:tc>
        <w:tc>
          <w:tcPr>
            <w:tcW w:w="1560" w:type="dxa"/>
          </w:tcPr>
          <w:p w14:paraId="492321A6" w14:textId="3FD96CD2" w:rsidR="00BA0B24" w:rsidRPr="007923C2" w:rsidRDefault="00272529" w:rsidP="00BA0B24">
            <w:pPr>
              <w:rPr>
                <w:rFonts w:ascii="Arial" w:hAnsi="Arial" w:cs="Arial"/>
                <w:sz w:val="22"/>
                <w:szCs w:val="22"/>
              </w:rPr>
            </w:pPr>
            <w:r>
              <w:rPr>
                <w:rFonts w:ascii="Arial" w:hAnsi="Arial" w:cs="Arial"/>
                <w:sz w:val="22"/>
                <w:szCs w:val="22"/>
              </w:rPr>
              <w:t>Ecología</w:t>
            </w:r>
            <w:r w:rsidR="00D86AFE">
              <w:rPr>
                <w:rFonts w:ascii="Arial" w:hAnsi="Arial" w:cs="Arial"/>
                <w:sz w:val="22"/>
                <w:szCs w:val="22"/>
              </w:rPr>
              <w:t xml:space="preserve"> I</w:t>
            </w:r>
          </w:p>
        </w:tc>
        <w:tc>
          <w:tcPr>
            <w:tcW w:w="1134" w:type="dxa"/>
          </w:tcPr>
          <w:p w14:paraId="63CEC454" w14:textId="1330976C" w:rsidR="00BA0B24" w:rsidRPr="007923C2" w:rsidRDefault="00D86AFE" w:rsidP="00BA0B24">
            <w:pPr>
              <w:rPr>
                <w:rFonts w:ascii="Arial" w:hAnsi="Arial" w:cs="Arial"/>
                <w:sz w:val="22"/>
                <w:szCs w:val="22"/>
              </w:rPr>
            </w:pPr>
            <w:r>
              <w:rPr>
                <w:rFonts w:ascii="Arial" w:hAnsi="Arial" w:cs="Arial"/>
                <w:sz w:val="22"/>
                <w:szCs w:val="22"/>
              </w:rPr>
              <w:t>BOT427</w:t>
            </w:r>
          </w:p>
        </w:tc>
        <w:tc>
          <w:tcPr>
            <w:tcW w:w="708" w:type="dxa"/>
          </w:tcPr>
          <w:p w14:paraId="0E4EC15B"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7E5C76AE"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288C98F7" w14:textId="77777777" w:rsidTr="00B16E59">
        <w:tc>
          <w:tcPr>
            <w:tcW w:w="3227" w:type="dxa"/>
          </w:tcPr>
          <w:p w14:paraId="457BC7D9" w14:textId="77777777" w:rsidR="00BA0B24" w:rsidRPr="007923C2" w:rsidRDefault="00BA0B24" w:rsidP="00BA0B24">
            <w:pPr>
              <w:rPr>
                <w:rFonts w:ascii="Arial" w:hAnsi="Arial" w:cs="Arial"/>
                <w:sz w:val="22"/>
                <w:szCs w:val="22"/>
              </w:rPr>
            </w:pPr>
            <w:r w:rsidRPr="007923C2">
              <w:rPr>
                <w:rFonts w:ascii="Arial" w:hAnsi="Arial" w:cs="Arial"/>
                <w:sz w:val="22"/>
                <w:szCs w:val="22"/>
              </w:rPr>
              <w:t>Manejo Agroecológico del Suelo</w:t>
            </w:r>
          </w:p>
        </w:tc>
        <w:tc>
          <w:tcPr>
            <w:tcW w:w="1304" w:type="dxa"/>
          </w:tcPr>
          <w:p w14:paraId="38AEADCB" w14:textId="77777777" w:rsidR="00BA0B24" w:rsidRPr="007923C2" w:rsidRDefault="00BA0B24" w:rsidP="00BA0B24">
            <w:pPr>
              <w:rPr>
                <w:rFonts w:ascii="Arial" w:hAnsi="Arial" w:cs="Arial"/>
                <w:sz w:val="22"/>
                <w:szCs w:val="22"/>
              </w:rPr>
            </w:pPr>
            <w:r w:rsidRPr="007923C2">
              <w:rPr>
                <w:rFonts w:ascii="Arial" w:hAnsi="Arial" w:cs="Arial"/>
                <w:sz w:val="22"/>
                <w:szCs w:val="22"/>
              </w:rPr>
              <w:t>SUE486</w:t>
            </w:r>
          </w:p>
        </w:tc>
        <w:tc>
          <w:tcPr>
            <w:tcW w:w="1560" w:type="dxa"/>
          </w:tcPr>
          <w:p w14:paraId="204E160C" w14:textId="77777777" w:rsidR="00BA0B24" w:rsidRPr="007923C2" w:rsidRDefault="00BA0B24" w:rsidP="00BA0B24">
            <w:pPr>
              <w:rPr>
                <w:rFonts w:ascii="Arial" w:hAnsi="Arial" w:cs="Arial"/>
                <w:sz w:val="22"/>
                <w:szCs w:val="22"/>
              </w:rPr>
            </w:pPr>
            <w:r w:rsidRPr="007923C2">
              <w:rPr>
                <w:rFonts w:ascii="Arial" w:hAnsi="Arial" w:cs="Arial"/>
                <w:sz w:val="22"/>
                <w:szCs w:val="22"/>
              </w:rPr>
              <w:t>Introducción a las ciencias del suelo</w:t>
            </w:r>
          </w:p>
        </w:tc>
        <w:tc>
          <w:tcPr>
            <w:tcW w:w="1134" w:type="dxa"/>
          </w:tcPr>
          <w:p w14:paraId="6EB080E8" w14:textId="77777777" w:rsidR="00BA0B24" w:rsidRPr="007923C2" w:rsidRDefault="00BA0B24" w:rsidP="00BA0B24">
            <w:pPr>
              <w:rPr>
                <w:rFonts w:ascii="Arial" w:hAnsi="Arial" w:cs="Arial"/>
                <w:sz w:val="22"/>
                <w:szCs w:val="22"/>
              </w:rPr>
            </w:pPr>
            <w:r w:rsidRPr="007923C2">
              <w:rPr>
                <w:rFonts w:ascii="Arial" w:hAnsi="Arial" w:cs="Arial"/>
                <w:sz w:val="22"/>
                <w:szCs w:val="22"/>
              </w:rPr>
              <w:t>SUE403</w:t>
            </w:r>
          </w:p>
        </w:tc>
        <w:tc>
          <w:tcPr>
            <w:tcW w:w="708" w:type="dxa"/>
          </w:tcPr>
          <w:p w14:paraId="044E271E" w14:textId="77777777" w:rsidR="00BA0B24" w:rsidRPr="007923C2" w:rsidRDefault="00BA0B24" w:rsidP="00BA0B24">
            <w:pPr>
              <w:rPr>
                <w:rFonts w:ascii="Arial" w:hAnsi="Arial" w:cs="Arial"/>
                <w:sz w:val="22"/>
                <w:szCs w:val="22"/>
              </w:rPr>
            </w:pPr>
            <w:r w:rsidRPr="007923C2">
              <w:rPr>
                <w:rFonts w:ascii="Arial" w:hAnsi="Arial" w:cs="Arial"/>
                <w:sz w:val="22"/>
                <w:szCs w:val="22"/>
              </w:rPr>
              <w:t>2-3</w:t>
            </w:r>
          </w:p>
        </w:tc>
        <w:tc>
          <w:tcPr>
            <w:tcW w:w="1134" w:type="dxa"/>
          </w:tcPr>
          <w:p w14:paraId="453F4D7D"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5E6B80DD" w14:textId="77777777" w:rsidTr="00B16E59">
        <w:tc>
          <w:tcPr>
            <w:tcW w:w="3227" w:type="dxa"/>
          </w:tcPr>
          <w:p w14:paraId="34D50C6E" w14:textId="77777777" w:rsidR="00BA0B24" w:rsidRPr="007923C2" w:rsidRDefault="00BA0B24" w:rsidP="00BA0B24">
            <w:pPr>
              <w:rPr>
                <w:rFonts w:ascii="Arial" w:hAnsi="Arial" w:cs="Arial"/>
                <w:sz w:val="22"/>
                <w:szCs w:val="22"/>
              </w:rPr>
            </w:pPr>
            <w:r w:rsidRPr="007923C2">
              <w:rPr>
                <w:rFonts w:ascii="Arial" w:hAnsi="Arial" w:cs="Arial"/>
                <w:sz w:val="22"/>
                <w:szCs w:val="22"/>
              </w:rPr>
              <w:t>Taller de Investigación I</w:t>
            </w:r>
          </w:p>
        </w:tc>
        <w:tc>
          <w:tcPr>
            <w:tcW w:w="1304" w:type="dxa"/>
          </w:tcPr>
          <w:p w14:paraId="6C4AA37C" w14:textId="77777777" w:rsidR="00BA0B24" w:rsidRPr="007923C2" w:rsidRDefault="00BA0B24" w:rsidP="00BA0B24">
            <w:pPr>
              <w:rPr>
                <w:rFonts w:ascii="Arial" w:hAnsi="Arial" w:cs="Arial"/>
                <w:sz w:val="22"/>
                <w:szCs w:val="22"/>
              </w:rPr>
            </w:pPr>
            <w:r w:rsidRPr="007923C2">
              <w:rPr>
                <w:rFonts w:ascii="Arial" w:hAnsi="Arial" w:cs="Arial"/>
                <w:sz w:val="22"/>
                <w:szCs w:val="22"/>
              </w:rPr>
              <w:t>BOT449</w:t>
            </w:r>
          </w:p>
        </w:tc>
        <w:tc>
          <w:tcPr>
            <w:tcW w:w="1560" w:type="dxa"/>
          </w:tcPr>
          <w:p w14:paraId="066ECFD9" w14:textId="77777777" w:rsidR="00BA0B24" w:rsidRPr="007923C2" w:rsidRDefault="00BA0B24" w:rsidP="00BA0B24">
            <w:pPr>
              <w:rPr>
                <w:rFonts w:ascii="Arial" w:hAnsi="Arial" w:cs="Arial"/>
                <w:sz w:val="22"/>
                <w:szCs w:val="22"/>
              </w:rPr>
            </w:pPr>
            <w:r w:rsidRPr="007923C2">
              <w:rPr>
                <w:rFonts w:ascii="Arial" w:hAnsi="Arial" w:cs="Arial"/>
                <w:sz w:val="22"/>
                <w:szCs w:val="22"/>
              </w:rPr>
              <w:t>Diseño Experimentales</w:t>
            </w:r>
          </w:p>
        </w:tc>
        <w:tc>
          <w:tcPr>
            <w:tcW w:w="1134" w:type="dxa"/>
          </w:tcPr>
          <w:p w14:paraId="64287ECA" w14:textId="77777777" w:rsidR="00BA0B24" w:rsidRPr="007923C2" w:rsidRDefault="00BA0B24" w:rsidP="00BA0B24">
            <w:pPr>
              <w:rPr>
                <w:rFonts w:ascii="Arial" w:hAnsi="Arial" w:cs="Arial"/>
                <w:sz w:val="22"/>
                <w:szCs w:val="22"/>
              </w:rPr>
            </w:pPr>
            <w:r w:rsidRPr="007923C2">
              <w:rPr>
                <w:rFonts w:ascii="Arial" w:hAnsi="Arial" w:cs="Arial"/>
                <w:sz w:val="22"/>
                <w:szCs w:val="22"/>
              </w:rPr>
              <w:t>DEC430</w:t>
            </w:r>
          </w:p>
        </w:tc>
        <w:tc>
          <w:tcPr>
            <w:tcW w:w="708" w:type="dxa"/>
          </w:tcPr>
          <w:p w14:paraId="0094E5C0" w14:textId="77777777" w:rsidR="00BA0B24" w:rsidRPr="007923C2" w:rsidRDefault="00BA0B24" w:rsidP="00BA0B24">
            <w:pPr>
              <w:rPr>
                <w:rFonts w:ascii="Arial" w:hAnsi="Arial" w:cs="Arial"/>
                <w:sz w:val="22"/>
                <w:szCs w:val="22"/>
              </w:rPr>
            </w:pPr>
            <w:r w:rsidRPr="007923C2">
              <w:rPr>
                <w:rFonts w:ascii="Arial" w:hAnsi="Arial" w:cs="Arial"/>
                <w:sz w:val="22"/>
                <w:szCs w:val="22"/>
              </w:rPr>
              <w:t>3-0</w:t>
            </w:r>
          </w:p>
        </w:tc>
        <w:tc>
          <w:tcPr>
            <w:tcW w:w="1134" w:type="dxa"/>
          </w:tcPr>
          <w:p w14:paraId="6B3EAC79" w14:textId="77777777" w:rsidR="00BA0B24" w:rsidRPr="007923C2" w:rsidRDefault="00BA0B24" w:rsidP="00BA0B24">
            <w:pPr>
              <w:rPr>
                <w:rFonts w:ascii="Arial" w:hAnsi="Arial" w:cs="Arial"/>
                <w:sz w:val="22"/>
                <w:szCs w:val="22"/>
              </w:rPr>
            </w:pPr>
            <w:r w:rsidRPr="007923C2">
              <w:rPr>
                <w:rFonts w:ascii="Arial" w:hAnsi="Arial" w:cs="Arial"/>
                <w:sz w:val="22"/>
                <w:szCs w:val="22"/>
              </w:rPr>
              <w:t>6</w:t>
            </w:r>
          </w:p>
        </w:tc>
      </w:tr>
      <w:tr w:rsidR="00BA0B24" w:rsidRPr="007923C2" w14:paraId="599D489F" w14:textId="77777777" w:rsidTr="00B16E59">
        <w:tc>
          <w:tcPr>
            <w:tcW w:w="3227" w:type="dxa"/>
          </w:tcPr>
          <w:p w14:paraId="5D3B7AAC" w14:textId="77777777" w:rsidR="00BA0B24" w:rsidRPr="007923C2" w:rsidRDefault="00BA0B24" w:rsidP="00BA0B24">
            <w:pPr>
              <w:rPr>
                <w:rFonts w:ascii="Arial" w:hAnsi="Arial" w:cs="Arial"/>
                <w:sz w:val="22"/>
                <w:szCs w:val="22"/>
              </w:rPr>
            </w:pPr>
            <w:r w:rsidRPr="007923C2">
              <w:rPr>
                <w:rFonts w:ascii="Arial" w:hAnsi="Arial" w:cs="Arial"/>
                <w:sz w:val="22"/>
                <w:szCs w:val="22"/>
              </w:rPr>
              <w:t>Agroecología</w:t>
            </w:r>
          </w:p>
        </w:tc>
        <w:tc>
          <w:tcPr>
            <w:tcW w:w="1304" w:type="dxa"/>
          </w:tcPr>
          <w:p w14:paraId="4DDDF0E6" w14:textId="77777777" w:rsidR="00BA0B24" w:rsidRPr="007923C2" w:rsidRDefault="00BA0B24" w:rsidP="00BA0B24">
            <w:pPr>
              <w:rPr>
                <w:rFonts w:ascii="Arial" w:hAnsi="Arial" w:cs="Arial"/>
                <w:sz w:val="22"/>
                <w:szCs w:val="22"/>
              </w:rPr>
            </w:pPr>
            <w:r w:rsidRPr="007923C2">
              <w:rPr>
                <w:rFonts w:ascii="Arial" w:hAnsi="Arial" w:cs="Arial"/>
                <w:sz w:val="22"/>
                <w:szCs w:val="22"/>
              </w:rPr>
              <w:t>BOT457</w:t>
            </w:r>
          </w:p>
        </w:tc>
        <w:tc>
          <w:tcPr>
            <w:tcW w:w="1560" w:type="dxa"/>
          </w:tcPr>
          <w:p w14:paraId="566F8E48" w14:textId="77777777" w:rsidR="00BA0B24" w:rsidRPr="007923C2" w:rsidRDefault="00BA0B24" w:rsidP="00BA0B24">
            <w:pPr>
              <w:rPr>
                <w:rFonts w:ascii="Arial" w:hAnsi="Arial" w:cs="Arial"/>
                <w:sz w:val="22"/>
                <w:szCs w:val="22"/>
              </w:rPr>
            </w:pPr>
            <w:r w:rsidRPr="007923C2">
              <w:rPr>
                <w:rFonts w:ascii="Arial" w:hAnsi="Arial" w:cs="Arial"/>
                <w:sz w:val="22"/>
                <w:szCs w:val="22"/>
              </w:rPr>
              <w:t>Evaluación de Ecosistemas</w:t>
            </w:r>
          </w:p>
        </w:tc>
        <w:tc>
          <w:tcPr>
            <w:tcW w:w="1134" w:type="dxa"/>
          </w:tcPr>
          <w:p w14:paraId="10B23B1F" w14:textId="2DA6D4E7" w:rsidR="00BA0B24" w:rsidRPr="007923C2" w:rsidRDefault="006D7AE6" w:rsidP="00BA0B24">
            <w:pPr>
              <w:rPr>
                <w:rFonts w:ascii="Arial" w:hAnsi="Arial" w:cs="Arial"/>
                <w:sz w:val="22"/>
                <w:szCs w:val="22"/>
              </w:rPr>
            </w:pPr>
            <w:r>
              <w:rPr>
                <w:rFonts w:ascii="Arial" w:hAnsi="Arial" w:cs="Arial"/>
                <w:sz w:val="22"/>
                <w:szCs w:val="22"/>
              </w:rPr>
              <w:t>BOT455</w:t>
            </w:r>
          </w:p>
        </w:tc>
        <w:tc>
          <w:tcPr>
            <w:tcW w:w="708" w:type="dxa"/>
          </w:tcPr>
          <w:p w14:paraId="2092DB5F"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3CF68D73"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5BBB66A3" w14:textId="77777777" w:rsidTr="00B16E59">
        <w:tc>
          <w:tcPr>
            <w:tcW w:w="3227" w:type="dxa"/>
          </w:tcPr>
          <w:p w14:paraId="01F7DF6C" w14:textId="77777777" w:rsidR="00BA0B24" w:rsidRPr="007923C2" w:rsidRDefault="00BA0B24" w:rsidP="00BA0B24">
            <w:pPr>
              <w:rPr>
                <w:rFonts w:ascii="Arial" w:hAnsi="Arial" w:cs="Arial"/>
                <w:sz w:val="22"/>
                <w:szCs w:val="22"/>
              </w:rPr>
            </w:pPr>
            <w:r w:rsidRPr="007923C2">
              <w:rPr>
                <w:rFonts w:ascii="Arial" w:hAnsi="Arial" w:cs="Arial"/>
                <w:sz w:val="22"/>
                <w:szCs w:val="22"/>
              </w:rPr>
              <w:t>Manejo Agroecológico del agua</w:t>
            </w:r>
          </w:p>
        </w:tc>
        <w:tc>
          <w:tcPr>
            <w:tcW w:w="1304" w:type="dxa"/>
          </w:tcPr>
          <w:p w14:paraId="1D42D5AE" w14:textId="77777777" w:rsidR="00BA0B24" w:rsidRPr="007923C2" w:rsidRDefault="00BA0B24" w:rsidP="00BA0B24">
            <w:pPr>
              <w:rPr>
                <w:rFonts w:ascii="Arial" w:hAnsi="Arial" w:cs="Arial"/>
                <w:sz w:val="22"/>
                <w:szCs w:val="22"/>
              </w:rPr>
            </w:pPr>
            <w:r w:rsidRPr="007923C2">
              <w:rPr>
                <w:rFonts w:ascii="Arial" w:hAnsi="Arial" w:cs="Arial"/>
                <w:sz w:val="22"/>
                <w:szCs w:val="22"/>
              </w:rPr>
              <w:t>RYD483</w:t>
            </w:r>
          </w:p>
        </w:tc>
        <w:tc>
          <w:tcPr>
            <w:tcW w:w="1560" w:type="dxa"/>
          </w:tcPr>
          <w:p w14:paraId="280C2478" w14:textId="26E6B314" w:rsidR="00BA0B24" w:rsidRPr="007923C2" w:rsidRDefault="002E6C78" w:rsidP="006D7AE6">
            <w:pPr>
              <w:rPr>
                <w:rFonts w:ascii="Arial" w:hAnsi="Arial" w:cs="Arial"/>
                <w:sz w:val="22"/>
                <w:szCs w:val="22"/>
              </w:rPr>
            </w:pPr>
            <w:r>
              <w:rPr>
                <w:rFonts w:ascii="Arial" w:hAnsi="Arial" w:cs="Arial"/>
                <w:sz w:val="22"/>
                <w:szCs w:val="22"/>
              </w:rPr>
              <w:t xml:space="preserve">Evaluación de Ecosistemas </w:t>
            </w:r>
          </w:p>
        </w:tc>
        <w:tc>
          <w:tcPr>
            <w:tcW w:w="1134" w:type="dxa"/>
          </w:tcPr>
          <w:p w14:paraId="74DFD92C" w14:textId="74426666" w:rsidR="00BA0B24" w:rsidRPr="007923C2" w:rsidRDefault="00BA0B24" w:rsidP="002E6C78">
            <w:pPr>
              <w:rPr>
                <w:rFonts w:ascii="Arial" w:hAnsi="Arial" w:cs="Arial"/>
                <w:sz w:val="22"/>
                <w:szCs w:val="22"/>
              </w:rPr>
            </w:pPr>
            <w:r w:rsidRPr="007923C2">
              <w:rPr>
                <w:rFonts w:ascii="Arial" w:hAnsi="Arial" w:cs="Arial"/>
                <w:sz w:val="22"/>
                <w:szCs w:val="22"/>
              </w:rPr>
              <w:t>BOT</w:t>
            </w:r>
            <w:r w:rsidR="006D7AE6">
              <w:rPr>
                <w:rFonts w:ascii="Arial" w:hAnsi="Arial" w:cs="Arial"/>
                <w:sz w:val="22"/>
                <w:szCs w:val="22"/>
              </w:rPr>
              <w:t>455</w:t>
            </w:r>
          </w:p>
        </w:tc>
        <w:tc>
          <w:tcPr>
            <w:tcW w:w="708" w:type="dxa"/>
          </w:tcPr>
          <w:p w14:paraId="4A9B550F"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441B05D4"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195F93ED" w14:textId="77777777" w:rsidTr="00B16E59">
        <w:tc>
          <w:tcPr>
            <w:tcW w:w="3227" w:type="dxa"/>
          </w:tcPr>
          <w:p w14:paraId="3F5D6623" w14:textId="77777777" w:rsidR="00BA0B24" w:rsidRPr="007923C2" w:rsidRDefault="00BA0B24" w:rsidP="00BA0B24">
            <w:pPr>
              <w:rPr>
                <w:rFonts w:ascii="Arial" w:hAnsi="Arial" w:cs="Arial"/>
                <w:sz w:val="22"/>
                <w:szCs w:val="22"/>
              </w:rPr>
            </w:pPr>
            <w:r w:rsidRPr="007923C2">
              <w:rPr>
                <w:rFonts w:ascii="Arial" w:hAnsi="Arial" w:cs="Arial"/>
                <w:sz w:val="22"/>
                <w:szCs w:val="22"/>
              </w:rPr>
              <w:t>Biología de las zonas áridas</w:t>
            </w:r>
          </w:p>
        </w:tc>
        <w:tc>
          <w:tcPr>
            <w:tcW w:w="1304" w:type="dxa"/>
          </w:tcPr>
          <w:p w14:paraId="7D242E45" w14:textId="77777777" w:rsidR="00BA0B24" w:rsidRPr="007923C2" w:rsidRDefault="00BA0B24" w:rsidP="00BA0B24">
            <w:pPr>
              <w:rPr>
                <w:rFonts w:ascii="Arial" w:hAnsi="Arial" w:cs="Arial"/>
                <w:sz w:val="22"/>
                <w:szCs w:val="22"/>
              </w:rPr>
            </w:pPr>
            <w:r w:rsidRPr="007923C2">
              <w:rPr>
                <w:rFonts w:ascii="Arial" w:hAnsi="Arial" w:cs="Arial"/>
                <w:sz w:val="22"/>
                <w:szCs w:val="22"/>
              </w:rPr>
              <w:t>BOT465</w:t>
            </w:r>
          </w:p>
        </w:tc>
        <w:tc>
          <w:tcPr>
            <w:tcW w:w="1560" w:type="dxa"/>
          </w:tcPr>
          <w:p w14:paraId="700FF9EF" w14:textId="77777777"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14:paraId="2FF4432E" w14:textId="77777777" w:rsidR="00BA0B24" w:rsidRPr="007923C2" w:rsidRDefault="00BA0B24" w:rsidP="00BA0B24">
            <w:pPr>
              <w:rPr>
                <w:rFonts w:ascii="Arial" w:hAnsi="Arial" w:cs="Arial"/>
                <w:sz w:val="22"/>
                <w:szCs w:val="22"/>
              </w:rPr>
            </w:pPr>
          </w:p>
        </w:tc>
        <w:tc>
          <w:tcPr>
            <w:tcW w:w="708" w:type="dxa"/>
          </w:tcPr>
          <w:p w14:paraId="48C21134"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581ADB65"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42356D33" w14:textId="77777777" w:rsidTr="00B16E59">
        <w:tc>
          <w:tcPr>
            <w:tcW w:w="3227" w:type="dxa"/>
          </w:tcPr>
          <w:p w14:paraId="02BAA399" w14:textId="77777777" w:rsidR="00BA0B24" w:rsidRPr="007923C2" w:rsidRDefault="002E6C78" w:rsidP="00BA0B24">
            <w:pPr>
              <w:rPr>
                <w:rFonts w:ascii="Arial" w:hAnsi="Arial" w:cs="Arial"/>
                <w:sz w:val="22"/>
                <w:szCs w:val="22"/>
              </w:rPr>
            </w:pPr>
            <w:r>
              <w:rPr>
                <w:rFonts w:ascii="Arial" w:hAnsi="Arial" w:cs="Arial"/>
                <w:sz w:val="22"/>
                <w:szCs w:val="22"/>
              </w:rPr>
              <w:t>Bioagricultura</w:t>
            </w:r>
          </w:p>
        </w:tc>
        <w:tc>
          <w:tcPr>
            <w:tcW w:w="1304" w:type="dxa"/>
          </w:tcPr>
          <w:p w14:paraId="4D22D669" w14:textId="77777777" w:rsidR="00BA0B24" w:rsidRPr="007923C2" w:rsidRDefault="002E6C78" w:rsidP="00BA0B24">
            <w:pPr>
              <w:rPr>
                <w:rFonts w:ascii="Arial" w:hAnsi="Arial" w:cs="Arial"/>
                <w:sz w:val="22"/>
                <w:szCs w:val="22"/>
              </w:rPr>
            </w:pPr>
            <w:r>
              <w:rPr>
                <w:rFonts w:ascii="Arial" w:hAnsi="Arial" w:cs="Arial"/>
                <w:sz w:val="22"/>
                <w:szCs w:val="22"/>
              </w:rPr>
              <w:t>BOT</w:t>
            </w:r>
            <w:r w:rsidR="00B60B1A">
              <w:rPr>
                <w:rFonts w:ascii="Arial" w:hAnsi="Arial" w:cs="Arial"/>
                <w:sz w:val="22"/>
                <w:szCs w:val="22"/>
              </w:rPr>
              <w:t>473</w:t>
            </w:r>
          </w:p>
        </w:tc>
        <w:tc>
          <w:tcPr>
            <w:tcW w:w="1560" w:type="dxa"/>
          </w:tcPr>
          <w:p w14:paraId="4C884BF8" w14:textId="77777777" w:rsidR="00BA0B24" w:rsidRPr="007923C2" w:rsidRDefault="00B60B1A" w:rsidP="00BA0B24">
            <w:pPr>
              <w:rPr>
                <w:rFonts w:ascii="Arial" w:hAnsi="Arial" w:cs="Arial"/>
                <w:sz w:val="22"/>
                <w:szCs w:val="22"/>
              </w:rPr>
            </w:pPr>
            <w:r>
              <w:rPr>
                <w:rFonts w:ascii="Arial" w:hAnsi="Arial" w:cs="Arial"/>
                <w:sz w:val="22"/>
                <w:szCs w:val="22"/>
              </w:rPr>
              <w:t>Manejo agroecológico del suelo</w:t>
            </w:r>
          </w:p>
        </w:tc>
        <w:tc>
          <w:tcPr>
            <w:tcW w:w="1134" w:type="dxa"/>
          </w:tcPr>
          <w:p w14:paraId="23D74110" w14:textId="77777777" w:rsidR="00BA0B24" w:rsidRPr="007923C2" w:rsidRDefault="00B60B1A" w:rsidP="00BA0B24">
            <w:pPr>
              <w:rPr>
                <w:rFonts w:ascii="Arial" w:hAnsi="Arial" w:cs="Arial"/>
                <w:sz w:val="22"/>
                <w:szCs w:val="22"/>
              </w:rPr>
            </w:pPr>
            <w:r>
              <w:rPr>
                <w:rFonts w:ascii="Arial" w:hAnsi="Arial" w:cs="Arial"/>
                <w:sz w:val="22"/>
                <w:szCs w:val="22"/>
              </w:rPr>
              <w:t>SUE486</w:t>
            </w:r>
          </w:p>
        </w:tc>
        <w:tc>
          <w:tcPr>
            <w:tcW w:w="708" w:type="dxa"/>
          </w:tcPr>
          <w:p w14:paraId="13E7BFBB"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3CB33643"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275AEAC9" w14:textId="77777777" w:rsidTr="00B16E59">
        <w:tc>
          <w:tcPr>
            <w:tcW w:w="3227" w:type="dxa"/>
          </w:tcPr>
          <w:p w14:paraId="16AB1499" w14:textId="77777777" w:rsidR="00BA0B24" w:rsidRPr="007923C2" w:rsidRDefault="00BA0B24" w:rsidP="00BA0B24">
            <w:pPr>
              <w:rPr>
                <w:rFonts w:ascii="Arial" w:hAnsi="Arial" w:cs="Arial"/>
                <w:sz w:val="22"/>
                <w:szCs w:val="22"/>
              </w:rPr>
            </w:pPr>
            <w:r w:rsidRPr="007923C2">
              <w:rPr>
                <w:rFonts w:ascii="Arial" w:hAnsi="Arial" w:cs="Arial"/>
                <w:sz w:val="22"/>
                <w:szCs w:val="22"/>
              </w:rPr>
              <w:t>Manejo y Conservación de recursos bióticos</w:t>
            </w:r>
          </w:p>
        </w:tc>
        <w:tc>
          <w:tcPr>
            <w:tcW w:w="1304" w:type="dxa"/>
          </w:tcPr>
          <w:p w14:paraId="3C41E79B" w14:textId="77777777" w:rsidR="00BA0B24" w:rsidRPr="007923C2" w:rsidRDefault="00BA0B24" w:rsidP="00BA0B24">
            <w:pPr>
              <w:rPr>
                <w:rFonts w:ascii="Arial" w:hAnsi="Arial" w:cs="Arial"/>
                <w:sz w:val="22"/>
                <w:szCs w:val="22"/>
              </w:rPr>
            </w:pPr>
            <w:r w:rsidRPr="007923C2">
              <w:rPr>
                <w:rFonts w:ascii="Arial" w:hAnsi="Arial" w:cs="Arial"/>
                <w:sz w:val="22"/>
                <w:szCs w:val="22"/>
              </w:rPr>
              <w:t>BOT475</w:t>
            </w:r>
          </w:p>
        </w:tc>
        <w:tc>
          <w:tcPr>
            <w:tcW w:w="1560" w:type="dxa"/>
          </w:tcPr>
          <w:p w14:paraId="475EFDB9" w14:textId="6C46D55E" w:rsidR="00BA0B24" w:rsidRPr="007923C2" w:rsidRDefault="00BA0B24" w:rsidP="00272529">
            <w:pPr>
              <w:rPr>
                <w:rFonts w:ascii="Arial" w:hAnsi="Arial" w:cs="Arial"/>
                <w:sz w:val="22"/>
                <w:szCs w:val="22"/>
              </w:rPr>
            </w:pPr>
            <w:r w:rsidRPr="007923C2">
              <w:rPr>
                <w:rFonts w:ascii="Arial" w:hAnsi="Arial" w:cs="Arial"/>
                <w:sz w:val="22"/>
                <w:szCs w:val="22"/>
              </w:rPr>
              <w:t>Evaluación de Ecosistemas</w:t>
            </w:r>
            <w:r w:rsidR="00B60B1A">
              <w:rPr>
                <w:rFonts w:ascii="Arial" w:hAnsi="Arial" w:cs="Arial"/>
                <w:sz w:val="22"/>
                <w:szCs w:val="22"/>
              </w:rPr>
              <w:t xml:space="preserve"> </w:t>
            </w:r>
          </w:p>
        </w:tc>
        <w:tc>
          <w:tcPr>
            <w:tcW w:w="1134" w:type="dxa"/>
          </w:tcPr>
          <w:p w14:paraId="223888F0" w14:textId="7474576E" w:rsidR="00BA0B24" w:rsidRPr="007923C2" w:rsidRDefault="00272529" w:rsidP="00BA0B24">
            <w:pPr>
              <w:rPr>
                <w:rFonts w:ascii="Arial" w:hAnsi="Arial" w:cs="Arial"/>
                <w:sz w:val="22"/>
                <w:szCs w:val="22"/>
              </w:rPr>
            </w:pPr>
            <w:r>
              <w:rPr>
                <w:rFonts w:ascii="Arial" w:hAnsi="Arial" w:cs="Arial"/>
                <w:sz w:val="22"/>
                <w:szCs w:val="22"/>
              </w:rPr>
              <w:t>BOT-455</w:t>
            </w:r>
          </w:p>
        </w:tc>
        <w:tc>
          <w:tcPr>
            <w:tcW w:w="708" w:type="dxa"/>
          </w:tcPr>
          <w:p w14:paraId="6DEA13C9"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4805F37D"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66DB69E2" w14:textId="77777777" w:rsidTr="00B16E59">
        <w:tc>
          <w:tcPr>
            <w:tcW w:w="3227" w:type="dxa"/>
          </w:tcPr>
          <w:p w14:paraId="65EDFBD5" w14:textId="77777777" w:rsidR="00BA0B24" w:rsidRPr="007923C2" w:rsidRDefault="00BA0B24" w:rsidP="00BA0B24">
            <w:pPr>
              <w:rPr>
                <w:rFonts w:ascii="Arial" w:hAnsi="Arial" w:cs="Arial"/>
                <w:sz w:val="22"/>
                <w:szCs w:val="22"/>
              </w:rPr>
            </w:pPr>
            <w:r w:rsidRPr="007923C2">
              <w:rPr>
                <w:rFonts w:ascii="Arial" w:hAnsi="Arial" w:cs="Arial"/>
                <w:sz w:val="22"/>
                <w:szCs w:val="22"/>
              </w:rPr>
              <w:t>Ecología de Áreas naturales protegidas</w:t>
            </w:r>
          </w:p>
        </w:tc>
        <w:tc>
          <w:tcPr>
            <w:tcW w:w="1304" w:type="dxa"/>
          </w:tcPr>
          <w:p w14:paraId="75E2F9E9" w14:textId="77777777" w:rsidR="00BA0B24" w:rsidRPr="007923C2" w:rsidRDefault="00BA0B24" w:rsidP="00BA0B24">
            <w:pPr>
              <w:rPr>
                <w:rFonts w:ascii="Arial" w:hAnsi="Arial" w:cs="Arial"/>
                <w:sz w:val="22"/>
                <w:szCs w:val="22"/>
              </w:rPr>
            </w:pPr>
            <w:r w:rsidRPr="007923C2">
              <w:rPr>
                <w:rFonts w:ascii="Arial" w:hAnsi="Arial" w:cs="Arial"/>
                <w:sz w:val="22"/>
                <w:szCs w:val="22"/>
              </w:rPr>
              <w:t>BOT456</w:t>
            </w:r>
          </w:p>
        </w:tc>
        <w:tc>
          <w:tcPr>
            <w:tcW w:w="1560" w:type="dxa"/>
          </w:tcPr>
          <w:p w14:paraId="1F9A5030" w14:textId="77777777" w:rsidR="00BA0B24" w:rsidRPr="007923C2" w:rsidRDefault="00BA0B24" w:rsidP="00BA0B24">
            <w:pPr>
              <w:rPr>
                <w:rFonts w:ascii="Arial" w:hAnsi="Arial" w:cs="Arial"/>
                <w:sz w:val="22"/>
                <w:szCs w:val="22"/>
              </w:rPr>
            </w:pPr>
            <w:r w:rsidRPr="007923C2">
              <w:rPr>
                <w:rFonts w:ascii="Arial" w:hAnsi="Arial" w:cs="Arial"/>
                <w:sz w:val="22"/>
                <w:szCs w:val="22"/>
              </w:rPr>
              <w:t>Evaluación de Ecosistemas</w:t>
            </w:r>
          </w:p>
        </w:tc>
        <w:tc>
          <w:tcPr>
            <w:tcW w:w="1134" w:type="dxa"/>
          </w:tcPr>
          <w:p w14:paraId="7E0314AE" w14:textId="2E4B0089" w:rsidR="00BA0B24" w:rsidRPr="007923C2" w:rsidRDefault="00272529" w:rsidP="00BA0B24">
            <w:pPr>
              <w:rPr>
                <w:rFonts w:ascii="Arial" w:hAnsi="Arial" w:cs="Arial"/>
                <w:sz w:val="22"/>
                <w:szCs w:val="22"/>
              </w:rPr>
            </w:pPr>
            <w:r>
              <w:rPr>
                <w:rFonts w:ascii="Arial" w:hAnsi="Arial" w:cs="Arial"/>
                <w:sz w:val="22"/>
                <w:szCs w:val="22"/>
              </w:rPr>
              <w:t>BOT-455</w:t>
            </w:r>
          </w:p>
        </w:tc>
        <w:tc>
          <w:tcPr>
            <w:tcW w:w="708" w:type="dxa"/>
          </w:tcPr>
          <w:p w14:paraId="573D4FD8"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662CFC64"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55C35948" w14:textId="77777777" w:rsidTr="00B16E59">
        <w:tc>
          <w:tcPr>
            <w:tcW w:w="3227" w:type="dxa"/>
          </w:tcPr>
          <w:p w14:paraId="0A79EFFA" w14:textId="77777777" w:rsidR="00BA0B24" w:rsidRPr="007923C2" w:rsidRDefault="00BA0B24" w:rsidP="00BA0B24">
            <w:pPr>
              <w:rPr>
                <w:rFonts w:ascii="Arial" w:hAnsi="Arial" w:cs="Arial"/>
                <w:sz w:val="22"/>
                <w:szCs w:val="22"/>
              </w:rPr>
            </w:pPr>
            <w:r w:rsidRPr="007923C2">
              <w:rPr>
                <w:rFonts w:ascii="Arial" w:hAnsi="Arial" w:cs="Arial"/>
                <w:sz w:val="22"/>
                <w:szCs w:val="22"/>
              </w:rPr>
              <w:t>Taller de investigación II</w:t>
            </w:r>
          </w:p>
        </w:tc>
        <w:tc>
          <w:tcPr>
            <w:tcW w:w="1304" w:type="dxa"/>
          </w:tcPr>
          <w:p w14:paraId="02F7FA61" w14:textId="77777777" w:rsidR="00BA0B24" w:rsidRPr="007923C2" w:rsidRDefault="00BA0B24" w:rsidP="00BA0B24">
            <w:pPr>
              <w:rPr>
                <w:rFonts w:ascii="Arial" w:hAnsi="Arial" w:cs="Arial"/>
                <w:sz w:val="22"/>
                <w:szCs w:val="22"/>
              </w:rPr>
            </w:pPr>
            <w:r w:rsidRPr="007923C2">
              <w:rPr>
                <w:rFonts w:ascii="Arial" w:hAnsi="Arial" w:cs="Arial"/>
                <w:sz w:val="22"/>
                <w:szCs w:val="22"/>
              </w:rPr>
              <w:t>BOT452</w:t>
            </w:r>
          </w:p>
        </w:tc>
        <w:tc>
          <w:tcPr>
            <w:tcW w:w="1560" w:type="dxa"/>
          </w:tcPr>
          <w:p w14:paraId="7E4D0352" w14:textId="77777777" w:rsidR="00BA0B24" w:rsidRPr="007923C2" w:rsidRDefault="00BA0B24" w:rsidP="00BA0B24">
            <w:pPr>
              <w:rPr>
                <w:rFonts w:ascii="Arial" w:hAnsi="Arial" w:cs="Arial"/>
                <w:sz w:val="22"/>
                <w:szCs w:val="22"/>
              </w:rPr>
            </w:pPr>
            <w:r w:rsidRPr="007923C2">
              <w:rPr>
                <w:rFonts w:ascii="Arial" w:hAnsi="Arial" w:cs="Arial"/>
                <w:sz w:val="22"/>
                <w:szCs w:val="22"/>
              </w:rPr>
              <w:t>Taller de investigación I</w:t>
            </w:r>
          </w:p>
        </w:tc>
        <w:tc>
          <w:tcPr>
            <w:tcW w:w="1134" w:type="dxa"/>
          </w:tcPr>
          <w:p w14:paraId="6B8567CF" w14:textId="77777777" w:rsidR="00BA0B24" w:rsidRPr="007923C2" w:rsidRDefault="00BA0B24" w:rsidP="00BA0B24">
            <w:pPr>
              <w:rPr>
                <w:rFonts w:ascii="Arial" w:hAnsi="Arial" w:cs="Arial"/>
                <w:sz w:val="22"/>
                <w:szCs w:val="22"/>
              </w:rPr>
            </w:pPr>
            <w:r w:rsidRPr="007923C2">
              <w:rPr>
                <w:rFonts w:ascii="Arial" w:hAnsi="Arial" w:cs="Arial"/>
                <w:sz w:val="22"/>
                <w:szCs w:val="22"/>
              </w:rPr>
              <w:t>BOT449</w:t>
            </w:r>
          </w:p>
        </w:tc>
        <w:tc>
          <w:tcPr>
            <w:tcW w:w="708" w:type="dxa"/>
          </w:tcPr>
          <w:p w14:paraId="77EC6D40" w14:textId="77777777" w:rsidR="00BA0B24" w:rsidRPr="007923C2" w:rsidRDefault="00BA0B24" w:rsidP="00BA0B24">
            <w:pPr>
              <w:rPr>
                <w:rFonts w:ascii="Arial" w:hAnsi="Arial" w:cs="Arial"/>
                <w:sz w:val="22"/>
                <w:szCs w:val="22"/>
              </w:rPr>
            </w:pPr>
            <w:r w:rsidRPr="007923C2">
              <w:rPr>
                <w:rFonts w:ascii="Arial" w:hAnsi="Arial" w:cs="Arial"/>
                <w:sz w:val="22"/>
                <w:szCs w:val="22"/>
              </w:rPr>
              <w:t>0-3</w:t>
            </w:r>
          </w:p>
        </w:tc>
        <w:tc>
          <w:tcPr>
            <w:tcW w:w="1134" w:type="dxa"/>
          </w:tcPr>
          <w:p w14:paraId="44283699" w14:textId="77777777" w:rsidR="00BA0B24" w:rsidRPr="007923C2" w:rsidRDefault="00BA0B24" w:rsidP="00BA0B24">
            <w:pPr>
              <w:rPr>
                <w:rFonts w:ascii="Arial" w:hAnsi="Arial" w:cs="Arial"/>
                <w:sz w:val="22"/>
                <w:szCs w:val="22"/>
              </w:rPr>
            </w:pPr>
            <w:r w:rsidRPr="007923C2">
              <w:rPr>
                <w:rFonts w:ascii="Arial" w:hAnsi="Arial" w:cs="Arial"/>
                <w:sz w:val="22"/>
                <w:szCs w:val="22"/>
              </w:rPr>
              <w:t>3</w:t>
            </w:r>
          </w:p>
        </w:tc>
      </w:tr>
      <w:tr w:rsidR="00BA0B24" w:rsidRPr="007923C2" w14:paraId="37F10621" w14:textId="77777777" w:rsidTr="00B16E59">
        <w:tc>
          <w:tcPr>
            <w:tcW w:w="3227" w:type="dxa"/>
          </w:tcPr>
          <w:p w14:paraId="424506DB" w14:textId="77777777" w:rsidR="00BA0B24" w:rsidRPr="007923C2" w:rsidRDefault="00B60B1A" w:rsidP="00BA0B24">
            <w:pPr>
              <w:rPr>
                <w:rFonts w:ascii="Arial" w:hAnsi="Arial" w:cs="Arial"/>
                <w:sz w:val="22"/>
                <w:szCs w:val="22"/>
              </w:rPr>
            </w:pPr>
            <w:r>
              <w:rPr>
                <w:rFonts w:ascii="Arial" w:hAnsi="Arial" w:cs="Arial"/>
                <w:sz w:val="22"/>
                <w:szCs w:val="22"/>
              </w:rPr>
              <w:t>Agricultura sustentable e inocuidad</w:t>
            </w:r>
          </w:p>
        </w:tc>
        <w:tc>
          <w:tcPr>
            <w:tcW w:w="1304" w:type="dxa"/>
          </w:tcPr>
          <w:p w14:paraId="6D24E861" w14:textId="77777777" w:rsidR="00BA0B24" w:rsidRPr="007923C2" w:rsidRDefault="00B60B1A" w:rsidP="00BA0B24">
            <w:pPr>
              <w:rPr>
                <w:rFonts w:ascii="Arial" w:hAnsi="Arial" w:cs="Arial"/>
                <w:sz w:val="22"/>
                <w:szCs w:val="22"/>
              </w:rPr>
            </w:pPr>
            <w:r>
              <w:rPr>
                <w:rFonts w:ascii="Arial" w:hAnsi="Arial" w:cs="Arial"/>
                <w:sz w:val="22"/>
                <w:szCs w:val="22"/>
              </w:rPr>
              <w:t>FIT471</w:t>
            </w:r>
          </w:p>
        </w:tc>
        <w:tc>
          <w:tcPr>
            <w:tcW w:w="1560" w:type="dxa"/>
          </w:tcPr>
          <w:p w14:paraId="3BF3D5DD" w14:textId="77777777" w:rsidR="00BA0B24" w:rsidRPr="007923C2" w:rsidRDefault="00BA0B24" w:rsidP="00BA0B24">
            <w:pPr>
              <w:rPr>
                <w:rFonts w:ascii="Arial" w:hAnsi="Arial" w:cs="Arial"/>
                <w:sz w:val="22"/>
                <w:szCs w:val="22"/>
              </w:rPr>
            </w:pPr>
            <w:r w:rsidRPr="007923C2">
              <w:rPr>
                <w:rFonts w:ascii="Arial" w:hAnsi="Arial" w:cs="Arial"/>
                <w:sz w:val="22"/>
                <w:szCs w:val="22"/>
              </w:rPr>
              <w:t>Agroecología</w:t>
            </w:r>
          </w:p>
        </w:tc>
        <w:tc>
          <w:tcPr>
            <w:tcW w:w="1134" w:type="dxa"/>
          </w:tcPr>
          <w:p w14:paraId="1460463F" w14:textId="77777777" w:rsidR="00BA0B24" w:rsidRPr="007923C2" w:rsidRDefault="00BA0B24" w:rsidP="00BA0B24">
            <w:pPr>
              <w:rPr>
                <w:rFonts w:ascii="Arial" w:hAnsi="Arial" w:cs="Arial"/>
                <w:sz w:val="22"/>
                <w:szCs w:val="22"/>
              </w:rPr>
            </w:pPr>
            <w:r w:rsidRPr="007923C2">
              <w:rPr>
                <w:rFonts w:ascii="Arial" w:hAnsi="Arial" w:cs="Arial"/>
                <w:sz w:val="22"/>
                <w:szCs w:val="22"/>
              </w:rPr>
              <w:t>BOT457</w:t>
            </w:r>
          </w:p>
        </w:tc>
        <w:tc>
          <w:tcPr>
            <w:tcW w:w="708" w:type="dxa"/>
          </w:tcPr>
          <w:p w14:paraId="4C7392E3" w14:textId="77777777"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14:paraId="08D6EA8E" w14:textId="77777777"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14:paraId="6481EB9D" w14:textId="77777777" w:rsidTr="00B16E59">
        <w:tc>
          <w:tcPr>
            <w:tcW w:w="3227" w:type="dxa"/>
          </w:tcPr>
          <w:p w14:paraId="3484F0D6" w14:textId="77777777" w:rsidR="00BA0B24" w:rsidRPr="007923C2" w:rsidRDefault="00BA0B24" w:rsidP="00BA0B24">
            <w:pPr>
              <w:rPr>
                <w:rFonts w:ascii="Arial" w:hAnsi="Arial" w:cs="Arial"/>
                <w:sz w:val="22"/>
                <w:szCs w:val="22"/>
              </w:rPr>
            </w:pPr>
            <w:r w:rsidRPr="007923C2">
              <w:rPr>
                <w:rFonts w:ascii="Arial" w:hAnsi="Arial" w:cs="Arial"/>
                <w:sz w:val="22"/>
                <w:szCs w:val="22"/>
              </w:rPr>
              <w:t>Optativa 1</w:t>
            </w:r>
          </w:p>
        </w:tc>
        <w:tc>
          <w:tcPr>
            <w:tcW w:w="1304" w:type="dxa"/>
          </w:tcPr>
          <w:p w14:paraId="6B181B34" w14:textId="77777777" w:rsidR="00BA0B24" w:rsidRPr="007923C2" w:rsidRDefault="00BA0B24" w:rsidP="00BA0B24">
            <w:pPr>
              <w:rPr>
                <w:rFonts w:ascii="Arial" w:hAnsi="Arial" w:cs="Arial"/>
                <w:sz w:val="22"/>
                <w:szCs w:val="22"/>
              </w:rPr>
            </w:pPr>
          </w:p>
        </w:tc>
        <w:tc>
          <w:tcPr>
            <w:tcW w:w="1560" w:type="dxa"/>
          </w:tcPr>
          <w:p w14:paraId="16D89573" w14:textId="77777777" w:rsidR="00BA0B24" w:rsidRPr="007923C2" w:rsidRDefault="00BA0B24" w:rsidP="00BA0B24">
            <w:pPr>
              <w:rPr>
                <w:rFonts w:ascii="Arial" w:hAnsi="Arial" w:cs="Arial"/>
                <w:sz w:val="22"/>
                <w:szCs w:val="22"/>
              </w:rPr>
            </w:pPr>
          </w:p>
        </w:tc>
        <w:tc>
          <w:tcPr>
            <w:tcW w:w="1134" w:type="dxa"/>
          </w:tcPr>
          <w:p w14:paraId="0DEA247D" w14:textId="77777777" w:rsidR="00BA0B24" w:rsidRPr="007923C2" w:rsidRDefault="00BA0B24" w:rsidP="00BA0B24">
            <w:pPr>
              <w:rPr>
                <w:rFonts w:ascii="Arial" w:hAnsi="Arial" w:cs="Arial"/>
                <w:sz w:val="22"/>
                <w:szCs w:val="22"/>
              </w:rPr>
            </w:pPr>
          </w:p>
        </w:tc>
        <w:tc>
          <w:tcPr>
            <w:tcW w:w="708" w:type="dxa"/>
          </w:tcPr>
          <w:p w14:paraId="6A867C5D" w14:textId="77777777" w:rsidR="00BA0B24" w:rsidRPr="007923C2" w:rsidRDefault="00BA0B24" w:rsidP="00BA0B24">
            <w:pPr>
              <w:rPr>
                <w:rFonts w:ascii="Arial" w:hAnsi="Arial" w:cs="Arial"/>
                <w:sz w:val="22"/>
                <w:szCs w:val="22"/>
              </w:rPr>
            </w:pPr>
          </w:p>
        </w:tc>
        <w:tc>
          <w:tcPr>
            <w:tcW w:w="1134" w:type="dxa"/>
          </w:tcPr>
          <w:p w14:paraId="445DFB63" w14:textId="77777777" w:rsidR="00BA0B24" w:rsidRPr="007923C2" w:rsidRDefault="00BA0B24" w:rsidP="00BA0B24">
            <w:pPr>
              <w:rPr>
                <w:rFonts w:ascii="Arial" w:hAnsi="Arial" w:cs="Arial"/>
                <w:sz w:val="22"/>
                <w:szCs w:val="22"/>
              </w:rPr>
            </w:pPr>
          </w:p>
        </w:tc>
      </w:tr>
      <w:tr w:rsidR="00BA0B24" w:rsidRPr="007923C2" w14:paraId="34D46807" w14:textId="77777777" w:rsidTr="00B16E59">
        <w:tc>
          <w:tcPr>
            <w:tcW w:w="3227" w:type="dxa"/>
          </w:tcPr>
          <w:p w14:paraId="6738E064" w14:textId="77777777" w:rsidR="00BA0B24" w:rsidRPr="007923C2" w:rsidRDefault="00BA0B24" w:rsidP="00BA0B24">
            <w:pPr>
              <w:rPr>
                <w:rFonts w:ascii="Arial" w:hAnsi="Arial" w:cs="Arial"/>
                <w:sz w:val="22"/>
                <w:szCs w:val="22"/>
              </w:rPr>
            </w:pPr>
            <w:r w:rsidRPr="007923C2">
              <w:rPr>
                <w:rFonts w:ascii="Arial" w:hAnsi="Arial" w:cs="Arial"/>
                <w:sz w:val="22"/>
                <w:szCs w:val="22"/>
              </w:rPr>
              <w:t>Optativa 2</w:t>
            </w:r>
          </w:p>
        </w:tc>
        <w:tc>
          <w:tcPr>
            <w:tcW w:w="1304" w:type="dxa"/>
          </w:tcPr>
          <w:p w14:paraId="0C054DEC" w14:textId="77777777" w:rsidR="00BA0B24" w:rsidRPr="007923C2" w:rsidRDefault="00BA0B24" w:rsidP="00BA0B24">
            <w:pPr>
              <w:rPr>
                <w:rFonts w:ascii="Arial" w:hAnsi="Arial" w:cs="Arial"/>
                <w:sz w:val="22"/>
                <w:szCs w:val="22"/>
              </w:rPr>
            </w:pPr>
          </w:p>
        </w:tc>
        <w:tc>
          <w:tcPr>
            <w:tcW w:w="1560" w:type="dxa"/>
          </w:tcPr>
          <w:p w14:paraId="428B184C" w14:textId="77777777" w:rsidR="00BA0B24" w:rsidRPr="007923C2" w:rsidRDefault="00BA0B24" w:rsidP="00BA0B24">
            <w:pPr>
              <w:rPr>
                <w:rFonts w:ascii="Arial" w:hAnsi="Arial" w:cs="Arial"/>
                <w:sz w:val="22"/>
                <w:szCs w:val="22"/>
              </w:rPr>
            </w:pPr>
          </w:p>
        </w:tc>
        <w:tc>
          <w:tcPr>
            <w:tcW w:w="1134" w:type="dxa"/>
          </w:tcPr>
          <w:p w14:paraId="6D2FF2F9" w14:textId="77777777" w:rsidR="00BA0B24" w:rsidRPr="007923C2" w:rsidRDefault="00BA0B24" w:rsidP="00BA0B24">
            <w:pPr>
              <w:rPr>
                <w:rFonts w:ascii="Arial" w:hAnsi="Arial" w:cs="Arial"/>
                <w:sz w:val="22"/>
                <w:szCs w:val="22"/>
              </w:rPr>
            </w:pPr>
          </w:p>
        </w:tc>
        <w:tc>
          <w:tcPr>
            <w:tcW w:w="708" w:type="dxa"/>
          </w:tcPr>
          <w:p w14:paraId="638932B7" w14:textId="77777777" w:rsidR="00BA0B24" w:rsidRPr="007923C2" w:rsidRDefault="00BA0B24" w:rsidP="00BA0B24">
            <w:pPr>
              <w:rPr>
                <w:rFonts w:ascii="Arial" w:hAnsi="Arial" w:cs="Arial"/>
                <w:sz w:val="22"/>
                <w:szCs w:val="22"/>
              </w:rPr>
            </w:pPr>
          </w:p>
        </w:tc>
        <w:tc>
          <w:tcPr>
            <w:tcW w:w="1134" w:type="dxa"/>
          </w:tcPr>
          <w:p w14:paraId="216B84DA" w14:textId="77777777" w:rsidR="00BA0B24" w:rsidRPr="007923C2" w:rsidRDefault="00BA0B24" w:rsidP="00BA0B24">
            <w:pPr>
              <w:rPr>
                <w:rFonts w:ascii="Arial" w:hAnsi="Arial" w:cs="Arial"/>
                <w:sz w:val="22"/>
                <w:szCs w:val="22"/>
              </w:rPr>
            </w:pPr>
          </w:p>
        </w:tc>
      </w:tr>
      <w:tr w:rsidR="00BA0B24" w:rsidRPr="007923C2" w14:paraId="27518C9A" w14:textId="77777777" w:rsidTr="00B16E59">
        <w:tc>
          <w:tcPr>
            <w:tcW w:w="3227" w:type="dxa"/>
          </w:tcPr>
          <w:p w14:paraId="53A79D4C" w14:textId="77777777" w:rsidR="00BA0B24" w:rsidRPr="007923C2" w:rsidRDefault="00BA0B24" w:rsidP="00BA0B24">
            <w:pPr>
              <w:rPr>
                <w:rFonts w:ascii="Arial" w:hAnsi="Arial" w:cs="Arial"/>
                <w:sz w:val="22"/>
                <w:szCs w:val="22"/>
              </w:rPr>
            </w:pPr>
            <w:r w:rsidRPr="007923C2">
              <w:rPr>
                <w:rFonts w:ascii="Arial" w:hAnsi="Arial" w:cs="Arial"/>
                <w:sz w:val="22"/>
                <w:szCs w:val="22"/>
              </w:rPr>
              <w:t>Optativa 3</w:t>
            </w:r>
          </w:p>
        </w:tc>
        <w:tc>
          <w:tcPr>
            <w:tcW w:w="1304" w:type="dxa"/>
          </w:tcPr>
          <w:p w14:paraId="604A54C2" w14:textId="77777777" w:rsidR="00BA0B24" w:rsidRPr="007923C2" w:rsidRDefault="00BA0B24" w:rsidP="00BA0B24">
            <w:pPr>
              <w:rPr>
                <w:rFonts w:ascii="Arial" w:hAnsi="Arial" w:cs="Arial"/>
                <w:sz w:val="22"/>
                <w:szCs w:val="22"/>
              </w:rPr>
            </w:pPr>
          </w:p>
        </w:tc>
        <w:tc>
          <w:tcPr>
            <w:tcW w:w="1560" w:type="dxa"/>
          </w:tcPr>
          <w:p w14:paraId="1EA282C0" w14:textId="77777777" w:rsidR="00BA0B24" w:rsidRPr="007923C2" w:rsidRDefault="00BA0B24" w:rsidP="00BA0B24">
            <w:pPr>
              <w:rPr>
                <w:rFonts w:ascii="Arial" w:hAnsi="Arial" w:cs="Arial"/>
                <w:sz w:val="22"/>
                <w:szCs w:val="22"/>
              </w:rPr>
            </w:pPr>
          </w:p>
        </w:tc>
        <w:tc>
          <w:tcPr>
            <w:tcW w:w="1134" w:type="dxa"/>
          </w:tcPr>
          <w:p w14:paraId="5B7EC548" w14:textId="77777777" w:rsidR="00BA0B24" w:rsidRPr="007923C2" w:rsidRDefault="00BA0B24" w:rsidP="00BA0B24">
            <w:pPr>
              <w:rPr>
                <w:rFonts w:ascii="Arial" w:hAnsi="Arial" w:cs="Arial"/>
                <w:sz w:val="22"/>
                <w:szCs w:val="22"/>
              </w:rPr>
            </w:pPr>
          </w:p>
        </w:tc>
        <w:tc>
          <w:tcPr>
            <w:tcW w:w="708" w:type="dxa"/>
          </w:tcPr>
          <w:p w14:paraId="29634A94" w14:textId="77777777" w:rsidR="00BA0B24" w:rsidRPr="007923C2" w:rsidRDefault="00BA0B24" w:rsidP="00BA0B24">
            <w:pPr>
              <w:rPr>
                <w:rFonts w:ascii="Arial" w:hAnsi="Arial" w:cs="Arial"/>
                <w:sz w:val="22"/>
                <w:szCs w:val="22"/>
              </w:rPr>
            </w:pPr>
          </w:p>
        </w:tc>
        <w:tc>
          <w:tcPr>
            <w:tcW w:w="1134" w:type="dxa"/>
          </w:tcPr>
          <w:p w14:paraId="6130C710" w14:textId="77777777" w:rsidR="00BA0B24" w:rsidRPr="007923C2" w:rsidRDefault="00BA0B24" w:rsidP="00BA0B24">
            <w:pPr>
              <w:rPr>
                <w:rFonts w:ascii="Arial" w:hAnsi="Arial" w:cs="Arial"/>
                <w:sz w:val="22"/>
                <w:szCs w:val="22"/>
              </w:rPr>
            </w:pPr>
          </w:p>
        </w:tc>
      </w:tr>
      <w:tr w:rsidR="00BA0B24" w:rsidRPr="007923C2" w14:paraId="76227D79" w14:textId="77777777" w:rsidTr="00B16E59">
        <w:tc>
          <w:tcPr>
            <w:tcW w:w="3227" w:type="dxa"/>
          </w:tcPr>
          <w:p w14:paraId="7E8BB6F9" w14:textId="77777777" w:rsidR="00BA0B24" w:rsidRPr="007923C2" w:rsidRDefault="00BA0B24" w:rsidP="00BA0B24">
            <w:pPr>
              <w:rPr>
                <w:rFonts w:ascii="Arial" w:hAnsi="Arial" w:cs="Arial"/>
                <w:sz w:val="22"/>
                <w:szCs w:val="22"/>
              </w:rPr>
            </w:pPr>
            <w:r w:rsidRPr="007923C2">
              <w:rPr>
                <w:rFonts w:ascii="Arial" w:hAnsi="Arial" w:cs="Arial"/>
                <w:sz w:val="22"/>
                <w:szCs w:val="22"/>
              </w:rPr>
              <w:t>Optativa 4</w:t>
            </w:r>
          </w:p>
        </w:tc>
        <w:tc>
          <w:tcPr>
            <w:tcW w:w="1304" w:type="dxa"/>
          </w:tcPr>
          <w:p w14:paraId="50F77627" w14:textId="77777777" w:rsidR="00BA0B24" w:rsidRPr="007923C2" w:rsidRDefault="00BA0B24" w:rsidP="00BA0B24">
            <w:pPr>
              <w:rPr>
                <w:rFonts w:ascii="Arial" w:hAnsi="Arial" w:cs="Arial"/>
                <w:sz w:val="22"/>
                <w:szCs w:val="22"/>
              </w:rPr>
            </w:pPr>
          </w:p>
        </w:tc>
        <w:tc>
          <w:tcPr>
            <w:tcW w:w="1560" w:type="dxa"/>
          </w:tcPr>
          <w:p w14:paraId="407C8E36" w14:textId="77777777" w:rsidR="00BA0B24" w:rsidRPr="007923C2" w:rsidRDefault="00BA0B24" w:rsidP="00BA0B24">
            <w:pPr>
              <w:rPr>
                <w:rFonts w:ascii="Arial" w:hAnsi="Arial" w:cs="Arial"/>
                <w:sz w:val="22"/>
                <w:szCs w:val="22"/>
              </w:rPr>
            </w:pPr>
          </w:p>
        </w:tc>
        <w:tc>
          <w:tcPr>
            <w:tcW w:w="1134" w:type="dxa"/>
          </w:tcPr>
          <w:p w14:paraId="05687182" w14:textId="77777777" w:rsidR="00BA0B24" w:rsidRPr="007923C2" w:rsidRDefault="00BA0B24" w:rsidP="00BA0B24">
            <w:pPr>
              <w:rPr>
                <w:rFonts w:ascii="Arial" w:hAnsi="Arial" w:cs="Arial"/>
                <w:sz w:val="22"/>
                <w:szCs w:val="22"/>
              </w:rPr>
            </w:pPr>
          </w:p>
        </w:tc>
        <w:tc>
          <w:tcPr>
            <w:tcW w:w="708" w:type="dxa"/>
          </w:tcPr>
          <w:p w14:paraId="12D72B12" w14:textId="77777777" w:rsidR="00BA0B24" w:rsidRPr="007923C2" w:rsidRDefault="00BA0B24" w:rsidP="00BA0B24">
            <w:pPr>
              <w:rPr>
                <w:rFonts w:ascii="Arial" w:hAnsi="Arial" w:cs="Arial"/>
                <w:sz w:val="22"/>
                <w:szCs w:val="22"/>
              </w:rPr>
            </w:pPr>
          </w:p>
        </w:tc>
        <w:tc>
          <w:tcPr>
            <w:tcW w:w="1134" w:type="dxa"/>
          </w:tcPr>
          <w:p w14:paraId="639C16C5" w14:textId="77777777" w:rsidR="00BA0B24" w:rsidRPr="007923C2" w:rsidRDefault="00BA0B24" w:rsidP="00BA0B24">
            <w:pPr>
              <w:rPr>
                <w:rFonts w:ascii="Arial" w:hAnsi="Arial" w:cs="Arial"/>
                <w:sz w:val="22"/>
                <w:szCs w:val="22"/>
              </w:rPr>
            </w:pPr>
          </w:p>
        </w:tc>
      </w:tr>
      <w:tr w:rsidR="00BA0B24" w:rsidRPr="007923C2" w14:paraId="10968FEB" w14:textId="77777777" w:rsidTr="00B16E59">
        <w:tc>
          <w:tcPr>
            <w:tcW w:w="3227" w:type="dxa"/>
          </w:tcPr>
          <w:p w14:paraId="2434791B" w14:textId="77777777" w:rsidR="00BA0B24" w:rsidRPr="007923C2" w:rsidRDefault="00BA0B24" w:rsidP="00BA0B24">
            <w:pPr>
              <w:rPr>
                <w:rFonts w:ascii="Arial" w:hAnsi="Arial" w:cs="Arial"/>
                <w:sz w:val="22"/>
                <w:szCs w:val="22"/>
              </w:rPr>
            </w:pPr>
            <w:r w:rsidRPr="007923C2">
              <w:rPr>
                <w:rFonts w:ascii="Arial" w:hAnsi="Arial" w:cs="Arial"/>
                <w:sz w:val="22"/>
                <w:szCs w:val="22"/>
              </w:rPr>
              <w:t>Optativa 5</w:t>
            </w:r>
          </w:p>
        </w:tc>
        <w:tc>
          <w:tcPr>
            <w:tcW w:w="1304" w:type="dxa"/>
          </w:tcPr>
          <w:p w14:paraId="0C16B4E3" w14:textId="77777777" w:rsidR="00BA0B24" w:rsidRPr="007923C2" w:rsidRDefault="00BA0B24" w:rsidP="00BA0B24">
            <w:pPr>
              <w:rPr>
                <w:rFonts w:ascii="Arial" w:hAnsi="Arial" w:cs="Arial"/>
                <w:sz w:val="22"/>
                <w:szCs w:val="22"/>
              </w:rPr>
            </w:pPr>
          </w:p>
        </w:tc>
        <w:tc>
          <w:tcPr>
            <w:tcW w:w="1560" w:type="dxa"/>
          </w:tcPr>
          <w:p w14:paraId="5E262528" w14:textId="77777777" w:rsidR="00BA0B24" w:rsidRPr="007923C2" w:rsidRDefault="00BA0B24" w:rsidP="00BA0B24">
            <w:pPr>
              <w:rPr>
                <w:rFonts w:ascii="Arial" w:hAnsi="Arial" w:cs="Arial"/>
                <w:sz w:val="22"/>
                <w:szCs w:val="22"/>
              </w:rPr>
            </w:pPr>
          </w:p>
        </w:tc>
        <w:tc>
          <w:tcPr>
            <w:tcW w:w="1134" w:type="dxa"/>
          </w:tcPr>
          <w:p w14:paraId="786C4E50" w14:textId="77777777" w:rsidR="00BA0B24" w:rsidRPr="007923C2" w:rsidRDefault="00BA0B24" w:rsidP="00BA0B24">
            <w:pPr>
              <w:rPr>
                <w:rFonts w:ascii="Arial" w:hAnsi="Arial" w:cs="Arial"/>
                <w:sz w:val="22"/>
                <w:szCs w:val="22"/>
              </w:rPr>
            </w:pPr>
          </w:p>
        </w:tc>
        <w:tc>
          <w:tcPr>
            <w:tcW w:w="708" w:type="dxa"/>
          </w:tcPr>
          <w:p w14:paraId="6E054AA5" w14:textId="77777777" w:rsidR="00BA0B24" w:rsidRPr="007923C2" w:rsidRDefault="00BA0B24" w:rsidP="00BA0B24">
            <w:pPr>
              <w:rPr>
                <w:rFonts w:ascii="Arial" w:hAnsi="Arial" w:cs="Arial"/>
                <w:sz w:val="22"/>
                <w:szCs w:val="22"/>
              </w:rPr>
            </w:pPr>
          </w:p>
        </w:tc>
        <w:tc>
          <w:tcPr>
            <w:tcW w:w="1134" w:type="dxa"/>
          </w:tcPr>
          <w:p w14:paraId="5C0D983F" w14:textId="77777777" w:rsidR="00BA0B24" w:rsidRPr="007923C2" w:rsidRDefault="00BA0B24" w:rsidP="00BA0B24">
            <w:pPr>
              <w:rPr>
                <w:rFonts w:ascii="Arial" w:hAnsi="Arial" w:cs="Arial"/>
                <w:sz w:val="22"/>
                <w:szCs w:val="22"/>
              </w:rPr>
            </w:pPr>
          </w:p>
        </w:tc>
      </w:tr>
      <w:tr w:rsidR="00BA0B24" w:rsidRPr="007923C2" w14:paraId="629DA076" w14:textId="77777777" w:rsidTr="00B16E59">
        <w:tc>
          <w:tcPr>
            <w:tcW w:w="3227" w:type="dxa"/>
          </w:tcPr>
          <w:p w14:paraId="7B1BD47A" w14:textId="77777777" w:rsidR="00BA0B24" w:rsidRPr="007923C2" w:rsidRDefault="00BA0B24" w:rsidP="00BA0B24">
            <w:pPr>
              <w:rPr>
                <w:rFonts w:ascii="Arial" w:hAnsi="Arial" w:cs="Arial"/>
                <w:sz w:val="22"/>
                <w:szCs w:val="22"/>
              </w:rPr>
            </w:pPr>
            <w:r w:rsidRPr="007923C2">
              <w:rPr>
                <w:rFonts w:ascii="Arial" w:hAnsi="Arial" w:cs="Arial"/>
                <w:sz w:val="22"/>
                <w:szCs w:val="22"/>
              </w:rPr>
              <w:t>Optativa 6</w:t>
            </w:r>
          </w:p>
        </w:tc>
        <w:tc>
          <w:tcPr>
            <w:tcW w:w="1304" w:type="dxa"/>
          </w:tcPr>
          <w:p w14:paraId="75B34FAB" w14:textId="77777777" w:rsidR="00BA0B24" w:rsidRPr="007923C2" w:rsidRDefault="00BA0B24" w:rsidP="00BA0B24">
            <w:pPr>
              <w:rPr>
                <w:rFonts w:ascii="Arial" w:hAnsi="Arial" w:cs="Arial"/>
                <w:sz w:val="22"/>
                <w:szCs w:val="22"/>
              </w:rPr>
            </w:pPr>
          </w:p>
        </w:tc>
        <w:tc>
          <w:tcPr>
            <w:tcW w:w="1560" w:type="dxa"/>
          </w:tcPr>
          <w:p w14:paraId="7B043CFE" w14:textId="77777777" w:rsidR="00BA0B24" w:rsidRPr="007923C2" w:rsidRDefault="00BA0B24" w:rsidP="00BA0B24">
            <w:pPr>
              <w:rPr>
                <w:rFonts w:ascii="Arial" w:hAnsi="Arial" w:cs="Arial"/>
                <w:sz w:val="22"/>
                <w:szCs w:val="22"/>
              </w:rPr>
            </w:pPr>
          </w:p>
        </w:tc>
        <w:tc>
          <w:tcPr>
            <w:tcW w:w="1134" w:type="dxa"/>
          </w:tcPr>
          <w:p w14:paraId="6CA4CF70" w14:textId="77777777" w:rsidR="00BA0B24" w:rsidRPr="007923C2" w:rsidRDefault="00BA0B24" w:rsidP="00BA0B24">
            <w:pPr>
              <w:rPr>
                <w:rFonts w:ascii="Arial" w:hAnsi="Arial" w:cs="Arial"/>
                <w:sz w:val="22"/>
                <w:szCs w:val="22"/>
              </w:rPr>
            </w:pPr>
          </w:p>
        </w:tc>
        <w:tc>
          <w:tcPr>
            <w:tcW w:w="708" w:type="dxa"/>
          </w:tcPr>
          <w:p w14:paraId="09B6DC93" w14:textId="77777777" w:rsidR="00BA0B24" w:rsidRPr="007923C2" w:rsidRDefault="00BA0B24" w:rsidP="00BA0B24">
            <w:pPr>
              <w:rPr>
                <w:rFonts w:ascii="Arial" w:hAnsi="Arial" w:cs="Arial"/>
                <w:sz w:val="22"/>
                <w:szCs w:val="22"/>
              </w:rPr>
            </w:pPr>
          </w:p>
        </w:tc>
        <w:tc>
          <w:tcPr>
            <w:tcW w:w="1134" w:type="dxa"/>
          </w:tcPr>
          <w:p w14:paraId="4738A1A2" w14:textId="77777777" w:rsidR="00BA0B24" w:rsidRPr="007923C2" w:rsidRDefault="00BA0B24" w:rsidP="00BA0B24">
            <w:pPr>
              <w:rPr>
                <w:rFonts w:ascii="Arial" w:hAnsi="Arial" w:cs="Arial"/>
                <w:sz w:val="22"/>
                <w:szCs w:val="22"/>
              </w:rPr>
            </w:pPr>
          </w:p>
        </w:tc>
      </w:tr>
      <w:tr w:rsidR="00BA0B24" w:rsidRPr="007923C2" w14:paraId="1F4BBA3B" w14:textId="77777777" w:rsidTr="00B16E59">
        <w:tc>
          <w:tcPr>
            <w:tcW w:w="3227" w:type="dxa"/>
          </w:tcPr>
          <w:p w14:paraId="5421BC30" w14:textId="77777777" w:rsidR="00BA0B24" w:rsidRPr="007923C2" w:rsidRDefault="00BA0B24" w:rsidP="00BA0B24">
            <w:pPr>
              <w:rPr>
                <w:rFonts w:ascii="Arial" w:hAnsi="Arial" w:cs="Arial"/>
                <w:sz w:val="22"/>
                <w:szCs w:val="22"/>
              </w:rPr>
            </w:pPr>
            <w:r w:rsidRPr="007923C2">
              <w:rPr>
                <w:rFonts w:ascii="Arial" w:hAnsi="Arial" w:cs="Arial"/>
                <w:sz w:val="22"/>
                <w:szCs w:val="22"/>
              </w:rPr>
              <w:t>Optativa 7</w:t>
            </w:r>
          </w:p>
        </w:tc>
        <w:tc>
          <w:tcPr>
            <w:tcW w:w="1304" w:type="dxa"/>
          </w:tcPr>
          <w:p w14:paraId="2D3D57CD" w14:textId="77777777" w:rsidR="00BA0B24" w:rsidRPr="007923C2" w:rsidRDefault="00BA0B24" w:rsidP="00BA0B24">
            <w:pPr>
              <w:rPr>
                <w:rFonts w:ascii="Arial" w:hAnsi="Arial" w:cs="Arial"/>
                <w:sz w:val="22"/>
                <w:szCs w:val="22"/>
              </w:rPr>
            </w:pPr>
          </w:p>
        </w:tc>
        <w:tc>
          <w:tcPr>
            <w:tcW w:w="1560" w:type="dxa"/>
          </w:tcPr>
          <w:p w14:paraId="255E2F90" w14:textId="77777777" w:rsidR="00BA0B24" w:rsidRPr="007923C2" w:rsidRDefault="00BA0B24" w:rsidP="00BA0B24">
            <w:pPr>
              <w:rPr>
                <w:rFonts w:ascii="Arial" w:hAnsi="Arial" w:cs="Arial"/>
                <w:sz w:val="22"/>
                <w:szCs w:val="22"/>
              </w:rPr>
            </w:pPr>
          </w:p>
        </w:tc>
        <w:tc>
          <w:tcPr>
            <w:tcW w:w="1134" w:type="dxa"/>
          </w:tcPr>
          <w:p w14:paraId="295363DB" w14:textId="77777777" w:rsidR="00BA0B24" w:rsidRPr="007923C2" w:rsidRDefault="00BA0B24" w:rsidP="00BA0B24">
            <w:pPr>
              <w:rPr>
                <w:rFonts w:ascii="Arial" w:hAnsi="Arial" w:cs="Arial"/>
                <w:sz w:val="22"/>
                <w:szCs w:val="22"/>
              </w:rPr>
            </w:pPr>
          </w:p>
        </w:tc>
        <w:tc>
          <w:tcPr>
            <w:tcW w:w="708" w:type="dxa"/>
          </w:tcPr>
          <w:p w14:paraId="7F2A9967" w14:textId="77777777" w:rsidR="00BA0B24" w:rsidRPr="007923C2" w:rsidRDefault="00BA0B24" w:rsidP="00BA0B24">
            <w:pPr>
              <w:rPr>
                <w:rFonts w:ascii="Arial" w:hAnsi="Arial" w:cs="Arial"/>
                <w:sz w:val="22"/>
                <w:szCs w:val="22"/>
              </w:rPr>
            </w:pPr>
          </w:p>
        </w:tc>
        <w:tc>
          <w:tcPr>
            <w:tcW w:w="1134" w:type="dxa"/>
          </w:tcPr>
          <w:p w14:paraId="204C043F" w14:textId="77777777" w:rsidR="00BA0B24" w:rsidRPr="007923C2" w:rsidRDefault="00BA0B24" w:rsidP="00BA0B24">
            <w:pPr>
              <w:rPr>
                <w:rFonts w:ascii="Arial" w:hAnsi="Arial" w:cs="Arial"/>
                <w:sz w:val="22"/>
                <w:szCs w:val="22"/>
              </w:rPr>
            </w:pPr>
          </w:p>
        </w:tc>
      </w:tr>
      <w:tr w:rsidR="00BA0B24" w:rsidRPr="007923C2" w14:paraId="5A55B147" w14:textId="77777777" w:rsidTr="00B16E59">
        <w:tc>
          <w:tcPr>
            <w:tcW w:w="3227" w:type="dxa"/>
          </w:tcPr>
          <w:p w14:paraId="37343F01" w14:textId="77777777" w:rsidR="00BA0B24" w:rsidRPr="007923C2" w:rsidRDefault="00BA0B24" w:rsidP="00BA0B24">
            <w:pPr>
              <w:rPr>
                <w:rFonts w:ascii="Arial" w:hAnsi="Arial" w:cs="Arial"/>
                <w:sz w:val="22"/>
                <w:szCs w:val="22"/>
              </w:rPr>
            </w:pPr>
            <w:r w:rsidRPr="007923C2">
              <w:rPr>
                <w:rFonts w:ascii="Arial" w:hAnsi="Arial" w:cs="Arial"/>
                <w:sz w:val="22"/>
                <w:szCs w:val="22"/>
              </w:rPr>
              <w:lastRenderedPageBreak/>
              <w:t>Optativa 8</w:t>
            </w:r>
          </w:p>
        </w:tc>
        <w:tc>
          <w:tcPr>
            <w:tcW w:w="1304" w:type="dxa"/>
          </w:tcPr>
          <w:p w14:paraId="6A61CD79" w14:textId="77777777" w:rsidR="00BA0B24" w:rsidRPr="007923C2" w:rsidRDefault="00BA0B24" w:rsidP="00BA0B24">
            <w:pPr>
              <w:rPr>
                <w:rFonts w:ascii="Arial" w:hAnsi="Arial" w:cs="Arial"/>
                <w:sz w:val="22"/>
                <w:szCs w:val="22"/>
              </w:rPr>
            </w:pPr>
          </w:p>
        </w:tc>
        <w:tc>
          <w:tcPr>
            <w:tcW w:w="1560" w:type="dxa"/>
          </w:tcPr>
          <w:p w14:paraId="45147911" w14:textId="77777777" w:rsidR="00BA0B24" w:rsidRPr="007923C2" w:rsidRDefault="00BA0B24" w:rsidP="00BA0B24">
            <w:pPr>
              <w:rPr>
                <w:rFonts w:ascii="Arial" w:hAnsi="Arial" w:cs="Arial"/>
                <w:sz w:val="22"/>
                <w:szCs w:val="22"/>
              </w:rPr>
            </w:pPr>
          </w:p>
        </w:tc>
        <w:tc>
          <w:tcPr>
            <w:tcW w:w="1134" w:type="dxa"/>
          </w:tcPr>
          <w:p w14:paraId="3D756069" w14:textId="77777777" w:rsidR="00BA0B24" w:rsidRPr="007923C2" w:rsidRDefault="00BA0B24" w:rsidP="00BA0B24">
            <w:pPr>
              <w:rPr>
                <w:rFonts w:ascii="Arial" w:hAnsi="Arial" w:cs="Arial"/>
                <w:sz w:val="22"/>
                <w:szCs w:val="22"/>
              </w:rPr>
            </w:pPr>
          </w:p>
        </w:tc>
        <w:tc>
          <w:tcPr>
            <w:tcW w:w="708" w:type="dxa"/>
          </w:tcPr>
          <w:p w14:paraId="5B0070D0" w14:textId="77777777" w:rsidR="00BA0B24" w:rsidRPr="007923C2" w:rsidRDefault="00BA0B24" w:rsidP="00BA0B24">
            <w:pPr>
              <w:rPr>
                <w:rFonts w:ascii="Arial" w:hAnsi="Arial" w:cs="Arial"/>
                <w:sz w:val="22"/>
                <w:szCs w:val="22"/>
              </w:rPr>
            </w:pPr>
          </w:p>
        </w:tc>
        <w:tc>
          <w:tcPr>
            <w:tcW w:w="1134" w:type="dxa"/>
          </w:tcPr>
          <w:p w14:paraId="3AF4BF25" w14:textId="77777777" w:rsidR="00BA0B24" w:rsidRPr="007923C2" w:rsidRDefault="00BA0B24" w:rsidP="00BA0B24">
            <w:pPr>
              <w:rPr>
                <w:rFonts w:ascii="Arial" w:hAnsi="Arial" w:cs="Arial"/>
                <w:sz w:val="22"/>
                <w:szCs w:val="22"/>
              </w:rPr>
            </w:pPr>
          </w:p>
        </w:tc>
      </w:tr>
      <w:tr w:rsidR="00BA0B24" w:rsidRPr="007923C2" w14:paraId="63FB73EB" w14:textId="77777777" w:rsidTr="00B16E59">
        <w:tc>
          <w:tcPr>
            <w:tcW w:w="3227" w:type="dxa"/>
          </w:tcPr>
          <w:p w14:paraId="247ECB88" w14:textId="77777777" w:rsidR="00BA0B24" w:rsidRPr="007923C2" w:rsidRDefault="00BA0B24" w:rsidP="00BA0B24">
            <w:pPr>
              <w:rPr>
                <w:rFonts w:ascii="Arial" w:hAnsi="Arial" w:cs="Arial"/>
                <w:sz w:val="22"/>
                <w:szCs w:val="22"/>
              </w:rPr>
            </w:pPr>
            <w:r w:rsidRPr="007923C2">
              <w:rPr>
                <w:rFonts w:ascii="Arial" w:hAnsi="Arial" w:cs="Arial"/>
                <w:sz w:val="22"/>
                <w:szCs w:val="22"/>
              </w:rPr>
              <w:t xml:space="preserve">Optativa 9 </w:t>
            </w:r>
          </w:p>
        </w:tc>
        <w:tc>
          <w:tcPr>
            <w:tcW w:w="1304" w:type="dxa"/>
          </w:tcPr>
          <w:p w14:paraId="2F52F8F9" w14:textId="77777777" w:rsidR="00BA0B24" w:rsidRPr="007923C2" w:rsidRDefault="00BA0B24" w:rsidP="00BA0B24">
            <w:pPr>
              <w:rPr>
                <w:rFonts w:ascii="Arial" w:hAnsi="Arial" w:cs="Arial"/>
                <w:sz w:val="22"/>
                <w:szCs w:val="22"/>
              </w:rPr>
            </w:pPr>
          </w:p>
        </w:tc>
        <w:tc>
          <w:tcPr>
            <w:tcW w:w="1560" w:type="dxa"/>
          </w:tcPr>
          <w:p w14:paraId="1D2636C2" w14:textId="77777777" w:rsidR="00BA0B24" w:rsidRPr="007923C2" w:rsidRDefault="00BA0B24" w:rsidP="00BA0B24">
            <w:pPr>
              <w:rPr>
                <w:rFonts w:ascii="Arial" w:hAnsi="Arial" w:cs="Arial"/>
                <w:sz w:val="22"/>
                <w:szCs w:val="22"/>
              </w:rPr>
            </w:pPr>
          </w:p>
        </w:tc>
        <w:tc>
          <w:tcPr>
            <w:tcW w:w="1134" w:type="dxa"/>
          </w:tcPr>
          <w:p w14:paraId="5E0F8332" w14:textId="77777777" w:rsidR="00BA0B24" w:rsidRPr="007923C2" w:rsidRDefault="00BA0B24" w:rsidP="00BA0B24">
            <w:pPr>
              <w:rPr>
                <w:rFonts w:ascii="Arial" w:hAnsi="Arial" w:cs="Arial"/>
                <w:sz w:val="22"/>
                <w:szCs w:val="22"/>
              </w:rPr>
            </w:pPr>
          </w:p>
        </w:tc>
        <w:tc>
          <w:tcPr>
            <w:tcW w:w="708" w:type="dxa"/>
          </w:tcPr>
          <w:p w14:paraId="14290363" w14:textId="77777777" w:rsidR="00BA0B24" w:rsidRPr="007923C2" w:rsidRDefault="00BA0B24" w:rsidP="00BA0B24">
            <w:pPr>
              <w:rPr>
                <w:rFonts w:ascii="Arial" w:hAnsi="Arial" w:cs="Arial"/>
                <w:sz w:val="22"/>
                <w:szCs w:val="22"/>
              </w:rPr>
            </w:pPr>
          </w:p>
        </w:tc>
        <w:tc>
          <w:tcPr>
            <w:tcW w:w="1134" w:type="dxa"/>
          </w:tcPr>
          <w:p w14:paraId="0473A7DD" w14:textId="77777777" w:rsidR="00BA0B24" w:rsidRPr="007923C2" w:rsidRDefault="00BA0B24" w:rsidP="00BA0B24">
            <w:pPr>
              <w:rPr>
                <w:rFonts w:ascii="Arial" w:hAnsi="Arial" w:cs="Arial"/>
                <w:sz w:val="22"/>
                <w:szCs w:val="22"/>
              </w:rPr>
            </w:pPr>
          </w:p>
        </w:tc>
      </w:tr>
      <w:tr w:rsidR="00BA0B24" w:rsidRPr="007923C2" w14:paraId="2C57E17A" w14:textId="77777777" w:rsidTr="00B16E59">
        <w:tc>
          <w:tcPr>
            <w:tcW w:w="3227" w:type="dxa"/>
          </w:tcPr>
          <w:p w14:paraId="409AE5C6" w14:textId="77777777" w:rsidR="00BA0B24" w:rsidRPr="007923C2" w:rsidRDefault="00BA0B24" w:rsidP="00BA0B24">
            <w:pPr>
              <w:rPr>
                <w:rFonts w:ascii="Arial" w:hAnsi="Arial" w:cs="Arial"/>
                <w:sz w:val="22"/>
                <w:szCs w:val="22"/>
              </w:rPr>
            </w:pPr>
            <w:r w:rsidRPr="007923C2">
              <w:rPr>
                <w:rFonts w:ascii="Arial" w:hAnsi="Arial" w:cs="Arial"/>
                <w:sz w:val="22"/>
                <w:szCs w:val="22"/>
              </w:rPr>
              <w:t>Optativa 10</w:t>
            </w:r>
          </w:p>
        </w:tc>
        <w:tc>
          <w:tcPr>
            <w:tcW w:w="1304" w:type="dxa"/>
          </w:tcPr>
          <w:p w14:paraId="116DA9E2" w14:textId="77777777" w:rsidR="00BA0B24" w:rsidRPr="007923C2" w:rsidRDefault="00BA0B24" w:rsidP="00BA0B24">
            <w:pPr>
              <w:rPr>
                <w:rFonts w:ascii="Arial" w:hAnsi="Arial" w:cs="Arial"/>
                <w:sz w:val="22"/>
                <w:szCs w:val="22"/>
              </w:rPr>
            </w:pPr>
          </w:p>
        </w:tc>
        <w:tc>
          <w:tcPr>
            <w:tcW w:w="1560" w:type="dxa"/>
          </w:tcPr>
          <w:p w14:paraId="371B0B7C" w14:textId="77777777" w:rsidR="00BA0B24" w:rsidRPr="007923C2" w:rsidRDefault="00BA0B24" w:rsidP="00BA0B24">
            <w:pPr>
              <w:rPr>
                <w:rFonts w:ascii="Arial" w:hAnsi="Arial" w:cs="Arial"/>
                <w:sz w:val="22"/>
                <w:szCs w:val="22"/>
              </w:rPr>
            </w:pPr>
          </w:p>
        </w:tc>
        <w:tc>
          <w:tcPr>
            <w:tcW w:w="1134" w:type="dxa"/>
          </w:tcPr>
          <w:p w14:paraId="2394595C" w14:textId="77777777" w:rsidR="00BA0B24" w:rsidRPr="007923C2" w:rsidRDefault="00BA0B24" w:rsidP="00BA0B24">
            <w:pPr>
              <w:rPr>
                <w:rFonts w:ascii="Arial" w:hAnsi="Arial" w:cs="Arial"/>
                <w:sz w:val="22"/>
                <w:szCs w:val="22"/>
              </w:rPr>
            </w:pPr>
          </w:p>
        </w:tc>
        <w:tc>
          <w:tcPr>
            <w:tcW w:w="708" w:type="dxa"/>
          </w:tcPr>
          <w:p w14:paraId="0D34D293" w14:textId="77777777" w:rsidR="00BA0B24" w:rsidRPr="007923C2" w:rsidRDefault="00BA0B24" w:rsidP="00BA0B24">
            <w:pPr>
              <w:rPr>
                <w:rFonts w:ascii="Arial" w:hAnsi="Arial" w:cs="Arial"/>
                <w:sz w:val="22"/>
                <w:szCs w:val="22"/>
              </w:rPr>
            </w:pPr>
          </w:p>
        </w:tc>
        <w:tc>
          <w:tcPr>
            <w:tcW w:w="1134" w:type="dxa"/>
          </w:tcPr>
          <w:p w14:paraId="3E7F1510" w14:textId="77777777" w:rsidR="00BA0B24" w:rsidRPr="007923C2" w:rsidRDefault="00BA0B24" w:rsidP="00BA0B24">
            <w:pPr>
              <w:rPr>
                <w:rFonts w:ascii="Arial" w:hAnsi="Arial" w:cs="Arial"/>
                <w:sz w:val="22"/>
                <w:szCs w:val="22"/>
              </w:rPr>
            </w:pPr>
          </w:p>
        </w:tc>
      </w:tr>
      <w:tr w:rsidR="00BA0B24" w:rsidRPr="007923C2" w14:paraId="4432660A" w14:textId="77777777" w:rsidTr="00B16E59">
        <w:tc>
          <w:tcPr>
            <w:tcW w:w="3227" w:type="dxa"/>
          </w:tcPr>
          <w:p w14:paraId="4271D6EB" w14:textId="77777777" w:rsidR="00BA0B24" w:rsidRPr="007923C2" w:rsidRDefault="00BA0B24" w:rsidP="00BA0B24">
            <w:pPr>
              <w:rPr>
                <w:rFonts w:ascii="Arial" w:hAnsi="Arial" w:cs="Arial"/>
                <w:sz w:val="22"/>
                <w:szCs w:val="22"/>
              </w:rPr>
            </w:pPr>
            <w:r w:rsidRPr="007923C2">
              <w:rPr>
                <w:rFonts w:ascii="Arial" w:hAnsi="Arial" w:cs="Arial"/>
                <w:sz w:val="22"/>
                <w:szCs w:val="22"/>
              </w:rPr>
              <w:t>Prácticas Profesionales</w:t>
            </w:r>
          </w:p>
        </w:tc>
        <w:tc>
          <w:tcPr>
            <w:tcW w:w="1304" w:type="dxa"/>
          </w:tcPr>
          <w:p w14:paraId="244EC7CB" w14:textId="77777777" w:rsidR="00BA0B24" w:rsidRPr="007923C2" w:rsidRDefault="00BA0B24" w:rsidP="00BA0B24">
            <w:pPr>
              <w:rPr>
                <w:rFonts w:ascii="Arial" w:hAnsi="Arial" w:cs="Arial"/>
                <w:sz w:val="22"/>
                <w:szCs w:val="22"/>
              </w:rPr>
            </w:pPr>
            <w:r w:rsidRPr="007923C2">
              <w:rPr>
                <w:rFonts w:ascii="Arial" w:hAnsi="Arial" w:cs="Arial"/>
                <w:sz w:val="22"/>
                <w:szCs w:val="22"/>
              </w:rPr>
              <w:t>BOT490</w:t>
            </w:r>
          </w:p>
        </w:tc>
        <w:tc>
          <w:tcPr>
            <w:tcW w:w="1560" w:type="dxa"/>
          </w:tcPr>
          <w:p w14:paraId="7D538917" w14:textId="77777777" w:rsidR="00BA0B24" w:rsidRPr="007923C2" w:rsidRDefault="00BA0B24" w:rsidP="00BA0B24">
            <w:pPr>
              <w:rPr>
                <w:rFonts w:ascii="Arial" w:hAnsi="Arial" w:cs="Arial"/>
                <w:sz w:val="22"/>
                <w:szCs w:val="22"/>
              </w:rPr>
            </w:pPr>
          </w:p>
        </w:tc>
        <w:tc>
          <w:tcPr>
            <w:tcW w:w="1134" w:type="dxa"/>
          </w:tcPr>
          <w:p w14:paraId="08BF291A" w14:textId="77777777" w:rsidR="00BA0B24" w:rsidRPr="007923C2" w:rsidRDefault="00BA0B24" w:rsidP="00BA0B24">
            <w:pPr>
              <w:rPr>
                <w:rFonts w:ascii="Arial" w:hAnsi="Arial" w:cs="Arial"/>
                <w:sz w:val="22"/>
                <w:szCs w:val="22"/>
              </w:rPr>
            </w:pPr>
          </w:p>
        </w:tc>
        <w:tc>
          <w:tcPr>
            <w:tcW w:w="708" w:type="dxa"/>
          </w:tcPr>
          <w:p w14:paraId="289873BC" w14:textId="77777777" w:rsidR="00BA0B24" w:rsidRPr="007923C2" w:rsidRDefault="00BA0B24" w:rsidP="00BA0B24">
            <w:pPr>
              <w:rPr>
                <w:rFonts w:ascii="Arial" w:hAnsi="Arial" w:cs="Arial"/>
                <w:sz w:val="22"/>
                <w:szCs w:val="22"/>
              </w:rPr>
            </w:pPr>
          </w:p>
        </w:tc>
        <w:tc>
          <w:tcPr>
            <w:tcW w:w="1134" w:type="dxa"/>
          </w:tcPr>
          <w:p w14:paraId="7B9CA9FE" w14:textId="77777777" w:rsidR="00BA0B24" w:rsidRPr="007923C2" w:rsidRDefault="00BA0B24" w:rsidP="00BA0B24">
            <w:pPr>
              <w:rPr>
                <w:rFonts w:ascii="Arial" w:hAnsi="Arial" w:cs="Arial"/>
                <w:sz w:val="22"/>
                <w:szCs w:val="22"/>
              </w:rPr>
            </w:pPr>
            <w:r w:rsidRPr="007923C2">
              <w:rPr>
                <w:rFonts w:ascii="Arial" w:hAnsi="Arial" w:cs="Arial"/>
                <w:sz w:val="22"/>
                <w:szCs w:val="22"/>
              </w:rPr>
              <w:t>40</w:t>
            </w:r>
          </w:p>
        </w:tc>
      </w:tr>
      <w:tr w:rsidR="00BA0B24" w:rsidRPr="007923C2" w14:paraId="6318609C" w14:textId="77777777" w:rsidTr="00B16E59">
        <w:tc>
          <w:tcPr>
            <w:tcW w:w="3227" w:type="dxa"/>
          </w:tcPr>
          <w:p w14:paraId="5C8175B5" w14:textId="77777777" w:rsidR="00BA0B24" w:rsidRPr="007923C2" w:rsidRDefault="00BA0B24" w:rsidP="00BA0B24">
            <w:pPr>
              <w:rPr>
                <w:rFonts w:ascii="Arial" w:hAnsi="Arial" w:cs="Arial"/>
                <w:sz w:val="22"/>
                <w:szCs w:val="22"/>
              </w:rPr>
            </w:pPr>
            <w:r w:rsidRPr="007923C2">
              <w:rPr>
                <w:rFonts w:ascii="Arial" w:hAnsi="Arial" w:cs="Arial"/>
                <w:sz w:val="22"/>
                <w:szCs w:val="22"/>
              </w:rPr>
              <w:t xml:space="preserve"> 46 OBLIGATORIAS</w:t>
            </w:r>
          </w:p>
        </w:tc>
        <w:tc>
          <w:tcPr>
            <w:tcW w:w="1304" w:type="dxa"/>
          </w:tcPr>
          <w:p w14:paraId="6D8D860E" w14:textId="77777777" w:rsidR="00BA0B24" w:rsidRPr="007923C2" w:rsidRDefault="00BA0B24" w:rsidP="00BA0B24">
            <w:pPr>
              <w:rPr>
                <w:rFonts w:ascii="Arial" w:hAnsi="Arial" w:cs="Arial"/>
                <w:sz w:val="22"/>
                <w:szCs w:val="22"/>
              </w:rPr>
            </w:pPr>
          </w:p>
        </w:tc>
        <w:tc>
          <w:tcPr>
            <w:tcW w:w="1560" w:type="dxa"/>
          </w:tcPr>
          <w:p w14:paraId="695CB71A" w14:textId="77777777" w:rsidR="00BA0B24" w:rsidRPr="007923C2" w:rsidRDefault="00BA0B24" w:rsidP="00BA0B24">
            <w:pPr>
              <w:rPr>
                <w:rFonts w:ascii="Arial" w:hAnsi="Arial" w:cs="Arial"/>
                <w:sz w:val="22"/>
                <w:szCs w:val="22"/>
              </w:rPr>
            </w:pPr>
          </w:p>
        </w:tc>
        <w:tc>
          <w:tcPr>
            <w:tcW w:w="1134" w:type="dxa"/>
          </w:tcPr>
          <w:p w14:paraId="24E94F91" w14:textId="77777777" w:rsidR="00BA0B24" w:rsidRPr="007923C2" w:rsidRDefault="00BA0B24" w:rsidP="00BA0B24">
            <w:pPr>
              <w:rPr>
                <w:rFonts w:ascii="Arial" w:hAnsi="Arial" w:cs="Arial"/>
                <w:sz w:val="22"/>
                <w:szCs w:val="22"/>
              </w:rPr>
            </w:pPr>
          </w:p>
        </w:tc>
        <w:tc>
          <w:tcPr>
            <w:tcW w:w="708" w:type="dxa"/>
          </w:tcPr>
          <w:p w14:paraId="259E2F77" w14:textId="77777777" w:rsidR="00BA0B24" w:rsidRPr="007923C2" w:rsidRDefault="00BA0B24" w:rsidP="00BA0B24">
            <w:pPr>
              <w:rPr>
                <w:rFonts w:ascii="Arial" w:hAnsi="Arial" w:cs="Arial"/>
                <w:sz w:val="22"/>
                <w:szCs w:val="22"/>
              </w:rPr>
            </w:pPr>
          </w:p>
        </w:tc>
        <w:tc>
          <w:tcPr>
            <w:tcW w:w="1134" w:type="dxa"/>
          </w:tcPr>
          <w:p w14:paraId="408FAE24" w14:textId="77777777" w:rsidR="00BA0B24" w:rsidRPr="007923C2" w:rsidRDefault="00BA0B24" w:rsidP="00BA0B24">
            <w:pPr>
              <w:rPr>
                <w:rFonts w:ascii="Arial" w:hAnsi="Arial" w:cs="Arial"/>
                <w:sz w:val="22"/>
                <w:szCs w:val="22"/>
              </w:rPr>
            </w:pPr>
          </w:p>
        </w:tc>
      </w:tr>
      <w:tr w:rsidR="00BA0B24" w:rsidRPr="007923C2" w14:paraId="29F11B65" w14:textId="77777777" w:rsidTr="00B16E59">
        <w:tc>
          <w:tcPr>
            <w:tcW w:w="3227" w:type="dxa"/>
          </w:tcPr>
          <w:p w14:paraId="393F3017" w14:textId="77777777" w:rsidR="00BA0B24" w:rsidRPr="007923C2" w:rsidRDefault="00BA0B24" w:rsidP="00BA0B24">
            <w:pPr>
              <w:rPr>
                <w:rFonts w:ascii="Arial" w:hAnsi="Arial" w:cs="Arial"/>
                <w:sz w:val="22"/>
                <w:szCs w:val="22"/>
              </w:rPr>
            </w:pPr>
            <w:r w:rsidRPr="007923C2">
              <w:rPr>
                <w:rFonts w:ascii="Arial" w:hAnsi="Arial" w:cs="Arial"/>
                <w:sz w:val="22"/>
                <w:szCs w:val="22"/>
              </w:rPr>
              <w:t>10 OPTATIVAS</w:t>
            </w:r>
          </w:p>
        </w:tc>
        <w:tc>
          <w:tcPr>
            <w:tcW w:w="1304" w:type="dxa"/>
          </w:tcPr>
          <w:p w14:paraId="4824C004" w14:textId="77777777" w:rsidR="00BA0B24" w:rsidRPr="007923C2" w:rsidRDefault="00BA0B24" w:rsidP="00BA0B24">
            <w:pPr>
              <w:rPr>
                <w:rFonts w:ascii="Arial" w:hAnsi="Arial" w:cs="Arial"/>
                <w:sz w:val="22"/>
                <w:szCs w:val="22"/>
              </w:rPr>
            </w:pPr>
          </w:p>
        </w:tc>
        <w:tc>
          <w:tcPr>
            <w:tcW w:w="1560" w:type="dxa"/>
          </w:tcPr>
          <w:p w14:paraId="44E7353E" w14:textId="77777777" w:rsidR="00BA0B24" w:rsidRPr="007923C2" w:rsidRDefault="00BA0B24" w:rsidP="00BA0B24">
            <w:pPr>
              <w:rPr>
                <w:rFonts w:ascii="Arial" w:hAnsi="Arial" w:cs="Arial"/>
                <w:sz w:val="22"/>
                <w:szCs w:val="22"/>
              </w:rPr>
            </w:pPr>
          </w:p>
        </w:tc>
        <w:tc>
          <w:tcPr>
            <w:tcW w:w="1134" w:type="dxa"/>
          </w:tcPr>
          <w:p w14:paraId="74F2528D" w14:textId="77777777" w:rsidR="00BA0B24" w:rsidRPr="007923C2" w:rsidRDefault="00BA0B24" w:rsidP="00BA0B24">
            <w:pPr>
              <w:rPr>
                <w:rFonts w:ascii="Arial" w:hAnsi="Arial" w:cs="Arial"/>
                <w:sz w:val="22"/>
                <w:szCs w:val="22"/>
              </w:rPr>
            </w:pPr>
          </w:p>
        </w:tc>
        <w:tc>
          <w:tcPr>
            <w:tcW w:w="708" w:type="dxa"/>
          </w:tcPr>
          <w:p w14:paraId="0F55F2EC" w14:textId="77777777" w:rsidR="00BA0B24" w:rsidRPr="007923C2" w:rsidRDefault="00BA0B24" w:rsidP="00BA0B24">
            <w:pPr>
              <w:rPr>
                <w:rFonts w:ascii="Arial" w:hAnsi="Arial" w:cs="Arial"/>
                <w:sz w:val="22"/>
                <w:szCs w:val="22"/>
              </w:rPr>
            </w:pPr>
          </w:p>
        </w:tc>
        <w:tc>
          <w:tcPr>
            <w:tcW w:w="1134" w:type="dxa"/>
          </w:tcPr>
          <w:p w14:paraId="6F54F969" w14:textId="77777777" w:rsidR="00BA0B24" w:rsidRPr="007923C2" w:rsidRDefault="00BA0B24" w:rsidP="00BA0B24">
            <w:pPr>
              <w:rPr>
                <w:rFonts w:ascii="Arial" w:hAnsi="Arial" w:cs="Arial"/>
                <w:sz w:val="22"/>
                <w:szCs w:val="22"/>
              </w:rPr>
            </w:pPr>
          </w:p>
        </w:tc>
      </w:tr>
    </w:tbl>
    <w:p w14:paraId="21B4BB0C" w14:textId="77777777" w:rsidR="008221A2" w:rsidRPr="007923C2" w:rsidRDefault="008221A2" w:rsidP="005E47E4">
      <w:pPr>
        <w:widowControl w:val="0"/>
        <w:autoSpaceDE w:val="0"/>
        <w:autoSpaceDN w:val="0"/>
        <w:adjustRightInd w:val="0"/>
        <w:jc w:val="both"/>
        <w:rPr>
          <w:rFonts w:ascii="Arial" w:hAnsi="Arial" w:cs="Arial"/>
          <w:sz w:val="22"/>
          <w:szCs w:val="22"/>
        </w:rPr>
      </w:pPr>
    </w:p>
    <w:p w14:paraId="2D788E88" w14:textId="77777777" w:rsidR="008221A2" w:rsidRPr="007923C2" w:rsidRDefault="008221A2" w:rsidP="005E47E4">
      <w:pPr>
        <w:widowControl w:val="0"/>
        <w:autoSpaceDE w:val="0"/>
        <w:autoSpaceDN w:val="0"/>
        <w:adjustRightInd w:val="0"/>
        <w:jc w:val="both"/>
        <w:rPr>
          <w:rFonts w:ascii="Arial" w:hAnsi="Arial" w:cs="Arial"/>
          <w:sz w:val="22"/>
          <w:szCs w:val="22"/>
        </w:rPr>
      </w:pPr>
    </w:p>
    <w:tbl>
      <w:tblPr>
        <w:tblStyle w:val="Tablaconcuadrcula"/>
        <w:tblW w:w="9634" w:type="dxa"/>
        <w:tblLayout w:type="fixed"/>
        <w:tblLook w:val="04A0" w:firstRow="1" w:lastRow="0" w:firstColumn="1" w:lastColumn="0" w:noHBand="0" w:noVBand="1"/>
      </w:tblPr>
      <w:tblGrid>
        <w:gridCol w:w="562"/>
        <w:gridCol w:w="2694"/>
        <w:gridCol w:w="1134"/>
        <w:gridCol w:w="708"/>
        <w:gridCol w:w="1418"/>
        <w:gridCol w:w="1701"/>
        <w:gridCol w:w="1417"/>
      </w:tblGrid>
      <w:tr w:rsidR="005F2952" w:rsidRPr="007923C2" w14:paraId="30E8B08C" w14:textId="77777777" w:rsidTr="00DB4F40">
        <w:tc>
          <w:tcPr>
            <w:tcW w:w="562" w:type="dxa"/>
          </w:tcPr>
          <w:p w14:paraId="0500C2B7" w14:textId="77777777" w:rsidR="005F2952" w:rsidRPr="007923C2" w:rsidRDefault="005F2952" w:rsidP="00DB4F40">
            <w:pPr>
              <w:jc w:val="center"/>
              <w:rPr>
                <w:rFonts w:ascii="Arial" w:hAnsi="Arial" w:cs="Arial"/>
                <w:sz w:val="22"/>
                <w:szCs w:val="22"/>
              </w:rPr>
            </w:pPr>
          </w:p>
        </w:tc>
        <w:tc>
          <w:tcPr>
            <w:tcW w:w="2694" w:type="dxa"/>
          </w:tcPr>
          <w:p w14:paraId="093A88A7" w14:textId="77777777" w:rsidR="005F2952" w:rsidRPr="007923C2" w:rsidRDefault="005F2952" w:rsidP="00BD7DAE">
            <w:pPr>
              <w:rPr>
                <w:rFonts w:ascii="Arial" w:hAnsi="Arial" w:cs="Arial"/>
                <w:sz w:val="22"/>
                <w:szCs w:val="22"/>
              </w:rPr>
            </w:pPr>
            <w:r w:rsidRPr="007923C2">
              <w:rPr>
                <w:rFonts w:ascii="Arial" w:hAnsi="Arial" w:cs="Arial"/>
                <w:sz w:val="22"/>
                <w:szCs w:val="22"/>
              </w:rPr>
              <w:t>MATERIA</w:t>
            </w:r>
          </w:p>
        </w:tc>
        <w:tc>
          <w:tcPr>
            <w:tcW w:w="1134" w:type="dxa"/>
          </w:tcPr>
          <w:p w14:paraId="25991B8D" w14:textId="77777777" w:rsidR="005F2952" w:rsidRPr="007923C2" w:rsidRDefault="005F2952" w:rsidP="00BD7DAE">
            <w:pPr>
              <w:rPr>
                <w:rFonts w:ascii="Arial" w:hAnsi="Arial" w:cs="Arial"/>
                <w:sz w:val="22"/>
                <w:szCs w:val="22"/>
              </w:rPr>
            </w:pPr>
            <w:r w:rsidRPr="007923C2">
              <w:rPr>
                <w:rFonts w:ascii="Arial" w:hAnsi="Arial" w:cs="Arial"/>
                <w:sz w:val="22"/>
                <w:szCs w:val="22"/>
              </w:rPr>
              <w:t>CLAVE</w:t>
            </w:r>
          </w:p>
        </w:tc>
        <w:tc>
          <w:tcPr>
            <w:tcW w:w="708" w:type="dxa"/>
          </w:tcPr>
          <w:p w14:paraId="7DC2C27E" w14:textId="77777777" w:rsidR="005F2952" w:rsidRPr="007923C2" w:rsidRDefault="005F2952" w:rsidP="00BD7DAE">
            <w:pPr>
              <w:rPr>
                <w:rFonts w:ascii="Arial" w:hAnsi="Arial" w:cs="Arial"/>
                <w:sz w:val="22"/>
                <w:szCs w:val="22"/>
              </w:rPr>
            </w:pPr>
            <w:r w:rsidRPr="007923C2">
              <w:rPr>
                <w:rFonts w:ascii="Arial" w:hAnsi="Arial" w:cs="Arial"/>
                <w:sz w:val="22"/>
                <w:szCs w:val="22"/>
              </w:rPr>
              <w:t>T-P</w:t>
            </w:r>
          </w:p>
        </w:tc>
        <w:tc>
          <w:tcPr>
            <w:tcW w:w="1418" w:type="dxa"/>
          </w:tcPr>
          <w:p w14:paraId="731B3C8D" w14:textId="62C7D88D" w:rsidR="005F2952" w:rsidRPr="007923C2" w:rsidRDefault="005F2952" w:rsidP="00DB4F40">
            <w:pPr>
              <w:rPr>
                <w:rFonts w:ascii="Arial" w:hAnsi="Arial" w:cs="Arial"/>
                <w:sz w:val="22"/>
                <w:szCs w:val="22"/>
              </w:rPr>
            </w:pPr>
            <w:r w:rsidRPr="007923C2">
              <w:rPr>
                <w:rFonts w:ascii="Arial" w:hAnsi="Arial" w:cs="Arial"/>
                <w:sz w:val="22"/>
                <w:szCs w:val="22"/>
              </w:rPr>
              <w:t>CRÉDITOS</w:t>
            </w:r>
          </w:p>
        </w:tc>
        <w:tc>
          <w:tcPr>
            <w:tcW w:w="1701" w:type="dxa"/>
          </w:tcPr>
          <w:p w14:paraId="76EEE94D" w14:textId="77777777" w:rsidR="005F2952" w:rsidRPr="007923C2" w:rsidRDefault="005F2952" w:rsidP="00BD7DAE">
            <w:pPr>
              <w:rPr>
                <w:rFonts w:ascii="Arial" w:hAnsi="Arial" w:cs="Arial"/>
                <w:sz w:val="22"/>
                <w:szCs w:val="22"/>
              </w:rPr>
            </w:pPr>
            <w:r w:rsidRPr="007923C2">
              <w:rPr>
                <w:rFonts w:ascii="Arial" w:hAnsi="Arial" w:cs="Arial"/>
                <w:sz w:val="22"/>
                <w:szCs w:val="22"/>
              </w:rPr>
              <w:t>REQUISITOS</w:t>
            </w:r>
          </w:p>
        </w:tc>
        <w:tc>
          <w:tcPr>
            <w:tcW w:w="1417" w:type="dxa"/>
          </w:tcPr>
          <w:p w14:paraId="46792762" w14:textId="77777777" w:rsidR="005F2952" w:rsidRPr="007923C2" w:rsidRDefault="005F2952" w:rsidP="00BD7DAE">
            <w:pPr>
              <w:rPr>
                <w:rFonts w:ascii="Arial" w:hAnsi="Arial" w:cs="Arial"/>
                <w:sz w:val="22"/>
                <w:szCs w:val="22"/>
              </w:rPr>
            </w:pPr>
            <w:r w:rsidRPr="007923C2">
              <w:rPr>
                <w:rFonts w:ascii="Arial" w:hAnsi="Arial" w:cs="Arial"/>
                <w:sz w:val="22"/>
                <w:szCs w:val="22"/>
              </w:rPr>
              <w:t>CVE.REQ</w:t>
            </w:r>
          </w:p>
        </w:tc>
      </w:tr>
      <w:tr w:rsidR="005F2952" w:rsidRPr="007923C2" w14:paraId="035A3A36" w14:textId="77777777" w:rsidTr="00DB4F40">
        <w:tc>
          <w:tcPr>
            <w:tcW w:w="562" w:type="dxa"/>
          </w:tcPr>
          <w:p w14:paraId="69C9AB72" w14:textId="77777777" w:rsidR="005F2952" w:rsidRPr="007923C2" w:rsidRDefault="005F2952" w:rsidP="00DB4F40">
            <w:pPr>
              <w:jc w:val="center"/>
              <w:rPr>
                <w:rFonts w:ascii="Arial" w:hAnsi="Arial" w:cs="Arial"/>
                <w:sz w:val="22"/>
                <w:szCs w:val="22"/>
              </w:rPr>
            </w:pPr>
          </w:p>
        </w:tc>
        <w:tc>
          <w:tcPr>
            <w:tcW w:w="2694" w:type="dxa"/>
          </w:tcPr>
          <w:p w14:paraId="78C32447" w14:textId="77777777" w:rsidR="005F2952" w:rsidRPr="007923C2" w:rsidRDefault="005F2952" w:rsidP="00BD7DAE">
            <w:pPr>
              <w:rPr>
                <w:rFonts w:ascii="Arial" w:hAnsi="Arial" w:cs="Arial"/>
                <w:sz w:val="22"/>
                <w:szCs w:val="22"/>
              </w:rPr>
            </w:pPr>
            <w:r w:rsidRPr="007923C2">
              <w:rPr>
                <w:rFonts w:ascii="Arial" w:hAnsi="Arial" w:cs="Arial"/>
                <w:sz w:val="22"/>
                <w:szCs w:val="22"/>
              </w:rPr>
              <w:t>OPTATIVAS:</w:t>
            </w:r>
          </w:p>
        </w:tc>
        <w:tc>
          <w:tcPr>
            <w:tcW w:w="1134" w:type="dxa"/>
          </w:tcPr>
          <w:p w14:paraId="7153BF43" w14:textId="77777777" w:rsidR="005F2952" w:rsidRPr="007923C2" w:rsidRDefault="005F2952" w:rsidP="00BD7DAE">
            <w:pPr>
              <w:rPr>
                <w:rFonts w:ascii="Arial" w:hAnsi="Arial" w:cs="Arial"/>
                <w:sz w:val="22"/>
                <w:szCs w:val="22"/>
              </w:rPr>
            </w:pPr>
          </w:p>
        </w:tc>
        <w:tc>
          <w:tcPr>
            <w:tcW w:w="708" w:type="dxa"/>
          </w:tcPr>
          <w:p w14:paraId="34DD56C4" w14:textId="77777777" w:rsidR="005F2952" w:rsidRPr="007923C2" w:rsidRDefault="005F2952" w:rsidP="00BD7DAE">
            <w:pPr>
              <w:rPr>
                <w:rFonts w:ascii="Arial" w:hAnsi="Arial" w:cs="Arial"/>
                <w:sz w:val="22"/>
                <w:szCs w:val="22"/>
              </w:rPr>
            </w:pPr>
          </w:p>
        </w:tc>
        <w:tc>
          <w:tcPr>
            <w:tcW w:w="1418" w:type="dxa"/>
          </w:tcPr>
          <w:p w14:paraId="2A56668F" w14:textId="77777777" w:rsidR="005F2952" w:rsidRPr="007923C2" w:rsidRDefault="005F2952" w:rsidP="00BD7DAE">
            <w:pPr>
              <w:rPr>
                <w:rFonts w:ascii="Arial" w:hAnsi="Arial" w:cs="Arial"/>
                <w:sz w:val="22"/>
                <w:szCs w:val="22"/>
              </w:rPr>
            </w:pPr>
          </w:p>
        </w:tc>
        <w:tc>
          <w:tcPr>
            <w:tcW w:w="1701" w:type="dxa"/>
          </w:tcPr>
          <w:p w14:paraId="4FA94F1E" w14:textId="77777777" w:rsidR="005F2952" w:rsidRPr="007923C2" w:rsidRDefault="005F2952" w:rsidP="00BD7DAE">
            <w:pPr>
              <w:rPr>
                <w:rFonts w:ascii="Arial" w:hAnsi="Arial" w:cs="Arial"/>
                <w:sz w:val="22"/>
                <w:szCs w:val="22"/>
              </w:rPr>
            </w:pPr>
          </w:p>
        </w:tc>
        <w:tc>
          <w:tcPr>
            <w:tcW w:w="1417" w:type="dxa"/>
          </w:tcPr>
          <w:p w14:paraId="2D4D2391" w14:textId="77777777" w:rsidR="005F2952" w:rsidRPr="007923C2" w:rsidRDefault="005F2952" w:rsidP="00BD7DAE">
            <w:pPr>
              <w:rPr>
                <w:rFonts w:ascii="Arial" w:hAnsi="Arial" w:cs="Arial"/>
                <w:sz w:val="22"/>
                <w:szCs w:val="22"/>
              </w:rPr>
            </w:pPr>
          </w:p>
        </w:tc>
      </w:tr>
      <w:tr w:rsidR="005F2952" w:rsidRPr="007923C2" w14:paraId="7A9C4723" w14:textId="77777777" w:rsidTr="00DB4F40">
        <w:tc>
          <w:tcPr>
            <w:tcW w:w="562" w:type="dxa"/>
          </w:tcPr>
          <w:p w14:paraId="3777D680"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1</w:t>
            </w:r>
          </w:p>
        </w:tc>
        <w:tc>
          <w:tcPr>
            <w:tcW w:w="2694" w:type="dxa"/>
          </w:tcPr>
          <w:p w14:paraId="0B6CBEC6" w14:textId="77777777" w:rsidR="005F2952" w:rsidRPr="007923C2" w:rsidRDefault="005F2952" w:rsidP="00BD7DAE">
            <w:pPr>
              <w:rPr>
                <w:rFonts w:ascii="Arial" w:hAnsi="Arial" w:cs="Arial"/>
                <w:sz w:val="22"/>
                <w:szCs w:val="22"/>
              </w:rPr>
            </w:pPr>
            <w:r w:rsidRPr="007923C2">
              <w:rPr>
                <w:rFonts w:ascii="Arial" w:hAnsi="Arial" w:cs="Arial"/>
                <w:sz w:val="22"/>
                <w:szCs w:val="22"/>
              </w:rPr>
              <w:t>Agricultura Biointensiva Sostenible</w:t>
            </w:r>
          </w:p>
        </w:tc>
        <w:tc>
          <w:tcPr>
            <w:tcW w:w="1134" w:type="dxa"/>
          </w:tcPr>
          <w:p w14:paraId="65DF7656" w14:textId="77777777" w:rsidR="005F2952" w:rsidRPr="007923C2" w:rsidRDefault="005F2952" w:rsidP="00BD7DAE">
            <w:pPr>
              <w:rPr>
                <w:rFonts w:ascii="Arial" w:hAnsi="Arial" w:cs="Arial"/>
                <w:sz w:val="22"/>
                <w:szCs w:val="22"/>
              </w:rPr>
            </w:pPr>
            <w:r w:rsidRPr="007923C2">
              <w:rPr>
                <w:rFonts w:ascii="Arial" w:hAnsi="Arial" w:cs="Arial"/>
                <w:sz w:val="22"/>
                <w:szCs w:val="22"/>
              </w:rPr>
              <w:t>BOT496</w:t>
            </w:r>
          </w:p>
        </w:tc>
        <w:tc>
          <w:tcPr>
            <w:tcW w:w="708" w:type="dxa"/>
          </w:tcPr>
          <w:p w14:paraId="48CBBB3A"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4ADA6ED2"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38DA4475" w14:textId="77777777" w:rsidR="005F2952" w:rsidRPr="007923C2" w:rsidRDefault="005F2952" w:rsidP="00BD7DAE">
            <w:pPr>
              <w:rPr>
                <w:rFonts w:ascii="Arial" w:hAnsi="Arial" w:cs="Arial"/>
                <w:sz w:val="22"/>
                <w:szCs w:val="22"/>
              </w:rPr>
            </w:pPr>
            <w:r w:rsidRPr="007923C2">
              <w:rPr>
                <w:rFonts w:ascii="Arial" w:hAnsi="Arial" w:cs="Arial"/>
                <w:sz w:val="22"/>
                <w:szCs w:val="22"/>
              </w:rPr>
              <w:t>Agroecología</w:t>
            </w:r>
          </w:p>
        </w:tc>
        <w:tc>
          <w:tcPr>
            <w:tcW w:w="1417" w:type="dxa"/>
          </w:tcPr>
          <w:p w14:paraId="28811200" w14:textId="77777777" w:rsidR="005F2952" w:rsidRPr="007923C2" w:rsidRDefault="005F2952" w:rsidP="00BD7DAE">
            <w:pPr>
              <w:rPr>
                <w:rFonts w:ascii="Arial" w:hAnsi="Arial" w:cs="Arial"/>
                <w:sz w:val="22"/>
                <w:szCs w:val="22"/>
              </w:rPr>
            </w:pPr>
            <w:r w:rsidRPr="007923C2">
              <w:rPr>
                <w:rFonts w:ascii="Arial" w:hAnsi="Arial" w:cs="Arial"/>
                <w:sz w:val="22"/>
                <w:szCs w:val="22"/>
              </w:rPr>
              <w:t>BOT457</w:t>
            </w:r>
          </w:p>
        </w:tc>
      </w:tr>
      <w:tr w:rsidR="005F2952" w:rsidRPr="007923C2" w14:paraId="457AEA3A" w14:textId="77777777" w:rsidTr="00DB4F40">
        <w:tc>
          <w:tcPr>
            <w:tcW w:w="562" w:type="dxa"/>
          </w:tcPr>
          <w:p w14:paraId="5862124F"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2</w:t>
            </w:r>
          </w:p>
        </w:tc>
        <w:tc>
          <w:tcPr>
            <w:tcW w:w="2694" w:type="dxa"/>
          </w:tcPr>
          <w:p w14:paraId="45653FA2" w14:textId="77777777" w:rsidR="005F2952" w:rsidRPr="007923C2" w:rsidRDefault="005F2952" w:rsidP="00BD7DAE">
            <w:pPr>
              <w:rPr>
                <w:rFonts w:ascii="Arial" w:hAnsi="Arial" w:cs="Arial"/>
                <w:sz w:val="22"/>
                <w:szCs w:val="22"/>
              </w:rPr>
            </w:pPr>
            <w:r w:rsidRPr="007923C2">
              <w:rPr>
                <w:rFonts w:ascii="Arial" w:hAnsi="Arial" w:cs="Arial"/>
                <w:sz w:val="22"/>
                <w:szCs w:val="22"/>
              </w:rPr>
              <w:t>Agrostología</w:t>
            </w:r>
          </w:p>
        </w:tc>
        <w:tc>
          <w:tcPr>
            <w:tcW w:w="1134" w:type="dxa"/>
          </w:tcPr>
          <w:p w14:paraId="58470902" w14:textId="77777777" w:rsidR="005F2952" w:rsidRPr="007923C2" w:rsidRDefault="005F2952" w:rsidP="00BD7DAE">
            <w:pPr>
              <w:rPr>
                <w:rFonts w:ascii="Arial" w:hAnsi="Arial" w:cs="Arial"/>
                <w:sz w:val="22"/>
                <w:szCs w:val="22"/>
              </w:rPr>
            </w:pPr>
            <w:r w:rsidRPr="007923C2">
              <w:rPr>
                <w:rFonts w:ascii="Arial" w:hAnsi="Arial" w:cs="Arial"/>
                <w:sz w:val="22"/>
                <w:szCs w:val="22"/>
              </w:rPr>
              <w:t>BOT448</w:t>
            </w:r>
          </w:p>
        </w:tc>
        <w:tc>
          <w:tcPr>
            <w:tcW w:w="708" w:type="dxa"/>
          </w:tcPr>
          <w:p w14:paraId="383185CB"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5EE67E15"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4B7FD474" w14:textId="77777777" w:rsidR="005F2952" w:rsidRPr="007923C2" w:rsidRDefault="005F2952" w:rsidP="00BD7DAE">
            <w:pPr>
              <w:rPr>
                <w:rFonts w:ascii="Arial" w:hAnsi="Arial" w:cs="Arial"/>
                <w:sz w:val="22"/>
                <w:szCs w:val="22"/>
              </w:rPr>
            </w:pPr>
            <w:r w:rsidRPr="007923C2">
              <w:rPr>
                <w:rFonts w:ascii="Arial" w:hAnsi="Arial" w:cs="Arial"/>
                <w:sz w:val="22"/>
                <w:szCs w:val="22"/>
              </w:rPr>
              <w:t>Ecología I</w:t>
            </w:r>
          </w:p>
        </w:tc>
        <w:tc>
          <w:tcPr>
            <w:tcW w:w="1417" w:type="dxa"/>
          </w:tcPr>
          <w:p w14:paraId="02064468" w14:textId="77777777" w:rsidR="005F2952" w:rsidRPr="007923C2" w:rsidRDefault="005F2952" w:rsidP="00BD7DAE">
            <w:pPr>
              <w:rPr>
                <w:rFonts w:ascii="Arial" w:hAnsi="Arial" w:cs="Arial"/>
                <w:sz w:val="22"/>
                <w:szCs w:val="22"/>
              </w:rPr>
            </w:pPr>
            <w:r w:rsidRPr="007923C2">
              <w:rPr>
                <w:rFonts w:ascii="Arial" w:hAnsi="Arial" w:cs="Arial"/>
                <w:sz w:val="22"/>
                <w:szCs w:val="22"/>
              </w:rPr>
              <w:t>BOT427</w:t>
            </w:r>
          </w:p>
        </w:tc>
      </w:tr>
      <w:tr w:rsidR="005F2952" w:rsidRPr="007923C2" w14:paraId="4C029398" w14:textId="77777777" w:rsidTr="00DB4F40">
        <w:tc>
          <w:tcPr>
            <w:tcW w:w="562" w:type="dxa"/>
          </w:tcPr>
          <w:p w14:paraId="17787F81"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3</w:t>
            </w:r>
          </w:p>
        </w:tc>
        <w:tc>
          <w:tcPr>
            <w:tcW w:w="2694" w:type="dxa"/>
          </w:tcPr>
          <w:p w14:paraId="04C02679" w14:textId="7B70BAC0" w:rsidR="005F2952" w:rsidRPr="007923C2" w:rsidRDefault="005F2952" w:rsidP="00BD7DAE">
            <w:pPr>
              <w:rPr>
                <w:rFonts w:ascii="Arial" w:hAnsi="Arial" w:cs="Arial"/>
                <w:sz w:val="22"/>
                <w:szCs w:val="22"/>
              </w:rPr>
            </w:pPr>
            <w:r w:rsidRPr="007923C2">
              <w:rPr>
                <w:rFonts w:ascii="Arial" w:hAnsi="Arial" w:cs="Arial"/>
                <w:sz w:val="22"/>
                <w:szCs w:val="22"/>
              </w:rPr>
              <w:t>Arquitectura</w:t>
            </w:r>
            <w:r w:rsidR="006D7AE6">
              <w:rPr>
                <w:rFonts w:ascii="Arial" w:hAnsi="Arial" w:cs="Arial"/>
                <w:sz w:val="22"/>
                <w:szCs w:val="22"/>
              </w:rPr>
              <w:t xml:space="preserve"> </w:t>
            </w:r>
            <w:r w:rsidRPr="007923C2">
              <w:rPr>
                <w:rFonts w:ascii="Arial" w:hAnsi="Arial" w:cs="Arial"/>
                <w:sz w:val="22"/>
                <w:szCs w:val="22"/>
              </w:rPr>
              <w:t>del Paisaje</w:t>
            </w:r>
          </w:p>
        </w:tc>
        <w:tc>
          <w:tcPr>
            <w:tcW w:w="1134" w:type="dxa"/>
          </w:tcPr>
          <w:p w14:paraId="5A90A2AF" w14:textId="77777777" w:rsidR="005F2952" w:rsidRPr="007923C2" w:rsidRDefault="005F2952" w:rsidP="00BD7DAE">
            <w:pPr>
              <w:rPr>
                <w:rFonts w:ascii="Arial" w:hAnsi="Arial" w:cs="Arial"/>
                <w:sz w:val="22"/>
                <w:szCs w:val="22"/>
              </w:rPr>
            </w:pPr>
            <w:r w:rsidRPr="007923C2">
              <w:rPr>
                <w:rFonts w:ascii="Arial" w:hAnsi="Arial" w:cs="Arial"/>
                <w:sz w:val="22"/>
                <w:szCs w:val="22"/>
              </w:rPr>
              <w:t>SUE409</w:t>
            </w:r>
          </w:p>
        </w:tc>
        <w:tc>
          <w:tcPr>
            <w:tcW w:w="708" w:type="dxa"/>
          </w:tcPr>
          <w:p w14:paraId="79BDEC49" w14:textId="77777777" w:rsidR="005F2952" w:rsidRPr="007923C2" w:rsidRDefault="005F2952" w:rsidP="00BD7DAE">
            <w:pPr>
              <w:rPr>
                <w:rFonts w:ascii="Arial" w:hAnsi="Arial" w:cs="Arial"/>
                <w:sz w:val="22"/>
                <w:szCs w:val="22"/>
              </w:rPr>
            </w:pPr>
            <w:r w:rsidRPr="007923C2">
              <w:rPr>
                <w:rFonts w:ascii="Arial" w:hAnsi="Arial" w:cs="Arial"/>
                <w:sz w:val="22"/>
                <w:szCs w:val="22"/>
              </w:rPr>
              <w:t>2-2</w:t>
            </w:r>
          </w:p>
        </w:tc>
        <w:tc>
          <w:tcPr>
            <w:tcW w:w="1418" w:type="dxa"/>
          </w:tcPr>
          <w:p w14:paraId="061EAF20" w14:textId="77777777"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14:paraId="623102D0" w14:textId="77777777" w:rsidR="005F2952" w:rsidRPr="007923C2" w:rsidRDefault="005F2952" w:rsidP="00BD7DAE">
            <w:pPr>
              <w:rPr>
                <w:rFonts w:ascii="Arial" w:hAnsi="Arial" w:cs="Arial"/>
                <w:sz w:val="22"/>
                <w:szCs w:val="22"/>
              </w:rPr>
            </w:pPr>
            <w:r w:rsidRPr="007923C2">
              <w:rPr>
                <w:rFonts w:ascii="Arial" w:hAnsi="Arial" w:cs="Arial"/>
                <w:sz w:val="22"/>
                <w:szCs w:val="22"/>
              </w:rPr>
              <w:t>Evaluación de Ecosistemas</w:t>
            </w:r>
          </w:p>
        </w:tc>
        <w:tc>
          <w:tcPr>
            <w:tcW w:w="1417" w:type="dxa"/>
          </w:tcPr>
          <w:p w14:paraId="0D45DB81" w14:textId="77777777" w:rsidR="005F2952" w:rsidRPr="007923C2" w:rsidRDefault="005F2952" w:rsidP="00BD7DAE">
            <w:pPr>
              <w:rPr>
                <w:rFonts w:ascii="Arial" w:hAnsi="Arial" w:cs="Arial"/>
                <w:sz w:val="22"/>
                <w:szCs w:val="22"/>
              </w:rPr>
            </w:pPr>
            <w:r w:rsidRPr="007923C2">
              <w:rPr>
                <w:rFonts w:ascii="Arial" w:hAnsi="Arial" w:cs="Arial"/>
                <w:sz w:val="22"/>
                <w:szCs w:val="22"/>
              </w:rPr>
              <w:t>BOT455</w:t>
            </w:r>
          </w:p>
        </w:tc>
      </w:tr>
      <w:tr w:rsidR="005F2952" w:rsidRPr="007923C2" w14:paraId="0CDBE651" w14:textId="77777777" w:rsidTr="00DB4F40">
        <w:tc>
          <w:tcPr>
            <w:tcW w:w="562" w:type="dxa"/>
          </w:tcPr>
          <w:p w14:paraId="19E4FCBF"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4</w:t>
            </w:r>
          </w:p>
        </w:tc>
        <w:tc>
          <w:tcPr>
            <w:tcW w:w="2694" w:type="dxa"/>
          </w:tcPr>
          <w:p w14:paraId="00C0ECA7" w14:textId="08313D53" w:rsidR="005F2952" w:rsidRPr="007923C2" w:rsidRDefault="00ED45A7" w:rsidP="00BD7DAE">
            <w:pPr>
              <w:rPr>
                <w:rFonts w:ascii="Arial" w:hAnsi="Arial" w:cs="Arial"/>
                <w:sz w:val="22"/>
                <w:szCs w:val="22"/>
              </w:rPr>
            </w:pPr>
            <w:r>
              <w:rPr>
                <w:rFonts w:ascii="Arial" w:hAnsi="Arial" w:cs="Arial"/>
                <w:sz w:val="22"/>
                <w:szCs w:val="22"/>
              </w:rPr>
              <w:t>Física</w:t>
            </w:r>
          </w:p>
        </w:tc>
        <w:tc>
          <w:tcPr>
            <w:tcW w:w="1134" w:type="dxa"/>
          </w:tcPr>
          <w:p w14:paraId="04437E2A" w14:textId="46E5AD83" w:rsidR="005F2952" w:rsidRPr="007923C2" w:rsidRDefault="00ED45A7" w:rsidP="00BD7DAE">
            <w:pPr>
              <w:rPr>
                <w:rFonts w:ascii="Arial" w:hAnsi="Arial" w:cs="Arial"/>
                <w:sz w:val="22"/>
                <w:szCs w:val="22"/>
              </w:rPr>
            </w:pPr>
            <w:r>
              <w:rPr>
                <w:rFonts w:ascii="Arial" w:hAnsi="Arial" w:cs="Arial"/>
                <w:sz w:val="22"/>
                <w:szCs w:val="22"/>
              </w:rPr>
              <w:t>CSB401</w:t>
            </w:r>
          </w:p>
        </w:tc>
        <w:tc>
          <w:tcPr>
            <w:tcW w:w="708" w:type="dxa"/>
          </w:tcPr>
          <w:p w14:paraId="2C4BCD47" w14:textId="18985659" w:rsidR="005F2952" w:rsidRPr="007923C2" w:rsidRDefault="00ED45A7" w:rsidP="00BD7DAE">
            <w:pPr>
              <w:rPr>
                <w:rFonts w:ascii="Arial" w:hAnsi="Arial" w:cs="Arial"/>
                <w:sz w:val="22"/>
                <w:szCs w:val="22"/>
              </w:rPr>
            </w:pPr>
            <w:r>
              <w:rPr>
                <w:rFonts w:ascii="Arial" w:hAnsi="Arial" w:cs="Arial"/>
                <w:sz w:val="22"/>
                <w:szCs w:val="22"/>
              </w:rPr>
              <w:t>4</w:t>
            </w:r>
            <w:r w:rsidR="005F2952" w:rsidRPr="007923C2">
              <w:rPr>
                <w:rFonts w:ascii="Arial" w:hAnsi="Arial" w:cs="Arial"/>
                <w:sz w:val="22"/>
                <w:szCs w:val="22"/>
              </w:rPr>
              <w:t>-2</w:t>
            </w:r>
          </w:p>
        </w:tc>
        <w:tc>
          <w:tcPr>
            <w:tcW w:w="1418" w:type="dxa"/>
          </w:tcPr>
          <w:p w14:paraId="730EEEB8" w14:textId="43EDCC67" w:rsidR="005F2952" w:rsidRPr="007923C2" w:rsidRDefault="00ED45A7" w:rsidP="00BD7DAE">
            <w:pPr>
              <w:rPr>
                <w:rFonts w:ascii="Arial" w:hAnsi="Arial" w:cs="Arial"/>
                <w:sz w:val="22"/>
                <w:szCs w:val="22"/>
              </w:rPr>
            </w:pPr>
            <w:r>
              <w:rPr>
                <w:rFonts w:ascii="Arial" w:hAnsi="Arial" w:cs="Arial"/>
                <w:sz w:val="22"/>
                <w:szCs w:val="22"/>
              </w:rPr>
              <w:t>10</w:t>
            </w:r>
          </w:p>
        </w:tc>
        <w:tc>
          <w:tcPr>
            <w:tcW w:w="1701" w:type="dxa"/>
          </w:tcPr>
          <w:p w14:paraId="1EE9062A" w14:textId="2DDA3264" w:rsidR="005F2952" w:rsidRPr="007923C2" w:rsidRDefault="00ED45A7" w:rsidP="00BD7DAE">
            <w:pPr>
              <w:rPr>
                <w:rFonts w:ascii="Arial" w:hAnsi="Arial" w:cs="Arial"/>
                <w:sz w:val="22"/>
                <w:szCs w:val="22"/>
              </w:rPr>
            </w:pPr>
            <w:r>
              <w:rPr>
                <w:rFonts w:ascii="Arial" w:hAnsi="Arial" w:cs="Arial"/>
                <w:sz w:val="22"/>
                <w:szCs w:val="22"/>
              </w:rPr>
              <w:t>SR</w:t>
            </w:r>
          </w:p>
        </w:tc>
        <w:tc>
          <w:tcPr>
            <w:tcW w:w="1417" w:type="dxa"/>
          </w:tcPr>
          <w:p w14:paraId="6C9E381F" w14:textId="2509FA09" w:rsidR="005F2952" w:rsidRPr="007923C2" w:rsidRDefault="005F2952" w:rsidP="00BD7DAE">
            <w:pPr>
              <w:rPr>
                <w:rFonts w:ascii="Arial" w:hAnsi="Arial" w:cs="Arial"/>
                <w:sz w:val="22"/>
                <w:szCs w:val="22"/>
              </w:rPr>
            </w:pPr>
          </w:p>
        </w:tc>
      </w:tr>
      <w:tr w:rsidR="005F2952" w:rsidRPr="007923C2" w14:paraId="686B1464" w14:textId="77777777" w:rsidTr="00DB4F40">
        <w:tc>
          <w:tcPr>
            <w:tcW w:w="562" w:type="dxa"/>
          </w:tcPr>
          <w:p w14:paraId="6B1F5803"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5</w:t>
            </w:r>
          </w:p>
        </w:tc>
        <w:tc>
          <w:tcPr>
            <w:tcW w:w="2694" w:type="dxa"/>
          </w:tcPr>
          <w:p w14:paraId="2C8059D6" w14:textId="77777777" w:rsidR="005F2952" w:rsidRPr="007923C2" w:rsidRDefault="005F2952" w:rsidP="00BD7DAE">
            <w:pPr>
              <w:rPr>
                <w:rFonts w:ascii="Arial" w:hAnsi="Arial" w:cs="Arial"/>
                <w:sz w:val="22"/>
                <w:szCs w:val="22"/>
              </w:rPr>
            </w:pPr>
            <w:r w:rsidRPr="007923C2">
              <w:rPr>
                <w:rFonts w:ascii="Arial" w:hAnsi="Arial" w:cs="Arial"/>
                <w:sz w:val="22"/>
                <w:szCs w:val="22"/>
              </w:rPr>
              <w:t>Biología Molecular</w:t>
            </w:r>
          </w:p>
        </w:tc>
        <w:tc>
          <w:tcPr>
            <w:tcW w:w="1134" w:type="dxa"/>
          </w:tcPr>
          <w:p w14:paraId="53032C33" w14:textId="77777777" w:rsidR="005F2952" w:rsidRPr="007923C2" w:rsidRDefault="005F2952" w:rsidP="00BD7DAE">
            <w:pPr>
              <w:rPr>
                <w:rFonts w:ascii="Arial" w:hAnsi="Arial" w:cs="Arial"/>
                <w:sz w:val="22"/>
                <w:szCs w:val="22"/>
              </w:rPr>
            </w:pPr>
            <w:r w:rsidRPr="007923C2">
              <w:rPr>
                <w:rFonts w:ascii="Arial" w:hAnsi="Arial" w:cs="Arial"/>
                <w:sz w:val="22"/>
                <w:szCs w:val="22"/>
              </w:rPr>
              <w:t>BOT403</w:t>
            </w:r>
          </w:p>
        </w:tc>
        <w:tc>
          <w:tcPr>
            <w:tcW w:w="708" w:type="dxa"/>
          </w:tcPr>
          <w:p w14:paraId="3BC388FA" w14:textId="77777777" w:rsidR="005F2952" w:rsidRPr="007923C2" w:rsidRDefault="005F2952" w:rsidP="00BD7DAE">
            <w:pPr>
              <w:rPr>
                <w:rFonts w:ascii="Arial" w:hAnsi="Arial" w:cs="Arial"/>
                <w:sz w:val="22"/>
                <w:szCs w:val="22"/>
              </w:rPr>
            </w:pPr>
            <w:r w:rsidRPr="007923C2">
              <w:rPr>
                <w:rFonts w:ascii="Arial" w:hAnsi="Arial" w:cs="Arial"/>
                <w:sz w:val="22"/>
                <w:szCs w:val="22"/>
              </w:rPr>
              <w:t>3-0</w:t>
            </w:r>
          </w:p>
        </w:tc>
        <w:tc>
          <w:tcPr>
            <w:tcW w:w="1418" w:type="dxa"/>
          </w:tcPr>
          <w:p w14:paraId="576AC09A" w14:textId="77777777"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14:paraId="356BAF5C" w14:textId="77777777" w:rsidR="005F2952" w:rsidRPr="007923C2" w:rsidRDefault="005F2952" w:rsidP="00BD7DAE">
            <w:pPr>
              <w:rPr>
                <w:rFonts w:ascii="Arial" w:hAnsi="Arial" w:cs="Arial"/>
                <w:sz w:val="22"/>
                <w:szCs w:val="22"/>
              </w:rPr>
            </w:pPr>
            <w:r w:rsidRPr="007923C2">
              <w:rPr>
                <w:rFonts w:ascii="Arial" w:hAnsi="Arial" w:cs="Arial"/>
                <w:sz w:val="22"/>
                <w:szCs w:val="22"/>
              </w:rPr>
              <w:t xml:space="preserve">Genética </w:t>
            </w:r>
          </w:p>
        </w:tc>
        <w:tc>
          <w:tcPr>
            <w:tcW w:w="1417" w:type="dxa"/>
          </w:tcPr>
          <w:p w14:paraId="7F3326F9" w14:textId="77777777" w:rsidR="005F2952" w:rsidRPr="007923C2" w:rsidRDefault="005F2952" w:rsidP="00BD7DAE">
            <w:pPr>
              <w:rPr>
                <w:rFonts w:ascii="Arial" w:hAnsi="Arial" w:cs="Arial"/>
                <w:sz w:val="22"/>
                <w:szCs w:val="22"/>
              </w:rPr>
            </w:pPr>
            <w:r w:rsidRPr="007923C2">
              <w:rPr>
                <w:rFonts w:ascii="Arial" w:hAnsi="Arial" w:cs="Arial"/>
                <w:sz w:val="22"/>
                <w:szCs w:val="22"/>
              </w:rPr>
              <w:t>FIT401</w:t>
            </w:r>
          </w:p>
        </w:tc>
      </w:tr>
      <w:tr w:rsidR="005F2952" w:rsidRPr="007923C2" w14:paraId="2683F3F5" w14:textId="77777777" w:rsidTr="00DB4F40">
        <w:tc>
          <w:tcPr>
            <w:tcW w:w="562" w:type="dxa"/>
          </w:tcPr>
          <w:p w14:paraId="6EFA3CEE"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6</w:t>
            </w:r>
          </w:p>
        </w:tc>
        <w:tc>
          <w:tcPr>
            <w:tcW w:w="2694" w:type="dxa"/>
          </w:tcPr>
          <w:p w14:paraId="1100794A" w14:textId="77777777" w:rsidR="005F2952" w:rsidRPr="007923C2" w:rsidRDefault="005F2952" w:rsidP="00BD7DAE">
            <w:pPr>
              <w:rPr>
                <w:rFonts w:ascii="Arial" w:hAnsi="Arial" w:cs="Arial"/>
                <w:sz w:val="22"/>
                <w:szCs w:val="22"/>
              </w:rPr>
            </w:pPr>
            <w:r w:rsidRPr="007923C2">
              <w:rPr>
                <w:rFonts w:ascii="Arial" w:hAnsi="Arial" w:cs="Arial"/>
                <w:sz w:val="22"/>
                <w:szCs w:val="22"/>
              </w:rPr>
              <w:t>Biotecnología II</w:t>
            </w:r>
          </w:p>
        </w:tc>
        <w:tc>
          <w:tcPr>
            <w:tcW w:w="1134" w:type="dxa"/>
          </w:tcPr>
          <w:p w14:paraId="5A39C50D" w14:textId="77777777" w:rsidR="005F2952" w:rsidRPr="007923C2" w:rsidRDefault="005F2952" w:rsidP="00BD7DAE">
            <w:pPr>
              <w:rPr>
                <w:rFonts w:ascii="Arial" w:hAnsi="Arial" w:cs="Arial"/>
                <w:sz w:val="22"/>
                <w:szCs w:val="22"/>
              </w:rPr>
            </w:pPr>
            <w:r w:rsidRPr="007923C2">
              <w:rPr>
                <w:rFonts w:ascii="Arial" w:hAnsi="Arial" w:cs="Arial"/>
                <w:sz w:val="22"/>
                <w:szCs w:val="22"/>
              </w:rPr>
              <w:t>FIT493</w:t>
            </w:r>
          </w:p>
        </w:tc>
        <w:tc>
          <w:tcPr>
            <w:tcW w:w="708" w:type="dxa"/>
          </w:tcPr>
          <w:p w14:paraId="75497443"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1DFE27CD"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3A49A7E2" w14:textId="77777777" w:rsidR="005F2952" w:rsidRPr="007923C2" w:rsidRDefault="005F2952" w:rsidP="00BD7DAE">
            <w:pPr>
              <w:rPr>
                <w:rFonts w:ascii="Arial" w:hAnsi="Arial" w:cs="Arial"/>
                <w:sz w:val="22"/>
                <w:szCs w:val="22"/>
              </w:rPr>
            </w:pPr>
            <w:r w:rsidRPr="007923C2">
              <w:rPr>
                <w:rFonts w:ascii="Arial" w:hAnsi="Arial" w:cs="Arial"/>
                <w:sz w:val="22"/>
                <w:szCs w:val="22"/>
              </w:rPr>
              <w:t>Biotecnología I</w:t>
            </w:r>
          </w:p>
        </w:tc>
        <w:tc>
          <w:tcPr>
            <w:tcW w:w="1417" w:type="dxa"/>
          </w:tcPr>
          <w:p w14:paraId="36BA5CB9" w14:textId="77777777" w:rsidR="005F2952" w:rsidRPr="007923C2" w:rsidRDefault="005F2952" w:rsidP="00BD7DAE">
            <w:pPr>
              <w:rPr>
                <w:rFonts w:ascii="Arial" w:hAnsi="Arial" w:cs="Arial"/>
                <w:sz w:val="22"/>
                <w:szCs w:val="22"/>
              </w:rPr>
            </w:pPr>
            <w:r w:rsidRPr="007923C2">
              <w:rPr>
                <w:rFonts w:ascii="Arial" w:hAnsi="Arial" w:cs="Arial"/>
                <w:sz w:val="22"/>
                <w:szCs w:val="22"/>
              </w:rPr>
              <w:t>FIT492</w:t>
            </w:r>
          </w:p>
        </w:tc>
      </w:tr>
      <w:tr w:rsidR="005F2952" w:rsidRPr="007923C2" w14:paraId="0FBA50C4" w14:textId="77777777" w:rsidTr="00DB4F40">
        <w:tc>
          <w:tcPr>
            <w:tcW w:w="562" w:type="dxa"/>
            <w:tcBorders>
              <w:bottom w:val="single" w:sz="4" w:space="0" w:color="auto"/>
            </w:tcBorders>
          </w:tcPr>
          <w:p w14:paraId="2F32D42C"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7</w:t>
            </w:r>
          </w:p>
        </w:tc>
        <w:tc>
          <w:tcPr>
            <w:tcW w:w="2694" w:type="dxa"/>
            <w:tcBorders>
              <w:bottom w:val="single" w:sz="4" w:space="0" w:color="auto"/>
            </w:tcBorders>
          </w:tcPr>
          <w:p w14:paraId="4C02717A" w14:textId="77777777" w:rsidR="005F2952" w:rsidRPr="007923C2" w:rsidRDefault="005F2952" w:rsidP="00BD7DAE">
            <w:pPr>
              <w:rPr>
                <w:rFonts w:ascii="Arial" w:hAnsi="Arial" w:cs="Arial"/>
                <w:sz w:val="22"/>
                <w:szCs w:val="22"/>
              </w:rPr>
            </w:pPr>
            <w:r w:rsidRPr="007923C2">
              <w:rPr>
                <w:rFonts w:ascii="Arial" w:hAnsi="Arial" w:cs="Arial"/>
                <w:sz w:val="22"/>
                <w:szCs w:val="22"/>
              </w:rPr>
              <w:t>Ecología de Plagas y Enfermedades</w:t>
            </w:r>
          </w:p>
        </w:tc>
        <w:tc>
          <w:tcPr>
            <w:tcW w:w="1134" w:type="dxa"/>
            <w:tcBorders>
              <w:bottom w:val="single" w:sz="4" w:space="0" w:color="auto"/>
            </w:tcBorders>
          </w:tcPr>
          <w:p w14:paraId="14C838D4" w14:textId="77777777" w:rsidR="005F2952" w:rsidRPr="007923C2" w:rsidRDefault="005F2952" w:rsidP="00BD7DAE">
            <w:pPr>
              <w:rPr>
                <w:rFonts w:ascii="Arial" w:hAnsi="Arial" w:cs="Arial"/>
                <w:sz w:val="22"/>
                <w:szCs w:val="22"/>
              </w:rPr>
            </w:pPr>
            <w:r w:rsidRPr="007923C2">
              <w:rPr>
                <w:rFonts w:ascii="Arial" w:hAnsi="Arial" w:cs="Arial"/>
                <w:sz w:val="22"/>
                <w:szCs w:val="22"/>
              </w:rPr>
              <w:t>PAR497</w:t>
            </w:r>
          </w:p>
        </w:tc>
        <w:tc>
          <w:tcPr>
            <w:tcW w:w="708" w:type="dxa"/>
            <w:tcBorders>
              <w:bottom w:val="single" w:sz="4" w:space="0" w:color="auto"/>
            </w:tcBorders>
          </w:tcPr>
          <w:p w14:paraId="6038D8E2"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Borders>
              <w:bottom w:val="single" w:sz="4" w:space="0" w:color="auto"/>
            </w:tcBorders>
          </w:tcPr>
          <w:p w14:paraId="7FE534F5"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Borders>
              <w:bottom w:val="single" w:sz="4" w:space="0" w:color="auto"/>
            </w:tcBorders>
          </w:tcPr>
          <w:p w14:paraId="172D9990" w14:textId="77777777" w:rsidR="005F2952" w:rsidRPr="007923C2" w:rsidRDefault="005F2952" w:rsidP="00BD7DAE">
            <w:pPr>
              <w:rPr>
                <w:rFonts w:ascii="Arial" w:hAnsi="Arial" w:cs="Arial"/>
                <w:sz w:val="22"/>
                <w:szCs w:val="22"/>
              </w:rPr>
            </w:pPr>
            <w:r w:rsidRPr="007923C2">
              <w:rPr>
                <w:rFonts w:ascii="Arial" w:hAnsi="Arial" w:cs="Arial"/>
                <w:sz w:val="22"/>
                <w:szCs w:val="22"/>
              </w:rPr>
              <w:t>Ecología II</w:t>
            </w:r>
          </w:p>
        </w:tc>
        <w:tc>
          <w:tcPr>
            <w:tcW w:w="1417" w:type="dxa"/>
            <w:tcBorders>
              <w:bottom w:val="single" w:sz="4" w:space="0" w:color="auto"/>
            </w:tcBorders>
          </w:tcPr>
          <w:p w14:paraId="4B68D4D8" w14:textId="77777777" w:rsidR="005F2952" w:rsidRPr="007923C2" w:rsidRDefault="005F2952" w:rsidP="00BD7DAE">
            <w:pPr>
              <w:rPr>
                <w:rFonts w:ascii="Arial" w:hAnsi="Arial" w:cs="Arial"/>
                <w:sz w:val="22"/>
                <w:szCs w:val="22"/>
              </w:rPr>
            </w:pPr>
            <w:r w:rsidRPr="007923C2">
              <w:rPr>
                <w:rFonts w:ascii="Arial" w:hAnsi="Arial" w:cs="Arial"/>
                <w:sz w:val="22"/>
                <w:szCs w:val="22"/>
              </w:rPr>
              <w:t>BOT445</w:t>
            </w:r>
          </w:p>
        </w:tc>
      </w:tr>
      <w:tr w:rsidR="005F2952" w:rsidRPr="007923C2" w14:paraId="0961EEBB" w14:textId="77777777" w:rsidTr="00DB4F40">
        <w:tc>
          <w:tcPr>
            <w:tcW w:w="562" w:type="dxa"/>
            <w:tcBorders>
              <w:top w:val="single" w:sz="4" w:space="0" w:color="auto"/>
              <w:left w:val="single" w:sz="4" w:space="0" w:color="auto"/>
              <w:bottom w:val="nil"/>
              <w:right w:val="single" w:sz="4" w:space="0" w:color="auto"/>
            </w:tcBorders>
          </w:tcPr>
          <w:p w14:paraId="79B93110"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8</w:t>
            </w:r>
          </w:p>
        </w:tc>
        <w:tc>
          <w:tcPr>
            <w:tcW w:w="2694" w:type="dxa"/>
            <w:tcBorders>
              <w:top w:val="single" w:sz="4" w:space="0" w:color="auto"/>
              <w:left w:val="single" w:sz="4" w:space="0" w:color="auto"/>
              <w:bottom w:val="nil"/>
              <w:right w:val="single" w:sz="4" w:space="0" w:color="auto"/>
            </w:tcBorders>
          </w:tcPr>
          <w:p w14:paraId="509C260D" w14:textId="77777777" w:rsidR="005F2952" w:rsidRPr="007923C2" w:rsidRDefault="005F2952" w:rsidP="00BD7DAE">
            <w:pPr>
              <w:rPr>
                <w:rFonts w:ascii="Arial" w:hAnsi="Arial" w:cs="Arial"/>
                <w:sz w:val="22"/>
                <w:szCs w:val="22"/>
              </w:rPr>
            </w:pPr>
            <w:r w:rsidRPr="007923C2">
              <w:rPr>
                <w:rFonts w:ascii="Arial" w:hAnsi="Arial" w:cs="Arial"/>
                <w:sz w:val="22"/>
                <w:szCs w:val="22"/>
              </w:rPr>
              <w:t>Ecología, Producción y Desarrollo Campesino</w:t>
            </w:r>
          </w:p>
        </w:tc>
        <w:tc>
          <w:tcPr>
            <w:tcW w:w="1134" w:type="dxa"/>
            <w:tcBorders>
              <w:top w:val="single" w:sz="4" w:space="0" w:color="auto"/>
              <w:left w:val="single" w:sz="4" w:space="0" w:color="auto"/>
              <w:bottom w:val="nil"/>
              <w:right w:val="single" w:sz="4" w:space="0" w:color="auto"/>
            </w:tcBorders>
          </w:tcPr>
          <w:p w14:paraId="116CA8A7" w14:textId="77777777" w:rsidR="005F2952" w:rsidRPr="007923C2" w:rsidRDefault="005F2952" w:rsidP="00BD7DAE">
            <w:pPr>
              <w:rPr>
                <w:rFonts w:ascii="Arial" w:hAnsi="Arial" w:cs="Arial"/>
                <w:sz w:val="22"/>
                <w:szCs w:val="22"/>
              </w:rPr>
            </w:pPr>
            <w:r w:rsidRPr="007923C2">
              <w:rPr>
                <w:rFonts w:ascii="Arial" w:hAnsi="Arial" w:cs="Arial"/>
                <w:sz w:val="22"/>
                <w:szCs w:val="22"/>
              </w:rPr>
              <w:t>BOT472</w:t>
            </w:r>
          </w:p>
        </w:tc>
        <w:tc>
          <w:tcPr>
            <w:tcW w:w="708" w:type="dxa"/>
            <w:tcBorders>
              <w:top w:val="single" w:sz="4" w:space="0" w:color="auto"/>
              <w:left w:val="single" w:sz="4" w:space="0" w:color="auto"/>
              <w:bottom w:val="nil"/>
              <w:right w:val="single" w:sz="4" w:space="0" w:color="auto"/>
            </w:tcBorders>
          </w:tcPr>
          <w:p w14:paraId="108EBFAD"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Borders>
              <w:top w:val="single" w:sz="4" w:space="0" w:color="auto"/>
              <w:left w:val="single" w:sz="4" w:space="0" w:color="auto"/>
              <w:bottom w:val="nil"/>
              <w:right w:val="single" w:sz="4" w:space="0" w:color="auto"/>
            </w:tcBorders>
          </w:tcPr>
          <w:p w14:paraId="4F5BFB61"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Borders>
              <w:top w:val="single" w:sz="4" w:space="0" w:color="auto"/>
              <w:left w:val="single" w:sz="4" w:space="0" w:color="auto"/>
              <w:bottom w:val="nil"/>
              <w:right w:val="single" w:sz="4" w:space="0" w:color="auto"/>
            </w:tcBorders>
          </w:tcPr>
          <w:p w14:paraId="16C7A689" w14:textId="77777777" w:rsidR="005F2952" w:rsidRPr="007923C2" w:rsidRDefault="005F2952" w:rsidP="00BD7DAE">
            <w:pPr>
              <w:rPr>
                <w:rFonts w:ascii="Arial" w:hAnsi="Arial" w:cs="Arial"/>
                <w:sz w:val="22"/>
                <w:szCs w:val="22"/>
              </w:rPr>
            </w:pPr>
            <w:r w:rsidRPr="007923C2">
              <w:rPr>
                <w:rFonts w:ascii="Arial" w:hAnsi="Arial" w:cs="Arial"/>
                <w:sz w:val="22"/>
                <w:szCs w:val="22"/>
              </w:rPr>
              <w:t>Agroecología</w:t>
            </w:r>
          </w:p>
        </w:tc>
        <w:tc>
          <w:tcPr>
            <w:tcW w:w="1417" w:type="dxa"/>
            <w:tcBorders>
              <w:top w:val="single" w:sz="4" w:space="0" w:color="auto"/>
              <w:left w:val="single" w:sz="4" w:space="0" w:color="auto"/>
              <w:bottom w:val="nil"/>
              <w:right w:val="single" w:sz="4" w:space="0" w:color="auto"/>
            </w:tcBorders>
          </w:tcPr>
          <w:p w14:paraId="044C97A3" w14:textId="77777777" w:rsidR="005F2952" w:rsidRPr="007923C2" w:rsidRDefault="005F2952" w:rsidP="00BD7DAE">
            <w:pPr>
              <w:rPr>
                <w:rFonts w:ascii="Arial" w:hAnsi="Arial" w:cs="Arial"/>
                <w:sz w:val="22"/>
                <w:szCs w:val="22"/>
              </w:rPr>
            </w:pPr>
            <w:r w:rsidRPr="007923C2">
              <w:rPr>
                <w:rFonts w:ascii="Arial" w:hAnsi="Arial" w:cs="Arial"/>
                <w:sz w:val="22"/>
                <w:szCs w:val="22"/>
              </w:rPr>
              <w:t>BOT457</w:t>
            </w:r>
          </w:p>
        </w:tc>
      </w:tr>
      <w:tr w:rsidR="005F2952" w:rsidRPr="007923C2" w14:paraId="79C91BB7" w14:textId="77777777" w:rsidTr="00DB4F40">
        <w:tc>
          <w:tcPr>
            <w:tcW w:w="562" w:type="dxa"/>
            <w:tcBorders>
              <w:top w:val="nil"/>
              <w:left w:val="single" w:sz="4" w:space="0" w:color="auto"/>
              <w:bottom w:val="single" w:sz="4" w:space="0" w:color="auto"/>
              <w:right w:val="single" w:sz="4" w:space="0" w:color="auto"/>
            </w:tcBorders>
          </w:tcPr>
          <w:p w14:paraId="0D103D59" w14:textId="77777777" w:rsidR="005F2952" w:rsidRPr="007923C2" w:rsidRDefault="005F2952" w:rsidP="00DB4F40">
            <w:pPr>
              <w:jc w:val="center"/>
              <w:rPr>
                <w:rFonts w:ascii="Arial" w:hAnsi="Arial" w:cs="Arial"/>
                <w:sz w:val="22"/>
                <w:szCs w:val="22"/>
              </w:rPr>
            </w:pPr>
          </w:p>
        </w:tc>
        <w:tc>
          <w:tcPr>
            <w:tcW w:w="2694" w:type="dxa"/>
            <w:tcBorders>
              <w:top w:val="nil"/>
              <w:left w:val="single" w:sz="4" w:space="0" w:color="auto"/>
              <w:bottom w:val="single" w:sz="4" w:space="0" w:color="auto"/>
              <w:right w:val="single" w:sz="4" w:space="0" w:color="auto"/>
            </w:tcBorders>
          </w:tcPr>
          <w:p w14:paraId="430E48C3" w14:textId="77777777" w:rsidR="005F2952" w:rsidRPr="007923C2" w:rsidRDefault="005F2952" w:rsidP="00BD7DAE">
            <w:pPr>
              <w:rPr>
                <w:rFonts w:ascii="Arial" w:hAnsi="Arial" w:cs="Arial"/>
                <w:sz w:val="22"/>
                <w:szCs w:val="22"/>
              </w:rPr>
            </w:pPr>
          </w:p>
        </w:tc>
        <w:tc>
          <w:tcPr>
            <w:tcW w:w="1134" w:type="dxa"/>
            <w:tcBorders>
              <w:top w:val="nil"/>
              <w:left w:val="single" w:sz="4" w:space="0" w:color="auto"/>
              <w:bottom w:val="single" w:sz="4" w:space="0" w:color="auto"/>
              <w:right w:val="single" w:sz="4" w:space="0" w:color="auto"/>
            </w:tcBorders>
          </w:tcPr>
          <w:p w14:paraId="160A3AFB" w14:textId="77777777" w:rsidR="005F2952" w:rsidRPr="007923C2" w:rsidRDefault="005F2952" w:rsidP="00BD7DAE">
            <w:pPr>
              <w:rPr>
                <w:rFonts w:ascii="Arial" w:hAnsi="Arial" w:cs="Arial"/>
                <w:sz w:val="22"/>
                <w:szCs w:val="22"/>
              </w:rPr>
            </w:pPr>
          </w:p>
        </w:tc>
        <w:tc>
          <w:tcPr>
            <w:tcW w:w="708" w:type="dxa"/>
            <w:tcBorders>
              <w:top w:val="nil"/>
              <w:left w:val="single" w:sz="4" w:space="0" w:color="auto"/>
              <w:bottom w:val="single" w:sz="4" w:space="0" w:color="auto"/>
              <w:right w:val="single" w:sz="4" w:space="0" w:color="auto"/>
            </w:tcBorders>
          </w:tcPr>
          <w:p w14:paraId="2185765E" w14:textId="77777777" w:rsidR="005F2952" w:rsidRPr="007923C2" w:rsidRDefault="005F2952" w:rsidP="00BD7DAE">
            <w:pPr>
              <w:rPr>
                <w:rFonts w:ascii="Arial" w:hAnsi="Arial" w:cs="Arial"/>
                <w:sz w:val="22"/>
                <w:szCs w:val="22"/>
              </w:rPr>
            </w:pPr>
          </w:p>
        </w:tc>
        <w:tc>
          <w:tcPr>
            <w:tcW w:w="1418" w:type="dxa"/>
            <w:tcBorders>
              <w:top w:val="nil"/>
              <w:left w:val="single" w:sz="4" w:space="0" w:color="auto"/>
              <w:bottom w:val="single" w:sz="4" w:space="0" w:color="auto"/>
              <w:right w:val="single" w:sz="4" w:space="0" w:color="auto"/>
            </w:tcBorders>
          </w:tcPr>
          <w:p w14:paraId="181ABD0E" w14:textId="77777777" w:rsidR="005F2952" w:rsidRPr="007923C2" w:rsidRDefault="005F2952" w:rsidP="00BD7DAE">
            <w:pPr>
              <w:rPr>
                <w:rFonts w:ascii="Arial" w:hAnsi="Arial" w:cs="Arial"/>
                <w:sz w:val="22"/>
                <w:szCs w:val="22"/>
              </w:rPr>
            </w:pPr>
          </w:p>
        </w:tc>
        <w:tc>
          <w:tcPr>
            <w:tcW w:w="1701" w:type="dxa"/>
            <w:tcBorders>
              <w:top w:val="nil"/>
              <w:left w:val="single" w:sz="4" w:space="0" w:color="auto"/>
              <w:bottom w:val="single" w:sz="4" w:space="0" w:color="auto"/>
              <w:right w:val="single" w:sz="4" w:space="0" w:color="auto"/>
            </w:tcBorders>
          </w:tcPr>
          <w:p w14:paraId="54D391CF" w14:textId="77777777" w:rsidR="005F2952" w:rsidRPr="007923C2" w:rsidRDefault="005F2952" w:rsidP="00BD7DAE">
            <w:pPr>
              <w:rPr>
                <w:rFonts w:ascii="Arial" w:hAnsi="Arial" w:cs="Arial"/>
                <w:sz w:val="22"/>
                <w:szCs w:val="22"/>
              </w:rPr>
            </w:pPr>
            <w:r w:rsidRPr="007923C2">
              <w:rPr>
                <w:rFonts w:ascii="Arial" w:hAnsi="Arial" w:cs="Arial"/>
                <w:sz w:val="22"/>
                <w:szCs w:val="22"/>
              </w:rPr>
              <w:t>Ecología II</w:t>
            </w:r>
          </w:p>
        </w:tc>
        <w:tc>
          <w:tcPr>
            <w:tcW w:w="1417" w:type="dxa"/>
            <w:tcBorders>
              <w:top w:val="nil"/>
              <w:left w:val="single" w:sz="4" w:space="0" w:color="auto"/>
              <w:bottom w:val="single" w:sz="4" w:space="0" w:color="auto"/>
              <w:right w:val="single" w:sz="4" w:space="0" w:color="auto"/>
            </w:tcBorders>
          </w:tcPr>
          <w:p w14:paraId="538D963A" w14:textId="77777777" w:rsidR="005F2952" w:rsidRPr="007923C2" w:rsidRDefault="005F2952" w:rsidP="00BD7DAE">
            <w:pPr>
              <w:rPr>
                <w:rFonts w:ascii="Arial" w:hAnsi="Arial" w:cs="Arial"/>
                <w:sz w:val="22"/>
                <w:szCs w:val="22"/>
              </w:rPr>
            </w:pPr>
            <w:r w:rsidRPr="007923C2">
              <w:rPr>
                <w:rFonts w:ascii="Arial" w:hAnsi="Arial" w:cs="Arial"/>
                <w:sz w:val="22"/>
                <w:szCs w:val="22"/>
              </w:rPr>
              <w:t>BOT445</w:t>
            </w:r>
          </w:p>
        </w:tc>
      </w:tr>
      <w:tr w:rsidR="005F2952" w:rsidRPr="007923C2" w14:paraId="532BE63D" w14:textId="77777777" w:rsidTr="00DB4F40">
        <w:tc>
          <w:tcPr>
            <w:tcW w:w="562" w:type="dxa"/>
          </w:tcPr>
          <w:p w14:paraId="333923DB"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9</w:t>
            </w:r>
          </w:p>
        </w:tc>
        <w:tc>
          <w:tcPr>
            <w:tcW w:w="2694" w:type="dxa"/>
          </w:tcPr>
          <w:p w14:paraId="32216373" w14:textId="77777777" w:rsidR="005F2952" w:rsidRPr="007923C2" w:rsidRDefault="005F2952" w:rsidP="00BD7DAE">
            <w:pPr>
              <w:rPr>
                <w:rFonts w:ascii="Arial" w:hAnsi="Arial" w:cs="Arial"/>
                <w:sz w:val="22"/>
                <w:szCs w:val="22"/>
              </w:rPr>
            </w:pPr>
            <w:r w:rsidRPr="007923C2">
              <w:rPr>
                <w:rFonts w:ascii="Arial" w:hAnsi="Arial" w:cs="Arial"/>
                <w:sz w:val="22"/>
                <w:szCs w:val="22"/>
              </w:rPr>
              <w:t>Economía de las Unidades de Producción</w:t>
            </w:r>
          </w:p>
        </w:tc>
        <w:tc>
          <w:tcPr>
            <w:tcW w:w="1134" w:type="dxa"/>
          </w:tcPr>
          <w:p w14:paraId="45F0F2EA" w14:textId="77777777" w:rsidR="005F2952" w:rsidRPr="007923C2" w:rsidRDefault="005F2952" w:rsidP="00BD7DAE">
            <w:pPr>
              <w:rPr>
                <w:rFonts w:ascii="Arial" w:hAnsi="Arial" w:cs="Arial"/>
                <w:sz w:val="22"/>
                <w:szCs w:val="22"/>
              </w:rPr>
            </w:pPr>
            <w:r w:rsidRPr="007923C2">
              <w:rPr>
                <w:rFonts w:ascii="Arial" w:hAnsi="Arial" w:cs="Arial"/>
                <w:sz w:val="22"/>
                <w:szCs w:val="22"/>
              </w:rPr>
              <w:t>ECA496</w:t>
            </w:r>
          </w:p>
        </w:tc>
        <w:tc>
          <w:tcPr>
            <w:tcW w:w="708" w:type="dxa"/>
          </w:tcPr>
          <w:p w14:paraId="47A3E76E" w14:textId="77777777" w:rsidR="005F2952" w:rsidRPr="007923C2" w:rsidRDefault="005F2952" w:rsidP="00BD7DAE">
            <w:pPr>
              <w:rPr>
                <w:rFonts w:ascii="Arial" w:hAnsi="Arial" w:cs="Arial"/>
                <w:sz w:val="22"/>
                <w:szCs w:val="22"/>
              </w:rPr>
            </w:pPr>
            <w:r w:rsidRPr="007923C2">
              <w:rPr>
                <w:rFonts w:ascii="Arial" w:hAnsi="Arial" w:cs="Arial"/>
                <w:sz w:val="22"/>
                <w:szCs w:val="22"/>
              </w:rPr>
              <w:t>3-0</w:t>
            </w:r>
          </w:p>
        </w:tc>
        <w:tc>
          <w:tcPr>
            <w:tcW w:w="1418" w:type="dxa"/>
          </w:tcPr>
          <w:p w14:paraId="75F23A6E" w14:textId="77777777"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14:paraId="68B87523" w14:textId="77777777" w:rsidR="005F2952" w:rsidRPr="007923C2" w:rsidRDefault="005F2952" w:rsidP="00BD7DAE">
            <w:pPr>
              <w:rPr>
                <w:rFonts w:ascii="Arial" w:hAnsi="Arial" w:cs="Arial"/>
                <w:sz w:val="22"/>
                <w:szCs w:val="22"/>
              </w:rPr>
            </w:pPr>
            <w:r w:rsidRPr="007923C2">
              <w:rPr>
                <w:rFonts w:ascii="Arial" w:hAnsi="Arial" w:cs="Arial"/>
                <w:sz w:val="22"/>
                <w:szCs w:val="22"/>
              </w:rPr>
              <w:t>Economía General</w:t>
            </w:r>
          </w:p>
        </w:tc>
        <w:tc>
          <w:tcPr>
            <w:tcW w:w="1417" w:type="dxa"/>
          </w:tcPr>
          <w:p w14:paraId="07729E34" w14:textId="77777777" w:rsidR="005F2952" w:rsidRPr="007923C2" w:rsidRDefault="005F2952" w:rsidP="00BD7DAE">
            <w:pPr>
              <w:rPr>
                <w:rFonts w:ascii="Arial" w:hAnsi="Arial" w:cs="Arial"/>
                <w:sz w:val="22"/>
                <w:szCs w:val="22"/>
              </w:rPr>
            </w:pPr>
            <w:r w:rsidRPr="007923C2">
              <w:rPr>
                <w:rFonts w:ascii="Arial" w:hAnsi="Arial" w:cs="Arial"/>
                <w:sz w:val="22"/>
                <w:szCs w:val="22"/>
              </w:rPr>
              <w:t>ECA401</w:t>
            </w:r>
          </w:p>
        </w:tc>
      </w:tr>
      <w:tr w:rsidR="005F2952" w:rsidRPr="007923C2" w14:paraId="6D15247C" w14:textId="77777777" w:rsidTr="00DB4F40">
        <w:tc>
          <w:tcPr>
            <w:tcW w:w="562" w:type="dxa"/>
          </w:tcPr>
          <w:p w14:paraId="562C9896"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10</w:t>
            </w:r>
          </w:p>
        </w:tc>
        <w:tc>
          <w:tcPr>
            <w:tcW w:w="2694" w:type="dxa"/>
          </w:tcPr>
          <w:p w14:paraId="07E697F3" w14:textId="77777777" w:rsidR="005F2952" w:rsidRPr="007923C2" w:rsidRDefault="005F2952" w:rsidP="00BD7DAE">
            <w:pPr>
              <w:rPr>
                <w:rFonts w:ascii="Arial" w:hAnsi="Arial" w:cs="Arial"/>
                <w:sz w:val="22"/>
                <w:szCs w:val="22"/>
              </w:rPr>
            </w:pPr>
            <w:r w:rsidRPr="007923C2">
              <w:rPr>
                <w:rFonts w:ascii="Arial" w:hAnsi="Arial" w:cs="Arial"/>
                <w:sz w:val="22"/>
                <w:szCs w:val="22"/>
              </w:rPr>
              <w:t>Educación Ambiental</w:t>
            </w:r>
          </w:p>
        </w:tc>
        <w:tc>
          <w:tcPr>
            <w:tcW w:w="1134" w:type="dxa"/>
          </w:tcPr>
          <w:p w14:paraId="345FF682" w14:textId="77777777" w:rsidR="005F2952" w:rsidRPr="007923C2" w:rsidRDefault="005F2952" w:rsidP="00BD7DAE">
            <w:pPr>
              <w:rPr>
                <w:rFonts w:ascii="Arial" w:hAnsi="Arial" w:cs="Arial"/>
                <w:sz w:val="22"/>
                <w:szCs w:val="22"/>
              </w:rPr>
            </w:pPr>
            <w:r w:rsidRPr="007923C2">
              <w:rPr>
                <w:rFonts w:ascii="Arial" w:hAnsi="Arial" w:cs="Arial"/>
                <w:sz w:val="22"/>
                <w:szCs w:val="22"/>
              </w:rPr>
              <w:t>BOT462</w:t>
            </w:r>
          </w:p>
        </w:tc>
        <w:tc>
          <w:tcPr>
            <w:tcW w:w="708" w:type="dxa"/>
          </w:tcPr>
          <w:p w14:paraId="608099AA" w14:textId="77777777" w:rsidR="005F2952" w:rsidRPr="007923C2" w:rsidRDefault="005F2952" w:rsidP="00BD7DAE">
            <w:pPr>
              <w:rPr>
                <w:rFonts w:ascii="Arial" w:hAnsi="Arial" w:cs="Arial"/>
                <w:sz w:val="22"/>
                <w:szCs w:val="22"/>
              </w:rPr>
            </w:pPr>
            <w:r w:rsidRPr="007923C2">
              <w:rPr>
                <w:rFonts w:ascii="Arial" w:hAnsi="Arial" w:cs="Arial"/>
                <w:sz w:val="22"/>
                <w:szCs w:val="22"/>
              </w:rPr>
              <w:t>3-0</w:t>
            </w:r>
          </w:p>
        </w:tc>
        <w:tc>
          <w:tcPr>
            <w:tcW w:w="1418" w:type="dxa"/>
          </w:tcPr>
          <w:p w14:paraId="4093F0B0" w14:textId="77777777"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14:paraId="0685794A" w14:textId="77777777"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14:paraId="498ACE32" w14:textId="77777777" w:rsidR="005F2952" w:rsidRPr="007923C2" w:rsidRDefault="005F2952" w:rsidP="00BD7DAE">
            <w:pPr>
              <w:rPr>
                <w:rFonts w:ascii="Arial" w:hAnsi="Arial" w:cs="Arial"/>
                <w:sz w:val="22"/>
                <w:szCs w:val="22"/>
              </w:rPr>
            </w:pPr>
            <w:r w:rsidRPr="007923C2">
              <w:rPr>
                <w:rFonts w:ascii="Arial" w:hAnsi="Arial" w:cs="Arial"/>
                <w:sz w:val="22"/>
                <w:szCs w:val="22"/>
              </w:rPr>
              <w:t>-</w:t>
            </w:r>
          </w:p>
        </w:tc>
      </w:tr>
      <w:tr w:rsidR="005F2952" w:rsidRPr="007923C2" w14:paraId="69854AE2" w14:textId="77777777" w:rsidTr="00DB4F40">
        <w:tc>
          <w:tcPr>
            <w:tcW w:w="562" w:type="dxa"/>
          </w:tcPr>
          <w:p w14:paraId="5F259E75"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11</w:t>
            </w:r>
          </w:p>
        </w:tc>
        <w:tc>
          <w:tcPr>
            <w:tcW w:w="2694" w:type="dxa"/>
          </w:tcPr>
          <w:p w14:paraId="413CE09F" w14:textId="7EE026A1" w:rsidR="005F2952" w:rsidRPr="007923C2" w:rsidRDefault="00ED45A7" w:rsidP="00BD7DAE">
            <w:pPr>
              <w:rPr>
                <w:rFonts w:ascii="Arial" w:hAnsi="Arial" w:cs="Arial"/>
                <w:sz w:val="22"/>
                <w:szCs w:val="22"/>
              </w:rPr>
            </w:pPr>
            <w:r>
              <w:rPr>
                <w:rFonts w:ascii="Arial" w:hAnsi="Arial" w:cs="Arial"/>
                <w:sz w:val="22"/>
                <w:szCs w:val="22"/>
              </w:rPr>
              <w:t>Ecología II</w:t>
            </w:r>
          </w:p>
        </w:tc>
        <w:tc>
          <w:tcPr>
            <w:tcW w:w="1134" w:type="dxa"/>
          </w:tcPr>
          <w:p w14:paraId="5781FFBD" w14:textId="3C5B2A71" w:rsidR="005F2952" w:rsidRPr="007923C2" w:rsidRDefault="00ED45A7" w:rsidP="00BD7DAE">
            <w:pPr>
              <w:rPr>
                <w:rFonts w:ascii="Arial" w:hAnsi="Arial" w:cs="Arial"/>
                <w:sz w:val="22"/>
                <w:szCs w:val="22"/>
              </w:rPr>
            </w:pPr>
            <w:r>
              <w:rPr>
                <w:rFonts w:ascii="Arial" w:hAnsi="Arial" w:cs="Arial"/>
                <w:sz w:val="22"/>
                <w:szCs w:val="22"/>
              </w:rPr>
              <w:t>BOT445</w:t>
            </w:r>
          </w:p>
        </w:tc>
        <w:tc>
          <w:tcPr>
            <w:tcW w:w="708" w:type="dxa"/>
          </w:tcPr>
          <w:p w14:paraId="313CD68B"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05FF6705"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321FDA19" w14:textId="4730607A" w:rsidR="005F2952" w:rsidRPr="007923C2" w:rsidRDefault="00ED45A7" w:rsidP="00BD7DAE">
            <w:pPr>
              <w:rPr>
                <w:rFonts w:ascii="Arial" w:hAnsi="Arial" w:cs="Arial"/>
                <w:sz w:val="22"/>
                <w:szCs w:val="22"/>
              </w:rPr>
            </w:pPr>
            <w:r>
              <w:rPr>
                <w:rFonts w:ascii="Arial" w:hAnsi="Arial" w:cs="Arial"/>
                <w:sz w:val="22"/>
                <w:szCs w:val="22"/>
              </w:rPr>
              <w:t>Ecología I</w:t>
            </w:r>
          </w:p>
        </w:tc>
        <w:tc>
          <w:tcPr>
            <w:tcW w:w="1417" w:type="dxa"/>
          </w:tcPr>
          <w:p w14:paraId="0AFEBC2A" w14:textId="7E9888AF" w:rsidR="005F2952" w:rsidRPr="007923C2" w:rsidRDefault="00ED45A7" w:rsidP="00BD7DAE">
            <w:pPr>
              <w:rPr>
                <w:rFonts w:ascii="Arial" w:hAnsi="Arial" w:cs="Arial"/>
                <w:sz w:val="22"/>
                <w:szCs w:val="22"/>
              </w:rPr>
            </w:pPr>
            <w:r>
              <w:rPr>
                <w:rFonts w:ascii="Arial" w:hAnsi="Arial" w:cs="Arial"/>
                <w:sz w:val="22"/>
                <w:szCs w:val="22"/>
              </w:rPr>
              <w:t>BOT427</w:t>
            </w:r>
          </w:p>
        </w:tc>
      </w:tr>
      <w:tr w:rsidR="005F2952" w:rsidRPr="007923C2" w14:paraId="354F8075" w14:textId="77777777" w:rsidTr="00DB4F40">
        <w:tc>
          <w:tcPr>
            <w:tcW w:w="562" w:type="dxa"/>
          </w:tcPr>
          <w:p w14:paraId="39969FB6"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12</w:t>
            </w:r>
          </w:p>
        </w:tc>
        <w:tc>
          <w:tcPr>
            <w:tcW w:w="2694" w:type="dxa"/>
          </w:tcPr>
          <w:p w14:paraId="6279DA43" w14:textId="77777777" w:rsidR="005F2952" w:rsidRPr="007923C2" w:rsidRDefault="005F2952" w:rsidP="00BD7DAE">
            <w:pPr>
              <w:rPr>
                <w:rFonts w:ascii="Arial" w:hAnsi="Arial" w:cs="Arial"/>
                <w:sz w:val="22"/>
                <w:szCs w:val="22"/>
              </w:rPr>
            </w:pPr>
            <w:r w:rsidRPr="007923C2">
              <w:rPr>
                <w:rFonts w:ascii="Arial" w:hAnsi="Arial" w:cs="Arial"/>
                <w:sz w:val="22"/>
                <w:szCs w:val="22"/>
              </w:rPr>
              <w:t>Legislación  forestal y Ambiental</w:t>
            </w:r>
          </w:p>
        </w:tc>
        <w:tc>
          <w:tcPr>
            <w:tcW w:w="1134" w:type="dxa"/>
          </w:tcPr>
          <w:p w14:paraId="77B731AD" w14:textId="77777777" w:rsidR="005F2952" w:rsidRPr="007923C2" w:rsidRDefault="005F2952" w:rsidP="00BD7DAE">
            <w:pPr>
              <w:rPr>
                <w:rFonts w:ascii="Arial" w:hAnsi="Arial" w:cs="Arial"/>
                <w:sz w:val="22"/>
                <w:szCs w:val="22"/>
              </w:rPr>
            </w:pPr>
            <w:r w:rsidRPr="007923C2">
              <w:rPr>
                <w:rFonts w:ascii="Arial" w:hAnsi="Arial" w:cs="Arial"/>
                <w:sz w:val="22"/>
                <w:szCs w:val="22"/>
              </w:rPr>
              <w:t>FOR436</w:t>
            </w:r>
          </w:p>
        </w:tc>
        <w:tc>
          <w:tcPr>
            <w:tcW w:w="708" w:type="dxa"/>
          </w:tcPr>
          <w:p w14:paraId="49F9A4EB" w14:textId="77777777" w:rsidR="005F2952" w:rsidRPr="007923C2" w:rsidRDefault="005F2952" w:rsidP="00BD7DAE">
            <w:pPr>
              <w:rPr>
                <w:rFonts w:ascii="Arial" w:hAnsi="Arial" w:cs="Arial"/>
                <w:sz w:val="22"/>
                <w:szCs w:val="22"/>
              </w:rPr>
            </w:pPr>
            <w:r w:rsidRPr="007923C2">
              <w:rPr>
                <w:rFonts w:ascii="Arial" w:hAnsi="Arial" w:cs="Arial"/>
                <w:sz w:val="22"/>
                <w:szCs w:val="22"/>
              </w:rPr>
              <w:t>4-0</w:t>
            </w:r>
          </w:p>
        </w:tc>
        <w:tc>
          <w:tcPr>
            <w:tcW w:w="1418" w:type="dxa"/>
          </w:tcPr>
          <w:p w14:paraId="0938BAF1"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606874C8" w14:textId="77777777"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14:paraId="22551691" w14:textId="77777777" w:rsidR="005F2952" w:rsidRPr="007923C2" w:rsidRDefault="005F2952" w:rsidP="00BD7DAE">
            <w:pPr>
              <w:rPr>
                <w:rFonts w:ascii="Arial" w:hAnsi="Arial" w:cs="Arial"/>
                <w:sz w:val="22"/>
                <w:szCs w:val="22"/>
              </w:rPr>
            </w:pPr>
            <w:r w:rsidRPr="007923C2">
              <w:rPr>
                <w:rFonts w:ascii="Arial" w:hAnsi="Arial" w:cs="Arial"/>
                <w:sz w:val="22"/>
                <w:szCs w:val="22"/>
              </w:rPr>
              <w:t>-</w:t>
            </w:r>
          </w:p>
        </w:tc>
      </w:tr>
      <w:tr w:rsidR="005F2952" w:rsidRPr="007923C2" w14:paraId="1524F43E" w14:textId="77777777" w:rsidTr="00DB4F40">
        <w:tc>
          <w:tcPr>
            <w:tcW w:w="562" w:type="dxa"/>
          </w:tcPr>
          <w:p w14:paraId="45FFE2CB"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13</w:t>
            </w:r>
          </w:p>
        </w:tc>
        <w:tc>
          <w:tcPr>
            <w:tcW w:w="2694" w:type="dxa"/>
          </w:tcPr>
          <w:p w14:paraId="04AC5ADE" w14:textId="4741677D" w:rsidR="005F2952" w:rsidRPr="007923C2" w:rsidRDefault="00ED45A7" w:rsidP="00BD7DAE">
            <w:pPr>
              <w:rPr>
                <w:rFonts w:ascii="Arial" w:hAnsi="Arial" w:cs="Arial"/>
                <w:sz w:val="22"/>
                <w:szCs w:val="22"/>
              </w:rPr>
            </w:pPr>
            <w:r>
              <w:rPr>
                <w:rFonts w:ascii="Arial" w:hAnsi="Arial" w:cs="Arial"/>
                <w:sz w:val="22"/>
                <w:szCs w:val="22"/>
              </w:rPr>
              <w:t>Economía general</w:t>
            </w:r>
          </w:p>
        </w:tc>
        <w:tc>
          <w:tcPr>
            <w:tcW w:w="1134" w:type="dxa"/>
          </w:tcPr>
          <w:p w14:paraId="6326B74F" w14:textId="425C40D3" w:rsidR="005F2952" w:rsidRPr="007923C2" w:rsidRDefault="00ED45A7" w:rsidP="00BD7DAE">
            <w:pPr>
              <w:rPr>
                <w:rFonts w:ascii="Arial" w:hAnsi="Arial" w:cs="Arial"/>
                <w:sz w:val="22"/>
                <w:szCs w:val="22"/>
              </w:rPr>
            </w:pPr>
            <w:r>
              <w:rPr>
                <w:rFonts w:ascii="Arial" w:hAnsi="Arial" w:cs="Arial"/>
                <w:sz w:val="22"/>
                <w:szCs w:val="22"/>
              </w:rPr>
              <w:t>ECA401</w:t>
            </w:r>
          </w:p>
        </w:tc>
        <w:tc>
          <w:tcPr>
            <w:tcW w:w="708" w:type="dxa"/>
          </w:tcPr>
          <w:p w14:paraId="5F534889" w14:textId="69B30AE8" w:rsidR="005F2952" w:rsidRPr="007923C2" w:rsidRDefault="00ED45A7" w:rsidP="00BD7DAE">
            <w:pPr>
              <w:rPr>
                <w:rFonts w:ascii="Arial" w:hAnsi="Arial" w:cs="Arial"/>
                <w:sz w:val="22"/>
                <w:szCs w:val="22"/>
              </w:rPr>
            </w:pPr>
            <w:r>
              <w:rPr>
                <w:rFonts w:ascii="Arial" w:hAnsi="Arial" w:cs="Arial"/>
                <w:sz w:val="22"/>
                <w:szCs w:val="22"/>
              </w:rPr>
              <w:t>5-0</w:t>
            </w:r>
          </w:p>
        </w:tc>
        <w:tc>
          <w:tcPr>
            <w:tcW w:w="1418" w:type="dxa"/>
          </w:tcPr>
          <w:p w14:paraId="19128CC2" w14:textId="32B1E9CD" w:rsidR="005F2952" w:rsidRPr="007923C2" w:rsidRDefault="00ED45A7" w:rsidP="00BD7DAE">
            <w:pPr>
              <w:rPr>
                <w:rFonts w:ascii="Arial" w:hAnsi="Arial" w:cs="Arial"/>
                <w:sz w:val="22"/>
                <w:szCs w:val="22"/>
              </w:rPr>
            </w:pPr>
            <w:r>
              <w:rPr>
                <w:rFonts w:ascii="Arial" w:hAnsi="Arial" w:cs="Arial"/>
                <w:sz w:val="22"/>
                <w:szCs w:val="22"/>
              </w:rPr>
              <w:t>10</w:t>
            </w:r>
          </w:p>
        </w:tc>
        <w:tc>
          <w:tcPr>
            <w:tcW w:w="1701" w:type="dxa"/>
          </w:tcPr>
          <w:p w14:paraId="77AEB1E9" w14:textId="0CA326F7" w:rsidR="005F2952" w:rsidRPr="007923C2" w:rsidRDefault="00ED45A7" w:rsidP="00BD7DAE">
            <w:pPr>
              <w:rPr>
                <w:rFonts w:ascii="Arial" w:hAnsi="Arial" w:cs="Arial"/>
                <w:sz w:val="22"/>
                <w:szCs w:val="22"/>
              </w:rPr>
            </w:pPr>
            <w:r>
              <w:rPr>
                <w:rFonts w:ascii="Arial" w:hAnsi="Arial" w:cs="Arial"/>
                <w:sz w:val="22"/>
                <w:szCs w:val="22"/>
              </w:rPr>
              <w:t>SR</w:t>
            </w:r>
          </w:p>
        </w:tc>
        <w:tc>
          <w:tcPr>
            <w:tcW w:w="1417" w:type="dxa"/>
          </w:tcPr>
          <w:p w14:paraId="03EC23C5" w14:textId="7F39CAAB" w:rsidR="005F2952" w:rsidRPr="007923C2" w:rsidRDefault="005F2952" w:rsidP="00BD7DAE">
            <w:pPr>
              <w:rPr>
                <w:rFonts w:ascii="Arial" w:hAnsi="Arial" w:cs="Arial"/>
                <w:sz w:val="22"/>
                <w:szCs w:val="22"/>
              </w:rPr>
            </w:pPr>
          </w:p>
        </w:tc>
      </w:tr>
      <w:tr w:rsidR="005F2952" w:rsidRPr="007923C2" w14:paraId="01F44806" w14:textId="77777777" w:rsidTr="00DB4F40">
        <w:tc>
          <w:tcPr>
            <w:tcW w:w="562" w:type="dxa"/>
          </w:tcPr>
          <w:p w14:paraId="45BAA06D"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14</w:t>
            </w:r>
          </w:p>
        </w:tc>
        <w:tc>
          <w:tcPr>
            <w:tcW w:w="2694" w:type="dxa"/>
          </w:tcPr>
          <w:p w14:paraId="23A94E64" w14:textId="5000A48E" w:rsidR="005F2952" w:rsidRPr="007923C2" w:rsidRDefault="00A6654C" w:rsidP="00BD7DAE">
            <w:pPr>
              <w:rPr>
                <w:rFonts w:ascii="Arial" w:hAnsi="Arial" w:cs="Arial"/>
                <w:sz w:val="22"/>
                <w:szCs w:val="22"/>
              </w:rPr>
            </w:pPr>
            <w:r>
              <w:rPr>
                <w:rFonts w:ascii="Arial" w:hAnsi="Arial" w:cs="Arial"/>
                <w:sz w:val="22"/>
                <w:szCs w:val="22"/>
              </w:rPr>
              <w:t>Biología de la reproducción</w:t>
            </w:r>
          </w:p>
        </w:tc>
        <w:tc>
          <w:tcPr>
            <w:tcW w:w="1134" w:type="dxa"/>
          </w:tcPr>
          <w:p w14:paraId="31310F2C" w14:textId="7C083C86" w:rsidR="005F2952" w:rsidRPr="007923C2" w:rsidRDefault="00A6654C" w:rsidP="00BD7DAE">
            <w:pPr>
              <w:rPr>
                <w:rFonts w:ascii="Arial" w:hAnsi="Arial" w:cs="Arial"/>
                <w:sz w:val="22"/>
                <w:szCs w:val="22"/>
              </w:rPr>
            </w:pPr>
            <w:r>
              <w:rPr>
                <w:rFonts w:ascii="Arial" w:hAnsi="Arial" w:cs="Arial"/>
                <w:sz w:val="22"/>
                <w:szCs w:val="22"/>
              </w:rPr>
              <w:t>BOT441</w:t>
            </w:r>
          </w:p>
        </w:tc>
        <w:tc>
          <w:tcPr>
            <w:tcW w:w="708" w:type="dxa"/>
          </w:tcPr>
          <w:p w14:paraId="421FD158"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59AEE5F3"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25B871F9" w14:textId="4B3C9AB5" w:rsidR="005F2952" w:rsidRPr="007923C2" w:rsidRDefault="00A6654C" w:rsidP="00BD7DAE">
            <w:pPr>
              <w:rPr>
                <w:rFonts w:ascii="Arial" w:hAnsi="Arial" w:cs="Arial"/>
                <w:sz w:val="22"/>
                <w:szCs w:val="22"/>
              </w:rPr>
            </w:pPr>
            <w:r>
              <w:rPr>
                <w:rFonts w:ascii="Arial" w:hAnsi="Arial" w:cs="Arial"/>
                <w:sz w:val="22"/>
                <w:szCs w:val="22"/>
              </w:rPr>
              <w:t>Genética</w:t>
            </w:r>
          </w:p>
        </w:tc>
        <w:tc>
          <w:tcPr>
            <w:tcW w:w="1417" w:type="dxa"/>
          </w:tcPr>
          <w:p w14:paraId="2FF91701" w14:textId="29CE24FB" w:rsidR="005F2952" w:rsidRPr="007923C2" w:rsidRDefault="00A6654C" w:rsidP="00BD7DAE">
            <w:pPr>
              <w:rPr>
                <w:rFonts w:ascii="Arial" w:hAnsi="Arial" w:cs="Arial"/>
                <w:sz w:val="22"/>
                <w:szCs w:val="22"/>
              </w:rPr>
            </w:pPr>
            <w:r>
              <w:rPr>
                <w:rFonts w:ascii="Arial" w:hAnsi="Arial" w:cs="Arial"/>
                <w:sz w:val="22"/>
                <w:szCs w:val="22"/>
              </w:rPr>
              <w:t>FIT401</w:t>
            </w:r>
          </w:p>
        </w:tc>
      </w:tr>
      <w:tr w:rsidR="005F2952" w:rsidRPr="007923C2" w14:paraId="4C7C7029" w14:textId="77777777" w:rsidTr="00DB4F40">
        <w:tc>
          <w:tcPr>
            <w:tcW w:w="562" w:type="dxa"/>
          </w:tcPr>
          <w:p w14:paraId="137BCCAC"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15</w:t>
            </w:r>
          </w:p>
        </w:tc>
        <w:tc>
          <w:tcPr>
            <w:tcW w:w="2694" w:type="dxa"/>
          </w:tcPr>
          <w:p w14:paraId="0F67A8B3" w14:textId="77777777" w:rsidR="005F2952" w:rsidRPr="007923C2" w:rsidRDefault="005F2952" w:rsidP="00BD7DAE">
            <w:pPr>
              <w:rPr>
                <w:rFonts w:ascii="Arial" w:hAnsi="Arial" w:cs="Arial"/>
                <w:sz w:val="22"/>
                <w:szCs w:val="22"/>
              </w:rPr>
            </w:pPr>
            <w:r w:rsidRPr="007923C2">
              <w:rPr>
                <w:rFonts w:ascii="Arial" w:hAnsi="Arial" w:cs="Arial"/>
                <w:sz w:val="22"/>
                <w:szCs w:val="22"/>
              </w:rPr>
              <w:t>Ordenamiento Ecológico</w:t>
            </w:r>
          </w:p>
        </w:tc>
        <w:tc>
          <w:tcPr>
            <w:tcW w:w="1134" w:type="dxa"/>
          </w:tcPr>
          <w:p w14:paraId="16BF86B7" w14:textId="77777777" w:rsidR="005F2952" w:rsidRPr="007923C2" w:rsidRDefault="005F2952" w:rsidP="00BD7DAE">
            <w:pPr>
              <w:rPr>
                <w:rFonts w:ascii="Arial" w:hAnsi="Arial" w:cs="Arial"/>
                <w:sz w:val="22"/>
                <w:szCs w:val="22"/>
              </w:rPr>
            </w:pPr>
            <w:r w:rsidRPr="007923C2">
              <w:rPr>
                <w:rFonts w:ascii="Arial" w:hAnsi="Arial" w:cs="Arial"/>
                <w:sz w:val="22"/>
                <w:szCs w:val="22"/>
              </w:rPr>
              <w:t>FOR482</w:t>
            </w:r>
          </w:p>
        </w:tc>
        <w:tc>
          <w:tcPr>
            <w:tcW w:w="708" w:type="dxa"/>
          </w:tcPr>
          <w:p w14:paraId="4C9FC9FC"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2914A888"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18923709" w14:textId="77777777" w:rsidR="005F2952" w:rsidRPr="007923C2" w:rsidRDefault="005F2952" w:rsidP="00BD7DAE">
            <w:pPr>
              <w:rPr>
                <w:rFonts w:ascii="Arial" w:hAnsi="Arial" w:cs="Arial"/>
                <w:sz w:val="22"/>
                <w:szCs w:val="22"/>
              </w:rPr>
            </w:pPr>
            <w:r w:rsidRPr="007923C2">
              <w:rPr>
                <w:rFonts w:ascii="Arial" w:hAnsi="Arial" w:cs="Arial"/>
                <w:sz w:val="22"/>
                <w:szCs w:val="22"/>
              </w:rPr>
              <w:t>Evaluación de Ecosistemas</w:t>
            </w:r>
          </w:p>
        </w:tc>
        <w:tc>
          <w:tcPr>
            <w:tcW w:w="1417" w:type="dxa"/>
          </w:tcPr>
          <w:p w14:paraId="3C560EA4" w14:textId="77777777" w:rsidR="005F2952" w:rsidRPr="007923C2" w:rsidRDefault="005F2952" w:rsidP="00BD7DAE">
            <w:pPr>
              <w:rPr>
                <w:rFonts w:ascii="Arial" w:hAnsi="Arial" w:cs="Arial"/>
                <w:sz w:val="22"/>
                <w:szCs w:val="22"/>
              </w:rPr>
            </w:pPr>
            <w:r w:rsidRPr="007923C2">
              <w:rPr>
                <w:rFonts w:ascii="Arial" w:hAnsi="Arial" w:cs="Arial"/>
                <w:sz w:val="22"/>
                <w:szCs w:val="22"/>
              </w:rPr>
              <w:t>BOT455</w:t>
            </w:r>
          </w:p>
        </w:tc>
      </w:tr>
      <w:tr w:rsidR="005F2952" w:rsidRPr="007923C2" w14:paraId="472C00AD" w14:textId="77777777" w:rsidTr="00DB4F40">
        <w:tc>
          <w:tcPr>
            <w:tcW w:w="562" w:type="dxa"/>
          </w:tcPr>
          <w:p w14:paraId="5CE7B2C7"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16</w:t>
            </w:r>
          </w:p>
        </w:tc>
        <w:tc>
          <w:tcPr>
            <w:tcW w:w="2694" w:type="dxa"/>
          </w:tcPr>
          <w:p w14:paraId="3FC26CFC" w14:textId="77777777" w:rsidR="005F2952" w:rsidRPr="007923C2" w:rsidRDefault="005F2952" w:rsidP="00BD7DAE">
            <w:pPr>
              <w:rPr>
                <w:rFonts w:ascii="Arial" w:hAnsi="Arial" w:cs="Arial"/>
                <w:sz w:val="22"/>
                <w:szCs w:val="22"/>
              </w:rPr>
            </w:pPr>
            <w:r w:rsidRPr="007923C2">
              <w:rPr>
                <w:rFonts w:ascii="Arial" w:hAnsi="Arial" w:cs="Arial"/>
                <w:sz w:val="22"/>
                <w:szCs w:val="22"/>
              </w:rPr>
              <w:t>Organismos Transgénicos</w:t>
            </w:r>
          </w:p>
        </w:tc>
        <w:tc>
          <w:tcPr>
            <w:tcW w:w="1134" w:type="dxa"/>
          </w:tcPr>
          <w:p w14:paraId="20DBE095" w14:textId="77777777" w:rsidR="005F2952" w:rsidRPr="007923C2" w:rsidRDefault="005F2952" w:rsidP="00BD7DAE">
            <w:pPr>
              <w:rPr>
                <w:rFonts w:ascii="Arial" w:hAnsi="Arial" w:cs="Arial"/>
                <w:sz w:val="22"/>
                <w:szCs w:val="22"/>
              </w:rPr>
            </w:pPr>
            <w:r w:rsidRPr="007923C2">
              <w:rPr>
                <w:rFonts w:ascii="Arial" w:hAnsi="Arial" w:cs="Arial"/>
                <w:sz w:val="22"/>
                <w:szCs w:val="22"/>
              </w:rPr>
              <w:t>FIT481</w:t>
            </w:r>
          </w:p>
        </w:tc>
        <w:tc>
          <w:tcPr>
            <w:tcW w:w="708" w:type="dxa"/>
          </w:tcPr>
          <w:p w14:paraId="2E437039"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6C35081B"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4984E600" w14:textId="77777777" w:rsidR="005F2952" w:rsidRPr="007923C2" w:rsidRDefault="005F2952" w:rsidP="00BD7DAE">
            <w:pPr>
              <w:rPr>
                <w:rFonts w:ascii="Arial" w:hAnsi="Arial" w:cs="Arial"/>
                <w:sz w:val="22"/>
                <w:szCs w:val="22"/>
              </w:rPr>
            </w:pPr>
            <w:r w:rsidRPr="007923C2">
              <w:rPr>
                <w:rFonts w:ascii="Arial" w:hAnsi="Arial" w:cs="Arial"/>
                <w:sz w:val="22"/>
                <w:szCs w:val="22"/>
              </w:rPr>
              <w:t>Biología Molecular</w:t>
            </w:r>
          </w:p>
        </w:tc>
        <w:tc>
          <w:tcPr>
            <w:tcW w:w="1417" w:type="dxa"/>
          </w:tcPr>
          <w:p w14:paraId="0A7860F3" w14:textId="77777777" w:rsidR="005F2952" w:rsidRPr="007923C2" w:rsidRDefault="005F2952" w:rsidP="00BD7DAE">
            <w:pPr>
              <w:rPr>
                <w:rFonts w:ascii="Arial" w:hAnsi="Arial" w:cs="Arial"/>
                <w:sz w:val="22"/>
                <w:szCs w:val="22"/>
              </w:rPr>
            </w:pPr>
            <w:r w:rsidRPr="007923C2">
              <w:rPr>
                <w:rFonts w:ascii="Arial" w:hAnsi="Arial" w:cs="Arial"/>
                <w:sz w:val="22"/>
                <w:szCs w:val="22"/>
              </w:rPr>
              <w:t>BOT403</w:t>
            </w:r>
          </w:p>
        </w:tc>
      </w:tr>
      <w:tr w:rsidR="005F2952" w:rsidRPr="007923C2" w14:paraId="1C1034EC" w14:textId="77777777" w:rsidTr="00DB4F40">
        <w:tc>
          <w:tcPr>
            <w:tcW w:w="562" w:type="dxa"/>
          </w:tcPr>
          <w:p w14:paraId="7E22C1BD"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17</w:t>
            </w:r>
          </w:p>
        </w:tc>
        <w:tc>
          <w:tcPr>
            <w:tcW w:w="2694" w:type="dxa"/>
          </w:tcPr>
          <w:p w14:paraId="166F6826" w14:textId="77777777" w:rsidR="005F2952" w:rsidRPr="007923C2" w:rsidRDefault="005F2952" w:rsidP="00BD7DAE">
            <w:pPr>
              <w:rPr>
                <w:rFonts w:ascii="Arial" w:hAnsi="Arial" w:cs="Arial"/>
                <w:sz w:val="22"/>
                <w:szCs w:val="22"/>
              </w:rPr>
            </w:pPr>
            <w:r w:rsidRPr="007923C2">
              <w:rPr>
                <w:rFonts w:ascii="Arial" w:hAnsi="Arial" w:cs="Arial"/>
                <w:sz w:val="22"/>
                <w:szCs w:val="22"/>
              </w:rPr>
              <w:t>Percepción Remota</w:t>
            </w:r>
          </w:p>
        </w:tc>
        <w:tc>
          <w:tcPr>
            <w:tcW w:w="1134" w:type="dxa"/>
          </w:tcPr>
          <w:p w14:paraId="4AFB3047" w14:textId="77777777" w:rsidR="005F2952" w:rsidRPr="007923C2" w:rsidRDefault="005F2952" w:rsidP="00BD7DAE">
            <w:pPr>
              <w:rPr>
                <w:rFonts w:ascii="Arial" w:hAnsi="Arial" w:cs="Arial"/>
                <w:sz w:val="22"/>
                <w:szCs w:val="22"/>
              </w:rPr>
            </w:pPr>
            <w:r w:rsidRPr="007923C2">
              <w:rPr>
                <w:rFonts w:ascii="Arial" w:hAnsi="Arial" w:cs="Arial"/>
                <w:sz w:val="22"/>
                <w:szCs w:val="22"/>
              </w:rPr>
              <w:t>RNR439</w:t>
            </w:r>
          </w:p>
        </w:tc>
        <w:tc>
          <w:tcPr>
            <w:tcW w:w="708" w:type="dxa"/>
          </w:tcPr>
          <w:p w14:paraId="2177EFA8" w14:textId="77777777" w:rsidR="005F2952" w:rsidRPr="007923C2" w:rsidRDefault="005F2952" w:rsidP="00BD7DAE">
            <w:pPr>
              <w:rPr>
                <w:rFonts w:ascii="Arial" w:hAnsi="Arial" w:cs="Arial"/>
                <w:sz w:val="22"/>
                <w:szCs w:val="22"/>
              </w:rPr>
            </w:pPr>
            <w:r w:rsidRPr="007923C2">
              <w:rPr>
                <w:rFonts w:ascii="Arial" w:hAnsi="Arial" w:cs="Arial"/>
                <w:sz w:val="22"/>
                <w:szCs w:val="22"/>
              </w:rPr>
              <w:t>2-3</w:t>
            </w:r>
          </w:p>
        </w:tc>
        <w:tc>
          <w:tcPr>
            <w:tcW w:w="1418" w:type="dxa"/>
          </w:tcPr>
          <w:p w14:paraId="1131CE09" w14:textId="77777777" w:rsidR="005F2952" w:rsidRPr="007923C2" w:rsidRDefault="005F2952" w:rsidP="00BD7DAE">
            <w:pPr>
              <w:rPr>
                <w:rFonts w:ascii="Arial" w:hAnsi="Arial" w:cs="Arial"/>
                <w:sz w:val="22"/>
                <w:szCs w:val="22"/>
              </w:rPr>
            </w:pPr>
            <w:r w:rsidRPr="007923C2">
              <w:rPr>
                <w:rFonts w:ascii="Arial" w:hAnsi="Arial" w:cs="Arial"/>
                <w:sz w:val="22"/>
                <w:szCs w:val="22"/>
              </w:rPr>
              <w:t>7</w:t>
            </w:r>
          </w:p>
        </w:tc>
        <w:tc>
          <w:tcPr>
            <w:tcW w:w="1701" w:type="dxa"/>
          </w:tcPr>
          <w:p w14:paraId="3EB9E61E" w14:textId="77777777"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14:paraId="7CBDE53C" w14:textId="77777777" w:rsidR="005F2952" w:rsidRPr="007923C2" w:rsidRDefault="005F2952" w:rsidP="00BD7DAE">
            <w:pPr>
              <w:rPr>
                <w:rFonts w:ascii="Arial" w:hAnsi="Arial" w:cs="Arial"/>
                <w:sz w:val="22"/>
                <w:szCs w:val="22"/>
              </w:rPr>
            </w:pPr>
            <w:r w:rsidRPr="007923C2">
              <w:rPr>
                <w:rFonts w:ascii="Arial" w:hAnsi="Arial" w:cs="Arial"/>
                <w:sz w:val="22"/>
                <w:szCs w:val="22"/>
              </w:rPr>
              <w:t>-</w:t>
            </w:r>
          </w:p>
        </w:tc>
      </w:tr>
      <w:tr w:rsidR="005F2952" w:rsidRPr="007923C2" w14:paraId="1BF10131" w14:textId="77777777" w:rsidTr="00DB4F40">
        <w:tc>
          <w:tcPr>
            <w:tcW w:w="562" w:type="dxa"/>
          </w:tcPr>
          <w:p w14:paraId="34CAFA9B"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18</w:t>
            </w:r>
          </w:p>
        </w:tc>
        <w:tc>
          <w:tcPr>
            <w:tcW w:w="2694" w:type="dxa"/>
          </w:tcPr>
          <w:p w14:paraId="69FCE0FA" w14:textId="77777777" w:rsidR="005F2952" w:rsidRPr="007923C2" w:rsidRDefault="005F2952" w:rsidP="00BD7DAE">
            <w:pPr>
              <w:rPr>
                <w:rFonts w:ascii="Arial" w:hAnsi="Arial" w:cs="Arial"/>
                <w:sz w:val="22"/>
                <w:szCs w:val="22"/>
              </w:rPr>
            </w:pPr>
            <w:r w:rsidRPr="007923C2">
              <w:rPr>
                <w:rFonts w:ascii="Arial" w:hAnsi="Arial" w:cs="Arial"/>
                <w:sz w:val="22"/>
                <w:szCs w:val="22"/>
              </w:rPr>
              <w:t>Plantas Medicinales y Aromáticas</w:t>
            </w:r>
          </w:p>
        </w:tc>
        <w:tc>
          <w:tcPr>
            <w:tcW w:w="1134" w:type="dxa"/>
          </w:tcPr>
          <w:p w14:paraId="254FBA67" w14:textId="77777777" w:rsidR="005F2952" w:rsidRPr="007923C2" w:rsidRDefault="005F2952" w:rsidP="00BD7DAE">
            <w:pPr>
              <w:rPr>
                <w:rFonts w:ascii="Arial" w:hAnsi="Arial" w:cs="Arial"/>
                <w:sz w:val="22"/>
                <w:szCs w:val="22"/>
              </w:rPr>
            </w:pPr>
            <w:r w:rsidRPr="007923C2">
              <w:rPr>
                <w:rFonts w:ascii="Arial" w:hAnsi="Arial" w:cs="Arial"/>
                <w:sz w:val="22"/>
                <w:szCs w:val="22"/>
              </w:rPr>
              <w:t>BOT463</w:t>
            </w:r>
          </w:p>
        </w:tc>
        <w:tc>
          <w:tcPr>
            <w:tcW w:w="708" w:type="dxa"/>
          </w:tcPr>
          <w:p w14:paraId="7EAEC440"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11ABCC5B"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06CB7157" w14:textId="77777777"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14:paraId="45C7C583" w14:textId="77777777" w:rsidR="005F2952" w:rsidRPr="007923C2" w:rsidRDefault="005F2952" w:rsidP="00BD7DAE">
            <w:pPr>
              <w:rPr>
                <w:rFonts w:ascii="Arial" w:hAnsi="Arial" w:cs="Arial"/>
                <w:sz w:val="22"/>
                <w:szCs w:val="22"/>
              </w:rPr>
            </w:pPr>
            <w:r w:rsidRPr="007923C2">
              <w:rPr>
                <w:rFonts w:ascii="Arial" w:hAnsi="Arial" w:cs="Arial"/>
                <w:sz w:val="22"/>
                <w:szCs w:val="22"/>
              </w:rPr>
              <w:t>-</w:t>
            </w:r>
          </w:p>
        </w:tc>
      </w:tr>
      <w:tr w:rsidR="005F2952" w:rsidRPr="007923C2" w14:paraId="40EFBFEE" w14:textId="77777777" w:rsidTr="00DB4F40">
        <w:tc>
          <w:tcPr>
            <w:tcW w:w="562" w:type="dxa"/>
          </w:tcPr>
          <w:p w14:paraId="07C77D09"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19</w:t>
            </w:r>
          </w:p>
        </w:tc>
        <w:tc>
          <w:tcPr>
            <w:tcW w:w="2694" w:type="dxa"/>
          </w:tcPr>
          <w:p w14:paraId="0B1479A5" w14:textId="77777777" w:rsidR="005F2952" w:rsidRPr="007923C2" w:rsidRDefault="005F2952" w:rsidP="00BD7DAE">
            <w:pPr>
              <w:rPr>
                <w:rFonts w:ascii="Arial" w:hAnsi="Arial" w:cs="Arial"/>
                <w:sz w:val="22"/>
                <w:szCs w:val="22"/>
              </w:rPr>
            </w:pPr>
            <w:r w:rsidRPr="007923C2">
              <w:rPr>
                <w:rFonts w:ascii="Arial" w:hAnsi="Arial" w:cs="Arial"/>
                <w:sz w:val="22"/>
                <w:szCs w:val="22"/>
              </w:rPr>
              <w:t>Plantas Útiles de Zonas Áridas</w:t>
            </w:r>
          </w:p>
        </w:tc>
        <w:tc>
          <w:tcPr>
            <w:tcW w:w="1134" w:type="dxa"/>
          </w:tcPr>
          <w:p w14:paraId="2B8B6B56" w14:textId="77777777" w:rsidR="005F2952" w:rsidRPr="007923C2" w:rsidRDefault="005F2952" w:rsidP="00BD7DAE">
            <w:pPr>
              <w:rPr>
                <w:rFonts w:ascii="Arial" w:hAnsi="Arial" w:cs="Arial"/>
                <w:sz w:val="22"/>
                <w:szCs w:val="22"/>
              </w:rPr>
            </w:pPr>
            <w:r w:rsidRPr="007923C2">
              <w:rPr>
                <w:rFonts w:ascii="Arial" w:hAnsi="Arial" w:cs="Arial"/>
                <w:sz w:val="22"/>
                <w:szCs w:val="22"/>
              </w:rPr>
              <w:t>BOT467</w:t>
            </w:r>
          </w:p>
        </w:tc>
        <w:tc>
          <w:tcPr>
            <w:tcW w:w="708" w:type="dxa"/>
          </w:tcPr>
          <w:p w14:paraId="1EA18528"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357E0AE0"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3F7407D2" w14:textId="77777777" w:rsidR="005F2952" w:rsidRPr="007923C2" w:rsidRDefault="005F2952" w:rsidP="00BD7DAE">
            <w:pPr>
              <w:rPr>
                <w:rFonts w:ascii="Arial" w:hAnsi="Arial" w:cs="Arial"/>
                <w:sz w:val="22"/>
                <w:szCs w:val="22"/>
              </w:rPr>
            </w:pPr>
            <w:r w:rsidRPr="007923C2">
              <w:rPr>
                <w:rFonts w:ascii="Arial" w:hAnsi="Arial" w:cs="Arial"/>
                <w:sz w:val="22"/>
                <w:szCs w:val="22"/>
              </w:rPr>
              <w:t>Manejo y Conservación de Recursos Bióticos</w:t>
            </w:r>
          </w:p>
        </w:tc>
        <w:tc>
          <w:tcPr>
            <w:tcW w:w="1417" w:type="dxa"/>
          </w:tcPr>
          <w:p w14:paraId="615CD1F6" w14:textId="77777777" w:rsidR="005F2952" w:rsidRPr="007923C2" w:rsidRDefault="005F2952" w:rsidP="00BD7DAE">
            <w:pPr>
              <w:rPr>
                <w:rFonts w:ascii="Arial" w:hAnsi="Arial" w:cs="Arial"/>
                <w:sz w:val="22"/>
                <w:szCs w:val="22"/>
              </w:rPr>
            </w:pPr>
            <w:r w:rsidRPr="007923C2">
              <w:rPr>
                <w:rFonts w:ascii="Arial" w:hAnsi="Arial" w:cs="Arial"/>
                <w:sz w:val="22"/>
                <w:szCs w:val="22"/>
              </w:rPr>
              <w:t>BOT475</w:t>
            </w:r>
          </w:p>
        </w:tc>
      </w:tr>
      <w:tr w:rsidR="005F2952" w:rsidRPr="007923C2" w14:paraId="324B3328" w14:textId="77777777" w:rsidTr="00DB4F40">
        <w:tc>
          <w:tcPr>
            <w:tcW w:w="562" w:type="dxa"/>
          </w:tcPr>
          <w:p w14:paraId="48A2E713"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20</w:t>
            </w:r>
          </w:p>
        </w:tc>
        <w:tc>
          <w:tcPr>
            <w:tcW w:w="2694" w:type="dxa"/>
          </w:tcPr>
          <w:p w14:paraId="2C87A709" w14:textId="77777777" w:rsidR="005F2952" w:rsidRPr="007923C2" w:rsidRDefault="005F2952" w:rsidP="00BD7DAE">
            <w:pPr>
              <w:rPr>
                <w:rFonts w:ascii="Arial" w:hAnsi="Arial" w:cs="Arial"/>
                <w:sz w:val="22"/>
                <w:szCs w:val="22"/>
              </w:rPr>
            </w:pPr>
            <w:r w:rsidRPr="007923C2">
              <w:rPr>
                <w:rFonts w:ascii="Arial" w:hAnsi="Arial" w:cs="Arial"/>
                <w:sz w:val="22"/>
                <w:szCs w:val="22"/>
              </w:rPr>
              <w:t>Producción de Hongos Comestibles</w:t>
            </w:r>
          </w:p>
        </w:tc>
        <w:tc>
          <w:tcPr>
            <w:tcW w:w="1134" w:type="dxa"/>
          </w:tcPr>
          <w:p w14:paraId="6B1FC3A8" w14:textId="77777777" w:rsidR="005F2952" w:rsidRPr="007923C2" w:rsidRDefault="005F2952" w:rsidP="00BD7DAE">
            <w:pPr>
              <w:rPr>
                <w:rFonts w:ascii="Arial" w:hAnsi="Arial" w:cs="Arial"/>
                <w:sz w:val="22"/>
                <w:szCs w:val="22"/>
              </w:rPr>
            </w:pPr>
            <w:r w:rsidRPr="007923C2">
              <w:rPr>
                <w:rFonts w:ascii="Arial" w:hAnsi="Arial" w:cs="Arial"/>
                <w:sz w:val="22"/>
                <w:szCs w:val="22"/>
              </w:rPr>
              <w:t>FIT496</w:t>
            </w:r>
          </w:p>
        </w:tc>
        <w:tc>
          <w:tcPr>
            <w:tcW w:w="708" w:type="dxa"/>
          </w:tcPr>
          <w:p w14:paraId="3CA1F77F" w14:textId="77777777" w:rsidR="005F2952" w:rsidRPr="007923C2" w:rsidRDefault="005F2952" w:rsidP="00BD7DAE">
            <w:pPr>
              <w:rPr>
                <w:rFonts w:ascii="Arial" w:hAnsi="Arial" w:cs="Arial"/>
                <w:sz w:val="22"/>
                <w:szCs w:val="22"/>
              </w:rPr>
            </w:pPr>
            <w:r w:rsidRPr="007923C2">
              <w:rPr>
                <w:rFonts w:ascii="Arial" w:hAnsi="Arial" w:cs="Arial"/>
                <w:sz w:val="22"/>
                <w:szCs w:val="22"/>
              </w:rPr>
              <w:t>1-4</w:t>
            </w:r>
          </w:p>
        </w:tc>
        <w:tc>
          <w:tcPr>
            <w:tcW w:w="1418" w:type="dxa"/>
          </w:tcPr>
          <w:p w14:paraId="2CA09988" w14:textId="77777777"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14:paraId="282EBA71" w14:textId="77777777" w:rsidR="005F2952" w:rsidRPr="007923C2" w:rsidRDefault="005F2952" w:rsidP="00BD7DAE">
            <w:pPr>
              <w:rPr>
                <w:rFonts w:ascii="Arial" w:hAnsi="Arial" w:cs="Arial"/>
                <w:sz w:val="22"/>
                <w:szCs w:val="22"/>
              </w:rPr>
            </w:pPr>
            <w:r w:rsidRPr="007923C2">
              <w:rPr>
                <w:rFonts w:ascii="Arial" w:hAnsi="Arial" w:cs="Arial"/>
                <w:sz w:val="22"/>
                <w:szCs w:val="22"/>
              </w:rPr>
              <w:t>Botánica II</w:t>
            </w:r>
          </w:p>
        </w:tc>
        <w:tc>
          <w:tcPr>
            <w:tcW w:w="1417" w:type="dxa"/>
          </w:tcPr>
          <w:p w14:paraId="23B35832" w14:textId="77777777" w:rsidR="005F2952" w:rsidRPr="007923C2" w:rsidRDefault="005F2952" w:rsidP="00BD7DAE">
            <w:pPr>
              <w:rPr>
                <w:rFonts w:ascii="Arial" w:hAnsi="Arial" w:cs="Arial"/>
                <w:sz w:val="22"/>
                <w:szCs w:val="22"/>
              </w:rPr>
            </w:pPr>
            <w:r w:rsidRPr="007923C2">
              <w:rPr>
                <w:rFonts w:ascii="Arial" w:hAnsi="Arial" w:cs="Arial"/>
                <w:sz w:val="22"/>
                <w:szCs w:val="22"/>
              </w:rPr>
              <w:t>BOT417</w:t>
            </w:r>
          </w:p>
        </w:tc>
      </w:tr>
      <w:tr w:rsidR="005F2952" w:rsidRPr="007923C2" w14:paraId="668C54E3" w14:textId="77777777" w:rsidTr="00DB4F40">
        <w:tc>
          <w:tcPr>
            <w:tcW w:w="562" w:type="dxa"/>
          </w:tcPr>
          <w:p w14:paraId="09F659D4"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21</w:t>
            </w:r>
          </w:p>
        </w:tc>
        <w:tc>
          <w:tcPr>
            <w:tcW w:w="2694" w:type="dxa"/>
          </w:tcPr>
          <w:p w14:paraId="4AE0DAC1" w14:textId="77777777" w:rsidR="005F2952" w:rsidRPr="007923C2" w:rsidRDefault="005F2952" w:rsidP="00BD7DAE">
            <w:pPr>
              <w:rPr>
                <w:rFonts w:ascii="Arial" w:hAnsi="Arial" w:cs="Arial"/>
                <w:sz w:val="22"/>
                <w:szCs w:val="22"/>
              </w:rPr>
            </w:pPr>
            <w:r w:rsidRPr="007923C2">
              <w:rPr>
                <w:rFonts w:ascii="Arial" w:hAnsi="Arial" w:cs="Arial"/>
                <w:sz w:val="22"/>
                <w:szCs w:val="22"/>
              </w:rPr>
              <w:t>Recursos Genéticos</w:t>
            </w:r>
          </w:p>
        </w:tc>
        <w:tc>
          <w:tcPr>
            <w:tcW w:w="1134" w:type="dxa"/>
          </w:tcPr>
          <w:p w14:paraId="2F34F58E" w14:textId="77777777" w:rsidR="005F2952" w:rsidRPr="007923C2" w:rsidRDefault="005F2952" w:rsidP="00BD7DAE">
            <w:pPr>
              <w:rPr>
                <w:rFonts w:ascii="Arial" w:hAnsi="Arial" w:cs="Arial"/>
                <w:sz w:val="22"/>
                <w:szCs w:val="22"/>
              </w:rPr>
            </w:pPr>
            <w:r w:rsidRPr="007923C2">
              <w:rPr>
                <w:rFonts w:ascii="Arial" w:hAnsi="Arial" w:cs="Arial"/>
                <w:sz w:val="22"/>
                <w:szCs w:val="22"/>
              </w:rPr>
              <w:t>FIT459</w:t>
            </w:r>
          </w:p>
        </w:tc>
        <w:tc>
          <w:tcPr>
            <w:tcW w:w="708" w:type="dxa"/>
          </w:tcPr>
          <w:p w14:paraId="1DBD2174"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7BB922F3"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087EACE2" w14:textId="77777777" w:rsidR="005F2952" w:rsidRPr="007923C2" w:rsidRDefault="005F2952" w:rsidP="00BD7DAE">
            <w:pPr>
              <w:rPr>
                <w:rFonts w:ascii="Arial" w:hAnsi="Arial" w:cs="Arial"/>
                <w:sz w:val="22"/>
                <w:szCs w:val="22"/>
              </w:rPr>
            </w:pPr>
            <w:r w:rsidRPr="007923C2">
              <w:rPr>
                <w:rFonts w:ascii="Arial" w:hAnsi="Arial" w:cs="Arial"/>
                <w:sz w:val="22"/>
                <w:szCs w:val="22"/>
              </w:rPr>
              <w:t>Genética</w:t>
            </w:r>
          </w:p>
        </w:tc>
        <w:tc>
          <w:tcPr>
            <w:tcW w:w="1417" w:type="dxa"/>
          </w:tcPr>
          <w:p w14:paraId="7EBAFD17" w14:textId="77777777" w:rsidR="005F2952" w:rsidRPr="007923C2" w:rsidRDefault="005F2952" w:rsidP="00BD7DAE">
            <w:pPr>
              <w:rPr>
                <w:rFonts w:ascii="Arial" w:hAnsi="Arial" w:cs="Arial"/>
                <w:sz w:val="22"/>
                <w:szCs w:val="22"/>
              </w:rPr>
            </w:pPr>
            <w:r w:rsidRPr="007923C2">
              <w:rPr>
                <w:rFonts w:ascii="Arial" w:hAnsi="Arial" w:cs="Arial"/>
                <w:sz w:val="22"/>
                <w:szCs w:val="22"/>
              </w:rPr>
              <w:t>FIT401</w:t>
            </w:r>
          </w:p>
        </w:tc>
      </w:tr>
      <w:tr w:rsidR="005F2952" w:rsidRPr="007923C2" w14:paraId="1D1B7733" w14:textId="77777777" w:rsidTr="00DB4F40">
        <w:tc>
          <w:tcPr>
            <w:tcW w:w="562" w:type="dxa"/>
          </w:tcPr>
          <w:p w14:paraId="30A17A48"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22</w:t>
            </w:r>
          </w:p>
        </w:tc>
        <w:tc>
          <w:tcPr>
            <w:tcW w:w="2694" w:type="dxa"/>
          </w:tcPr>
          <w:p w14:paraId="3DDCF2A0" w14:textId="77777777" w:rsidR="005F2952" w:rsidRPr="007923C2" w:rsidRDefault="005F2952" w:rsidP="00BD7DAE">
            <w:pPr>
              <w:rPr>
                <w:rFonts w:ascii="Arial" w:hAnsi="Arial" w:cs="Arial"/>
                <w:sz w:val="22"/>
                <w:szCs w:val="22"/>
              </w:rPr>
            </w:pPr>
            <w:r w:rsidRPr="007923C2">
              <w:rPr>
                <w:rFonts w:ascii="Arial" w:hAnsi="Arial" w:cs="Arial"/>
                <w:sz w:val="22"/>
                <w:szCs w:val="22"/>
              </w:rPr>
              <w:t>Sistemas Tradicionales de Producción</w:t>
            </w:r>
          </w:p>
        </w:tc>
        <w:tc>
          <w:tcPr>
            <w:tcW w:w="1134" w:type="dxa"/>
          </w:tcPr>
          <w:p w14:paraId="6054AF20" w14:textId="77777777" w:rsidR="005F2952" w:rsidRPr="007923C2" w:rsidRDefault="005F2952" w:rsidP="00BD7DAE">
            <w:pPr>
              <w:rPr>
                <w:rFonts w:ascii="Arial" w:hAnsi="Arial" w:cs="Arial"/>
                <w:sz w:val="22"/>
                <w:szCs w:val="22"/>
              </w:rPr>
            </w:pPr>
            <w:r w:rsidRPr="007923C2">
              <w:rPr>
                <w:rFonts w:ascii="Arial" w:hAnsi="Arial" w:cs="Arial"/>
                <w:sz w:val="22"/>
                <w:szCs w:val="22"/>
              </w:rPr>
              <w:t>BOT495</w:t>
            </w:r>
          </w:p>
        </w:tc>
        <w:tc>
          <w:tcPr>
            <w:tcW w:w="708" w:type="dxa"/>
          </w:tcPr>
          <w:p w14:paraId="2BCF5803"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4C702875"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05CCE148" w14:textId="77777777" w:rsidR="005F2952" w:rsidRPr="007923C2" w:rsidRDefault="005F2952" w:rsidP="00BD7DAE">
            <w:pPr>
              <w:rPr>
                <w:rFonts w:ascii="Arial" w:hAnsi="Arial" w:cs="Arial"/>
                <w:sz w:val="22"/>
                <w:szCs w:val="22"/>
              </w:rPr>
            </w:pPr>
            <w:r w:rsidRPr="007923C2">
              <w:rPr>
                <w:rFonts w:ascii="Arial" w:hAnsi="Arial" w:cs="Arial"/>
                <w:sz w:val="22"/>
                <w:szCs w:val="22"/>
              </w:rPr>
              <w:t>Agroecología</w:t>
            </w:r>
          </w:p>
        </w:tc>
        <w:tc>
          <w:tcPr>
            <w:tcW w:w="1417" w:type="dxa"/>
          </w:tcPr>
          <w:p w14:paraId="1FEB334B" w14:textId="77777777" w:rsidR="005F2952" w:rsidRPr="007923C2" w:rsidRDefault="005F2952" w:rsidP="00BD7DAE">
            <w:pPr>
              <w:rPr>
                <w:rFonts w:ascii="Arial" w:hAnsi="Arial" w:cs="Arial"/>
                <w:sz w:val="22"/>
                <w:szCs w:val="22"/>
              </w:rPr>
            </w:pPr>
            <w:r w:rsidRPr="007923C2">
              <w:rPr>
                <w:rFonts w:ascii="Arial" w:hAnsi="Arial" w:cs="Arial"/>
                <w:sz w:val="22"/>
                <w:szCs w:val="22"/>
              </w:rPr>
              <w:t>BOT457</w:t>
            </w:r>
          </w:p>
        </w:tc>
      </w:tr>
      <w:tr w:rsidR="005F2952" w:rsidRPr="007923C2" w14:paraId="33624914" w14:textId="77777777" w:rsidTr="00DB4F40">
        <w:tc>
          <w:tcPr>
            <w:tcW w:w="562" w:type="dxa"/>
          </w:tcPr>
          <w:p w14:paraId="41B8A6C9"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lastRenderedPageBreak/>
              <w:t>23</w:t>
            </w:r>
          </w:p>
        </w:tc>
        <w:tc>
          <w:tcPr>
            <w:tcW w:w="2694" w:type="dxa"/>
          </w:tcPr>
          <w:p w14:paraId="63E33CE4" w14:textId="77777777" w:rsidR="005F2952" w:rsidRPr="007923C2" w:rsidRDefault="005F2952" w:rsidP="00BD7DAE">
            <w:pPr>
              <w:rPr>
                <w:rFonts w:ascii="Arial" w:hAnsi="Arial" w:cs="Arial"/>
                <w:sz w:val="22"/>
                <w:szCs w:val="22"/>
              </w:rPr>
            </w:pPr>
            <w:r w:rsidRPr="007923C2">
              <w:rPr>
                <w:rFonts w:ascii="Arial" w:hAnsi="Arial" w:cs="Arial"/>
                <w:sz w:val="22"/>
                <w:szCs w:val="22"/>
              </w:rPr>
              <w:t>Toxicología Ambiental</w:t>
            </w:r>
          </w:p>
        </w:tc>
        <w:tc>
          <w:tcPr>
            <w:tcW w:w="1134" w:type="dxa"/>
          </w:tcPr>
          <w:p w14:paraId="1FA3E8CC" w14:textId="77777777" w:rsidR="005F2952" w:rsidRPr="007923C2" w:rsidRDefault="005F2952" w:rsidP="00BD7DAE">
            <w:pPr>
              <w:rPr>
                <w:rFonts w:ascii="Arial" w:hAnsi="Arial" w:cs="Arial"/>
                <w:sz w:val="22"/>
                <w:szCs w:val="22"/>
              </w:rPr>
            </w:pPr>
            <w:r w:rsidRPr="007923C2">
              <w:rPr>
                <w:rFonts w:ascii="Arial" w:hAnsi="Arial" w:cs="Arial"/>
                <w:sz w:val="22"/>
                <w:szCs w:val="22"/>
              </w:rPr>
              <w:t>SUE483</w:t>
            </w:r>
          </w:p>
        </w:tc>
        <w:tc>
          <w:tcPr>
            <w:tcW w:w="708" w:type="dxa"/>
          </w:tcPr>
          <w:p w14:paraId="6E269826"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59A7D2EE"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1653C84F" w14:textId="77777777" w:rsidR="005F2952" w:rsidRPr="007923C2" w:rsidRDefault="005F2952" w:rsidP="00BD7DAE">
            <w:pPr>
              <w:rPr>
                <w:rFonts w:ascii="Arial" w:hAnsi="Arial" w:cs="Arial"/>
                <w:sz w:val="22"/>
                <w:szCs w:val="22"/>
              </w:rPr>
            </w:pPr>
            <w:r w:rsidRPr="007923C2">
              <w:rPr>
                <w:rFonts w:ascii="Arial" w:hAnsi="Arial" w:cs="Arial"/>
                <w:sz w:val="22"/>
                <w:szCs w:val="22"/>
              </w:rPr>
              <w:t>Contaminación Ambiental</w:t>
            </w:r>
          </w:p>
        </w:tc>
        <w:tc>
          <w:tcPr>
            <w:tcW w:w="1417" w:type="dxa"/>
          </w:tcPr>
          <w:p w14:paraId="27383BFE" w14:textId="77777777" w:rsidR="005F2952" w:rsidRPr="007923C2" w:rsidRDefault="005F2952" w:rsidP="00BD7DAE">
            <w:pPr>
              <w:rPr>
                <w:rFonts w:ascii="Arial" w:hAnsi="Arial" w:cs="Arial"/>
                <w:sz w:val="22"/>
                <w:szCs w:val="22"/>
              </w:rPr>
            </w:pPr>
            <w:r w:rsidRPr="007923C2">
              <w:rPr>
                <w:rFonts w:ascii="Arial" w:hAnsi="Arial" w:cs="Arial"/>
                <w:sz w:val="22"/>
                <w:szCs w:val="22"/>
              </w:rPr>
              <w:t>BOT480</w:t>
            </w:r>
          </w:p>
        </w:tc>
      </w:tr>
      <w:tr w:rsidR="005F2952" w:rsidRPr="007923C2" w14:paraId="5A822EED" w14:textId="77777777" w:rsidTr="00DB4F40">
        <w:tc>
          <w:tcPr>
            <w:tcW w:w="562" w:type="dxa"/>
          </w:tcPr>
          <w:p w14:paraId="5C9A5AE2"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24</w:t>
            </w:r>
          </w:p>
        </w:tc>
        <w:tc>
          <w:tcPr>
            <w:tcW w:w="2694" w:type="dxa"/>
          </w:tcPr>
          <w:p w14:paraId="289D690B" w14:textId="77777777" w:rsidR="005F2952" w:rsidRPr="007923C2" w:rsidRDefault="005F2952" w:rsidP="00BD7DAE">
            <w:pPr>
              <w:rPr>
                <w:rFonts w:ascii="Arial" w:hAnsi="Arial" w:cs="Arial"/>
                <w:sz w:val="22"/>
                <w:szCs w:val="22"/>
              </w:rPr>
            </w:pPr>
            <w:r w:rsidRPr="007923C2">
              <w:rPr>
                <w:rFonts w:ascii="Arial" w:hAnsi="Arial" w:cs="Arial"/>
                <w:sz w:val="22"/>
                <w:szCs w:val="22"/>
              </w:rPr>
              <w:t>Productividad Agroecológica</w:t>
            </w:r>
          </w:p>
        </w:tc>
        <w:tc>
          <w:tcPr>
            <w:tcW w:w="1134" w:type="dxa"/>
          </w:tcPr>
          <w:p w14:paraId="39D395C6" w14:textId="77777777" w:rsidR="005F2952" w:rsidRPr="007923C2" w:rsidRDefault="005F2952" w:rsidP="00BD7DAE">
            <w:pPr>
              <w:rPr>
                <w:rFonts w:ascii="Arial" w:hAnsi="Arial" w:cs="Arial"/>
                <w:sz w:val="22"/>
                <w:szCs w:val="22"/>
              </w:rPr>
            </w:pPr>
            <w:r w:rsidRPr="007923C2">
              <w:rPr>
                <w:rFonts w:ascii="Arial" w:hAnsi="Arial" w:cs="Arial"/>
                <w:sz w:val="22"/>
                <w:szCs w:val="22"/>
              </w:rPr>
              <w:t>FIT427</w:t>
            </w:r>
          </w:p>
        </w:tc>
        <w:tc>
          <w:tcPr>
            <w:tcW w:w="708" w:type="dxa"/>
          </w:tcPr>
          <w:p w14:paraId="0525B16A"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1213D2E1"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1D8DAB07" w14:textId="77777777" w:rsidR="005F2952" w:rsidRPr="007923C2" w:rsidRDefault="005F2952" w:rsidP="00BD7DAE">
            <w:pPr>
              <w:rPr>
                <w:rFonts w:ascii="Arial" w:hAnsi="Arial" w:cs="Arial"/>
                <w:sz w:val="22"/>
                <w:szCs w:val="22"/>
              </w:rPr>
            </w:pPr>
            <w:r w:rsidRPr="007923C2">
              <w:rPr>
                <w:rFonts w:ascii="Arial" w:hAnsi="Arial" w:cs="Arial"/>
                <w:sz w:val="22"/>
                <w:szCs w:val="22"/>
              </w:rPr>
              <w:t>Botánica I</w:t>
            </w:r>
          </w:p>
        </w:tc>
        <w:tc>
          <w:tcPr>
            <w:tcW w:w="1417" w:type="dxa"/>
          </w:tcPr>
          <w:p w14:paraId="5EE6E23D" w14:textId="77777777" w:rsidR="005F2952" w:rsidRPr="007923C2" w:rsidRDefault="005F2952" w:rsidP="00BD7DAE">
            <w:pPr>
              <w:rPr>
                <w:rFonts w:ascii="Arial" w:hAnsi="Arial" w:cs="Arial"/>
                <w:sz w:val="22"/>
                <w:szCs w:val="22"/>
              </w:rPr>
            </w:pPr>
            <w:r w:rsidRPr="007923C2">
              <w:rPr>
                <w:rFonts w:ascii="Arial" w:hAnsi="Arial" w:cs="Arial"/>
                <w:sz w:val="22"/>
                <w:szCs w:val="22"/>
              </w:rPr>
              <w:t>BOT413</w:t>
            </w:r>
          </w:p>
        </w:tc>
      </w:tr>
      <w:tr w:rsidR="005F2952" w:rsidRPr="007923C2" w14:paraId="1872DAC4" w14:textId="77777777" w:rsidTr="00DB4F40">
        <w:tc>
          <w:tcPr>
            <w:tcW w:w="562" w:type="dxa"/>
          </w:tcPr>
          <w:p w14:paraId="4F4F2219"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25</w:t>
            </w:r>
          </w:p>
        </w:tc>
        <w:tc>
          <w:tcPr>
            <w:tcW w:w="2694" w:type="dxa"/>
          </w:tcPr>
          <w:p w14:paraId="29DBF76B" w14:textId="77777777" w:rsidR="005F2952" w:rsidRPr="007923C2" w:rsidRDefault="005F2952" w:rsidP="00BD7DAE">
            <w:pPr>
              <w:rPr>
                <w:rFonts w:ascii="Arial" w:hAnsi="Arial" w:cs="Arial"/>
                <w:sz w:val="22"/>
                <w:szCs w:val="22"/>
              </w:rPr>
            </w:pPr>
            <w:r w:rsidRPr="007923C2">
              <w:rPr>
                <w:rFonts w:ascii="Arial" w:hAnsi="Arial" w:cs="Arial"/>
                <w:sz w:val="22"/>
                <w:szCs w:val="22"/>
              </w:rPr>
              <w:t>Producción en Invernadero</w:t>
            </w:r>
          </w:p>
        </w:tc>
        <w:tc>
          <w:tcPr>
            <w:tcW w:w="1134" w:type="dxa"/>
          </w:tcPr>
          <w:p w14:paraId="76AF91A5" w14:textId="77777777" w:rsidR="005F2952" w:rsidRPr="007923C2" w:rsidRDefault="005F2952" w:rsidP="00BD7DAE">
            <w:pPr>
              <w:rPr>
                <w:rFonts w:ascii="Arial" w:hAnsi="Arial" w:cs="Arial"/>
                <w:sz w:val="22"/>
                <w:szCs w:val="22"/>
              </w:rPr>
            </w:pPr>
            <w:r w:rsidRPr="007923C2">
              <w:rPr>
                <w:rFonts w:ascii="Arial" w:hAnsi="Arial" w:cs="Arial"/>
                <w:sz w:val="22"/>
                <w:szCs w:val="22"/>
              </w:rPr>
              <w:t>FIT477</w:t>
            </w:r>
          </w:p>
        </w:tc>
        <w:tc>
          <w:tcPr>
            <w:tcW w:w="708" w:type="dxa"/>
          </w:tcPr>
          <w:p w14:paraId="4873559C"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0BA82674"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4CD7EF61" w14:textId="77777777" w:rsidR="005F2952" w:rsidRPr="007923C2" w:rsidRDefault="005F2952" w:rsidP="00BD7DAE">
            <w:pPr>
              <w:rPr>
                <w:rFonts w:ascii="Arial" w:hAnsi="Arial" w:cs="Arial"/>
                <w:sz w:val="22"/>
                <w:szCs w:val="22"/>
              </w:rPr>
            </w:pPr>
            <w:r w:rsidRPr="007923C2">
              <w:rPr>
                <w:rFonts w:ascii="Arial" w:hAnsi="Arial" w:cs="Arial"/>
                <w:sz w:val="22"/>
                <w:szCs w:val="22"/>
              </w:rPr>
              <w:t>Fisiología Vegetal</w:t>
            </w:r>
          </w:p>
        </w:tc>
        <w:tc>
          <w:tcPr>
            <w:tcW w:w="1417" w:type="dxa"/>
          </w:tcPr>
          <w:p w14:paraId="130741C5" w14:textId="77777777" w:rsidR="005F2952" w:rsidRPr="007923C2" w:rsidRDefault="005F2952" w:rsidP="00BD7DAE">
            <w:pPr>
              <w:rPr>
                <w:rFonts w:ascii="Arial" w:hAnsi="Arial" w:cs="Arial"/>
                <w:sz w:val="22"/>
                <w:szCs w:val="22"/>
              </w:rPr>
            </w:pPr>
            <w:r w:rsidRPr="007923C2">
              <w:rPr>
                <w:rFonts w:ascii="Arial" w:hAnsi="Arial" w:cs="Arial"/>
                <w:sz w:val="22"/>
                <w:szCs w:val="22"/>
              </w:rPr>
              <w:t>BOT424</w:t>
            </w:r>
          </w:p>
        </w:tc>
      </w:tr>
      <w:tr w:rsidR="005F2952" w:rsidRPr="007923C2" w14:paraId="708C369A" w14:textId="77777777" w:rsidTr="00DB4F40">
        <w:tc>
          <w:tcPr>
            <w:tcW w:w="562" w:type="dxa"/>
          </w:tcPr>
          <w:p w14:paraId="093F4D86"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26</w:t>
            </w:r>
          </w:p>
        </w:tc>
        <w:tc>
          <w:tcPr>
            <w:tcW w:w="2694" w:type="dxa"/>
          </w:tcPr>
          <w:p w14:paraId="5C8DC99F" w14:textId="77777777" w:rsidR="005F2952" w:rsidRPr="007923C2" w:rsidRDefault="005F2952" w:rsidP="00BD7DAE">
            <w:pPr>
              <w:rPr>
                <w:rFonts w:ascii="Arial" w:hAnsi="Arial" w:cs="Arial"/>
                <w:sz w:val="22"/>
                <w:szCs w:val="22"/>
              </w:rPr>
            </w:pPr>
            <w:r w:rsidRPr="007923C2">
              <w:rPr>
                <w:rFonts w:ascii="Arial" w:hAnsi="Arial" w:cs="Arial"/>
                <w:sz w:val="22"/>
                <w:szCs w:val="22"/>
              </w:rPr>
              <w:t>Topografía General</w:t>
            </w:r>
          </w:p>
        </w:tc>
        <w:tc>
          <w:tcPr>
            <w:tcW w:w="1134" w:type="dxa"/>
          </w:tcPr>
          <w:p w14:paraId="467CBE97" w14:textId="77777777" w:rsidR="005F2952" w:rsidRPr="007923C2" w:rsidRDefault="005F2952" w:rsidP="00BD7DAE">
            <w:pPr>
              <w:rPr>
                <w:rFonts w:ascii="Arial" w:hAnsi="Arial" w:cs="Arial"/>
                <w:sz w:val="22"/>
                <w:szCs w:val="22"/>
              </w:rPr>
            </w:pPr>
            <w:r w:rsidRPr="007923C2">
              <w:rPr>
                <w:rFonts w:ascii="Arial" w:hAnsi="Arial" w:cs="Arial"/>
                <w:sz w:val="22"/>
                <w:szCs w:val="22"/>
              </w:rPr>
              <w:t>CSB416</w:t>
            </w:r>
          </w:p>
        </w:tc>
        <w:tc>
          <w:tcPr>
            <w:tcW w:w="708" w:type="dxa"/>
          </w:tcPr>
          <w:p w14:paraId="3AA87AED" w14:textId="77777777" w:rsidR="005F2952" w:rsidRPr="007923C2" w:rsidRDefault="005F2952" w:rsidP="00BD7DAE">
            <w:pPr>
              <w:rPr>
                <w:rFonts w:ascii="Arial" w:hAnsi="Arial" w:cs="Arial"/>
                <w:sz w:val="22"/>
                <w:szCs w:val="22"/>
              </w:rPr>
            </w:pPr>
            <w:r w:rsidRPr="007923C2">
              <w:rPr>
                <w:rFonts w:ascii="Arial" w:hAnsi="Arial" w:cs="Arial"/>
                <w:sz w:val="22"/>
                <w:szCs w:val="22"/>
              </w:rPr>
              <w:t>3-3</w:t>
            </w:r>
          </w:p>
        </w:tc>
        <w:tc>
          <w:tcPr>
            <w:tcW w:w="1418" w:type="dxa"/>
          </w:tcPr>
          <w:p w14:paraId="6C80A84B" w14:textId="77777777" w:rsidR="005F2952" w:rsidRPr="007923C2" w:rsidRDefault="005F2952" w:rsidP="00BD7DAE">
            <w:pPr>
              <w:rPr>
                <w:rFonts w:ascii="Arial" w:hAnsi="Arial" w:cs="Arial"/>
                <w:sz w:val="22"/>
                <w:szCs w:val="22"/>
              </w:rPr>
            </w:pPr>
            <w:r w:rsidRPr="007923C2">
              <w:rPr>
                <w:rFonts w:ascii="Arial" w:hAnsi="Arial" w:cs="Arial"/>
                <w:sz w:val="22"/>
                <w:szCs w:val="22"/>
              </w:rPr>
              <w:t>9</w:t>
            </w:r>
          </w:p>
        </w:tc>
        <w:tc>
          <w:tcPr>
            <w:tcW w:w="1701" w:type="dxa"/>
          </w:tcPr>
          <w:p w14:paraId="1EC5290E" w14:textId="77777777"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14:paraId="0CC4AF78" w14:textId="77777777" w:rsidR="005F2952" w:rsidRPr="007923C2" w:rsidRDefault="005F2952" w:rsidP="00BD7DAE">
            <w:pPr>
              <w:rPr>
                <w:rFonts w:ascii="Arial" w:hAnsi="Arial" w:cs="Arial"/>
                <w:sz w:val="22"/>
                <w:szCs w:val="22"/>
              </w:rPr>
            </w:pPr>
            <w:r w:rsidRPr="007923C2">
              <w:rPr>
                <w:rFonts w:ascii="Arial" w:hAnsi="Arial" w:cs="Arial"/>
                <w:sz w:val="22"/>
                <w:szCs w:val="22"/>
              </w:rPr>
              <w:t>-</w:t>
            </w:r>
          </w:p>
        </w:tc>
      </w:tr>
      <w:tr w:rsidR="005F2952" w:rsidRPr="007923C2" w14:paraId="231D3B09" w14:textId="77777777" w:rsidTr="00DB4F40">
        <w:tc>
          <w:tcPr>
            <w:tcW w:w="562" w:type="dxa"/>
          </w:tcPr>
          <w:p w14:paraId="4E17B1FF"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27</w:t>
            </w:r>
          </w:p>
        </w:tc>
        <w:tc>
          <w:tcPr>
            <w:tcW w:w="2694" w:type="dxa"/>
          </w:tcPr>
          <w:p w14:paraId="7E146DCF" w14:textId="77777777" w:rsidR="005F2952" w:rsidRPr="007923C2" w:rsidRDefault="005F2952" w:rsidP="00BD7DAE">
            <w:pPr>
              <w:rPr>
                <w:rFonts w:ascii="Arial" w:hAnsi="Arial" w:cs="Arial"/>
                <w:sz w:val="22"/>
                <w:szCs w:val="22"/>
              </w:rPr>
            </w:pPr>
            <w:r w:rsidRPr="007923C2">
              <w:rPr>
                <w:rFonts w:ascii="Arial" w:hAnsi="Arial" w:cs="Arial"/>
                <w:sz w:val="22"/>
                <w:szCs w:val="22"/>
              </w:rPr>
              <w:t>Conservación de Suelo y Agua</w:t>
            </w:r>
          </w:p>
        </w:tc>
        <w:tc>
          <w:tcPr>
            <w:tcW w:w="1134" w:type="dxa"/>
          </w:tcPr>
          <w:p w14:paraId="70C586CC" w14:textId="77777777" w:rsidR="005F2952" w:rsidRPr="007923C2" w:rsidRDefault="005F2952" w:rsidP="00BD7DAE">
            <w:pPr>
              <w:rPr>
                <w:rFonts w:ascii="Arial" w:hAnsi="Arial" w:cs="Arial"/>
                <w:sz w:val="22"/>
                <w:szCs w:val="22"/>
              </w:rPr>
            </w:pPr>
            <w:r w:rsidRPr="007923C2">
              <w:rPr>
                <w:rFonts w:ascii="Arial" w:hAnsi="Arial" w:cs="Arial"/>
                <w:sz w:val="22"/>
                <w:szCs w:val="22"/>
              </w:rPr>
              <w:t>SUE462</w:t>
            </w:r>
          </w:p>
        </w:tc>
        <w:tc>
          <w:tcPr>
            <w:tcW w:w="708" w:type="dxa"/>
          </w:tcPr>
          <w:p w14:paraId="64D12FD3"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4824AB43"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41CAFB9C" w14:textId="77777777"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14:paraId="23237A72" w14:textId="77777777" w:rsidR="005F2952" w:rsidRPr="007923C2" w:rsidRDefault="005F2952" w:rsidP="00BD7DAE">
            <w:pPr>
              <w:rPr>
                <w:rFonts w:ascii="Arial" w:hAnsi="Arial" w:cs="Arial"/>
                <w:sz w:val="22"/>
                <w:szCs w:val="22"/>
              </w:rPr>
            </w:pPr>
          </w:p>
        </w:tc>
      </w:tr>
      <w:tr w:rsidR="005F2952" w:rsidRPr="007923C2" w14:paraId="5AFA2515" w14:textId="77777777" w:rsidTr="00DB4F40">
        <w:tc>
          <w:tcPr>
            <w:tcW w:w="562" w:type="dxa"/>
          </w:tcPr>
          <w:p w14:paraId="336E9705" w14:textId="77777777" w:rsidR="005F2952" w:rsidRPr="007923C2" w:rsidRDefault="005F2952" w:rsidP="00DB4F40">
            <w:pPr>
              <w:jc w:val="center"/>
              <w:rPr>
                <w:rFonts w:ascii="Arial" w:hAnsi="Arial" w:cs="Arial"/>
                <w:sz w:val="22"/>
                <w:szCs w:val="22"/>
              </w:rPr>
            </w:pPr>
            <w:r w:rsidRPr="007923C2">
              <w:rPr>
                <w:rFonts w:ascii="Arial" w:hAnsi="Arial" w:cs="Arial"/>
                <w:sz w:val="22"/>
                <w:szCs w:val="22"/>
              </w:rPr>
              <w:t>28</w:t>
            </w:r>
          </w:p>
        </w:tc>
        <w:tc>
          <w:tcPr>
            <w:tcW w:w="2694" w:type="dxa"/>
          </w:tcPr>
          <w:p w14:paraId="34A470FC" w14:textId="77777777" w:rsidR="005F2952" w:rsidRPr="007923C2" w:rsidRDefault="005F2952" w:rsidP="00BD7DAE">
            <w:pPr>
              <w:rPr>
                <w:rFonts w:ascii="Arial" w:hAnsi="Arial" w:cs="Arial"/>
                <w:sz w:val="22"/>
                <w:szCs w:val="22"/>
              </w:rPr>
            </w:pPr>
            <w:r w:rsidRPr="007923C2">
              <w:rPr>
                <w:rFonts w:ascii="Arial" w:hAnsi="Arial" w:cs="Arial"/>
                <w:sz w:val="22"/>
                <w:szCs w:val="22"/>
              </w:rPr>
              <w:t>Recursos Renovables de zonas áridas</w:t>
            </w:r>
          </w:p>
        </w:tc>
        <w:tc>
          <w:tcPr>
            <w:tcW w:w="1134" w:type="dxa"/>
          </w:tcPr>
          <w:p w14:paraId="238F490B" w14:textId="77777777" w:rsidR="005F2952" w:rsidRPr="007923C2" w:rsidRDefault="005F2952" w:rsidP="00BD7DAE">
            <w:pPr>
              <w:rPr>
                <w:rFonts w:ascii="Arial" w:hAnsi="Arial" w:cs="Arial"/>
                <w:sz w:val="22"/>
                <w:szCs w:val="22"/>
              </w:rPr>
            </w:pPr>
            <w:r w:rsidRPr="007923C2">
              <w:rPr>
                <w:rFonts w:ascii="Arial" w:hAnsi="Arial" w:cs="Arial"/>
                <w:sz w:val="22"/>
                <w:szCs w:val="22"/>
              </w:rPr>
              <w:t>FOR474</w:t>
            </w:r>
          </w:p>
        </w:tc>
        <w:tc>
          <w:tcPr>
            <w:tcW w:w="708" w:type="dxa"/>
          </w:tcPr>
          <w:p w14:paraId="4AF1E823"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3D6368F2"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29BDEAC6" w14:textId="77777777"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14:paraId="75E4861E" w14:textId="77777777" w:rsidR="005F2952" w:rsidRPr="007923C2" w:rsidRDefault="005F2952" w:rsidP="00BD7DAE">
            <w:pPr>
              <w:rPr>
                <w:rFonts w:ascii="Arial" w:hAnsi="Arial" w:cs="Arial"/>
                <w:sz w:val="22"/>
                <w:szCs w:val="22"/>
              </w:rPr>
            </w:pPr>
            <w:r w:rsidRPr="007923C2">
              <w:rPr>
                <w:rFonts w:ascii="Arial" w:hAnsi="Arial" w:cs="Arial"/>
                <w:sz w:val="22"/>
                <w:szCs w:val="22"/>
              </w:rPr>
              <w:t>-</w:t>
            </w:r>
          </w:p>
        </w:tc>
      </w:tr>
      <w:tr w:rsidR="005F2952" w:rsidRPr="007923C2" w14:paraId="44AB83E3" w14:textId="77777777" w:rsidTr="00DB4F40">
        <w:tc>
          <w:tcPr>
            <w:tcW w:w="562" w:type="dxa"/>
          </w:tcPr>
          <w:p w14:paraId="35CD5381" w14:textId="67DC80BE" w:rsidR="005F2952" w:rsidRPr="007923C2" w:rsidRDefault="00E31C7A" w:rsidP="00DB4F40">
            <w:pPr>
              <w:jc w:val="center"/>
              <w:rPr>
                <w:rFonts w:ascii="Arial" w:hAnsi="Arial" w:cs="Arial"/>
                <w:sz w:val="22"/>
                <w:szCs w:val="22"/>
              </w:rPr>
            </w:pPr>
            <w:r>
              <w:rPr>
                <w:rFonts w:ascii="Arial" w:hAnsi="Arial" w:cs="Arial"/>
                <w:sz w:val="22"/>
                <w:szCs w:val="22"/>
              </w:rPr>
              <w:t>29</w:t>
            </w:r>
          </w:p>
        </w:tc>
        <w:tc>
          <w:tcPr>
            <w:tcW w:w="2694" w:type="dxa"/>
          </w:tcPr>
          <w:p w14:paraId="210944D8" w14:textId="77777777" w:rsidR="005F2952" w:rsidRPr="007923C2" w:rsidRDefault="005F2952" w:rsidP="00BD7DAE">
            <w:pPr>
              <w:rPr>
                <w:rFonts w:ascii="Arial" w:hAnsi="Arial" w:cs="Arial"/>
                <w:sz w:val="22"/>
                <w:szCs w:val="22"/>
              </w:rPr>
            </w:pPr>
            <w:r w:rsidRPr="007923C2">
              <w:rPr>
                <w:rFonts w:ascii="Arial" w:hAnsi="Arial" w:cs="Arial"/>
                <w:sz w:val="22"/>
                <w:szCs w:val="22"/>
              </w:rPr>
              <w:t>Fisiotecnia de Cultivos Hortícolas</w:t>
            </w:r>
          </w:p>
        </w:tc>
        <w:tc>
          <w:tcPr>
            <w:tcW w:w="1134" w:type="dxa"/>
          </w:tcPr>
          <w:p w14:paraId="7BA2E928" w14:textId="77777777" w:rsidR="005F2952" w:rsidRPr="007923C2" w:rsidRDefault="005F2952" w:rsidP="00BD7DAE">
            <w:pPr>
              <w:rPr>
                <w:rFonts w:ascii="Arial" w:hAnsi="Arial" w:cs="Arial"/>
                <w:sz w:val="22"/>
                <w:szCs w:val="22"/>
              </w:rPr>
            </w:pPr>
            <w:r w:rsidRPr="007923C2">
              <w:rPr>
                <w:rFonts w:ascii="Arial" w:hAnsi="Arial" w:cs="Arial"/>
                <w:sz w:val="22"/>
                <w:szCs w:val="22"/>
              </w:rPr>
              <w:t>HOR421</w:t>
            </w:r>
          </w:p>
        </w:tc>
        <w:tc>
          <w:tcPr>
            <w:tcW w:w="708" w:type="dxa"/>
          </w:tcPr>
          <w:p w14:paraId="33D7A9CE"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739A0A7E"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779168A0" w14:textId="77777777" w:rsidR="005F2952" w:rsidRPr="007923C2" w:rsidRDefault="005F2952" w:rsidP="00BD7DAE">
            <w:pPr>
              <w:rPr>
                <w:rFonts w:ascii="Arial" w:hAnsi="Arial" w:cs="Arial"/>
                <w:sz w:val="22"/>
                <w:szCs w:val="22"/>
              </w:rPr>
            </w:pPr>
            <w:r w:rsidRPr="007923C2">
              <w:rPr>
                <w:rFonts w:ascii="Arial" w:hAnsi="Arial" w:cs="Arial"/>
                <w:sz w:val="22"/>
                <w:szCs w:val="22"/>
              </w:rPr>
              <w:t>Fisiología Vegetal</w:t>
            </w:r>
          </w:p>
        </w:tc>
        <w:tc>
          <w:tcPr>
            <w:tcW w:w="1417" w:type="dxa"/>
          </w:tcPr>
          <w:p w14:paraId="2067AED9" w14:textId="77777777" w:rsidR="005F2952" w:rsidRPr="007923C2" w:rsidRDefault="005F2952" w:rsidP="00BD7DAE">
            <w:pPr>
              <w:rPr>
                <w:rFonts w:ascii="Arial" w:hAnsi="Arial" w:cs="Arial"/>
                <w:sz w:val="22"/>
                <w:szCs w:val="22"/>
              </w:rPr>
            </w:pPr>
            <w:r w:rsidRPr="007923C2">
              <w:rPr>
                <w:rFonts w:ascii="Arial" w:hAnsi="Arial" w:cs="Arial"/>
                <w:sz w:val="22"/>
                <w:szCs w:val="22"/>
              </w:rPr>
              <w:t>BOT424</w:t>
            </w:r>
          </w:p>
        </w:tc>
      </w:tr>
      <w:tr w:rsidR="005F2952" w:rsidRPr="007923C2" w14:paraId="7DA8A275" w14:textId="77777777" w:rsidTr="00DB4F40">
        <w:tc>
          <w:tcPr>
            <w:tcW w:w="562" w:type="dxa"/>
          </w:tcPr>
          <w:p w14:paraId="02EF7921" w14:textId="7430A09B" w:rsidR="005F2952" w:rsidRPr="007923C2" w:rsidRDefault="00E31C7A" w:rsidP="00DB4F40">
            <w:pPr>
              <w:jc w:val="center"/>
              <w:rPr>
                <w:rFonts w:ascii="Arial" w:hAnsi="Arial" w:cs="Arial"/>
                <w:sz w:val="22"/>
                <w:szCs w:val="22"/>
              </w:rPr>
            </w:pPr>
            <w:r>
              <w:rPr>
                <w:rFonts w:ascii="Arial" w:hAnsi="Arial" w:cs="Arial"/>
                <w:sz w:val="22"/>
                <w:szCs w:val="22"/>
              </w:rPr>
              <w:t>30</w:t>
            </w:r>
          </w:p>
        </w:tc>
        <w:tc>
          <w:tcPr>
            <w:tcW w:w="2694" w:type="dxa"/>
          </w:tcPr>
          <w:p w14:paraId="38069C6A" w14:textId="77777777" w:rsidR="005F2952" w:rsidRPr="007923C2" w:rsidRDefault="005F2952" w:rsidP="00BD7DAE">
            <w:pPr>
              <w:rPr>
                <w:rFonts w:ascii="Arial" w:hAnsi="Arial" w:cs="Arial"/>
                <w:sz w:val="22"/>
                <w:szCs w:val="22"/>
              </w:rPr>
            </w:pPr>
            <w:r w:rsidRPr="007923C2">
              <w:rPr>
                <w:rFonts w:ascii="Arial" w:hAnsi="Arial" w:cs="Arial"/>
                <w:sz w:val="22"/>
                <w:szCs w:val="22"/>
              </w:rPr>
              <w:t>Introducción a la Biotecnología Molecular</w:t>
            </w:r>
          </w:p>
        </w:tc>
        <w:tc>
          <w:tcPr>
            <w:tcW w:w="1134" w:type="dxa"/>
          </w:tcPr>
          <w:p w14:paraId="70AB558A" w14:textId="77777777" w:rsidR="005F2952" w:rsidRPr="007923C2" w:rsidRDefault="005F2952" w:rsidP="00BD7DAE">
            <w:pPr>
              <w:rPr>
                <w:rFonts w:ascii="Arial" w:hAnsi="Arial" w:cs="Arial"/>
                <w:sz w:val="22"/>
                <w:szCs w:val="22"/>
              </w:rPr>
            </w:pPr>
            <w:r w:rsidRPr="007923C2">
              <w:rPr>
                <w:rFonts w:ascii="Arial" w:hAnsi="Arial" w:cs="Arial"/>
                <w:sz w:val="22"/>
                <w:szCs w:val="22"/>
              </w:rPr>
              <w:t>PAR478</w:t>
            </w:r>
          </w:p>
        </w:tc>
        <w:tc>
          <w:tcPr>
            <w:tcW w:w="708" w:type="dxa"/>
          </w:tcPr>
          <w:p w14:paraId="77FD8777"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5442D5A4"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230AE6B2" w14:textId="77777777" w:rsidR="005F2952" w:rsidRPr="007923C2" w:rsidRDefault="005F2952" w:rsidP="00BD7DAE">
            <w:pPr>
              <w:rPr>
                <w:rFonts w:ascii="Arial" w:hAnsi="Arial" w:cs="Arial"/>
                <w:sz w:val="22"/>
                <w:szCs w:val="22"/>
              </w:rPr>
            </w:pPr>
            <w:r w:rsidRPr="007923C2">
              <w:rPr>
                <w:rFonts w:ascii="Arial" w:hAnsi="Arial" w:cs="Arial"/>
                <w:sz w:val="22"/>
                <w:szCs w:val="22"/>
              </w:rPr>
              <w:t>Genética</w:t>
            </w:r>
          </w:p>
        </w:tc>
        <w:tc>
          <w:tcPr>
            <w:tcW w:w="1417" w:type="dxa"/>
          </w:tcPr>
          <w:p w14:paraId="744106A3" w14:textId="77777777" w:rsidR="005F2952" w:rsidRPr="007923C2" w:rsidRDefault="005F2952" w:rsidP="00BD7DAE">
            <w:pPr>
              <w:rPr>
                <w:rFonts w:ascii="Arial" w:hAnsi="Arial" w:cs="Arial"/>
                <w:sz w:val="22"/>
                <w:szCs w:val="22"/>
              </w:rPr>
            </w:pPr>
            <w:r w:rsidRPr="007923C2">
              <w:rPr>
                <w:rFonts w:ascii="Arial" w:hAnsi="Arial" w:cs="Arial"/>
                <w:sz w:val="22"/>
                <w:szCs w:val="22"/>
              </w:rPr>
              <w:t>FIT401</w:t>
            </w:r>
          </w:p>
        </w:tc>
      </w:tr>
      <w:tr w:rsidR="005F2952" w:rsidRPr="007923C2" w14:paraId="6DAD78BC" w14:textId="77777777" w:rsidTr="00DB4F40">
        <w:tc>
          <w:tcPr>
            <w:tcW w:w="562" w:type="dxa"/>
          </w:tcPr>
          <w:p w14:paraId="496D5D76" w14:textId="57D169BC" w:rsidR="005F2952" w:rsidRPr="007923C2" w:rsidRDefault="00E31C7A" w:rsidP="00DB4F40">
            <w:pPr>
              <w:jc w:val="center"/>
              <w:rPr>
                <w:rFonts w:ascii="Arial" w:hAnsi="Arial" w:cs="Arial"/>
                <w:sz w:val="22"/>
                <w:szCs w:val="22"/>
              </w:rPr>
            </w:pPr>
            <w:r>
              <w:rPr>
                <w:rFonts w:ascii="Arial" w:hAnsi="Arial" w:cs="Arial"/>
                <w:sz w:val="22"/>
                <w:szCs w:val="22"/>
              </w:rPr>
              <w:t>31</w:t>
            </w:r>
          </w:p>
        </w:tc>
        <w:tc>
          <w:tcPr>
            <w:tcW w:w="2694" w:type="dxa"/>
          </w:tcPr>
          <w:p w14:paraId="03A7548F" w14:textId="77777777" w:rsidR="005F2952" w:rsidRPr="007923C2" w:rsidRDefault="005F2952" w:rsidP="00BD7DAE">
            <w:pPr>
              <w:rPr>
                <w:rFonts w:ascii="Arial" w:hAnsi="Arial" w:cs="Arial"/>
                <w:sz w:val="22"/>
                <w:szCs w:val="22"/>
              </w:rPr>
            </w:pPr>
            <w:r w:rsidRPr="007923C2">
              <w:rPr>
                <w:rFonts w:ascii="Arial" w:hAnsi="Arial" w:cs="Arial"/>
                <w:sz w:val="22"/>
                <w:szCs w:val="22"/>
              </w:rPr>
              <w:t>Sensores Remotos</w:t>
            </w:r>
          </w:p>
        </w:tc>
        <w:tc>
          <w:tcPr>
            <w:tcW w:w="1134" w:type="dxa"/>
          </w:tcPr>
          <w:p w14:paraId="45639983" w14:textId="77777777" w:rsidR="005F2952" w:rsidRPr="007923C2" w:rsidRDefault="005F2952" w:rsidP="00BD7DAE">
            <w:pPr>
              <w:rPr>
                <w:rFonts w:ascii="Arial" w:hAnsi="Arial" w:cs="Arial"/>
                <w:sz w:val="22"/>
                <w:szCs w:val="22"/>
              </w:rPr>
            </w:pPr>
            <w:r w:rsidRPr="007923C2">
              <w:rPr>
                <w:rFonts w:ascii="Arial" w:hAnsi="Arial" w:cs="Arial"/>
                <w:sz w:val="22"/>
                <w:szCs w:val="22"/>
              </w:rPr>
              <w:t>FOR433</w:t>
            </w:r>
          </w:p>
        </w:tc>
        <w:tc>
          <w:tcPr>
            <w:tcW w:w="708" w:type="dxa"/>
          </w:tcPr>
          <w:p w14:paraId="19050CD6" w14:textId="77777777" w:rsidR="005F2952" w:rsidRPr="007923C2" w:rsidRDefault="005F2952" w:rsidP="00BD7DAE">
            <w:pPr>
              <w:rPr>
                <w:rFonts w:ascii="Arial" w:hAnsi="Arial" w:cs="Arial"/>
                <w:sz w:val="22"/>
                <w:szCs w:val="22"/>
              </w:rPr>
            </w:pPr>
            <w:r w:rsidRPr="007923C2">
              <w:rPr>
                <w:rFonts w:ascii="Arial" w:hAnsi="Arial" w:cs="Arial"/>
                <w:sz w:val="22"/>
                <w:szCs w:val="22"/>
              </w:rPr>
              <w:t>2-4</w:t>
            </w:r>
          </w:p>
        </w:tc>
        <w:tc>
          <w:tcPr>
            <w:tcW w:w="1418" w:type="dxa"/>
          </w:tcPr>
          <w:p w14:paraId="71CA23D6"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72CDCE7D" w14:textId="77777777" w:rsidR="005F2952" w:rsidRPr="007923C2" w:rsidRDefault="005F2952" w:rsidP="00BD7DAE">
            <w:pPr>
              <w:rPr>
                <w:rFonts w:ascii="Arial" w:hAnsi="Arial" w:cs="Arial"/>
                <w:sz w:val="22"/>
                <w:szCs w:val="22"/>
              </w:rPr>
            </w:pPr>
            <w:r w:rsidRPr="007923C2">
              <w:rPr>
                <w:rFonts w:ascii="Arial" w:hAnsi="Arial" w:cs="Arial"/>
                <w:sz w:val="22"/>
                <w:szCs w:val="22"/>
              </w:rPr>
              <w:t>Topografía General</w:t>
            </w:r>
          </w:p>
        </w:tc>
        <w:tc>
          <w:tcPr>
            <w:tcW w:w="1417" w:type="dxa"/>
          </w:tcPr>
          <w:p w14:paraId="5C777417" w14:textId="77777777" w:rsidR="005F2952" w:rsidRPr="007923C2" w:rsidRDefault="005F2952" w:rsidP="00BD7DAE">
            <w:pPr>
              <w:rPr>
                <w:rFonts w:ascii="Arial" w:hAnsi="Arial" w:cs="Arial"/>
                <w:sz w:val="22"/>
                <w:szCs w:val="22"/>
              </w:rPr>
            </w:pPr>
            <w:r w:rsidRPr="007923C2">
              <w:rPr>
                <w:rFonts w:ascii="Arial" w:hAnsi="Arial" w:cs="Arial"/>
                <w:sz w:val="22"/>
                <w:szCs w:val="22"/>
              </w:rPr>
              <w:t>CSB416</w:t>
            </w:r>
          </w:p>
        </w:tc>
      </w:tr>
      <w:tr w:rsidR="005F2952" w:rsidRPr="007923C2" w14:paraId="278BB8B2" w14:textId="77777777" w:rsidTr="00DB4F40">
        <w:tc>
          <w:tcPr>
            <w:tcW w:w="562" w:type="dxa"/>
          </w:tcPr>
          <w:p w14:paraId="32FDB118" w14:textId="73C81B27" w:rsidR="005F2952" w:rsidRPr="007923C2" w:rsidRDefault="00E31C7A" w:rsidP="00DB4F40">
            <w:pPr>
              <w:jc w:val="center"/>
              <w:rPr>
                <w:rFonts w:ascii="Arial" w:hAnsi="Arial" w:cs="Arial"/>
                <w:sz w:val="22"/>
                <w:szCs w:val="22"/>
              </w:rPr>
            </w:pPr>
            <w:r>
              <w:rPr>
                <w:rFonts w:ascii="Arial" w:hAnsi="Arial" w:cs="Arial"/>
                <w:sz w:val="22"/>
                <w:szCs w:val="22"/>
              </w:rPr>
              <w:t>32</w:t>
            </w:r>
          </w:p>
        </w:tc>
        <w:tc>
          <w:tcPr>
            <w:tcW w:w="2694" w:type="dxa"/>
          </w:tcPr>
          <w:p w14:paraId="497FB5AB" w14:textId="77777777" w:rsidR="005F2952" w:rsidRPr="007923C2" w:rsidRDefault="005F2952" w:rsidP="00BD7DAE">
            <w:pPr>
              <w:rPr>
                <w:rFonts w:ascii="Arial" w:hAnsi="Arial" w:cs="Arial"/>
                <w:sz w:val="22"/>
                <w:szCs w:val="22"/>
              </w:rPr>
            </w:pPr>
            <w:r w:rsidRPr="007923C2">
              <w:rPr>
                <w:rFonts w:ascii="Arial" w:hAnsi="Arial" w:cs="Arial"/>
                <w:sz w:val="22"/>
                <w:szCs w:val="22"/>
              </w:rPr>
              <w:t>Manejo de Áreas Naturales Protegidas</w:t>
            </w:r>
          </w:p>
        </w:tc>
        <w:tc>
          <w:tcPr>
            <w:tcW w:w="1134" w:type="dxa"/>
          </w:tcPr>
          <w:p w14:paraId="436933B1" w14:textId="77777777" w:rsidR="005F2952" w:rsidRPr="007923C2" w:rsidRDefault="005F2952" w:rsidP="00BD7DAE">
            <w:pPr>
              <w:rPr>
                <w:rFonts w:ascii="Arial" w:hAnsi="Arial" w:cs="Arial"/>
                <w:sz w:val="22"/>
                <w:szCs w:val="22"/>
              </w:rPr>
            </w:pPr>
            <w:r w:rsidRPr="007923C2">
              <w:rPr>
                <w:rFonts w:ascii="Arial" w:hAnsi="Arial" w:cs="Arial"/>
                <w:sz w:val="22"/>
                <w:szCs w:val="22"/>
              </w:rPr>
              <w:t>FOR475</w:t>
            </w:r>
          </w:p>
        </w:tc>
        <w:tc>
          <w:tcPr>
            <w:tcW w:w="708" w:type="dxa"/>
          </w:tcPr>
          <w:p w14:paraId="35F0ED96" w14:textId="77777777" w:rsidR="005F2952" w:rsidRPr="007923C2" w:rsidRDefault="005F2952" w:rsidP="00BD7DAE">
            <w:pPr>
              <w:rPr>
                <w:rFonts w:ascii="Arial" w:hAnsi="Arial" w:cs="Arial"/>
                <w:sz w:val="22"/>
                <w:szCs w:val="22"/>
              </w:rPr>
            </w:pPr>
            <w:r w:rsidRPr="007923C2">
              <w:rPr>
                <w:rFonts w:ascii="Arial" w:hAnsi="Arial" w:cs="Arial"/>
                <w:sz w:val="22"/>
                <w:szCs w:val="22"/>
              </w:rPr>
              <w:t>2-3</w:t>
            </w:r>
          </w:p>
        </w:tc>
        <w:tc>
          <w:tcPr>
            <w:tcW w:w="1418" w:type="dxa"/>
          </w:tcPr>
          <w:p w14:paraId="76D756A0" w14:textId="77777777" w:rsidR="005F2952" w:rsidRPr="007923C2" w:rsidRDefault="005F2952" w:rsidP="00BD7DAE">
            <w:pPr>
              <w:rPr>
                <w:rFonts w:ascii="Arial" w:hAnsi="Arial" w:cs="Arial"/>
                <w:sz w:val="22"/>
                <w:szCs w:val="22"/>
              </w:rPr>
            </w:pPr>
            <w:r w:rsidRPr="007923C2">
              <w:rPr>
                <w:rFonts w:ascii="Arial" w:hAnsi="Arial" w:cs="Arial"/>
                <w:sz w:val="22"/>
                <w:szCs w:val="22"/>
              </w:rPr>
              <w:t>7</w:t>
            </w:r>
          </w:p>
        </w:tc>
        <w:tc>
          <w:tcPr>
            <w:tcW w:w="1701" w:type="dxa"/>
          </w:tcPr>
          <w:p w14:paraId="3E232EBD" w14:textId="77777777"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14:paraId="66C4D0D0" w14:textId="77777777" w:rsidR="005F2952" w:rsidRPr="007923C2" w:rsidRDefault="005F2952" w:rsidP="00BD7DAE">
            <w:pPr>
              <w:rPr>
                <w:rFonts w:ascii="Arial" w:hAnsi="Arial" w:cs="Arial"/>
                <w:sz w:val="22"/>
                <w:szCs w:val="22"/>
              </w:rPr>
            </w:pPr>
          </w:p>
        </w:tc>
      </w:tr>
      <w:tr w:rsidR="005F2952" w:rsidRPr="007923C2" w14:paraId="4F9C6CFA" w14:textId="77777777" w:rsidTr="00DB4F40">
        <w:tc>
          <w:tcPr>
            <w:tcW w:w="562" w:type="dxa"/>
          </w:tcPr>
          <w:p w14:paraId="3639452E" w14:textId="04B3E8FC" w:rsidR="005F2952" w:rsidRPr="007923C2" w:rsidRDefault="00E31C7A" w:rsidP="00DB4F40">
            <w:pPr>
              <w:jc w:val="center"/>
              <w:rPr>
                <w:rFonts w:ascii="Arial" w:hAnsi="Arial" w:cs="Arial"/>
                <w:sz w:val="22"/>
                <w:szCs w:val="22"/>
              </w:rPr>
            </w:pPr>
            <w:r>
              <w:rPr>
                <w:rFonts w:ascii="Arial" w:hAnsi="Arial" w:cs="Arial"/>
                <w:sz w:val="22"/>
                <w:szCs w:val="22"/>
              </w:rPr>
              <w:t>33</w:t>
            </w:r>
          </w:p>
        </w:tc>
        <w:tc>
          <w:tcPr>
            <w:tcW w:w="2694" w:type="dxa"/>
          </w:tcPr>
          <w:p w14:paraId="4E1FB83F" w14:textId="77777777" w:rsidR="005F2952" w:rsidRPr="007923C2" w:rsidRDefault="005F2952" w:rsidP="00BD7DAE">
            <w:pPr>
              <w:rPr>
                <w:rFonts w:ascii="Arial" w:hAnsi="Arial" w:cs="Arial"/>
                <w:sz w:val="22"/>
                <w:szCs w:val="22"/>
              </w:rPr>
            </w:pPr>
            <w:r w:rsidRPr="007923C2">
              <w:rPr>
                <w:rFonts w:ascii="Arial" w:hAnsi="Arial" w:cs="Arial"/>
                <w:sz w:val="22"/>
                <w:szCs w:val="22"/>
              </w:rPr>
              <w:t>Organización Cinegética</w:t>
            </w:r>
          </w:p>
        </w:tc>
        <w:tc>
          <w:tcPr>
            <w:tcW w:w="1134" w:type="dxa"/>
          </w:tcPr>
          <w:p w14:paraId="31EC2E1E" w14:textId="77777777" w:rsidR="005F2952" w:rsidRPr="007923C2" w:rsidRDefault="005F2952" w:rsidP="00BD7DAE">
            <w:pPr>
              <w:rPr>
                <w:rFonts w:ascii="Arial" w:hAnsi="Arial" w:cs="Arial"/>
                <w:sz w:val="22"/>
                <w:szCs w:val="22"/>
              </w:rPr>
            </w:pPr>
            <w:r w:rsidRPr="007923C2">
              <w:rPr>
                <w:rFonts w:ascii="Arial" w:hAnsi="Arial" w:cs="Arial"/>
                <w:sz w:val="22"/>
                <w:szCs w:val="22"/>
              </w:rPr>
              <w:t>RNR433</w:t>
            </w:r>
          </w:p>
        </w:tc>
        <w:tc>
          <w:tcPr>
            <w:tcW w:w="708" w:type="dxa"/>
          </w:tcPr>
          <w:p w14:paraId="4CB1F796" w14:textId="77777777" w:rsidR="005F2952" w:rsidRPr="007923C2" w:rsidRDefault="005F2952" w:rsidP="00BD7DAE">
            <w:pPr>
              <w:rPr>
                <w:rFonts w:ascii="Arial" w:hAnsi="Arial" w:cs="Arial"/>
                <w:sz w:val="22"/>
                <w:szCs w:val="22"/>
              </w:rPr>
            </w:pPr>
            <w:r w:rsidRPr="007923C2">
              <w:rPr>
                <w:rFonts w:ascii="Arial" w:hAnsi="Arial" w:cs="Arial"/>
                <w:sz w:val="22"/>
                <w:szCs w:val="22"/>
              </w:rPr>
              <w:t>2-0</w:t>
            </w:r>
          </w:p>
        </w:tc>
        <w:tc>
          <w:tcPr>
            <w:tcW w:w="1418" w:type="dxa"/>
          </w:tcPr>
          <w:p w14:paraId="6274024B" w14:textId="77777777" w:rsidR="005F2952" w:rsidRPr="007923C2" w:rsidRDefault="005F2952" w:rsidP="00BD7DAE">
            <w:pPr>
              <w:rPr>
                <w:rFonts w:ascii="Arial" w:hAnsi="Arial" w:cs="Arial"/>
                <w:sz w:val="22"/>
                <w:szCs w:val="22"/>
              </w:rPr>
            </w:pPr>
            <w:r w:rsidRPr="007923C2">
              <w:rPr>
                <w:rFonts w:ascii="Arial" w:hAnsi="Arial" w:cs="Arial"/>
                <w:sz w:val="22"/>
                <w:szCs w:val="22"/>
              </w:rPr>
              <w:t>4</w:t>
            </w:r>
          </w:p>
        </w:tc>
        <w:tc>
          <w:tcPr>
            <w:tcW w:w="1701" w:type="dxa"/>
          </w:tcPr>
          <w:p w14:paraId="1788D80E" w14:textId="77777777"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14:paraId="77D55EA2" w14:textId="77777777" w:rsidR="005F2952" w:rsidRPr="007923C2" w:rsidRDefault="005F2952" w:rsidP="00BD7DAE">
            <w:pPr>
              <w:rPr>
                <w:rFonts w:ascii="Arial" w:hAnsi="Arial" w:cs="Arial"/>
                <w:sz w:val="22"/>
                <w:szCs w:val="22"/>
              </w:rPr>
            </w:pPr>
          </w:p>
        </w:tc>
      </w:tr>
      <w:tr w:rsidR="005F2952" w:rsidRPr="007923C2" w14:paraId="150F9E5B" w14:textId="77777777" w:rsidTr="00DB4F40">
        <w:tc>
          <w:tcPr>
            <w:tcW w:w="562" w:type="dxa"/>
          </w:tcPr>
          <w:p w14:paraId="3F0DA40A" w14:textId="1798A3B4" w:rsidR="005F2952" w:rsidRPr="007923C2" w:rsidRDefault="00E31C7A" w:rsidP="00DB4F40">
            <w:pPr>
              <w:jc w:val="center"/>
              <w:rPr>
                <w:rFonts w:ascii="Arial" w:hAnsi="Arial" w:cs="Arial"/>
                <w:sz w:val="22"/>
                <w:szCs w:val="22"/>
              </w:rPr>
            </w:pPr>
            <w:r>
              <w:rPr>
                <w:rFonts w:ascii="Arial" w:hAnsi="Arial" w:cs="Arial"/>
                <w:sz w:val="22"/>
                <w:szCs w:val="22"/>
              </w:rPr>
              <w:t>34</w:t>
            </w:r>
          </w:p>
        </w:tc>
        <w:tc>
          <w:tcPr>
            <w:tcW w:w="2694" w:type="dxa"/>
          </w:tcPr>
          <w:p w14:paraId="095AD8B8" w14:textId="77777777" w:rsidR="005F2952" w:rsidRPr="007923C2" w:rsidRDefault="005F2952" w:rsidP="00BD7DAE">
            <w:pPr>
              <w:rPr>
                <w:rFonts w:ascii="Arial" w:hAnsi="Arial" w:cs="Arial"/>
                <w:sz w:val="22"/>
                <w:szCs w:val="22"/>
              </w:rPr>
            </w:pPr>
            <w:r w:rsidRPr="007923C2">
              <w:rPr>
                <w:rFonts w:ascii="Arial" w:hAnsi="Arial" w:cs="Arial"/>
                <w:sz w:val="22"/>
                <w:szCs w:val="22"/>
              </w:rPr>
              <w:t>Olericultura</w:t>
            </w:r>
          </w:p>
        </w:tc>
        <w:tc>
          <w:tcPr>
            <w:tcW w:w="1134" w:type="dxa"/>
          </w:tcPr>
          <w:p w14:paraId="7D38D073" w14:textId="77777777" w:rsidR="005F2952" w:rsidRPr="007923C2" w:rsidRDefault="005F2952" w:rsidP="00BD7DAE">
            <w:pPr>
              <w:rPr>
                <w:rFonts w:ascii="Arial" w:hAnsi="Arial" w:cs="Arial"/>
                <w:sz w:val="22"/>
                <w:szCs w:val="22"/>
              </w:rPr>
            </w:pPr>
            <w:r w:rsidRPr="007923C2">
              <w:rPr>
                <w:rFonts w:ascii="Arial" w:hAnsi="Arial" w:cs="Arial"/>
                <w:sz w:val="22"/>
                <w:szCs w:val="22"/>
              </w:rPr>
              <w:t>HOR443</w:t>
            </w:r>
          </w:p>
        </w:tc>
        <w:tc>
          <w:tcPr>
            <w:tcW w:w="708" w:type="dxa"/>
          </w:tcPr>
          <w:p w14:paraId="07A1C22B"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63A29ECC"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70B2D445" w14:textId="77777777"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14:paraId="178644F1" w14:textId="77777777" w:rsidR="005F2952" w:rsidRPr="007923C2" w:rsidRDefault="005F2952" w:rsidP="00BD7DAE">
            <w:pPr>
              <w:rPr>
                <w:rFonts w:ascii="Arial" w:hAnsi="Arial" w:cs="Arial"/>
                <w:sz w:val="22"/>
                <w:szCs w:val="22"/>
              </w:rPr>
            </w:pPr>
          </w:p>
        </w:tc>
      </w:tr>
      <w:tr w:rsidR="005F2952" w:rsidRPr="007923C2" w14:paraId="0821BD7F" w14:textId="77777777" w:rsidTr="00DB4F40">
        <w:tc>
          <w:tcPr>
            <w:tcW w:w="562" w:type="dxa"/>
          </w:tcPr>
          <w:p w14:paraId="133AC381" w14:textId="34ACBB03" w:rsidR="005F2952" w:rsidRPr="007923C2" w:rsidRDefault="00E31C7A" w:rsidP="00DB4F40">
            <w:pPr>
              <w:jc w:val="center"/>
              <w:rPr>
                <w:rFonts w:ascii="Arial" w:hAnsi="Arial" w:cs="Arial"/>
                <w:sz w:val="22"/>
                <w:szCs w:val="22"/>
              </w:rPr>
            </w:pPr>
            <w:r>
              <w:rPr>
                <w:rFonts w:ascii="Arial" w:hAnsi="Arial" w:cs="Arial"/>
                <w:sz w:val="22"/>
                <w:szCs w:val="22"/>
              </w:rPr>
              <w:t>35</w:t>
            </w:r>
          </w:p>
        </w:tc>
        <w:tc>
          <w:tcPr>
            <w:tcW w:w="2694" w:type="dxa"/>
          </w:tcPr>
          <w:p w14:paraId="506AF96A" w14:textId="77777777" w:rsidR="005F2952" w:rsidRPr="007923C2" w:rsidRDefault="005F2952" w:rsidP="00BD7DAE">
            <w:pPr>
              <w:rPr>
                <w:rFonts w:ascii="Arial" w:hAnsi="Arial" w:cs="Arial"/>
                <w:sz w:val="22"/>
                <w:szCs w:val="22"/>
              </w:rPr>
            </w:pPr>
            <w:r w:rsidRPr="007923C2">
              <w:rPr>
                <w:rFonts w:ascii="Arial" w:hAnsi="Arial" w:cs="Arial"/>
                <w:sz w:val="22"/>
                <w:szCs w:val="22"/>
              </w:rPr>
              <w:t>Producción de Cultivos Básicos</w:t>
            </w:r>
          </w:p>
        </w:tc>
        <w:tc>
          <w:tcPr>
            <w:tcW w:w="1134" w:type="dxa"/>
          </w:tcPr>
          <w:p w14:paraId="32EF3146" w14:textId="77777777" w:rsidR="005F2952" w:rsidRPr="007923C2" w:rsidRDefault="005F2952" w:rsidP="00BD7DAE">
            <w:pPr>
              <w:rPr>
                <w:rFonts w:ascii="Arial" w:hAnsi="Arial" w:cs="Arial"/>
                <w:sz w:val="22"/>
                <w:szCs w:val="22"/>
              </w:rPr>
            </w:pPr>
            <w:r w:rsidRPr="007923C2">
              <w:rPr>
                <w:rFonts w:ascii="Arial" w:hAnsi="Arial" w:cs="Arial"/>
                <w:sz w:val="22"/>
                <w:szCs w:val="22"/>
              </w:rPr>
              <w:t>FIT450</w:t>
            </w:r>
          </w:p>
        </w:tc>
        <w:tc>
          <w:tcPr>
            <w:tcW w:w="708" w:type="dxa"/>
          </w:tcPr>
          <w:p w14:paraId="1D421523"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0B3196DE"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08756A24" w14:textId="77777777" w:rsidR="005F2952" w:rsidRPr="007923C2" w:rsidRDefault="005F2952" w:rsidP="00BD7DAE">
            <w:pPr>
              <w:rPr>
                <w:rFonts w:ascii="Arial" w:hAnsi="Arial" w:cs="Arial"/>
                <w:sz w:val="22"/>
                <w:szCs w:val="22"/>
              </w:rPr>
            </w:pPr>
            <w:r w:rsidRPr="007923C2">
              <w:rPr>
                <w:rFonts w:ascii="Arial" w:hAnsi="Arial" w:cs="Arial"/>
                <w:sz w:val="22"/>
                <w:szCs w:val="22"/>
              </w:rPr>
              <w:t>Botánica II</w:t>
            </w:r>
          </w:p>
        </w:tc>
        <w:tc>
          <w:tcPr>
            <w:tcW w:w="1417" w:type="dxa"/>
          </w:tcPr>
          <w:p w14:paraId="1B758FFE" w14:textId="77777777" w:rsidR="005F2952" w:rsidRPr="007923C2" w:rsidRDefault="005F2952" w:rsidP="00BD7DAE">
            <w:pPr>
              <w:rPr>
                <w:rFonts w:ascii="Arial" w:hAnsi="Arial" w:cs="Arial"/>
                <w:sz w:val="22"/>
                <w:szCs w:val="22"/>
              </w:rPr>
            </w:pPr>
            <w:r w:rsidRPr="007923C2">
              <w:rPr>
                <w:rFonts w:ascii="Arial" w:hAnsi="Arial" w:cs="Arial"/>
                <w:sz w:val="22"/>
                <w:szCs w:val="22"/>
              </w:rPr>
              <w:t>BOT417</w:t>
            </w:r>
          </w:p>
        </w:tc>
      </w:tr>
      <w:tr w:rsidR="005F2952" w:rsidRPr="007923C2" w14:paraId="641B2BB7" w14:textId="77777777" w:rsidTr="00DB4F40">
        <w:tc>
          <w:tcPr>
            <w:tcW w:w="562" w:type="dxa"/>
          </w:tcPr>
          <w:p w14:paraId="116F69C9" w14:textId="5022FDD0" w:rsidR="005F2952" w:rsidRPr="007923C2" w:rsidRDefault="00E31C7A" w:rsidP="00DB4F40">
            <w:pPr>
              <w:jc w:val="center"/>
              <w:rPr>
                <w:rFonts w:ascii="Arial" w:hAnsi="Arial" w:cs="Arial"/>
                <w:sz w:val="22"/>
                <w:szCs w:val="22"/>
              </w:rPr>
            </w:pPr>
            <w:r>
              <w:rPr>
                <w:rFonts w:ascii="Arial" w:hAnsi="Arial" w:cs="Arial"/>
                <w:sz w:val="22"/>
                <w:szCs w:val="22"/>
              </w:rPr>
              <w:t>36</w:t>
            </w:r>
          </w:p>
        </w:tc>
        <w:tc>
          <w:tcPr>
            <w:tcW w:w="2694" w:type="dxa"/>
          </w:tcPr>
          <w:p w14:paraId="7A3A03C8" w14:textId="77777777" w:rsidR="005F2952" w:rsidRPr="007923C2" w:rsidRDefault="005F2952" w:rsidP="00BD7DAE">
            <w:pPr>
              <w:rPr>
                <w:rFonts w:ascii="Arial" w:hAnsi="Arial" w:cs="Arial"/>
                <w:sz w:val="22"/>
                <w:szCs w:val="22"/>
              </w:rPr>
            </w:pPr>
            <w:r w:rsidRPr="007923C2">
              <w:rPr>
                <w:rFonts w:ascii="Arial" w:hAnsi="Arial" w:cs="Arial"/>
                <w:sz w:val="22"/>
                <w:szCs w:val="22"/>
              </w:rPr>
              <w:t>Biotecnología Ambiental</w:t>
            </w:r>
          </w:p>
        </w:tc>
        <w:tc>
          <w:tcPr>
            <w:tcW w:w="1134" w:type="dxa"/>
          </w:tcPr>
          <w:p w14:paraId="1EAFFF9A" w14:textId="77777777" w:rsidR="005F2952" w:rsidRPr="007923C2" w:rsidRDefault="005F2952" w:rsidP="00BD7DAE">
            <w:pPr>
              <w:rPr>
                <w:rFonts w:ascii="Arial" w:hAnsi="Arial" w:cs="Arial"/>
                <w:sz w:val="22"/>
                <w:szCs w:val="22"/>
              </w:rPr>
            </w:pPr>
            <w:r w:rsidRPr="007923C2">
              <w:rPr>
                <w:rFonts w:ascii="Arial" w:hAnsi="Arial" w:cs="Arial"/>
                <w:sz w:val="22"/>
                <w:szCs w:val="22"/>
              </w:rPr>
              <w:t>BOT481</w:t>
            </w:r>
          </w:p>
        </w:tc>
        <w:tc>
          <w:tcPr>
            <w:tcW w:w="708" w:type="dxa"/>
          </w:tcPr>
          <w:p w14:paraId="60ED78CE"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11406A14"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6F3242AD" w14:textId="77777777" w:rsidR="005F2952" w:rsidRPr="007923C2" w:rsidRDefault="005F2952" w:rsidP="00BD7DAE">
            <w:pPr>
              <w:rPr>
                <w:rFonts w:ascii="Arial" w:hAnsi="Arial" w:cs="Arial"/>
                <w:sz w:val="22"/>
                <w:szCs w:val="22"/>
              </w:rPr>
            </w:pPr>
            <w:r w:rsidRPr="007923C2">
              <w:rPr>
                <w:rFonts w:ascii="Arial" w:hAnsi="Arial" w:cs="Arial"/>
                <w:sz w:val="22"/>
                <w:szCs w:val="22"/>
              </w:rPr>
              <w:t>Evaluación de Ecosistemas</w:t>
            </w:r>
          </w:p>
        </w:tc>
        <w:tc>
          <w:tcPr>
            <w:tcW w:w="1417" w:type="dxa"/>
          </w:tcPr>
          <w:p w14:paraId="7634D6A3" w14:textId="77777777" w:rsidR="005F2952" w:rsidRPr="007923C2" w:rsidRDefault="005F2952" w:rsidP="00BD7DAE">
            <w:pPr>
              <w:rPr>
                <w:rFonts w:ascii="Arial" w:hAnsi="Arial" w:cs="Arial"/>
                <w:sz w:val="22"/>
                <w:szCs w:val="22"/>
              </w:rPr>
            </w:pPr>
            <w:r w:rsidRPr="007923C2">
              <w:rPr>
                <w:rFonts w:ascii="Arial" w:hAnsi="Arial" w:cs="Arial"/>
                <w:sz w:val="22"/>
                <w:szCs w:val="22"/>
              </w:rPr>
              <w:t>BOT455</w:t>
            </w:r>
          </w:p>
        </w:tc>
      </w:tr>
      <w:tr w:rsidR="005F2952" w:rsidRPr="007923C2" w14:paraId="0E428BCC" w14:textId="77777777" w:rsidTr="00DB4F40">
        <w:tc>
          <w:tcPr>
            <w:tcW w:w="562" w:type="dxa"/>
            <w:tcBorders>
              <w:bottom w:val="single" w:sz="4" w:space="0" w:color="auto"/>
            </w:tcBorders>
          </w:tcPr>
          <w:p w14:paraId="7FCFDA26" w14:textId="05A99C23" w:rsidR="005F2952" w:rsidRPr="007923C2" w:rsidRDefault="00E31C7A" w:rsidP="00DB4F40">
            <w:pPr>
              <w:jc w:val="center"/>
              <w:rPr>
                <w:rFonts w:ascii="Arial" w:hAnsi="Arial" w:cs="Arial"/>
                <w:sz w:val="22"/>
                <w:szCs w:val="22"/>
              </w:rPr>
            </w:pPr>
            <w:r>
              <w:rPr>
                <w:rFonts w:ascii="Arial" w:hAnsi="Arial" w:cs="Arial"/>
                <w:sz w:val="22"/>
                <w:szCs w:val="22"/>
              </w:rPr>
              <w:t>37</w:t>
            </w:r>
          </w:p>
        </w:tc>
        <w:tc>
          <w:tcPr>
            <w:tcW w:w="2694" w:type="dxa"/>
            <w:tcBorders>
              <w:bottom w:val="single" w:sz="4" w:space="0" w:color="auto"/>
            </w:tcBorders>
          </w:tcPr>
          <w:p w14:paraId="63F0D159" w14:textId="77777777" w:rsidR="005F2952" w:rsidRPr="007923C2" w:rsidRDefault="005F2952" w:rsidP="00BD7DAE">
            <w:pPr>
              <w:rPr>
                <w:rFonts w:ascii="Arial" w:hAnsi="Arial" w:cs="Arial"/>
                <w:sz w:val="22"/>
                <w:szCs w:val="22"/>
              </w:rPr>
            </w:pPr>
            <w:r w:rsidRPr="007923C2">
              <w:rPr>
                <w:rFonts w:ascii="Arial" w:hAnsi="Arial" w:cs="Arial"/>
                <w:sz w:val="22"/>
                <w:szCs w:val="22"/>
              </w:rPr>
              <w:t>Principios de Producción</w:t>
            </w:r>
          </w:p>
        </w:tc>
        <w:tc>
          <w:tcPr>
            <w:tcW w:w="1134" w:type="dxa"/>
            <w:tcBorders>
              <w:bottom w:val="single" w:sz="4" w:space="0" w:color="auto"/>
            </w:tcBorders>
          </w:tcPr>
          <w:p w14:paraId="289C32C1" w14:textId="77777777" w:rsidR="005F2952" w:rsidRPr="007923C2" w:rsidRDefault="005F2952" w:rsidP="00BD7DAE">
            <w:pPr>
              <w:rPr>
                <w:rFonts w:ascii="Arial" w:hAnsi="Arial" w:cs="Arial"/>
                <w:sz w:val="22"/>
                <w:szCs w:val="22"/>
              </w:rPr>
            </w:pPr>
            <w:r w:rsidRPr="007923C2">
              <w:rPr>
                <w:rFonts w:ascii="Arial" w:hAnsi="Arial" w:cs="Arial"/>
                <w:sz w:val="22"/>
                <w:szCs w:val="22"/>
              </w:rPr>
              <w:t>FIT423</w:t>
            </w:r>
          </w:p>
        </w:tc>
        <w:tc>
          <w:tcPr>
            <w:tcW w:w="708" w:type="dxa"/>
            <w:tcBorders>
              <w:bottom w:val="single" w:sz="4" w:space="0" w:color="auto"/>
            </w:tcBorders>
          </w:tcPr>
          <w:p w14:paraId="0B53CD6A"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Borders>
              <w:bottom w:val="single" w:sz="4" w:space="0" w:color="auto"/>
            </w:tcBorders>
          </w:tcPr>
          <w:p w14:paraId="28FC10EF"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Borders>
              <w:bottom w:val="single" w:sz="4" w:space="0" w:color="auto"/>
            </w:tcBorders>
          </w:tcPr>
          <w:p w14:paraId="692267DB" w14:textId="77777777" w:rsidR="005F2952" w:rsidRPr="007923C2" w:rsidRDefault="005F2952" w:rsidP="00BD7DAE">
            <w:pPr>
              <w:rPr>
                <w:rFonts w:ascii="Arial" w:hAnsi="Arial" w:cs="Arial"/>
                <w:sz w:val="22"/>
                <w:szCs w:val="22"/>
              </w:rPr>
            </w:pPr>
            <w:r w:rsidRPr="007923C2">
              <w:rPr>
                <w:rFonts w:ascii="Arial" w:hAnsi="Arial" w:cs="Arial"/>
                <w:sz w:val="22"/>
                <w:szCs w:val="22"/>
              </w:rPr>
              <w:t>Ecología I</w:t>
            </w:r>
          </w:p>
        </w:tc>
        <w:tc>
          <w:tcPr>
            <w:tcW w:w="1417" w:type="dxa"/>
            <w:tcBorders>
              <w:bottom w:val="single" w:sz="4" w:space="0" w:color="auto"/>
            </w:tcBorders>
          </w:tcPr>
          <w:p w14:paraId="67F71DE3" w14:textId="77777777" w:rsidR="005F2952" w:rsidRPr="007923C2" w:rsidRDefault="005F2952" w:rsidP="00BD7DAE">
            <w:pPr>
              <w:rPr>
                <w:rFonts w:ascii="Arial" w:hAnsi="Arial" w:cs="Arial"/>
                <w:sz w:val="22"/>
                <w:szCs w:val="22"/>
              </w:rPr>
            </w:pPr>
            <w:r w:rsidRPr="007923C2">
              <w:rPr>
                <w:rFonts w:ascii="Arial" w:hAnsi="Arial" w:cs="Arial"/>
                <w:sz w:val="22"/>
                <w:szCs w:val="22"/>
              </w:rPr>
              <w:t>BOT427</w:t>
            </w:r>
          </w:p>
        </w:tc>
      </w:tr>
      <w:tr w:rsidR="005F2952" w:rsidRPr="007923C2" w14:paraId="04FC5F2D" w14:textId="77777777" w:rsidTr="00DB4F40">
        <w:tc>
          <w:tcPr>
            <w:tcW w:w="562" w:type="dxa"/>
            <w:tcBorders>
              <w:top w:val="single" w:sz="4" w:space="0" w:color="auto"/>
              <w:left w:val="single" w:sz="4" w:space="0" w:color="auto"/>
              <w:bottom w:val="nil"/>
              <w:right w:val="single" w:sz="4" w:space="0" w:color="auto"/>
            </w:tcBorders>
          </w:tcPr>
          <w:p w14:paraId="29F9CE07" w14:textId="29E223B5" w:rsidR="005F2952" w:rsidRPr="007923C2" w:rsidRDefault="00E31C7A" w:rsidP="00DB4F40">
            <w:pPr>
              <w:jc w:val="center"/>
              <w:rPr>
                <w:rFonts w:ascii="Arial" w:hAnsi="Arial" w:cs="Arial"/>
                <w:sz w:val="22"/>
                <w:szCs w:val="22"/>
              </w:rPr>
            </w:pPr>
            <w:r>
              <w:rPr>
                <w:rFonts w:ascii="Arial" w:hAnsi="Arial" w:cs="Arial"/>
                <w:sz w:val="22"/>
                <w:szCs w:val="22"/>
              </w:rPr>
              <w:t>38</w:t>
            </w:r>
          </w:p>
        </w:tc>
        <w:tc>
          <w:tcPr>
            <w:tcW w:w="2694" w:type="dxa"/>
            <w:tcBorders>
              <w:top w:val="single" w:sz="4" w:space="0" w:color="auto"/>
              <w:left w:val="single" w:sz="4" w:space="0" w:color="auto"/>
              <w:bottom w:val="nil"/>
              <w:right w:val="single" w:sz="4" w:space="0" w:color="auto"/>
            </w:tcBorders>
          </w:tcPr>
          <w:p w14:paraId="6F61AFDE" w14:textId="77777777" w:rsidR="005F2952" w:rsidRPr="007923C2" w:rsidRDefault="005F2952" w:rsidP="00BD7DAE">
            <w:pPr>
              <w:rPr>
                <w:rFonts w:ascii="Arial" w:hAnsi="Arial" w:cs="Arial"/>
                <w:sz w:val="22"/>
                <w:szCs w:val="22"/>
              </w:rPr>
            </w:pPr>
            <w:r w:rsidRPr="007923C2">
              <w:rPr>
                <w:rFonts w:ascii="Arial" w:hAnsi="Arial" w:cs="Arial"/>
                <w:sz w:val="22"/>
                <w:szCs w:val="22"/>
              </w:rPr>
              <w:t xml:space="preserve">Cultivos en Invernadero Rústico </w:t>
            </w:r>
          </w:p>
        </w:tc>
        <w:tc>
          <w:tcPr>
            <w:tcW w:w="1134" w:type="dxa"/>
            <w:tcBorders>
              <w:top w:val="single" w:sz="4" w:space="0" w:color="auto"/>
              <w:left w:val="single" w:sz="4" w:space="0" w:color="auto"/>
              <w:bottom w:val="nil"/>
              <w:right w:val="single" w:sz="4" w:space="0" w:color="auto"/>
            </w:tcBorders>
          </w:tcPr>
          <w:p w14:paraId="11A4C2E0" w14:textId="77777777" w:rsidR="005F2952" w:rsidRPr="007923C2" w:rsidRDefault="005F2952" w:rsidP="00BD7DAE">
            <w:pPr>
              <w:rPr>
                <w:rFonts w:ascii="Arial" w:hAnsi="Arial" w:cs="Arial"/>
                <w:sz w:val="22"/>
                <w:szCs w:val="22"/>
              </w:rPr>
            </w:pPr>
            <w:r w:rsidRPr="007923C2">
              <w:rPr>
                <w:rFonts w:ascii="Arial" w:hAnsi="Arial" w:cs="Arial"/>
                <w:sz w:val="22"/>
                <w:szCs w:val="22"/>
              </w:rPr>
              <w:t>BOT435</w:t>
            </w:r>
          </w:p>
        </w:tc>
        <w:tc>
          <w:tcPr>
            <w:tcW w:w="708" w:type="dxa"/>
            <w:tcBorders>
              <w:top w:val="single" w:sz="4" w:space="0" w:color="auto"/>
              <w:left w:val="single" w:sz="4" w:space="0" w:color="auto"/>
              <w:bottom w:val="nil"/>
              <w:right w:val="single" w:sz="4" w:space="0" w:color="auto"/>
            </w:tcBorders>
          </w:tcPr>
          <w:p w14:paraId="78D4BC26" w14:textId="77777777" w:rsidR="005F2952" w:rsidRPr="007923C2" w:rsidRDefault="005F2952" w:rsidP="00BD7DAE">
            <w:pPr>
              <w:rPr>
                <w:rFonts w:ascii="Arial" w:hAnsi="Arial" w:cs="Arial"/>
                <w:sz w:val="22"/>
                <w:szCs w:val="22"/>
              </w:rPr>
            </w:pPr>
            <w:r w:rsidRPr="007923C2">
              <w:rPr>
                <w:rFonts w:ascii="Arial" w:hAnsi="Arial" w:cs="Arial"/>
                <w:sz w:val="22"/>
                <w:szCs w:val="22"/>
              </w:rPr>
              <w:t>2-3</w:t>
            </w:r>
          </w:p>
        </w:tc>
        <w:tc>
          <w:tcPr>
            <w:tcW w:w="1418" w:type="dxa"/>
            <w:tcBorders>
              <w:top w:val="single" w:sz="4" w:space="0" w:color="auto"/>
              <w:left w:val="single" w:sz="4" w:space="0" w:color="auto"/>
              <w:bottom w:val="nil"/>
              <w:right w:val="single" w:sz="4" w:space="0" w:color="auto"/>
            </w:tcBorders>
          </w:tcPr>
          <w:p w14:paraId="14430787" w14:textId="77777777" w:rsidR="005F2952" w:rsidRPr="007923C2" w:rsidRDefault="005F2952" w:rsidP="00BD7DAE">
            <w:pPr>
              <w:rPr>
                <w:rFonts w:ascii="Arial" w:hAnsi="Arial" w:cs="Arial"/>
                <w:sz w:val="22"/>
                <w:szCs w:val="22"/>
              </w:rPr>
            </w:pPr>
            <w:r w:rsidRPr="007923C2">
              <w:rPr>
                <w:rFonts w:ascii="Arial" w:hAnsi="Arial" w:cs="Arial"/>
                <w:sz w:val="22"/>
                <w:szCs w:val="22"/>
              </w:rPr>
              <w:t>7</w:t>
            </w:r>
          </w:p>
        </w:tc>
        <w:tc>
          <w:tcPr>
            <w:tcW w:w="1701" w:type="dxa"/>
            <w:tcBorders>
              <w:top w:val="single" w:sz="4" w:space="0" w:color="auto"/>
              <w:left w:val="single" w:sz="4" w:space="0" w:color="auto"/>
              <w:bottom w:val="nil"/>
              <w:right w:val="single" w:sz="4" w:space="0" w:color="auto"/>
            </w:tcBorders>
          </w:tcPr>
          <w:p w14:paraId="6A84741F" w14:textId="77777777" w:rsidR="005F2952" w:rsidRPr="007923C2" w:rsidRDefault="005F2952" w:rsidP="00BD7DAE">
            <w:pPr>
              <w:rPr>
                <w:rFonts w:ascii="Arial" w:hAnsi="Arial" w:cs="Arial"/>
                <w:sz w:val="22"/>
                <w:szCs w:val="22"/>
              </w:rPr>
            </w:pPr>
            <w:r w:rsidRPr="007923C2">
              <w:rPr>
                <w:rFonts w:ascii="Arial" w:hAnsi="Arial" w:cs="Arial"/>
                <w:sz w:val="22"/>
                <w:szCs w:val="22"/>
              </w:rPr>
              <w:t>Fisiología Vegetal</w:t>
            </w:r>
          </w:p>
        </w:tc>
        <w:tc>
          <w:tcPr>
            <w:tcW w:w="1417" w:type="dxa"/>
            <w:tcBorders>
              <w:top w:val="single" w:sz="4" w:space="0" w:color="auto"/>
              <w:left w:val="single" w:sz="4" w:space="0" w:color="auto"/>
              <w:bottom w:val="nil"/>
              <w:right w:val="single" w:sz="4" w:space="0" w:color="auto"/>
            </w:tcBorders>
          </w:tcPr>
          <w:p w14:paraId="7667BE4C" w14:textId="77777777" w:rsidR="005F2952" w:rsidRPr="007923C2" w:rsidRDefault="005F2952" w:rsidP="00BD7DAE">
            <w:pPr>
              <w:rPr>
                <w:rFonts w:ascii="Arial" w:hAnsi="Arial" w:cs="Arial"/>
                <w:sz w:val="22"/>
                <w:szCs w:val="22"/>
              </w:rPr>
            </w:pPr>
            <w:r w:rsidRPr="007923C2">
              <w:rPr>
                <w:rFonts w:ascii="Arial" w:hAnsi="Arial" w:cs="Arial"/>
                <w:sz w:val="22"/>
                <w:szCs w:val="22"/>
              </w:rPr>
              <w:t>BOT424</w:t>
            </w:r>
          </w:p>
        </w:tc>
      </w:tr>
      <w:tr w:rsidR="005F2952" w:rsidRPr="007923C2" w14:paraId="518CBD1B" w14:textId="77777777" w:rsidTr="00DB4F40">
        <w:tc>
          <w:tcPr>
            <w:tcW w:w="562" w:type="dxa"/>
            <w:tcBorders>
              <w:top w:val="nil"/>
              <w:left w:val="single" w:sz="4" w:space="0" w:color="auto"/>
              <w:bottom w:val="single" w:sz="4" w:space="0" w:color="auto"/>
              <w:right w:val="single" w:sz="4" w:space="0" w:color="auto"/>
            </w:tcBorders>
          </w:tcPr>
          <w:p w14:paraId="60DBF4AC" w14:textId="77777777" w:rsidR="005F2952" w:rsidRPr="007923C2" w:rsidRDefault="005F2952" w:rsidP="00DB4F40">
            <w:pPr>
              <w:jc w:val="center"/>
              <w:rPr>
                <w:rFonts w:ascii="Arial" w:hAnsi="Arial" w:cs="Arial"/>
                <w:sz w:val="22"/>
                <w:szCs w:val="22"/>
              </w:rPr>
            </w:pPr>
          </w:p>
        </w:tc>
        <w:tc>
          <w:tcPr>
            <w:tcW w:w="2694" w:type="dxa"/>
            <w:tcBorders>
              <w:top w:val="nil"/>
              <w:left w:val="single" w:sz="4" w:space="0" w:color="auto"/>
              <w:bottom w:val="single" w:sz="4" w:space="0" w:color="auto"/>
              <w:right w:val="single" w:sz="4" w:space="0" w:color="auto"/>
            </w:tcBorders>
          </w:tcPr>
          <w:p w14:paraId="71465495" w14:textId="77777777" w:rsidR="005F2952" w:rsidRPr="007923C2" w:rsidRDefault="005F2952" w:rsidP="00BD7DAE">
            <w:pPr>
              <w:rPr>
                <w:rFonts w:ascii="Arial" w:hAnsi="Arial" w:cs="Arial"/>
                <w:sz w:val="22"/>
                <w:szCs w:val="22"/>
              </w:rPr>
            </w:pPr>
          </w:p>
        </w:tc>
        <w:tc>
          <w:tcPr>
            <w:tcW w:w="1134" w:type="dxa"/>
            <w:tcBorders>
              <w:top w:val="nil"/>
              <w:left w:val="single" w:sz="4" w:space="0" w:color="auto"/>
              <w:bottom w:val="single" w:sz="4" w:space="0" w:color="auto"/>
              <w:right w:val="single" w:sz="4" w:space="0" w:color="auto"/>
            </w:tcBorders>
          </w:tcPr>
          <w:p w14:paraId="3227B9C3" w14:textId="77777777" w:rsidR="005F2952" w:rsidRPr="007923C2" w:rsidRDefault="005F2952" w:rsidP="00BD7DAE">
            <w:pPr>
              <w:rPr>
                <w:rFonts w:ascii="Arial" w:hAnsi="Arial" w:cs="Arial"/>
                <w:sz w:val="22"/>
                <w:szCs w:val="22"/>
              </w:rPr>
            </w:pPr>
          </w:p>
        </w:tc>
        <w:tc>
          <w:tcPr>
            <w:tcW w:w="708" w:type="dxa"/>
            <w:tcBorders>
              <w:top w:val="nil"/>
              <w:left w:val="single" w:sz="4" w:space="0" w:color="auto"/>
              <w:bottom w:val="single" w:sz="4" w:space="0" w:color="auto"/>
              <w:right w:val="single" w:sz="4" w:space="0" w:color="auto"/>
            </w:tcBorders>
          </w:tcPr>
          <w:p w14:paraId="390E3B64" w14:textId="77777777" w:rsidR="005F2952" w:rsidRPr="007923C2" w:rsidRDefault="005F2952" w:rsidP="00BD7DAE">
            <w:pPr>
              <w:rPr>
                <w:rFonts w:ascii="Arial" w:hAnsi="Arial" w:cs="Arial"/>
                <w:sz w:val="22"/>
                <w:szCs w:val="22"/>
              </w:rPr>
            </w:pPr>
          </w:p>
        </w:tc>
        <w:tc>
          <w:tcPr>
            <w:tcW w:w="1418" w:type="dxa"/>
            <w:tcBorders>
              <w:top w:val="nil"/>
              <w:left w:val="single" w:sz="4" w:space="0" w:color="auto"/>
              <w:bottom w:val="single" w:sz="4" w:space="0" w:color="auto"/>
              <w:right w:val="single" w:sz="4" w:space="0" w:color="auto"/>
            </w:tcBorders>
          </w:tcPr>
          <w:p w14:paraId="72094517" w14:textId="77777777" w:rsidR="005F2952" w:rsidRPr="007923C2" w:rsidRDefault="005F2952" w:rsidP="00BD7DAE">
            <w:pPr>
              <w:rPr>
                <w:rFonts w:ascii="Arial" w:hAnsi="Arial" w:cs="Arial"/>
                <w:sz w:val="22"/>
                <w:szCs w:val="22"/>
              </w:rPr>
            </w:pPr>
          </w:p>
        </w:tc>
        <w:tc>
          <w:tcPr>
            <w:tcW w:w="1701" w:type="dxa"/>
            <w:tcBorders>
              <w:top w:val="nil"/>
              <w:left w:val="single" w:sz="4" w:space="0" w:color="auto"/>
              <w:bottom w:val="single" w:sz="4" w:space="0" w:color="auto"/>
              <w:right w:val="single" w:sz="4" w:space="0" w:color="auto"/>
            </w:tcBorders>
          </w:tcPr>
          <w:p w14:paraId="68AC746C" w14:textId="77777777" w:rsidR="005F2952" w:rsidRPr="007923C2" w:rsidRDefault="005F2952" w:rsidP="00BD7DAE">
            <w:pPr>
              <w:rPr>
                <w:rFonts w:ascii="Arial" w:hAnsi="Arial" w:cs="Arial"/>
                <w:sz w:val="22"/>
                <w:szCs w:val="22"/>
              </w:rPr>
            </w:pPr>
            <w:r w:rsidRPr="007923C2">
              <w:rPr>
                <w:rFonts w:ascii="Arial" w:hAnsi="Arial" w:cs="Arial"/>
                <w:sz w:val="22"/>
                <w:szCs w:val="22"/>
              </w:rPr>
              <w:t>Taller de Investigación I</w:t>
            </w:r>
          </w:p>
        </w:tc>
        <w:tc>
          <w:tcPr>
            <w:tcW w:w="1417" w:type="dxa"/>
            <w:tcBorders>
              <w:top w:val="nil"/>
              <w:left w:val="single" w:sz="4" w:space="0" w:color="auto"/>
              <w:bottom w:val="single" w:sz="4" w:space="0" w:color="auto"/>
              <w:right w:val="single" w:sz="4" w:space="0" w:color="auto"/>
            </w:tcBorders>
          </w:tcPr>
          <w:p w14:paraId="3AFB30D2" w14:textId="77777777" w:rsidR="005F2952" w:rsidRPr="007923C2" w:rsidRDefault="005F2952" w:rsidP="00BD7DAE">
            <w:pPr>
              <w:rPr>
                <w:rFonts w:ascii="Arial" w:hAnsi="Arial" w:cs="Arial"/>
                <w:sz w:val="22"/>
                <w:szCs w:val="22"/>
              </w:rPr>
            </w:pPr>
            <w:r w:rsidRPr="007923C2">
              <w:rPr>
                <w:rFonts w:ascii="Arial" w:hAnsi="Arial" w:cs="Arial"/>
                <w:sz w:val="22"/>
                <w:szCs w:val="22"/>
              </w:rPr>
              <w:t>BOT449</w:t>
            </w:r>
          </w:p>
        </w:tc>
      </w:tr>
      <w:tr w:rsidR="005F2952" w:rsidRPr="007923C2" w14:paraId="7FEC694F" w14:textId="77777777" w:rsidTr="00DB4F40">
        <w:tc>
          <w:tcPr>
            <w:tcW w:w="562" w:type="dxa"/>
          </w:tcPr>
          <w:p w14:paraId="79C412CE" w14:textId="567D1D02" w:rsidR="005F2952" w:rsidRPr="007923C2" w:rsidRDefault="00E31C7A" w:rsidP="00DB4F40">
            <w:pPr>
              <w:jc w:val="center"/>
              <w:rPr>
                <w:rFonts w:ascii="Arial" w:hAnsi="Arial" w:cs="Arial"/>
                <w:sz w:val="22"/>
                <w:szCs w:val="22"/>
              </w:rPr>
            </w:pPr>
            <w:r>
              <w:rPr>
                <w:rFonts w:ascii="Arial" w:hAnsi="Arial" w:cs="Arial"/>
                <w:sz w:val="22"/>
                <w:szCs w:val="22"/>
              </w:rPr>
              <w:t>39</w:t>
            </w:r>
          </w:p>
        </w:tc>
        <w:tc>
          <w:tcPr>
            <w:tcW w:w="2694" w:type="dxa"/>
          </w:tcPr>
          <w:p w14:paraId="72125BD9" w14:textId="77777777" w:rsidR="005F2952" w:rsidRPr="007923C2" w:rsidRDefault="005F2952" w:rsidP="00BD7DAE">
            <w:pPr>
              <w:rPr>
                <w:rFonts w:ascii="Arial" w:hAnsi="Arial" w:cs="Arial"/>
                <w:sz w:val="22"/>
                <w:szCs w:val="22"/>
              </w:rPr>
            </w:pPr>
            <w:r w:rsidRPr="007923C2">
              <w:rPr>
                <w:rFonts w:ascii="Arial" w:hAnsi="Arial" w:cs="Arial"/>
                <w:sz w:val="22"/>
                <w:szCs w:val="22"/>
              </w:rPr>
              <w:t>Microbiología Industrial</w:t>
            </w:r>
          </w:p>
        </w:tc>
        <w:tc>
          <w:tcPr>
            <w:tcW w:w="1134" w:type="dxa"/>
          </w:tcPr>
          <w:p w14:paraId="455A8D24" w14:textId="77777777" w:rsidR="005F2952" w:rsidRPr="007923C2" w:rsidRDefault="005F2952" w:rsidP="00BD7DAE">
            <w:pPr>
              <w:rPr>
                <w:rFonts w:ascii="Arial" w:hAnsi="Arial" w:cs="Arial"/>
                <w:sz w:val="22"/>
                <w:szCs w:val="22"/>
              </w:rPr>
            </w:pPr>
            <w:r w:rsidRPr="007923C2">
              <w:rPr>
                <w:rFonts w:ascii="Arial" w:hAnsi="Arial" w:cs="Arial"/>
                <w:sz w:val="22"/>
                <w:szCs w:val="22"/>
              </w:rPr>
              <w:t>PAR496</w:t>
            </w:r>
          </w:p>
        </w:tc>
        <w:tc>
          <w:tcPr>
            <w:tcW w:w="708" w:type="dxa"/>
          </w:tcPr>
          <w:p w14:paraId="3DE57AEA"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27A93EDF"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22DDBF04" w14:textId="77777777" w:rsidR="005F2952" w:rsidRPr="007923C2" w:rsidRDefault="005F2952" w:rsidP="00BD7DAE">
            <w:pPr>
              <w:rPr>
                <w:rFonts w:ascii="Arial" w:hAnsi="Arial" w:cs="Arial"/>
                <w:sz w:val="22"/>
                <w:szCs w:val="22"/>
              </w:rPr>
            </w:pPr>
            <w:r w:rsidRPr="007923C2">
              <w:rPr>
                <w:rFonts w:ascii="Arial" w:hAnsi="Arial" w:cs="Arial"/>
                <w:sz w:val="22"/>
                <w:szCs w:val="22"/>
              </w:rPr>
              <w:t>Botánica I</w:t>
            </w:r>
          </w:p>
        </w:tc>
        <w:tc>
          <w:tcPr>
            <w:tcW w:w="1417" w:type="dxa"/>
          </w:tcPr>
          <w:p w14:paraId="2FF5B34D" w14:textId="77777777" w:rsidR="005F2952" w:rsidRPr="007923C2" w:rsidRDefault="005F2952" w:rsidP="00BD7DAE">
            <w:pPr>
              <w:rPr>
                <w:rFonts w:ascii="Arial" w:hAnsi="Arial" w:cs="Arial"/>
                <w:sz w:val="22"/>
                <w:szCs w:val="22"/>
              </w:rPr>
            </w:pPr>
            <w:r w:rsidRPr="007923C2">
              <w:rPr>
                <w:rFonts w:ascii="Arial" w:hAnsi="Arial" w:cs="Arial"/>
                <w:sz w:val="22"/>
                <w:szCs w:val="22"/>
              </w:rPr>
              <w:t>BOT413</w:t>
            </w:r>
          </w:p>
        </w:tc>
      </w:tr>
      <w:tr w:rsidR="005F2952" w:rsidRPr="007923C2" w14:paraId="4A52AC54" w14:textId="77777777" w:rsidTr="00DB4F40">
        <w:tc>
          <w:tcPr>
            <w:tcW w:w="562" w:type="dxa"/>
          </w:tcPr>
          <w:p w14:paraId="2B9101D3" w14:textId="4DCD2CDA" w:rsidR="005F2952" w:rsidRPr="007923C2" w:rsidRDefault="00E31C7A" w:rsidP="00DB4F40">
            <w:pPr>
              <w:jc w:val="center"/>
              <w:rPr>
                <w:rFonts w:ascii="Arial" w:hAnsi="Arial" w:cs="Arial"/>
                <w:sz w:val="22"/>
                <w:szCs w:val="22"/>
              </w:rPr>
            </w:pPr>
            <w:r>
              <w:rPr>
                <w:rFonts w:ascii="Arial" w:hAnsi="Arial" w:cs="Arial"/>
                <w:sz w:val="22"/>
                <w:szCs w:val="22"/>
              </w:rPr>
              <w:t>40</w:t>
            </w:r>
          </w:p>
        </w:tc>
        <w:tc>
          <w:tcPr>
            <w:tcW w:w="2694" w:type="dxa"/>
          </w:tcPr>
          <w:p w14:paraId="74FFB485" w14:textId="77777777" w:rsidR="005F2952" w:rsidRPr="007923C2" w:rsidRDefault="005F2952" w:rsidP="00BD7DAE">
            <w:pPr>
              <w:rPr>
                <w:rFonts w:ascii="Arial" w:hAnsi="Arial" w:cs="Arial"/>
                <w:sz w:val="22"/>
                <w:szCs w:val="22"/>
              </w:rPr>
            </w:pPr>
            <w:r w:rsidRPr="007923C2">
              <w:rPr>
                <w:rFonts w:ascii="Arial" w:hAnsi="Arial" w:cs="Arial"/>
                <w:sz w:val="22"/>
                <w:szCs w:val="22"/>
              </w:rPr>
              <w:t>Etnoecología</w:t>
            </w:r>
          </w:p>
        </w:tc>
        <w:tc>
          <w:tcPr>
            <w:tcW w:w="1134" w:type="dxa"/>
          </w:tcPr>
          <w:p w14:paraId="10BD4D5A" w14:textId="77777777" w:rsidR="005F2952" w:rsidRPr="007923C2" w:rsidRDefault="005F2952" w:rsidP="00BD7DAE">
            <w:pPr>
              <w:rPr>
                <w:rFonts w:ascii="Arial" w:hAnsi="Arial" w:cs="Arial"/>
                <w:sz w:val="22"/>
                <w:szCs w:val="22"/>
              </w:rPr>
            </w:pPr>
            <w:r w:rsidRPr="007923C2">
              <w:rPr>
                <w:rFonts w:ascii="Arial" w:hAnsi="Arial" w:cs="Arial"/>
                <w:sz w:val="22"/>
                <w:szCs w:val="22"/>
              </w:rPr>
              <w:t>BOT469</w:t>
            </w:r>
          </w:p>
        </w:tc>
        <w:tc>
          <w:tcPr>
            <w:tcW w:w="708" w:type="dxa"/>
          </w:tcPr>
          <w:p w14:paraId="494D3310" w14:textId="77777777" w:rsidR="005F2952" w:rsidRPr="007923C2" w:rsidRDefault="005F2952" w:rsidP="00BD7DAE">
            <w:pPr>
              <w:rPr>
                <w:rFonts w:ascii="Arial" w:hAnsi="Arial" w:cs="Arial"/>
                <w:sz w:val="22"/>
                <w:szCs w:val="22"/>
              </w:rPr>
            </w:pPr>
            <w:r w:rsidRPr="007923C2">
              <w:rPr>
                <w:rFonts w:ascii="Arial" w:hAnsi="Arial" w:cs="Arial"/>
                <w:sz w:val="22"/>
                <w:szCs w:val="22"/>
              </w:rPr>
              <w:t>3-0</w:t>
            </w:r>
          </w:p>
        </w:tc>
        <w:tc>
          <w:tcPr>
            <w:tcW w:w="1418" w:type="dxa"/>
          </w:tcPr>
          <w:p w14:paraId="31ACBD96" w14:textId="77777777"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14:paraId="4AF1F5FD" w14:textId="77777777" w:rsidR="005F2952" w:rsidRPr="007923C2" w:rsidRDefault="005F2952" w:rsidP="00BD7DAE">
            <w:pPr>
              <w:rPr>
                <w:rFonts w:ascii="Arial" w:hAnsi="Arial" w:cs="Arial"/>
                <w:sz w:val="22"/>
                <w:szCs w:val="22"/>
              </w:rPr>
            </w:pPr>
            <w:r w:rsidRPr="007923C2">
              <w:rPr>
                <w:rFonts w:ascii="Arial" w:hAnsi="Arial" w:cs="Arial"/>
                <w:sz w:val="22"/>
                <w:szCs w:val="22"/>
              </w:rPr>
              <w:t>Ecología</w:t>
            </w:r>
          </w:p>
        </w:tc>
        <w:tc>
          <w:tcPr>
            <w:tcW w:w="1417" w:type="dxa"/>
          </w:tcPr>
          <w:p w14:paraId="3F76C43A" w14:textId="77777777" w:rsidR="005F2952" w:rsidRPr="007923C2" w:rsidRDefault="005F2952" w:rsidP="00BD7DAE">
            <w:pPr>
              <w:rPr>
                <w:rFonts w:ascii="Arial" w:hAnsi="Arial" w:cs="Arial"/>
                <w:sz w:val="22"/>
                <w:szCs w:val="22"/>
              </w:rPr>
            </w:pPr>
          </w:p>
        </w:tc>
      </w:tr>
      <w:tr w:rsidR="005F2952" w:rsidRPr="007923C2" w14:paraId="379CCB88" w14:textId="77777777" w:rsidTr="00DB4F40">
        <w:tc>
          <w:tcPr>
            <w:tcW w:w="562" w:type="dxa"/>
          </w:tcPr>
          <w:p w14:paraId="60A9E263" w14:textId="2383BE6E" w:rsidR="005F2952" w:rsidRPr="007923C2" w:rsidRDefault="00E31C7A" w:rsidP="00DB4F40">
            <w:pPr>
              <w:jc w:val="center"/>
              <w:rPr>
                <w:rFonts w:ascii="Arial" w:hAnsi="Arial" w:cs="Arial"/>
                <w:sz w:val="22"/>
                <w:szCs w:val="22"/>
              </w:rPr>
            </w:pPr>
            <w:r>
              <w:rPr>
                <w:rFonts w:ascii="Arial" w:hAnsi="Arial" w:cs="Arial"/>
                <w:sz w:val="22"/>
                <w:szCs w:val="22"/>
              </w:rPr>
              <w:t>41</w:t>
            </w:r>
          </w:p>
        </w:tc>
        <w:tc>
          <w:tcPr>
            <w:tcW w:w="2694" w:type="dxa"/>
          </w:tcPr>
          <w:p w14:paraId="705EE1EE" w14:textId="77777777" w:rsidR="005F2952" w:rsidRPr="007923C2" w:rsidRDefault="005F2952" w:rsidP="00BD7DAE">
            <w:pPr>
              <w:rPr>
                <w:rFonts w:ascii="Arial" w:hAnsi="Arial" w:cs="Arial"/>
                <w:sz w:val="22"/>
                <w:szCs w:val="22"/>
              </w:rPr>
            </w:pPr>
            <w:r w:rsidRPr="007923C2">
              <w:rPr>
                <w:rFonts w:ascii="Arial" w:hAnsi="Arial" w:cs="Arial"/>
                <w:sz w:val="22"/>
                <w:szCs w:val="22"/>
              </w:rPr>
              <w:t>Evoluación Orgánica</w:t>
            </w:r>
          </w:p>
        </w:tc>
        <w:tc>
          <w:tcPr>
            <w:tcW w:w="1134" w:type="dxa"/>
          </w:tcPr>
          <w:p w14:paraId="030E4BDE" w14:textId="77777777" w:rsidR="005F2952" w:rsidRPr="007923C2" w:rsidRDefault="005F2952" w:rsidP="00BD7DAE">
            <w:pPr>
              <w:rPr>
                <w:rFonts w:ascii="Arial" w:hAnsi="Arial" w:cs="Arial"/>
                <w:sz w:val="22"/>
                <w:szCs w:val="22"/>
              </w:rPr>
            </w:pPr>
            <w:r w:rsidRPr="007923C2">
              <w:rPr>
                <w:rFonts w:ascii="Arial" w:hAnsi="Arial" w:cs="Arial"/>
                <w:sz w:val="22"/>
                <w:szCs w:val="22"/>
              </w:rPr>
              <w:t>BOT443</w:t>
            </w:r>
          </w:p>
        </w:tc>
        <w:tc>
          <w:tcPr>
            <w:tcW w:w="708" w:type="dxa"/>
          </w:tcPr>
          <w:p w14:paraId="56814669" w14:textId="77777777" w:rsidR="005F2952" w:rsidRPr="007923C2" w:rsidRDefault="005F2952" w:rsidP="00BD7DAE">
            <w:pPr>
              <w:rPr>
                <w:rFonts w:ascii="Arial" w:hAnsi="Arial" w:cs="Arial"/>
                <w:sz w:val="22"/>
                <w:szCs w:val="22"/>
              </w:rPr>
            </w:pPr>
            <w:r w:rsidRPr="007923C2">
              <w:rPr>
                <w:rFonts w:ascii="Arial" w:hAnsi="Arial" w:cs="Arial"/>
                <w:sz w:val="22"/>
                <w:szCs w:val="22"/>
              </w:rPr>
              <w:t>3-0</w:t>
            </w:r>
          </w:p>
        </w:tc>
        <w:tc>
          <w:tcPr>
            <w:tcW w:w="1418" w:type="dxa"/>
          </w:tcPr>
          <w:p w14:paraId="3876FDEB" w14:textId="77777777"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14:paraId="47F7EDB2" w14:textId="77777777" w:rsidR="005F2952" w:rsidRPr="007923C2" w:rsidRDefault="005F2952" w:rsidP="00BD7DAE">
            <w:pPr>
              <w:rPr>
                <w:rFonts w:ascii="Arial" w:hAnsi="Arial" w:cs="Arial"/>
                <w:sz w:val="22"/>
                <w:szCs w:val="22"/>
              </w:rPr>
            </w:pPr>
            <w:r w:rsidRPr="007923C2">
              <w:rPr>
                <w:rFonts w:ascii="Arial" w:hAnsi="Arial" w:cs="Arial"/>
                <w:sz w:val="22"/>
                <w:szCs w:val="22"/>
              </w:rPr>
              <w:t>Biología</w:t>
            </w:r>
          </w:p>
        </w:tc>
        <w:tc>
          <w:tcPr>
            <w:tcW w:w="1417" w:type="dxa"/>
          </w:tcPr>
          <w:p w14:paraId="0D66B0E4" w14:textId="77777777" w:rsidR="005F2952" w:rsidRPr="007923C2" w:rsidRDefault="005F2952" w:rsidP="00BD7DAE">
            <w:pPr>
              <w:rPr>
                <w:rFonts w:ascii="Arial" w:hAnsi="Arial" w:cs="Arial"/>
                <w:sz w:val="22"/>
                <w:szCs w:val="22"/>
              </w:rPr>
            </w:pPr>
            <w:r w:rsidRPr="007923C2">
              <w:rPr>
                <w:rFonts w:ascii="Arial" w:hAnsi="Arial" w:cs="Arial"/>
                <w:sz w:val="22"/>
                <w:szCs w:val="22"/>
              </w:rPr>
              <w:t>BOT404</w:t>
            </w:r>
          </w:p>
        </w:tc>
      </w:tr>
      <w:tr w:rsidR="005F2952" w:rsidRPr="007923C2" w14:paraId="5B6B1CF5" w14:textId="77777777" w:rsidTr="00DB4F40">
        <w:tc>
          <w:tcPr>
            <w:tcW w:w="562" w:type="dxa"/>
          </w:tcPr>
          <w:p w14:paraId="1538FCCC" w14:textId="345059DD" w:rsidR="005F2952" w:rsidRPr="007923C2" w:rsidRDefault="00E31C7A" w:rsidP="00DB4F40">
            <w:pPr>
              <w:jc w:val="center"/>
              <w:rPr>
                <w:rFonts w:ascii="Arial" w:hAnsi="Arial" w:cs="Arial"/>
                <w:sz w:val="22"/>
                <w:szCs w:val="22"/>
              </w:rPr>
            </w:pPr>
            <w:r>
              <w:rPr>
                <w:rFonts w:ascii="Arial" w:hAnsi="Arial" w:cs="Arial"/>
                <w:sz w:val="22"/>
                <w:szCs w:val="22"/>
              </w:rPr>
              <w:t>42</w:t>
            </w:r>
          </w:p>
        </w:tc>
        <w:tc>
          <w:tcPr>
            <w:tcW w:w="2694" w:type="dxa"/>
          </w:tcPr>
          <w:p w14:paraId="4646D029" w14:textId="77777777" w:rsidR="005F2952" w:rsidRPr="007923C2" w:rsidRDefault="005F2952" w:rsidP="00BD7DAE">
            <w:pPr>
              <w:rPr>
                <w:rFonts w:ascii="Arial" w:hAnsi="Arial" w:cs="Arial"/>
                <w:sz w:val="22"/>
                <w:szCs w:val="22"/>
              </w:rPr>
            </w:pPr>
            <w:r w:rsidRPr="007923C2">
              <w:rPr>
                <w:rFonts w:ascii="Arial" w:hAnsi="Arial" w:cs="Arial"/>
                <w:sz w:val="22"/>
                <w:szCs w:val="22"/>
              </w:rPr>
              <w:t>Ingeniería Genética</w:t>
            </w:r>
          </w:p>
        </w:tc>
        <w:tc>
          <w:tcPr>
            <w:tcW w:w="1134" w:type="dxa"/>
          </w:tcPr>
          <w:p w14:paraId="25AC9BA0" w14:textId="77777777" w:rsidR="005F2952" w:rsidRPr="007923C2" w:rsidRDefault="005F2952" w:rsidP="00BD7DAE">
            <w:pPr>
              <w:rPr>
                <w:rFonts w:ascii="Arial" w:hAnsi="Arial" w:cs="Arial"/>
                <w:sz w:val="22"/>
                <w:szCs w:val="22"/>
              </w:rPr>
            </w:pPr>
            <w:r w:rsidRPr="007923C2">
              <w:rPr>
                <w:rFonts w:ascii="Arial" w:hAnsi="Arial" w:cs="Arial"/>
                <w:sz w:val="22"/>
                <w:szCs w:val="22"/>
              </w:rPr>
              <w:t>FIT498</w:t>
            </w:r>
          </w:p>
        </w:tc>
        <w:tc>
          <w:tcPr>
            <w:tcW w:w="708" w:type="dxa"/>
          </w:tcPr>
          <w:p w14:paraId="69DAFDB9" w14:textId="77777777"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14:paraId="11448FAE" w14:textId="77777777"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14:paraId="0E48C827" w14:textId="77777777" w:rsidR="005F2952" w:rsidRPr="007923C2" w:rsidRDefault="005F2952" w:rsidP="00BD7DAE">
            <w:pPr>
              <w:rPr>
                <w:rFonts w:ascii="Arial" w:hAnsi="Arial" w:cs="Arial"/>
                <w:sz w:val="22"/>
                <w:szCs w:val="22"/>
              </w:rPr>
            </w:pPr>
            <w:r w:rsidRPr="007923C2">
              <w:rPr>
                <w:rFonts w:ascii="Arial" w:hAnsi="Arial" w:cs="Arial"/>
                <w:sz w:val="22"/>
                <w:szCs w:val="22"/>
              </w:rPr>
              <w:t>Genética</w:t>
            </w:r>
          </w:p>
        </w:tc>
        <w:tc>
          <w:tcPr>
            <w:tcW w:w="1417" w:type="dxa"/>
          </w:tcPr>
          <w:p w14:paraId="19332DA7" w14:textId="77777777" w:rsidR="005F2952" w:rsidRPr="007923C2" w:rsidRDefault="005F2952" w:rsidP="00BD7DAE">
            <w:pPr>
              <w:rPr>
                <w:rFonts w:ascii="Arial" w:hAnsi="Arial" w:cs="Arial"/>
                <w:sz w:val="22"/>
                <w:szCs w:val="22"/>
              </w:rPr>
            </w:pPr>
            <w:r w:rsidRPr="007923C2">
              <w:rPr>
                <w:rFonts w:ascii="Arial" w:hAnsi="Arial" w:cs="Arial"/>
                <w:sz w:val="22"/>
                <w:szCs w:val="22"/>
              </w:rPr>
              <w:t>FIT401</w:t>
            </w:r>
          </w:p>
        </w:tc>
      </w:tr>
      <w:tr w:rsidR="005F2952" w:rsidRPr="007923C2" w14:paraId="65883E9E" w14:textId="77777777" w:rsidTr="00DB4F40">
        <w:tc>
          <w:tcPr>
            <w:tcW w:w="562" w:type="dxa"/>
          </w:tcPr>
          <w:p w14:paraId="3742D32C" w14:textId="1A53EB4F" w:rsidR="005F2952" w:rsidRPr="007923C2" w:rsidRDefault="00E31C7A" w:rsidP="00DB4F40">
            <w:pPr>
              <w:jc w:val="center"/>
              <w:rPr>
                <w:rFonts w:ascii="Arial" w:hAnsi="Arial" w:cs="Arial"/>
                <w:sz w:val="22"/>
                <w:szCs w:val="22"/>
              </w:rPr>
            </w:pPr>
            <w:r>
              <w:rPr>
                <w:rFonts w:ascii="Arial" w:hAnsi="Arial" w:cs="Arial"/>
                <w:sz w:val="22"/>
                <w:szCs w:val="22"/>
              </w:rPr>
              <w:t>43</w:t>
            </w:r>
          </w:p>
        </w:tc>
        <w:tc>
          <w:tcPr>
            <w:tcW w:w="2694" w:type="dxa"/>
          </w:tcPr>
          <w:p w14:paraId="19AC159B" w14:textId="77777777" w:rsidR="005F2952" w:rsidRPr="007923C2" w:rsidRDefault="005F2952" w:rsidP="00BD7DAE">
            <w:pPr>
              <w:rPr>
                <w:rFonts w:ascii="Arial" w:hAnsi="Arial" w:cs="Arial"/>
                <w:sz w:val="22"/>
                <w:szCs w:val="22"/>
              </w:rPr>
            </w:pPr>
            <w:r w:rsidRPr="007923C2">
              <w:rPr>
                <w:rFonts w:ascii="Arial" w:hAnsi="Arial" w:cs="Arial"/>
                <w:sz w:val="22"/>
                <w:szCs w:val="22"/>
              </w:rPr>
              <w:t>Ecología y Desarrollo Sostenible</w:t>
            </w:r>
          </w:p>
        </w:tc>
        <w:tc>
          <w:tcPr>
            <w:tcW w:w="1134" w:type="dxa"/>
          </w:tcPr>
          <w:p w14:paraId="79C58DE2" w14:textId="77777777" w:rsidR="005F2952" w:rsidRPr="007923C2" w:rsidRDefault="005F2952" w:rsidP="00BD7DAE">
            <w:pPr>
              <w:rPr>
                <w:rFonts w:ascii="Arial" w:hAnsi="Arial" w:cs="Arial"/>
                <w:sz w:val="22"/>
                <w:szCs w:val="22"/>
              </w:rPr>
            </w:pPr>
            <w:r w:rsidRPr="007923C2">
              <w:rPr>
                <w:rFonts w:ascii="Arial" w:hAnsi="Arial" w:cs="Arial"/>
                <w:sz w:val="22"/>
                <w:szCs w:val="22"/>
              </w:rPr>
              <w:t>BOT453</w:t>
            </w:r>
          </w:p>
        </w:tc>
        <w:tc>
          <w:tcPr>
            <w:tcW w:w="708" w:type="dxa"/>
          </w:tcPr>
          <w:p w14:paraId="2AE1083F" w14:textId="77777777" w:rsidR="005F2952" w:rsidRPr="007923C2" w:rsidRDefault="005F2952" w:rsidP="00BD7DAE">
            <w:pPr>
              <w:rPr>
                <w:rFonts w:ascii="Arial" w:hAnsi="Arial" w:cs="Arial"/>
                <w:sz w:val="22"/>
                <w:szCs w:val="22"/>
              </w:rPr>
            </w:pPr>
            <w:r w:rsidRPr="007923C2">
              <w:rPr>
                <w:rFonts w:ascii="Arial" w:hAnsi="Arial" w:cs="Arial"/>
                <w:sz w:val="22"/>
                <w:szCs w:val="22"/>
              </w:rPr>
              <w:t>3-0</w:t>
            </w:r>
          </w:p>
        </w:tc>
        <w:tc>
          <w:tcPr>
            <w:tcW w:w="1418" w:type="dxa"/>
          </w:tcPr>
          <w:p w14:paraId="16061728" w14:textId="77777777"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14:paraId="02B30AD7" w14:textId="77777777" w:rsidR="005F2952" w:rsidRPr="007923C2" w:rsidRDefault="005F2952" w:rsidP="00BD7DAE">
            <w:pPr>
              <w:rPr>
                <w:rFonts w:ascii="Arial" w:hAnsi="Arial" w:cs="Arial"/>
                <w:sz w:val="22"/>
                <w:szCs w:val="22"/>
              </w:rPr>
            </w:pPr>
            <w:r w:rsidRPr="007923C2">
              <w:rPr>
                <w:rFonts w:ascii="Arial" w:hAnsi="Arial" w:cs="Arial"/>
                <w:sz w:val="22"/>
                <w:szCs w:val="22"/>
              </w:rPr>
              <w:t>Ecología</w:t>
            </w:r>
          </w:p>
        </w:tc>
        <w:tc>
          <w:tcPr>
            <w:tcW w:w="1417" w:type="dxa"/>
          </w:tcPr>
          <w:p w14:paraId="29B37B27" w14:textId="77777777" w:rsidR="005F2952" w:rsidRPr="007923C2" w:rsidRDefault="005F2952" w:rsidP="00BD7DAE">
            <w:pPr>
              <w:rPr>
                <w:rFonts w:ascii="Arial" w:hAnsi="Arial" w:cs="Arial"/>
                <w:sz w:val="22"/>
                <w:szCs w:val="22"/>
              </w:rPr>
            </w:pPr>
          </w:p>
        </w:tc>
      </w:tr>
      <w:tr w:rsidR="005F2952" w:rsidRPr="007923C2" w14:paraId="2797D0E0" w14:textId="77777777" w:rsidTr="00DB4F40">
        <w:tc>
          <w:tcPr>
            <w:tcW w:w="562" w:type="dxa"/>
          </w:tcPr>
          <w:p w14:paraId="36D70DC3" w14:textId="0C0A5E77" w:rsidR="005F2952" w:rsidRPr="007923C2" w:rsidRDefault="00E31C7A" w:rsidP="00DB4F40">
            <w:pPr>
              <w:jc w:val="center"/>
              <w:rPr>
                <w:rFonts w:ascii="Arial" w:hAnsi="Arial" w:cs="Arial"/>
                <w:sz w:val="22"/>
                <w:szCs w:val="22"/>
              </w:rPr>
            </w:pPr>
            <w:r>
              <w:rPr>
                <w:rFonts w:ascii="Arial" w:hAnsi="Arial" w:cs="Arial"/>
                <w:sz w:val="22"/>
                <w:szCs w:val="22"/>
              </w:rPr>
              <w:t>44</w:t>
            </w:r>
          </w:p>
        </w:tc>
        <w:tc>
          <w:tcPr>
            <w:tcW w:w="2694" w:type="dxa"/>
          </w:tcPr>
          <w:p w14:paraId="7337CDED" w14:textId="77777777" w:rsidR="005F2952" w:rsidRPr="007923C2" w:rsidRDefault="005F2952" w:rsidP="00BD7DAE">
            <w:pPr>
              <w:rPr>
                <w:rFonts w:ascii="Arial" w:hAnsi="Arial" w:cs="Arial"/>
                <w:sz w:val="22"/>
                <w:szCs w:val="22"/>
              </w:rPr>
            </w:pPr>
            <w:r w:rsidRPr="007923C2">
              <w:rPr>
                <w:rFonts w:ascii="Arial" w:hAnsi="Arial" w:cs="Arial"/>
                <w:sz w:val="22"/>
                <w:szCs w:val="22"/>
              </w:rPr>
              <w:t>Evaluación del Impacto Ambiental</w:t>
            </w:r>
          </w:p>
        </w:tc>
        <w:tc>
          <w:tcPr>
            <w:tcW w:w="1134" w:type="dxa"/>
          </w:tcPr>
          <w:p w14:paraId="3EE3E001" w14:textId="77777777" w:rsidR="005F2952" w:rsidRPr="007923C2" w:rsidRDefault="005F2952" w:rsidP="00BD7DAE">
            <w:pPr>
              <w:rPr>
                <w:rFonts w:ascii="Arial" w:hAnsi="Arial" w:cs="Arial"/>
                <w:sz w:val="22"/>
                <w:szCs w:val="22"/>
              </w:rPr>
            </w:pPr>
            <w:r w:rsidRPr="007923C2">
              <w:rPr>
                <w:rFonts w:ascii="Arial" w:hAnsi="Arial" w:cs="Arial"/>
                <w:sz w:val="22"/>
                <w:szCs w:val="22"/>
              </w:rPr>
              <w:t>FOR466</w:t>
            </w:r>
          </w:p>
        </w:tc>
        <w:tc>
          <w:tcPr>
            <w:tcW w:w="708" w:type="dxa"/>
          </w:tcPr>
          <w:p w14:paraId="47155736" w14:textId="77777777" w:rsidR="005F2952" w:rsidRPr="007923C2" w:rsidRDefault="005F2952" w:rsidP="00BD7DAE">
            <w:pPr>
              <w:rPr>
                <w:rFonts w:ascii="Arial" w:hAnsi="Arial" w:cs="Arial"/>
                <w:sz w:val="22"/>
                <w:szCs w:val="22"/>
              </w:rPr>
            </w:pPr>
            <w:r w:rsidRPr="007923C2">
              <w:rPr>
                <w:rFonts w:ascii="Arial" w:hAnsi="Arial" w:cs="Arial"/>
                <w:sz w:val="22"/>
                <w:szCs w:val="22"/>
              </w:rPr>
              <w:t>2-3</w:t>
            </w:r>
          </w:p>
        </w:tc>
        <w:tc>
          <w:tcPr>
            <w:tcW w:w="1418" w:type="dxa"/>
          </w:tcPr>
          <w:p w14:paraId="18BF8C16" w14:textId="77777777" w:rsidR="005F2952" w:rsidRPr="007923C2" w:rsidRDefault="005F2952" w:rsidP="00BD7DAE">
            <w:pPr>
              <w:rPr>
                <w:rFonts w:ascii="Arial" w:hAnsi="Arial" w:cs="Arial"/>
                <w:sz w:val="22"/>
                <w:szCs w:val="22"/>
              </w:rPr>
            </w:pPr>
            <w:r w:rsidRPr="007923C2">
              <w:rPr>
                <w:rFonts w:ascii="Arial" w:hAnsi="Arial" w:cs="Arial"/>
                <w:sz w:val="22"/>
                <w:szCs w:val="22"/>
              </w:rPr>
              <w:t>7</w:t>
            </w:r>
          </w:p>
        </w:tc>
        <w:tc>
          <w:tcPr>
            <w:tcW w:w="1701" w:type="dxa"/>
          </w:tcPr>
          <w:p w14:paraId="076DD6D3" w14:textId="77777777" w:rsidR="005F2952" w:rsidRPr="007923C2" w:rsidRDefault="005F2952" w:rsidP="00BD7DAE">
            <w:pPr>
              <w:rPr>
                <w:rFonts w:ascii="Arial" w:hAnsi="Arial" w:cs="Arial"/>
                <w:sz w:val="22"/>
                <w:szCs w:val="22"/>
              </w:rPr>
            </w:pPr>
            <w:r w:rsidRPr="007923C2">
              <w:rPr>
                <w:rFonts w:ascii="Arial" w:hAnsi="Arial" w:cs="Arial"/>
                <w:sz w:val="22"/>
                <w:szCs w:val="22"/>
              </w:rPr>
              <w:t>Contaminación Ambiental</w:t>
            </w:r>
          </w:p>
        </w:tc>
        <w:tc>
          <w:tcPr>
            <w:tcW w:w="1417" w:type="dxa"/>
          </w:tcPr>
          <w:p w14:paraId="1BD72449" w14:textId="77777777" w:rsidR="005F2952" w:rsidRPr="007923C2" w:rsidRDefault="005F2952" w:rsidP="00BD7DAE">
            <w:pPr>
              <w:rPr>
                <w:rFonts w:ascii="Arial" w:hAnsi="Arial" w:cs="Arial"/>
                <w:sz w:val="22"/>
                <w:szCs w:val="22"/>
              </w:rPr>
            </w:pPr>
            <w:r w:rsidRPr="007923C2">
              <w:rPr>
                <w:rFonts w:ascii="Arial" w:hAnsi="Arial" w:cs="Arial"/>
                <w:sz w:val="22"/>
                <w:szCs w:val="22"/>
              </w:rPr>
              <w:t>BOT480</w:t>
            </w:r>
          </w:p>
        </w:tc>
      </w:tr>
    </w:tbl>
    <w:p w14:paraId="7E306D62" w14:textId="77777777" w:rsidR="005F2952" w:rsidRPr="007923C2" w:rsidRDefault="005F2952" w:rsidP="005E47E4">
      <w:pPr>
        <w:widowControl w:val="0"/>
        <w:autoSpaceDE w:val="0"/>
        <w:autoSpaceDN w:val="0"/>
        <w:adjustRightInd w:val="0"/>
        <w:jc w:val="both"/>
        <w:rPr>
          <w:rFonts w:ascii="Arial" w:hAnsi="Arial" w:cs="Arial"/>
          <w:sz w:val="22"/>
          <w:szCs w:val="22"/>
        </w:rPr>
      </w:pPr>
    </w:p>
    <w:p w14:paraId="22E15505" w14:textId="77777777" w:rsidR="008221A2" w:rsidRPr="007923C2" w:rsidRDefault="005F2952" w:rsidP="005F2952">
      <w:pPr>
        <w:widowControl w:val="0"/>
        <w:autoSpaceDE w:val="0"/>
        <w:autoSpaceDN w:val="0"/>
        <w:adjustRightInd w:val="0"/>
        <w:jc w:val="center"/>
        <w:rPr>
          <w:rFonts w:ascii="Arial" w:hAnsi="Arial" w:cs="Arial"/>
          <w:sz w:val="22"/>
          <w:szCs w:val="22"/>
        </w:rPr>
      </w:pPr>
      <w:r w:rsidRPr="007923C2">
        <w:rPr>
          <w:rFonts w:ascii="Arial" w:hAnsi="Arial" w:cs="Arial"/>
          <w:noProof/>
          <w:sz w:val="22"/>
          <w:szCs w:val="22"/>
        </w:rPr>
        <w:lastRenderedPageBreak/>
        <w:drawing>
          <wp:inline distT="0" distB="0" distL="0" distR="0" wp14:anchorId="06D8FC05" wp14:editId="4D48F8FF">
            <wp:extent cx="8389421" cy="5116195"/>
            <wp:effectExtent l="0" t="1905"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16200000">
                      <a:off x="0" y="0"/>
                      <a:ext cx="8406914" cy="5126863"/>
                    </a:xfrm>
                    <a:prstGeom prst="rect">
                      <a:avLst/>
                    </a:prstGeom>
                    <a:noFill/>
                    <a:ln>
                      <a:noFill/>
                    </a:ln>
                  </pic:spPr>
                </pic:pic>
              </a:graphicData>
            </a:graphic>
          </wp:inline>
        </w:drawing>
      </w:r>
    </w:p>
    <w:p w14:paraId="35B5760E" w14:textId="77777777" w:rsidR="00BE07B2" w:rsidRPr="007923C2" w:rsidRDefault="00BE07B2"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lastRenderedPageBreak/>
        <w:t>5.11.-VIGENCIA</w:t>
      </w:r>
    </w:p>
    <w:p w14:paraId="0D7ECCF5" w14:textId="77777777" w:rsidR="00BE07B2" w:rsidRPr="007923C2" w:rsidRDefault="00EB005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parte fundamental del Plan de Estudios de IAB se basa en el estudio de la vida dentro de un sistema agroecológico, en donde la producción alimentaria sea dentro de un contexto sustentable para reducir el impacto que ocasiona al medio ambiente</w:t>
      </w:r>
      <w:r w:rsidR="00856CA6" w:rsidRPr="007923C2">
        <w:rPr>
          <w:rFonts w:ascii="Arial" w:hAnsi="Arial" w:cs="Arial"/>
          <w:sz w:val="22"/>
          <w:szCs w:val="22"/>
        </w:rPr>
        <w:t>.</w:t>
      </w:r>
    </w:p>
    <w:p w14:paraId="54898C9F" w14:textId="77777777" w:rsidR="00856CA6" w:rsidRPr="007923C2" w:rsidRDefault="00856CA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México y otros países están en un proceso gradual de cambio hacia una producción alimentaria sustentable sin dañar los suelos productivos, cuidando los recursos naturales que están siendo contaminados, por lo tanto la carrera de IAB está en el momento adecuado para desarrollarse.</w:t>
      </w:r>
    </w:p>
    <w:p w14:paraId="3BE4A3C0" w14:textId="77777777" w:rsidR="00856CA6" w:rsidRPr="007923C2" w:rsidRDefault="00856CA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está presentando un cambio en la curricula integrando las áreas del conocimiento más importantes que permitan al estudiante alcanzar el objetivo establecido y la formación de su perfil profesional.</w:t>
      </w:r>
    </w:p>
    <w:p w14:paraId="4D6ADD7B" w14:textId="77777777" w:rsidR="00856CA6" w:rsidRPr="007923C2" w:rsidRDefault="00856CA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análisis del contexto externo corrobora las conclusiones a las que se ha llegado para fundamentar la carrera.</w:t>
      </w:r>
    </w:p>
    <w:p w14:paraId="17BFA4A2" w14:textId="77777777" w:rsidR="00812AE1" w:rsidRPr="007923C2" w:rsidRDefault="00856CA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seguimiento de egresados así como el  análisis de la pertinencia del programa permite establecer los parámetros a evaluar para hacer los cambios pertinentes en el Plan de Estudios.</w:t>
      </w:r>
    </w:p>
    <w:p w14:paraId="2E1B9260" w14:textId="77777777" w:rsidR="00812AE1" w:rsidRPr="007923C2" w:rsidRDefault="00812AE1"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curricula del Plan de estudios está diseñada de tal manera que el conocimiento fundamental para entender la vida quede bien establecida desde todos los puntos de vista para que posteriormente el estudiante aterrice en el conocimiento especializante que le permitirá desarrollar el aspecto práctico de cada área del conocimiento.</w:t>
      </w:r>
    </w:p>
    <w:p w14:paraId="72CB3733" w14:textId="77777777" w:rsidR="00A65421" w:rsidRPr="007923C2" w:rsidRDefault="00A65421"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w:t>
      </w:r>
      <w:r w:rsidR="00812AE1" w:rsidRPr="007923C2">
        <w:rPr>
          <w:rFonts w:ascii="Arial" w:hAnsi="Arial" w:cs="Arial"/>
          <w:sz w:val="22"/>
          <w:szCs w:val="22"/>
        </w:rPr>
        <w:t xml:space="preserve">a agrobiología no se puede dar en una sola línea del conocimiento sino que se debe de integrar de una forma holística para </w:t>
      </w:r>
      <w:r w:rsidRPr="007923C2">
        <w:rPr>
          <w:rFonts w:ascii="Arial" w:hAnsi="Arial" w:cs="Arial"/>
          <w:sz w:val="22"/>
          <w:szCs w:val="22"/>
        </w:rPr>
        <w:t>poder alcanzar el desarrollo productivo de una forma sustentable.</w:t>
      </w:r>
    </w:p>
    <w:p w14:paraId="7911A6EB" w14:textId="77777777" w:rsidR="00A65421" w:rsidRPr="007923C2" w:rsidRDefault="00A65421"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egresado tiene la oportunidad de enfocarse en 2 aspectos, en el área de la conservación </w:t>
      </w:r>
      <w:r w:rsidR="00C712D6" w:rsidRPr="007923C2">
        <w:rPr>
          <w:rFonts w:ascii="Arial" w:hAnsi="Arial" w:cs="Arial"/>
          <w:sz w:val="22"/>
          <w:szCs w:val="22"/>
        </w:rPr>
        <w:t xml:space="preserve">en donde puede </w:t>
      </w:r>
      <w:r w:rsidRPr="007923C2">
        <w:rPr>
          <w:rFonts w:ascii="Arial" w:hAnsi="Arial" w:cs="Arial"/>
          <w:sz w:val="22"/>
          <w:szCs w:val="22"/>
        </w:rPr>
        <w:t>utiliza</w:t>
      </w:r>
      <w:r w:rsidR="00C712D6" w:rsidRPr="007923C2">
        <w:rPr>
          <w:rFonts w:ascii="Arial" w:hAnsi="Arial" w:cs="Arial"/>
          <w:sz w:val="22"/>
          <w:szCs w:val="22"/>
        </w:rPr>
        <w:t>r</w:t>
      </w:r>
      <w:r w:rsidRPr="007923C2">
        <w:rPr>
          <w:rFonts w:ascii="Arial" w:hAnsi="Arial" w:cs="Arial"/>
          <w:sz w:val="22"/>
          <w:szCs w:val="22"/>
        </w:rPr>
        <w:t xml:space="preserve"> la biotecnología y en el área de la producción agrícola alternativa.</w:t>
      </w:r>
    </w:p>
    <w:p w14:paraId="353D8E44" w14:textId="77777777" w:rsidR="001852BC" w:rsidRPr="007923C2" w:rsidRDefault="00C712D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Del Plan de </w:t>
      </w:r>
      <w:r w:rsidR="001852BC" w:rsidRPr="007923C2">
        <w:rPr>
          <w:rFonts w:ascii="Arial" w:hAnsi="Arial" w:cs="Arial"/>
          <w:sz w:val="22"/>
          <w:szCs w:val="22"/>
        </w:rPr>
        <w:t>E</w:t>
      </w:r>
      <w:r w:rsidRPr="007923C2">
        <w:rPr>
          <w:rFonts w:ascii="Arial" w:hAnsi="Arial" w:cs="Arial"/>
          <w:sz w:val="22"/>
          <w:szCs w:val="22"/>
        </w:rPr>
        <w:t>studios 22 asignaturas</w:t>
      </w:r>
      <w:r w:rsidR="001852BC" w:rsidRPr="007923C2">
        <w:rPr>
          <w:rFonts w:ascii="Arial" w:hAnsi="Arial" w:cs="Arial"/>
          <w:sz w:val="22"/>
          <w:szCs w:val="22"/>
        </w:rPr>
        <w:t xml:space="preserve"> obligatorias y optativas</w:t>
      </w:r>
      <w:r w:rsidRPr="007923C2">
        <w:rPr>
          <w:rFonts w:ascii="Arial" w:hAnsi="Arial" w:cs="Arial"/>
          <w:sz w:val="22"/>
          <w:szCs w:val="22"/>
        </w:rPr>
        <w:t xml:space="preserve"> son impartidas por profesores del Departamento de Botánica que en su mayoría tienen la formación de Bi</w:t>
      </w:r>
      <w:r w:rsidR="001852BC" w:rsidRPr="007923C2">
        <w:rPr>
          <w:rFonts w:ascii="Arial" w:hAnsi="Arial" w:cs="Arial"/>
          <w:sz w:val="22"/>
          <w:szCs w:val="22"/>
        </w:rPr>
        <w:t>ólogos con una experiencia de muchos años y que han tenido la oportunidad de desarrollar proyectos de investigación y desarrollo, adquiriendo experiencia práctica para aplicarla en las materias que imparten.</w:t>
      </w:r>
    </w:p>
    <w:p w14:paraId="15879B26" w14:textId="77777777" w:rsidR="00C712D6" w:rsidRPr="007923C2" w:rsidRDefault="001852BC"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24 asignaturas obligatorias restantes son impartidas por profesores de otros Departamentos cada uno con experiencia especializada en su área.</w:t>
      </w:r>
    </w:p>
    <w:p w14:paraId="0E57CF7C" w14:textId="77777777" w:rsidR="001852BC" w:rsidRPr="007923C2" w:rsidRDefault="001852BC"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estudiante con la formación recibida de las materias obligatorias (46) se le prepara de manera integrada en las áreas establecidas en el Plan de Estudio y las materias optativas</w:t>
      </w:r>
      <w:r w:rsidR="006E7B69" w:rsidRPr="007923C2">
        <w:rPr>
          <w:rFonts w:ascii="Arial" w:hAnsi="Arial" w:cs="Arial"/>
          <w:sz w:val="22"/>
          <w:szCs w:val="22"/>
        </w:rPr>
        <w:t xml:space="preserve"> (10)</w:t>
      </w:r>
      <w:r w:rsidRPr="007923C2">
        <w:rPr>
          <w:rFonts w:ascii="Arial" w:hAnsi="Arial" w:cs="Arial"/>
          <w:sz w:val="22"/>
          <w:szCs w:val="22"/>
        </w:rPr>
        <w:t xml:space="preserve"> lo pueden especializar en una de las áreas del conocimiento </w:t>
      </w:r>
      <w:r w:rsidR="006E7B69" w:rsidRPr="007923C2">
        <w:rPr>
          <w:rFonts w:ascii="Arial" w:hAnsi="Arial" w:cs="Arial"/>
          <w:sz w:val="22"/>
          <w:szCs w:val="22"/>
        </w:rPr>
        <w:t>(agricultura alternativa, conservación, biotecnología) o pueden cursar de forma variada de las tres áreas.</w:t>
      </w:r>
    </w:p>
    <w:p w14:paraId="59BF70E2" w14:textId="089F0686" w:rsidR="006E7B69" w:rsidRPr="007923C2" w:rsidRDefault="006E7B6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selecciónaron las materias para alcanzar los objetivos antes señalados y el área del conocimiento que se maneja queda plasmado en el objetivo general de  cada programa analítico como se describe en el cuadro 10 (Descripción de áreas del conocimiento</w:t>
      </w:r>
      <w:r w:rsidR="001D7E71">
        <w:rPr>
          <w:rFonts w:ascii="Arial" w:hAnsi="Arial" w:cs="Arial"/>
          <w:sz w:val="22"/>
          <w:szCs w:val="22"/>
        </w:rPr>
        <w:t xml:space="preserve"> </w:t>
      </w:r>
      <w:r w:rsidRPr="007923C2">
        <w:rPr>
          <w:rFonts w:ascii="Arial" w:hAnsi="Arial" w:cs="Arial"/>
          <w:sz w:val="22"/>
          <w:szCs w:val="22"/>
        </w:rPr>
        <w:t>que conforman el Plan de Estudios expresados en asignaturas).</w:t>
      </w:r>
    </w:p>
    <w:p w14:paraId="205A67B8" w14:textId="77777777" w:rsidR="006E7B69" w:rsidRPr="007923C2" w:rsidRDefault="006E7B69"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lastRenderedPageBreak/>
        <w:t>5.12.-ESTUDIO DE TRASLAPES</w:t>
      </w:r>
    </w:p>
    <w:p w14:paraId="4749BA9C" w14:textId="77777777" w:rsidR="006E7B69" w:rsidRPr="007923C2" w:rsidRDefault="0056696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Para tener referencias de la carrera de IAB se debe realizar un estudio comparativo</w:t>
      </w:r>
      <w:r w:rsidR="00087A94" w:rsidRPr="007923C2">
        <w:rPr>
          <w:rFonts w:ascii="Arial" w:hAnsi="Arial" w:cs="Arial"/>
          <w:sz w:val="22"/>
          <w:szCs w:val="22"/>
        </w:rPr>
        <w:t xml:space="preserve"> con otras carreras de la misma Universidad y con otras del país.</w:t>
      </w:r>
    </w:p>
    <w:p w14:paraId="7288D86C" w14:textId="77777777" w:rsidR="00566965" w:rsidRPr="007923C2" w:rsidRDefault="00087A9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 la misma universidad puede presentar una competencia con carreras similares, aunque a veces el objetivo puede tener los mismos fundamentos o </w:t>
      </w:r>
      <w:r w:rsidR="00072B4C">
        <w:rPr>
          <w:rFonts w:ascii="Arial" w:hAnsi="Arial" w:cs="Arial"/>
          <w:sz w:val="22"/>
          <w:szCs w:val="22"/>
        </w:rPr>
        <w:t>iguales</w:t>
      </w:r>
      <w:r w:rsidRPr="007923C2">
        <w:rPr>
          <w:rFonts w:ascii="Arial" w:hAnsi="Arial" w:cs="Arial"/>
          <w:sz w:val="22"/>
          <w:szCs w:val="22"/>
        </w:rPr>
        <w:t xml:space="preserve"> y las</w:t>
      </w:r>
      <w:r w:rsidR="00566965" w:rsidRPr="007923C2">
        <w:rPr>
          <w:rFonts w:ascii="Arial" w:hAnsi="Arial" w:cs="Arial"/>
          <w:sz w:val="22"/>
          <w:szCs w:val="22"/>
        </w:rPr>
        <w:t xml:space="preserve">áreas de formación </w:t>
      </w:r>
      <w:r w:rsidR="00072B4C">
        <w:rPr>
          <w:rFonts w:ascii="Arial" w:hAnsi="Arial" w:cs="Arial"/>
          <w:sz w:val="22"/>
          <w:szCs w:val="22"/>
        </w:rPr>
        <w:t>pueden ser</w:t>
      </w:r>
      <w:r w:rsidR="00566965" w:rsidRPr="007923C2">
        <w:rPr>
          <w:rFonts w:ascii="Arial" w:hAnsi="Arial" w:cs="Arial"/>
          <w:sz w:val="22"/>
          <w:szCs w:val="22"/>
        </w:rPr>
        <w:t xml:space="preserve"> diferentes</w:t>
      </w:r>
      <w:r w:rsidR="00072B4C">
        <w:rPr>
          <w:rFonts w:ascii="Arial" w:hAnsi="Arial" w:cs="Arial"/>
          <w:sz w:val="22"/>
          <w:szCs w:val="22"/>
        </w:rPr>
        <w:t xml:space="preserve"> al igual que su</w:t>
      </w:r>
      <w:r w:rsidR="00566965" w:rsidRPr="007923C2">
        <w:rPr>
          <w:rFonts w:ascii="Arial" w:hAnsi="Arial" w:cs="Arial"/>
          <w:sz w:val="22"/>
          <w:szCs w:val="22"/>
        </w:rPr>
        <w:t xml:space="preserve"> enfo</w:t>
      </w:r>
      <w:r w:rsidR="00072B4C">
        <w:rPr>
          <w:rFonts w:ascii="Arial" w:hAnsi="Arial" w:cs="Arial"/>
          <w:sz w:val="22"/>
          <w:szCs w:val="22"/>
        </w:rPr>
        <w:t>que</w:t>
      </w:r>
      <w:r w:rsidR="00566965" w:rsidRPr="007923C2">
        <w:rPr>
          <w:rFonts w:ascii="Arial" w:hAnsi="Arial" w:cs="Arial"/>
          <w:sz w:val="22"/>
          <w:szCs w:val="22"/>
        </w:rPr>
        <w:t xml:space="preserve"> , dando mayor peso a una determinada área del conocimiento lo que ya hace del traslape una cuestión mínima.</w:t>
      </w:r>
    </w:p>
    <w:p w14:paraId="06E39AB4" w14:textId="77777777" w:rsidR="00566965" w:rsidRDefault="0056696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Así también las materias que incluyen los bloques o áreas de formación no son las mismas</w:t>
      </w:r>
      <w:r w:rsidR="00072B4C">
        <w:rPr>
          <w:rFonts w:ascii="Arial" w:hAnsi="Arial" w:cs="Arial"/>
          <w:sz w:val="22"/>
          <w:szCs w:val="22"/>
        </w:rPr>
        <w:t>en cada</w:t>
      </w:r>
      <w:r w:rsidR="00D0689D">
        <w:rPr>
          <w:rFonts w:ascii="Arial" w:hAnsi="Arial" w:cs="Arial"/>
          <w:sz w:val="22"/>
          <w:szCs w:val="22"/>
        </w:rPr>
        <w:t xml:space="preserve"> carrera.</w:t>
      </w:r>
    </w:p>
    <w:p w14:paraId="64B29B6B" w14:textId="77777777" w:rsidR="00D0689D" w:rsidRDefault="00D0689D" w:rsidP="005E47E4">
      <w:pPr>
        <w:widowControl w:val="0"/>
        <w:autoSpaceDE w:val="0"/>
        <w:autoSpaceDN w:val="0"/>
        <w:adjustRightInd w:val="0"/>
        <w:jc w:val="both"/>
        <w:rPr>
          <w:rFonts w:ascii="Arial" w:hAnsi="Arial" w:cs="Arial"/>
          <w:sz w:val="22"/>
          <w:szCs w:val="22"/>
        </w:rPr>
      </w:pPr>
      <w:r>
        <w:rPr>
          <w:rFonts w:ascii="Arial" w:hAnsi="Arial" w:cs="Arial"/>
          <w:sz w:val="22"/>
          <w:szCs w:val="22"/>
        </w:rPr>
        <w:t>En la Instituciónexisten 3 Programas docentes parecidos al programa IAB como son:</w:t>
      </w:r>
    </w:p>
    <w:p w14:paraId="33014245" w14:textId="77777777" w:rsidR="00D0689D" w:rsidRDefault="00D0689D" w:rsidP="005E47E4">
      <w:pPr>
        <w:widowControl w:val="0"/>
        <w:autoSpaceDE w:val="0"/>
        <w:autoSpaceDN w:val="0"/>
        <w:adjustRightInd w:val="0"/>
        <w:jc w:val="both"/>
        <w:rPr>
          <w:rFonts w:ascii="Arial" w:hAnsi="Arial" w:cs="Arial"/>
          <w:sz w:val="22"/>
          <w:szCs w:val="22"/>
        </w:rPr>
      </w:pPr>
      <w:r w:rsidRPr="00D0689D">
        <w:rPr>
          <w:rFonts w:ascii="Arial" w:hAnsi="Arial" w:cs="Arial"/>
          <w:b/>
          <w:sz w:val="22"/>
          <w:szCs w:val="22"/>
        </w:rPr>
        <w:t>Ingeniero Forestal</w:t>
      </w:r>
      <w:r>
        <w:rPr>
          <w:rFonts w:ascii="Arial" w:hAnsi="Arial" w:cs="Arial"/>
          <w:sz w:val="22"/>
          <w:szCs w:val="22"/>
        </w:rPr>
        <w:t>, en esta carrera establecen como parte fundamental el estudio de los bosques destacando la importancia de estos para la conservación de los ecosistemas importantes desde el punto de vista del medio ambiente.</w:t>
      </w:r>
    </w:p>
    <w:p w14:paraId="52582835" w14:textId="77777777" w:rsidR="00D0689D" w:rsidRDefault="00D0689D" w:rsidP="005E47E4">
      <w:pPr>
        <w:widowControl w:val="0"/>
        <w:autoSpaceDE w:val="0"/>
        <w:autoSpaceDN w:val="0"/>
        <w:adjustRightInd w:val="0"/>
        <w:jc w:val="both"/>
        <w:rPr>
          <w:rFonts w:ascii="Arial" w:hAnsi="Arial" w:cs="Arial"/>
          <w:sz w:val="22"/>
          <w:szCs w:val="22"/>
        </w:rPr>
      </w:pPr>
      <w:r w:rsidRPr="00D0689D">
        <w:rPr>
          <w:rFonts w:ascii="Arial" w:hAnsi="Arial" w:cs="Arial"/>
          <w:b/>
          <w:sz w:val="22"/>
          <w:szCs w:val="22"/>
        </w:rPr>
        <w:t>Ingeniero agrícola ambiental</w:t>
      </w:r>
      <w:r>
        <w:rPr>
          <w:rFonts w:ascii="Arial" w:hAnsi="Arial" w:cs="Arial"/>
          <w:sz w:val="22"/>
          <w:szCs w:val="22"/>
        </w:rPr>
        <w:t xml:space="preserve"> que tiene como enfoque la producción agrícola de forma sustentable cuidando las características del suelo y su conservación.</w:t>
      </w:r>
    </w:p>
    <w:p w14:paraId="1B0B5C9D" w14:textId="77777777" w:rsidR="00D0689D" w:rsidRPr="0034063F" w:rsidRDefault="00D0689D" w:rsidP="005E47E4">
      <w:pPr>
        <w:widowControl w:val="0"/>
        <w:autoSpaceDE w:val="0"/>
        <w:autoSpaceDN w:val="0"/>
        <w:adjustRightInd w:val="0"/>
        <w:jc w:val="both"/>
        <w:rPr>
          <w:rFonts w:ascii="Arial" w:hAnsi="Arial" w:cs="Arial"/>
          <w:sz w:val="22"/>
          <w:szCs w:val="22"/>
        </w:rPr>
      </w:pPr>
      <w:r w:rsidRPr="00D0689D">
        <w:rPr>
          <w:rFonts w:ascii="Arial" w:hAnsi="Arial" w:cs="Arial"/>
          <w:b/>
          <w:sz w:val="22"/>
          <w:szCs w:val="22"/>
        </w:rPr>
        <w:t>Ingeniero en agroecología</w:t>
      </w:r>
      <w:r w:rsidRPr="0034063F">
        <w:rPr>
          <w:rFonts w:ascii="Arial" w:hAnsi="Arial" w:cs="Arial"/>
          <w:sz w:val="22"/>
          <w:szCs w:val="22"/>
        </w:rPr>
        <w:t>que tiene como objetivo el manejo de los agroecos</w:t>
      </w:r>
      <w:r w:rsidR="0034063F" w:rsidRPr="0034063F">
        <w:rPr>
          <w:rFonts w:ascii="Arial" w:hAnsi="Arial" w:cs="Arial"/>
          <w:sz w:val="22"/>
          <w:szCs w:val="22"/>
        </w:rPr>
        <w:t>i</w:t>
      </w:r>
      <w:r w:rsidRPr="0034063F">
        <w:rPr>
          <w:rFonts w:ascii="Arial" w:hAnsi="Arial" w:cs="Arial"/>
          <w:sz w:val="22"/>
          <w:szCs w:val="22"/>
        </w:rPr>
        <w:t>s</w:t>
      </w:r>
      <w:r w:rsidR="0034063F" w:rsidRPr="0034063F">
        <w:rPr>
          <w:rFonts w:ascii="Arial" w:hAnsi="Arial" w:cs="Arial"/>
          <w:sz w:val="22"/>
          <w:szCs w:val="22"/>
        </w:rPr>
        <w:t>temas para una producción  que no afecte a los ecosistemas con un manejo sustentable.</w:t>
      </w:r>
    </w:p>
    <w:p w14:paraId="1DECA0F8" w14:textId="77777777" w:rsidR="0034063F" w:rsidRDefault="0034063F" w:rsidP="005E47E4">
      <w:pPr>
        <w:widowControl w:val="0"/>
        <w:autoSpaceDE w:val="0"/>
        <w:autoSpaceDN w:val="0"/>
        <w:adjustRightInd w:val="0"/>
        <w:jc w:val="both"/>
        <w:rPr>
          <w:rFonts w:ascii="Arial" w:hAnsi="Arial" w:cs="Arial"/>
          <w:sz w:val="22"/>
          <w:szCs w:val="22"/>
        </w:rPr>
      </w:pPr>
      <w:r>
        <w:rPr>
          <w:rFonts w:ascii="Arial" w:hAnsi="Arial" w:cs="Arial"/>
          <w:sz w:val="22"/>
          <w:szCs w:val="22"/>
        </w:rPr>
        <w:t>Como conclusión las tres carreras tienen un enfoque similar</w:t>
      </w:r>
      <w:r w:rsidR="00072B4C">
        <w:rPr>
          <w:rFonts w:ascii="Arial" w:hAnsi="Arial" w:cs="Arial"/>
          <w:sz w:val="22"/>
          <w:szCs w:val="22"/>
        </w:rPr>
        <w:t>,</w:t>
      </w:r>
      <w:r>
        <w:rPr>
          <w:rFonts w:ascii="Arial" w:hAnsi="Arial" w:cs="Arial"/>
          <w:sz w:val="22"/>
          <w:szCs w:val="22"/>
        </w:rPr>
        <w:t xml:space="preserve"> pero se trata de una forma diferente de manera que el planteamiento de su Plan de Estudios difiere al de Ingeniero en Agrobiología.</w:t>
      </w:r>
    </w:p>
    <w:p w14:paraId="19E80AD6" w14:textId="77777777" w:rsidR="005C7FAC" w:rsidRDefault="0034063F" w:rsidP="005E47E4">
      <w:pPr>
        <w:widowControl w:val="0"/>
        <w:autoSpaceDE w:val="0"/>
        <w:autoSpaceDN w:val="0"/>
        <w:adjustRightInd w:val="0"/>
        <w:jc w:val="both"/>
        <w:rPr>
          <w:rFonts w:ascii="Arial" w:hAnsi="Arial" w:cs="Arial"/>
          <w:sz w:val="22"/>
          <w:szCs w:val="22"/>
        </w:rPr>
      </w:pPr>
      <w:r>
        <w:rPr>
          <w:rFonts w:ascii="Arial" w:hAnsi="Arial" w:cs="Arial"/>
          <w:sz w:val="22"/>
          <w:szCs w:val="22"/>
        </w:rPr>
        <w:t>El estudiante de la carrera IAB primero recibe una formación para entender la vida en todos los aspectos importantes para que posteriormente comprenda la interrelación que existe en los ecosistemas entre los factores ambientales y la vida y cómo debe manejar de manera holística esta relación para que despúes pueda realizar un manejo sustentable de los recursos y aplicarlo en la producción alimentaria</w:t>
      </w:r>
      <w:r w:rsidR="005C7FAC">
        <w:rPr>
          <w:rFonts w:ascii="Arial" w:hAnsi="Arial" w:cs="Arial"/>
          <w:sz w:val="22"/>
          <w:szCs w:val="22"/>
        </w:rPr>
        <w:t>.</w:t>
      </w:r>
    </w:p>
    <w:p w14:paraId="75F464D1" w14:textId="77777777" w:rsidR="005C7FAC" w:rsidRDefault="005C7FAC" w:rsidP="005E47E4">
      <w:pPr>
        <w:widowControl w:val="0"/>
        <w:autoSpaceDE w:val="0"/>
        <w:autoSpaceDN w:val="0"/>
        <w:adjustRightInd w:val="0"/>
        <w:jc w:val="both"/>
        <w:rPr>
          <w:rFonts w:ascii="Arial" w:hAnsi="Arial" w:cs="Arial"/>
          <w:sz w:val="22"/>
          <w:szCs w:val="22"/>
        </w:rPr>
      </w:pPr>
      <w:r>
        <w:rPr>
          <w:rFonts w:ascii="Arial" w:hAnsi="Arial" w:cs="Arial"/>
          <w:sz w:val="22"/>
          <w:szCs w:val="22"/>
        </w:rPr>
        <w:t>Es por eso que se deben de integrar varias áreas que complementan ésta formación.</w:t>
      </w:r>
    </w:p>
    <w:p w14:paraId="3BCCA528" w14:textId="77777777" w:rsidR="005C7FAC" w:rsidRDefault="005C7FAC" w:rsidP="005E47E4">
      <w:pPr>
        <w:widowControl w:val="0"/>
        <w:autoSpaceDE w:val="0"/>
        <w:autoSpaceDN w:val="0"/>
        <w:adjustRightInd w:val="0"/>
        <w:jc w:val="both"/>
        <w:rPr>
          <w:rFonts w:ascii="Arial" w:hAnsi="Arial" w:cs="Arial"/>
          <w:sz w:val="22"/>
          <w:szCs w:val="22"/>
        </w:rPr>
      </w:pPr>
      <w:r>
        <w:rPr>
          <w:rFonts w:ascii="Arial" w:hAnsi="Arial" w:cs="Arial"/>
          <w:sz w:val="22"/>
          <w:szCs w:val="22"/>
        </w:rPr>
        <w:t>Al igual el análisis hecho con otras carreras de Universidades externas se encontró la misma situación referente al enfoque que se le ha dado a su Plan de estudios.</w:t>
      </w:r>
    </w:p>
    <w:p w14:paraId="34E8B37E" w14:textId="77777777" w:rsidR="005C7FAC" w:rsidRDefault="005C7FAC" w:rsidP="005E47E4">
      <w:pPr>
        <w:widowControl w:val="0"/>
        <w:autoSpaceDE w:val="0"/>
        <w:autoSpaceDN w:val="0"/>
        <w:adjustRightInd w:val="0"/>
        <w:jc w:val="both"/>
        <w:rPr>
          <w:rFonts w:ascii="Arial" w:hAnsi="Arial" w:cs="Arial"/>
          <w:sz w:val="22"/>
          <w:szCs w:val="22"/>
        </w:rPr>
      </w:pPr>
      <w:r>
        <w:rPr>
          <w:rFonts w:ascii="Arial" w:hAnsi="Arial" w:cs="Arial"/>
          <w:sz w:val="22"/>
          <w:szCs w:val="22"/>
        </w:rPr>
        <w:t xml:space="preserve">En realidad no se ha esquematizado un concepto unificador de Agrobiología que permita que los Planes de Estudio de carreras afines se estandarise, la ideología básica </w:t>
      </w:r>
      <w:r w:rsidR="00072B4C">
        <w:rPr>
          <w:rFonts w:ascii="Arial" w:hAnsi="Arial" w:cs="Arial"/>
          <w:sz w:val="22"/>
          <w:szCs w:val="22"/>
        </w:rPr>
        <w:t xml:space="preserve">que </w:t>
      </w:r>
      <w:r>
        <w:rPr>
          <w:rFonts w:ascii="Arial" w:hAnsi="Arial" w:cs="Arial"/>
          <w:sz w:val="22"/>
          <w:szCs w:val="22"/>
        </w:rPr>
        <w:t>es el cuidado del medio ambiente y aplicación de un desarrollo sustentable.</w:t>
      </w:r>
    </w:p>
    <w:p w14:paraId="5E3AB8F2" w14:textId="77777777" w:rsidR="00072B4C" w:rsidRDefault="005C7FAC" w:rsidP="005E47E4">
      <w:pPr>
        <w:widowControl w:val="0"/>
        <w:autoSpaceDE w:val="0"/>
        <w:autoSpaceDN w:val="0"/>
        <w:adjustRightInd w:val="0"/>
        <w:jc w:val="both"/>
        <w:rPr>
          <w:rFonts w:ascii="Arial" w:hAnsi="Arial" w:cs="Arial"/>
          <w:sz w:val="22"/>
          <w:szCs w:val="22"/>
        </w:rPr>
      </w:pPr>
      <w:r>
        <w:rPr>
          <w:rFonts w:ascii="Arial" w:hAnsi="Arial" w:cs="Arial"/>
          <w:sz w:val="22"/>
          <w:szCs w:val="22"/>
        </w:rPr>
        <w:t xml:space="preserve">La carrera de Ingeniero en Agrobiología fue fundamentada por biólogos que tienen conceptos más universales de lo que es la vida por lo tanto para ellos fue más sencillo entender el concepto de agrobiología y aplicarlo a la agronomía. </w:t>
      </w:r>
    </w:p>
    <w:p w14:paraId="0DD60365" w14:textId="77777777" w:rsidR="005C7FAC" w:rsidRDefault="00072B4C" w:rsidP="005E47E4">
      <w:pPr>
        <w:widowControl w:val="0"/>
        <w:autoSpaceDE w:val="0"/>
        <w:autoSpaceDN w:val="0"/>
        <w:adjustRightInd w:val="0"/>
        <w:jc w:val="both"/>
        <w:rPr>
          <w:rFonts w:ascii="Arial" w:hAnsi="Arial" w:cs="Arial"/>
          <w:sz w:val="22"/>
          <w:szCs w:val="22"/>
        </w:rPr>
      </w:pPr>
      <w:r>
        <w:rPr>
          <w:rFonts w:ascii="Arial" w:hAnsi="Arial" w:cs="Arial"/>
          <w:sz w:val="22"/>
          <w:szCs w:val="22"/>
        </w:rPr>
        <w:t>Se presentan los siguientes estudios de traslape con diferentes carreras.</w:t>
      </w:r>
    </w:p>
    <w:p w14:paraId="664CE73F" w14:textId="77777777" w:rsidR="00087A94" w:rsidRPr="007923C2" w:rsidRDefault="00087A94" w:rsidP="005E47E4">
      <w:pPr>
        <w:widowControl w:val="0"/>
        <w:autoSpaceDE w:val="0"/>
        <w:autoSpaceDN w:val="0"/>
        <w:adjustRightInd w:val="0"/>
        <w:jc w:val="both"/>
        <w:rPr>
          <w:rFonts w:ascii="Arial" w:hAnsi="Arial" w:cs="Arial"/>
          <w:sz w:val="22"/>
          <w:szCs w:val="22"/>
        </w:rPr>
      </w:pPr>
    </w:p>
    <w:p w14:paraId="2F504683" w14:textId="77777777" w:rsidR="00087A94" w:rsidRPr="007923C2" w:rsidRDefault="00087A94" w:rsidP="005E47E4">
      <w:pPr>
        <w:widowControl w:val="0"/>
        <w:autoSpaceDE w:val="0"/>
        <w:autoSpaceDN w:val="0"/>
        <w:adjustRightInd w:val="0"/>
        <w:jc w:val="both"/>
        <w:rPr>
          <w:rFonts w:ascii="Arial" w:hAnsi="Arial" w:cs="Arial"/>
          <w:sz w:val="22"/>
          <w:szCs w:val="22"/>
        </w:rPr>
      </w:pPr>
    </w:p>
    <w:p w14:paraId="35ADD546" w14:textId="77777777" w:rsidR="00087A94" w:rsidRPr="007923C2" w:rsidRDefault="00087A94" w:rsidP="005E47E4">
      <w:pPr>
        <w:widowControl w:val="0"/>
        <w:autoSpaceDE w:val="0"/>
        <w:autoSpaceDN w:val="0"/>
        <w:adjustRightInd w:val="0"/>
        <w:jc w:val="both"/>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83"/>
        <w:gridCol w:w="3056"/>
        <w:gridCol w:w="3050"/>
      </w:tblGrid>
      <w:tr w:rsidR="001C2EB7" w:rsidRPr="001C2EB7" w14:paraId="38719B87" w14:textId="77777777" w:rsidTr="001C2EB7">
        <w:trPr>
          <w:trHeight w:val="1263"/>
        </w:trPr>
        <w:tc>
          <w:tcPr>
            <w:tcW w:w="4329" w:type="dxa"/>
            <w:tcBorders>
              <w:bottom w:val="double" w:sz="4" w:space="0" w:color="auto"/>
            </w:tcBorders>
          </w:tcPr>
          <w:p w14:paraId="3EBD9C2A"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noProof/>
                <w:sz w:val="22"/>
                <w:szCs w:val="22"/>
              </w:rPr>
              <mc:AlternateContent>
                <mc:Choice Requires="wps">
                  <w:drawing>
                    <wp:anchor distT="0" distB="0" distL="114300" distR="114300" simplePos="0" relativeHeight="251914752" behindDoc="0" locked="0" layoutInCell="1" allowOverlap="1" wp14:anchorId="752AAA7E" wp14:editId="5A9E421C">
                      <wp:simplePos x="0" y="0"/>
                      <wp:positionH relativeFrom="column">
                        <wp:posOffset>-38431</wp:posOffset>
                      </wp:positionH>
                      <wp:positionV relativeFrom="paragraph">
                        <wp:posOffset>9663</wp:posOffset>
                      </wp:positionV>
                      <wp:extent cx="1868556" cy="1264257"/>
                      <wp:effectExtent l="0" t="0" r="36830" b="31750"/>
                      <wp:wrapNone/>
                      <wp:docPr id="524" name="Conector recto 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8556" cy="12642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40D677" id="Conector recto 524" o:spid="_x0000_s1026" style="position:absolute;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pt,.75pt" to="144.1pt,1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"/>
                  </w:pict>
                </mc:Fallback>
              </mc:AlternateContent>
            </w:r>
            <w:r w:rsidRPr="001C2EB7">
              <w:rPr>
                <w:rFonts w:ascii="Arial" w:hAnsi="Arial" w:cs="Arial"/>
                <w:b/>
                <w:sz w:val="22"/>
                <w:szCs w:val="22"/>
              </w:rPr>
              <w:t xml:space="preserve">            INSTITUCIONES</w:t>
            </w:r>
          </w:p>
          <w:p w14:paraId="0B1CBD9E" w14:textId="77777777" w:rsidR="001C2EB7" w:rsidRPr="001C2EB7" w:rsidRDefault="001C2EB7" w:rsidP="001C2EB7">
            <w:pPr>
              <w:widowControl w:val="0"/>
              <w:autoSpaceDE w:val="0"/>
              <w:autoSpaceDN w:val="0"/>
              <w:adjustRightInd w:val="0"/>
              <w:jc w:val="both"/>
              <w:rPr>
                <w:rFonts w:ascii="Arial" w:hAnsi="Arial" w:cs="Arial"/>
                <w:b/>
                <w:sz w:val="22"/>
                <w:szCs w:val="22"/>
              </w:rPr>
            </w:pPr>
          </w:p>
          <w:p w14:paraId="68A31F60" w14:textId="77777777" w:rsidR="001C2EB7" w:rsidRPr="001C2EB7" w:rsidRDefault="001C2EB7" w:rsidP="001C2EB7">
            <w:pPr>
              <w:widowControl w:val="0"/>
              <w:autoSpaceDE w:val="0"/>
              <w:autoSpaceDN w:val="0"/>
              <w:adjustRightInd w:val="0"/>
              <w:jc w:val="both"/>
              <w:rPr>
                <w:rFonts w:ascii="Arial" w:hAnsi="Arial" w:cs="Arial"/>
                <w:b/>
                <w:sz w:val="22"/>
                <w:szCs w:val="22"/>
              </w:rPr>
            </w:pPr>
          </w:p>
          <w:p w14:paraId="045B08DD" w14:textId="77777777" w:rsid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 xml:space="preserve">PUNTO DE </w:t>
            </w:r>
          </w:p>
          <w:p w14:paraId="3B32645F" w14:textId="336FADD9"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COMPARACIÓN</w:t>
            </w:r>
          </w:p>
        </w:tc>
        <w:tc>
          <w:tcPr>
            <w:tcW w:w="4332" w:type="dxa"/>
            <w:tcBorders>
              <w:bottom w:val="double" w:sz="4" w:space="0" w:color="auto"/>
            </w:tcBorders>
          </w:tcPr>
          <w:p w14:paraId="1741572C"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CARRERAS DE LA UAAAN</w:t>
            </w:r>
          </w:p>
        </w:tc>
        <w:tc>
          <w:tcPr>
            <w:tcW w:w="4333" w:type="dxa"/>
            <w:tcBorders>
              <w:bottom w:val="double" w:sz="4" w:space="0" w:color="auto"/>
            </w:tcBorders>
          </w:tcPr>
          <w:p w14:paraId="40B9F17A"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 xml:space="preserve">CARRERAS DE OTRAS INSTITUCIONES </w:t>
            </w:r>
          </w:p>
        </w:tc>
      </w:tr>
      <w:tr w:rsidR="001C2EB7" w:rsidRPr="001C2EB7" w14:paraId="7BA4435C" w14:textId="77777777" w:rsidTr="001C2EB7">
        <w:tc>
          <w:tcPr>
            <w:tcW w:w="4329" w:type="dxa"/>
            <w:tcBorders>
              <w:top w:val="double" w:sz="4" w:space="0" w:color="auto"/>
              <w:left w:val="double" w:sz="4" w:space="0" w:color="auto"/>
              <w:bottom w:val="double" w:sz="4" w:space="0" w:color="auto"/>
              <w:right w:val="double" w:sz="4" w:space="0" w:color="auto"/>
            </w:tcBorders>
          </w:tcPr>
          <w:p w14:paraId="79686B72"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Perfil Agronómico</w:t>
            </w:r>
          </w:p>
        </w:tc>
        <w:tc>
          <w:tcPr>
            <w:tcW w:w="4332" w:type="dxa"/>
            <w:tcBorders>
              <w:top w:val="double" w:sz="4" w:space="0" w:color="auto"/>
              <w:left w:val="double" w:sz="4" w:space="0" w:color="auto"/>
              <w:bottom w:val="double" w:sz="4" w:space="0" w:color="auto"/>
              <w:right w:val="double" w:sz="4" w:space="0" w:color="auto"/>
            </w:tcBorders>
          </w:tcPr>
          <w:p w14:paraId="35EEF9B6"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 xml:space="preserve">AGROBIOLOGÍA </w:t>
            </w:r>
          </w:p>
        </w:tc>
        <w:tc>
          <w:tcPr>
            <w:tcW w:w="4333" w:type="dxa"/>
            <w:tcBorders>
              <w:top w:val="double" w:sz="4" w:space="0" w:color="auto"/>
              <w:left w:val="double" w:sz="4" w:space="0" w:color="auto"/>
              <w:bottom w:val="double" w:sz="4" w:space="0" w:color="auto"/>
              <w:right w:val="double" w:sz="4" w:space="0" w:color="auto"/>
            </w:tcBorders>
          </w:tcPr>
          <w:p w14:paraId="2BEE9A5A"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INSTITUTO TECNOLÓGICO AGROPECUARIO DEL EDO DE JALISCO</w:t>
            </w:r>
          </w:p>
        </w:tc>
      </w:tr>
      <w:tr w:rsidR="001C2EB7" w:rsidRPr="001C2EB7" w14:paraId="7D2F02F9" w14:textId="77777777" w:rsidTr="001C2EB7">
        <w:tc>
          <w:tcPr>
            <w:tcW w:w="4329" w:type="dxa"/>
            <w:tcBorders>
              <w:top w:val="double" w:sz="4" w:space="0" w:color="auto"/>
            </w:tcBorders>
          </w:tcPr>
          <w:p w14:paraId="67B92A5D"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Borders>
              <w:top w:val="double" w:sz="4" w:space="0" w:color="auto"/>
            </w:tcBorders>
          </w:tcPr>
          <w:p w14:paraId="459B1B0F"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 xml:space="preserve">El profesional será capaz de planificar la conservación y la explotación de los recursos naturales. </w:t>
            </w:r>
          </w:p>
        </w:tc>
        <w:tc>
          <w:tcPr>
            <w:tcW w:w="4333" w:type="dxa"/>
            <w:tcBorders>
              <w:top w:val="double" w:sz="4" w:space="0" w:color="auto"/>
            </w:tcBorders>
          </w:tcPr>
          <w:p w14:paraId="6A69F027"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sz w:val="22"/>
                <w:szCs w:val="22"/>
              </w:rPr>
              <w:t>Manejar con un enfoque holístico sostenible los recursos que tiene disponibles para desarrollar un proceso productivo</w:t>
            </w:r>
            <w:r w:rsidRPr="001C2EB7">
              <w:rPr>
                <w:rFonts w:ascii="Arial" w:hAnsi="Arial" w:cs="Arial"/>
                <w:b/>
                <w:sz w:val="22"/>
                <w:szCs w:val="22"/>
              </w:rPr>
              <w:t>.</w:t>
            </w:r>
          </w:p>
        </w:tc>
      </w:tr>
      <w:tr w:rsidR="001C2EB7" w:rsidRPr="001C2EB7" w14:paraId="62C89E9E" w14:textId="77777777" w:rsidTr="001C2EB7">
        <w:tc>
          <w:tcPr>
            <w:tcW w:w="4329" w:type="dxa"/>
          </w:tcPr>
          <w:p w14:paraId="0F91FF80"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14:paraId="6F037A7C"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AGROECOLOGÍA</w:t>
            </w:r>
          </w:p>
        </w:tc>
        <w:tc>
          <w:tcPr>
            <w:tcW w:w="4333" w:type="dxa"/>
          </w:tcPr>
          <w:p w14:paraId="737ECE98"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FACULTAD DE AGROBIOLOGÍA MICHOACÁN</w:t>
            </w:r>
          </w:p>
        </w:tc>
      </w:tr>
      <w:tr w:rsidR="001C2EB7" w:rsidRPr="001C2EB7" w14:paraId="6E4D0E0C" w14:textId="77777777" w:rsidTr="001C2EB7">
        <w:tc>
          <w:tcPr>
            <w:tcW w:w="4329" w:type="dxa"/>
          </w:tcPr>
          <w:p w14:paraId="457A07E9"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14:paraId="758E60CA"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sz w:val="22"/>
                <w:szCs w:val="22"/>
              </w:rPr>
              <w:t>Propondrá estrategias para la disminución en la intensidad del uso de recursos naturales no renovables</w:t>
            </w:r>
            <w:r w:rsidRPr="001C2EB7">
              <w:rPr>
                <w:rFonts w:ascii="Arial" w:hAnsi="Arial" w:cs="Arial"/>
                <w:b/>
                <w:sz w:val="22"/>
                <w:szCs w:val="22"/>
              </w:rPr>
              <w:t>.</w:t>
            </w:r>
          </w:p>
        </w:tc>
        <w:tc>
          <w:tcPr>
            <w:tcW w:w="4333" w:type="dxa"/>
          </w:tcPr>
          <w:p w14:paraId="72241BD7"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 xml:space="preserve">El profesionista planea, organiza y administra empresas agrícolas de tipo regional, estatal, y nacional. Evalúa los recursos </w:t>
            </w:r>
          </w:p>
        </w:tc>
      </w:tr>
      <w:tr w:rsidR="001C2EB7" w:rsidRPr="001C2EB7" w14:paraId="6AA6807F" w14:textId="77777777" w:rsidTr="001C2EB7">
        <w:tc>
          <w:tcPr>
            <w:tcW w:w="4329" w:type="dxa"/>
          </w:tcPr>
          <w:p w14:paraId="1D20E7CF"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14:paraId="1269B702"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3" w:type="dxa"/>
          </w:tcPr>
          <w:p w14:paraId="7C9E9426"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Como medios de producción agrícola y establece los procedimientos requeridos para</w:t>
            </w:r>
          </w:p>
        </w:tc>
      </w:tr>
      <w:tr w:rsidR="001C2EB7" w:rsidRPr="001C2EB7" w14:paraId="40378C31" w14:textId="77777777" w:rsidTr="001C2EB7">
        <w:tc>
          <w:tcPr>
            <w:tcW w:w="4329" w:type="dxa"/>
          </w:tcPr>
          <w:p w14:paraId="109C6A5F"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14:paraId="5BA97702"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3" w:type="dxa"/>
          </w:tcPr>
          <w:p w14:paraId="0F475FEC"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Su utilización económica, coopera con los centros de investigación agropecuaria</w:t>
            </w:r>
          </w:p>
        </w:tc>
      </w:tr>
      <w:tr w:rsidR="001C2EB7" w:rsidRPr="001C2EB7" w14:paraId="56DC044D" w14:textId="77777777" w:rsidTr="001C2EB7">
        <w:tc>
          <w:tcPr>
            <w:tcW w:w="4329" w:type="dxa"/>
            <w:tcBorders>
              <w:bottom w:val="double" w:sz="4" w:space="0" w:color="auto"/>
            </w:tcBorders>
          </w:tcPr>
          <w:p w14:paraId="2E0A1B21"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Borders>
              <w:bottom w:val="double" w:sz="4" w:space="0" w:color="auto"/>
            </w:tcBorders>
          </w:tcPr>
          <w:p w14:paraId="54BF86F8"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3" w:type="dxa"/>
            <w:tcBorders>
              <w:bottom w:val="double" w:sz="4" w:space="0" w:color="auto"/>
            </w:tcBorders>
          </w:tcPr>
          <w:p w14:paraId="52A9CAF5"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Involucrados en el conocimiento del medio biológico, físico, económico y social.</w:t>
            </w:r>
          </w:p>
        </w:tc>
      </w:tr>
      <w:tr w:rsidR="001C2EB7" w:rsidRPr="001C2EB7" w14:paraId="17FE7E05" w14:textId="77777777" w:rsidTr="001C2EB7">
        <w:tc>
          <w:tcPr>
            <w:tcW w:w="4329" w:type="dxa"/>
            <w:tcBorders>
              <w:top w:val="double" w:sz="4" w:space="0" w:color="auto"/>
              <w:left w:val="double" w:sz="4" w:space="0" w:color="auto"/>
              <w:bottom w:val="double" w:sz="4" w:space="0" w:color="auto"/>
              <w:right w:val="double" w:sz="4" w:space="0" w:color="auto"/>
            </w:tcBorders>
          </w:tcPr>
          <w:p w14:paraId="519DDC02"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Perfil Específico</w:t>
            </w:r>
          </w:p>
        </w:tc>
        <w:tc>
          <w:tcPr>
            <w:tcW w:w="4332" w:type="dxa"/>
            <w:tcBorders>
              <w:top w:val="double" w:sz="4" w:space="0" w:color="auto"/>
              <w:left w:val="double" w:sz="4" w:space="0" w:color="auto"/>
              <w:bottom w:val="double" w:sz="4" w:space="0" w:color="auto"/>
              <w:right w:val="double" w:sz="4" w:space="0" w:color="auto"/>
            </w:tcBorders>
          </w:tcPr>
          <w:p w14:paraId="300E10FE"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AGROBIOLOGÍA</w:t>
            </w:r>
          </w:p>
        </w:tc>
        <w:tc>
          <w:tcPr>
            <w:tcW w:w="4333" w:type="dxa"/>
            <w:tcBorders>
              <w:top w:val="double" w:sz="4" w:space="0" w:color="auto"/>
              <w:left w:val="double" w:sz="4" w:space="0" w:color="auto"/>
              <w:bottom w:val="double" w:sz="4" w:space="0" w:color="auto"/>
              <w:right w:val="double" w:sz="4" w:space="0" w:color="auto"/>
            </w:tcBorders>
          </w:tcPr>
          <w:p w14:paraId="26AEB911"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INSTITUTO TECNOLÓGICO DEL EDO DE JALISCO.</w:t>
            </w:r>
          </w:p>
        </w:tc>
      </w:tr>
      <w:tr w:rsidR="001C2EB7" w:rsidRPr="001C2EB7" w14:paraId="64E9E529" w14:textId="77777777" w:rsidTr="001C2EB7">
        <w:tc>
          <w:tcPr>
            <w:tcW w:w="4329" w:type="dxa"/>
            <w:tcBorders>
              <w:top w:val="double" w:sz="4" w:space="0" w:color="auto"/>
            </w:tcBorders>
          </w:tcPr>
          <w:p w14:paraId="19354C2D" w14:textId="77777777" w:rsidR="001C2EB7" w:rsidRPr="001C2EB7" w:rsidRDefault="001C2EB7" w:rsidP="001C2EB7">
            <w:pPr>
              <w:widowControl w:val="0"/>
              <w:autoSpaceDE w:val="0"/>
              <w:autoSpaceDN w:val="0"/>
              <w:adjustRightInd w:val="0"/>
              <w:jc w:val="both"/>
              <w:rPr>
                <w:rFonts w:ascii="Arial" w:hAnsi="Arial" w:cs="Arial"/>
                <w:b/>
                <w:sz w:val="22"/>
                <w:szCs w:val="22"/>
                <w:lang w:val="es-ES"/>
              </w:rPr>
            </w:pPr>
          </w:p>
        </w:tc>
        <w:tc>
          <w:tcPr>
            <w:tcW w:w="4332" w:type="dxa"/>
            <w:tcBorders>
              <w:top w:val="double" w:sz="4" w:space="0" w:color="auto"/>
            </w:tcBorders>
          </w:tcPr>
          <w:p w14:paraId="2CB82354"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 xml:space="preserve">Utilizar especies naturales como nuevas fuentes de </w:t>
            </w:r>
            <w:r w:rsidRPr="001C2EB7">
              <w:rPr>
                <w:rFonts w:ascii="Arial" w:hAnsi="Arial" w:cs="Arial"/>
                <w:sz w:val="22"/>
                <w:szCs w:val="22"/>
              </w:rPr>
              <w:lastRenderedPageBreak/>
              <w:t>explotación.</w:t>
            </w:r>
          </w:p>
        </w:tc>
        <w:tc>
          <w:tcPr>
            <w:tcW w:w="4333" w:type="dxa"/>
            <w:tcBorders>
              <w:top w:val="double" w:sz="4" w:space="0" w:color="auto"/>
            </w:tcBorders>
          </w:tcPr>
          <w:p w14:paraId="2F302436"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lastRenderedPageBreak/>
              <w:t xml:space="preserve">Manejar conocimientos actualizados e innovadores </w:t>
            </w:r>
            <w:r w:rsidRPr="001C2EB7">
              <w:rPr>
                <w:rFonts w:ascii="Arial" w:hAnsi="Arial" w:cs="Arial"/>
                <w:sz w:val="22"/>
                <w:szCs w:val="22"/>
              </w:rPr>
              <w:lastRenderedPageBreak/>
              <w:t>en diversas disciplinas.</w:t>
            </w:r>
          </w:p>
        </w:tc>
      </w:tr>
      <w:tr w:rsidR="001C2EB7" w:rsidRPr="001C2EB7" w14:paraId="63EFFDEB" w14:textId="77777777" w:rsidTr="001C2EB7">
        <w:tc>
          <w:tcPr>
            <w:tcW w:w="4329" w:type="dxa"/>
          </w:tcPr>
          <w:p w14:paraId="7C0942E9"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14:paraId="0A58EFDD"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De producir alimentos utilizando</w:t>
            </w:r>
          </w:p>
        </w:tc>
        <w:tc>
          <w:tcPr>
            <w:tcW w:w="4333" w:type="dxa"/>
          </w:tcPr>
          <w:p w14:paraId="10F6B7A5"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Aplicar la ingeniería de proyectos de planeación, ejecución, evaluación y control de programas para el desarrollo</w:t>
            </w:r>
          </w:p>
        </w:tc>
      </w:tr>
      <w:tr w:rsidR="001C2EB7" w:rsidRPr="001C2EB7" w14:paraId="76E58DF4" w14:textId="77777777" w:rsidTr="001C2EB7">
        <w:tc>
          <w:tcPr>
            <w:tcW w:w="4329" w:type="dxa"/>
          </w:tcPr>
          <w:p w14:paraId="08ED1D6E"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14:paraId="0B8EBE82"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Sistemas agrícolas alternativos.</w:t>
            </w:r>
          </w:p>
        </w:tc>
        <w:tc>
          <w:tcPr>
            <w:tcW w:w="4333" w:type="dxa"/>
          </w:tcPr>
          <w:p w14:paraId="7E2F47E1"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Productivo por los sectores públicos, social y privados</w:t>
            </w:r>
          </w:p>
        </w:tc>
      </w:tr>
      <w:tr w:rsidR="001C2EB7" w:rsidRPr="001C2EB7" w14:paraId="3B3DE1FE" w14:textId="77777777" w:rsidTr="001C2EB7">
        <w:tc>
          <w:tcPr>
            <w:tcW w:w="4329" w:type="dxa"/>
          </w:tcPr>
          <w:p w14:paraId="5F83B65C"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14:paraId="5AF7D6D7"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AGROECOLOGÍA</w:t>
            </w:r>
          </w:p>
        </w:tc>
        <w:tc>
          <w:tcPr>
            <w:tcW w:w="4333" w:type="dxa"/>
          </w:tcPr>
          <w:p w14:paraId="70F9D3C3" w14:textId="77777777" w:rsidR="001C2EB7" w:rsidRPr="001C2EB7" w:rsidRDefault="001C2EB7" w:rsidP="001C2EB7">
            <w:pPr>
              <w:widowControl w:val="0"/>
              <w:autoSpaceDE w:val="0"/>
              <w:autoSpaceDN w:val="0"/>
              <w:adjustRightInd w:val="0"/>
              <w:jc w:val="both"/>
              <w:rPr>
                <w:rFonts w:ascii="Arial" w:hAnsi="Arial" w:cs="Arial"/>
                <w:b/>
                <w:sz w:val="22"/>
                <w:szCs w:val="22"/>
              </w:rPr>
            </w:pPr>
          </w:p>
        </w:tc>
      </w:tr>
      <w:tr w:rsidR="001C2EB7" w:rsidRPr="001C2EB7" w14:paraId="217ED47A" w14:textId="77777777" w:rsidTr="001C2EB7">
        <w:tc>
          <w:tcPr>
            <w:tcW w:w="4329" w:type="dxa"/>
          </w:tcPr>
          <w:p w14:paraId="50139461"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14:paraId="1A30358B"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Actuará con una actitud de respeto hacia la naturaleza como fuente inicial y última de proceso de sobrevivencia, reduciendo al</w:t>
            </w:r>
          </w:p>
        </w:tc>
        <w:tc>
          <w:tcPr>
            <w:tcW w:w="4333" w:type="dxa"/>
          </w:tcPr>
          <w:p w14:paraId="4682C2FA" w14:textId="77777777" w:rsidR="001C2EB7" w:rsidRPr="001C2EB7" w:rsidRDefault="001C2EB7" w:rsidP="001C2EB7">
            <w:pPr>
              <w:widowControl w:val="0"/>
              <w:autoSpaceDE w:val="0"/>
              <w:autoSpaceDN w:val="0"/>
              <w:adjustRightInd w:val="0"/>
              <w:jc w:val="both"/>
              <w:rPr>
                <w:rFonts w:ascii="Arial" w:hAnsi="Arial" w:cs="Arial"/>
                <w:b/>
                <w:sz w:val="22"/>
                <w:szCs w:val="22"/>
              </w:rPr>
            </w:pPr>
          </w:p>
        </w:tc>
      </w:tr>
      <w:tr w:rsidR="001C2EB7" w:rsidRPr="001C2EB7" w14:paraId="624FF702" w14:textId="77777777" w:rsidTr="001C2EB7">
        <w:tc>
          <w:tcPr>
            <w:tcW w:w="4329" w:type="dxa"/>
            <w:tcBorders>
              <w:bottom w:val="double" w:sz="4" w:space="0" w:color="auto"/>
            </w:tcBorders>
          </w:tcPr>
          <w:p w14:paraId="19AA1621"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Borders>
              <w:bottom w:val="double" w:sz="4" w:space="0" w:color="auto"/>
            </w:tcBorders>
          </w:tcPr>
          <w:p w14:paraId="2D1FA03E"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Mínimo los impactos ambientales en el manejo productivo de los agroecosistemas.</w:t>
            </w:r>
          </w:p>
        </w:tc>
        <w:tc>
          <w:tcPr>
            <w:tcW w:w="4333" w:type="dxa"/>
            <w:tcBorders>
              <w:bottom w:val="double" w:sz="4" w:space="0" w:color="auto"/>
            </w:tcBorders>
          </w:tcPr>
          <w:p w14:paraId="31534377" w14:textId="77777777" w:rsidR="001C2EB7" w:rsidRPr="001C2EB7" w:rsidRDefault="001C2EB7" w:rsidP="001C2EB7">
            <w:pPr>
              <w:widowControl w:val="0"/>
              <w:autoSpaceDE w:val="0"/>
              <w:autoSpaceDN w:val="0"/>
              <w:adjustRightInd w:val="0"/>
              <w:jc w:val="both"/>
              <w:rPr>
                <w:rFonts w:ascii="Arial" w:hAnsi="Arial" w:cs="Arial"/>
                <w:b/>
                <w:sz w:val="22"/>
                <w:szCs w:val="22"/>
              </w:rPr>
            </w:pPr>
          </w:p>
        </w:tc>
      </w:tr>
      <w:tr w:rsidR="001C2EB7" w:rsidRPr="001C2EB7" w14:paraId="5D116839" w14:textId="77777777" w:rsidTr="001C2EB7">
        <w:tc>
          <w:tcPr>
            <w:tcW w:w="4329" w:type="dxa"/>
            <w:tcBorders>
              <w:top w:val="double" w:sz="4" w:space="0" w:color="auto"/>
              <w:left w:val="double" w:sz="4" w:space="0" w:color="auto"/>
              <w:bottom w:val="double" w:sz="4" w:space="0" w:color="auto"/>
              <w:right w:val="double" w:sz="4" w:space="0" w:color="auto"/>
            </w:tcBorders>
          </w:tcPr>
          <w:p w14:paraId="30C3EC35"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Plan de Estudios</w:t>
            </w:r>
          </w:p>
        </w:tc>
        <w:tc>
          <w:tcPr>
            <w:tcW w:w="4332" w:type="dxa"/>
            <w:tcBorders>
              <w:top w:val="double" w:sz="4" w:space="0" w:color="auto"/>
              <w:left w:val="double" w:sz="4" w:space="0" w:color="auto"/>
              <w:bottom w:val="double" w:sz="4" w:space="0" w:color="auto"/>
              <w:right w:val="double" w:sz="4" w:space="0" w:color="auto"/>
            </w:tcBorders>
          </w:tcPr>
          <w:p w14:paraId="674976FB"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AGROBIOLOGÍA</w:t>
            </w:r>
          </w:p>
        </w:tc>
        <w:tc>
          <w:tcPr>
            <w:tcW w:w="4333" w:type="dxa"/>
            <w:tcBorders>
              <w:top w:val="double" w:sz="4" w:space="0" w:color="auto"/>
              <w:left w:val="double" w:sz="4" w:space="0" w:color="auto"/>
              <w:bottom w:val="double" w:sz="4" w:space="0" w:color="auto"/>
              <w:right w:val="double" w:sz="4" w:space="0" w:color="auto"/>
            </w:tcBorders>
          </w:tcPr>
          <w:p w14:paraId="08667133"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INSTITUTO TECNOLÓGICO AGROPECUARIO DEL EDO DE JALISCO</w:t>
            </w:r>
          </w:p>
        </w:tc>
      </w:tr>
      <w:tr w:rsidR="001C2EB7" w:rsidRPr="001C2EB7" w14:paraId="70CF5861" w14:textId="77777777" w:rsidTr="001C2EB7">
        <w:tc>
          <w:tcPr>
            <w:tcW w:w="4329" w:type="dxa"/>
            <w:tcBorders>
              <w:top w:val="double" w:sz="4" w:space="0" w:color="auto"/>
            </w:tcBorders>
          </w:tcPr>
          <w:p w14:paraId="7FD84378"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Borders>
              <w:top w:val="double" w:sz="4" w:space="0" w:color="auto"/>
            </w:tcBorders>
          </w:tcPr>
          <w:p w14:paraId="26A160F6"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Materias de traslape</w:t>
            </w:r>
          </w:p>
        </w:tc>
        <w:tc>
          <w:tcPr>
            <w:tcW w:w="4333" w:type="dxa"/>
            <w:tcBorders>
              <w:top w:val="double" w:sz="4" w:space="0" w:color="auto"/>
            </w:tcBorders>
          </w:tcPr>
          <w:p w14:paraId="18117557" w14:textId="77777777"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Materias de traslape</w:t>
            </w:r>
          </w:p>
        </w:tc>
      </w:tr>
      <w:tr w:rsidR="001C2EB7" w:rsidRPr="001C2EB7" w14:paraId="656E2540" w14:textId="77777777" w:rsidTr="001C2EB7">
        <w:tc>
          <w:tcPr>
            <w:tcW w:w="4329" w:type="dxa"/>
          </w:tcPr>
          <w:p w14:paraId="5D7E6FE8" w14:textId="77777777" w:rsidR="001C2EB7" w:rsidRPr="001C2EB7" w:rsidRDefault="001C2EB7" w:rsidP="001C2EB7">
            <w:pPr>
              <w:widowControl w:val="0"/>
              <w:autoSpaceDE w:val="0"/>
              <w:autoSpaceDN w:val="0"/>
              <w:adjustRightInd w:val="0"/>
              <w:jc w:val="both"/>
              <w:rPr>
                <w:rFonts w:ascii="Arial" w:hAnsi="Arial" w:cs="Arial"/>
                <w:bCs/>
                <w:sz w:val="22"/>
                <w:szCs w:val="22"/>
              </w:rPr>
            </w:pPr>
          </w:p>
        </w:tc>
        <w:tc>
          <w:tcPr>
            <w:tcW w:w="4332" w:type="dxa"/>
          </w:tcPr>
          <w:p w14:paraId="5697FC0F"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Agroecología</w:t>
            </w:r>
          </w:p>
        </w:tc>
        <w:tc>
          <w:tcPr>
            <w:tcW w:w="4333" w:type="dxa"/>
          </w:tcPr>
          <w:p w14:paraId="1FADB10E"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Bioquímica</w:t>
            </w:r>
          </w:p>
        </w:tc>
      </w:tr>
      <w:tr w:rsidR="001C2EB7" w:rsidRPr="001C2EB7" w14:paraId="3F835AD3" w14:textId="77777777" w:rsidTr="001C2EB7">
        <w:tc>
          <w:tcPr>
            <w:tcW w:w="4329" w:type="dxa"/>
          </w:tcPr>
          <w:p w14:paraId="4D97E6CF"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14:paraId="577E75E1"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Legislación ambiental</w:t>
            </w:r>
          </w:p>
        </w:tc>
        <w:tc>
          <w:tcPr>
            <w:tcW w:w="4333" w:type="dxa"/>
          </w:tcPr>
          <w:p w14:paraId="297D1B0C"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Botánica sistemática</w:t>
            </w:r>
          </w:p>
        </w:tc>
      </w:tr>
      <w:tr w:rsidR="001C2EB7" w:rsidRPr="001C2EB7" w14:paraId="369988AA" w14:textId="77777777" w:rsidTr="001C2EB7">
        <w:tc>
          <w:tcPr>
            <w:tcW w:w="4329" w:type="dxa"/>
          </w:tcPr>
          <w:p w14:paraId="2D4024B9" w14:textId="77777777"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14:paraId="10CD9F68"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Evaluación de impacto ambiental</w:t>
            </w:r>
          </w:p>
          <w:p w14:paraId="3B691639"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Biotecnología</w:t>
            </w:r>
          </w:p>
        </w:tc>
        <w:tc>
          <w:tcPr>
            <w:tcW w:w="4333" w:type="dxa"/>
          </w:tcPr>
          <w:p w14:paraId="49866073" w14:textId="77777777"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Fisiología vegetal</w:t>
            </w:r>
          </w:p>
          <w:p w14:paraId="432EEA27"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Genética</w:t>
            </w:r>
          </w:p>
          <w:p w14:paraId="79D9B3DB"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Formulación y evaluación de proyectos</w:t>
            </w:r>
          </w:p>
          <w:p w14:paraId="2FD5C2A9"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Agricultura orgánica</w:t>
            </w:r>
          </w:p>
        </w:tc>
      </w:tr>
      <w:tr w:rsidR="001C2EB7" w:rsidRPr="001C2EB7" w14:paraId="44E08A69" w14:textId="77777777" w:rsidTr="001C2EB7">
        <w:tc>
          <w:tcPr>
            <w:tcW w:w="4329" w:type="dxa"/>
          </w:tcPr>
          <w:p w14:paraId="3B1CAF3C" w14:textId="77777777" w:rsidR="001C2EB7" w:rsidRPr="001C2EB7" w:rsidRDefault="001C2EB7" w:rsidP="001C2EB7">
            <w:pPr>
              <w:widowControl w:val="0"/>
              <w:autoSpaceDE w:val="0"/>
              <w:autoSpaceDN w:val="0"/>
              <w:adjustRightInd w:val="0"/>
              <w:jc w:val="both"/>
              <w:rPr>
                <w:rFonts w:ascii="Arial" w:hAnsi="Arial" w:cs="Arial"/>
                <w:bCs/>
                <w:sz w:val="22"/>
                <w:szCs w:val="22"/>
              </w:rPr>
            </w:pPr>
          </w:p>
        </w:tc>
        <w:tc>
          <w:tcPr>
            <w:tcW w:w="4332" w:type="dxa"/>
          </w:tcPr>
          <w:p w14:paraId="567B6397" w14:textId="77777777" w:rsidR="001C2EB7" w:rsidRPr="001C2EB7" w:rsidRDefault="001C2EB7" w:rsidP="001C2EB7">
            <w:pPr>
              <w:widowControl w:val="0"/>
              <w:autoSpaceDE w:val="0"/>
              <w:autoSpaceDN w:val="0"/>
              <w:adjustRightInd w:val="0"/>
              <w:jc w:val="both"/>
              <w:rPr>
                <w:rFonts w:ascii="Arial" w:hAnsi="Arial" w:cs="Arial"/>
                <w:b/>
                <w:bCs/>
                <w:sz w:val="22"/>
                <w:szCs w:val="22"/>
              </w:rPr>
            </w:pPr>
            <w:r w:rsidRPr="001C2EB7">
              <w:rPr>
                <w:rFonts w:ascii="Arial" w:hAnsi="Arial" w:cs="Arial"/>
                <w:b/>
                <w:bCs/>
                <w:sz w:val="22"/>
                <w:szCs w:val="22"/>
              </w:rPr>
              <w:t>AGROECOLOGÍA</w:t>
            </w:r>
          </w:p>
          <w:p w14:paraId="56A88D0B" w14:textId="77777777" w:rsidR="001C2EB7" w:rsidRPr="001C2EB7" w:rsidRDefault="001C2EB7" w:rsidP="001C2EB7">
            <w:pPr>
              <w:widowControl w:val="0"/>
              <w:autoSpaceDE w:val="0"/>
              <w:autoSpaceDN w:val="0"/>
              <w:adjustRightInd w:val="0"/>
              <w:jc w:val="both"/>
              <w:rPr>
                <w:rFonts w:ascii="Arial" w:hAnsi="Arial" w:cs="Arial"/>
                <w:b/>
                <w:bCs/>
                <w:sz w:val="22"/>
                <w:szCs w:val="22"/>
              </w:rPr>
            </w:pPr>
            <w:r w:rsidRPr="001C2EB7">
              <w:rPr>
                <w:rFonts w:ascii="Arial" w:hAnsi="Arial" w:cs="Arial"/>
                <w:b/>
                <w:bCs/>
                <w:sz w:val="22"/>
                <w:szCs w:val="22"/>
              </w:rPr>
              <w:t>Materias de traslape</w:t>
            </w:r>
          </w:p>
          <w:p w14:paraId="1B37BC22"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Agroecología</w:t>
            </w:r>
          </w:p>
          <w:p w14:paraId="443935B9"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Legislación ambiental</w:t>
            </w:r>
          </w:p>
          <w:p w14:paraId="61CEDE16"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Evaluación del impacto ambiental</w:t>
            </w:r>
          </w:p>
          <w:p w14:paraId="582AD0B3" w14:textId="77777777" w:rsidR="001C2EB7" w:rsidRPr="001C2EB7" w:rsidRDefault="001C2EB7" w:rsidP="001C2EB7">
            <w:pPr>
              <w:widowControl w:val="0"/>
              <w:autoSpaceDE w:val="0"/>
              <w:autoSpaceDN w:val="0"/>
              <w:adjustRightInd w:val="0"/>
              <w:jc w:val="both"/>
              <w:rPr>
                <w:rFonts w:ascii="Arial" w:hAnsi="Arial" w:cs="Arial"/>
                <w:b/>
                <w:bCs/>
                <w:sz w:val="22"/>
                <w:szCs w:val="22"/>
              </w:rPr>
            </w:pPr>
            <w:r w:rsidRPr="001C2EB7">
              <w:rPr>
                <w:rFonts w:ascii="Arial" w:hAnsi="Arial" w:cs="Arial"/>
                <w:bCs/>
                <w:sz w:val="22"/>
                <w:szCs w:val="22"/>
              </w:rPr>
              <w:lastRenderedPageBreak/>
              <w:t>Biotecnología</w:t>
            </w:r>
          </w:p>
        </w:tc>
        <w:tc>
          <w:tcPr>
            <w:tcW w:w="4333" w:type="dxa"/>
          </w:tcPr>
          <w:p w14:paraId="7D9553A4"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
                <w:bCs/>
                <w:sz w:val="22"/>
                <w:szCs w:val="22"/>
              </w:rPr>
              <w:lastRenderedPageBreak/>
              <w:t>FACULTAD DE AGROBIOLOGÍA, MICHOACÁN</w:t>
            </w:r>
            <w:r w:rsidRPr="001C2EB7">
              <w:rPr>
                <w:rFonts w:ascii="Arial" w:hAnsi="Arial" w:cs="Arial"/>
                <w:bCs/>
                <w:sz w:val="22"/>
                <w:szCs w:val="22"/>
              </w:rPr>
              <w:t>.</w:t>
            </w:r>
          </w:p>
          <w:p w14:paraId="64B6BB01"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Materias de traslape.</w:t>
            </w:r>
          </w:p>
          <w:p w14:paraId="5130FC17"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Botánica</w:t>
            </w:r>
          </w:p>
          <w:p w14:paraId="5F43D951"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Genética general</w:t>
            </w:r>
          </w:p>
          <w:p w14:paraId="48F4E5E5"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lastRenderedPageBreak/>
              <w:t>Matemáticas</w:t>
            </w:r>
          </w:p>
          <w:p w14:paraId="76246A7D"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Zoología general</w:t>
            </w:r>
          </w:p>
          <w:p w14:paraId="6E16379E"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Meteorología y climatología</w:t>
            </w:r>
          </w:p>
          <w:p w14:paraId="65608C20"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Bioquímica</w:t>
            </w:r>
          </w:p>
          <w:p w14:paraId="43EC9ED6"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Fisiología vegetal</w:t>
            </w:r>
          </w:p>
          <w:p w14:paraId="67965134"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Ecología</w:t>
            </w:r>
          </w:p>
          <w:p w14:paraId="0CB63373" w14:textId="77777777"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Botánica sistemática</w:t>
            </w:r>
          </w:p>
        </w:tc>
      </w:tr>
    </w:tbl>
    <w:p w14:paraId="68DBB56B" w14:textId="77777777" w:rsidR="00087A94" w:rsidRPr="007923C2" w:rsidRDefault="00087A94" w:rsidP="005E47E4">
      <w:pPr>
        <w:widowControl w:val="0"/>
        <w:autoSpaceDE w:val="0"/>
        <w:autoSpaceDN w:val="0"/>
        <w:adjustRightInd w:val="0"/>
        <w:jc w:val="both"/>
        <w:rPr>
          <w:rFonts w:ascii="Arial" w:hAnsi="Arial" w:cs="Arial"/>
          <w:sz w:val="22"/>
          <w:szCs w:val="22"/>
        </w:rPr>
      </w:pPr>
    </w:p>
    <w:p w14:paraId="31735A87" w14:textId="77777777" w:rsidR="00087A94" w:rsidRPr="007923C2" w:rsidRDefault="00B244FD" w:rsidP="005E47E4">
      <w:pPr>
        <w:widowControl w:val="0"/>
        <w:autoSpaceDE w:val="0"/>
        <w:autoSpaceDN w:val="0"/>
        <w:adjustRightInd w:val="0"/>
        <w:jc w:val="both"/>
        <w:rPr>
          <w:rFonts w:ascii="Arial" w:hAnsi="Arial" w:cs="Arial"/>
          <w:b/>
          <w:sz w:val="22"/>
          <w:szCs w:val="22"/>
        </w:rPr>
      </w:pPr>
      <w:r>
        <w:rPr>
          <w:rFonts w:ascii="Arial" w:hAnsi="Arial" w:cs="Arial"/>
          <w:b/>
          <w:sz w:val="22"/>
          <w:szCs w:val="22"/>
        </w:rPr>
        <w:t>5</w:t>
      </w:r>
      <w:r w:rsidR="007B54C8" w:rsidRPr="007923C2">
        <w:rPr>
          <w:rFonts w:ascii="Arial" w:hAnsi="Arial" w:cs="Arial"/>
          <w:b/>
          <w:sz w:val="22"/>
          <w:szCs w:val="22"/>
        </w:rPr>
        <w:t>.13.-PEDAGOGÍA Y DIDÁCTICA EN LA OPERACIÓN DE LOS PLANES DE ESTUDIO</w:t>
      </w:r>
    </w:p>
    <w:p w14:paraId="3164AA7D" w14:textId="77777777" w:rsidR="007B54C8" w:rsidRPr="007923C2" w:rsidRDefault="007B54C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profesores que imparten asignaturas en el Programa Docente IAB tienen formación especializada en un área del conocimiento como Licenciados, Ingenieros o con nivel de posgrado ya sea con maestria o doctorado, realmente una formación pedagógica, didáctica  no se tiene, se ha ido adquiriendo experiencia en el quehacer docente a través de los años y la experiencia adquirida.</w:t>
      </w:r>
    </w:p>
    <w:p w14:paraId="7DED3A49" w14:textId="77777777" w:rsidR="008B2446" w:rsidRPr="007923C2" w:rsidRDefault="007B54C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han ofrecido en algunas ocasiones cursos de formación pedagógica que no todos los profesores</w:t>
      </w:r>
      <w:r w:rsidR="008B2446" w:rsidRPr="007923C2">
        <w:rPr>
          <w:rFonts w:ascii="Arial" w:hAnsi="Arial" w:cs="Arial"/>
          <w:sz w:val="22"/>
          <w:szCs w:val="22"/>
        </w:rPr>
        <w:t xml:space="preserve"> los han tomado.</w:t>
      </w:r>
    </w:p>
    <w:p w14:paraId="10E205E9" w14:textId="77777777" w:rsidR="008B2446" w:rsidRPr="007923C2" w:rsidRDefault="008B244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experiencia en la docencia ha formado al profesor, la Institución requiere de ofrecer mayor capacitación a los profesores en ésta área y que el docente se de la oportunidad de tomarlos</w:t>
      </w:r>
    </w:p>
    <w:p w14:paraId="4A096F6B" w14:textId="77777777" w:rsidR="00087A94" w:rsidRPr="007923C2" w:rsidRDefault="008B244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Al comprometerse la Universidad en  tener programas de calidad debe dar más énfasis en este aspecto ya que el docente es el que lleva la mayor responsabilidad en presentar mejores resultados en el proceso enseñanza aprendizaje para la formación del estudiante.</w:t>
      </w:r>
    </w:p>
    <w:p w14:paraId="6704496A" w14:textId="77777777" w:rsidR="00566965" w:rsidRPr="007923C2" w:rsidRDefault="008B244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transmisión del conocimiento requiere de métodos didácticos para lograr un buen aprendizaje, no solo es repetir el conocimiento sino lograr que el alumno lo aprenda y aplique.</w:t>
      </w:r>
    </w:p>
    <w:p w14:paraId="2A8156C7"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3EEAE004"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 MÉTODOS DE ENSEÑANZA </w:t>
      </w:r>
    </w:p>
    <w:p w14:paraId="53A0DD7B"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MATERIAS DEL PLAN DE ESTUDIOS DEL PROGRAMA I.A.B. </w:t>
      </w:r>
    </w:p>
    <w:p w14:paraId="5D5DA454"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 Introducción a la ciencia del suelo </w:t>
      </w:r>
    </w:p>
    <w:p w14:paraId="6C7612E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08BF8FA5"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Técnicas de enseñanza </w:t>
      </w:r>
    </w:p>
    <w:p w14:paraId="37F6661D"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a. Deductivo</w:t>
      </w:r>
      <w:r w:rsidR="00225113">
        <w:rPr>
          <w:rFonts w:ascii="Arial" w:eastAsiaTheme="minorHAnsi" w:hAnsi="Arial" w:cs="Arial"/>
          <w:color w:val="000000"/>
          <w:sz w:val="22"/>
          <w:szCs w:val="22"/>
        </w:rPr>
        <w:t>-</w:t>
      </w:r>
      <w:r w:rsidRPr="007923C2">
        <w:rPr>
          <w:rFonts w:ascii="Arial" w:eastAsiaTheme="minorHAnsi" w:hAnsi="Arial" w:cs="Arial"/>
          <w:color w:val="000000"/>
          <w:sz w:val="22"/>
          <w:szCs w:val="22"/>
        </w:rPr>
        <w:t xml:space="preserve">  Exposición de preguntas </w:t>
      </w:r>
    </w:p>
    <w:p w14:paraId="02B830B8"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Inductivo </w:t>
      </w:r>
      <w:r w:rsidR="00225113">
        <w:rPr>
          <w:rFonts w:ascii="Arial" w:eastAsiaTheme="minorHAnsi" w:hAnsi="Arial" w:cs="Arial"/>
          <w:color w:val="000000"/>
          <w:sz w:val="22"/>
          <w:szCs w:val="22"/>
        </w:rPr>
        <w:t>-</w:t>
      </w:r>
      <w:r w:rsidRPr="007923C2">
        <w:rPr>
          <w:rFonts w:ascii="Arial" w:eastAsiaTheme="minorHAnsi" w:hAnsi="Arial" w:cs="Arial"/>
          <w:color w:val="000000"/>
          <w:sz w:val="22"/>
          <w:szCs w:val="22"/>
        </w:rPr>
        <w:t xml:space="preserve"> exposición en clase </w:t>
      </w:r>
    </w:p>
    <w:p w14:paraId="6F31AF93"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Análogo-comparativo </w:t>
      </w:r>
      <w:r w:rsidR="00225113">
        <w:rPr>
          <w:rFonts w:ascii="Arial" w:eastAsiaTheme="minorHAnsi" w:hAnsi="Arial" w:cs="Arial"/>
          <w:color w:val="000000"/>
          <w:sz w:val="22"/>
          <w:szCs w:val="22"/>
        </w:rPr>
        <w:t>-</w:t>
      </w:r>
      <w:r w:rsidRPr="007923C2">
        <w:rPr>
          <w:rFonts w:ascii="Arial" w:eastAsiaTheme="minorHAnsi" w:hAnsi="Arial" w:cs="Arial"/>
          <w:color w:val="000000"/>
          <w:sz w:val="22"/>
          <w:szCs w:val="22"/>
        </w:rPr>
        <w:t xml:space="preserve"> representaciones gráficas </w:t>
      </w:r>
    </w:p>
    <w:p w14:paraId="6029851A"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Simbólico </w:t>
      </w:r>
      <w:r w:rsidR="00225113">
        <w:rPr>
          <w:rFonts w:ascii="Arial" w:eastAsiaTheme="minorHAnsi" w:hAnsi="Arial" w:cs="Arial"/>
          <w:color w:val="000000"/>
          <w:sz w:val="22"/>
          <w:szCs w:val="22"/>
        </w:rPr>
        <w:t>-</w:t>
      </w:r>
      <w:r w:rsidRPr="007923C2">
        <w:rPr>
          <w:rFonts w:ascii="Arial" w:eastAsiaTheme="minorHAnsi" w:hAnsi="Arial" w:cs="Arial"/>
          <w:color w:val="000000"/>
          <w:sz w:val="22"/>
          <w:szCs w:val="22"/>
        </w:rPr>
        <w:t xml:space="preserve"> Objetivos reales </w:t>
      </w:r>
    </w:p>
    <w:p w14:paraId="33E41A2D"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Colectivo </w:t>
      </w:r>
      <w:r w:rsidR="00225113">
        <w:rPr>
          <w:rFonts w:ascii="Arial" w:eastAsiaTheme="minorHAnsi" w:hAnsi="Arial" w:cs="Arial"/>
          <w:color w:val="000000"/>
          <w:sz w:val="22"/>
          <w:szCs w:val="22"/>
        </w:rPr>
        <w:t>-</w:t>
      </w:r>
      <w:r w:rsidRPr="007923C2">
        <w:rPr>
          <w:rFonts w:ascii="Arial" w:eastAsiaTheme="minorHAnsi" w:hAnsi="Arial" w:cs="Arial"/>
          <w:color w:val="000000"/>
          <w:sz w:val="22"/>
          <w:szCs w:val="22"/>
        </w:rPr>
        <w:t xml:space="preserve"> Observación directa de la situación </w:t>
      </w:r>
    </w:p>
    <w:p w14:paraId="50CD011F"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63B0D4C2"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 Inglés I </w:t>
      </w:r>
    </w:p>
    <w:p w14:paraId="11DEEFCB"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Método ecléctico - es una adaptación de diversos métodos y técnicas que enfatizan las cinco habilidades del idioma: comprensión auditiva. </w:t>
      </w:r>
    </w:p>
    <w:p w14:paraId="30A20601"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Expresión oral, lectura, expresión escrita y habilidad del pensamiento. </w:t>
      </w:r>
    </w:p>
    <w:p w14:paraId="52CD243C"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22F403C4"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lastRenderedPageBreak/>
        <w:t xml:space="preserve">3. Química </w:t>
      </w:r>
    </w:p>
    <w:p w14:paraId="0641343F"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0E7E17A7"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Técnicas de enseñanza </w:t>
      </w:r>
    </w:p>
    <w:p w14:paraId="165E0F14"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del maestro y alumnos </w:t>
      </w:r>
    </w:p>
    <w:p w14:paraId="31752897"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Investigación bibliográficas </w:t>
      </w:r>
    </w:p>
    <w:p w14:paraId="76A2F6C7"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Ejercicios escritos </w:t>
      </w:r>
    </w:p>
    <w:p w14:paraId="64E22CE6"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Trabajos de laboratorio </w:t>
      </w:r>
    </w:p>
    <w:p w14:paraId="53E15017"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05CA68B6" w14:textId="77777777"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4. Biología </w:t>
      </w:r>
    </w:p>
    <w:p w14:paraId="411FC63D" w14:textId="77777777"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Técnicas de enseñanza </w:t>
      </w:r>
    </w:p>
    <w:p w14:paraId="7B04EDDE" w14:textId="77777777"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b. Exposición oral del maestr</w:t>
      </w:r>
      <w:r w:rsidR="00225113">
        <w:rPr>
          <w:rFonts w:ascii="Arial" w:eastAsiaTheme="minorHAnsi" w:hAnsi="Arial" w:cs="Arial"/>
          <w:color w:val="000000"/>
          <w:sz w:val="22"/>
          <w:szCs w:val="22"/>
        </w:rPr>
        <w:t>o</w:t>
      </w:r>
      <w:r w:rsidRPr="007923C2">
        <w:rPr>
          <w:rFonts w:ascii="Arial" w:eastAsiaTheme="minorHAnsi" w:hAnsi="Arial" w:cs="Arial"/>
          <w:color w:val="000000"/>
          <w:sz w:val="22"/>
          <w:szCs w:val="22"/>
        </w:rPr>
        <w:t xml:space="preserve"> y alumnos </w:t>
      </w:r>
    </w:p>
    <w:p w14:paraId="07266A71" w14:textId="77777777"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Investigación </w:t>
      </w:r>
    </w:p>
    <w:p w14:paraId="67CE3037" w14:textId="77777777"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Proceso de habilidad del pensamiento </w:t>
      </w:r>
    </w:p>
    <w:p w14:paraId="6C1C8C8A"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Prácticas de laboratorio </w:t>
      </w:r>
    </w:p>
    <w:p w14:paraId="1E486CD1"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5B8349F1" w14:textId="77777777" w:rsidR="00CF62FA" w:rsidRPr="00225113" w:rsidRDefault="00225113" w:rsidP="00225113">
      <w:pPr>
        <w:autoSpaceDE w:val="0"/>
        <w:autoSpaceDN w:val="0"/>
        <w:adjustRightInd w:val="0"/>
        <w:spacing w:after="21" w:line="240" w:lineRule="auto"/>
        <w:rPr>
          <w:rFonts w:ascii="Arial" w:eastAsiaTheme="minorHAnsi" w:hAnsi="Arial" w:cs="Arial"/>
          <w:color w:val="000000"/>
          <w:sz w:val="22"/>
          <w:szCs w:val="22"/>
        </w:rPr>
      </w:pPr>
      <w:r w:rsidRPr="00225113">
        <w:rPr>
          <w:rFonts w:ascii="Arial" w:eastAsiaTheme="minorHAnsi" w:hAnsi="Arial" w:cs="Arial"/>
          <w:color w:val="000000"/>
          <w:sz w:val="22"/>
          <w:szCs w:val="22"/>
        </w:rPr>
        <w:t>5.</w:t>
      </w:r>
      <w:r w:rsidR="00CF62FA" w:rsidRPr="00225113">
        <w:rPr>
          <w:rFonts w:ascii="Arial" w:eastAsiaTheme="minorHAnsi" w:hAnsi="Arial" w:cs="Arial"/>
          <w:color w:val="000000"/>
          <w:sz w:val="22"/>
          <w:szCs w:val="22"/>
        </w:rPr>
        <w:t xml:space="preserve">Cálculo Diferencial e Integral </w:t>
      </w:r>
    </w:p>
    <w:p w14:paraId="56B88F58" w14:textId="77777777" w:rsidR="00225113" w:rsidRPr="00225113" w:rsidRDefault="00225113" w:rsidP="00225113">
      <w:pPr>
        <w:rPr>
          <w:rFonts w:eastAsiaTheme="minorHAnsi"/>
        </w:rPr>
      </w:pPr>
    </w:p>
    <w:p w14:paraId="01601949" w14:textId="77777777"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Elaboración de tareas </w:t>
      </w:r>
    </w:p>
    <w:p w14:paraId="5EB6B1BA" w14:textId="77777777"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Comparación de temas y análisis en libros </w:t>
      </w:r>
    </w:p>
    <w:p w14:paraId="21CD0CDB" w14:textId="77777777" w:rsidR="00225113"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c. Asesorías</w:t>
      </w:r>
    </w:p>
    <w:p w14:paraId="5272FC28" w14:textId="77777777"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p>
    <w:p w14:paraId="20407921" w14:textId="77777777" w:rsidR="00CF62FA"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6. Física </w:t>
      </w:r>
    </w:p>
    <w:p w14:paraId="64739E5C" w14:textId="77777777" w:rsidR="00225113" w:rsidRPr="007923C2" w:rsidRDefault="00225113" w:rsidP="00CF62FA">
      <w:pPr>
        <w:autoSpaceDE w:val="0"/>
        <w:autoSpaceDN w:val="0"/>
        <w:adjustRightInd w:val="0"/>
        <w:spacing w:after="21" w:line="240" w:lineRule="auto"/>
        <w:rPr>
          <w:rFonts w:ascii="Arial" w:eastAsiaTheme="minorHAnsi" w:hAnsi="Arial" w:cs="Arial"/>
          <w:color w:val="000000"/>
          <w:sz w:val="22"/>
          <w:szCs w:val="22"/>
        </w:rPr>
      </w:pPr>
    </w:p>
    <w:p w14:paraId="428F122D" w14:textId="77777777"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14:paraId="05B931A0" w14:textId="77777777"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Solución de problemas </w:t>
      </w:r>
    </w:p>
    <w:p w14:paraId="2CB18278" w14:textId="77777777"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Trabajo extra clases </w:t>
      </w:r>
    </w:p>
    <w:p w14:paraId="30E70A0A" w14:textId="77777777"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Discusión </w:t>
      </w:r>
    </w:p>
    <w:p w14:paraId="2A78F04F"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Casos especiales </w:t>
      </w:r>
    </w:p>
    <w:p w14:paraId="7CA7D5E5"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4DC5B22B"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7. Bioquímica </w:t>
      </w:r>
    </w:p>
    <w:p w14:paraId="3450FEC1"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2249F181"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Técnica de enseñanza </w:t>
      </w:r>
    </w:p>
    <w:p w14:paraId="09C2AEF8"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del profesor </w:t>
      </w:r>
    </w:p>
    <w:p w14:paraId="0CBF100D"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Planteamiento y solución de problemas </w:t>
      </w:r>
    </w:p>
    <w:p w14:paraId="18D77FCB"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Investigación bibliográfica </w:t>
      </w:r>
    </w:p>
    <w:p w14:paraId="1E4E43A6"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Ejercicios escritos </w:t>
      </w:r>
    </w:p>
    <w:p w14:paraId="3B85F3EC"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e. Prácticas de laboratorio</w:t>
      </w:r>
    </w:p>
    <w:p w14:paraId="1CEB7C8E"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8. Botánica I </w:t>
      </w:r>
    </w:p>
    <w:p w14:paraId="1116029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46D4A3F"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3FC616FF"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del profesor </w:t>
      </w:r>
    </w:p>
    <w:p w14:paraId="2D6D12C0"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Práctica de laboratorio </w:t>
      </w:r>
    </w:p>
    <w:p w14:paraId="4C75089F"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40D8906E"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9. Botánica II </w:t>
      </w:r>
    </w:p>
    <w:p w14:paraId="4F29AF8A"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0D402A56"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71A4D99D"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del profesor </w:t>
      </w:r>
    </w:p>
    <w:p w14:paraId="5C3D5AF6"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Investigación bibliográfica </w:t>
      </w:r>
    </w:p>
    <w:p w14:paraId="38D7842E"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lastRenderedPageBreak/>
        <w:t xml:space="preserve">c. Práctica de laboratorio </w:t>
      </w:r>
    </w:p>
    <w:p w14:paraId="3EF6B95E"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Práctica de campo </w:t>
      </w:r>
    </w:p>
    <w:p w14:paraId="1A323121"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2937AA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10. Ecología I </w:t>
      </w:r>
    </w:p>
    <w:p w14:paraId="3ED462CE"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74DF5D6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380E9607"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del profesor </w:t>
      </w:r>
    </w:p>
    <w:p w14:paraId="229E5626"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Práctica de laboratorio </w:t>
      </w:r>
    </w:p>
    <w:p w14:paraId="2F5BADD9"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6B292097"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11. Genética </w:t>
      </w:r>
    </w:p>
    <w:p w14:paraId="23D43AFE"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FE7D8C0"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Procedimiento de enseñanza </w:t>
      </w:r>
    </w:p>
    <w:p w14:paraId="1C72F340"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Presentación oral </w:t>
      </w:r>
    </w:p>
    <w:p w14:paraId="00EAAC41"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Discusión dirigida </w:t>
      </w:r>
    </w:p>
    <w:p w14:paraId="45DEF076"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Simulación de casos especiales de genética </w:t>
      </w:r>
    </w:p>
    <w:p w14:paraId="14BBB736"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Solución de problemas prácticos </w:t>
      </w:r>
    </w:p>
    <w:p w14:paraId="0070577B"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Prácticas de laboratorio </w:t>
      </w:r>
    </w:p>
    <w:p w14:paraId="70D8BA6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4573445A"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12. Zoología </w:t>
      </w:r>
    </w:p>
    <w:p w14:paraId="721214B9"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3AB1E9DB"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Procedimiento de enseñanza </w:t>
      </w:r>
    </w:p>
    <w:p w14:paraId="566538B8"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14:paraId="043DD399"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Discusión dirigida </w:t>
      </w:r>
    </w:p>
    <w:p w14:paraId="52EB4582"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Prácticas de laboratorio </w:t>
      </w:r>
    </w:p>
    <w:p w14:paraId="26D67D85"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Visita a museos </w:t>
      </w:r>
    </w:p>
    <w:p w14:paraId="0D9A235F"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6D4BB4FF"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13. Diseños experimentales </w:t>
      </w:r>
    </w:p>
    <w:p w14:paraId="0C6B9167"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5B5CC26"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Procedimiento de enseñanza </w:t>
      </w:r>
    </w:p>
    <w:p w14:paraId="7A659C54"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Presentación oral </w:t>
      </w:r>
    </w:p>
    <w:p w14:paraId="272B2A25"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Discusión dirigida </w:t>
      </w:r>
    </w:p>
    <w:p w14:paraId="3DFC890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Aplicación de casos prácticos </w:t>
      </w:r>
    </w:p>
    <w:p w14:paraId="1C20FB14"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384CF094"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14. Entomología </w:t>
      </w:r>
    </w:p>
    <w:p w14:paraId="7AB62E16"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3A12F768"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Métodos de enseñanza </w:t>
      </w:r>
    </w:p>
    <w:p w14:paraId="04AA1C8A"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abierta </w:t>
      </w:r>
    </w:p>
    <w:p w14:paraId="0D157FC0"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Exposición doble interrogatorio </w:t>
      </w:r>
    </w:p>
    <w:p w14:paraId="0CD2A346"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Trabajos de laboratorio </w:t>
      </w:r>
    </w:p>
    <w:p w14:paraId="07CE6297"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Trabajos individuales </w:t>
      </w:r>
    </w:p>
    <w:p w14:paraId="13A8EA2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522B0BCB"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15. Anatomía e Histología Vegetal </w:t>
      </w:r>
    </w:p>
    <w:p w14:paraId="587044BC"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6609BFE7"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1F13F86E"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14:paraId="5C2E62EF"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Discusión de lecturas complementarias </w:t>
      </w:r>
    </w:p>
    <w:p w14:paraId="7A9655E5"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Consultas de temas </w:t>
      </w:r>
    </w:p>
    <w:p w14:paraId="746A21AF"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Prácticas de laboratorio </w:t>
      </w:r>
    </w:p>
    <w:p w14:paraId="269B1B34"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16. Ecología II </w:t>
      </w:r>
    </w:p>
    <w:p w14:paraId="276F71A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79672239"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0498E4C3"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14:paraId="788CD0A6"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Trabajo en equipo </w:t>
      </w:r>
    </w:p>
    <w:p w14:paraId="4D2D58E7"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Investigación bibliográfica individual </w:t>
      </w:r>
    </w:p>
    <w:p w14:paraId="5FB885A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Participación individual </w:t>
      </w:r>
    </w:p>
    <w:p w14:paraId="44EB916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C354E45"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17. Fisiología Vegetal </w:t>
      </w:r>
    </w:p>
    <w:p w14:paraId="44087599"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39441D5"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39AE344A" w14:textId="77777777"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14:paraId="6B18BF4A" w14:textId="77777777"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Investigación </w:t>
      </w:r>
    </w:p>
    <w:p w14:paraId="2F6F73DE"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Prácticas de laboratorio </w:t>
      </w:r>
    </w:p>
    <w:p w14:paraId="61BCDA65"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25135139"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18. Ecofisiología </w:t>
      </w:r>
    </w:p>
    <w:p w14:paraId="711FCD3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6C100108"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3D047223"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14:paraId="6E9B87A5"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Análisis y discusión del tema </w:t>
      </w:r>
    </w:p>
    <w:p w14:paraId="5FAFCA76"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Experimentación en el laboratorio, campo y de invernadero. </w:t>
      </w:r>
    </w:p>
    <w:p w14:paraId="75F70514"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Análisis e interpretación de resultados </w:t>
      </w:r>
    </w:p>
    <w:p w14:paraId="208AC5E8"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06D70FA7"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19. Etnoecología </w:t>
      </w:r>
    </w:p>
    <w:p w14:paraId="03804041"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6A2DB52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768ACA0A"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14:paraId="4575E907"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Presentación de tema por el alumno </w:t>
      </w:r>
    </w:p>
    <w:p w14:paraId="57799413"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Discusion de tema </w:t>
      </w:r>
    </w:p>
    <w:p w14:paraId="6E327145"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Consultas </w:t>
      </w:r>
    </w:p>
    <w:p w14:paraId="2030522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78CBDC1B"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20. Economía General </w:t>
      </w:r>
    </w:p>
    <w:p w14:paraId="3FC7FE61"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7676B1C4"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428EA6F0"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y preguntas </w:t>
      </w:r>
    </w:p>
    <w:p w14:paraId="75A70D0A"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Ejercicios </w:t>
      </w:r>
    </w:p>
    <w:p w14:paraId="24AC4041"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Consultas de temas </w:t>
      </w:r>
    </w:p>
    <w:p w14:paraId="7F29CEC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Exposición de tema por el alumno </w:t>
      </w:r>
    </w:p>
    <w:p w14:paraId="01EDDDD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D635FCA"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21. Biología de la reproducción </w:t>
      </w:r>
    </w:p>
    <w:p w14:paraId="085E7918"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2B58346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71DE62F3"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Participación del alumno </w:t>
      </w:r>
    </w:p>
    <w:p w14:paraId="7B86EBD3"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Exposición oral </w:t>
      </w:r>
    </w:p>
    <w:p w14:paraId="0211FF0F"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Investigación y análisis del conocimiento </w:t>
      </w:r>
    </w:p>
    <w:p w14:paraId="07728A3D"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Prácticas de laboratorio </w:t>
      </w:r>
    </w:p>
    <w:p w14:paraId="502E0AF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Experiencias prácticas </w:t>
      </w:r>
    </w:p>
    <w:p w14:paraId="1166CD0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2FD38DE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22. Manejo integrado de plagas </w:t>
      </w:r>
    </w:p>
    <w:p w14:paraId="61F6EDDE"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59104486"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lastRenderedPageBreak/>
        <w:t xml:space="preserve">Método de enseñanza </w:t>
      </w:r>
    </w:p>
    <w:p w14:paraId="6021B194"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14:paraId="07A65FFF"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Exposición del alumno </w:t>
      </w:r>
    </w:p>
    <w:p w14:paraId="14BD7C53"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Discusión de temas </w:t>
      </w:r>
    </w:p>
    <w:p w14:paraId="445748F4"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Preguntas dirigidas </w:t>
      </w:r>
    </w:p>
    <w:p w14:paraId="63969972"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e. Formulación de ca</w:t>
      </w:r>
      <w:r w:rsidR="00520C21">
        <w:rPr>
          <w:rFonts w:ascii="Arial" w:eastAsiaTheme="minorHAnsi" w:hAnsi="Arial" w:cs="Arial"/>
          <w:color w:val="000000"/>
          <w:sz w:val="22"/>
          <w:szCs w:val="22"/>
        </w:rPr>
        <w:t>s</w:t>
      </w:r>
      <w:r w:rsidRPr="007923C2">
        <w:rPr>
          <w:rFonts w:ascii="Arial" w:eastAsiaTheme="minorHAnsi" w:hAnsi="Arial" w:cs="Arial"/>
          <w:color w:val="000000"/>
          <w:sz w:val="22"/>
          <w:szCs w:val="22"/>
        </w:rPr>
        <w:t xml:space="preserve">os específicos </w:t>
      </w:r>
    </w:p>
    <w:p w14:paraId="23899E55"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f. Investigación bibliográfica </w:t>
      </w:r>
    </w:p>
    <w:p w14:paraId="718BD647"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g. Práctica de laboratorio </w:t>
      </w:r>
    </w:p>
    <w:p w14:paraId="1CA852DD" w14:textId="77777777" w:rsidR="00315350"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h. Visita a campo</w:t>
      </w:r>
    </w:p>
    <w:p w14:paraId="007F9F83" w14:textId="77777777" w:rsidR="00520C21" w:rsidRPr="007923C2" w:rsidRDefault="00520C21" w:rsidP="00CF62FA">
      <w:pPr>
        <w:autoSpaceDE w:val="0"/>
        <w:autoSpaceDN w:val="0"/>
        <w:adjustRightInd w:val="0"/>
        <w:spacing w:after="0" w:line="240" w:lineRule="auto"/>
        <w:rPr>
          <w:rFonts w:ascii="Arial" w:eastAsiaTheme="minorHAnsi" w:hAnsi="Arial" w:cs="Arial"/>
          <w:color w:val="000000"/>
          <w:sz w:val="22"/>
          <w:szCs w:val="22"/>
        </w:rPr>
      </w:pPr>
    </w:p>
    <w:p w14:paraId="3B17130C"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23. Formulación y Evaluación de proyectos </w:t>
      </w:r>
    </w:p>
    <w:p w14:paraId="7F427E8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34FC540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4F2FCAA2"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del maestro </w:t>
      </w:r>
    </w:p>
    <w:p w14:paraId="777D96FE"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Exposición de temas por el alumno </w:t>
      </w:r>
    </w:p>
    <w:p w14:paraId="28168EED"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Discusión dirigida </w:t>
      </w:r>
    </w:p>
    <w:p w14:paraId="0475EF4C"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Simulación de casos </w:t>
      </w:r>
    </w:p>
    <w:p w14:paraId="3B69D7E1"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Proyecto </w:t>
      </w:r>
    </w:p>
    <w:p w14:paraId="668B9F17"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f. Conferencia </w:t>
      </w:r>
    </w:p>
    <w:p w14:paraId="156312B8"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4D1DCC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24. Evolución orgánica </w:t>
      </w:r>
    </w:p>
    <w:p w14:paraId="520ED5FE"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E34511C"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58185EDC"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Presentación oral </w:t>
      </w:r>
    </w:p>
    <w:p w14:paraId="39FC06E6"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Participación del alumno en la presentación de temas </w:t>
      </w:r>
    </w:p>
    <w:p w14:paraId="14A16B64"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Análisis y discusión de cada tema. </w:t>
      </w:r>
    </w:p>
    <w:p w14:paraId="0FA199E6"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4599B35E"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25. Evaluación de impacto ambiental </w:t>
      </w:r>
    </w:p>
    <w:p w14:paraId="3482FA6F"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FCE53A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496B497D"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Consultas bibliográficas </w:t>
      </w:r>
    </w:p>
    <w:p w14:paraId="33EF1FDF"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Exposición oral del maestro y alumno </w:t>
      </w:r>
    </w:p>
    <w:p w14:paraId="77A67138"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Discusión de lecturas de artículos, periódicos y separatas de libros. </w:t>
      </w:r>
    </w:p>
    <w:p w14:paraId="47526EEC"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Discusión de estudios de observación realizados en prácticas </w:t>
      </w:r>
    </w:p>
    <w:p w14:paraId="40763E0F"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33795A0"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26. Ingeniería genética </w:t>
      </w:r>
    </w:p>
    <w:p w14:paraId="5673DC3D"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35D4E415"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433EBDE4"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Expositivo mixto </w:t>
      </w:r>
    </w:p>
    <w:p w14:paraId="59079983"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Lectura dirigida </w:t>
      </w:r>
    </w:p>
    <w:p w14:paraId="13990D96"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Exposición alumnos </w:t>
      </w:r>
    </w:p>
    <w:p w14:paraId="71AAE28B"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Trabajos de laboratorio </w:t>
      </w:r>
    </w:p>
    <w:p w14:paraId="43C1F165"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Experimentación Técnica de Phillips </w:t>
      </w:r>
    </w:p>
    <w:p w14:paraId="0256961F"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4EC9E25A"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27. Biodiversidad </w:t>
      </w:r>
    </w:p>
    <w:p w14:paraId="31FD6E4A"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627CE45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6C501D04"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Presentación oral </w:t>
      </w:r>
    </w:p>
    <w:p w14:paraId="58760CA0"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Lectura dirigida </w:t>
      </w:r>
    </w:p>
    <w:p w14:paraId="43CF3ECD"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lastRenderedPageBreak/>
        <w:t xml:space="preserve">c. Discusión dirigida </w:t>
      </w:r>
    </w:p>
    <w:p w14:paraId="00A90ECD"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Estudios independientes </w:t>
      </w:r>
    </w:p>
    <w:p w14:paraId="70A97728"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Investigación </w:t>
      </w:r>
    </w:p>
    <w:p w14:paraId="304D2B93"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B8D76F4"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28. Biología de zonas áridas </w:t>
      </w:r>
    </w:p>
    <w:p w14:paraId="1D192C3C"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69C2B91C"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6E4453AA"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Presentación oral </w:t>
      </w:r>
    </w:p>
    <w:p w14:paraId="4E4AA18F"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Solución de problemas </w:t>
      </w:r>
    </w:p>
    <w:p w14:paraId="2024CE15"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Lectura dirigida </w:t>
      </w:r>
    </w:p>
    <w:p w14:paraId="3F02BB05"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Discusión dirigida </w:t>
      </w:r>
    </w:p>
    <w:p w14:paraId="66CD7BEA"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Estudios de casos </w:t>
      </w:r>
    </w:p>
    <w:p w14:paraId="7417BCB0" w14:textId="77777777" w:rsidR="002F3D76"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f. Prácticas de campo</w:t>
      </w:r>
    </w:p>
    <w:p w14:paraId="4DAE8F5E" w14:textId="77777777" w:rsidR="00520C21" w:rsidRPr="007923C2" w:rsidRDefault="00520C21" w:rsidP="00CF62FA">
      <w:pPr>
        <w:autoSpaceDE w:val="0"/>
        <w:autoSpaceDN w:val="0"/>
        <w:adjustRightInd w:val="0"/>
        <w:spacing w:after="0" w:line="240" w:lineRule="auto"/>
        <w:rPr>
          <w:rFonts w:ascii="Arial" w:eastAsiaTheme="minorHAnsi" w:hAnsi="Arial" w:cs="Arial"/>
          <w:color w:val="000000"/>
          <w:sz w:val="22"/>
          <w:szCs w:val="22"/>
        </w:rPr>
      </w:pPr>
    </w:p>
    <w:p w14:paraId="3CBEE47D"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29. Taller de investigación II </w:t>
      </w:r>
    </w:p>
    <w:p w14:paraId="02505300"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5E8CD455"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5BBA9699"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maestro, alumno </w:t>
      </w:r>
    </w:p>
    <w:p w14:paraId="203054A2"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Análisis y discusión sobre la estructura de una tesis y artículos científicos </w:t>
      </w:r>
    </w:p>
    <w:p w14:paraId="792B97A6" w14:textId="77777777"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Consulta bibliográfica </w:t>
      </w:r>
    </w:p>
    <w:p w14:paraId="1865C27A"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Discusión en grupo </w:t>
      </w:r>
    </w:p>
    <w:p w14:paraId="12E28FE0"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18B637C7"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30. Arquitectura del paisaje </w:t>
      </w:r>
    </w:p>
    <w:p w14:paraId="21869800"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4381EF26"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6AC052A7" w14:textId="77777777"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14:paraId="6F2FC64E" w14:textId="77777777"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Prácticas </w:t>
      </w:r>
    </w:p>
    <w:p w14:paraId="16D77EEC" w14:textId="77777777"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Ejercicios de percepción </w:t>
      </w:r>
    </w:p>
    <w:p w14:paraId="642CDC74" w14:textId="77777777"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Ejercicios dinámicos entre el grupo </w:t>
      </w:r>
    </w:p>
    <w:p w14:paraId="28123B3D" w14:textId="77777777"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Simulación de casos </w:t>
      </w:r>
    </w:p>
    <w:p w14:paraId="5E77589E"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f. Discusión dirigida </w:t>
      </w:r>
    </w:p>
    <w:p w14:paraId="238F8DDA"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55419F9D"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31. Toxicología ambiental </w:t>
      </w:r>
    </w:p>
    <w:p w14:paraId="51952572"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14:paraId="61CA7754"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14:paraId="2F50C774"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Presentación oral </w:t>
      </w:r>
    </w:p>
    <w:p w14:paraId="4900833C"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Solución de problemas </w:t>
      </w:r>
    </w:p>
    <w:p w14:paraId="33B76353"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c. Estudio de ca</w:t>
      </w:r>
      <w:r w:rsidR="00520C21">
        <w:rPr>
          <w:rFonts w:ascii="Arial" w:eastAsiaTheme="minorHAnsi" w:hAnsi="Arial" w:cs="Arial"/>
          <w:color w:val="000000"/>
          <w:sz w:val="22"/>
          <w:szCs w:val="22"/>
        </w:rPr>
        <w:t>s</w:t>
      </w:r>
      <w:r w:rsidRPr="007923C2">
        <w:rPr>
          <w:rFonts w:ascii="Arial" w:eastAsiaTheme="minorHAnsi" w:hAnsi="Arial" w:cs="Arial"/>
          <w:color w:val="000000"/>
          <w:sz w:val="22"/>
          <w:szCs w:val="22"/>
        </w:rPr>
        <w:t xml:space="preserve">os </w:t>
      </w:r>
    </w:p>
    <w:p w14:paraId="1D6A286B"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Consultas alumnos </w:t>
      </w:r>
    </w:p>
    <w:p w14:paraId="0C9D4C5E" w14:textId="77777777"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Discusión de tareas </w:t>
      </w:r>
    </w:p>
    <w:p w14:paraId="09876E2B" w14:textId="77777777"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f. Prácticas </w:t>
      </w:r>
    </w:p>
    <w:p w14:paraId="2B9A2E0E" w14:textId="77777777" w:rsidR="00CF62FA" w:rsidRPr="007923C2" w:rsidRDefault="00CF62FA" w:rsidP="005E47E4">
      <w:pPr>
        <w:widowControl w:val="0"/>
        <w:autoSpaceDE w:val="0"/>
        <w:autoSpaceDN w:val="0"/>
        <w:adjustRightInd w:val="0"/>
        <w:jc w:val="both"/>
        <w:rPr>
          <w:rFonts w:ascii="Arial" w:hAnsi="Arial" w:cs="Arial"/>
          <w:sz w:val="22"/>
          <w:szCs w:val="22"/>
        </w:rPr>
      </w:pPr>
    </w:p>
    <w:p w14:paraId="54E59F09" w14:textId="77777777" w:rsidR="006E7B69" w:rsidRPr="007923C2" w:rsidRDefault="00315350"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5.14.-MATERIALES Y MEDIOS DE ENSEÑANZA</w:t>
      </w:r>
    </w:p>
    <w:p w14:paraId="0812EED8" w14:textId="77777777" w:rsidR="000C3E54" w:rsidRPr="007923C2" w:rsidRDefault="000C3E5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 Universidad se cuenta con aulas que tienen pizarrón y pintarrón, que tradicionalmente utiliza el docente para impartir su clase.</w:t>
      </w:r>
    </w:p>
    <w:p w14:paraId="59618E63" w14:textId="77777777" w:rsidR="000C3E54" w:rsidRPr="007923C2" w:rsidRDefault="000C3E5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tienen aulas interactivas que ocasionalmente las utilizan los profesores para hacer mas interesantes las clases.</w:t>
      </w:r>
    </w:p>
    <w:p w14:paraId="0EA05578" w14:textId="77777777" w:rsidR="000C3E54" w:rsidRPr="007923C2" w:rsidRDefault="000C3E5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En la actualidad y debido al avance de los medios de comunicación el uso del cañón se ha convertido en una herramienta indispensable ya que el internet ofrece amplia información para impartir los cursos.</w:t>
      </w:r>
    </w:p>
    <w:p w14:paraId="37FB867B" w14:textId="77777777" w:rsidR="0048102D" w:rsidRPr="007923C2" w:rsidRDefault="000C3E5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Universidad se ha preocupado </w:t>
      </w:r>
      <w:r w:rsidR="0048102D" w:rsidRPr="007923C2">
        <w:rPr>
          <w:rFonts w:ascii="Arial" w:hAnsi="Arial" w:cs="Arial"/>
          <w:sz w:val="22"/>
          <w:szCs w:val="22"/>
        </w:rPr>
        <w:t>en tener redes inalámbricas en los Departamentos y en áreas de la institución en donde el estudiante puede hacer sus consultas.</w:t>
      </w:r>
    </w:p>
    <w:p w14:paraId="4762E4C4" w14:textId="77777777" w:rsidR="0048102D" w:rsidRPr="007923C2" w:rsidRDefault="0048102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Así también se cuenta con un centro de cómputo al cual tienen acceso los alumnos.</w:t>
      </w:r>
    </w:p>
    <w:p w14:paraId="37EF0301" w14:textId="77777777" w:rsidR="0048102D" w:rsidRPr="007923C2" w:rsidRDefault="0048102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Como en la actualidad el uso de las computadoras y el internet se ha hecho impresindible para el quehacer docente y elaboración de tareas de los estudiantes el uso de nuevas metodologías didácticas se han desarrollado.</w:t>
      </w:r>
    </w:p>
    <w:p w14:paraId="675301FF" w14:textId="77777777" w:rsidR="0048102D" w:rsidRPr="007923C2" w:rsidRDefault="0048102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mayoría de los profesores utilizan plataformas por medio de las cuales suben toda clase de información: tareas, información de temas, resultados de examen, programas analíticos, prácticas de laboratorio y de esa manera se facilitael proceso de enseñanza.</w:t>
      </w:r>
    </w:p>
    <w:p w14:paraId="76807C29" w14:textId="77777777" w:rsidR="00800348" w:rsidRPr="007923C2" w:rsidRDefault="0048102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mayoría de los profesores cuentan con computadora portátil y cañón o es facilitado en el Departamento</w:t>
      </w:r>
      <w:r w:rsidR="00607356" w:rsidRPr="007923C2">
        <w:rPr>
          <w:rFonts w:ascii="Arial" w:hAnsi="Arial" w:cs="Arial"/>
          <w:sz w:val="22"/>
          <w:szCs w:val="22"/>
        </w:rPr>
        <w:t xml:space="preserve"> de su adscripción</w:t>
      </w:r>
      <w:r w:rsidR="00800348" w:rsidRPr="007923C2">
        <w:rPr>
          <w:rFonts w:ascii="Arial" w:hAnsi="Arial" w:cs="Arial"/>
          <w:sz w:val="22"/>
          <w:szCs w:val="22"/>
        </w:rPr>
        <w:t>.</w:t>
      </w:r>
    </w:p>
    <w:p w14:paraId="3A2819A5" w14:textId="77777777" w:rsidR="00800348" w:rsidRPr="007923C2" w:rsidRDefault="0080034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universidad cuenta con una biblioteca con un gran aservo bibliográfico, a través de muchos años se ha ido adquiriendo la bibliografía solicitada por los docentes de acuerdo a la asignatura que imparten y que está integrada en cada programa analítico.</w:t>
      </w:r>
    </w:p>
    <w:p w14:paraId="2F6CA662" w14:textId="77777777" w:rsidR="00800348" w:rsidRPr="007923C2" w:rsidRDefault="0080034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 actualidad el alumno se ha enfocado a buscar la información solicitada en el internet y en libros  o artículos que se publican en ese medio, por lo que la Universidad debe estar atenta a este cambio para estar a la vanguardia como otras universidades que los medios electrónicos están operando en la actualidad.</w:t>
      </w:r>
    </w:p>
    <w:p w14:paraId="7637D677" w14:textId="77777777" w:rsidR="00607356" w:rsidRPr="007923C2" w:rsidRDefault="0080034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profesor debe estar </w:t>
      </w:r>
      <w:r w:rsidR="00607356" w:rsidRPr="007923C2">
        <w:rPr>
          <w:rFonts w:ascii="Arial" w:hAnsi="Arial" w:cs="Arial"/>
          <w:sz w:val="22"/>
          <w:szCs w:val="22"/>
        </w:rPr>
        <w:t xml:space="preserve">actualizadoen </w:t>
      </w:r>
      <w:r w:rsidRPr="007923C2">
        <w:rPr>
          <w:rFonts w:ascii="Arial" w:hAnsi="Arial" w:cs="Arial"/>
          <w:sz w:val="22"/>
          <w:szCs w:val="22"/>
        </w:rPr>
        <w:t>el conocimiento ya que el estudiante utiliza estos medios para adquirir la información y es tarea del profesor conducir el aprendizaje de una forma correcta para que el alumno lo entienda o lo pueda interpretar</w:t>
      </w:r>
      <w:r w:rsidR="00607356" w:rsidRPr="007923C2">
        <w:rPr>
          <w:rFonts w:ascii="Arial" w:hAnsi="Arial" w:cs="Arial"/>
          <w:sz w:val="22"/>
          <w:szCs w:val="22"/>
        </w:rPr>
        <w:t>.</w:t>
      </w:r>
    </w:p>
    <w:p w14:paraId="572B7D67" w14:textId="77777777" w:rsidR="00607356" w:rsidRPr="007923C2" w:rsidRDefault="00607356" w:rsidP="005E47E4">
      <w:pPr>
        <w:widowControl w:val="0"/>
        <w:autoSpaceDE w:val="0"/>
        <w:autoSpaceDN w:val="0"/>
        <w:adjustRightInd w:val="0"/>
        <w:jc w:val="both"/>
        <w:rPr>
          <w:rFonts w:ascii="Arial" w:hAnsi="Arial" w:cs="Arial"/>
          <w:sz w:val="22"/>
          <w:szCs w:val="22"/>
        </w:rPr>
      </w:pPr>
    </w:p>
    <w:p w14:paraId="647D4ACE" w14:textId="77777777" w:rsidR="0004076D" w:rsidRDefault="0004076D" w:rsidP="005E47E4">
      <w:pPr>
        <w:widowControl w:val="0"/>
        <w:autoSpaceDE w:val="0"/>
        <w:autoSpaceDN w:val="0"/>
        <w:adjustRightInd w:val="0"/>
        <w:jc w:val="both"/>
        <w:rPr>
          <w:rFonts w:ascii="Arial" w:hAnsi="Arial" w:cs="Arial"/>
          <w:b/>
          <w:sz w:val="22"/>
          <w:szCs w:val="22"/>
        </w:rPr>
      </w:pPr>
    </w:p>
    <w:p w14:paraId="35AB9D26" w14:textId="77777777" w:rsidR="0004076D" w:rsidRDefault="0004076D" w:rsidP="005E47E4">
      <w:pPr>
        <w:widowControl w:val="0"/>
        <w:autoSpaceDE w:val="0"/>
        <w:autoSpaceDN w:val="0"/>
        <w:adjustRightInd w:val="0"/>
        <w:jc w:val="both"/>
        <w:rPr>
          <w:rFonts w:ascii="Arial" w:hAnsi="Arial" w:cs="Arial"/>
          <w:b/>
          <w:sz w:val="22"/>
          <w:szCs w:val="22"/>
        </w:rPr>
      </w:pPr>
    </w:p>
    <w:p w14:paraId="3A76C118" w14:textId="77777777" w:rsidR="00607356" w:rsidRPr="00AF354F" w:rsidRDefault="00607356" w:rsidP="005E47E4">
      <w:pPr>
        <w:widowControl w:val="0"/>
        <w:autoSpaceDE w:val="0"/>
        <w:autoSpaceDN w:val="0"/>
        <w:adjustRightInd w:val="0"/>
        <w:jc w:val="both"/>
        <w:rPr>
          <w:rFonts w:ascii="Arial" w:hAnsi="Arial" w:cs="Arial"/>
          <w:b/>
          <w:sz w:val="22"/>
          <w:szCs w:val="22"/>
        </w:rPr>
      </w:pPr>
      <w:r w:rsidRPr="00AF354F">
        <w:rPr>
          <w:rFonts w:ascii="Arial" w:hAnsi="Arial" w:cs="Arial"/>
          <w:b/>
          <w:sz w:val="22"/>
          <w:szCs w:val="22"/>
        </w:rPr>
        <w:t>5.15.-PROCESO DE TUTORÍAS</w:t>
      </w:r>
    </w:p>
    <w:p w14:paraId="78DA860A" w14:textId="77777777" w:rsidR="001D24FB" w:rsidRPr="007923C2" w:rsidRDefault="001D24FB" w:rsidP="001D24FB">
      <w:pPr>
        <w:pStyle w:val="Textoindependiente2"/>
        <w:spacing w:line="360" w:lineRule="auto"/>
        <w:rPr>
          <w:rFonts w:cs="Arial"/>
          <w:sz w:val="22"/>
          <w:szCs w:val="22"/>
        </w:rPr>
      </w:pPr>
      <w:r w:rsidRPr="007923C2">
        <w:rPr>
          <w:rFonts w:cs="Arial"/>
          <w:sz w:val="22"/>
          <w:szCs w:val="22"/>
        </w:rPr>
        <w:t>La educación centrada en la persona es una de las alternativas de calidad educativa que menciona el Modelo Educativo y con las que actualmente se cuenta, para ello fue necesario implementar mecanismos que permitan transitar hacia una educación activa e integral, centrada en el alumno.</w:t>
      </w:r>
    </w:p>
    <w:p w14:paraId="7255230B" w14:textId="77777777" w:rsidR="001D24FB" w:rsidRPr="007923C2" w:rsidRDefault="001D24FB" w:rsidP="001D24FB">
      <w:pPr>
        <w:pStyle w:val="Textoindependiente2"/>
        <w:spacing w:line="360" w:lineRule="auto"/>
        <w:rPr>
          <w:rFonts w:cs="Arial"/>
          <w:sz w:val="22"/>
          <w:szCs w:val="22"/>
        </w:rPr>
      </w:pPr>
      <w:r w:rsidRPr="007923C2">
        <w:rPr>
          <w:rFonts w:cs="Arial"/>
          <w:sz w:val="22"/>
          <w:szCs w:val="22"/>
        </w:rPr>
        <w:t>Uno de los mecanismos de atención es la tutoría -asesoría con la cual cada alumno cuenta con el apoyo, seguimiento, orientación, asesoría y dirección de un Tutor.</w:t>
      </w:r>
    </w:p>
    <w:p w14:paraId="472E4F1D" w14:textId="77777777" w:rsidR="001D24FB" w:rsidRPr="007923C2" w:rsidRDefault="001D24FB" w:rsidP="001D24FB">
      <w:pPr>
        <w:pStyle w:val="Textoindependiente2"/>
        <w:spacing w:line="360" w:lineRule="auto"/>
        <w:rPr>
          <w:rFonts w:cs="Arial"/>
          <w:sz w:val="22"/>
          <w:szCs w:val="22"/>
        </w:rPr>
      </w:pPr>
      <w:r w:rsidRPr="007923C2">
        <w:rPr>
          <w:rFonts w:cs="Arial"/>
          <w:sz w:val="22"/>
          <w:szCs w:val="22"/>
        </w:rPr>
        <w:t>La tutoría es un proceso continuo en la vida del estudiante, desde el primero hasta el último semestre.</w:t>
      </w:r>
    </w:p>
    <w:p w14:paraId="569DD796" w14:textId="77777777" w:rsidR="001D24FB" w:rsidRPr="007923C2" w:rsidRDefault="001D24FB" w:rsidP="001D24FB">
      <w:pPr>
        <w:pStyle w:val="Textoindependiente2"/>
        <w:spacing w:line="360" w:lineRule="auto"/>
        <w:rPr>
          <w:rFonts w:cs="Arial"/>
          <w:sz w:val="22"/>
          <w:szCs w:val="22"/>
        </w:rPr>
      </w:pPr>
      <w:r w:rsidRPr="007923C2">
        <w:rPr>
          <w:rFonts w:cs="Arial"/>
          <w:sz w:val="22"/>
          <w:szCs w:val="22"/>
        </w:rPr>
        <w:lastRenderedPageBreak/>
        <w:t>En la relación continua entre el Tutor y el Alumno se utilizan procedimientos, que tienen como eje de interés al alumno, y el seguimiento de su devenir académico.</w:t>
      </w:r>
    </w:p>
    <w:p w14:paraId="00647D59" w14:textId="77777777" w:rsidR="001D24FB" w:rsidRDefault="001D24FB" w:rsidP="001D24FB">
      <w:pPr>
        <w:pStyle w:val="Textoindependiente2"/>
        <w:spacing w:line="360" w:lineRule="auto"/>
        <w:rPr>
          <w:rFonts w:cs="Arial"/>
          <w:sz w:val="22"/>
          <w:szCs w:val="22"/>
        </w:rPr>
      </w:pPr>
      <w:r w:rsidRPr="007923C2">
        <w:rPr>
          <w:rFonts w:cs="Arial"/>
          <w:sz w:val="22"/>
          <w:szCs w:val="22"/>
        </w:rPr>
        <w:t>El Tutor es co-responsable del desempeño del (los) alumno (s) que le hayan sido designados, desde el ingreso, por ello, se definen horarios y sitios de atención con una periodicidad mensual.</w:t>
      </w:r>
    </w:p>
    <w:p w14:paraId="2A29695E" w14:textId="77777777" w:rsidR="00520C21" w:rsidRDefault="00520C21" w:rsidP="001D24FB">
      <w:pPr>
        <w:pStyle w:val="Textoindependiente2"/>
        <w:spacing w:line="360" w:lineRule="auto"/>
        <w:rPr>
          <w:rFonts w:cs="Arial"/>
          <w:sz w:val="22"/>
          <w:szCs w:val="22"/>
        </w:rPr>
      </w:pPr>
      <w:r>
        <w:rPr>
          <w:rFonts w:cs="Arial"/>
          <w:sz w:val="22"/>
          <w:szCs w:val="22"/>
        </w:rPr>
        <w:t>Las tutorías desde su establecimiento e implementación ha tenido avances.</w:t>
      </w:r>
    </w:p>
    <w:p w14:paraId="11BC112C" w14:textId="77777777" w:rsidR="00520C21" w:rsidRDefault="00520C21" w:rsidP="001D24FB">
      <w:pPr>
        <w:pStyle w:val="Textoindependiente2"/>
        <w:spacing w:line="360" w:lineRule="auto"/>
        <w:rPr>
          <w:rFonts w:cs="Arial"/>
          <w:sz w:val="22"/>
          <w:szCs w:val="22"/>
        </w:rPr>
      </w:pPr>
      <w:r>
        <w:rPr>
          <w:rFonts w:cs="Arial"/>
          <w:sz w:val="22"/>
          <w:szCs w:val="22"/>
        </w:rPr>
        <w:t xml:space="preserve">Fueron establecidos como un requisito para dar seguimiento a la trayectoria del alumno </w:t>
      </w:r>
      <w:r w:rsidR="005B3787">
        <w:rPr>
          <w:rFonts w:cs="Arial"/>
          <w:sz w:val="22"/>
          <w:szCs w:val="22"/>
        </w:rPr>
        <w:t>con lo que se podrá interpretar como se realiza el proceso enseñanza aprendizaje de las asignaturas, cuál es la calidad de la enseñanza, cuales materias representan mayor índice de reprobación y con esto corregir los defectos que presente éste proceso.</w:t>
      </w:r>
    </w:p>
    <w:p w14:paraId="76EB7490" w14:textId="77777777" w:rsidR="005B3787" w:rsidRDefault="005B3787" w:rsidP="001D24FB">
      <w:pPr>
        <w:pStyle w:val="Textoindependiente2"/>
        <w:spacing w:line="360" w:lineRule="auto"/>
        <w:rPr>
          <w:rFonts w:cs="Arial"/>
          <w:sz w:val="22"/>
          <w:szCs w:val="22"/>
        </w:rPr>
      </w:pPr>
      <w:r>
        <w:rPr>
          <w:rFonts w:cs="Arial"/>
          <w:sz w:val="22"/>
          <w:szCs w:val="22"/>
        </w:rPr>
        <w:t>Las tutorías permiten definir porqué los estudiantes se cambian de carrera, cuál es el índice de deserción y cuáles son sus causas.</w:t>
      </w:r>
    </w:p>
    <w:p w14:paraId="41E39F44" w14:textId="77777777" w:rsidR="005B3787" w:rsidRDefault="005B3787" w:rsidP="001D24FB">
      <w:pPr>
        <w:pStyle w:val="Textoindependiente2"/>
        <w:spacing w:line="360" w:lineRule="auto"/>
        <w:rPr>
          <w:rFonts w:cs="Arial"/>
          <w:sz w:val="22"/>
          <w:szCs w:val="22"/>
        </w:rPr>
      </w:pPr>
      <w:r>
        <w:rPr>
          <w:rFonts w:cs="Arial"/>
          <w:sz w:val="22"/>
          <w:szCs w:val="22"/>
        </w:rPr>
        <w:t xml:space="preserve">El programa docente de IAB </w:t>
      </w:r>
      <w:r w:rsidR="006B7691">
        <w:rPr>
          <w:rFonts w:cs="Arial"/>
          <w:sz w:val="22"/>
          <w:szCs w:val="22"/>
        </w:rPr>
        <w:t>ha implementado el proceso de tutorías, estimula a los estudiantes para que asistan a las tutorías aunque a veces hay renuencia a asistir o el tutor no se encuentra.</w:t>
      </w:r>
    </w:p>
    <w:p w14:paraId="5461BD5B" w14:textId="77777777" w:rsidR="006B7691" w:rsidRPr="007923C2" w:rsidRDefault="006B7691" w:rsidP="001D24FB">
      <w:pPr>
        <w:pStyle w:val="Textoindependiente2"/>
        <w:spacing w:line="360" w:lineRule="auto"/>
        <w:rPr>
          <w:rFonts w:cs="Arial"/>
          <w:sz w:val="22"/>
          <w:szCs w:val="22"/>
        </w:rPr>
      </w:pPr>
      <w:r>
        <w:rPr>
          <w:rFonts w:cs="Arial"/>
          <w:sz w:val="22"/>
          <w:szCs w:val="22"/>
        </w:rPr>
        <w:t>Se ha dado la solución de algunos problemas que han presentado los alumnos y éstos se dan cuenta que los maestros estamos pendientes de su trayectoria.</w:t>
      </w:r>
    </w:p>
    <w:tbl>
      <w:tblPr>
        <w:tblW w:w="8440" w:type="dxa"/>
        <w:tblInd w:w="15" w:type="dxa"/>
        <w:tblCellMar>
          <w:left w:w="70" w:type="dxa"/>
          <w:right w:w="70" w:type="dxa"/>
        </w:tblCellMar>
        <w:tblLook w:val="04A0" w:firstRow="1" w:lastRow="0" w:firstColumn="1" w:lastColumn="0" w:noHBand="0" w:noVBand="1"/>
      </w:tblPr>
      <w:tblGrid>
        <w:gridCol w:w="1120"/>
        <w:gridCol w:w="3873"/>
        <w:gridCol w:w="3447"/>
      </w:tblGrid>
      <w:tr w:rsidR="00CB01C8" w:rsidRPr="00CB01C8" w14:paraId="51AA35A0" w14:textId="77777777" w:rsidTr="00DB4F40">
        <w:trPr>
          <w:trHeight w:val="240"/>
        </w:trPr>
        <w:tc>
          <w:tcPr>
            <w:tcW w:w="8440" w:type="dxa"/>
            <w:gridSpan w:val="3"/>
            <w:tcBorders>
              <w:top w:val="nil"/>
              <w:left w:val="nil"/>
              <w:bottom w:val="nil"/>
              <w:right w:val="nil"/>
            </w:tcBorders>
            <w:shd w:val="clear" w:color="auto" w:fill="auto"/>
            <w:noWrap/>
            <w:vAlign w:val="bottom"/>
            <w:hideMark/>
          </w:tcPr>
          <w:p w14:paraId="44AA3B1A" w14:textId="77777777" w:rsidR="00CB01C8" w:rsidRPr="00CB01C8" w:rsidRDefault="00CB01C8" w:rsidP="00CB01C8">
            <w:pPr>
              <w:spacing w:after="0" w:line="240" w:lineRule="auto"/>
              <w:jc w:val="center"/>
              <w:rPr>
                <w:rFonts w:cs="Calibri"/>
                <w:b/>
                <w:bCs/>
                <w:color w:val="000000"/>
                <w:sz w:val="18"/>
                <w:szCs w:val="18"/>
              </w:rPr>
            </w:pPr>
          </w:p>
        </w:tc>
      </w:tr>
      <w:tr w:rsidR="00CB01C8" w:rsidRPr="00CB01C8" w14:paraId="450A527A" w14:textId="77777777" w:rsidTr="00DB4F40">
        <w:trPr>
          <w:trHeight w:val="240"/>
        </w:trPr>
        <w:tc>
          <w:tcPr>
            <w:tcW w:w="8440" w:type="dxa"/>
            <w:gridSpan w:val="3"/>
            <w:tcBorders>
              <w:top w:val="nil"/>
              <w:left w:val="nil"/>
              <w:bottom w:val="nil"/>
              <w:right w:val="nil"/>
            </w:tcBorders>
            <w:shd w:val="clear" w:color="auto" w:fill="auto"/>
            <w:noWrap/>
            <w:vAlign w:val="bottom"/>
            <w:hideMark/>
          </w:tcPr>
          <w:p w14:paraId="09D82B85" w14:textId="77777777" w:rsidR="00CB01C8" w:rsidRPr="00CB01C8" w:rsidRDefault="00CB01C8" w:rsidP="00CB01C8">
            <w:pPr>
              <w:spacing w:after="0" w:line="240" w:lineRule="auto"/>
              <w:jc w:val="center"/>
              <w:rPr>
                <w:rFonts w:cs="Calibri"/>
                <w:b/>
                <w:bCs/>
                <w:color w:val="000000"/>
                <w:sz w:val="18"/>
                <w:szCs w:val="18"/>
              </w:rPr>
            </w:pPr>
          </w:p>
        </w:tc>
      </w:tr>
      <w:tr w:rsidR="00CB01C8" w:rsidRPr="00CB01C8" w14:paraId="40EB6C83" w14:textId="77777777" w:rsidTr="00DB4F40">
        <w:trPr>
          <w:trHeight w:val="255"/>
        </w:trPr>
        <w:tc>
          <w:tcPr>
            <w:tcW w:w="1120" w:type="dxa"/>
            <w:tcBorders>
              <w:top w:val="nil"/>
              <w:left w:val="nil"/>
              <w:bottom w:val="nil"/>
              <w:right w:val="nil"/>
            </w:tcBorders>
            <w:shd w:val="clear" w:color="auto" w:fill="auto"/>
            <w:noWrap/>
            <w:vAlign w:val="bottom"/>
            <w:hideMark/>
          </w:tcPr>
          <w:p w14:paraId="380ADEE6" w14:textId="77777777" w:rsidR="00CB01C8" w:rsidRPr="00CB01C8" w:rsidRDefault="00CB01C8" w:rsidP="00CB01C8">
            <w:pPr>
              <w:spacing w:after="0" w:line="240" w:lineRule="auto"/>
              <w:jc w:val="center"/>
              <w:rPr>
                <w:rFonts w:cs="Calibri"/>
                <w:b/>
                <w:bCs/>
                <w:color w:val="000000"/>
                <w:sz w:val="18"/>
                <w:szCs w:val="18"/>
              </w:rPr>
            </w:pPr>
            <w:r>
              <w:rPr>
                <w:rFonts w:cs="Calibri"/>
                <w:b/>
                <w:bCs/>
                <w:color w:val="000000"/>
                <w:sz w:val="18"/>
                <w:szCs w:val="18"/>
              </w:rPr>
              <w:t xml:space="preserve">TUTORÍAS    </w:t>
            </w:r>
          </w:p>
        </w:tc>
        <w:tc>
          <w:tcPr>
            <w:tcW w:w="3873" w:type="dxa"/>
            <w:tcBorders>
              <w:top w:val="nil"/>
              <w:left w:val="nil"/>
              <w:bottom w:val="nil"/>
              <w:right w:val="nil"/>
            </w:tcBorders>
            <w:shd w:val="clear" w:color="auto" w:fill="auto"/>
            <w:noWrap/>
            <w:vAlign w:val="bottom"/>
            <w:hideMark/>
          </w:tcPr>
          <w:p w14:paraId="1415E976" w14:textId="77777777" w:rsidR="00CB01C8" w:rsidRPr="00CB01C8" w:rsidRDefault="00CB01C8" w:rsidP="00CB01C8">
            <w:pPr>
              <w:spacing w:after="0" w:line="240" w:lineRule="auto"/>
              <w:rPr>
                <w:rFonts w:ascii="Times New Roman" w:hAnsi="Times New Roman"/>
                <w:sz w:val="20"/>
                <w:szCs w:val="20"/>
              </w:rPr>
            </w:pPr>
            <w:r>
              <w:rPr>
                <w:rFonts w:ascii="Times New Roman" w:hAnsi="Times New Roman"/>
                <w:sz w:val="20"/>
                <w:szCs w:val="20"/>
              </w:rPr>
              <w:t>ENERO-JUNIO 2016</w:t>
            </w:r>
          </w:p>
        </w:tc>
        <w:tc>
          <w:tcPr>
            <w:tcW w:w="3447" w:type="dxa"/>
            <w:tcBorders>
              <w:top w:val="nil"/>
              <w:left w:val="nil"/>
              <w:bottom w:val="nil"/>
              <w:right w:val="nil"/>
            </w:tcBorders>
            <w:shd w:val="clear" w:color="auto" w:fill="auto"/>
            <w:noWrap/>
            <w:vAlign w:val="bottom"/>
            <w:hideMark/>
          </w:tcPr>
          <w:p w14:paraId="27AA076B" w14:textId="77777777" w:rsidR="00CB01C8" w:rsidRPr="00CB01C8" w:rsidRDefault="00CB01C8" w:rsidP="00CB01C8">
            <w:pPr>
              <w:spacing w:after="0" w:line="240" w:lineRule="auto"/>
              <w:rPr>
                <w:rFonts w:ascii="Times New Roman" w:hAnsi="Times New Roman"/>
                <w:sz w:val="20"/>
                <w:szCs w:val="20"/>
              </w:rPr>
            </w:pPr>
          </w:p>
        </w:tc>
      </w:tr>
      <w:tr w:rsidR="00CB01C8" w:rsidRPr="00CB01C8" w14:paraId="115FA462" w14:textId="77777777" w:rsidTr="00DB4F40">
        <w:trPr>
          <w:trHeight w:val="255"/>
        </w:trPr>
        <w:tc>
          <w:tcPr>
            <w:tcW w:w="11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22AEB2DC" w14:textId="77777777" w:rsidR="00CB01C8" w:rsidRPr="00CB01C8" w:rsidRDefault="00CB01C8" w:rsidP="00CB01C8">
            <w:pPr>
              <w:spacing w:after="0" w:line="240" w:lineRule="auto"/>
              <w:jc w:val="center"/>
              <w:rPr>
                <w:rFonts w:cs="Calibri"/>
                <w:b/>
                <w:bCs/>
                <w:color w:val="000000"/>
                <w:sz w:val="18"/>
                <w:szCs w:val="18"/>
              </w:rPr>
            </w:pPr>
            <w:r w:rsidRPr="00CB01C8">
              <w:rPr>
                <w:rFonts w:cs="Calibri"/>
                <w:b/>
                <w:bCs/>
                <w:color w:val="000000"/>
                <w:sz w:val="18"/>
                <w:szCs w:val="18"/>
              </w:rPr>
              <w:t>MATRICULA</w:t>
            </w:r>
          </w:p>
        </w:tc>
        <w:tc>
          <w:tcPr>
            <w:tcW w:w="3873" w:type="dxa"/>
            <w:tcBorders>
              <w:top w:val="single" w:sz="8" w:space="0" w:color="auto"/>
              <w:left w:val="nil"/>
              <w:bottom w:val="single" w:sz="8" w:space="0" w:color="auto"/>
              <w:right w:val="single" w:sz="8" w:space="0" w:color="auto"/>
            </w:tcBorders>
            <w:shd w:val="clear" w:color="auto" w:fill="auto"/>
            <w:noWrap/>
            <w:vAlign w:val="bottom"/>
            <w:hideMark/>
          </w:tcPr>
          <w:p w14:paraId="23107086" w14:textId="77777777" w:rsidR="00CB01C8" w:rsidRPr="00CB01C8" w:rsidRDefault="00CB01C8" w:rsidP="00CB01C8">
            <w:pPr>
              <w:spacing w:after="0" w:line="240" w:lineRule="auto"/>
              <w:jc w:val="center"/>
              <w:rPr>
                <w:rFonts w:cs="Calibri"/>
                <w:b/>
                <w:bCs/>
                <w:color w:val="000000"/>
                <w:sz w:val="18"/>
                <w:szCs w:val="18"/>
              </w:rPr>
            </w:pPr>
            <w:r w:rsidRPr="00CB01C8">
              <w:rPr>
                <w:rFonts w:cs="Calibri"/>
                <w:b/>
                <w:bCs/>
                <w:color w:val="000000"/>
                <w:sz w:val="18"/>
                <w:szCs w:val="18"/>
              </w:rPr>
              <w:t>ALUMNO</w:t>
            </w:r>
          </w:p>
        </w:tc>
        <w:tc>
          <w:tcPr>
            <w:tcW w:w="3447" w:type="dxa"/>
            <w:tcBorders>
              <w:top w:val="single" w:sz="8" w:space="0" w:color="auto"/>
              <w:left w:val="nil"/>
              <w:bottom w:val="single" w:sz="8" w:space="0" w:color="auto"/>
              <w:right w:val="single" w:sz="8" w:space="0" w:color="auto"/>
            </w:tcBorders>
            <w:shd w:val="clear" w:color="auto" w:fill="auto"/>
            <w:noWrap/>
            <w:vAlign w:val="bottom"/>
            <w:hideMark/>
          </w:tcPr>
          <w:p w14:paraId="48B98CE9" w14:textId="77777777" w:rsidR="00CB01C8" w:rsidRPr="00CB01C8" w:rsidRDefault="00CB01C8" w:rsidP="00CB01C8">
            <w:pPr>
              <w:spacing w:after="0" w:line="240" w:lineRule="auto"/>
              <w:jc w:val="center"/>
              <w:rPr>
                <w:rFonts w:cs="Calibri"/>
                <w:b/>
                <w:bCs/>
                <w:color w:val="000000"/>
                <w:sz w:val="18"/>
                <w:szCs w:val="18"/>
              </w:rPr>
            </w:pPr>
            <w:r w:rsidRPr="00CB01C8">
              <w:rPr>
                <w:rFonts w:cs="Calibri"/>
                <w:b/>
                <w:bCs/>
                <w:color w:val="000000"/>
                <w:sz w:val="18"/>
                <w:szCs w:val="18"/>
              </w:rPr>
              <w:t>PROFESOR TUTOR</w:t>
            </w:r>
          </w:p>
        </w:tc>
      </w:tr>
      <w:tr w:rsidR="00CB01C8" w:rsidRPr="00CB01C8" w14:paraId="0F23F720" w14:textId="77777777" w:rsidTr="00DB4F40">
        <w:trPr>
          <w:trHeight w:val="24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1FFFF"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41146044</w:t>
            </w:r>
          </w:p>
        </w:tc>
        <w:tc>
          <w:tcPr>
            <w:tcW w:w="3873" w:type="dxa"/>
            <w:tcBorders>
              <w:top w:val="single" w:sz="4" w:space="0" w:color="auto"/>
              <w:left w:val="nil"/>
              <w:bottom w:val="single" w:sz="4" w:space="0" w:color="auto"/>
              <w:right w:val="single" w:sz="4" w:space="0" w:color="auto"/>
            </w:tcBorders>
            <w:shd w:val="clear" w:color="auto" w:fill="auto"/>
            <w:noWrap/>
            <w:vAlign w:val="bottom"/>
            <w:hideMark/>
          </w:tcPr>
          <w:p w14:paraId="22369C8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BARBOZA SÁNCHEZ AGAR ABIGAIL</w:t>
            </w:r>
          </w:p>
        </w:tc>
        <w:tc>
          <w:tcPr>
            <w:tcW w:w="3447" w:type="dxa"/>
            <w:tcBorders>
              <w:top w:val="single" w:sz="4" w:space="0" w:color="auto"/>
              <w:left w:val="nil"/>
              <w:bottom w:val="single" w:sz="4" w:space="0" w:color="auto"/>
              <w:right w:val="single" w:sz="4" w:space="0" w:color="auto"/>
            </w:tcBorders>
            <w:shd w:val="clear" w:color="auto" w:fill="auto"/>
            <w:noWrap/>
            <w:vAlign w:val="bottom"/>
            <w:hideMark/>
          </w:tcPr>
          <w:p w14:paraId="2420889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GUSTAVO VILLARREAL MAURY</w:t>
            </w:r>
          </w:p>
        </w:tc>
      </w:tr>
      <w:tr w:rsidR="00CB01C8" w:rsidRPr="00CB01C8" w14:paraId="4C94DFC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1CC2EEF"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41146267</w:t>
            </w:r>
          </w:p>
        </w:tc>
        <w:tc>
          <w:tcPr>
            <w:tcW w:w="3873" w:type="dxa"/>
            <w:tcBorders>
              <w:top w:val="nil"/>
              <w:left w:val="nil"/>
              <w:bottom w:val="single" w:sz="4" w:space="0" w:color="auto"/>
              <w:right w:val="single" w:sz="4" w:space="0" w:color="auto"/>
            </w:tcBorders>
            <w:shd w:val="clear" w:color="auto" w:fill="auto"/>
            <w:noWrap/>
            <w:vAlign w:val="bottom"/>
            <w:hideMark/>
          </w:tcPr>
          <w:p w14:paraId="41317C63"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CHAVEZ ISIDRO BRISEIDA</w:t>
            </w:r>
          </w:p>
        </w:tc>
        <w:tc>
          <w:tcPr>
            <w:tcW w:w="3447" w:type="dxa"/>
            <w:tcBorders>
              <w:top w:val="nil"/>
              <w:left w:val="nil"/>
              <w:bottom w:val="single" w:sz="4" w:space="0" w:color="auto"/>
              <w:right w:val="single" w:sz="4" w:space="0" w:color="auto"/>
            </w:tcBorders>
            <w:shd w:val="clear" w:color="auto" w:fill="auto"/>
            <w:noWrap/>
            <w:vAlign w:val="bottom"/>
            <w:hideMark/>
          </w:tcPr>
          <w:p w14:paraId="227DBBA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GUSTAVO VILLARREAL MAURY</w:t>
            </w:r>
          </w:p>
        </w:tc>
      </w:tr>
      <w:tr w:rsidR="00CB01C8" w:rsidRPr="00CB01C8" w14:paraId="04E594E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65943D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41146168</w:t>
            </w:r>
          </w:p>
        </w:tc>
        <w:tc>
          <w:tcPr>
            <w:tcW w:w="3873" w:type="dxa"/>
            <w:tcBorders>
              <w:top w:val="nil"/>
              <w:left w:val="nil"/>
              <w:bottom w:val="single" w:sz="4" w:space="0" w:color="auto"/>
              <w:right w:val="single" w:sz="4" w:space="0" w:color="auto"/>
            </w:tcBorders>
            <w:shd w:val="clear" w:color="auto" w:fill="auto"/>
            <w:noWrap/>
            <w:vAlign w:val="bottom"/>
            <w:hideMark/>
          </w:tcPr>
          <w:p w14:paraId="298C363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MENDOZA LARA WILVER</w:t>
            </w:r>
          </w:p>
        </w:tc>
        <w:tc>
          <w:tcPr>
            <w:tcW w:w="3447" w:type="dxa"/>
            <w:tcBorders>
              <w:top w:val="nil"/>
              <w:left w:val="nil"/>
              <w:bottom w:val="single" w:sz="4" w:space="0" w:color="auto"/>
              <w:right w:val="single" w:sz="4" w:space="0" w:color="auto"/>
            </w:tcBorders>
            <w:shd w:val="clear" w:color="auto" w:fill="auto"/>
            <w:noWrap/>
            <w:vAlign w:val="bottom"/>
            <w:hideMark/>
          </w:tcPr>
          <w:p w14:paraId="0308D525"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MANUEL DE LEÓN GÁMEZ</w:t>
            </w:r>
          </w:p>
        </w:tc>
      </w:tr>
      <w:tr w:rsidR="00CB01C8" w:rsidRPr="00CB01C8" w14:paraId="6051BA6D"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68E3F0E"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41135088</w:t>
            </w:r>
          </w:p>
        </w:tc>
        <w:tc>
          <w:tcPr>
            <w:tcW w:w="3873" w:type="dxa"/>
            <w:tcBorders>
              <w:top w:val="nil"/>
              <w:left w:val="nil"/>
              <w:bottom w:val="single" w:sz="4" w:space="0" w:color="auto"/>
              <w:right w:val="single" w:sz="4" w:space="0" w:color="auto"/>
            </w:tcBorders>
            <w:shd w:val="clear" w:color="auto" w:fill="auto"/>
            <w:noWrap/>
            <w:vAlign w:val="bottom"/>
            <w:hideMark/>
          </w:tcPr>
          <w:p w14:paraId="4A15E47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MORENO GÓMEZ TOMÁS</w:t>
            </w:r>
          </w:p>
        </w:tc>
        <w:tc>
          <w:tcPr>
            <w:tcW w:w="3447" w:type="dxa"/>
            <w:tcBorders>
              <w:top w:val="nil"/>
              <w:left w:val="nil"/>
              <w:bottom w:val="single" w:sz="4" w:space="0" w:color="auto"/>
              <w:right w:val="single" w:sz="4" w:space="0" w:color="auto"/>
            </w:tcBorders>
            <w:shd w:val="clear" w:color="auto" w:fill="auto"/>
            <w:noWrap/>
            <w:vAlign w:val="bottom"/>
            <w:hideMark/>
          </w:tcPr>
          <w:p w14:paraId="44EA01BE"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EFRAIN CASTRO NARRO</w:t>
            </w:r>
          </w:p>
        </w:tc>
      </w:tr>
      <w:tr w:rsidR="00CB01C8" w:rsidRPr="00CB01C8" w14:paraId="697D6C26"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A69D0B9"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41110075</w:t>
            </w:r>
          </w:p>
        </w:tc>
        <w:tc>
          <w:tcPr>
            <w:tcW w:w="3873" w:type="dxa"/>
            <w:tcBorders>
              <w:top w:val="nil"/>
              <w:left w:val="nil"/>
              <w:bottom w:val="single" w:sz="4" w:space="0" w:color="auto"/>
              <w:right w:val="single" w:sz="4" w:space="0" w:color="auto"/>
            </w:tcBorders>
            <w:shd w:val="clear" w:color="auto" w:fill="auto"/>
            <w:noWrap/>
            <w:vAlign w:val="bottom"/>
            <w:hideMark/>
          </w:tcPr>
          <w:p w14:paraId="08791CF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CARMONA RODRÍGUEZ EVA</w:t>
            </w:r>
          </w:p>
        </w:tc>
        <w:tc>
          <w:tcPr>
            <w:tcW w:w="3447" w:type="dxa"/>
            <w:tcBorders>
              <w:top w:val="nil"/>
              <w:left w:val="nil"/>
              <w:bottom w:val="single" w:sz="4" w:space="0" w:color="auto"/>
              <w:right w:val="single" w:sz="4" w:space="0" w:color="auto"/>
            </w:tcBorders>
            <w:shd w:val="clear" w:color="auto" w:fill="auto"/>
            <w:noWrap/>
            <w:vAlign w:val="bottom"/>
            <w:hideMark/>
          </w:tcPr>
          <w:p w14:paraId="29597F82"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14:paraId="3FCC67E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BAAEA6A"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41154535</w:t>
            </w:r>
          </w:p>
        </w:tc>
        <w:tc>
          <w:tcPr>
            <w:tcW w:w="3873" w:type="dxa"/>
            <w:tcBorders>
              <w:top w:val="nil"/>
              <w:left w:val="nil"/>
              <w:bottom w:val="single" w:sz="4" w:space="0" w:color="auto"/>
              <w:right w:val="single" w:sz="4" w:space="0" w:color="auto"/>
            </w:tcBorders>
            <w:shd w:val="clear" w:color="auto" w:fill="auto"/>
            <w:noWrap/>
            <w:vAlign w:val="bottom"/>
            <w:hideMark/>
          </w:tcPr>
          <w:p w14:paraId="36EF9A9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GATICA SÁNCHEZ OLI ADELA</w:t>
            </w:r>
          </w:p>
        </w:tc>
        <w:tc>
          <w:tcPr>
            <w:tcW w:w="3447" w:type="dxa"/>
            <w:tcBorders>
              <w:top w:val="nil"/>
              <w:left w:val="nil"/>
              <w:bottom w:val="single" w:sz="4" w:space="0" w:color="auto"/>
              <w:right w:val="single" w:sz="4" w:space="0" w:color="auto"/>
            </w:tcBorders>
            <w:shd w:val="clear" w:color="auto" w:fill="auto"/>
            <w:noWrap/>
            <w:vAlign w:val="bottom"/>
            <w:hideMark/>
          </w:tcPr>
          <w:p w14:paraId="210B0BB2"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14:paraId="4E77E543"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FBB0A9F"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411589008</w:t>
            </w:r>
          </w:p>
        </w:tc>
        <w:tc>
          <w:tcPr>
            <w:tcW w:w="3873" w:type="dxa"/>
            <w:tcBorders>
              <w:top w:val="nil"/>
              <w:left w:val="nil"/>
              <w:bottom w:val="single" w:sz="4" w:space="0" w:color="auto"/>
              <w:right w:val="single" w:sz="4" w:space="0" w:color="auto"/>
            </w:tcBorders>
            <w:shd w:val="clear" w:color="auto" w:fill="auto"/>
            <w:noWrap/>
            <w:vAlign w:val="bottom"/>
            <w:hideMark/>
          </w:tcPr>
          <w:p w14:paraId="6593395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GOMEZ GUTIERREZ LUIS MANUEL</w:t>
            </w:r>
          </w:p>
        </w:tc>
        <w:tc>
          <w:tcPr>
            <w:tcW w:w="3447" w:type="dxa"/>
            <w:tcBorders>
              <w:top w:val="nil"/>
              <w:left w:val="nil"/>
              <w:bottom w:val="single" w:sz="4" w:space="0" w:color="auto"/>
              <w:right w:val="single" w:sz="4" w:space="0" w:color="auto"/>
            </w:tcBorders>
            <w:shd w:val="clear" w:color="auto" w:fill="auto"/>
            <w:noWrap/>
            <w:vAlign w:val="bottom"/>
            <w:hideMark/>
          </w:tcPr>
          <w:p w14:paraId="5C0BDF0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14:paraId="0FD2006A"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8A30D62"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41154493</w:t>
            </w:r>
          </w:p>
        </w:tc>
        <w:tc>
          <w:tcPr>
            <w:tcW w:w="3873" w:type="dxa"/>
            <w:tcBorders>
              <w:top w:val="nil"/>
              <w:left w:val="nil"/>
              <w:bottom w:val="single" w:sz="4" w:space="0" w:color="auto"/>
              <w:right w:val="single" w:sz="4" w:space="0" w:color="auto"/>
            </w:tcBorders>
            <w:shd w:val="clear" w:color="auto" w:fill="auto"/>
            <w:noWrap/>
            <w:vAlign w:val="bottom"/>
            <w:hideMark/>
          </w:tcPr>
          <w:p w14:paraId="524564D5"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GÓMEZ SANTOS MARISOL</w:t>
            </w:r>
          </w:p>
        </w:tc>
        <w:tc>
          <w:tcPr>
            <w:tcW w:w="3447" w:type="dxa"/>
            <w:tcBorders>
              <w:top w:val="nil"/>
              <w:left w:val="nil"/>
              <w:bottom w:val="single" w:sz="4" w:space="0" w:color="auto"/>
              <w:right w:val="single" w:sz="4" w:space="0" w:color="auto"/>
            </w:tcBorders>
            <w:shd w:val="clear" w:color="auto" w:fill="auto"/>
            <w:noWrap/>
            <w:vAlign w:val="bottom"/>
            <w:hideMark/>
          </w:tcPr>
          <w:p w14:paraId="4B3A1F5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14:paraId="397BDC2D"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6669CE1"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41134909</w:t>
            </w:r>
          </w:p>
        </w:tc>
        <w:tc>
          <w:tcPr>
            <w:tcW w:w="3873" w:type="dxa"/>
            <w:tcBorders>
              <w:top w:val="nil"/>
              <w:left w:val="nil"/>
              <w:bottom w:val="single" w:sz="4" w:space="0" w:color="auto"/>
              <w:right w:val="single" w:sz="4" w:space="0" w:color="auto"/>
            </w:tcBorders>
            <w:shd w:val="clear" w:color="auto" w:fill="auto"/>
            <w:noWrap/>
            <w:vAlign w:val="bottom"/>
            <w:hideMark/>
          </w:tcPr>
          <w:p w14:paraId="299D2A53"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GUDIÑO DE SANTIAGO YOHANI</w:t>
            </w:r>
          </w:p>
        </w:tc>
        <w:tc>
          <w:tcPr>
            <w:tcW w:w="3447" w:type="dxa"/>
            <w:tcBorders>
              <w:top w:val="nil"/>
              <w:left w:val="nil"/>
              <w:bottom w:val="single" w:sz="4" w:space="0" w:color="auto"/>
              <w:right w:val="single" w:sz="4" w:space="0" w:color="auto"/>
            </w:tcBorders>
            <w:shd w:val="clear" w:color="auto" w:fill="auto"/>
            <w:noWrap/>
            <w:vAlign w:val="bottom"/>
            <w:hideMark/>
          </w:tcPr>
          <w:p w14:paraId="0D6D69A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14:paraId="5C456400"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FBA8B61"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41110075</w:t>
            </w:r>
          </w:p>
        </w:tc>
        <w:tc>
          <w:tcPr>
            <w:tcW w:w="3873" w:type="dxa"/>
            <w:tcBorders>
              <w:top w:val="nil"/>
              <w:left w:val="nil"/>
              <w:bottom w:val="single" w:sz="4" w:space="0" w:color="auto"/>
              <w:right w:val="single" w:sz="4" w:space="0" w:color="auto"/>
            </w:tcBorders>
            <w:shd w:val="clear" w:color="auto" w:fill="auto"/>
            <w:noWrap/>
            <w:vAlign w:val="bottom"/>
            <w:hideMark/>
          </w:tcPr>
          <w:p w14:paraId="1281EAB2"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HERNÁNDEZ SANTIAGO ODÍAS</w:t>
            </w:r>
          </w:p>
        </w:tc>
        <w:tc>
          <w:tcPr>
            <w:tcW w:w="3447" w:type="dxa"/>
            <w:tcBorders>
              <w:top w:val="nil"/>
              <w:left w:val="nil"/>
              <w:bottom w:val="single" w:sz="4" w:space="0" w:color="auto"/>
              <w:right w:val="single" w:sz="4" w:space="0" w:color="auto"/>
            </w:tcBorders>
            <w:shd w:val="clear" w:color="auto" w:fill="auto"/>
            <w:noWrap/>
            <w:vAlign w:val="bottom"/>
            <w:hideMark/>
          </w:tcPr>
          <w:p w14:paraId="1D157C1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14:paraId="30EE6DB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D1A4D4E"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41110106</w:t>
            </w:r>
          </w:p>
        </w:tc>
        <w:tc>
          <w:tcPr>
            <w:tcW w:w="3873" w:type="dxa"/>
            <w:tcBorders>
              <w:top w:val="nil"/>
              <w:left w:val="nil"/>
              <w:bottom w:val="single" w:sz="4" w:space="0" w:color="auto"/>
              <w:right w:val="single" w:sz="4" w:space="0" w:color="auto"/>
            </w:tcBorders>
            <w:shd w:val="clear" w:color="auto" w:fill="auto"/>
            <w:noWrap/>
            <w:vAlign w:val="bottom"/>
            <w:hideMark/>
          </w:tcPr>
          <w:p w14:paraId="2514AC76"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MÉNDEZ ÁLVAREZ DOMINGO</w:t>
            </w:r>
          </w:p>
        </w:tc>
        <w:tc>
          <w:tcPr>
            <w:tcW w:w="3447" w:type="dxa"/>
            <w:tcBorders>
              <w:top w:val="nil"/>
              <w:left w:val="nil"/>
              <w:bottom w:val="single" w:sz="4" w:space="0" w:color="auto"/>
              <w:right w:val="single" w:sz="4" w:space="0" w:color="auto"/>
            </w:tcBorders>
            <w:shd w:val="clear" w:color="auto" w:fill="auto"/>
            <w:noWrap/>
            <w:vAlign w:val="bottom"/>
            <w:hideMark/>
          </w:tcPr>
          <w:p w14:paraId="2528FFE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14:paraId="723F828E"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5F366FC"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41154485</w:t>
            </w:r>
          </w:p>
        </w:tc>
        <w:tc>
          <w:tcPr>
            <w:tcW w:w="3873" w:type="dxa"/>
            <w:tcBorders>
              <w:top w:val="nil"/>
              <w:left w:val="nil"/>
              <w:bottom w:val="single" w:sz="4" w:space="0" w:color="auto"/>
              <w:right w:val="single" w:sz="4" w:space="0" w:color="auto"/>
            </w:tcBorders>
            <w:shd w:val="clear" w:color="auto" w:fill="auto"/>
            <w:noWrap/>
            <w:vAlign w:val="bottom"/>
            <w:hideMark/>
          </w:tcPr>
          <w:p w14:paraId="25C2AE2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VASQUEZ CASTAÑEDA BRENDA YURITZI</w:t>
            </w:r>
          </w:p>
        </w:tc>
        <w:tc>
          <w:tcPr>
            <w:tcW w:w="3447" w:type="dxa"/>
            <w:tcBorders>
              <w:top w:val="nil"/>
              <w:left w:val="nil"/>
              <w:bottom w:val="single" w:sz="4" w:space="0" w:color="auto"/>
              <w:right w:val="single" w:sz="4" w:space="0" w:color="auto"/>
            </w:tcBorders>
            <w:shd w:val="clear" w:color="auto" w:fill="auto"/>
            <w:noWrap/>
            <w:vAlign w:val="bottom"/>
            <w:hideMark/>
          </w:tcPr>
          <w:p w14:paraId="38A021D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14:paraId="2DCB6485"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980840A"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41139314</w:t>
            </w:r>
          </w:p>
        </w:tc>
        <w:tc>
          <w:tcPr>
            <w:tcW w:w="3873" w:type="dxa"/>
            <w:tcBorders>
              <w:top w:val="nil"/>
              <w:left w:val="nil"/>
              <w:bottom w:val="single" w:sz="4" w:space="0" w:color="auto"/>
              <w:right w:val="single" w:sz="4" w:space="0" w:color="auto"/>
            </w:tcBorders>
            <w:shd w:val="clear" w:color="auto" w:fill="auto"/>
            <w:noWrap/>
            <w:vAlign w:val="bottom"/>
            <w:hideMark/>
          </w:tcPr>
          <w:p w14:paraId="2256304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VAZQUEZ ROQUE JUANA DE JESÚS</w:t>
            </w:r>
          </w:p>
        </w:tc>
        <w:tc>
          <w:tcPr>
            <w:tcW w:w="3447" w:type="dxa"/>
            <w:tcBorders>
              <w:top w:val="nil"/>
              <w:left w:val="nil"/>
              <w:bottom w:val="single" w:sz="4" w:space="0" w:color="auto"/>
              <w:right w:val="single" w:sz="4" w:space="0" w:color="auto"/>
            </w:tcBorders>
            <w:shd w:val="clear" w:color="auto" w:fill="auto"/>
            <w:noWrap/>
            <w:vAlign w:val="bottom"/>
            <w:hideMark/>
          </w:tcPr>
          <w:p w14:paraId="5F85DF1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14:paraId="4F760CB2"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EDC17E2"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41110106</w:t>
            </w:r>
          </w:p>
        </w:tc>
        <w:tc>
          <w:tcPr>
            <w:tcW w:w="3873" w:type="dxa"/>
            <w:tcBorders>
              <w:top w:val="nil"/>
              <w:left w:val="nil"/>
              <w:bottom w:val="single" w:sz="4" w:space="0" w:color="auto"/>
              <w:right w:val="single" w:sz="4" w:space="0" w:color="auto"/>
            </w:tcBorders>
            <w:shd w:val="clear" w:color="auto" w:fill="auto"/>
            <w:noWrap/>
            <w:vAlign w:val="bottom"/>
            <w:hideMark/>
          </w:tcPr>
          <w:p w14:paraId="0C8D239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VIVEROS MAR ANA LIDIA</w:t>
            </w:r>
          </w:p>
        </w:tc>
        <w:tc>
          <w:tcPr>
            <w:tcW w:w="3447" w:type="dxa"/>
            <w:tcBorders>
              <w:top w:val="nil"/>
              <w:left w:val="nil"/>
              <w:bottom w:val="single" w:sz="4" w:space="0" w:color="auto"/>
              <w:right w:val="single" w:sz="4" w:space="0" w:color="auto"/>
            </w:tcBorders>
            <w:shd w:val="clear" w:color="auto" w:fill="auto"/>
            <w:noWrap/>
            <w:vAlign w:val="bottom"/>
            <w:hideMark/>
          </w:tcPr>
          <w:p w14:paraId="1D9A9C9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14:paraId="6C9D56B7"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ED1D935"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41154527</w:t>
            </w:r>
          </w:p>
        </w:tc>
        <w:tc>
          <w:tcPr>
            <w:tcW w:w="3873" w:type="dxa"/>
            <w:tcBorders>
              <w:top w:val="nil"/>
              <w:left w:val="nil"/>
              <w:bottom w:val="single" w:sz="4" w:space="0" w:color="auto"/>
              <w:right w:val="single" w:sz="4" w:space="0" w:color="auto"/>
            </w:tcBorders>
            <w:shd w:val="clear" w:color="auto" w:fill="auto"/>
            <w:noWrap/>
            <w:vAlign w:val="bottom"/>
            <w:hideMark/>
          </w:tcPr>
          <w:p w14:paraId="5386D092"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ALFONSO TRINIDAD MIGUEL</w:t>
            </w:r>
          </w:p>
        </w:tc>
        <w:tc>
          <w:tcPr>
            <w:tcW w:w="3447" w:type="dxa"/>
            <w:tcBorders>
              <w:top w:val="nil"/>
              <w:left w:val="nil"/>
              <w:bottom w:val="single" w:sz="4" w:space="0" w:color="auto"/>
              <w:right w:val="single" w:sz="4" w:space="0" w:color="auto"/>
            </w:tcBorders>
            <w:shd w:val="clear" w:color="auto" w:fill="auto"/>
            <w:noWrap/>
            <w:vAlign w:val="bottom"/>
            <w:hideMark/>
          </w:tcPr>
          <w:p w14:paraId="75FC56D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14:paraId="19A43E81"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B14A330"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41154659</w:t>
            </w:r>
          </w:p>
        </w:tc>
        <w:tc>
          <w:tcPr>
            <w:tcW w:w="3873" w:type="dxa"/>
            <w:tcBorders>
              <w:top w:val="nil"/>
              <w:left w:val="nil"/>
              <w:bottom w:val="single" w:sz="4" w:space="0" w:color="auto"/>
              <w:right w:val="single" w:sz="4" w:space="0" w:color="auto"/>
            </w:tcBorders>
            <w:shd w:val="clear" w:color="auto" w:fill="auto"/>
            <w:noWrap/>
            <w:vAlign w:val="bottom"/>
            <w:hideMark/>
          </w:tcPr>
          <w:p w14:paraId="11C55A42"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ALVA ATILANO ELIZABETH</w:t>
            </w:r>
          </w:p>
        </w:tc>
        <w:tc>
          <w:tcPr>
            <w:tcW w:w="3447" w:type="dxa"/>
            <w:tcBorders>
              <w:top w:val="nil"/>
              <w:left w:val="nil"/>
              <w:bottom w:val="single" w:sz="4" w:space="0" w:color="auto"/>
              <w:right w:val="single" w:sz="4" w:space="0" w:color="auto"/>
            </w:tcBorders>
            <w:shd w:val="clear" w:color="auto" w:fill="auto"/>
            <w:noWrap/>
            <w:vAlign w:val="bottom"/>
            <w:hideMark/>
          </w:tcPr>
          <w:p w14:paraId="5B24462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14:paraId="5329A583" w14:textId="77777777" w:rsidTr="00DB4F40">
        <w:trPr>
          <w:trHeight w:val="22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CFEA9C3"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41154667</w:t>
            </w:r>
          </w:p>
        </w:tc>
        <w:tc>
          <w:tcPr>
            <w:tcW w:w="3873" w:type="dxa"/>
            <w:tcBorders>
              <w:top w:val="nil"/>
              <w:left w:val="nil"/>
              <w:bottom w:val="single" w:sz="4" w:space="0" w:color="auto"/>
              <w:right w:val="single" w:sz="4" w:space="0" w:color="auto"/>
            </w:tcBorders>
            <w:shd w:val="clear" w:color="auto" w:fill="auto"/>
            <w:noWrap/>
            <w:vAlign w:val="bottom"/>
            <w:hideMark/>
          </w:tcPr>
          <w:p w14:paraId="60C381F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ARANDA RAMIREZ CRISELDA NICOLASA</w:t>
            </w:r>
          </w:p>
        </w:tc>
        <w:tc>
          <w:tcPr>
            <w:tcW w:w="3447" w:type="dxa"/>
            <w:tcBorders>
              <w:top w:val="nil"/>
              <w:left w:val="nil"/>
              <w:bottom w:val="single" w:sz="4" w:space="0" w:color="auto"/>
              <w:right w:val="single" w:sz="4" w:space="0" w:color="auto"/>
            </w:tcBorders>
            <w:shd w:val="clear" w:color="auto" w:fill="auto"/>
            <w:noWrap/>
            <w:vAlign w:val="bottom"/>
            <w:hideMark/>
          </w:tcPr>
          <w:p w14:paraId="475CEE2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14:paraId="23A7ED7A"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FBF6DC6"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41110080</w:t>
            </w:r>
          </w:p>
        </w:tc>
        <w:tc>
          <w:tcPr>
            <w:tcW w:w="3873" w:type="dxa"/>
            <w:tcBorders>
              <w:top w:val="nil"/>
              <w:left w:val="nil"/>
              <w:bottom w:val="single" w:sz="4" w:space="0" w:color="auto"/>
              <w:right w:val="single" w:sz="4" w:space="0" w:color="auto"/>
            </w:tcBorders>
            <w:shd w:val="clear" w:color="auto" w:fill="auto"/>
            <w:noWrap/>
            <w:vAlign w:val="bottom"/>
            <w:hideMark/>
          </w:tcPr>
          <w:p w14:paraId="6DE3474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ESPARZA ARREDONDO ITANDEHUI JUANITA</w:t>
            </w:r>
          </w:p>
        </w:tc>
        <w:tc>
          <w:tcPr>
            <w:tcW w:w="3447" w:type="dxa"/>
            <w:tcBorders>
              <w:top w:val="nil"/>
              <w:left w:val="nil"/>
              <w:bottom w:val="single" w:sz="4" w:space="0" w:color="auto"/>
              <w:right w:val="single" w:sz="4" w:space="0" w:color="auto"/>
            </w:tcBorders>
            <w:shd w:val="clear" w:color="auto" w:fill="auto"/>
            <w:noWrap/>
            <w:vAlign w:val="bottom"/>
            <w:hideMark/>
          </w:tcPr>
          <w:p w14:paraId="43335746"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14:paraId="09D7E44A"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C4E1B03"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41100947</w:t>
            </w:r>
          </w:p>
        </w:tc>
        <w:tc>
          <w:tcPr>
            <w:tcW w:w="3873" w:type="dxa"/>
            <w:tcBorders>
              <w:top w:val="nil"/>
              <w:left w:val="nil"/>
              <w:bottom w:val="single" w:sz="4" w:space="0" w:color="auto"/>
              <w:right w:val="single" w:sz="4" w:space="0" w:color="auto"/>
            </w:tcBorders>
            <w:shd w:val="clear" w:color="auto" w:fill="auto"/>
            <w:noWrap/>
            <w:vAlign w:val="bottom"/>
            <w:hideMark/>
          </w:tcPr>
          <w:p w14:paraId="5B6F3D0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GARCÍA HERNÁNDEZ JOSÉ ÉLMER</w:t>
            </w:r>
          </w:p>
        </w:tc>
        <w:tc>
          <w:tcPr>
            <w:tcW w:w="3447" w:type="dxa"/>
            <w:tcBorders>
              <w:top w:val="nil"/>
              <w:left w:val="nil"/>
              <w:bottom w:val="single" w:sz="4" w:space="0" w:color="auto"/>
              <w:right w:val="single" w:sz="4" w:space="0" w:color="auto"/>
            </w:tcBorders>
            <w:shd w:val="clear" w:color="auto" w:fill="auto"/>
            <w:noWrap/>
            <w:vAlign w:val="bottom"/>
            <w:hideMark/>
          </w:tcPr>
          <w:p w14:paraId="5585D20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14:paraId="553E29AA"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A5D9AC3"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41158874</w:t>
            </w:r>
          </w:p>
        </w:tc>
        <w:tc>
          <w:tcPr>
            <w:tcW w:w="3873" w:type="dxa"/>
            <w:tcBorders>
              <w:top w:val="nil"/>
              <w:left w:val="nil"/>
              <w:bottom w:val="single" w:sz="4" w:space="0" w:color="auto"/>
              <w:right w:val="single" w:sz="4" w:space="0" w:color="auto"/>
            </w:tcBorders>
            <w:shd w:val="clear" w:color="auto" w:fill="auto"/>
            <w:noWrap/>
            <w:vAlign w:val="bottom"/>
            <w:hideMark/>
          </w:tcPr>
          <w:p w14:paraId="3407074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GONZÁLEZ HERNÁNDEZ EDGAR DAVID</w:t>
            </w:r>
          </w:p>
        </w:tc>
        <w:tc>
          <w:tcPr>
            <w:tcW w:w="3447" w:type="dxa"/>
            <w:tcBorders>
              <w:top w:val="nil"/>
              <w:left w:val="nil"/>
              <w:bottom w:val="single" w:sz="4" w:space="0" w:color="auto"/>
              <w:right w:val="single" w:sz="4" w:space="0" w:color="auto"/>
            </w:tcBorders>
            <w:shd w:val="clear" w:color="auto" w:fill="auto"/>
            <w:noWrap/>
            <w:vAlign w:val="bottom"/>
            <w:hideMark/>
          </w:tcPr>
          <w:p w14:paraId="0CAFF45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14:paraId="5E8C22A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CD13A18"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41139130</w:t>
            </w:r>
          </w:p>
        </w:tc>
        <w:tc>
          <w:tcPr>
            <w:tcW w:w="3873" w:type="dxa"/>
            <w:tcBorders>
              <w:top w:val="nil"/>
              <w:left w:val="nil"/>
              <w:bottom w:val="single" w:sz="4" w:space="0" w:color="auto"/>
              <w:right w:val="single" w:sz="4" w:space="0" w:color="auto"/>
            </w:tcBorders>
            <w:shd w:val="clear" w:color="auto" w:fill="auto"/>
            <w:noWrap/>
            <w:vAlign w:val="bottom"/>
            <w:hideMark/>
          </w:tcPr>
          <w:p w14:paraId="11AE94A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HERRERA RODRÍGUEZ IMELDA</w:t>
            </w:r>
          </w:p>
        </w:tc>
        <w:tc>
          <w:tcPr>
            <w:tcW w:w="3447" w:type="dxa"/>
            <w:tcBorders>
              <w:top w:val="nil"/>
              <w:left w:val="nil"/>
              <w:bottom w:val="single" w:sz="4" w:space="0" w:color="auto"/>
              <w:right w:val="single" w:sz="4" w:space="0" w:color="auto"/>
            </w:tcBorders>
            <w:shd w:val="clear" w:color="auto" w:fill="auto"/>
            <w:noWrap/>
            <w:vAlign w:val="bottom"/>
            <w:hideMark/>
          </w:tcPr>
          <w:p w14:paraId="718A37D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14:paraId="624A8B6B"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119E5FD"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lastRenderedPageBreak/>
              <w:t>41147786</w:t>
            </w:r>
          </w:p>
        </w:tc>
        <w:tc>
          <w:tcPr>
            <w:tcW w:w="3873" w:type="dxa"/>
            <w:tcBorders>
              <w:top w:val="nil"/>
              <w:left w:val="nil"/>
              <w:bottom w:val="single" w:sz="4" w:space="0" w:color="auto"/>
              <w:right w:val="single" w:sz="4" w:space="0" w:color="auto"/>
            </w:tcBorders>
            <w:shd w:val="clear" w:color="auto" w:fill="auto"/>
            <w:noWrap/>
            <w:vAlign w:val="bottom"/>
            <w:hideMark/>
          </w:tcPr>
          <w:p w14:paraId="1998F0C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HILARIO ANGEL MICI NAYELI</w:t>
            </w:r>
          </w:p>
        </w:tc>
        <w:tc>
          <w:tcPr>
            <w:tcW w:w="3447" w:type="dxa"/>
            <w:tcBorders>
              <w:top w:val="nil"/>
              <w:left w:val="nil"/>
              <w:bottom w:val="single" w:sz="4" w:space="0" w:color="auto"/>
              <w:right w:val="single" w:sz="4" w:space="0" w:color="auto"/>
            </w:tcBorders>
            <w:shd w:val="clear" w:color="auto" w:fill="auto"/>
            <w:noWrap/>
            <w:vAlign w:val="bottom"/>
            <w:hideMark/>
          </w:tcPr>
          <w:p w14:paraId="1B59E24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14:paraId="1F1326D0"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0D3689A"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41146341</w:t>
            </w:r>
          </w:p>
        </w:tc>
        <w:tc>
          <w:tcPr>
            <w:tcW w:w="3873" w:type="dxa"/>
            <w:tcBorders>
              <w:top w:val="nil"/>
              <w:left w:val="nil"/>
              <w:bottom w:val="single" w:sz="4" w:space="0" w:color="auto"/>
              <w:right w:val="single" w:sz="4" w:space="0" w:color="auto"/>
            </w:tcBorders>
            <w:shd w:val="clear" w:color="auto" w:fill="auto"/>
            <w:noWrap/>
            <w:vAlign w:val="bottom"/>
            <w:hideMark/>
          </w:tcPr>
          <w:p w14:paraId="2960C8E5"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LINARES NIETO ULISES</w:t>
            </w:r>
          </w:p>
        </w:tc>
        <w:tc>
          <w:tcPr>
            <w:tcW w:w="3447" w:type="dxa"/>
            <w:tcBorders>
              <w:top w:val="nil"/>
              <w:left w:val="nil"/>
              <w:bottom w:val="single" w:sz="4" w:space="0" w:color="auto"/>
              <w:right w:val="single" w:sz="4" w:space="0" w:color="auto"/>
            </w:tcBorders>
            <w:shd w:val="clear" w:color="auto" w:fill="auto"/>
            <w:noWrap/>
            <w:vAlign w:val="bottom"/>
            <w:hideMark/>
          </w:tcPr>
          <w:p w14:paraId="0107B0B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14:paraId="20478E8B"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CC4B43C"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41159807</w:t>
            </w:r>
          </w:p>
        </w:tc>
        <w:tc>
          <w:tcPr>
            <w:tcW w:w="3873" w:type="dxa"/>
            <w:tcBorders>
              <w:top w:val="nil"/>
              <w:left w:val="nil"/>
              <w:bottom w:val="single" w:sz="4" w:space="0" w:color="auto"/>
              <w:right w:val="single" w:sz="4" w:space="0" w:color="auto"/>
            </w:tcBorders>
            <w:shd w:val="clear" w:color="auto" w:fill="auto"/>
            <w:noWrap/>
            <w:vAlign w:val="bottom"/>
            <w:hideMark/>
          </w:tcPr>
          <w:p w14:paraId="6143296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MARINES ALONSO SALVADOR OTONIEL</w:t>
            </w:r>
          </w:p>
        </w:tc>
        <w:tc>
          <w:tcPr>
            <w:tcW w:w="3447" w:type="dxa"/>
            <w:tcBorders>
              <w:top w:val="nil"/>
              <w:left w:val="nil"/>
              <w:bottom w:val="single" w:sz="4" w:space="0" w:color="auto"/>
              <w:right w:val="single" w:sz="4" w:space="0" w:color="auto"/>
            </w:tcBorders>
            <w:shd w:val="clear" w:color="auto" w:fill="auto"/>
            <w:noWrap/>
            <w:vAlign w:val="bottom"/>
            <w:hideMark/>
          </w:tcPr>
          <w:p w14:paraId="6897BD5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14:paraId="751A43F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4343F76"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41134834</w:t>
            </w:r>
          </w:p>
        </w:tc>
        <w:tc>
          <w:tcPr>
            <w:tcW w:w="3873" w:type="dxa"/>
            <w:tcBorders>
              <w:top w:val="nil"/>
              <w:left w:val="nil"/>
              <w:bottom w:val="single" w:sz="4" w:space="0" w:color="auto"/>
              <w:right w:val="single" w:sz="4" w:space="0" w:color="auto"/>
            </w:tcBorders>
            <w:shd w:val="clear" w:color="auto" w:fill="auto"/>
            <w:noWrap/>
            <w:vAlign w:val="bottom"/>
            <w:hideMark/>
          </w:tcPr>
          <w:p w14:paraId="13739153"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NAVARRETE ANDRADE SAHARA CRISTINA</w:t>
            </w:r>
          </w:p>
        </w:tc>
        <w:tc>
          <w:tcPr>
            <w:tcW w:w="3447" w:type="dxa"/>
            <w:tcBorders>
              <w:top w:val="nil"/>
              <w:left w:val="nil"/>
              <w:bottom w:val="single" w:sz="4" w:space="0" w:color="auto"/>
              <w:right w:val="single" w:sz="4" w:space="0" w:color="auto"/>
            </w:tcBorders>
            <w:shd w:val="clear" w:color="auto" w:fill="auto"/>
            <w:noWrap/>
            <w:vAlign w:val="bottom"/>
            <w:hideMark/>
          </w:tcPr>
          <w:p w14:paraId="539ACF9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14:paraId="1C021742"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BAE6DD1"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41135138</w:t>
            </w:r>
          </w:p>
        </w:tc>
        <w:tc>
          <w:tcPr>
            <w:tcW w:w="3873" w:type="dxa"/>
            <w:tcBorders>
              <w:top w:val="nil"/>
              <w:left w:val="nil"/>
              <w:bottom w:val="single" w:sz="4" w:space="0" w:color="auto"/>
              <w:right w:val="single" w:sz="4" w:space="0" w:color="auto"/>
            </w:tcBorders>
            <w:shd w:val="clear" w:color="auto" w:fill="auto"/>
            <w:noWrap/>
            <w:vAlign w:val="bottom"/>
            <w:hideMark/>
          </w:tcPr>
          <w:p w14:paraId="3DB7B3F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PÉREZ PÉREZ JOSÉ ELDER</w:t>
            </w:r>
          </w:p>
        </w:tc>
        <w:tc>
          <w:tcPr>
            <w:tcW w:w="3447" w:type="dxa"/>
            <w:tcBorders>
              <w:top w:val="nil"/>
              <w:left w:val="nil"/>
              <w:bottom w:val="single" w:sz="4" w:space="0" w:color="auto"/>
              <w:right w:val="single" w:sz="4" w:space="0" w:color="auto"/>
            </w:tcBorders>
            <w:shd w:val="clear" w:color="auto" w:fill="auto"/>
            <w:noWrap/>
            <w:vAlign w:val="bottom"/>
            <w:hideMark/>
          </w:tcPr>
          <w:p w14:paraId="4B8081D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14:paraId="3A505CCA"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7430603"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41138470</w:t>
            </w:r>
          </w:p>
        </w:tc>
        <w:tc>
          <w:tcPr>
            <w:tcW w:w="3873" w:type="dxa"/>
            <w:tcBorders>
              <w:top w:val="nil"/>
              <w:left w:val="nil"/>
              <w:bottom w:val="single" w:sz="4" w:space="0" w:color="auto"/>
              <w:right w:val="single" w:sz="4" w:space="0" w:color="auto"/>
            </w:tcBorders>
            <w:shd w:val="clear" w:color="auto" w:fill="auto"/>
            <w:noWrap/>
            <w:vAlign w:val="bottom"/>
            <w:hideMark/>
          </w:tcPr>
          <w:p w14:paraId="014A5C1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BASURTO MÉNERA JOSÉ CAMILO</w:t>
            </w:r>
          </w:p>
        </w:tc>
        <w:tc>
          <w:tcPr>
            <w:tcW w:w="3447" w:type="dxa"/>
            <w:tcBorders>
              <w:top w:val="nil"/>
              <w:left w:val="nil"/>
              <w:bottom w:val="single" w:sz="4" w:space="0" w:color="auto"/>
              <w:right w:val="single" w:sz="4" w:space="0" w:color="auto"/>
            </w:tcBorders>
            <w:shd w:val="clear" w:color="auto" w:fill="auto"/>
            <w:noWrap/>
            <w:vAlign w:val="bottom"/>
            <w:hideMark/>
          </w:tcPr>
          <w:p w14:paraId="1CBA836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435A0C0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8048A36"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41135039</w:t>
            </w:r>
          </w:p>
        </w:tc>
        <w:tc>
          <w:tcPr>
            <w:tcW w:w="3873" w:type="dxa"/>
            <w:tcBorders>
              <w:top w:val="nil"/>
              <w:left w:val="nil"/>
              <w:bottom w:val="single" w:sz="4" w:space="0" w:color="auto"/>
              <w:right w:val="single" w:sz="4" w:space="0" w:color="auto"/>
            </w:tcBorders>
            <w:shd w:val="clear" w:color="auto" w:fill="auto"/>
            <w:noWrap/>
            <w:vAlign w:val="bottom"/>
            <w:hideMark/>
          </w:tcPr>
          <w:p w14:paraId="21370D1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CALDERÓN GONZÁLEZ JAIME</w:t>
            </w:r>
          </w:p>
        </w:tc>
        <w:tc>
          <w:tcPr>
            <w:tcW w:w="3447" w:type="dxa"/>
            <w:tcBorders>
              <w:top w:val="nil"/>
              <w:left w:val="nil"/>
              <w:bottom w:val="single" w:sz="4" w:space="0" w:color="auto"/>
              <w:right w:val="single" w:sz="4" w:space="0" w:color="auto"/>
            </w:tcBorders>
            <w:shd w:val="clear" w:color="auto" w:fill="auto"/>
            <w:noWrap/>
            <w:vAlign w:val="bottom"/>
            <w:hideMark/>
          </w:tcPr>
          <w:p w14:paraId="57FDEC2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23EDF149"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08C63A6"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41122649</w:t>
            </w:r>
          </w:p>
        </w:tc>
        <w:tc>
          <w:tcPr>
            <w:tcW w:w="3873" w:type="dxa"/>
            <w:tcBorders>
              <w:top w:val="nil"/>
              <w:left w:val="nil"/>
              <w:bottom w:val="single" w:sz="4" w:space="0" w:color="auto"/>
              <w:right w:val="single" w:sz="4" w:space="0" w:color="auto"/>
            </w:tcBorders>
            <w:shd w:val="clear" w:color="auto" w:fill="auto"/>
            <w:noWrap/>
            <w:vAlign w:val="bottom"/>
            <w:hideMark/>
          </w:tcPr>
          <w:p w14:paraId="54D7C1D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CASTRO ROSALEZ LAURA</w:t>
            </w:r>
          </w:p>
        </w:tc>
        <w:tc>
          <w:tcPr>
            <w:tcW w:w="3447" w:type="dxa"/>
            <w:tcBorders>
              <w:top w:val="nil"/>
              <w:left w:val="nil"/>
              <w:bottom w:val="single" w:sz="4" w:space="0" w:color="auto"/>
              <w:right w:val="single" w:sz="4" w:space="0" w:color="auto"/>
            </w:tcBorders>
            <w:shd w:val="clear" w:color="auto" w:fill="auto"/>
            <w:noWrap/>
            <w:vAlign w:val="bottom"/>
            <w:hideMark/>
          </w:tcPr>
          <w:p w14:paraId="7434AD6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0788AD4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A4E4A78"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41134974</w:t>
            </w:r>
          </w:p>
        </w:tc>
        <w:tc>
          <w:tcPr>
            <w:tcW w:w="3873" w:type="dxa"/>
            <w:tcBorders>
              <w:top w:val="nil"/>
              <w:left w:val="nil"/>
              <w:bottom w:val="single" w:sz="4" w:space="0" w:color="auto"/>
              <w:right w:val="single" w:sz="4" w:space="0" w:color="auto"/>
            </w:tcBorders>
            <w:shd w:val="clear" w:color="auto" w:fill="auto"/>
            <w:noWrap/>
            <w:vAlign w:val="bottom"/>
            <w:hideMark/>
          </w:tcPr>
          <w:p w14:paraId="288BCC5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DE LEÓN ORTIZ ÉRICK</w:t>
            </w:r>
          </w:p>
        </w:tc>
        <w:tc>
          <w:tcPr>
            <w:tcW w:w="3447" w:type="dxa"/>
            <w:tcBorders>
              <w:top w:val="nil"/>
              <w:left w:val="nil"/>
              <w:bottom w:val="single" w:sz="4" w:space="0" w:color="auto"/>
              <w:right w:val="single" w:sz="4" w:space="0" w:color="auto"/>
            </w:tcBorders>
            <w:shd w:val="clear" w:color="auto" w:fill="auto"/>
            <w:noWrap/>
            <w:vAlign w:val="bottom"/>
            <w:hideMark/>
          </w:tcPr>
          <w:p w14:paraId="162AEB1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1B9712FF"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16BC520"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41134867</w:t>
            </w:r>
          </w:p>
        </w:tc>
        <w:tc>
          <w:tcPr>
            <w:tcW w:w="3873" w:type="dxa"/>
            <w:tcBorders>
              <w:top w:val="nil"/>
              <w:left w:val="nil"/>
              <w:bottom w:val="single" w:sz="4" w:space="0" w:color="auto"/>
              <w:right w:val="single" w:sz="4" w:space="0" w:color="auto"/>
            </w:tcBorders>
            <w:shd w:val="clear" w:color="auto" w:fill="auto"/>
            <w:noWrap/>
            <w:vAlign w:val="bottom"/>
            <w:hideMark/>
          </w:tcPr>
          <w:p w14:paraId="3E7611A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DÍAZ QUINTERO CARLOS</w:t>
            </w:r>
          </w:p>
        </w:tc>
        <w:tc>
          <w:tcPr>
            <w:tcW w:w="3447" w:type="dxa"/>
            <w:tcBorders>
              <w:top w:val="nil"/>
              <w:left w:val="nil"/>
              <w:bottom w:val="single" w:sz="4" w:space="0" w:color="auto"/>
              <w:right w:val="single" w:sz="4" w:space="0" w:color="auto"/>
            </w:tcBorders>
            <w:shd w:val="clear" w:color="auto" w:fill="auto"/>
            <w:noWrap/>
            <w:vAlign w:val="bottom"/>
            <w:hideMark/>
          </w:tcPr>
          <w:p w14:paraId="5290E46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60A57E07"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DC0705F"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41135054</w:t>
            </w:r>
          </w:p>
        </w:tc>
        <w:tc>
          <w:tcPr>
            <w:tcW w:w="3873" w:type="dxa"/>
            <w:tcBorders>
              <w:top w:val="nil"/>
              <w:left w:val="nil"/>
              <w:bottom w:val="single" w:sz="4" w:space="0" w:color="auto"/>
              <w:right w:val="single" w:sz="4" w:space="0" w:color="auto"/>
            </w:tcBorders>
            <w:shd w:val="clear" w:color="auto" w:fill="auto"/>
            <w:noWrap/>
            <w:vAlign w:val="bottom"/>
            <w:hideMark/>
          </w:tcPr>
          <w:p w14:paraId="2AA394A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GARCÍA GUERRERO RODRIGO</w:t>
            </w:r>
          </w:p>
        </w:tc>
        <w:tc>
          <w:tcPr>
            <w:tcW w:w="3447" w:type="dxa"/>
            <w:tcBorders>
              <w:top w:val="nil"/>
              <w:left w:val="nil"/>
              <w:bottom w:val="single" w:sz="4" w:space="0" w:color="auto"/>
              <w:right w:val="single" w:sz="4" w:space="0" w:color="auto"/>
            </w:tcBorders>
            <w:shd w:val="clear" w:color="auto" w:fill="auto"/>
            <w:noWrap/>
            <w:vAlign w:val="bottom"/>
            <w:hideMark/>
          </w:tcPr>
          <w:p w14:paraId="608B721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68FEE0A1"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7E0B4EC"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41122714</w:t>
            </w:r>
          </w:p>
        </w:tc>
        <w:tc>
          <w:tcPr>
            <w:tcW w:w="3873" w:type="dxa"/>
            <w:tcBorders>
              <w:top w:val="nil"/>
              <w:left w:val="nil"/>
              <w:bottom w:val="single" w:sz="4" w:space="0" w:color="auto"/>
              <w:right w:val="single" w:sz="4" w:space="0" w:color="auto"/>
            </w:tcBorders>
            <w:shd w:val="clear" w:color="auto" w:fill="auto"/>
            <w:noWrap/>
            <w:vAlign w:val="bottom"/>
            <w:hideMark/>
          </w:tcPr>
          <w:p w14:paraId="1289AE8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GUTIÉRREZ ALDAVALDE HUGO ENRIQUE</w:t>
            </w:r>
          </w:p>
        </w:tc>
        <w:tc>
          <w:tcPr>
            <w:tcW w:w="3447" w:type="dxa"/>
            <w:tcBorders>
              <w:top w:val="nil"/>
              <w:left w:val="nil"/>
              <w:bottom w:val="single" w:sz="4" w:space="0" w:color="auto"/>
              <w:right w:val="single" w:sz="4" w:space="0" w:color="auto"/>
            </w:tcBorders>
            <w:shd w:val="clear" w:color="auto" w:fill="auto"/>
            <w:noWrap/>
            <w:vAlign w:val="bottom"/>
            <w:hideMark/>
          </w:tcPr>
          <w:p w14:paraId="46F9675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648B90AD"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4FC60C6"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41110090</w:t>
            </w:r>
          </w:p>
        </w:tc>
        <w:tc>
          <w:tcPr>
            <w:tcW w:w="3873" w:type="dxa"/>
            <w:tcBorders>
              <w:top w:val="nil"/>
              <w:left w:val="nil"/>
              <w:bottom w:val="single" w:sz="4" w:space="0" w:color="auto"/>
              <w:right w:val="nil"/>
            </w:tcBorders>
            <w:shd w:val="clear" w:color="auto" w:fill="auto"/>
            <w:noWrap/>
            <w:vAlign w:val="bottom"/>
            <w:hideMark/>
          </w:tcPr>
          <w:p w14:paraId="31194F1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LÓPEZ GARCÍA ANGÉLICA</w:t>
            </w:r>
          </w:p>
        </w:tc>
        <w:tc>
          <w:tcPr>
            <w:tcW w:w="3447" w:type="dxa"/>
            <w:tcBorders>
              <w:top w:val="nil"/>
              <w:left w:val="single" w:sz="4" w:space="0" w:color="auto"/>
              <w:bottom w:val="single" w:sz="4" w:space="0" w:color="auto"/>
              <w:right w:val="single" w:sz="4" w:space="0" w:color="auto"/>
            </w:tcBorders>
            <w:shd w:val="clear" w:color="auto" w:fill="auto"/>
            <w:noWrap/>
            <w:vAlign w:val="bottom"/>
            <w:hideMark/>
          </w:tcPr>
          <w:p w14:paraId="32FB0F6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47C799AF" w14:textId="77777777" w:rsidTr="00DB4F40">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93A3302"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41122771</w:t>
            </w:r>
          </w:p>
        </w:tc>
        <w:tc>
          <w:tcPr>
            <w:tcW w:w="3873" w:type="dxa"/>
            <w:tcBorders>
              <w:top w:val="nil"/>
              <w:left w:val="nil"/>
              <w:bottom w:val="single" w:sz="4" w:space="0" w:color="auto"/>
              <w:right w:val="single" w:sz="4" w:space="0" w:color="auto"/>
            </w:tcBorders>
            <w:shd w:val="clear" w:color="auto" w:fill="auto"/>
            <w:noWrap/>
            <w:vAlign w:val="bottom"/>
            <w:hideMark/>
          </w:tcPr>
          <w:p w14:paraId="28C3BEB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MAGDALENO GARCÍA GUADALUPE</w:t>
            </w:r>
          </w:p>
        </w:tc>
        <w:tc>
          <w:tcPr>
            <w:tcW w:w="3447" w:type="dxa"/>
            <w:tcBorders>
              <w:top w:val="nil"/>
              <w:left w:val="nil"/>
              <w:bottom w:val="single" w:sz="4" w:space="0" w:color="auto"/>
              <w:right w:val="single" w:sz="4" w:space="0" w:color="auto"/>
            </w:tcBorders>
            <w:shd w:val="clear" w:color="auto" w:fill="auto"/>
            <w:noWrap/>
            <w:vAlign w:val="bottom"/>
            <w:hideMark/>
          </w:tcPr>
          <w:p w14:paraId="7878A7B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7C724F2E"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F5FA604"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41100371</w:t>
            </w:r>
          </w:p>
        </w:tc>
        <w:tc>
          <w:tcPr>
            <w:tcW w:w="3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0C052"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MÉNDEZ POSADAS ADILENE</w:t>
            </w:r>
          </w:p>
        </w:tc>
        <w:tc>
          <w:tcPr>
            <w:tcW w:w="3447" w:type="dxa"/>
            <w:tcBorders>
              <w:top w:val="nil"/>
              <w:left w:val="single" w:sz="4" w:space="0" w:color="auto"/>
              <w:bottom w:val="single" w:sz="4" w:space="0" w:color="auto"/>
              <w:right w:val="single" w:sz="4" w:space="0" w:color="auto"/>
            </w:tcBorders>
            <w:shd w:val="clear" w:color="auto" w:fill="auto"/>
            <w:noWrap/>
            <w:vAlign w:val="bottom"/>
            <w:hideMark/>
          </w:tcPr>
          <w:p w14:paraId="378ECD9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1D12809B" w14:textId="77777777" w:rsidTr="00DB4F40">
        <w:trPr>
          <w:trHeight w:val="24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54876E"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41110092</w:t>
            </w:r>
          </w:p>
        </w:tc>
        <w:tc>
          <w:tcPr>
            <w:tcW w:w="3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DC5A3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MENDOZA GARCÍA LENIN</w:t>
            </w:r>
          </w:p>
        </w:tc>
        <w:tc>
          <w:tcPr>
            <w:tcW w:w="34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7D758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599FAD69" w14:textId="77777777" w:rsidTr="00DB4F40">
        <w:trPr>
          <w:trHeight w:val="24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DC7580"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41125337</w:t>
            </w:r>
          </w:p>
        </w:tc>
        <w:tc>
          <w:tcPr>
            <w:tcW w:w="3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949C5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MORALES GARCÍA RODRIGO</w:t>
            </w:r>
          </w:p>
        </w:tc>
        <w:tc>
          <w:tcPr>
            <w:tcW w:w="34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FBF6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57B4C8F9" w14:textId="77777777" w:rsidTr="00DB4F40">
        <w:trPr>
          <w:trHeight w:val="24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CC75CD"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41110847</w:t>
            </w:r>
          </w:p>
        </w:tc>
        <w:tc>
          <w:tcPr>
            <w:tcW w:w="3873" w:type="dxa"/>
            <w:tcBorders>
              <w:top w:val="single" w:sz="4" w:space="0" w:color="auto"/>
              <w:left w:val="nil"/>
              <w:bottom w:val="single" w:sz="4" w:space="0" w:color="auto"/>
              <w:right w:val="single" w:sz="4" w:space="0" w:color="auto"/>
            </w:tcBorders>
            <w:shd w:val="clear" w:color="auto" w:fill="auto"/>
            <w:noWrap/>
            <w:vAlign w:val="bottom"/>
            <w:hideMark/>
          </w:tcPr>
          <w:p w14:paraId="07D01F7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QUINTANA MONROY ADELA</w:t>
            </w:r>
          </w:p>
        </w:tc>
        <w:tc>
          <w:tcPr>
            <w:tcW w:w="3447" w:type="dxa"/>
            <w:tcBorders>
              <w:top w:val="single" w:sz="4" w:space="0" w:color="auto"/>
              <w:left w:val="nil"/>
              <w:bottom w:val="single" w:sz="4" w:space="0" w:color="auto"/>
              <w:right w:val="single" w:sz="4" w:space="0" w:color="auto"/>
            </w:tcBorders>
            <w:shd w:val="clear" w:color="auto" w:fill="auto"/>
            <w:noWrap/>
            <w:vAlign w:val="bottom"/>
            <w:hideMark/>
          </w:tcPr>
          <w:p w14:paraId="565360C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2A878415"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D8EDD03"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41134941</w:t>
            </w:r>
          </w:p>
        </w:tc>
        <w:tc>
          <w:tcPr>
            <w:tcW w:w="3873" w:type="dxa"/>
            <w:tcBorders>
              <w:top w:val="nil"/>
              <w:left w:val="nil"/>
              <w:bottom w:val="single" w:sz="4" w:space="0" w:color="auto"/>
              <w:right w:val="single" w:sz="4" w:space="0" w:color="auto"/>
            </w:tcBorders>
            <w:shd w:val="clear" w:color="auto" w:fill="auto"/>
            <w:noWrap/>
            <w:vAlign w:val="bottom"/>
            <w:hideMark/>
          </w:tcPr>
          <w:p w14:paraId="7CC18CC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RESÉNDIZ MARTÍNEZ REMEDIOS</w:t>
            </w:r>
          </w:p>
        </w:tc>
        <w:tc>
          <w:tcPr>
            <w:tcW w:w="3447" w:type="dxa"/>
            <w:tcBorders>
              <w:top w:val="nil"/>
              <w:left w:val="nil"/>
              <w:bottom w:val="single" w:sz="4" w:space="0" w:color="auto"/>
              <w:right w:val="single" w:sz="4" w:space="0" w:color="auto"/>
            </w:tcBorders>
            <w:shd w:val="clear" w:color="auto" w:fill="auto"/>
            <w:noWrap/>
            <w:vAlign w:val="bottom"/>
            <w:hideMark/>
          </w:tcPr>
          <w:p w14:paraId="2842ECE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094E79A6" w14:textId="77777777" w:rsidTr="00DB4F40">
        <w:trPr>
          <w:trHeight w:val="240"/>
        </w:trPr>
        <w:tc>
          <w:tcPr>
            <w:tcW w:w="1120" w:type="dxa"/>
            <w:tcBorders>
              <w:top w:val="nil"/>
              <w:left w:val="single" w:sz="4" w:space="0" w:color="auto"/>
              <w:bottom w:val="single" w:sz="4" w:space="0" w:color="auto"/>
              <w:right w:val="single" w:sz="4" w:space="0" w:color="auto"/>
            </w:tcBorders>
            <w:shd w:val="clear" w:color="000000" w:fill="FFFFFF"/>
            <w:noWrap/>
            <w:vAlign w:val="bottom"/>
            <w:hideMark/>
          </w:tcPr>
          <w:p w14:paraId="2BE2E083" w14:textId="77777777" w:rsidR="00CB01C8" w:rsidRPr="00CB01C8" w:rsidRDefault="00CB01C8" w:rsidP="00CB01C8">
            <w:pPr>
              <w:spacing w:after="0" w:line="240" w:lineRule="auto"/>
              <w:jc w:val="center"/>
              <w:rPr>
                <w:rFonts w:cs="Calibri"/>
                <w:color w:val="000000"/>
                <w:sz w:val="18"/>
                <w:szCs w:val="18"/>
              </w:rPr>
            </w:pPr>
            <w:r w:rsidRPr="00CB01C8">
              <w:rPr>
                <w:rFonts w:cs="Calibri"/>
                <w:color w:val="000000"/>
                <w:sz w:val="18"/>
                <w:szCs w:val="18"/>
              </w:rPr>
              <w:t>41122870</w:t>
            </w:r>
          </w:p>
        </w:tc>
        <w:tc>
          <w:tcPr>
            <w:tcW w:w="3873" w:type="dxa"/>
            <w:tcBorders>
              <w:top w:val="nil"/>
              <w:left w:val="nil"/>
              <w:bottom w:val="single" w:sz="4" w:space="0" w:color="auto"/>
              <w:right w:val="single" w:sz="4" w:space="0" w:color="auto"/>
            </w:tcBorders>
            <w:shd w:val="clear" w:color="000000" w:fill="FFFFFF"/>
            <w:noWrap/>
            <w:vAlign w:val="bottom"/>
            <w:hideMark/>
          </w:tcPr>
          <w:p w14:paraId="39CBD4F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RIVERA JARAMILLO YOSELIN ATHALIA</w:t>
            </w:r>
          </w:p>
        </w:tc>
        <w:tc>
          <w:tcPr>
            <w:tcW w:w="3447" w:type="dxa"/>
            <w:tcBorders>
              <w:top w:val="nil"/>
              <w:left w:val="nil"/>
              <w:bottom w:val="single" w:sz="4" w:space="0" w:color="auto"/>
              <w:right w:val="single" w:sz="4" w:space="0" w:color="auto"/>
            </w:tcBorders>
            <w:shd w:val="clear" w:color="auto" w:fill="auto"/>
            <w:noWrap/>
            <w:vAlign w:val="bottom"/>
            <w:hideMark/>
          </w:tcPr>
          <w:p w14:paraId="5BB6A7C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423248B4" w14:textId="77777777" w:rsidTr="00DB4F40">
        <w:trPr>
          <w:trHeight w:val="240"/>
        </w:trPr>
        <w:tc>
          <w:tcPr>
            <w:tcW w:w="1120" w:type="dxa"/>
            <w:tcBorders>
              <w:top w:val="nil"/>
              <w:left w:val="single" w:sz="4" w:space="0" w:color="auto"/>
              <w:bottom w:val="single" w:sz="4" w:space="0" w:color="auto"/>
              <w:right w:val="single" w:sz="4" w:space="0" w:color="auto"/>
            </w:tcBorders>
            <w:shd w:val="clear" w:color="000000" w:fill="FFFFFF"/>
            <w:noWrap/>
            <w:vAlign w:val="bottom"/>
            <w:hideMark/>
          </w:tcPr>
          <w:p w14:paraId="229D8350" w14:textId="77777777" w:rsidR="00CB01C8" w:rsidRPr="00CB01C8" w:rsidRDefault="00CB01C8" w:rsidP="00CB01C8">
            <w:pPr>
              <w:spacing w:after="0" w:line="240" w:lineRule="auto"/>
              <w:jc w:val="center"/>
              <w:rPr>
                <w:rFonts w:cs="Calibri"/>
                <w:color w:val="000000"/>
                <w:sz w:val="18"/>
                <w:szCs w:val="18"/>
              </w:rPr>
            </w:pPr>
            <w:r w:rsidRPr="00CB01C8">
              <w:rPr>
                <w:rFonts w:cs="Calibri"/>
                <w:color w:val="000000"/>
                <w:sz w:val="18"/>
                <w:szCs w:val="18"/>
              </w:rPr>
              <w:t>41110803</w:t>
            </w:r>
          </w:p>
        </w:tc>
        <w:tc>
          <w:tcPr>
            <w:tcW w:w="3873" w:type="dxa"/>
            <w:tcBorders>
              <w:top w:val="nil"/>
              <w:left w:val="nil"/>
              <w:bottom w:val="single" w:sz="4" w:space="0" w:color="auto"/>
              <w:right w:val="single" w:sz="4" w:space="0" w:color="auto"/>
            </w:tcBorders>
            <w:shd w:val="clear" w:color="000000" w:fill="FFFFFF"/>
            <w:noWrap/>
            <w:vAlign w:val="bottom"/>
            <w:hideMark/>
          </w:tcPr>
          <w:p w14:paraId="0FC35BC6"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SÁNCHEZ ZACATECO ELIZABETH</w:t>
            </w:r>
          </w:p>
        </w:tc>
        <w:tc>
          <w:tcPr>
            <w:tcW w:w="3447" w:type="dxa"/>
            <w:tcBorders>
              <w:top w:val="nil"/>
              <w:left w:val="nil"/>
              <w:bottom w:val="single" w:sz="4" w:space="0" w:color="auto"/>
              <w:right w:val="single" w:sz="4" w:space="0" w:color="auto"/>
            </w:tcBorders>
            <w:shd w:val="clear" w:color="auto" w:fill="auto"/>
            <w:noWrap/>
            <w:vAlign w:val="bottom"/>
            <w:hideMark/>
          </w:tcPr>
          <w:p w14:paraId="54A467E3"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5299CE6D"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E1C080B"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41110805</w:t>
            </w:r>
          </w:p>
        </w:tc>
        <w:tc>
          <w:tcPr>
            <w:tcW w:w="3873" w:type="dxa"/>
            <w:tcBorders>
              <w:top w:val="nil"/>
              <w:left w:val="nil"/>
              <w:bottom w:val="single" w:sz="4" w:space="0" w:color="auto"/>
              <w:right w:val="single" w:sz="4" w:space="0" w:color="auto"/>
            </w:tcBorders>
            <w:shd w:val="clear" w:color="auto" w:fill="auto"/>
            <w:noWrap/>
            <w:vAlign w:val="bottom"/>
            <w:hideMark/>
          </w:tcPr>
          <w:p w14:paraId="346D61FE"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SIFUENTES GARCÍA CARLOS INDOLFO</w:t>
            </w:r>
          </w:p>
        </w:tc>
        <w:tc>
          <w:tcPr>
            <w:tcW w:w="3447" w:type="dxa"/>
            <w:tcBorders>
              <w:top w:val="nil"/>
              <w:left w:val="nil"/>
              <w:bottom w:val="single" w:sz="4" w:space="0" w:color="auto"/>
              <w:right w:val="single" w:sz="4" w:space="0" w:color="auto"/>
            </w:tcBorders>
            <w:shd w:val="clear" w:color="auto" w:fill="auto"/>
            <w:noWrap/>
            <w:vAlign w:val="bottom"/>
            <w:hideMark/>
          </w:tcPr>
          <w:p w14:paraId="6355188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28BE5FF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19102F6"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41110102</w:t>
            </w:r>
          </w:p>
        </w:tc>
        <w:tc>
          <w:tcPr>
            <w:tcW w:w="3873" w:type="dxa"/>
            <w:tcBorders>
              <w:top w:val="nil"/>
              <w:left w:val="nil"/>
              <w:bottom w:val="single" w:sz="4" w:space="0" w:color="auto"/>
              <w:right w:val="single" w:sz="4" w:space="0" w:color="auto"/>
            </w:tcBorders>
            <w:shd w:val="clear" w:color="auto" w:fill="auto"/>
            <w:noWrap/>
            <w:vAlign w:val="bottom"/>
            <w:hideMark/>
          </w:tcPr>
          <w:p w14:paraId="632B8FA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VÁZQUEZ LÓPEZ MERARI SUJEY</w:t>
            </w:r>
          </w:p>
        </w:tc>
        <w:tc>
          <w:tcPr>
            <w:tcW w:w="3447" w:type="dxa"/>
            <w:tcBorders>
              <w:top w:val="nil"/>
              <w:left w:val="nil"/>
              <w:bottom w:val="single" w:sz="4" w:space="0" w:color="auto"/>
              <w:right w:val="single" w:sz="4" w:space="0" w:color="auto"/>
            </w:tcBorders>
            <w:shd w:val="clear" w:color="auto" w:fill="auto"/>
            <w:noWrap/>
            <w:vAlign w:val="bottom"/>
            <w:hideMark/>
          </w:tcPr>
          <w:p w14:paraId="1931DB7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14:paraId="2EE4280A"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A7475DA"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41122888</w:t>
            </w:r>
          </w:p>
        </w:tc>
        <w:tc>
          <w:tcPr>
            <w:tcW w:w="3873" w:type="dxa"/>
            <w:tcBorders>
              <w:top w:val="nil"/>
              <w:left w:val="nil"/>
              <w:bottom w:val="single" w:sz="4" w:space="0" w:color="auto"/>
              <w:right w:val="single" w:sz="4" w:space="0" w:color="auto"/>
            </w:tcBorders>
            <w:shd w:val="clear" w:color="auto" w:fill="auto"/>
            <w:noWrap/>
            <w:vAlign w:val="bottom"/>
            <w:hideMark/>
          </w:tcPr>
          <w:p w14:paraId="50D9EDF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RODRÍGUEZ LÓPEZ KARINA</w:t>
            </w:r>
          </w:p>
        </w:tc>
        <w:tc>
          <w:tcPr>
            <w:tcW w:w="3447" w:type="dxa"/>
            <w:tcBorders>
              <w:top w:val="nil"/>
              <w:left w:val="nil"/>
              <w:bottom w:val="single" w:sz="4" w:space="0" w:color="auto"/>
              <w:right w:val="single" w:sz="4" w:space="0" w:color="auto"/>
            </w:tcBorders>
            <w:shd w:val="clear" w:color="auto" w:fill="auto"/>
            <w:noWrap/>
            <w:vAlign w:val="bottom"/>
            <w:hideMark/>
          </w:tcPr>
          <w:p w14:paraId="538BA27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SERGIO PEREZ MATA</w:t>
            </w:r>
          </w:p>
        </w:tc>
      </w:tr>
      <w:tr w:rsidR="00CB01C8" w:rsidRPr="00CB01C8" w14:paraId="2FAD148C"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1E0D0B1"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41110804</w:t>
            </w:r>
          </w:p>
        </w:tc>
        <w:tc>
          <w:tcPr>
            <w:tcW w:w="3873" w:type="dxa"/>
            <w:tcBorders>
              <w:top w:val="nil"/>
              <w:left w:val="nil"/>
              <w:bottom w:val="single" w:sz="4" w:space="0" w:color="auto"/>
              <w:right w:val="single" w:sz="4" w:space="0" w:color="auto"/>
            </w:tcBorders>
            <w:shd w:val="clear" w:color="auto" w:fill="auto"/>
            <w:noWrap/>
            <w:vAlign w:val="bottom"/>
            <w:hideMark/>
          </w:tcPr>
          <w:p w14:paraId="28B2CD9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RODRÍGUEZ MARTÍNEZ JOSÉ EDUARDO</w:t>
            </w:r>
          </w:p>
        </w:tc>
        <w:tc>
          <w:tcPr>
            <w:tcW w:w="3447" w:type="dxa"/>
            <w:tcBorders>
              <w:top w:val="nil"/>
              <w:left w:val="nil"/>
              <w:bottom w:val="single" w:sz="4" w:space="0" w:color="auto"/>
              <w:right w:val="single" w:sz="4" w:space="0" w:color="auto"/>
            </w:tcBorders>
            <w:shd w:val="clear" w:color="auto" w:fill="auto"/>
            <w:noWrap/>
            <w:vAlign w:val="bottom"/>
            <w:hideMark/>
          </w:tcPr>
          <w:p w14:paraId="6E86425E"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SERGIO PEREZ MATA</w:t>
            </w:r>
          </w:p>
        </w:tc>
      </w:tr>
      <w:tr w:rsidR="00CB01C8" w:rsidRPr="00CB01C8" w14:paraId="4CEE4B0A"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DFA1734"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41110099</w:t>
            </w:r>
          </w:p>
        </w:tc>
        <w:tc>
          <w:tcPr>
            <w:tcW w:w="3873" w:type="dxa"/>
            <w:tcBorders>
              <w:top w:val="nil"/>
              <w:left w:val="nil"/>
              <w:bottom w:val="single" w:sz="4" w:space="0" w:color="auto"/>
              <w:right w:val="single" w:sz="4" w:space="0" w:color="auto"/>
            </w:tcBorders>
            <w:shd w:val="clear" w:color="auto" w:fill="auto"/>
            <w:noWrap/>
            <w:vAlign w:val="bottom"/>
            <w:hideMark/>
          </w:tcPr>
          <w:p w14:paraId="1E58DF4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SÁNCHEZ ZARATE OCTAVIA</w:t>
            </w:r>
          </w:p>
        </w:tc>
        <w:tc>
          <w:tcPr>
            <w:tcW w:w="3447" w:type="dxa"/>
            <w:tcBorders>
              <w:top w:val="nil"/>
              <w:left w:val="nil"/>
              <w:bottom w:val="single" w:sz="4" w:space="0" w:color="auto"/>
              <w:right w:val="single" w:sz="4" w:space="0" w:color="auto"/>
            </w:tcBorders>
            <w:shd w:val="clear" w:color="auto" w:fill="auto"/>
            <w:noWrap/>
            <w:vAlign w:val="bottom"/>
            <w:hideMark/>
          </w:tcPr>
          <w:p w14:paraId="527AD29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SERGIO PEREZ MATA</w:t>
            </w:r>
          </w:p>
        </w:tc>
      </w:tr>
      <w:tr w:rsidR="00CB01C8" w:rsidRPr="00CB01C8" w14:paraId="245FAE5F"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CC1AA74"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41154394</w:t>
            </w:r>
          </w:p>
        </w:tc>
        <w:tc>
          <w:tcPr>
            <w:tcW w:w="3873" w:type="dxa"/>
            <w:tcBorders>
              <w:top w:val="nil"/>
              <w:left w:val="nil"/>
              <w:bottom w:val="single" w:sz="4" w:space="0" w:color="auto"/>
              <w:right w:val="single" w:sz="4" w:space="0" w:color="auto"/>
            </w:tcBorders>
            <w:shd w:val="clear" w:color="auto" w:fill="auto"/>
            <w:noWrap/>
            <w:vAlign w:val="bottom"/>
            <w:hideMark/>
          </w:tcPr>
          <w:p w14:paraId="5CB50C9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SANTILLANA SAUCEDO LUIS JOAQUIN</w:t>
            </w:r>
          </w:p>
        </w:tc>
        <w:tc>
          <w:tcPr>
            <w:tcW w:w="3447" w:type="dxa"/>
            <w:tcBorders>
              <w:top w:val="nil"/>
              <w:left w:val="nil"/>
              <w:bottom w:val="single" w:sz="4" w:space="0" w:color="auto"/>
              <w:right w:val="single" w:sz="4" w:space="0" w:color="auto"/>
            </w:tcBorders>
            <w:shd w:val="clear" w:color="auto" w:fill="auto"/>
            <w:noWrap/>
            <w:vAlign w:val="bottom"/>
            <w:hideMark/>
          </w:tcPr>
          <w:p w14:paraId="28B0DEC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SERGIO PEREZ MATA</w:t>
            </w:r>
          </w:p>
        </w:tc>
      </w:tr>
      <w:tr w:rsidR="00CB01C8" w:rsidRPr="00CB01C8" w14:paraId="10DDA9C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5B134D4"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41154451</w:t>
            </w:r>
          </w:p>
        </w:tc>
        <w:tc>
          <w:tcPr>
            <w:tcW w:w="3873" w:type="dxa"/>
            <w:tcBorders>
              <w:top w:val="nil"/>
              <w:left w:val="nil"/>
              <w:bottom w:val="single" w:sz="4" w:space="0" w:color="auto"/>
              <w:right w:val="single" w:sz="4" w:space="0" w:color="auto"/>
            </w:tcBorders>
            <w:shd w:val="clear" w:color="auto" w:fill="auto"/>
            <w:noWrap/>
            <w:vAlign w:val="bottom"/>
            <w:hideMark/>
          </w:tcPr>
          <w:p w14:paraId="7A4452F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SILVESTRE MARTÍNEZ ALONDRA</w:t>
            </w:r>
          </w:p>
        </w:tc>
        <w:tc>
          <w:tcPr>
            <w:tcW w:w="3447" w:type="dxa"/>
            <w:tcBorders>
              <w:top w:val="nil"/>
              <w:left w:val="nil"/>
              <w:bottom w:val="single" w:sz="4" w:space="0" w:color="auto"/>
              <w:right w:val="single" w:sz="4" w:space="0" w:color="auto"/>
            </w:tcBorders>
            <w:shd w:val="clear" w:color="auto" w:fill="auto"/>
            <w:noWrap/>
            <w:vAlign w:val="bottom"/>
            <w:hideMark/>
          </w:tcPr>
          <w:p w14:paraId="2A300FD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SERGIO PEREZ MATA</w:t>
            </w:r>
          </w:p>
        </w:tc>
      </w:tr>
      <w:tr w:rsidR="00CB01C8" w:rsidRPr="00CB01C8" w14:paraId="1471F44E"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2C6902F"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41154386</w:t>
            </w:r>
          </w:p>
        </w:tc>
        <w:tc>
          <w:tcPr>
            <w:tcW w:w="3873" w:type="dxa"/>
            <w:tcBorders>
              <w:top w:val="nil"/>
              <w:left w:val="nil"/>
              <w:bottom w:val="single" w:sz="4" w:space="0" w:color="auto"/>
              <w:right w:val="single" w:sz="4" w:space="0" w:color="auto"/>
            </w:tcBorders>
            <w:shd w:val="clear" w:color="auto" w:fill="auto"/>
            <w:noWrap/>
            <w:vAlign w:val="bottom"/>
            <w:hideMark/>
          </w:tcPr>
          <w:p w14:paraId="3696159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SIMENTAL De LA PAZ JOSÉ RODOLFO</w:t>
            </w:r>
          </w:p>
        </w:tc>
        <w:tc>
          <w:tcPr>
            <w:tcW w:w="3447" w:type="dxa"/>
            <w:tcBorders>
              <w:top w:val="nil"/>
              <w:left w:val="nil"/>
              <w:bottom w:val="single" w:sz="4" w:space="0" w:color="auto"/>
              <w:right w:val="single" w:sz="4" w:space="0" w:color="auto"/>
            </w:tcBorders>
            <w:shd w:val="clear" w:color="auto" w:fill="auto"/>
            <w:noWrap/>
            <w:vAlign w:val="bottom"/>
            <w:hideMark/>
          </w:tcPr>
          <w:p w14:paraId="36C73CB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SERGIO PEREZ MATA</w:t>
            </w:r>
          </w:p>
        </w:tc>
      </w:tr>
      <w:tr w:rsidR="00CB01C8" w:rsidRPr="00CB01C8" w14:paraId="092F7269"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2B61F69"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41110763</w:t>
            </w:r>
          </w:p>
        </w:tc>
        <w:tc>
          <w:tcPr>
            <w:tcW w:w="3873" w:type="dxa"/>
            <w:tcBorders>
              <w:top w:val="nil"/>
              <w:left w:val="nil"/>
              <w:bottom w:val="single" w:sz="4" w:space="0" w:color="auto"/>
              <w:right w:val="single" w:sz="4" w:space="0" w:color="auto"/>
            </w:tcBorders>
            <w:shd w:val="clear" w:color="000000" w:fill="FFFFFF"/>
            <w:noWrap/>
            <w:vAlign w:val="bottom"/>
            <w:hideMark/>
          </w:tcPr>
          <w:p w14:paraId="4FDFFF7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MENDEZ HERNANDEZ CLARISELDA</w:t>
            </w:r>
          </w:p>
        </w:tc>
        <w:tc>
          <w:tcPr>
            <w:tcW w:w="3447" w:type="dxa"/>
            <w:tcBorders>
              <w:top w:val="nil"/>
              <w:left w:val="nil"/>
              <w:bottom w:val="single" w:sz="4" w:space="0" w:color="auto"/>
              <w:right w:val="single" w:sz="4" w:space="0" w:color="auto"/>
            </w:tcBorders>
            <w:shd w:val="clear" w:color="auto" w:fill="auto"/>
            <w:noWrap/>
            <w:vAlign w:val="bottom"/>
            <w:hideMark/>
          </w:tcPr>
          <w:p w14:paraId="5F598AD2"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14:paraId="4BFDCAF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C44CAA2"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41138926</w:t>
            </w:r>
          </w:p>
        </w:tc>
        <w:tc>
          <w:tcPr>
            <w:tcW w:w="3873" w:type="dxa"/>
            <w:tcBorders>
              <w:top w:val="nil"/>
              <w:left w:val="nil"/>
              <w:bottom w:val="single" w:sz="4" w:space="0" w:color="auto"/>
              <w:right w:val="single" w:sz="4" w:space="0" w:color="auto"/>
            </w:tcBorders>
            <w:shd w:val="clear" w:color="auto" w:fill="auto"/>
            <w:noWrap/>
            <w:vAlign w:val="bottom"/>
            <w:hideMark/>
          </w:tcPr>
          <w:p w14:paraId="761E944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MORALES CASIANO ANALADY</w:t>
            </w:r>
          </w:p>
        </w:tc>
        <w:tc>
          <w:tcPr>
            <w:tcW w:w="3447" w:type="dxa"/>
            <w:tcBorders>
              <w:top w:val="nil"/>
              <w:left w:val="nil"/>
              <w:bottom w:val="single" w:sz="4" w:space="0" w:color="auto"/>
              <w:right w:val="single" w:sz="4" w:space="0" w:color="auto"/>
            </w:tcBorders>
            <w:shd w:val="clear" w:color="auto" w:fill="auto"/>
            <w:noWrap/>
            <w:vAlign w:val="bottom"/>
            <w:hideMark/>
          </w:tcPr>
          <w:p w14:paraId="0E2C13B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14:paraId="046C5D0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260645C"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41146382</w:t>
            </w:r>
          </w:p>
        </w:tc>
        <w:tc>
          <w:tcPr>
            <w:tcW w:w="3873" w:type="dxa"/>
            <w:tcBorders>
              <w:top w:val="nil"/>
              <w:left w:val="nil"/>
              <w:bottom w:val="single" w:sz="4" w:space="0" w:color="auto"/>
              <w:right w:val="single" w:sz="4" w:space="0" w:color="auto"/>
            </w:tcBorders>
            <w:shd w:val="clear" w:color="auto" w:fill="auto"/>
            <w:noWrap/>
            <w:vAlign w:val="bottom"/>
            <w:hideMark/>
          </w:tcPr>
          <w:p w14:paraId="26F6F63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PÉREZ PEÑA MIGUEL</w:t>
            </w:r>
          </w:p>
        </w:tc>
        <w:tc>
          <w:tcPr>
            <w:tcW w:w="3447" w:type="dxa"/>
            <w:tcBorders>
              <w:top w:val="nil"/>
              <w:left w:val="nil"/>
              <w:bottom w:val="single" w:sz="4" w:space="0" w:color="auto"/>
              <w:right w:val="single" w:sz="4" w:space="0" w:color="auto"/>
            </w:tcBorders>
            <w:shd w:val="clear" w:color="auto" w:fill="auto"/>
            <w:noWrap/>
            <w:vAlign w:val="bottom"/>
            <w:hideMark/>
          </w:tcPr>
          <w:p w14:paraId="6B5058D2"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14:paraId="44D06BD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C390525"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41146085</w:t>
            </w:r>
          </w:p>
        </w:tc>
        <w:tc>
          <w:tcPr>
            <w:tcW w:w="3873" w:type="dxa"/>
            <w:tcBorders>
              <w:top w:val="nil"/>
              <w:left w:val="nil"/>
              <w:bottom w:val="single" w:sz="4" w:space="0" w:color="auto"/>
              <w:right w:val="single" w:sz="4" w:space="0" w:color="auto"/>
            </w:tcBorders>
            <w:shd w:val="clear" w:color="auto" w:fill="auto"/>
            <w:noWrap/>
            <w:vAlign w:val="bottom"/>
            <w:hideMark/>
          </w:tcPr>
          <w:p w14:paraId="42873A1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RIVERA GONZALEZ FERNANDO</w:t>
            </w:r>
          </w:p>
        </w:tc>
        <w:tc>
          <w:tcPr>
            <w:tcW w:w="3447" w:type="dxa"/>
            <w:tcBorders>
              <w:top w:val="nil"/>
              <w:left w:val="nil"/>
              <w:bottom w:val="single" w:sz="4" w:space="0" w:color="auto"/>
              <w:right w:val="single" w:sz="4" w:space="0" w:color="auto"/>
            </w:tcBorders>
            <w:shd w:val="clear" w:color="auto" w:fill="auto"/>
            <w:noWrap/>
            <w:vAlign w:val="bottom"/>
            <w:hideMark/>
          </w:tcPr>
          <w:p w14:paraId="58CCD33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14:paraId="1FAC1D2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AC5855A"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41146283</w:t>
            </w:r>
          </w:p>
        </w:tc>
        <w:tc>
          <w:tcPr>
            <w:tcW w:w="3873" w:type="dxa"/>
            <w:tcBorders>
              <w:top w:val="nil"/>
              <w:left w:val="nil"/>
              <w:bottom w:val="single" w:sz="4" w:space="0" w:color="auto"/>
              <w:right w:val="single" w:sz="4" w:space="0" w:color="auto"/>
            </w:tcBorders>
            <w:shd w:val="clear" w:color="auto" w:fill="auto"/>
            <w:noWrap/>
            <w:vAlign w:val="bottom"/>
            <w:hideMark/>
          </w:tcPr>
          <w:p w14:paraId="56997F4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RODRIGUEZ MARTINEZ MARY CRUZ</w:t>
            </w:r>
          </w:p>
        </w:tc>
        <w:tc>
          <w:tcPr>
            <w:tcW w:w="3447" w:type="dxa"/>
            <w:tcBorders>
              <w:top w:val="nil"/>
              <w:left w:val="nil"/>
              <w:bottom w:val="single" w:sz="4" w:space="0" w:color="auto"/>
              <w:right w:val="single" w:sz="4" w:space="0" w:color="auto"/>
            </w:tcBorders>
            <w:shd w:val="clear" w:color="auto" w:fill="auto"/>
            <w:noWrap/>
            <w:vAlign w:val="bottom"/>
            <w:hideMark/>
          </w:tcPr>
          <w:p w14:paraId="59B569E3"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14:paraId="0099A1AF"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8E74C64"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41146309</w:t>
            </w:r>
          </w:p>
        </w:tc>
        <w:tc>
          <w:tcPr>
            <w:tcW w:w="3873" w:type="dxa"/>
            <w:tcBorders>
              <w:top w:val="nil"/>
              <w:left w:val="nil"/>
              <w:bottom w:val="single" w:sz="4" w:space="0" w:color="auto"/>
              <w:right w:val="single" w:sz="4" w:space="0" w:color="auto"/>
            </w:tcBorders>
            <w:shd w:val="clear" w:color="auto" w:fill="auto"/>
            <w:noWrap/>
            <w:vAlign w:val="bottom"/>
            <w:hideMark/>
          </w:tcPr>
          <w:p w14:paraId="4C6A6F65"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SANTIAGO GOMEZ FILEMON</w:t>
            </w:r>
          </w:p>
        </w:tc>
        <w:tc>
          <w:tcPr>
            <w:tcW w:w="3447" w:type="dxa"/>
            <w:tcBorders>
              <w:top w:val="nil"/>
              <w:left w:val="nil"/>
              <w:bottom w:val="single" w:sz="4" w:space="0" w:color="auto"/>
              <w:right w:val="single" w:sz="4" w:space="0" w:color="auto"/>
            </w:tcBorders>
            <w:shd w:val="clear" w:color="auto" w:fill="auto"/>
            <w:noWrap/>
            <w:vAlign w:val="bottom"/>
            <w:hideMark/>
          </w:tcPr>
          <w:p w14:paraId="2A40521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14:paraId="6B0B94EA"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0DC76F1"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41146192</w:t>
            </w:r>
          </w:p>
        </w:tc>
        <w:tc>
          <w:tcPr>
            <w:tcW w:w="3873" w:type="dxa"/>
            <w:tcBorders>
              <w:top w:val="nil"/>
              <w:left w:val="nil"/>
              <w:bottom w:val="single" w:sz="4" w:space="0" w:color="auto"/>
              <w:right w:val="single" w:sz="4" w:space="0" w:color="auto"/>
            </w:tcBorders>
            <w:shd w:val="clear" w:color="auto" w:fill="auto"/>
            <w:noWrap/>
            <w:vAlign w:val="bottom"/>
            <w:hideMark/>
          </w:tcPr>
          <w:p w14:paraId="44CBB02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TAMEZ OLLOQUI ANGEL EDUARDO</w:t>
            </w:r>
          </w:p>
        </w:tc>
        <w:tc>
          <w:tcPr>
            <w:tcW w:w="3447" w:type="dxa"/>
            <w:tcBorders>
              <w:top w:val="nil"/>
              <w:left w:val="nil"/>
              <w:bottom w:val="single" w:sz="4" w:space="0" w:color="auto"/>
              <w:right w:val="single" w:sz="4" w:space="0" w:color="auto"/>
            </w:tcBorders>
            <w:shd w:val="clear" w:color="auto" w:fill="auto"/>
            <w:noWrap/>
            <w:vAlign w:val="bottom"/>
            <w:hideMark/>
          </w:tcPr>
          <w:p w14:paraId="55319AC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14:paraId="75AF05F5"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65CBFEE"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41137738</w:t>
            </w:r>
          </w:p>
        </w:tc>
        <w:tc>
          <w:tcPr>
            <w:tcW w:w="3873" w:type="dxa"/>
            <w:tcBorders>
              <w:top w:val="nil"/>
              <w:left w:val="nil"/>
              <w:bottom w:val="single" w:sz="4" w:space="0" w:color="auto"/>
              <w:right w:val="single" w:sz="4" w:space="0" w:color="auto"/>
            </w:tcBorders>
            <w:shd w:val="clear" w:color="auto" w:fill="auto"/>
            <w:noWrap/>
            <w:vAlign w:val="bottom"/>
            <w:hideMark/>
          </w:tcPr>
          <w:p w14:paraId="1F3BEF1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VEGA GARCÍA TEOCALLI ARYDIANA</w:t>
            </w:r>
          </w:p>
        </w:tc>
        <w:tc>
          <w:tcPr>
            <w:tcW w:w="3447" w:type="dxa"/>
            <w:tcBorders>
              <w:top w:val="nil"/>
              <w:left w:val="nil"/>
              <w:bottom w:val="single" w:sz="4" w:space="0" w:color="auto"/>
              <w:right w:val="single" w:sz="4" w:space="0" w:color="auto"/>
            </w:tcBorders>
            <w:shd w:val="clear" w:color="auto" w:fill="auto"/>
            <w:noWrap/>
            <w:vAlign w:val="bottom"/>
            <w:hideMark/>
          </w:tcPr>
          <w:p w14:paraId="59503932"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14:paraId="6C0A3ED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6847D31"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41110834</w:t>
            </w:r>
          </w:p>
        </w:tc>
        <w:tc>
          <w:tcPr>
            <w:tcW w:w="3873" w:type="dxa"/>
            <w:tcBorders>
              <w:top w:val="nil"/>
              <w:left w:val="nil"/>
              <w:bottom w:val="single" w:sz="4" w:space="0" w:color="auto"/>
              <w:right w:val="single" w:sz="4" w:space="0" w:color="auto"/>
            </w:tcBorders>
            <w:shd w:val="clear" w:color="auto" w:fill="auto"/>
            <w:noWrap/>
            <w:vAlign w:val="bottom"/>
            <w:hideMark/>
          </w:tcPr>
          <w:p w14:paraId="33C39DF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AGUILAR GARCÍA JOSÉ ENOC</w:t>
            </w:r>
          </w:p>
        </w:tc>
        <w:tc>
          <w:tcPr>
            <w:tcW w:w="3447" w:type="dxa"/>
            <w:tcBorders>
              <w:top w:val="nil"/>
              <w:left w:val="nil"/>
              <w:bottom w:val="single" w:sz="4" w:space="0" w:color="auto"/>
              <w:right w:val="single" w:sz="4" w:space="0" w:color="auto"/>
            </w:tcBorders>
            <w:shd w:val="clear" w:color="auto" w:fill="auto"/>
            <w:noWrap/>
            <w:vAlign w:val="bottom"/>
            <w:hideMark/>
          </w:tcPr>
          <w:p w14:paraId="728ED18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47EA2327" w14:textId="77777777" w:rsidTr="00DB4F40">
        <w:trPr>
          <w:trHeight w:val="240"/>
        </w:trPr>
        <w:tc>
          <w:tcPr>
            <w:tcW w:w="1120" w:type="dxa"/>
            <w:tcBorders>
              <w:top w:val="nil"/>
              <w:left w:val="single" w:sz="4" w:space="0" w:color="auto"/>
              <w:bottom w:val="single" w:sz="4" w:space="0" w:color="auto"/>
              <w:right w:val="single" w:sz="4" w:space="0" w:color="auto"/>
            </w:tcBorders>
            <w:shd w:val="clear" w:color="000000" w:fill="FFFFFF"/>
            <w:noWrap/>
            <w:vAlign w:val="bottom"/>
            <w:hideMark/>
          </w:tcPr>
          <w:p w14:paraId="601929CC" w14:textId="77777777" w:rsidR="00CB01C8" w:rsidRPr="00CB01C8" w:rsidRDefault="00CB01C8" w:rsidP="00CB01C8">
            <w:pPr>
              <w:spacing w:after="0" w:line="240" w:lineRule="auto"/>
              <w:jc w:val="right"/>
              <w:rPr>
                <w:rFonts w:cs="Calibri"/>
                <w:sz w:val="18"/>
                <w:szCs w:val="18"/>
              </w:rPr>
            </w:pPr>
            <w:r w:rsidRPr="00CB01C8">
              <w:rPr>
                <w:rFonts w:cs="Calibri"/>
                <w:sz w:val="18"/>
                <w:szCs w:val="18"/>
              </w:rPr>
              <w:t>41154436</w:t>
            </w:r>
          </w:p>
        </w:tc>
        <w:tc>
          <w:tcPr>
            <w:tcW w:w="3873" w:type="dxa"/>
            <w:tcBorders>
              <w:top w:val="nil"/>
              <w:left w:val="nil"/>
              <w:bottom w:val="single" w:sz="4" w:space="0" w:color="auto"/>
              <w:right w:val="single" w:sz="4" w:space="0" w:color="auto"/>
            </w:tcBorders>
            <w:shd w:val="clear" w:color="000000" w:fill="FFFFFF"/>
            <w:noWrap/>
            <w:vAlign w:val="bottom"/>
            <w:hideMark/>
          </w:tcPr>
          <w:p w14:paraId="40656EC5" w14:textId="77777777" w:rsidR="00CB01C8" w:rsidRPr="00CB01C8" w:rsidRDefault="00CB01C8" w:rsidP="00CB01C8">
            <w:pPr>
              <w:spacing w:after="0" w:line="240" w:lineRule="auto"/>
              <w:rPr>
                <w:rFonts w:cs="Calibri"/>
                <w:sz w:val="18"/>
                <w:szCs w:val="18"/>
              </w:rPr>
            </w:pPr>
            <w:r w:rsidRPr="00CB01C8">
              <w:rPr>
                <w:rFonts w:cs="Calibri"/>
                <w:sz w:val="18"/>
                <w:szCs w:val="18"/>
              </w:rPr>
              <w:t>ALESIS BLANCAS ROMÁN</w:t>
            </w:r>
          </w:p>
        </w:tc>
        <w:tc>
          <w:tcPr>
            <w:tcW w:w="3447" w:type="dxa"/>
            <w:tcBorders>
              <w:top w:val="nil"/>
              <w:left w:val="nil"/>
              <w:bottom w:val="single" w:sz="4" w:space="0" w:color="auto"/>
              <w:right w:val="single" w:sz="4" w:space="0" w:color="auto"/>
            </w:tcBorders>
            <w:shd w:val="clear" w:color="auto" w:fill="auto"/>
            <w:noWrap/>
            <w:vAlign w:val="bottom"/>
            <w:hideMark/>
          </w:tcPr>
          <w:p w14:paraId="0E57587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5401FD52"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C53590B" w14:textId="77777777" w:rsidR="00CB01C8" w:rsidRPr="00CB01C8" w:rsidRDefault="00CB01C8" w:rsidP="00CB01C8">
            <w:pPr>
              <w:spacing w:after="0" w:line="240" w:lineRule="auto"/>
              <w:jc w:val="right"/>
              <w:rPr>
                <w:rFonts w:cs="Calibri"/>
                <w:sz w:val="18"/>
                <w:szCs w:val="18"/>
              </w:rPr>
            </w:pPr>
            <w:r w:rsidRPr="00CB01C8">
              <w:rPr>
                <w:rFonts w:cs="Calibri"/>
                <w:sz w:val="18"/>
                <w:szCs w:val="18"/>
              </w:rPr>
              <w:t>41122664</w:t>
            </w:r>
          </w:p>
        </w:tc>
        <w:tc>
          <w:tcPr>
            <w:tcW w:w="3873" w:type="dxa"/>
            <w:tcBorders>
              <w:top w:val="nil"/>
              <w:left w:val="nil"/>
              <w:bottom w:val="single" w:sz="4" w:space="0" w:color="auto"/>
              <w:right w:val="single" w:sz="4" w:space="0" w:color="auto"/>
            </w:tcBorders>
            <w:shd w:val="clear" w:color="auto" w:fill="auto"/>
            <w:noWrap/>
            <w:vAlign w:val="bottom"/>
            <w:hideMark/>
          </w:tcPr>
          <w:p w14:paraId="248BFEF2" w14:textId="77777777" w:rsidR="00CB01C8" w:rsidRPr="00CB01C8" w:rsidRDefault="00CB01C8" w:rsidP="00CB01C8">
            <w:pPr>
              <w:spacing w:after="0" w:line="240" w:lineRule="auto"/>
              <w:rPr>
                <w:rFonts w:cs="Calibri"/>
                <w:sz w:val="18"/>
                <w:szCs w:val="18"/>
              </w:rPr>
            </w:pPr>
            <w:r w:rsidRPr="00CB01C8">
              <w:rPr>
                <w:rFonts w:cs="Calibri"/>
                <w:sz w:val="18"/>
                <w:szCs w:val="18"/>
              </w:rPr>
              <w:t>DURÁN MARTÍNEZ BLANCA ESTHELA</w:t>
            </w:r>
          </w:p>
        </w:tc>
        <w:tc>
          <w:tcPr>
            <w:tcW w:w="3447" w:type="dxa"/>
            <w:tcBorders>
              <w:top w:val="nil"/>
              <w:left w:val="nil"/>
              <w:bottom w:val="single" w:sz="4" w:space="0" w:color="auto"/>
              <w:right w:val="single" w:sz="4" w:space="0" w:color="auto"/>
            </w:tcBorders>
            <w:shd w:val="clear" w:color="auto" w:fill="auto"/>
            <w:noWrap/>
            <w:vAlign w:val="bottom"/>
            <w:hideMark/>
          </w:tcPr>
          <w:p w14:paraId="29C05EC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71908A98" w14:textId="77777777" w:rsidTr="00DB4F40">
        <w:trPr>
          <w:trHeight w:val="27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B600F9F"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41110816</w:t>
            </w:r>
          </w:p>
        </w:tc>
        <w:tc>
          <w:tcPr>
            <w:tcW w:w="3873" w:type="dxa"/>
            <w:tcBorders>
              <w:top w:val="nil"/>
              <w:left w:val="nil"/>
              <w:bottom w:val="single" w:sz="4" w:space="0" w:color="auto"/>
              <w:right w:val="single" w:sz="4" w:space="0" w:color="auto"/>
            </w:tcBorders>
            <w:shd w:val="clear" w:color="auto" w:fill="auto"/>
            <w:noWrap/>
            <w:vAlign w:val="bottom"/>
            <w:hideMark/>
          </w:tcPr>
          <w:p w14:paraId="5F4448F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GARCÍA MORENO DALILA</w:t>
            </w:r>
          </w:p>
        </w:tc>
        <w:tc>
          <w:tcPr>
            <w:tcW w:w="3447" w:type="dxa"/>
            <w:tcBorders>
              <w:top w:val="nil"/>
              <w:left w:val="nil"/>
              <w:bottom w:val="single" w:sz="4" w:space="0" w:color="auto"/>
              <w:right w:val="single" w:sz="4" w:space="0" w:color="auto"/>
            </w:tcBorders>
            <w:shd w:val="clear" w:color="auto" w:fill="auto"/>
            <w:noWrap/>
            <w:vAlign w:val="bottom"/>
            <w:hideMark/>
          </w:tcPr>
          <w:p w14:paraId="59B0E00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1FBCDA3E"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121DFAE"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41122706</w:t>
            </w:r>
          </w:p>
        </w:tc>
        <w:tc>
          <w:tcPr>
            <w:tcW w:w="3873" w:type="dxa"/>
            <w:tcBorders>
              <w:top w:val="nil"/>
              <w:left w:val="nil"/>
              <w:bottom w:val="single" w:sz="4" w:space="0" w:color="auto"/>
              <w:right w:val="single" w:sz="4" w:space="0" w:color="auto"/>
            </w:tcBorders>
            <w:shd w:val="clear" w:color="auto" w:fill="auto"/>
            <w:noWrap/>
            <w:vAlign w:val="bottom"/>
            <w:hideMark/>
          </w:tcPr>
          <w:p w14:paraId="1B8EF6C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GARCIA SALGADO MARICRUZ</w:t>
            </w:r>
          </w:p>
        </w:tc>
        <w:tc>
          <w:tcPr>
            <w:tcW w:w="3447" w:type="dxa"/>
            <w:tcBorders>
              <w:top w:val="nil"/>
              <w:left w:val="nil"/>
              <w:bottom w:val="single" w:sz="4" w:space="0" w:color="auto"/>
              <w:right w:val="single" w:sz="4" w:space="0" w:color="auto"/>
            </w:tcBorders>
            <w:shd w:val="clear" w:color="auto" w:fill="auto"/>
            <w:noWrap/>
            <w:vAlign w:val="bottom"/>
            <w:hideMark/>
          </w:tcPr>
          <w:p w14:paraId="569EA8C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57DF976A"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B0D461B"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41146184</w:t>
            </w:r>
          </w:p>
        </w:tc>
        <w:tc>
          <w:tcPr>
            <w:tcW w:w="3873" w:type="dxa"/>
            <w:tcBorders>
              <w:top w:val="nil"/>
              <w:left w:val="nil"/>
              <w:bottom w:val="single" w:sz="4" w:space="0" w:color="auto"/>
              <w:right w:val="single" w:sz="4" w:space="0" w:color="auto"/>
            </w:tcBorders>
            <w:shd w:val="clear" w:color="auto" w:fill="auto"/>
            <w:noWrap/>
            <w:vAlign w:val="bottom"/>
            <w:hideMark/>
          </w:tcPr>
          <w:p w14:paraId="37473B86"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GASPAR PABLO XOCHILT</w:t>
            </w:r>
          </w:p>
        </w:tc>
        <w:tc>
          <w:tcPr>
            <w:tcW w:w="3447" w:type="dxa"/>
            <w:tcBorders>
              <w:top w:val="nil"/>
              <w:left w:val="nil"/>
              <w:bottom w:val="single" w:sz="4" w:space="0" w:color="auto"/>
              <w:right w:val="single" w:sz="4" w:space="0" w:color="auto"/>
            </w:tcBorders>
            <w:shd w:val="clear" w:color="auto" w:fill="auto"/>
            <w:noWrap/>
            <w:vAlign w:val="bottom"/>
            <w:hideMark/>
          </w:tcPr>
          <w:p w14:paraId="42C3429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72E561B8" w14:textId="77777777" w:rsidTr="00DB4F40">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7C0AC8D"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41146374</w:t>
            </w:r>
          </w:p>
        </w:tc>
        <w:tc>
          <w:tcPr>
            <w:tcW w:w="3873" w:type="dxa"/>
            <w:tcBorders>
              <w:top w:val="nil"/>
              <w:left w:val="nil"/>
              <w:bottom w:val="single" w:sz="4" w:space="0" w:color="auto"/>
              <w:right w:val="single" w:sz="4" w:space="0" w:color="auto"/>
            </w:tcBorders>
            <w:shd w:val="clear" w:color="auto" w:fill="auto"/>
            <w:noWrap/>
            <w:vAlign w:val="bottom"/>
            <w:hideMark/>
          </w:tcPr>
          <w:p w14:paraId="75A87E6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GONZALEZ RUIZ ALFONSO</w:t>
            </w:r>
          </w:p>
        </w:tc>
        <w:tc>
          <w:tcPr>
            <w:tcW w:w="3447" w:type="dxa"/>
            <w:tcBorders>
              <w:top w:val="nil"/>
              <w:left w:val="nil"/>
              <w:bottom w:val="single" w:sz="4" w:space="0" w:color="auto"/>
              <w:right w:val="single" w:sz="4" w:space="0" w:color="auto"/>
            </w:tcBorders>
            <w:shd w:val="clear" w:color="auto" w:fill="auto"/>
            <w:noWrap/>
            <w:vAlign w:val="bottom"/>
            <w:hideMark/>
          </w:tcPr>
          <w:p w14:paraId="5C0625C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1FD20BBA"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4E2C2C8"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41146275</w:t>
            </w:r>
          </w:p>
        </w:tc>
        <w:tc>
          <w:tcPr>
            <w:tcW w:w="3873" w:type="dxa"/>
            <w:tcBorders>
              <w:top w:val="nil"/>
              <w:left w:val="nil"/>
              <w:bottom w:val="single" w:sz="4" w:space="0" w:color="auto"/>
              <w:right w:val="single" w:sz="4" w:space="0" w:color="auto"/>
            </w:tcBorders>
            <w:shd w:val="clear" w:color="auto" w:fill="auto"/>
            <w:noWrap/>
            <w:vAlign w:val="bottom"/>
            <w:hideMark/>
          </w:tcPr>
          <w:p w14:paraId="6A576512"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GURGUA JIMENEZ MAYELI MIRANDA</w:t>
            </w:r>
          </w:p>
        </w:tc>
        <w:tc>
          <w:tcPr>
            <w:tcW w:w="3447" w:type="dxa"/>
            <w:tcBorders>
              <w:top w:val="nil"/>
              <w:left w:val="nil"/>
              <w:bottom w:val="single" w:sz="4" w:space="0" w:color="auto"/>
              <w:right w:val="single" w:sz="4" w:space="0" w:color="auto"/>
            </w:tcBorders>
            <w:shd w:val="clear" w:color="auto" w:fill="auto"/>
            <w:noWrap/>
            <w:vAlign w:val="bottom"/>
            <w:hideMark/>
          </w:tcPr>
          <w:p w14:paraId="35CD4B6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2111E350"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818B496"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41154402</w:t>
            </w:r>
          </w:p>
        </w:tc>
        <w:tc>
          <w:tcPr>
            <w:tcW w:w="3873" w:type="dxa"/>
            <w:tcBorders>
              <w:top w:val="nil"/>
              <w:left w:val="nil"/>
              <w:bottom w:val="single" w:sz="4" w:space="0" w:color="auto"/>
              <w:right w:val="single" w:sz="4" w:space="0" w:color="auto"/>
            </w:tcBorders>
            <w:shd w:val="clear" w:color="auto" w:fill="auto"/>
            <w:noWrap/>
            <w:vAlign w:val="bottom"/>
            <w:hideMark/>
          </w:tcPr>
          <w:p w14:paraId="46D4CC6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LARA IBARRA ANDREA NAOMI</w:t>
            </w:r>
          </w:p>
        </w:tc>
        <w:tc>
          <w:tcPr>
            <w:tcW w:w="3447" w:type="dxa"/>
            <w:tcBorders>
              <w:top w:val="nil"/>
              <w:left w:val="nil"/>
              <w:bottom w:val="single" w:sz="4" w:space="0" w:color="auto"/>
              <w:right w:val="single" w:sz="4" w:space="0" w:color="auto"/>
            </w:tcBorders>
            <w:shd w:val="clear" w:color="auto" w:fill="auto"/>
            <w:noWrap/>
            <w:vAlign w:val="bottom"/>
            <w:hideMark/>
          </w:tcPr>
          <w:p w14:paraId="6CB2C3E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498C9225"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64A33AD"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41154337</w:t>
            </w:r>
          </w:p>
        </w:tc>
        <w:tc>
          <w:tcPr>
            <w:tcW w:w="3873" w:type="dxa"/>
            <w:tcBorders>
              <w:top w:val="nil"/>
              <w:left w:val="nil"/>
              <w:bottom w:val="single" w:sz="4" w:space="0" w:color="auto"/>
              <w:right w:val="single" w:sz="4" w:space="0" w:color="auto"/>
            </w:tcBorders>
            <w:shd w:val="clear" w:color="auto" w:fill="auto"/>
            <w:noWrap/>
            <w:vAlign w:val="bottom"/>
            <w:hideMark/>
          </w:tcPr>
          <w:p w14:paraId="27AD55D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MORENO DE LA PEÑA DANIEL SANTIAGO</w:t>
            </w:r>
          </w:p>
        </w:tc>
        <w:tc>
          <w:tcPr>
            <w:tcW w:w="3447" w:type="dxa"/>
            <w:tcBorders>
              <w:top w:val="nil"/>
              <w:left w:val="nil"/>
              <w:bottom w:val="single" w:sz="4" w:space="0" w:color="auto"/>
              <w:right w:val="single" w:sz="4" w:space="0" w:color="auto"/>
            </w:tcBorders>
            <w:shd w:val="clear" w:color="auto" w:fill="auto"/>
            <w:noWrap/>
            <w:vAlign w:val="bottom"/>
            <w:hideMark/>
          </w:tcPr>
          <w:p w14:paraId="3FC37C83"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5F246F4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0CF6624"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41154360</w:t>
            </w:r>
          </w:p>
        </w:tc>
        <w:tc>
          <w:tcPr>
            <w:tcW w:w="3873" w:type="dxa"/>
            <w:tcBorders>
              <w:top w:val="nil"/>
              <w:left w:val="nil"/>
              <w:bottom w:val="single" w:sz="4" w:space="0" w:color="auto"/>
              <w:right w:val="single" w:sz="4" w:space="0" w:color="auto"/>
            </w:tcBorders>
            <w:shd w:val="clear" w:color="auto" w:fill="auto"/>
            <w:noWrap/>
            <w:vAlign w:val="bottom"/>
            <w:hideMark/>
          </w:tcPr>
          <w:p w14:paraId="1F8E3E9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PADILLA TOVAR LEONARDO ALONSO</w:t>
            </w:r>
          </w:p>
        </w:tc>
        <w:tc>
          <w:tcPr>
            <w:tcW w:w="3447" w:type="dxa"/>
            <w:tcBorders>
              <w:top w:val="nil"/>
              <w:left w:val="nil"/>
              <w:bottom w:val="single" w:sz="4" w:space="0" w:color="auto"/>
              <w:right w:val="single" w:sz="4" w:space="0" w:color="auto"/>
            </w:tcBorders>
            <w:shd w:val="clear" w:color="auto" w:fill="auto"/>
            <w:noWrap/>
            <w:vAlign w:val="bottom"/>
            <w:hideMark/>
          </w:tcPr>
          <w:p w14:paraId="2F049DB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44D31DB2"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3CD7D77" w14:textId="77777777" w:rsidR="00CB01C8" w:rsidRPr="00CB01C8" w:rsidRDefault="00CB01C8" w:rsidP="00CB01C8">
            <w:pPr>
              <w:spacing w:after="0" w:line="240" w:lineRule="auto"/>
              <w:jc w:val="center"/>
              <w:rPr>
                <w:rFonts w:cs="Calibri"/>
                <w:color w:val="000000"/>
                <w:sz w:val="18"/>
                <w:szCs w:val="18"/>
              </w:rPr>
            </w:pPr>
            <w:r w:rsidRPr="00CB01C8">
              <w:rPr>
                <w:rFonts w:cs="Calibri"/>
                <w:color w:val="000000"/>
                <w:sz w:val="18"/>
                <w:szCs w:val="18"/>
              </w:rPr>
              <w:t>41153917</w:t>
            </w:r>
          </w:p>
        </w:tc>
        <w:tc>
          <w:tcPr>
            <w:tcW w:w="3873" w:type="dxa"/>
            <w:tcBorders>
              <w:top w:val="nil"/>
              <w:left w:val="nil"/>
              <w:bottom w:val="single" w:sz="4" w:space="0" w:color="auto"/>
              <w:right w:val="single" w:sz="4" w:space="0" w:color="auto"/>
            </w:tcBorders>
            <w:shd w:val="clear" w:color="auto" w:fill="auto"/>
            <w:noWrap/>
            <w:vAlign w:val="bottom"/>
            <w:hideMark/>
          </w:tcPr>
          <w:p w14:paraId="4D52F813"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REMIGIO ESPINO CARELY YASENET</w:t>
            </w:r>
          </w:p>
        </w:tc>
        <w:tc>
          <w:tcPr>
            <w:tcW w:w="3447" w:type="dxa"/>
            <w:tcBorders>
              <w:top w:val="nil"/>
              <w:left w:val="nil"/>
              <w:bottom w:val="single" w:sz="4" w:space="0" w:color="auto"/>
              <w:right w:val="single" w:sz="4" w:space="0" w:color="auto"/>
            </w:tcBorders>
            <w:shd w:val="clear" w:color="auto" w:fill="auto"/>
            <w:noWrap/>
            <w:vAlign w:val="bottom"/>
            <w:hideMark/>
          </w:tcPr>
          <w:p w14:paraId="0303D37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08B05C5C"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226FD5F" w14:textId="77777777" w:rsidR="00CB01C8" w:rsidRPr="00CB01C8" w:rsidRDefault="00CB01C8" w:rsidP="00CB01C8">
            <w:pPr>
              <w:spacing w:after="0" w:line="240" w:lineRule="auto"/>
              <w:jc w:val="right"/>
              <w:rPr>
                <w:rFonts w:cs="Calibri"/>
                <w:color w:val="000000"/>
                <w:sz w:val="18"/>
                <w:szCs w:val="18"/>
              </w:rPr>
            </w:pPr>
            <w:bookmarkStart w:id="50" w:name="_GoBack"/>
            <w:bookmarkEnd w:id="50"/>
            <w:r w:rsidRPr="00CB01C8">
              <w:rPr>
                <w:rFonts w:cs="Calibri"/>
                <w:color w:val="000000"/>
                <w:sz w:val="18"/>
                <w:szCs w:val="18"/>
              </w:rPr>
              <w:t>41122896</w:t>
            </w:r>
          </w:p>
        </w:tc>
        <w:tc>
          <w:tcPr>
            <w:tcW w:w="3873" w:type="dxa"/>
            <w:tcBorders>
              <w:top w:val="nil"/>
              <w:left w:val="nil"/>
              <w:bottom w:val="single" w:sz="4" w:space="0" w:color="auto"/>
              <w:right w:val="single" w:sz="4" w:space="0" w:color="auto"/>
            </w:tcBorders>
            <w:shd w:val="clear" w:color="auto" w:fill="auto"/>
            <w:noWrap/>
            <w:vAlign w:val="bottom"/>
            <w:hideMark/>
          </w:tcPr>
          <w:p w14:paraId="5CD30FD5"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SALINAS ROMERO MAYRA</w:t>
            </w:r>
          </w:p>
        </w:tc>
        <w:tc>
          <w:tcPr>
            <w:tcW w:w="3447" w:type="dxa"/>
            <w:tcBorders>
              <w:top w:val="nil"/>
              <w:left w:val="nil"/>
              <w:bottom w:val="single" w:sz="4" w:space="0" w:color="auto"/>
              <w:right w:val="single" w:sz="4" w:space="0" w:color="auto"/>
            </w:tcBorders>
            <w:shd w:val="clear" w:color="auto" w:fill="auto"/>
            <w:noWrap/>
            <w:vAlign w:val="bottom"/>
            <w:hideMark/>
          </w:tcPr>
          <w:p w14:paraId="281354FE"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14:paraId="1BE47CED"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0D3DEDB"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lastRenderedPageBreak/>
              <w:t>41122813</w:t>
            </w:r>
          </w:p>
        </w:tc>
        <w:tc>
          <w:tcPr>
            <w:tcW w:w="3873" w:type="dxa"/>
            <w:tcBorders>
              <w:top w:val="nil"/>
              <w:left w:val="nil"/>
              <w:bottom w:val="single" w:sz="4" w:space="0" w:color="auto"/>
              <w:right w:val="single" w:sz="4" w:space="0" w:color="auto"/>
            </w:tcBorders>
            <w:shd w:val="clear" w:color="auto" w:fill="auto"/>
            <w:noWrap/>
            <w:vAlign w:val="bottom"/>
            <w:hideMark/>
          </w:tcPr>
          <w:p w14:paraId="0B19628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MURGUÍA MAYA BÁRBARA AZUCENA</w:t>
            </w:r>
          </w:p>
        </w:tc>
        <w:tc>
          <w:tcPr>
            <w:tcW w:w="3447" w:type="dxa"/>
            <w:tcBorders>
              <w:top w:val="nil"/>
              <w:left w:val="nil"/>
              <w:bottom w:val="single" w:sz="4" w:space="0" w:color="auto"/>
              <w:right w:val="single" w:sz="4" w:space="0" w:color="auto"/>
            </w:tcBorders>
            <w:shd w:val="clear" w:color="auto" w:fill="auto"/>
            <w:noWrap/>
            <w:vAlign w:val="center"/>
            <w:hideMark/>
          </w:tcPr>
          <w:p w14:paraId="67E6CA1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MANUEL DE LA ROSA IBARRA</w:t>
            </w:r>
          </w:p>
        </w:tc>
      </w:tr>
      <w:tr w:rsidR="00CB01C8" w:rsidRPr="00CB01C8" w14:paraId="7EFCBE93"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7994107"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41128059</w:t>
            </w:r>
          </w:p>
        </w:tc>
        <w:tc>
          <w:tcPr>
            <w:tcW w:w="3873" w:type="dxa"/>
            <w:tcBorders>
              <w:top w:val="nil"/>
              <w:left w:val="nil"/>
              <w:bottom w:val="single" w:sz="4" w:space="0" w:color="auto"/>
              <w:right w:val="single" w:sz="4" w:space="0" w:color="auto"/>
            </w:tcBorders>
            <w:shd w:val="clear" w:color="auto" w:fill="auto"/>
            <w:noWrap/>
            <w:vAlign w:val="bottom"/>
            <w:hideMark/>
          </w:tcPr>
          <w:p w14:paraId="3D60747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PUENTE ALCALÁ FÁTIMA EDLITAM</w:t>
            </w:r>
          </w:p>
        </w:tc>
        <w:tc>
          <w:tcPr>
            <w:tcW w:w="3447" w:type="dxa"/>
            <w:tcBorders>
              <w:top w:val="nil"/>
              <w:left w:val="nil"/>
              <w:bottom w:val="single" w:sz="4" w:space="0" w:color="auto"/>
              <w:right w:val="single" w:sz="4" w:space="0" w:color="auto"/>
            </w:tcBorders>
            <w:shd w:val="clear" w:color="auto" w:fill="auto"/>
            <w:noWrap/>
            <w:vAlign w:val="center"/>
            <w:hideMark/>
          </w:tcPr>
          <w:p w14:paraId="38611203"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MANUEL DE LA ROSA IBARRA</w:t>
            </w:r>
          </w:p>
        </w:tc>
      </w:tr>
      <w:tr w:rsidR="00CB01C8" w:rsidRPr="00CB01C8" w14:paraId="300E87F9"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128042A"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41125428</w:t>
            </w:r>
          </w:p>
        </w:tc>
        <w:tc>
          <w:tcPr>
            <w:tcW w:w="3873" w:type="dxa"/>
            <w:tcBorders>
              <w:top w:val="nil"/>
              <w:left w:val="nil"/>
              <w:bottom w:val="single" w:sz="4" w:space="0" w:color="auto"/>
              <w:right w:val="single" w:sz="4" w:space="0" w:color="auto"/>
            </w:tcBorders>
            <w:shd w:val="clear" w:color="auto" w:fill="auto"/>
            <w:noWrap/>
            <w:vAlign w:val="bottom"/>
            <w:hideMark/>
          </w:tcPr>
          <w:p w14:paraId="3734955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RAMÍREZ MÉNDEZ JESÚS EDUARDO</w:t>
            </w:r>
          </w:p>
        </w:tc>
        <w:tc>
          <w:tcPr>
            <w:tcW w:w="3447" w:type="dxa"/>
            <w:tcBorders>
              <w:top w:val="nil"/>
              <w:left w:val="nil"/>
              <w:bottom w:val="single" w:sz="4" w:space="0" w:color="auto"/>
              <w:right w:val="single" w:sz="4" w:space="0" w:color="auto"/>
            </w:tcBorders>
            <w:shd w:val="clear" w:color="auto" w:fill="auto"/>
            <w:noWrap/>
            <w:vAlign w:val="center"/>
            <w:hideMark/>
          </w:tcPr>
          <w:p w14:paraId="77526C3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MANUEL DE LA ROSA IBARRA</w:t>
            </w:r>
          </w:p>
        </w:tc>
      </w:tr>
      <w:tr w:rsidR="00CB01C8" w:rsidRPr="00CB01C8" w14:paraId="3B96142B"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8831707"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41134933</w:t>
            </w:r>
          </w:p>
        </w:tc>
        <w:tc>
          <w:tcPr>
            <w:tcW w:w="3873" w:type="dxa"/>
            <w:tcBorders>
              <w:top w:val="nil"/>
              <w:left w:val="nil"/>
              <w:bottom w:val="single" w:sz="4" w:space="0" w:color="auto"/>
              <w:right w:val="single" w:sz="4" w:space="0" w:color="auto"/>
            </w:tcBorders>
            <w:shd w:val="clear" w:color="auto" w:fill="auto"/>
            <w:noWrap/>
            <w:vAlign w:val="bottom"/>
            <w:hideMark/>
          </w:tcPr>
          <w:p w14:paraId="18172A8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AGUILAR MONREAL KENNYA ÉVELIN</w:t>
            </w:r>
          </w:p>
        </w:tc>
        <w:tc>
          <w:tcPr>
            <w:tcW w:w="3447" w:type="dxa"/>
            <w:tcBorders>
              <w:top w:val="nil"/>
              <w:left w:val="nil"/>
              <w:bottom w:val="single" w:sz="4" w:space="0" w:color="auto"/>
              <w:right w:val="single" w:sz="4" w:space="0" w:color="auto"/>
            </w:tcBorders>
            <w:shd w:val="clear" w:color="auto" w:fill="auto"/>
            <w:noWrap/>
            <w:vAlign w:val="bottom"/>
            <w:hideMark/>
          </w:tcPr>
          <w:p w14:paraId="4BC765B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14:paraId="57691BB5"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79084AD"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41135070</w:t>
            </w:r>
          </w:p>
        </w:tc>
        <w:tc>
          <w:tcPr>
            <w:tcW w:w="3873" w:type="dxa"/>
            <w:tcBorders>
              <w:top w:val="nil"/>
              <w:left w:val="nil"/>
              <w:bottom w:val="single" w:sz="4" w:space="0" w:color="auto"/>
              <w:right w:val="single" w:sz="4" w:space="0" w:color="auto"/>
            </w:tcBorders>
            <w:shd w:val="clear" w:color="auto" w:fill="auto"/>
            <w:noWrap/>
            <w:vAlign w:val="bottom"/>
            <w:hideMark/>
          </w:tcPr>
          <w:p w14:paraId="4E3E862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ALCÁZAR VILLARREAL ADRIANA JAQUELINE</w:t>
            </w:r>
          </w:p>
        </w:tc>
        <w:tc>
          <w:tcPr>
            <w:tcW w:w="3447" w:type="dxa"/>
            <w:tcBorders>
              <w:top w:val="nil"/>
              <w:left w:val="nil"/>
              <w:bottom w:val="single" w:sz="4" w:space="0" w:color="auto"/>
              <w:right w:val="single" w:sz="4" w:space="0" w:color="auto"/>
            </w:tcBorders>
            <w:shd w:val="clear" w:color="auto" w:fill="auto"/>
            <w:noWrap/>
            <w:vAlign w:val="bottom"/>
            <w:hideMark/>
          </w:tcPr>
          <w:p w14:paraId="4FADBE4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14:paraId="7D45D6E6"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658C2E5"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41134842</w:t>
            </w:r>
          </w:p>
        </w:tc>
        <w:tc>
          <w:tcPr>
            <w:tcW w:w="3873" w:type="dxa"/>
            <w:tcBorders>
              <w:top w:val="nil"/>
              <w:left w:val="nil"/>
              <w:bottom w:val="single" w:sz="4" w:space="0" w:color="auto"/>
              <w:right w:val="single" w:sz="4" w:space="0" w:color="auto"/>
            </w:tcBorders>
            <w:shd w:val="clear" w:color="auto" w:fill="auto"/>
            <w:noWrap/>
            <w:vAlign w:val="bottom"/>
            <w:hideMark/>
          </w:tcPr>
          <w:p w14:paraId="4639CAB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AVILÉS TEJEDA ANA KAREN</w:t>
            </w:r>
          </w:p>
        </w:tc>
        <w:tc>
          <w:tcPr>
            <w:tcW w:w="3447" w:type="dxa"/>
            <w:tcBorders>
              <w:top w:val="nil"/>
              <w:left w:val="nil"/>
              <w:bottom w:val="single" w:sz="4" w:space="0" w:color="auto"/>
              <w:right w:val="single" w:sz="4" w:space="0" w:color="auto"/>
            </w:tcBorders>
            <w:shd w:val="clear" w:color="auto" w:fill="auto"/>
            <w:noWrap/>
            <w:vAlign w:val="bottom"/>
            <w:hideMark/>
          </w:tcPr>
          <w:p w14:paraId="3222D4AE"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14:paraId="4F8E034B"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B521E87"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41122623</w:t>
            </w:r>
          </w:p>
        </w:tc>
        <w:tc>
          <w:tcPr>
            <w:tcW w:w="3873" w:type="dxa"/>
            <w:tcBorders>
              <w:top w:val="nil"/>
              <w:left w:val="nil"/>
              <w:bottom w:val="single" w:sz="4" w:space="0" w:color="auto"/>
              <w:right w:val="single" w:sz="4" w:space="0" w:color="auto"/>
            </w:tcBorders>
            <w:shd w:val="clear" w:color="auto" w:fill="auto"/>
            <w:noWrap/>
            <w:vAlign w:val="bottom"/>
            <w:hideMark/>
          </w:tcPr>
          <w:p w14:paraId="186A0D5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BAÑOS ROJAS FERNANDO</w:t>
            </w:r>
          </w:p>
        </w:tc>
        <w:tc>
          <w:tcPr>
            <w:tcW w:w="3447" w:type="dxa"/>
            <w:tcBorders>
              <w:top w:val="nil"/>
              <w:left w:val="nil"/>
              <w:bottom w:val="single" w:sz="4" w:space="0" w:color="auto"/>
              <w:right w:val="single" w:sz="4" w:space="0" w:color="auto"/>
            </w:tcBorders>
            <w:shd w:val="clear" w:color="auto" w:fill="auto"/>
            <w:noWrap/>
            <w:vAlign w:val="bottom"/>
            <w:hideMark/>
          </w:tcPr>
          <w:p w14:paraId="378DA20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14:paraId="27C5113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6212DCA"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41122631</w:t>
            </w:r>
          </w:p>
        </w:tc>
        <w:tc>
          <w:tcPr>
            <w:tcW w:w="3873" w:type="dxa"/>
            <w:tcBorders>
              <w:top w:val="nil"/>
              <w:left w:val="nil"/>
              <w:bottom w:val="single" w:sz="4" w:space="0" w:color="auto"/>
              <w:right w:val="single" w:sz="4" w:space="0" w:color="auto"/>
            </w:tcBorders>
            <w:shd w:val="clear" w:color="auto" w:fill="auto"/>
            <w:noWrap/>
            <w:vAlign w:val="bottom"/>
            <w:hideMark/>
          </w:tcPr>
          <w:p w14:paraId="11E6542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BARRANCO LEZAMA JULIO SERGIO</w:t>
            </w:r>
          </w:p>
        </w:tc>
        <w:tc>
          <w:tcPr>
            <w:tcW w:w="3447" w:type="dxa"/>
            <w:tcBorders>
              <w:top w:val="nil"/>
              <w:left w:val="nil"/>
              <w:bottom w:val="single" w:sz="4" w:space="0" w:color="auto"/>
              <w:right w:val="single" w:sz="4" w:space="0" w:color="auto"/>
            </w:tcBorders>
            <w:shd w:val="clear" w:color="auto" w:fill="auto"/>
            <w:noWrap/>
            <w:vAlign w:val="bottom"/>
            <w:hideMark/>
          </w:tcPr>
          <w:p w14:paraId="4C385296"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14:paraId="4CA30B9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E326B2F"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41154642</w:t>
            </w:r>
          </w:p>
        </w:tc>
        <w:tc>
          <w:tcPr>
            <w:tcW w:w="3873" w:type="dxa"/>
            <w:tcBorders>
              <w:top w:val="nil"/>
              <w:left w:val="nil"/>
              <w:bottom w:val="single" w:sz="4" w:space="0" w:color="auto"/>
              <w:right w:val="single" w:sz="4" w:space="0" w:color="auto"/>
            </w:tcBorders>
            <w:shd w:val="clear" w:color="auto" w:fill="auto"/>
            <w:noWrap/>
            <w:vAlign w:val="bottom"/>
            <w:hideMark/>
          </w:tcPr>
          <w:p w14:paraId="7F46BBBE"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GARCÍA CRUZ JOSÉ RUBICEL</w:t>
            </w:r>
          </w:p>
        </w:tc>
        <w:tc>
          <w:tcPr>
            <w:tcW w:w="3447" w:type="dxa"/>
            <w:tcBorders>
              <w:top w:val="nil"/>
              <w:left w:val="nil"/>
              <w:bottom w:val="single" w:sz="4" w:space="0" w:color="auto"/>
              <w:right w:val="single" w:sz="4" w:space="0" w:color="auto"/>
            </w:tcBorders>
            <w:shd w:val="clear" w:color="auto" w:fill="auto"/>
            <w:noWrap/>
            <w:vAlign w:val="bottom"/>
            <w:hideMark/>
          </w:tcPr>
          <w:p w14:paraId="579D67C6"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14:paraId="784750C7"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60098F1"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41139314</w:t>
            </w:r>
          </w:p>
        </w:tc>
        <w:tc>
          <w:tcPr>
            <w:tcW w:w="3873" w:type="dxa"/>
            <w:tcBorders>
              <w:top w:val="nil"/>
              <w:left w:val="nil"/>
              <w:bottom w:val="single" w:sz="4" w:space="0" w:color="auto"/>
              <w:right w:val="single" w:sz="4" w:space="0" w:color="auto"/>
            </w:tcBorders>
            <w:shd w:val="clear" w:color="auto" w:fill="auto"/>
            <w:noWrap/>
            <w:vAlign w:val="bottom"/>
            <w:hideMark/>
          </w:tcPr>
          <w:p w14:paraId="7FF81D6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GASPAR ALVA RAMON</w:t>
            </w:r>
          </w:p>
        </w:tc>
        <w:tc>
          <w:tcPr>
            <w:tcW w:w="3447" w:type="dxa"/>
            <w:tcBorders>
              <w:top w:val="nil"/>
              <w:left w:val="nil"/>
              <w:bottom w:val="single" w:sz="4" w:space="0" w:color="auto"/>
              <w:right w:val="single" w:sz="4" w:space="0" w:color="auto"/>
            </w:tcBorders>
            <w:shd w:val="clear" w:color="auto" w:fill="auto"/>
            <w:noWrap/>
            <w:vAlign w:val="bottom"/>
            <w:hideMark/>
          </w:tcPr>
          <w:p w14:paraId="6C8D000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14:paraId="3BE52CC6"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2F2D7B4"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41135013</w:t>
            </w:r>
          </w:p>
        </w:tc>
        <w:tc>
          <w:tcPr>
            <w:tcW w:w="3873" w:type="dxa"/>
            <w:tcBorders>
              <w:top w:val="nil"/>
              <w:left w:val="nil"/>
              <w:bottom w:val="single" w:sz="4" w:space="0" w:color="auto"/>
              <w:right w:val="single" w:sz="4" w:space="0" w:color="auto"/>
            </w:tcBorders>
            <w:shd w:val="clear" w:color="auto" w:fill="auto"/>
            <w:noWrap/>
            <w:vAlign w:val="bottom"/>
            <w:hideMark/>
          </w:tcPr>
          <w:p w14:paraId="194A0682"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GRANADOS LOPEZ ISAI</w:t>
            </w:r>
          </w:p>
        </w:tc>
        <w:tc>
          <w:tcPr>
            <w:tcW w:w="3447" w:type="dxa"/>
            <w:tcBorders>
              <w:top w:val="nil"/>
              <w:left w:val="nil"/>
              <w:bottom w:val="single" w:sz="4" w:space="0" w:color="auto"/>
              <w:right w:val="single" w:sz="4" w:space="0" w:color="auto"/>
            </w:tcBorders>
            <w:shd w:val="clear" w:color="auto" w:fill="auto"/>
            <w:noWrap/>
            <w:vAlign w:val="bottom"/>
            <w:hideMark/>
          </w:tcPr>
          <w:p w14:paraId="47E8753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14:paraId="44856E0D"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1F37C72"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304394</w:t>
            </w:r>
          </w:p>
        </w:tc>
        <w:tc>
          <w:tcPr>
            <w:tcW w:w="3873" w:type="dxa"/>
            <w:tcBorders>
              <w:top w:val="nil"/>
              <w:left w:val="nil"/>
              <w:bottom w:val="single" w:sz="4" w:space="0" w:color="auto"/>
              <w:right w:val="single" w:sz="4" w:space="0" w:color="auto"/>
            </w:tcBorders>
            <w:shd w:val="clear" w:color="auto" w:fill="auto"/>
            <w:noWrap/>
            <w:vAlign w:val="bottom"/>
            <w:hideMark/>
          </w:tcPr>
          <w:p w14:paraId="54FA1D6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ORTIZ ANACLETO MARCO ANTONIO</w:t>
            </w:r>
          </w:p>
        </w:tc>
        <w:tc>
          <w:tcPr>
            <w:tcW w:w="3447" w:type="dxa"/>
            <w:tcBorders>
              <w:top w:val="nil"/>
              <w:left w:val="nil"/>
              <w:bottom w:val="single" w:sz="4" w:space="0" w:color="auto"/>
              <w:right w:val="single" w:sz="4" w:space="0" w:color="auto"/>
            </w:tcBorders>
            <w:shd w:val="clear" w:color="auto" w:fill="auto"/>
            <w:noWrap/>
            <w:vAlign w:val="bottom"/>
            <w:hideMark/>
          </w:tcPr>
          <w:p w14:paraId="1A47835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14:paraId="261CA807"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DDBC855"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41148503</w:t>
            </w:r>
          </w:p>
        </w:tc>
        <w:tc>
          <w:tcPr>
            <w:tcW w:w="3873" w:type="dxa"/>
            <w:tcBorders>
              <w:top w:val="nil"/>
              <w:left w:val="nil"/>
              <w:bottom w:val="single" w:sz="4" w:space="0" w:color="auto"/>
              <w:right w:val="single" w:sz="4" w:space="0" w:color="auto"/>
            </w:tcBorders>
            <w:shd w:val="clear" w:color="auto" w:fill="auto"/>
            <w:noWrap/>
            <w:vAlign w:val="bottom"/>
            <w:hideMark/>
          </w:tcPr>
          <w:p w14:paraId="03A1360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DURANTES RAMOS ROLANDO</w:t>
            </w:r>
          </w:p>
        </w:tc>
        <w:tc>
          <w:tcPr>
            <w:tcW w:w="3447" w:type="dxa"/>
            <w:tcBorders>
              <w:top w:val="nil"/>
              <w:left w:val="nil"/>
              <w:bottom w:val="single" w:sz="4" w:space="0" w:color="auto"/>
              <w:right w:val="single" w:sz="4" w:space="0" w:color="auto"/>
            </w:tcBorders>
            <w:shd w:val="clear" w:color="auto" w:fill="auto"/>
            <w:noWrap/>
            <w:vAlign w:val="bottom"/>
            <w:hideMark/>
          </w:tcPr>
          <w:p w14:paraId="5AA2798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14:paraId="79B8964B"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466DDAD"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41148503</w:t>
            </w:r>
          </w:p>
        </w:tc>
        <w:tc>
          <w:tcPr>
            <w:tcW w:w="3873" w:type="dxa"/>
            <w:tcBorders>
              <w:top w:val="nil"/>
              <w:left w:val="nil"/>
              <w:bottom w:val="single" w:sz="4" w:space="0" w:color="auto"/>
              <w:right w:val="single" w:sz="4" w:space="0" w:color="auto"/>
            </w:tcBorders>
            <w:shd w:val="clear" w:color="auto" w:fill="auto"/>
            <w:noWrap/>
            <w:vAlign w:val="bottom"/>
            <w:hideMark/>
          </w:tcPr>
          <w:p w14:paraId="6952F41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ELEUTERIO GARCIA NORMA</w:t>
            </w:r>
          </w:p>
        </w:tc>
        <w:tc>
          <w:tcPr>
            <w:tcW w:w="3447" w:type="dxa"/>
            <w:tcBorders>
              <w:top w:val="nil"/>
              <w:left w:val="nil"/>
              <w:bottom w:val="single" w:sz="4" w:space="0" w:color="auto"/>
              <w:right w:val="single" w:sz="4" w:space="0" w:color="auto"/>
            </w:tcBorders>
            <w:shd w:val="clear" w:color="auto" w:fill="auto"/>
            <w:noWrap/>
            <w:vAlign w:val="bottom"/>
            <w:hideMark/>
          </w:tcPr>
          <w:p w14:paraId="2E6BD43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14:paraId="6A4A5797"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96ABF6C"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41122672</w:t>
            </w:r>
          </w:p>
        </w:tc>
        <w:tc>
          <w:tcPr>
            <w:tcW w:w="3873" w:type="dxa"/>
            <w:tcBorders>
              <w:top w:val="nil"/>
              <w:left w:val="nil"/>
              <w:bottom w:val="single" w:sz="4" w:space="0" w:color="auto"/>
              <w:right w:val="single" w:sz="4" w:space="0" w:color="auto"/>
            </w:tcBorders>
            <w:shd w:val="clear" w:color="auto" w:fill="auto"/>
            <w:noWrap/>
            <w:vAlign w:val="bottom"/>
            <w:hideMark/>
          </w:tcPr>
          <w:p w14:paraId="4F3E559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ESPIRIDIÓN HERNÁNDEZ JOSÉ RENE</w:t>
            </w:r>
          </w:p>
        </w:tc>
        <w:tc>
          <w:tcPr>
            <w:tcW w:w="3447" w:type="dxa"/>
            <w:tcBorders>
              <w:top w:val="nil"/>
              <w:left w:val="nil"/>
              <w:bottom w:val="single" w:sz="4" w:space="0" w:color="auto"/>
              <w:right w:val="single" w:sz="4" w:space="0" w:color="auto"/>
            </w:tcBorders>
            <w:shd w:val="clear" w:color="auto" w:fill="auto"/>
            <w:noWrap/>
            <w:vAlign w:val="bottom"/>
            <w:hideMark/>
          </w:tcPr>
          <w:p w14:paraId="25668D6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14:paraId="2E48D7EA"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10F3324"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41145871</w:t>
            </w:r>
          </w:p>
        </w:tc>
        <w:tc>
          <w:tcPr>
            <w:tcW w:w="3873" w:type="dxa"/>
            <w:tcBorders>
              <w:top w:val="nil"/>
              <w:left w:val="nil"/>
              <w:bottom w:val="single" w:sz="4" w:space="0" w:color="auto"/>
              <w:right w:val="single" w:sz="4" w:space="0" w:color="auto"/>
            </w:tcBorders>
            <w:shd w:val="clear" w:color="auto" w:fill="auto"/>
            <w:noWrap/>
            <w:vAlign w:val="bottom"/>
            <w:hideMark/>
          </w:tcPr>
          <w:p w14:paraId="7F29CC82"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GAONA LÓPEZ EDEN ORLANDO</w:t>
            </w:r>
          </w:p>
        </w:tc>
        <w:tc>
          <w:tcPr>
            <w:tcW w:w="3447" w:type="dxa"/>
            <w:tcBorders>
              <w:top w:val="nil"/>
              <w:left w:val="nil"/>
              <w:bottom w:val="single" w:sz="4" w:space="0" w:color="auto"/>
              <w:right w:val="single" w:sz="4" w:space="0" w:color="auto"/>
            </w:tcBorders>
            <w:shd w:val="clear" w:color="auto" w:fill="auto"/>
            <w:noWrap/>
            <w:vAlign w:val="bottom"/>
            <w:hideMark/>
          </w:tcPr>
          <w:p w14:paraId="01978EA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14:paraId="1A6AF6AE"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B9002C7"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41146093</w:t>
            </w:r>
          </w:p>
        </w:tc>
        <w:tc>
          <w:tcPr>
            <w:tcW w:w="3873" w:type="dxa"/>
            <w:tcBorders>
              <w:top w:val="nil"/>
              <w:left w:val="nil"/>
              <w:bottom w:val="single" w:sz="4" w:space="0" w:color="auto"/>
              <w:right w:val="single" w:sz="4" w:space="0" w:color="auto"/>
            </w:tcBorders>
            <w:shd w:val="clear" w:color="auto" w:fill="auto"/>
            <w:noWrap/>
            <w:vAlign w:val="bottom"/>
            <w:hideMark/>
          </w:tcPr>
          <w:p w14:paraId="1EC7584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GARCIA MENDOZA JANETH</w:t>
            </w:r>
          </w:p>
        </w:tc>
        <w:tc>
          <w:tcPr>
            <w:tcW w:w="3447" w:type="dxa"/>
            <w:tcBorders>
              <w:top w:val="nil"/>
              <w:left w:val="nil"/>
              <w:bottom w:val="single" w:sz="4" w:space="0" w:color="auto"/>
              <w:right w:val="single" w:sz="4" w:space="0" w:color="auto"/>
            </w:tcBorders>
            <w:shd w:val="clear" w:color="auto" w:fill="auto"/>
            <w:noWrap/>
            <w:vAlign w:val="bottom"/>
            <w:hideMark/>
          </w:tcPr>
          <w:p w14:paraId="60939FE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14:paraId="47B04686"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48631CD"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41128018</w:t>
            </w:r>
          </w:p>
        </w:tc>
        <w:tc>
          <w:tcPr>
            <w:tcW w:w="3873" w:type="dxa"/>
            <w:tcBorders>
              <w:top w:val="nil"/>
              <w:left w:val="nil"/>
              <w:bottom w:val="single" w:sz="4" w:space="0" w:color="auto"/>
              <w:right w:val="single" w:sz="4" w:space="0" w:color="auto"/>
            </w:tcBorders>
            <w:shd w:val="clear" w:color="auto" w:fill="auto"/>
            <w:noWrap/>
            <w:vAlign w:val="bottom"/>
            <w:hideMark/>
          </w:tcPr>
          <w:p w14:paraId="7B314EF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GONZÁLEZ RAMÍREZ ABIGAIL</w:t>
            </w:r>
          </w:p>
        </w:tc>
        <w:tc>
          <w:tcPr>
            <w:tcW w:w="3447" w:type="dxa"/>
            <w:tcBorders>
              <w:top w:val="nil"/>
              <w:left w:val="nil"/>
              <w:bottom w:val="single" w:sz="4" w:space="0" w:color="auto"/>
              <w:right w:val="single" w:sz="4" w:space="0" w:color="auto"/>
            </w:tcBorders>
            <w:shd w:val="clear" w:color="auto" w:fill="auto"/>
            <w:noWrap/>
            <w:vAlign w:val="bottom"/>
            <w:hideMark/>
          </w:tcPr>
          <w:p w14:paraId="2DAFADEE"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14:paraId="45FAB563"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08E4BF5"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41128026</w:t>
            </w:r>
          </w:p>
        </w:tc>
        <w:tc>
          <w:tcPr>
            <w:tcW w:w="3873" w:type="dxa"/>
            <w:tcBorders>
              <w:top w:val="nil"/>
              <w:left w:val="nil"/>
              <w:bottom w:val="single" w:sz="4" w:space="0" w:color="auto"/>
              <w:right w:val="single" w:sz="4" w:space="0" w:color="auto"/>
            </w:tcBorders>
            <w:shd w:val="clear" w:color="auto" w:fill="auto"/>
            <w:noWrap/>
            <w:vAlign w:val="bottom"/>
            <w:hideMark/>
          </w:tcPr>
          <w:p w14:paraId="7E04E89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HERNÁNDEZ PÉREZ HILARIA</w:t>
            </w:r>
          </w:p>
        </w:tc>
        <w:tc>
          <w:tcPr>
            <w:tcW w:w="3447" w:type="dxa"/>
            <w:tcBorders>
              <w:top w:val="nil"/>
              <w:left w:val="nil"/>
              <w:bottom w:val="single" w:sz="4" w:space="0" w:color="auto"/>
              <w:right w:val="single" w:sz="4" w:space="0" w:color="auto"/>
            </w:tcBorders>
            <w:shd w:val="clear" w:color="auto" w:fill="auto"/>
            <w:noWrap/>
            <w:vAlign w:val="bottom"/>
            <w:hideMark/>
          </w:tcPr>
          <w:p w14:paraId="1D5AF87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14:paraId="27228750"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E0D6DBB"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41154576</w:t>
            </w:r>
          </w:p>
        </w:tc>
        <w:tc>
          <w:tcPr>
            <w:tcW w:w="3873" w:type="dxa"/>
            <w:tcBorders>
              <w:top w:val="nil"/>
              <w:left w:val="nil"/>
              <w:bottom w:val="single" w:sz="4" w:space="0" w:color="auto"/>
              <w:right w:val="single" w:sz="4" w:space="0" w:color="auto"/>
            </w:tcBorders>
            <w:shd w:val="clear" w:color="auto" w:fill="auto"/>
            <w:noWrap/>
            <w:vAlign w:val="bottom"/>
            <w:hideMark/>
          </w:tcPr>
          <w:p w14:paraId="243785D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LOPEZ DOMINGUEZ NANGLIS</w:t>
            </w:r>
          </w:p>
        </w:tc>
        <w:tc>
          <w:tcPr>
            <w:tcW w:w="3447" w:type="dxa"/>
            <w:tcBorders>
              <w:top w:val="nil"/>
              <w:left w:val="nil"/>
              <w:bottom w:val="single" w:sz="4" w:space="0" w:color="auto"/>
              <w:right w:val="single" w:sz="4" w:space="0" w:color="auto"/>
            </w:tcBorders>
            <w:shd w:val="clear" w:color="auto" w:fill="auto"/>
            <w:noWrap/>
            <w:vAlign w:val="bottom"/>
            <w:hideMark/>
          </w:tcPr>
          <w:p w14:paraId="01153F1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14:paraId="15941C7C"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2ADCABF"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41154550</w:t>
            </w:r>
          </w:p>
        </w:tc>
        <w:tc>
          <w:tcPr>
            <w:tcW w:w="3873" w:type="dxa"/>
            <w:tcBorders>
              <w:top w:val="nil"/>
              <w:left w:val="nil"/>
              <w:bottom w:val="single" w:sz="4" w:space="0" w:color="auto"/>
              <w:right w:val="single" w:sz="4" w:space="0" w:color="auto"/>
            </w:tcBorders>
            <w:shd w:val="clear" w:color="auto" w:fill="auto"/>
            <w:noWrap/>
            <w:vAlign w:val="bottom"/>
            <w:hideMark/>
          </w:tcPr>
          <w:p w14:paraId="1048000E"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MERLIN TRUJILLO JOAQUÍN ANTONIO</w:t>
            </w:r>
          </w:p>
        </w:tc>
        <w:tc>
          <w:tcPr>
            <w:tcW w:w="3447" w:type="dxa"/>
            <w:tcBorders>
              <w:top w:val="nil"/>
              <w:left w:val="nil"/>
              <w:bottom w:val="single" w:sz="4" w:space="0" w:color="auto"/>
              <w:right w:val="single" w:sz="4" w:space="0" w:color="auto"/>
            </w:tcBorders>
            <w:shd w:val="clear" w:color="auto" w:fill="auto"/>
            <w:noWrap/>
            <w:vAlign w:val="bottom"/>
            <w:hideMark/>
          </w:tcPr>
          <w:p w14:paraId="3536E24B"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14:paraId="7D0EA0EC"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E156E3A"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41110741</w:t>
            </w:r>
          </w:p>
        </w:tc>
        <w:tc>
          <w:tcPr>
            <w:tcW w:w="3873" w:type="dxa"/>
            <w:tcBorders>
              <w:top w:val="nil"/>
              <w:left w:val="nil"/>
              <w:bottom w:val="single" w:sz="4" w:space="0" w:color="auto"/>
              <w:right w:val="single" w:sz="4" w:space="0" w:color="auto"/>
            </w:tcBorders>
            <w:shd w:val="clear" w:color="auto" w:fill="auto"/>
            <w:noWrap/>
            <w:vAlign w:val="bottom"/>
            <w:hideMark/>
          </w:tcPr>
          <w:p w14:paraId="4732953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RUIZ PATISHTÁN MARÍA</w:t>
            </w:r>
          </w:p>
        </w:tc>
        <w:tc>
          <w:tcPr>
            <w:tcW w:w="3447" w:type="dxa"/>
            <w:tcBorders>
              <w:top w:val="nil"/>
              <w:left w:val="nil"/>
              <w:bottom w:val="single" w:sz="4" w:space="0" w:color="auto"/>
              <w:right w:val="single" w:sz="4" w:space="0" w:color="auto"/>
            </w:tcBorders>
            <w:shd w:val="clear" w:color="auto" w:fill="auto"/>
            <w:noWrap/>
            <w:vAlign w:val="bottom"/>
            <w:hideMark/>
          </w:tcPr>
          <w:p w14:paraId="7A93396A"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14:paraId="1E2EE8F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5408308"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41110100</w:t>
            </w:r>
          </w:p>
        </w:tc>
        <w:tc>
          <w:tcPr>
            <w:tcW w:w="3873" w:type="dxa"/>
            <w:tcBorders>
              <w:top w:val="nil"/>
              <w:left w:val="nil"/>
              <w:bottom w:val="single" w:sz="4" w:space="0" w:color="auto"/>
              <w:right w:val="single" w:sz="4" w:space="0" w:color="auto"/>
            </w:tcBorders>
            <w:shd w:val="clear" w:color="auto" w:fill="auto"/>
            <w:noWrap/>
            <w:vAlign w:val="bottom"/>
            <w:hideMark/>
          </w:tcPr>
          <w:p w14:paraId="06EFA925"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SANTIAGO VELASCO EFRAÍN</w:t>
            </w:r>
          </w:p>
        </w:tc>
        <w:tc>
          <w:tcPr>
            <w:tcW w:w="3447" w:type="dxa"/>
            <w:tcBorders>
              <w:top w:val="nil"/>
              <w:left w:val="nil"/>
              <w:bottom w:val="single" w:sz="4" w:space="0" w:color="auto"/>
              <w:right w:val="single" w:sz="4" w:space="0" w:color="auto"/>
            </w:tcBorders>
            <w:shd w:val="clear" w:color="auto" w:fill="auto"/>
            <w:noWrap/>
            <w:vAlign w:val="bottom"/>
            <w:hideMark/>
          </w:tcPr>
          <w:p w14:paraId="33389EC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14:paraId="7256410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8AC34EF"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41110073</w:t>
            </w:r>
          </w:p>
        </w:tc>
        <w:tc>
          <w:tcPr>
            <w:tcW w:w="3873" w:type="dxa"/>
            <w:tcBorders>
              <w:top w:val="nil"/>
              <w:left w:val="nil"/>
              <w:bottom w:val="single" w:sz="4" w:space="0" w:color="auto"/>
              <w:right w:val="single" w:sz="4" w:space="0" w:color="auto"/>
            </w:tcBorders>
            <w:shd w:val="clear" w:color="auto" w:fill="auto"/>
            <w:noWrap/>
            <w:vAlign w:val="bottom"/>
            <w:hideMark/>
          </w:tcPr>
          <w:p w14:paraId="51776933"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BENITEZ TAPIA MARIO FERNANDO</w:t>
            </w:r>
          </w:p>
        </w:tc>
        <w:tc>
          <w:tcPr>
            <w:tcW w:w="3447" w:type="dxa"/>
            <w:tcBorders>
              <w:top w:val="nil"/>
              <w:left w:val="nil"/>
              <w:bottom w:val="single" w:sz="4" w:space="0" w:color="auto"/>
              <w:right w:val="single" w:sz="4" w:space="0" w:color="auto"/>
            </w:tcBorders>
            <w:shd w:val="clear" w:color="auto" w:fill="auto"/>
            <w:noWrap/>
            <w:vAlign w:val="bottom"/>
            <w:hideMark/>
          </w:tcPr>
          <w:p w14:paraId="6D0BA21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14:paraId="67CA6395"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2092F9C"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41154410</w:t>
            </w:r>
          </w:p>
        </w:tc>
        <w:tc>
          <w:tcPr>
            <w:tcW w:w="3873" w:type="dxa"/>
            <w:tcBorders>
              <w:top w:val="nil"/>
              <w:left w:val="nil"/>
              <w:bottom w:val="single" w:sz="4" w:space="0" w:color="auto"/>
              <w:right w:val="single" w:sz="4" w:space="0" w:color="auto"/>
            </w:tcBorders>
            <w:shd w:val="clear" w:color="auto" w:fill="auto"/>
            <w:noWrap/>
            <w:vAlign w:val="bottom"/>
            <w:hideMark/>
          </w:tcPr>
          <w:p w14:paraId="657468E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CARRASCO RDZ OCTAVIO JEAN MICHEL</w:t>
            </w:r>
          </w:p>
        </w:tc>
        <w:tc>
          <w:tcPr>
            <w:tcW w:w="3447" w:type="dxa"/>
            <w:tcBorders>
              <w:top w:val="nil"/>
              <w:left w:val="nil"/>
              <w:bottom w:val="single" w:sz="4" w:space="0" w:color="auto"/>
              <w:right w:val="single" w:sz="4" w:space="0" w:color="auto"/>
            </w:tcBorders>
            <w:shd w:val="clear" w:color="auto" w:fill="auto"/>
            <w:noWrap/>
            <w:vAlign w:val="bottom"/>
            <w:hideMark/>
          </w:tcPr>
          <w:p w14:paraId="3DEA7D0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14:paraId="7C49058C"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A5B2B43"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41154584</w:t>
            </w:r>
          </w:p>
        </w:tc>
        <w:tc>
          <w:tcPr>
            <w:tcW w:w="3873" w:type="dxa"/>
            <w:tcBorders>
              <w:top w:val="nil"/>
              <w:left w:val="nil"/>
              <w:bottom w:val="single" w:sz="4" w:space="0" w:color="auto"/>
              <w:right w:val="single" w:sz="4" w:space="0" w:color="auto"/>
            </w:tcBorders>
            <w:shd w:val="clear" w:color="auto" w:fill="auto"/>
            <w:noWrap/>
            <w:vAlign w:val="bottom"/>
            <w:hideMark/>
          </w:tcPr>
          <w:p w14:paraId="769784E6"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CASTILLO GUTIÉRREZ SAGRARIO</w:t>
            </w:r>
          </w:p>
        </w:tc>
        <w:tc>
          <w:tcPr>
            <w:tcW w:w="3447" w:type="dxa"/>
            <w:tcBorders>
              <w:top w:val="nil"/>
              <w:left w:val="nil"/>
              <w:bottom w:val="single" w:sz="4" w:space="0" w:color="auto"/>
              <w:right w:val="single" w:sz="4" w:space="0" w:color="auto"/>
            </w:tcBorders>
            <w:shd w:val="clear" w:color="auto" w:fill="auto"/>
            <w:noWrap/>
            <w:vAlign w:val="bottom"/>
            <w:hideMark/>
          </w:tcPr>
          <w:p w14:paraId="2DD26A6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14:paraId="3F9852A9"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866D009"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41110084</w:t>
            </w:r>
          </w:p>
        </w:tc>
        <w:tc>
          <w:tcPr>
            <w:tcW w:w="3873" w:type="dxa"/>
            <w:tcBorders>
              <w:top w:val="nil"/>
              <w:left w:val="nil"/>
              <w:bottom w:val="single" w:sz="4" w:space="0" w:color="auto"/>
              <w:right w:val="single" w:sz="4" w:space="0" w:color="auto"/>
            </w:tcBorders>
            <w:shd w:val="clear" w:color="auto" w:fill="auto"/>
            <w:noWrap/>
            <w:vAlign w:val="bottom"/>
            <w:hideMark/>
          </w:tcPr>
          <w:p w14:paraId="3B47ACA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GONZÁLEZ TAPIA ÉVELYN</w:t>
            </w:r>
          </w:p>
        </w:tc>
        <w:tc>
          <w:tcPr>
            <w:tcW w:w="3447" w:type="dxa"/>
            <w:tcBorders>
              <w:top w:val="nil"/>
              <w:left w:val="nil"/>
              <w:bottom w:val="single" w:sz="4" w:space="0" w:color="auto"/>
              <w:right w:val="single" w:sz="4" w:space="0" w:color="auto"/>
            </w:tcBorders>
            <w:shd w:val="clear" w:color="auto" w:fill="auto"/>
            <w:noWrap/>
            <w:vAlign w:val="bottom"/>
            <w:hideMark/>
          </w:tcPr>
          <w:p w14:paraId="47B681A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14:paraId="3596A7A5"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1A7EE51"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41126228</w:t>
            </w:r>
          </w:p>
        </w:tc>
        <w:tc>
          <w:tcPr>
            <w:tcW w:w="3873" w:type="dxa"/>
            <w:tcBorders>
              <w:top w:val="nil"/>
              <w:left w:val="nil"/>
              <w:bottom w:val="single" w:sz="4" w:space="0" w:color="auto"/>
              <w:right w:val="single" w:sz="4" w:space="0" w:color="auto"/>
            </w:tcBorders>
            <w:shd w:val="clear" w:color="auto" w:fill="auto"/>
            <w:noWrap/>
            <w:vAlign w:val="bottom"/>
            <w:hideMark/>
          </w:tcPr>
          <w:p w14:paraId="326E79D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HERNÁNDEZ MÉNDEZ DAVID BLADIMIR</w:t>
            </w:r>
          </w:p>
        </w:tc>
        <w:tc>
          <w:tcPr>
            <w:tcW w:w="3447" w:type="dxa"/>
            <w:tcBorders>
              <w:top w:val="nil"/>
              <w:left w:val="nil"/>
              <w:bottom w:val="single" w:sz="4" w:space="0" w:color="auto"/>
              <w:right w:val="single" w:sz="4" w:space="0" w:color="auto"/>
            </w:tcBorders>
            <w:shd w:val="clear" w:color="auto" w:fill="auto"/>
            <w:noWrap/>
            <w:vAlign w:val="bottom"/>
            <w:hideMark/>
          </w:tcPr>
          <w:p w14:paraId="5345BDFE"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14:paraId="37BC776D"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FAA2DC5"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41146119</w:t>
            </w:r>
          </w:p>
        </w:tc>
        <w:tc>
          <w:tcPr>
            <w:tcW w:w="3873" w:type="dxa"/>
            <w:tcBorders>
              <w:top w:val="nil"/>
              <w:left w:val="nil"/>
              <w:bottom w:val="single" w:sz="4" w:space="0" w:color="auto"/>
              <w:right w:val="single" w:sz="4" w:space="0" w:color="auto"/>
            </w:tcBorders>
            <w:shd w:val="clear" w:color="auto" w:fill="auto"/>
            <w:noWrap/>
            <w:vAlign w:val="bottom"/>
            <w:hideMark/>
          </w:tcPr>
          <w:p w14:paraId="6EAACDA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UCAN TUCUCH OMAR</w:t>
            </w:r>
          </w:p>
        </w:tc>
        <w:tc>
          <w:tcPr>
            <w:tcW w:w="3447" w:type="dxa"/>
            <w:tcBorders>
              <w:top w:val="nil"/>
              <w:left w:val="nil"/>
              <w:bottom w:val="single" w:sz="4" w:space="0" w:color="auto"/>
              <w:right w:val="single" w:sz="4" w:space="0" w:color="auto"/>
            </w:tcBorders>
            <w:shd w:val="clear" w:color="auto" w:fill="auto"/>
            <w:noWrap/>
            <w:vAlign w:val="bottom"/>
            <w:hideMark/>
          </w:tcPr>
          <w:p w14:paraId="29A19AC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14:paraId="3867D08B"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43E58FA"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41146366</w:t>
            </w:r>
          </w:p>
        </w:tc>
        <w:tc>
          <w:tcPr>
            <w:tcW w:w="3873" w:type="dxa"/>
            <w:tcBorders>
              <w:top w:val="nil"/>
              <w:left w:val="nil"/>
              <w:bottom w:val="single" w:sz="4" w:space="0" w:color="auto"/>
              <w:right w:val="single" w:sz="4" w:space="0" w:color="auto"/>
            </w:tcBorders>
            <w:shd w:val="clear" w:color="auto" w:fill="auto"/>
            <w:noWrap/>
            <w:vAlign w:val="bottom"/>
            <w:hideMark/>
          </w:tcPr>
          <w:p w14:paraId="76E85A7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VASQUEZ GARCIA VICTORIA</w:t>
            </w:r>
          </w:p>
        </w:tc>
        <w:tc>
          <w:tcPr>
            <w:tcW w:w="3447" w:type="dxa"/>
            <w:tcBorders>
              <w:top w:val="nil"/>
              <w:left w:val="nil"/>
              <w:bottom w:val="single" w:sz="4" w:space="0" w:color="auto"/>
              <w:right w:val="single" w:sz="4" w:space="0" w:color="auto"/>
            </w:tcBorders>
            <w:shd w:val="clear" w:color="auto" w:fill="auto"/>
            <w:noWrap/>
            <w:vAlign w:val="bottom"/>
            <w:hideMark/>
          </w:tcPr>
          <w:p w14:paraId="4AE46E4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14:paraId="5CA32C83"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1B83F2A"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41146259</w:t>
            </w:r>
          </w:p>
        </w:tc>
        <w:tc>
          <w:tcPr>
            <w:tcW w:w="3873" w:type="dxa"/>
            <w:tcBorders>
              <w:top w:val="nil"/>
              <w:left w:val="nil"/>
              <w:bottom w:val="single" w:sz="4" w:space="0" w:color="auto"/>
              <w:right w:val="single" w:sz="4" w:space="0" w:color="auto"/>
            </w:tcBorders>
            <w:shd w:val="clear" w:color="auto" w:fill="auto"/>
            <w:noWrap/>
            <w:vAlign w:val="bottom"/>
            <w:hideMark/>
          </w:tcPr>
          <w:p w14:paraId="145BD97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VASQUEZ LOPEZ AMISADAI CATALINA</w:t>
            </w:r>
          </w:p>
        </w:tc>
        <w:tc>
          <w:tcPr>
            <w:tcW w:w="3447" w:type="dxa"/>
            <w:tcBorders>
              <w:top w:val="nil"/>
              <w:left w:val="nil"/>
              <w:bottom w:val="single" w:sz="4" w:space="0" w:color="auto"/>
              <w:right w:val="single" w:sz="4" w:space="0" w:color="auto"/>
            </w:tcBorders>
            <w:shd w:val="clear" w:color="auto" w:fill="auto"/>
            <w:noWrap/>
            <w:vAlign w:val="bottom"/>
            <w:hideMark/>
          </w:tcPr>
          <w:p w14:paraId="22B38933"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14:paraId="76D888E5"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AEF8643"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41110102</w:t>
            </w:r>
          </w:p>
        </w:tc>
        <w:tc>
          <w:tcPr>
            <w:tcW w:w="3873" w:type="dxa"/>
            <w:tcBorders>
              <w:top w:val="nil"/>
              <w:left w:val="nil"/>
              <w:bottom w:val="single" w:sz="4" w:space="0" w:color="auto"/>
              <w:right w:val="single" w:sz="4" w:space="0" w:color="auto"/>
            </w:tcBorders>
            <w:shd w:val="clear" w:color="auto" w:fill="auto"/>
            <w:noWrap/>
            <w:vAlign w:val="bottom"/>
            <w:hideMark/>
          </w:tcPr>
          <w:p w14:paraId="51FEAF0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VÁZQUEZ LÓPEZ MERARI SUJEY</w:t>
            </w:r>
          </w:p>
        </w:tc>
        <w:tc>
          <w:tcPr>
            <w:tcW w:w="3447" w:type="dxa"/>
            <w:tcBorders>
              <w:top w:val="nil"/>
              <w:left w:val="nil"/>
              <w:bottom w:val="single" w:sz="4" w:space="0" w:color="auto"/>
              <w:right w:val="single" w:sz="4" w:space="0" w:color="auto"/>
            </w:tcBorders>
            <w:shd w:val="clear" w:color="auto" w:fill="auto"/>
            <w:noWrap/>
            <w:vAlign w:val="bottom"/>
            <w:hideMark/>
          </w:tcPr>
          <w:p w14:paraId="328D6E9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14:paraId="26D8F3F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C08A490"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41146101</w:t>
            </w:r>
          </w:p>
        </w:tc>
        <w:tc>
          <w:tcPr>
            <w:tcW w:w="3873" w:type="dxa"/>
            <w:tcBorders>
              <w:top w:val="nil"/>
              <w:left w:val="nil"/>
              <w:bottom w:val="single" w:sz="4" w:space="0" w:color="auto"/>
              <w:right w:val="single" w:sz="4" w:space="0" w:color="auto"/>
            </w:tcBorders>
            <w:shd w:val="clear" w:color="auto" w:fill="auto"/>
            <w:noWrap/>
            <w:vAlign w:val="bottom"/>
            <w:hideMark/>
          </w:tcPr>
          <w:p w14:paraId="229E0D65"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 xml:space="preserve">AGÜERO GUTIÉRREZ EVERARDO </w:t>
            </w:r>
          </w:p>
        </w:tc>
        <w:tc>
          <w:tcPr>
            <w:tcW w:w="3447" w:type="dxa"/>
            <w:tcBorders>
              <w:top w:val="nil"/>
              <w:left w:val="nil"/>
              <w:bottom w:val="single" w:sz="4" w:space="0" w:color="auto"/>
              <w:right w:val="single" w:sz="4" w:space="0" w:color="auto"/>
            </w:tcBorders>
            <w:shd w:val="clear" w:color="auto" w:fill="auto"/>
            <w:noWrap/>
            <w:vAlign w:val="bottom"/>
            <w:hideMark/>
          </w:tcPr>
          <w:p w14:paraId="24749085"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14:paraId="07D887E0"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C1426AA"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41122581</w:t>
            </w:r>
          </w:p>
        </w:tc>
        <w:tc>
          <w:tcPr>
            <w:tcW w:w="3873" w:type="dxa"/>
            <w:tcBorders>
              <w:top w:val="nil"/>
              <w:left w:val="nil"/>
              <w:bottom w:val="single" w:sz="4" w:space="0" w:color="auto"/>
              <w:right w:val="single" w:sz="4" w:space="0" w:color="auto"/>
            </w:tcBorders>
            <w:shd w:val="clear" w:color="auto" w:fill="auto"/>
            <w:noWrap/>
            <w:vAlign w:val="bottom"/>
            <w:hideMark/>
          </w:tcPr>
          <w:p w14:paraId="5C1C431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ÁLVAREZ ESPINOZA JULIO CÉSAR</w:t>
            </w:r>
          </w:p>
        </w:tc>
        <w:tc>
          <w:tcPr>
            <w:tcW w:w="3447" w:type="dxa"/>
            <w:tcBorders>
              <w:top w:val="nil"/>
              <w:left w:val="nil"/>
              <w:bottom w:val="single" w:sz="4" w:space="0" w:color="auto"/>
              <w:right w:val="single" w:sz="4" w:space="0" w:color="auto"/>
            </w:tcBorders>
            <w:shd w:val="clear" w:color="auto" w:fill="auto"/>
            <w:noWrap/>
            <w:vAlign w:val="bottom"/>
            <w:hideMark/>
          </w:tcPr>
          <w:p w14:paraId="4346A298"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14:paraId="6063AB0A"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8E14A02"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41122599</w:t>
            </w:r>
          </w:p>
        </w:tc>
        <w:tc>
          <w:tcPr>
            <w:tcW w:w="3873" w:type="dxa"/>
            <w:tcBorders>
              <w:top w:val="nil"/>
              <w:left w:val="nil"/>
              <w:bottom w:val="single" w:sz="4" w:space="0" w:color="auto"/>
              <w:right w:val="single" w:sz="4" w:space="0" w:color="auto"/>
            </w:tcBorders>
            <w:shd w:val="clear" w:color="auto" w:fill="auto"/>
            <w:noWrap/>
            <w:vAlign w:val="bottom"/>
            <w:hideMark/>
          </w:tcPr>
          <w:p w14:paraId="15E0F9F5"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ÁNGEL SÁNCHEZ LORENZO</w:t>
            </w:r>
          </w:p>
        </w:tc>
        <w:tc>
          <w:tcPr>
            <w:tcW w:w="3447" w:type="dxa"/>
            <w:tcBorders>
              <w:top w:val="nil"/>
              <w:left w:val="nil"/>
              <w:bottom w:val="single" w:sz="4" w:space="0" w:color="auto"/>
              <w:right w:val="single" w:sz="4" w:space="0" w:color="auto"/>
            </w:tcBorders>
            <w:shd w:val="clear" w:color="auto" w:fill="auto"/>
            <w:noWrap/>
            <w:vAlign w:val="bottom"/>
            <w:hideMark/>
          </w:tcPr>
          <w:p w14:paraId="72E1ED9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14:paraId="6AE1F0C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AA5970A"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41122607</w:t>
            </w:r>
          </w:p>
        </w:tc>
        <w:tc>
          <w:tcPr>
            <w:tcW w:w="3873" w:type="dxa"/>
            <w:tcBorders>
              <w:top w:val="nil"/>
              <w:left w:val="nil"/>
              <w:bottom w:val="single" w:sz="4" w:space="0" w:color="auto"/>
              <w:right w:val="single" w:sz="4" w:space="0" w:color="auto"/>
            </w:tcBorders>
            <w:shd w:val="clear" w:color="auto" w:fill="auto"/>
            <w:noWrap/>
            <w:vAlign w:val="bottom"/>
            <w:hideMark/>
          </w:tcPr>
          <w:p w14:paraId="6DA056DD"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ARELLANO DIEZ DE URDANIVIA PATRICIO</w:t>
            </w:r>
          </w:p>
        </w:tc>
        <w:tc>
          <w:tcPr>
            <w:tcW w:w="3447" w:type="dxa"/>
            <w:tcBorders>
              <w:top w:val="nil"/>
              <w:left w:val="nil"/>
              <w:bottom w:val="single" w:sz="4" w:space="0" w:color="auto"/>
              <w:right w:val="single" w:sz="4" w:space="0" w:color="auto"/>
            </w:tcBorders>
            <w:shd w:val="clear" w:color="auto" w:fill="auto"/>
            <w:noWrap/>
            <w:vAlign w:val="bottom"/>
            <w:hideMark/>
          </w:tcPr>
          <w:p w14:paraId="3B313C45"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14:paraId="6ECFB632"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8DE76E7"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41110078</w:t>
            </w:r>
          </w:p>
        </w:tc>
        <w:tc>
          <w:tcPr>
            <w:tcW w:w="3873" w:type="dxa"/>
            <w:tcBorders>
              <w:top w:val="nil"/>
              <w:left w:val="nil"/>
              <w:bottom w:val="single" w:sz="4" w:space="0" w:color="auto"/>
              <w:right w:val="single" w:sz="4" w:space="0" w:color="auto"/>
            </w:tcBorders>
            <w:shd w:val="clear" w:color="auto" w:fill="auto"/>
            <w:noWrap/>
            <w:vAlign w:val="bottom"/>
            <w:hideMark/>
          </w:tcPr>
          <w:p w14:paraId="098464B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CUMPLIDO NÁJERA CLAUDIA FRANCELY</w:t>
            </w:r>
          </w:p>
        </w:tc>
        <w:tc>
          <w:tcPr>
            <w:tcW w:w="3447" w:type="dxa"/>
            <w:tcBorders>
              <w:top w:val="nil"/>
              <w:left w:val="nil"/>
              <w:bottom w:val="single" w:sz="4" w:space="0" w:color="auto"/>
              <w:right w:val="single" w:sz="4" w:space="0" w:color="auto"/>
            </w:tcBorders>
            <w:shd w:val="clear" w:color="auto" w:fill="auto"/>
            <w:noWrap/>
            <w:vAlign w:val="bottom"/>
            <w:hideMark/>
          </w:tcPr>
          <w:p w14:paraId="3719AB5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14:paraId="2419D3E2"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18D8AD6"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41110814</w:t>
            </w:r>
          </w:p>
        </w:tc>
        <w:tc>
          <w:tcPr>
            <w:tcW w:w="3873" w:type="dxa"/>
            <w:tcBorders>
              <w:top w:val="nil"/>
              <w:left w:val="nil"/>
              <w:bottom w:val="single" w:sz="4" w:space="0" w:color="auto"/>
              <w:right w:val="single" w:sz="4" w:space="0" w:color="auto"/>
            </w:tcBorders>
            <w:shd w:val="clear" w:color="auto" w:fill="auto"/>
            <w:noWrap/>
            <w:vAlign w:val="bottom"/>
            <w:hideMark/>
          </w:tcPr>
          <w:p w14:paraId="1E13F22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HERNÁNDEZ BAUTISTA SOLEDAD</w:t>
            </w:r>
          </w:p>
        </w:tc>
        <w:tc>
          <w:tcPr>
            <w:tcW w:w="3447" w:type="dxa"/>
            <w:tcBorders>
              <w:top w:val="nil"/>
              <w:left w:val="nil"/>
              <w:bottom w:val="single" w:sz="4" w:space="0" w:color="auto"/>
              <w:right w:val="single" w:sz="4" w:space="0" w:color="auto"/>
            </w:tcBorders>
            <w:shd w:val="clear" w:color="auto" w:fill="auto"/>
            <w:noWrap/>
            <w:vAlign w:val="bottom"/>
            <w:hideMark/>
          </w:tcPr>
          <w:p w14:paraId="7E3DCE2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14:paraId="3CDC037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DE23D60"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41110828</w:t>
            </w:r>
          </w:p>
        </w:tc>
        <w:tc>
          <w:tcPr>
            <w:tcW w:w="3873" w:type="dxa"/>
            <w:tcBorders>
              <w:top w:val="nil"/>
              <w:left w:val="nil"/>
              <w:bottom w:val="single" w:sz="4" w:space="0" w:color="auto"/>
              <w:right w:val="single" w:sz="4" w:space="0" w:color="auto"/>
            </w:tcBorders>
            <w:shd w:val="clear" w:color="auto" w:fill="auto"/>
            <w:noWrap/>
            <w:vAlign w:val="bottom"/>
            <w:hideMark/>
          </w:tcPr>
          <w:p w14:paraId="3B594F29"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HERNÁNDEZ RAMÍREZ EDITH</w:t>
            </w:r>
          </w:p>
        </w:tc>
        <w:tc>
          <w:tcPr>
            <w:tcW w:w="3447" w:type="dxa"/>
            <w:tcBorders>
              <w:top w:val="nil"/>
              <w:left w:val="nil"/>
              <w:bottom w:val="single" w:sz="4" w:space="0" w:color="auto"/>
              <w:right w:val="single" w:sz="4" w:space="0" w:color="auto"/>
            </w:tcBorders>
            <w:shd w:val="clear" w:color="auto" w:fill="auto"/>
            <w:noWrap/>
            <w:vAlign w:val="bottom"/>
            <w:hideMark/>
          </w:tcPr>
          <w:p w14:paraId="6C3EB614"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14:paraId="0EDFB8B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F7DE324"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41146218</w:t>
            </w:r>
          </w:p>
        </w:tc>
        <w:tc>
          <w:tcPr>
            <w:tcW w:w="3873" w:type="dxa"/>
            <w:tcBorders>
              <w:top w:val="nil"/>
              <w:left w:val="nil"/>
              <w:bottom w:val="single" w:sz="4" w:space="0" w:color="auto"/>
              <w:right w:val="single" w:sz="4" w:space="0" w:color="auto"/>
            </w:tcBorders>
            <w:shd w:val="clear" w:color="auto" w:fill="auto"/>
            <w:noWrap/>
            <w:vAlign w:val="bottom"/>
            <w:hideMark/>
          </w:tcPr>
          <w:p w14:paraId="7B7FC00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MORALES MELENDEZ RAUL</w:t>
            </w:r>
          </w:p>
        </w:tc>
        <w:tc>
          <w:tcPr>
            <w:tcW w:w="3447" w:type="dxa"/>
            <w:tcBorders>
              <w:top w:val="nil"/>
              <w:left w:val="nil"/>
              <w:bottom w:val="single" w:sz="4" w:space="0" w:color="auto"/>
              <w:right w:val="single" w:sz="4" w:space="0" w:color="auto"/>
            </w:tcBorders>
            <w:shd w:val="clear" w:color="auto" w:fill="auto"/>
            <w:noWrap/>
            <w:vAlign w:val="bottom"/>
            <w:hideMark/>
          </w:tcPr>
          <w:p w14:paraId="6EF6D895"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14:paraId="381038B2"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7BD8C83"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41110094</w:t>
            </w:r>
          </w:p>
        </w:tc>
        <w:tc>
          <w:tcPr>
            <w:tcW w:w="3873" w:type="dxa"/>
            <w:tcBorders>
              <w:top w:val="nil"/>
              <w:left w:val="nil"/>
              <w:bottom w:val="single" w:sz="4" w:space="0" w:color="auto"/>
              <w:right w:val="single" w:sz="4" w:space="0" w:color="auto"/>
            </w:tcBorders>
            <w:shd w:val="clear" w:color="auto" w:fill="auto"/>
            <w:noWrap/>
            <w:vAlign w:val="bottom"/>
            <w:hideMark/>
          </w:tcPr>
          <w:p w14:paraId="7DC43D2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PASCUAL CRUZ HUMBERTO</w:t>
            </w:r>
          </w:p>
        </w:tc>
        <w:tc>
          <w:tcPr>
            <w:tcW w:w="3447" w:type="dxa"/>
            <w:tcBorders>
              <w:top w:val="nil"/>
              <w:left w:val="nil"/>
              <w:bottom w:val="single" w:sz="4" w:space="0" w:color="auto"/>
              <w:right w:val="single" w:sz="4" w:space="0" w:color="auto"/>
            </w:tcBorders>
            <w:shd w:val="clear" w:color="auto" w:fill="auto"/>
            <w:noWrap/>
            <w:vAlign w:val="bottom"/>
            <w:hideMark/>
          </w:tcPr>
          <w:p w14:paraId="6C69F606"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14:paraId="57A8A358"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15BC985"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41128075</w:t>
            </w:r>
          </w:p>
        </w:tc>
        <w:tc>
          <w:tcPr>
            <w:tcW w:w="3873" w:type="dxa"/>
            <w:tcBorders>
              <w:top w:val="nil"/>
              <w:left w:val="nil"/>
              <w:bottom w:val="single" w:sz="4" w:space="0" w:color="auto"/>
              <w:right w:val="single" w:sz="4" w:space="0" w:color="auto"/>
            </w:tcBorders>
            <w:shd w:val="clear" w:color="auto" w:fill="auto"/>
            <w:noWrap/>
            <w:vAlign w:val="bottom"/>
            <w:hideMark/>
          </w:tcPr>
          <w:p w14:paraId="194EF0C0"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SOTO VÉLEZ CARLOS MANUEL</w:t>
            </w:r>
          </w:p>
        </w:tc>
        <w:tc>
          <w:tcPr>
            <w:tcW w:w="3447" w:type="dxa"/>
            <w:tcBorders>
              <w:top w:val="nil"/>
              <w:left w:val="nil"/>
              <w:bottom w:val="single" w:sz="4" w:space="0" w:color="auto"/>
              <w:right w:val="single" w:sz="4" w:space="0" w:color="auto"/>
            </w:tcBorders>
            <w:shd w:val="clear" w:color="auto" w:fill="auto"/>
            <w:noWrap/>
            <w:vAlign w:val="bottom"/>
            <w:hideMark/>
          </w:tcPr>
          <w:p w14:paraId="0476ABC7"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14:paraId="0083DA44"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B8F4DB1"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41110103</w:t>
            </w:r>
          </w:p>
        </w:tc>
        <w:tc>
          <w:tcPr>
            <w:tcW w:w="3873" w:type="dxa"/>
            <w:tcBorders>
              <w:top w:val="nil"/>
              <w:left w:val="nil"/>
              <w:bottom w:val="single" w:sz="4" w:space="0" w:color="auto"/>
              <w:right w:val="single" w:sz="4" w:space="0" w:color="auto"/>
            </w:tcBorders>
            <w:shd w:val="clear" w:color="auto" w:fill="auto"/>
            <w:noWrap/>
            <w:vAlign w:val="bottom"/>
            <w:hideMark/>
          </w:tcPr>
          <w:p w14:paraId="43A480A1"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VÁZQUEZ BAXCAJAY CAROLINA</w:t>
            </w:r>
          </w:p>
        </w:tc>
        <w:tc>
          <w:tcPr>
            <w:tcW w:w="3447" w:type="dxa"/>
            <w:tcBorders>
              <w:top w:val="nil"/>
              <w:left w:val="nil"/>
              <w:bottom w:val="single" w:sz="4" w:space="0" w:color="auto"/>
              <w:right w:val="single" w:sz="4" w:space="0" w:color="auto"/>
            </w:tcBorders>
            <w:shd w:val="clear" w:color="auto" w:fill="auto"/>
            <w:noWrap/>
            <w:vAlign w:val="bottom"/>
            <w:hideMark/>
          </w:tcPr>
          <w:p w14:paraId="18E767BF"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14:paraId="413CE030" w14:textId="77777777"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D5907F1" w14:textId="77777777"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41134818</w:t>
            </w:r>
          </w:p>
        </w:tc>
        <w:tc>
          <w:tcPr>
            <w:tcW w:w="3873" w:type="dxa"/>
            <w:tcBorders>
              <w:top w:val="nil"/>
              <w:left w:val="nil"/>
              <w:bottom w:val="single" w:sz="4" w:space="0" w:color="auto"/>
              <w:right w:val="single" w:sz="4" w:space="0" w:color="auto"/>
            </w:tcBorders>
            <w:shd w:val="clear" w:color="auto" w:fill="auto"/>
            <w:noWrap/>
            <w:vAlign w:val="bottom"/>
            <w:hideMark/>
          </w:tcPr>
          <w:p w14:paraId="3B928CF5"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CASTILLO BALCÁZAR LETICIA</w:t>
            </w:r>
          </w:p>
        </w:tc>
        <w:tc>
          <w:tcPr>
            <w:tcW w:w="3447" w:type="dxa"/>
            <w:tcBorders>
              <w:top w:val="nil"/>
              <w:left w:val="nil"/>
              <w:bottom w:val="single" w:sz="4" w:space="0" w:color="auto"/>
              <w:right w:val="single" w:sz="4" w:space="0" w:color="auto"/>
            </w:tcBorders>
            <w:shd w:val="clear" w:color="auto" w:fill="auto"/>
            <w:noWrap/>
            <w:vAlign w:val="bottom"/>
            <w:hideMark/>
          </w:tcPr>
          <w:p w14:paraId="0036613C" w14:textId="77777777"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ISMAEL CABRAL CORDERO</w:t>
            </w:r>
          </w:p>
        </w:tc>
      </w:tr>
    </w:tbl>
    <w:p w14:paraId="348262C0" w14:textId="77777777" w:rsidR="00607356" w:rsidRPr="007923C2" w:rsidRDefault="00607356" w:rsidP="005E47E4">
      <w:pPr>
        <w:widowControl w:val="0"/>
        <w:autoSpaceDE w:val="0"/>
        <w:autoSpaceDN w:val="0"/>
        <w:adjustRightInd w:val="0"/>
        <w:jc w:val="both"/>
        <w:rPr>
          <w:rFonts w:ascii="Arial" w:hAnsi="Arial" w:cs="Arial"/>
          <w:sz w:val="22"/>
          <w:szCs w:val="22"/>
        </w:rPr>
      </w:pPr>
    </w:p>
    <w:p w14:paraId="62A530DD" w14:textId="77777777" w:rsidR="009D0CA2" w:rsidRDefault="009D0CA2" w:rsidP="005E47E4">
      <w:pPr>
        <w:widowControl w:val="0"/>
        <w:autoSpaceDE w:val="0"/>
        <w:autoSpaceDN w:val="0"/>
        <w:adjustRightInd w:val="0"/>
        <w:jc w:val="both"/>
        <w:rPr>
          <w:rFonts w:ascii="Arial" w:hAnsi="Arial" w:cs="Arial"/>
          <w:b/>
          <w:sz w:val="22"/>
          <w:szCs w:val="22"/>
        </w:rPr>
      </w:pPr>
    </w:p>
    <w:p w14:paraId="765073BC" w14:textId="77777777" w:rsidR="009D0CA2" w:rsidRDefault="009D0CA2" w:rsidP="005E47E4">
      <w:pPr>
        <w:widowControl w:val="0"/>
        <w:autoSpaceDE w:val="0"/>
        <w:autoSpaceDN w:val="0"/>
        <w:adjustRightInd w:val="0"/>
        <w:jc w:val="both"/>
        <w:rPr>
          <w:rFonts w:ascii="Arial" w:hAnsi="Arial" w:cs="Arial"/>
          <w:b/>
          <w:sz w:val="22"/>
          <w:szCs w:val="22"/>
        </w:rPr>
      </w:pPr>
    </w:p>
    <w:p w14:paraId="0774F141" w14:textId="77777777" w:rsidR="009D0CA2" w:rsidRDefault="009D0CA2" w:rsidP="005E47E4">
      <w:pPr>
        <w:widowControl w:val="0"/>
        <w:autoSpaceDE w:val="0"/>
        <w:autoSpaceDN w:val="0"/>
        <w:adjustRightInd w:val="0"/>
        <w:jc w:val="both"/>
        <w:rPr>
          <w:rFonts w:ascii="Arial" w:hAnsi="Arial" w:cs="Arial"/>
          <w:b/>
          <w:sz w:val="22"/>
          <w:szCs w:val="22"/>
        </w:rPr>
      </w:pPr>
    </w:p>
    <w:p w14:paraId="09133EFD" w14:textId="77777777" w:rsidR="00607356" w:rsidRPr="000F3E81" w:rsidRDefault="00CB01C8" w:rsidP="005E47E4">
      <w:pPr>
        <w:widowControl w:val="0"/>
        <w:autoSpaceDE w:val="0"/>
        <w:autoSpaceDN w:val="0"/>
        <w:adjustRightInd w:val="0"/>
        <w:jc w:val="both"/>
        <w:rPr>
          <w:rFonts w:ascii="Arial" w:hAnsi="Arial" w:cs="Arial"/>
          <w:b/>
          <w:sz w:val="22"/>
          <w:szCs w:val="22"/>
        </w:rPr>
      </w:pPr>
      <w:r w:rsidRPr="000F3E81">
        <w:rPr>
          <w:rFonts w:ascii="Arial" w:hAnsi="Arial" w:cs="Arial"/>
          <w:b/>
          <w:sz w:val="22"/>
          <w:szCs w:val="22"/>
        </w:rPr>
        <w:lastRenderedPageBreak/>
        <w:t>PROCEDIMIENTO PARA REGISTRO DE TUTORÍAS EN CADA SESIÓN MENSUAL</w:t>
      </w:r>
    </w:p>
    <w:tbl>
      <w:tblPr>
        <w:tblW w:w="10127" w:type="dxa"/>
        <w:tblCellMar>
          <w:left w:w="70" w:type="dxa"/>
          <w:right w:w="70" w:type="dxa"/>
        </w:tblCellMar>
        <w:tblLook w:val="04A0" w:firstRow="1" w:lastRow="0" w:firstColumn="1" w:lastColumn="0" w:noHBand="0" w:noVBand="1"/>
      </w:tblPr>
      <w:tblGrid>
        <w:gridCol w:w="343"/>
        <w:gridCol w:w="951"/>
        <w:gridCol w:w="2534"/>
        <w:gridCol w:w="425"/>
        <w:gridCol w:w="567"/>
        <w:gridCol w:w="837"/>
        <w:gridCol w:w="188"/>
        <w:gridCol w:w="352"/>
        <w:gridCol w:w="607"/>
        <w:gridCol w:w="484"/>
        <w:gridCol w:w="225"/>
        <w:gridCol w:w="143"/>
        <w:gridCol w:w="141"/>
        <w:gridCol w:w="526"/>
        <w:gridCol w:w="160"/>
        <w:gridCol w:w="1146"/>
        <w:gridCol w:w="160"/>
        <w:gridCol w:w="160"/>
        <w:gridCol w:w="178"/>
      </w:tblGrid>
      <w:tr w:rsidR="00BF7076" w:rsidRPr="00BF7076" w14:paraId="7469FEBE" w14:textId="77777777" w:rsidTr="00DB4F40">
        <w:trPr>
          <w:gridAfter w:val="1"/>
          <w:wAfter w:w="178" w:type="dxa"/>
          <w:trHeight w:val="330"/>
        </w:trPr>
        <w:tc>
          <w:tcPr>
            <w:tcW w:w="3828" w:type="dxa"/>
            <w:gridSpan w:val="3"/>
            <w:tcBorders>
              <w:top w:val="nil"/>
              <w:left w:val="nil"/>
              <w:bottom w:val="nil"/>
              <w:right w:val="nil"/>
            </w:tcBorders>
            <w:shd w:val="clear" w:color="auto" w:fill="auto"/>
            <w:noWrap/>
            <w:vAlign w:val="bottom"/>
            <w:hideMark/>
          </w:tcPr>
          <w:p w14:paraId="42641E37" w14:textId="77777777" w:rsidR="00BF7076" w:rsidRPr="00DB4F40" w:rsidRDefault="00BF7076" w:rsidP="00BF7076">
            <w:pPr>
              <w:spacing w:after="0" w:line="240" w:lineRule="auto"/>
              <w:rPr>
                <w:rFonts w:cs="Calibri"/>
                <w:b/>
                <w:bCs/>
                <w:color w:val="000000"/>
                <w:sz w:val="20"/>
                <w:szCs w:val="20"/>
              </w:rPr>
            </w:pPr>
            <w:r w:rsidRPr="00DB4F40">
              <w:rPr>
                <w:rFonts w:cs="Calibri"/>
                <w:b/>
                <w:bCs/>
                <w:color w:val="000000"/>
                <w:sz w:val="20"/>
                <w:szCs w:val="20"/>
              </w:rPr>
              <w:t>CUARTA TUTORIA VIERNES 13 DE NOVIEMBRE</w:t>
            </w:r>
          </w:p>
        </w:tc>
        <w:tc>
          <w:tcPr>
            <w:tcW w:w="1829" w:type="dxa"/>
            <w:gridSpan w:val="3"/>
            <w:tcBorders>
              <w:top w:val="nil"/>
              <w:left w:val="nil"/>
              <w:bottom w:val="nil"/>
              <w:right w:val="nil"/>
            </w:tcBorders>
            <w:shd w:val="clear" w:color="auto" w:fill="auto"/>
            <w:noWrap/>
            <w:vAlign w:val="bottom"/>
            <w:hideMark/>
          </w:tcPr>
          <w:p w14:paraId="15E80790" w14:textId="77777777" w:rsidR="00BF7076" w:rsidRPr="00DB4F40" w:rsidRDefault="00BF7076" w:rsidP="00BF7076">
            <w:pPr>
              <w:spacing w:after="0" w:line="240" w:lineRule="auto"/>
              <w:rPr>
                <w:rFonts w:cs="Calibri"/>
                <w:b/>
                <w:bCs/>
                <w:color w:val="000000"/>
                <w:sz w:val="20"/>
                <w:szCs w:val="20"/>
              </w:rPr>
            </w:pPr>
          </w:p>
        </w:tc>
        <w:tc>
          <w:tcPr>
            <w:tcW w:w="540" w:type="dxa"/>
            <w:gridSpan w:val="2"/>
            <w:tcBorders>
              <w:top w:val="nil"/>
              <w:left w:val="nil"/>
              <w:bottom w:val="nil"/>
              <w:right w:val="nil"/>
            </w:tcBorders>
            <w:shd w:val="clear" w:color="auto" w:fill="auto"/>
            <w:noWrap/>
            <w:vAlign w:val="bottom"/>
            <w:hideMark/>
          </w:tcPr>
          <w:p w14:paraId="0176E227" w14:textId="77777777" w:rsidR="00BF7076" w:rsidRPr="00BF7076" w:rsidRDefault="00BF7076" w:rsidP="00BF7076">
            <w:pPr>
              <w:spacing w:after="0" w:line="240" w:lineRule="auto"/>
              <w:rPr>
                <w:rFonts w:ascii="Times New Roman" w:hAnsi="Times New Roman"/>
                <w:sz w:val="20"/>
                <w:szCs w:val="20"/>
              </w:rPr>
            </w:pPr>
          </w:p>
        </w:tc>
        <w:tc>
          <w:tcPr>
            <w:tcW w:w="1600" w:type="dxa"/>
            <w:gridSpan w:val="5"/>
            <w:tcBorders>
              <w:top w:val="nil"/>
              <w:left w:val="nil"/>
              <w:bottom w:val="nil"/>
              <w:right w:val="nil"/>
            </w:tcBorders>
            <w:shd w:val="clear" w:color="auto" w:fill="auto"/>
            <w:noWrap/>
            <w:vAlign w:val="bottom"/>
            <w:hideMark/>
          </w:tcPr>
          <w:p w14:paraId="48CEA68B" w14:textId="77777777" w:rsidR="00BF7076" w:rsidRPr="00DB4F40" w:rsidRDefault="00BF7076" w:rsidP="00BF7076">
            <w:pPr>
              <w:spacing w:after="0" w:line="240" w:lineRule="auto"/>
              <w:rPr>
                <w:rFonts w:cs="Calibri"/>
                <w:b/>
                <w:bCs/>
                <w:color w:val="000000"/>
                <w:sz w:val="20"/>
                <w:szCs w:val="20"/>
              </w:rPr>
            </w:pPr>
            <w:r w:rsidRPr="00DB4F40">
              <w:rPr>
                <w:rFonts w:cs="Calibri"/>
                <w:b/>
                <w:bCs/>
                <w:color w:val="000000"/>
                <w:sz w:val="20"/>
                <w:szCs w:val="20"/>
              </w:rPr>
              <w:t>AGOSTO-DICIEMBRE 2015</w:t>
            </w:r>
          </w:p>
        </w:tc>
        <w:tc>
          <w:tcPr>
            <w:tcW w:w="526" w:type="dxa"/>
            <w:tcBorders>
              <w:top w:val="nil"/>
              <w:left w:val="nil"/>
              <w:bottom w:val="nil"/>
              <w:right w:val="nil"/>
            </w:tcBorders>
            <w:shd w:val="clear" w:color="auto" w:fill="auto"/>
            <w:noWrap/>
            <w:vAlign w:val="bottom"/>
            <w:hideMark/>
          </w:tcPr>
          <w:p w14:paraId="3AD7FB10" w14:textId="77777777" w:rsidR="00BF7076" w:rsidRPr="00BF7076" w:rsidRDefault="00BF7076" w:rsidP="00BF7076">
            <w:pPr>
              <w:spacing w:after="0" w:line="240" w:lineRule="auto"/>
              <w:rPr>
                <w:rFonts w:cs="Calibri"/>
                <w:b/>
                <w:bCs/>
                <w:color w:val="000000"/>
                <w:sz w:val="24"/>
                <w:szCs w:val="24"/>
              </w:rPr>
            </w:pPr>
          </w:p>
        </w:tc>
        <w:tc>
          <w:tcPr>
            <w:tcW w:w="160" w:type="dxa"/>
            <w:tcBorders>
              <w:top w:val="nil"/>
              <w:left w:val="nil"/>
              <w:bottom w:val="nil"/>
              <w:right w:val="nil"/>
            </w:tcBorders>
            <w:shd w:val="clear" w:color="auto" w:fill="auto"/>
            <w:noWrap/>
            <w:vAlign w:val="bottom"/>
            <w:hideMark/>
          </w:tcPr>
          <w:p w14:paraId="0AC76E95" w14:textId="77777777" w:rsidR="00BF7076" w:rsidRPr="00BF7076" w:rsidRDefault="00BF7076" w:rsidP="00BF7076">
            <w:pPr>
              <w:spacing w:after="0" w:line="240" w:lineRule="auto"/>
              <w:rPr>
                <w:rFonts w:ascii="Times New Roman" w:hAnsi="Times New Roman"/>
                <w:sz w:val="20"/>
                <w:szCs w:val="20"/>
              </w:rPr>
            </w:pPr>
          </w:p>
        </w:tc>
        <w:tc>
          <w:tcPr>
            <w:tcW w:w="1146" w:type="dxa"/>
            <w:tcBorders>
              <w:top w:val="nil"/>
              <w:left w:val="nil"/>
              <w:bottom w:val="nil"/>
              <w:right w:val="nil"/>
            </w:tcBorders>
            <w:shd w:val="clear" w:color="auto" w:fill="auto"/>
            <w:noWrap/>
            <w:vAlign w:val="bottom"/>
            <w:hideMark/>
          </w:tcPr>
          <w:p w14:paraId="1FE9EE79"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6C6E4F1A"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5EDD8CA8" w14:textId="77777777" w:rsidR="00BF7076" w:rsidRPr="00BF7076" w:rsidRDefault="00BF7076" w:rsidP="00BF7076">
            <w:pPr>
              <w:spacing w:after="0" w:line="240" w:lineRule="auto"/>
              <w:rPr>
                <w:rFonts w:ascii="Times New Roman" w:hAnsi="Times New Roman"/>
                <w:sz w:val="20"/>
                <w:szCs w:val="20"/>
              </w:rPr>
            </w:pPr>
          </w:p>
        </w:tc>
      </w:tr>
      <w:tr w:rsidR="00BF7076" w:rsidRPr="00BF7076" w14:paraId="69CED4EC" w14:textId="77777777" w:rsidTr="00DB4F40">
        <w:trPr>
          <w:gridAfter w:val="1"/>
          <w:wAfter w:w="178" w:type="dxa"/>
          <w:trHeight w:val="315"/>
        </w:trPr>
        <w:tc>
          <w:tcPr>
            <w:tcW w:w="3828" w:type="dxa"/>
            <w:gridSpan w:val="3"/>
            <w:tcBorders>
              <w:top w:val="nil"/>
              <w:left w:val="nil"/>
              <w:bottom w:val="nil"/>
              <w:right w:val="nil"/>
            </w:tcBorders>
            <w:shd w:val="clear" w:color="auto" w:fill="auto"/>
            <w:noWrap/>
            <w:vAlign w:val="bottom"/>
            <w:hideMark/>
          </w:tcPr>
          <w:p w14:paraId="215EA694" w14:textId="77777777" w:rsidR="00BF7076" w:rsidRPr="00DB4F40" w:rsidRDefault="00BF7076" w:rsidP="00BF7076">
            <w:pPr>
              <w:spacing w:after="0" w:line="240" w:lineRule="auto"/>
              <w:rPr>
                <w:rFonts w:cs="Calibri"/>
                <w:b/>
                <w:bCs/>
                <w:color w:val="000000"/>
                <w:sz w:val="20"/>
                <w:szCs w:val="20"/>
              </w:rPr>
            </w:pPr>
            <w:r w:rsidRPr="00DB4F40">
              <w:rPr>
                <w:rFonts w:cs="Calibri"/>
                <w:b/>
                <w:bCs/>
                <w:color w:val="000000"/>
                <w:sz w:val="20"/>
                <w:szCs w:val="20"/>
              </w:rPr>
              <w:t>M.C. MARTHA VÁZQUEZ RODRÍGUEZ</w:t>
            </w:r>
          </w:p>
        </w:tc>
        <w:tc>
          <w:tcPr>
            <w:tcW w:w="1829" w:type="dxa"/>
            <w:gridSpan w:val="3"/>
            <w:tcBorders>
              <w:top w:val="nil"/>
              <w:left w:val="nil"/>
              <w:bottom w:val="nil"/>
              <w:right w:val="nil"/>
            </w:tcBorders>
            <w:shd w:val="clear" w:color="auto" w:fill="auto"/>
            <w:noWrap/>
            <w:vAlign w:val="bottom"/>
            <w:hideMark/>
          </w:tcPr>
          <w:p w14:paraId="47293071" w14:textId="77777777" w:rsidR="00BF7076" w:rsidRPr="00DB4F40" w:rsidRDefault="00BF7076" w:rsidP="00BF7076">
            <w:pPr>
              <w:spacing w:after="0" w:line="240" w:lineRule="auto"/>
              <w:rPr>
                <w:rFonts w:cs="Calibri"/>
                <w:b/>
                <w:bCs/>
                <w:color w:val="000000"/>
                <w:sz w:val="20"/>
                <w:szCs w:val="20"/>
              </w:rPr>
            </w:pPr>
          </w:p>
        </w:tc>
        <w:tc>
          <w:tcPr>
            <w:tcW w:w="540" w:type="dxa"/>
            <w:gridSpan w:val="2"/>
            <w:tcBorders>
              <w:top w:val="nil"/>
              <w:left w:val="nil"/>
              <w:bottom w:val="nil"/>
              <w:right w:val="nil"/>
            </w:tcBorders>
            <w:shd w:val="clear" w:color="auto" w:fill="auto"/>
            <w:noWrap/>
            <w:vAlign w:val="bottom"/>
            <w:hideMark/>
          </w:tcPr>
          <w:p w14:paraId="12342D21" w14:textId="77777777" w:rsidR="00BF7076" w:rsidRPr="00BF7076" w:rsidRDefault="00BF7076" w:rsidP="00BF7076">
            <w:pPr>
              <w:spacing w:after="0" w:line="240" w:lineRule="auto"/>
              <w:rPr>
                <w:rFonts w:ascii="Times New Roman" w:hAnsi="Times New Roman"/>
                <w:sz w:val="20"/>
                <w:szCs w:val="20"/>
              </w:rPr>
            </w:pPr>
          </w:p>
        </w:tc>
        <w:tc>
          <w:tcPr>
            <w:tcW w:w="1316" w:type="dxa"/>
            <w:gridSpan w:val="3"/>
            <w:tcBorders>
              <w:top w:val="nil"/>
              <w:left w:val="nil"/>
              <w:bottom w:val="nil"/>
              <w:right w:val="nil"/>
            </w:tcBorders>
            <w:shd w:val="clear" w:color="auto" w:fill="auto"/>
            <w:noWrap/>
            <w:vAlign w:val="bottom"/>
            <w:hideMark/>
          </w:tcPr>
          <w:p w14:paraId="76B408CD" w14:textId="77777777" w:rsidR="00BF7076" w:rsidRPr="00DB4F40" w:rsidRDefault="00BF7076" w:rsidP="00BF7076">
            <w:pPr>
              <w:spacing w:after="0" w:line="240" w:lineRule="auto"/>
              <w:rPr>
                <w:rFonts w:cs="Calibri"/>
                <w:b/>
                <w:bCs/>
                <w:color w:val="000000"/>
                <w:sz w:val="20"/>
                <w:szCs w:val="20"/>
              </w:rPr>
            </w:pPr>
            <w:r w:rsidRPr="00DB4F40">
              <w:rPr>
                <w:rFonts w:cs="Calibri"/>
                <w:b/>
                <w:bCs/>
                <w:color w:val="000000"/>
                <w:sz w:val="20"/>
                <w:szCs w:val="20"/>
              </w:rPr>
              <w:t>EXP. 1711</w:t>
            </w:r>
          </w:p>
        </w:tc>
        <w:tc>
          <w:tcPr>
            <w:tcW w:w="284" w:type="dxa"/>
            <w:gridSpan w:val="2"/>
            <w:tcBorders>
              <w:top w:val="nil"/>
              <w:left w:val="nil"/>
              <w:bottom w:val="nil"/>
              <w:right w:val="nil"/>
            </w:tcBorders>
            <w:shd w:val="clear" w:color="auto" w:fill="auto"/>
            <w:noWrap/>
            <w:vAlign w:val="bottom"/>
            <w:hideMark/>
          </w:tcPr>
          <w:p w14:paraId="73C29B0D" w14:textId="77777777" w:rsidR="00BF7076" w:rsidRPr="00BF7076" w:rsidRDefault="00BF7076" w:rsidP="00BF7076">
            <w:pPr>
              <w:spacing w:after="0" w:line="240" w:lineRule="auto"/>
              <w:rPr>
                <w:rFonts w:cs="Calibri"/>
                <w:b/>
                <w:bCs/>
                <w:color w:val="000000"/>
                <w:sz w:val="24"/>
                <w:szCs w:val="24"/>
              </w:rPr>
            </w:pPr>
          </w:p>
        </w:tc>
        <w:tc>
          <w:tcPr>
            <w:tcW w:w="526" w:type="dxa"/>
            <w:tcBorders>
              <w:top w:val="nil"/>
              <w:left w:val="nil"/>
              <w:bottom w:val="nil"/>
              <w:right w:val="nil"/>
            </w:tcBorders>
            <w:shd w:val="clear" w:color="auto" w:fill="auto"/>
            <w:noWrap/>
            <w:vAlign w:val="bottom"/>
            <w:hideMark/>
          </w:tcPr>
          <w:p w14:paraId="0BC34839"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5DB667FB" w14:textId="77777777" w:rsidR="00BF7076" w:rsidRPr="00BF7076" w:rsidRDefault="00BF7076" w:rsidP="00BF7076">
            <w:pPr>
              <w:spacing w:after="0" w:line="240" w:lineRule="auto"/>
              <w:rPr>
                <w:rFonts w:ascii="Times New Roman" w:hAnsi="Times New Roman"/>
                <w:sz w:val="20"/>
                <w:szCs w:val="20"/>
              </w:rPr>
            </w:pPr>
          </w:p>
        </w:tc>
        <w:tc>
          <w:tcPr>
            <w:tcW w:w="1146" w:type="dxa"/>
            <w:tcBorders>
              <w:top w:val="single" w:sz="8" w:space="0" w:color="auto"/>
              <w:left w:val="single" w:sz="8" w:space="0" w:color="auto"/>
              <w:bottom w:val="nil"/>
              <w:right w:val="single" w:sz="8" w:space="0" w:color="auto"/>
            </w:tcBorders>
            <w:shd w:val="clear" w:color="auto" w:fill="auto"/>
            <w:noWrap/>
            <w:vAlign w:val="bottom"/>
            <w:hideMark/>
          </w:tcPr>
          <w:p w14:paraId="39BFE7A5" w14:textId="77777777" w:rsidR="00BF7076" w:rsidRPr="00BF7076" w:rsidRDefault="00BF7076" w:rsidP="00BF7076">
            <w:pPr>
              <w:spacing w:after="0" w:line="240" w:lineRule="auto"/>
              <w:jc w:val="center"/>
              <w:rPr>
                <w:rFonts w:cs="Calibri"/>
                <w:b/>
                <w:bCs/>
                <w:color w:val="000000"/>
                <w:sz w:val="18"/>
                <w:szCs w:val="18"/>
              </w:rPr>
            </w:pPr>
            <w:r w:rsidRPr="00BF7076">
              <w:rPr>
                <w:rFonts w:cs="Calibri"/>
                <w:b/>
                <w:bCs/>
                <w:color w:val="000000"/>
                <w:sz w:val="18"/>
                <w:szCs w:val="18"/>
              </w:rPr>
              <w:t>PROBLEMAS</w:t>
            </w:r>
          </w:p>
        </w:tc>
        <w:tc>
          <w:tcPr>
            <w:tcW w:w="160" w:type="dxa"/>
            <w:tcBorders>
              <w:top w:val="nil"/>
              <w:left w:val="nil"/>
              <w:bottom w:val="nil"/>
              <w:right w:val="nil"/>
            </w:tcBorders>
            <w:shd w:val="clear" w:color="auto" w:fill="auto"/>
            <w:noWrap/>
            <w:vAlign w:val="bottom"/>
            <w:hideMark/>
          </w:tcPr>
          <w:p w14:paraId="12266828" w14:textId="77777777" w:rsidR="00BF7076" w:rsidRPr="00BF7076" w:rsidRDefault="00BF7076" w:rsidP="00BF7076">
            <w:pPr>
              <w:spacing w:after="0" w:line="240" w:lineRule="auto"/>
              <w:jc w:val="center"/>
              <w:rPr>
                <w:rFonts w:cs="Calibri"/>
                <w:b/>
                <w:bCs/>
                <w:color w:val="000000"/>
                <w:sz w:val="18"/>
                <w:szCs w:val="18"/>
              </w:rPr>
            </w:pPr>
          </w:p>
        </w:tc>
        <w:tc>
          <w:tcPr>
            <w:tcW w:w="160" w:type="dxa"/>
            <w:tcBorders>
              <w:top w:val="nil"/>
              <w:left w:val="nil"/>
              <w:bottom w:val="nil"/>
              <w:right w:val="nil"/>
            </w:tcBorders>
            <w:shd w:val="clear" w:color="auto" w:fill="auto"/>
            <w:noWrap/>
            <w:vAlign w:val="bottom"/>
            <w:hideMark/>
          </w:tcPr>
          <w:p w14:paraId="66767762" w14:textId="77777777" w:rsidR="00BF7076" w:rsidRPr="00BF7076" w:rsidRDefault="00BF7076" w:rsidP="00BF7076">
            <w:pPr>
              <w:spacing w:after="0" w:line="240" w:lineRule="auto"/>
              <w:rPr>
                <w:rFonts w:ascii="Times New Roman" w:hAnsi="Times New Roman"/>
                <w:sz w:val="20"/>
                <w:szCs w:val="20"/>
              </w:rPr>
            </w:pPr>
          </w:p>
        </w:tc>
      </w:tr>
      <w:tr w:rsidR="00BF7076" w:rsidRPr="00BF7076" w14:paraId="540BAA6C" w14:textId="77777777" w:rsidTr="00DB4F40">
        <w:trPr>
          <w:gridAfter w:val="1"/>
          <w:wAfter w:w="178" w:type="dxa"/>
          <w:trHeight w:val="300"/>
        </w:trPr>
        <w:tc>
          <w:tcPr>
            <w:tcW w:w="343" w:type="dxa"/>
            <w:tcBorders>
              <w:top w:val="nil"/>
              <w:left w:val="nil"/>
              <w:bottom w:val="nil"/>
              <w:right w:val="nil"/>
            </w:tcBorders>
            <w:shd w:val="clear" w:color="auto" w:fill="auto"/>
            <w:noWrap/>
            <w:vAlign w:val="bottom"/>
            <w:hideMark/>
          </w:tcPr>
          <w:p w14:paraId="3ECB5845" w14:textId="77777777" w:rsidR="00BF7076" w:rsidRPr="00BF7076" w:rsidRDefault="00BF7076" w:rsidP="00BF7076">
            <w:pPr>
              <w:spacing w:after="0" w:line="240" w:lineRule="auto"/>
              <w:rPr>
                <w:rFonts w:ascii="Times New Roman" w:hAnsi="Times New Roman"/>
                <w:sz w:val="20"/>
                <w:szCs w:val="20"/>
              </w:rPr>
            </w:pPr>
          </w:p>
        </w:tc>
        <w:tc>
          <w:tcPr>
            <w:tcW w:w="951" w:type="dxa"/>
            <w:tcBorders>
              <w:top w:val="nil"/>
              <w:left w:val="nil"/>
              <w:bottom w:val="nil"/>
              <w:right w:val="nil"/>
            </w:tcBorders>
            <w:shd w:val="clear" w:color="auto" w:fill="auto"/>
            <w:noWrap/>
            <w:vAlign w:val="bottom"/>
            <w:hideMark/>
          </w:tcPr>
          <w:p w14:paraId="1A06368C" w14:textId="77777777" w:rsidR="00BF7076" w:rsidRPr="00BF7076" w:rsidRDefault="00BF7076" w:rsidP="00BF7076">
            <w:pPr>
              <w:spacing w:after="0" w:line="240" w:lineRule="auto"/>
              <w:rPr>
                <w:rFonts w:ascii="Times New Roman" w:hAnsi="Times New Roman"/>
                <w:sz w:val="20"/>
                <w:szCs w:val="20"/>
              </w:rPr>
            </w:pPr>
          </w:p>
        </w:tc>
        <w:tc>
          <w:tcPr>
            <w:tcW w:w="2534" w:type="dxa"/>
            <w:tcBorders>
              <w:top w:val="nil"/>
              <w:left w:val="nil"/>
              <w:bottom w:val="nil"/>
              <w:right w:val="nil"/>
            </w:tcBorders>
            <w:shd w:val="clear" w:color="auto" w:fill="auto"/>
            <w:noWrap/>
            <w:vAlign w:val="bottom"/>
            <w:hideMark/>
          </w:tcPr>
          <w:p w14:paraId="7B67466A" w14:textId="77777777" w:rsidR="00BF7076" w:rsidRPr="00BF7076" w:rsidRDefault="00BF7076" w:rsidP="00BF7076">
            <w:pPr>
              <w:spacing w:after="0" w:line="240" w:lineRule="auto"/>
              <w:rPr>
                <w:rFonts w:ascii="Times New Roman" w:hAnsi="Times New Roman"/>
                <w:sz w:val="20"/>
                <w:szCs w:val="20"/>
              </w:rPr>
            </w:pPr>
          </w:p>
        </w:tc>
        <w:tc>
          <w:tcPr>
            <w:tcW w:w="1829" w:type="dxa"/>
            <w:gridSpan w:val="3"/>
            <w:tcBorders>
              <w:top w:val="nil"/>
              <w:left w:val="nil"/>
              <w:bottom w:val="nil"/>
              <w:right w:val="nil"/>
            </w:tcBorders>
            <w:shd w:val="clear" w:color="auto" w:fill="auto"/>
            <w:noWrap/>
            <w:vAlign w:val="bottom"/>
            <w:hideMark/>
          </w:tcPr>
          <w:p w14:paraId="44053B21" w14:textId="77777777" w:rsidR="00BF7076" w:rsidRPr="00BF7076" w:rsidRDefault="00BF7076" w:rsidP="00BF7076">
            <w:pPr>
              <w:spacing w:after="0" w:line="240" w:lineRule="auto"/>
              <w:rPr>
                <w:rFonts w:ascii="Times New Roman" w:hAnsi="Times New Roman"/>
                <w:sz w:val="20"/>
                <w:szCs w:val="20"/>
              </w:rPr>
            </w:pPr>
          </w:p>
        </w:tc>
        <w:tc>
          <w:tcPr>
            <w:tcW w:w="540" w:type="dxa"/>
            <w:gridSpan w:val="2"/>
            <w:tcBorders>
              <w:top w:val="nil"/>
              <w:left w:val="nil"/>
              <w:bottom w:val="nil"/>
              <w:right w:val="nil"/>
            </w:tcBorders>
            <w:shd w:val="clear" w:color="auto" w:fill="auto"/>
            <w:noWrap/>
            <w:vAlign w:val="bottom"/>
            <w:hideMark/>
          </w:tcPr>
          <w:p w14:paraId="17BA4D1D" w14:textId="77777777" w:rsidR="00BF7076" w:rsidRPr="00BF7076" w:rsidRDefault="00BF7076" w:rsidP="00BF7076">
            <w:pPr>
              <w:spacing w:after="0" w:line="240" w:lineRule="auto"/>
              <w:rPr>
                <w:rFonts w:ascii="Times New Roman" w:hAnsi="Times New Roman"/>
                <w:sz w:val="20"/>
                <w:szCs w:val="20"/>
              </w:rPr>
            </w:pPr>
          </w:p>
        </w:tc>
        <w:tc>
          <w:tcPr>
            <w:tcW w:w="1316" w:type="dxa"/>
            <w:gridSpan w:val="3"/>
            <w:tcBorders>
              <w:top w:val="nil"/>
              <w:left w:val="nil"/>
              <w:bottom w:val="nil"/>
              <w:right w:val="nil"/>
            </w:tcBorders>
            <w:shd w:val="clear" w:color="auto" w:fill="auto"/>
            <w:noWrap/>
            <w:vAlign w:val="bottom"/>
            <w:hideMark/>
          </w:tcPr>
          <w:p w14:paraId="612D0921" w14:textId="77777777" w:rsidR="00BF7076" w:rsidRPr="00BF7076" w:rsidRDefault="00BF7076" w:rsidP="00BF7076">
            <w:pPr>
              <w:spacing w:after="0" w:line="240" w:lineRule="auto"/>
              <w:rPr>
                <w:rFonts w:ascii="Times New Roman" w:hAnsi="Times New Roman"/>
                <w:sz w:val="20"/>
                <w:szCs w:val="20"/>
              </w:rPr>
            </w:pPr>
          </w:p>
        </w:tc>
        <w:tc>
          <w:tcPr>
            <w:tcW w:w="284" w:type="dxa"/>
            <w:gridSpan w:val="2"/>
            <w:tcBorders>
              <w:top w:val="nil"/>
              <w:left w:val="nil"/>
              <w:bottom w:val="nil"/>
              <w:right w:val="nil"/>
            </w:tcBorders>
            <w:shd w:val="clear" w:color="auto" w:fill="auto"/>
            <w:noWrap/>
            <w:vAlign w:val="bottom"/>
            <w:hideMark/>
          </w:tcPr>
          <w:p w14:paraId="17C42EA7" w14:textId="77777777" w:rsidR="00BF7076" w:rsidRPr="00BF7076" w:rsidRDefault="00BF7076" w:rsidP="00BF7076">
            <w:pPr>
              <w:spacing w:after="0" w:line="240" w:lineRule="auto"/>
              <w:rPr>
                <w:rFonts w:ascii="Times New Roman" w:hAnsi="Times New Roman"/>
                <w:sz w:val="20"/>
                <w:szCs w:val="20"/>
              </w:rPr>
            </w:pPr>
          </w:p>
        </w:tc>
        <w:tc>
          <w:tcPr>
            <w:tcW w:w="526" w:type="dxa"/>
            <w:tcBorders>
              <w:top w:val="nil"/>
              <w:left w:val="nil"/>
              <w:bottom w:val="nil"/>
              <w:right w:val="nil"/>
            </w:tcBorders>
            <w:shd w:val="clear" w:color="auto" w:fill="auto"/>
            <w:noWrap/>
            <w:vAlign w:val="bottom"/>
            <w:hideMark/>
          </w:tcPr>
          <w:p w14:paraId="5C3E7337"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62D6E7CF" w14:textId="77777777" w:rsidR="00BF7076" w:rsidRPr="00BF7076" w:rsidRDefault="00BF7076" w:rsidP="00BF7076">
            <w:pPr>
              <w:spacing w:after="0" w:line="240" w:lineRule="auto"/>
              <w:rPr>
                <w:rFonts w:ascii="Times New Roman" w:hAnsi="Times New Roman"/>
                <w:sz w:val="20"/>
                <w:szCs w:val="20"/>
              </w:rPr>
            </w:pPr>
          </w:p>
        </w:tc>
        <w:tc>
          <w:tcPr>
            <w:tcW w:w="1146" w:type="dxa"/>
            <w:tcBorders>
              <w:top w:val="nil"/>
              <w:left w:val="single" w:sz="8" w:space="0" w:color="auto"/>
              <w:bottom w:val="nil"/>
              <w:right w:val="single" w:sz="8" w:space="0" w:color="auto"/>
            </w:tcBorders>
            <w:shd w:val="clear" w:color="auto" w:fill="auto"/>
            <w:noWrap/>
            <w:vAlign w:val="bottom"/>
            <w:hideMark/>
          </w:tcPr>
          <w:p w14:paraId="6987E071" w14:textId="77777777" w:rsidR="00BF7076" w:rsidRPr="00BF7076" w:rsidRDefault="00BF7076" w:rsidP="00BF7076">
            <w:pPr>
              <w:spacing w:after="0" w:line="240" w:lineRule="auto"/>
              <w:jc w:val="center"/>
              <w:rPr>
                <w:rFonts w:cs="Calibri"/>
                <w:color w:val="000000"/>
                <w:sz w:val="18"/>
                <w:szCs w:val="18"/>
              </w:rPr>
            </w:pPr>
            <w:r w:rsidRPr="00BF7076">
              <w:rPr>
                <w:rFonts w:cs="Calibri"/>
                <w:color w:val="000000"/>
                <w:sz w:val="18"/>
                <w:szCs w:val="18"/>
              </w:rPr>
              <w:t>SALUD, PSICOLOGICO</w:t>
            </w:r>
          </w:p>
        </w:tc>
        <w:tc>
          <w:tcPr>
            <w:tcW w:w="160" w:type="dxa"/>
            <w:tcBorders>
              <w:top w:val="nil"/>
              <w:left w:val="nil"/>
              <w:bottom w:val="nil"/>
              <w:right w:val="nil"/>
            </w:tcBorders>
            <w:shd w:val="clear" w:color="auto" w:fill="auto"/>
            <w:noWrap/>
            <w:vAlign w:val="bottom"/>
            <w:hideMark/>
          </w:tcPr>
          <w:p w14:paraId="1CBA2CA4" w14:textId="77777777" w:rsidR="00BF7076" w:rsidRPr="00BF7076" w:rsidRDefault="00BF7076" w:rsidP="00BF7076">
            <w:pPr>
              <w:spacing w:after="0" w:line="240" w:lineRule="auto"/>
              <w:jc w:val="center"/>
              <w:rPr>
                <w:rFonts w:cs="Calibri"/>
                <w:color w:val="000000"/>
                <w:sz w:val="18"/>
                <w:szCs w:val="18"/>
              </w:rPr>
            </w:pPr>
          </w:p>
        </w:tc>
        <w:tc>
          <w:tcPr>
            <w:tcW w:w="160" w:type="dxa"/>
            <w:tcBorders>
              <w:top w:val="nil"/>
              <w:left w:val="nil"/>
              <w:bottom w:val="nil"/>
              <w:right w:val="nil"/>
            </w:tcBorders>
            <w:shd w:val="clear" w:color="auto" w:fill="auto"/>
            <w:noWrap/>
            <w:vAlign w:val="bottom"/>
            <w:hideMark/>
          </w:tcPr>
          <w:p w14:paraId="2D4F3E09" w14:textId="77777777" w:rsidR="00BF7076" w:rsidRPr="00BF7076" w:rsidRDefault="00BF7076" w:rsidP="00BF7076">
            <w:pPr>
              <w:spacing w:after="0" w:line="240" w:lineRule="auto"/>
              <w:rPr>
                <w:rFonts w:ascii="Times New Roman" w:hAnsi="Times New Roman"/>
                <w:sz w:val="20"/>
                <w:szCs w:val="20"/>
              </w:rPr>
            </w:pPr>
          </w:p>
        </w:tc>
      </w:tr>
      <w:tr w:rsidR="00BF7076" w:rsidRPr="00BF7076" w14:paraId="087000D6" w14:textId="77777777" w:rsidTr="00DB4F40">
        <w:trPr>
          <w:gridAfter w:val="1"/>
          <w:wAfter w:w="178" w:type="dxa"/>
          <w:trHeight w:val="300"/>
        </w:trPr>
        <w:tc>
          <w:tcPr>
            <w:tcW w:w="343" w:type="dxa"/>
            <w:tcBorders>
              <w:top w:val="nil"/>
              <w:left w:val="nil"/>
              <w:bottom w:val="nil"/>
              <w:right w:val="nil"/>
            </w:tcBorders>
            <w:shd w:val="clear" w:color="auto" w:fill="auto"/>
            <w:noWrap/>
            <w:vAlign w:val="bottom"/>
            <w:hideMark/>
          </w:tcPr>
          <w:p w14:paraId="5E95D231" w14:textId="77777777" w:rsidR="00BF7076" w:rsidRPr="00BF7076" w:rsidRDefault="00BF7076" w:rsidP="00BF7076">
            <w:pPr>
              <w:spacing w:after="0" w:line="240" w:lineRule="auto"/>
              <w:rPr>
                <w:rFonts w:ascii="Times New Roman" w:hAnsi="Times New Roman"/>
                <w:sz w:val="20"/>
                <w:szCs w:val="20"/>
              </w:rPr>
            </w:pPr>
          </w:p>
        </w:tc>
        <w:tc>
          <w:tcPr>
            <w:tcW w:w="951" w:type="dxa"/>
            <w:tcBorders>
              <w:top w:val="nil"/>
              <w:left w:val="nil"/>
              <w:bottom w:val="nil"/>
              <w:right w:val="nil"/>
            </w:tcBorders>
            <w:shd w:val="clear" w:color="auto" w:fill="auto"/>
            <w:noWrap/>
            <w:vAlign w:val="bottom"/>
            <w:hideMark/>
          </w:tcPr>
          <w:p w14:paraId="34AD7D4A" w14:textId="77777777" w:rsidR="00BF7076" w:rsidRPr="00BF7076" w:rsidRDefault="00BF7076" w:rsidP="00BF7076">
            <w:pPr>
              <w:spacing w:after="0" w:line="240" w:lineRule="auto"/>
              <w:rPr>
                <w:rFonts w:ascii="Times New Roman" w:hAnsi="Times New Roman"/>
                <w:sz w:val="20"/>
                <w:szCs w:val="20"/>
              </w:rPr>
            </w:pPr>
          </w:p>
        </w:tc>
        <w:tc>
          <w:tcPr>
            <w:tcW w:w="2534" w:type="dxa"/>
            <w:tcBorders>
              <w:top w:val="nil"/>
              <w:left w:val="nil"/>
              <w:bottom w:val="nil"/>
              <w:right w:val="nil"/>
            </w:tcBorders>
            <w:shd w:val="clear" w:color="auto" w:fill="auto"/>
            <w:noWrap/>
            <w:vAlign w:val="bottom"/>
            <w:hideMark/>
          </w:tcPr>
          <w:p w14:paraId="7EAC5167" w14:textId="77777777" w:rsidR="00BF7076" w:rsidRPr="00BF7076" w:rsidRDefault="00BF7076" w:rsidP="00BF7076">
            <w:pPr>
              <w:spacing w:after="0" w:line="240" w:lineRule="auto"/>
              <w:rPr>
                <w:rFonts w:ascii="Times New Roman" w:hAnsi="Times New Roman"/>
                <w:sz w:val="20"/>
                <w:szCs w:val="20"/>
              </w:rPr>
            </w:pPr>
          </w:p>
        </w:tc>
        <w:tc>
          <w:tcPr>
            <w:tcW w:w="1829" w:type="dxa"/>
            <w:gridSpan w:val="3"/>
            <w:tcBorders>
              <w:top w:val="nil"/>
              <w:left w:val="nil"/>
              <w:bottom w:val="nil"/>
              <w:right w:val="nil"/>
            </w:tcBorders>
            <w:shd w:val="clear" w:color="auto" w:fill="auto"/>
            <w:noWrap/>
            <w:vAlign w:val="bottom"/>
            <w:hideMark/>
          </w:tcPr>
          <w:p w14:paraId="33BBCE3C" w14:textId="77777777" w:rsidR="00BF7076" w:rsidRPr="00BF7076" w:rsidRDefault="00BF7076" w:rsidP="00BF7076">
            <w:pPr>
              <w:spacing w:after="0" w:line="240" w:lineRule="auto"/>
              <w:rPr>
                <w:rFonts w:ascii="Times New Roman" w:hAnsi="Times New Roman"/>
                <w:sz w:val="20"/>
                <w:szCs w:val="20"/>
              </w:rPr>
            </w:pPr>
          </w:p>
        </w:tc>
        <w:tc>
          <w:tcPr>
            <w:tcW w:w="540" w:type="dxa"/>
            <w:gridSpan w:val="2"/>
            <w:tcBorders>
              <w:top w:val="nil"/>
              <w:left w:val="nil"/>
              <w:bottom w:val="nil"/>
              <w:right w:val="nil"/>
            </w:tcBorders>
            <w:shd w:val="clear" w:color="auto" w:fill="auto"/>
            <w:noWrap/>
            <w:vAlign w:val="bottom"/>
            <w:hideMark/>
          </w:tcPr>
          <w:p w14:paraId="46E3AA57" w14:textId="77777777" w:rsidR="00BF7076" w:rsidRPr="00BF7076" w:rsidRDefault="00BF7076" w:rsidP="00BF7076">
            <w:pPr>
              <w:spacing w:after="0" w:line="240" w:lineRule="auto"/>
              <w:rPr>
                <w:rFonts w:ascii="Times New Roman" w:hAnsi="Times New Roman"/>
                <w:sz w:val="20"/>
                <w:szCs w:val="20"/>
              </w:rPr>
            </w:pPr>
          </w:p>
        </w:tc>
        <w:tc>
          <w:tcPr>
            <w:tcW w:w="1316" w:type="dxa"/>
            <w:gridSpan w:val="3"/>
            <w:tcBorders>
              <w:top w:val="nil"/>
              <w:left w:val="nil"/>
              <w:bottom w:val="nil"/>
              <w:right w:val="nil"/>
            </w:tcBorders>
            <w:shd w:val="clear" w:color="auto" w:fill="auto"/>
            <w:noWrap/>
            <w:vAlign w:val="bottom"/>
            <w:hideMark/>
          </w:tcPr>
          <w:p w14:paraId="270A9D94" w14:textId="77777777" w:rsidR="00BF7076" w:rsidRPr="00BF7076" w:rsidRDefault="00BF7076" w:rsidP="00BF7076">
            <w:pPr>
              <w:spacing w:after="0" w:line="240" w:lineRule="auto"/>
              <w:rPr>
                <w:rFonts w:ascii="Times New Roman" w:hAnsi="Times New Roman"/>
                <w:sz w:val="20"/>
                <w:szCs w:val="20"/>
              </w:rPr>
            </w:pPr>
          </w:p>
        </w:tc>
        <w:tc>
          <w:tcPr>
            <w:tcW w:w="284" w:type="dxa"/>
            <w:gridSpan w:val="2"/>
            <w:tcBorders>
              <w:top w:val="nil"/>
              <w:left w:val="nil"/>
              <w:bottom w:val="nil"/>
              <w:right w:val="nil"/>
            </w:tcBorders>
            <w:shd w:val="clear" w:color="auto" w:fill="auto"/>
            <w:noWrap/>
            <w:vAlign w:val="bottom"/>
            <w:hideMark/>
          </w:tcPr>
          <w:p w14:paraId="5D4C05AA" w14:textId="77777777" w:rsidR="00BF7076" w:rsidRPr="00BF7076" w:rsidRDefault="00BF7076" w:rsidP="00BF7076">
            <w:pPr>
              <w:spacing w:after="0" w:line="240" w:lineRule="auto"/>
              <w:rPr>
                <w:rFonts w:ascii="Times New Roman" w:hAnsi="Times New Roman"/>
                <w:sz w:val="20"/>
                <w:szCs w:val="20"/>
              </w:rPr>
            </w:pPr>
          </w:p>
        </w:tc>
        <w:tc>
          <w:tcPr>
            <w:tcW w:w="526" w:type="dxa"/>
            <w:tcBorders>
              <w:top w:val="nil"/>
              <w:left w:val="nil"/>
              <w:bottom w:val="nil"/>
              <w:right w:val="nil"/>
            </w:tcBorders>
            <w:shd w:val="clear" w:color="auto" w:fill="auto"/>
            <w:noWrap/>
            <w:vAlign w:val="bottom"/>
            <w:hideMark/>
          </w:tcPr>
          <w:p w14:paraId="48822EDD"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454CA189" w14:textId="77777777" w:rsidR="00BF7076" w:rsidRPr="00BF7076" w:rsidRDefault="00BF7076" w:rsidP="00BF7076">
            <w:pPr>
              <w:spacing w:after="0" w:line="240" w:lineRule="auto"/>
              <w:rPr>
                <w:rFonts w:ascii="Times New Roman" w:hAnsi="Times New Roman"/>
                <w:sz w:val="20"/>
                <w:szCs w:val="20"/>
              </w:rPr>
            </w:pPr>
          </w:p>
        </w:tc>
        <w:tc>
          <w:tcPr>
            <w:tcW w:w="1146" w:type="dxa"/>
            <w:tcBorders>
              <w:top w:val="nil"/>
              <w:left w:val="single" w:sz="8" w:space="0" w:color="auto"/>
              <w:bottom w:val="nil"/>
              <w:right w:val="single" w:sz="8" w:space="0" w:color="auto"/>
            </w:tcBorders>
            <w:shd w:val="clear" w:color="auto" w:fill="auto"/>
            <w:noWrap/>
            <w:vAlign w:val="bottom"/>
            <w:hideMark/>
          </w:tcPr>
          <w:p w14:paraId="27DDE906" w14:textId="77777777" w:rsidR="00BF7076" w:rsidRPr="00BF7076" w:rsidRDefault="00BF7076" w:rsidP="00BF7076">
            <w:pPr>
              <w:spacing w:after="0" w:line="240" w:lineRule="auto"/>
              <w:jc w:val="center"/>
              <w:rPr>
                <w:rFonts w:cs="Calibri"/>
                <w:color w:val="000000"/>
                <w:sz w:val="18"/>
                <w:szCs w:val="18"/>
              </w:rPr>
            </w:pPr>
            <w:r w:rsidRPr="00BF7076">
              <w:rPr>
                <w:rFonts w:cs="Calibri"/>
                <w:color w:val="000000"/>
                <w:sz w:val="18"/>
                <w:szCs w:val="18"/>
              </w:rPr>
              <w:t>APRENDIZAJE</w:t>
            </w:r>
          </w:p>
        </w:tc>
        <w:tc>
          <w:tcPr>
            <w:tcW w:w="160" w:type="dxa"/>
            <w:tcBorders>
              <w:top w:val="nil"/>
              <w:left w:val="nil"/>
              <w:bottom w:val="nil"/>
              <w:right w:val="nil"/>
            </w:tcBorders>
            <w:shd w:val="clear" w:color="auto" w:fill="auto"/>
            <w:noWrap/>
            <w:vAlign w:val="bottom"/>
            <w:hideMark/>
          </w:tcPr>
          <w:p w14:paraId="0741665F" w14:textId="77777777" w:rsidR="00BF7076" w:rsidRPr="00BF7076" w:rsidRDefault="00BF7076" w:rsidP="00BF7076">
            <w:pPr>
              <w:spacing w:after="0" w:line="240" w:lineRule="auto"/>
              <w:jc w:val="center"/>
              <w:rPr>
                <w:rFonts w:cs="Calibri"/>
                <w:color w:val="000000"/>
                <w:sz w:val="18"/>
                <w:szCs w:val="18"/>
              </w:rPr>
            </w:pPr>
          </w:p>
        </w:tc>
        <w:tc>
          <w:tcPr>
            <w:tcW w:w="160" w:type="dxa"/>
            <w:tcBorders>
              <w:top w:val="nil"/>
              <w:left w:val="nil"/>
              <w:bottom w:val="nil"/>
              <w:right w:val="nil"/>
            </w:tcBorders>
            <w:shd w:val="clear" w:color="auto" w:fill="auto"/>
            <w:noWrap/>
            <w:vAlign w:val="bottom"/>
            <w:hideMark/>
          </w:tcPr>
          <w:p w14:paraId="73010028" w14:textId="77777777" w:rsidR="00BF7076" w:rsidRPr="00BF7076" w:rsidRDefault="00BF7076" w:rsidP="00BF7076">
            <w:pPr>
              <w:spacing w:after="0" w:line="240" w:lineRule="auto"/>
              <w:rPr>
                <w:rFonts w:ascii="Times New Roman" w:hAnsi="Times New Roman"/>
                <w:sz w:val="20"/>
                <w:szCs w:val="20"/>
              </w:rPr>
            </w:pPr>
          </w:p>
        </w:tc>
      </w:tr>
      <w:tr w:rsidR="00DB4F40" w:rsidRPr="00BF7076" w14:paraId="7EE76FCB" w14:textId="77777777" w:rsidTr="00DB4F40">
        <w:trPr>
          <w:trHeight w:val="240"/>
        </w:trPr>
        <w:tc>
          <w:tcPr>
            <w:tcW w:w="343" w:type="dxa"/>
            <w:tcBorders>
              <w:top w:val="nil"/>
              <w:left w:val="nil"/>
              <w:bottom w:val="nil"/>
              <w:right w:val="nil"/>
            </w:tcBorders>
            <w:shd w:val="clear" w:color="auto" w:fill="auto"/>
            <w:noWrap/>
            <w:vAlign w:val="bottom"/>
            <w:hideMark/>
          </w:tcPr>
          <w:p w14:paraId="4BDCC06C" w14:textId="77777777" w:rsidR="00BF7076" w:rsidRPr="00DB4F40" w:rsidRDefault="00BF7076" w:rsidP="00BF7076">
            <w:pPr>
              <w:spacing w:after="0" w:line="240" w:lineRule="auto"/>
              <w:rPr>
                <w:rFonts w:ascii="Times New Roman" w:hAnsi="Times New Roman"/>
                <w:sz w:val="16"/>
                <w:szCs w:val="16"/>
              </w:rPr>
            </w:pPr>
          </w:p>
        </w:tc>
        <w:tc>
          <w:tcPr>
            <w:tcW w:w="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CECF4A"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MATRÍCULA</w:t>
            </w:r>
          </w:p>
        </w:tc>
        <w:tc>
          <w:tcPr>
            <w:tcW w:w="2534" w:type="dxa"/>
            <w:tcBorders>
              <w:top w:val="single" w:sz="4" w:space="0" w:color="auto"/>
              <w:left w:val="nil"/>
              <w:bottom w:val="single" w:sz="4" w:space="0" w:color="auto"/>
              <w:right w:val="single" w:sz="4" w:space="0" w:color="auto"/>
            </w:tcBorders>
            <w:shd w:val="clear" w:color="auto" w:fill="auto"/>
            <w:noWrap/>
            <w:vAlign w:val="bottom"/>
            <w:hideMark/>
          </w:tcPr>
          <w:p w14:paraId="0EF344D8"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NOMBRE</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14:paraId="25A4C8CB"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REG</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3DB7E1AC"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IRREG</w:t>
            </w:r>
          </w:p>
        </w:tc>
        <w:tc>
          <w:tcPr>
            <w:tcW w:w="1025" w:type="dxa"/>
            <w:gridSpan w:val="2"/>
            <w:tcBorders>
              <w:top w:val="single" w:sz="4" w:space="0" w:color="auto"/>
              <w:left w:val="nil"/>
              <w:bottom w:val="single" w:sz="4" w:space="0" w:color="auto"/>
              <w:right w:val="single" w:sz="4" w:space="0" w:color="auto"/>
            </w:tcBorders>
            <w:shd w:val="clear" w:color="auto" w:fill="auto"/>
            <w:noWrap/>
            <w:vAlign w:val="bottom"/>
            <w:hideMark/>
          </w:tcPr>
          <w:p w14:paraId="525959BA"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MATERIAS REPROBADAS</w:t>
            </w:r>
          </w:p>
        </w:tc>
        <w:tc>
          <w:tcPr>
            <w:tcW w:w="959" w:type="dxa"/>
            <w:gridSpan w:val="2"/>
            <w:tcBorders>
              <w:top w:val="single" w:sz="4" w:space="0" w:color="auto"/>
              <w:left w:val="nil"/>
              <w:bottom w:val="single" w:sz="4" w:space="0" w:color="auto"/>
              <w:right w:val="nil"/>
            </w:tcBorders>
            <w:shd w:val="clear" w:color="auto" w:fill="auto"/>
            <w:noWrap/>
            <w:vAlign w:val="bottom"/>
            <w:hideMark/>
          </w:tcPr>
          <w:p w14:paraId="48D41108"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MATERIAS ATRASADAS</w:t>
            </w:r>
          </w:p>
        </w:tc>
        <w:tc>
          <w:tcPr>
            <w:tcW w:w="484" w:type="dxa"/>
            <w:tcBorders>
              <w:top w:val="single" w:sz="4" w:space="0" w:color="auto"/>
              <w:left w:val="single" w:sz="4" w:space="0" w:color="auto"/>
              <w:bottom w:val="nil"/>
              <w:right w:val="single" w:sz="4" w:space="0" w:color="auto"/>
            </w:tcBorders>
            <w:shd w:val="clear" w:color="auto" w:fill="auto"/>
            <w:noWrap/>
            <w:vAlign w:val="bottom"/>
            <w:hideMark/>
          </w:tcPr>
          <w:p w14:paraId="0A9E3F4B"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BECA</w:t>
            </w:r>
          </w:p>
        </w:tc>
        <w:tc>
          <w:tcPr>
            <w:tcW w:w="368" w:type="dxa"/>
            <w:gridSpan w:val="2"/>
            <w:tcBorders>
              <w:top w:val="single" w:sz="4" w:space="0" w:color="auto"/>
              <w:left w:val="nil"/>
              <w:bottom w:val="nil"/>
              <w:right w:val="single" w:sz="4" w:space="0" w:color="auto"/>
            </w:tcBorders>
            <w:shd w:val="clear" w:color="auto" w:fill="auto"/>
            <w:noWrap/>
            <w:vAlign w:val="bottom"/>
            <w:hideMark/>
          </w:tcPr>
          <w:p w14:paraId="73EEDC7C"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S.S.</w:t>
            </w:r>
          </w:p>
        </w:tc>
        <w:tc>
          <w:tcPr>
            <w:tcW w:w="827" w:type="dxa"/>
            <w:gridSpan w:val="3"/>
            <w:tcBorders>
              <w:top w:val="single" w:sz="4" w:space="0" w:color="auto"/>
              <w:left w:val="nil"/>
              <w:bottom w:val="nil"/>
              <w:right w:val="single" w:sz="4" w:space="0" w:color="auto"/>
            </w:tcBorders>
            <w:shd w:val="clear" w:color="auto" w:fill="auto"/>
            <w:noWrap/>
            <w:vAlign w:val="bottom"/>
            <w:hideMark/>
          </w:tcPr>
          <w:p w14:paraId="2D8D82C0"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AFECTIVO, SOCIAL</w:t>
            </w:r>
          </w:p>
        </w:tc>
        <w:tc>
          <w:tcPr>
            <w:tcW w:w="1146" w:type="dxa"/>
            <w:tcBorders>
              <w:top w:val="single" w:sz="4" w:space="0" w:color="auto"/>
              <w:left w:val="single" w:sz="4" w:space="0" w:color="auto"/>
              <w:bottom w:val="nil"/>
              <w:right w:val="single" w:sz="4" w:space="0" w:color="auto"/>
            </w:tcBorders>
            <w:shd w:val="clear" w:color="auto" w:fill="auto"/>
            <w:noWrap/>
            <w:vAlign w:val="bottom"/>
            <w:hideMark/>
          </w:tcPr>
          <w:p w14:paraId="28DDC369"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FIRMA DE ASISTENCIA</w:t>
            </w:r>
          </w:p>
        </w:tc>
        <w:tc>
          <w:tcPr>
            <w:tcW w:w="498" w:type="dxa"/>
            <w:gridSpan w:val="3"/>
            <w:tcBorders>
              <w:top w:val="nil"/>
              <w:left w:val="nil"/>
              <w:bottom w:val="nil"/>
              <w:right w:val="nil"/>
            </w:tcBorders>
            <w:shd w:val="clear" w:color="auto" w:fill="auto"/>
            <w:noWrap/>
            <w:vAlign w:val="bottom"/>
            <w:hideMark/>
          </w:tcPr>
          <w:p w14:paraId="5E9E6DCE" w14:textId="77777777" w:rsidR="00BF7076" w:rsidRPr="00BF7076" w:rsidRDefault="00BF7076" w:rsidP="00BF7076">
            <w:pPr>
              <w:spacing w:after="0" w:line="240" w:lineRule="auto"/>
              <w:rPr>
                <w:rFonts w:cs="Calibri"/>
                <w:color w:val="000000"/>
                <w:sz w:val="18"/>
                <w:szCs w:val="18"/>
              </w:rPr>
            </w:pPr>
          </w:p>
        </w:tc>
      </w:tr>
      <w:tr w:rsidR="00DB4F40" w:rsidRPr="00BF7076" w14:paraId="082B9A7F" w14:textId="77777777" w:rsidTr="00DB4F40">
        <w:trPr>
          <w:trHeight w:val="240"/>
        </w:trPr>
        <w:tc>
          <w:tcPr>
            <w:tcW w:w="343" w:type="dxa"/>
            <w:tcBorders>
              <w:top w:val="nil"/>
              <w:left w:val="nil"/>
              <w:bottom w:val="nil"/>
              <w:right w:val="nil"/>
            </w:tcBorders>
            <w:shd w:val="clear" w:color="auto" w:fill="auto"/>
            <w:noWrap/>
            <w:vAlign w:val="bottom"/>
          </w:tcPr>
          <w:p w14:paraId="3D3978A7" w14:textId="77777777" w:rsidR="00DB4F40" w:rsidRPr="00DB4F40" w:rsidRDefault="00DB4F40" w:rsidP="00BF7076">
            <w:pPr>
              <w:spacing w:after="0" w:line="240" w:lineRule="auto"/>
              <w:rPr>
                <w:rFonts w:ascii="Times New Roman" w:hAnsi="Times New Roman"/>
                <w:sz w:val="16"/>
                <w:szCs w:val="16"/>
              </w:rPr>
            </w:pPr>
          </w:p>
        </w:tc>
        <w:tc>
          <w:tcPr>
            <w:tcW w:w="9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D66337" w14:textId="77777777" w:rsidR="00DB4F40" w:rsidRPr="00DB4F40" w:rsidRDefault="00DB4F40" w:rsidP="00BF7076">
            <w:pPr>
              <w:spacing w:after="0" w:line="240" w:lineRule="auto"/>
              <w:rPr>
                <w:rFonts w:cs="Calibri"/>
                <w:color w:val="000000"/>
                <w:sz w:val="16"/>
                <w:szCs w:val="16"/>
              </w:rPr>
            </w:pPr>
          </w:p>
        </w:tc>
        <w:tc>
          <w:tcPr>
            <w:tcW w:w="2534" w:type="dxa"/>
            <w:tcBorders>
              <w:top w:val="single" w:sz="4" w:space="0" w:color="auto"/>
              <w:left w:val="nil"/>
              <w:bottom w:val="single" w:sz="4" w:space="0" w:color="auto"/>
              <w:right w:val="single" w:sz="4" w:space="0" w:color="auto"/>
            </w:tcBorders>
            <w:shd w:val="clear" w:color="auto" w:fill="auto"/>
            <w:noWrap/>
            <w:vAlign w:val="bottom"/>
          </w:tcPr>
          <w:p w14:paraId="1BA92D9E" w14:textId="77777777" w:rsidR="00DB4F40" w:rsidRPr="00DB4F40" w:rsidRDefault="00DB4F40" w:rsidP="00BF7076">
            <w:pPr>
              <w:spacing w:after="0" w:line="240" w:lineRule="auto"/>
              <w:rPr>
                <w:rFonts w:cs="Calibri"/>
                <w:color w:val="000000"/>
                <w:sz w:val="16"/>
                <w:szCs w:val="16"/>
              </w:rPr>
            </w:pPr>
          </w:p>
        </w:tc>
        <w:tc>
          <w:tcPr>
            <w:tcW w:w="425" w:type="dxa"/>
            <w:tcBorders>
              <w:top w:val="single" w:sz="4" w:space="0" w:color="auto"/>
              <w:left w:val="nil"/>
              <w:bottom w:val="single" w:sz="4" w:space="0" w:color="auto"/>
              <w:right w:val="single" w:sz="4" w:space="0" w:color="auto"/>
            </w:tcBorders>
            <w:shd w:val="clear" w:color="auto" w:fill="auto"/>
            <w:noWrap/>
            <w:vAlign w:val="bottom"/>
          </w:tcPr>
          <w:p w14:paraId="4447CACF" w14:textId="77777777" w:rsidR="00DB4F40" w:rsidRPr="00DB4F40" w:rsidRDefault="00DB4F40" w:rsidP="00BF7076">
            <w:pPr>
              <w:spacing w:after="0" w:line="240" w:lineRule="auto"/>
              <w:rPr>
                <w:rFonts w:cs="Calibri"/>
                <w:color w:val="000000"/>
                <w:sz w:val="16"/>
                <w:szCs w:val="16"/>
              </w:rPr>
            </w:pP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113C3AD3" w14:textId="77777777" w:rsidR="00DB4F40" w:rsidRPr="00DB4F40" w:rsidRDefault="00DB4F40" w:rsidP="00BF7076">
            <w:pPr>
              <w:spacing w:after="0" w:line="240" w:lineRule="auto"/>
              <w:rPr>
                <w:rFonts w:cs="Calibri"/>
                <w:color w:val="000000"/>
                <w:sz w:val="16"/>
                <w:szCs w:val="16"/>
              </w:rPr>
            </w:pPr>
          </w:p>
        </w:tc>
        <w:tc>
          <w:tcPr>
            <w:tcW w:w="1025" w:type="dxa"/>
            <w:gridSpan w:val="2"/>
            <w:tcBorders>
              <w:top w:val="single" w:sz="4" w:space="0" w:color="auto"/>
              <w:left w:val="nil"/>
              <w:bottom w:val="single" w:sz="4" w:space="0" w:color="auto"/>
              <w:right w:val="single" w:sz="4" w:space="0" w:color="auto"/>
            </w:tcBorders>
            <w:shd w:val="clear" w:color="auto" w:fill="auto"/>
            <w:noWrap/>
            <w:vAlign w:val="bottom"/>
          </w:tcPr>
          <w:p w14:paraId="4EA9590A" w14:textId="77777777" w:rsidR="00DB4F40" w:rsidRPr="00DB4F40" w:rsidRDefault="00DB4F40" w:rsidP="00BF7076">
            <w:pPr>
              <w:spacing w:after="0" w:line="240" w:lineRule="auto"/>
              <w:rPr>
                <w:rFonts w:cs="Calibri"/>
                <w:color w:val="000000"/>
                <w:sz w:val="16"/>
                <w:szCs w:val="16"/>
              </w:rPr>
            </w:pPr>
          </w:p>
        </w:tc>
        <w:tc>
          <w:tcPr>
            <w:tcW w:w="959" w:type="dxa"/>
            <w:gridSpan w:val="2"/>
            <w:tcBorders>
              <w:top w:val="single" w:sz="4" w:space="0" w:color="auto"/>
              <w:left w:val="nil"/>
              <w:bottom w:val="single" w:sz="4" w:space="0" w:color="auto"/>
              <w:right w:val="nil"/>
            </w:tcBorders>
            <w:shd w:val="clear" w:color="auto" w:fill="auto"/>
            <w:noWrap/>
            <w:vAlign w:val="bottom"/>
          </w:tcPr>
          <w:p w14:paraId="51C9AACD" w14:textId="77777777" w:rsidR="00DB4F40" w:rsidRPr="00DB4F40" w:rsidRDefault="00DB4F40" w:rsidP="00BF7076">
            <w:pPr>
              <w:spacing w:after="0" w:line="240" w:lineRule="auto"/>
              <w:rPr>
                <w:rFonts w:cs="Calibri"/>
                <w:color w:val="000000"/>
                <w:sz w:val="16"/>
                <w:szCs w:val="16"/>
              </w:rPr>
            </w:pPr>
          </w:p>
        </w:tc>
        <w:tc>
          <w:tcPr>
            <w:tcW w:w="484" w:type="dxa"/>
            <w:tcBorders>
              <w:top w:val="single" w:sz="4" w:space="0" w:color="auto"/>
              <w:left w:val="single" w:sz="4" w:space="0" w:color="auto"/>
              <w:bottom w:val="nil"/>
              <w:right w:val="single" w:sz="4" w:space="0" w:color="auto"/>
            </w:tcBorders>
            <w:shd w:val="clear" w:color="auto" w:fill="auto"/>
            <w:noWrap/>
            <w:vAlign w:val="bottom"/>
          </w:tcPr>
          <w:p w14:paraId="40AA4FF7" w14:textId="77777777" w:rsidR="00DB4F40" w:rsidRPr="00DB4F40" w:rsidRDefault="00DB4F40" w:rsidP="00BF7076">
            <w:pPr>
              <w:spacing w:after="0" w:line="240" w:lineRule="auto"/>
              <w:rPr>
                <w:rFonts w:cs="Calibri"/>
                <w:color w:val="000000"/>
                <w:sz w:val="16"/>
                <w:szCs w:val="16"/>
              </w:rPr>
            </w:pPr>
          </w:p>
        </w:tc>
        <w:tc>
          <w:tcPr>
            <w:tcW w:w="368" w:type="dxa"/>
            <w:gridSpan w:val="2"/>
            <w:tcBorders>
              <w:top w:val="single" w:sz="4" w:space="0" w:color="auto"/>
              <w:left w:val="nil"/>
              <w:bottom w:val="nil"/>
              <w:right w:val="single" w:sz="4" w:space="0" w:color="auto"/>
            </w:tcBorders>
            <w:shd w:val="clear" w:color="auto" w:fill="auto"/>
            <w:noWrap/>
            <w:vAlign w:val="bottom"/>
          </w:tcPr>
          <w:p w14:paraId="60CA9A3C" w14:textId="77777777" w:rsidR="00DB4F40" w:rsidRPr="00DB4F40" w:rsidRDefault="00DB4F40" w:rsidP="00BF7076">
            <w:pPr>
              <w:spacing w:after="0" w:line="240" w:lineRule="auto"/>
              <w:rPr>
                <w:rFonts w:cs="Calibri"/>
                <w:color w:val="000000"/>
                <w:sz w:val="16"/>
                <w:szCs w:val="16"/>
              </w:rPr>
            </w:pPr>
          </w:p>
        </w:tc>
        <w:tc>
          <w:tcPr>
            <w:tcW w:w="827" w:type="dxa"/>
            <w:gridSpan w:val="3"/>
            <w:tcBorders>
              <w:top w:val="nil"/>
              <w:left w:val="nil"/>
              <w:bottom w:val="single" w:sz="4" w:space="0" w:color="auto"/>
              <w:right w:val="single" w:sz="4" w:space="0" w:color="auto"/>
            </w:tcBorders>
            <w:shd w:val="clear" w:color="auto" w:fill="auto"/>
            <w:noWrap/>
            <w:vAlign w:val="bottom"/>
          </w:tcPr>
          <w:p w14:paraId="578BD207" w14:textId="77777777" w:rsidR="00DB4F40" w:rsidRPr="00DB4F40" w:rsidRDefault="00DB4F40" w:rsidP="00BF7076">
            <w:pPr>
              <w:spacing w:after="0" w:line="240" w:lineRule="auto"/>
              <w:jc w:val="center"/>
              <w:rPr>
                <w:rFonts w:cs="Calibri"/>
                <w:color w:val="000000"/>
                <w:sz w:val="16"/>
                <w:szCs w:val="16"/>
              </w:rPr>
            </w:pPr>
          </w:p>
        </w:tc>
        <w:tc>
          <w:tcPr>
            <w:tcW w:w="1146" w:type="dxa"/>
            <w:tcBorders>
              <w:top w:val="single" w:sz="4" w:space="0" w:color="auto"/>
              <w:left w:val="single" w:sz="4" w:space="0" w:color="auto"/>
              <w:bottom w:val="nil"/>
              <w:right w:val="single" w:sz="4" w:space="0" w:color="auto"/>
            </w:tcBorders>
            <w:shd w:val="clear" w:color="auto" w:fill="auto"/>
            <w:noWrap/>
            <w:vAlign w:val="bottom"/>
          </w:tcPr>
          <w:p w14:paraId="2A053567" w14:textId="77777777" w:rsidR="00DB4F40" w:rsidRPr="00DB4F40" w:rsidRDefault="00DB4F40" w:rsidP="00BF7076">
            <w:pPr>
              <w:spacing w:after="0" w:line="240" w:lineRule="auto"/>
              <w:rPr>
                <w:rFonts w:cs="Calibri"/>
                <w:color w:val="000000"/>
                <w:sz w:val="16"/>
                <w:szCs w:val="16"/>
              </w:rPr>
            </w:pPr>
          </w:p>
        </w:tc>
        <w:tc>
          <w:tcPr>
            <w:tcW w:w="498" w:type="dxa"/>
            <w:gridSpan w:val="3"/>
            <w:tcBorders>
              <w:top w:val="nil"/>
              <w:left w:val="nil"/>
              <w:bottom w:val="nil"/>
              <w:right w:val="nil"/>
            </w:tcBorders>
            <w:shd w:val="clear" w:color="auto" w:fill="auto"/>
            <w:noWrap/>
            <w:vAlign w:val="bottom"/>
          </w:tcPr>
          <w:p w14:paraId="24DE889C" w14:textId="77777777" w:rsidR="00DB4F40" w:rsidRPr="00BF7076" w:rsidRDefault="00DB4F40" w:rsidP="00BF7076">
            <w:pPr>
              <w:spacing w:after="0" w:line="240" w:lineRule="auto"/>
              <w:rPr>
                <w:rFonts w:cs="Calibri"/>
                <w:color w:val="000000"/>
                <w:sz w:val="18"/>
                <w:szCs w:val="18"/>
              </w:rPr>
            </w:pPr>
          </w:p>
        </w:tc>
      </w:tr>
      <w:tr w:rsidR="00DB4F40" w:rsidRPr="00BF7076" w14:paraId="769223BA" w14:textId="77777777" w:rsidTr="00DB4F40">
        <w:trPr>
          <w:trHeight w:val="499"/>
        </w:trPr>
        <w:tc>
          <w:tcPr>
            <w:tcW w:w="343" w:type="dxa"/>
            <w:tcBorders>
              <w:top w:val="nil"/>
              <w:left w:val="nil"/>
              <w:bottom w:val="nil"/>
              <w:right w:val="nil"/>
            </w:tcBorders>
            <w:shd w:val="clear" w:color="auto" w:fill="auto"/>
            <w:noWrap/>
            <w:vAlign w:val="bottom"/>
            <w:hideMark/>
          </w:tcPr>
          <w:p w14:paraId="0FB8B789"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1</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3C65AEC1"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41110834</w:t>
            </w:r>
          </w:p>
        </w:tc>
        <w:tc>
          <w:tcPr>
            <w:tcW w:w="2534" w:type="dxa"/>
            <w:tcBorders>
              <w:top w:val="nil"/>
              <w:left w:val="nil"/>
              <w:bottom w:val="single" w:sz="4" w:space="0" w:color="auto"/>
              <w:right w:val="single" w:sz="4" w:space="0" w:color="auto"/>
            </w:tcBorders>
            <w:shd w:val="clear" w:color="auto" w:fill="auto"/>
            <w:noWrap/>
            <w:vAlign w:val="bottom"/>
            <w:hideMark/>
          </w:tcPr>
          <w:p w14:paraId="23EDED7E"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AGUILAR GARCÍA JOSÉ ENOC</w:t>
            </w:r>
          </w:p>
        </w:tc>
        <w:tc>
          <w:tcPr>
            <w:tcW w:w="425" w:type="dxa"/>
            <w:tcBorders>
              <w:top w:val="nil"/>
              <w:left w:val="nil"/>
              <w:bottom w:val="single" w:sz="4" w:space="0" w:color="auto"/>
              <w:right w:val="single" w:sz="4" w:space="0" w:color="auto"/>
            </w:tcBorders>
            <w:shd w:val="clear" w:color="auto" w:fill="auto"/>
            <w:noWrap/>
            <w:vAlign w:val="bottom"/>
            <w:hideMark/>
          </w:tcPr>
          <w:p w14:paraId="79BCCA45"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5AA8AE8D"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143D503C"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0F3BCEB0"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single" w:sz="4" w:space="0" w:color="auto"/>
              <w:left w:val="nil"/>
              <w:bottom w:val="single" w:sz="4" w:space="0" w:color="auto"/>
              <w:right w:val="single" w:sz="4" w:space="0" w:color="auto"/>
            </w:tcBorders>
            <w:shd w:val="clear" w:color="auto" w:fill="auto"/>
            <w:noWrap/>
            <w:vAlign w:val="bottom"/>
            <w:hideMark/>
          </w:tcPr>
          <w:p w14:paraId="0474F4F5"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15E60544"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single" w:sz="4" w:space="0" w:color="auto"/>
              <w:left w:val="nil"/>
              <w:bottom w:val="single" w:sz="4" w:space="0" w:color="auto"/>
              <w:right w:val="single" w:sz="4" w:space="0" w:color="auto"/>
            </w:tcBorders>
            <w:shd w:val="clear" w:color="auto" w:fill="auto"/>
            <w:noWrap/>
            <w:vAlign w:val="bottom"/>
            <w:hideMark/>
          </w:tcPr>
          <w:p w14:paraId="3464C643"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single" w:sz="4" w:space="0" w:color="auto"/>
              <w:left w:val="nil"/>
              <w:bottom w:val="single" w:sz="4" w:space="0" w:color="auto"/>
              <w:right w:val="single" w:sz="4" w:space="0" w:color="auto"/>
            </w:tcBorders>
            <w:shd w:val="clear" w:color="auto" w:fill="auto"/>
            <w:noWrap/>
            <w:vAlign w:val="bottom"/>
            <w:hideMark/>
          </w:tcPr>
          <w:p w14:paraId="1916D9E6"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1CB21311" w14:textId="77777777" w:rsidR="00BF7076" w:rsidRPr="00BF7076" w:rsidRDefault="00BF7076" w:rsidP="00BF7076">
            <w:pPr>
              <w:spacing w:after="0" w:line="240" w:lineRule="auto"/>
              <w:rPr>
                <w:rFonts w:cs="Calibri"/>
                <w:color w:val="000000"/>
                <w:sz w:val="20"/>
                <w:szCs w:val="20"/>
              </w:rPr>
            </w:pPr>
          </w:p>
        </w:tc>
      </w:tr>
      <w:tr w:rsidR="00DB4F40" w:rsidRPr="00BF7076" w14:paraId="35251DAF" w14:textId="77777777" w:rsidTr="00DB4F40">
        <w:trPr>
          <w:trHeight w:val="499"/>
        </w:trPr>
        <w:tc>
          <w:tcPr>
            <w:tcW w:w="343" w:type="dxa"/>
            <w:tcBorders>
              <w:top w:val="nil"/>
              <w:left w:val="nil"/>
              <w:bottom w:val="nil"/>
              <w:right w:val="nil"/>
            </w:tcBorders>
            <w:shd w:val="clear" w:color="auto" w:fill="auto"/>
            <w:noWrap/>
            <w:vAlign w:val="bottom"/>
            <w:hideMark/>
          </w:tcPr>
          <w:p w14:paraId="5F718B62"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2</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21FD0F56"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41122664</w:t>
            </w:r>
          </w:p>
        </w:tc>
        <w:tc>
          <w:tcPr>
            <w:tcW w:w="2534" w:type="dxa"/>
            <w:tcBorders>
              <w:top w:val="nil"/>
              <w:left w:val="nil"/>
              <w:bottom w:val="single" w:sz="4" w:space="0" w:color="auto"/>
              <w:right w:val="single" w:sz="4" w:space="0" w:color="auto"/>
            </w:tcBorders>
            <w:shd w:val="clear" w:color="auto" w:fill="auto"/>
            <w:noWrap/>
            <w:vAlign w:val="bottom"/>
            <w:hideMark/>
          </w:tcPr>
          <w:p w14:paraId="04421CD4"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DURÁN MARTÍNEZ BLANCA ESTHELA</w:t>
            </w:r>
          </w:p>
        </w:tc>
        <w:tc>
          <w:tcPr>
            <w:tcW w:w="425" w:type="dxa"/>
            <w:tcBorders>
              <w:top w:val="nil"/>
              <w:left w:val="nil"/>
              <w:bottom w:val="single" w:sz="4" w:space="0" w:color="auto"/>
              <w:right w:val="single" w:sz="4" w:space="0" w:color="auto"/>
            </w:tcBorders>
            <w:shd w:val="clear" w:color="auto" w:fill="auto"/>
            <w:noWrap/>
            <w:vAlign w:val="bottom"/>
            <w:hideMark/>
          </w:tcPr>
          <w:p w14:paraId="7758A889"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1F468077"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6EBB0FE6"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195DCD03"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3E8EB9A4"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0474A259"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0984D4AD"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47DFA7FF"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6A3CAF7C" w14:textId="77777777" w:rsidR="00BF7076" w:rsidRPr="00BF7076" w:rsidRDefault="00BF7076" w:rsidP="00BF7076">
            <w:pPr>
              <w:spacing w:after="0" w:line="240" w:lineRule="auto"/>
              <w:rPr>
                <w:rFonts w:cs="Calibri"/>
                <w:color w:val="000000"/>
                <w:sz w:val="20"/>
                <w:szCs w:val="20"/>
              </w:rPr>
            </w:pPr>
          </w:p>
        </w:tc>
      </w:tr>
      <w:tr w:rsidR="00DB4F40" w:rsidRPr="00BF7076" w14:paraId="5989A14D" w14:textId="77777777" w:rsidTr="00DB4F40">
        <w:trPr>
          <w:trHeight w:val="499"/>
        </w:trPr>
        <w:tc>
          <w:tcPr>
            <w:tcW w:w="343" w:type="dxa"/>
            <w:tcBorders>
              <w:top w:val="nil"/>
              <w:left w:val="nil"/>
              <w:bottom w:val="nil"/>
              <w:right w:val="nil"/>
            </w:tcBorders>
            <w:shd w:val="clear" w:color="auto" w:fill="auto"/>
            <w:noWrap/>
            <w:vAlign w:val="bottom"/>
            <w:hideMark/>
          </w:tcPr>
          <w:p w14:paraId="6BF0A328"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3</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09B0148B"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41110816</w:t>
            </w:r>
          </w:p>
        </w:tc>
        <w:tc>
          <w:tcPr>
            <w:tcW w:w="2534" w:type="dxa"/>
            <w:tcBorders>
              <w:top w:val="nil"/>
              <w:left w:val="nil"/>
              <w:bottom w:val="single" w:sz="4" w:space="0" w:color="auto"/>
              <w:right w:val="single" w:sz="4" w:space="0" w:color="auto"/>
            </w:tcBorders>
            <w:shd w:val="clear" w:color="auto" w:fill="auto"/>
            <w:noWrap/>
            <w:vAlign w:val="bottom"/>
            <w:hideMark/>
          </w:tcPr>
          <w:p w14:paraId="4310D843"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GARCÍA MORENO DALILA</w:t>
            </w:r>
          </w:p>
        </w:tc>
        <w:tc>
          <w:tcPr>
            <w:tcW w:w="425" w:type="dxa"/>
            <w:tcBorders>
              <w:top w:val="nil"/>
              <w:left w:val="nil"/>
              <w:bottom w:val="single" w:sz="4" w:space="0" w:color="auto"/>
              <w:right w:val="single" w:sz="4" w:space="0" w:color="auto"/>
            </w:tcBorders>
            <w:shd w:val="clear" w:color="auto" w:fill="auto"/>
            <w:noWrap/>
            <w:vAlign w:val="bottom"/>
            <w:hideMark/>
          </w:tcPr>
          <w:p w14:paraId="78454BEB"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157E5E73"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2BFA20CB"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35C8DC5F"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75BAED11"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1F25AD19"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036E5EBE"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3C355D84"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66515729" w14:textId="77777777" w:rsidR="00BF7076" w:rsidRPr="00BF7076" w:rsidRDefault="00BF7076" w:rsidP="00BF7076">
            <w:pPr>
              <w:spacing w:after="0" w:line="240" w:lineRule="auto"/>
              <w:rPr>
                <w:rFonts w:cs="Calibri"/>
                <w:color w:val="000000"/>
                <w:sz w:val="20"/>
                <w:szCs w:val="20"/>
              </w:rPr>
            </w:pPr>
          </w:p>
        </w:tc>
      </w:tr>
      <w:tr w:rsidR="00DB4F40" w:rsidRPr="00BF7076" w14:paraId="759AB043" w14:textId="77777777" w:rsidTr="00DB4F40">
        <w:trPr>
          <w:trHeight w:val="499"/>
        </w:trPr>
        <w:tc>
          <w:tcPr>
            <w:tcW w:w="343" w:type="dxa"/>
            <w:tcBorders>
              <w:top w:val="nil"/>
              <w:left w:val="nil"/>
              <w:bottom w:val="nil"/>
              <w:right w:val="nil"/>
            </w:tcBorders>
            <w:shd w:val="clear" w:color="auto" w:fill="auto"/>
            <w:noWrap/>
            <w:vAlign w:val="bottom"/>
            <w:hideMark/>
          </w:tcPr>
          <w:p w14:paraId="0FFDE5E9"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1A69D471"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41146184</w:t>
            </w:r>
          </w:p>
        </w:tc>
        <w:tc>
          <w:tcPr>
            <w:tcW w:w="2534" w:type="dxa"/>
            <w:tcBorders>
              <w:top w:val="nil"/>
              <w:left w:val="nil"/>
              <w:bottom w:val="single" w:sz="4" w:space="0" w:color="auto"/>
              <w:right w:val="single" w:sz="4" w:space="0" w:color="auto"/>
            </w:tcBorders>
            <w:shd w:val="clear" w:color="auto" w:fill="auto"/>
            <w:noWrap/>
            <w:vAlign w:val="bottom"/>
            <w:hideMark/>
          </w:tcPr>
          <w:p w14:paraId="6907C0C0"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GASPAR PABLO XOCHILT</w:t>
            </w:r>
          </w:p>
        </w:tc>
        <w:tc>
          <w:tcPr>
            <w:tcW w:w="425" w:type="dxa"/>
            <w:tcBorders>
              <w:top w:val="nil"/>
              <w:left w:val="nil"/>
              <w:bottom w:val="single" w:sz="4" w:space="0" w:color="auto"/>
              <w:right w:val="single" w:sz="4" w:space="0" w:color="auto"/>
            </w:tcBorders>
            <w:shd w:val="clear" w:color="auto" w:fill="auto"/>
            <w:noWrap/>
            <w:vAlign w:val="bottom"/>
            <w:hideMark/>
          </w:tcPr>
          <w:p w14:paraId="697A6D73"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18C5BD9B"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75079B34"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3FDA0710"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2A4DBD51"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0364915D"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44295475"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0099E4C6"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2AEA325C" w14:textId="77777777" w:rsidR="00BF7076" w:rsidRPr="00BF7076" w:rsidRDefault="00BF7076" w:rsidP="00BF7076">
            <w:pPr>
              <w:spacing w:after="0" w:line="240" w:lineRule="auto"/>
              <w:rPr>
                <w:rFonts w:cs="Calibri"/>
                <w:color w:val="000000"/>
                <w:sz w:val="20"/>
                <w:szCs w:val="20"/>
              </w:rPr>
            </w:pPr>
          </w:p>
        </w:tc>
      </w:tr>
      <w:tr w:rsidR="00DB4F40" w:rsidRPr="00BF7076" w14:paraId="311DE0D9" w14:textId="77777777" w:rsidTr="00DB4F40">
        <w:trPr>
          <w:trHeight w:val="499"/>
        </w:trPr>
        <w:tc>
          <w:tcPr>
            <w:tcW w:w="343" w:type="dxa"/>
            <w:tcBorders>
              <w:top w:val="nil"/>
              <w:left w:val="nil"/>
              <w:bottom w:val="nil"/>
              <w:right w:val="nil"/>
            </w:tcBorders>
            <w:shd w:val="clear" w:color="auto" w:fill="auto"/>
            <w:noWrap/>
            <w:vAlign w:val="bottom"/>
            <w:hideMark/>
          </w:tcPr>
          <w:p w14:paraId="4A68F290"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5</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372E560E"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41146374</w:t>
            </w:r>
          </w:p>
        </w:tc>
        <w:tc>
          <w:tcPr>
            <w:tcW w:w="2534" w:type="dxa"/>
            <w:tcBorders>
              <w:top w:val="nil"/>
              <w:left w:val="nil"/>
              <w:bottom w:val="single" w:sz="4" w:space="0" w:color="auto"/>
              <w:right w:val="single" w:sz="4" w:space="0" w:color="auto"/>
            </w:tcBorders>
            <w:shd w:val="clear" w:color="auto" w:fill="auto"/>
            <w:noWrap/>
            <w:vAlign w:val="bottom"/>
            <w:hideMark/>
          </w:tcPr>
          <w:p w14:paraId="07A82577"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GONZALEZ RUIZ ALFONSO</w:t>
            </w:r>
          </w:p>
        </w:tc>
        <w:tc>
          <w:tcPr>
            <w:tcW w:w="425" w:type="dxa"/>
            <w:tcBorders>
              <w:top w:val="nil"/>
              <w:left w:val="nil"/>
              <w:bottom w:val="single" w:sz="4" w:space="0" w:color="auto"/>
              <w:right w:val="single" w:sz="4" w:space="0" w:color="auto"/>
            </w:tcBorders>
            <w:shd w:val="clear" w:color="auto" w:fill="auto"/>
            <w:noWrap/>
            <w:vAlign w:val="bottom"/>
            <w:hideMark/>
          </w:tcPr>
          <w:p w14:paraId="58B1F98E"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3EBFA6AF"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596A6934"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6252E3BA"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20F74FBB"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4ABA87C2"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70F6FA9C"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4DF92A68"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6ADCBBCF" w14:textId="77777777" w:rsidR="00BF7076" w:rsidRPr="00BF7076" w:rsidRDefault="00BF7076" w:rsidP="00BF7076">
            <w:pPr>
              <w:spacing w:after="0" w:line="240" w:lineRule="auto"/>
              <w:rPr>
                <w:rFonts w:cs="Calibri"/>
                <w:color w:val="000000"/>
                <w:sz w:val="20"/>
                <w:szCs w:val="20"/>
              </w:rPr>
            </w:pPr>
          </w:p>
        </w:tc>
      </w:tr>
      <w:tr w:rsidR="00DB4F40" w:rsidRPr="00BF7076" w14:paraId="58EF9BE0" w14:textId="77777777" w:rsidTr="00DB4F40">
        <w:trPr>
          <w:trHeight w:val="499"/>
        </w:trPr>
        <w:tc>
          <w:tcPr>
            <w:tcW w:w="343" w:type="dxa"/>
            <w:tcBorders>
              <w:top w:val="nil"/>
              <w:left w:val="nil"/>
              <w:bottom w:val="nil"/>
              <w:right w:val="nil"/>
            </w:tcBorders>
            <w:shd w:val="clear" w:color="auto" w:fill="auto"/>
            <w:noWrap/>
            <w:vAlign w:val="bottom"/>
            <w:hideMark/>
          </w:tcPr>
          <w:p w14:paraId="6247A6FE"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6</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71DE4705"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41146275</w:t>
            </w:r>
          </w:p>
        </w:tc>
        <w:tc>
          <w:tcPr>
            <w:tcW w:w="2534" w:type="dxa"/>
            <w:tcBorders>
              <w:top w:val="nil"/>
              <w:left w:val="nil"/>
              <w:bottom w:val="single" w:sz="4" w:space="0" w:color="auto"/>
              <w:right w:val="single" w:sz="4" w:space="0" w:color="auto"/>
            </w:tcBorders>
            <w:shd w:val="clear" w:color="auto" w:fill="auto"/>
            <w:noWrap/>
            <w:vAlign w:val="bottom"/>
            <w:hideMark/>
          </w:tcPr>
          <w:p w14:paraId="77578878"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GURGUA JIMENEZ MAYELI MIRALDA</w:t>
            </w:r>
          </w:p>
        </w:tc>
        <w:tc>
          <w:tcPr>
            <w:tcW w:w="425" w:type="dxa"/>
            <w:tcBorders>
              <w:top w:val="nil"/>
              <w:left w:val="nil"/>
              <w:bottom w:val="single" w:sz="4" w:space="0" w:color="auto"/>
              <w:right w:val="single" w:sz="4" w:space="0" w:color="auto"/>
            </w:tcBorders>
            <w:shd w:val="clear" w:color="auto" w:fill="auto"/>
            <w:noWrap/>
            <w:vAlign w:val="bottom"/>
            <w:hideMark/>
          </w:tcPr>
          <w:p w14:paraId="741B54F5"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57973476"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5EC47DA3"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3314D033"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40840347"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237E90F6"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498C02DC"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1B56956E"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63AF58D4" w14:textId="77777777" w:rsidR="00BF7076" w:rsidRPr="00BF7076" w:rsidRDefault="00BF7076" w:rsidP="00BF7076">
            <w:pPr>
              <w:spacing w:after="0" w:line="240" w:lineRule="auto"/>
              <w:rPr>
                <w:rFonts w:cs="Calibri"/>
                <w:color w:val="000000"/>
                <w:sz w:val="20"/>
                <w:szCs w:val="20"/>
              </w:rPr>
            </w:pPr>
          </w:p>
        </w:tc>
      </w:tr>
      <w:tr w:rsidR="00DB4F40" w:rsidRPr="00DB4F40" w14:paraId="7E30517A" w14:textId="77777777" w:rsidTr="00DB4F40">
        <w:trPr>
          <w:trHeight w:val="499"/>
        </w:trPr>
        <w:tc>
          <w:tcPr>
            <w:tcW w:w="343" w:type="dxa"/>
            <w:tcBorders>
              <w:top w:val="nil"/>
              <w:left w:val="nil"/>
              <w:bottom w:val="nil"/>
              <w:right w:val="nil"/>
            </w:tcBorders>
            <w:shd w:val="clear" w:color="auto" w:fill="auto"/>
            <w:noWrap/>
            <w:vAlign w:val="bottom"/>
            <w:hideMark/>
          </w:tcPr>
          <w:p w14:paraId="7B3BB890"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7</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3D24647F"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41146135</w:t>
            </w:r>
          </w:p>
        </w:tc>
        <w:tc>
          <w:tcPr>
            <w:tcW w:w="2534" w:type="dxa"/>
            <w:tcBorders>
              <w:top w:val="nil"/>
              <w:left w:val="nil"/>
              <w:bottom w:val="single" w:sz="4" w:space="0" w:color="auto"/>
              <w:right w:val="single" w:sz="4" w:space="0" w:color="auto"/>
            </w:tcBorders>
            <w:shd w:val="clear" w:color="auto" w:fill="auto"/>
            <w:noWrap/>
            <w:vAlign w:val="bottom"/>
            <w:hideMark/>
          </w:tcPr>
          <w:p w14:paraId="38304377"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HERNÁNDEZ HURTADO CLAUDIA ELIZABETH</w:t>
            </w:r>
          </w:p>
        </w:tc>
        <w:tc>
          <w:tcPr>
            <w:tcW w:w="425" w:type="dxa"/>
            <w:tcBorders>
              <w:top w:val="nil"/>
              <w:left w:val="nil"/>
              <w:bottom w:val="single" w:sz="4" w:space="0" w:color="auto"/>
              <w:right w:val="single" w:sz="4" w:space="0" w:color="auto"/>
            </w:tcBorders>
            <w:shd w:val="clear" w:color="auto" w:fill="auto"/>
            <w:noWrap/>
            <w:vAlign w:val="bottom"/>
            <w:hideMark/>
          </w:tcPr>
          <w:p w14:paraId="2E98F237"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3C90F47C"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1FFFFDFC"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3ABF6438"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5B74909C"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21DC8977"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24925713"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1D233A43"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6B7EE551" w14:textId="77777777" w:rsidR="00BF7076" w:rsidRPr="00DB4F40" w:rsidRDefault="00BF7076" w:rsidP="00BF7076">
            <w:pPr>
              <w:spacing w:after="0" w:line="240" w:lineRule="auto"/>
              <w:rPr>
                <w:rFonts w:cs="Calibri"/>
                <w:color w:val="000000"/>
                <w:sz w:val="16"/>
                <w:szCs w:val="16"/>
              </w:rPr>
            </w:pPr>
          </w:p>
        </w:tc>
      </w:tr>
      <w:tr w:rsidR="00DB4F40" w:rsidRPr="00DB4F40" w14:paraId="6DEEAF64" w14:textId="77777777" w:rsidTr="00DB4F40">
        <w:trPr>
          <w:trHeight w:val="499"/>
        </w:trPr>
        <w:tc>
          <w:tcPr>
            <w:tcW w:w="343" w:type="dxa"/>
            <w:tcBorders>
              <w:top w:val="nil"/>
              <w:left w:val="nil"/>
              <w:bottom w:val="nil"/>
              <w:right w:val="nil"/>
            </w:tcBorders>
            <w:shd w:val="clear" w:color="auto" w:fill="auto"/>
            <w:noWrap/>
            <w:vAlign w:val="bottom"/>
            <w:hideMark/>
          </w:tcPr>
          <w:p w14:paraId="1EB2BBAB"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8</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49D65CD2"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41154402</w:t>
            </w:r>
          </w:p>
        </w:tc>
        <w:tc>
          <w:tcPr>
            <w:tcW w:w="2534" w:type="dxa"/>
            <w:tcBorders>
              <w:top w:val="nil"/>
              <w:left w:val="nil"/>
              <w:bottom w:val="single" w:sz="4" w:space="0" w:color="auto"/>
              <w:right w:val="single" w:sz="4" w:space="0" w:color="auto"/>
            </w:tcBorders>
            <w:shd w:val="clear" w:color="auto" w:fill="auto"/>
            <w:noWrap/>
            <w:vAlign w:val="bottom"/>
            <w:hideMark/>
          </w:tcPr>
          <w:p w14:paraId="3FB3CBFD"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LARA IBARRA ANDREA NAOMI</w:t>
            </w:r>
          </w:p>
        </w:tc>
        <w:tc>
          <w:tcPr>
            <w:tcW w:w="425" w:type="dxa"/>
            <w:tcBorders>
              <w:top w:val="nil"/>
              <w:left w:val="nil"/>
              <w:bottom w:val="single" w:sz="4" w:space="0" w:color="auto"/>
              <w:right w:val="single" w:sz="4" w:space="0" w:color="auto"/>
            </w:tcBorders>
            <w:shd w:val="clear" w:color="auto" w:fill="auto"/>
            <w:noWrap/>
            <w:vAlign w:val="bottom"/>
            <w:hideMark/>
          </w:tcPr>
          <w:p w14:paraId="6FA591BB"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3DD4B78F"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2492AFE9"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2A7331A5"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20446308"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7A97E672"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30709AA0"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6AE8C5A9"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7EF3E6EB" w14:textId="77777777" w:rsidR="00BF7076" w:rsidRPr="00DB4F40" w:rsidRDefault="00BF7076" w:rsidP="00BF7076">
            <w:pPr>
              <w:spacing w:after="0" w:line="240" w:lineRule="auto"/>
              <w:rPr>
                <w:rFonts w:cs="Calibri"/>
                <w:color w:val="000000"/>
                <w:sz w:val="16"/>
                <w:szCs w:val="16"/>
              </w:rPr>
            </w:pPr>
          </w:p>
        </w:tc>
      </w:tr>
      <w:tr w:rsidR="00DB4F40" w:rsidRPr="00DB4F40" w14:paraId="6EEE8BB8" w14:textId="77777777" w:rsidTr="00DB4F40">
        <w:trPr>
          <w:trHeight w:val="499"/>
        </w:trPr>
        <w:tc>
          <w:tcPr>
            <w:tcW w:w="343" w:type="dxa"/>
            <w:tcBorders>
              <w:top w:val="nil"/>
              <w:left w:val="nil"/>
              <w:bottom w:val="nil"/>
              <w:right w:val="nil"/>
            </w:tcBorders>
            <w:shd w:val="clear" w:color="auto" w:fill="auto"/>
            <w:noWrap/>
            <w:vAlign w:val="bottom"/>
            <w:hideMark/>
          </w:tcPr>
          <w:p w14:paraId="78CB906D"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9</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3470A49A"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41100996</w:t>
            </w:r>
          </w:p>
        </w:tc>
        <w:tc>
          <w:tcPr>
            <w:tcW w:w="2534" w:type="dxa"/>
            <w:tcBorders>
              <w:top w:val="nil"/>
              <w:left w:val="nil"/>
              <w:bottom w:val="single" w:sz="4" w:space="0" w:color="auto"/>
              <w:right w:val="single" w:sz="4" w:space="0" w:color="auto"/>
            </w:tcBorders>
            <w:shd w:val="clear" w:color="auto" w:fill="auto"/>
            <w:noWrap/>
            <w:vAlign w:val="bottom"/>
            <w:hideMark/>
          </w:tcPr>
          <w:p w14:paraId="60677D49"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MARTINEZ GOMEZ FERNANDO</w:t>
            </w:r>
          </w:p>
        </w:tc>
        <w:tc>
          <w:tcPr>
            <w:tcW w:w="425" w:type="dxa"/>
            <w:tcBorders>
              <w:top w:val="nil"/>
              <w:left w:val="nil"/>
              <w:bottom w:val="single" w:sz="4" w:space="0" w:color="auto"/>
              <w:right w:val="single" w:sz="4" w:space="0" w:color="auto"/>
            </w:tcBorders>
            <w:shd w:val="clear" w:color="auto" w:fill="auto"/>
            <w:noWrap/>
            <w:vAlign w:val="bottom"/>
            <w:hideMark/>
          </w:tcPr>
          <w:p w14:paraId="7D3E5573"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5B610740"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34600070"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61FD8886"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566B7397"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733E4BCF"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37EF29E1"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6D2662F2"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74AEBF51" w14:textId="77777777" w:rsidR="00BF7076" w:rsidRPr="00DB4F40" w:rsidRDefault="00BF7076" w:rsidP="00BF7076">
            <w:pPr>
              <w:spacing w:after="0" w:line="240" w:lineRule="auto"/>
              <w:rPr>
                <w:rFonts w:cs="Calibri"/>
                <w:color w:val="000000"/>
                <w:sz w:val="16"/>
                <w:szCs w:val="16"/>
              </w:rPr>
            </w:pPr>
          </w:p>
        </w:tc>
      </w:tr>
      <w:tr w:rsidR="00DB4F40" w:rsidRPr="00DB4F40" w14:paraId="73755F7D" w14:textId="77777777" w:rsidTr="00DB4F40">
        <w:trPr>
          <w:trHeight w:val="499"/>
        </w:trPr>
        <w:tc>
          <w:tcPr>
            <w:tcW w:w="343" w:type="dxa"/>
            <w:tcBorders>
              <w:top w:val="nil"/>
              <w:left w:val="nil"/>
              <w:bottom w:val="nil"/>
              <w:right w:val="nil"/>
            </w:tcBorders>
            <w:shd w:val="clear" w:color="auto" w:fill="auto"/>
            <w:noWrap/>
            <w:vAlign w:val="bottom"/>
            <w:hideMark/>
          </w:tcPr>
          <w:p w14:paraId="50731771"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10</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6A571ECB"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41154337</w:t>
            </w:r>
          </w:p>
        </w:tc>
        <w:tc>
          <w:tcPr>
            <w:tcW w:w="2534" w:type="dxa"/>
            <w:tcBorders>
              <w:top w:val="nil"/>
              <w:left w:val="nil"/>
              <w:bottom w:val="single" w:sz="4" w:space="0" w:color="auto"/>
              <w:right w:val="single" w:sz="4" w:space="0" w:color="auto"/>
            </w:tcBorders>
            <w:shd w:val="clear" w:color="auto" w:fill="auto"/>
            <w:noWrap/>
            <w:vAlign w:val="bottom"/>
            <w:hideMark/>
          </w:tcPr>
          <w:p w14:paraId="2B453C4C"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MORENO DE LA PEÑA DANIEL SANTIAGO</w:t>
            </w:r>
          </w:p>
        </w:tc>
        <w:tc>
          <w:tcPr>
            <w:tcW w:w="425" w:type="dxa"/>
            <w:tcBorders>
              <w:top w:val="nil"/>
              <w:left w:val="nil"/>
              <w:bottom w:val="single" w:sz="4" w:space="0" w:color="auto"/>
              <w:right w:val="single" w:sz="4" w:space="0" w:color="auto"/>
            </w:tcBorders>
            <w:shd w:val="clear" w:color="auto" w:fill="auto"/>
            <w:noWrap/>
            <w:vAlign w:val="bottom"/>
            <w:hideMark/>
          </w:tcPr>
          <w:p w14:paraId="1A26EE54"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6291C143"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0CB022C0"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5C31D972"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7F6FBF01"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7CFF8C56"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72B7AC8F"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0B63EAC1"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1331AAE2" w14:textId="77777777" w:rsidR="00BF7076" w:rsidRPr="00DB4F40" w:rsidRDefault="00BF7076" w:rsidP="00BF7076">
            <w:pPr>
              <w:spacing w:after="0" w:line="240" w:lineRule="auto"/>
              <w:rPr>
                <w:rFonts w:cs="Calibri"/>
                <w:color w:val="000000"/>
                <w:sz w:val="16"/>
                <w:szCs w:val="16"/>
              </w:rPr>
            </w:pPr>
          </w:p>
        </w:tc>
      </w:tr>
      <w:tr w:rsidR="00DB4F40" w:rsidRPr="00DB4F40" w14:paraId="1744A87F" w14:textId="77777777" w:rsidTr="00DB4F40">
        <w:trPr>
          <w:trHeight w:val="499"/>
        </w:trPr>
        <w:tc>
          <w:tcPr>
            <w:tcW w:w="343" w:type="dxa"/>
            <w:tcBorders>
              <w:top w:val="nil"/>
              <w:left w:val="nil"/>
              <w:bottom w:val="nil"/>
              <w:right w:val="nil"/>
            </w:tcBorders>
            <w:shd w:val="clear" w:color="auto" w:fill="auto"/>
            <w:noWrap/>
            <w:vAlign w:val="bottom"/>
            <w:hideMark/>
          </w:tcPr>
          <w:p w14:paraId="78DD31DF"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11</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58CF34C4"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41154360</w:t>
            </w:r>
          </w:p>
        </w:tc>
        <w:tc>
          <w:tcPr>
            <w:tcW w:w="2534" w:type="dxa"/>
            <w:tcBorders>
              <w:top w:val="nil"/>
              <w:left w:val="nil"/>
              <w:bottom w:val="single" w:sz="4" w:space="0" w:color="auto"/>
              <w:right w:val="single" w:sz="4" w:space="0" w:color="auto"/>
            </w:tcBorders>
            <w:shd w:val="clear" w:color="auto" w:fill="auto"/>
            <w:noWrap/>
            <w:vAlign w:val="bottom"/>
            <w:hideMark/>
          </w:tcPr>
          <w:p w14:paraId="20282DAE"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PADILLA TOVAR LEONARDO ALONSO</w:t>
            </w:r>
          </w:p>
        </w:tc>
        <w:tc>
          <w:tcPr>
            <w:tcW w:w="425" w:type="dxa"/>
            <w:tcBorders>
              <w:top w:val="nil"/>
              <w:left w:val="nil"/>
              <w:bottom w:val="single" w:sz="4" w:space="0" w:color="auto"/>
              <w:right w:val="single" w:sz="4" w:space="0" w:color="auto"/>
            </w:tcBorders>
            <w:shd w:val="clear" w:color="auto" w:fill="auto"/>
            <w:noWrap/>
            <w:vAlign w:val="bottom"/>
            <w:hideMark/>
          </w:tcPr>
          <w:p w14:paraId="406D23F5"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36094D3D"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1DE4F1D5"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731E3598"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68FAF16A"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7E0C709B"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3E48E93D"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0E28979D"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464D1C54" w14:textId="77777777" w:rsidR="00BF7076" w:rsidRPr="00DB4F40" w:rsidRDefault="00BF7076" w:rsidP="00BF7076">
            <w:pPr>
              <w:spacing w:after="0" w:line="240" w:lineRule="auto"/>
              <w:rPr>
                <w:rFonts w:cs="Calibri"/>
                <w:color w:val="000000"/>
                <w:sz w:val="16"/>
                <w:szCs w:val="16"/>
              </w:rPr>
            </w:pPr>
          </w:p>
        </w:tc>
      </w:tr>
      <w:tr w:rsidR="00DB4F40" w:rsidRPr="00DB4F40" w14:paraId="7590598C" w14:textId="77777777" w:rsidTr="00DB4F40">
        <w:trPr>
          <w:trHeight w:val="499"/>
        </w:trPr>
        <w:tc>
          <w:tcPr>
            <w:tcW w:w="343" w:type="dxa"/>
            <w:tcBorders>
              <w:top w:val="nil"/>
              <w:left w:val="nil"/>
              <w:bottom w:val="nil"/>
              <w:right w:val="nil"/>
            </w:tcBorders>
            <w:shd w:val="clear" w:color="auto" w:fill="auto"/>
            <w:noWrap/>
            <w:vAlign w:val="bottom"/>
            <w:hideMark/>
          </w:tcPr>
          <w:p w14:paraId="4000CBC8"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12</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7996819B"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41154352</w:t>
            </w:r>
          </w:p>
        </w:tc>
        <w:tc>
          <w:tcPr>
            <w:tcW w:w="2534" w:type="dxa"/>
            <w:tcBorders>
              <w:top w:val="nil"/>
              <w:left w:val="nil"/>
              <w:bottom w:val="single" w:sz="4" w:space="0" w:color="auto"/>
              <w:right w:val="single" w:sz="4" w:space="0" w:color="auto"/>
            </w:tcBorders>
            <w:shd w:val="clear" w:color="auto" w:fill="auto"/>
            <w:noWrap/>
            <w:vAlign w:val="bottom"/>
            <w:hideMark/>
          </w:tcPr>
          <w:p w14:paraId="1DF7223A"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PEÑA VALENZUELA NIDIA BERENICE</w:t>
            </w:r>
          </w:p>
        </w:tc>
        <w:tc>
          <w:tcPr>
            <w:tcW w:w="425" w:type="dxa"/>
            <w:tcBorders>
              <w:top w:val="nil"/>
              <w:left w:val="nil"/>
              <w:bottom w:val="single" w:sz="4" w:space="0" w:color="auto"/>
              <w:right w:val="single" w:sz="4" w:space="0" w:color="auto"/>
            </w:tcBorders>
            <w:shd w:val="clear" w:color="auto" w:fill="auto"/>
            <w:noWrap/>
            <w:vAlign w:val="bottom"/>
            <w:hideMark/>
          </w:tcPr>
          <w:p w14:paraId="2CE8DBEB"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7C499FD5"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2F85A9F0"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35D523E5"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4CCEDB83"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36C809D5"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332DF0AB"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0476A41F"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5682DE20" w14:textId="77777777" w:rsidR="00BF7076" w:rsidRPr="00DB4F40" w:rsidRDefault="00BF7076" w:rsidP="00BF7076">
            <w:pPr>
              <w:spacing w:after="0" w:line="240" w:lineRule="auto"/>
              <w:rPr>
                <w:rFonts w:cs="Calibri"/>
                <w:color w:val="000000"/>
                <w:sz w:val="16"/>
                <w:szCs w:val="16"/>
              </w:rPr>
            </w:pPr>
          </w:p>
        </w:tc>
      </w:tr>
      <w:tr w:rsidR="00DB4F40" w:rsidRPr="00DB4F40" w14:paraId="52314045" w14:textId="77777777" w:rsidTr="00DB4F40">
        <w:trPr>
          <w:trHeight w:val="499"/>
        </w:trPr>
        <w:tc>
          <w:tcPr>
            <w:tcW w:w="343" w:type="dxa"/>
            <w:tcBorders>
              <w:top w:val="nil"/>
              <w:left w:val="nil"/>
              <w:bottom w:val="nil"/>
              <w:right w:val="nil"/>
            </w:tcBorders>
            <w:shd w:val="clear" w:color="auto" w:fill="auto"/>
            <w:noWrap/>
            <w:vAlign w:val="bottom"/>
            <w:hideMark/>
          </w:tcPr>
          <w:p w14:paraId="3DC84D97"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13</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48556BE7"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41154436</w:t>
            </w:r>
          </w:p>
        </w:tc>
        <w:tc>
          <w:tcPr>
            <w:tcW w:w="2534" w:type="dxa"/>
            <w:tcBorders>
              <w:top w:val="nil"/>
              <w:left w:val="nil"/>
              <w:bottom w:val="single" w:sz="4" w:space="0" w:color="auto"/>
              <w:right w:val="single" w:sz="4" w:space="0" w:color="auto"/>
            </w:tcBorders>
            <w:shd w:val="clear" w:color="auto" w:fill="auto"/>
            <w:noWrap/>
            <w:vAlign w:val="bottom"/>
            <w:hideMark/>
          </w:tcPr>
          <w:p w14:paraId="101952CA"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ROMAN BLANCA ALESIS</w:t>
            </w:r>
          </w:p>
        </w:tc>
        <w:tc>
          <w:tcPr>
            <w:tcW w:w="425" w:type="dxa"/>
            <w:tcBorders>
              <w:top w:val="nil"/>
              <w:left w:val="nil"/>
              <w:bottom w:val="single" w:sz="4" w:space="0" w:color="auto"/>
              <w:right w:val="single" w:sz="4" w:space="0" w:color="auto"/>
            </w:tcBorders>
            <w:shd w:val="clear" w:color="auto" w:fill="auto"/>
            <w:noWrap/>
            <w:vAlign w:val="bottom"/>
            <w:hideMark/>
          </w:tcPr>
          <w:p w14:paraId="3689C901"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5EF0F8FD"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5D8CE2A4"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00DF9A87"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1D37E491"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04485903"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668B67E5"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0D1DAD4D"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468E0A63" w14:textId="77777777" w:rsidR="00BF7076" w:rsidRPr="00DB4F40" w:rsidRDefault="00BF7076" w:rsidP="00BF7076">
            <w:pPr>
              <w:spacing w:after="0" w:line="240" w:lineRule="auto"/>
              <w:rPr>
                <w:rFonts w:cs="Calibri"/>
                <w:color w:val="000000"/>
                <w:sz w:val="16"/>
                <w:szCs w:val="16"/>
              </w:rPr>
            </w:pPr>
          </w:p>
        </w:tc>
      </w:tr>
      <w:tr w:rsidR="00DB4F40" w:rsidRPr="00DB4F40" w14:paraId="1090FA81" w14:textId="77777777" w:rsidTr="00DB4F40">
        <w:trPr>
          <w:trHeight w:val="499"/>
        </w:trPr>
        <w:tc>
          <w:tcPr>
            <w:tcW w:w="343" w:type="dxa"/>
            <w:tcBorders>
              <w:top w:val="nil"/>
              <w:left w:val="nil"/>
              <w:bottom w:val="nil"/>
              <w:right w:val="nil"/>
            </w:tcBorders>
            <w:shd w:val="clear" w:color="auto" w:fill="auto"/>
            <w:noWrap/>
            <w:vAlign w:val="bottom"/>
            <w:hideMark/>
          </w:tcPr>
          <w:p w14:paraId="467B7BC5"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14</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14:paraId="0A481334" w14:textId="77777777"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41122896</w:t>
            </w:r>
          </w:p>
        </w:tc>
        <w:tc>
          <w:tcPr>
            <w:tcW w:w="2534" w:type="dxa"/>
            <w:tcBorders>
              <w:top w:val="nil"/>
              <w:left w:val="nil"/>
              <w:bottom w:val="single" w:sz="4" w:space="0" w:color="auto"/>
              <w:right w:val="single" w:sz="4" w:space="0" w:color="auto"/>
            </w:tcBorders>
            <w:shd w:val="clear" w:color="auto" w:fill="auto"/>
            <w:noWrap/>
            <w:vAlign w:val="bottom"/>
            <w:hideMark/>
          </w:tcPr>
          <w:p w14:paraId="0A15752E"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SALINAS ROMERO MAYRA</w:t>
            </w:r>
          </w:p>
        </w:tc>
        <w:tc>
          <w:tcPr>
            <w:tcW w:w="425" w:type="dxa"/>
            <w:tcBorders>
              <w:top w:val="nil"/>
              <w:left w:val="nil"/>
              <w:bottom w:val="single" w:sz="4" w:space="0" w:color="auto"/>
              <w:right w:val="single" w:sz="4" w:space="0" w:color="auto"/>
            </w:tcBorders>
            <w:shd w:val="clear" w:color="auto" w:fill="auto"/>
            <w:noWrap/>
            <w:vAlign w:val="bottom"/>
            <w:hideMark/>
          </w:tcPr>
          <w:p w14:paraId="743D1D88"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14:paraId="67A2D09B"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14:paraId="6C29C138"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14:paraId="18E6654D" w14:textId="77777777"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59C8FA70"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0E3C6EC3"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14:paraId="3F71DAAC"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14:paraId="0DDEDC4B" w14:textId="77777777"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14:paraId="39B5DAA0" w14:textId="77777777" w:rsidR="00BF7076" w:rsidRPr="00DB4F40" w:rsidRDefault="00BF7076" w:rsidP="00BF7076">
            <w:pPr>
              <w:spacing w:after="0" w:line="240" w:lineRule="auto"/>
              <w:rPr>
                <w:rFonts w:cs="Calibri"/>
                <w:color w:val="000000"/>
                <w:sz w:val="16"/>
                <w:szCs w:val="16"/>
              </w:rPr>
            </w:pPr>
          </w:p>
        </w:tc>
      </w:tr>
      <w:tr w:rsidR="00BF7076" w:rsidRPr="00BF7076" w14:paraId="07D9FB2F" w14:textId="77777777" w:rsidTr="00DB4F40">
        <w:trPr>
          <w:gridAfter w:val="1"/>
          <w:wAfter w:w="178" w:type="dxa"/>
          <w:trHeight w:val="540"/>
        </w:trPr>
        <w:tc>
          <w:tcPr>
            <w:tcW w:w="1294" w:type="dxa"/>
            <w:gridSpan w:val="2"/>
            <w:tcBorders>
              <w:top w:val="nil"/>
              <w:left w:val="nil"/>
              <w:bottom w:val="nil"/>
              <w:right w:val="nil"/>
            </w:tcBorders>
            <w:shd w:val="clear" w:color="auto" w:fill="auto"/>
            <w:noWrap/>
            <w:vAlign w:val="bottom"/>
            <w:hideMark/>
          </w:tcPr>
          <w:p w14:paraId="24E6DA31" w14:textId="77777777" w:rsidR="00BF7076" w:rsidRPr="00BF7076" w:rsidRDefault="00BF7076" w:rsidP="00BF7076">
            <w:pPr>
              <w:spacing w:after="0" w:line="240" w:lineRule="auto"/>
              <w:rPr>
                <w:rFonts w:cs="Calibri"/>
                <w:color w:val="000000"/>
                <w:sz w:val="22"/>
                <w:szCs w:val="22"/>
              </w:rPr>
            </w:pPr>
            <w:r w:rsidRPr="00BF7076">
              <w:rPr>
                <w:rFonts w:cs="Calibri"/>
                <w:color w:val="000000"/>
                <w:sz w:val="22"/>
                <w:szCs w:val="22"/>
              </w:rPr>
              <w:t>FIRMA</w:t>
            </w:r>
          </w:p>
        </w:tc>
        <w:tc>
          <w:tcPr>
            <w:tcW w:w="2534" w:type="dxa"/>
            <w:tcBorders>
              <w:top w:val="nil"/>
              <w:left w:val="nil"/>
              <w:bottom w:val="single" w:sz="4" w:space="0" w:color="auto"/>
              <w:right w:val="nil"/>
            </w:tcBorders>
            <w:shd w:val="clear" w:color="auto" w:fill="auto"/>
            <w:noWrap/>
            <w:vAlign w:val="bottom"/>
            <w:hideMark/>
          </w:tcPr>
          <w:p w14:paraId="474D4D89" w14:textId="77777777" w:rsidR="00BF7076" w:rsidRPr="00BF7076" w:rsidRDefault="00BF7076" w:rsidP="00BF7076">
            <w:pPr>
              <w:spacing w:after="0" w:line="240" w:lineRule="auto"/>
              <w:rPr>
                <w:rFonts w:cs="Calibri"/>
                <w:color w:val="000000"/>
                <w:sz w:val="22"/>
                <w:szCs w:val="22"/>
              </w:rPr>
            </w:pPr>
            <w:r w:rsidRPr="00BF7076">
              <w:rPr>
                <w:rFonts w:cs="Calibri"/>
                <w:color w:val="000000"/>
                <w:sz w:val="22"/>
                <w:szCs w:val="22"/>
              </w:rPr>
              <w:t> </w:t>
            </w:r>
          </w:p>
        </w:tc>
        <w:tc>
          <w:tcPr>
            <w:tcW w:w="1829" w:type="dxa"/>
            <w:gridSpan w:val="3"/>
            <w:tcBorders>
              <w:top w:val="nil"/>
              <w:left w:val="nil"/>
              <w:bottom w:val="single" w:sz="4" w:space="0" w:color="auto"/>
              <w:right w:val="nil"/>
            </w:tcBorders>
            <w:shd w:val="clear" w:color="auto" w:fill="auto"/>
            <w:noWrap/>
            <w:vAlign w:val="bottom"/>
            <w:hideMark/>
          </w:tcPr>
          <w:p w14:paraId="7BA46266" w14:textId="77777777" w:rsidR="00BF7076" w:rsidRPr="00BF7076" w:rsidRDefault="00BF7076" w:rsidP="00BF7076">
            <w:pPr>
              <w:spacing w:after="0" w:line="240" w:lineRule="auto"/>
              <w:jc w:val="center"/>
              <w:rPr>
                <w:rFonts w:cs="Calibri"/>
                <w:color w:val="000000"/>
                <w:sz w:val="22"/>
                <w:szCs w:val="22"/>
              </w:rPr>
            </w:pPr>
            <w:r w:rsidRPr="00BF7076">
              <w:rPr>
                <w:rFonts w:cs="Calibri"/>
                <w:color w:val="000000"/>
                <w:sz w:val="22"/>
                <w:szCs w:val="22"/>
              </w:rPr>
              <w:t> </w:t>
            </w:r>
          </w:p>
        </w:tc>
        <w:tc>
          <w:tcPr>
            <w:tcW w:w="540" w:type="dxa"/>
            <w:gridSpan w:val="2"/>
            <w:tcBorders>
              <w:top w:val="nil"/>
              <w:left w:val="nil"/>
              <w:bottom w:val="single" w:sz="4" w:space="0" w:color="auto"/>
              <w:right w:val="nil"/>
            </w:tcBorders>
            <w:shd w:val="clear" w:color="auto" w:fill="auto"/>
            <w:noWrap/>
            <w:vAlign w:val="bottom"/>
            <w:hideMark/>
          </w:tcPr>
          <w:p w14:paraId="6C5FD6E4" w14:textId="77777777" w:rsidR="00BF7076" w:rsidRPr="00BF7076" w:rsidRDefault="00BF7076" w:rsidP="00BF7076">
            <w:pPr>
              <w:spacing w:after="0" w:line="240" w:lineRule="auto"/>
              <w:jc w:val="center"/>
              <w:rPr>
                <w:rFonts w:cs="Calibri"/>
                <w:color w:val="000000"/>
                <w:sz w:val="22"/>
                <w:szCs w:val="22"/>
              </w:rPr>
            </w:pPr>
            <w:r w:rsidRPr="00BF7076">
              <w:rPr>
                <w:rFonts w:cs="Calibri"/>
                <w:color w:val="000000"/>
                <w:sz w:val="22"/>
                <w:szCs w:val="22"/>
              </w:rPr>
              <w:t> </w:t>
            </w:r>
          </w:p>
        </w:tc>
        <w:tc>
          <w:tcPr>
            <w:tcW w:w="1316" w:type="dxa"/>
            <w:gridSpan w:val="3"/>
            <w:tcBorders>
              <w:top w:val="nil"/>
              <w:left w:val="nil"/>
              <w:bottom w:val="nil"/>
              <w:right w:val="nil"/>
            </w:tcBorders>
            <w:shd w:val="clear" w:color="auto" w:fill="auto"/>
            <w:noWrap/>
            <w:vAlign w:val="bottom"/>
            <w:hideMark/>
          </w:tcPr>
          <w:p w14:paraId="33C3E223" w14:textId="77777777" w:rsidR="00BF7076" w:rsidRPr="00BF7076" w:rsidRDefault="00BF7076" w:rsidP="00BF7076">
            <w:pPr>
              <w:spacing w:after="0" w:line="240" w:lineRule="auto"/>
              <w:jc w:val="center"/>
              <w:rPr>
                <w:rFonts w:cs="Calibri"/>
                <w:color w:val="000000"/>
                <w:sz w:val="22"/>
                <w:szCs w:val="22"/>
              </w:rPr>
            </w:pPr>
          </w:p>
        </w:tc>
        <w:tc>
          <w:tcPr>
            <w:tcW w:w="284" w:type="dxa"/>
            <w:gridSpan w:val="2"/>
            <w:tcBorders>
              <w:top w:val="nil"/>
              <w:left w:val="nil"/>
              <w:bottom w:val="nil"/>
              <w:right w:val="nil"/>
            </w:tcBorders>
            <w:shd w:val="clear" w:color="auto" w:fill="auto"/>
            <w:noWrap/>
            <w:vAlign w:val="bottom"/>
            <w:hideMark/>
          </w:tcPr>
          <w:p w14:paraId="7CC7358C" w14:textId="77777777" w:rsidR="00BF7076" w:rsidRPr="00BF7076" w:rsidRDefault="00BF7076" w:rsidP="00BF7076">
            <w:pPr>
              <w:spacing w:after="0" w:line="240" w:lineRule="auto"/>
              <w:rPr>
                <w:rFonts w:ascii="Times New Roman" w:hAnsi="Times New Roman"/>
                <w:sz w:val="20"/>
                <w:szCs w:val="20"/>
              </w:rPr>
            </w:pPr>
          </w:p>
        </w:tc>
        <w:tc>
          <w:tcPr>
            <w:tcW w:w="526" w:type="dxa"/>
            <w:tcBorders>
              <w:top w:val="nil"/>
              <w:left w:val="nil"/>
              <w:bottom w:val="nil"/>
              <w:right w:val="nil"/>
            </w:tcBorders>
            <w:shd w:val="clear" w:color="auto" w:fill="auto"/>
            <w:noWrap/>
            <w:vAlign w:val="bottom"/>
            <w:hideMark/>
          </w:tcPr>
          <w:p w14:paraId="015E3E17" w14:textId="77777777" w:rsidR="00BF7076" w:rsidRPr="00BF7076" w:rsidRDefault="00BF7076" w:rsidP="00BF7076">
            <w:pPr>
              <w:spacing w:after="0" w:line="240" w:lineRule="auto"/>
              <w:jc w:val="center"/>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1780A025" w14:textId="77777777" w:rsidR="00BF7076" w:rsidRPr="00BF7076" w:rsidRDefault="00BF7076" w:rsidP="00BF7076">
            <w:pPr>
              <w:spacing w:after="0" w:line="240" w:lineRule="auto"/>
              <w:rPr>
                <w:rFonts w:ascii="Times New Roman" w:hAnsi="Times New Roman"/>
                <w:sz w:val="20"/>
                <w:szCs w:val="20"/>
              </w:rPr>
            </w:pPr>
          </w:p>
        </w:tc>
        <w:tc>
          <w:tcPr>
            <w:tcW w:w="1146" w:type="dxa"/>
            <w:tcBorders>
              <w:top w:val="nil"/>
              <w:left w:val="nil"/>
              <w:bottom w:val="nil"/>
              <w:right w:val="nil"/>
            </w:tcBorders>
            <w:shd w:val="clear" w:color="auto" w:fill="auto"/>
            <w:noWrap/>
            <w:vAlign w:val="bottom"/>
            <w:hideMark/>
          </w:tcPr>
          <w:p w14:paraId="3C8C703A"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72BA3CAB"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6DB65B50" w14:textId="77777777" w:rsidR="00BF7076" w:rsidRPr="00BF7076" w:rsidRDefault="00BF7076" w:rsidP="00BF7076">
            <w:pPr>
              <w:spacing w:after="0" w:line="240" w:lineRule="auto"/>
              <w:rPr>
                <w:rFonts w:ascii="Times New Roman" w:hAnsi="Times New Roman"/>
                <w:sz w:val="20"/>
                <w:szCs w:val="20"/>
              </w:rPr>
            </w:pPr>
          </w:p>
        </w:tc>
      </w:tr>
      <w:tr w:rsidR="00BF7076" w:rsidRPr="00BF7076" w14:paraId="3336DD01" w14:textId="77777777" w:rsidTr="00DB4F40">
        <w:trPr>
          <w:gridAfter w:val="1"/>
          <w:wAfter w:w="178" w:type="dxa"/>
          <w:trHeight w:val="510"/>
        </w:trPr>
        <w:tc>
          <w:tcPr>
            <w:tcW w:w="1294" w:type="dxa"/>
            <w:gridSpan w:val="2"/>
            <w:tcBorders>
              <w:top w:val="nil"/>
              <w:left w:val="nil"/>
              <w:bottom w:val="nil"/>
              <w:right w:val="nil"/>
            </w:tcBorders>
            <w:shd w:val="clear" w:color="auto" w:fill="auto"/>
            <w:noWrap/>
            <w:vAlign w:val="bottom"/>
            <w:hideMark/>
          </w:tcPr>
          <w:p w14:paraId="5085FBEF" w14:textId="77777777" w:rsidR="00BF7076" w:rsidRPr="00BF7076" w:rsidRDefault="00BF7076" w:rsidP="00BF7076">
            <w:pPr>
              <w:spacing w:after="0" w:line="240" w:lineRule="auto"/>
              <w:rPr>
                <w:rFonts w:cs="Calibri"/>
                <w:color w:val="000000"/>
                <w:sz w:val="22"/>
                <w:szCs w:val="22"/>
              </w:rPr>
            </w:pPr>
            <w:r w:rsidRPr="00BF7076">
              <w:rPr>
                <w:rFonts w:cs="Calibri"/>
                <w:color w:val="000000"/>
                <w:sz w:val="22"/>
                <w:szCs w:val="22"/>
              </w:rPr>
              <w:t>FECHA</w:t>
            </w:r>
          </w:p>
        </w:tc>
        <w:tc>
          <w:tcPr>
            <w:tcW w:w="2534" w:type="dxa"/>
            <w:tcBorders>
              <w:top w:val="nil"/>
              <w:left w:val="nil"/>
              <w:bottom w:val="single" w:sz="4" w:space="0" w:color="auto"/>
              <w:right w:val="nil"/>
            </w:tcBorders>
            <w:shd w:val="clear" w:color="auto" w:fill="auto"/>
            <w:noWrap/>
            <w:vAlign w:val="bottom"/>
            <w:hideMark/>
          </w:tcPr>
          <w:p w14:paraId="3F1EF310" w14:textId="77777777" w:rsidR="00BF7076" w:rsidRPr="00BF7076" w:rsidRDefault="00BF7076" w:rsidP="00BF7076">
            <w:pPr>
              <w:spacing w:after="0" w:line="240" w:lineRule="auto"/>
              <w:rPr>
                <w:rFonts w:cs="Calibri"/>
                <w:color w:val="000000"/>
                <w:sz w:val="22"/>
                <w:szCs w:val="22"/>
              </w:rPr>
            </w:pPr>
            <w:r w:rsidRPr="00BF7076">
              <w:rPr>
                <w:rFonts w:cs="Calibri"/>
                <w:color w:val="000000"/>
                <w:sz w:val="22"/>
                <w:szCs w:val="22"/>
              </w:rPr>
              <w:t> </w:t>
            </w:r>
          </w:p>
        </w:tc>
        <w:tc>
          <w:tcPr>
            <w:tcW w:w="1829" w:type="dxa"/>
            <w:gridSpan w:val="3"/>
            <w:tcBorders>
              <w:top w:val="nil"/>
              <w:left w:val="nil"/>
              <w:bottom w:val="single" w:sz="4" w:space="0" w:color="auto"/>
              <w:right w:val="nil"/>
            </w:tcBorders>
            <w:shd w:val="clear" w:color="auto" w:fill="auto"/>
            <w:noWrap/>
            <w:vAlign w:val="bottom"/>
            <w:hideMark/>
          </w:tcPr>
          <w:p w14:paraId="215F9497" w14:textId="77777777" w:rsidR="00BF7076" w:rsidRPr="00BF7076" w:rsidRDefault="00BF7076" w:rsidP="00BF7076">
            <w:pPr>
              <w:spacing w:after="0" w:line="240" w:lineRule="auto"/>
              <w:jc w:val="center"/>
              <w:rPr>
                <w:rFonts w:cs="Calibri"/>
                <w:color w:val="000000"/>
                <w:sz w:val="22"/>
                <w:szCs w:val="22"/>
              </w:rPr>
            </w:pPr>
            <w:r w:rsidRPr="00BF7076">
              <w:rPr>
                <w:rFonts w:cs="Calibri"/>
                <w:color w:val="000000"/>
                <w:sz w:val="22"/>
                <w:szCs w:val="22"/>
              </w:rPr>
              <w:t> </w:t>
            </w:r>
          </w:p>
        </w:tc>
        <w:tc>
          <w:tcPr>
            <w:tcW w:w="540" w:type="dxa"/>
            <w:gridSpan w:val="2"/>
            <w:tcBorders>
              <w:top w:val="nil"/>
              <w:left w:val="nil"/>
              <w:bottom w:val="single" w:sz="4" w:space="0" w:color="auto"/>
              <w:right w:val="nil"/>
            </w:tcBorders>
            <w:shd w:val="clear" w:color="auto" w:fill="auto"/>
            <w:noWrap/>
            <w:vAlign w:val="bottom"/>
            <w:hideMark/>
          </w:tcPr>
          <w:p w14:paraId="6AD42E48" w14:textId="77777777" w:rsidR="00BF7076" w:rsidRPr="00BF7076" w:rsidRDefault="00BF7076" w:rsidP="00BF7076">
            <w:pPr>
              <w:spacing w:after="0" w:line="240" w:lineRule="auto"/>
              <w:jc w:val="center"/>
              <w:rPr>
                <w:rFonts w:cs="Calibri"/>
                <w:color w:val="000000"/>
                <w:sz w:val="22"/>
                <w:szCs w:val="22"/>
              </w:rPr>
            </w:pPr>
            <w:r w:rsidRPr="00BF7076">
              <w:rPr>
                <w:rFonts w:cs="Calibri"/>
                <w:color w:val="000000"/>
                <w:sz w:val="22"/>
                <w:szCs w:val="22"/>
              </w:rPr>
              <w:t> </w:t>
            </w:r>
          </w:p>
        </w:tc>
        <w:tc>
          <w:tcPr>
            <w:tcW w:w="1316" w:type="dxa"/>
            <w:gridSpan w:val="3"/>
            <w:tcBorders>
              <w:top w:val="nil"/>
              <w:left w:val="nil"/>
              <w:bottom w:val="nil"/>
              <w:right w:val="nil"/>
            </w:tcBorders>
            <w:shd w:val="clear" w:color="auto" w:fill="auto"/>
            <w:noWrap/>
            <w:vAlign w:val="bottom"/>
            <w:hideMark/>
          </w:tcPr>
          <w:p w14:paraId="690080A8" w14:textId="77777777" w:rsidR="00BF7076" w:rsidRPr="00BF7076" w:rsidRDefault="00BF7076" w:rsidP="00BF7076">
            <w:pPr>
              <w:spacing w:after="0" w:line="240" w:lineRule="auto"/>
              <w:jc w:val="center"/>
              <w:rPr>
                <w:rFonts w:cs="Calibri"/>
                <w:color w:val="000000"/>
                <w:sz w:val="22"/>
                <w:szCs w:val="22"/>
              </w:rPr>
            </w:pPr>
          </w:p>
        </w:tc>
        <w:tc>
          <w:tcPr>
            <w:tcW w:w="284" w:type="dxa"/>
            <w:gridSpan w:val="2"/>
            <w:tcBorders>
              <w:top w:val="nil"/>
              <w:left w:val="nil"/>
              <w:bottom w:val="nil"/>
              <w:right w:val="nil"/>
            </w:tcBorders>
            <w:shd w:val="clear" w:color="auto" w:fill="auto"/>
            <w:noWrap/>
            <w:vAlign w:val="bottom"/>
            <w:hideMark/>
          </w:tcPr>
          <w:p w14:paraId="53549AA7" w14:textId="77777777" w:rsidR="00BF7076" w:rsidRPr="00BF7076" w:rsidRDefault="00BF7076" w:rsidP="00BF7076">
            <w:pPr>
              <w:spacing w:after="0" w:line="240" w:lineRule="auto"/>
              <w:rPr>
                <w:rFonts w:ascii="Times New Roman" w:hAnsi="Times New Roman"/>
                <w:sz w:val="20"/>
                <w:szCs w:val="20"/>
              </w:rPr>
            </w:pPr>
          </w:p>
        </w:tc>
        <w:tc>
          <w:tcPr>
            <w:tcW w:w="526" w:type="dxa"/>
            <w:tcBorders>
              <w:top w:val="nil"/>
              <w:left w:val="nil"/>
              <w:bottom w:val="nil"/>
              <w:right w:val="nil"/>
            </w:tcBorders>
            <w:shd w:val="clear" w:color="auto" w:fill="auto"/>
            <w:noWrap/>
            <w:vAlign w:val="bottom"/>
            <w:hideMark/>
          </w:tcPr>
          <w:p w14:paraId="6FBDC88A" w14:textId="77777777" w:rsidR="00BF7076" w:rsidRPr="00BF7076" w:rsidRDefault="00BF7076" w:rsidP="00BF7076">
            <w:pPr>
              <w:spacing w:after="0" w:line="240" w:lineRule="auto"/>
              <w:jc w:val="center"/>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5EC34819" w14:textId="77777777" w:rsidR="00BF7076" w:rsidRPr="00BF7076" w:rsidRDefault="00BF7076" w:rsidP="00BF7076">
            <w:pPr>
              <w:spacing w:after="0" w:line="240" w:lineRule="auto"/>
              <w:rPr>
                <w:rFonts w:ascii="Times New Roman" w:hAnsi="Times New Roman"/>
                <w:sz w:val="20"/>
                <w:szCs w:val="20"/>
              </w:rPr>
            </w:pPr>
          </w:p>
        </w:tc>
        <w:tc>
          <w:tcPr>
            <w:tcW w:w="1146" w:type="dxa"/>
            <w:tcBorders>
              <w:top w:val="nil"/>
              <w:left w:val="nil"/>
              <w:bottom w:val="nil"/>
              <w:right w:val="nil"/>
            </w:tcBorders>
            <w:shd w:val="clear" w:color="auto" w:fill="auto"/>
            <w:noWrap/>
            <w:vAlign w:val="bottom"/>
            <w:hideMark/>
          </w:tcPr>
          <w:p w14:paraId="04B1CB91"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33DB1D0B"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77F5FEA4" w14:textId="77777777" w:rsidR="00BF7076" w:rsidRPr="00BF7076" w:rsidRDefault="00BF7076" w:rsidP="00BF7076">
            <w:pPr>
              <w:spacing w:after="0" w:line="240" w:lineRule="auto"/>
              <w:rPr>
                <w:rFonts w:ascii="Times New Roman" w:hAnsi="Times New Roman"/>
                <w:sz w:val="20"/>
                <w:szCs w:val="20"/>
              </w:rPr>
            </w:pPr>
          </w:p>
        </w:tc>
      </w:tr>
      <w:tr w:rsidR="00BF7076" w:rsidRPr="00BF7076" w14:paraId="2865FE32" w14:textId="77777777" w:rsidTr="00DB4F40">
        <w:trPr>
          <w:gridAfter w:val="1"/>
          <w:wAfter w:w="178" w:type="dxa"/>
          <w:trHeight w:val="300"/>
        </w:trPr>
        <w:tc>
          <w:tcPr>
            <w:tcW w:w="343" w:type="dxa"/>
            <w:tcBorders>
              <w:top w:val="nil"/>
              <w:left w:val="nil"/>
              <w:bottom w:val="nil"/>
              <w:right w:val="nil"/>
            </w:tcBorders>
            <w:shd w:val="clear" w:color="auto" w:fill="auto"/>
            <w:noWrap/>
            <w:vAlign w:val="bottom"/>
            <w:hideMark/>
          </w:tcPr>
          <w:p w14:paraId="5AC939EA" w14:textId="77777777" w:rsidR="00BF7076" w:rsidRPr="00BF7076" w:rsidRDefault="00BF7076" w:rsidP="00BF7076">
            <w:pPr>
              <w:spacing w:after="0" w:line="240" w:lineRule="auto"/>
              <w:rPr>
                <w:rFonts w:ascii="Times New Roman" w:hAnsi="Times New Roman"/>
                <w:sz w:val="20"/>
                <w:szCs w:val="20"/>
              </w:rPr>
            </w:pPr>
          </w:p>
        </w:tc>
        <w:tc>
          <w:tcPr>
            <w:tcW w:w="951" w:type="dxa"/>
            <w:tcBorders>
              <w:top w:val="nil"/>
              <w:left w:val="nil"/>
              <w:bottom w:val="nil"/>
              <w:right w:val="nil"/>
            </w:tcBorders>
            <w:shd w:val="clear" w:color="auto" w:fill="auto"/>
            <w:noWrap/>
            <w:vAlign w:val="bottom"/>
            <w:hideMark/>
          </w:tcPr>
          <w:p w14:paraId="74BFBBF1" w14:textId="77777777" w:rsidR="00BF7076" w:rsidRPr="00BF7076" w:rsidRDefault="00BF7076" w:rsidP="00BF7076">
            <w:pPr>
              <w:spacing w:after="0" w:line="240" w:lineRule="auto"/>
              <w:rPr>
                <w:rFonts w:ascii="Times New Roman" w:hAnsi="Times New Roman"/>
                <w:sz w:val="20"/>
                <w:szCs w:val="20"/>
              </w:rPr>
            </w:pPr>
          </w:p>
        </w:tc>
        <w:tc>
          <w:tcPr>
            <w:tcW w:w="2534" w:type="dxa"/>
            <w:tcBorders>
              <w:top w:val="nil"/>
              <w:left w:val="nil"/>
              <w:bottom w:val="nil"/>
              <w:right w:val="nil"/>
            </w:tcBorders>
            <w:shd w:val="clear" w:color="auto" w:fill="auto"/>
            <w:noWrap/>
            <w:vAlign w:val="bottom"/>
            <w:hideMark/>
          </w:tcPr>
          <w:p w14:paraId="7A9A0901" w14:textId="77777777" w:rsidR="00BF7076" w:rsidRPr="00BF7076" w:rsidRDefault="00BF7076" w:rsidP="00BF7076">
            <w:pPr>
              <w:spacing w:after="0" w:line="240" w:lineRule="auto"/>
              <w:rPr>
                <w:rFonts w:ascii="Times New Roman" w:hAnsi="Times New Roman"/>
                <w:sz w:val="20"/>
                <w:szCs w:val="20"/>
              </w:rPr>
            </w:pPr>
          </w:p>
        </w:tc>
        <w:tc>
          <w:tcPr>
            <w:tcW w:w="1829" w:type="dxa"/>
            <w:gridSpan w:val="3"/>
            <w:tcBorders>
              <w:top w:val="nil"/>
              <w:left w:val="nil"/>
              <w:bottom w:val="nil"/>
              <w:right w:val="nil"/>
            </w:tcBorders>
            <w:shd w:val="clear" w:color="auto" w:fill="auto"/>
            <w:noWrap/>
            <w:vAlign w:val="bottom"/>
            <w:hideMark/>
          </w:tcPr>
          <w:p w14:paraId="02586055" w14:textId="77777777" w:rsidR="00BF7076" w:rsidRPr="00BF7076" w:rsidRDefault="00BF7076" w:rsidP="00BF7076">
            <w:pPr>
              <w:spacing w:after="0" w:line="240" w:lineRule="auto"/>
              <w:rPr>
                <w:rFonts w:ascii="Times New Roman" w:hAnsi="Times New Roman"/>
                <w:sz w:val="20"/>
                <w:szCs w:val="20"/>
              </w:rPr>
            </w:pPr>
          </w:p>
        </w:tc>
        <w:tc>
          <w:tcPr>
            <w:tcW w:w="540" w:type="dxa"/>
            <w:gridSpan w:val="2"/>
            <w:tcBorders>
              <w:top w:val="nil"/>
              <w:left w:val="nil"/>
              <w:bottom w:val="nil"/>
              <w:right w:val="nil"/>
            </w:tcBorders>
            <w:shd w:val="clear" w:color="auto" w:fill="auto"/>
            <w:noWrap/>
            <w:vAlign w:val="bottom"/>
            <w:hideMark/>
          </w:tcPr>
          <w:p w14:paraId="13743ED3" w14:textId="77777777" w:rsidR="00BF7076" w:rsidRPr="00BF7076" w:rsidRDefault="00BF7076" w:rsidP="00BF7076">
            <w:pPr>
              <w:spacing w:after="0" w:line="240" w:lineRule="auto"/>
              <w:jc w:val="center"/>
              <w:rPr>
                <w:rFonts w:ascii="Times New Roman" w:hAnsi="Times New Roman"/>
                <w:sz w:val="20"/>
                <w:szCs w:val="20"/>
              </w:rPr>
            </w:pPr>
          </w:p>
        </w:tc>
        <w:tc>
          <w:tcPr>
            <w:tcW w:w="1316" w:type="dxa"/>
            <w:gridSpan w:val="3"/>
            <w:tcBorders>
              <w:top w:val="nil"/>
              <w:left w:val="nil"/>
              <w:bottom w:val="nil"/>
              <w:right w:val="nil"/>
            </w:tcBorders>
            <w:shd w:val="clear" w:color="auto" w:fill="auto"/>
            <w:noWrap/>
            <w:vAlign w:val="bottom"/>
            <w:hideMark/>
          </w:tcPr>
          <w:p w14:paraId="6D9AE2FE" w14:textId="77777777" w:rsidR="00BF7076" w:rsidRPr="00BF7076" w:rsidRDefault="00BF7076" w:rsidP="00BF7076">
            <w:pPr>
              <w:spacing w:after="0" w:line="240" w:lineRule="auto"/>
              <w:jc w:val="center"/>
              <w:rPr>
                <w:rFonts w:ascii="Times New Roman" w:hAnsi="Times New Roman"/>
                <w:sz w:val="20"/>
                <w:szCs w:val="20"/>
              </w:rPr>
            </w:pPr>
          </w:p>
        </w:tc>
        <w:tc>
          <w:tcPr>
            <w:tcW w:w="284" w:type="dxa"/>
            <w:gridSpan w:val="2"/>
            <w:tcBorders>
              <w:top w:val="nil"/>
              <w:left w:val="nil"/>
              <w:bottom w:val="nil"/>
              <w:right w:val="nil"/>
            </w:tcBorders>
            <w:shd w:val="clear" w:color="auto" w:fill="auto"/>
            <w:noWrap/>
            <w:vAlign w:val="bottom"/>
            <w:hideMark/>
          </w:tcPr>
          <w:p w14:paraId="6A031FE9" w14:textId="77777777" w:rsidR="00BF7076" w:rsidRPr="00BF7076" w:rsidRDefault="00BF7076" w:rsidP="00BF7076">
            <w:pPr>
              <w:spacing w:after="0" w:line="240" w:lineRule="auto"/>
              <w:rPr>
                <w:rFonts w:ascii="Times New Roman" w:hAnsi="Times New Roman"/>
                <w:sz w:val="20"/>
                <w:szCs w:val="20"/>
              </w:rPr>
            </w:pPr>
          </w:p>
        </w:tc>
        <w:tc>
          <w:tcPr>
            <w:tcW w:w="526" w:type="dxa"/>
            <w:tcBorders>
              <w:top w:val="nil"/>
              <w:left w:val="nil"/>
              <w:bottom w:val="nil"/>
              <w:right w:val="nil"/>
            </w:tcBorders>
            <w:shd w:val="clear" w:color="auto" w:fill="auto"/>
            <w:noWrap/>
            <w:vAlign w:val="bottom"/>
            <w:hideMark/>
          </w:tcPr>
          <w:p w14:paraId="14EC0E61" w14:textId="77777777" w:rsidR="00BF7076" w:rsidRPr="00BF7076" w:rsidRDefault="00BF7076" w:rsidP="00BF7076">
            <w:pPr>
              <w:spacing w:after="0" w:line="240" w:lineRule="auto"/>
              <w:jc w:val="center"/>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3EF065D2" w14:textId="77777777" w:rsidR="00BF7076" w:rsidRPr="00BF7076" w:rsidRDefault="00BF7076" w:rsidP="00BF7076">
            <w:pPr>
              <w:spacing w:after="0" w:line="240" w:lineRule="auto"/>
              <w:rPr>
                <w:rFonts w:ascii="Times New Roman" w:hAnsi="Times New Roman"/>
                <w:sz w:val="20"/>
                <w:szCs w:val="20"/>
              </w:rPr>
            </w:pPr>
          </w:p>
        </w:tc>
        <w:tc>
          <w:tcPr>
            <w:tcW w:w="1146" w:type="dxa"/>
            <w:tcBorders>
              <w:top w:val="nil"/>
              <w:left w:val="nil"/>
              <w:bottom w:val="nil"/>
              <w:right w:val="nil"/>
            </w:tcBorders>
            <w:shd w:val="clear" w:color="auto" w:fill="auto"/>
            <w:noWrap/>
            <w:vAlign w:val="bottom"/>
            <w:hideMark/>
          </w:tcPr>
          <w:p w14:paraId="277F072D"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4F4313AD"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5B56B4E1" w14:textId="77777777" w:rsidR="00BF7076" w:rsidRPr="00BF7076" w:rsidRDefault="00BF7076" w:rsidP="00BF7076">
            <w:pPr>
              <w:spacing w:after="0" w:line="240" w:lineRule="auto"/>
              <w:rPr>
                <w:rFonts w:ascii="Times New Roman" w:hAnsi="Times New Roman"/>
                <w:sz w:val="20"/>
                <w:szCs w:val="20"/>
              </w:rPr>
            </w:pPr>
          </w:p>
        </w:tc>
      </w:tr>
    </w:tbl>
    <w:p w14:paraId="6BD59190" w14:textId="77777777" w:rsidR="00CB01C8" w:rsidRDefault="00CB01C8" w:rsidP="005E47E4">
      <w:pPr>
        <w:widowControl w:val="0"/>
        <w:autoSpaceDE w:val="0"/>
        <w:autoSpaceDN w:val="0"/>
        <w:adjustRightInd w:val="0"/>
        <w:jc w:val="both"/>
        <w:rPr>
          <w:rFonts w:ascii="Arial" w:hAnsi="Arial" w:cs="Arial"/>
          <w:sz w:val="22"/>
          <w:szCs w:val="22"/>
        </w:rPr>
      </w:pPr>
    </w:p>
    <w:p w14:paraId="19140C0C" w14:textId="77777777" w:rsidR="009D0CA2" w:rsidRDefault="009D0CA2" w:rsidP="005E47E4">
      <w:pPr>
        <w:widowControl w:val="0"/>
        <w:autoSpaceDE w:val="0"/>
        <w:autoSpaceDN w:val="0"/>
        <w:adjustRightInd w:val="0"/>
        <w:jc w:val="both"/>
        <w:rPr>
          <w:rFonts w:ascii="Arial" w:hAnsi="Arial" w:cs="Arial"/>
          <w:sz w:val="22"/>
          <w:szCs w:val="22"/>
        </w:rPr>
      </w:pPr>
    </w:p>
    <w:p w14:paraId="311EDC49" w14:textId="77777777" w:rsidR="009D0CA2" w:rsidRDefault="009D0CA2" w:rsidP="005E47E4">
      <w:pPr>
        <w:widowControl w:val="0"/>
        <w:autoSpaceDE w:val="0"/>
        <w:autoSpaceDN w:val="0"/>
        <w:adjustRightInd w:val="0"/>
        <w:jc w:val="both"/>
        <w:rPr>
          <w:rFonts w:ascii="Arial" w:hAnsi="Arial" w:cs="Arial"/>
          <w:sz w:val="22"/>
          <w:szCs w:val="22"/>
        </w:rPr>
      </w:pPr>
    </w:p>
    <w:p w14:paraId="07F5B1A4" w14:textId="77777777" w:rsidR="009D0CA2" w:rsidRDefault="009D0CA2" w:rsidP="005E47E4">
      <w:pPr>
        <w:widowControl w:val="0"/>
        <w:autoSpaceDE w:val="0"/>
        <w:autoSpaceDN w:val="0"/>
        <w:adjustRightInd w:val="0"/>
        <w:jc w:val="both"/>
        <w:rPr>
          <w:rFonts w:ascii="Arial" w:hAnsi="Arial" w:cs="Arial"/>
          <w:sz w:val="22"/>
          <w:szCs w:val="22"/>
        </w:rPr>
      </w:pPr>
    </w:p>
    <w:tbl>
      <w:tblPr>
        <w:tblW w:w="11162" w:type="dxa"/>
        <w:tblCellMar>
          <w:left w:w="70" w:type="dxa"/>
          <w:right w:w="70" w:type="dxa"/>
        </w:tblCellMar>
        <w:tblLook w:val="04A0" w:firstRow="1" w:lastRow="0" w:firstColumn="1" w:lastColumn="0" w:noHBand="0" w:noVBand="1"/>
      </w:tblPr>
      <w:tblGrid>
        <w:gridCol w:w="303"/>
        <w:gridCol w:w="923"/>
        <w:gridCol w:w="169"/>
        <w:gridCol w:w="1866"/>
        <w:gridCol w:w="406"/>
        <w:gridCol w:w="534"/>
        <w:gridCol w:w="1025"/>
        <w:gridCol w:w="254"/>
        <w:gridCol w:w="198"/>
        <w:gridCol w:w="198"/>
        <w:gridCol w:w="271"/>
        <w:gridCol w:w="484"/>
        <w:gridCol w:w="188"/>
        <w:gridCol w:w="180"/>
        <w:gridCol w:w="160"/>
        <w:gridCol w:w="1146"/>
        <w:gridCol w:w="204"/>
        <w:gridCol w:w="544"/>
        <w:gridCol w:w="150"/>
        <w:gridCol w:w="79"/>
        <w:gridCol w:w="1720"/>
        <w:gridCol w:w="160"/>
      </w:tblGrid>
      <w:tr w:rsidR="00A03855" w:rsidRPr="00BF7076" w14:paraId="76D7EB23" w14:textId="77777777" w:rsidTr="009D0CA2">
        <w:trPr>
          <w:trHeight w:val="330"/>
        </w:trPr>
        <w:tc>
          <w:tcPr>
            <w:tcW w:w="5480" w:type="dxa"/>
            <w:gridSpan w:val="8"/>
            <w:tcBorders>
              <w:top w:val="nil"/>
              <w:left w:val="nil"/>
              <w:bottom w:val="nil"/>
              <w:right w:val="nil"/>
            </w:tcBorders>
            <w:shd w:val="clear" w:color="auto" w:fill="auto"/>
            <w:noWrap/>
            <w:vAlign w:val="bottom"/>
            <w:hideMark/>
          </w:tcPr>
          <w:p w14:paraId="7B3E3380" w14:textId="77777777" w:rsidR="00BF7076" w:rsidRPr="00A03855" w:rsidRDefault="00BF7076" w:rsidP="00BF7076">
            <w:pPr>
              <w:spacing w:after="0" w:line="240" w:lineRule="auto"/>
              <w:rPr>
                <w:rFonts w:cs="Calibri"/>
                <w:b/>
                <w:bCs/>
                <w:color w:val="000000"/>
                <w:sz w:val="20"/>
                <w:szCs w:val="20"/>
              </w:rPr>
            </w:pPr>
            <w:r w:rsidRPr="00A03855">
              <w:rPr>
                <w:rFonts w:cs="Calibri"/>
                <w:b/>
                <w:bCs/>
                <w:color w:val="000000"/>
                <w:sz w:val="20"/>
                <w:szCs w:val="20"/>
              </w:rPr>
              <w:lastRenderedPageBreak/>
              <w:t>CUARTA TUTORIA VIERNES 13 DE NOVIEMBRE</w:t>
            </w:r>
          </w:p>
        </w:tc>
        <w:tc>
          <w:tcPr>
            <w:tcW w:w="198" w:type="dxa"/>
            <w:tcBorders>
              <w:top w:val="nil"/>
              <w:left w:val="nil"/>
              <w:bottom w:val="nil"/>
              <w:right w:val="nil"/>
            </w:tcBorders>
            <w:shd w:val="clear" w:color="auto" w:fill="auto"/>
            <w:noWrap/>
            <w:vAlign w:val="bottom"/>
            <w:hideMark/>
          </w:tcPr>
          <w:p w14:paraId="1C4AAED0" w14:textId="77777777" w:rsidR="00BF7076" w:rsidRPr="00BF7076" w:rsidRDefault="00BF7076" w:rsidP="00BF7076">
            <w:pPr>
              <w:spacing w:after="0" w:line="240" w:lineRule="auto"/>
              <w:rPr>
                <w:rFonts w:cs="Calibri"/>
                <w:b/>
                <w:bCs/>
                <w:color w:val="000000"/>
                <w:sz w:val="24"/>
                <w:szCs w:val="24"/>
              </w:rPr>
            </w:pPr>
          </w:p>
        </w:tc>
        <w:tc>
          <w:tcPr>
            <w:tcW w:w="198" w:type="dxa"/>
            <w:tcBorders>
              <w:top w:val="nil"/>
              <w:left w:val="nil"/>
              <w:bottom w:val="nil"/>
              <w:right w:val="nil"/>
            </w:tcBorders>
            <w:shd w:val="clear" w:color="auto" w:fill="auto"/>
            <w:noWrap/>
            <w:vAlign w:val="bottom"/>
            <w:hideMark/>
          </w:tcPr>
          <w:p w14:paraId="78211808" w14:textId="77777777" w:rsidR="00BF7076" w:rsidRPr="00A03855" w:rsidRDefault="00BF7076" w:rsidP="00BF7076">
            <w:pPr>
              <w:spacing w:after="0" w:line="240" w:lineRule="auto"/>
              <w:rPr>
                <w:rFonts w:ascii="Times New Roman" w:hAnsi="Times New Roman"/>
                <w:sz w:val="20"/>
                <w:szCs w:val="20"/>
              </w:rPr>
            </w:pPr>
          </w:p>
        </w:tc>
        <w:tc>
          <w:tcPr>
            <w:tcW w:w="2633" w:type="dxa"/>
            <w:gridSpan w:val="7"/>
            <w:tcBorders>
              <w:top w:val="nil"/>
              <w:left w:val="nil"/>
              <w:bottom w:val="nil"/>
              <w:right w:val="nil"/>
            </w:tcBorders>
            <w:shd w:val="clear" w:color="auto" w:fill="auto"/>
            <w:noWrap/>
            <w:vAlign w:val="bottom"/>
            <w:hideMark/>
          </w:tcPr>
          <w:p w14:paraId="28A3ED22" w14:textId="77777777" w:rsidR="00BF7076" w:rsidRPr="00A03855" w:rsidRDefault="00BF7076" w:rsidP="00BF7076">
            <w:pPr>
              <w:spacing w:after="0" w:line="240" w:lineRule="auto"/>
              <w:rPr>
                <w:rFonts w:cs="Calibri"/>
                <w:b/>
                <w:bCs/>
                <w:color w:val="000000"/>
                <w:sz w:val="20"/>
                <w:szCs w:val="20"/>
              </w:rPr>
            </w:pPr>
            <w:r w:rsidRPr="00A03855">
              <w:rPr>
                <w:rFonts w:cs="Calibri"/>
                <w:b/>
                <w:bCs/>
                <w:color w:val="000000"/>
                <w:sz w:val="20"/>
                <w:szCs w:val="20"/>
              </w:rPr>
              <w:t>AGOSTO-DICIEMBRE 2015</w:t>
            </w:r>
          </w:p>
        </w:tc>
        <w:tc>
          <w:tcPr>
            <w:tcW w:w="544" w:type="dxa"/>
            <w:tcBorders>
              <w:top w:val="nil"/>
              <w:left w:val="nil"/>
              <w:bottom w:val="nil"/>
              <w:right w:val="nil"/>
            </w:tcBorders>
            <w:shd w:val="clear" w:color="auto" w:fill="auto"/>
            <w:noWrap/>
            <w:vAlign w:val="bottom"/>
            <w:hideMark/>
          </w:tcPr>
          <w:p w14:paraId="33CCFF81" w14:textId="77777777" w:rsidR="00BF7076" w:rsidRPr="00BF7076" w:rsidRDefault="00BF7076" w:rsidP="00BF7076">
            <w:pPr>
              <w:spacing w:after="0" w:line="240" w:lineRule="auto"/>
              <w:rPr>
                <w:rFonts w:cs="Calibri"/>
                <w:b/>
                <w:bCs/>
                <w:color w:val="000000"/>
                <w:sz w:val="24"/>
                <w:szCs w:val="24"/>
              </w:rPr>
            </w:pPr>
          </w:p>
        </w:tc>
        <w:tc>
          <w:tcPr>
            <w:tcW w:w="229" w:type="dxa"/>
            <w:gridSpan w:val="2"/>
            <w:tcBorders>
              <w:top w:val="nil"/>
              <w:left w:val="nil"/>
              <w:bottom w:val="nil"/>
              <w:right w:val="nil"/>
            </w:tcBorders>
            <w:shd w:val="clear" w:color="auto" w:fill="auto"/>
            <w:noWrap/>
            <w:vAlign w:val="bottom"/>
            <w:hideMark/>
          </w:tcPr>
          <w:p w14:paraId="5A72BCA5" w14:textId="77777777" w:rsidR="00BF7076" w:rsidRPr="00BF7076" w:rsidRDefault="00BF7076" w:rsidP="00BF7076">
            <w:pPr>
              <w:spacing w:after="0" w:line="240" w:lineRule="auto"/>
              <w:rPr>
                <w:rFonts w:ascii="Times New Roman" w:hAnsi="Times New Roman"/>
                <w:sz w:val="20"/>
                <w:szCs w:val="20"/>
              </w:rPr>
            </w:pPr>
          </w:p>
        </w:tc>
        <w:tc>
          <w:tcPr>
            <w:tcW w:w="1720" w:type="dxa"/>
            <w:tcBorders>
              <w:top w:val="nil"/>
              <w:left w:val="nil"/>
              <w:bottom w:val="nil"/>
              <w:right w:val="nil"/>
            </w:tcBorders>
            <w:shd w:val="clear" w:color="auto" w:fill="auto"/>
            <w:noWrap/>
            <w:vAlign w:val="bottom"/>
            <w:hideMark/>
          </w:tcPr>
          <w:p w14:paraId="7EBBFC66"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0CCEDBEE" w14:textId="77777777" w:rsidR="00BF7076" w:rsidRPr="00BF7076" w:rsidRDefault="00BF7076" w:rsidP="00BF7076">
            <w:pPr>
              <w:spacing w:after="0" w:line="240" w:lineRule="auto"/>
              <w:rPr>
                <w:rFonts w:ascii="Times New Roman" w:hAnsi="Times New Roman"/>
                <w:sz w:val="20"/>
                <w:szCs w:val="20"/>
              </w:rPr>
            </w:pPr>
          </w:p>
        </w:tc>
      </w:tr>
      <w:tr w:rsidR="00A03855" w:rsidRPr="00BF7076" w14:paraId="5384BCB9" w14:textId="77777777" w:rsidTr="009D0CA2">
        <w:trPr>
          <w:gridAfter w:val="3"/>
          <w:wAfter w:w="1959" w:type="dxa"/>
          <w:trHeight w:val="315"/>
        </w:trPr>
        <w:tc>
          <w:tcPr>
            <w:tcW w:w="5480" w:type="dxa"/>
            <w:gridSpan w:val="8"/>
            <w:tcBorders>
              <w:top w:val="nil"/>
              <w:left w:val="nil"/>
              <w:bottom w:val="nil"/>
              <w:right w:val="nil"/>
            </w:tcBorders>
            <w:shd w:val="clear" w:color="auto" w:fill="auto"/>
            <w:noWrap/>
            <w:vAlign w:val="bottom"/>
            <w:hideMark/>
          </w:tcPr>
          <w:p w14:paraId="546487F6" w14:textId="77777777" w:rsidR="00BF7076" w:rsidRPr="00A03855" w:rsidRDefault="00BF7076" w:rsidP="00BF7076">
            <w:pPr>
              <w:spacing w:after="0" w:line="240" w:lineRule="auto"/>
              <w:rPr>
                <w:rFonts w:cs="Calibri"/>
                <w:b/>
                <w:bCs/>
                <w:color w:val="000000"/>
                <w:sz w:val="20"/>
                <w:szCs w:val="20"/>
              </w:rPr>
            </w:pPr>
            <w:r w:rsidRPr="00A03855">
              <w:rPr>
                <w:rFonts w:cs="Calibri"/>
                <w:b/>
                <w:bCs/>
                <w:color w:val="000000"/>
                <w:sz w:val="20"/>
                <w:szCs w:val="20"/>
              </w:rPr>
              <w:t>DRA. SILVIA YUDITH MARTÍNEZ AMADOR</w:t>
            </w:r>
          </w:p>
        </w:tc>
        <w:tc>
          <w:tcPr>
            <w:tcW w:w="198" w:type="dxa"/>
            <w:tcBorders>
              <w:top w:val="nil"/>
              <w:left w:val="nil"/>
              <w:bottom w:val="nil"/>
              <w:right w:val="nil"/>
            </w:tcBorders>
            <w:shd w:val="clear" w:color="auto" w:fill="auto"/>
            <w:noWrap/>
            <w:vAlign w:val="bottom"/>
            <w:hideMark/>
          </w:tcPr>
          <w:p w14:paraId="2FC0D816" w14:textId="77777777" w:rsidR="00BF7076" w:rsidRPr="00BF7076" w:rsidRDefault="00BF7076" w:rsidP="00BF7076">
            <w:pPr>
              <w:spacing w:after="0" w:line="240" w:lineRule="auto"/>
              <w:rPr>
                <w:rFonts w:cs="Calibri"/>
                <w:b/>
                <w:bCs/>
                <w:color w:val="000000"/>
                <w:sz w:val="24"/>
                <w:szCs w:val="24"/>
              </w:rPr>
            </w:pPr>
          </w:p>
        </w:tc>
        <w:tc>
          <w:tcPr>
            <w:tcW w:w="198" w:type="dxa"/>
            <w:tcBorders>
              <w:top w:val="nil"/>
              <w:left w:val="nil"/>
              <w:bottom w:val="nil"/>
              <w:right w:val="nil"/>
            </w:tcBorders>
            <w:shd w:val="clear" w:color="auto" w:fill="auto"/>
            <w:noWrap/>
            <w:vAlign w:val="bottom"/>
            <w:hideMark/>
          </w:tcPr>
          <w:p w14:paraId="142E972A" w14:textId="77777777" w:rsidR="00BF7076" w:rsidRPr="00A03855" w:rsidRDefault="00BF7076" w:rsidP="00BF7076">
            <w:pPr>
              <w:spacing w:after="0" w:line="240" w:lineRule="auto"/>
              <w:rPr>
                <w:rFonts w:ascii="Times New Roman" w:hAnsi="Times New Roman"/>
                <w:sz w:val="20"/>
                <w:szCs w:val="20"/>
              </w:rPr>
            </w:pPr>
          </w:p>
        </w:tc>
        <w:tc>
          <w:tcPr>
            <w:tcW w:w="755" w:type="dxa"/>
            <w:gridSpan w:val="2"/>
            <w:tcBorders>
              <w:top w:val="nil"/>
              <w:left w:val="nil"/>
              <w:bottom w:val="nil"/>
              <w:right w:val="nil"/>
            </w:tcBorders>
            <w:shd w:val="clear" w:color="auto" w:fill="auto"/>
            <w:noWrap/>
            <w:vAlign w:val="bottom"/>
            <w:hideMark/>
          </w:tcPr>
          <w:p w14:paraId="5A69F18F" w14:textId="77777777" w:rsidR="00BF7076" w:rsidRPr="00A03855" w:rsidRDefault="00BF7076" w:rsidP="00BF7076">
            <w:pPr>
              <w:spacing w:after="0" w:line="240" w:lineRule="auto"/>
              <w:rPr>
                <w:rFonts w:cs="Calibri"/>
                <w:b/>
                <w:bCs/>
                <w:color w:val="000000"/>
                <w:sz w:val="20"/>
                <w:szCs w:val="20"/>
              </w:rPr>
            </w:pPr>
            <w:r w:rsidRPr="00A03855">
              <w:rPr>
                <w:rFonts w:cs="Calibri"/>
                <w:b/>
                <w:bCs/>
                <w:color w:val="000000"/>
                <w:sz w:val="20"/>
                <w:szCs w:val="20"/>
              </w:rPr>
              <w:t>EXP. 3796</w:t>
            </w:r>
          </w:p>
        </w:tc>
        <w:tc>
          <w:tcPr>
            <w:tcW w:w="188" w:type="dxa"/>
            <w:tcBorders>
              <w:top w:val="nil"/>
              <w:left w:val="nil"/>
              <w:bottom w:val="nil"/>
              <w:right w:val="nil"/>
            </w:tcBorders>
            <w:shd w:val="clear" w:color="auto" w:fill="auto"/>
            <w:noWrap/>
            <w:vAlign w:val="bottom"/>
            <w:hideMark/>
          </w:tcPr>
          <w:p w14:paraId="2D64E9D8" w14:textId="77777777" w:rsidR="00BF7076" w:rsidRPr="00BF7076" w:rsidRDefault="00BF7076" w:rsidP="00BF7076">
            <w:pPr>
              <w:spacing w:after="0" w:line="240" w:lineRule="auto"/>
              <w:rPr>
                <w:rFonts w:cs="Calibri"/>
                <w:b/>
                <w:bCs/>
                <w:color w:val="000000"/>
                <w:sz w:val="24"/>
                <w:szCs w:val="24"/>
              </w:rPr>
            </w:pPr>
          </w:p>
        </w:tc>
        <w:tc>
          <w:tcPr>
            <w:tcW w:w="180" w:type="dxa"/>
            <w:tcBorders>
              <w:top w:val="nil"/>
              <w:left w:val="nil"/>
              <w:bottom w:val="nil"/>
              <w:right w:val="nil"/>
            </w:tcBorders>
            <w:shd w:val="clear" w:color="auto" w:fill="auto"/>
            <w:noWrap/>
            <w:vAlign w:val="bottom"/>
            <w:hideMark/>
          </w:tcPr>
          <w:p w14:paraId="136BD6B8"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2B18FCC1" w14:textId="77777777" w:rsidR="00BF7076" w:rsidRPr="00BF7076" w:rsidRDefault="00BF7076" w:rsidP="00BF7076">
            <w:pPr>
              <w:spacing w:after="0" w:line="240" w:lineRule="auto"/>
              <w:rPr>
                <w:rFonts w:ascii="Times New Roman" w:hAnsi="Times New Roman"/>
                <w:sz w:val="20"/>
                <w:szCs w:val="20"/>
              </w:rPr>
            </w:pPr>
          </w:p>
        </w:tc>
        <w:tc>
          <w:tcPr>
            <w:tcW w:w="1146" w:type="dxa"/>
            <w:tcBorders>
              <w:top w:val="single" w:sz="8" w:space="0" w:color="auto"/>
              <w:left w:val="single" w:sz="8" w:space="0" w:color="auto"/>
              <w:bottom w:val="nil"/>
              <w:right w:val="single" w:sz="8" w:space="0" w:color="auto"/>
            </w:tcBorders>
            <w:shd w:val="clear" w:color="auto" w:fill="auto"/>
            <w:noWrap/>
            <w:vAlign w:val="bottom"/>
            <w:hideMark/>
          </w:tcPr>
          <w:p w14:paraId="78A53C85" w14:textId="77777777" w:rsidR="00BF7076" w:rsidRPr="00BF7076" w:rsidRDefault="00BF7076" w:rsidP="00BF7076">
            <w:pPr>
              <w:spacing w:after="0" w:line="240" w:lineRule="auto"/>
              <w:jc w:val="center"/>
              <w:rPr>
                <w:rFonts w:cs="Calibri"/>
                <w:b/>
                <w:bCs/>
                <w:color w:val="000000"/>
                <w:sz w:val="18"/>
                <w:szCs w:val="18"/>
              </w:rPr>
            </w:pPr>
            <w:r w:rsidRPr="00BF7076">
              <w:rPr>
                <w:rFonts w:cs="Calibri"/>
                <w:b/>
                <w:bCs/>
                <w:color w:val="000000"/>
                <w:sz w:val="18"/>
                <w:szCs w:val="18"/>
              </w:rPr>
              <w:t>PROBLEMAS</w:t>
            </w:r>
          </w:p>
        </w:tc>
        <w:tc>
          <w:tcPr>
            <w:tcW w:w="898" w:type="dxa"/>
            <w:gridSpan w:val="3"/>
            <w:tcBorders>
              <w:top w:val="nil"/>
              <w:left w:val="nil"/>
              <w:bottom w:val="nil"/>
              <w:right w:val="nil"/>
            </w:tcBorders>
            <w:shd w:val="clear" w:color="auto" w:fill="auto"/>
            <w:noWrap/>
            <w:vAlign w:val="bottom"/>
            <w:hideMark/>
          </w:tcPr>
          <w:p w14:paraId="760FB44C" w14:textId="77777777" w:rsidR="00BF7076" w:rsidRPr="00BF7076" w:rsidRDefault="00BF7076" w:rsidP="00BF7076">
            <w:pPr>
              <w:spacing w:after="0" w:line="240" w:lineRule="auto"/>
              <w:jc w:val="center"/>
              <w:rPr>
                <w:rFonts w:cs="Calibri"/>
                <w:b/>
                <w:bCs/>
                <w:color w:val="000000"/>
                <w:sz w:val="18"/>
                <w:szCs w:val="18"/>
              </w:rPr>
            </w:pPr>
          </w:p>
        </w:tc>
      </w:tr>
      <w:tr w:rsidR="00A03855" w:rsidRPr="00BF7076" w14:paraId="6ED21B26" w14:textId="77777777" w:rsidTr="009D0CA2">
        <w:trPr>
          <w:gridAfter w:val="3"/>
          <w:wAfter w:w="1959" w:type="dxa"/>
          <w:trHeight w:val="315"/>
        </w:trPr>
        <w:tc>
          <w:tcPr>
            <w:tcW w:w="303" w:type="dxa"/>
            <w:tcBorders>
              <w:top w:val="nil"/>
              <w:left w:val="nil"/>
              <w:bottom w:val="nil"/>
              <w:right w:val="nil"/>
            </w:tcBorders>
            <w:shd w:val="clear" w:color="auto" w:fill="auto"/>
            <w:noWrap/>
            <w:vAlign w:val="bottom"/>
            <w:hideMark/>
          </w:tcPr>
          <w:p w14:paraId="2648DB74" w14:textId="77777777" w:rsidR="00BF7076" w:rsidRPr="00BF7076" w:rsidRDefault="00BF7076" w:rsidP="00BF7076">
            <w:pPr>
              <w:spacing w:after="0" w:line="240" w:lineRule="auto"/>
              <w:rPr>
                <w:rFonts w:ascii="Times New Roman" w:hAnsi="Times New Roman"/>
                <w:sz w:val="20"/>
                <w:szCs w:val="20"/>
              </w:rPr>
            </w:pPr>
          </w:p>
        </w:tc>
        <w:tc>
          <w:tcPr>
            <w:tcW w:w="1092" w:type="dxa"/>
            <w:gridSpan w:val="2"/>
            <w:tcBorders>
              <w:top w:val="nil"/>
              <w:left w:val="nil"/>
              <w:bottom w:val="nil"/>
              <w:right w:val="nil"/>
            </w:tcBorders>
            <w:shd w:val="clear" w:color="auto" w:fill="auto"/>
            <w:noWrap/>
            <w:vAlign w:val="bottom"/>
            <w:hideMark/>
          </w:tcPr>
          <w:p w14:paraId="5417A73D" w14:textId="77777777" w:rsidR="00BF7076" w:rsidRPr="00BF7076" w:rsidRDefault="00BF7076" w:rsidP="00BF7076">
            <w:pPr>
              <w:spacing w:after="0" w:line="240" w:lineRule="auto"/>
              <w:rPr>
                <w:rFonts w:ascii="Times New Roman" w:hAnsi="Times New Roman"/>
                <w:sz w:val="20"/>
                <w:szCs w:val="20"/>
              </w:rPr>
            </w:pPr>
          </w:p>
        </w:tc>
        <w:tc>
          <w:tcPr>
            <w:tcW w:w="4085" w:type="dxa"/>
            <w:gridSpan w:val="5"/>
            <w:tcBorders>
              <w:top w:val="nil"/>
              <w:left w:val="nil"/>
              <w:bottom w:val="nil"/>
              <w:right w:val="nil"/>
            </w:tcBorders>
            <w:shd w:val="clear" w:color="auto" w:fill="auto"/>
            <w:noWrap/>
            <w:vAlign w:val="bottom"/>
            <w:hideMark/>
          </w:tcPr>
          <w:p w14:paraId="2A77AE8C" w14:textId="77777777" w:rsidR="00BF7076" w:rsidRPr="00BF7076" w:rsidRDefault="00BF7076" w:rsidP="00BF7076">
            <w:pPr>
              <w:spacing w:after="0" w:line="240" w:lineRule="auto"/>
              <w:rPr>
                <w:rFonts w:ascii="Times New Roman" w:hAnsi="Times New Roman"/>
                <w:sz w:val="20"/>
                <w:szCs w:val="20"/>
              </w:rPr>
            </w:pPr>
          </w:p>
        </w:tc>
        <w:tc>
          <w:tcPr>
            <w:tcW w:w="198" w:type="dxa"/>
            <w:tcBorders>
              <w:top w:val="nil"/>
              <w:left w:val="nil"/>
              <w:bottom w:val="nil"/>
              <w:right w:val="nil"/>
            </w:tcBorders>
            <w:shd w:val="clear" w:color="auto" w:fill="auto"/>
            <w:noWrap/>
            <w:vAlign w:val="bottom"/>
            <w:hideMark/>
          </w:tcPr>
          <w:p w14:paraId="4C6FED1A" w14:textId="77777777" w:rsidR="00BF7076" w:rsidRPr="00BF7076" w:rsidRDefault="00BF7076" w:rsidP="00BF7076">
            <w:pPr>
              <w:spacing w:after="0" w:line="240" w:lineRule="auto"/>
              <w:rPr>
                <w:rFonts w:ascii="Times New Roman" w:hAnsi="Times New Roman"/>
                <w:sz w:val="20"/>
                <w:szCs w:val="20"/>
              </w:rPr>
            </w:pPr>
          </w:p>
        </w:tc>
        <w:tc>
          <w:tcPr>
            <w:tcW w:w="198" w:type="dxa"/>
            <w:tcBorders>
              <w:top w:val="nil"/>
              <w:left w:val="nil"/>
              <w:bottom w:val="nil"/>
              <w:right w:val="nil"/>
            </w:tcBorders>
            <w:shd w:val="clear" w:color="auto" w:fill="auto"/>
            <w:noWrap/>
            <w:vAlign w:val="bottom"/>
            <w:hideMark/>
          </w:tcPr>
          <w:p w14:paraId="7CE7D9C8" w14:textId="77777777" w:rsidR="00BF7076" w:rsidRPr="00BF7076" w:rsidRDefault="00BF7076" w:rsidP="00BF7076">
            <w:pPr>
              <w:spacing w:after="0" w:line="240" w:lineRule="auto"/>
              <w:rPr>
                <w:rFonts w:ascii="Times New Roman" w:hAnsi="Times New Roman"/>
                <w:sz w:val="20"/>
                <w:szCs w:val="20"/>
              </w:rPr>
            </w:pPr>
          </w:p>
        </w:tc>
        <w:tc>
          <w:tcPr>
            <w:tcW w:w="755" w:type="dxa"/>
            <w:gridSpan w:val="2"/>
            <w:tcBorders>
              <w:top w:val="nil"/>
              <w:left w:val="nil"/>
              <w:bottom w:val="nil"/>
              <w:right w:val="nil"/>
            </w:tcBorders>
            <w:shd w:val="clear" w:color="auto" w:fill="auto"/>
            <w:noWrap/>
            <w:vAlign w:val="bottom"/>
            <w:hideMark/>
          </w:tcPr>
          <w:p w14:paraId="659AB79A" w14:textId="77777777" w:rsidR="00BF7076" w:rsidRPr="00BF7076" w:rsidRDefault="00BF7076" w:rsidP="00BF7076">
            <w:pPr>
              <w:spacing w:after="0" w:line="240" w:lineRule="auto"/>
              <w:rPr>
                <w:rFonts w:ascii="Times New Roman" w:hAnsi="Times New Roman"/>
                <w:sz w:val="20"/>
                <w:szCs w:val="20"/>
              </w:rPr>
            </w:pPr>
          </w:p>
        </w:tc>
        <w:tc>
          <w:tcPr>
            <w:tcW w:w="188" w:type="dxa"/>
            <w:tcBorders>
              <w:top w:val="nil"/>
              <w:left w:val="nil"/>
              <w:bottom w:val="nil"/>
              <w:right w:val="nil"/>
            </w:tcBorders>
            <w:shd w:val="clear" w:color="auto" w:fill="auto"/>
            <w:noWrap/>
            <w:vAlign w:val="bottom"/>
            <w:hideMark/>
          </w:tcPr>
          <w:p w14:paraId="7B828926" w14:textId="77777777" w:rsidR="00BF7076" w:rsidRPr="00BF7076" w:rsidRDefault="00BF7076" w:rsidP="00BF7076">
            <w:pPr>
              <w:spacing w:after="0" w:line="240" w:lineRule="auto"/>
              <w:rPr>
                <w:rFonts w:ascii="Times New Roman" w:hAnsi="Times New Roman"/>
                <w:sz w:val="20"/>
                <w:szCs w:val="20"/>
              </w:rPr>
            </w:pPr>
          </w:p>
        </w:tc>
        <w:tc>
          <w:tcPr>
            <w:tcW w:w="180" w:type="dxa"/>
            <w:tcBorders>
              <w:top w:val="nil"/>
              <w:left w:val="nil"/>
              <w:bottom w:val="nil"/>
              <w:right w:val="nil"/>
            </w:tcBorders>
            <w:shd w:val="clear" w:color="auto" w:fill="auto"/>
            <w:noWrap/>
            <w:vAlign w:val="bottom"/>
            <w:hideMark/>
          </w:tcPr>
          <w:p w14:paraId="59D480D2"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485EE89B" w14:textId="77777777" w:rsidR="00BF7076" w:rsidRPr="00BF7076" w:rsidRDefault="00BF7076" w:rsidP="00BF7076">
            <w:pPr>
              <w:spacing w:after="0" w:line="240" w:lineRule="auto"/>
              <w:rPr>
                <w:rFonts w:ascii="Times New Roman" w:hAnsi="Times New Roman"/>
                <w:sz w:val="20"/>
                <w:szCs w:val="20"/>
              </w:rPr>
            </w:pPr>
          </w:p>
        </w:tc>
        <w:tc>
          <w:tcPr>
            <w:tcW w:w="1146" w:type="dxa"/>
            <w:tcBorders>
              <w:top w:val="nil"/>
              <w:left w:val="single" w:sz="8" w:space="0" w:color="auto"/>
              <w:bottom w:val="nil"/>
              <w:right w:val="single" w:sz="8" w:space="0" w:color="auto"/>
            </w:tcBorders>
            <w:shd w:val="clear" w:color="auto" w:fill="auto"/>
            <w:noWrap/>
            <w:vAlign w:val="bottom"/>
            <w:hideMark/>
          </w:tcPr>
          <w:p w14:paraId="7C0E66DC" w14:textId="77777777" w:rsidR="00BF7076" w:rsidRPr="00BF7076" w:rsidRDefault="00BF7076" w:rsidP="00BF7076">
            <w:pPr>
              <w:spacing w:after="0" w:line="240" w:lineRule="auto"/>
              <w:jc w:val="center"/>
              <w:rPr>
                <w:rFonts w:cs="Calibri"/>
                <w:color w:val="000000"/>
                <w:sz w:val="18"/>
                <w:szCs w:val="18"/>
              </w:rPr>
            </w:pPr>
            <w:r w:rsidRPr="00BF7076">
              <w:rPr>
                <w:rFonts w:cs="Calibri"/>
                <w:color w:val="000000"/>
                <w:sz w:val="18"/>
                <w:szCs w:val="18"/>
              </w:rPr>
              <w:t>SALUD, PSICOLOGICO</w:t>
            </w:r>
          </w:p>
        </w:tc>
        <w:tc>
          <w:tcPr>
            <w:tcW w:w="898" w:type="dxa"/>
            <w:gridSpan w:val="3"/>
            <w:tcBorders>
              <w:top w:val="nil"/>
              <w:left w:val="nil"/>
              <w:bottom w:val="nil"/>
              <w:right w:val="nil"/>
            </w:tcBorders>
            <w:shd w:val="clear" w:color="auto" w:fill="auto"/>
            <w:noWrap/>
            <w:vAlign w:val="bottom"/>
            <w:hideMark/>
          </w:tcPr>
          <w:p w14:paraId="4F8CFCFB" w14:textId="77777777" w:rsidR="00BF7076" w:rsidRPr="00BF7076" w:rsidRDefault="00BF7076" w:rsidP="00BF7076">
            <w:pPr>
              <w:spacing w:after="0" w:line="240" w:lineRule="auto"/>
              <w:jc w:val="center"/>
              <w:rPr>
                <w:rFonts w:cs="Calibri"/>
                <w:color w:val="000000"/>
                <w:sz w:val="18"/>
                <w:szCs w:val="18"/>
              </w:rPr>
            </w:pPr>
          </w:p>
        </w:tc>
      </w:tr>
      <w:tr w:rsidR="00A03855" w:rsidRPr="00BF7076" w14:paraId="0F2C5E75" w14:textId="77777777" w:rsidTr="009D0CA2">
        <w:trPr>
          <w:gridAfter w:val="3"/>
          <w:wAfter w:w="1959" w:type="dxa"/>
          <w:trHeight w:val="300"/>
        </w:trPr>
        <w:tc>
          <w:tcPr>
            <w:tcW w:w="303" w:type="dxa"/>
            <w:tcBorders>
              <w:top w:val="nil"/>
              <w:left w:val="nil"/>
              <w:bottom w:val="nil"/>
              <w:right w:val="nil"/>
            </w:tcBorders>
            <w:shd w:val="clear" w:color="auto" w:fill="auto"/>
            <w:noWrap/>
            <w:vAlign w:val="bottom"/>
            <w:hideMark/>
          </w:tcPr>
          <w:p w14:paraId="0D686536" w14:textId="77777777" w:rsidR="00BF7076" w:rsidRPr="00BF7076" w:rsidRDefault="00BF7076" w:rsidP="00BF7076">
            <w:pPr>
              <w:spacing w:after="0" w:line="240" w:lineRule="auto"/>
              <w:rPr>
                <w:rFonts w:ascii="Times New Roman" w:hAnsi="Times New Roman"/>
                <w:sz w:val="20"/>
                <w:szCs w:val="20"/>
              </w:rPr>
            </w:pPr>
          </w:p>
        </w:tc>
        <w:tc>
          <w:tcPr>
            <w:tcW w:w="1092" w:type="dxa"/>
            <w:gridSpan w:val="2"/>
            <w:tcBorders>
              <w:top w:val="nil"/>
              <w:left w:val="nil"/>
              <w:bottom w:val="nil"/>
              <w:right w:val="nil"/>
            </w:tcBorders>
            <w:shd w:val="clear" w:color="auto" w:fill="auto"/>
            <w:noWrap/>
            <w:vAlign w:val="bottom"/>
            <w:hideMark/>
          </w:tcPr>
          <w:p w14:paraId="78FF8B60" w14:textId="77777777" w:rsidR="00BF7076" w:rsidRPr="00BF7076" w:rsidRDefault="00BF7076" w:rsidP="00BF7076">
            <w:pPr>
              <w:spacing w:after="0" w:line="240" w:lineRule="auto"/>
              <w:rPr>
                <w:rFonts w:ascii="Times New Roman" w:hAnsi="Times New Roman"/>
                <w:sz w:val="20"/>
                <w:szCs w:val="20"/>
              </w:rPr>
            </w:pPr>
          </w:p>
        </w:tc>
        <w:tc>
          <w:tcPr>
            <w:tcW w:w="4085" w:type="dxa"/>
            <w:gridSpan w:val="5"/>
            <w:tcBorders>
              <w:top w:val="nil"/>
              <w:left w:val="nil"/>
              <w:bottom w:val="nil"/>
              <w:right w:val="nil"/>
            </w:tcBorders>
            <w:shd w:val="clear" w:color="auto" w:fill="auto"/>
            <w:noWrap/>
            <w:vAlign w:val="bottom"/>
            <w:hideMark/>
          </w:tcPr>
          <w:p w14:paraId="7E92DC01" w14:textId="77777777" w:rsidR="00BF7076" w:rsidRPr="00BF7076" w:rsidRDefault="00BF7076" w:rsidP="00BF7076">
            <w:pPr>
              <w:spacing w:after="0" w:line="240" w:lineRule="auto"/>
              <w:rPr>
                <w:rFonts w:ascii="Times New Roman" w:hAnsi="Times New Roman"/>
                <w:sz w:val="20"/>
                <w:szCs w:val="20"/>
              </w:rPr>
            </w:pPr>
          </w:p>
        </w:tc>
        <w:tc>
          <w:tcPr>
            <w:tcW w:w="198" w:type="dxa"/>
            <w:tcBorders>
              <w:top w:val="nil"/>
              <w:left w:val="nil"/>
              <w:bottom w:val="nil"/>
              <w:right w:val="nil"/>
            </w:tcBorders>
            <w:shd w:val="clear" w:color="auto" w:fill="auto"/>
            <w:noWrap/>
            <w:vAlign w:val="bottom"/>
            <w:hideMark/>
          </w:tcPr>
          <w:p w14:paraId="630F1590" w14:textId="77777777" w:rsidR="00BF7076" w:rsidRPr="00BF7076" w:rsidRDefault="00BF7076" w:rsidP="00BF7076">
            <w:pPr>
              <w:spacing w:after="0" w:line="240" w:lineRule="auto"/>
              <w:rPr>
                <w:rFonts w:ascii="Times New Roman" w:hAnsi="Times New Roman"/>
                <w:sz w:val="20"/>
                <w:szCs w:val="20"/>
              </w:rPr>
            </w:pPr>
          </w:p>
        </w:tc>
        <w:tc>
          <w:tcPr>
            <w:tcW w:w="198" w:type="dxa"/>
            <w:tcBorders>
              <w:top w:val="nil"/>
              <w:left w:val="nil"/>
              <w:bottom w:val="nil"/>
              <w:right w:val="nil"/>
            </w:tcBorders>
            <w:shd w:val="clear" w:color="auto" w:fill="auto"/>
            <w:noWrap/>
            <w:vAlign w:val="bottom"/>
            <w:hideMark/>
          </w:tcPr>
          <w:p w14:paraId="54BB1140" w14:textId="77777777" w:rsidR="00BF7076" w:rsidRPr="00BF7076" w:rsidRDefault="00BF7076" w:rsidP="00BF7076">
            <w:pPr>
              <w:spacing w:after="0" w:line="240" w:lineRule="auto"/>
              <w:rPr>
                <w:rFonts w:ascii="Times New Roman" w:hAnsi="Times New Roman"/>
                <w:sz w:val="20"/>
                <w:szCs w:val="20"/>
              </w:rPr>
            </w:pPr>
          </w:p>
        </w:tc>
        <w:tc>
          <w:tcPr>
            <w:tcW w:w="755" w:type="dxa"/>
            <w:gridSpan w:val="2"/>
            <w:tcBorders>
              <w:top w:val="nil"/>
              <w:left w:val="nil"/>
              <w:bottom w:val="nil"/>
              <w:right w:val="nil"/>
            </w:tcBorders>
            <w:shd w:val="clear" w:color="auto" w:fill="auto"/>
            <w:noWrap/>
            <w:vAlign w:val="bottom"/>
            <w:hideMark/>
          </w:tcPr>
          <w:p w14:paraId="27919938" w14:textId="77777777" w:rsidR="00BF7076" w:rsidRPr="00BF7076" w:rsidRDefault="00BF7076" w:rsidP="00BF7076">
            <w:pPr>
              <w:spacing w:after="0" w:line="240" w:lineRule="auto"/>
              <w:rPr>
                <w:rFonts w:ascii="Times New Roman" w:hAnsi="Times New Roman"/>
                <w:sz w:val="20"/>
                <w:szCs w:val="20"/>
              </w:rPr>
            </w:pPr>
          </w:p>
        </w:tc>
        <w:tc>
          <w:tcPr>
            <w:tcW w:w="188" w:type="dxa"/>
            <w:tcBorders>
              <w:top w:val="nil"/>
              <w:left w:val="nil"/>
              <w:bottom w:val="nil"/>
              <w:right w:val="nil"/>
            </w:tcBorders>
            <w:shd w:val="clear" w:color="auto" w:fill="auto"/>
            <w:noWrap/>
            <w:vAlign w:val="bottom"/>
            <w:hideMark/>
          </w:tcPr>
          <w:p w14:paraId="17AFD270" w14:textId="77777777" w:rsidR="00BF7076" w:rsidRPr="00BF7076" w:rsidRDefault="00BF7076" w:rsidP="00BF7076">
            <w:pPr>
              <w:spacing w:after="0" w:line="240" w:lineRule="auto"/>
              <w:rPr>
                <w:rFonts w:ascii="Times New Roman" w:hAnsi="Times New Roman"/>
                <w:sz w:val="20"/>
                <w:szCs w:val="20"/>
              </w:rPr>
            </w:pPr>
          </w:p>
        </w:tc>
        <w:tc>
          <w:tcPr>
            <w:tcW w:w="180" w:type="dxa"/>
            <w:tcBorders>
              <w:top w:val="nil"/>
              <w:left w:val="nil"/>
              <w:bottom w:val="nil"/>
              <w:right w:val="nil"/>
            </w:tcBorders>
            <w:shd w:val="clear" w:color="auto" w:fill="auto"/>
            <w:noWrap/>
            <w:vAlign w:val="bottom"/>
            <w:hideMark/>
          </w:tcPr>
          <w:p w14:paraId="4F28C50A" w14:textId="77777777"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14:paraId="6A1BECDE" w14:textId="77777777" w:rsidR="00BF7076" w:rsidRPr="00BF7076" w:rsidRDefault="00BF7076" w:rsidP="00BF7076">
            <w:pPr>
              <w:spacing w:after="0" w:line="240" w:lineRule="auto"/>
              <w:rPr>
                <w:rFonts w:ascii="Times New Roman" w:hAnsi="Times New Roman"/>
                <w:sz w:val="20"/>
                <w:szCs w:val="20"/>
              </w:rPr>
            </w:pPr>
          </w:p>
        </w:tc>
        <w:tc>
          <w:tcPr>
            <w:tcW w:w="1146" w:type="dxa"/>
            <w:tcBorders>
              <w:top w:val="nil"/>
              <w:left w:val="single" w:sz="8" w:space="0" w:color="auto"/>
              <w:bottom w:val="nil"/>
              <w:right w:val="single" w:sz="8" w:space="0" w:color="auto"/>
            </w:tcBorders>
            <w:shd w:val="clear" w:color="auto" w:fill="auto"/>
            <w:noWrap/>
            <w:vAlign w:val="bottom"/>
            <w:hideMark/>
          </w:tcPr>
          <w:p w14:paraId="4C5AF17D" w14:textId="77777777" w:rsidR="00BF7076" w:rsidRPr="00BF7076" w:rsidRDefault="00BF7076" w:rsidP="00BF7076">
            <w:pPr>
              <w:spacing w:after="0" w:line="240" w:lineRule="auto"/>
              <w:jc w:val="center"/>
              <w:rPr>
                <w:rFonts w:cs="Calibri"/>
                <w:color w:val="000000"/>
                <w:sz w:val="18"/>
                <w:szCs w:val="18"/>
              </w:rPr>
            </w:pPr>
            <w:r w:rsidRPr="00BF7076">
              <w:rPr>
                <w:rFonts w:cs="Calibri"/>
                <w:color w:val="000000"/>
                <w:sz w:val="18"/>
                <w:szCs w:val="18"/>
              </w:rPr>
              <w:t>APRENDIZAJE</w:t>
            </w:r>
          </w:p>
        </w:tc>
        <w:tc>
          <w:tcPr>
            <w:tcW w:w="898" w:type="dxa"/>
            <w:gridSpan w:val="3"/>
            <w:tcBorders>
              <w:top w:val="nil"/>
              <w:left w:val="nil"/>
              <w:bottom w:val="nil"/>
              <w:right w:val="nil"/>
            </w:tcBorders>
            <w:shd w:val="clear" w:color="auto" w:fill="auto"/>
            <w:noWrap/>
            <w:vAlign w:val="bottom"/>
            <w:hideMark/>
          </w:tcPr>
          <w:p w14:paraId="57EF3761" w14:textId="77777777" w:rsidR="00BF7076" w:rsidRPr="00BF7076" w:rsidRDefault="00BF7076" w:rsidP="00BF7076">
            <w:pPr>
              <w:spacing w:after="0" w:line="240" w:lineRule="auto"/>
              <w:jc w:val="center"/>
              <w:rPr>
                <w:rFonts w:cs="Calibri"/>
                <w:color w:val="000000"/>
                <w:sz w:val="18"/>
                <w:szCs w:val="18"/>
              </w:rPr>
            </w:pPr>
          </w:p>
        </w:tc>
      </w:tr>
      <w:tr w:rsidR="00A03855" w:rsidRPr="00A03855" w14:paraId="454C29D7" w14:textId="77777777" w:rsidTr="009D0CA2">
        <w:trPr>
          <w:gridAfter w:val="3"/>
          <w:wAfter w:w="1959" w:type="dxa"/>
          <w:trHeight w:val="240"/>
        </w:trPr>
        <w:tc>
          <w:tcPr>
            <w:tcW w:w="303" w:type="dxa"/>
            <w:tcBorders>
              <w:top w:val="nil"/>
              <w:left w:val="nil"/>
              <w:bottom w:val="nil"/>
              <w:right w:val="nil"/>
            </w:tcBorders>
            <w:shd w:val="clear" w:color="auto" w:fill="auto"/>
            <w:noWrap/>
            <w:vAlign w:val="bottom"/>
            <w:hideMark/>
          </w:tcPr>
          <w:p w14:paraId="3430564B" w14:textId="77777777" w:rsidR="00BF7076" w:rsidRPr="00A03855" w:rsidRDefault="00BF7076" w:rsidP="00BF7076">
            <w:pPr>
              <w:spacing w:after="0" w:line="240" w:lineRule="auto"/>
              <w:rPr>
                <w:rFonts w:ascii="Times New Roman" w:hAnsi="Times New Roman"/>
                <w:sz w:val="16"/>
                <w:szCs w:val="16"/>
              </w:rPr>
            </w:pP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6B4008"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MATRÍCULA</w:t>
            </w:r>
          </w:p>
        </w:tc>
        <w:tc>
          <w:tcPr>
            <w:tcW w:w="2035" w:type="dxa"/>
            <w:gridSpan w:val="2"/>
            <w:tcBorders>
              <w:top w:val="single" w:sz="4" w:space="0" w:color="auto"/>
              <w:left w:val="nil"/>
              <w:bottom w:val="single" w:sz="4" w:space="0" w:color="auto"/>
              <w:right w:val="single" w:sz="4" w:space="0" w:color="auto"/>
            </w:tcBorders>
            <w:shd w:val="clear" w:color="auto" w:fill="auto"/>
            <w:noWrap/>
            <w:vAlign w:val="bottom"/>
            <w:hideMark/>
          </w:tcPr>
          <w:p w14:paraId="56844301"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NOMBRE</w:t>
            </w:r>
          </w:p>
        </w:tc>
        <w:tc>
          <w:tcPr>
            <w:tcW w:w="406" w:type="dxa"/>
            <w:tcBorders>
              <w:top w:val="single" w:sz="4" w:space="0" w:color="auto"/>
              <w:left w:val="nil"/>
              <w:bottom w:val="single" w:sz="4" w:space="0" w:color="auto"/>
              <w:right w:val="single" w:sz="4" w:space="0" w:color="auto"/>
            </w:tcBorders>
            <w:shd w:val="clear" w:color="auto" w:fill="auto"/>
            <w:noWrap/>
            <w:vAlign w:val="bottom"/>
            <w:hideMark/>
          </w:tcPr>
          <w:p w14:paraId="2B0B5DDF"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REG</w:t>
            </w:r>
          </w:p>
        </w:tc>
        <w:tc>
          <w:tcPr>
            <w:tcW w:w="534" w:type="dxa"/>
            <w:tcBorders>
              <w:top w:val="single" w:sz="4" w:space="0" w:color="auto"/>
              <w:left w:val="nil"/>
              <w:bottom w:val="single" w:sz="4" w:space="0" w:color="auto"/>
              <w:right w:val="single" w:sz="4" w:space="0" w:color="auto"/>
            </w:tcBorders>
            <w:shd w:val="clear" w:color="auto" w:fill="auto"/>
            <w:noWrap/>
            <w:vAlign w:val="bottom"/>
            <w:hideMark/>
          </w:tcPr>
          <w:p w14:paraId="6E1D0C0D"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IRREG</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14:paraId="6B6438F8"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MATERIAS REPROBADAS</w:t>
            </w:r>
          </w:p>
        </w:tc>
        <w:tc>
          <w:tcPr>
            <w:tcW w:w="921" w:type="dxa"/>
            <w:gridSpan w:val="4"/>
            <w:tcBorders>
              <w:top w:val="single" w:sz="4" w:space="0" w:color="auto"/>
              <w:left w:val="nil"/>
              <w:bottom w:val="single" w:sz="4" w:space="0" w:color="auto"/>
              <w:right w:val="nil"/>
            </w:tcBorders>
            <w:shd w:val="clear" w:color="auto" w:fill="auto"/>
            <w:noWrap/>
            <w:vAlign w:val="bottom"/>
            <w:hideMark/>
          </w:tcPr>
          <w:p w14:paraId="7EEA71CF"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MATERIAS ATRASADAS</w:t>
            </w:r>
          </w:p>
        </w:tc>
        <w:tc>
          <w:tcPr>
            <w:tcW w:w="484" w:type="dxa"/>
            <w:tcBorders>
              <w:top w:val="single" w:sz="4" w:space="0" w:color="auto"/>
              <w:left w:val="single" w:sz="4" w:space="0" w:color="auto"/>
              <w:bottom w:val="nil"/>
              <w:right w:val="single" w:sz="4" w:space="0" w:color="auto"/>
            </w:tcBorders>
            <w:shd w:val="clear" w:color="auto" w:fill="auto"/>
            <w:noWrap/>
            <w:vAlign w:val="bottom"/>
            <w:hideMark/>
          </w:tcPr>
          <w:p w14:paraId="031D0BD0"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BECA</w:t>
            </w:r>
          </w:p>
        </w:tc>
        <w:tc>
          <w:tcPr>
            <w:tcW w:w="368" w:type="dxa"/>
            <w:gridSpan w:val="2"/>
            <w:tcBorders>
              <w:top w:val="single" w:sz="4" w:space="0" w:color="auto"/>
              <w:left w:val="nil"/>
              <w:bottom w:val="nil"/>
              <w:right w:val="single" w:sz="4" w:space="0" w:color="auto"/>
            </w:tcBorders>
            <w:shd w:val="clear" w:color="auto" w:fill="auto"/>
            <w:noWrap/>
            <w:vAlign w:val="bottom"/>
            <w:hideMark/>
          </w:tcPr>
          <w:p w14:paraId="0C5AD68D"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S.S.</w:t>
            </w:r>
          </w:p>
        </w:tc>
        <w:tc>
          <w:tcPr>
            <w:tcW w:w="1306" w:type="dxa"/>
            <w:gridSpan w:val="2"/>
            <w:tcBorders>
              <w:top w:val="nil"/>
              <w:left w:val="nil"/>
              <w:bottom w:val="nil"/>
              <w:right w:val="single" w:sz="8" w:space="0" w:color="auto"/>
            </w:tcBorders>
            <w:shd w:val="clear" w:color="auto" w:fill="auto"/>
            <w:noWrap/>
            <w:vAlign w:val="bottom"/>
            <w:hideMark/>
          </w:tcPr>
          <w:p w14:paraId="13E5843E"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AFECTIVO, SOCIAL</w:t>
            </w:r>
          </w:p>
        </w:tc>
        <w:tc>
          <w:tcPr>
            <w:tcW w:w="898" w:type="dxa"/>
            <w:gridSpan w:val="3"/>
            <w:tcBorders>
              <w:top w:val="single" w:sz="4" w:space="0" w:color="auto"/>
              <w:left w:val="nil"/>
              <w:bottom w:val="nil"/>
              <w:right w:val="single" w:sz="4" w:space="0" w:color="auto"/>
            </w:tcBorders>
            <w:shd w:val="clear" w:color="auto" w:fill="auto"/>
            <w:noWrap/>
            <w:vAlign w:val="bottom"/>
            <w:hideMark/>
          </w:tcPr>
          <w:p w14:paraId="670EFEA7"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FIRMA DE ASISTENCIA</w:t>
            </w:r>
          </w:p>
        </w:tc>
      </w:tr>
      <w:tr w:rsidR="00A03855" w:rsidRPr="00A03855" w14:paraId="249CA34B"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15EE051C"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14:paraId="6746BB24"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304394</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1F864838"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ORTIZ ANACLETO MARCO ANTONIO</w:t>
            </w:r>
          </w:p>
        </w:tc>
        <w:tc>
          <w:tcPr>
            <w:tcW w:w="406" w:type="dxa"/>
            <w:tcBorders>
              <w:top w:val="nil"/>
              <w:left w:val="nil"/>
              <w:bottom w:val="single" w:sz="4" w:space="0" w:color="auto"/>
              <w:right w:val="single" w:sz="4" w:space="0" w:color="auto"/>
            </w:tcBorders>
            <w:shd w:val="clear" w:color="auto" w:fill="auto"/>
            <w:noWrap/>
            <w:vAlign w:val="bottom"/>
            <w:hideMark/>
          </w:tcPr>
          <w:p w14:paraId="7D8D54A5"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31F54902"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29FEB05D"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2AC0A313"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single" w:sz="4" w:space="0" w:color="auto"/>
              <w:left w:val="nil"/>
              <w:bottom w:val="single" w:sz="4" w:space="0" w:color="auto"/>
              <w:right w:val="single" w:sz="4" w:space="0" w:color="auto"/>
            </w:tcBorders>
            <w:shd w:val="clear" w:color="auto" w:fill="auto"/>
            <w:noWrap/>
            <w:vAlign w:val="bottom"/>
            <w:hideMark/>
          </w:tcPr>
          <w:p w14:paraId="3B3CC7B9"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25C6EA69"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single" w:sz="4" w:space="0" w:color="auto"/>
              <w:left w:val="nil"/>
              <w:bottom w:val="single" w:sz="4" w:space="0" w:color="auto"/>
              <w:right w:val="single" w:sz="4" w:space="0" w:color="auto"/>
            </w:tcBorders>
            <w:shd w:val="clear" w:color="auto" w:fill="auto"/>
            <w:noWrap/>
            <w:vAlign w:val="bottom"/>
            <w:hideMark/>
          </w:tcPr>
          <w:p w14:paraId="5B1B8EB1"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single" w:sz="4" w:space="0" w:color="auto"/>
              <w:left w:val="nil"/>
              <w:bottom w:val="single" w:sz="4" w:space="0" w:color="auto"/>
              <w:right w:val="single" w:sz="4" w:space="0" w:color="auto"/>
            </w:tcBorders>
            <w:shd w:val="clear" w:color="auto" w:fill="auto"/>
            <w:noWrap/>
            <w:vAlign w:val="bottom"/>
            <w:hideMark/>
          </w:tcPr>
          <w:p w14:paraId="4B3E0041"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0A311418"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28313A61"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2</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14:paraId="039975AE"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41100379</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314450E7"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HUERTA AGUILAR YESSENIA MARÍA</w:t>
            </w:r>
          </w:p>
        </w:tc>
        <w:tc>
          <w:tcPr>
            <w:tcW w:w="406" w:type="dxa"/>
            <w:tcBorders>
              <w:top w:val="nil"/>
              <w:left w:val="nil"/>
              <w:bottom w:val="single" w:sz="4" w:space="0" w:color="auto"/>
              <w:right w:val="single" w:sz="4" w:space="0" w:color="auto"/>
            </w:tcBorders>
            <w:shd w:val="clear" w:color="auto" w:fill="auto"/>
            <w:noWrap/>
            <w:vAlign w:val="bottom"/>
            <w:hideMark/>
          </w:tcPr>
          <w:p w14:paraId="24E08CB4"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5582A69D"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103EAAFB"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4F321FC5"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50F9B86F"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17255B6F"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0F317463"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774AC33E"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5AD71CEF"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17DC85DB"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3</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14:paraId="0207F1B0"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41100395</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05CF9939"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ALVARADO OROPEZA AMALIA</w:t>
            </w:r>
          </w:p>
        </w:tc>
        <w:tc>
          <w:tcPr>
            <w:tcW w:w="406" w:type="dxa"/>
            <w:tcBorders>
              <w:top w:val="nil"/>
              <w:left w:val="nil"/>
              <w:bottom w:val="single" w:sz="4" w:space="0" w:color="auto"/>
              <w:right w:val="single" w:sz="4" w:space="0" w:color="auto"/>
            </w:tcBorders>
            <w:shd w:val="clear" w:color="auto" w:fill="auto"/>
            <w:noWrap/>
            <w:vAlign w:val="bottom"/>
            <w:hideMark/>
          </w:tcPr>
          <w:p w14:paraId="0835E09A"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15F62398"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1EC03685"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4EF85705"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282F3854"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3690BC5E"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6997316C"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684FDCD1"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5453EFF4"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097DE2F5"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14:paraId="3D787438"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41110075</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510F706B"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CARMONA RODRÍGUEZ EVA</w:t>
            </w:r>
          </w:p>
        </w:tc>
        <w:tc>
          <w:tcPr>
            <w:tcW w:w="406" w:type="dxa"/>
            <w:tcBorders>
              <w:top w:val="nil"/>
              <w:left w:val="nil"/>
              <w:bottom w:val="single" w:sz="4" w:space="0" w:color="auto"/>
              <w:right w:val="single" w:sz="4" w:space="0" w:color="auto"/>
            </w:tcBorders>
            <w:shd w:val="clear" w:color="auto" w:fill="auto"/>
            <w:noWrap/>
            <w:vAlign w:val="bottom"/>
            <w:hideMark/>
          </w:tcPr>
          <w:p w14:paraId="58589E2C"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5AB8EE00"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038F650C"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2F24382E"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1B8C06BE"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65EB6C2E"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13A213A7"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4BD8B992"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4BA69081"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33293C48"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5</w:t>
            </w:r>
          </w:p>
        </w:tc>
        <w:tc>
          <w:tcPr>
            <w:tcW w:w="923" w:type="dxa"/>
            <w:tcBorders>
              <w:top w:val="nil"/>
              <w:left w:val="single" w:sz="4" w:space="0" w:color="auto"/>
              <w:bottom w:val="nil"/>
              <w:right w:val="single" w:sz="4" w:space="0" w:color="auto"/>
            </w:tcBorders>
            <w:shd w:val="clear" w:color="auto" w:fill="auto"/>
            <w:noWrap/>
            <w:vAlign w:val="bottom"/>
            <w:hideMark/>
          </w:tcPr>
          <w:p w14:paraId="4FFA6B6D"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41110106</w:t>
            </w:r>
          </w:p>
        </w:tc>
        <w:tc>
          <w:tcPr>
            <w:tcW w:w="2035" w:type="dxa"/>
            <w:gridSpan w:val="2"/>
            <w:tcBorders>
              <w:top w:val="nil"/>
              <w:left w:val="nil"/>
              <w:bottom w:val="nil"/>
              <w:right w:val="single" w:sz="4" w:space="0" w:color="auto"/>
            </w:tcBorders>
            <w:shd w:val="clear" w:color="auto" w:fill="auto"/>
            <w:noWrap/>
            <w:vAlign w:val="bottom"/>
            <w:hideMark/>
          </w:tcPr>
          <w:p w14:paraId="54F80332"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VIVEROS MAR ANA LIDIA</w:t>
            </w:r>
          </w:p>
        </w:tc>
        <w:tc>
          <w:tcPr>
            <w:tcW w:w="406" w:type="dxa"/>
            <w:tcBorders>
              <w:top w:val="nil"/>
              <w:left w:val="nil"/>
              <w:bottom w:val="single" w:sz="4" w:space="0" w:color="auto"/>
              <w:right w:val="single" w:sz="4" w:space="0" w:color="auto"/>
            </w:tcBorders>
            <w:shd w:val="clear" w:color="auto" w:fill="auto"/>
            <w:noWrap/>
            <w:vAlign w:val="bottom"/>
            <w:hideMark/>
          </w:tcPr>
          <w:p w14:paraId="499F83C2"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078E8737"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01E60560"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7068F6C9"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05D05EBB"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25CEF118"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0F03F24C"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25731984"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6D474683"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50027D81"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6</w:t>
            </w: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959323"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41122730</w:t>
            </w:r>
          </w:p>
        </w:tc>
        <w:tc>
          <w:tcPr>
            <w:tcW w:w="2035" w:type="dxa"/>
            <w:gridSpan w:val="2"/>
            <w:tcBorders>
              <w:top w:val="single" w:sz="4" w:space="0" w:color="auto"/>
              <w:left w:val="nil"/>
              <w:bottom w:val="single" w:sz="4" w:space="0" w:color="auto"/>
              <w:right w:val="single" w:sz="4" w:space="0" w:color="auto"/>
            </w:tcBorders>
            <w:shd w:val="clear" w:color="auto" w:fill="auto"/>
            <w:noWrap/>
            <w:vAlign w:val="bottom"/>
            <w:hideMark/>
          </w:tcPr>
          <w:p w14:paraId="273A4DF4"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HERNÁNDEZ SANTIAGO ODÍAS</w:t>
            </w:r>
          </w:p>
        </w:tc>
        <w:tc>
          <w:tcPr>
            <w:tcW w:w="406" w:type="dxa"/>
            <w:tcBorders>
              <w:top w:val="nil"/>
              <w:left w:val="nil"/>
              <w:bottom w:val="single" w:sz="4" w:space="0" w:color="auto"/>
              <w:right w:val="single" w:sz="4" w:space="0" w:color="auto"/>
            </w:tcBorders>
            <w:shd w:val="clear" w:color="auto" w:fill="auto"/>
            <w:noWrap/>
            <w:vAlign w:val="bottom"/>
            <w:hideMark/>
          </w:tcPr>
          <w:p w14:paraId="02CD51E0"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19CAB5C0"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10AB4326"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153BBC5C"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2FB5C7B3"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6BBAF34B"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7E147935"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727AD4EC"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57F28002"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6268F544"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7</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14:paraId="6F961E46"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41134909</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6D1444D6"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MÉNDEZ ÁLVAREZ DOMINGO</w:t>
            </w:r>
          </w:p>
        </w:tc>
        <w:tc>
          <w:tcPr>
            <w:tcW w:w="406" w:type="dxa"/>
            <w:tcBorders>
              <w:top w:val="nil"/>
              <w:left w:val="nil"/>
              <w:bottom w:val="single" w:sz="4" w:space="0" w:color="auto"/>
              <w:right w:val="single" w:sz="4" w:space="0" w:color="auto"/>
            </w:tcBorders>
            <w:shd w:val="clear" w:color="auto" w:fill="auto"/>
            <w:noWrap/>
            <w:vAlign w:val="bottom"/>
            <w:hideMark/>
          </w:tcPr>
          <w:p w14:paraId="3DA1A4AD"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7D376014"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506DDA4C"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215C7957"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73A7CF60"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07CB8EBD"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272F9BB0"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68747D29"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460C4EDE"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0D25BF12"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8</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14:paraId="7C1FD00E"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41139314</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6B7DA3F7"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GASPAR ALVA RAMÓN</w:t>
            </w:r>
          </w:p>
        </w:tc>
        <w:tc>
          <w:tcPr>
            <w:tcW w:w="406" w:type="dxa"/>
            <w:tcBorders>
              <w:top w:val="nil"/>
              <w:left w:val="nil"/>
              <w:bottom w:val="single" w:sz="4" w:space="0" w:color="auto"/>
              <w:right w:val="single" w:sz="4" w:space="0" w:color="auto"/>
            </w:tcBorders>
            <w:shd w:val="clear" w:color="auto" w:fill="auto"/>
            <w:noWrap/>
            <w:vAlign w:val="bottom"/>
            <w:hideMark/>
          </w:tcPr>
          <w:p w14:paraId="4E0836BC"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2C28BBD1"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31B9FB85"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46F2F8CE"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723FC85B"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13F63CE1"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688A33EA"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18F69058"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4909939F"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613A7EC0"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9</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14:paraId="1C1D7F5E"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41154485</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32ABF70A"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GUDIÑO DE SANTIAGO YOHANI</w:t>
            </w:r>
          </w:p>
        </w:tc>
        <w:tc>
          <w:tcPr>
            <w:tcW w:w="406" w:type="dxa"/>
            <w:tcBorders>
              <w:top w:val="nil"/>
              <w:left w:val="nil"/>
              <w:bottom w:val="single" w:sz="4" w:space="0" w:color="auto"/>
              <w:right w:val="single" w:sz="4" w:space="0" w:color="auto"/>
            </w:tcBorders>
            <w:shd w:val="clear" w:color="auto" w:fill="auto"/>
            <w:noWrap/>
            <w:vAlign w:val="bottom"/>
            <w:hideMark/>
          </w:tcPr>
          <w:p w14:paraId="0A3115D3"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181EF54E"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76B566E8"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2839CD9D"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4C91D946"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12493916"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1E1FAEA0"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407AFB5A"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4494E024"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0F711222"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10</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14:paraId="7FD14DE2"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41154493</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1BA5C566"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VAZQUEZ ROQUE JUANA DE JESÚS</w:t>
            </w:r>
          </w:p>
        </w:tc>
        <w:tc>
          <w:tcPr>
            <w:tcW w:w="406" w:type="dxa"/>
            <w:tcBorders>
              <w:top w:val="nil"/>
              <w:left w:val="nil"/>
              <w:bottom w:val="single" w:sz="4" w:space="0" w:color="auto"/>
              <w:right w:val="single" w:sz="4" w:space="0" w:color="auto"/>
            </w:tcBorders>
            <w:shd w:val="clear" w:color="auto" w:fill="auto"/>
            <w:noWrap/>
            <w:vAlign w:val="bottom"/>
            <w:hideMark/>
          </w:tcPr>
          <w:p w14:paraId="41929BEB"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30745340"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79AA7FA9"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1CF06631"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4D8D1993"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391B09F3"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5D59782E"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4C6472CC"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6082E8CD"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1E678B5D"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11</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14:paraId="055A30CD"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41154535</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700EDCEB"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VASQUEZ CASTAÑEDA BRENDA YURITZI</w:t>
            </w:r>
          </w:p>
        </w:tc>
        <w:tc>
          <w:tcPr>
            <w:tcW w:w="406" w:type="dxa"/>
            <w:tcBorders>
              <w:top w:val="nil"/>
              <w:left w:val="nil"/>
              <w:bottom w:val="single" w:sz="4" w:space="0" w:color="auto"/>
              <w:right w:val="single" w:sz="4" w:space="0" w:color="auto"/>
            </w:tcBorders>
            <w:shd w:val="clear" w:color="auto" w:fill="auto"/>
            <w:noWrap/>
            <w:vAlign w:val="bottom"/>
            <w:hideMark/>
          </w:tcPr>
          <w:p w14:paraId="053E2946"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3CC20652"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7A7951DA"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1B45FEC6"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674BBF07"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5FEC6C39"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0C00AA24"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108BDBFB"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0D9E9CE1"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1929D84B"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12</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14:paraId="755B6439"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41154592</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4E20DAA3"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GÓMEZ SANTOS MARISOL</w:t>
            </w:r>
          </w:p>
        </w:tc>
        <w:tc>
          <w:tcPr>
            <w:tcW w:w="406" w:type="dxa"/>
            <w:tcBorders>
              <w:top w:val="nil"/>
              <w:left w:val="nil"/>
              <w:bottom w:val="single" w:sz="4" w:space="0" w:color="auto"/>
              <w:right w:val="single" w:sz="4" w:space="0" w:color="auto"/>
            </w:tcBorders>
            <w:shd w:val="clear" w:color="auto" w:fill="auto"/>
            <w:noWrap/>
            <w:vAlign w:val="bottom"/>
            <w:hideMark/>
          </w:tcPr>
          <w:p w14:paraId="5D7089D6"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4164C2CA"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51919660"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5942B64B"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6F5837C8"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2660DA03"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6C985D5C"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2C427C13"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6736DC4C"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18F50B27"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13</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14:paraId="0BB99F7A"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41154675</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6B27C9A9"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GATICA SÁNCHEZ OLI ADELA</w:t>
            </w:r>
          </w:p>
        </w:tc>
        <w:tc>
          <w:tcPr>
            <w:tcW w:w="406" w:type="dxa"/>
            <w:tcBorders>
              <w:top w:val="nil"/>
              <w:left w:val="nil"/>
              <w:bottom w:val="single" w:sz="4" w:space="0" w:color="auto"/>
              <w:right w:val="single" w:sz="4" w:space="0" w:color="auto"/>
            </w:tcBorders>
            <w:shd w:val="clear" w:color="auto" w:fill="auto"/>
            <w:noWrap/>
            <w:vAlign w:val="bottom"/>
            <w:hideMark/>
          </w:tcPr>
          <w:p w14:paraId="70703707"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1BFBF145"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2B63A2EF"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286E6D83"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2F6C0765"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5E646822"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4CFBD444"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740B0E77"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1106A716"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3EAE2D32"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14</w:t>
            </w:r>
          </w:p>
        </w:tc>
        <w:tc>
          <w:tcPr>
            <w:tcW w:w="923" w:type="dxa"/>
            <w:tcBorders>
              <w:top w:val="nil"/>
              <w:left w:val="single" w:sz="4" w:space="0" w:color="auto"/>
              <w:bottom w:val="single" w:sz="4" w:space="0" w:color="auto"/>
              <w:right w:val="single" w:sz="4" w:space="0" w:color="auto"/>
            </w:tcBorders>
            <w:shd w:val="clear" w:color="auto" w:fill="auto"/>
            <w:noWrap/>
            <w:vAlign w:val="center"/>
            <w:hideMark/>
          </w:tcPr>
          <w:p w14:paraId="3B08ABFC"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411589008</w:t>
            </w:r>
          </w:p>
        </w:tc>
        <w:tc>
          <w:tcPr>
            <w:tcW w:w="2035" w:type="dxa"/>
            <w:gridSpan w:val="2"/>
            <w:tcBorders>
              <w:top w:val="nil"/>
              <w:left w:val="nil"/>
              <w:bottom w:val="single" w:sz="4" w:space="0" w:color="auto"/>
              <w:right w:val="single" w:sz="4" w:space="0" w:color="auto"/>
            </w:tcBorders>
            <w:shd w:val="clear" w:color="auto" w:fill="auto"/>
            <w:noWrap/>
            <w:vAlign w:val="center"/>
            <w:hideMark/>
          </w:tcPr>
          <w:p w14:paraId="56BAADB3"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GÓMEZ GUTIÉRREZ LUIS MANUEL</w:t>
            </w:r>
          </w:p>
        </w:tc>
        <w:tc>
          <w:tcPr>
            <w:tcW w:w="406" w:type="dxa"/>
            <w:tcBorders>
              <w:top w:val="nil"/>
              <w:left w:val="nil"/>
              <w:bottom w:val="single" w:sz="4" w:space="0" w:color="auto"/>
              <w:right w:val="single" w:sz="4" w:space="0" w:color="auto"/>
            </w:tcBorders>
            <w:shd w:val="clear" w:color="auto" w:fill="auto"/>
            <w:noWrap/>
            <w:vAlign w:val="bottom"/>
            <w:hideMark/>
          </w:tcPr>
          <w:p w14:paraId="52A68CFC"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5A7B7B08"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4E2BD9CA"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034F0C34"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0A93D700"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64ABBFA4"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2BE3E098"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602BF298"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4B68C923" w14:textId="77777777"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14:paraId="47449FC1"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15</w:t>
            </w:r>
          </w:p>
        </w:tc>
        <w:tc>
          <w:tcPr>
            <w:tcW w:w="923" w:type="dxa"/>
            <w:tcBorders>
              <w:top w:val="nil"/>
              <w:left w:val="single" w:sz="4" w:space="0" w:color="auto"/>
              <w:bottom w:val="single" w:sz="4" w:space="0" w:color="auto"/>
              <w:right w:val="single" w:sz="4" w:space="0" w:color="auto"/>
            </w:tcBorders>
            <w:shd w:val="clear" w:color="auto" w:fill="auto"/>
            <w:noWrap/>
            <w:vAlign w:val="center"/>
            <w:hideMark/>
          </w:tcPr>
          <w:p w14:paraId="2EB181C3" w14:textId="77777777"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411589008</w:t>
            </w:r>
          </w:p>
        </w:tc>
        <w:tc>
          <w:tcPr>
            <w:tcW w:w="2035" w:type="dxa"/>
            <w:gridSpan w:val="2"/>
            <w:tcBorders>
              <w:top w:val="nil"/>
              <w:left w:val="nil"/>
              <w:bottom w:val="single" w:sz="4" w:space="0" w:color="auto"/>
              <w:right w:val="single" w:sz="4" w:space="0" w:color="auto"/>
            </w:tcBorders>
            <w:shd w:val="clear" w:color="auto" w:fill="auto"/>
            <w:noWrap/>
            <w:vAlign w:val="center"/>
            <w:hideMark/>
          </w:tcPr>
          <w:p w14:paraId="6ACBD6BA"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GUTIÉRREZ LUIS MANUEL</w:t>
            </w:r>
          </w:p>
        </w:tc>
        <w:tc>
          <w:tcPr>
            <w:tcW w:w="406" w:type="dxa"/>
            <w:tcBorders>
              <w:top w:val="nil"/>
              <w:left w:val="nil"/>
              <w:bottom w:val="single" w:sz="4" w:space="0" w:color="auto"/>
              <w:right w:val="single" w:sz="4" w:space="0" w:color="auto"/>
            </w:tcBorders>
            <w:shd w:val="clear" w:color="auto" w:fill="auto"/>
            <w:noWrap/>
            <w:vAlign w:val="bottom"/>
            <w:hideMark/>
          </w:tcPr>
          <w:p w14:paraId="28F982F3"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14:paraId="072174FB"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14:paraId="2991665A"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14:paraId="4A1041C4" w14:textId="77777777"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14:paraId="6CB7E972"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14:paraId="6683B42C"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14:paraId="65A3DC44"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14:paraId="5A460633"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14:paraId="0BF90D0D" w14:textId="77777777" w:rsidTr="009D0CA2">
        <w:trPr>
          <w:gridAfter w:val="3"/>
          <w:wAfter w:w="1959" w:type="dxa"/>
          <w:trHeight w:val="510"/>
        </w:trPr>
        <w:tc>
          <w:tcPr>
            <w:tcW w:w="1395" w:type="dxa"/>
            <w:gridSpan w:val="3"/>
            <w:tcBorders>
              <w:top w:val="nil"/>
              <w:left w:val="nil"/>
              <w:bottom w:val="nil"/>
              <w:right w:val="nil"/>
            </w:tcBorders>
            <w:shd w:val="clear" w:color="auto" w:fill="auto"/>
            <w:noWrap/>
            <w:vAlign w:val="bottom"/>
            <w:hideMark/>
          </w:tcPr>
          <w:p w14:paraId="0DF9322A"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FIRMA</w:t>
            </w:r>
          </w:p>
        </w:tc>
        <w:tc>
          <w:tcPr>
            <w:tcW w:w="4085" w:type="dxa"/>
            <w:gridSpan w:val="5"/>
            <w:tcBorders>
              <w:top w:val="nil"/>
              <w:left w:val="nil"/>
              <w:bottom w:val="single" w:sz="4" w:space="0" w:color="auto"/>
              <w:right w:val="nil"/>
            </w:tcBorders>
            <w:shd w:val="clear" w:color="auto" w:fill="auto"/>
            <w:noWrap/>
            <w:vAlign w:val="bottom"/>
            <w:hideMark/>
          </w:tcPr>
          <w:p w14:paraId="2C061EB2"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98" w:type="dxa"/>
            <w:tcBorders>
              <w:top w:val="nil"/>
              <w:left w:val="nil"/>
              <w:bottom w:val="single" w:sz="4" w:space="0" w:color="auto"/>
              <w:right w:val="nil"/>
            </w:tcBorders>
            <w:shd w:val="clear" w:color="auto" w:fill="auto"/>
            <w:noWrap/>
            <w:vAlign w:val="bottom"/>
            <w:hideMark/>
          </w:tcPr>
          <w:p w14:paraId="01D4574D"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98" w:type="dxa"/>
            <w:tcBorders>
              <w:top w:val="nil"/>
              <w:left w:val="nil"/>
              <w:bottom w:val="single" w:sz="4" w:space="0" w:color="auto"/>
              <w:right w:val="nil"/>
            </w:tcBorders>
            <w:shd w:val="clear" w:color="auto" w:fill="auto"/>
            <w:noWrap/>
            <w:vAlign w:val="bottom"/>
            <w:hideMark/>
          </w:tcPr>
          <w:p w14:paraId="4A25E722"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755" w:type="dxa"/>
            <w:gridSpan w:val="2"/>
            <w:tcBorders>
              <w:top w:val="nil"/>
              <w:left w:val="nil"/>
              <w:bottom w:val="nil"/>
              <w:right w:val="nil"/>
            </w:tcBorders>
            <w:shd w:val="clear" w:color="auto" w:fill="auto"/>
            <w:noWrap/>
            <w:vAlign w:val="bottom"/>
            <w:hideMark/>
          </w:tcPr>
          <w:p w14:paraId="2B20EC1B" w14:textId="77777777" w:rsidR="00BF7076" w:rsidRPr="00A03855" w:rsidRDefault="00BF7076" w:rsidP="00BF7076">
            <w:pPr>
              <w:spacing w:after="0" w:line="240" w:lineRule="auto"/>
              <w:rPr>
                <w:rFonts w:cs="Calibri"/>
                <w:color w:val="000000"/>
                <w:sz w:val="16"/>
                <w:szCs w:val="16"/>
              </w:rPr>
            </w:pPr>
          </w:p>
        </w:tc>
        <w:tc>
          <w:tcPr>
            <w:tcW w:w="188" w:type="dxa"/>
            <w:tcBorders>
              <w:top w:val="nil"/>
              <w:left w:val="nil"/>
              <w:bottom w:val="nil"/>
              <w:right w:val="nil"/>
            </w:tcBorders>
            <w:shd w:val="clear" w:color="auto" w:fill="auto"/>
            <w:noWrap/>
            <w:vAlign w:val="bottom"/>
            <w:hideMark/>
          </w:tcPr>
          <w:p w14:paraId="290E8FBE" w14:textId="77777777" w:rsidR="00BF7076" w:rsidRPr="00A03855" w:rsidRDefault="00BF7076" w:rsidP="00BF7076">
            <w:pPr>
              <w:spacing w:after="0" w:line="240" w:lineRule="auto"/>
              <w:rPr>
                <w:rFonts w:ascii="Times New Roman" w:hAnsi="Times New Roman"/>
                <w:sz w:val="16"/>
                <w:szCs w:val="16"/>
              </w:rPr>
            </w:pPr>
          </w:p>
        </w:tc>
        <w:tc>
          <w:tcPr>
            <w:tcW w:w="180" w:type="dxa"/>
            <w:tcBorders>
              <w:top w:val="nil"/>
              <w:left w:val="nil"/>
              <w:bottom w:val="nil"/>
              <w:right w:val="nil"/>
            </w:tcBorders>
            <w:shd w:val="clear" w:color="auto" w:fill="auto"/>
            <w:noWrap/>
            <w:vAlign w:val="bottom"/>
            <w:hideMark/>
          </w:tcPr>
          <w:p w14:paraId="2EAD2DE3" w14:textId="77777777" w:rsidR="00BF7076" w:rsidRPr="00A03855" w:rsidRDefault="00BF7076" w:rsidP="00BF7076">
            <w:pPr>
              <w:spacing w:after="0" w:line="240" w:lineRule="auto"/>
              <w:rPr>
                <w:rFonts w:ascii="Times New Roman" w:hAnsi="Times New Roman"/>
                <w:sz w:val="16"/>
                <w:szCs w:val="16"/>
              </w:rPr>
            </w:pPr>
          </w:p>
        </w:tc>
        <w:tc>
          <w:tcPr>
            <w:tcW w:w="160" w:type="dxa"/>
            <w:tcBorders>
              <w:top w:val="nil"/>
              <w:left w:val="nil"/>
              <w:bottom w:val="nil"/>
              <w:right w:val="nil"/>
            </w:tcBorders>
            <w:shd w:val="clear" w:color="auto" w:fill="auto"/>
            <w:noWrap/>
            <w:vAlign w:val="bottom"/>
            <w:hideMark/>
          </w:tcPr>
          <w:p w14:paraId="44C62A57" w14:textId="77777777" w:rsidR="00BF7076" w:rsidRPr="00A03855" w:rsidRDefault="00BF7076" w:rsidP="00BF7076">
            <w:pPr>
              <w:spacing w:after="0" w:line="240" w:lineRule="auto"/>
              <w:rPr>
                <w:rFonts w:ascii="Times New Roman" w:hAnsi="Times New Roman"/>
                <w:sz w:val="16"/>
                <w:szCs w:val="16"/>
              </w:rPr>
            </w:pPr>
          </w:p>
        </w:tc>
        <w:tc>
          <w:tcPr>
            <w:tcW w:w="1146" w:type="dxa"/>
            <w:tcBorders>
              <w:top w:val="nil"/>
              <w:left w:val="nil"/>
              <w:bottom w:val="nil"/>
              <w:right w:val="nil"/>
            </w:tcBorders>
            <w:shd w:val="clear" w:color="auto" w:fill="auto"/>
            <w:noWrap/>
            <w:vAlign w:val="bottom"/>
            <w:hideMark/>
          </w:tcPr>
          <w:p w14:paraId="01533363" w14:textId="77777777" w:rsidR="00BF7076" w:rsidRPr="00A03855" w:rsidRDefault="00BF7076" w:rsidP="00BF7076">
            <w:pPr>
              <w:spacing w:after="0" w:line="240" w:lineRule="auto"/>
              <w:rPr>
                <w:rFonts w:ascii="Times New Roman" w:hAnsi="Times New Roman"/>
                <w:sz w:val="16"/>
                <w:szCs w:val="16"/>
              </w:rPr>
            </w:pPr>
          </w:p>
        </w:tc>
        <w:tc>
          <w:tcPr>
            <w:tcW w:w="898" w:type="dxa"/>
            <w:gridSpan w:val="3"/>
            <w:tcBorders>
              <w:top w:val="nil"/>
              <w:left w:val="nil"/>
              <w:bottom w:val="nil"/>
              <w:right w:val="nil"/>
            </w:tcBorders>
            <w:shd w:val="clear" w:color="auto" w:fill="auto"/>
            <w:noWrap/>
            <w:vAlign w:val="bottom"/>
            <w:hideMark/>
          </w:tcPr>
          <w:p w14:paraId="6FE70007" w14:textId="77777777" w:rsidR="00BF7076" w:rsidRPr="00A03855" w:rsidRDefault="00BF7076" w:rsidP="00BF7076">
            <w:pPr>
              <w:spacing w:after="0" w:line="240" w:lineRule="auto"/>
              <w:rPr>
                <w:rFonts w:ascii="Times New Roman" w:hAnsi="Times New Roman"/>
                <w:sz w:val="16"/>
                <w:szCs w:val="16"/>
              </w:rPr>
            </w:pPr>
          </w:p>
        </w:tc>
      </w:tr>
      <w:tr w:rsidR="00A03855" w:rsidRPr="00A03855" w14:paraId="4224A87D" w14:textId="77777777" w:rsidTr="009D0CA2">
        <w:trPr>
          <w:gridAfter w:val="3"/>
          <w:wAfter w:w="1959" w:type="dxa"/>
          <w:trHeight w:val="630"/>
        </w:trPr>
        <w:tc>
          <w:tcPr>
            <w:tcW w:w="1395" w:type="dxa"/>
            <w:gridSpan w:val="3"/>
            <w:tcBorders>
              <w:top w:val="nil"/>
              <w:left w:val="nil"/>
              <w:bottom w:val="nil"/>
              <w:right w:val="nil"/>
            </w:tcBorders>
            <w:shd w:val="clear" w:color="auto" w:fill="auto"/>
            <w:noWrap/>
            <w:vAlign w:val="bottom"/>
            <w:hideMark/>
          </w:tcPr>
          <w:p w14:paraId="6C765827"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FECHA</w:t>
            </w:r>
          </w:p>
        </w:tc>
        <w:tc>
          <w:tcPr>
            <w:tcW w:w="4085" w:type="dxa"/>
            <w:gridSpan w:val="5"/>
            <w:tcBorders>
              <w:top w:val="nil"/>
              <w:left w:val="nil"/>
              <w:bottom w:val="single" w:sz="4" w:space="0" w:color="auto"/>
              <w:right w:val="nil"/>
            </w:tcBorders>
            <w:shd w:val="clear" w:color="auto" w:fill="auto"/>
            <w:noWrap/>
            <w:vAlign w:val="bottom"/>
            <w:hideMark/>
          </w:tcPr>
          <w:p w14:paraId="1320C55C"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98" w:type="dxa"/>
            <w:tcBorders>
              <w:top w:val="nil"/>
              <w:left w:val="nil"/>
              <w:bottom w:val="single" w:sz="4" w:space="0" w:color="auto"/>
              <w:right w:val="nil"/>
            </w:tcBorders>
            <w:shd w:val="clear" w:color="auto" w:fill="auto"/>
            <w:noWrap/>
            <w:vAlign w:val="bottom"/>
            <w:hideMark/>
          </w:tcPr>
          <w:p w14:paraId="6B401131"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98" w:type="dxa"/>
            <w:tcBorders>
              <w:top w:val="nil"/>
              <w:left w:val="nil"/>
              <w:bottom w:val="single" w:sz="4" w:space="0" w:color="auto"/>
              <w:right w:val="nil"/>
            </w:tcBorders>
            <w:shd w:val="clear" w:color="auto" w:fill="auto"/>
            <w:noWrap/>
            <w:vAlign w:val="bottom"/>
            <w:hideMark/>
          </w:tcPr>
          <w:p w14:paraId="13E07C8A" w14:textId="77777777"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755" w:type="dxa"/>
            <w:gridSpan w:val="2"/>
            <w:tcBorders>
              <w:top w:val="nil"/>
              <w:left w:val="nil"/>
              <w:bottom w:val="nil"/>
              <w:right w:val="nil"/>
            </w:tcBorders>
            <w:shd w:val="clear" w:color="auto" w:fill="auto"/>
            <w:noWrap/>
            <w:vAlign w:val="bottom"/>
            <w:hideMark/>
          </w:tcPr>
          <w:p w14:paraId="261677CD" w14:textId="77777777" w:rsidR="00BF7076" w:rsidRPr="00A03855" w:rsidRDefault="00BF7076" w:rsidP="00BF7076">
            <w:pPr>
              <w:spacing w:after="0" w:line="240" w:lineRule="auto"/>
              <w:rPr>
                <w:rFonts w:cs="Calibri"/>
                <w:color w:val="000000"/>
                <w:sz w:val="16"/>
                <w:szCs w:val="16"/>
              </w:rPr>
            </w:pPr>
          </w:p>
        </w:tc>
        <w:tc>
          <w:tcPr>
            <w:tcW w:w="188" w:type="dxa"/>
            <w:tcBorders>
              <w:top w:val="nil"/>
              <w:left w:val="nil"/>
              <w:bottom w:val="nil"/>
              <w:right w:val="nil"/>
            </w:tcBorders>
            <w:shd w:val="clear" w:color="auto" w:fill="auto"/>
            <w:noWrap/>
            <w:vAlign w:val="bottom"/>
            <w:hideMark/>
          </w:tcPr>
          <w:p w14:paraId="46FEB9C1" w14:textId="77777777" w:rsidR="00BF7076" w:rsidRPr="00A03855" w:rsidRDefault="00BF7076" w:rsidP="00BF7076">
            <w:pPr>
              <w:spacing w:after="0" w:line="240" w:lineRule="auto"/>
              <w:rPr>
                <w:rFonts w:ascii="Times New Roman" w:hAnsi="Times New Roman"/>
                <w:sz w:val="16"/>
                <w:szCs w:val="16"/>
              </w:rPr>
            </w:pPr>
          </w:p>
        </w:tc>
        <w:tc>
          <w:tcPr>
            <w:tcW w:w="180" w:type="dxa"/>
            <w:tcBorders>
              <w:top w:val="nil"/>
              <w:left w:val="nil"/>
              <w:bottom w:val="nil"/>
              <w:right w:val="nil"/>
            </w:tcBorders>
            <w:shd w:val="clear" w:color="auto" w:fill="auto"/>
            <w:noWrap/>
            <w:vAlign w:val="bottom"/>
            <w:hideMark/>
          </w:tcPr>
          <w:p w14:paraId="3529097D" w14:textId="77777777" w:rsidR="00BF7076" w:rsidRPr="00A03855" w:rsidRDefault="00BF7076" w:rsidP="00BF7076">
            <w:pPr>
              <w:spacing w:after="0" w:line="240" w:lineRule="auto"/>
              <w:rPr>
                <w:rFonts w:ascii="Times New Roman" w:hAnsi="Times New Roman"/>
                <w:sz w:val="16"/>
                <w:szCs w:val="16"/>
              </w:rPr>
            </w:pPr>
          </w:p>
        </w:tc>
        <w:tc>
          <w:tcPr>
            <w:tcW w:w="160" w:type="dxa"/>
            <w:tcBorders>
              <w:top w:val="nil"/>
              <w:left w:val="nil"/>
              <w:bottom w:val="nil"/>
              <w:right w:val="nil"/>
            </w:tcBorders>
            <w:shd w:val="clear" w:color="auto" w:fill="auto"/>
            <w:noWrap/>
            <w:vAlign w:val="bottom"/>
            <w:hideMark/>
          </w:tcPr>
          <w:p w14:paraId="025DDB3A" w14:textId="77777777" w:rsidR="00BF7076" w:rsidRPr="00A03855" w:rsidRDefault="00BF7076" w:rsidP="00BF7076">
            <w:pPr>
              <w:spacing w:after="0" w:line="240" w:lineRule="auto"/>
              <w:rPr>
                <w:rFonts w:ascii="Times New Roman" w:hAnsi="Times New Roman"/>
                <w:sz w:val="16"/>
                <w:szCs w:val="16"/>
              </w:rPr>
            </w:pPr>
          </w:p>
        </w:tc>
        <w:tc>
          <w:tcPr>
            <w:tcW w:w="1146" w:type="dxa"/>
            <w:tcBorders>
              <w:top w:val="nil"/>
              <w:left w:val="nil"/>
              <w:bottom w:val="nil"/>
              <w:right w:val="nil"/>
            </w:tcBorders>
            <w:shd w:val="clear" w:color="auto" w:fill="auto"/>
            <w:noWrap/>
            <w:vAlign w:val="bottom"/>
            <w:hideMark/>
          </w:tcPr>
          <w:p w14:paraId="65AFF93D" w14:textId="77777777" w:rsidR="00BF7076" w:rsidRPr="00A03855" w:rsidRDefault="00BF7076" w:rsidP="00BF7076">
            <w:pPr>
              <w:spacing w:after="0" w:line="240" w:lineRule="auto"/>
              <w:rPr>
                <w:rFonts w:ascii="Times New Roman" w:hAnsi="Times New Roman"/>
                <w:sz w:val="16"/>
                <w:szCs w:val="16"/>
              </w:rPr>
            </w:pPr>
          </w:p>
        </w:tc>
        <w:tc>
          <w:tcPr>
            <w:tcW w:w="898" w:type="dxa"/>
            <w:gridSpan w:val="3"/>
            <w:tcBorders>
              <w:top w:val="nil"/>
              <w:left w:val="nil"/>
              <w:bottom w:val="nil"/>
              <w:right w:val="nil"/>
            </w:tcBorders>
            <w:shd w:val="clear" w:color="auto" w:fill="auto"/>
            <w:noWrap/>
            <w:vAlign w:val="bottom"/>
            <w:hideMark/>
          </w:tcPr>
          <w:p w14:paraId="2AF989B5" w14:textId="77777777" w:rsidR="00BF7076" w:rsidRPr="00A03855" w:rsidRDefault="00BF7076" w:rsidP="00BF7076">
            <w:pPr>
              <w:spacing w:after="0" w:line="240" w:lineRule="auto"/>
              <w:rPr>
                <w:rFonts w:ascii="Times New Roman" w:hAnsi="Times New Roman"/>
                <w:sz w:val="16"/>
                <w:szCs w:val="16"/>
              </w:rPr>
            </w:pPr>
          </w:p>
        </w:tc>
      </w:tr>
    </w:tbl>
    <w:p w14:paraId="1360A50B" w14:textId="77777777" w:rsidR="00BF7076" w:rsidRPr="00A03855" w:rsidRDefault="00BF7076" w:rsidP="005E47E4">
      <w:pPr>
        <w:widowControl w:val="0"/>
        <w:autoSpaceDE w:val="0"/>
        <w:autoSpaceDN w:val="0"/>
        <w:adjustRightInd w:val="0"/>
        <w:jc w:val="both"/>
        <w:rPr>
          <w:rFonts w:ascii="Arial" w:hAnsi="Arial" w:cs="Arial"/>
          <w:sz w:val="16"/>
          <w:szCs w:val="16"/>
        </w:rPr>
      </w:pPr>
    </w:p>
    <w:p w14:paraId="7DA86478" w14:textId="77777777" w:rsidR="00CB01C8" w:rsidRPr="00A03855" w:rsidRDefault="00CB01C8" w:rsidP="005E47E4">
      <w:pPr>
        <w:widowControl w:val="0"/>
        <w:autoSpaceDE w:val="0"/>
        <w:autoSpaceDN w:val="0"/>
        <w:adjustRightInd w:val="0"/>
        <w:jc w:val="both"/>
        <w:rPr>
          <w:rFonts w:ascii="Arial" w:hAnsi="Arial" w:cs="Arial"/>
          <w:b/>
          <w:sz w:val="16"/>
          <w:szCs w:val="16"/>
        </w:rPr>
      </w:pPr>
    </w:p>
    <w:p w14:paraId="5B6341FC" w14:textId="77777777" w:rsidR="0004076D" w:rsidRDefault="0004076D" w:rsidP="00A03855">
      <w:pPr>
        <w:widowControl w:val="0"/>
        <w:autoSpaceDE w:val="0"/>
        <w:autoSpaceDN w:val="0"/>
        <w:adjustRightInd w:val="0"/>
        <w:spacing w:after="0" w:line="240" w:lineRule="auto"/>
        <w:jc w:val="both"/>
        <w:rPr>
          <w:rFonts w:ascii="Arial" w:hAnsi="Arial" w:cs="Arial"/>
          <w:b/>
          <w:sz w:val="22"/>
          <w:szCs w:val="22"/>
        </w:rPr>
      </w:pPr>
    </w:p>
    <w:p w14:paraId="09E74960" w14:textId="77777777" w:rsidR="0004076D" w:rsidRDefault="0004076D" w:rsidP="00A03855">
      <w:pPr>
        <w:widowControl w:val="0"/>
        <w:autoSpaceDE w:val="0"/>
        <w:autoSpaceDN w:val="0"/>
        <w:adjustRightInd w:val="0"/>
        <w:spacing w:after="0" w:line="240" w:lineRule="auto"/>
        <w:jc w:val="both"/>
        <w:rPr>
          <w:rFonts w:ascii="Arial" w:hAnsi="Arial" w:cs="Arial"/>
          <w:b/>
          <w:sz w:val="22"/>
          <w:szCs w:val="22"/>
        </w:rPr>
      </w:pPr>
    </w:p>
    <w:p w14:paraId="08F69FC6" w14:textId="77777777" w:rsidR="0004076D" w:rsidRDefault="0004076D" w:rsidP="00A03855">
      <w:pPr>
        <w:widowControl w:val="0"/>
        <w:autoSpaceDE w:val="0"/>
        <w:autoSpaceDN w:val="0"/>
        <w:adjustRightInd w:val="0"/>
        <w:spacing w:after="0" w:line="240" w:lineRule="auto"/>
        <w:jc w:val="both"/>
        <w:rPr>
          <w:rFonts w:ascii="Arial" w:hAnsi="Arial" w:cs="Arial"/>
          <w:b/>
          <w:sz w:val="22"/>
          <w:szCs w:val="22"/>
        </w:rPr>
      </w:pPr>
    </w:p>
    <w:p w14:paraId="785C35BC" w14:textId="77777777" w:rsidR="0004076D" w:rsidRDefault="0004076D" w:rsidP="00A03855">
      <w:pPr>
        <w:widowControl w:val="0"/>
        <w:autoSpaceDE w:val="0"/>
        <w:autoSpaceDN w:val="0"/>
        <w:adjustRightInd w:val="0"/>
        <w:spacing w:after="0" w:line="240" w:lineRule="auto"/>
        <w:jc w:val="both"/>
        <w:rPr>
          <w:rFonts w:ascii="Arial" w:hAnsi="Arial" w:cs="Arial"/>
          <w:b/>
          <w:sz w:val="22"/>
          <w:szCs w:val="22"/>
        </w:rPr>
      </w:pPr>
    </w:p>
    <w:p w14:paraId="04866017" w14:textId="77777777" w:rsidR="0004076D" w:rsidRDefault="0004076D" w:rsidP="00A03855">
      <w:pPr>
        <w:widowControl w:val="0"/>
        <w:autoSpaceDE w:val="0"/>
        <w:autoSpaceDN w:val="0"/>
        <w:adjustRightInd w:val="0"/>
        <w:spacing w:after="0" w:line="240" w:lineRule="auto"/>
        <w:jc w:val="both"/>
        <w:rPr>
          <w:rFonts w:ascii="Arial" w:hAnsi="Arial" w:cs="Arial"/>
          <w:b/>
          <w:sz w:val="22"/>
          <w:szCs w:val="22"/>
        </w:rPr>
      </w:pPr>
    </w:p>
    <w:p w14:paraId="402348C1" w14:textId="77777777" w:rsidR="00D274BB" w:rsidRPr="009D0CA2" w:rsidRDefault="002F3D76" w:rsidP="00A03855">
      <w:pPr>
        <w:widowControl w:val="0"/>
        <w:autoSpaceDE w:val="0"/>
        <w:autoSpaceDN w:val="0"/>
        <w:adjustRightInd w:val="0"/>
        <w:spacing w:after="0" w:line="240" w:lineRule="auto"/>
        <w:jc w:val="both"/>
        <w:rPr>
          <w:rFonts w:ascii="Arial" w:hAnsi="Arial" w:cs="Arial"/>
          <w:b/>
          <w:sz w:val="22"/>
          <w:szCs w:val="22"/>
        </w:rPr>
      </w:pPr>
      <w:r w:rsidRPr="009D0CA2">
        <w:rPr>
          <w:rFonts w:ascii="Arial" w:hAnsi="Arial" w:cs="Arial"/>
          <w:b/>
          <w:sz w:val="22"/>
          <w:szCs w:val="22"/>
        </w:rPr>
        <w:lastRenderedPageBreak/>
        <w:t>5.16.-PROCEDIMIENTO DE ELABORACIÓN DEL PROGRAMA ANALÍTICO.</w:t>
      </w:r>
    </w:p>
    <w:p w14:paraId="24AAE304" w14:textId="77777777" w:rsidR="007F1565" w:rsidRPr="009D0CA2" w:rsidRDefault="007F1565" w:rsidP="00A03855">
      <w:pPr>
        <w:pStyle w:val="Textoindependiente2"/>
        <w:rPr>
          <w:rFonts w:cs="Arial"/>
          <w:sz w:val="22"/>
          <w:szCs w:val="22"/>
        </w:rPr>
      </w:pPr>
    </w:p>
    <w:p w14:paraId="4AD3CE32" w14:textId="77777777" w:rsidR="007F1565" w:rsidRPr="009D0CA2" w:rsidRDefault="007F1565" w:rsidP="00A03855">
      <w:pPr>
        <w:pStyle w:val="Textoindependiente2"/>
        <w:rPr>
          <w:rFonts w:cs="Arial"/>
          <w:sz w:val="22"/>
          <w:szCs w:val="22"/>
        </w:rPr>
      </w:pPr>
      <w:r w:rsidRPr="009D0CA2">
        <w:rPr>
          <w:rFonts w:cs="Arial"/>
          <w:sz w:val="22"/>
          <w:szCs w:val="22"/>
        </w:rPr>
        <w:t>El programa analítico contiene los aspectos de planeación de la materia, se utiliza como guía didáctica e identifica los propósitos formativos planteados por el profesor en concordancia con el currículo.</w:t>
      </w:r>
    </w:p>
    <w:p w14:paraId="3A9A216A" w14:textId="77777777" w:rsidR="007F1565" w:rsidRPr="009D0CA2" w:rsidRDefault="007F1565" w:rsidP="00A03855">
      <w:pPr>
        <w:pStyle w:val="Textoindependiente2"/>
        <w:rPr>
          <w:rFonts w:cs="Arial"/>
          <w:sz w:val="22"/>
          <w:szCs w:val="22"/>
        </w:rPr>
      </w:pPr>
      <w:r w:rsidRPr="009D0CA2">
        <w:rPr>
          <w:rFonts w:cs="Arial"/>
          <w:sz w:val="22"/>
          <w:szCs w:val="22"/>
        </w:rPr>
        <w:t xml:space="preserve">En la página de los sistemas internos de la universidad, específicamente </w:t>
      </w:r>
      <w:r w:rsidR="00DA1264" w:rsidRPr="009D0CA2">
        <w:rPr>
          <w:rFonts w:cs="Arial"/>
          <w:sz w:val="22"/>
          <w:szCs w:val="22"/>
        </w:rPr>
        <w:t>se encuentra el</w:t>
      </w:r>
      <w:r w:rsidRPr="009D0CA2">
        <w:rPr>
          <w:rFonts w:cs="Arial"/>
          <w:sz w:val="22"/>
          <w:szCs w:val="22"/>
        </w:rPr>
        <w:t>procedimiento para la elaboración de los programas analíticos.</w:t>
      </w:r>
    </w:p>
    <w:p w14:paraId="4600C3C3" w14:textId="77777777" w:rsidR="00DA1264" w:rsidRPr="009D0CA2" w:rsidRDefault="007F1565" w:rsidP="00A03855">
      <w:pPr>
        <w:pStyle w:val="Textoindependiente2"/>
        <w:rPr>
          <w:rFonts w:cs="Arial"/>
          <w:sz w:val="22"/>
          <w:szCs w:val="22"/>
        </w:rPr>
      </w:pPr>
      <w:r w:rsidRPr="009D0CA2">
        <w:rPr>
          <w:rFonts w:cs="Arial"/>
          <w:sz w:val="22"/>
          <w:szCs w:val="22"/>
        </w:rPr>
        <w:t>El Departamento de Botánica se ha preocupado por actualizar los programas analíticos de</w:t>
      </w:r>
      <w:r w:rsidR="00DA1264" w:rsidRPr="009D0CA2">
        <w:rPr>
          <w:rFonts w:cs="Arial"/>
          <w:sz w:val="22"/>
          <w:szCs w:val="22"/>
        </w:rPr>
        <w:t xml:space="preserve"> las materias que imparten los profesores.</w:t>
      </w:r>
    </w:p>
    <w:p w14:paraId="2662EB08" w14:textId="77777777" w:rsidR="007F1565" w:rsidRPr="009D0CA2" w:rsidRDefault="00DA1264" w:rsidP="00A03855">
      <w:pPr>
        <w:pStyle w:val="Textoindependiente2"/>
        <w:rPr>
          <w:rFonts w:cs="Arial"/>
          <w:sz w:val="22"/>
          <w:szCs w:val="22"/>
        </w:rPr>
      </w:pPr>
      <w:r w:rsidRPr="009D0CA2">
        <w:rPr>
          <w:rFonts w:cs="Arial"/>
          <w:sz w:val="22"/>
          <w:szCs w:val="22"/>
        </w:rPr>
        <w:t>La última actualización se realizó en el año 2015 y fueron enviados al Departamento de Desarrollo curricular para ser evaluados.</w:t>
      </w:r>
    </w:p>
    <w:p w14:paraId="3BDF478E" w14:textId="77777777" w:rsidR="00DA1264" w:rsidRPr="009D0CA2" w:rsidRDefault="00DA1264" w:rsidP="00A03855">
      <w:pPr>
        <w:pStyle w:val="Textoindependiente2"/>
        <w:rPr>
          <w:rFonts w:cs="Arial"/>
          <w:sz w:val="22"/>
          <w:szCs w:val="22"/>
        </w:rPr>
      </w:pPr>
      <w:r w:rsidRPr="009D0CA2">
        <w:rPr>
          <w:rFonts w:cs="Arial"/>
          <w:sz w:val="22"/>
          <w:szCs w:val="22"/>
        </w:rPr>
        <w:t>Existió la duda de cuál formato se iba a utilizar para unificar la elaboración de los programas analíticos.</w:t>
      </w:r>
    </w:p>
    <w:p w14:paraId="7FC8EE85" w14:textId="77777777" w:rsidR="00DA1264" w:rsidRPr="009D0CA2" w:rsidRDefault="00DA1264" w:rsidP="00A03855">
      <w:pPr>
        <w:pStyle w:val="Textoindependiente2"/>
        <w:rPr>
          <w:rFonts w:cs="Arial"/>
          <w:sz w:val="22"/>
          <w:szCs w:val="22"/>
        </w:rPr>
      </w:pPr>
      <w:r w:rsidRPr="009D0CA2">
        <w:rPr>
          <w:rFonts w:cs="Arial"/>
          <w:sz w:val="22"/>
          <w:szCs w:val="22"/>
        </w:rPr>
        <w:t>El trabajo de las coordinaciones de área es importante debido a que su academia especializada aporta los conocimientos para elaborar</w:t>
      </w:r>
      <w:r w:rsidR="00FB2D45" w:rsidRPr="009D0CA2">
        <w:rPr>
          <w:rFonts w:cs="Arial"/>
          <w:sz w:val="22"/>
          <w:szCs w:val="22"/>
        </w:rPr>
        <w:t xml:space="preserve"> y actualizar</w:t>
      </w:r>
      <w:r w:rsidRPr="009D0CA2">
        <w:rPr>
          <w:rFonts w:cs="Arial"/>
          <w:sz w:val="22"/>
          <w:szCs w:val="22"/>
        </w:rPr>
        <w:t xml:space="preserve"> los programas de sus materias.</w:t>
      </w:r>
    </w:p>
    <w:p w14:paraId="5A735FA6" w14:textId="77777777" w:rsidR="00DA1264" w:rsidRPr="009D0CA2" w:rsidRDefault="00DA1264" w:rsidP="00A03855">
      <w:pPr>
        <w:pStyle w:val="Textoindependiente2"/>
        <w:rPr>
          <w:rFonts w:cs="Arial"/>
          <w:sz w:val="22"/>
          <w:szCs w:val="22"/>
        </w:rPr>
      </w:pPr>
      <w:r w:rsidRPr="009D0CA2">
        <w:rPr>
          <w:rFonts w:cs="Arial"/>
          <w:sz w:val="22"/>
          <w:szCs w:val="22"/>
        </w:rPr>
        <w:t>Se debe unificar los procesos de enseñanza aprendizaje de acuerdo al Modelo Educativo establecido por la Universidad.</w:t>
      </w:r>
    </w:p>
    <w:p w14:paraId="17293C8C" w14:textId="77777777" w:rsidR="00DA1264" w:rsidRPr="009D0CA2" w:rsidRDefault="00DA1264" w:rsidP="00A03855">
      <w:pPr>
        <w:pStyle w:val="Textoindependiente2"/>
        <w:rPr>
          <w:rFonts w:cs="Arial"/>
          <w:sz w:val="22"/>
          <w:szCs w:val="22"/>
        </w:rPr>
      </w:pPr>
      <w:r w:rsidRPr="009D0CA2">
        <w:rPr>
          <w:rFonts w:cs="Arial"/>
          <w:sz w:val="22"/>
          <w:szCs w:val="22"/>
        </w:rPr>
        <w:t xml:space="preserve">Se ha propuesto </w:t>
      </w:r>
      <w:r w:rsidR="00C66C77" w:rsidRPr="009D0CA2">
        <w:rPr>
          <w:rFonts w:cs="Arial"/>
          <w:sz w:val="22"/>
          <w:szCs w:val="22"/>
        </w:rPr>
        <w:t>que las materias especializadas formen más ampliamente el aspecto práctico del estudiante con la aplicación del conocimiento.</w:t>
      </w:r>
    </w:p>
    <w:p w14:paraId="24048726" w14:textId="77777777" w:rsidR="00C66C77" w:rsidRPr="009D0CA2" w:rsidRDefault="00C66C77" w:rsidP="00A03855">
      <w:pPr>
        <w:pStyle w:val="Textoindependiente2"/>
        <w:rPr>
          <w:rFonts w:cs="Arial"/>
          <w:sz w:val="22"/>
          <w:szCs w:val="22"/>
        </w:rPr>
      </w:pPr>
      <w:r w:rsidRPr="009D0CA2">
        <w:rPr>
          <w:rFonts w:cs="Arial"/>
          <w:sz w:val="22"/>
          <w:szCs w:val="22"/>
        </w:rPr>
        <w:t>La integración de las prácticas de laboratorio o de campo a los programas analíticos son importantes y los integrantes de la academia de materia se deben poner de acuerdo  en cuales son las más convenientes para los temas importantes.</w:t>
      </w:r>
    </w:p>
    <w:p w14:paraId="5CC190CC" w14:textId="77777777" w:rsidR="00C66C77" w:rsidRPr="009D0CA2" w:rsidRDefault="00C66C77" w:rsidP="00A03855">
      <w:pPr>
        <w:pStyle w:val="Textoindependiente2"/>
        <w:rPr>
          <w:rFonts w:cs="Arial"/>
          <w:sz w:val="22"/>
          <w:szCs w:val="22"/>
        </w:rPr>
      </w:pPr>
      <w:r w:rsidRPr="009D0CA2">
        <w:rPr>
          <w:rFonts w:cs="Arial"/>
          <w:sz w:val="22"/>
          <w:szCs w:val="22"/>
        </w:rPr>
        <w:t>Los Programas Docentes requieren del trabajo del Departamento de Desarrollo Curricular para poder tener en línea todos los programas analíticos actualizados que forman parte de su Plan de Estudios ya que existen Programas analíticos que no han sido actualizados y eso afecta la calidad del Programa para ser evaluado.</w:t>
      </w:r>
    </w:p>
    <w:p w14:paraId="08DCD3B4" w14:textId="77777777" w:rsidR="00FB2D45" w:rsidRPr="009D0CA2" w:rsidRDefault="00C66C77" w:rsidP="00A03855">
      <w:pPr>
        <w:pStyle w:val="Textoindependiente2"/>
        <w:rPr>
          <w:rFonts w:cs="Arial"/>
          <w:sz w:val="22"/>
          <w:szCs w:val="22"/>
        </w:rPr>
      </w:pPr>
      <w:r w:rsidRPr="009D0CA2">
        <w:rPr>
          <w:rFonts w:cs="Arial"/>
          <w:sz w:val="22"/>
          <w:szCs w:val="22"/>
        </w:rPr>
        <w:t xml:space="preserve">La Dirección de Docencia debe tener muy claro que todo lo que implica el proceso de docencia depende de ellos ya que </w:t>
      </w:r>
      <w:r w:rsidR="00FB2D45" w:rsidRPr="009D0CA2">
        <w:rPr>
          <w:rFonts w:cs="Arial"/>
          <w:sz w:val="22"/>
          <w:szCs w:val="22"/>
        </w:rPr>
        <w:t xml:space="preserve">el trabajo de </w:t>
      </w:r>
      <w:r w:rsidRPr="009D0CA2">
        <w:rPr>
          <w:rFonts w:cs="Arial"/>
          <w:sz w:val="22"/>
          <w:szCs w:val="22"/>
        </w:rPr>
        <w:t xml:space="preserve">los Programas docentes </w:t>
      </w:r>
      <w:r w:rsidR="00FB2D45" w:rsidRPr="009D0CA2">
        <w:rPr>
          <w:rFonts w:cs="Arial"/>
          <w:sz w:val="22"/>
          <w:szCs w:val="22"/>
        </w:rPr>
        <w:t>se ve afectado por la falta de coordinación.</w:t>
      </w:r>
    </w:p>
    <w:p w14:paraId="1AB261F5" w14:textId="77777777" w:rsidR="00C66C77" w:rsidRPr="009D0CA2" w:rsidRDefault="00FB2D45" w:rsidP="00A03855">
      <w:pPr>
        <w:pStyle w:val="Textoindependiente2"/>
        <w:rPr>
          <w:rFonts w:cs="Arial"/>
          <w:sz w:val="22"/>
          <w:szCs w:val="22"/>
        </w:rPr>
      </w:pPr>
      <w:r w:rsidRPr="009D0CA2">
        <w:rPr>
          <w:rFonts w:cs="Arial"/>
          <w:sz w:val="22"/>
          <w:szCs w:val="22"/>
        </w:rPr>
        <w:t>La actualización pedagógica es importante que se lleve a cabo debido a que los profesores están especializados en un conocimiento específico pero la forma de trasmitirlo es diferente se debe lograr un aprendizaje significativo que lleve al estudiante a poner en práctica el conocimiento teórico y eso se logra con métodos o técnicas de enseñanza</w:t>
      </w:r>
      <w:r w:rsidR="00645463" w:rsidRPr="009D0CA2">
        <w:rPr>
          <w:rFonts w:cs="Arial"/>
          <w:sz w:val="22"/>
          <w:szCs w:val="22"/>
        </w:rPr>
        <w:t xml:space="preserve"> que deben estar integradas en los programas analíticos.</w:t>
      </w:r>
    </w:p>
    <w:p w14:paraId="4864A502" w14:textId="77777777" w:rsidR="00FB2D45" w:rsidRPr="009D0CA2" w:rsidRDefault="00FB2D45" w:rsidP="00A03855">
      <w:pPr>
        <w:pStyle w:val="Textoindependiente2"/>
        <w:rPr>
          <w:rFonts w:cs="Arial"/>
          <w:sz w:val="22"/>
          <w:szCs w:val="22"/>
        </w:rPr>
      </w:pPr>
    </w:p>
    <w:p w14:paraId="431675B2" w14:textId="77777777" w:rsidR="00D437DC" w:rsidRPr="009D0CA2" w:rsidRDefault="00D437DC" w:rsidP="00A03855">
      <w:pPr>
        <w:pStyle w:val="Textoindependiente2"/>
        <w:rPr>
          <w:rFonts w:cs="Arial"/>
          <w:sz w:val="22"/>
          <w:szCs w:val="22"/>
        </w:rPr>
      </w:pPr>
    </w:p>
    <w:p w14:paraId="32211053" w14:textId="77777777" w:rsidR="0004076D" w:rsidRDefault="0004076D" w:rsidP="005E47E4">
      <w:pPr>
        <w:widowControl w:val="0"/>
        <w:autoSpaceDE w:val="0"/>
        <w:autoSpaceDN w:val="0"/>
        <w:adjustRightInd w:val="0"/>
        <w:jc w:val="both"/>
        <w:rPr>
          <w:rFonts w:ascii="Arial" w:hAnsi="Arial" w:cs="Arial"/>
          <w:b/>
          <w:sz w:val="22"/>
          <w:szCs w:val="22"/>
        </w:rPr>
      </w:pPr>
    </w:p>
    <w:p w14:paraId="4BA276B9" w14:textId="77777777" w:rsidR="009D0CA2" w:rsidRDefault="009D0CA2" w:rsidP="005E47E4">
      <w:pPr>
        <w:widowControl w:val="0"/>
        <w:autoSpaceDE w:val="0"/>
        <w:autoSpaceDN w:val="0"/>
        <w:adjustRightInd w:val="0"/>
        <w:jc w:val="both"/>
        <w:rPr>
          <w:rFonts w:ascii="Arial" w:hAnsi="Arial" w:cs="Arial"/>
          <w:b/>
          <w:sz w:val="22"/>
          <w:szCs w:val="22"/>
        </w:rPr>
      </w:pPr>
    </w:p>
    <w:p w14:paraId="32B17E29" w14:textId="77777777" w:rsidR="009D0CA2" w:rsidRDefault="009D0CA2" w:rsidP="005E47E4">
      <w:pPr>
        <w:widowControl w:val="0"/>
        <w:autoSpaceDE w:val="0"/>
        <w:autoSpaceDN w:val="0"/>
        <w:adjustRightInd w:val="0"/>
        <w:jc w:val="both"/>
        <w:rPr>
          <w:rFonts w:ascii="Arial" w:hAnsi="Arial" w:cs="Arial"/>
          <w:b/>
          <w:sz w:val="22"/>
          <w:szCs w:val="22"/>
        </w:rPr>
      </w:pPr>
    </w:p>
    <w:p w14:paraId="5E41B466" w14:textId="77777777" w:rsidR="009D0CA2" w:rsidRDefault="009D0CA2" w:rsidP="005E47E4">
      <w:pPr>
        <w:widowControl w:val="0"/>
        <w:autoSpaceDE w:val="0"/>
        <w:autoSpaceDN w:val="0"/>
        <w:adjustRightInd w:val="0"/>
        <w:jc w:val="both"/>
        <w:rPr>
          <w:rFonts w:ascii="Arial" w:hAnsi="Arial" w:cs="Arial"/>
          <w:b/>
          <w:sz w:val="22"/>
          <w:szCs w:val="22"/>
        </w:rPr>
      </w:pPr>
    </w:p>
    <w:p w14:paraId="19B28E2A" w14:textId="77777777" w:rsidR="009D0CA2" w:rsidRDefault="009D0CA2" w:rsidP="005E47E4">
      <w:pPr>
        <w:widowControl w:val="0"/>
        <w:autoSpaceDE w:val="0"/>
        <w:autoSpaceDN w:val="0"/>
        <w:adjustRightInd w:val="0"/>
        <w:jc w:val="both"/>
        <w:rPr>
          <w:rFonts w:ascii="Arial" w:hAnsi="Arial" w:cs="Arial"/>
          <w:b/>
          <w:sz w:val="22"/>
          <w:szCs w:val="22"/>
        </w:rPr>
      </w:pPr>
    </w:p>
    <w:p w14:paraId="7204A451" w14:textId="77777777" w:rsidR="009D0CA2" w:rsidRDefault="009D0CA2" w:rsidP="005E47E4">
      <w:pPr>
        <w:widowControl w:val="0"/>
        <w:autoSpaceDE w:val="0"/>
        <w:autoSpaceDN w:val="0"/>
        <w:adjustRightInd w:val="0"/>
        <w:jc w:val="both"/>
        <w:rPr>
          <w:rFonts w:ascii="Arial" w:hAnsi="Arial" w:cs="Arial"/>
          <w:b/>
          <w:sz w:val="22"/>
          <w:szCs w:val="22"/>
        </w:rPr>
      </w:pPr>
    </w:p>
    <w:p w14:paraId="3720A712" w14:textId="77777777" w:rsidR="009D0CA2" w:rsidRDefault="009D0CA2" w:rsidP="005E47E4">
      <w:pPr>
        <w:widowControl w:val="0"/>
        <w:autoSpaceDE w:val="0"/>
        <w:autoSpaceDN w:val="0"/>
        <w:adjustRightInd w:val="0"/>
        <w:jc w:val="both"/>
        <w:rPr>
          <w:rFonts w:ascii="Arial" w:hAnsi="Arial" w:cs="Arial"/>
          <w:b/>
          <w:sz w:val="22"/>
          <w:szCs w:val="22"/>
        </w:rPr>
      </w:pPr>
    </w:p>
    <w:p w14:paraId="51F5D54A" w14:textId="77777777" w:rsidR="009D0CA2" w:rsidRDefault="009D0CA2" w:rsidP="005E47E4">
      <w:pPr>
        <w:widowControl w:val="0"/>
        <w:autoSpaceDE w:val="0"/>
        <w:autoSpaceDN w:val="0"/>
        <w:adjustRightInd w:val="0"/>
        <w:jc w:val="both"/>
        <w:rPr>
          <w:rFonts w:ascii="Arial" w:hAnsi="Arial" w:cs="Arial"/>
          <w:b/>
          <w:sz w:val="22"/>
          <w:szCs w:val="22"/>
        </w:rPr>
      </w:pPr>
    </w:p>
    <w:p w14:paraId="41BFC2AD" w14:textId="77777777" w:rsidR="002F3D76" w:rsidRPr="009D0CA2" w:rsidRDefault="002F3D76"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lastRenderedPageBreak/>
        <w:t>BIBLIOGRAFÍA</w:t>
      </w:r>
    </w:p>
    <w:p w14:paraId="4A5EFFC1" w14:textId="20A3E9EA" w:rsidR="00772C83" w:rsidRPr="009D0CA2" w:rsidRDefault="00772C83"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w:t>
      </w:r>
      <w:r w:rsidR="00B46243" w:rsidRPr="009D0CA2">
        <w:rPr>
          <w:rFonts w:ascii="Arial" w:hAnsi="Arial" w:cs="Arial"/>
          <w:b/>
          <w:sz w:val="22"/>
          <w:szCs w:val="22"/>
        </w:rPr>
        <w:t>Comité Mexicano de la Acreditación de la Educación Agronómica A.C. (COMEAA) 2014</w:t>
      </w:r>
    </w:p>
    <w:p w14:paraId="1D3BF7F3" w14:textId="3C3AE885" w:rsidR="00B46243" w:rsidRPr="009D0CA2" w:rsidRDefault="005375A1"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w:t>
      </w:r>
      <w:r w:rsidR="00B46243" w:rsidRPr="009D0CA2">
        <w:rPr>
          <w:rFonts w:ascii="Arial" w:hAnsi="Arial" w:cs="Arial"/>
          <w:b/>
          <w:sz w:val="22"/>
          <w:szCs w:val="22"/>
        </w:rPr>
        <w:t xml:space="preserve">Sistema Mexicano de Acreditación de Programas Académicos para la Educación </w:t>
      </w:r>
      <w:r w:rsidRPr="009D0CA2">
        <w:rPr>
          <w:rFonts w:ascii="Arial" w:hAnsi="Arial" w:cs="Arial"/>
          <w:b/>
          <w:sz w:val="22"/>
          <w:szCs w:val="22"/>
        </w:rPr>
        <w:t xml:space="preserve">    </w:t>
      </w:r>
      <w:r w:rsidR="00766003" w:rsidRPr="009D0CA2">
        <w:rPr>
          <w:rFonts w:ascii="Arial" w:hAnsi="Arial" w:cs="Arial"/>
          <w:b/>
          <w:sz w:val="22"/>
          <w:szCs w:val="22"/>
        </w:rPr>
        <w:t xml:space="preserve">ias </w:t>
      </w:r>
      <w:r w:rsidR="00B46243" w:rsidRPr="009D0CA2">
        <w:rPr>
          <w:rFonts w:ascii="Arial" w:hAnsi="Arial" w:cs="Arial"/>
          <w:b/>
          <w:sz w:val="22"/>
          <w:szCs w:val="22"/>
        </w:rPr>
        <w:t>Superior del COMEAA, México.</w:t>
      </w:r>
    </w:p>
    <w:p w14:paraId="7473DD19" w14:textId="77777777" w:rsidR="005375A1" w:rsidRPr="009D0CA2" w:rsidRDefault="00B46243"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-Dirección de Docencia</w:t>
      </w:r>
      <w:r w:rsidR="005375A1" w:rsidRPr="009D0CA2">
        <w:rPr>
          <w:rFonts w:ascii="Arial" w:hAnsi="Arial" w:cs="Arial"/>
          <w:b/>
          <w:sz w:val="22"/>
          <w:szCs w:val="22"/>
        </w:rPr>
        <w:t xml:space="preserve"> UAAAN 1999. Formación para jefes de Academias de Programa Docente. UAAAN Buenavista Saltillo Coahuila.</w:t>
      </w:r>
    </w:p>
    <w:p w14:paraId="3B3A5C35" w14:textId="77777777" w:rsidR="005375A1" w:rsidRPr="009D0CA2" w:rsidRDefault="005375A1"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-Comités Interinstitucionales para la Evaluación de la Educación Superior (CIEES).</w:t>
      </w:r>
    </w:p>
    <w:p w14:paraId="20BA0E90" w14:textId="73B55A7A" w:rsidR="00766003" w:rsidRPr="009D0CA2" w:rsidRDefault="005375A1"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 xml:space="preserve"> </w:t>
      </w:r>
      <w:r w:rsidR="00766003" w:rsidRPr="009D0CA2">
        <w:rPr>
          <w:rFonts w:ascii="Arial" w:hAnsi="Arial" w:cs="Arial"/>
          <w:b/>
          <w:sz w:val="22"/>
          <w:szCs w:val="22"/>
        </w:rPr>
        <w:t>Comité de Ciencias Agropecuarias (CCA) 2000. Informe de Evaluación del Programa: Ingeniero en Agrobiología de la UAAAN.</w:t>
      </w:r>
    </w:p>
    <w:p w14:paraId="0AED437D" w14:textId="77777777" w:rsidR="00766003" w:rsidRPr="009D0CA2" w:rsidRDefault="00766003"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-Plan de Desarrollo del Programa Docente de la Carrera de Ingeniero en Agrobiología 2006.</w:t>
      </w:r>
    </w:p>
    <w:p w14:paraId="60934826" w14:textId="77777777" w:rsidR="0029615E" w:rsidRPr="009D0CA2" w:rsidRDefault="00766003"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w:t>
      </w:r>
      <w:r w:rsidR="0029615E" w:rsidRPr="009D0CA2">
        <w:rPr>
          <w:rFonts w:ascii="Arial" w:hAnsi="Arial" w:cs="Arial"/>
          <w:b/>
          <w:sz w:val="22"/>
          <w:szCs w:val="22"/>
        </w:rPr>
        <w:t>Actualización del Plan de Estudios de la Carrera de Ingeniero en Agrobiología 2006.</w:t>
      </w:r>
    </w:p>
    <w:p w14:paraId="24B49C15" w14:textId="77777777" w:rsidR="00BB0630" w:rsidRPr="009D0CA2" w:rsidRDefault="0029615E"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w:t>
      </w:r>
      <w:r w:rsidR="00BB0630" w:rsidRPr="009D0CA2">
        <w:rPr>
          <w:rFonts w:ascii="Arial" w:hAnsi="Arial" w:cs="Arial"/>
          <w:b/>
          <w:sz w:val="22"/>
          <w:szCs w:val="22"/>
        </w:rPr>
        <w:t>Estudio de Pertinencia de Carreras UAAAN-Carrera de Ingeniero en Agrobiología, ALDERETE Y SOCIOS, Consultoría Industrial S.C. 2012</w:t>
      </w:r>
    </w:p>
    <w:p w14:paraId="545EFC77" w14:textId="77777777" w:rsidR="00BB0630" w:rsidRPr="009D0CA2" w:rsidRDefault="00BB0630"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-Dirección de Docencia, UAAAN, Procedimiento para la Actualización Curricular de Programas Docentes del Nivel Licenciatura, 2015.</w:t>
      </w:r>
    </w:p>
    <w:p w14:paraId="354BBA2E" w14:textId="77777777" w:rsidR="00BB0630" w:rsidRPr="009D0CA2" w:rsidRDefault="00BB0630"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-Plan de Desarrollo Institucional UAAAN, 2013-2018.</w:t>
      </w:r>
    </w:p>
    <w:p w14:paraId="2B27B487" w14:textId="77777777" w:rsidR="007847AC" w:rsidRPr="009D0CA2" w:rsidRDefault="00BB0630"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w:t>
      </w:r>
      <w:r w:rsidR="007847AC" w:rsidRPr="009D0CA2">
        <w:rPr>
          <w:rFonts w:ascii="Arial" w:hAnsi="Arial" w:cs="Arial"/>
          <w:b/>
          <w:sz w:val="22"/>
          <w:szCs w:val="22"/>
        </w:rPr>
        <w:t>Manual General de Organización UAAAN, Buenavista, Saltillo Coah. 1995.</w:t>
      </w:r>
    </w:p>
    <w:p w14:paraId="2EB20DA6" w14:textId="77777777" w:rsidR="007847AC" w:rsidRPr="009D0CA2" w:rsidRDefault="007847AC"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-Reestructuración Orgánica, Dirección de Planeación UAAAN, Buenavista, Saltillo Coah.</w:t>
      </w:r>
    </w:p>
    <w:p w14:paraId="6EABF4D5" w14:textId="77777777" w:rsidR="007847AC" w:rsidRPr="009D0CA2" w:rsidRDefault="007847AC"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-Resultado del Refrendo Evaluación del COMEAA, del Programa Docente de la Carrera de Ingeniero en Agrobiología 2011.</w:t>
      </w:r>
    </w:p>
    <w:p w14:paraId="1CB1A2C2" w14:textId="77777777" w:rsidR="00523272" w:rsidRPr="009D0CA2" w:rsidRDefault="00523272"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-Diagnóstico de la Educación Superior en el Estado de Coahuila, UAAAN, Buenavista,</w:t>
      </w:r>
    </w:p>
    <w:p w14:paraId="3AC4763D" w14:textId="77777777" w:rsidR="00523272" w:rsidRPr="009D0CA2" w:rsidRDefault="00523272"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 xml:space="preserve"> Saltillo Coahuila, 2000.</w:t>
      </w:r>
    </w:p>
    <w:p w14:paraId="2321E99D" w14:textId="77777777" w:rsidR="00EC624B" w:rsidRPr="009D0CA2" w:rsidRDefault="00523272"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-Evaluación y seguimiento del Impacto Ambiental en Proyectos de Inversión para el Desarrollo Agrícola y Rural. Instituto Interamericano de cooperación para la agricultura, OEA</w:t>
      </w:r>
      <w:r w:rsidR="00EC624B" w:rsidRPr="009D0CA2">
        <w:rPr>
          <w:rFonts w:ascii="Arial" w:hAnsi="Arial" w:cs="Arial"/>
          <w:b/>
          <w:sz w:val="22"/>
          <w:szCs w:val="22"/>
        </w:rPr>
        <w:t>, 2000.</w:t>
      </w:r>
    </w:p>
    <w:p w14:paraId="7EC834F2" w14:textId="77777777" w:rsidR="00EC624B" w:rsidRPr="009D0CA2" w:rsidRDefault="00EC624B"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 xml:space="preserve">-México como abastecedor de productos orgánicos. Manuel Angel Gómez Cruz, Laura   </w:t>
      </w:r>
    </w:p>
    <w:p w14:paraId="2A047523" w14:textId="77777777" w:rsidR="00EC624B" w:rsidRPr="009D0CA2" w:rsidRDefault="00EC624B"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 xml:space="preserve"> Gómez Tovar, Rita Schwentestus Rindermann, 2003.</w:t>
      </w:r>
    </w:p>
    <w:p w14:paraId="53AABBFA" w14:textId="77777777" w:rsidR="00BD57E6" w:rsidRPr="009D0CA2" w:rsidRDefault="00EC624B"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-Dirección de Docencia UAAAN, Proceso de Tutorías</w:t>
      </w:r>
      <w:r w:rsidR="00BD57E6" w:rsidRPr="009D0CA2">
        <w:rPr>
          <w:rFonts w:ascii="Arial" w:hAnsi="Arial" w:cs="Arial"/>
          <w:b/>
          <w:sz w:val="22"/>
          <w:szCs w:val="22"/>
        </w:rPr>
        <w:t>.</w:t>
      </w:r>
    </w:p>
    <w:p w14:paraId="28320867" w14:textId="77777777" w:rsidR="00BD57E6" w:rsidRPr="009D0CA2" w:rsidRDefault="00BD57E6"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-Evaluación y seguimiento de Egresados de la carrera de Ingeniero en Agrobiología, S.C.S., Jefe del Programa Docente IAB.</w:t>
      </w:r>
    </w:p>
    <w:p w14:paraId="1A898F03" w14:textId="77777777" w:rsidR="00BD57E6" w:rsidRPr="009D0CA2" w:rsidRDefault="00BD57E6" w:rsidP="005E47E4">
      <w:pPr>
        <w:widowControl w:val="0"/>
        <w:autoSpaceDE w:val="0"/>
        <w:autoSpaceDN w:val="0"/>
        <w:adjustRightInd w:val="0"/>
        <w:jc w:val="both"/>
        <w:rPr>
          <w:rFonts w:ascii="Arial" w:hAnsi="Arial" w:cs="Arial"/>
          <w:b/>
          <w:sz w:val="22"/>
          <w:szCs w:val="22"/>
          <w:lang w:val="en-US"/>
        </w:rPr>
      </w:pPr>
      <w:r w:rsidRPr="009D0CA2">
        <w:rPr>
          <w:rFonts w:ascii="Arial" w:hAnsi="Arial" w:cs="Arial"/>
          <w:b/>
          <w:sz w:val="22"/>
          <w:szCs w:val="22"/>
          <w:lang w:val="en-US"/>
        </w:rPr>
        <w:t>-www.biodiversidad.org</w:t>
      </w:r>
    </w:p>
    <w:p w14:paraId="574C8A47" w14:textId="77777777" w:rsidR="00BD57E6" w:rsidRPr="009D0CA2" w:rsidRDefault="00BD57E6" w:rsidP="005E47E4">
      <w:pPr>
        <w:widowControl w:val="0"/>
        <w:autoSpaceDE w:val="0"/>
        <w:autoSpaceDN w:val="0"/>
        <w:adjustRightInd w:val="0"/>
        <w:jc w:val="both"/>
        <w:rPr>
          <w:rFonts w:ascii="Arial" w:hAnsi="Arial" w:cs="Arial"/>
          <w:b/>
          <w:sz w:val="22"/>
          <w:szCs w:val="22"/>
          <w:lang w:val="en-US"/>
        </w:rPr>
      </w:pPr>
      <w:r w:rsidRPr="009D0CA2">
        <w:rPr>
          <w:rFonts w:ascii="Arial" w:hAnsi="Arial" w:cs="Arial"/>
          <w:b/>
          <w:sz w:val="22"/>
          <w:szCs w:val="22"/>
          <w:lang w:val="en-US"/>
        </w:rPr>
        <w:t>-www.unesco.org/Courier/2001 01/sp/doss22.htm</w:t>
      </w:r>
    </w:p>
    <w:p w14:paraId="05990412" w14:textId="77777777" w:rsidR="00BD57E6" w:rsidRPr="009D0CA2" w:rsidRDefault="00BD57E6" w:rsidP="005E47E4">
      <w:pPr>
        <w:widowControl w:val="0"/>
        <w:autoSpaceDE w:val="0"/>
        <w:autoSpaceDN w:val="0"/>
        <w:adjustRightInd w:val="0"/>
        <w:jc w:val="both"/>
        <w:rPr>
          <w:rFonts w:ascii="Arial" w:hAnsi="Arial" w:cs="Arial"/>
          <w:b/>
          <w:sz w:val="22"/>
          <w:szCs w:val="22"/>
          <w:lang w:val="en-US"/>
        </w:rPr>
      </w:pPr>
      <w:r w:rsidRPr="009D0CA2">
        <w:rPr>
          <w:rFonts w:ascii="Arial" w:hAnsi="Arial" w:cs="Arial"/>
          <w:b/>
          <w:sz w:val="22"/>
          <w:szCs w:val="22"/>
          <w:lang w:val="en-US"/>
        </w:rPr>
        <w:lastRenderedPageBreak/>
        <w:t>-www.rcci.net/globalización/</w:t>
      </w:r>
    </w:p>
    <w:p w14:paraId="7FE13540" w14:textId="0B7A3A62" w:rsidR="00B46243" w:rsidRPr="009D0CA2" w:rsidRDefault="00BD57E6" w:rsidP="005E47E4">
      <w:pPr>
        <w:widowControl w:val="0"/>
        <w:autoSpaceDE w:val="0"/>
        <w:autoSpaceDN w:val="0"/>
        <w:adjustRightInd w:val="0"/>
        <w:jc w:val="both"/>
        <w:rPr>
          <w:rFonts w:ascii="Arial" w:hAnsi="Arial" w:cs="Arial"/>
          <w:b/>
          <w:sz w:val="22"/>
          <w:szCs w:val="22"/>
          <w:lang w:val="en-US"/>
        </w:rPr>
      </w:pPr>
      <w:r w:rsidRPr="009D0CA2">
        <w:rPr>
          <w:rFonts w:ascii="Arial" w:hAnsi="Arial" w:cs="Arial"/>
          <w:b/>
          <w:sz w:val="22"/>
          <w:szCs w:val="22"/>
          <w:lang w:val="en-US"/>
        </w:rPr>
        <w:t>-www.el-mundo.es/especiales/2001/07/sociedad/globalizacion/mx.geocities.com/imagenes</w:t>
      </w:r>
      <w:r w:rsidR="007B0BF7" w:rsidRPr="009D0CA2">
        <w:rPr>
          <w:rFonts w:ascii="Arial" w:hAnsi="Arial" w:cs="Arial"/>
          <w:b/>
          <w:sz w:val="22"/>
          <w:szCs w:val="22"/>
          <w:lang w:val="en-US"/>
        </w:rPr>
        <w:t>comunistas/mty.htm</w:t>
      </w:r>
      <w:r w:rsidRPr="009D0CA2">
        <w:rPr>
          <w:rFonts w:ascii="Arial" w:hAnsi="Arial" w:cs="Arial"/>
          <w:b/>
          <w:sz w:val="22"/>
          <w:szCs w:val="22"/>
          <w:lang w:val="en-US"/>
        </w:rPr>
        <w:t xml:space="preserve"> </w:t>
      </w:r>
      <w:r w:rsidR="00EC624B" w:rsidRPr="009D0CA2">
        <w:rPr>
          <w:rFonts w:ascii="Arial" w:hAnsi="Arial" w:cs="Arial"/>
          <w:b/>
          <w:sz w:val="22"/>
          <w:szCs w:val="22"/>
          <w:lang w:val="en-US"/>
        </w:rPr>
        <w:t xml:space="preserve">  </w:t>
      </w:r>
      <w:r w:rsidR="00523272" w:rsidRPr="009D0CA2">
        <w:rPr>
          <w:rFonts w:ascii="Arial" w:hAnsi="Arial" w:cs="Arial"/>
          <w:b/>
          <w:sz w:val="22"/>
          <w:szCs w:val="22"/>
          <w:lang w:val="en-US"/>
        </w:rPr>
        <w:t xml:space="preserve">  </w:t>
      </w:r>
      <w:r w:rsidR="007847AC" w:rsidRPr="009D0CA2">
        <w:rPr>
          <w:rFonts w:ascii="Arial" w:hAnsi="Arial" w:cs="Arial"/>
          <w:b/>
          <w:sz w:val="22"/>
          <w:szCs w:val="22"/>
          <w:lang w:val="en-US"/>
        </w:rPr>
        <w:t xml:space="preserve">  </w:t>
      </w:r>
      <w:r w:rsidR="00BB0630" w:rsidRPr="009D0CA2">
        <w:rPr>
          <w:rFonts w:ascii="Arial" w:hAnsi="Arial" w:cs="Arial"/>
          <w:b/>
          <w:sz w:val="22"/>
          <w:szCs w:val="22"/>
          <w:lang w:val="en-US"/>
        </w:rPr>
        <w:t xml:space="preserve">    </w:t>
      </w:r>
      <w:r w:rsidR="005375A1" w:rsidRPr="009D0CA2">
        <w:rPr>
          <w:rFonts w:ascii="Arial" w:hAnsi="Arial" w:cs="Arial"/>
          <w:b/>
          <w:sz w:val="22"/>
          <w:szCs w:val="22"/>
          <w:lang w:val="en-US"/>
        </w:rPr>
        <w:t xml:space="preserve">    </w:t>
      </w:r>
    </w:p>
    <w:sectPr w:rsidR="00B46243" w:rsidRPr="009D0CA2" w:rsidSect="004220B7">
      <w:pgSz w:w="12240" w:h="15840"/>
      <w:pgMar w:top="1417" w:right="1701" w:bottom="1417" w:left="1701" w:header="720" w:footer="720" w:gutter="0"/>
      <w:cols w:space="720" w:equalWidth="0">
        <w:col w:w="9099"/>
      </w:cols>
      <w:noEndnote/>
      <w:docGrid w:linePitch="326"/>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miguel carranza" w:date="2015-09-28T23:59:00Z" w:initials="mc">
    <w:p w14:paraId="2D859FCE" w14:textId="77777777" w:rsidR="001C2EB7" w:rsidRDefault="001C2EB7" w:rsidP="00991E04">
      <w:pPr>
        <w:pStyle w:val="Textocomentario"/>
      </w:pPr>
      <w:r>
        <w:rPr>
          <w:rStyle w:val="Refdecomentario"/>
          <w:szCs w:val="16"/>
        </w:rPr>
        <w:annotationRef/>
      </w:r>
      <w:r>
        <w:t>FALTAN GRAFICAS HAY QUE ENTRAR AL VINCULO DE CITA BIBLIOGRAFICA PARA COPIAS GRAFICAS</w:t>
      </w:r>
    </w:p>
  </w:comment>
  <w:comment w:id="4" w:author="miguel carranza" w:date="2015-09-29T00:00:00Z" w:initials="mc">
    <w:p w14:paraId="7A50784D" w14:textId="77777777" w:rsidR="001C2EB7" w:rsidRDefault="001C2EB7" w:rsidP="00991E04">
      <w:pPr>
        <w:pStyle w:val="Textocomentario"/>
      </w:pPr>
      <w:r>
        <w:rPr>
          <w:rStyle w:val="Refdecomentario"/>
          <w:szCs w:val="16"/>
        </w:rPr>
        <w:annotationRef/>
      </w:r>
      <w:r>
        <w:rPr>
          <w:rStyle w:val="Refdecomentario"/>
          <w:szCs w:val="16"/>
        </w:rPr>
        <w:annotationRef/>
      </w:r>
      <w:r>
        <w:t>FALTAN GRAFICAS HAY QUE ENTRAR AL VINCULO DE CITA BIBLIOGRAFICA PARA COPIAS GRAFICAS</w:t>
      </w:r>
    </w:p>
    <w:p w14:paraId="7C241356" w14:textId="77777777" w:rsidR="001C2EB7" w:rsidRDefault="001C2EB7" w:rsidP="00991E04">
      <w:pPr>
        <w:pStyle w:val="Textocomentario"/>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D859FCE" w15:done="0"/>
  <w15:commentEx w15:paraId="7C24135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05AA1E" w14:textId="77777777" w:rsidR="0017498D" w:rsidRDefault="0017498D" w:rsidP="00B0725E">
      <w:pPr>
        <w:spacing w:after="0" w:line="240" w:lineRule="auto"/>
      </w:pPr>
      <w:r>
        <w:separator/>
      </w:r>
    </w:p>
  </w:endnote>
  <w:endnote w:type="continuationSeparator" w:id="0">
    <w:p w14:paraId="4BC1C50F" w14:textId="77777777" w:rsidR="0017498D" w:rsidRDefault="0017498D" w:rsidP="00B072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adeGothic Bold">
    <w:altName w:val="TradeGothic Bold"/>
    <w:panose1 w:val="00000000000000000000"/>
    <w:charset w:val="00"/>
    <w:family w:val="swiss"/>
    <w:notTrueType/>
    <w:pitch w:val="default"/>
    <w:sig w:usb0="00000003" w:usb1="00000000" w:usb2="00000000" w:usb3="00000000" w:csb0="00000001" w:csb1="00000000"/>
  </w:font>
  <w:font w:name="TradeGothic Light">
    <w:altName w:val="TradeGothic Light"/>
    <w:panose1 w:val="00000000000000000000"/>
    <w:charset w:val="00"/>
    <w:family w:val="swiss"/>
    <w:notTrueType/>
    <w:pitch w:val="default"/>
    <w:sig w:usb0="00000003" w:usb1="00000000" w:usb2="00000000" w:usb3="00000000" w:csb0="00000001" w:csb1="00000000"/>
  </w:font>
  <w:font w:name="TradeGothic">
    <w:altName w:val="TradeGothic"/>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13978D" w14:textId="77777777" w:rsidR="001C2EB7" w:rsidRDefault="001C2EB7" w:rsidP="00B0725E">
    <w:pPr>
      <w:pStyle w:val="Piedepgina"/>
    </w:pPr>
  </w:p>
  <w:p w14:paraId="39F6AE22" w14:textId="77777777" w:rsidR="001C2EB7" w:rsidRPr="00B0725E" w:rsidRDefault="001C2EB7" w:rsidP="00B0725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EB235D" w14:textId="77777777" w:rsidR="0017498D" w:rsidRDefault="0017498D" w:rsidP="00B0725E">
      <w:pPr>
        <w:spacing w:after="0" w:line="240" w:lineRule="auto"/>
      </w:pPr>
      <w:r>
        <w:separator/>
      </w:r>
    </w:p>
  </w:footnote>
  <w:footnote w:type="continuationSeparator" w:id="0">
    <w:p w14:paraId="3DE829DD" w14:textId="77777777" w:rsidR="0017498D" w:rsidRDefault="0017498D" w:rsidP="00B0725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55EEF5E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29"/>
    <w:multiLevelType w:val="hybridMultilevel"/>
    <w:tmpl w:val="00004823"/>
    <w:lvl w:ilvl="0" w:tplc="000018B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99"/>
    <w:multiLevelType w:val="hybridMultilevel"/>
    <w:tmpl w:val="00000124"/>
    <w:lvl w:ilvl="0" w:tplc="0000305E">
      <w:start w:val="1"/>
      <w:numFmt w:val="decimal"/>
      <w:lvlText w:val="%1"/>
      <w:lvlJc w:val="left"/>
      <w:pPr>
        <w:tabs>
          <w:tab w:val="num" w:pos="720"/>
        </w:tabs>
        <w:ind w:left="720" w:hanging="360"/>
      </w:pPr>
    </w:lvl>
    <w:lvl w:ilvl="1" w:tplc="0000440D">
      <w:start w:val="1"/>
      <w:numFmt w:val="decimal"/>
      <w:lvlText w:val="4.%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1EB"/>
    <w:multiLevelType w:val="hybridMultilevel"/>
    <w:tmpl w:val="00000BB3"/>
    <w:lvl w:ilvl="0" w:tplc="00002EA6">
      <w:start w:val="1"/>
      <w:numFmt w:val="decimal"/>
      <w:lvlText w:val="%1"/>
      <w:lvlJc w:val="left"/>
      <w:pPr>
        <w:tabs>
          <w:tab w:val="num" w:pos="720"/>
        </w:tabs>
        <w:ind w:left="720" w:hanging="360"/>
      </w:pPr>
    </w:lvl>
    <w:lvl w:ilvl="1" w:tplc="000012DB">
      <w:start w:val="4"/>
      <w:numFmt w:val="decimal"/>
      <w:lvlText w:val="2.%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975"/>
    <w:multiLevelType w:val="hybridMultilevel"/>
    <w:tmpl w:val="000037E6"/>
    <w:lvl w:ilvl="0" w:tplc="000019D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C15"/>
    <w:multiLevelType w:val="hybridMultilevel"/>
    <w:tmpl w:val="00003807"/>
    <w:lvl w:ilvl="0" w:tplc="0000773B">
      <w:start w:val="61"/>
      <w:numFmt w:val="upperLetter"/>
      <w:lvlText w:val="%1."/>
      <w:lvlJc w:val="left"/>
      <w:pPr>
        <w:tabs>
          <w:tab w:val="num" w:pos="720"/>
        </w:tabs>
        <w:ind w:left="720" w:hanging="360"/>
      </w:pPr>
    </w:lvl>
    <w:lvl w:ilvl="1" w:tplc="00000633">
      <w:start w:val="1"/>
      <w:numFmt w:val="upperLetter"/>
      <w:lvlText w:val="%2"/>
      <w:lvlJc w:val="left"/>
      <w:pPr>
        <w:tabs>
          <w:tab w:val="num" w:pos="1440"/>
        </w:tabs>
        <w:ind w:left="1440" w:hanging="360"/>
      </w:pPr>
    </w:lvl>
    <w:lvl w:ilvl="2" w:tplc="00007282">
      <w:start w:val="1"/>
      <w:numFmt w:val="lowerLetter"/>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FBF"/>
    <w:multiLevelType w:val="hybridMultilevel"/>
    <w:tmpl w:val="00002F14"/>
    <w:lvl w:ilvl="0" w:tplc="00006AD6">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1049"/>
    <w:multiLevelType w:val="hybridMultilevel"/>
    <w:tmpl w:val="0000086A"/>
    <w:lvl w:ilvl="0" w:tplc="00006479">
      <w:start w:val="7"/>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12DB"/>
    <w:multiLevelType w:val="hybridMultilevel"/>
    <w:tmpl w:val="0000153C"/>
    <w:lvl w:ilvl="0" w:tplc="00007E8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12E1"/>
    <w:multiLevelType w:val="hybridMultilevel"/>
    <w:tmpl w:val="0000798B"/>
    <w:lvl w:ilvl="0" w:tplc="0000121F">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153C"/>
    <w:multiLevelType w:val="hybridMultilevel"/>
    <w:tmpl w:val="00007E87"/>
    <w:lvl w:ilvl="0" w:tplc="0000390C">
      <w:start w:val="3"/>
      <w:numFmt w:val="decimal"/>
      <w:lvlText w:val="%1."/>
      <w:lvlJc w:val="left"/>
      <w:pPr>
        <w:tabs>
          <w:tab w:val="num" w:pos="720"/>
        </w:tabs>
        <w:ind w:left="720" w:hanging="360"/>
      </w:pPr>
    </w:lvl>
    <w:lvl w:ilvl="1" w:tplc="00000F3E">
      <w:start w:val="1"/>
      <w:numFmt w:val="decimal"/>
      <w:lvlText w:val="3.%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15A1"/>
    <w:multiLevelType w:val="hybridMultilevel"/>
    <w:tmpl w:val="00005422"/>
    <w:lvl w:ilvl="0" w:tplc="00003EF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1649"/>
    <w:multiLevelType w:val="hybridMultilevel"/>
    <w:tmpl w:val="00006DF1"/>
    <w:lvl w:ilvl="0" w:tplc="00005AF1">
      <w:start w:val="3"/>
      <w:numFmt w:val="lowerLetter"/>
      <w:lvlText w:val="%1)"/>
      <w:lvlJc w:val="left"/>
      <w:pPr>
        <w:tabs>
          <w:tab w:val="num" w:pos="720"/>
        </w:tabs>
        <w:ind w:left="720" w:hanging="360"/>
      </w:pPr>
    </w:lvl>
    <w:lvl w:ilvl="1" w:tplc="000041BB">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1CD0"/>
    <w:multiLevelType w:val="hybridMultilevel"/>
    <w:tmpl w:val="0000366B"/>
    <w:lvl w:ilvl="0" w:tplc="000066C4">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1F16"/>
    <w:multiLevelType w:val="hybridMultilevel"/>
    <w:tmpl w:val="0000182F"/>
    <w:lvl w:ilvl="0" w:tplc="00004D67">
      <w:start w:val="9"/>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251F"/>
    <w:multiLevelType w:val="hybridMultilevel"/>
    <w:tmpl w:val="00001D18"/>
    <w:lvl w:ilvl="0" w:tplc="00006270">
      <w:start w:val="22"/>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26A6"/>
    <w:multiLevelType w:val="hybridMultilevel"/>
    <w:tmpl w:val="0000701F"/>
    <w:lvl w:ilvl="0" w:tplc="00005D03">
      <w:start w:val="308"/>
      <w:numFmt w:val="decimal"/>
      <w:lvlText w:val="%1"/>
      <w:lvlJc w:val="left"/>
      <w:pPr>
        <w:tabs>
          <w:tab w:val="num" w:pos="720"/>
        </w:tabs>
        <w:ind w:left="720" w:hanging="360"/>
      </w:pPr>
    </w:lvl>
    <w:lvl w:ilvl="1" w:tplc="00007A5A">
      <w:start w:val="1"/>
      <w:numFmt w:val="lowerLetter"/>
      <w:lvlText w:val="%2)"/>
      <w:lvlJc w:val="left"/>
      <w:pPr>
        <w:tabs>
          <w:tab w:val="num" w:pos="1440"/>
        </w:tabs>
        <w:ind w:left="1440" w:hanging="360"/>
      </w:pPr>
    </w:lvl>
    <w:lvl w:ilvl="2" w:tplc="0000767D">
      <w:start w:val="1"/>
      <w:numFmt w:val="bullet"/>
      <w:lvlText w:val="·"/>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2725"/>
    <w:multiLevelType w:val="hybridMultilevel"/>
    <w:tmpl w:val="00001643"/>
    <w:lvl w:ilvl="0" w:tplc="00000DE5">
      <w:start w:val="1"/>
      <w:numFmt w:val="decimal"/>
      <w:lvlText w:val="%1."/>
      <w:lvlJc w:val="left"/>
      <w:pPr>
        <w:tabs>
          <w:tab w:val="num" w:pos="720"/>
        </w:tabs>
        <w:ind w:left="720" w:hanging="360"/>
      </w:pPr>
    </w:lvl>
    <w:lvl w:ilvl="1" w:tplc="00006F3C">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282D"/>
    <w:multiLevelType w:val="hybridMultilevel"/>
    <w:tmpl w:val="000069D0"/>
    <w:lvl w:ilvl="0" w:tplc="00007AC2">
      <w:start w:val="1"/>
      <w:numFmt w:val="decimal"/>
      <w:lvlText w:val="%1."/>
      <w:lvlJc w:val="left"/>
      <w:pPr>
        <w:tabs>
          <w:tab w:val="num" w:pos="720"/>
        </w:tabs>
        <w:ind w:left="720" w:hanging="360"/>
      </w:pPr>
    </w:lvl>
    <w:lvl w:ilvl="1" w:tplc="00006FC9">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000029D8"/>
    <w:multiLevelType w:val="hybridMultilevel"/>
    <w:tmpl w:val="00000A28"/>
    <w:lvl w:ilvl="0" w:tplc="000009CE">
      <w:start w:val="5"/>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00002CD6"/>
    <w:multiLevelType w:val="hybridMultilevel"/>
    <w:tmpl w:val="000072AE"/>
    <w:lvl w:ilvl="0" w:tplc="00006952">
      <w:start w:val="15"/>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00002FFF"/>
    <w:multiLevelType w:val="hybridMultilevel"/>
    <w:tmpl w:val="00006C69"/>
    <w:lvl w:ilvl="0" w:tplc="0000288F">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314F"/>
    <w:multiLevelType w:val="hybridMultilevel"/>
    <w:tmpl w:val="00005E14"/>
    <w:lvl w:ilvl="0" w:tplc="00004DF2">
      <w:start w:val="7"/>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00003492"/>
    <w:multiLevelType w:val="hybridMultilevel"/>
    <w:tmpl w:val="000019DA"/>
    <w:lvl w:ilvl="0" w:tplc="00005064">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0000368E"/>
    <w:multiLevelType w:val="hybridMultilevel"/>
    <w:tmpl w:val="00000D66"/>
    <w:lvl w:ilvl="0" w:tplc="00007983">
      <w:start w:val="1"/>
      <w:numFmt w:val="lowerLetter"/>
      <w:lvlText w:val="%1)"/>
      <w:lvlJc w:val="left"/>
      <w:pPr>
        <w:tabs>
          <w:tab w:val="num" w:pos="720"/>
        </w:tabs>
        <w:ind w:left="720" w:hanging="360"/>
      </w:pPr>
    </w:lvl>
    <w:lvl w:ilvl="1" w:tplc="000075EF">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00003699"/>
    <w:multiLevelType w:val="hybridMultilevel"/>
    <w:tmpl w:val="00000902"/>
    <w:lvl w:ilvl="0" w:tplc="00007BB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00003960"/>
    <w:multiLevelType w:val="hybridMultilevel"/>
    <w:tmpl w:val="00003459"/>
    <w:lvl w:ilvl="0" w:tplc="0000263D">
      <w:start w:val="348"/>
      <w:numFmt w:val="decimal"/>
      <w:lvlText w:val="%1"/>
      <w:lvlJc w:val="left"/>
      <w:pPr>
        <w:tabs>
          <w:tab w:val="num" w:pos="720"/>
        </w:tabs>
        <w:ind w:left="720" w:hanging="360"/>
      </w:pPr>
    </w:lvl>
    <w:lvl w:ilvl="1" w:tplc="00003B97">
      <w:start w:val="9"/>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00003A61"/>
    <w:multiLevelType w:val="hybridMultilevel"/>
    <w:tmpl w:val="000022CD"/>
    <w:lvl w:ilvl="0" w:tplc="00007DD1">
      <w:start w:val="330"/>
      <w:numFmt w:val="decimal"/>
      <w:lvlText w:val="%1"/>
      <w:lvlJc w:val="left"/>
      <w:pPr>
        <w:tabs>
          <w:tab w:val="num" w:pos="720"/>
        </w:tabs>
        <w:ind w:left="720" w:hanging="360"/>
      </w:pPr>
    </w:lvl>
    <w:lvl w:ilvl="1" w:tplc="0000261E">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00003BF6"/>
    <w:multiLevelType w:val="hybridMultilevel"/>
    <w:tmpl w:val="00003A9E"/>
    <w:lvl w:ilvl="0" w:tplc="0000797D">
      <w:start w:val="6"/>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00003F0B"/>
    <w:multiLevelType w:val="hybridMultilevel"/>
    <w:tmpl w:val="00003087"/>
    <w:lvl w:ilvl="0" w:tplc="00003F97">
      <w:start w:val="61"/>
      <w:numFmt w:val="upperLetter"/>
      <w:lvlText w:val="%1."/>
      <w:lvlJc w:val="left"/>
      <w:pPr>
        <w:tabs>
          <w:tab w:val="num" w:pos="720"/>
        </w:tabs>
        <w:ind w:left="720" w:hanging="360"/>
      </w:pPr>
    </w:lvl>
    <w:lvl w:ilvl="1" w:tplc="0000658C">
      <w:start w:val="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00003F4A"/>
    <w:multiLevelType w:val="hybridMultilevel"/>
    <w:tmpl w:val="00000A4A"/>
    <w:lvl w:ilvl="0" w:tplc="00005ED0">
      <w:start w:val="6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00004027"/>
    <w:multiLevelType w:val="hybridMultilevel"/>
    <w:tmpl w:val="0000138A"/>
    <w:lvl w:ilvl="0" w:tplc="00002959">
      <w:start w:val="35"/>
      <w:numFmt w:val="upperLetter"/>
      <w:lvlText w:val="%1."/>
      <w:lvlJc w:val="left"/>
      <w:pPr>
        <w:tabs>
          <w:tab w:val="num" w:pos="720"/>
        </w:tabs>
        <w:ind w:left="720" w:hanging="360"/>
      </w:pPr>
    </w:lvl>
    <w:lvl w:ilvl="1" w:tplc="00005E76">
      <w:start w:val="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00004080"/>
    <w:multiLevelType w:val="hybridMultilevel"/>
    <w:tmpl w:val="00005DB2"/>
    <w:lvl w:ilvl="0" w:tplc="000033EA">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000040A5"/>
    <w:multiLevelType w:val="hybridMultilevel"/>
    <w:tmpl w:val="00001D11"/>
    <w:lvl w:ilvl="0" w:tplc="00002528">
      <w:start w:val="9"/>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00004230"/>
    <w:multiLevelType w:val="hybridMultilevel"/>
    <w:tmpl w:val="00007EB7"/>
    <w:lvl w:ilvl="0" w:tplc="00006032">
      <w:numFmt w:val="lowerLetter"/>
      <w:lvlText w:val="%1)"/>
      <w:lvlJc w:val="left"/>
      <w:pPr>
        <w:tabs>
          <w:tab w:val="num" w:pos="720"/>
        </w:tabs>
        <w:ind w:left="720" w:hanging="360"/>
      </w:pPr>
    </w:lvl>
    <w:lvl w:ilvl="1" w:tplc="00002C3B">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00004325"/>
    <w:multiLevelType w:val="hybridMultilevel"/>
    <w:tmpl w:val="00004E08"/>
    <w:lvl w:ilvl="0" w:tplc="00007A61">
      <w:start w:val="350"/>
      <w:numFmt w:val="decimal"/>
      <w:lvlText w:val="%1"/>
      <w:lvlJc w:val="left"/>
      <w:pPr>
        <w:tabs>
          <w:tab w:val="num" w:pos="720"/>
        </w:tabs>
        <w:ind w:left="720" w:hanging="360"/>
      </w:pPr>
    </w:lvl>
    <w:lvl w:ilvl="1" w:tplc="00000940">
      <w:start w:val="9"/>
      <w:numFmt w:val="upperLetter"/>
      <w:lvlText w:val="%2."/>
      <w:lvlJc w:val="left"/>
      <w:pPr>
        <w:tabs>
          <w:tab w:val="num" w:pos="1440"/>
        </w:tabs>
        <w:ind w:left="1440" w:hanging="360"/>
      </w:pPr>
    </w:lvl>
    <w:lvl w:ilvl="2" w:tplc="00007014">
      <w:start w:val="1"/>
      <w:numFmt w:val="upperLetter"/>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00004402"/>
    <w:multiLevelType w:val="hybridMultilevel"/>
    <w:tmpl w:val="000018D7"/>
    <w:lvl w:ilvl="0" w:tplc="00006BE8">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0000441D"/>
    <w:multiLevelType w:val="hybridMultilevel"/>
    <w:tmpl w:val="00004D9A"/>
    <w:lvl w:ilvl="0" w:tplc="00003295">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nsid w:val="00004509"/>
    <w:multiLevelType w:val="hybridMultilevel"/>
    <w:tmpl w:val="00001238"/>
    <w:lvl w:ilvl="0" w:tplc="00003B25">
      <w:start w:val="9"/>
      <w:numFmt w:val="upperLetter"/>
      <w:lvlText w:val="%1."/>
      <w:lvlJc w:val="left"/>
      <w:pPr>
        <w:tabs>
          <w:tab w:val="num" w:pos="720"/>
        </w:tabs>
        <w:ind w:left="720" w:hanging="360"/>
      </w:pPr>
    </w:lvl>
    <w:lvl w:ilvl="1" w:tplc="00001E1F">
      <w:start w:val="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nsid w:val="000046CF"/>
    <w:multiLevelType w:val="hybridMultilevel"/>
    <w:tmpl w:val="000001D3"/>
    <w:lvl w:ilvl="0" w:tplc="00000E90">
      <w:start w:val="338"/>
      <w:numFmt w:val="decimal"/>
      <w:lvlText w:val="%1"/>
      <w:lvlJc w:val="left"/>
      <w:pPr>
        <w:tabs>
          <w:tab w:val="num" w:pos="720"/>
        </w:tabs>
        <w:ind w:left="720" w:hanging="360"/>
      </w:pPr>
    </w:lvl>
    <w:lvl w:ilvl="1" w:tplc="00003A2D">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0000486A"/>
    <w:multiLevelType w:val="hybridMultilevel"/>
    <w:tmpl w:val="00003004"/>
    <w:lvl w:ilvl="0" w:tplc="0000179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0000491C"/>
    <w:multiLevelType w:val="hybridMultilevel"/>
    <w:tmpl w:val="00004D06"/>
    <w:lvl w:ilvl="0" w:tplc="00004DB7">
      <w:start w:val="5"/>
      <w:numFmt w:val="decimal"/>
      <w:lvlText w:val="%1."/>
      <w:lvlJc w:val="left"/>
      <w:pPr>
        <w:tabs>
          <w:tab w:val="num" w:pos="720"/>
        </w:tabs>
        <w:ind w:left="720" w:hanging="360"/>
      </w:pPr>
    </w:lvl>
    <w:lvl w:ilvl="1" w:tplc="00001547">
      <w:start w:val="1"/>
      <w:numFmt w:val="decimal"/>
      <w:lvlText w:val="5.%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nsid w:val="00004944"/>
    <w:multiLevelType w:val="hybridMultilevel"/>
    <w:tmpl w:val="00002E40"/>
    <w:lvl w:ilvl="0" w:tplc="0000136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00004D54"/>
    <w:multiLevelType w:val="hybridMultilevel"/>
    <w:tmpl w:val="000039CE"/>
    <w:lvl w:ilvl="0" w:tplc="00003BB1">
      <w:start w:val="3"/>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nsid w:val="00004DB7"/>
    <w:multiLevelType w:val="hybridMultilevel"/>
    <w:tmpl w:val="00001547"/>
    <w:lvl w:ilvl="0" w:tplc="000054DE">
      <w:start w:val="5"/>
      <w:numFmt w:val="lowerLetter"/>
      <w:lvlText w:val="%1)"/>
      <w:lvlJc w:val="left"/>
      <w:pPr>
        <w:tabs>
          <w:tab w:val="num" w:pos="720"/>
        </w:tabs>
        <w:ind w:left="720" w:hanging="360"/>
      </w:pPr>
    </w:lvl>
    <w:lvl w:ilvl="1" w:tplc="000039B3">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00004DC8"/>
    <w:multiLevelType w:val="hybridMultilevel"/>
    <w:tmpl w:val="00006443"/>
    <w:lvl w:ilvl="0" w:tplc="000066BB">
      <w:start w:val="7"/>
      <w:numFmt w:val="decimal"/>
      <w:lvlText w:val="%1."/>
      <w:lvlJc w:val="left"/>
      <w:pPr>
        <w:tabs>
          <w:tab w:val="num" w:pos="720"/>
        </w:tabs>
        <w:ind w:left="720" w:hanging="360"/>
      </w:pPr>
    </w:lvl>
    <w:lvl w:ilvl="1" w:tplc="0000428B">
      <w:start w:val="1"/>
      <w:numFmt w:val="decimal"/>
      <w:lvlText w:val="7.%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nsid w:val="00004E57"/>
    <w:multiLevelType w:val="hybridMultilevel"/>
    <w:tmpl w:val="00004F68"/>
    <w:lvl w:ilvl="0" w:tplc="0000587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nsid w:val="00004FC0"/>
    <w:multiLevelType w:val="hybridMultilevel"/>
    <w:tmpl w:val="00006E7E"/>
    <w:lvl w:ilvl="0" w:tplc="00003EE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nsid w:val="00005039"/>
    <w:multiLevelType w:val="hybridMultilevel"/>
    <w:tmpl w:val="0000542C"/>
    <w:lvl w:ilvl="0" w:tplc="00001953">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00005078"/>
    <w:multiLevelType w:val="hybridMultilevel"/>
    <w:tmpl w:val="00001481"/>
    <w:lvl w:ilvl="0" w:tplc="00004087">
      <w:start w:val="340"/>
      <w:numFmt w:val="decimal"/>
      <w:lvlText w:val="%1"/>
      <w:lvlJc w:val="left"/>
      <w:pPr>
        <w:tabs>
          <w:tab w:val="num" w:pos="720"/>
        </w:tabs>
        <w:ind w:left="720" w:hanging="360"/>
      </w:pPr>
    </w:lvl>
    <w:lvl w:ilvl="1" w:tplc="00007B44">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0">
    <w:nsid w:val="000053B1"/>
    <w:multiLevelType w:val="hybridMultilevel"/>
    <w:tmpl w:val="0000293B"/>
    <w:lvl w:ilvl="0" w:tplc="00000D6A">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1">
    <w:nsid w:val="000054DE"/>
    <w:multiLevelType w:val="hybridMultilevel"/>
    <w:tmpl w:val="000039B3"/>
    <w:lvl w:ilvl="0" w:tplc="00002D12">
      <w:start w:val="1"/>
      <w:numFmt w:val="decimal"/>
      <w:lvlText w:val="%1"/>
      <w:lvlJc w:val="left"/>
      <w:pPr>
        <w:tabs>
          <w:tab w:val="num" w:pos="720"/>
        </w:tabs>
        <w:ind w:left="720" w:hanging="360"/>
      </w:pPr>
    </w:lvl>
    <w:lvl w:ilvl="1" w:tplc="0000074D">
      <w:start w:val="1"/>
      <w:numFmt w:val="decimal"/>
      <w:lvlText w:val="6.%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
    <w:nsid w:val="0000590E"/>
    <w:multiLevelType w:val="hybridMultilevel"/>
    <w:tmpl w:val="0000765F"/>
    <w:lvl w:ilvl="0" w:tplc="00001850">
      <w:start w:val="9"/>
      <w:numFmt w:val="upperLetter"/>
      <w:lvlText w:val="%1."/>
      <w:lvlJc w:val="left"/>
      <w:pPr>
        <w:tabs>
          <w:tab w:val="num" w:pos="720"/>
        </w:tabs>
        <w:ind w:left="720" w:hanging="360"/>
      </w:pPr>
    </w:lvl>
    <w:lvl w:ilvl="1" w:tplc="00002B00">
      <w:start w:val="1"/>
      <w:numFmt w:val="upperLetter"/>
      <w:lvlText w:val="%2"/>
      <w:lvlJc w:val="left"/>
      <w:pPr>
        <w:tabs>
          <w:tab w:val="num" w:pos="1440"/>
        </w:tabs>
        <w:ind w:left="1440" w:hanging="360"/>
      </w:pPr>
    </w:lvl>
    <w:lvl w:ilvl="2" w:tplc="000016D4">
      <w:start w:val="1"/>
      <w:numFmt w:val="lowerLetter"/>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3">
    <w:nsid w:val="0000591D"/>
    <w:multiLevelType w:val="hybridMultilevel"/>
    <w:tmpl w:val="0000252A"/>
    <w:lvl w:ilvl="0" w:tplc="000037E5">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4">
    <w:nsid w:val="00005968"/>
    <w:multiLevelType w:val="hybridMultilevel"/>
    <w:tmpl w:val="00004AD4"/>
    <w:lvl w:ilvl="0" w:tplc="00002CF7">
      <w:start w:val="35"/>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5">
    <w:nsid w:val="00005CCD"/>
    <w:multiLevelType w:val="hybridMultilevel"/>
    <w:tmpl w:val="00002668"/>
    <w:lvl w:ilvl="0" w:tplc="000078D4">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6">
    <w:nsid w:val="00005CFD"/>
    <w:multiLevelType w:val="hybridMultilevel"/>
    <w:tmpl w:val="00003E12"/>
    <w:lvl w:ilvl="0" w:tplc="00001A49">
      <w:start w:val="5"/>
      <w:numFmt w:val="lowerLetter"/>
      <w:lvlText w:val="%1)"/>
      <w:lvlJc w:val="left"/>
      <w:pPr>
        <w:tabs>
          <w:tab w:val="num" w:pos="720"/>
        </w:tabs>
        <w:ind w:left="720" w:hanging="360"/>
      </w:pPr>
    </w:lvl>
    <w:lvl w:ilvl="1" w:tplc="00005F32">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7">
    <w:nsid w:val="00005D24"/>
    <w:multiLevelType w:val="hybridMultilevel"/>
    <w:tmpl w:val="00000588"/>
    <w:lvl w:ilvl="0" w:tplc="0000557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8">
    <w:nsid w:val="00005E73"/>
    <w:multiLevelType w:val="hybridMultilevel"/>
    <w:tmpl w:val="0000470E"/>
    <w:lvl w:ilvl="0" w:tplc="000073D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9">
    <w:nsid w:val="00005E9D"/>
    <w:multiLevelType w:val="hybridMultilevel"/>
    <w:tmpl w:val="0000489C"/>
    <w:lvl w:ilvl="0" w:tplc="00001916">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0">
    <w:nsid w:val="00005F1E"/>
    <w:multiLevelType w:val="hybridMultilevel"/>
    <w:tmpl w:val="00002833"/>
    <w:lvl w:ilvl="0" w:tplc="00007874">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1">
    <w:nsid w:val="00005F90"/>
    <w:multiLevelType w:val="hybridMultilevel"/>
    <w:tmpl w:val="00001649"/>
    <w:lvl w:ilvl="0" w:tplc="00006DF1">
      <w:start w:val="15"/>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2">
    <w:nsid w:val="00005FA4"/>
    <w:multiLevelType w:val="hybridMultilevel"/>
    <w:tmpl w:val="00002059"/>
    <w:lvl w:ilvl="0" w:tplc="0000127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3">
    <w:nsid w:val="00005FA8"/>
    <w:multiLevelType w:val="hybridMultilevel"/>
    <w:tmpl w:val="00003F9A"/>
    <w:lvl w:ilvl="0" w:tplc="000030A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4">
    <w:nsid w:val="00006048"/>
    <w:multiLevelType w:val="hybridMultilevel"/>
    <w:tmpl w:val="000057D3"/>
    <w:lvl w:ilvl="0" w:tplc="0000458F">
      <w:start w:val="2"/>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5">
    <w:nsid w:val="000060BF"/>
    <w:multiLevelType w:val="hybridMultilevel"/>
    <w:tmpl w:val="00005C67"/>
    <w:lvl w:ilvl="0" w:tplc="00003CD6">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6">
    <w:nsid w:val="00006172"/>
    <w:multiLevelType w:val="hybridMultilevel"/>
    <w:tmpl w:val="00006B72"/>
    <w:lvl w:ilvl="0" w:tplc="000032E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7">
    <w:nsid w:val="00006443"/>
    <w:multiLevelType w:val="hybridMultilevel"/>
    <w:tmpl w:val="000066BB"/>
    <w:lvl w:ilvl="0" w:tplc="0000428B">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8">
    <w:nsid w:val="00006486"/>
    <w:multiLevelType w:val="hybridMultilevel"/>
    <w:tmpl w:val="000046C2"/>
    <w:lvl w:ilvl="0" w:tplc="00002DB5">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9">
    <w:nsid w:val="00006784"/>
    <w:multiLevelType w:val="hybridMultilevel"/>
    <w:tmpl w:val="00004AE1"/>
    <w:lvl w:ilvl="0" w:tplc="00003D6C">
      <w:start w:val="1"/>
      <w:numFmt w:val="lowerLetter"/>
      <w:lvlText w:val="%1)"/>
      <w:lvlJc w:val="left"/>
      <w:pPr>
        <w:tabs>
          <w:tab w:val="num" w:pos="720"/>
        </w:tabs>
        <w:ind w:left="720" w:hanging="360"/>
      </w:pPr>
    </w:lvl>
    <w:lvl w:ilvl="1" w:tplc="00002CD6">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0">
    <w:nsid w:val="00006899"/>
    <w:multiLevelType w:val="hybridMultilevel"/>
    <w:tmpl w:val="00003CD5"/>
    <w:lvl w:ilvl="0" w:tplc="000013E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1">
    <w:nsid w:val="0000692C"/>
    <w:multiLevelType w:val="hybridMultilevel"/>
    <w:tmpl w:val="00004A80"/>
    <w:lvl w:ilvl="0" w:tplc="0000187E">
      <w:start w:val="320"/>
      <w:numFmt w:val="decimal"/>
      <w:lvlText w:val="%1"/>
      <w:lvlJc w:val="left"/>
      <w:pPr>
        <w:tabs>
          <w:tab w:val="num" w:pos="720"/>
        </w:tabs>
        <w:ind w:left="720" w:hanging="360"/>
      </w:pPr>
    </w:lvl>
    <w:lvl w:ilvl="1" w:tplc="000016C5">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2">
    <w:nsid w:val="00006AD4"/>
    <w:multiLevelType w:val="hybridMultilevel"/>
    <w:tmpl w:val="00005A9F"/>
    <w:lvl w:ilvl="0" w:tplc="00004CD4">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3">
    <w:nsid w:val="00006B89"/>
    <w:multiLevelType w:val="hybridMultilevel"/>
    <w:tmpl w:val="0000030A"/>
    <w:lvl w:ilvl="0" w:tplc="0000301C">
      <w:start w:val="310"/>
      <w:numFmt w:val="decimal"/>
      <w:lvlText w:val="%1"/>
      <w:lvlJc w:val="left"/>
      <w:pPr>
        <w:tabs>
          <w:tab w:val="num" w:pos="720"/>
        </w:tabs>
        <w:ind w:left="720" w:hanging="360"/>
      </w:pPr>
    </w:lvl>
    <w:lvl w:ilvl="1" w:tplc="00000BDB">
      <w:start w:val="5"/>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4">
    <w:nsid w:val="00006BCB"/>
    <w:multiLevelType w:val="hybridMultilevel"/>
    <w:tmpl w:val="00000FC9"/>
    <w:lvl w:ilvl="0" w:tplc="00000E12">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5">
    <w:nsid w:val="00006D22"/>
    <w:multiLevelType w:val="hybridMultilevel"/>
    <w:tmpl w:val="00001AF4"/>
    <w:lvl w:ilvl="0" w:tplc="00000ECC">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6">
    <w:nsid w:val="00006DF1"/>
    <w:multiLevelType w:val="hybridMultilevel"/>
    <w:tmpl w:val="00005AF1"/>
    <w:lvl w:ilvl="0" w:tplc="000041BB">
      <w:start w:val="1"/>
      <w:numFmt w:val="decimal"/>
      <w:lvlText w:val="%1"/>
      <w:lvlJc w:val="left"/>
      <w:pPr>
        <w:tabs>
          <w:tab w:val="num" w:pos="720"/>
        </w:tabs>
        <w:ind w:left="720" w:hanging="360"/>
      </w:pPr>
    </w:lvl>
    <w:lvl w:ilvl="1" w:tplc="000026E9">
      <w:start w:val="1"/>
      <w:numFmt w:val="decimal"/>
      <w:lvlText w:val="2.%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7">
    <w:nsid w:val="00006E5D"/>
    <w:multiLevelType w:val="hybridMultilevel"/>
    <w:tmpl w:val="00001AD4"/>
    <w:lvl w:ilvl="0" w:tplc="000063CB">
      <w:start w:val="35"/>
      <w:numFmt w:val="upperLetter"/>
      <w:lvlText w:val="%1."/>
      <w:lvlJc w:val="left"/>
      <w:pPr>
        <w:tabs>
          <w:tab w:val="num" w:pos="720"/>
        </w:tabs>
        <w:ind w:left="720" w:hanging="360"/>
      </w:pPr>
    </w:lvl>
    <w:lvl w:ilvl="1" w:tplc="00006BFC">
      <w:start w:val="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8">
    <w:nsid w:val="00006F11"/>
    <w:multiLevelType w:val="hybridMultilevel"/>
    <w:tmpl w:val="000074AD"/>
    <w:lvl w:ilvl="0" w:tplc="00004EAE">
      <w:start w:val="4"/>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9">
    <w:nsid w:val="0000701F"/>
    <w:multiLevelType w:val="hybridMultilevel"/>
    <w:tmpl w:val="00005D03"/>
    <w:lvl w:ilvl="0" w:tplc="00007A5A">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0">
    <w:nsid w:val="000072AE"/>
    <w:multiLevelType w:val="hybridMultilevel"/>
    <w:tmpl w:val="00006952"/>
    <w:lvl w:ilvl="0" w:tplc="00005F90">
      <w:start w:val="1"/>
      <w:numFmt w:val="decimal"/>
      <w:lvlText w:val="%1."/>
      <w:lvlJc w:val="left"/>
      <w:pPr>
        <w:tabs>
          <w:tab w:val="num" w:pos="720"/>
        </w:tabs>
        <w:ind w:left="720" w:hanging="360"/>
      </w:pPr>
    </w:lvl>
    <w:lvl w:ilvl="1" w:tplc="00001649">
      <w:start w:val="1"/>
      <w:numFmt w:val="decimal"/>
      <w:lvlText w:val="1.%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1">
    <w:nsid w:val="000073DA"/>
    <w:multiLevelType w:val="hybridMultilevel"/>
    <w:tmpl w:val="000058B0"/>
    <w:lvl w:ilvl="0" w:tplc="000026CA">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2">
    <w:nsid w:val="0000759A"/>
    <w:multiLevelType w:val="hybridMultilevel"/>
    <w:tmpl w:val="00002350"/>
    <w:lvl w:ilvl="0" w:tplc="000022EE">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3">
    <w:nsid w:val="000075C1"/>
    <w:multiLevelType w:val="hybridMultilevel"/>
    <w:tmpl w:val="0000468C"/>
    <w:lvl w:ilvl="0" w:tplc="000054D6">
      <w:start w:val="1"/>
      <w:numFmt w:val="upperLetter"/>
      <w:lvlText w:val="%1"/>
      <w:lvlJc w:val="left"/>
      <w:pPr>
        <w:tabs>
          <w:tab w:val="num" w:pos="720"/>
        </w:tabs>
        <w:ind w:left="720" w:hanging="360"/>
      </w:pPr>
    </w:lvl>
    <w:lvl w:ilvl="1" w:tplc="00000EA9">
      <w:start w:val="35"/>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4">
    <w:nsid w:val="0000767D"/>
    <w:multiLevelType w:val="hybridMultilevel"/>
    <w:tmpl w:val="00004509"/>
    <w:lvl w:ilvl="0" w:tplc="00001238">
      <w:start w:val="9"/>
      <w:numFmt w:val="decimal"/>
      <w:lvlText w:val="%1."/>
      <w:lvlJc w:val="left"/>
      <w:pPr>
        <w:tabs>
          <w:tab w:val="num" w:pos="720"/>
        </w:tabs>
        <w:ind w:left="720" w:hanging="360"/>
      </w:pPr>
    </w:lvl>
    <w:lvl w:ilvl="1" w:tplc="00003B25">
      <w:start w:val="1"/>
      <w:numFmt w:val="decimal"/>
      <w:lvlText w:val="9.%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5">
    <w:nsid w:val="00007F61"/>
    <w:multiLevelType w:val="hybridMultilevel"/>
    <w:tmpl w:val="00003A8D"/>
    <w:lvl w:ilvl="0" w:tplc="00007FBE">
      <w:start w:val="35"/>
      <w:numFmt w:val="upperLetter"/>
      <w:lvlText w:val="%1."/>
      <w:lvlJc w:val="left"/>
      <w:pPr>
        <w:tabs>
          <w:tab w:val="num" w:pos="720"/>
        </w:tabs>
        <w:ind w:left="720" w:hanging="360"/>
      </w:pPr>
    </w:lvl>
    <w:lvl w:ilvl="1" w:tplc="00000C7B">
      <w:start w:val="1"/>
      <w:numFmt w:val="upperLetter"/>
      <w:lvlText w:val="%2"/>
      <w:lvlJc w:val="left"/>
      <w:pPr>
        <w:tabs>
          <w:tab w:val="num" w:pos="1440"/>
        </w:tabs>
        <w:ind w:left="1440" w:hanging="360"/>
      </w:pPr>
    </w:lvl>
    <w:lvl w:ilvl="2" w:tplc="00005005">
      <w:start w:val="1"/>
      <w:numFmt w:val="lowerLetter"/>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6">
    <w:nsid w:val="00007F96"/>
    <w:multiLevelType w:val="hybridMultilevel"/>
    <w:tmpl w:val="00007FF5"/>
    <w:lvl w:ilvl="0" w:tplc="00004E45">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7">
    <w:nsid w:val="02787016"/>
    <w:multiLevelType w:val="hybridMultilevel"/>
    <w:tmpl w:val="8EDAEC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nsid w:val="032D14B6"/>
    <w:multiLevelType w:val="multilevel"/>
    <w:tmpl w:val="C13A691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9">
    <w:nsid w:val="03C83324"/>
    <w:multiLevelType w:val="hybridMultilevel"/>
    <w:tmpl w:val="1466008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0">
    <w:nsid w:val="058F78D7"/>
    <w:multiLevelType w:val="hybridMultilevel"/>
    <w:tmpl w:val="4DB0BAB8"/>
    <w:lvl w:ilvl="0" w:tplc="3B8CB234">
      <w:start w:val="1"/>
      <w:numFmt w:val="decimal"/>
      <w:lvlText w:val="%1."/>
      <w:lvlJc w:val="left"/>
      <w:pPr>
        <w:ind w:left="1080" w:hanging="360"/>
      </w:pPr>
      <w:rPr>
        <w:rFonts w:ascii="Arial" w:eastAsiaTheme="minorHAnsi" w:hAnsi="Arial"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1">
    <w:nsid w:val="061E6544"/>
    <w:multiLevelType w:val="hybridMultilevel"/>
    <w:tmpl w:val="64B03E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2">
    <w:nsid w:val="077A0389"/>
    <w:multiLevelType w:val="hybridMultilevel"/>
    <w:tmpl w:val="127EAD8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3">
    <w:nsid w:val="07FD201D"/>
    <w:multiLevelType w:val="hybridMultilevel"/>
    <w:tmpl w:val="4BF455E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4">
    <w:nsid w:val="08572F73"/>
    <w:multiLevelType w:val="hybridMultilevel"/>
    <w:tmpl w:val="B7A6D9E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5">
    <w:nsid w:val="0B266E00"/>
    <w:multiLevelType w:val="hybridMultilevel"/>
    <w:tmpl w:val="911420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6">
    <w:nsid w:val="0C3B59D2"/>
    <w:multiLevelType w:val="hybridMultilevel"/>
    <w:tmpl w:val="13F85B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nsid w:val="0C693992"/>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98">
    <w:nsid w:val="0E173E85"/>
    <w:multiLevelType w:val="hybridMultilevel"/>
    <w:tmpl w:val="EA8225E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9">
    <w:nsid w:val="0E2E36AF"/>
    <w:multiLevelType w:val="singleLevel"/>
    <w:tmpl w:val="0BA6528C"/>
    <w:lvl w:ilvl="0">
      <w:start w:val="11"/>
      <w:numFmt w:val="decimal"/>
      <w:lvlText w:val="%1"/>
      <w:legacy w:legacy="1" w:legacySpace="0" w:legacyIndent="360"/>
      <w:lvlJc w:val="left"/>
      <w:rPr>
        <w:rFonts w:ascii="Arial" w:hAnsi="Arial" w:cs="Arial" w:hint="default"/>
      </w:rPr>
    </w:lvl>
  </w:abstractNum>
  <w:abstractNum w:abstractNumId="100">
    <w:nsid w:val="137223A3"/>
    <w:multiLevelType w:val="hybridMultilevel"/>
    <w:tmpl w:val="53DC91A8"/>
    <w:lvl w:ilvl="0" w:tplc="BD108B4C">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01">
    <w:nsid w:val="13B074E1"/>
    <w:multiLevelType w:val="hybridMultilevel"/>
    <w:tmpl w:val="4BAC98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2">
    <w:nsid w:val="15A1708E"/>
    <w:multiLevelType w:val="hybridMultilevel"/>
    <w:tmpl w:val="7140161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nsid w:val="15CE3023"/>
    <w:multiLevelType w:val="singleLevel"/>
    <w:tmpl w:val="0BA6528C"/>
    <w:lvl w:ilvl="0">
      <w:start w:val="5"/>
      <w:numFmt w:val="decimal"/>
      <w:lvlText w:val="%1"/>
      <w:legacy w:legacy="1" w:legacySpace="0" w:legacyIndent="360"/>
      <w:lvlJc w:val="left"/>
      <w:rPr>
        <w:rFonts w:ascii="Arial" w:hAnsi="Arial" w:cs="Arial" w:hint="default"/>
      </w:rPr>
    </w:lvl>
  </w:abstractNum>
  <w:abstractNum w:abstractNumId="104">
    <w:nsid w:val="167D68B9"/>
    <w:multiLevelType w:val="hybridMultilevel"/>
    <w:tmpl w:val="908259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5">
    <w:nsid w:val="19D54716"/>
    <w:multiLevelType w:val="hybridMultilevel"/>
    <w:tmpl w:val="CFFC9C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6">
    <w:nsid w:val="1B3E4F01"/>
    <w:multiLevelType w:val="hybridMultilevel"/>
    <w:tmpl w:val="174AEF3C"/>
    <w:lvl w:ilvl="0" w:tplc="79F62F32">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07">
    <w:nsid w:val="1BB52BB5"/>
    <w:multiLevelType w:val="singleLevel"/>
    <w:tmpl w:val="0BA6528C"/>
    <w:lvl w:ilvl="0">
      <w:start w:val="3"/>
      <w:numFmt w:val="decimal"/>
      <w:lvlText w:val="%1"/>
      <w:legacy w:legacy="1" w:legacySpace="0" w:legacyIndent="360"/>
      <w:lvlJc w:val="left"/>
      <w:rPr>
        <w:rFonts w:ascii="Arial" w:hAnsi="Arial" w:cs="Arial" w:hint="default"/>
      </w:rPr>
    </w:lvl>
  </w:abstractNum>
  <w:abstractNum w:abstractNumId="108">
    <w:nsid w:val="1FD14735"/>
    <w:multiLevelType w:val="hybridMultilevel"/>
    <w:tmpl w:val="FC201D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9">
    <w:nsid w:val="20B20888"/>
    <w:multiLevelType w:val="hybridMultilevel"/>
    <w:tmpl w:val="7C589CA2"/>
    <w:lvl w:ilvl="0" w:tplc="E488D92E">
      <w:numFmt w:val="bullet"/>
      <w:lvlText w:val="﷐"/>
      <w:lvlJc w:val="left"/>
      <w:pPr>
        <w:ind w:left="720" w:hanging="360"/>
      </w:pPr>
      <w:rPr>
        <w:rFonts w:ascii="Calibri" w:eastAsia="Times New Roman"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0">
    <w:nsid w:val="24D3666D"/>
    <w:multiLevelType w:val="singleLevel"/>
    <w:tmpl w:val="0BA6528C"/>
    <w:lvl w:ilvl="0">
      <w:start w:val="8"/>
      <w:numFmt w:val="decimal"/>
      <w:lvlText w:val="%1"/>
      <w:legacy w:legacy="1" w:legacySpace="0" w:legacyIndent="360"/>
      <w:lvlJc w:val="left"/>
      <w:rPr>
        <w:rFonts w:ascii="Arial" w:hAnsi="Arial" w:cs="Arial" w:hint="default"/>
      </w:rPr>
    </w:lvl>
  </w:abstractNum>
  <w:abstractNum w:abstractNumId="111">
    <w:nsid w:val="2575226E"/>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12">
    <w:nsid w:val="2579510F"/>
    <w:multiLevelType w:val="singleLevel"/>
    <w:tmpl w:val="0BA6528C"/>
    <w:lvl w:ilvl="0">
      <w:start w:val="9"/>
      <w:numFmt w:val="decimal"/>
      <w:lvlText w:val="%1"/>
      <w:legacy w:legacy="1" w:legacySpace="0" w:legacyIndent="360"/>
      <w:lvlJc w:val="left"/>
      <w:rPr>
        <w:rFonts w:ascii="Arial" w:hAnsi="Arial" w:cs="Arial" w:hint="default"/>
      </w:rPr>
    </w:lvl>
  </w:abstractNum>
  <w:abstractNum w:abstractNumId="113">
    <w:nsid w:val="2B7849AD"/>
    <w:multiLevelType w:val="hybridMultilevel"/>
    <w:tmpl w:val="164016D2"/>
    <w:lvl w:ilvl="0" w:tplc="0CB61B8C">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14">
    <w:nsid w:val="2C173CBA"/>
    <w:multiLevelType w:val="hybridMultilevel"/>
    <w:tmpl w:val="97D2D9A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nsid w:val="2D9A16B6"/>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16">
    <w:nsid w:val="316D6ADE"/>
    <w:multiLevelType w:val="hybridMultilevel"/>
    <w:tmpl w:val="0F2A27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7">
    <w:nsid w:val="31DB4B64"/>
    <w:multiLevelType w:val="singleLevel"/>
    <w:tmpl w:val="0BA6528C"/>
    <w:lvl w:ilvl="0">
      <w:start w:val="6"/>
      <w:numFmt w:val="decimal"/>
      <w:lvlText w:val="%1"/>
      <w:legacy w:legacy="1" w:legacySpace="0" w:legacyIndent="360"/>
      <w:lvlJc w:val="left"/>
      <w:rPr>
        <w:rFonts w:ascii="Arial" w:hAnsi="Arial" w:cs="Arial" w:hint="default"/>
      </w:rPr>
    </w:lvl>
  </w:abstractNum>
  <w:abstractNum w:abstractNumId="118">
    <w:nsid w:val="34322D94"/>
    <w:multiLevelType w:val="hybridMultilevel"/>
    <w:tmpl w:val="F440E8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nsid w:val="350D7DF8"/>
    <w:multiLevelType w:val="multilevel"/>
    <w:tmpl w:val="D6FE5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nsid w:val="356D65B2"/>
    <w:multiLevelType w:val="hybridMultilevel"/>
    <w:tmpl w:val="DECE2CB2"/>
    <w:lvl w:ilvl="0" w:tplc="080A000F">
      <w:start w:val="1"/>
      <w:numFmt w:val="decimal"/>
      <w:lvlText w:val="%1."/>
      <w:lvlJc w:val="left"/>
      <w:pPr>
        <w:ind w:left="720" w:hanging="360"/>
      </w:pPr>
      <w:rPr>
        <w:rFonts w:cs="Times New Roman" w:hint="default"/>
      </w:rPr>
    </w:lvl>
    <w:lvl w:ilvl="1" w:tplc="080A0019">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21">
    <w:nsid w:val="358D2989"/>
    <w:multiLevelType w:val="hybridMultilevel"/>
    <w:tmpl w:val="3C36784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2">
    <w:nsid w:val="360A5A5E"/>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3">
    <w:nsid w:val="365810E4"/>
    <w:multiLevelType w:val="hybridMultilevel"/>
    <w:tmpl w:val="3C0292F4"/>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4">
    <w:nsid w:val="36E24862"/>
    <w:multiLevelType w:val="hybridMultilevel"/>
    <w:tmpl w:val="59D6F4D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5">
    <w:nsid w:val="373C349F"/>
    <w:multiLevelType w:val="singleLevel"/>
    <w:tmpl w:val="0BA6528C"/>
    <w:lvl w:ilvl="0">
      <w:start w:val="9"/>
      <w:numFmt w:val="decimal"/>
      <w:lvlText w:val="%1"/>
      <w:legacy w:legacy="1" w:legacySpace="0" w:legacyIndent="360"/>
      <w:lvlJc w:val="left"/>
      <w:rPr>
        <w:rFonts w:ascii="Arial" w:hAnsi="Arial" w:cs="Arial" w:hint="default"/>
      </w:rPr>
    </w:lvl>
  </w:abstractNum>
  <w:abstractNum w:abstractNumId="126">
    <w:nsid w:val="38490650"/>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7">
    <w:nsid w:val="39774D99"/>
    <w:multiLevelType w:val="hybridMultilevel"/>
    <w:tmpl w:val="753269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8">
    <w:nsid w:val="3A022A43"/>
    <w:multiLevelType w:val="hybridMultilevel"/>
    <w:tmpl w:val="04CA1D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9">
    <w:nsid w:val="3B70657B"/>
    <w:multiLevelType w:val="hybridMultilevel"/>
    <w:tmpl w:val="909EA83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0">
    <w:nsid w:val="3B7653BC"/>
    <w:multiLevelType w:val="hybridMultilevel"/>
    <w:tmpl w:val="53D46CE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1">
    <w:nsid w:val="3BA02B46"/>
    <w:multiLevelType w:val="hybridMultilevel"/>
    <w:tmpl w:val="94D061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2">
    <w:nsid w:val="3D50610E"/>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33">
    <w:nsid w:val="3E0D4903"/>
    <w:multiLevelType w:val="hybridMultilevel"/>
    <w:tmpl w:val="78EEAB7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4">
    <w:nsid w:val="3F722D28"/>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35">
    <w:nsid w:val="3FDA4708"/>
    <w:multiLevelType w:val="hybridMultilevel"/>
    <w:tmpl w:val="30848D4C"/>
    <w:lvl w:ilvl="0" w:tplc="9162C034">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36">
    <w:nsid w:val="400B3990"/>
    <w:multiLevelType w:val="hybridMultilevel"/>
    <w:tmpl w:val="06D0B73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7">
    <w:nsid w:val="403C7847"/>
    <w:multiLevelType w:val="hybridMultilevel"/>
    <w:tmpl w:val="2ECEDD7A"/>
    <w:lvl w:ilvl="0" w:tplc="79425FDE">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38">
    <w:nsid w:val="421973B7"/>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39">
    <w:nsid w:val="42EE74F0"/>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0">
    <w:nsid w:val="444E2C06"/>
    <w:multiLevelType w:val="hybridMultilevel"/>
    <w:tmpl w:val="945C1B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1">
    <w:nsid w:val="4534237A"/>
    <w:multiLevelType w:val="hybridMultilevel"/>
    <w:tmpl w:val="D0E8EF14"/>
    <w:lvl w:ilvl="0" w:tplc="37A65824">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42">
    <w:nsid w:val="45B609E8"/>
    <w:multiLevelType w:val="hybridMultilevel"/>
    <w:tmpl w:val="BF3E4A5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3">
    <w:nsid w:val="464452A4"/>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4">
    <w:nsid w:val="4681061C"/>
    <w:multiLevelType w:val="singleLevel"/>
    <w:tmpl w:val="0BA6528C"/>
    <w:lvl w:ilvl="0">
      <w:start w:val="5"/>
      <w:numFmt w:val="decimal"/>
      <w:lvlText w:val="%1"/>
      <w:legacy w:legacy="1" w:legacySpace="0" w:legacyIndent="360"/>
      <w:lvlJc w:val="left"/>
      <w:rPr>
        <w:rFonts w:ascii="Arial" w:hAnsi="Arial" w:cs="Arial" w:hint="default"/>
      </w:rPr>
    </w:lvl>
  </w:abstractNum>
  <w:abstractNum w:abstractNumId="145">
    <w:nsid w:val="46C410B5"/>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6">
    <w:nsid w:val="47DA3955"/>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7">
    <w:nsid w:val="48897751"/>
    <w:multiLevelType w:val="hybridMultilevel"/>
    <w:tmpl w:val="6AB062FE"/>
    <w:lvl w:ilvl="0" w:tplc="3B8CB234">
      <w:start w:val="1"/>
      <w:numFmt w:val="decimal"/>
      <w:lvlText w:val="%1."/>
      <w:lvlJc w:val="left"/>
      <w:pPr>
        <w:ind w:left="1080" w:hanging="360"/>
      </w:pPr>
      <w:rPr>
        <w:rFonts w:ascii="Arial" w:eastAsiaTheme="minorHAnsi" w:hAnsi="Arial" w:cs="Arial"/>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8">
    <w:nsid w:val="48D5631F"/>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9">
    <w:nsid w:val="498A6DBE"/>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50">
    <w:nsid w:val="4D242FC6"/>
    <w:multiLevelType w:val="hybridMultilevel"/>
    <w:tmpl w:val="EDAC91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1">
    <w:nsid w:val="4D3822B8"/>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52">
    <w:nsid w:val="50917F85"/>
    <w:multiLevelType w:val="hybridMultilevel"/>
    <w:tmpl w:val="B348806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3">
    <w:nsid w:val="51043D84"/>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54">
    <w:nsid w:val="54382629"/>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55">
    <w:nsid w:val="5480733E"/>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56">
    <w:nsid w:val="55212281"/>
    <w:multiLevelType w:val="hybridMultilevel"/>
    <w:tmpl w:val="9E0A6DE2"/>
    <w:lvl w:ilvl="0" w:tplc="F3C20BD8">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57">
    <w:nsid w:val="55EA4C9C"/>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58">
    <w:nsid w:val="568D2154"/>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59">
    <w:nsid w:val="59F9627F"/>
    <w:multiLevelType w:val="hybridMultilevel"/>
    <w:tmpl w:val="B3B8268C"/>
    <w:lvl w:ilvl="0" w:tplc="62CA7812">
      <w:start w:val="1"/>
      <w:numFmt w:val="decimal"/>
      <w:lvlText w:val="%1."/>
      <w:lvlJc w:val="left"/>
      <w:pPr>
        <w:ind w:left="340" w:hanging="34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0">
    <w:nsid w:val="5ACF7A8E"/>
    <w:multiLevelType w:val="hybridMultilevel"/>
    <w:tmpl w:val="868AEC9E"/>
    <w:lvl w:ilvl="0" w:tplc="2816420E">
      <w:numFmt w:val="bullet"/>
      <w:lvlText w:val="-"/>
      <w:lvlJc w:val="left"/>
      <w:pPr>
        <w:ind w:left="113" w:hanging="113"/>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1">
    <w:nsid w:val="5B1B67C2"/>
    <w:multiLevelType w:val="singleLevel"/>
    <w:tmpl w:val="0BA6528C"/>
    <w:lvl w:ilvl="0">
      <w:start w:val="6"/>
      <w:numFmt w:val="decimal"/>
      <w:lvlText w:val="%1"/>
      <w:legacy w:legacy="1" w:legacySpace="0" w:legacyIndent="360"/>
      <w:lvlJc w:val="left"/>
      <w:rPr>
        <w:rFonts w:ascii="Arial" w:hAnsi="Arial" w:cs="Arial" w:hint="default"/>
      </w:rPr>
    </w:lvl>
  </w:abstractNum>
  <w:abstractNum w:abstractNumId="162">
    <w:nsid w:val="5CAB656F"/>
    <w:multiLevelType w:val="multilevel"/>
    <w:tmpl w:val="56BA7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5E6B0C4E"/>
    <w:multiLevelType w:val="hybridMultilevel"/>
    <w:tmpl w:val="8F564E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4">
    <w:nsid w:val="614A200A"/>
    <w:multiLevelType w:val="hybridMultilevel"/>
    <w:tmpl w:val="3B9E80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5">
    <w:nsid w:val="63236FBB"/>
    <w:multiLevelType w:val="hybridMultilevel"/>
    <w:tmpl w:val="A2D43DF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6">
    <w:nsid w:val="634F2753"/>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7">
    <w:nsid w:val="646950E4"/>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68">
    <w:nsid w:val="664F3AF1"/>
    <w:multiLevelType w:val="hybridMultilevel"/>
    <w:tmpl w:val="57D64390"/>
    <w:lvl w:ilvl="0" w:tplc="DF008F52">
      <w:start w:val="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9">
    <w:nsid w:val="688A4729"/>
    <w:multiLevelType w:val="hybridMultilevel"/>
    <w:tmpl w:val="724C3BC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0">
    <w:nsid w:val="6A273372"/>
    <w:multiLevelType w:val="hybridMultilevel"/>
    <w:tmpl w:val="9B14B568"/>
    <w:lvl w:ilvl="0" w:tplc="080A000F">
      <w:start w:val="1"/>
      <w:numFmt w:val="decimal"/>
      <w:lvlText w:val="%1."/>
      <w:lvlJc w:val="left"/>
      <w:pPr>
        <w:ind w:left="643"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1">
    <w:nsid w:val="6BCB079D"/>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72">
    <w:nsid w:val="6BD22519"/>
    <w:multiLevelType w:val="hybridMultilevel"/>
    <w:tmpl w:val="F0CC57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3">
    <w:nsid w:val="6C2F239B"/>
    <w:multiLevelType w:val="hybridMultilevel"/>
    <w:tmpl w:val="49106730"/>
    <w:lvl w:ilvl="0" w:tplc="3B8CB234">
      <w:start w:val="1"/>
      <w:numFmt w:val="decimal"/>
      <w:lvlText w:val="%1."/>
      <w:lvlJc w:val="left"/>
      <w:pPr>
        <w:ind w:left="1080" w:hanging="360"/>
      </w:pPr>
      <w:rPr>
        <w:rFonts w:ascii="Arial" w:eastAsiaTheme="minorHAnsi" w:hAnsi="Arial"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4">
    <w:nsid w:val="6C6102AE"/>
    <w:multiLevelType w:val="hybridMultilevel"/>
    <w:tmpl w:val="DF3A53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5">
    <w:nsid w:val="6E5F7A83"/>
    <w:multiLevelType w:val="hybridMultilevel"/>
    <w:tmpl w:val="B3182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6">
    <w:nsid w:val="72C71713"/>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77">
    <w:nsid w:val="72CF2D22"/>
    <w:multiLevelType w:val="hybridMultilevel"/>
    <w:tmpl w:val="1D2099B8"/>
    <w:lvl w:ilvl="0" w:tplc="3B8CB234">
      <w:start w:val="1"/>
      <w:numFmt w:val="decimal"/>
      <w:lvlText w:val="%1."/>
      <w:lvlJc w:val="left"/>
      <w:pPr>
        <w:ind w:left="1080" w:hanging="360"/>
      </w:pPr>
      <w:rPr>
        <w:rFonts w:ascii="Arial" w:eastAsiaTheme="minorHAnsi" w:hAnsi="Arial"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8">
    <w:nsid w:val="72ED3A39"/>
    <w:multiLevelType w:val="hybridMultilevel"/>
    <w:tmpl w:val="C78CEB7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9">
    <w:nsid w:val="733B7B12"/>
    <w:multiLevelType w:val="hybridMultilevel"/>
    <w:tmpl w:val="05F4D69E"/>
    <w:lvl w:ilvl="0" w:tplc="604834A6">
      <w:start w:val="1"/>
      <w:numFmt w:val="decimal"/>
      <w:lvlText w:val="%1."/>
      <w:lvlJc w:val="left"/>
      <w:pPr>
        <w:ind w:left="720" w:hanging="360"/>
      </w:pPr>
      <w:rPr>
        <w:rFonts w:ascii="Verdana" w:hAnsi="Verdana" w:cs="Times New Roman" w:hint="default"/>
        <w:sz w:val="15"/>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0">
    <w:nsid w:val="743C6CFE"/>
    <w:multiLevelType w:val="hybridMultilevel"/>
    <w:tmpl w:val="54ACD37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1">
    <w:nsid w:val="77E56C64"/>
    <w:multiLevelType w:val="hybridMultilevel"/>
    <w:tmpl w:val="1EC0FC4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2">
    <w:nsid w:val="78D37F7E"/>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83">
    <w:nsid w:val="7968522D"/>
    <w:multiLevelType w:val="hybridMultilevel"/>
    <w:tmpl w:val="94921D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4">
    <w:nsid w:val="7A6970C3"/>
    <w:multiLevelType w:val="singleLevel"/>
    <w:tmpl w:val="0BA6528C"/>
    <w:lvl w:ilvl="0">
      <w:start w:val="7"/>
      <w:numFmt w:val="decimal"/>
      <w:lvlText w:val="%1"/>
      <w:legacy w:legacy="1" w:legacySpace="0" w:legacyIndent="360"/>
      <w:lvlJc w:val="left"/>
      <w:rPr>
        <w:rFonts w:ascii="Arial" w:hAnsi="Arial" w:cs="Arial" w:hint="default"/>
      </w:rPr>
    </w:lvl>
  </w:abstractNum>
  <w:abstractNum w:abstractNumId="185">
    <w:nsid w:val="7B0127C7"/>
    <w:multiLevelType w:val="hybridMultilevel"/>
    <w:tmpl w:val="74D0D62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6">
    <w:nsid w:val="7B4A2303"/>
    <w:multiLevelType w:val="hybridMultilevel"/>
    <w:tmpl w:val="BF5EF0F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7">
    <w:nsid w:val="7BCB67A1"/>
    <w:multiLevelType w:val="hybridMultilevel"/>
    <w:tmpl w:val="9A4CFD2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8">
    <w:nsid w:val="7CF21A5E"/>
    <w:multiLevelType w:val="hybridMultilevel"/>
    <w:tmpl w:val="4998E0B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9">
    <w:nsid w:val="7CFA559F"/>
    <w:multiLevelType w:val="singleLevel"/>
    <w:tmpl w:val="0BA6528C"/>
    <w:lvl w:ilvl="0">
      <w:start w:val="2"/>
      <w:numFmt w:val="decimal"/>
      <w:lvlText w:val="%1"/>
      <w:legacy w:legacy="1" w:legacySpace="0" w:legacyIndent="360"/>
      <w:lvlJc w:val="left"/>
      <w:rPr>
        <w:rFonts w:ascii="Arial" w:hAnsi="Arial" w:cs="Arial" w:hint="default"/>
      </w:rPr>
    </w:lvl>
  </w:abstractNum>
  <w:abstractNum w:abstractNumId="190">
    <w:nsid w:val="7D5D3B58"/>
    <w:multiLevelType w:val="hybridMultilevel"/>
    <w:tmpl w:val="7D9062C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34"/>
  </w:num>
  <w:num w:numId="2">
    <w:abstractNumId w:val="189"/>
  </w:num>
  <w:num w:numId="3">
    <w:abstractNumId w:val="107"/>
  </w:num>
  <w:num w:numId="4">
    <w:abstractNumId w:val="157"/>
  </w:num>
  <w:num w:numId="5">
    <w:abstractNumId w:val="157"/>
    <w:lvlOverride w:ilvl="0">
      <w:lvl w:ilvl="0">
        <w:start w:val="2"/>
        <w:numFmt w:val="decimal"/>
        <w:lvlText w:val="%1"/>
        <w:legacy w:legacy="1" w:legacySpace="0" w:legacyIndent="360"/>
        <w:lvlJc w:val="left"/>
        <w:rPr>
          <w:rFonts w:ascii="Arial" w:hAnsi="Arial" w:cs="Arial" w:hint="default"/>
        </w:rPr>
      </w:lvl>
    </w:lvlOverride>
  </w:num>
  <w:num w:numId="6">
    <w:abstractNumId w:val="157"/>
    <w:lvlOverride w:ilvl="0">
      <w:lvl w:ilvl="0">
        <w:start w:val="3"/>
        <w:numFmt w:val="decimal"/>
        <w:lvlText w:val="%1"/>
        <w:legacy w:legacy="1" w:legacySpace="0" w:legacyIndent="360"/>
        <w:lvlJc w:val="left"/>
        <w:rPr>
          <w:rFonts w:ascii="Arial" w:hAnsi="Arial" w:cs="Arial" w:hint="default"/>
        </w:rPr>
      </w:lvl>
    </w:lvlOverride>
  </w:num>
  <w:num w:numId="7">
    <w:abstractNumId w:val="157"/>
    <w:lvlOverride w:ilvl="0">
      <w:lvl w:ilvl="0">
        <w:start w:val="4"/>
        <w:numFmt w:val="decimal"/>
        <w:lvlText w:val="%1"/>
        <w:legacy w:legacy="1" w:legacySpace="0" w:legacyIndent="360"/>
        <w:lvlJc w:val="left"/>
        <w:rPr>
          <w:rFonts w:ascii="Arial" w:hAnsi="Arial" w:cs="Arial" w:hint="default"/>
        </w:rPr>
      </w:lvl>
    </w:lvlOverride>
  </w:num>
  <w:num w:numId="8">
    <w:abstractNumId w:val="144"/>
  </w:num>
  <w:num w:numId="9">
    <w:abstractNumId w:val="117"/>
  </w:num>
  <w:num w:numId="10">
    <w:abstractNumId w:val="184"/>
  </w:num>
  <w:num w:numId="11">
    <w:abstractNumId w:val="120"/>
  </w:num>
  <w:num w:numId="12">
    <w:abstractNumId w:val="141"/>
  </w:num>
  <w:num w:numId="13">
    <w:abstractNumId w:val="156"/>
  </w:num>
  <w:num w:numId="14">
    <w:abstractNumId w:val="137"/>
  </w:num>
  <w:num w:numId="15">
    <w:abstractNumId w:val="135"/>
  </w:num>
  <w:num w:numId="16">
    <w:abstractNumId w:val="113"/>
  </w:num>
  <w:num w:numId="17">
    <w:abstractNumId w:val="106"/>
  </w:num>
  <w:num w:numId="18">
    <w:abstractNumId w:val="100"/>
  </w:num>
  <w:num w:numId="19">
    <w:abstractNumId w:val="116"/>
  </w:num>
  <w:num w:numId="20">
    <w:abstractNumId w:val="186"/>
  </w:num>
  <w:num w:numId="21">
    <w:abstractNumId w:val="170"/>
  </w:num>
  <w:num w:numId="22">
    <w:abstractNumId w:val="178"/>
  </w:num>
  <w:num w:numId="23">
    <w:abstractNumId w:val="185"/>
  </w:num>
  <w:num w:numId="24">
    <w:abstractNumId w:val="93"/>
  </w:num>
  <w:num w:numId="25">
    <w:abstractNumId w:val="133"/>
  </w:num>
  <w:num w:numId="26">
    <w:abstractNumId w:val="136"/>
  </w:num>
  <w:num w:numId="27">
    <w:abstractNumId w:val="130"/>
  </w:num>
  <w:num w:numId="28">
    <w:abstractNumId w:val="181"/>
  </w:num>
  <w:num w:numId="29">
    <w:abstractNumId w:val="96"/>
  </w:num>
  <w:num w:numId="30">
    <w:abstractNumId w:val="175"/>
  </w:num>
  <w:num w:numId="31">
    <w:abstractNumId w:val="101"/>
  </w:num>
  <w:num w:numId="32">
    <w:abstractNumId w:val="102"/>
  </w:num>
  <w:num w:numId="33">
    <w:abstractNumId w:val="104"/>
  </w:num>
  <w:num w:numId="34">
    <w:abstractNumId w:val="163"/>
  </w:num>
  <w:num w:numId="35">
    <w:abstractNumId w:val="179"/>
  </w:num>
  <w:num w:numId="36">
    <w:abstractNumId w:val="190"/>
  </w:num>
  <w:num w:numId="37">
    <w:abstractNumId w:val="142"/>
  </w:num>
  <w:num w:numId="38">
    <w:abstractNumId w:val="127"/>
  </w:num>
  <w:num w:numId="39">
    <w:abstractNumId w:val="121"/>
  </w:num>
  <w:num w:numId="40">
    <w:abstractNumId w:val="91"/>
  </w:num>
  <w:num w:numId="41">
    <w:abstractNumId w:val="95"/>
  </w:num>
  <w:num w:numId="42">
    <w:abstractNumId w:val="164"/>
  </w:num>
  <w:num w:numId="43">
    <w:abstractNumId w:val="188"/>
  </w:num>
  <w:num w:numId="44">
    <w:abstractNumId w:val="147"/>
  </w:num>
  <w:num w:numId="45">
    <w:abstractNumId w:val="90"/>
  </w:num>
  <w:num w:numId="46">
    <w:abstractNumId w:val="173"/>
  </w:num>
  <w:num w:numId="47">
    <w:abstractNumId w:val="177"/>
  </w:num>
  <w:num w:numId="48">
    <w:abstractNumId w:val="140"/>
  </w:num>
  <w:num w:numId="49">
    <w:abstractNumId w:val="129"/>
  </w:num>
  <w:num w:numId="50">
    <w:abstractNumId w:val="92"/>
  </w:num>
  <w:num w:numId="51">
    <w:abstractNumId w:val="118"/>
  </w:num>
  <w:num w:numId="52">
    <w:abstractNumId w:val="165"/>
  </w:num>
  <w:num w:numId="53">
    <w:abstractNumId w:val="98"/>
  </w:num>
  <w:num w:numId="54">
    <w:abstractNumId w:val="114"/>
  </w:num>
  <w:num w:numId="55">
    <w:abstractNumId w:val="94"/>
  </w:num>
  <w:num w:numId="56">
    <w:abstractNumId w:val="150"/>
  </w:num>
  <w:num w:numId="57">
    <w:abstractNumId w:val="124"/>
  </w:num>
  <w:num w:numId="58">
    <w:abstractNumId w:val="131"/>
  </w:num>
  <w:num w:numId="59">
    <w:abstractNumId w:val="123"/>
  </w:num>
  <w:num w:numId="60">
    <w:abstractNumId w:val="172"/>
  </w:num>
  <w:num w:numId="61">
    <w:abstractNumId w:val="128"/>
  </w:num>
  <w:num w:numId="62">
    <w:abstractNumId w:val="187"/>
  </w:num>
  <w:num w:numId="63">
    <w:abstractNumId w:val="152"/>
  </w:num>
  <w:num w:numId="64">
    <w:abstractNumId w:val="169"/>
  </w:num>
  <w:num w:numId="65">
    <w:abstractNumId w:val="108"/>
  </w:num>
  <w:num w:numId="66">
    <w:abstractNumId w:val="174"/>
  </w:num>
  <w:num w:numId="67">
    <w:abstractNumId w:val="151"/>
  </w:num>
  <w:num w:numId="68">
    <w:abstractNumId w:val="151"/>
    <w:lvlOverride w:ilvl="0">
      <w:lvl w:ilvl="0">
        <w:start w:val="2"/>
        <w:numFmt w:val="decimal"/>
        <w:lvlText w:val="%1"/>
        <w:legacy w:legacy="1" w:legacySpace="0" w:legacyIndent="360"/>
        <w:lvlJc w:val="left"/>
        <w:rPr>
          <w:rFonts w:ascii="Arial" w:hAnsi="Arial" w:cs="Arial" w:hint="default"/>
        </w:rPr>
      </w:lvl>
    </w:lvlOverride>
  </w:num>
  <w:num w:numId="69">
    <w:abstractNumId w:val="151"/>
    <w:lvlOverride w:ilvl="0">
      <w:lvl w:ilvl="0">
        <w:start w:val="3"/>
        <w:numFmt w:val="decimal"/>
        <w:lvlText w:val="%1"/>
        <w:legacy w:legacy="1" w:legacySpace="0" w:legacyIndent="360"/>
        <w:lvlJc w:val="left"/>
        <w:rPr>
          <w:rFonts w:ascii="Arial" w:hAnsi="Arial" w:cs="Arial" w:hint="default"/>
        </w:rPr>
      </w:lvl>
    </w:lvlOverride>
  </w:num>
  <w:num w:numId="70">
    <w:abstractNumId w:val="115"/>
  </w:num>
  <w:num w:numId="71">
    <w:abstractNumId w:val="115"/>
    <w:lvlOverride w:ilvl="0">
      <w:lvl w:ilvl="0">
        <w:start w:val="2"/>
        <w:numFmt w:val="decimal"/>
        <w:lvlText w:val="%1"/>
        <w:legacy w:legacy="1" w:legacySpace="0" w:legacyIndent="360"/>
        <w:lvlJc w:val="left"/>
        <w:rPr>
          <w:rFonts w:ascii="Arial" w:hAnsi="Arial" w:cs="Arial" w:hint="default"/>
        </w:rPr>
      </w:lvl>
    </w:lvlOverride>
  </w:num>
  <w:num w:numId="72">
    <w:abstractNumId w:val="115"/>
    <w:lvlOverride w:ilvl="0">
      <w:lvl w:ilvl="0">
        <w:start w:val="3"/>
        <w:numFmt w:val="decimal"/>
        <w:lvlText w:val="%1"/>
        <w:legacy w:legacy="1" w:legacySpace="0" w:legacyIndent="360"/>
        <w:lvlJc w:val="left"/>
        <w:rPr>
          <w:rFonts w:ascii="Arial" w:hAnsi="Arial" w:cs="Arial" w:hint="default"/>
        </w:rPr>
      </w:lvl>
    </w:lvlOverride>
  </w:num>
  <w:num w:numId="73">
    <w:abstractNumId w:val="115"/>
    <w:lvlOverride w:ilvl="0">
      <w:lvl w:ilvl="0">
        <w:start w:val="4"/>
        <w:numFmt w:val="decimal"/>
        <w:lvlText w:val="%1"/>
        <w:legacy w:legacy="1" w:legacySpace="0" w:legacyIndent="360"/>
        <w:lvlJc w:val="left"/>
        <w:rPr>
          <w:rFonts w:ascii="Arial" w:hAnsi="Arial" w:cs="Arial" w:hint="default"/>
        </w:rPr>
      </w:lvl>
    </w:lvlOverride>
  </w:num>
  <w:num w:numId="74">
    <w:abstractNumId w:val="115"/>
    <w:lvlOverride w:ilvl="0">
      <w:lvl w:ilvl="0">
        <w:start w:val="5"/>
        <w:numFmt w:val="decimal"/>
        <w:lvlText w:val="%1"/>
        <w:legacy w:legacy="1" w:legacySpace="0" w:legacyIndent="360"/>
        <w:lvlJc w:val="left"/>
        <w:rPr>
          <w:rFonts w:ascii="Arial" w:hAnsi="Arial" w:cs="Arial" w:hint="default"/>
        </w:rPr>
      </w:lvl>
    </w:lvlOverride>
  </w:num>
  <w:num w:numId="75">
    <w:abstractNumId w:val="154"/>
  </w:num>
  <w:num w:numId="76">
    <w:abstractNumId w:val="154"/>
    <w:lvlOverride w:ilvl="0">
      <w:lvl w:ilvl="0">
        <w:start w:val="2"/>
        <w:numFmt w:val="decimal"/>
        <w:lvlText w:val="%1"/>
        <w:legacy w:legacy="1" w:legacySpace="0" w:legacyIndent="360"/>
        <w:lvlJc w:val="left"/>
        <w:rPr>
          <w:rFonts w:ascii="Arial" w:hAnsi="Arial" w:cs="Arial" w:hint="default"/>
        </w:rPr>
      </w:lvl>
    </w:lvlOverride>
  </w:num>
  <w:num w:numId="77">
    <w:abstractNumId w:val="154"/>
    <w:lvlOverride w:ilvl="0">
      <w:lvl w:ilvl="0">
        <w:start w:val="3"/>
        <w:numFmt w:val="decimal"/>
        <w:lvlText w:val="%1"/>
        <w:legacy w:legacy="1" w:legacySpace="0" w:legacyIndent="360"/>
        <w:lvlJc w:val="left"/>
        <w:rPr>
          <w:rFonts w:ascii="Arial" w:hAnsi="Arial" w:cs="Arial" w:hint="default"/>
        </w:rPr>
      </w:lvl>
    </w:lvlOverride>
  </w:num>
  <w:num w:numId="78">
    <w:abstractNumId w:val="154"/>
    <w:lvlOverride w:ilvl="0">
      <w:lvl w:ilvl="0">
        <w:start w:val="4"/>
        <w:numFmt w:val="decimal"/>
        <w:lvlText w:val="%1"/>
        <w:legacy w:legacy="1" w:legacySpace="0" w:legacyIndent="360"/>
        <w:lvlJc w:val="left"/>
        <w:rPr>
          <w:rFonts w:ascii="Arial" w:hAnsi="Arial" w:cs="Arial" w:hint="default"/>
        </w:rPr>
      </w:lvl>
    </w:lvlOverride>
  </w:num>
  <w:num w:numId="79">
    <w:abstractNumId w:val="154"/>
    <w:lvlOverride w:ilvl="0">
      <w:lvl w:ilvl="0">
        <w:start w:val="5"/>
        <w:numFmt w:val="decimal"/>
        <w:lvlText w:val="%1"/>
        <w:legacy w:legacy="1" w:legacySpace="0" w:legacyIndent="360"/>
        <w:lvlJc w:val="left"/>
        <w:rPr>
          <w:rFonts w:ascii="Arial" w:hAnsi="Arial" w:cs="Arial" w:hint="default"/>
        </w:rPr>
      </w:lvl>
    </w:lvlOverride>
  </w:num>
  <w:num w:numId="80">
    <w:abstractNumId w:val="182"/>
  </w:num>
  <w:num w:numId="81">
    <w:abstractNumId w:val="182"/>
    <w:lvlOverride w:ilvl="0">
      <w:lvl w:ilvl="0">
        <w:start w:val="2"/>
        <w:numFmt w:val="decimal"/>
        <w:lvlText w:val="%1"/>
        <w:legacy w:legacy="1" w:legacySpace="0" w:legacyIndent="360"/>
        <w:lvlJc w:val="left"/>
        <w:rPr>
          <w:rFonts w:ascii="Arial" w:hAnsi="Arial" w:cs="Arial" w:hint="default"/>
        </w:rPr>
      </w:lvl>
    </w:lvlOverride>
  </w:num>
  <w:num w:numId="82">
    <w:abstractNumId w:val="182"/>
    <w:lvlOverride w:ilvl="0">
      <w:lvl w:ilvl="0">
        <w:start w:val="3"/>
        <w:numFmt w:val="decimal"/>
        <w:lvlText w:val="%1"/>
        <w:legacy w:legacy="1" w:legacySpace="0" w:legacyIndent="360"/>
        <w:lvlJc w:val="left"/>
        <w:rPr>
          <w:rFonts w:ascii="Arial" w:hAnsi="Arial" w:cs="Arial" w:hint="default"/>
        </w:rPr>
      </w:lvl>
    </w:lvlOverride>
  </w:num>
  <w:num w:numId="83">
    <w:abstractNumId w:val="182"/>
    <w:lvlOverride w:ilvl="0">
      <w:lvl w:ilvl="0">
        <w:start w:val="4"/>
        <w:numFmt w:val="decimal"/>
        <w:lvlText w:val="%1"/>
        <w:legacy w:legacy="1" w:legacySpace="0" w:legacyIndent="360"/>
        <w:lvlJc w:val="left"/>
        <w:rPr>
          <w:rFonts w:ascii="Arial" w:hAnsi="Arial" w:cs="Arial" w:hint="default"/>
        </w:rPr>
      </w:lvl>
    </w:lvlOverride>
  </w:num>
  <w:num w:numId="84">
    <w:abstractNumId w:val="182"/>
    <w:lvlOverride w:ilvl="0">
      <w:lvl w:ilvl="0">
        <w:start w:val="5"/>
        <w:numFmt w:val="decimal"/>
        <w:lvlText w:val="%1"/>
        <w:legacy w:legacy="1" w:legacySpace="0" w:legacyIndent="360"/>
        <w:lvlJc w:val="left"/>
        <w:rPr>
          <w:rFonts w:ascii="Arial" w:hAnsi="Arial" w:cs="Arial" w:hint="default"/>
        </w:rPr>
      </w:lvl>
    </w:lvlOverride>
  </w:num>
  <w:num w:numId="85">
    <w:abstractNumId w:val="161"/>
  </w:num>
  <w:num w:numId="86">
    <w:abstractNumId w:val="161"/>
    <w:lvlOverride w:ilvl="0">
      <w:lvl w:ilvl="0">
        <w:start w:val="7"/>
        <w:numFmt w:val="decimal"/>
        <w:lvlText w:val="%1"/>
        <w:legacy w:legacy="1" w:legacySpace="0" w:legacyIndent="360"/>
        <w:lvlJc w:val="left"/>
        <w:rPr>
          <w:rFonts w:ascii="Arial" w:hAnsi="Arial" w:cs="Arial" w:hint="default"/>
        </w:rPr>
      </w:lvl>
    </w:lvlOverride>
  </w:num>
  <w:num w:numId="87">
    <w:abstractNumId w:val="110"/>
  </w:num>
  <w:num w:numId="88">
    <w:abstractNumId w:val="125"/>
  </w:num>
  <w:num w:numId="89">
    <w:abstractNumId w:val="125"/>
    <w:lvlOverride w:ilvl="0">
      <w:lvl w:ilvl="0">
        <w:start w:val="10"/>
        <w:numFmt w:val="decimal"/>
        <w:lvlText w:val="%1"/>
        <w:legacy w:legacy="1" w:legacySpace="0" w:legacyIndent="360"/>
        <w:lvlJc w:val="left"/>
        <w:rPr>
          <w:rFonts w:ascii="Arial" w:hAnsi="Arial" w:cs="Arial" w:hint="default"/>
        </w:rPr>
      </w:lvl>
    </w:lvlOverride>
  </w:num>
  <w:num w:numId="90">
    <w:abstractNumId w:val="125"/>
    <w:lvlOverride w:ilvl="0">
      <w:lvl w:ilvl="0">
        <w:start w:val="11"/>
        <w:numFmt w:val="decimal"/>
        <w:lvlText w:val="%1"/>
        <w:legacy w:legacy="1" w:legacySpace="0" w:legacyIndent="360"/>
        <w:lvlJc w:val="left"/>
        <w:rPr>
          <w:rFonts w:ascii="Arial" w:hAnsi="Arial" w:cs="Arial" w:hint="default"/>
        </w:rPr>
      </w:lvl>
    </w:lvlOverride>
  </w:num>
  <w:num w:numId="91">
    <w:abstractNumId w:val="125"/>
    <w:lvlOverride w:ilvl="0">
      <w:lvl w:ilvl="0">
        <w:start w:val="12"/>
        <w:numFmt w:val="decimal"/>
        <w:lvlText w:val="%1"/>
        <w:legacy w:legacy="1" w:legacySpace="0" w:legacyIndent="360"/>
        <w:lvlJc w:val="left"/>
        <w:rPr>
          <w:rFonts w:ascii="Arial" w:hAnsi="Arial" w:cs="Arial" w:hint="default"/>
        </w:rPr>
      </w:lvl>
    </w:lvlOverride>
  </w:num>
  <w:num w:numId="92">
    <w:abstractNumId w:val="125"/>
    <w:lvlOverride w:ilvl="0">
      <w:lvl w:ilvl="0">
        <w:start w:val="13"/>
        <w:numFmt w:val="decimal"/>
        <w:lvlText w:val="%1"/>
        <w:legacy w:legacy="1" w:legacySpace="0" w:legacyIndent="360"/>
        <w:lvlJc w:val="left"/>
        <w:rPr>
          <w:rFonts w:ascii="Arial" w:hAnsi="Arial" w:cs="Arial" w:hint="default"/>
        </w:rPr>
      </w:lvl>
    </w:lvlOverride>
  </w:num>
  <w:num w:numId="93">
    <w:abstractNumId w:val="111"/>
  </w:num>
  <w:num w:numId="94">
    <w:abstractNumId w:val="111"/>
    <w:lvlOverride w:ilvl="0">
      <w:lvl w:ilvl="0">
        <w:start w:val="2"/>
        <w:numFmt w:val="decimal"/>
        <w:lvlText w:val="%1"/>
        <w:legacy w:legacy="1" w:legacySpace="0" w:legacyIndent="360"/>
        <w:lvlJc w:val="left"/>
        <w:rPr>
          <w:rFonts w:ascii="Arial" w:hAnsi="Arial" w:cs="Arial" w:hint="default"/>
        </w:rPr>
      </w:lvl>
    </w:lvlOverride>
  </w:num>
  <w:num w:numId="95">
    <w:abstractNumId w:val="111"/>
    <w:lvlOverride w:ilvl="0">
      <w:lvl w:ilvl="0">
        <w:start w:val="3"/>
        <w:numFmt w:val="decimal"/>
        <w:lvlText w:val="%1"/>
        <w:legacy w:legacy="1" w:legacySpace="0" w:legacyIndent="360"/>
        <w:lvlJc w:val="left"/>
        <w:rPr>
          <w:rFonts w:ascii="Arial" w:hAnsi="Arial" w:cs="Arial" w:hint="default"/>
        </w:rPr>
      </w:lvl>
    </w:lvlOverride>
  </w:num>
  <w:num w:numId="96">
    <w:abstractNumId w:val="111"/>
    <w:lvlOverride w:ilvl="0">
      <w:lvl w:ilvl="0">
        <w:start w:val="4"/>
        <w:numFmt w:val="decimal"/>
        <w:lvlText w:val="%1"/>
        <w:legacy w:legacy="1" w:legacySpace="0" w:legacyIndent="360"/>
        <w:lvlJc w:val="left"/>
        <w:rPr>
          <w:rFonts w:ascii="Arial" w:hAnsi="Arial" w:cs="Arial" w:hint="default"/>
        </w:rPr>
      </w:lvl>
    </w:lvlOverride>
  </w:num>
  <w:num w:numId="97">
    <w:abstractNumId w:val="103"/>
  </w:num>
  <w:num w:numId="98">
    <w:abstractNumId w:val="103"/>
    <w:lvlOverride w:ilvl="0">
      <w:lvl w:ilvl="0">
        <w:start w:val="6"/>
        <w:numFmt w:val="decimal"/>
        <w:lvlText w:val="%1"/>
        <w:legacy w:legacy="1" w:legacySpace="0" w:legacyIndent="360"/>
        <w:lvlJc w:val="left"/>
        <w:rPr>
          <w:rFonts w:ascii="Arial" w:hAnsi="Arial" w:cs="Arial" w:hint="default"/>
        </w:rPr>
      </w:lvl>
    </w:lvlOverride>
  </w:num>
  <w:num w:numId="99">
    <w:abstractNumId w:val="103"/>
    <w:lvlOverride w:ilvl="0">
      <w:lvl w:ilvl="0">
        <w:start w:val="7"/>
        <w:numFmt w:val="decimal"/>
        <w:lvlText w:val="%1"/>
        <w:legacy w:legacy="1" w:legacySpace="0" w:legacyIndent="360"/>
        <w:lvlJc w:val="left"/>
        <w:rPr>
          <w:rFonts w:ascii="Arial" w:hAnsi="Arial" w:cs="Arial" w:hint="default"/>
        </w:rPr>
      </w:lvl>
    </w:lvlOverride>
  </w:num>
  <w:num w:numId="100">
    <w:abstractNumId w:val="103"/>
    <w:lvlOverride w:ilvl="0">
      <w:lvl w:ilvl="0">
        <w:start w:val="8"/>
        <w:numFmt w:val="decimal"/>
        <w:lvlText w:val="%1"/>
        <w:legacy w:legacy="1" w:legacySpace="0" w:legacyIndent="360"/>
        <w:lvlJc w:val="left"/>
        <w:rPr>
          <w:rFonts w:ascii="Arial" w:hAnsi="Arial" w:cs="Arial" w:hint="default"/>
        </w:rPr>
      </w:lvl>
    </w:lvlOverride>
  </w:num>
  <w:num w:numId="101">
    <w:abstractNumId w:val="112"/>
  </w:num>
  <w:num w:numId="102">
    <w:abstractNumId w:val="112"/>
    <w:lvlOverride w:ilvl="0">
      <w:lvl w:ilvl="0">
        <w:start w:val="10"/>
        <w:numFmt w:val="decimal"/>
        <w:lvlText w:val="%1"/>
        <w:legacy w:legacy="1" w:legacySpace="0" w:legacyIndent="360"/>
        <w:lvlJc w:val="left"/>
        <w:rPr>
          <w:rFonts w:ascii="Arial" w:hAnsi="Arial" w:cs="Arial" w:hint="default"/>
        </w:rPr>
      </w:lvl>
    </w:lvlOverride>
  </w:num>
  <w:num w:numId="103">
    <w:abstractNumId w:val="99"/>
  </w:num>
  <w:num w:numId="104">
    <w:abstractNumId w:val="99"/>
    <w:lvlOverride w:ilvl="0">
      <w:lvl w:ilvl="0">
        <w:start w:val="12"/>
        <w:numFmt w:val="decimal"/>
        <w:lvlText w:val="%1"/>
        <w:legacy w:legacy="1" w:legacySpace="0" w:legacyIndent="360"/>
        <w:lvlJc w:val="left"/>
        <w:rPr>
          <w:rFonts w:ascii="Arial" w:hAnsi="Arial" w:cs="Arial" w:hint="default"/>
        </w:rPr>
      </w:lvl>
    </w:lvlOverride>
  </w:num>
  <w:num w:numId="105">
    <w:abstractNumId w:val="99"/>
    <w:lvlOverride w:ilvl="0">
      <w:lvl w:ilvl="0">
        <w:start w:val="13"/>
        <w:numFmt w:val="decimal"/>
        <w:lvlText w:val="%1"/>
        <w:legacy w:legacy="1" w:legacySpace="0" w:legacyIndent="360"/>
        <w:lvlJc w:val="left"/>
        <w:rPr>
          <w:rFonts w:ascii="Arial" w:hAnsi="Arial" w:cs="Arial" w:hint="default"/>
        </w:rPr>
      </w:lvl>
    </w:lvlOverride>
  </w:num>
  <w:num w:numId="106">
    <w:abstractNumId w:val="8"/>
  </w:num>
  <w:num w:numId="107">
    <w:abstractNumId w:val="79"/>
  </w:num>
  <w:num w:numId="108">
    <w:abstractNumId w:val="9"/>
  </w:num>
  <w:num w:numId="109">
    <w:abstractNumId w:val="180"/>
  </w:num>
  <w:num w:numId="110">
    <w:abstractNumId w:val="168"/>
  </w:num>
  <w:num w:numId="111">
    <w:abstractNumId w:val="89"/>
  </w:num>
  <w:num w:numId="112">
    <w:abstractNumId w:val="88"/>
  </w:num>
  <w:num w:numId="113">
    <w:abstractNumId w:val="139"/>
  </w:num>
  <w:num w:numId="114">
    <w:abstractNumId w:val="176"/>
  </w:num>
  <w:num w:numId="115">
    <w:abstractNumId w:val="166"/>
  </w:num>
  <w:num w:numId="116">
    <w:abstractNumId w:val="148"/>
  </w:num>
  <w:num w:numId="117">
    <w:abstractNumId w:val="143"/>
  </w:num>
  <w:num w:numId="118">
    <w:abstractNumId w:val="153"/>
  </w:num>
  <w:num w:numId="119">
    <w:abstractNumId w:val="158"/>
  </w:num>
  <w:num w:numId="120">
    <w:abstractNumId w:val="145"/>
  </w:num>
  <w:num w:numId="121">
    <w:abstractNumId w:val="171"/>
  </w:num>
  <w:num w:numId="122">
    <w:abstractNumId w:val="122"/>
  </w:num>
  <w:num w:numId="123">
    <w:abstractNumId w:val="155"/>
  </w:num>
  <w:num w:numId="124">
    <w:abstractNumId w:val="149"/>
  </w:num>
  <w:num w:numId="125">
    <w:abstractNumId w:val="167"/>
  </w:num>
  <w:num w:numId="126">
    <w:abstractNumId w:val="138"/>
  </w:num>
  <w:num w:numId="127">
    <w:abstractNumId w:val="126"/>
  </w:num>
  <w:num w:numId="128">
    <w:abstractNumId w:val="97"/>
  </w:num>
  <w:num w:numId="129">
    <w:abstractNumId w:val="132"/>
  </w:num>
  <w:num w:numId="130">
    <w:abstractNumId w:val="1"/>
  </w:num>
  <w:num w:numId="131">
    <w:abstractNumId w:val="69"/>
  </w:num>
  <w:num w:numId="132">
    <w:abstractNumId w:val="12"/>
  </w:num>
  <w:num w:numId="133">
    <w:abstractNumId w:val="44"/>
  </w:num>
  <w:num w:numId="134">
    <w:abstractNumId w:val="67"/>
  </w:num>
  <w:num w:numId="135">
    <w:abstractNumId w:val="16"/>
  </w:num>
  <w:num w:numId="136">
    <w:abstractNumId w:val="38"/>
  </w:num>
  <w:num w:numId="137">
    <w:abstractNumId w:val="77"/>
  </w:num>
  <w:num w:numId="138">
    <w:abstractNumId w:val="86"/>
  </w:num>
  <w:num w:numId="139">
    <w:abstractNumId w:val="73"/>
  </w:num>
  <w:num w:numId="140">
    <w:abstractNumId w:val="82"/>
  </w:num>
  <w:num w:numId="141">
    <w:abstractNumId w:val="56"/>
  </w:num>
  <w:num w:numId="142">
    <w:abstractNumId w:val="28"/>
  </w:num>
  <w:num w:numId="143">
    <w:abstractNumId w:val="22"/>
  </w:num>
  <w:num w:numId="144">
    <w:abstractNumId w:val="42"/>
  </w:num>
  <w:num w:numId="145">
    <w:abstractNumId w:val="13"/>
  </w:num>
  <w:num w:numId="146">
    <w:abstractNumId w:val="34"/>
  </w:num>
  <w:num w:numId="147">
    <w:abstractNumId w:val="11"/>
  </w:num>
  <w:num w:numId="148">
    <w:abstractNumId w:val="81"/>
  </w:num>
  <w:num w:numId="149">
    <w:abstractNumId w:val="25"/>
  </w:num>
  <w:num w:numId="150">
    <w:abstractNumId w:val="71"/>
  </w:num>
  <w:num w:numId="151">
    <w:abstractNumId w:val="70"/>
  </w:num>
  <w:num w:numId="152">
    <w:abstractNumId w:val="32"/>
  </w:num>
  <w:num w:numId="153">
    <w:abstractNumId w:val="65"/>
  </w:num>
  <w:num w:numId="154">
    <w:abstractNumId w:val="6"/>
  </w:num>
  <w:num w:numId="155">
    <w:abstractNumId w:val="24"/>
  </w:num>
  <w:num w:numId="156">
    <w:abstractNumId w:val="21"/>
  </w:num>
  <w:num w:numId="157">
    <w:abstractNumId w:val="27"/>
  </w:num>
  <w:num w:numId="158">
    <w:abstractNumId w:val="59"/>
  </w:num>
  <w:num w:numId="159">
    <w:abstractNumId w:val="66"/>
  </w:num>
  <w:num w:numId="160">
    <w:abstractNumId w:val="36"/>
  </w:num>
  <w:num w:numId="161">
    <w:abstractNumId w:val="48"/>
  </w:num>
  <w:num w:numId="162">
    <w:abstractNumId w:val="74"/>
  </w:num>
  <w:num w:numId="163">
    <w:abstractNumId w:val="60"/>
  </w:num>
  <w:num w:numId="164">
    <w:abstractNumId w:val="72"/>
  </w:num>
  <w:num w:numId="165">
    <w:abstractNumId w:val="62"/>
  </w:num>
  <w:num w:numId="166">
    <w:abstractNumId w:val="75"/>
  </w:num>
  <w:num w:numId="167">
    <w:abstractNumId w:val="39"/>
  </w:num>
  <w:num w:numId="168">
    <w:abstractNumId w:val="64"/>
  </w:num>
  <w:num w:numId="169">
    <w:abstractNumId w:val="4"/>
  </w:num>
  <w:num w:numId="170">
    <w:abstractNumId w:val="53"/>
  </w:num>
  <w:num w:numId="171">
    <w:abstractNumId w:val="49"/>
  </w:num>
  <w:num w:numId="172">
    <w:abstractNumId w:val="52"/>
  </w:num>
  <w:num w:numId="173">
    <w:abstractNumId w:val="85"/>
  </w:num>
  <w:num w:numId="174">
    <w:abstractNumId w:val="5"/>
  </w:num>
  <w:num w:numId="175">
    <w:abstractNumId w:val="15"/>
  </w:num>
  <w:num w:numId="176">
    <w:abstractNumId w:val="23"/>
  </w:num>
  <w:num w:numId="177">
    <w:abstractNumId w:val="43"/>
  </w:num>
  <w:num w:numId="178">
    <w:abstractNumId w:val="40"/>
  </w:num>
  <w:num w:numId="179">
    <w:abstractNumId w:val="58"/>
  </w:num>
  <w:num w:numId="180">
    <w:abstractNumId w:val="14"/>
  </w:num>
  <w:num w:numId="181">
    <w:abstractNumId w:val="54"/>
  </w:num>
  <w:num w:numId="182">
    <w:abstractNumId w:val="30"/>
  </w:num>
  <w:num w:numId="183">
    <w:abstractNumId w:val="46"/>
  </w:num>
  <w:num w:numId="184">
    <w:abstractNumId w:val="78"/>
  </w:num>
  <w:num w:numId="185">
    <w:abstractNumId w:val="57"/>
  </w:num>
  <w:num w:numId="186">
    <w:abstractNumId w:val="17"/>
  </w:num>
  <w:num w:numId="187">
    <w:abstractNumId w:val="19"/>
  </w:num>
  <w:num w:numId="188">
    <w:abstractNumId w:val="26"/>
  </w:num>
  <w:num w:numId="189">
    <w:abstractNumId w:val="31"/>
  </w:num>
  <w:num w:numId="190">
    <w:abstractNumId w:val="18"/>
  </w:num>
  <w:num w:numId="191">
    <w:abstractNumId w:val="55"/>
  </w:num>
  <w:num w:numId="192">
    <w:abstractNumId w:val="7"/>
  </w:num>
  <w:num w:numId="193">
    <w:abstractNumId w:val="35"/>
  </w:num>
  <w:num w:numId="194">
    <w:abstractNumId w:val="50"/>
  </w:num>
  <w:num w:numId="195">
    <w:abstractNumId w:val="33"/>
  </w:num>
  <w:num w:numId="196">
    <w:abstractNumId w:val="83"/>
  </w:num>
  <w:num w:numId="197">
    <w:abstractNumId w:val="29"/>
  </w:num>
  <w:num w:numId="198">
    <w:abstractNumId w:val="37"/>
  </w:num>
  <w:num w:numId="199">
    <w:abstractNumId w:val="47"/>
  </w:num>
  <w:num w:numId="200">
    <w:abstractNumId w:val="63"/>
  </w:num>
  <w:num w:numId="201">
    <w:abstractNumId w:val="68"/>
  </w:num>
  <w:num w:numId="202">
    <w:abstractNumId w:val="80"/>
  </w:num>
  <w:num w:numId="203">
    <w:abstractNumId w:val="76"/>
  </w:num>
  <w:num w:numId="204">
    <w:abstractNumId w:val="3"/>
  </w:num>
  <w:num w:numId="205">
    <w:abstractNumId w:val="10"/>
  </w:num>
  <w:num w:numId="206">
    <w:abstractNumId w:val="2"/>
  </w:num>
  <w:num w:numId="207">
    <w:abstractNumId w:val="41"/>
  </w:num>
  <w:num w:numId="208">
    <w:abstractNumId w:val="51"/>
  </w:num>
  <w:num w:numId="209">
    <w:abstractNumId w:val="45"/>
  </w:num>
  <w:num w:numId="210">
    <w:abstractNumId w:val="84"/>
  </w:num>
  <w:num w:numId="211">
    <w:abstractNumId w:val="20"/>
  </w:num>
  <w:num w:numId="212">
    <w:abstractNumId w:val="61"/>
  </w:num>
  <w:num w:numId="213">
    <w:abstractNumId w:val="160"/>
  </w:num>
  <w:num w:numId="214">
    <w:abstractNumId w:val="159"/>
  </w:num>
  <w:num w:numId="215">
    <w:abstractNumId w:val="105"/>
  </w:num>
  <w:num w:numId="216">
    <w:abstractNumId w:val="87"/>
  </w:num>
  <w:num w:numId="217">
    <w:abstractNumId w:val="162"/>
  </w:num>
  <w:num w:numId="218">
    <w:abstractNumId w:val="119"/>
  </w:num>
  <w:num w:numId="219">
    <w:abstractNumId w:val="183"/>
  </w:num>
  <w:num w:numId="220">
    <w:abstractNumId w:val="0"/>
  </w:num>
  <w:num w:numId="221">
    <w:abstractNumId w:val="109"/>
  </w:num>
  <w:num w:numId="222">
    <w:abstractNumId w:val="146"/>
  </w:num>
  <w:numIdMacAtCleanup w:val="2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1E04"/>
    <w:rsid w:val="000039E3"/>
    <w:rsid w:val="00003BDB"/>
    <w:rsid w:val="000069E6"/>
    <w:rsid w:val="00007A2A"/>
    <w:rsid w:val="000114B3"/>
    <w:rsid w:val="00015157"/>
    <w:rsid w:val="000223A2"/>
    <w:rsid w:val="00030011"/>
    <w:rsid w:val="0003266D"/>
    <w:rsid w:val="00032D89"/>
    <w:rsid w:val="000335BB"/>
    <w:rsid w:val="00037CC2"/>
    <w:rsid w:val="0004076D"/>
    <w:rsid w:val="000418BD"/>
    <w:rsid w:val="000420C0"/>
    <w:rsid w:val="00045A85"/>
    <w:rsid w:val="0005153D"/>
    <w:rsid w:val="0005440E"/>
    <w:rsid w:val="0006268B"/>
    <w:rsid w:val="00072704"/>
    <w:rsid w:val="00072B4C"/>
    <w:rsid w:val="00072CE3"/>
    <w:rsid w:val="0007413A"/>
    <w:rsid w:val="00080FE7"/>
    <w:rsid w:val="000832C6"/>
    <w:rsid w:val="0008363E"/>
    <w:rsid w:val="00084A6E"/>
    <w:rsid w:val="00087A94"/>
    <w:rsid w:val="00087C49"/>
    <w:rsid w:val="000913B9"/>
    <w:rsid w:val="00092FF9"/>
    <w:rsid w:val="0009483D"/>
    <w:rsid w:val="000A0425"/>
    <w:rsid w:val="000A3110"/>
    <w:rsid w:val="000B43B1"/>
    <w:rsid w:val="000B7F34"/>
    <w:rsid w:val="000C27BF"/>
    <w:rsid w:val="000C2B9C"/>
    <w:rsid w:val="000C3E54"/>
    <w:rsid w:val="000C6395"/>
    <w:rsid w:val="000D1A41"/>
    <w:rsid w:val="000D1C07"/>
    <w:rsid w:val="000D2727"/>
    <w:rsid w:val="000D299E"/>
    <w:rsid w:val="000D333D"/>
    <w:rsid w:val="000D33E1"/>
    <w:rsid w:val="000D4844"/>
    <w:rsid w:val="000E24F5"/>
    <w:rsid w:val="000E2872"/>
    <w:rsid w:val="000E463A"/>
    <w:rsid w:val="000E5D06"/>
    <w:rsid w:val="000E5EFE"/>
    <w:rsid w:val="000F1CC9"/>
    <w:rsid w:val="000F34EF"/>
    <w:rsid w:val="000F3E81"/>
    <w:rsid w:val="000F4B67"/>
    <w:rsid w:val="000F5B0B"/>
    <w:rsid w:val="000F6CCA"/>
    <w:rsid w:val="000F70C2"/>
    <w:rsid w:val="000F7448"/>
    <w:rsid w:val="000F7EEC"/>
    <w:rsid w:val="0010077E"/>
    <w:rsid w:val="00101743"/>
    <w:rsid w:val="00102836"/>
    <w:rsid w:val="001044A5"/>
    <w:rsid w:val="00110A4B"/>
    <w:rsid w:val="00112E84"/>
    <w:rsid w:val="0011484B"/>
    <w:rsid w:val="00114934"/>
    <w:rsid w:val="00114E71"/>
    <w:rsid w:val="001213F1"/>
    <w:rsid w:val="00125036"/>
    <w:rsid w:val="00125225"/>
    <w:rsid w:val="001278DD"/>
    <w:rsid w:val="00133CB8"/>
    <w:rsid w:val="001578E4"/>
    <w:rsid w:val="001631FF"/>
    <w:rsid w:val="00163B16"/>
    <w:rsid w:val="0016422F"/>
    <w:rsid w:val="00166412"/>
    <w:rsid w:val="00171730"/>
    <w:rsid w:val="00172923"/>
    <w:rsid w:val="0017498D"/>
    <w:rsid w:val="001761D4"/>
    <w:rsid w:val="00181270"/>
    <w:rsid w:val="001852BC"/>
    <w:rsid w:val="001857C6"/>
    <w:rsid w:val="001918EC"/>
    <w:rsid w:val="001A3FE0"/>
    <w:rsid w:val="001A5EEA"/>
    <w:rsid w:val="001A5FD0"/>
    <w:rsid w:val="001A69C7"/>
    <w:rsid w:val="001A7EC2"/>
    <w:rsid w:val="001B00D6"/>
    <w:rsid w:val="001B33D6"/>
    <w:rsid w:val="001C2EB7"/>
    <w:rsid w:val="001C3290"/>
    <w:rsid w:val="001C42B7"/>
    <w:rsid w:val="001C4951"/>
    <w:rsid w:val="001D1FAE"/>
    <w:rsid w:val="001D24FB"/>
    <w:rsid w:val="001D3149"/>
    <w:rsid w:val="001D7E71"/>
    <w:rsid w:val="001E0D59"/>
    <w:rsid w:val="001E0F56"/>
    <w:rsid w:val="001E1AB5"/>
    <w:rsid w:val="001E4B0B"/>
    <w:rsid w:val="001E5CE3"/>
    <w:rsid w:val="001F23E0"/>
    <w:rsid w:val="001F5AC7"/>
    <w:rsid w:val="00201045"/>
    <w:rsid w:val="00201375"/>
    <w:rsid w:val="00201D25"/>
    <w:rsid w:val="002067A5"/>
    <w:rsid w:val="00210322"/>
    <w:rsid w:val="00213213"/>
    <w:rsid w:val="00220911"/>
    <w:rsid w:val="00223519"/>
    <w:rsid w:val="00223C09"/>
    <w:rsid w:val="00225113"/>
    <w:rsid w:val="002270A0"/>
    <w:rsid w:val="002323B6"/>
    <w:rsid w:val="002331DD"/>
    <w:rsid w:val="002334C6"/>
    <w:rsid w:val="00235053"/>
    <w:rsid w:val="00236365"/>
    <w:rsid w:val="00242AC2"/>
    <w:rsid w:val="00244A55"/>
    <w:rsid w:val="00244CB6"/>
    <w:rsid w:val="00246EDF"/>
    <w:rsid w:val="00250BD4"/>
    <w:rsid w:val="0025118C"/>
    <w:rsid w:val="00253E5D"/>
    <w:rsid w:val="0025430C"/>
    <w:rsid w:val="002575C9"/>
    <w:rsid w:val="00261A88"/>
    <w:rsid w:val="00263CD2"/>
    <w:rsid w:val="00263F9E"/>
    <w:rsid w:val="00271F27"/>
    <w:rsid w:val="00272529"/>
    <w:rsid w:val="00274431"/>
    <w:rsid w:val="00276E48"/>
    <w:rsid w:val="00280939"/>
    <w:rsid w:val="00285781"/>
    <w:rsid w:val="00285F11"/>
    <w:rsid w:val="00286FFA"/>
    <w:rsid w:val="00287688"/>
    <w:rsid w:val="00291E29"/>
    <w:rsid w:val="00293734"/>
    <w:rsid w:val="00295B33"/>
    <w:rsid w:val="0029615E"/>
    <w:rsid w:val="002A45EA"/>
    <w:rsid w:val="002A58C5"/>
    <w:rsid w:val="002A6522"/>
    <w:rsid w:val="002B2D85"/>
    <w:rsid w:val="002B6640"/>
    <w:rsid w:val="002B6BE6"/>
    <w:rsid w:val="002C0A9B"/>
    <w:rsid w:val="002C12FE"/>
    <w:rsid w:val="002C18CA"/>
    <w:rsid w:val="002C2514"/>
    <w:rsid w:val="002C2DA7"/>
    <w:rsid w:val="002C667B"/>
    <w:rsid w:val="002D0A54"/>
    <w:rsid w:val="002D29E9"/>
    <w:rsid w:val="002D3310"/>
    <w:rsid w:val="002D42EB"/>
    <w:rsid w:val="002D434D"/>
    <w:rsid w:val="002D70AE"/>
    <w:rsid w:val="002E1961"/>
    <w:rsid w:val="002E3C95"/>
    <w:rsid w:val="002E4E98"/>
    <w:rsid w:val="002E6C78"/>
    <w:rsid w:val="002F3D76"/>
    <w:rsid w:val="002F467E"/>
    <w:rsid w:val="002F46C8"/>
    <w:rsid w:val="002F51AE"/>
    <w:rsid w:val="003037F2"/>
    <w:rsid w:val="0030489A"/>
    <w:rsid w:val="003052BE"/>
    <w:rsid w:val="0030772E"/>
    <w:rsid w:val="00307BE8"/>
    <w:rsid w:val="00311C23"/>
    <w:rsid w:val="003129B3"/>
    <w:rsid w:val="00313CFA"/>
    <w:rsid w:val="00315350"/>
    <w:rsid w:val="003200EC"/>
    <w:rsid w:val="00320857"/>
    <w:rsid w:val="00324E4D"/>
    <w:rsid w:val="00330806"/>
    <w:rsid w:val="00330ED9"/>
    <w:rsid w:val="00334653"/>
    <w:rsid w:val="00335442"/>
    <w:rsid w:val="0034063F"/>
    <w:rsid w:val="00342EAE"/>
    <w:rsid w:val="00351F51"/>
    <w:rsid w:val="003626A7"/>
    <w:rsid w:val="0036367F"/>
    <w:rsid w:val="00363C18"/>
    <w:rsid w:val="003706B0"/>
    <w:rsid w:val="003728DA"/>
    <w:rsid w:val="0037533C"/>
    <w:rsid w:val="00376499"/>
    <w:rsid w:val="003816DA"/>
    <w:rsid w:val="00383B7C"/>
    <w:rsid w:val="00383BB1"/>
    <w:rsid w:val="00385375"/>
    <w:rsid w:val="003872E9"/>
    <w:rsid w:val="00396A0E"/>
    <w:rsid w:val="003A020A"/>
    <w:rsid w:val="003A16F2"/>
    <w:rsid w:val="003A32EA"/>
    <w:rsid w:val="003A485A"/>
    <w:rsid w:val="003A5E3C"/>
    <w:rsid w:val="003A654F"/>
    <w:rsid w:val="003B2E14"/>
    <w:rsid w:val="003C1483"/>
    <w:rsid w:val="003C7713"/>
    <w:rsid w:val="003D14A2"/>
    <w:rsid w:val="003D17CB"/>
    <w:rsid w:val="003D7D5E"/>
    <w:rsid w:val="003E0087"/>
    <w:rsid w:val="003E02F2"/>
    <w:rsid w:val="003E0BB5"/>
    <w:rsid w:val="003E6614"/>
    <w:rsid w:val="003F228F"/>
    <w:rsid w:val="003F391F"/>
    <w:rsid w:val="0040035E"/>
    <w:rsid w:val="00405084"/>
    <w:rsid w:val="0040525D"/>
    <w:rsid w:val="00407B20"/>
    <w:rsid w:val="00413498"/>
    <w:rsid w:val="004168D1"/>
    <w:rsid w:val="00421D6B"/>
    <w:rsid w:val="004220B7"/>
    <w:rsid w:val="004220D8"/>
    <w:rsid w:val="00423355"/>
    <w:rsid w:val="00425858"/>
    <w:rsid w:val="00426747"/>
    <w:rsid w:val="00426961"/>
    <w:rsid w:val="00426DCA"/>
    <w:rsid w:val="00431FFF"/>
    <w:rsid w:val="00432430"/>
    <w:rsid w:val="00433553"/>
    <w:rsid w:val="00433FBC"/>
    <w:rsid w:val="0043451C"/>
    <w:rsid w:val="00435E2B"/>
    <w:rsid w:val="0044051F"/>
    <w:rsid w:val="00440D27"/>
    <w:rsid w:val="004419BC"/>
    <w:rsid w:val="004431E0"/>
    <w:rsid w:val="00444F68"/>
    <w:rsid w:val="004543E9"/>
    <w:rsid w:val="00454DA4"/>
    <w:rsid w:val="00460DA3"/>
    <w:rsid w:val="00461951"/>
    <w:rsid w:val="00462D82"/>
    <w:rsid w:val="00465D79"/>
    <w:rsid w:val="004662E0"/>
    <w:rsid w:val="00466394"/>
    <w:rsid w:val="004677D9"/>
    <w:rsid w:val="00470352"/>
    <w:rsid w:val="00470735"/>
    <w:rsid w:val="0047097D"/>
    <w:rsid w:val="004714F8"/>
    <w:rsid w:val="004719D4"/>
    <w:rsid w:val="00472043"/>
    <w:rsid w:val="00480886"/>
    <w:rsid w:val="0048102D"/>
    <w:rsid w:val="00486680"/>
    <w:rsid w:val="00490A1B"/>
    <w:rsid w:val="00492398"/>
    <w:rsid w:val="0049242B"/>
    <w:rsid w:val="004961AF"/>
    <w:rsid w:val="004969C3"/>
    <w:rsid w:val="00496FF5"/>
    <w:rsid w:val="004A00C0"/>
    <w:rsid w:val="004A04A6"/>
    <w:rsid w:val="004A1428"/>
    <w:rsid w:val="004A3BB9"/>
    <w:rsid w:val="004A4C8B"/>
    <w:rsid w:val="004A694A"/>
    <w:rsid w:val="004B139A"/>
    <w:rsid w:val="004B147C"/>
    <w:rsid w:val="004B4094"/>
    <w:rsid w:val="004B5F2D"/>
    <w:rsid w:val="004B60AF"/>
    <w:rsid w:val="004B6103"/>
    <w:rsid w:val="004B6A50"/>
    <w:rsid w:val="004B72AC"/>
    <w:rsid w:val="004C2EB7"/>
    <w:rsid w:val="004C4536"/>
    <w:rsid w:val="004D3E09"/>
    <w:rsid w:val="004E3071"/>
    <w:rsid w:val="004E371F"/>
    <w:rsid w:val="004E3C5C"/>
    <w:rsid w:val="004E5CE4"/>
    <w:rsid w:val="004F16F4"/>
    <w:rsid w:val="004F2E58"/>
    <w:rsid w:val="004F7BBD"/>
    <w:rsid w:val="00504D6F"/>
    <w:rsid w:val="0051650D"/>
    <w:rsid w:val="00516F67"/>
    <w:rsid w:val="0051702E"/>
    <w:rsid w:val="00520C21"/>
    <w:rsid w:val="00523272"/>
    <w:rsid w:val="005275BA"/>
    <w:rsid w:val="0053461A"/>
    <w:rsid w:val="005370E4"/>
    <w:rsid w:val="005375A1"/>
    <w:rsid w:val="0054087D"/>
    <w:rsid w:val="00540AC0"/>
    <w:rsid w:val="00546E09"/>
    <w:rsid w:val="005505E8"/>
    <w:rsid w:val="00551F08"/>
    <w:rsid w:val="00555C8F"/>
    <w:rsid w:val="005563C0"/>
    <w:rsid w:val="00561B2A"/>
    <w:rsid w:val="005648B0"/>
    <w:rsid w:val="00566965"/>
    <w:rsid w:val="00572C3F"/>
    <w:rsid w:val="00576B26"/>
    <w:rsid w:val="00583D21"/>
    <w:rsid w:val="00583DB2"/>
    <w:rsid w:val="005854D9"/>
    <w:rsid w:val="0058745E"/>
    <w:rsid w:val="005933E2"/>
    <w:rsid w:val="00594D94"/>
    <w:rsid w:val="00595F1C"/>
    <w:rsid w:val="005A4B04"/>
    <w:rsid w:val="005A5FF2"/>
    <w:rsid w:val="005A7E34"/>
    <w:rsid w:val="005B2438"/>
    <w:rsid w:val="005B2B4F"/>
    <w:rsid w:val="005B3787"/>
    <w:rsid w:val="005B6AD0"/>
    <w:rsid w:val="005C0811"/>
    <w:rsid w:val="005C7FAC"/>
    <w:rsid w:val="005D30B7"/>
    <w:rsid w:val="005D5D1C"/>
    <w:rsid w:val="005D772B"/>
    <w:rsid w:val="005E0C1B"/>
    <w:rsid w:val="005E11C0"/>
    <w:rsid w:val="005E4672"/>
    <w:rsid w:val="005E47E4"/>
    <w:rsid w:val="005E4D3F"/>
    <w:rsid w:val="005E5D07"/>
    <w:rsid w:val="005E7213"/>
    <w:rsid w:val="005F059D"/>
    <w:rsid w:val="005F209E"/>
    <w:rsid w:val="005F2952"/>
    <w:rsid w:val="006011F1"/>
    <w:rsid w:val="006018F5"/>
    <w:rsid w:val="006024C7"/>
    <w:rsid w:val="00607356"/>
    <w:rsid w:val="006144C7"/>
    <w:rsid w:val="00614A60"/>
    <w:rsid w:val="00614BDA"/>
    <w:rsid w:val="006155B3"/>
    <w:rsid w:val="00616496"/>
    <w:rsid w:val="00617B10"/>
    <w:rsid w:val="00621076"/>
    <w:rsid w:val="00621552"/>
    <w:rsid w:val="006237F1"/>
    <w:rsid w:val="00625C1A"/>
    <w:rsid w:val="00632F03"/>
    <w:rsid w:val="00633D2B"/>
    <w:rsid w:val="00641869"/>
    <w:rsid w:val="00643927"/>
    <w:rsid w:val="00643BCD"/>
    <w:rsid w:val="00645463"/>
    <w:rsid w:val="006460D1"/>
    <w:rsid w:val="00651FDC"/>
    <w:rsid w:val="00652601"/>
    <w:rsid w:val="006573F9"/>
    <w:rsid w:val="0066274D"/>
    <w:rsid w:val="00664161"/>
    <w:rsid w:val="00664D08"/>
    <w:rsid w:val="00675A47"/>
    <w:rsid w:val="00682489"/>
    <w:rsid w:val="00682F54"/>
    <w:rsid w:val="006876E4"/>
    <w:rsid w:val="006A1D9E"/>
    <w:rsid w:val="006A5668"/>
    <w:rsid w:val="006A5C8E"/>
    <w:rsid w:val="006A78F4"/>
    <w:rsid w:val="006B4A80"/>
    <w:rsid w:val="006B4BD7"/>
    <w:rsid w:val="006B7691"/>
    <w:rsid w:val="006B7FFC"/>
    <w:rsid w:val="006C1563"/>
    <w:rsid w:val="006C1E73"/>
    <w:rsid w:val="006C4AB7"/>
    <w:rsid w:val="006D675A"/>
    <w:rsid w:val="006D7AE6"/>
    <w:rsid w:val="006E1F28"/>
    <w:rsid w:val="006E47B2"/>
    <w:rsid w:val="006E7207"/>
    <w:rsid w:val="006E7B69"/>
    <w:rsid w:val="006F2AA4"/>
    <w:rsid w:val="006F5829"/>
    <w:rsid w:val="006F5C1C"/>
    <w:rsid w:val="006F7A3F"/>
    <w:rsid w:val="00702E40"/>
    <w:rsid w:val="00703A14"/>
    <w:rsid w:val="007078E9"/>
    <w:rsid w:val="007125FF"/>
    <w:rsid w:val="00722AC9"/>
    <w:rsid w:val="00725AA1"/>
    <w:rsid w:val="00727E44"/>
    <w:rsid w:val="0073079D"/>
    <w:rsid w:val="00733947"/>
    <w:rsid w:val="007355D2"/>
    <w:rsid w:val="0074265C"/>
    <w:rsid w:val="00746C37"/>
    <w:rsid w:val="007512D0"/>
    <w:rsid w:val="00752367"/>
    <w:rsid w:val="00755A7D"/>
    <w:rsid w:val="00766003"/>
    <w:rsid w:val="00766AB2"/>
    <w:rsid w:val="00767278"/>
    <w:rsid w:val="0077065B"/>
    <w:rsid w:val="00771A49"/>
    <w:rsid w:val="00772C83"/>
    <w:rsid w:val="00773D65"/>
    <w:rsid w:val="0077553A"/>
    <w:rsid w:val="007758BD"/>
    <w:rsid w:val="0078244D"/>
    <w:rsid w:val="00782E49"/>
    <w:rsid w:val="007837B7"/>
    <w:rsid w:val="007847AC"/>
    <w:rsid w:val="00784D2B"/>
    <w:rsid w:val="007923C2"/>
    <w:rsid w:val="00793237"/>
    <w:rsid w:val="00796EB0"/>
    <w:rsid w:val="00797B4D"/>
    <w:rsid w:val="007B0BF7"/>
    <w:rsid w:val="007B1E02"/>
    <w:rsid w:val="007B248E"/>
    <w:rsid w:val="007B54C8"/>
    <w:rsid w:val="007B6750"/>
    <w:rsid w:val="007C0718"/>
    <w:rsid w:val="007C1F7A"/>
    <w:rsid w:val="007C4232"/>
    <w:rsid w:val="007C5232"/>
    <w:rsid w:val="007D2F12"/>
    <w:rsid w:val="007E0CC0"/>
    <w:rsid w:val="007E300C"/>
    <w:rsid w:val="007E42D3"/>
    <w:rsid w:val="007F1565"/>
    <w:rsid w:val="007F161F"/>
    <w:rsid w:val="007F23C2"/>
    <w:rsid w:val="007F2D8B"/>
    <w:rsid w:val="00800348"/>
    <w:rsid w:val="00801722"/>
    <w:rsid w:val="00802831"/>
    <w:rsid w:val="00811364"/>
    <w:rsid w:val="008121AF"/>
    <w:rsid w:val="00812AE1"/>
    <w:rsid w:val="00813374"/>
    <w:rsid w:val="008151BE"/>
    <w:rsid w:val="00815FF6"/>
    <w:rsid w:val="0082050C"/>
    <w:rsid w:val="0082157B"/>
    <w:rsid w:val="008221A2"/>
    <w:rsid w:val="00822367"/>
    <w:rsid w:val="0082253D"/>
    <w:rsid w:val="008259EA"/>
    <w:rsid w:val="00826C4F"/>
    <w:rsid w:val="0083122D"/>
    <w:rsid w:val="00835AD0"/>
    <w:rsid w:val="00837791"/>
    <w:rsid w:val="00840CBE"/>
    <w:rsid w:val="00842F97"/>
    <w:rsid w:val="0084709E"/>
    <w:rsid w:val="00850DEE"/>
    <w:rsid w:val="00851E59"/>
    <w:rsid w:val="00856CA6"/>
    <w:rsid w:val="00860DF8"/>
    <w:rsid w:val="00862215"/>
    <w:rsid w:val="00863AA1"/>
    <w:rsid w:val="00864EBA"/>
    <w:rsid w:val="00865E71"/>
    <w:rsid w:val="0086714E"/>
    <w:rsid w:val="00870516"/>
    <w:rsid w:val="00870D2B"/>
    <w:rsid w:val="00881C3C"/>
    <w:rsid w:val="0088615A"/>
    <w:rsid w:val="00893E82"/>
    <w:rsid w:val="00895BCD"/>
    <w:rsid w:val="00896322"/>
    <w:rsid w:val="008A3B26"/>
    <w:rsid w:val="008A520F"/>
    <w:rsid w:val="008A5D3D"/>
    <w:rsid w:val="008A6CE0"/>
    <w:rsid w:val="008A7A32"/>
    <w:rsid w:val="008B2446"/>
    <w:rsid w:val="008B409C"/>
    <w:rsid w:val="008C2DB5"/>
    <w:rsid w:val="008C42E1"/>
    <w:rsid w:val="008C626A"/>
    <w:rsid w:val="008C73BB"/>
    <w:rsid w:val="008D2C09"/>
    <w:rsid w:val="008D2C32"/>
    <w:rsid w:val="008D2F43"/>
    <w:rsid w:val="008D4ADD"/>
    <w:rsid w:val="008D517A"/>
    <w:rsid w:val="008D6143"/>
    <w:rsid w:val="008D73A5"/>
    <w:rsid w:val="008E3D5C"/>
    <w:rsid w:val="008E4F20"/>
    <w:rsid w:val="008E55F7"/>
    <w:rsid w:val="008E6AE3"/>
    <w:rsid w:val="008F1D4B"/>
    <w:rsid w:val="008F69F7"/>
    <w:rsid w:val="008F6CBB"/>
    <w:rsid w:val="008F6EA7"/>
    <w:rsid w:val="00900AF2"/>
    <w:rsid w:val="0090124E"/>
    <w:rsid w:val="009023BC"/>
    <w:rsid w:val="00910533"/>
    <w:rsid w:val="0091392E"/>
    <w:rsid w:val="009209F4"/>
    <w:rsid w:val="00932B36"/>
    <w:rsid w:val="00934502"/>
    <w:rsid w:val="00934CF4"/>
    <w:rsid w:val="00936838"/>
    <w:rsid w:val="009409B1"/>
    <w:rsid w:val="009413F5"/>
    <w:rsid w:val="0094393D"/>
    <w:rsid w:val="00945625"/>
    <w:rsid w:val="00945BDF"/>
    <w:rsid w:val="00946CCE"/>
    <w:rsid w:val="00954682"/>
    <w:rsid w:val="00956844"/>
    <w:rsid w:val="009669E4"/>
    <w:rsid w:val="00966FF4"/>
    <w:rsid w:val="00973738"/>
    <w:rsid w:val="00974B10"/>
    <w:rsid w:val="00976882"/>
    <w:rsid w:val="00976A39"/>
    <w:rsid w:val="00987381"/>
    <w:rsid w:val="00991E04"/>
    <w:rsid w:val="00992529"/>
    <w:rsid w:val="009941DC"/>
    <w:rsid w:val="00995FFC"/>
    <w:rsid w:val="009A10F3"/>
    <w:rsid w:val="009A1AD0"/>
    <w:rsid w:val="009B109D"/>
    <w:rsid w:val="009B496C"/>
    <w:rsid w:val="009B7ED3"/>
    <w:rsid w:val="009C45CC"/>
    <w:rsid w:val="009C4D6B"/>
    <w:rsid w:val="009C61F4"/>
    <w:rsid w:val="009D0CA2"/>
    <w:rsid w:val="009D3D31"/>
    <w:rsid w:val="009D5203"/>
    <w:rsid w:val="009E2B4B"/>
    <w:rsid w:val="009E3C51"/>
    <w:rsid w:val="009E4C80"/>
    <w:rsid w:val="009E6D9E"/>
    <w:rsid w:val="009E79DE"/>
    <w:rsid w:val="009E7F60"/>
    <w:rsid w:val="009F36FC"/>
    <w:rsid w:val="009F6667"/>
    <w:rsid w:val="00A03855"/>
    <w:rsid w:val="00A03B00"/>
    <w:rsid w:val="00A04267"/>
    <w:rsid w:val="00A04C89"/>
    <w:rsid w:val="00A11D72"/>
    <w:rsid w:val="00A12716"/>
    <w:rsid w:val="00A130D9"/>
    <w:rsid w:val="00A1443E"/>
    <w:rsid w:val="00A14AF9"/>
    <w:rsid w:val="00A20D0C"/>
    <w:rsid w:val="00A244F7"/>
    <w:rsid w:val="00A24E6F"/>
    <w:rsid w:val="00A37674"/>
    <w:rsid w:val="00A379AB"/>
    <w:rsid w:val="00A40063"/>
    <w:rsid w:val="00A411B8"/>
    <w:rsid w:val="00A4165F"/>
    <w:rsid w:val="00A52853"/>
    <w:rsid w:val="00A556AA"/>
    <w:rsid w:val="00A60C78"/>
    <w:rsid w:val="00A6257A"/>
    <w:rsid w:val="00A65421"/>
    <w:rsid w:val="00A66160"/>
    <w:rsid w:val="00A6654C"/>
    <w:rsid w:val="00A678D8"/>
    <w:rsid w:val="00A80C38"/>
    <w:rsid w:val="00A9501E"/>
    <w:rsid w:val="00A97A53"/>
    <w:rsid w:val="00AA0BD3"/>
    <w:rsid w:val="00AA4752"/>
    <w:rsid w:val="00AA5273"/>
    <w:rsid w:val="00AB6ED8"/>
    <w:rsid w:val="00AC6736"/>
    <w:rsid w:val="00AC6A89"/>
    <w:rsid w:val="00AD08B4"/>
    <w:rsid w:val="00AD2B15"/>
    <w:rsid w:val="00AD2BB3"/>
    <w:rsid w:val="00AD59DA"/>
    <w:rsid w:val="00AE1BF8"/>
    <w:rsid w:val="00AE5624"/>
    <w:rsid w:val="00AE70C3"/>
    <w:rsid w:val="00AF0490"/>
    <w:rsid w:val="00AF354F"/>
    <w:rsid w:val="00AF4E37"/>
    <w:rsid w:val="00AF60ED"/>
    <w:rsid w:val="00B06864"/>
    <w:rsid w:val="00B0725E"/>
    <w:rsid w:val="00B1289D"/>
    <w:rsid w:val="00B13A34"/>
    <w:rsid w:val="00B13F84"/>
    <w:rsid w:val="00B152E1"/>
    <w:rsid w:val="00B15683"/>
    <w:rsid w:val="00B16E59"/>
    <w:rsid w:val="00B1754A"/>
    <w:rsid w:val="00B2096B"/>
    <w:rsid w:val="00B21603"/>
    <w:rsid w:val="00B2294A"/>
    <w:rsid w:val="00B23EB2"/>
    <w:rsid w:val="00B244FD"/>
    <w:rsid w:val="00B34332"/>
    <w:rsid w:val="00B369DD"/>
    <w:rsid w:val="00B370EA"/>
    <w:rsid w:val="00B40BAC"/>
    <w:rsid w:val="00B42D6D"/>
    <w:rsid w:val="00B42E10"/>
    <w:rsid w:val="00B46243"/>
    <w:rsid w:val="00B60B1A"/>
    <w:rsid w:val="00B60FF2"/>
    <w:rsid w:val="00B61EBB"/>
    <w:rsid w:val="00B70A36"/>
    <w:rsid w:val="00B73500"/>
    <w:rsid w:val="00B81C0C"/>
    <w:rsid w:val="00B87273"/>
    <w:rsid w:val="00B875FD"/>
    <w:rsid w:val="00B9084B"/>
    <w:rsid w:val="00B941FE"/>
    <w:rsid w:val="00B9549E"/>
    <w:rsid w:val="00B958B0"/>
    <w:rsid w:val="00BA0B24"/>
    <w:rsid w:val="00BA2D1E"/>
    <w:rsid w:val="00BB0630"/>
    <w:rsid w:val="00BB1E91"/>
    <w:rsid w:val="00BB508A"/>
    <w:rsid w:val="00BB53BC"/>
    <w:rsid w:val="00BB69FC"/>
    <w:rsid w:val="00BC3ED6"/>
    <w:rsid w:val="00BD5454"/>
    <w:rsid w:val="00BD57E6"/>
    <w:rsid w:val="00BD6BDD"/>
    <w:rsid w:val="00BD7DAE"/>
    <w:rsid w:val="00BE07B2"/>
    <w:rsid w:val="00BE2513"/>
    <w:rsid w:val="00BE3555"/>
    <w:rsid w:val="00BE4656"/>
    <w:rsid w:val="00BE604E"/>
    <w:rsid w:val="00BF3D61"/>
    <w:rsid w:val="00BF65FF"/>
    <w:rsid w:val="00BF7076"/>
    <w:rsid w:val="00C01150"/>
    <w:rsid w:val="00C01A74"/>
    <w:rsid w:val="00C0425B"/>
    <w:rsid w:val="00C0729D"/>
    <w:rsid w:val="00C14734"/>
    <w:rsid w:val="00C17B2D"/>
    <w:rsid w:val="00C17EE3"/>
    <w:rsid w:val="00C2080B"/>
    <w:rsid w:val="00C22243"/>
    <w:rsid w:val="00C232E2"/>
    <w:rsid w:val="00C2614F"/>
    <w:rsid w:val="00C26486"/>
    <w:rsid w:val="00C31188"/>
    <w:rsid w:val="00C31ED8"/>
    <w:rsid w:val="00C41B7C"/>
    <w:rsid w:val="00C42EC9"/>
    <w:rsid w:val="00C4769A"/>
    <w:rsid w:val="00C51A94"/>
    <w:rsid w:val="00C64ED7"/>
    <w:rsid w:val="00C652CE"/>
    <w:rsid w:val="00C66C77"/>
    <w:rsid w:val="00C70A90"/>
    <w:rsid w:val="00C70CE2"/>
    <w:rsid w:val="00C712D6"/>
    <w:rsid w:val="00C83C16"/>
    <w:rsid w:val="00C85792"/>
    <w:rsid w:val="00C92B56"/>
    <w:rsid w:val="00C93FD0"/>
    <w:rsid w:val="00C97013"/>
    <w:rsid w:val="00C97832"/>
    <w:rsid w:val="00CA4D64"/>
    <w:rsid w:val="00CA6993"/>
    <w:rsid w:val="00CB01C8"/>
    <w:rsid w:val="00CB1328"/>
    <w:rsid w:val="00CB45A7"/>
    <w:rsid w:val="00CB69B8"/>
    <w:rsid w:val="00CC0D75"/>
    <w:rsid w:val="00CC3D7E"/>
    <w:rsid w:val="00CC611F"/>
    <w:rsid w:val="00CC6303"/>
    <w:rsid w:val="00CD1467"/>
    <w:rsid w:val="00CD168C"/>
    <w:rsid w:val="00CD1A64"/>
    <w:rsid w:val="00CD4438"/>
    <w:rsid w:val="00CE21FB"/>
    <w:rsid w:val="00CE32EB"/>
    <w:rsid w:val="00CE671E"/>
    <w:rsid w:val="00CF31F8"/>
    <w:rsid w:val="00CF3FE9"/>
    <w:rsid w:val="00CF53CC"/>
    <w:rsid w:val="00CF5E20"/>
    <w:rsid w:val="00CF62FA"/>
    <w:rsid w:val="00CF67D6"/>
    <w:rsid w:val="00CF7AEE"/>
    <w:rsid w:val="00D010BD"/>
    <w:rsid w:val="00D02239"/>
    <w:rsid w:val="00D0689D"/>
    <w:rsid w:val="00D143BA"/>
    <w:rsid w:val="00D15A0E"/>
    <w:rsid w:val="00D15A3D"/>
    <w:rsid w:val="00D15C7E"/>
    <w:rsid w:val="00D15FB5"/>
    <w:rsid w:val="00D24156"/>
    <w:rsid w:val="00D24C00"/>
    <w:rsid w:val="00D27139"/>
    <w:rsid w:val="00D274BB"/>
    <w:rsid w:val="00D3073C"/>
    <w:rsid w:val="00D31D3F"/>
    <w:rsid w:val="00D3283F"/>
    <w:rsid w:val="00D437DC"/>
    <w:rsid w:val="00D43C10"/>
    <w:rsid w:val="00D4439D"/>
    <w:rsid w:val="00D4618C"/>
    <w:rsid w:val="00D465B9"/>
    <w:rsid w:val="00D51A91"/>
    <w:rsid w:val="00D5209B"/>
    <w:rsid w:val="00D52CD1"/>
    <w:rsid w:val="00D52EFC"/>
    <w:rsid w:val="00D6117B"/>
    <w:rsid w:val="00D63DB6"/>
    <w:rsid w:val="00D67F5E"/>
    <w:rsid w:val="00D716C5"/>
    <w:rsid w:val="00D74562"/>
    <w:rsid w:val="00D74812"/>
    <w:rsid w:val="00D775C9"/>
    <w:rsid w:val="00D83916"/>
    <w:rsid w:val="00D83CD5"/>
    <w:rsid w:val="00D86AFE"/>
    <w:rsid w:val="00D96D3E"/>
    <w:rsid w:val="00DA1264"/>
    <w:rsid w:val="00DA4243"/>
    <w:rsid w:val="00DB16CD"/>
    <w:rsid w:val="00DB324E"/>
    <w:rsid w:val="00DB4F40"/>
    <w:rsid w:val="00DB7812"/>
    <w:rsid w:val="00DC0773"/>
    <w:rsid w:val="00DC1474"/>
    <w:rsid w:val="00DC3E5A"/>
    <w:rsid w:val="00DC5972"/>
    <w:rsid w:val="00DC5B4C"/>
    <w:rsid w:val="00DD1BD7"/>
    <w:rsid w:val="00DD3674"/>
    <w:rsid w:val="00DD4003"/>
    <w:rsid w:val="00DD549C"/>
    <w:rsid w:val="00DE2AF6"/>
    <w:rsid w:val="00DE78C1"/>
    <w:rsid w:val="00E04608"/>
    <w:rsid w:val="00E14F5D"/>
    <w:rsid w:val="00E163F5"/>
    <w:rsid w:val="00E21E1D"/>
    <w:rsid w:val="00E22547"/>
    <w:rsid w:val="00E235F3"/>
    <w:rsid w:val="00E2484C"/>
    <w:rsid w:val="00E25029"/>
    <w:rsid w:val="00E30A58"/>
    <w:rsid w:val="00E31C7A"/>
    <w:rsid w:val="00E351CC"/>
    <w:rsid w:val="00E36673"/>
    <w:rsid w:val="00E3724E"/>
    <w:rsid w:val="00E40B5C"/>
    <w:rsid w:val="00E43FCF"/>
    <w:rsid w:val="00E46CE5"/>
    <w:rsid w:val="00E521BD"/>
    <w:rsid w:val="00E5442E"/>
    <w:rsid w:val="00E554BF"/>
    <w:rsid w:val="00E55BCB"/>
    <w:rsid w:val="00E61B98"/>
    <w:rsid w:val="00E631A9"/>
    <w:rsid w:val="00E64685"/>
    <w:rsid w:val="00E6591C"/>
    <w:rsid w:val="00E65FC3"/>
    <w:rsid w:val="00E663EA"/>
    <w:rsid w:val="00E70DC9"/>
    <w:rsid w:val="00E714B1"/>
    <w:rsid w:val="00E718DD"/>
    <w:rsid w:val="00E724AA"/>
    <w:rsid w:val="00E72A9E"/>
    <w:rsid w:val="00E74BA4"/>
    <w:rsid w:val="00E81251"/>
    <w:rsid w:val="00E8159E"/>
    <w:rsid w:val="00E8460D"/>
    <w:rsid w:val="00E8692F"/>
    <w:rsid w:val="00E87B32"/>
    <w:rsid w:val="00EA41CF"/>
    <w:rsid w:val="00EB0054"/>
    <w:rsid w:val="00EB24AA"/>
    <w:rsid w:val="00EB2847"/>
    <w:rsid w:val="00EB2907"/>
    <w:rsid w:val="00EB5059"/>
    <w:rsid w:val="00EC452A"/>
    <w:rsid w:val="00EC4562"/>
    <w:rsid w:val="00EC5660"/>
    <w:rsid w:val="00EC59D0"/>
    <w:rsid w:val="00EC624B"/>
    <w:rsid w:val="00ED0A86"/>
    <w:rsid w:val="00ED1E5A"/>
    <w:rsid w:val="00ED21C1"/>
    <w:rsid w:val="00ED45A7"/>
    <w:rsid w:val="00EE08AE"/>
    <w:rsid w:val="00EE14AF"/>
    <w:rsid w:val="00EE2904"/>
    <w:rsid w:val="00EF25CF"/>
    <w:rsid w:val="00EF3ABE"/>
    <w:rsid w:val="00EF5A08"/>
    <w:rsid w:val="00F0197B"/>
    <w:rsid w:val="00F01F3D"/>
    <w:rsid w:val="00F02191"/>
    <w:rsid w:val="00F02728"/>
    <w:rsid w:val="00F02F7D"/>
    <w:rsid w:val="00F03B5F"/>
    <w:rsid w:val="00F04909"/>
    <w:rsid w:val="00F066E9"/>
    <w:rsid w:val="00F06890"/>
    <w:rsid w:val="00F07DE9"/>
    <w:rsid w:val="00F13039"/>
    <w:rsid w:val="00F13DD0"/>
    <w:rsid w:val="00F15E57"/>
    <w:rsid w:val="00F16DB5"/>
    <w:rsid w:val="00F17500"/>
    <w:rsid w:val="00F24E0B"/>
    <w:rsid w:val="00F254FA"/>
    <w:rsid w:val="00F30B13"/>
    <w:rsid w:val="00F36778"/>
    <w:rsid w:val="00F37838"/>
    <w:rsid w:val="00F45B56"/>
    <w:rsid w:val="00F50674"/>
    <w:rsid w:val="00F51929"/>
    <w:rsid w:val="00F52655"/>
    <w:rsid w:val="00F526B6"/>
    <w:rsid w:val="00F52EF3"/>
    <w:rsid w:val="00F54CB7"/>
    <w:rsid w:val="00F5568C"/>
    <w:rsid w:val="00F56143"/>
    <w:rsid w:val="00F60CD0"/>
    <w:rsid w:val="00F62C86"/>
    <w:rsid w:val="00F65635"/>
    <w:rsid w:val="00F70AF2"/>
    <w:rsid w:val="00F76242"/>
    <w:rsid w:val="00F8456A"/>
    <w:rsid w:val="00F85CBB"/>
    <w:rsid w:val="00F86E21"/>
    <w:rsid w:val="00F926EA"/>
    <w:rsid w:val="00F93780"/>
    <w:rsid w:val="00F9382E"/>
    <w:rsid w:val="00F93E5C"/>
    <w:rsid w:val="00F96559"/>
    <w:rsid w:val="00FA30F9"/>
    <w:rsid w:val="00FA3460"/>
    <w:rsid w:val="00FA3FCF"/>
    <w:rsid w:val="00FA5F0D"/>
    <w:rsid w:val="00FB06FD"/>
    <w:rsid w:val="00FB0ACC"/>
    <w:rsid w:val="00FB15B9"/>
    <w:rsid w:val="00FB1BB1"/>
    <w:rsid w:val="00FB2D45"/>
    <w:rsid w:val="00FC5373"/>
    <w:rsid w:val="00FC554D"/>
    <w:rsid w:val="00FC70CC"/>
    <w:rsid w:val="00FD0087"/>
    <w:rsid w:val="00FD5B81"/>
    <w:rsid w:val="00FD679C"/>
    <w:rsid w:val="00FD6BA6"/>
    <w:rsid w:val="00FE0FDC"/>
    <w:rsid w:val="00FE1EF4"/>
    <w:rsid w:val="00FE3B61"/>
    <w:rsid w:val="00FE49E4"/>
    <w:rsid w:val="00FE600D"/>
    <w:rsid w:val="00FE73B3"/>
    <w:rsid w:val="00FE7F7A"/>
    <w:rsid w:val="00FF3B91"/>
    <w:rsid w:val="00FF5966"/>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EE6CF39"/>
  <w15:docId w15:val="{778C7FEA-1CF4-4FEA-838F-6E141E87E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s-MX" w:bidi="ar-SA"/>
      </w:rPr>
    </w:rPrDefault>
    <w:pPrDefault>
      <w:pPr>
        <w:spacing w:after="12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1E04"/>
    <w:rPr>
      <w:rFonts w:ascii="Calibri" w:eastAsia="Times New Roman" w:hAnsi="Calibri" w:cs="Times New Roman"/>
      <w:sz w:val="21"/>
      <w:szCs w:val="21"/>
    </w:rPr>
  </w:style>
  <w:style w:type="paragraph" w:styleId="Ttulo1">
    <w:name w:val="heading 1"/>
    <w:basedOn w:val="Normal"/>
    <w:next w:val="Normal"/>
    <w:link w:val="Ttulo1Car"/>
    <w:uiPriority w:val="9"/>
    <w:qFormat/>
    <w:rsid w:val="0040035E"/>
    <w:pPr>
      <w:keepNext/>
      <w:keepLines/>
      <w:spacing w:before="360" w:after="40" w:line="240" w:lineRule="auto"/>
      <w:outlineLvl w:val="0"/>
    </w:pPr>
    <w:rPr>
      <w:rFonts w:ascii="Calibri Light" w:eastAsia="SimSun" w:hAnsi="Calibri Light"/>
      <w:color w:val="538135"/>
      <w:sz w:val="40"/>
      <w:szCs w:val="40"/>
    </w:rPr>
  </w:style>
  <w:style w:type="paragraph" w:styleId="Ttulo2">
    <w:name w:val="heading 2"/>
    <w:basedOn w:val="Normal"/>
    <w:next w:val="Normal"/>
    <w:link w:val="Ttulo2Car"/>
    <w:uiPriority w:val="9"/>
    <w:unhideWhenUsed/>
    <w:qFormat/>
    <w:rsid w:val="0040035E"/>
    <w:pPr>
      <w:keepNext/>
      <w:keepLines/>
      <w:spacing w:before="80" w:after="0" w:line="240" w:lineRule="auto"/>
      <w:outlineLvl w:val="1"/>
    </w:pPr>
    <w:rPr>
      <w:rFonts w:ascii="Calibri Light" w:eastAsia="SimSun" w:hAnsi="Calibri Light"/>
      <w:color w:val="538135"/>
      <w:sz w:val="28"/>
      <w:szCs w:val="28"/>
    </w:rPr>
  </w:style>
  <w:style w:type="paragraph" w:styleId="Ttulo3">
    <w:name w:val="heading 3"/>
    <w:basedOn w:val="Normal"/>
    <w:next w:val="Normal"/>
    <w:link w:val="Ttulo3Car"/>
    <w:uiPriority w:val="9"/>
    <w:semiHidden/>
    <w:unhideWhenUsed/>
    <w:qFormat/>
    <w:rsid w:val="0040035E"/>
    <w:pPr>
      <w:keepNext/>
      <w:keepLines/>
      <w:spacing w:before="80" w:after="0" w:line="240" w:lineRule="auto"/>
      <w:outlineLvl w:val="2"/>
    </w:pPr>
    <w:rPr>
      <w:rFonts w:ascii="Calibri Light" w:eastAsia="SimSun" w:hAnsi="Calibri Light"/>
      <w:color w:val="538135"/>
      <w:sz w:val="24"/>
      <w:szCs w:val="24"/>
    </w:rPr>
  </w:style>
  <w:style w:type="paragraph" w:styleId="Ttulo4">
    <w:name w:val="heading 4"/>
    <w:basedOn w:val="Normal"/>
    <w:next w:val="Normal"/>
    <w:link w:val="Ttulo4Car"/>
    <w:uiPriority w:val="9"/>
    <w:semiHidden/>
    <w:unhideWhenUsed/>
    <w:qFormat/>
    <w:rsid w:val="0040035E"/>
    <w:pPr>
      <w:keepNext/>
      <w:keepLines/>
      <w:spacing w:before="80" w:after="0"/>
      <w:outlineLvl w:val="3"/>
    </w:pPr>
    <w:rPr>
      <w:rFonts w:ascii="Calibri Light" w:eastAsia="SimSun" w:hAnsi="Calibri Light"/>
      <w:color w:val="70AD47"/>
      <w:sz w:val="22"/>
      <w:szCs w:val="22"/>
    </w:rPr>
  </w:style>
  <w:style w:type="paragraph" w:styleId="Ttulo5">
    <w:name w:val="heading 5"/>
    <w:basedOn w:val="Normal"/>
    <w:next w:val="Normal"/>
    <w:link w:val="Ttulo5Car"/>
    <w:uiPriority w:val="9"/>
    <w:semiHidden/>
    <w:unhideWhenUsed/>
    <w:qFormat/>
    <w:rsid w:val="0040035E"/>
    <w:pPr>
      <w:keepNext/>
      <w:keepLines/>
      <w:spacing w:before="40" w:after="0"/>
      <w:outlineLvl w:val="4"/>
    </w:pPr>
    <w:rPr>
      <w:rFonts w:ascii="Calibri Light" w:eastAsia="SimSun" w:hAnsi="Calibri Light"/>
      <w:i/>
      <w:iCs/>
      <w:color w:val="70AD47"/>
      <w:sz w:val="22"/>
      <w:szCs w:val="22"/>
    </w:rPr>
  </w:style>
  <w:style w:type="paragraph" w:styleId="Ttulo6">
    <w:name w:val="heading 6"/>
    <w:basedOn w:val="Normal"/>
    <w:next w:val="Normal"/>
    <w:link w:val="Ttulo6Car"/>
    <w:uiPriority w:val="9"/>
    <w:semiHidden/>
    <w:unhideWhenUsed/>
    <w:qFormat/>
    <w:rsid w:val="0040035E"/>
    <w:pPr>
      <w:keepNext/>
      <w:keepLines/>
      <w:spacing w:before="40" w:after="0"/>
      <w:outlineLvl w:val="5"/>
    </w:pPr>
    <w:rPr>
      <w:rFonts w:ascii="Calibri Light" w:eastAsia="SimSun" w:hAnsi="Calibri Light"/>
      <w:color w:val="70AD47"/>
    </w:rPr>
  </w:style>
  <w:style w:type="paragraph" w:styleId="Ttulo7">
    <w:name w:val="heading 7"/>
    <w:basedOn w:val="Normal"/>
    <w:next w:val="Normal"/>
    <w:link w:val="Ttulo7Car"/>
    <w:uiPriority w:val="9"/>
    <w:semiHidden/>
    <w:unhideWhenUsed/>
    <w:qFormat/>
    <w:rsid w:val="0040035E"/>
    <w:pPr>
      <w:keepNext/>
      <w:keepLines/>
      <w:spacing w:before="40" w:after="0"/>
      <w:outlineLvl w:val="6"/>
    </w:pPr>
    <w:rPr>
      <w:rFonts w:ascii="Calibri Light" w:eastAsia="SimSun" w:hAnsi="Calibri Light"/>
      <w:b/>
      <w:bCs/>
      <w:color w:val="70AD47"/>
    </w:rPr>
  </w:style>
  <w:style w:type="paragraph" w:styleId="Ttulo8">
    <w:name w:val="heading 8"/>
    <w:basedOn w:val="Normal"/>
    <w:next w:val="Normal"/>
    <w:link w:val="Ttulo8Car"/>
    <w:uiPriority w:val="9"/>
    <w:semiHidden/>
    <w:unhideWhenUsed/>
    <w:qFormat/>
    <w:rsid w:val="0040035E"/>
    <w:pPr>
      <w:keepNext/>
      <w:keepLines/>
      <w:spacing w:before="40" w:after="0"/>
      <w:outlineLvl w:val="7"/>
    </w:pPr>
    <w:rPr>
      <w:rFonts w:ascii="Calibri Light" w:eastAsia="SimSun" w:hAnsi="Calibri Light"/>
      <w:b/>
      <w:bCs/>
      <w:i/>
      <w:iCs/>
      <w:color w:val="70AD47"/>
      <w:sz w:val="20"/>
      <w:szCs w:val="20"/>
    </w:rPr>
  </w:style>
  <w:style w:type="paragraph" w:styleId="Ttulo9">
    <w:name w:val="heading 9"/>
    <w:basedOn w:val="Normal"/>
    <w:next w:val="Normal"/>
    <w:link w:val="Ttulo9Car"/>
    <w:uiPriority w:val="9"/>
    <w:semiHidden/>
    <w:unhideWhenUsed/>
    <w:qFormat/>
    <w:rsid w:val="0040035E"/>
    <w:pPr>
      <w:keepNext/>
      <w:keepLines/>
      <w:spacing w:before="40" w:after="0"/>
      <w:outlineLvl w:val="8"/>
    </w:pPr>
    <w:rPr>
      <w:rFonts w:ascii="Calibri Light" w:eastAsia="SimSun" w:hAnsi="Calibri Light"/>
      <w:i/>
      <w:iCs/>
      <w:color w:val="70AD47"/>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0035E"/>
    <w:rPr>
      <w:rFonts w:ascii="Calibri Light" w:eastAsia="SimSun" w:hAnsi="Calibri Light" w:cs="Times New Roman"/>
      <w:color w:val="538135"/>
      <w:sz w:val="40"/>
      <w:szCs w:val="40"/>
    </w:rPr>
  </w:style>
  <w:style w:type="character" w:customStyle="1" w:styleId="Ttulo2Car">
    <w:name w:val="Título 2 Car"/>
    <w:basedOn w:val="Fuentedeprrafopredeter"/>
    <w:link w:val="Ttulo2"/>
    <w:uiPriority w:val="9"/>
    <w:rsid w:val="0040035E"/>
    <w:rPr>
      <w:rFonts w:ascii="Calibri Light" w:eastAsia="SimSun" w:hAnsi="Calibri Light" w:cs="Times New Roman"/>
      <w:color w:val="538135"/>
      <w:sz w:val="28"/>
      <w:szCs w:val="28"/>
    </w:rPr>
  </w:style>
  <w:style w:type="character" w:customStyle="1" w:styleId="Ttulo3Car">
    <w:name w:val="Título 3 Car"/>
    <w:basedOn w:val="Fuentedeprrafopredeter"/>
    <w:link w:val="Ttulo3"/>
    <w:uiPriority w:val="9"/>
    <w:semiHidden/>
    <w:rsid w:val="0040035E"/>
    <w:rPr>
      <w:rFonts w:ascii="Calibri Light" w:eastAsia="SimSun" w:hAnsi="Calibri Light" w:cs="Times New Roman"/>
      <w:color w:val="538135"/>
      <w:sz w:val="24"/>
      <w:szCs w:val="24"/>
    </w:rPr>
  </w:style>
  <w:style w:type="character" w:customStyle="1" w:styleId="Ttulo4Car">
    <w:name w:val="Título 4 Car"/>
    <w:basedOn w:val="Fuentedeprrafopredeter"/>
    <w:link w:val="Ttulo4"/>
    <w:uiPriority w:val="9"/>
    <w:semiHidden/>
    <w:rsid w:val="0040035E"/>
    <w:rPr>
      <w:rFonts w:ascii="Calibri Light" w:eastAsia="SimSun" w:hAnsi="Calibri Light" w:cs="Times New Roman"/>
      <w:color w:val="70AD47"/>
    </w:rPr>
  </w:style>
  <w:style w:type="character" w:customStyle="1" w:styleId="Ttulo5Car">
    <w:name w:val="Título 5 Car"/>
    <w:basedOn w:val="Fuentedeprrafopredeter"/>
    <w:link w:val="Ttulo5"/>
    <w:uiPriority w:val="9"/>
    <w:semiHidden/>
    <w:rsid w:val="0040035E"/>
    <w:rPr>
      <w:rFonts w:ascii="Calibri Light" w:eastAsia="SimSun" w:hAnsi="Calibri Light" w:cs="Times New Roman"/>
      <w:i/>
      <w:iCs/>
      <w:color w:val="70AD47"/>
    </w:rPr>
  </w:style>
  <w:style w:type="character" w:customStyle="1" w:styleId="Ttulo6Car">
    <w:name w:val="Título 6 Car"/>
    <w:basedOn w:val="Fuentedeprrafopredeter"/>
    <w:link w:val="Ttulo6"/>
    <w:uiPriority w:val="9"/>
    <w:semiHidden/>
    <w:rsid w:val="0040035E"/>
    <w:rPr>
      <w:rFonts w:ascii="Calibri Light" w:eastAsia="SimSun" w:hAnsi="Calibri Light" w:cs="Times New Roman"/>
      <w:color w:val="70AD47"/>
      <w:sz w:val="21"/>
      <w:szCs w:val="21"/>
    </w:rPr>
  </w:style>
  <w:style w:type="character" w:customStyle="1" w:styleId="Ttulo7Car">
    <w:name w:val="Título 7 Car"/>
    <w:basedOn w:val="Fuentedeprrafopredeter"/>
    <w:link w:val="Ttulo7"/>
    <w:uiPriority w:val="9"/>
    <w:semiHidden/>
    <w:rsid w:val="0040035E"/>
    <w:rPr>
      <w:rFonts w:ascii="Calibri Light" w:eastAsia="SimSun" w:hAnsi="Calibri Light" w:cs="Times New Roman"/>
      <w:b/>
      <w:bCs/>
      <w:color w:val="70AD47"/>
      <w:sz w:val="21"/>
      <w:szCs w:val="21"/>
    </w:rPr>
  </w:style>
  <w:style w:type="character" w:customStyle="1" w:styleId="Ttulo8Car">
    <w:name w:val="Título 8 Car"/>
    <w:basedOn w:val="Fuentedeprrafopredeter"/>
    <w:link w:val="Ttulo8"/>
    <w:uiPriority w:val="9"/>
    <w:semiHidden/>
    <w:rsid w:val="0040035E"/>
    <w:rPr>
      <w:rFonts w:ascii="Calibri Light" w:eastAsia="SimSun" w:hAnsi="Calibri Light" w:cs="Times New Roman"/>
      <w:b/>
      <w:bCs/>
      <w:i/>
      <w:iCs/>
      <w:color w:val="70AD47"/>
      <w:sz w:val="20"/>
      <w:szCs w:val="20"/>
    </w:rPr>
  </w:style>
  <w:style w:type="character" w:customStyle="1" w:styleId="Ttulo9Car">
    <w:name w:val="Título 9 Car"/>
    <w:basedOn w:val="Fuentedeprrafopredeter"/>
    <w:link w:val="Ttulo9"/>
    <w:uiPriority w:val="9"/>
    <w:semiHidden/>
    <w:rsid w:val="0040035E"/>
    <w:rPr>
      <w:rFonts w:ascii="Calibri Light" w:eastAsia="SimSun" w:hAnsi="Calibri Light" w:cs="Times New Roman"/>
      <w:i/>
      <w:iCs/>
      <w:color w:val="70AD47"/>
      <w:sz w:val="20"/>
      <w:szCs w:val="20"/>
    </w:rPr>
  </w:style>
  <w:style w:type="character" w:styleId="Hipervnculo">
    <w:name w:val="Hyperlink"/>
    <w:uiPriority w:val="99"/>
    <w:unhideWhenUsed/>
    <w:rsid w:val="00991E04"/>
    <w:rPr>
      <w:rFonts w:cs="Times New Roman"/>
      <w:color w:val="666666"/>
      <w:u w:val="single"/>
    </w:rPr>
  </w:style>
  <w:style w:type="character" w:styleId="Refdecomentario">
    <w:name w:val="annotation reference"/>
    <w:uiPriority w:val="99"/>
    <w:unhideWhenUsed/>
    <w:rsid w:val="00991E04"/>
    <w:rPr>
      <w:rFonts w:cs="Times New Roman"/>
      <w:sz w:val="16"/>
    </w:rPr>
  </w:style>
  <w:style w:type="paragraph" w:styleId="Textocomentario">
    <w:name w:val="annotation text"/>
    <w:basedOn w:val="Normal"/>
    <w:link w:val="TextocomentarioCar"/>
    <w:uiPriority w:val="99"/>
    <w:unhideWhenUsed/>
    <w:rsid w:val="00991E04"/>
    <w:pPr>
      <w:spacing w:after="160"/>
    </w:pPr>
    <w:rPr>
      <w:sz w:val="20"/>
      <w:szCs w:val="20"/>
      <w:lang w:eastAsia="en-US"/>
    </w:rPr>
  </w:style>
  <w:style w:type="character" w:customStyle="1" w:styleId="TextocomentarioCar">
    <w:name w:val="Texto comentario Car"/>
    <w:basedOn w:val="Fuentedeprrafopredeter"/>
    <w:link w:val="Textocomentario"/>
    <w:uiPriority w:val="99"/>
    <w:rsid w:val="00991E04"/>
    <w:rPr>
      <w:rFonts w:ascii="Calibri" w:eastAsia="Times New Roman" w:hAnsi="Calibri" w:cs="Times New Roman"/>
      <w:sz w:val="20"/>
      <w:szCs w:val="20"/>
      <w:lang w:eastAsia="en-US"/>
    </w:rPr>
  </w:style>
  <w:style w:type="paragraph" w:styleId="NormalWeb">
    <w:name w:val="Normal (Web)"/>
    <w:basedOn w:val="Normal"/>
    <w:uiPriority w:val="99"/>
    <w:unhideWhenUsed/>
    <w:rsid w:val="0040035E"/>
    <w:pPr>
      <w:spacing w:before="100" w:beforeAutospacing="1" w:after="100" w:afterAutospacing="1"/>
    </w:pPr>
    <w:rPr>
      <w:color w:val="333333"/>
    </w:rPr>
  </w:style>
  <w:style w:type="character" w:styleId="nfasis">
    <w:name w:val="Emphasis"/>
    <w:uiPriority w:val="20"/>
    <w:qFormat/>
    <w:rsid w:val="0040035E"/>
    <w:rPr>
      <w:rFonts w:cs="Times New Roman"/>
      <w:i/>
      <w:color w:val="70AD47"/>
    </w:rPr>
  </w:style>
  <w:style w:type="character" w:styleId="Textoennegrita">
    <w:name w:val="Strong"/>
    <w:uiPriority w:val="22"/>
    <w:qFormat/>
    <w:rsid w:val="0040035E"/>
    <w:rPr>
      <w:rFonts w:cs="Times New Roman"/>
      <w:b/>
    </w:rPr>
  </w:style>
  <w:style w:type="paragraph" w:styleId="Encabezado">
    <w:name w:val="header"/>
    <w:basedOn w:val="Normal"/>
    <w:link w:val="EncabezadoCar"/>
    <w:uiPriority w:val="99"/>
    <w:unhideWhenUsed/>
    <w:rsid w:val="0040035E"/>
    <w:pPr>
      <w:widowControl w:val="0"/>
      <w:tabs>
        <w:tab w:val="center" w:pos="4419"/>
        <w:tab w:val="right" w:pos="8838"/>
      </w:tabs>
    </w:pPr>
    <w:rPr>
      <w:sz w:val="22"/>
      <w:szCs w:val="22"/>
      <w:lang w:val="en-US" w:eastAsia="en-US"/>
    </w:rPr>
  </w:style>
  <w:style w:type="character" w:customStyle="1" w:styleId="EncabezadoCar">
    <w:name w:val="Encabezado Car"/>
    <w:basedOn w:val="Fuentedeprrafopredeter"/>
    <w:link w:val="Encabezado"/>
    <w:uiPriority w:val="99"/>
    <w:rsid w:val="0040035E"/>
    <w:rPr>
      <w:rFonts w:ascii="Calibri" w:eastAsia="Times New Roman" w:hAnsi="Calibri" w:cs="Times New Roman"/>
      <w:lang w:val="en-US" w:eastAsia="en-US"/>
    </w:rPr>
  </w:style>
  <w:style w:type="paragraph" w:styleId="Piedepgina">
    <w:name w:val="footer"/>
    <w:basedOn w:val="Normal"/>
    <w:link w:val="PiedepginaCar"/>
    <w:uiPriority w:val="99"/>
    <w:unhideWhenUsed/>
    <w:rsid w:val="0040035E"/>
    <w:pPr>
      <w:widowControl w:val="0"/>
      <w:tabs>
        <w:tab w:val="center" w:pos="4419"/>
        <w:tab w:val="right" w:pos="8838"/>
      </w:tabs>
    </w:pPr>
    <w:rPr>
      <w:sz w:val="22"/>
      <w:szCs w:val="22"/>
      <w:lang w:val="en-US" w:eastAsia="en-US"/>
    </w:rPr>
  </w:style>
  <w:style w:type="character" w:customStyle="1" w:styleId="PiedepginaCar">
    <w:name w:val="Pie de página Car"/>
    <w:basedOn w:val="Fuentedeprrafopredeter"/>
    <w:link w:val="Piedepgina"/>
    <w:uiPriority w:val="99"/>
    <w:rsid w:val="0040035E"/>
    <w:rPr>
      <w:rFonts w:ascii="Calibri" w:eastAsia="Times New Roman" w:hAnsi="Calibri" w:cs="Times New Roman"/>
      <w:lang w:val="en-US" w:eastAsia="en-US"/>
    </w:rPr>
  </w:style>
  <w:style w:type="paragraph" w:styleId="Textodeglobo">
    <w:name w:val="Balloon Text"/>
    <w:basedOn w:val="Normal"/>
    <w:link w:val="TextodegloboCar"/>
    <w:uiPriority w:val="99"/>
    <w:unhideWhenUsed/>
    <w:rsid w:val="0040035E"/>
    <w:rPr>
      <w:rFonts w:ascii="Tahoma" w:hAnsi="Tahoma" w:cs="Tahoma"/>
      <w:sz w:val="16"/>
      <w:szCs w:val="16"/>
      <w:lang w:eastAsia="en-US"/>
    </w:rPr>
  </w:style>
  <w:style w:type="character" w:customStyle="1" w:styleId="TextodegloboCar">
    <w:name w:val="Texto de globo Car"/>
    <w:basedOn w:val="Fuentedeprrafopredeter"/>
    <w:link w:val="Textodeglobo"/>
    <w:uiPriority w:val="99"/>
    <w:rsid w:val="0040035E"/>
    <w:rPr>
      <w:rFonts w:ascii="Tahoma" w:eastAsia="Times New Roman" w:hAnsi="Tahoma" w:cs="Tahoma"/>
      <w:sz w:val="16"/>
      <w:szCs w:val="16"/>
      <w:lang w:eastAsia="en-US"/>
    </w:rPr>
  </w:style>
  <w:style w:type="paragraph" w:customStyle="1" w:styleId="Default">
    <w:name w:val="Default"/>
    <w:rsid w:val="0040035E"/>
    <w:pPr>
      <w:autoSpaceDE w:val="0"/>
      <w:autoSpaceDN w:val="0"/>
      <w:adjustRightInd w:val="0"/>
      <w:spacing w:after="0" w:line="240" w:lineRule="auto"/>
    </w:pPr>
    <w:rPr>
      <w:rFonts w:ascii="TradeGothic Bold" w:eastAsia="Times New Roman" w:hAnsi="TradeGothic Bold" w:cs="TradeGothic Bold"/>
      <w:color w:val="000000"/>
      <w:sz w:val="24"/>
      <w:szCs w:val="24"/>
    </w:rPr>
  </w:style>
  <w:style w:type="paragraph" w:customStyle="1" w:styleId="Pa1">
    <w:name w:val="Pa1"/>
    <w:basedOn w:val="Default"/>
    <w:next w:val="Default"/>
    <w:uiPriority w:val="99"/>
    <w:rsid w:val="0040035E"/>
    <w:pPr>
      <w:spacing w:line="221" w:lineRule="atLeast"/>
    </w:pPr>
    <w:rPr>
      <w:rFonts w:cs="Times New Roman"/>
      <w:color w:val="auto"/>
    </w:rPr>
  </w:style>
  <w:style w:type="character" w:customStyle="1" w:styleId="A2">
    <w:name w:val="A2"/>
    <w:uiPriority w:val="99"/>
    <w:rsid w:val="0040035E"/>
    <w:rPr>
      <w:color w:val="000000"/>
      <w:sz w:val="19"/>
    </w:rPr>
  </w:style>
  <w:style w:type="character" w:customStyle="1" w:styleId="A0">
    <w:name w:val="A0"/>
    <w:uiPriority w:val="99"/>
    <w:rsid w:val="0040035E"/>
    <w:rPr>
      <w:rFonts w:ascii="TradeGothic Light" w:hAnsi="TradeGothic Light"/>
      <w:color w:val="000000"/>
      <w:sz w:val="64"/>
    </w:rPr>
  </w:style>
  <w:style w:type="character" w:customStyle="1" w:styleId="A3">
    <w:name w:val="A3"/>
    <w:uiPriority w:val="99"/>
    <w:rsid w:val="0040035E"/>
    <w:rPr>
      <w:rFonts w:ascii="TradeGothic Light" w:hAnsi="TradeGothic Light"/>
      <w:color w:val="000000"/>
      <w:sz w:val="11"/>
    </w:rPr>
  </w:style>
  <w:style w:type="paragraph" w:customStyle="1" w:styleId="Pa3">
    <w:name w:val="Pa3"/>
    <w:basedOn w:val="Default"/>
    <w:next w:val="Default"/>
    <w:uiPriority w:val="99"/>
    <w:rsid w:val="0040035E"/>
    <w:pPr>
      <w:spacing w:line="221" w:lineRule="atLeast"/>
    </w:pPr>
    <w:rPr>
      <w:rFonts w:cs="Times New Roman"/>
      <w:color w:val="auto"/>
    </w:rPr>
  </w:style>
  <w:style w:type="character" w:customStyle="1" w:styleId="A4">
    <w:name w:val="A4"/>
    <w:uiPriority w:val="99"/>
    <w:rsid w:val="0040035E"/>
    <w:rPr>
      <w:rFonts w:ascii="TradeGothic Light" w:hAnsi="TradeGothic Light"/>
      <w:color w:val="000000"/>
      <w:sz w:val="11"/>
    </w:rPr>
  </w:style>
  <w:style w:type="paragraph" w:customStyle="1" w:styleId="Pa4">
    <w:name w:val="Pa4"/>
    <w:basedOn w:val="Default"/>
    <w:next w:val="Default"/>
    <w:uiPriority w:val="99"/>
    <w:rsid w:val="0040035E"/>
    <w:pPr>
      <w:spacing w:line="221" w:lineRule="atLeast"/>
    </w:pPr>
    <w:rPr>
      <w:rFonts w:cs="Times New Roman"/>
      <w:color w:val="auto"/>
    </w:rPr>
  </w:style>
  <w:style w:type="character" w:customStyle="1" w:styleId="A5">
    <w:name w:val="A5"/>
    <w:uiPriority w:val="99"/>
    <w:rsid w:val="0040035E"/>
    <w:rPr>
      <w:rFonts w:ascii="TradeGothic" w:hAnsi="TradeGothic"/>
      <w:color w:val="000000"/>
      <w:sz w:val="16"/>
    </w:rPr>
  </w:style>
  <w:style w:type="character" w:customStyle="1" w:styleId="A6">
    <w:name w:val="A6"/>
    <w:uiPriority w:val="99"/>
    <w:rsid w:val="0040035E"/>
    <w:rPr>
      <w:rFonts w:ascii="TradeGothic" w:hAnsi="TradeGothic"/>
      <w:color w:val="000000"/>
      <w:sz w:val="40"/>
    </w:rPr>
  </w:style>
  <w:style w:type="paragraph" w:customStyle="1" w:styleId="Pa9">
    <w:name w:val="Pa9"/>
    <w:basedOn w:val="Default"/>
    <w:next w:val="Default"/>
    <w:uiPriority w:val="99"/>
    <w:rsid w:val="0040035E"/>
    <w:pPr>
      <w:spacing w:line="201" w:lineRule="atLeast"/>
    </w:pPr>
    <w:rPr>
      <w:rFonts w:ascii="TradeGothic Light" w:hAnsi="TradeGothic Light" w:cs="Times New Roman"/>
      <w:color w:val="auto"/>
    </w:rPr>
  </w:style>
  <w:style w:type="paragraph" w:customStyle="1" w:styleId="Pa10">
    <w:name w:val="Pa10"/>
    <w:basedOn w:val="Default"/>
    <w:next w:val="Default"/>
    <w:uiPriority w:val="99"/>
    <w:rsid w:val="0040035E"/>
    <w:pPr>
      <w:spacing w:line="401" w:lineRule="atLeast"/>
    </w:pPr>
    <w:rPr>
      <w:rFonts w:ascii="TradeGothic Light" w:hAnsi="TradeGothic Light" w:cs="Times New Roman"/>
      <w:color w:val="auto"/>
    </w:rPr>
  </w:style>
  <w:style w:type="character" w:customStyle="1" w:styleId="A9">
    <w:name w:val="A9"/>
    <w:uiPriority w:val="99"/>
    <w:rsid w:val="0040035E"/>
    <w:rPr>
      <w:rFonts w:ascii="TradeGothic" w:hAnsi="TradeGothic"/>
      <w:color w:val="000000"/>
      <w:sz w:val="32"/>
    </w:rPr>
  </w:style>
  <w:style w:type="character" w:customStyle="1" w:styleId="A8">
    <w:name w:val="A8"/>
    <w:uiPriority w:val="99"/>
    <w:rsid w:val="0040035E"/>
    <w:rPr>
      <w:rFonts w:ascii="TradeGothic Bold" w:hAnsi="TradeGothic Bold"/>
      <w:b/>
      <w:color w:val="000000"/>
      <w:sz w:val="28"/>
    </w:rPr>
  </w:style>
  <w:style w:type="paragraph" w:customStyle="1" w:styleId="Pa11">
    <w:name w:val="Pa11"/>
    <w:basedOn w:val="Default"/>
    <w:next w:val="Default"/>
    <w:uiPriority w:val="99"/>
    <w:rsid w:val="0040035E"/>
    <w:pPr>
      <w:spacing w:line="221" w:lineRule="atLeast"/>
    </w:pPr>
    <w:rPr>
      <w:rFonts w:ascii="TradeGothic Light" w:hAnsi="TradeGothic Light" w:cs="Times New Roman"/>
      <w:color w:val="auto"/>
    </w:rPr>
  </w:style>
  <w:style w:type="character" w:customStyle="1" w:styleId="A10">
    <w:name w:val="A10"/>
    <w:uiPriority w:val="99"/>
    <w:rsid w:val="0040035E"/>
    <w:rPr>
      <w:rFonts w:ascii="TradeGothic" w:hAnsi="TradeGothic"/>
      <w:color w:val="000000"/>
      <w:sz w:val="17"/>
    </w:rPr>
  </w:style>
  <w:style w:type="paragraph" w:customStyle="1" w:styleId="Pa5">
    <w:name w:val="Pa5"/>
    <w:basedOn w:val="Default"/>
    <w:next w:val="Default"/>
    <w:uiPriority w:val="99"/>
    <w:rsid w:val="0040035E"/>
    <w:pPr>
      <w:spacing w:line="221" w:lineRule="atLeast"/>
    </w:pPr>
    <w:rPr>
      <w:rFonts w:ascii="TradeGothic Light" w:hAnsi="TradeGothic Light" w:cs="Times New Roman"/>
      <w:color w:val="auto"/>
    </w:rPr>
  </w:style>
  <w:style w:type="character" w:customStyle="1" w:styleId="postdate">
    <w:name w:val="postdate"/>
    <w:rsid w:val="0040035E"/>
  </w:style>
  <w:style w:type="character" w:customStyle="1" w:styleId="apple-converted-space">
    <w:name w:val="apple-converted-space"/>
    <w:rsid w:val="0040035E"/>
  </w:style>
  <w:style w:type="paragraph" w:styleId="Descripcin">
    <w:name w:val="caption"/>
    <w:basedOn w:val="Normal"/>
    <w:next w:val="Normal"/>
    <w:uiPriority w:val="35"/>
    <w:semiHidden/>
    <w:unhideWhenUsed/>
    <w:qFormat/>
    <w:rsid w:val="0040035E"/>
    <w:pPr>
      <w:spacing w:line="240" w:lineRule="auto"/>
    </w:pPr>
    <w:rPr>
      <w:b/>
      <w:bCs/>
      <w:smallCaps/>
      <w:color w:val="595959"/>
    </w:rPr>
  </w:style>
  <w:style w:type="paragraph" w:styleId="Puesto">
    <w:name w:val="Title"/>
    <w:basedOn w:val="Normal"/>
    <w:next w:val="Normal"/>
    <w:link w:val="PuestoCar"/>
    <w:uiPriority w:val="10"/>
    <w:qFormat/>
    <w:rsid w:val="0040035E"/>
    <w:pPr>
      <w:spacing w:after="0" w:line="240" w:lineRule="auto"/>
      <w:contextualSpacing/>
    </w:pPr>
    <w:rPr>
      <w:rFonts w:ascii="Calibri Light" w:eastAsia="SimSun" w:hAnsi="Calibri Light"/>
      <w:color w:val="262626"/>
      <w:spacing w:val="-15"/>
      <w:sz w:val="96"/>
      <w:szCs w:val="96"/>
    </w:rPr>
  </w:style>
  <w:style w:type="character" w:customStyle="1" w:styleId="PuestoCar">
    <w:name w:val="Puesto Car"/>
    <w:basedOn w:val="Fuentedeprrafopredeter"/>
    <w:link w:val="Puesto"/>
    <w:uiPriority w:val="10"/>
    <w:rsid w:val="0040035E"/>
    <w:rPr>
      <w:rFonts w:ascii="Calibri Light" w:eastAsia="SimSun" w:hAnsi="Calibri Light" w:cs="Times New Roman"/>
      <w:color w:val="262626"/>
      <w:spacing w:val="-15"/>
      <w:sz w:val="96"/>
      <w:szCs w:val="96"/>
    </w:rPr>
  </w:style>
  <w:style w:type="paragraph" w:styleId="Subttulo">
    <w:name w:val="Subtitle"/>
    <w:basedOn w:val="Normal"/>
    <w:next w:val="Normal"/>
    <w:link w:val="SubttuloCar"/>
    <w:uiPriority w:val="11"/>
    <w:qFormat/>
    <w:rsid w:val="0040035E"/>
    <w:pPr>
      <w:numPr>
        <w:ilvl w:val="1"/>
      </w:numPr>
      <w:spacing w:line="240" w:lineRule="auto"/>
    </w:pPr>
    <w:rPr>
      <w:rFonts w:ascii="Calibri Light" w:eastAsia="SimSun" w:hAnsi="Calibri Light"/>
      <w:sz w:val="30"/>
      <w:szCs w:val="30"/>
    </w:rPr>
  </w:style>
  <w:style w:type="character" w:customStyle="1" w:styleId="SubttuloCar">
    <w:name w:val="Subtítulo Car"/>
    <w:basedOn w:val="Fuentedeprrafopredeter"/>
    <w:link w:val="Subttulo"/>
    <w:uiPriority w:val="11"/>
    <w:rsid w:val="0040035E"/>
    <w:rPr>
      <w:rFonts w:ascii="Calibri Light" w:eastAsia="SimSun" w:hAnsi="Calibri Light" w:cs="Times New Roman"/>
      <w:sz w:val="30"/>
      <w:szCs w:val="30"/>
    </w:rPr>
  </w:style>
  <w:style w:type="paragraph" w:styleId="Sinespaciado">
    <w:name w:val="No Spacing"/>
    <w:uiPriority w:val="1"/>
    <w:qFormat/>
    <w:rsid w:val="0040035E"/>
    <w:pPr>
      <w:spacing w:after="0" w:line="240" w:lineRule="auto"/>
    </w:pPr>
    <w:rPr>
      <w:rFonts w:ascii="Calibri" w:eastAsia="Times New Roman" w:hAnsi="Calibri" w:cs="Times New Roman"/>
      <w:sz w:val="21"/>
      <w:szCs w:val="21"/>
    </w:rPr>
  </w:style>
  <w:style w:type="paragraph" w:styleId="Cita">
    <w:name w:val="Quote"/>
    <w:basedOn w:val="Normal"/>
    <w:next w:val="Normal"/>
    <w:link w:val="CitaCar"/>
    <w:uiPriority w:val="29"/>
    <w:qFormat/>
    <w:rsid w:val="0040035E"/>
    <w:pPr>
      <w:spacing w:before="160"/>
      <w:ind w:left="720" w:right="720"/>
      <w:jc w:val="center"/>
    </w:pPr>
    <w:rPr>
      <w:i/>
      <w:iCs/>
      <w:color w:val="262626"/>
    </w:rPr>
  </w:style>
  <w:style w:type="character" w:customStyle="1" w:styleId="CitaCar">
    <w:name w:val="Cita Car"/>
    <w:basedOn w:val="Fuentedeprrafopredeter"/>
    <w:link w:val="Cita"/>
    <w:uiPriority w:val="29"/>
    <w:rsid w:val="0040035E"/>
    <w:rPr>
      <w:rFonts w:ascii="Calibri" w:eastAsia="Times New Roman" w:hAnsi="Calibri" w:cs="Times New Roman"/>
      <w:i/>
      <w:iCs/>
      <w:color w:val="262626"/>
      <w:sz w:val="21"/>
      <w:szCs w:val="21"/>
    </w:rPr>
  </w:style>
  <w:style w:type="paragraph" w:styleId="Citadestacada">
    <w:name w:val="Intense Quote"/>
    <w:basedOn w:val="Normal"/>
    <w:next w:val="Normal"/>
    <w:link w:val="CitadestacadaCar"/>
    <w:uiPriority w:val="30"/>
    <w:qFormat/>
    <w:rsid w:val="0040035E"/>
    <w:pPr>
      <w:spacing w:before="160" w:after="160" w:line="264" w:lineRule="auto"/>
      <w:ind w:left="720" w:right="720"/>
      <w:jc w:val="center"/>
    </w:pPr>
    <w:rPr>
      <w:rFonts w:ascii="Calibri Light" w:eastAsia="SimSun" w:hAnsi="Calibri Light"/>
      <w:i/>
      <w:iCs/>
      <w:color w:val="70AD47"/>
      <w:sz w:val="32"/>
      <w:szCs w:val="32"/>
    </w:rPr>
  </w:style>
  <w:style w:type="character" w:customStyle="1" w:styleId="CitadestacadaCar">
    <w:name w:val="Cita destacada Car"/>
    <w:basedOn w:val="Fuentedeprrafopredeter"/>
    <w:link w:val="Citadestacada"/>
    <w:uiPriority w:val="30"/>
    <w:rsid w:val="0040035E"/>
    <w:rPr>
      <w:rFonts w:ascii="Calibri Light" w:eastAsia="SimSun" w:hAnsi="Calibri Light" w:cs="Times New Roman"/>
      <w:i/>
      <w:iCs/>
      <w:color w:val="70AD47"/>
      <w:sz w:val="32"/>
      <w:szCs w:val="32"/>
    </w:rPr>
  </w:style>
  <w:style w:type="character" w:styleId="nfasissutil">
    <w:name w:val="Subtle Emphasis"/>
    <w:uiPriority w:val="19"/>
    <w:qFormat/>
    <w:rsid w:val="0040035E"/>
    <w:rPr>
      <w:rFonts w:cs="Times New Roman"/>
      <w:i/>
    </w:rPr>
  </w:style>
  <w:style w:type="character" w:styleId="nfasisintenso">
    <w:name w:val="Intense Emphasis"/>
    <w:uiPriority w:val="21"/>
    <w:qFormat/>
    <w:rsid w:val="0040035E"/>
    <w:rPr>
      <w:rFonts w:cs="Times New Roman"/>
      <w:b/>
      <w:i/>
    </w:rPr>
  </w:style>
  <w:style w:type="character" w:styleId="Referenciasutil">
    <w:name w:val="Subtle Reference"/>
    <w:uiPriority w:val="31"/>
    <w:qFormat/>
    <w:rsid w:val="0040035E"/>
    <w:rPr>
      <w:rFonts w:cs="Times New Roman"/>
      <w:smallCaps/>
      <w:color w:val="595959"/>
    </w:rPr>
  </w:style>
  <w:style w:type="character" w:styleId="Referenciaintensa">
    <w:name w:val="Intense Reference"/>
    <w:uiPriority w:val="32"/>
    <w:qFormat/>
    <w:rsid w:val="0040035E"/>
    <w:rPr>
      <w:rFonts w:cs="Times New Roman"/>
      <w:b/>
      <w:smallCaps/>
      <w:color w:val="70AD47"/>
    </w:rPr>
  </w:style>
  <w:style w:type="character" w:styleId="Ttulodellibro">
    <w:name w:val="Book Title"/>
    <w:uiPriority w:val="33"/>
    <w:qFormat/>
    <w:rsid w:val="0040035E"/>
    <w:rPr>
      <w:rFonts w:cs="Times New Roman"/>
      <w:b/>
      <w:smallCaps/>
      <w:spacing w:val="7"/>
      <w:sz w:val="21"/>
    </w:rPr>
  </w:style>
  <w:style w:type="paragraph" w:styleId="TtulodeTDC">
    <w:name w:val="TOC Heading"/>
    <w:basedOn w:val="Ttulo1"/>
    <w:next w:val="Normal"/>
    <w:uiPriority w:val="39"/>
    <w:semiHidden/>
    <w:unhideWhenUsed/>
    <w:qFormat/>
    <w:rsid w:val="0040035E"/>
    <w:pPr>
      <w:outlineLvl w:val="9"/>
    </w:pPr>
  </w:style>
  <w:style w:type="paragraph" w:styleId="Prrafodelista">
    <w:name w:val="List Paragraph"/>
    <w:basedOn w:val="Normal"/>
    <w:uiPriority w:val="34"/>
    <w:qFormat/>
    <w:rsid w:val="0040035E"/>
    <w:pPr>
      <w:ind w:left="708"/>
    </w:pPr>
  </w:style>
  <w:style w:type="table" w:styleId="Tablaconcuadrcula">
    <w:name w:val="Table Grid"/>
    <w:basedOn w:val="Tablanormal"/>
    <w:uiPriority w:val="59"/>
    <w:rsid w:val="004003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2">
    <w:name w:val="Body Text 2"/>
    <w:basedOn w:val="Normal"/>
    <w:link w:val="Textoindependiente2Car"/>
    <w:rsid w:val="00C70A90"/>
    <w:pPr>
      <w:spacing w:after="0" w:line="240" w:lineRule="auto"/>
      <w:jc w:val="both"/>
    </w:pPr>
    <w:rPr>
      <w:rFonts w:ascii="Arial" w:hAnsi="Arial"/>
      <w:bCs/>
      <w:sz w:val="24"/>
      <w:szCs w:val="24"/>
      <w:lang w:eastAsia="es-ES"/>
    </w:rPr>
  </w:style>
  <w:style w:type="character" w:customStyle="1" w:styleId="Textoindependiente2Car">
    <w:name w:val="Texto independiente 2 Car"/>
    <w:basedOn w:val="Fuentedeprrafopredeter"/>
    <w:link w:val="Textoindependiente2"/>
    <w:rsid w:val="00C70A90"/>
    <w:rPr>
      <w:rFonts w:ascii="Arial" w:eastAsia="Times New Roman" w:hAnsi="Arial" w:cs="Times New Roman"/>
      <w:bCs/>
      <w:sz w:val="24"/>
      <w:szCs w:val="24"/>
      <w:lang w:eastAsia="es-ES"/>
    </w:rPr>
  </w:style>
  <w:style w:type="table" w:customStyle="1" w:styleId="Tablaconcuadrcula1">
    <w:name w:val="Tabla con cuadrícula1"/>
    <w:basedOn w:val="Tablanormal"/>
    <w:next w:val="Tablaconcuadrcula"/>
    <w:uiPriority w:val="39"/>
    <w:rsid w:val="005563C0"/>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5563C0"/>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39"/>
    <w:rsid w:val="00576B26"/>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2detindependiente">
    <w:name w:val="Body Text Indent 2"/>
    <w:basedOn w:val="Normal"/>
    <w:link w:val="Sangra2detindependienteCar"/>
    <w:uiPriority w:val="99"/>
    <w:semiHidden/>
    <w:unhideWhenUsed/>
    <w:rsid w:val="00DA4243"/>
    <w:pPr>
      <w:spacing w:line="480" w:lineRule="auto"/>
      <w:ind w:left="283"/>
    </w:pPr>
  </w:style>
  <w:style w:type="character" w:customStyle="1" w:styleId="Sangra2detindependienteCar">
    <w:name w:val="Sangría 2 de t. independiente Car"/>
    <w:basedOn w:val="Fuentedeprrafopredeter"/>
    <w:link w:val="Sangra2detindependiente"/>
    <w:uiPriority w:val="99"/>
    <w:semiHidden/>
    <w:rsid w:val="00DA4243"/>
    <w:rPr>
      <w:rFonts w:ascii="Calibri" w:eastAsia="Times New Roman" w:hAnsi="Calibri" w:cs="Times New Roman"/>
      <w:sz w:val="21"/>
      <w:szCs w:val="21"/>
    </w:rPr>
  </w:style>
  <w:style w:type="paragraph" w:styleId="Sangradetextonormal">
    <w:name w:val="Body Text Indent"/>
    <w:basedOn w:val="Normal"/>
    <w:link w:val="SangradetextonormalCar"/>
    <w:uiPriority w:val="99"/>
    <w:semiHidden/>
    <w:unhideWhenUsed/>
    <w:rsid w:val="00DA4243"/>
    <w:pPr>
      <w:ind w:left="283"/>
    </w:pPr>
  </w:style>
  <w:style w:type="character" w:customStyle="1" w:styleId="SangradetextonormalCar">
    <w:name w:val="Sangría de texto normal Car"/>
    <w:basedOn w:val="Fuentedeprrafopredeter"/>
    <w:link w:val="Sangradetextonormal"/>
    <w:uiPriority w:val="99"/>
    <w:semiHidden/>
    <w:rsid w:val="00DA4243"/>
    <w:rPr>
      <w:rFonts w:ascii="Calibri" w:eastAsia="Times New Roman" w:hAnsi="Calibri" w:cs="Times New Roman"/>
      <w:sz w:val="21"/>
      <w:szCs w:val="21"/>
    </w:rPr>
  </w:style>
  <w:style w:type="paragraph" w:styleId="Textoindependiente">
    <w:name w:val="Body Text"/>
    <w:basedOn w:val="Normal"/>
    <w:link w:val="TextoindependienteCar"/>
    <w:uiPriority w:val="99"/>
    <w:semiHidden/>
    <w:unhideWhenUsed/>
    <w:rsid w:val="00DA4243"/>
    <w:rPr>
      <w:rFonts w:eastAsia="Calibri"/>
      <w:sz w:val="22"/>
      <w:szCs w:val="22"/>
      <w:lang w:eastAsia="en-US"/>
    </w:rPr>
  </w:style>
  <w:style w:type="character" w:customStyle="1" w:styleId="TextoindependienteCar">
    <w:name w:val="Texto independiente Car"/>
    <w:basedOn w:val="Fuentedeprrafopredeter"/>
    <w:link w:val="Textoindependiente"/>
    <w:uiPriority w:val="99"/>
    <w:semiHidden/>
    <w:rsid w:val="00DA4243"/>
    <w:rPr>
      <w:rFonts w:ascii="Calibri" w:eastAsia="Calibri" w:hAnsi="Calibri" w:cs="Times New Roman"/>
      <w:lang w:eastAsia="en-US"/>
    </w:rPr>
  </w:style>
  <w:style w:type="character" w:customStyle="1" w:styleId="a-size-large">
    <w:name w:val="a-size-large"/>
    <w:basedOn w:val="Fuentedeprrafopredeter"/>
    <w:rsid w:val="00DB16CD"/>
  </w:style>
  <w:style w:type="character" w:customStyle="1" w:styleId="estilo1">
    <w:name w:val="estilo1"/>
    <w:basedOn w:val="Fuentedeprrafopredeter"/>
    <w:rsid w:val="00CF3F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4869515">
      <w:bodyDiv w:val="1"/>
      <w:marLeft w:val="0"/>
      <w:marRight w:val="0"/>
      <w:marTop w:val="0"/>
      <w:marBottom w:val="0"/>
      <w:divBdr>
        <w:top w:val="none" w:sz="0" w:space="0" w:color="auto"/>
        <w:left w:val="none" w:sz="0" w:space="0" w:color="auto"/>
        <w:bottom w:val="none" w:sz="0" w:space="0" w:color="auto"/>
        <w:right w:val="none" w:sz="0" w:space="0" w:color="auto"/>
      </w:divBdr>
    </w:div>
    <w:div w:id="851187838">
      <w:bodyDiv w:val="1"/>
      <w:marLeft w:val="0"/>
      <w:marRight w:val="0"/>
      <w:marTop w:val="0"/>
      <w:marBottom w:val="0"/>
      <w:divBdr>
        <w:top w:val="none" w:sz="0" w:space="0" w:color="auto"/>
        <w:left w:val="none" w:sz="0" w:space="0" w:color="auto"/>
        <w:bottom w:val="none" w:sz="0" w:space="0" w:color="auto"/>
        <w:right w:val="none" w:sz="0" w:space="0" w:color="auto"/>
      </w:divBdr>
    </w:div>
    <w:div w:id="890459564">
      <w:bodyDiv w:val="1"/>
      <w:marLeft w:val="0"/>
      <w:marRight w:val="0"/>
      <w:marTop w:val="0"/>
      <w:marBottom w:val="0"/>
      <w:divBdr>
        <w:top w:val="none" w:sz="0" w:space="0" w:color="auto"/>
        <w:left w:val="none" w:sz="0" w:space="0" w:color="auto"/>
        <w:bottom w:val="none" w:sz="0" w:space="0" w:color="auto"/>
        <w:right w:val="none" w:sz="0" w:space="0" w:color="auto"/>
      </w:divBdr>
    </w:div>
    <w:div w:id="954293791">
      <w:bodyDiv w:val="1"/>
      <w:marLeft w:val="0"/>
      <w:marRight w:val="0"/>
      <w:marTop w:val="0"/>
      <w:marBottom w:val="0"/>
      <w:divBdr>
        <w:top w:val="none" w:sz="0" w:space="0" w:color="auto"/>
        <w:left w:val="none" w:sz="0" w:space="0" w:color="auto"/>
        <w:bottom w:val="none" w:sz="0" w:space="0" w:color="auto"/>
        <w:right w:val="none" w:sz="0" w:space="0" w:color="auto"/>
      </w:divBdr>
    </w:div>
    <w:div w:id="1244145652">
      <w:bodyDiv w:val="1"/>
      <w:marLeft w:val="0"/>
      <w:marRight w:val="0"/>
      <w:marTop w:val="0"/>
      <w:marBottom w:val="0"/>
      <w:divBdr>
        <w:top w:val="none" w:sz="0" w:space="0" w:color="auto"/>
        <w:left w:val="none" w:sz="0" w:space="0" w:color="auto"/>
        <w:bottom w:val="none" w:sz="0" w:space="0" w:color="auto"/>
        <w:right w:val="none" w:sz="0" w:space="0" w:color="auto"/>
      </w:divBdr>
    </w:div>
    <w:div w:id="1326518317">
      <w:bodyDiv w:val="1"/>
      <w:marLeft w:val="0"/>
      <w:marRight w:val="0"/>
      <w:marTop w:val="0"/>
      <w:marBottom w:val="0"/>
      <w:divBdr>
        <w:top w:val="none" w:sz="0" w:space="0" w:color="auto"/>
        <w:left w:val="none" w:sz="0" w:space="0" w:color="auto"/>
        <w:bottom w:val="none" w:sz="0" w:space="0" w:color="auto"/>
        <w:right w:val="none" w:sz="0" w:space="0" w:color="auto"/>
      </w:divBdr>
    </w:div>
    <w:div w:id="1356733888">
      <w:bodyDiv w:val="1"/>
      <w:marLeft w:val="0"/>
      <w:marRight w:val="0"/>
      <w:marTop w:val="0"/>
      <w:marBottom w:val="0"/>
      <w:divBdr>
        <w:top w:val="none" w:sz="0" w:space="0" w:color="auto"/>
        <w:left w:val="none" w:sz="0" w:space="0" w:color="auto"/>
        <w:bottom w:val="none" w:sz="0" w:space="0" w:color="auto"/>
        <w:right w:val="none" w:sz="0" w:space="0" w:color="auto"/>
      </w:divBdr>
    </w:div>
    <w:div w:id="1361125144">
      <w:bodyDiv w:val="1"/>
      <w:marLeft w:val="0"/>
      <w:marRight w:val="0"/>
      <w:marTop w:val="0"/>
      <w:marBottom w:val="0"/>
      <w:divBdr>
        <w:top w:val="none" w:sz="0" w:space="0" w:color="auto"/>
        <w:left w:val="none" w:sz="0" w:space="0" w:color="auto"/>
        <w:bottom w:val="none" w:sz="0" w:space="0" w:color="auto"/>
        <w:right w:val="none" w:sz="0" w:space="0" w:color="auto"/>
      </w:divBdr>
    </w:div>
    <w:div w:id="1588996501">
      <w:bodyDiv w:val="1"/>
      <w:marLeft w:val="0"/>
      <w:marRight w:val="0"/>
      <w:marTop w:val="0"/>
      <w:marBottom w:val="0"/>
      <w:divBdr>
        <w:top w:val="none" w:sz="0" w:space="0" w:color="auto"/>
        <w:left w:val="none" w:sz="0" w:space="0" w:color="auto"/>
        <w:bottom w:val="none" w:sz="0" w:space="0" w:color="auto"/>
        <w:right w:val="none" w:sz="0" w:space="0" w:color="auto"/>
      </w:divBdr>
    </w:div>
    <w:div w:id="1914898985">
      <w:bodyDiv w:val="1"/>
      <w:marLeft w:val="0"/>
      <w:marRight w:val="0"/>
      <w:marTop w:val="0"/>
      <w:marBottom w:val="0"/>
      <w:divBdr>
        <w:top w:val="none" w:sz="0" w:space="0" w:color="auto"/>
        <w:left w:val="none" w:sz="0" w:space="0" w:color="auto"/>
        <w:bottom w:val="none" w:sz="0" w:space="0" w:color="auto"/>
        <w:right w:val="none" w:sz="0" w:space="0" w:color="auto"/>
      </w:divBdr>
    </w:div>
    <w:div w:id="1926450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wmf"/><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6" Type="http://schemas.openxmlformats.org/officeDocument/2006/relationships/image" Target="media/image7.pn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hyperlink" Target="http://dynamomd.org/" TargetMode="External"/><Relationship Id="rId128" Type="http://schemas.openxmlformats.org/officeDocument/2006/relationships/hyperlink" Target="http://www-01.ibm.com/software/mx/analytics/spss/" TargetMode="External"/><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0.wmf"/><Relationship Id="rId118" Type="http://schemas.openxmlformats.org/officeDocument/2006/relationships/hyperlink" Target="http://info4.juridicas.unam.mx/ijure/fed/181/default.htm?s=" TargetMode="External"/><Relationship Id="rId134" Type="http://schemas.openxmlformats.org/officeDocument/2006/relationships/fontTable" Target="fontTable.xml"/><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hyperlink" Target="http://www.ifoam.org/growing_organic/definitions/sdhw/pdf/DOA_Spanish.pdf" TargetMode="External"/><Relationship Id="rId124" Type="http://schemas.openxmlformats.org/officeDocument/2006/relationships/hyperlink" Target="http://www.iseesystems.com/" TargetMode="External"/><Relationship Id="rId129" Type="http://schemas.openxmlformats.org/officeDocument/2006/relationships/hyperlink" Target="http://www.originlab.com/" TargetMode="External"/><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1.wmf"/><Relationship Id="rId119" Type="http://schemas.openxmlformats.org/officeDocument/2006/relationships/hyperlink" Target="mailto:fernandomontesdeoca@imdefac.com.mx" TargetMode="External"/><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hyperlink" Target="mailto:envsales@licor.com" TargetMode="External"/><Relationship Id="rId135"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hyperlink" Target="http://www.fao.org/economic/est/aaacp/en" TargetMode="Externa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05.jpeg"/><Relationship Id="rId125" Type="http://schemas.openxmlformats.org/officeDocument/2006/relationships/hyperlink" Target="http://www.powersim.com/"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hyperlink" Target="http://www.eumed.net/cursecon/0/recomiendo.phtml" TargetMode="External"/><Relationship Id="rId115" Type="http://schemas.openxmlformats.org/officeDocument/2006/relationships/image" Target="media/image102.wmf"/><Relationship Id="rId131" Type="http://schemas.openxmlformats.org/officeDocument/2006/relationships/footer" Target="footer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hyperlink" Target="http://www.sas.com/es_pe/home.html" TargetMode="External"/><Relationship Id="rId8" Type="http://schemas.openxmlformats.org/officeDocument/2006/relationships/comments" Target="comment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hyperlink" Target="http://string-db.org/"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3.wmf"/><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hyperlink" Target="http://www.eumed.net/cursecon/0/comentario.phtml" TargetMode="External"/><Relationship Id="rId132" Type="http://schemas.openxmlformats.org/officeDocument/2006/relationships/image" Target="media/image106.gif"/><Relationship Id="rId15" Type="http://schemas.openxmlformats.org/officeDocument/2006/relationships/image" Target="media/image6.jpe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hyperlink" Target="https://www.r-project.org/" TargetMode="External"/><Relationship Id="rId10" Type="http://schemas.openxmlformats.org/officeDocument/2006/relationships/image" Target="media/image1.jpe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hyperlink" Target="http://vensim.com/" TargetMode="External"/><Relationship Id="rId4" Type="http://schemas.openxmlformats.org/officeDocument/2006/relationships/settings" Target="settings.xml"/><Relationship Id="rId9" Type="http://schemas.microsoft.com/office/2011/relationships/commentsExtended" Target="commentsExtended.xm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99.wmf"/><Relationship Id="rId133" Type="http://schemas.openxmlformats.org/officeDocument/2006/relationships/image" Target="media/image107.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4C26AE-6DAF-469D-91A6-8934BA04DD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1473</TotalTime>
  <Pages>558</Pages>
  <Words>204821</Words>
  <Characters>1126518</Characters>
  <Application>Microsoft Office Word</Application>
  <DocSecurity>0</DocSecurity>
  <Lines>9387</Lines>
  <Paragraphs>2657</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1328682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Nidia Luna</dc:creator>
  <cp:keywords/>
  <dc:description/>
  <cp:lastModifiedBy>TOSHIBA</cp:lastModifiedBy>
  <cp:revision>42</cp:revision>
  <cp:lastPrinted>2016-05-05T17:30:00Z</cp:lastPrinted>
  <dcterms:created xsi:type="dcterms:W3CDTF">2016-05-09T15:50:00Z</dcterms:created>
  <dcterms:modified xsi:type="dcterms:W3CDTF">2016-05-18T03:51:00Z</dcterms:modified>
</cp:coreProperties>
</file>